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4F8E67" w14:textId="17276197" w:rsidR="00D34057" w:rsidRPr="000D6AEA" w:rsidRDefault="00D34057" w:rsidP="006920EF">
      <w:pPr>
        <w:shd w:val="clear" w:color="auto" w:fill="FFFFFF"/>
        <w:spacing w:after="0" w:line="360" w:lineRule="auto"/>
        <w:jc w:val="both"/>
        <w:rPr>
          <w:rFonts w:ascii="Palatino Linotype" w:hAnsi="Palatino Linotype" w:cs="Arial"/>
          <w:color w:val="000000"/>
          <w:sz w:val="24"/>
          <w:szCs w:val="24"/>
          <w:lang w:eastAsia="es-MX"/>
        </w:rPr>
      </w:pPr>
      <w:r w:rsidRPr="000D6AEA">
        <w:rPr>
          <w:rFonts w:ascii="Palatino Linotype" w:hAnsi="Palatino Linotype" w:cs="Arial"/>
          <w:color w:val="000000"/>
          <w:sz w:val="24"/>
          <w:szCs w:val="24"/>
          <w:lang w:eastAsia="es-MX"/>
        </w:rPr>
        <w:t>Resolución del Pleno del Instituto de Transparencia, Acceso a la Información Pública y Protección de Datos Personales del Estado de México y Municipios, con domicilio en Metepec, Estado de México, a</w:t>
      </w:r>
      <w:r w:rsidR="00D536F1" w:rsidRPr="000D6AEA">
        <w:rPr>
          <w:rFonts w:ascii="Palatino Linotype" w:hAnsi="Palatino Linotype" w:cs="Arial"/>
          <w:color w:val="000000"/>
          <w:sz w:val="24"/>
          <w:szCs w:val="24"/>
          <w:lang w:eastAsia="es-MX"/>
        </w:rPr>
        <w:t xml:space="preserve"> </w:t>
      </w:r>
      <w:r w:rsidR="00E30FC3" w:rsidRPr="000D6AEA">
        <w:rPr>
          <w:rFonts w:ascii="Palatino Linotype" w:hAnsi="Palatino Linotype" w:cs="Arial"/>
          <w:color w:val="000000"/>
          <w:sz w:val="24"/>
          <w:szCs w:val="24"/>
          <w:lang w:eastAsia="es-MX"/>
        </w:rPr>
        <w:t>veintiséis de agosto</w:t>
      </w:r>
      <w:r w:rsidR="00625C2B" w:rsidRPr="000D6AEA">
        <w:rPr>
          <w:rFonts w:ascii="Palatino Linotype" w:hAnsi="Palatino Linotype" w:cs="Arial"/>
          <w:color w:val="000000"/>
          <w:sz w:val="24"/>
          <w:szCs w:val="24"/>
          <w:lang w:eastAsia="es-MX"/>
        </w:rPr>
        <w:t xml:space="preserve"> de dos mil veintiséis</w:t>
      </w:r>
      <w:r w:rsidRPr="000D6AEA">
        <w:rPr>
          <w:rFonts w:ascii="Palatino Linotype" w:hAnsi="Palatino Linotype" w:cs="Arial"/>
          <w:color w:val="000000"/>
          <w:sz w:val="24"/>
          <w:szCs w:val="24"/>
          <w:lang w:eastAsia="es-MX"/>
        </w:rPr>
        <w:t>.</w:t>
      </w:r>
    </w:p>
    <w:p w14:paraId="3FD14CEE" w14:textId="77777777" w:rsidR="006920EF" w:rsidRPr="000D6AEA" w:rsidRDefault="006920EF" w:rsidP="006920EF">
      <w:pPr>
        <w:shd w:val="clear" w:color="auto" w:fill="FFFFFF"/>
        <w:spacing w:after="0" w:line="360" w:lineRule="auto"/>
        <w:jc w:val="both"/>
        <w:rPr>
          <w:rFonts w:ascii="Palatino Linotype" w:hAnsi="Palatino Linotype" w:cs="Arial"/>
          <w:color w:val="000000"/>
          <w:sz w:val="24"/>
          <w:szCs w:val="24"/>
          <w:lang w:eastAsia="es-MX"/>
        </w:rPr>
      </w:pPr>
    </w:p>
    <w:p w14:paraId="1816EBEC" w14:textId="77777777" w:rsidR="00D34057" w:rsidRPr="000D6AEA" w:rsidRDefault="00D34057" w:rsidP="006920EF">
      <w:pPr>
        <w:pStyle w:val="Sinespaciado"/>
      </w:pPr>
    </w:p>
    <w:p w14:paraId="426582CB" w14:textId="7B689AE6" w:rsidR="00D34057" w:rsidRPr="000D6AEA" w:rsidRDefault="00D34057" w:rsidP="006920EF">
      <w:pPr>
        <w:tabs>
          <w:tab w:val="left" w:pos="1701"/>
        </w:tabs>
        <w:spacing w:after="0" w:line="360" w:lineRule="auto"/>
        <w:jc w:val="both"/>
        <w:rPr>
          <w:rFonts w:ascii="Palatino Linotype" w:hAnsi="Palatino Linotype" w:cs="Arial"/>
          <w:sz w:val="24"/>
          <w:szCs w:val="24"/>
        </w:rPr>
      </w:pPr>
      <w:r w:rsidRPr="000D6AEA">
        <w:rPr>
          <w:rFonts w:ascii="Palatino Linotype" w:hAnsi="Palatino Linotype" w:cs="Arial"/>
          <w:b/>
          <w:sz w:val="24"/>
          <w:szCs w:val="24"/>
        </w:rPr>
        <w:t>VISTO</w:t>
      </w:r>
      <w:r w:rsidRPr="000D6AEA">
        <w:rPr>
          <w:rFonts w:ascii="Palatino Linotype" w:hAnsi="Palatino Linotype" w:cs="Arial"/>
          <w:sz w:val="24"/>
          <w:szCs w:val="24"/>
        </w:rPr>
        <w:t xml:space="preserve"> el expediente electrónico formado con motivo del recurso de revisión número </w:t>
      </w:r>
      <w:bookmarkStart w:id="0" w:name="_GoBack"/>
      <w:r w:rsidR="00E30FC3" w:rsidRPr="000D6AEA">
        <w:rPr>
          <w:rFonts w:ascii="Palatino Linotype" w:hAnsi="Palatino Linotype" w:cs="Arial"/>
          <w:b/>
          <w:bCs/>
          <w:sz w:val="24"/>
          <w:szCs w:val="24"/>
          <w:lang w:eastAsia="es-MX"/>
        </w:rPr>
        <w:t>06385/INFOEM/IP/RR/2026</w:t>
      </w:r>
      <w:bookmarkEnd w:id="0"/>
      <w:r w:rsidR="000D4CB2" w:rsidRPr="000D6AEA">
        <w:rPr>
          <w:rFonts w:ascii="Palatino Linotype" w:hAnsi="Palatino Linotype" w:cs="Arial"/>
          <w:sz w:val="24"/>
          <w:szCs w:val="24"/>
        </w:rPr>
        <w:t xml:space="preserve">, </w:t>
      </w:r>
      <w:r w:rsidR="00364D21" w:rsidRPr="000D6AEA">
        <w:rPr>
          <w:rFonts w:ascii="Palatino Linotype" w:hAnsi="Palatino Linotype" w:cs="Arial"/>
          <w:sz w:val="24"/>
          <w:szCs w:val="24"/>
        </w:rPr>
        <w:t xml:space="preserve">interpuesto por </w:t>
      </w:r>
      <w:r w:rsidR="00E30FC3" w:rsidRPr="000D6AEA">
        <w:rPr>
          <w:rFonts w:ascii="Palatino Linotype" w:hAnsi="Palatino Linotype" w:cs="Arial"/>
          <w:sz w:val="24"/>
          <w:szCs w:val="24"/>
        </w:rPr>
        <w:t xml:space="preserve">el C. </w:t>
      </w:r>
      <w:r w:rsidR="00A60173">
        <w:rPr>
          <w:rFonts w:ascii="Palatino Linotype" w:hAnsi="Palatino Linotype" w:cs="Arial"/>
          <w:b/>
          <w:bCs/>
          <w:sz w:val="24"/>
          <w:szCs w:val="24"/>
        </w:rPr>
        <w:t>XXXXXXXXX</w:t>
      </w:r>
      <w:r w:rsidR="00364D21" w:rsidRPr="000D6AEA">
        <w:rPr>
          <w:rFonts w:ascii="Palatino Linotype" w:hAnsi="Palatino Linotype" w:cs="Arial"/>
          <w:sz w:val="24"/>
          <w:szCs w:val="24"/>
        </w:rPr>
        <w:t>,</w:t>
      </w:r>
      <w:r w:rsidR="00364D21" w:rsidRPr="000D6AEA">
        <w:rPr>
          <w:rFonts w:ascii="Palatino Linotype" w:hAnsi="Palatino Linotype" w:cs="Arial"/>
          <w:b/>
          <w:sz w:val="24"/>
          <w:szCs w:val="24"/>
        </w:rPr>
        <w:t xml:space="preserve"> </w:t>
      </w:r>
      <w:r w:rsidR="00364D21" w:rsidRPr="000D6AEA">
        <w:rPr>
          <w:rFonts w:ascii="Palatino Linotype" w:hAnsi="Palatino Linotype" w:cs="Arial"/>
          <w:sz w:val="24"/>
          <w:szCs w:val="24"/>
        </w:rPr>
        <w:t xml:space="preserve">en lo sucesivo </w:t>
      </w:r>
      <w:r w:rsidR="00364D21" w:rsidRPr="000D6AEA">
        <w:rPr>
          <w:rFonts w:ascii="Palatino Linotype" w:hAnsi="Palatino Linotype" w:cs="Arial"/>
          <w:b/>
          <w:sz w:val="24"/>
          <w:szCs w:val="24"/>
        </w:rPr>
        <w:t>El Recurrente</w:t>
      </w:r>
      <w:r w:rsidRPr="000D6AEA">
        <w:rPr>
          <w:rFonts w:ascii="Palatino Linotype" w:hAnsi="Palatino Linotype" w:cs="Arial"/>
          <w:sz w:val="24"/>
          <w:szCs w:val="24"/>
        </w:rPr>
        <w:t xml:space="preserve">, en contra de la respuesta </w:t>
      </w:r>
      <w:r w:rsidR="000D4CB2" w:rsidRPr="000D6AEA">
        <w:rPr>
          <w:rFonts w:ascii="Palatino Linotype" w:hAnsi="Palatino Linotype" w:cs="Arial"/>
          <w:sz w:val="24"/>
          <w:szCs w:val="24"/>
        </w:rPr>
        <w:t>de</w:t>
      </w:r>
      <w:r w:rsidR="00CE02B6" w:rsidRPr="000D6AEA">
        <w:rPr>
          <w:rFonts w:ascii="Palatino Linotype" w:hAnsi="Palatino Linotype" w:cs="Arial"/>
          <w:sz w:val="24"/>
          <w:szCs w:val="24"/>
        </w:rPr>
        <w:t>l</w:t>
      </w:r>
      <w:r w:rsidRPr="000D6AEA">
        <w:rPr>
          <w:rFonts w:ascii="Palatino Linotype" w:hAnsi="Palatino Linotype" w:cs="Arial"/>
          <w:sz w:val="24"/>
          <w:szCs w:val="24"/>
        </w:rPr>
        <w:t xml:space="preserve"> </w:t>
      </w:r>
      <w:r w:rsidR="00E30FC3" w:rsidRPr="000D6AEA">
        <w:rPr>
          <w:rFonts w:ascii="Palatino Linotype" w:hAnsi="Palatino Linotype" w:cs="Arial"/>
          <w:b/>
          <w:sz w:val="24"/>
          <w:szCs w:val="24"/>
        </w:rPr>
        <w:t xml:space="preserve">Sistema Municipal para el Desarrollo Integral de la Familia de </w:t>
      </w:r>
      <w:proofErr w:type="spellStart"/>
      <w:r w:rsidR="00E30FC3" w:rsidRPr="000D6AEA">
        <w:rPr>
          <w:rFonts w:ascii="Palatino Linotype" w:hAnsi="Palatino Linotype" w:cs="Arial"/>
          <w:b/>
          <w:sz w:val="24"/>
          <w:szCs w:val="24"/>
        </w:rPr>
        <w:t>Juchitepec</w:t>
      </w:r>
      <w:proofErr w:type="spellEnd"/>
      <w:r w:rsidRPr="000D6AEA">
        <w:rPr>
          <w:rFonts w:ascii="Palatino Linotype" w:hAnsi="Palatino Linotype" w:cs="Arial"/>
          <w:sz w:val="24"/>
          <w:szCs w:val="24"/>
        </w:rPr>
        <w:t>, en lo subsecuente</w:t>
      </w:r>
      <w:r w:rsidRPr="000D6AEA">
        <w:rPr>
          <w:rFonts w:ascii="Palatino Linotype" w:hAnsi="Palatino Linotype" w:cs="Arial"/>
          <w:b/>
          <w:sz w:val="24"/>
          <w:szCs w:val="24"/>
        </w:rPr>
        <w:t xml:space="preserve"> El Sujeto Obligado, </w:t>
      </w:r>
      <w:r w:rsidRPr="000D6AEA">
        <w:rPr>
          <w:rFonts w:ascii="Palatino Linotype" w:hAnsi="Palatino Linotype" w:cs="Arial"/>
          <w:sz w:val="24"/>
          <w:szCs w:val="24"/>
        </w:rPr>
        <w:t>se procede a dictar la presente resolución.</w:t>
      </w:r>
    </w:p>
    <w:p w14:paraId="2051844B" w14:textId="77777777" w:rsidR="00CC6F3C" w:rsidRPr="000D6AEA" w:rsidRDefault="00CC6F3C" w:rsidP="006920EF">
      <w:pPr>
        <w:tabs>
          <w:tab w:val="left" w:pos="1701"/>
        </w:tabs>
        <w:spacing w:after="0" w:line="360" w:lineRule="auto"/>
        <w:jc w:val="both"/>
        <w:rPr>
          <w:rFonts w:ascii="Palatino Linotype" w:hAnsi="Palatino Linotype" w:cs="Arial"/>
        </w:rPr>
      </w:pPr>
    </w:p>
    <w:p w14:paraId="4B577937" w14:textId="77777777" w:rsidR="00D34057" w:rsidRPr="000D6AEA" w:rsidRDefault="00D34057" w:rsidP="006920EF">
      <w:pPr>
        <w:pStyle w:val="Sinespaciado"/>
        <w:rPr>
          <w:sz w:val="8"/>
        </w:rPr>
      </w:pPr>
    </w:p>
    <w:p w14:paraId="75D21A27" w14:textId="77777777" w:rsidR="00D34057" w:rsidRPr="000D6AEA" w:rsidRDefault="00D34057" w:rsidP="006920EF">
      <w:pPr>
        <w:spacing w:after="0" w:line="360" w:lineRule="auto"/>
        <w:jc w:val="center"/>
        <w:rPr>
          <w:rFonts w:ascii="Palatino Linotype" w:hAnsi="Palatino Linotype"/>
          <w:b/>
          <w:sz w:val="28"/>
        </w:rPr>
      </w:pPr>
      <w:r w:rsidRPr="000D6AEA">
        <w:rPr>
          <w:rFonts w:ascii="Palatino Linotype" w:hAnsi="Palatino Linotype"/>
          <w:b/>
          <w:sz w:val="28"/>
        </w:rPr>
        <w:t>A N T E C E D E N T E S   D E L   A S U N T O</w:t>
      </w:r>
    </w:p>
    <w:p w14:paraId="18424EF2" w14:textId="77777777" w:rsidR="00972636" w:rsidRPr="000D6AEA" w:rsidRDefault="00972636" w:rsidP="006920EF">
      <w:pPr>
        <w:pStyle w:val="Sinespaciado"/>
        <w:rPr>
          <w:sz w:val="14"/>
        </w:rPr>
      </w:pPr>
    </w:p>
    <w:p w14:paraId="729E5B4C" w14:textId="77777777" w:rsidR="008D6D96" w:rsidRPr="000D6AEA" w:rsidRDefault="008D6D96" w:rsidP="006920EF">
      <w:pPr>
        <w:spacing w:after="0" w:line="360" w:lineRule="auto"/>
        <w:jc w:val="both"/>
        <w:rPr>
          <w:rFonts w:ascii="Palatino Linotype" w:hAnsi="Palatino Linotype"/>
        </w:rPr>
      </w:pPr>
      <w:r w:rsidRPr="000D6AEA">
        <w:rPr>
          <w:rFonts w:ascii="Palatino Linotype" w:hAnsi="Palatino Linotype" w:cs="Arial"/>
          <w:b/>
          <w:sz w:val="28"/>
        </w:rPr>
        <w:t>PRIMERO.</w:t>
      </w:r>
      <w:r w:rsidRPr="000D6AEA">
        <w:rPr>
          <w:rFonts w:ascii="Palatino Linotype" w:hAnsi="Palatino Linotype" w:cs="Arial"/>
        </w:rPr>
        <w:t xml:space="preserve"> </w:t>
      </w:r>
      <w:r w:rsidRPr="000D6AEA">
        <w:rPr>
          <w:rFonts w:ascii="Palatino Linotype" w:hAnsi="Palatino Linotype"/>
          <w:b/>
          <w:sz w:val="28"/>
          <w:szCs w:val="28"/>
        </w:rPr>
        <w:t>De la Solicitud de Información.</w:t>
      </w:r>
    </w:p>
    <w:p w14:paraId="40216673" w14:textId="4CA3240F" w:rsidR="008D6D96" w:rsidRPr="000D6AEA" w:rsidRDefault="008D6D96" w:rsidP="006920EF">
      <w:pPr>
        <w:spacing w:after="0" w:line="360" w:lineRule="auto"/>
        <w:jc w:val="both"/>
        <w:rPr>
          <w:rFonts w:ascii="Palatino Linotype" w:hAnsi="Palatino Linotype" w:cs="Arial"/>
          <w:sz w:val="24"/>
          <w:szCs w:val="24"/>
        </w:rPr>
      </w:pPr>
      <w:r w:rsidRPr="000D6AEA">
        <w:rPr>
          <w:rFonts w:ascii="Palatino Linotype" w:hAnsi="Palatino Linotype" w:cs="Arial"/>
          <w:sz w:val="24"/>
          <w:szCs w:val="24"/>
        </w:rPr>
        <w:t xml:space="preserve">Con fecha </w:t>
      </w:r>
      <w:r w:rsidR="00E30FC3" w:rsidRPr="000D6AEA">
        <w:rPr>
          <w:rFonts w:ascii="Palatino Linotype" w:hAnsi="Palatino Linotype" w:cs="Arial"/>
          <w:sz w:val="24"/>
          <w:szCs w:val="24"/>
        </w:rPr>
        <w:t>seis de mayo de dos mil veintiséis</w:t>
      </w:r>
      <w:r w:rsidRPr="000D6AEA">
        <w:rPr>
          <w:rFonts w:ascii="Palatino Linotype" w:hAnsi="Palatino Linotype" w:cs="Arial"/>
          <w:sz w:val="24"/>
          <w:szCs w:val="24"/>
        </w:rPr>
        <w:t xml:space="preserve">, </w:t>
      </w:r>
      <w:r w:rsidR="00364D21" w:rsidRPr="000D6AEA">
        <w:rPr>
          <w:rFonts w:ascii="Palatino Linotype" w:hAnsi="Palatino Linotype" w:cs="Arial"/>
          <w:b/>
          <w:sz w:val="24"/>
          <w:szCs w:val="24"/>
        </w:rPr>
        <w:t>el</w:t>
      </w:r>
      <w:r w:rsidRPr="000D6AEA">
        <w:rPr>
          <w:rFonts w:ascii="Palatino Linotype" w:hAnsi="Palatino Linotype" w:cs="Arial"/>
          <w:b/>
          <w:sz w:val="24"/>
          <w:szCs w:val="24"/>
        </w:rPr>
        <w:t xml:space="preserve"> Recurrente</w:t>
      </w:r>
      <w:r w:rsidRPr="000D6AEA">
        <w:rPr>
          <w:rFonts w:ascii="Palatino Linotype" w:hAnsi="Palatino Linotype" w:cs="Arial"/>
          <w:sz w:val="24"/>
          <w:szCs w:val="24"/>
        </w:rPr>
        <w:t>, presentó a través del Sistema de Acceso a la Información Mexiquense (</w:t>
      </w:r>
      <w:r w:rsidRPr="000D6AEA">
        <w:rPr>
          <w:rFonts w:ascii="Palatino Linotype" w:hAnsi="Palatino Linotype" w:cs="Arial"/>
          <w:b/>
          <w:sz w:val="24"/>
          <w:szCs w:val="24"/>
        </w:rPr>
        <w:t>SAIMEX)</w:t>
      </w:r>
      <w:r w:rsidRPr="000D6AEA">
        <w:rPr>
          <w:rFonts w:ascii="Palatino Linotype" w:hAnsi="Palatino Linotype" w:cs="Arial"/>
          <w:sz w:val="24"/>
          <w:szCs w:val="24"/>
        </w:rPr>
        <w:t xml:space="preserve"> ante </w:t>
      </w:r>
      <w:r w:rsidRPr="000D6AEA">
        <w:rPr>
          <w:rFonts w:ascii="Palatino Linotype" w:hAnsi="Palatino Linotype" w:cs="Arial"/>
          <w:b/>
          <w:sz w:val="24"/>
          <w:szCs w:val="24"/>
        </w:rPr>
        <w:t>El Sujeto Obligado</w:t>
      </w:r>
      <w:r w:rsidRPr="000D6AEA">
        <w:rPr>
          <w:rFonts w:ascii="Palatino Linotype" w:hAnsi="Palatino Linotype" w:cs="Arial"/>
          <w:sz w:val="24"/>
          <w:szCs w:val="24"/>
        </w:rPr>
        <w:t>, solicitud de acceso a la información pública, registrada bajo el número de expediente</w:t>
      </w:r>
      <w:r w:rsidRPr="000D6AEA">
        <w:rPr>
          <w:rFonts w:ascii="Palatino Linotype" w:hAnsi="Palatino Linotype" w:cs="Arial"/>
          <w:b/>
          <w:sz w:val="24"/>
          <w:szCs w:val="24"/>
        </w:rPr>
        <w:t xml:space="preserve"> </w:t>
      </w:r>
      <w:r w:rsidR="00E30FC3" w:rsidRPr="000D6AEA">
        <w:rPr>
          <w:rFonts w:ascii="Palatino Linotype" w:hAnsi="Palatino Linotype" w:cs="Arial"/>
          <w:b/>
          <w:sz w:val="24"/>
          <w:szCs w:val="24"/>
        </w:rPr>
        <w:t>00011/DIFJUCHITEPEC/IP/2026</w:t>
      </w:r>
      <w:r w:rsidRPr="000D6AEA">
        <w:rPr>
          <w:rFonts w:ascii="Palatino Linotype" w:hAnsi="Palatino Linotype" w:cs="Arial"/>
          <w:sz w:val="24"/>
          <w:szCs w:val="24"/>
          <w:lang w:eastAsia="es-MX"/>
        </w:rPr>
        <w:t>,</w:t>
      </w:r>
      <w:r w:rsidRPr="000D6AEA">
        <w:rPr>
          <w:rFonts w:ascii="Palatino Linotype" w:hAnsi="Palatino Linotype" w:cs="Arial"/>
          <w:b/>
          <w:sz w:val="24"/>
          <w:szCs w:val="24"/>
          <w:lang w:eastAsia="es-MX"/>
        </w:rPr>
        <w:t xml:space="preserve"> </w:t>
      </w:r>
      <w:r w:rsidRPr="000D6AEA">
        <w:rPr>
          <w:rFonts w:ascii="Palatino Linotype" w:hAnsi="Palatino Linotype" w:cs="Arial"/>
          <w:sz w:val="24"/>
          <w:szCs w:val="24"/>
        </w:rPr>
        <w:t>mediante la cual solicitó información en el tenor siguiente:</w:t>
      </w:r>
    </w:p>
    <w:p w14:paraId="0405F88B" w14:textId="77777777" w:rsidR="006920EF" w:rsidRPr="000D6AEA" w:rsidRDefault="006920EF" w:rsidP="006920EF">
      <w:pPr>
        <w:spacing w:after="0" w:line="360" w:lineRule="auto"/>
        <w:jc w:val="both"/>
        <w:rPr>
          <w:rFonts w:ascii="Palatino Linotype" w:hAnsi="Palatino Linotype" w:cs="Arial"/>
          <w:sz w:val="24"/>
          <w:szCs w:val="24"/>
        </w:rPr>
      </w:pPr>
    </w:p>
    <w:p w14:paraId="36D74A71" w14:textId="31EDB464" w:rsidR="00364D21" w:rsidRPr="000D6AEA" w:rsidRDefault="008D6D96" w:rsidP="006920EF">
      <w:pPr>
        <w:spacing w:after="0"/>
        <w:ind w:left="851" w:right="851"/>
        <w:jc w:val="both"/>
        <w:rPr>
          <w:rFonts w:ascii="Palatino Linotype" w:hAnsi="Palatino Linotype"/>
          <w:lang w:val="es-ES_tradnl"/>
        </w:rPr>
      </w:pPr>
      <w:r w:rsidRPr="000D6AEA">
        <w:rPr>
          <w:rFonts w:ascii="Palatino Linotype" w:hAnsi="Palatino Linotype"/>
          <w:i/>
          <w:lang w:val="es-ES_tradnl"/>
        </w:rPr>
        <w:t>“</w:t>
      </w:r>
      <w:r w:rsidR="00E30FC3" w:rsidRPr="000D6AEA">
        <w:rPr>
          <w:rFonts w:ascii="Palatino Linotype" w:hAnsi="Palatino Linotype"/>
          <w:i/>
          <w:lang w:val="es-ES_tradnl"/>
        </w:rPr>
        <w:t xml:space="preserve">Solicito la nómina de la segunda quincena de abril 2026 del DIF Municipal de </w:t>
      </w:r>
      <w:proofErr w:type="spellStart"/>
      <w:r w:rsidR="00E30FC3" w:rsidRPr="000D6AEA">
        <w:rPr>
          <w:rFonts w:ascii="Palatino Linotype" w:hAnsi="Palatino Linotype"/>
          <w:i/>
          <w:lang w:val="es-ES_tradnl"/>
        </w:rPr>
        <w:t>Juchitepec</w:t>
      </w:r>
      <w:proofErr w:type="spellEnd"/>
      <w:r w:rsidR="00E30FC3" w:rsidRPr="000D6AEA">
        <w:rPr>
          <w:rFonts w:ascii="Palatino Linotype" w:hAnsi="Palatino Linotype"/>
          <w:i/>
          <w:lang w:val="es-ES_tradnl"/>
        </w:rPr>
        <w:t>.</w:t>
      </w:r>
      <w:r w:rsidRPr="000D6AEA">
        <w:rPr>
          <w:rFonts w:ascii="Palatino Linotype" w:hAnsi="Palatino Linotype"/>
          <w:i/>
          <w:lang w:val="es-ES_tradnl"/>
        </w:rPr>
        <w:t>”</w:t>
      </w:r>
      <w:r w:rsidRPr="000D6AEA">
        <w:rPr>
          <w:rFonts w:ascii="Palatino Linotype" w:hAnsi="Palatino Linotype"/>
          <w:lang w:val="es-ES_tradnl"/>
        </w:rPr>
        <w:t xml:space="preserve"> [Sic]</w:t>
      </w:r>
    </w:p>
    <w:p w14:paraId="0F0248C5" w14:textId="77777777" w:rsidR="00E30FC3" w:rsidRPr="000D6AEA" w:rsidRDefault="00E30FC3" w:rsidP="006920EF">
      <w:pPr>
        <w:spacing w:after="0"/>
        <w:ind w:left="851" w:right="851"/>
        <w:jc w:val="both"/>
        <w:rPr>
          <w:rFonts w:ascii="Palatino Linotype" w:hAnsi="Palatino Linotype"/>
          <w:i/>
          <w:lang w:val="es-ES_tradnl"/>
        </w:rPr>
      </w:pPr>
    </w:p>
    <w:p w14:paraId="772D74B8" w14:textId="77777777" w:rsidR="006920EF" w:rsidRPr="000D6AEA" w:rsidRDefault="006920EF" w:rsidP="006920EF">
      <w:pPr>
        <w:spacing w:after="0"/>
        <w:ind w:left="851" w:right="851"/>
        <w:jc w:val="both"/>
        <w:rPr>
          <w:rFonts w:ascii="Palatino Linotype" w:hAnsi="Palatino Linotype"/>
          <w:i/>
          <w:lang w:val="es-ES_tradnl"/>
        </w:rPr>
      </w:pPr>
    </w:p>
    <w:p w14:paraId="2817EFCC" w14:textId="7C4FA98A" w:rsidR="00E76590" w:rsidRPr="000D6AEA" w:rsidRDefault="008D6D96" w:rsidP="006920EF">
      <w:pPr>
        <w:spacing w:after="0" w:line="360" w:lineRule="auto"/>
        <w:ind w:right="851"/>
        <w:jc w:val="both"/>
        <w:rPr>
          <w:rFonts w:ascii="Palatino Linotype" w:hAnsi="Palatino Linotype"/>
          <w:sz w:val="24"/>
          <w:szCs w:val="24"/>
          <w:lang w:val="es-ES_tradnl"/>
        </w:rPr>
      </w:pPr>
      <w:r w:rsidRPr="000D6AEA">
        <w:rPr>
          <w:rFonts w:ascii="Palatino Linotype" w:hAnsi="Palatino Linotype"/>
          <w:sz w:val="24"/>
          <w:szCs w:val="24"/>
          <w:lang w:val="es-ES_tradnl"/>
        </w:rPr>
        <w:t xml:space="preserve">Modalidad de entrega: A través del </w:t>
      </w:r>
      <w:r w:rsidRPr="000D6AEA">
        <w:rPr>
          <w:rFonts w:ascii="Palatino Linotype" w:hAnsi="Palatino Linotype"/>
          <w:b/>
          <w:sz w:val="24"/>
          <w:szCs w:val="24"/>
          <w:lang w:val="es-ES_tradnl"/>
        </w:rPr>
        <w:t>SAIMEX</w:t>
      </w:r>
      <w:r w:rsidRPr="000D6AEA">
        <w:rPr>
          <w:rFonts w:ascii="Palatino Linotype" w:hAnsi="Palatino Linotype"/>
          <w:sz w:val="24"/>
          <w:szCs w:val="24"/>
          <w:lang w:val="es-ES_tradnl"/>
        </w:rPr>
        <w:t>.</w:t>
      </w:r>
    </w:p>
    <w:p w14:paraId="74B49BDB" w14:textId="77777777" w:rsidR="00364D21" w:rsidRPr="000D6AEA" w:rsidRDefault="00364D21" w:rsidP="006920EF">
      <w:pPr>
        <w:spacing w:after="0" w:line="360" w:lineRule="auto"/>
        <w:ind w:right="851"/>
        <w:jc w:val="both"/>
        <w:rPr>
          <w:rFonts w:ascii="Palatino Linotype" w:hAnsi="Palatino Linotype" w:cs="Times New Roman"/>
          <w:sz w:val="24"/>
          <w:szCs w:val="24"/>
          <w:lang w:val="es-ES_tradnl"/>
        </w:rPr>
      </w:pPr>
    </w:p>
    <w:p w14:paraId="0212A88C" w14:textId="77777777" w:rsidR="00E30FC3" w:rsidRPr="000D6AEA" w:rsidRDefault="00E30FC3" w:rsidP="00E30FC3">
      <w:pPr>
        <w:spacing w:after="0" w:line="360" w:lineRule="auto"/>
        <w:jc w:val="both"/>
        <w:rPr>
          <w:rFonts w:ascii="Palatino Linotype" w:eastAsia="Times New Roman" w:hAnsi="Palatino Linotype" w:cs="Arial"/>
          <w:b/>
          <w:sz w:val="28"/>
          <w:szCs w:val="28"/>
          <w:lang w:val="es-ES_tradnl" w:eastAsia="es-ES"/>
        </w:rPr>
      </w:pPr>
      <w:r w:rsidRPr="000D6AEA">
        <w:rPr>
          <w:rFonts w:ascii="Palatino Linotype" w:eastAsia="Times New Roman" w:hAnsi="Palatino Linotype" w:cs="Arial"/>
          <w:b/>
          <w:sz w:val="28"/>
          <w:szCs w:val="28"/>
          <w:lang w:val="es-ES_tradnl" w:eastAsia="es-ES"/>
        </w:rPr>
        <w:lastRenderedPageBreak/>
        <w:t xml:space="preserve">SEGUNDO. De la prórroga del Sujeto Obligado. </w:t>
      </w:r>
    </w:p>
    <w:p w14:paraId="4B34491C" w14:textId="4F101FDA" w:rsidR="00E30FC3" w:rsidRPr="000D6AEA" w:rsidRDefault="00E30FC3" w:rsidP="006920EF">
      <w:pPr>
        <w:spacing w:after="0" w:line="360" w:lineRule="auto"/>
        <w:jc w:val="both"/>
        <w:rPr>
          <w:rFonts w:ascii="Palatino Linotype" w:eastAsia="Palatino Linotype" w:hAnsi="Palatino Linotype" w:cs="Palatino Linotype"/>
          <w:b/>
          <w:color w:val="000000"/>
          <w:sz w:val="26"/>
          <w:szCs w:val="26"/>
          <w:lang w:val="es-ES_tradnl" w:eastAsia="es-MX"/>
        </w:rPr>
      </w:pPr>
      <w:r w:rsidRPr="000D6AEA">
        <w:rPr>
          <w:rFonts w:ascii="Palatino Linotype" w:eastAsia="Times New Roman" w:hAnsi="Palatino Linotype" w:cs="Arial"/>
          <w:sz w:val="24"/>
          <w:szCs w:val="24"/>
          <w:lang w:val="es-ES_tradnl" w:eastAsia="es-ES"/>
        </w:rPr>
        <w:t xml:space="preserve">De las constancias que obran en los expedientes electrónicos del </w:t>
      </w:r>
      <w:r w:rsidRPr="000D6AEA">
        <w:rPr>
          <w:rFonts w:ascii="Palatino Linotype" w:eastAsia="Times New Roman" w:hAnsi="Palatino Linotype" w:cs="Arial"/>
          <w:b/>
          <w:sz w:val="24"/>
          <w:szCs w:val="24"/>
          <w:lang w:val="es-ES_tradnl" w:eastAsia="es-ES"/>
        </w:rPr>
        <w:t xml:space="preserve">SAIMEX </w:t>
      </w:r>
      <w:r w:rsidRPr="000D6AEA">
        <w:rPr>
          <w:rFonts w:ascii="Palatino Linotype" w:eastAsia="Times New Roman" w:hAnsi="Palatino Linotype" w:cs="Arial"/>
          <w:sz w:val="24"/>
          <w:szCs w:val="24"/>
          <w:lang w:val="es-ES_tradnl" w:eastAsia="es-ES"/>
        </w:rPr>
        <w:t xml:space="preserve">correspondiente a la solicitud de información, se advierte que en fecha veinticinco de mayo de dos mil veintiséis, </w:t>
      </w:r>
      <w:r w:rsidRPr="000D6AEA">
        <w:rPr>
          <w:rFonts w:ascii="Palatino Linotype" w:eastAsia="Times New Roman" w:hAnsi="Palatino Linotype" w:cs="Arial"/>
          <w:b/>
          <w:bCs/>
          <w:sz w:val="24"/>
          <w:szCs w:val="24"/>
          <w:lang w:val="es-ES_tradnl" w:eastAsia="es-ES"/>
        </w:rPr>
        <w:t xml:space="preserve">El Sujeto Obligado </w:t>
      </w:r>
      <w:r w:rsidRPr="000D6AEA">
        <w:rPr>
          <w:rFonts w:ascii="Palatino Linotype" w:eastAsia="Times New Roman" w:hAnsi="Palatino Linotype" w:cs="Arial"/>
          <w:sz w:val="24"/>
          <w:szCs w:val="24"/>
          <w:lang w:val="es-ES_tradnl" w:eastAsia="es-ES"/>
        </w:rPr>
        <w:t>comunico</w:t>
      </w:r>
      <w:r w:rsidRPr="000D6AEA">
        <w:rPr>
          <w:rFonts w:ascii="Palatino Linotype" w:eastAsia="Times New Roman" w:hAnsi="Palatino Linotype" w:cs="Arial"/>
          <w:b/>
          <w:bCs/>
          <w:sz w:val="24"/>
          <w:szCs w:val="24"/>
          <w:lang w:val="es-ES_tradnl" w:eastAsia="es-ES"/>
        </w:rPr>
        <w:t xml:space="preserve"> al Recurrente</w:t>
      </w:r>
      <w:r w:rsidRPr="000D6AEA">
        <w:rPr>
          <w:rFonts w:ascii="Palatino Linotype" w:eastAsia="Calibri" w:hAnsi="Palatino Linotype" w:cs="Calibri"/>
          <w:sz w:val="24"/>
          <w:lang w:val="es-ES_tradnl" w:eastAsia="es-MX"/>
        </w:rPr>
        <w:t xml:space="preserve"> </w:t>
      </w:r>
      <w:r w:rsidRPr="000D6AEA">
        <w:rPr>
          <w:rFonts w:ascii="Palatino Linotype" w:eastAsia="Times New Roman" w:hAnsi="Palatino Linotype" w:cs="Arial"/>
          <w:sz w:val="24"/>
          <w:szCs w:val="24"/>
          <w:lang w:val="es-ES_tradnl" w:eastAsia="es-ES"/>
        </w:rPr>
        <w:t>que el plazo de 15 días hábiles para atender su solicitud de información ha sido prorrogado por 7 días</w:t>
      </w:r>
      <w:r w:rsidRPr="000D6AEA">
        <w:rPr>
          <w:rFonts w:ascii="Palatino Linotype" w:eastAsia="Times New Roman" w:hAnsi="Palatino Linotype" w:cs="Arial"/>
          <w:b/>
          <w:sz w:val="24"/>
          <w:szCs w:val="24"/>
          <w:lang w:val="es-ES_tradnl" w:eastAsia="es-ES"/>
        </w:rPr>
        <w:t xml:space="preserve">, </w:t>
      </w:r>
      <w:r w:rsidRPr="000D6AEA">
        <w:rPr>
          <w:rFonts w:ascii="Palatino Linotype" w:eastAsia="Times New Roman" w:hAnsi="Palatino Linotype" w:cs="Arial"/>
          <w:sz w:val="24"/>
          <w:szCs w:val="24"/>
          <w:lang w:val="es-ES_tradnl" w:eastAsia="es-ES"/>
        </w:rPr>
        <w:t>advirtiendo que se remitió el Acta de la Décima Tercera Sesión Extraordinaria 2026 del Comité de Transparencia del Sujeto Obligado, con la que se aproó dicha prorroga, de acuerdo a</w:t>
      </w:r>
      <w:r w:rsidRPr="000D6AEA">
        <w:rPr>
          <w:rFonts w:ascii="Palatino Linotype" w:eastAsia="Times New Roman" w:hAnsi="Palatino Linotype" w:cs="Times New Roman"/>
          <w:sz w:val="24"/>
          <w:szCs w:val="24"/>
          <w:lang w:val="es-ES_tradnl" w:eastAsia="es-ES"/>
        </w:rPr>
        <w:t xml:space="preserve"> lo establecido en el artículo 49, fracción II, así como en el artículo 163 segundo párrafo, de la </w:t>
      </w:r>
      <w:r w:rsidRPr="000D6AEA">
        <w:rPr>
          <w:rFonts w:ascii="Palatino Linotype" w:eastAsia="Times New Roman" w:hAnsi="Palatino Linotype" w:cs="Arial"/>
          <w:sz w:val="24"/>
          <w:szCs w:val="24"/>
          <w:lang w:val="es-ES_tradnl" w:eastAsia="es-ES"/>
        </w:rPr>
        <w:t>Ley de Transparencia y Acceso a la Información Pública del Estado de México y Municipios.</w:t>
      </w:r>
    </w:p>
    <w:p w14:paraId="14D67351" w14:textId="77777777" w:rsidR="00E30FC3" w:rsidRPr="000D6AEA" w:rsidRDefault="00E30FC3" w:rsidP="006920EF">
      <w:pPr>
        <w:spacing w:after="0" w:line="360" w:lineRule="auto"/>
        <w:jc w:val="both"/>
        <w:rPr>
          <w:rFonts w:ascii="Palatino Linotype" w:hAnsi="Palatino Linotype" w:cs="Arial"/>
          <w:b/>
          <w:sz w:val="28"/>
        </w:rPr>
      </w:pPr>
    </w:p>
    <w:p w14:paraId="095C8EBF" w14:textId="45C98DC3" w:rsidR="008D6D96" w:rsidRPr="000D6AEA" w:rsidRDefault="00E30FC3" w:rsidP="006920EF">
      <w:pPr>
        <w:spacing w:after="0" w:line="360" w:lineRule="auto"/>
        <w:jc w:val="both"/>
        <w:rPr>
          <w:rFonts w:ascii="Palatino Linotype" w:hAnsi="Palatino Linotype" w:cs="Arial"/>
          <w:b/>
          <w:sz w:val="28"/>
        </w:rPr>
      </w:pPr>
      <w:r w:rsidRPr="000D6AEA">
        <w:rPr>
          <w:rFonts w:ascii="Palatino Linotype" w:hAnsi="Palatino Linotype" w:cs="Arial"/>
          <w:b/>
          <w:sz w:val="28"/>
        </w:rPr>
        <w:t>TERCERO</w:t>
      </w:r>
      <w:r w:rsidR="008D6D96" w:rsidRPr="000D6AEA">
        <w:rPr>
          <w:rFonts w:ascii="Palatino Linotype" w:hAnsi="Palatino Linotype" w:cs="Arial"/>
          <w:b/>
          <w:sz w:val="28"/>
        </w:rPr>
        <w:t xml:space="preserve">. </w:t>
      </w:r>
      <w:r w:rsidR="008D6D96" w:rsidRPr="000D6AEA">
        <w:rPr>
          <w:rFonts w:ascii="Palatino Linotype" w:hAnsi="Palatino Linotype" w:cs="Arial"/>
          <w:b/>
          <w:sz w:val="28"/>
          <w:szCs w:val="20"/>
        </w:rPr>
        <w:t>De la respuesta del Sujeto Obligado.</w:t>
      </w:r>
    </w:p>
    <w:p w14:paraId="3EDCEAF6" w14:textId="443D0FF0" w:rsidR="008D6D96" w:rsidRPr="000D6AEA" w:rsidRDefault="008D6D96" w:rsidP="006920EF">
      <w:pPr>
        <w:spacing w:after="0" w:line="360" w:lineRule="auto"/>
        <w:jc w:val="both"/>
        <w:rPr>
          <w:rFonts w:ascii="Palatino Linotype" w:hAnsi="Palatino Linotype" w:cs="Arial"/>
          <w:sz w:val="24"/>
          <w:szCs w:val="24"/>
        </w:rPr>
      </w:pPr>
      <w:r w:rsidRPr="000D6AEA">
        <w:rPr>
          <w:rFonts w:ascii="Palatino Linotype" w:hAnsi="Palatino Linotype" w:cs="Arial"/>
          <w:sz w:val="24"/>
          <w:szCs w:val="24"/>
        </w:rPr>
        <w:t xml:space="preserve">En el expediente electrónico formado en el </w:t>
      </w:r>
      <w:r w:rsidR="008C33AA" w:rsidRPr="000D6AEA">
        <w:rPr>
          <w:rFonts w:ascii="Palatino Linotype" w:hAnsi="Palatino Linotype" w:cs="Arial"/>
          <w:sz w:val="24"/>
          <w:szCs w:val="24"/>
        </w:rPr>
        <w:t>S</w:t>
      </w:r>
      <w:r w:rsidRPr="000D6AEA">
        <w:rPr>
          <w:rFonts w:ascii="Palatino Linotype" w:hAnsi="Palatino Linotype" w:cs="Arial"/>
          <w:sz w:val="24"/>
          <w:szCs w:val="24"/>
        </w:rPr>
        <w:t xml:space="preserve">istema </w:t>
      </w:r>
      <w:r w:rsidR="008C33AA" w:rsidRPr="000D6AEA">
        <w:rPr>
          <w:rFonts w:ascii="Palatino Linotype" w:hAnsi="Palatino Linotype" w:cs="Arial"/>
          <w:sz w:val="24"/>
          <w:szCs w:val="24"/>
        </w:rPr>
        <w:t>de Acceso a la información Mexiquense (</w:t>
      </w:r>
      <w:r w:rsidRPr="000D6AEA">
        <w:rPr>
          <w:rFonts w:ascii="Palatino Linotype" w:hAnsi="Palatino Linotype" w:cs="Arial"/>
          <w:b/>
          <w:sz w:val="24"/>
          <w:szCs w:val="24"/>
        </w:rPr>
        <w:t>SAIMEX</w:t>
      </w:r>
      <w:r w:rsidR="008C33AA" w:rsidRPr="000D6AEA">
        <w:rPr>
          <w:rFonts w:ascii="Palatino Linotype" w:hAnsi="Palatino Linotype" w:cs="Arial"/>
          <w:b/>
          <w:sz w:val="24"/>
          <w:szCs w:val="24"/>
        </w:rPr>
        <w:t>)</w:t>
      </w:r>
      <w:r w:rsidRPr="000D6AEA">
        <w:rPr>
          <w:rFonts w:ascii="Palatino Linotype" w:hAnsi="Palatino Linotype" w:cs="Arial"/>
          <w:sz w:val="24"/>
          <w:szCs w:val="24"/>
        </w:rPr>
        <w:t xml:space="preserve">, se aprecia </w:t>
      </w:r>
      <w:r w:rsidRPr="000D6AEA">
        <w:rPr>
          <w:rFonts w:ascii="Palatino Linotype" w:hAnsi="Palatino Linotype" w:cs="Arial"/>
          <w:b/>
          <w:sz w:val="24"/>
          <w:szCs w:val="24"/>
        </w:rPr>
        <w:t>El Sujeto Obligado</w:t>
      </w:r>
      <w:r w:rsidRPr="000D6AEA">
        <w:rPr>
          <w:rFonts w:ascii="Palatino Linotype" w:hAnsi="Palatino Linotype" w:cs="Arial"/>
          <w:sz w:val="24"/>
          <w:szCs w:val="24"/>
        </w:rPr>
        <w:t xml:space="preserve"> emitió su respuesta a la solicitud de información, en fecha </w:t>
      </w:r>
      <w:r w:rsidR="00BF3BA8" w:rsidRPr="000D6AEA">
        <w:rPr>
          <w:rFonts w:ascii="Palatino Linotype" w:hAnsi="Palatino Linotype" w:cs="Arial"/>
          <w:sz w:val="24"/>
          <w:szCs w:val="24"/>
        </w:rPr>
        <w:t>cinco de junio de dos mil veintiséis</w:t>
      </w:r>
      <w:r w:rsidRPr="000D6AEA">
        <w:rPr>
          <w:rFonts w:ascii="Palatino Linotype" w:hAnsi="Palatino Linotype" w:cs="Arial"/>
          <w:sz w:val="24"/>
          <w:szCs w:val="24"/>
        </w:rPr>
        <w:t>, en los términos siguientes:</w:t>
      </w:r>
    </w:p>
    <w:p w14:paraId="0B8D89F9" w14:textId="77777777" w:rsidR="006920EF" w:rsidRPr="000D6AEA" w:rsidRDefault="006920EF" w:rsidP="006920EF">
      <w:pPr>
        <w:spacing w:after="0" w:line="360" w:lineRule="auto"/>
        <w:jc w:val="both"/>
        <w:rPr>
          <w:rFonts w:ascii="Palatino Linotype" w:hAnsi="Palatino Linotype" w:cs="Arial"/>
          <w:sz w:val="24"/>
          <w:szCs w:val="24"/>
        </w:rPr>
      </w:pPr>
    </w:p>
    <w:p w14:paraId="3ED2251D" w14:textId="77777777" w:rsidR="00BF3BA8" w:rsidRPr="000D6AEA" w:rsidRDefault="008D6D96" w:rsidP="00BF3BA8">
      <w:pPr>
        <w:spacing w:after="0"/>
        <w:ind w:left="851" w:right="851"/>
        <w:jc w:val="right"/>
        <w:rPr>
          <w:rFonts w:ascii="Palatino Linotype" w:hAnsi="Palatino Linotype" w:cs="Arial"/>
          <w:i/>
        </w:rPr>
      </w:pPr>
      <w:r w:rsidRPr="000D6AEA">
        <w:rPr>
          <w:rFonts w:ascii="Palatino Linotype" w:hAnsi="Palatino Linotype" w:cs="Arial"/>
          <w:i/>
        </w:rPr>
        <w:t xml:space="preserve"> “</w:t>
      </w:r>
      <w:r w:rsidR="00BF3BA8" w:rsidRPr="000D6AEA">
        <w:rPr>
          <w:rFonts w:ascii="Palatino Linotype" w:hAnsi="Palatino Linotype" w:cs="Arial"/>
          <w:i/>
        </w:rPr>
        <w:t xml:space="preserve">Folio de la solicitud: </w:t>
      </w:r>
      <w:r w:rsidR="00BF3BA8" w:rsidRPr="000D6AEA">
        <w:rPr>
          <w:rFonts w:ascii="Palatino Linotype" w:hAnsi="Palatino Linotype" w:cs="Arial"/>
          <w:b/>
          <w:bCs/>
          <w:i/>
          <w:u w:val="single"/>
        </w:rPr>
        <w:t>00011/DIFJUCHITEPEC/IP/2026</w:t>
      </w:r>
    </w:p>
    <w:p w14:paraId="18F94097" w14:textId="77777777" w:rsidR="00BF3BA8" w:rsidRPr="000D6AEA" w:rsidRDefault="00BF3BA8" w:rsidP="00BF3BA8">
      <w:pPr>
        <w:spacing w:after="0"/>
        <w:ind w:left="851" w:right="851"/>
        <w:jc w:val="both"/>
        <w:rPr>
          <w:rFonts w:ascii="Palatino Linotype" w:hAnsi="Palatino Linotype" w:cs="Arial"/>
          <w:i/>
        </w:rPr>
      </w:pPr>
    </w:p>
    <w:p w14:paraId="1EE68F12" w14:textId="29AE261F" w:rsidR="00BF3BA8" w:rsidRPr="000D6AEA" w:rsidRDefault="00BF3BA8" w:rsidP="00BF3BA8">
      <w:pPr>
        <w:spacing w:after="0"/>
        <w:ind w:left="851" w:right="851"/>
        <w:jc w:val="both"/>
        <w:rPr>
          <w:rFonts w:ascii="Palatino Linotype" w:hAnsi="Palatino Linotype" w:cs="Arial"/>
          <w:i/>
        </w:rPr>
      </w:pPr>
      <w:r w:rsidRPr="000D6AEA">
        <w:rPr>
          <w:rFonts w:ascii="Palatino Linotype" w:hAnsi="Palatino Linotype" w:cs="Arial"/>
          <w:i/>
        </w:rPr>
        <w:t>En respuesta a la solicitud recibida, nos permitimos hacer de su conocimiento que con fundamento en el artículo 53, Fracciones: II, V y VI de la Ley de Transparencia y Acceso a la Información Pública del Estado de México y Municipios, le contestamos que:</w:t>
      </w:r>
    </w:p>
    <w:p w14:paraId="3E175313" w14:textId="77777777" w:rsidR="00BF3BA8" w:rsidRPr="000D6AEA" w:rsidRDefault="00BF3BA8" w:rsidP="00BF3BA8">
      <w:pPr>
        <w:spacing w:after="0"/>
        <w:ind w:left="851" w:right="851"/>
        <w:jc w:val="both"/>
        <w:rPr>
          <w:rFonts w:ascii="Palatino Linotype" w:hAnsi="Palatino Linotype" w:cs="Arial"/>
          <w:i/>
        </w:rPr>
      </w:pPr>
    </w:p>
    <w:p w14:paraId="0E0B6E99" w14:textId="77777777" w:rsidR="00BF3BA8" w:rsidRPr="000D6AEA" w:rsidRDefault="00BF3BA8" w:rsidP="00BF3BA8">
      <w:pPr>
        <w:spacing w:after="0"/>
        <w:ind w:left="851" w:right="851"/>
        <w:jc w:val="both"/>
        <w:rPr>
          <w:rFonts w:ascii="Palatino Linotype" w:hAnsi="Palatino Linotype" w:cs="Arial"/>
          <w:i/>
        </w:rPr>
      </w:pPr>
      <w:r w:rsidRPr="000D6AEA">
        <w:rPr>
          <w:rFonts w:ascii="Palatino Linotype" w:hAnsi="Palatino Linotype" w:cs="Arial"/>
          <w:i/>
        </w:rPr>
        <w:t xml:space="preserve">A QUIEN CORRESPONDA: Estimado solicitante en atención a su solicitud con número de folio 00011/DIFJUCHITEPEC/IP/2026 que a la letra dice: “Solicito la </w:t>
      </w:r>
      <w:r w:rsidRPr="000D6AEA">
        <w:rPr>
          <w:rFonts w:ascii="Palatino Linotype" w:hAnsi="Palatino Linotype" w:cs="Arial"/>
          <w:i/>
        </w:rPr>
        <w:lastRenderedPageBreak/>
        <w:t xml:space="preserve">nómina de la segunda quincena de abril 2026 del DIF Municipal de </w:t>
      </w:r>
      <w:proofErr w:type="spellStart"/>
      <w:r w:rsidRPr="000D6AEA">
        <w:rPr>
          <w:rFonts w:ascii="Palatino Linotype" w:hAnsi="Palatino Linotype" w:cs="Arial"/>
          <w:i/>
        </w:rPr>
        <w:t>Juchitepec</w:t>
      </w:r>
      <w:proofErr w:type="spellEnd"/>
      <w:r w:rsidRPr="000D6AEA">
        <w:rPr>
          <w:rFonts w:ascii="Palatino Linotype" w:hAnsi="Palatino Linotype" w:cs="Arial"/>
          <w:i/>
        </w:rPr>
        <w:t>.”… [</w:t>
      </w:r>
      <w:proofErr w:type="gramStart"/>
      <w:r w:rsidRPr="000D6AEA">
        <w:rPr>
          <w:rFonts w:ascii="Palatino Linotype" w:hAnsi="Palatino Linotype" w:cs="Arial"/>
          <w:i/>
        </w:rPr>
        <w:t>sic</w:t>
      </w:r>
      <w:proofErr w:type="gramEnd"/>
      <w:r w:rsidRPr="000D6AEA">
        <w:rPr>
          <w:rFonts w:ascii="Palatino Linotype" w:hAnsi="Palatino Linotype" w:cs="Arial"/>
          <w:i/>
        </w:rPr>
        <w:t xml:space="preserve">] Me permito Informar que el Sujeto Habilitado de la Tesorería del Sistema Municipal para el Desarrollo Integral de la Familia de </w:t>
      </w:r>
      <w:proofErr w:type="spellStart"/>
      <w:r w:rsidRPr="000D6AEA">
        <w:rPr>
          <w:rFonts w:ascii="Palatino Linotype" w:hAnsi="Palatino Linotype" w:cs="Arial"/>
          <w:i/>
        </w:rPr>
        <w:t>Juchitepec</w:t>
      </w:r>
      <w:proofErr w:type="spellEnd"/>
      <w:r w:rsidRPr="000D6AEA">
        <w:rPr>
          <w:rFonts w:ascii="Palatino Linotype" w:hAnsi="Palatino Linotype" w:cs="Arial"/>
          <w:i/>
        </w:rPr>
        <w:t xml:space="preserve"> dio respuesta mediante oficio JUC/SMDIF/TES/0073/2026 en fecha 04 de Junio de la presente anualidad. No omito mencionar que se adjunta a la plataforma en formato digital el acta de la </w:t>
      </w:r>
      <w:proofErr w:type="spellStart"/>
      <w:r w:rsidRPr="000D6AEA">
        <w:rPr>
          <w:rFonts w:ascii="Palatino Linotype" w:hAnsi="Palatino Linotype" w:cs="Arial"/>
          <w:i/>
        </w:rPr>
        <w:t>decima</w:t>
      </w:r>
      <w:proofErr w:type="spellEnd"/>
      <w:r w:rsidRPr="000D6AEA">
        <w:rPr>
          <w:rFonts w:ascii="Palatino Linotype" w:hAnsi="Palatino Linotype" w:cs="Arial"/>
          <w:i/>
        </w:rPr>
        <w:t xml:space="preserve"> cuarta sesión extraordinaria 2026 del comité de transparencia del Sistema Municipal para el Desarrollo Integral de la Familia de </w:t>
      </w:r>
      <w:proofErr w:type="spellStart"/>
      <w:r w:rsidRPr="000D6AEA">
        <w:rPr>
          <w:rFonts w:ascii="Palatino Linotype" w:hAnsi="Palatino Linotype" w:cs="Arial"/>
          <w:i/>
        </w:rPr>
        <w:t>Juchitepec</w:t>
      </w:r>
      <w:proofErr w:type="spellEnd"/>
      <w:r w:rsidRPr="000D6AEA">
        <w:rPr>
          <w:rFonts w:ascii="Palatino Linotype" w:hAnsi="Palatino Linotype" w:cs="Arial"/>
          <w:i/>
        </w:rPr>
        <w:t xml:space="preserve"> donde se aprueba la clasificación de la información como confidencial por ser información concerniente a datos personales. Sin otro particular me despido no sin antes reiterarle que en el Sistema Municipal para el Desarrollo Integral de la Familia de </w:t>
      </w:r>
      <w:proofErr w:type="spellStart"/>
      <w:r w:rsidRPr="000D6AEA">
        <w:rPr>
          <w:rFonts w:ascii="Palatino Linotype" w:hAnsi="Palatino Linotype" w:cs="Arial"/>
          <w:i/>
        </w:rPr>
        <w:t>Juchitepec</w:t>
      </w:r>
      <w:proofErr w:type="spellEnd"/>
      <w:r w:rsidRPr="000D6AEA">
        <w:rPr>
          <w:rFonts w:ascii="Palatino Linotype" w:hAnsi="Palatino Linotype" w:cs="Arial"/>
          <w:i/>
        </w:rPr>
        <w:t xml:space="preserve"> creemos firmemente que la transparencia construye mejores sociedades, y por esta razón le agradecemos por ser parte de este esfuerzo. Atentamente: LAGP. SANDRA YVETTE CUELLAR NAVARRO TITULAR HONORIFICO DE LA UNIDAD DE TRANSPARENCIA Y ACCESO A LA INFORMACIÓN PUBLICADEL SMDIF JUCHITEPEC.</w:t>
      </w:r>
    </w:p>
    <w:p w14:paraId="2AFF92C4" w14:textId="77777777" w:rsidR="00BF3BA8" w:rsidRPr="000D6AEA" w:rsidRDefault="00BF3BA8" w:rsidP="00BF3BA8">
      <w:pPr>
        <w:spacing w:after="0"/>
        <w:ind w:left="851" w:right="851"/>
        <w:jc w:val="both"/>
        <w:rPr>
          <w:rFonts w:ascii="Palatino Linotype" w:hAnsi="Palatino Linotype" w:cs="Arial"/>
          <w:i/>
        </w:rPr>
      </w:pPr>
    </w:p>
    <w:p w14:paraId="37226462" w14:textId="1FDAE13D" w:rsidR="008D6D96" w:rsidRPr="000D6AEA" w:rsidRDefault="00BF3BA8" w:rsidP="00BF3BA8">
      <w:pPr>
        <w:spacing w:after="0"/>
        <w:ind w:left="851" w:right="851"/>
        <w:jc w:val="both"/>
        <w:rPr>
          <w:rFonts w:ascii="Palatino Linotype" w:hAnsi="Palatino Linotype" w:cs="Arial"/>
          <w:i/>
        </w:rPr>
      </w:pPr>
      <w:r w:rsidRPr="000D6AEA">
        <w:rPr>
          <w:rFonts w:ascii="Palatino Linotype" w:hAnsi="Palatino Linotype" w:cs="Arial"/>
          <w:i/>
        </w:rPr>
        <w:t>ATENTAMENTE</w:t>
      </w:r>
      <w:r w:rsidR="008D6D96" w:rsidRPr="000D6AEA">
        <w:rPr>
          <w:rFonts w:ascii="Palatino Linotype" w:hAnsi="Palatino Linotype" w:cs="Arial"/>
          <w:i/>
        </w:rPr>
        <w:t>”</w:t>
      </w:r>
    </w:p>
    <w:p w14:paraId="3D71D1C1" w14:textId="77777777" w:rsidR="008D6D96" w:rsidRPr="000D6AEA" w:rsidRDefault="008D6D96" w:rsidP="006920EF">
      <w:pPr>
        <w:spacing w:after="0"/>
        <w:ind w:left="851" w:right="851"/>
        <w:jc w:val="both"/>
        <w:rPr>
          <w:rFonts w:ascii="Palatino Linotype" w:hAnsi="Palatino Linotype" w:cs="Arial"/>
          <w:i/>
        </w:rPr>
      </w:pPr>
    </w:p>
    <w:p w14:paraId="30630136" w14:textId="11F116FD" w:rsidR="00F46230" w:rsidRPr="000D6AEA" w:rsidRDefault="009E16FA" w:rsidP="006920EF">
      <w:pPr>
        <w:spacing w:after="0" w:line="360" w:lineRule="auto"/>
        <w:jc w:val="both"/>
        <w:rPr>
          <w:rFonts w:ascii="Palatino Linotype" w:hAnsi="Palatino Linotype"/>
          <w:color w:val="000000"/>
          <w:sz w:val="24"/>
          <w:szCs w:val="24"/>
        </w:rPr>
      </w:pPr>
      <w:r w:rsidRPr="000D6AEA">
        <w:rPr>
          <w:rFonts w:ascii="Palatino Linotype" w:hAnsi="Palatino Linotype"/>
          <w:color w:val="000000"/>
          <w:sz w:val="24"/>
          <w:szCs w:val="24"/>
        </w:rPr>
        <w:t>P</w:t>
      </w:r>
      <w:r w:rsidR="008D6D96" w:rsidRPr="000D6AEA">
        <w:rPr>
          <w:rFonts w:ascii="Palatino Linotype" w:hAnsi="Palatino Linotype"/>
          <w:color w:val="000000"/>
          <w:sz w:val="24"/>
          <w:szCs w:val="24"/>
        </w:rPr>
        <w:t>ara tal efecto</w:t>
      </w:r>
      <w:r w:rsidRPr="000D6AEA">
        <w:rPr>
          <w:rFonts w:ascii="Palatino Linotype" w:hAnsi="Palatino Linotype"/>
          <w:color w:val="000000"/>
          <w:sz w:val="24"/>
          <w:szCs w:val="24"/>
        </w:rPr>
        <w:t xml:space="preserve">, el </w:t>
      </w:r>
      <w:r w:rsidRPr="000D6AEA">
        <w:rPr>
          <w:rFonts w:ascii="Palatino Linotype" w:hAnsi="Palatino Linotype"/>
          <w:b/>
          <w:bCs/>
          <w:color w:val="000000"/>
          <w:sz w:val="24"/>
          <w:szCs w:val="24"/>
        </w:rPr>
        <w:t xml:space="preserve">Sujeto </w:t>
      </w:r>
      <w:r w:rsidR="00625C2B" w:rsidRPr="000D6AEA">
        <w:rPr>
          <w:rFonts w:ascii="Palatino Linotype" w:hAnsi="Palatino Linotype"/>
          <w:b/>
          <w:bCs/>
          <w:color w:val="000000"/>
          <w:sz w:val="24"/>
          <w:szCs w:val="24"/>
        </w:rPr>
        <w:t>O</w:t>
      </w:r>
      <w:r w:rsidRPr="000D6AEA">
        <w:rPr>
          <w:rFonts w:ascii="Palatino Linotype" w:hAnsi="Palatino Linotype"/>
          <w:b/>
          <w:bCs/>
          <w:color w:val="000000"/>
          <w:sz w:val="24"/>
          <w:szCs w:val="24"/>
        </w:rPr>
        <w:t>bligado</w:t>
      </w:r>
      <w:r w:rsidRPr="000D6AEA">
        <w:rPr>
          <w:rFonts w:ascii="Palatino Linotype" w:hAnsi="Palatino Linotype"/>
          <w:color w:val="000000"/>
          <w:sz w:val="24"/>
          <w:szCs w:val="24"/>
        </w:rPr>
        <w:t xml:space="preserve"> adjuntó</w:t>
      </w:r>
      <w:r w:rsidR="008D6D96" w:rsidRPr="000D6AEA">
        <w:rPr>
          <w:rFonts w:ascii="Palatino Linotype" w:hAnsi="Palatino Linotype"/>
          <w:color w:val="000000"/>
          <w:sz w:val="24"/>
          <w:szCs w:val="24"/>
        </w:rPr>
        <w:t xml:space="preserve"> </w:t>
      </w:r>
      <w:r w:rsidR="00BF3BA8" w:rsidRPr="000D6AEA">
        <w:rPr>
          <w:rFonts w:ascii="Palatino Linotype" w:hAnsi="Palatino Linotype"/>
          <w:color w:val="000000"/>
          <w:sz w:val="24"/>
          <w:szCs w:val="24"/>
        </w:rPr>
        <w:t>los</w:t>
      </w:r>
      <w:r w:rsidR="008D6D96" w:rsidRPr="000D6AEA">
        <w:rPr>
          <w:rFonts w:ascii="Palatino Linotype" w:hAnsi="Palatino Linotype"/>
          <w:color w:val="000000"/>
          <w:sz w:val="24"/>
          <w:szCs w:val="24"/>
        </w:rPr>
        <w:t xml:space="preserve"> archivo</w:t>
      </w:r>
      <w:r w:rsidR="00BF3BA8" w:rsidRPr="000D6AEA">
        <w:rPr>
          <w:rFonts w:ascii="Palatino Linotype" w:hAnsi="Palatino Linotype"/>
          <w:color w:val="000000"/>
          <w:sz w:val="24"/>
          <w:szCs w:val="24"/>
        </w:rPr>
        <w:t>s</w:t>
      </w:r>
      <w:r w:rsidR="008D6D96" w:rsidRPr="000D6AEA">
        <w:rPr>
          <w:rFonts w:ascii="Palatino Linotype" w:hAnsi="Palatino Linotype"/>
          <w:color w:val="000000"/>
          <w:sz w:val="24"/>
          <w:szCs w:val="24"/>
        </w:rPr>
        <w:t xml:space="preserve"> electrónico</w:t>
      </w:r>
      <w:r w:rsidR="00BF3BA8" w:rsidRPr="000D6AEA">
        <w:rPr>
          <w:rFonts w:ascii="Palatino Linotype" w:hAnsi="Palatino Linotype"/>
          <w:color w:val="000000"/>
          <w:sz w:val="24"/>
          <w:szCs w:val="24"/>
        </w:rPr>
        <w:t>s</w:t>
      </w:r>
      <w:r w:rsidR="001B0A88" w:rsidRPr="000D6AEA">
        <w:rPr>
          <w:rFonts w:ascii="Palatino Linotype" w:hAnsi="Palatino Linotype"/>
          <w:color w:val="000000"/>
          <w:sz w:val="24"/>
          <w:szCs w:val="24"/>
        </w:rPr>
        <w:t xml:space="preserve"> denominado</w:t>
      </w:r>
      <w:r w:rsidR="00BF3BA8" w:rsidRPr="000D6AEA">
        <w:rPr>
          <w:rFonts w:ascii="Palatino Linotype" w:hAnsi="Palatino Linotype"/>
          <w:color w:val="000000"/>
          <w:sz w:val="24"/>
          <w:szCs w:val="24"/>
        </w:rPr>
        <w:t>s</w:t>
      </w:r>
      <w:r w:rsidR="008D6D96" w:rsidRPr="000D6AEA">
        <w:rPr>
          <w:rFonts w:ascii="Palatino Linotype" w:hAnsi="Palatino Linotype"/>
          <w:color w:val="000000"/>
          <w:sz w:val="24"/>
          <w:szCs w:val="24"/>
        </w:rPr>
        <w:t xml:space="preserve"> “</w:t>
      </w:r>
      <w:r w:rsidR="00BF3BA8" w:rsidRPr="000D6AEA">
        <w:rPr>
          <w:rFonts w:ascii="Palatino Linotype" w:hAnsi="Palatino Linotype"/>
          <w:b/>
          <w:color w:val="000000"/>
          <w:sz w:val="23"/>
          <w:szCs w:val="23"/>
        </w:rPr>
        <w:t>FOLIO 00011.pdf</w:t>
      </w:r>
      <w:r w:rsidR="00786AD5" w:rsidRPr="000D6AEA">
        <w:rPr>
          <w:rFonts w:ascii="Palatino Linotype" w:hAnsi="Palatino Linotype"/>
          <w:color w:val="000000"/>
          <w:sz w:val="24"/>
          <w:szCs w:val="24"/>
        </w:rPr>
        <w:t>”</w:t>
      </w:r>
      <w:r w:rsidR="00BF3BA8" w:rsidRPr="000D6AEA">
        <w:rPr>
          <w:rFonts w:ascii="Palatino Linotype" w:hAnsi="Palatino Linotype"/>
          <w:color w:val="000000"/>
          <w:sz w:val="24"/>
          <w:szCs w:val="24"/>
        </w:rPr>
        <w:t xml:space="preserve"> y “</w:t>
      </w:r>
      <w:r w:rsidR="00BF3BA8" w:rsidRPr="000D6AEA">
        <w:rPr>
          <w:rFonts w:ascii="Palatino Linotype" w:hAnsi="Palatino Linotype"/>
          <w:b/>
          <w:bCs/>
          <w:color w:val="000000"/>
          <w:sz w:val="24"/>
          <w:szCs w:val="24"/>
        </w:rPr>
        <w:t>DECIMA CUARTA SESIÓN EXTRAORDINARIA COMITE TRANSPARENCIA SDMIF JUCHITEPEC.pdf</w:t>
      </w:r>
      <w:r w:rsidR="00BF3BA8" w:rsidRPr="000D6AEA">
        <w:rPr>
          <w:rFonts w:ascii="Palatino Linotype" w:hAnsi="Palatino Linotype"/>
          <w:color w:val="000000"/>
          <w:sz w:val="24"/>
          <w:szCs w:val="24"/>
        </w:rPr>
        <w:t>”</w:t>
      </w:r>
      <w:r w:rsidR="008D6D96" w:rsidRPr="000D6AEA">
        <w:rPr>
          <w:rFonts w:ascii="Palatino Linotype" w:hAnsi="Palatino Linotype"/>
          <w:color w:val="000000"/>
          <w:sz w:val="24"/>
          <w:szCs w:val="24"/>
        </w:rPr>
        <w:t xml:space="preserve">; </w:t>
      </w:r>
      <w:r w:rsidR="001B0A88" w:rsidRPr="000D6AEA">
        <w:rPr>
          <w:rFonts w:ascii="Palatino Linotype" w:hAnsi="Palatino Linotype"/>
          <w:color w:val="000000"/>
          <w:sz w:val="24"/>
          <w:szCs w:val="24"/>
        </w:rPr>
        <w:t>mismo</w:t>
      </w:r>
      <w:r w:rsidR="00BF3BA8" w:rsidRPr="000D6AEA">
        <w:rPr>
          <w:rFonts w:ascii="Palatino Linotype" w:hAnsi="Palatino Linotype"/>
          <w:color w:val="000000"/>
          <w:sz w:val="24"/>
          <w:szCs w:val="24"/>
        </w:rPr>
        <w:t>s</w:t>
      </w:r>
      <w:r w:rsidR="001B0A88" w:rsidRPr="000D6AEA">
        <w:rPr>
          <w:rFonts w:ascii="Palatino Linotype" w:hAnsi="Palatino Linotype"/>
          <w:color w:val="000000"/>
          <w:sz w:val="24"/>
          <w:szCs w:val="24"/>
        </w:rPr>
        <w:t xml:space="preserve"> que</w:t>
      </w:r>
      <w:r w:rsidR="008D6D96" w:rsidRPr="000D6AEA">
        <w:rPr>
          <w:rFonts w:ascii="Palatino Linotype" w:hAnsi="Palatino Linotype"/>
          <w:color w:val="000000"/>
          <w:sz w:val="24"/>
          <w:szCs w:val="24"/>
        </w:rPr>
        <w:t xml:space="preserve"> no se inserta</w:t>
      </w:r>
      <w:r w:rsidR="00BF3BA8" w:rsidRPr="000D6AEA">
        <w:rPr>
          <w:rFonts w:ascii="Palatino Linotype" w:hAnsi="Palatino Linotype"/>
          <w:color w:val="000000"/>
          <w:sz w:val="24"/>
          <w:szCs w:val="24"/>
        </w:rPr>
        <w:t>n</w:t>
      </w:r>
      <w:r w:rsidR="008D6D96" w:rsidRPr="000D6AEA">
        <w:rPr>
          <w:rFonts w:ascii="Palatino Linotype" w:hAnsi="Palatino Linotype"/>
          <w:color w:val="000000"/>
          <w:sz w:val="24"/>
          <w:szCs w:val="24"/>
        </w:rPr>
        <w:t xml:space="preserve"> en el presente apartado por ser del conocimiento de las partes</w:t>
      </w:r>
      <w:r w:rsidR="00364D21" w:rsidRPr="000D6AEA">
        <w:rPr>
          <w:rFonts w:ascii="Palatino Linotype" w:hAnsi="Palatino Linotype"/>
          <w:color w:val="000000"/>
          <w:sz w:val="24"/>
          <w:szCs w:val="24"/>
        </w:rPr>
        <w:t>;</w:t>
      </w:r>
      <w:r w:rsidR="008D6D96" w:rsidRPr="000D6AEA">
        <w:rPr>
          <w:rFonts w:ascii="Palatino Linotype" w:hAnsi="Palatino Linotype"/>
          <w:color w:val="000000"/>
          <w:sz w:val="24"/>
          <w:szCs w:val="24"/>
        </w:rPr>
        <w:t xml:space="preserve"> sin </w:t>
      </w:r>
      <w:r w:rsidR="00BE3B14" w:rsidRPr="000D6AEA">
        <w:rPr>
          <w:rFonts w:ascii="Palatino Linotype" w:hAnsi="Palatino Linotype"/>
          <w:color w:val="000000"/>
          <w:sz w:val="24"/>
          <w:szCs w:val="24"/>
        </w:rPr>
        <w:t>embargo,</w:t>
      </w:r>
      <w:r w:rsidR="008D6D96" w:rsidRPr="000D6AEA">
        <w:rPr>
          <w:rFonts w:ascii="Palatino Linotype" w:hAnsi="Palatino Linotype"/>
          <w:color w:val="000000"/>
          <w:sz w:val="24"/>
          <w:szCs w:val="24"/>
        </w:rPr>
        <w:t xml:space="preserve"> habrá de hacerse el análisis y estudio correspondiente en párrafos posteriores.</w:t>
      </w:r>
    </w:p>
    <w:p w14:paraId="60F7D7C4" w14:textId="77777777" w:rsidR="00614CBD" w:rsidRPr="000D6AEA" w:rsidRDefault="00614CBD" w:rsidP="006920EF">
      <w:pPr>
        <w:spacing w:after="0" w:line="360" w:lineRule="auto"/>
        <w:jc w:val="both"/>
        <w:rPr>
          <w:rFonts w:ascii="Palatino Linotype" w:hAnsi="Palatino Linotype"/>
          <w:color w:val="000000"/>
          <w:sz w:val="24"/>
          <w:szCs w:val="24"/>
        </w:rPr>
      </w:pPr>
    </w:p>
    <w:p w14:paraId="2B85071E" w14:textId="0A2CC04E" w:rsidR="00D34057" w:rsidRPr="000D6AEA" w:rsidRDefault="00BF3BA8" w:rsidP="006920EF">
      <w:pPr>
        <w:spacing w:after="0" w:line="360" w:lineRule="auto"/>
        <w:jc w:val="both"/>
        <w:rPr>
          <w:rFonts w:ascii="Palatino Linotype" w:hAnsi="Palatino Linotype" w:cs="Arial"/>
          <w:b/>
          <w:sz w:val="28"/>
        </w:rPr>
      </w:pPr>
      <w:r w:rsidRPr="000D6AEA">
        <w:rPr>
          <w:rFonts w:ascii="Palatino Linotype" w:hAnsi="Palatino Linotype" w:cs="Arial"/>
          <w:b/>
          <w:sz w:val="28"/>
        </w:rPr>
        <w:t>CUARTO</w:t>
      </w:r>
      <w:r w:rsidR="00D34057" w:rsidRPr="000D6AEA">
        <w:rPr>
          <w:rFonts w:ascii="Palatino Linotype" w:hAnsi="Palatino Linotype" w:cs="Arial"/>
          <w:b/>
          <w:sz w:val="28"/>
        </w:rPr>
        <w:t xml:space="preserve">. </w:t>
      </w:r>
      <w:r w:rsidR="00D34057" w:rsidRPr="000D6AEA">
        <w:rPr>
          <w:rFonts w:ascii="Palatino Linotype" w:hAnsi="Palatino Linotype"/>
          <w:b/>
          <w:sz w:val="28"/>
        </w:rPr>
        <w:t>Del recurso de revisión.</w:t>
      </w:r>
    </w:p>
    <w:p w14:paraId="296EDA60" w14:textId="0554A925" w:rsidR="00BD28E3" w:rsidRPr="000D6AEA" w:rsidRDefault="00D34057" w:rsidP="006920EF">
      <w:pPr>
        <w:spacing w:after="0" w:line="360" w:lineRule="auto"/>
        <w:jc w:val="both"/>
        <w:rPr>
          <w:rFonts w:ascii="Palatino Linotype" w:hAnsi="Palatino Linotype" w:cs="Arial"/>
          <w:sz w:val="24"/>
          <w:szCs w:val="24"/>
        </w:rPr>
      </w:pPr>
      <w:r w:rsidRPr="000D6AEA">
        <w:rPr>
          <w:rFonts w:ascii="Palatino Linotype" w:hAnsi="Palatino Linotype" w:cs="Arial"/>
          <w:sz w:val="24"/>
          <w:szCs w:val="24"/>
        </w:rPr>
        <w:t xml:space="preserve">Inconforme con la respuesta del </w:t>
      </w:r>
      <w:r w:rsidR="003D002D" w:rsidRPr="000D6AEA">
        <w:rPr>
          <w:rFonts w:ascii="Palatino Linotype" w:hAnsi="Palatino Linotype" w:cs="Arial"/>
          <w:b/>
          <w:sz w:val="24"/>
          <w:szCs w:val="24"/>
        </w:rPr>
        <w:t>Sujeto Obligado</w:t>
      </w:r>
      <w:r w:rsidRPr="000D6AEA">
        <w:rPr>
          <w:rFonts w:ascii="Palatino Linotype" w:hAnsi="Palatino Linotype" w:cs="Arial"/>
          <w:sz w:val="24"/>
          <w:szCs w:val="24"/>
        </w:rPr>
        <w:t xml:space="preserve">, </w:t>
      </w:r>
      <w:r w:rsidR="00AF73E3" w:rsidRPr="000D6AEA">
        <w:rPr>
          <w:rFonts w:ascii="Palatino Linotype" w:hAnsi="Palatino Linotype" w:cs="Arial"/>
          <w:b/>
          <w:sz w:val="24"/>
          <w:szCs w:val="24"/>
        </w:rPr>
        <w:t>el</w:t>
      </w:r>
      <w:r w:rsidRPr="000D6AEA">
        <w:rPr>
          <w:rFonts w:ascii="Palatino Linotype" w:hAnsi="Palatino Linotype" w:cs="Arial"/>
          <w:b/>
          <w:sz w:val="24"/>
          <w:szCs w:val="24"/>
        </w:rPr>
        <w:t xml:space="preserve"> Recurrente </w:t>
      </w:r>
      <w:r w:rsidRPr="000D6AEA">
        <w:rPr>
          <w:rFonts w:ascii="Palatino Linotype" w:hAnsi="Palatino Linotype" w:cs="Arial"/>
          <w:sz w:val="24"/>
          <w:szCs w:val="24"/>
        </w:rPr>
        <w:t xml:space="preserve">interpuso el recurso de revisión, en fecha </w:t>
      </w:r>
      <w:r w:rsidR="00BF3BA8" w:rsidRPr="000D6AEA">
        <w:rPr>
          <w:rFonts w:ascii="Palatino Linotype" w:hAnsi="Palatino Linotype" w:cs="Arial"/>
          <w:sz w:val="24"/>
          <w:szCs w:val="24"/>
        </w:rPr>
        <w:t>dieciséis de junio de dos mil veintiséis</w:t>
      </w:r>
      <w:r w:rsidRPr="000D6AEA">
        <w:rPr>
          <w:rFonts w:ascii="Palatino Linotype" w:hAnsi="Palatino Linotype" w:cs="Arial"/>
          <w:sz w:val="24"/>
          <w:szCs w:val="24"/>
        </w:rPr>
        <w:t xml:space="preserve">, </w:t>
      </w:r>
      <w:r w:rsidR="001B0A88" w:rsidRPr="000D6AEA">
        <w:rPr>
          <w:rFonts w:ascii="Palatino Linotype" w:hAnsi="Palatino Linotype" w:cs="Arial"/>
          <w:sz w:val="24"/>
          <w:szCs w:val="24"/>
        </w:rPr>
        <w:t>quedando</w:t>
      </w:r>
      <w:r w:rsidRPr="000D6AEA">
        <w:rPr>
          <w:rFonts w:ascii="Palatino Linotype" w:hAnsi="Palatino Linotype" w:cs="Arial"/>
          <w:sz w:val="24"/>
          <w:szCs w:val="24"/>
        </w:rPr>
        <w:t xml:space="preserve"> registrado</w:t>
      </w:r>
      <w:r w:rsidRPr="000D6AEA">
        <w:rPr>
          <w:rFonts w:ascii="Palatino Linotype" w:hAnsi="Palatino Linotype" w:cs="Arial"/>
          <w:b/>
          <w:sz w:val="24"/>
          <w:szCs w:val="24"/>
        </w:rPr>
        <w:t xml:space="preserve"> </w:t>
      </w:r>
      <w:r w:rsidRPr="000D6AEA">
        <w:rPr>
          <w:rFonts w:ascii="Palatino Linotype" w:hAnsi="Palatino Linotype" w:cs="Arial"/>
          <w:sz w:val="24"/>
          <w:szCs w:val="24"/>
        </w:rPr>
        <w:t>en el sistema electrónico con el expediente número</w:t>
      </w:r>
      <w:r w:rsidR="00706E31" w:rsidRPr="000D6AEA">
        <w:rPr>
          <w:rFonts w:ascii="Palatino Linotype" w:hAnsi="Palatino Linotype" w:cs="Arial"/>
          <w:b/>
          <w:bCs/>
          <w:sz w:val="24"/>
          <w:szCs w:val="24"/>
          <w:lang w:eastAsia="es-MX"/>
        </w:rPr>
        <w:t xml:space="preserve"> </w:t>
      </w:r>
      <w:r w:rsidR="00BF3BA8" w:rsidRPr="000D6AEA">
        <w:rPr>
          <w:rFonts w:ascii="Palatino Linotype" w:hAnsi="Palatino Linotype" w:cs="Arial"/>
          <w:b/>
          <w:bCs/>
          <w:sz w:val="24"/>
          <w:szCs w:val="24"/>
          <w:lang w:eastAsia="es-MX"/>
        </w:rPr>
        <w:t>06385/INFOEM/IP/RR/2026</w:t>
      </w:r>
      <w:r w:rsidRPr="000D6AEA">
        <w:rPr>
          <w:rFonts w:ascii="Palatino Linotype" w:hAnsi="Palatino Linotype" w:cs="Arial"/>
          <w:sz w:val="24"/>
          <w:szCs w:val="24"/>
        </w:rPr>
        <w:t>, en el cual arguye, las siguientes manifestaciones:</w:t>
      </w:r>
    </w:p>
    <w:p w14:paraId="1CBC4B80" w14:textId="77777777" w:rsidR="003708E1" w:rsidRPr="000D6AEA" w:rsidRDefault="003708E1" w:rsidP="006920EF">
      <w:pPr>
        <w:pStyle w:val="Sinespaciado"/>
      </w:pPr>
    </w:p>
    <w:p w14:paraId="7EA930EF" w14:textId="77777777" w:rsidR="00BD28E3" w:rsidRPr="000D6AEA" w:rsidRDefault="00D34057" w:rsidP="006920EF">
      <w:pPr>
        <w:pStyle w:val="Prrafodelista"/>
        <w:numPr>
          <w:ilvl w:val="0"/>
          <w:numId w:val="3"/>
        </w:numPr>
        <w:spacing w:line="360" w:lineRule="auto"/>
        <w:jc w:val="both"/>
        <w:rPr>
          <w:rFonts w:ascii="Palatino Linotype" w:hAnsi="Palatino Linotype" w:cs="Arial"/>
          <w:b/>
        </w:rPr>
      </w:pPr>
      <w:r w:rsidRPr="000D6AEA">
        <w:rPr>
          <w:rFonts w:ascii="Palatino Linotype" w:hAnsi="Palatino Linotype" w:cs="Arial"/>
          <w:b/>
        </w:rPr>
        <w:lastRenderedPageBreak/>
        <w:t>Acto Impugnado:</w:t>
      </w:r>
    </w:p>
    <w:p w14:paraId="3BC72CF2" w14:textId="67CF5BE5" w:rsidR="00D34057" w:rsidRPr="000D6AEA" w:rsidRDefault="00BB0BEB" w:rsidP="006920EF">
      <w:pPr>
        <w:spacing w:after="0"/>
        <w:ind w:left="851" w:right="850"/>
        <w:jc w:val="both"/>
        <w:rPr>
          <w:rFonts w:ascii="Palatino Linotype" w:hAnsi="Palatino Linotype" w:cs="Arial"/>
          <w:i/>
        </w:rPr>
      </w:pPr>
      <w:r w:rsidRPr="000D6AEA">
        <w:rPr>
          <w:rFonts w:ascii="Palatino Linotype" w:hAnsi="Palatino Linotype" w:cs="Arial"/>
          <w:i/>
        </w:rPr>
        <w:t>“</w:t>
      </w:r>
      <w:r w:rsidR="00BF3BA8" w:rsidRPr="000D6AEA">
        <w:rPr>
          <w:rFonts w:ascii="Palatino Linotype" w:hAnsi="Palatino Linotype" w:cs="Arial"/>
          <w:i/>
        </w:rPr>
        <w:t>Me están negando la información</w:t>
      </w:r>
      <w:r w:rsidR="00D34057" w:rsidRPr="000D6AEA">
        <w:rPr>
          <w:rFonts w:ascii="Palatino Linotype" w:hAnsi="Palatino Linotype" w:cs="Arial"/>
          <w:i/>
        </w:rPr>
        <w:t>”</w:t>
      </w:r>
      <w:r w:rsidR="00CF70A0" w:rsidRPr="000D6AEA">
        <w:rPr>
          <w:rFonts w:ascii="Palatino Linotype" w:hAnsi="Palatino Linotype" w:cs="Arial"/>
          <w:i/>
        </w:rPr>
        <w:t xml:space="preserve"> </w:t>
      </w:r>
      <w:r w:rsidR="00D34057" w:rsidRPr="000D6AEA">
        <w:rPr>
          <w:rFonts w:ascii="Palatino Linotype" w:hAnsi="Palatino Linotype" w:cs="Arial"/>
          <w:i/>
        </w:rPr>
        <w:t>[sic]</w:t>
      </w:r>
    </w:p>
    <w:p w14:paraId="62411D54" w14:textId="77777777" w:rsidR="006920EF" w:rsidRPr="000D6AEA" w:rsidRDefault="006920EF" w:rsidP="006920EF">
      <w:pPr>
        <w:spacing w:after="0"/>
        <w:ind w:left="851" w:right="850"/>
        <w:jc w:val="both"/>
        <w:rPr>
          <w:rFonts w:ascii="Palatino Linotype" w:hAnsi="Palatino Linotype" w:cs="Arial"/>
          <w:i/>
        </w:rPr>
      </w:pPr>
    </w:p>
    <w:p w14:paraId="63141DF2" w14:textId="77777777" w:rsidR="00BD28E3" w:rsidRPr="000D6AEA" w:rsidRDefault="00BD28E3" w:rsidP="006920EF">
      <w:pPr>
        <w:pStyle w:val="Sinespaciado"/>
        <w:rPr>
          <w:sz w:val="2"/>
        </w:rPr>
      </w:pPr>
    </w:p>
    <w:p w14:paraId="15CDCB8C" w14:textId="77777777" w:rsidR="00D34057" w:rsidRPr="000D6AEA" w:rsidRDefault="00D34057" w:rsidP="006920EF">
      <w:pPr>
        <w:pStyle w:val="Prrafodelista"/>
        <w:numPr>
          <w:ilvl w:val="0"/>
          <w:numId w:val="3"/>
        </w:numPr>
        <w:spacing w:line="360" w:lineRule="auto"/>
        <w:jc w:val="both"/>
        <w:rPr>
          <w:rFonts w:ascii="Palatino Linotype" w:hAnsi="Palatino Linotype" w:cs="Arial"/>
        </w:rPr>
      </w:pPr>
      <w:r w:rsidRPr="000D6AEA">
        <w:rPr>
          <w:rFonts w:ascii="Palatino Linotype" w:hAnsi="Palatino Linotype" w:cs="Arial"/>
          <w:b/>
        </w:rPr>
        <w:t>Razones o Motivos de Inconformidad</w:t>
      </w:r>
      <w:r w:rsidRPr="000D6AEA">
        <w:rPr>
          <w:rFonts w:ascii="Palatino Linotype" w:hAnsi="Palatino Linotype" w:cs="Arial"/>
        </w:rPr>
        <w:t xml:space="preserve">: </w:t>
      </w:r>
    </w:p>
    <w:p w14:paraId="505D7334" w14:textId="1E67C4C7" w:rsidR="00E36016" w:rsidRPr="000D6AEA" w:rsidRDefault="00BB0BEB" w:rsidP="006920EF">
      <w:pPr>
        <w:spacing w:after="0"/>
        <w:ind w:left="851" w:right="850"/>
        <w:jc w:val="both"/>
        <w:rPr>
          <w:rFonts w:ascii="Palatino Linotype" w:hAnsi="Palatino Linotype" w:cs="Arial"/>
          <w:i/>
        </w:rPr>
      </w:pPr>
      <w:r w:rsidRPr="000D6AEA">
        <w:rPr>
          <w:rFonts w:ascii="Palatino Linotype" w:hAnsi="Palatino Linotype" w:cs="Arial"/>
          <w:i/>
        </w:rPr>
        <w:t>“</w:t>
      </w:r>
      <w:r w:rsidR="00BF3BA8" w:rsidRPr="000D6AEA">
        <w:rPr>
          <w:rFonts w:ascii="Palatino Linotype" w:hAnsi="Palatino Linotype" w:cs="Arial"/>
          <w:i/>
        </w:rPr>
        <w:t>Fundamentan su contestación con una clasificación de información como confidencial.</w:t>
      </w:r>
      <w:r w:rsidR="00D34057" w:rsidRPr="000D6AEA">
        <w:rPr>
          <w:rFonts w:ascii="Palatino Linotype" w:hAnsi="Palatino Linotype" w:cs="Arial"/>
          <w:i/>
        </w:rPr>
        <w:t>” [</w:t>
      </w:r>
      <w:proofErr w:type="gramStart"/>
      <w:r w:rsidR="00D34057" w:rsidRPr="000D6AEA">
        <w:rPr>
          <w:rFonts w:ascii="Palatino Linotype" w:hAnsi="Palatino Linotype" w:cs="Arial"/>
          <w:i/>
        </w:rPr>
        <w:t>sic</w:t>
      </w:r>
      <w:proofErr w:type="gramEnd"/>
      <w:r w:rsidR="00D34057" w:rsidRPr="000D6AEA">
        <w:rPr>
          <w:rFonts w:ascii="Palatino Linotype" w:hAnsi="Palatino Linotype" w:cs="Arial"/>
          <w:i/>
        </w:rPr>
        <w:t>]</w:t>
      </w:r>
    </w:p>
    <w:p w14:paraId="78750FB9" w14:textId="77777777" w:rsidR="003708E1" w:rsidRPr="000D6AEA" w:rsidRDefault="003708E1" w:rsidP="006920EF">
      <w:pPr>
        <w:spacing w:after="0" w:line="360" w:lineRule="auto"/>
        <w:ind w:right="851"/>
        <w:jc w:val="both"/>
        <w:rPr>
          <w:rFonts w:ascii="Palatino Linotype" w:hAnsi="Palatino Linotype"/>
          <w:color w:val="000000"/>
          <w:sz w:val="18"/>
        </w:rPr>
      </w:pPr>
    </w:p>
    <w:p w14:paraId="03676B23" w14:textId="6BC7B165" w:rsidR="00BF3BA8" w:rsidRPr="000D6AEA" w:rsidRDefault="00BF3BA8" w:rsidP="006920EF">
      <w:pPr>
        <w:spacing w:after="0" w:line="360" w:lineRule="auto"/>
        <w:ind w:right="851"/>
        <w:jc w:val="both"/>
        <w:rPr>
          <w:rFonts w:ascii="Palatino Linotype" w:hAnsi="Palatino Linotype"/>
          <w:color w:val="000000"/>
          <w:sz w:val="24"/>
          <w:szCs w:val="24"/>
        </w:rPr>
      </w:pPr>
      <w:r w:rsidRPr="000D6AEA">
        <w:rPr>
          <w:rFonts w:ascii="Palatino Linotype" w:hAnsi="Palatino Linotype"/>
          <w:color w:val="000000"/>
          <w:sz w:val="24"/>
          <w:szCs w:val="24"/>
        </w:rPr>
        <w:t>A su medio de impugnación, la parte Recurrente adjuntó el documento electrónico denominado “</w:t>
      </w:r>
      <w:r w:rsidRPr="000D6AEA">
        <w:rPr>
          <w:rFonts w:ascii="Palatino Linotype" w:hAnsi="Palatino Linotype"/>
          <w:b/>
          <w:bCs/>
          <w:i/>
          <w:iCs/>
          <w:color w:val="000000"/>
          <w:sz w:val="24"/>
          <w:szCs w:val="24"/>
        </w:rPr>
        <w:t>CONTESTACIÓN.docx</w:t>
      </w:r>
      <w:r w:rsidRPr="000D6AEA">
        <w:rPr>
          <w:rFonts w:ascii="Palatino Linotype" w:hAnsi="Palatino Linotype"/>
          <w:color w:val="000000"/>
          <w:sz w:val="24"/>
          <w:szCs w:val="24"/>
        </w:rPr>
        <w:t xml:space="preserve">”, mismo que se transcribe de forma íntegra a continuación: </w:t>
      </w:r>
    </w:p>
    <w:p w14:paraId="6F68959A" w14:textId="77777777" w:rsidR="00BF3BA8" w:rsidRPr="000D6AEA" w:rsidRDefault="00BF3BA8" w:rsidP="006920EF">
      <w:pPr>
        <w:spacing w:after="0" w:line="360" w:lineRule="auto"/>
        <w:ind w:right="851"/>
        <w:jc w:val="both"/>
        <w:rPr>
          <w:rFonts w:ascii="Palatino Linotype" w:hAnsi="Palatino Linotype"/>
          <w:color w:val="000000"/>
          <w:sz w:val="24"/>
          <w:szCs w:val="24"/>
        </w:rPr>
      </w:pPr>
    </w:p>
    <w:p w14:paraId="1D7524BD" w14:textId="77777777" w:rsidR="00BF3BA8" w:rsidRPr="000D6AEA" w:rsidRDefault="00BF3BA8" w:rsidP="00BF3BA8">
      <w:pPr>
        <w:spacing w:after="0" w:line="240" w:lineRule="auto"/>
        <w:ind w:left="851" w:right="851"/>
        <w:jc w:val="both"/>
        <w:rPr>
          <w:rFonts w:ascii="Palatino Linotype" w:hAnsi="Palatino Linotype"/>
          <w:i/>
          <w:iCs/>
          <w:color w:val="000000"/>
        </w:rPr>
      </w:pPr>
      <w:r w:rsidRPr="000D6AEA">
        <w:rPr>
          <w:rFonts w:ascii="Palatino Linotype" w:hAnsi="Palatino Linotype"/>
          <w:i/>
          <w:iCs/>
          <w:color w:val="000000"/>
        </w:rPr>
        <w:t>“De acuerdo a la Ley de Transparencia del Estado de México y Municipios en el artículo 92 fracción VIII donde menciona:</w:t>
      </w:r>
    </w:p>
    <w:p w14:paraId="320F2A9F" w14:textId="77777777" w:rsidR="00BF3BA8" w:rsidRPr="000D6AEA" w:rsidRDefault="00BF3BA8" w:rsidP="00BF3BA8">
      <w:pPr>
        <w:spacing w:after="0" w:line="240" w:lineRule="auto"/>
        <w:ind w:left="851" w:right="851"/>
        <w:jc w:val="both"/>
        <w:rPr>
          <w:rFonts w:ascii="Palatino Linotype" w:hAnsi="Palatino Linotype"/>
          <w:i/>
          <w:iCs/>
          <w:color w:val="000000"/>
        </w:rPr>
      </w:pPr>
      <w:r w:rsidRPr="000D6AEA">
        <w:rPr>
          <w:rFonts w:ascii="Palatino Linotype" w:hAnsi="Palatino Linotype"/>
          <w:i/>
          <w:iCs/>
          <w:color w:val="000000"/>
        </w:rPr>
        <w:t xml:space="preserve"> </w:t>
      </w:r>
    </w:p>
    <w:p w14:paraId="0AE2E5F0" w14:textId="77777777" w:rsidR="00BF3BA8" w:rsidRPr="000D6AEA" w:rsidRDefault="00BF3BA8" w:rsidP="00BF3BA8">
      <w:pPr>
        <w:spacing w:after="0" w:line="240" w:lineRule="auto"/>
        <w:ind w:left="851" w:right="851"/>
        <w:jc w:val="both"/>
        <w:rPr>
          <w:rFonts w:ascii="Palatino Linotype" w:hAnsi="Palatino Linotype"/>
          <w:i/>
          <w:iCs/>
          <w:color w:val="000000"/>
        </w:rPr>
      </w:pPr>
      <w:r w:rsidRPr="000D6AEA">
        <w:rPr>
          <w:rFonts w:ascii="Palatino Linotype" w:hAnsi="Palatino Linotype"/>
          <w:i/>
          <w:iCs/>
          <w:color w:val="000000"/>
        </w:rPr>
        <w:t xml:space="preserve">Artículo 92. Los sujetos obligados deberán poner a disposición del público de manera permanente y actualizada de forma sencilla, precisa y entendible, en los respectivos medios electrónicos, de acuerdo con sus facultades, atribuciones, funciones u objeto social, según corresponda, la información, por lo menos, de los temas, documentos y políticas que a continuación se señalan: </w:t>
      </w:r>
    </w:p>
    <w:p w14:paraId="3D9BE94D" w14:textId="77777777" w:rsidR="00BF3BA8" w:rsidRPr="000D6AEA" w:rsidRDefault="00BF3BA8" w:rsidP="00BF3BA8">
      <w:pPr>
        <w:spacing w:after="0" w:line="240" w:lineRule="auto"/>
        <w:ind w:left="851" w:right="851"/>
        <w:jc w:val="both"/>
        <w:rPr>
          <w:rFonts w:ascii="Palatino Linotype" w:hAnsi="Palatino Linotype"/>
          <w:i/>
          <w:iCs/>
          <w:color w:val="000000"/>
        </w:rPr>
      </w:pPr>
      <w:r w:rsidRPr="000D6AEA">
        <w:rPr>
          <w:rFonts w:ascii="Palatino Linotype" w:hAnsi="Palatino Linotype"/>
          <w:i/>
          <w:iCs/>
          <w:color w:val="000000"/>
        </w:rPr>
        <w:t>VIII. La remuneración bruta y neta de todos los servidores públicos de base o de confianza, de todas las percepciones, incluyendo sueldos, prestaciones, gratificaciones, primas, comisiones, dietas, bonos, estímulos, ingresos y sistemas de compensación, señalando la periodicidad de dicha remuneración;</w:t>
      </w:r>
    </w:p>
    <w:p w14:paraId="215202E5" w14:textId="77777777" w:rsidR="00BF3BA8" w:rsidRPr="000D6AEA" w:rsidRDefault="00BF3BA8" w:rsidP="00BF3BA8">
      <w:pPr>
        <w:spacing w:after="0" w:line="240" w:lineRule="auto"/>
        <w:ind w:left="851" w:right="851"/>
        <w:jc w:val="both"/>
        <w:rPr>
          <w:rFonts w:ascii="Palatino Linotype" w:hAnsi="Palatino Linotype"/>
          <w:i/>
          <w:iCs/>
          <w:color w:val="000000"/>
        </w:rPr>
      </w:pPr>
    </w:p>
    <w:p w14:paraId="6245CF73" w14:textId="77777777" w:rsidR="00BF3BA8" w:rsidRPr="000D6AEA" w:rsidRDefault="00BF3BA8" w:rsidP="00BF3BA8">
      <w:pPr>
        <w:spacing w:after="0" w:line="240" w:lineRule="auto"/>
        <w:ind w:left="851" w:right="851"/>
        <w:jc w:val="both"/>
        <w:rPr>
          <w:rFonts w:ascii="Palatino Linotype" w:hAnsi="Palatino Linotype"/>
          <w:i/>
          <w:iCs/>
          <w:color w:val="000000"/>
        </w:rPr>
      </w:pPr>
      <w:r w:rsidRPr="000D6AEA">
        <w:rPr>
          <w:rFonts w:ascii="Palatino Linotype" w:hAnsi="Palatino Linotype"/>
          <w:i/>
          <w:iCs/>
          <w:color w:val="000000"/>
        </w:rPr>
        <w:t xml:space="preserve">Motivo por el cual manifiesto que me están negando la información derivado que es de carácter público la nómina de los servidores públicos que laboran en el Sistema Municipal Para el Desarrollo Integral de la Familia de </w:t>
      </w:r>
      <w:proofErr w:type="spellStart"/>
      <w:r w:rsidRPr="000D6AEA">
        <w:rPr>
          <w:rFonts w:ascii="Palatino Linotype" w:hAnsi="Palatino Linotype"/>
          <w:i/>
          <w:iCs/>
          <w:color w:val="000000"/>
        </w:rPr>
        <w:t>Juchitepec</w:t>
      </w:r>
      <w:proofErr w:type="spellEnd"/>
      <w:r w:rsidRPr="000D6AEA">
        <w:rPr>
          <w:rFonts w:ascii="Palatino Linotype" w:hAnsi="Palatino Linotype"/>
          <w:i/>
          <w:iCs/>
          <w:color w:val="000000"/>
        </w:rPr>
        <w:t xml:space="preserve"> de la actual administración pública, donde sustentan su respuesta con una prórroga de la información y posteriormente con una clasificación como confidencial de la misma donde en su Acta de la décima Cuarta sesión extraordinaria 2026 en su inciso a y b que a la letra dice:</w:t>
      </w:r>
    </w:p>
    <w:p w14:paraId="2B345AD3" w14:textId="77777777" w:rsidR="00BF3BA8" w:rsidRPr="000D6AEA" w:rsidRDefault="00BF3BA8" w:rsidP="00BF3BA8">
      <w:pPr>
        <w:numPr>
          <w:ilvl w:val="0"/>
          <w:numId w:val="47"/>
        </w:numPr>
        <w:spacing w:after="0" w:line="240" w:lineRule="auto"/>
        <w:ind w:left="851" w:right="851"/>
        <w:jc w:val="both"/>
        <w:rPr>
          <w:rFonts w:ascii="Palatino Linotype" w:hAnsi="Palatino Linotype"/>
          <w:i/>
          <w:iCs/>
          <w:color w:val="000000"/>
        </w:rPr>
      </w:pPr>
      <w:r w:rsidRPr="000D6AEA">
        <w:rPr>
          <w:rFonts w:ascii="Palatino Linotype" w:hAnsi="Palatino Linotype"/>
          <w:i/>
          <w:iCs/>
          <w:color w:val="000000"/>
        </w:rPr>
        <w:t>Se trate de dos personas o información privada; esto es, información concerniente a una persona física o jurídica colectiva y que esta sea identificada o identificable.</w:t>
      </w:r>
    </w:p>
    <w:p w14:paraId="128D27A6" w14:textId="77777777" w:rsidR="00BF3BA8" w:rsidRPr="000D6AEA" w:rsidRDefault="00BF3BA8" w:rsidP="00BF3BA8">
      <w:pPr>
        <w:numPr>
          <w:ilvl w:val="0"/>
          <w:numId w:val="47"/>
        </w:numPr>
        <w:spacing w:after="0" w:line="240" w:lineRule="auto"/>
        <w:ind w:left="851" w:right="851"/>
        <w:jc w:val="both"/>
        <w:rPr>
          <w:rFonts w:ascii="Palatino Linotype" w:hAnsi="Palatino Linotype"/>
          <w:i/>
          <w:iCs/>
          <w:color w:val="000000"/>
        </w:rPr>
      </w:pPr>
      <w:r w:rsidRPr="000D6AEA">
        <w:rPr>
          <w:rFonts w:ascii="Palatino Linotype" w:hAnsi="Palatino Linotype"/>
          <w:i/>
          <w:iCs/>
          <w:color w:val="000000"/>
        </w:rPr>
        <w:t>Para la difusión de los datos, se requiera el consentimiento del titular. (SIC)</w:t>
      </w:r>
    </w:p>
    <w:p w14:paraId="4C36BA5C" w14:textId="77777777" w:rsidR="00BF3BA8" w:rsidRPr="000D6AEA" w:rsidRDefault="00BF3BA8" w:rsidP="00BF3BA8">
      <w:pPr>
        <w:spacing w:after="0" w:line="240" w:lineRule="auto"/>
        <w:ind w:left="851" w:right="851"/>
        <w:jc w:val="both"/>
        <w:rPr>
          <w:rFonts w:ascii="Palatino Linotype" w:hAnsi="Palatino Linotype"/>
          <w:i/>
          <w:iCs/>
          <w:color w:val="000000"/>
        </w:rPr>
      </w:pPr>
    </w:p>
    <w:p w14:paraId="6A9837F5" w14:textId="77777777" w:rsidR="00BF3BA8" w:rsidRPr="000D6AEA" w:rsidRDefault="00BF3BA8" w:rsidP="00BF3BA8">
      <w:pPr>
        <w:spacing w:after="0" w:line="240" w:lineRule="auto"/>
        <w:ind w:left="851" w:right="851"/>
        <w:jc w:val="both"/>
        <w:rPr>
          <w:rFonts w:ascii="Palatino Linotype" w:hAnsi="Palatino Linotype"/>
          <w:b/>
          <w:i/>
          <w:iCs/>
          <w:color w:val="000000"/>
        </w:rPr>
      </w:pPr>
      <w:r w:rsidRPr="000D6AEA">
        <w:rPr>
          <w:rFonts w:ascii="Palatino Linotype" w:hAnsi="Palatino Linotype"/>
          <w:i/>
          <w:iCs/>
          <w:color w:val="000000"/>
        </w:rPr>
        <w:t xml:space="preserve">Referente a la normativa que menciona de la “Ley de protección de datos personales en posición de sujetos obligados del Estado de México y Municipios en su artículo 4° fracciones XI y XII” de igual forma en lo referido en los artículos “6°, 7°, 8° y 14° de la Ley de Protección de Datos Personales en Posesión de Sujetos Obligados del Estado Mexicano y Municipios” </w:t>
      </w:r>
      <w:r w:rsidRPr="000D6AEA">
        <w:rPr>
          <w:rFonts w:ascii="Palatino Linotype" w:hAnsi="Palatino Linotype"/>
          <w:b/>
          <w:i/>
          <w:iCs/>
          <w:color w:val="000000"/>
        </w:rPr>
        <w:t xml:space="preserve">NO ENCUENTRO LA NORMATIVA ANTES CITADA, </w:t>
      </w:r>
      <w:r w:rsidRPr="000D6AEA">
        <w:rPr>
          <w:rFonts w:ascii="Palatino Linotype" w:hAnsi="Palatino Linotype"/>
          <w:i/>
          <w:iCs/>
          <w:color w:val="000000"/>
        </w:rPr>
        <w:t>por lo que carece de aplicabilidad</w:t>
      </w:r>
      <w:r w:rsidRPr="000D6AEA">
        <w:rPr>
          <w:rFonts w:ascii="Palatino Linotype" w:hAnsi="Palatino Linotype"/>
          <w:b/>
          <w:i/>
          <w:iCs/>
          <w:color w:val="000000"/>
        </w:rPr>
        <w:t>.</w:t>
      </w:r>
    </w:p>
    <w:p w14:paraId="6CA7985B" w14:textId="77777777" w:rsidR="00BF3BA8" w:rsidRPr="000D6AEA" w:rsidRDefault="00BF3BA8" w:rsidP="00BF3BA8">
      <w:pPr>
        <w:spacing w:after="0" w:line="240" w:lineRule="auto"/>
        <w:ind w:left="851" w:right="851"/>
        <w:jc w:val="both"/>
        <w:rPr>
          <w:rFonts w:ascii="Palatino Linotype" w:hAnsi="Palatino Linotype"/>
          <w:i/>
          <w:iCs/>
          <w:color w:val="000000"/>
        </w:rPr>
      </w:pPr>
      <w:r w:rsidRPr="000D6AEA">
        <w:rPr>
          <w:rFonts w:ascii="Palatino Linotype" w:hAnsi="Palatino Linotype"/>
          <w:i/>
          <w:iCs/>
          <w:color w:val="000000"/>
        </w:rPr>
        <w:t xml:space="preserve">Así mencionaran que se trata de un error humano, reitero mi postura </w:t>
      </w:r>
      <w:r w:rsidRPr="000D6AEA">
        <w:rPr>
          <w:rFonts w:ascii="Palatino Linotype" w:hAnsi="Palatino Linotype"/>
          <w:b/>
          <w:i/>
          <w:iCs/>
          <w:color w:val="000000"/>
        </w:rPr>
        <w:t xml:space="preserve">ME ESTAN NEGANDO LA INFORMACIÓN, </w:t>
      </w:r>
      <w:r w:rsidRPr="000D6AEA">
        <w:rPr>
          <w:rFonts w:ascii="Palatino Linotype" w:hAnsi="Palatino Linotype"/>
          <w:i/>
          <w:iCs/>
          <w:color w:val="000000"/>
        </w:rPr>
        <w:t>derivado a que en mi solicitud de información requiere lo siguiente:</w:t>
      </w:r>
    </w:p>
    <w:p w14:paraId="748CB98A" w14:textId="77777777" w:rsidR="00BF3BA8" w:rsidRPr="000D6AEA" w:rsidRDefault="00BF3BA8" w:rsidP="00BF3BA8">
      <w:pPr>
        <w:spacing w:after="0" w:line="240" w:lineRule="auto"/>
        <w:ind w:left="851" w:right="851"/>
        <w:jc w:val="both"/>
        <w:rPr>
          <w:rFonts w:ascii="Palatino Linotype" w:hAnsi="Palatino Linotype"/>
          <w:b/>
          <w:i/>
          <w:iCs/>
          <w:color w:val="000000"/>
        </w:rPr>
      </w:pPr>
      <w:r w:rsidRPr="000D6AEA">
        <w:rPr>
          <w:rFonts w:ascii="Palatino Linotype" w:hAnsi="Palatino Linotype"/>
          <w:i/>
          <w:iCs/>
          <w:color w:val="000000"/>
        </w:rPr>
        <w:t xml:space="preserve"> </w:t>
      </w:r>
      <w:r w:rsidRPr="000D6AEA">
        <w:rPr>
          <w:rFonts w:ascii="Palatino Linotype" w:hAnsi="Palatino Linotype"/>
          <w:i/>
          <w:iCs/>
          <w:color w:val="000000"/>
        </w:rPr>
        <w:tab/>
      </w:r>
      <w:r w:rsidRPr="000D6AEA">
        <w:rPr>
          <w:rFonts w:ascii="Palatino Linotype" w:hAnsi="Palatino Linotype"/>
          <w:b/>
          <w:i/>
          <w:iCs/>
          <w:color w:val="000000"/>
        </w:rPr>
        <w:t xml:space="preserve">“Solicito la nómina de la segunda quincena de abril 2026 del DIF Municipal de </w:t>
      </w:r>
      <w:proofErr w:type="spellStart"/>
      <w:r w:rsidRPr="000D6AEA">
        <w:rPr>
          <w:rFonts w:ascii="Palatino Linotype" w:hAnsi="Palatino Linotype"/>
          <w:b/>
          <w:i/>
          <w:iCs/>
          <w:color w:val="000000"/>
        </w:rPr>
        <w:t>Juchitepec</w:t>
      </w:r>
      <w:proofErr w:type="spellEnd"/>
      <w:r w:rsidRPr="000D6AEA">
        <w:rPr>
          <w:rFonts w:ascii="Palatino Linotype" w:hAnsi="Palatino Linotype"/>
          <w:b/>
          <w:i/>
          <w:iCs/>
          <w:color w:val="000000"/>
        </w:rPr>
        <w:t>” (SIC)</w:t>
      </w:r>
    </w:p>
    <w:p w14:paraId="55B6E548" w14:textId="77777777" w:rsidR="00BF3BA8" w:rsidRPr="000D6AEA" w:rsidRDefault="00BF3BA8" w:rsidP="00BF3BA8">
      <w:pPr>
        <w:spacing w:after="0" w:line="240" w:lineRule="auto"/>
        <w:ind w:left="851" w:right="851"/>
        <w:jc w:val="both"/>
        <w:rPr>
          <w:rFonts w:ascii="Palatino Linotype" w:hAnsi="Palatino Linotype"/>
          <w:i/>
          <w:iCs/>
          <w:color w:val="000000"/>
        </w:rPr>
      </w:pPr>
      <w:r w:rsidRPr="000D6AEA">
        <w:rPr>
          <w:rFonts w:ascii="Palatino Linotype" w:hAnsi="Palatino Linotype"/>
          <w:i/>
          <w:iCs/>
          <w:color w:val="000000"/>
        </w:rPr>
        <w:t xml:space="preserve"> Misma que es mencionada en su acta </w:t>
      </w:r>
      <w:r w:rsidRPr="000D6AEA">
        <w:rPr>
          <w:rFonts w:ascii="Palatino Linotype" w:hAnsi="Palatino Linotype"/>
          <w:b/>
          <w:i/>
          <w:iCs/>
          <w:color w:val="000000"/>
        </w:rPr>
        <w:t>DÉCIMA CUARTA SESIÓN EXTRAORDINARIA 2026</w:t>
      </w:r>
      <w:r w:rsidRPr="000D6AEA">
        <w:rPr>
          <w:rFonts w:ascii="Palatino Linotype" w:hAnsi="Palatino Linotype"/>
          <w:i/>
          <w:iCs/>
          <w:color w:val="000000"/>
        </w:rPr>
        <w:t xml:space="preserve">, y en la solicitud de información registrada en el portal </w:t>
      </w:r>
      <w:r w:rsidRPr="000D6AEA">
        <w:rPr>
          <w:rFonts w:ascii="Palatino Linotype" w:hAnsi="Palatino Linotype"/>
          <w:b/>
          <w:i/>
          <w:iCs/>
          <w:color w:val="000000"/>
        </w:rPr>
        <w:t xml:space="preserve">SAIMEX </w:t>
      </w:r>
      <w:r w:rsidRPr="000D6AEA">
        <w:rPr>
          <w:rFonts w:ascii="Palatino Linotype" w:hAnsi="Palatino Linotype"/>
          <w:i/>
          <w:iCs/>
          <w:color w:val="000000"/>
        </w:rPr>
        <w:t xml:space="preserve">con número de folio </w:t>
      </w:r>
      <w:r w:rsidRPr="000D6AEA">
        <w:rPr>
          <w:rFonts w:ascii="Palatino Linotype" w:hAnsi="Palatino Linotype"/>
          <w:b/>
          <w:i/>
          <w:iCs/>
          <w:color w:val="000000"/>
        </w:rPr>
        <w:t>00011/DIFJUCHITEPEC/IP/2026.</w:t>
      </w:r>
    </w:p>
    <w:p w14:paraId="6486E8A0" w14:textId="77777777" w:rsidR="00BF3BA8" w:rsidRPr="000D6AEA" w:rsidRDefault="00BF3BA8" w:rsidP="00BF3BA8">
      <w:pPr>
        <w:spacing w:after="0" w:line="240" w:lineRule="auto"/>
        <w:ind w:left="851" w:right="851"/>
        <w:jc w:val="both"/>
        <w:rPr>
          <w:rFonts w:ascii="Palatino Linotype" w:hAnsi="Palatino Linotype"/>
          <w:i/>
          <w:iCs/>
          <w:color w:val="000000"/>
        </w:rPr>
      </w:pPr>
      <w:r w:rsidRPr="000D6AEA">
        <w:rPr>
          <w:rFonts w:ascii="Palatino Linotype" w:hAnsi="Palatino Linotype"/>
          <w:i/>
          <w:iCs/>
          <w:color w:val="000000"/>
        </w:rPr>
        <w:t xml:space="preserve">Motivo por el cual el servidor público del Sistema Municipal Para el Desarrollo Integral de la Familia de </w:t>
      </w:r>
      <w:proofErr w:type="spellStart"/>
      <w:r w:rsidRPr="000D6AEA">
        <w:rPr>
          <w:rFonts w:ascii="Palatino Linotype" w:hAnsi="Palatino Linotype"/>
          <w:i/>
          <w:iCs/>
          <w:color w:val="000000"/>
        </w:rPr>
        <w:t>Juchitepec</w:t>
      </w:r>
      <w:proofErr w:type="spellEnd"/>
      <w:r w:rsidRPr="000D6AEA">
        <w:rPr>
          <w:rFonts w:ascii="Palatino Linotype" w:hAnsi="Palatino Linotype"/>
          <w:i/>
          <w:iCs/>
          <w:color w:val="000000"/>
        </w:rPr>
        <w:t xml:space="preserve"> 2026 “se niega” a dar la información pública de oficio; les recuerdo que son recursos públicos y debe ser de Máxima Publicidad y Transparencia. LOS SUELDOS DE LOS SERVIDORES PÚBLICOS PERTENENCIENTES AL SISTEMA DIF DE JUCHITEPEC.</w:t>
      </w:r>
    </w:p>
    <w:p w14:paraId="293E876B" w14:textId="6373C337" w:rsidR="00BF3BA8" w:rsidRPr="000D6AEA" w:rsidRDefault="00BF3BA8" w:rsidP="00BF3BA8">
      <w:pPr>
        <w:spacing w:after="0" w:line="240" w:lineRule="auto"/>
        <w:ind w:left="851" w:right="851"/>
        <w:jc w:val="both"/>
        <w:rPr>
          <w:rFonts w:ascii="Palatino Linotype" w:hAnsi="Palatino Linotype"/>
          <w:i/>
          <w:iCs/>
          <w:color w:val="000000"/>
        </w:rPr>
      </w:pPr>
      <w:r w:rsidRPr="000D6AEA">
        <w:rPr>
          <w:rFonts w:ascii="Palatino Linotype" w:hAnsi="Palatino Linotype"/>
          <w:i/>
          <w:iCs/>
          <w:color w:val="000000"/>
        </w:rPr>
        <w:t xml:space="preserve">Los sueldos, salarios y percepciones de los servidores públicos </w:t>
      </w:r>
      <w:r w:rsidRPr="000D6AEA">
        <w:rPr>
          <w:rFonts w:ascii="Palatino Linotype" w:hAnsi="Palatino Linotype"/>
          <w:b/>
          <w:bCs/>
          <w:i/>
          <w:iCs/>
          <w:color w:val="000000"/>
        </w:rPr>
        <w:t xml:space="preserve">no son información confidencial, </w:t>
      </w:r>
      <w:r w:rsidRPr="000D6AEA">
        <w:rPr>
          <w:rFonts w:ascii="Palatino Linotype" w:hAnsi="Palatino Linotype"/>
          <w:bCs/>
          <w:i/>
          <w:iCs/>
          <w:color w:val="000000"/>
        </w:rPr>
        <w:t>motivo por el cual la nómina solicitada no puede ser clasificada como confidencial</w:t>
      </w:r>
      <w:r w:rsidRPr="000D6AEA">
        <w:rPr>
          <w:rFonts w:ascii="Palatino Linotype" w:hAnsi="Palatino Linotype"/>
          <w:i/>
          <w:iCs/>
          <w:color w:val="000000"/>
        </w:rPr>
        <w:t>.”</w:t>
      </w:r>
    </w:p>
    <w:p w14:paraId="18B1197F" w14:textId="77777777" w:rsidR="006920EF" w:rsidRPr="000D6AEA" w:rsidRDefault="006920EF" w:rsidP="006920EF">
      <w:pPr>
        <w:spacing w:after="0" w:line="360" w:lineRule="auto"/>
        <w:jc w:val="both"/>
        <w:rPr>
          <w:rFonts w:ascii="Palatino Linotype" w:hAnsi="Palatino Linotype" w:cs="Arial"/>
          <w:b/>
          <w:sz w:val="24"/>
          <w:szCs w:val="24"/>
        </w:rPr>
      </w:pPr>
    </w:p>
    <w:p w14:paraId="3DE918EE" w14:textId="75028CE4" w:rsidR="00D34057" w:rsidRPr="000D6AEA" w:rsidRDefault="00BF3BA8" w:rsidP="006920EF">
      <w:pPr>
        <w:spacing w:after="0" w:line="360" w:lineRule="auto"/>
        <w:jc w:val="both"/>
        <w:rPr>
          <w:rFonts w:ascii="Palatino Linotype" w:hAnsi="Palatino Linotype" w:cs="Arial"/>
          <w:b/>
        </w:rPr>
      </w:pPr>
      <w:r w:rsidRPr="000D6AEA">
        <w:rPr>
          <w:rFonts w:ascii="Palatino Linotype" w:hAnsi="Palatino Linotype" w:cs="Arial"/>
          <w:b/>
          <w:sz w:val="28"/>
        </w:rPr>
        <w:t>QUINTO</w:t>
      </w:r>
      <w:r w:rsidR="00D34057" w:rsidRPr="000D6AEA">
        <w:rPr>
          <w:rFonts w:ascii="Palatino Linotype" w:hAnsi="Palatino Linotype" w:cs="Arial"/>
          <w:b/>
        </w:rPr>
        <w:t xml:space="preserve">. </w:t>
      </w:r>
      <w:r w:rsidR="00D34057" w:rsidRPr="000D6AEA">
        <w:rPr>
          <w:rFonts w:ascii="Palatino Linotype" w:hAnsi="Palatino Linotype" w:cs="Arial"/>
          <w:b/>
          <w:sz w:val="28"/>
          <w:szCs w:val="28"/>
        </w:rPr>
        <w:t>Del turno del recurso de revisión.</w:t>
      </w:r>
    </w:p>
    <w:p w14:paraId="1442A1C9" w14:textId="02942604" w:rsidR="00420DD5" w:rsidRPr="000D6AEA" w:rsidRDefault="001B0A88" w:rsidP="006920EF">
      <w:pPr>
        <w:spacing w:after="0" w:line="360" w:lineRule="auto"/>
        <w:jc w:val="both"/>
        <w:rPr>
          <w:rFonts w:ascii="Palatino Linotype" w:hAnsi="Palatino Linotype" w:cs="Arial"/>
          <w:sz w:val="24"/>
          <w:szCs w:val="24"/>
        </w:rPr>
      </w:pPr>
      <w:r w:rsidRPr="000D6AEA">
        <w:rPr>
          <w:rFonts w:ascii="Palatino Linotype" w:hAnsi="Palatino Linotype" w:cs="Arial"/>
          <w:sz w:val="24"/>
          <w:szCs w:val="24"/>
        </w:rPr>
        <w:t xml:space="preserve">Medio de impugnación que le fue turnado al </w:t>
      </w:r>
      <w:r w:rsidRPr="000D6AEA">
        <w:rPr>
          <w:rFonts w:ascii="Palatino Linotype" w:hAnsi="Palatino Linotype" w:cs="Arial"/>
          <w:b/>
          <w:bCs/>
          <w:sz w:val="24"/>
          <w:szCs w:val="24"/>
        </w:rPr>
        <w:t>Comisionado</w:t>
      </w:r>
      <w:r w:rsidR="009E16FA" w:rsidRPr="000D6AEA">
        <w:rPr>
          <w:rFonts w:ascii="Palatino Linotype" w:hAnsi="Palatino Linotype" w:cs="Arial"/>
          <w:b/>
          <w:bCs/>
          <w:sz w:val="24"/>
          <w:szCs w:val="24"/>
        </w:rPr>
        <w:t xml:space="preserve"> Presidente</w:t>
      </w:r>
      <w:r w:rsidRPr="000D6AEA">
        <w:rPr>
          <w:rFonts w:ascii="Palatino Linotype" w:hAnsi="Palatino Linotype" w:cs="Arial"/>
          <w:b/>
          <w:bCs/>
          <w:sz w:val="24"/>
          <w:szCs w:val="24"/>
        </w:rPr>
        <w:t xml:space="preserve"> José Martínez Vilchis</w:t>
      </w:r>
      <w:r w:rsidRPr="000D6AEA">
        <w:rPr>
          <w:rFonts w:ascii="Palatino Linotype" w:hAnsi="Palatino Linotype" w:cs="Arial"/>
          <w:sz w:val="24"/>
          <w:szCs w:val="24"/>
        </w:rPr>
        <w:t>, por medio del sistema electrónico, en términos del arábigo 185, fracción I, de la Ley de Transparencia y Acceso a la información Pública del Estado de México y Municipios, del cual recayó acuerdo de admisión en</w:t>
      </w:r>
      <w:r w:rsidR="00EB4143" w:rsidRPr="000D6AEA">
        <w:rPr>
          <w:rFonts w:ascii="Palatino Linotype" w:hAnsi="Palatino Linotype" w:cs="Arial"/>
          <w:sz w:val="24"/>
          <w:szCs w:val="24"/>
        </w:rPr>
        <w:t xml:space="preserve"> fecha</w:t>
      </w:r>
      <w:r w:rsidRPr="000D6AEA">
        <w:rPr>
          <w:rFonts w:ascii="Palatino Linotype" w:hAnsi="Palatino Linotype" w:cs="Arial"/>
          <w:sz w:val="24"/>
          <w:szCs w:val="24"/>
        </w:rPr>
        <w:t xml:space="preserve"> </w:t>
      </w:r>
      <w:r w:rsidR="00BF3BA8" w:rsidRPr="000D6AEA">
        <w:rPr>
          <w:rFonts w:ascii="Palatino Linotype" w:hAnsi="Palatino Linotype" w:cs="Arial"/>
          <w:sz w:val="24"/>
          <w:szCs w:val="24"/>
        </w:rPr>
        <w:t>diecinueve de junio de dos mil veintiséis</w:t>
      </w:r>
      <w:r w:rsidRPr="000D6AEA">
        <w:rPr>
          <w:rFonts w:ascii="Palatino Linotype" w:hAnsi="Palatino Linotype" w:cs="Arial"/>
          <w:sz w:val="24"/>
          <w:szCs w:val="24"/>
        </w:rPr>
        <w:t>, determinándose en él, un plazo de siete días para que las partes manifestaran lo que a su derecho corresponda en términos del numeral ya citado.</w:t>
      </w:r>
    </w:p>
    <w:p w14:paraId="0F6331A7" w14:textId="77777777" w:rsidR="00420DD5" w:rsidRPr="000D6AEA" w:rsidRDefault="00420DD5" w:rsidP="006920EF">
      <w:pPr>
        <w:spacing w:after="0" w:line="360" w:lineRule="auto"/>
        <w:jc w:val="both"/>
        <w:rPr>
          <w:rFonts w:ascii="Palatino Linotype" w:hAnsi="Palatino Linotype" w:cs="Arial"/>
          <w:b/>
          <w:sz w:val="28"/>
        </w:rPr>
      </w:pPr>
    </w:p>
    <w:p w14:paraId="51BD16D2" w14:textId="28845006" w:rsidR="00D34057" w:rsidRPr="000D6AEA" w:rsidRDefault="00BF3BA8" w:rsidP="006920EF">
      <w:pPr>
        <w:spacing w:after="0" w:line="360" w:lineRule="auto"/>
        <w:jc w:val="both"/>
        <w:rPr>
          <w:rFonts w:ascii="Palatino Linotype" w:hAnsi="Palatino Linotype" w:cs="Arial"/>
          <w:b/>
        </w:rPr>
      </w:pPr>
      <w:r w:rsidRPr="000D6AEA">
        <w:rPr>
          <w:rFonts w:ascii="Palatino Linotype" w:hAnsi="Palatino Linotype" w:cs="Arial"/>
          <w:b/>
          <w:sz w:val="28"/>
        </w:rPr>
        <w:lastRenderedPageBreak/>
        <w:t>SEXTO</w:t>
      </w:r>
      <w:r w:rsidR="00D34057" w:rsidRPr="000D6AEA">
        <w:rPr>
          <w:rFonts w:ascii="Palatino Linotype" w:hAnsi="Palatino Linotype" w:cs="Arial"/>
          <w:b/>
        </w:rPr>
        <w:t xml:space="preserve">. </w:t>
      </w:r>
      <w:r w:rsidR="00D34057" w:rsidRPr="000D6AEA">
        <w:rPr>
          <w:rFonts w:ascii="Palatino Linotype" w:hAnsi="Palatino Linotype" w:cs="Arial"/>
          <w:b/>
          <w:sz w:val="28"/>
          <w:szCs w:val="28"/>
        </w:rPr>
        <w:t>De la etapa de instrucción.</w:t>
      </w:r>
    </w:p>
    <w:p w14:paraId="6698CDFA" w14:textId="61B978A8" w:rsidR="006920EF" w:rsidRPr="000D6AEA" w:rsidRDefault="00EB4143" w:rsidP="006920EF">
      <w:pPr>
        <w:spacing w:after="0" w:line="360" w:lineRule="auto"/>
        <w:jc w:val="both"/>
        <w:rPr>
          <w:rFonts w:ascii="Palatino Linotype" w:eastAsia="Calibri" w:hAnsi="Palatino Linotype" w:cs="Times New Roman"/>
          <w:sz w:val="24"/>
          <w:szCs w:val="24"/>
        </w:rPr>
      </w:pPr>
      <w:r w:rsidRPr="000D6AEA">
        <w:rPr>
          <w:rFonts w:ascii="Palatino Linotype" w:hAnsi="Palatino Linotype" w:cs="Arial"/>
          <w:sz w:val="24"/>
          <w:szCs w:val="24"/>
        </w:rPr>
        <w:t>De las constancias que obran en el expediente electrónico del SAIMEX se desprende que</w:t>
      </w:r>
      <w:r w:rsidRPr="000D6AEA">
        <w:rPr>
          <w:rFonts w:ascii="Palatino Linotype" w:hAnsi="Palatino Linotype" w:cs="Arial"/>
          <w:b/>
          <w:sz w:val="24"/>
          <w:szCs w:val="24"/>
        </w:rPr>
        <w:t xml:space="preserve"> </w:t>
      </w:r>
      <w:r w:rsidRPr="000D6AEA">
        <w:rPr>
          <w:rFonts w:ascii="Palatino Linotype" w:eastAsia="Calibri" w:hAnsi="Palatino Linotype"/>
          <w:b/>
          <w:bCs/>
          <w:sz w:val="24"/>
          <w:szCs w:val="24"/>
        </w:rPr>
        <w:t>el Sujeto Obligado</w:t>
      </w:r>
      <w:r w:rsidRPr="000D6AEA">
        <w:rPr>
          <w:rFonts w:ascii="Palatino Linotype" w:eastAsia="Calibri" w:hAnsi="Palatino Linotype"/>
          <w:sz w:val="24"/>
          <w:szCs w:val="24"/>
        </w:rPr>
        <w:t xml:space="preserve"> en fecha </w:t>
      </w:r>
      <w:r w:rsidR="00BF3BA8" w:rsidRPr="000D6AEA">
        <w:rPr>
          <w:rFonts w:ascii="Palatino Linotype" w:eastAsia="Calibri" w:hAnsi="Palatino Linotype"/>
          <w:sz w:val="24"/>
          <w:szCs w:val="24"/>
        </w:rPr>
        <w:t>veintiséis</w:t>
      </w:r>
      <w:r w:rsidR="002A2D97" w:rsidRPr="000D6AEA">
        <w:rPr>
          <w:rFonts w:ascii="Palatino Linotype" w:eastAsia="Calibri" w:hAnsi="Palatino Linotype"/>
          <w:sz w:val="24"/>
          <w:szCs w:val="24"/>
        </w:rPr>
        <w:t xml:space="preserve"> de junio</w:t>
      </w:r>
      <w:r w:rsidRPr="000D6AEA">
        <w:rPr>
          <w:rFonts w:ascii="Palatino Linotype" w:eastAsia="Calibri" w:hAnsi="Palatino Linotype"/>
          <w:sz w:val="24"/>
          <w:szCs w:val="24"/>
        </w:rPr>
        <w:t xml:space="preserve"> de dos mil v</w:t>
      </w:r>
      <w:r w:rsidR="00BF3BA8" w:rsidRPr="000D6AEA">
        <w:rPr>
          <w:rFonts w:ascii="Palatino Linotype" w:eastAsia="Calibri" w:hAnsi="Palatino Linotype"/>
          <w:sz w:val="24"/>
          <w:szCs w:val="24"/>
        </w:rPr>
        <w:t>eintiséis</w:t>
      </w:r>
      <w:r w:rsidRPr="000D6AEA">
        <w:rPr>
          <w:rFonts w:ascii="Palatino Linotype" w:eastAsia="Calibri" w:hAnsi="Palatino Linotype"/>
          <w:sz w:val="24"/>
          <w:szCs w:val="24"/>
        </w:rPr>
        <w:t xml:space="preserve">, presentó su informe justificado, </w:t>
      </w:r>
      <w:r w:rsidRPr="000D6AEA">
        <w:rPr>
          <w:rFonts w:ascii="Palatino Linotype" w:eastAsia="Calibri" w:hAnsi="Palatino Linotype" w:cs="Arial"/>
          <w:sz w:val="24"/>
          <w:szCs w:val="24"/>
        </w:rPr>
        <w:t xml:space="preserve">mismo que fue puesto a la vista del </w:t>
      </w:r>
      <w:r w:rsidRPr="000D6AEA">
        <w:rPr>
          <w:rFonts w:ascii="Palatino Linotype" w:eastAsia="Calibri" w:hAnsi="Palatino Linotype" w:cs="Arial"/>
          <w:b/>
          <w:bCs/>
          <w:sz w:val="24"/>
          <w:szCs w:val="24"/>
        </w:rPr>
        <w:t>Recurrente</w:t>
      </w:r>
      <w:r w:rsidR="00BF3BA8" w:rsidRPr="000D6AEA">
        <w:rPr>
          <w:rFonts w:ascii="Palatino Linotype" w:eastAsia="Calibri" w:hAnsi="Palatino Linotype" w:cs="Arial"/>
          <w:sz w:val="24"/>
          <w:szCs w:val="24"/>
        </w:rPr>
        <w:t xml:space="preserve"> el día diez de agosto de dos mil veintiséis</w:t>
      </w:r>
      <w:r w:rsidRPr="000D6AEA">
        <w:rPr>
          <w:rFonts w:ascii="Palatino Linotype" w:eastAsia="Calibri" w:hAnsi="Palatino Linotype" w:cs="Arial"/>
          <w:sz w:val="24"/>
          <w:szCs w:val="24"/>
        </w:rPr>
        <w:t xml:space="preserve">; asimismo, </w:t>
      </w:r>
      <w:r w:rsidRPr="000D6AEA">
        <w:rPr>
          <w:rFonts w:ascii="Palatino Linotype" w:eastAsia="Calibri" w:hAnsi="Palatino Linotype"/>
          <w:sz w:val="24"/>
          <w:szCs w:val="24"/>
        </w:rPr>
        <w:t xml:space="preserve">se hace constar que </w:t>
      </w:r>
      <w:r w:rsidRPr="000D6AEA">
        <w:rPr>
          <w:rFonts w:ascii="Palatino Linotype" w:eastAsia="Calibri" w:hAnsi="Palatino Linotype"/>
          <w:b/>
          <w:sz w:val="24"/>
          <w:szCs w:val="24"/>
        </w:rPr>
        <w:t xml:space="preserve">el </w:t>
      </w:r>
      <w:r w:rsidRPr="000D6AEA">
        <w:rPr>
          <w:rFonts w:ascii="Palatino Linotype" w:eastAsia="Calibri" w:hAnsi="Palatino Linotype"/>
          <w:sz w:val="24"/>
          <w:szCs w:val="24"/>
        </w:rPr>
        <w:t>R</w:t>
      </w:r>
      <w:r w:rsidRPr="000D6AEA">
        <w:rPr>
          <w:rFonts w:ascii="Palatino Linotype" w:eastAsia="Calibri" w:hAnsi="Palatino Linotype"/>
          <w:b/>
          <w:sz w:val="24"/>
          <w:szCs w:val="24"/>
        </w:rPr>
        <w:t>ecurrente</w:t>
      </w:r>
      <w:r w:rsidRPr="000D6AEA">
        <w:rPr>
          <w:rFonts w:ascii="Palatino Linotype" w:eastAsia="Calibri" w:hAnsi="Palatino Linotype"/>
          <w:sz w:val="24"/>
          <w:szCs w:val="24"/>
        </w:rPr>
        <w:t xml:space="preserve">  </w:t>
      </w:r>
      <w:r w:rsidRPr="000D6AEA">
        <w:rPr>
          <w:rFonts w:ascii="Palatino Linotype" w:eastAsia="Calibri" w:hAnsi="Palatino Linotype" w:cs="Times New Roman"/>
          <w:sz w:val="24"/>
          <w:szCs w:val="24"/>
        </w:rPr>
        <w:t>fue omiso en presentar sus manifestaciones; finalmente se advierte de las constancias que integran el presente expediente, que no existe prueba alguna que deba desahogarse.</w:t>
      </w:r>
    </w:p>
    <w:p w14:paraId="0CEE7FA5" w14:textId="77777777" w:rsidR="00E76590" w:rsidRPr="000D6AEA" w:rsidRDefault="00E76590" w:rsidP="006920EF">
      <w:pPr>
        <w:spacing w:after="0" w:line="360" w:lineRule="auto"/>
        <w:jc w:val="both"/>
        <w:rPr>
          <w:rFonts w:ascii="Palatino Linotype" w:hAnsi="Palatino Linotype"/>
          <w:sz w:val="24"/>
          <w:szCs w:val="24"/>
        </w:rPr>
      </w:pPr>
    </w:p>
    <w:p w14:paraId="6878CCBD" w14:textId="3962BC34" w:rsidR="00D27E5B" w:rsidRPr="000D6AEA" w:rsidRDefault="00BF3BA8" w:rsidP="006920EF">
      <w:pPr>
        <w:spacing w:after="0" w:line="360" w:lineRule="auto"/>
        <w:jc w:val="both"/>
        <w:rPr>
          <w:rFonts w:ascii="Palatino Linotype" w:hAnsi="Palatino Linotype"/>
          <w:b/>
          <w:sz w:val="28"/>
          <w:szCs w:val="28"/>
        </w:rPr>
      </w:pPr>
      <w:r w:rsidRPr="000D6AEA">
        <w:rPr>
          <w:rFonts w:ascii="Palatino Linotype" w:hAnsi="Palatino Linotype"/>
          <w:b/>
          <w:sz w:val="28"/>
          <w:szCs w:val="28"/>
        </w:rPr>
        <w:t>SÉPTIMO</w:t>
      </w:r>
      <w:r w:rsidR="00D27E5B" w:rsidRPr="000D6AEA">
        <w:rPr>
          <w:rFonts w:ascii="Palatino Linotype" w:hAnsi="Palatino Linotype"/>
          <w:b/>
          <w:sz w:val="28"/>
          <w:szCs w:val="28"/>
        </w:rPr>
        <w:t>. Del cierre de instrucción.</w:t>
      </w:r>
      <w:r w:rsidR="00D27E5B" w:rsidRPr="000D6AEA">
        <w:rPr>
          <w:rFonts w:ascii="Palatino Linotype" w:hAnsi="Palatino Linotype"/>
          <w:b/>
          <w:sz w:val="28"/>
          <w:szCs w:val="28"/>
        </w:rPr>
        <w:tab/>
      </w:r>
    </w:p>
    <w:p w14:paraId="7D5351C9" w14:textId="3F835C59" w:rsidR="00D27E5B" w:rsidRPr="000D6AEA" w:rsidRDefault="00D27E5B" w:rsidP="006920EF">
      <w:pPr>
        <w:spacing w:after="0" w:line="360" w:lineRule="auto"/>
        <w:jc w:val="both"/>
        <w:rPr>
          <w:rFonts w:ascii="Palatino Linotype" w:hAnsi="Palatino Linotype"/>
          <w:sz w:val="24"/>
          <w:szCs w:val="24"/>
        </w:rPr>
      </w:pPr>
      <w:r w:rsidRPr="000D6AEA">
        <w:rPr>
          <w:rFonts w:ascii="Palatino Linotype" w:hAnsi="Palatino Linotype"/>
          <w:sz w:val="24"/>
          <w:szCs w:val="24"/>
        </w:rPr>
        <w:t xml:space="preserve">Así, una vez transcurrido el término legal, se decretó el cierre de instrucción en fecha </w:t>
      </w:r>
      <w:r w:rsidR="00723F76" w:rsidRPr="000D6AEA">
        <w:rPr>
          <w:rFonts w:ascii="Palatino Linotype" w:hAnsi="Palatino Linotype"/>
          <w:sz w:val="24"/>
          <w:szCs w:val="24"/>
        </w:rPr>
        <w:t>diecinueve</w:t>
      </w:r>
      <w:r w:rsidR="00AE673A" w:rsidRPr="000D6AEA">
        <w:rPr>
          <w:rFonts w:ascii="Palatino Linotype" w:hAnsi="Palatino Linotype"/>
          <w:sz w:val="24"/>
          <w:szCs w:val="24"/>
        </w:rPr>
        <w:t xml:space="preserve"> de agosto de dos mil veintiséis</w:t>
      </w:r>
      <w:r w:rsidRPr="000D6AEA">
        <w:rPr>
          <w:rFonts w:ascii="Palatino Linotype" w:hAnsi="Palatino Linotype"/>
          <w:sz w:val="24"/>
          <w:szCs w:val="24"/>
        </w:rPr>
        <w:t>, en términos del artículo 185 Fracción VI de la Ley de Transparencia y Acceso a la Información Pública del Estado de México y Municipios, iniciando el término legal para dictar resolución definitiva del asunto.</w:t>
      </w:r>
    </w:p>
    <w:p w14:paraId="0734E683" w14:textId="77777777" w:rsidR="002A2D97" w:rsidRPr="000D6AEA" w:rsidRDefault="002A2D97" w:rsidP="006920EF">
      <w:pPr>
        <w:spacing w:after="0" w:line="360" w:lineRule="auto"/>
        <w:jc w:val="both"/>
        <w:rPr>
          <w:rFonts w:ascii="Palatino Linotype" w:hAnsi="Palatino Linotype"/>
          <w:sz w:val="24"/>
          <w:szCs w:val="24"/>
        </w:rPr>
      </w:pPr>
    </w:p>
    <w:p w14:paraId="5B2E72F3" w14:textId="0CDFE635" w:rsidR="002A2D97" w:rsidRPr="000D6AEA" w:rsidRDefault="00AE673A" w:rsidP="002A2D97">
      <w:pPr>
        <w:spacing w:after="0" w:line="360" w:lineRule="auto"/>
        <w:contextualSpacing/>
        <w:jc w:val="both"/>
        <w:rPr>
          <w:rFonts w:ascii="Palatino Linotype" w:eastAsia="Times New Roman" w:hAnsi="Palatino Linotype" w:cs="Times New Roman"/>
          <w:b/>
          <w:sz w:val="28"/>
          <w:szCs w:val="28"/>
          <w:lang w:val="es-ES_tradnl" w:eastAsia="es-MX"/>
        </w:rPr>
      </w:pPr>
      <w:r w:rsidRPr="000D6AEA">
        <w:rPr>
          <w:rFonts w:ascii="Palatino Linotype" w:eastAsia="Times New Roman" w:hAnsi="Palatino Linotype" w:cs="Times New Roman"/>
          <w:b/>
          <w:sz w:val="28"/>
          <w:szCs w:val="28"/>
          <w:lang w:val="es-ES_tradnl" w:eastAsia="es-MX"/>
        </w:rPr>
        <w:t>OCTAVO</w:t>
      </w:r>
      <w:r w:rsidR="002A2D97" w:rsidRPr="000D6AEA">
        <w:rPr>
          <w:rFonts w:ascii="Palatino Linotype" w:eastAsia="Times New Roman" w:hAnsi="Palatino Linotype" w:cs="Times New Roman"/>
          <w:b/>
          <w:sz w:val="28"/>
          <w:szCs w:val="28"/>
          <w:lang w:val="es-ES_tradnl" w:eastAsia="es-MX"/>
        </w:rPr>
        <w:t>. De la ampliación del término para resolver.</w:t>
      </w:r>
    </w:p>
    <w:p w14:paraId="1FFCC38C" w14:textId="3E73F4A2" w:rsidR="002A2D97" w:rsidRPr="000D6AEA" w:rsidRDefault="002A2D97" w:rsidP="002A2D97">
      <w:pPr>
        <w:spacing w:after="0" w:line="360" w:lineRule="auto"/>
        <w:jc w:val="both"/>
        <w:rPr>
          <w:rFonts w:ascii="Palatino Linotype" w:eastAsia="Times New Roman" w:hAnsi="Palatino Linotype" w:cs="Times New Roman"/>
          <w:sz w:val="24"/>
          <w:szCs w:val="24"/>
          <w:lang w:val="es-ES_tradnl" w:eastAsia="es-MX"/>
        </w:rPr>
      </w:pPr>
      <w:r w:rsidRPr="000D6AEA">
        <w:rPr>
          <w:rFonts w:ascii="Palatino Linotype" w:eastAsia="Times New Roman" w:hAnsi="Palatino Linotype" w:cs="Times New Roman"/>
          <w:sz w:val="24"/>
          <w:szCs w:val="24"/>
          <w:lang w:val="es-ES_tradnl" w:eastAsia="es-MX"/>
        </w:rPr>
        <w:t xml:space="preserve">En fecha </w:t>
      </w:r>
      <w:r w:rsidR="00AE673A" w:rsidRPr="000D6AEA">
        <w:rPr>
          <w:rFonts w:ascii="Palatino Linotype" w:eastAsia="Times New Roman" w:hAnsi="Palatino Linotype" w:cs="Times New Roman"/>
          <w:sz w:val="24"/>
          <w:szCs w:val="24"/>
          <w:lang w:val="es-ES_tradnl" w:eastAsia="es-MX"/>
        </w:rPr>
        <w:t>catorce de agosto</w:t>
      </w:r>
      <w:r w:rsidRPr="000D6AEA">
        <w:rPr>
          <w:rFonts w:ascii="Palatino Linotype" w:eastAsia="Times New Roman" w:hAnsi="Palatino Linotype" w:cs="Times New Roman"/>
          <w:sz w:val="24"/>
          <w:szCs w:val="24"/>
          <w:lang w:val="es-ES_tradnl" w:eastAsia="es-MX"/>
        </w:rPr>
        <w:t xml:space="preserve"> de dos mil veintiséis, se amplió el término para resolver el recurso de revisión en términos del artículo 181 párrafo tercero de la Ley de Transparencia y Acceso a la Información Pública del Estado de México y Municipios por un plazo de quince días hábiles.</w:t>
      </w:r>
    </w:p>
    <w:p w14:paraId="225375BA" w14:textId="77777777" w:rsidR="002A2D97" w:rsidRPr="000D6AEA" w:rsidRDefault="002A2D97" w:rsidP="006920EF">
      <w:pPr>
        <w:spacing w:after="0" w:line="360" w:lineRule="auto"/>
        <w:jc w:val="both"/>
        <w:rPr>
          <w:rFonts w:ascii="Palatino Linotype" w:hAnsi="Palatino Linotype"/>
          <w:sz w:val="24"/>
          <w:szCs w:val="24"/>
        </w:rPr>
      </w:pPr>
    </w:p>
    <w:p w14:paraId="00759824" w14:textId="0F2E714B" w:rsidR="00D27E5B" w:rsidRPr="000D6AEA" w:rsidRDefault="00D27E5B" w:rsidP="006920EF">
      <w:pPr>
        <w:spacing w:after="0" w:line="360" w:lineRule="auto"/>
        <w:jc w:val="both"/>
        <w:rPr>
          <w:rFonts w:ascii="Palatino Linotype" w:hAnsi="Palatino Linotype"/>
          <w:sz w:val="24"/>
          <w:szCs w:val="24"/>
        </w:rPr>
      </w:pPr>
    </w:p>
    <w:p w14:paraId="276E592B" w14:textId="77777777" w:rsidR="003708E1" w:rsidRPr="000D6AEA" w:rsidRDefault="003708E1" w:rsidP="006920EF">
      <w:pPr>
        <w:pStyle w:val="Sinespaciado"/>
        <w:rPr>
          <w:sz w:val="2"/>
        </w:rPr>
      </w:pPr>
    </w:p>
    <w:p w14:paraId="4F5F93F2" w14:textId="77777777" w:rsidR="00D34057" w:rsidRPr="000D6AEA" w:rsidRDefault="00D34057" w:rsidP="006920EF">
      <w:pPr>
        <w:spacing w:after="0" w:line="360" w:lineRule="auto"/>
        <w:jc w:val="both"/>
        <w:rPr>
          <w:rFonts w:ascii="Palatino Linotype" w:hAnsi="Palatino Linotype" w:cs="Arial"/>
          <w:sz w:val="2"/>
        </w:rPr>
      </w:pPr>
    </w:p>
    <w:p w14:paraId="20BB9624" w14:textId="2439419B" w:rsidR="00D34057" w:rsidRPr="000D6AEA" w:rsidRDefault="00D34057" w:rsidP="006920EF">
      <w:pPr>
        <w:spacing w:after="0" w:line="360" w:lineRule="auto"/>
        <w:jc w:val="center"/>
        <w:rPr>
          <w:rFonts w:ascii="Palatino Linotype" w:hAnsi="Palatino Linotype" w:cs="Arial"/>
          <w:b/>
          <w:sz w:val="28"/>
        </w:rPr>
      </w:pPr>
      <w:r w:rsidRPr="000D6AEA">
        <w:rPr>
          <w:rFonts w:ascii="Palatino Linotype" w:hAnsi="Palatino Linotype" w:cs="Arial"/>
          <w:b/>
          <w:sz w:val="28"/>
        </w:rPr>
        <w:t xml:space="preserve">C O N S I D E R A N D O </w:t>
      </w:r>
    </w:p>
    <w:p w14:paraId="729C3679" w14:textId="77777777" w:rsidR="006920EF" w:rsidRPr="000D6AEA" w:rsidRDefault="006920EF" w:rsidP="006920EF">
      <w:pPr>
        <w:spacing w:after="0" w:line="360" w:lineRule="auto"/>
        <w:jc w:val="center"/>
        <w:rPr>
          <w:rFonts w:ascii="Palatino Linotype" w:hAnsi="Palatino Linotype" w:cs="Arial"/>
          <w:b/>
          <w:sz w:val="28"/>
        </w:rPr>
      </w:pPr>
    </w:p>
    <w:p w14:paraId="577B93C8" w14:textId="77777777" w:rsidR="00D34057" w:rsidRPr="000D6AEA" w:rsidRDefault="00D34057" w:rsidP="006920EF">
      <w:pPr>
        <w:spacing w:after="0" w:line="360" w:lineRule="auto"/>
        <w:jc w:val="both"/>
        <w:rPr>
          <w:rFonts w:ascii="Palatino Linotype" w:hAnsi="Palatino Linotype" w:cs="Arial"/>
        </w:rPr>
      </w:pPr>
      <w:r w:rsidRPr="000D6AEA">
        <w:rPr>
          <w:rFonts w:ascii="Palatino Linotype" w:hAnsi="Palatino Linotype" w:cs="Arial"/>
          <w:b/>
          <w:sz w:val="28"/>
        </w:rPr>
        <w:lastRenderedPageBreak/>
        <w:t>PRIMERO.</w:t>
      </w:r>
      <w:r w:rsidRPr="000D6AEA">
        <w:rPr>
          <w:rFonts w:ascii="Palatino Linotype" w:hAnsi="Palatino Linotype" w:cs="Arial"/>
          <w:b/>
        </w:rPr>
        <w:t xml:space="preserve"> </w:t>
      </w:r>
      <w:r w:rsidRPr="000D6AEA">
        <w:rPr>
          <w:rFonts w:ascii="Palatino Linotype" w:hAnsi="Palatino Linotype" w:cs="Arial"/>
          <w:b/>
          <w:sz w:val="28"/>
          <w:szCs w:val="28"/>
        </w:rPr>
        <w:t>De la competencia</w:t>
      </w:r>
      <w:r w:rsidRPr="000D6AEA">
        <w:rPr>
          <w:rFonts w:ascii="Palatino Linotype" w:hAnsi="Palatino Linotype" w:cs="Arial"/>
          <w:sz w:val="28"/>
          <w:szCs w:val="28"/>
        </w:rPr>
        <w:t>.</w:t>
      </w:r>
    </w:p>
    <w:p w14:paraId="1293976A" w14:textId="31E98E04" w:rsidR="00E41748" w:rsidRPr="000D6AEA" w:rsidRDefault="00262E5B" w:rsidP="006920EF">
      <w:pPr>
        <w:spacing w:after="0" w:line="360" w:lineRule="auto"/>
        <w:jc w:val="both"/>
        <w:rPr>
          <w:rFonts w:ascii="Palatino Linotype" w:hAnsi="Palatino Linotype"/>
          <w:sz w:val="24"/>
          <w:szCs w:val="24"/>
        </w:rPr>
      </w:pPr>
      <w:r w:rsidRPr="000D6AEA">
        <w:rPr>
          <w:rFonts w:ascii="Palatino Linotype" w:hAnsi="Palatino Linotype"/>
          <w:sz w:val="24"/>
          <w:szCs w:val="24"/>
        </w:rPr>
        <w:t>Este Instituto de Transparencia, Acceso a la Información Pública y Protección de Datos Personales del Estado de México y Municipios es competente para conocer y resolver el presente Recurso de Revisión, conforme a lo dispuesto en el artículo 5o párrafos trigésimo tercero, trigésimo noveno, cuadragésimo y cuadragésimo primero, fracción VIII de la Constitución Política del Estado Libre y Soberano de México; ordinal 2, fracción II, 13, 29, 36, fracciones I y II, 176, 178, 179, 181 párrafo tercero y 185 de la Ley de Transparencia y Acceso a la Información Pública del Estado de México y Municipios; y 9, fracciones I y XXIII y 11 del Reglamento Interior del Instituto de Transparencia, Acceso a la Información Pública y Protección de Datos Personales del Estado de México y Municipios.</w:t>
      </w:r>
    </w:p>
    <w:p w14:paraId="6DC94A69" w14:textId="77777777" w:rsidR="003708E1" w:rsidRPr="000D6AEA" w:rsidRDefault="003708E1" w:rsidP="006920EF">
      <w:pPr>
        <w:spacing w:after="0" w:line="360" w:lineRule="auto"/>
        <w:jc w:val="both"/>
        <w:rPr>
          <w:rFonts w:ascii="Palatino Linotype" w:hAnsi="Palatino Linotype" w:cs="Arial"/>
        </w:rPr>
      </w:pPr>
    </w:p>
    <w:p w14:paraId="5E3884DF" w14:textId="77777777" w:rsidR="00D34057" w:rsidRPr="000D6AEA" w:rsidRDefault="00D34057" w:rsidP="006920EF">
      <w:pPr>
        <w:pStyle w:val="Prrafodelista"/>
        <w:autoSpaceDE w:val="0"/>
        <w:autoSpaceDN w:val="0"/>
        <w:adjustRightInd w:val="0"/>
        <w:spacing w:line="360" w:lineRule="auto"/>
        <w:ind w:left="0"/>
        <w:jc w:val="both"/>
        <w:rPr>
          <w:rFonts w:ascii="Palatino Linotype" w:hAnsi="Palatino Linotype" w:cs="Arial"/>
          <w:b/>
        </w:rPr>
      </w:pPr>
      <w:r w:rsidRPr="000D6AEA">
        <w:rPr>
          <w:rFonts w:ascii="Palatino Linotype" w:hAnsi="Palatino Linotype" w:cs="Arial"/>
          <w:b/>
          <w:sz w:val="28"/>
        </w:rPr>
        <w:t>SEGUNDO</w:t>
      </w:r>
      <w:r w:rsidRPr="000D6AEA">
        <w:rPr>
          <w:rFonts w:ascii="Palatino Linotype" w:hAnsi="Palatino Linotype" w:cs="Arial"/>
          <w:b/>
        </w:rPr>
        <w:t xml:space="preserve">. </w:t>
      </w:r>
      <w:r w:rsidRPr="000D6AEA">
        <w:rPr>
          <w:rFonts w:ascii="Palatino Linotype" w:hAnsi="Palatino Linotype" w:cs="Arial"/>
          <w:b/>
          <w:sz w:val="28"/>
          <w:szCs w:val="28"/>
        </w:rPr>
        <w:t>Sobre los alcances del recurso de revisión.</w:t>
      </w:r>
      <w:r w:rsidRPr="000D6AEA">
        <w:rPr>
          <w:rFonts w:ascii="Palatino Linotype" w:hAnsi="Palatino Linotype" w:cs="Arial"/>
          <w:b/>
        </w:rPr>
        <w:t xml:space="preserve"> </w:t>
      </w:r>
    </w:p>
    <w:p w14:paraId="46F1F3E7" w14:textId="398C043E" w:rsidR="009E16FA" w:rsidRPr="000D6AEA" w:rsidRDefault="00D34057" w:rsidP="006920EF">
      <w:pPr>
        <w:pStyle w:val="Prrafodelista"/>
        <w:autoSpaceDE w:val="0"/>
        <w:autoSpaceDN w:val="0"/>
        <w:adjustRightInd w:val="0"/>
        <w:spacing w:line="360" w:lineRule="auto"/>
        <w:ind w:left="0"/>
        <w:jc w:val="both"/>
        <w:rPr>
          <w:rFonts w:ascii="Palatino Linotype" w:hAnsi="Palatino Linotype" w:cs="Arial"/>
        </w:rPr>
      </w:pPr>
      <w:r w:rsidRPr="000D6AEA">
        <w:rPr>
          <w:rFonts w:ascii="Palatino Linotype" w:hAnsi="Palatino Linotype" w:cs="Arial"/>
        </w:rPr>
        <w:t>Derivado de la impugnación realizada, es preciso e importante señalar que el recurso de revisión inmerso en la Ley de Transparencia vigente en la entidad, tiene el fin y alcance que señalan los numerales 176, 179, 181 párrafo cuarto, 194 y 195 y demás aplicables de la Ley de Transparencia y Acceso a la Información Pública del Estado de México y Municipios vigente, el cual será analizado conforme a las actuaciones que obren en el expediente electrónico, con la finalidad de reparar cualquier posible afectación al derecho de acceso a la información pública y garantizando el principio rector de máxima publicidad.</w:t>
      </w:r>
    </w:p>
    <w:p w14:paraId="562CA301" w14:textId="77777777" w:rsidR="00262E5B" w:rsidRPr="000D6AEA" w:rsidRDefault="00262E5B" w:rsidP="006920EF">
      <w:pPr>
        <w:pStyle w:val="Prrafodelista"/>
        <w:autoSpaceDE w:val="0"/>
        <w:autoSpaceDN w:val="0"/>
        <w:adjustRightInd w:val="0"/>
        <w:spacing w:line="360" w:lineRule="auto"/>
        <w:ind w:left="0"/>
        <w:jc w:val="both"/>
        <w:rPr>
          <w:rFonts w:ascii="Palatino Linotype" w:hAnsi="Palatino Linotype" w:cs="Arial"/>
        </w:rPr>
      </w:pPr>
    </w:p>
    <w:p w14:paraId="361C0705" w14:textId="2A53A7C7" w:rsidR="00912A21" w:rsidRPr="000D6AEA" w:rsidRDefault="00AE673A" w:rsidP="006920EF">
      <w:pPr>
        <w:pStyle w:val="Prrafodelista"/>
        <w:autoSpaceDE w:val="0"/>
        <w:autoSpaceDN w:val="0"/>
        <w:adjustRightInd w:val="0"/>
        <w:spacing w:line="360" w:lineRule="auto"/>
        <w:ind w:left="0"/>
        <w:jc w:val="both"/>
        <w:rPr>
          <w:rFonts w:ascii="Palatino Linotype" w:hAnsi="Palatino Linotype" w:cs="Arial"/>
          <w:b/>
        </w:rPr>
      </w:pPr>
      <w:r w:rsidRPr="000D6AEA">
        <w:rPr>
          <w:rFonts w:ascii="Palatino Linotype" w:hAnsi="Palatino Linotype" w:cs="Arial"/>
          <w:b/>
          <w:sz w:val="28"/>
        </w:rPr>
        <w:t>TERCERO</w:t>
      </w:r>
      <w:r w:rsidR="00912A21" w:rsidRPr="000D6AEA">
        <w:rPr>
          <w:rFonts w:ascii="Palatino Linotype" w:hAnsi="Palatino Linotype" w:cs="Arial"/>
          <w:b/>
        </w:rPr>
        <w:t xml:space="preserve">. </w:t>
      </w:r>
      <w:r w:rsidR="00912A21" w:rsidRPr="000D6AEA">
        <w:rPr>
          <w:rFonts w:ascii="Palatino Linotype" w:hAnsi="Palatino Linotype" w:cs="Arial"/>
          <w:b/>
          <w:sz w:val="28"/>
          <w:szCs w:val="28"/>
        </w:rPr>
        <w:t>De las causas de improcedencia.</w:t>
      </w:r>
    </w:p>
    <w:p w14:paraId="6C462DB8" w14:textId="77777777" w:rsidR="00912A21" w:rsidRPr="000D6AEA" w:rsidRDefault="00912A21" w:rsidP="006920EF">
      <w:pPr>
        <w:pStyle w:val="Prrafodelista"/>
        <w:autoSpaceDE w:val="0"/>
        <w:autoSpaceDN w:val="0"/>
        <w:adjustRightInd w:val="0"/>
        <w:spacing w:line="360" w:lineRule="auto"/>
        <w:ind w:left="0"/>
        <w:jc w:val="both"/>
        <w:rPr>
          <w:rFonts w:ascii="Palatino Linotype" w:hAnsi="Palatino Linotype" w:cs="Arial"/>
        </w:rPr>
      </w:pPr>
      <w:r w:rsidRPr="000D6AEA">
        <w:rPr>
          <w:rFonts w:ascii="Palatino Linotype" w:hAnsi="Palatino Linotype" w:cs="Arial"/>
        </w:rPr>
        <w:lastRenderedPageBreak/>
        <w:t xml:space="preserve">En el procedimiento de acceso a la información y de los medios de impugnación de la materia, se advierten diversos supuestos de </w:t>
      </w:r>
      <w:proofErr w:type="spellStart"/>
      <w:r w:rsidRPr="000D6AEA">
        <w:rPr>
          <w:rFonts w:ascii="Palatino Linotype" w:hAnsi="Palatino Linotype" w:cs="Arial"/>
        </w:rPr>
        <w:t>procedibilidad</w:t>
      </w:r>
      <w:proofErr w:type="spellEnd"/>
      <w:r w:rsidRPr="000D6AEA">
        <w:rPr>
          <w:rFonts w:ascii="Palatino Linotype" w:hAnsi="Palatino Linotype" w:cs="Arial"/>
        </w:rPr>
        <w:t>, los cuales deben estudiarse con la finalidad de dar cumplimiento a los principios de legalidad y objetividad inmersos en el artículo 9 de Ley de Transparencia y Acceso a la Información Pública del Estado de México y Municipios, en correlación con la seguridad jurídica que debe generar lo actuado ante este Organismo garante.</w:t>
      </w:r>
    </w:p>
    <w:p w14:paraId="5B54E30E" w14:textId="77777777" w:rsidR="00912A21" w:rsidRPr="000D6AEA" w:rsidRDefault="00912A21" w:rsidP="006920EF">
      <w:pPr>
        <w:pStyle w:val="Prrafodelista"/>
        <w:autoSpaceDE w:val="0"/>
        <w:autoSpaceDN w:val="0"/>
        <w:adjustRightInd w:val="0"/>
        <w:spacing w:line="360" w:lineRule="auto"/>
        <w:ind w:left="0"/>
        <w:jc w:val="both"/>
        <w:rPr>
          <w:rFonts w:ascii="Palatino Linotype" w:hAnsi="Palatino Linotype" w:cs="Arial"/>
        </w:rPr>
      </w:pPr>
    </w:p>
    <w:p w14:paraId="629769A0" w14:textId="77777777" w:rsidR="00912A21" w:rsidRPr="000D6AEA" w:rsidRDefault="00912A21" w:rsidP="006920EF">
      <w:pPr>
        <w:pStyle w:val="Prrafodelista"/>
        <w:autoSpaceDE w:val="0"/>
        <w:autoSpaceDN w:val="0"/>
        <w:adjustRightInd w:val="0"/>
        <w:spacing w:line="360" w:lineRule="auto"/>
        <w:ind w:left="0"/>
        <w:jc w:val="both"/>
        <w:rPr>
          <w:rFonts w:ascii="Palatino Linotype" w:hAnsi="Palatino Linotype" w:cs="Arial"/>
        </w:rPr>
      </w:pPr>
      <w:r w:rsidRPr="000D6AEA">
        <w:rPr>
          <w:rFonts w:ascii="Palatino Linotype" w:hAnsi="Palatino Linotype" w:cs="Arial"/>
        </w:rPr>
        <w:t xml:space="preserve">De lo anterior, el estudio de las causas de improcedencia que se hagan valer por las partes o que se advierta de oficio por este </w:t>
      </w:r>
      <w:proofErr w:type="spellStart"/>
      <w:r w:rsidRPr="000D6AEA">
        <w:rPr>
          <w:rFonts w:ascii="Palatino Linotype" w:hAnsi="Palatino Linotype" w:cs="Arial"/>
        </w:rPr>
        <w:t>Resolutor</w:t>
      </w:r>
      <w:proofErr w:type="spellEnd"/>
      <w:r w:rsidRPr="000D6AEA">
        <w:rPr>
          <w:rFonts w:ascii="Palatino Linotype" w:hAnsi="Palatino Linotype" w:cs="Arial"/>
        </w:rPr>
        <w:t xml:space="preserve"> debe ser objeto de análisis previo al estudio de fondo del asunto, ya que el estudio de los presupuestos procesales sobre el inicio o trámite de un proceso genera eficacia jurídica de las resoluciones, más aún que se trata de una figura procesal adoptada en la ley de la materia la cual impide su estudio y resolución cuando una vez admitido el recurso de revisión, se advierta una causa de improcedencia que permita sobreseer el recurso de revisión sin estudiar el fondo del asunto; circunstancias anteriores que no son incompatibles con el derecho de acceso a la justicia, ya que éste no se coarta por regular causas de improcedencia y sobreseimiento con tales fines</w:t>
      </w:r>
      <w:r w:rsidRPr="000D6AEA">
        <w:rPr>
          <w:rStyle w:val="Refdenotaalpie"/>
          <w:rFonts w:ascii="Palatino Linotype" w:hAnsi="Palatino Linotype" w:cs="Arial"/>
        </w:rPr>
        <w:footnoteReference w:id="1"/>
      </w:r>
      <w:r w:rsidRPr="000D6AEA">
        <w:rPr>
          <w:rFonts w:ascii="Palatino Linotype" w:hAnsi="Palatino Linotype" w:cs="Arial"/>
        </w:rPr>
        <w:t>.</w:t>
      </w:r>
    </w:p>
    <w:p w14:paraId="65BBFB49" w14:textId="77777777" w:rsidR="00912A21" w:rsidRPr="000D6AEA" w:rsidRDefault="00912A21" w:rsidP="006920EF">
      <w:pPr>
        <w:pStyle w:val="Prrafodelista"/>
        <w:autoSpaceDE w:val="0"/>
        <w:autoSpaceDN w:val="0"/>
        <w:adjustRightInd w:val="0"/>
        <w:spacing w:line="360" w:lineRule="auto"/>
        <w:ind w:left="0"/>
        <w:jc w:val="both"/>
        <w:rPr>
          <w:rFonts w:ascii="Palatino Linotype" w:hAnsi="Palatino Linotype" w:cs="Arial"/>
        </w:rPr>
      </w:pPr>
    </w:p>
    <w:p w14:paraId="6B09346A" w14:textId="337EDC7E" w:rsidR="00912A21" w:rsidRPr="000D6AEA" w:rsidRDefault="00912A21" w:rsidP="006920EF">
      <w:pPr>
        <w:pStyle w:val="Prrafodelista"/>
        <w:autoSpaceDE w:val="0"/>
        <w:autoSpaceDN w:val="0"/>
        <w:adjustRightInd w:val="0"/>
        <w:spacing w:line="360" w:lineRule="auto"/>
        <w:ind w:left="0"/>
        <w:jc w:val="both"/>
        <w:rPr>
          <w:rFonts w:ascii="Palatino Linotype" w:hAnsi="Palatino Linotype" w:cs="Arial"/>
        </w:rPr>
      </w:pPr>
      <w:r w:rsidRPr="000D6AEA">
        <w:rPr>
          <w:rFonts w:ascii="Palatino Linotype" w:hAnsi="Palatino Linotype" w:cs="Arial"/>
        </w:rPr>
        <w:t xml:space="preserve">Así las cosas, al no existir causas de improcedencia invocadas por las partes ni advertidas de oficio por este </w:t>
      </w:r>
      <w:proofErr w:type="spellStart"/>
      <w:r w:rsidRPr="000D6AEA">
        <w:rPr>
          <w:rFonts w:ascii="Palatino Linotype" w:hAnsi="Palatino Linotype" w:cs="Arial"/>
        </w:rPr>
        <w:t>Resolutor</w:t>
      </w:r>
      <w:proofErr w:type="spellEnd"/>
      <w:r w:rsidRPr="000D6AEA">
        <w:rPr>
          <w:rFonts w:ascii="Palatino Linotype" w:hAnsi="Palatino Linotype" w:cs="Arial"/>
        </w:rPr>
        <w:t xml:space="preserve">, se </w:t>
      </w:r>
      <w:proofErr w:type="gramStart"/>
      <w:r w:rsidRPr="000D6AEA">
        <w:rPr>
          <w:rFonts w:ascii="Palatino Linotype" w:hAnsi="Palatino Linotype" w:cs="Arial"/>
        </w:rPr>
        <w:t>procede</w:t>
      </w:r>
      <w:proofErr w:type="gramEnd"/>
      <w:r w:rsidRPr="000D6AEA">
        <w:rPr>
          <w:rFonts w:ascii="Palatino Linotype" w:hAnsi="Palatino Linotype" w:cs="Arial"/>
        </w:rPr>
        <w:t xml:space="preserve"> al análisis del asunto en los siguientes términos.</w:t>
      </w:r>
    </w:p>
    <w:p w14:paraId="24DDA225" w14:textId="77777777" w:rsidR="000A5A65" w:rsidRPr="000D6AEA" w:rsidRDefault="000A5A65" w:rsidP="006920EF">
      <w:pPr>
        <w:pStyle w:val="Prrafodelista"/>
        <w:autoSpaceDE w:val="0"/>
        <w:autoSpaceDN w:val="0"/>
        <w:adjustRightInd w:val="0"/>
        <w:spacing w:line="360" w:lineRule="auto"/>
        <w:ind w:left="0"/>
        <w:jc w:val="both"/>
        <w:rPr>
          <w:rFonts w:ascii="Palatino Linotype" w:hAnsi="Palatino Linotype" w:cs="Arial"/>
        </w:rPr>
      </w:pPr>
    </w:p>
    <w:p w14:paraId="5B2CC6B5" w14:textId="1BC107F8" w:rsidR="00912A21" w:rsidRPr="000D6AEA" w:rsidRDefault="00AE673A" w:rsidP="006920EF">
      <w:pPr>
        <w:pStyle w:val="Prrafodelista"/>
        <w:autoSpaceDE w:val="0"/>
        <w:autoSpaceDN w:val="0"/>
        <w:adjustRightInd w:val="0"/>
        <w:spacing w:line="360" w:lineRule="auto"/>
        <w:ind w:left="0"/>
        <w:jc w:val="both"/>
        <w:rPr>
          <w:rFonts w:ascii="Palatino Linotype" w:hAnsi="Palatino Linotype" w:cs="Arial"/>
          <w:sz w:val="28"/>
          <w:szCs w:val="28"/>
        </w:rPr>
      </w:pPr>
      <w:r w:rsidRPr="000D6AEA">
        <w:rPr>
          <w:rFonts w:ascii="Palatino Linotype" w:hAnsi="Palatino Linotype" w:cs="Arial"/>
          <w:b/>
          <w:sz w:val="28"/>
        </w:rPr>
        <w:t>CUARTO</w:t>
      </w:r>
      <w:r w:rsidR="00912A21" w:rsidRPr="000D6AEA">
        <w:rPr>
          <w:rFonts w:ascii="Palatino Linotype" w:hAnsi="Palatino Linotype" w:cs="Arial"/>
          <w:b/>
          <w:sz w:val="28"/>
          <w:szCs w:val="28"/>
        </w:rPr>
        <w:t>.</w:t>
      </w:r>
      <w:r w:rsidR="00912A21" w:rsidRPr="000D6AEA">
        <w:rPr>
          <w:rFonts w:ascii="Palatino Linotype" w:hAnsi="Palatino Linotype" w:cs="Arial"/>
          <w:sz w:val="28"/>
          <w:szCs w:val="28"/>
        </w:rPr>
        <w:t xml:space="preserve"> </w:t>
      </w:r>
      <w:r w:rsidR="00912A21" w:rsidRPr="000D6AEA">
        <w:rPr>
          <w:rFonts w:ascii="Palatino Linotype" w:hAnsi="Palatino Linotype" w:cs="Arial"/>
          <w:b/>
          <w:sz w:val="28"/>
        </w:rPr>
        <w:t>Estudio y resolución del asunto</w:t>
      </w:r>
      <w:r w:rsidR="00912A21" w:rsidRPr="000D6AEA">
        <w:rPr>
          <w:rFonts w:ascii="Palatino Linotype" w:hAnsi="Palatino Linotype" w:cs="Arial"/>
          <w:b/>
        </w:rPr>
        <w:t>.</w:t>
      </w:r>
    </w:p>
    <w:p w14:paraId="5FD005DD" w14:textId="77777777" w:rsidR="00912A21" w:rsidRPr="000D6AEA" w:rsidRDefault="00912A21" w:rsidP="006920EF">
      <w:pPr>
        <w:pStyle w:val="Prrafodelista"/>
        <w:autoSpaceDE w:val="0"/>
        <w:autoSpaceDN w:val="0"/>
        <w:adjustRightInd w:val="0"/>
        <w:spacing w:line="360" w:lineRule="auto"/>
        <w:ind w:left="0"/>
        <w:jc w:val="both"/>
        <w:rPr>
          <w:rFonts w:ascii="Palatino Linotype" w:hAnsi="Palatino Linotype" w:cs="Arial"/>
        </w:rPr>
      </w:pPr>
      <w:r w:rsidRPr="000D6AEA">
        <w:rPr>
          <w:rFonts w:ascii="Palatino Linotype" w:hAnsi="Palatino Linotype" w:cs="Arial"/>
        </w:rPr>
        <w:t>Ahora bien, se procede al análisis del presente recurso, así como al contenido íntegro de las actuaciones que obran en el expediente electrónico, para así estar en posibilidad este Órgano Colegiado de dictar el fallo correspondiente conforme a derecho, tomando en consideración los elementos aportados por las partes y apegándose en todo momento al principio de máxima publicidad consagrado en nuestra Constitución Federal, Local y demás leyes aplicables en la materia, así como en los tratados internacionales en los que el Estado Mexicano sea parte, en concordancia con el artículo 8 de la Ley de Transparencia local.</w:t>
      </w:r>
    </w:p>
    <w:p w14:paraId="38E0EC0F" w14:textId="77777777" w:rsidR="007B1512" w:rsidRPr="000D6AEA" w:rsidRDefault="007B1512" w:rsidP="006920EF">
      <w:pPr>
        <w:autoSpaceDE w:val="0"/>
        <w:autoSpaceDN w:val="0"/>
        <w:adjustRightInd w:val="0"/>
        <w:spacing w:after="0" w:line="360" w:lineRule="auto"/>
        <w:jc w:val="both"/>
        <w:rPr>
          <w:rFonts w:ascii="Palatino Linotype" w:hAnsi="Palatino Linotype" w:cs="Arial"/>
          <w:sz w:val="24"/>
          <w:szCs w:val="24"/>
        </w:rPr>
      </w:pPr>
    </w:p>
    <w:p w14:paraId="27CCD24B" w14:textId="68CE594A" w:rsidR="009D7D7B" w:rsidRPr="000D6AEA" w:rsidRDefault="009D7D7B" w:rsidP="006920EF">
      <w:pPr>
        <w:autoSpaceDE w:val="0"/>
        <w:autoSpaceDN w:val="0"/>
        <w:adjustRightInd w:val="0"/>
        <w:spacing w:after="0" w:line="360" w:lineRule="auto"/>
        <w:jc w:val="both"/>
        <w:rPr>
          <w:rFonts w:ascii="Palatino Linotype" w:hAnsi="Palatino Linotype" w:cs="Arial"/>
          <w:sz w:val="24"/>
          <w:szCs w:val="24"/>
        </w:rPr>
      </w:pPr>
      <w:r w:rsidRPr="000D6AEA">
        <w:rPr>
          <w:rFonts w:ascii="Palatino Linotype" w:hAnsi="Palatino Linotype" w:cs="Arial"/>
          <w:sz w:val="24"/>
          <w:szCs w:val="24"/>
        </w:rPr>
        <w:lastRenderedPageBreak/>
        <w:t>En primer término es necesario hacer alusión a la solicitud de información ya que de ella deriva por un lado al procedimiento de acceso a la información ante el sujeto obligado, y por otro lado la materia sobre la que versara el recurso de revisión ante este Órgano Garante; se resalta la innegable necesidad de interpretar el texto de las solicitudes, porque no se podría entender el derecho de acceso a la información sin la existencia de solicitudes de información a la luz de su interpretación ya que ésta es la fuente de la materia objeto de la transparencia específica en cada recurso de revisión; es decir, no podemos establecer una materia o un tema como objeto de derecho de acceso a la información, si de la solicitud no se entiende o no se precisan temas o materias objetivas; por ello es de notoria importancia el trabajo de interpretación que se le dé a las solicitudes de información, ya que el sujeto obligado puede considerar una circunstancia en particular diversa a la que el particular objetivamente requiere.</w:t>
      </w:r>
    </w:p>
    <w:p w14:paraId="77AC4EBA" w14:textId="77777777" w:rsidR="009D7D7B" w:rsidRPr="000D6AEA" w:rsidRDefault="009D7D7B" w:rsidP="006920EF">
      <w:pPr>
        <w:autoSpaceDE w:val="0"/>
        <w:autoSpaceDN w:val="0"/>
        <w:adjustRightInd w:val="0"/>
        <w:spacing w:after="0" w:line="360" w:lineRule="auto"/>
        <w:jc w:val="both"/>
        <w:rPr>
          <w:rFonts w:ascii="Palatino Linotype" w:hAnsi="Palatino Linotype" w:cs="Arial"/>
          <w:sz w:val="24"/>
          <w:szCs w:val="24"/>
        </w:rPr>
      </w:pPr>
    </w:p>
    <w:p w14:paraId="28551A5A" w14:textId="627DB017" w:rsidR="009D7D7B" w:rsidRPr="000D6AEA" w:rsidRDefault="009D7D7B" w:rsidP="006920EF">
      <w:pPr>
        <w:pStyle w:val="Prrafodelista"/>
        <w:autoSpaceDE w:val="0"/>
        <w:autoSpaceDN w:val="0"/>
        <w:adjustRightInd w:val="0"/>
        <w:spacing w:line="360" w:lineRule="auto"/>
        <w:ind w:left="0"/>
        <w:jc w:val="both"/>
        <w:rPr>
          <w:rFonts w:ascii="Palatino Linotype" w:hAnsi="Palatino Linotype" w:cs="Arial"/>
        </w:rPr>
      </w:pPr>
      <w:r w:rsidRPr="000D6AEA">
        <w:rPr>
          <w:rFonts w:ascii="Palatino Linotype" w:hAnsi="Palatino Linotype" w:cs="Arial"/>
        </w:rPr>
        <w:t>Ya que el planteamiento del problema es de toral importancia, a efecto de determ</w:t>
      </w:r>
      <w:r w:rsidR="00896349" w:rsidRPr="000D6AEA">
        <w:rPr>
          <w:rFonts w:ascii="Palatino Linotype" w:hAnsi="Palatino Linotype" w:cs="Arial"/>
        </w:rPr>
        <w:t>inar la intención o voluntad d</w:t>
      </w:r>
      <w:r w:rsidR="00C321B1" w:rsidRPr="000D6AEA">
        <w:rPr>
          <w:rFonts w:ascii="Palatino Linotype" w:hAnsi="Palatino Linotype" w:cs="Arial"/>
        </w:rPr>
        <w:t>el</w:t>
      </w:r>
      <w:r w:rsidRPr="000D6AEA">
        <w:rPr>
          <w:rFonts w:ascii="Palatino Linotype" w:hAnsi="Palatino Linotype" w:cs="Arial"/>
        </w:rPr>
        <w:t xml:space="preserve"> </w:t>
      </w:r>
      <w:r w:rsidR="002D66D5" w:rsidRPr="000D6AEA">
        <w:rPr>
          <w:rFonts w:ascii="Palatino Linotype" w:hAnsi="Palatino Linotype" w:cs="Arial"/>
        </w:rPr>
        <w:t>R</w:t>
      </w:r>
      <w:r w:rsidRPr="000D6AEA">
        <w:rPr>
          <w:rFonts w:ascii="Palatino Linotype" w:hAnsi="Palatino Linotype" w:cs="Arial"/>
        </w:rPr>
        <w:t>ecurrente a la luz de la interpretación de las solicitudes de información, y que puede generar de forma objetiva y material el sujeto obligado que se relacione con esa intención, respecto del presente asunto se realiza a continuación.</w:t>
      </w:r>
    </w:p>
    <w:p w14:paraId="41F72F69" w14:textId="77777777" w:rsidR="00AA0796" w:rsidRPr="000D6AEA" w:rsidRDefault="00AA0796" w:rsidP="006920EF">
      <w:pPr>
        <w:pStyle w:val="Prrafodelista"/>
        <w:autoSpaceDE w:val="0"/>
        <w:autoSpaceDN w:val="0"/>
        <w:adjustRightInd w:val="0"/>
        <w:spacing w:line="360" w:lineRule="auto"/>
        <w:ind w:left="0"/>
        <w:jc w:val="both"/>
        <w:rPr>
          <w:rFonts w:ascii="Palatino Linotype" w:hAnsi="Palatino Linotype" w:cs="Arial"/>
        </w:rPr>
      </w:pPr>
    </w:p>
    <w:p w14:paraId="63E0AE02" w14:textId="77777777" w:rsidR="00C57CB5" w:rsidRPr="000D6AEA" w:rsidRDefault="00C57CB5" w:rsidP="006920EF">
      <w:pPr>
        <w:pStyle w:val="Prrafodelista"/>
        <w:autoSpaceDE w:val="0"/>
        <w:autoSpaceDN w:val="0"/>
        <w:adjustRightInd w:val="0"/>
        <w:spacing w:line="360" w:lineRule="auto"/>
        <w:ind w:left="0"/>
        <w:jc w:val="both"/>
        <w:rPr>
          <w:rFonts w:ascii="Palatino Linotype" w:hAnsi="Palatino Linotype" w:cs="Arial"/>
        </w:rPr>
      </w:pPr>
      <w:r w:rsidRPr="000D6AEA">
        <w:rPr>
          <w:rFonts w:ascii="Palatino Linotype" w:hAnsi="Palatino Linotype" w:cs="Arial"/>
        </w:rPr>
        <w:t xml:space="preserve">Ahora bien, se procede al análisis del presente recurso, así como al contenido íntegro de las actuaciones que obran en el expediente electrónico, para así estar en posibilidad este Órgano Colegiado de dictar el fallo correspondiente conforme a derecho, tomando en consideración los elementos aportados por las partes y apegándose en todo momento al principio de máxima publicidad consagrado en nuestra Constitución </w:t>
      </w:r>
      <w:r w:rsidRPr="000D6AEA">
        <w:rPr>
          <w:rFonts w:ascii="Palatino Linotype" w:hAnsi="Palatino Linotype" w:cs="Arial"/>
        </w:rPr>
        <w:lastRenderedPageBreak/>
        <w:t>Federal, Local y demás leyes aplicables en la materia, así como en los tratados internacionales en los que el Estado Mexicano sea parte, en concordancia con el párrafo tercero del artículo 1</w:t>
      </w:r>
      <w:r w:rsidR="007B1512" w:rsidRPr="000D6AEA">
        <w:rPr>
          <w:rFonts w:ascii="Palatino Linotype" w:hAnsi="Palatino Linotype" w:cs="Arial"/>
        </w:rPr>
        <w:t>,</w:t>
      </w:r>
      <w:r w:rsidRPr="000D6AEA">
        <w:rPr>
          <w:rFonts w:ascii="Palatino Linotype" w:hAnsi="Palatino Linotype" w:cs="Arial"/>
        </w:rPr>
        <w:t xml:space="preserve"> de la Constitución Federal y el diverso 8</w:t>
      </w:r>
      <w:r w:rsidR="007B1512" w:rsidRPr="000D6AEA">
        <w:rPr>
          <w:rFonts w:ascii="Palatino Linotype" w:hAnsi="Palatino Linotype" w:cs="Arial"/>
        </w:rPr>
        <w:t>,</w:t>
      </w:r>
      <w:r w:rsidRPr="000D6AEA">
        <w:rPr>
          <w:rFonts w:ascii="Palatino Linotype" w:hAnsi="Palatino Linotype" w:cs="Arial"/>
        </w:rPr>
        <w:t xml:space="preserve"> de la Ley de Transparencia local.</w:t>
      </w:r>
    </w:p>
    <w:p w14:paraId="1EBD54ED" w14:textId="77777777" w:rsidR="007B1512" w:rsidRPr="000D6AEA" w:rsidRDefault="007B1512" w:rsidP="006920EF">
      <w:pPr>
        <w:tabs>
          <w:tab w:val="left" w:pos="709"/>
        </w:tabs>
        <w:spacing w:after="0" w:line="360" w:lineRule="auto"/>
        <w:jc w:val="both"/>
        <w:rPr>
          <w:rFonts w:ascii="Palatino Linotype" w:hAnsi="Palatino Linotype" w:cs="Arial"/>
          <w:sz w:val="24"/>
          <w:szCs w:val="24"/>
        </w:rPr>
      </w:pPr>
    </w:p>
    <w:p w14:paraId="464EF2E4" w14:textId="66577C80" w:rsidR="00C321B1" w:rsidRPr="000D6AEA" w:rsidRDefault="00847043" w:rsidP="006920EF">
      <w:pPr>
        <w:pStyle w:val="Prrafodelista"/>
        <w:autoSpaceDE w:val="0"/>
        <w:autoSpaceDN w:val="0"/>
        <w:adjustRightInd w:val="0"/>
        <w:spacing w:line="360" w:lineRule="auto"/>
        <w:ind w:left="0"/>
        <w:jc w:val="both"/>
        <w:rPr>
          <w:rFonts w:ascii="Palatino Linotype" w:hAnsi="Palatino Linotype"/>
        </w:rPr>
      </w:pPr>
      <w:r w:rsidRPr="000D6AEA">
        <w:rPr>
          <w:rFonts w:ascii="Palatino Linotype" w:hAnsi="Palatino Linotype" w:cs="Arial"/>
        </w:rPr>
        <w:t xml:space="preserve">Así, </w:t>
      </w:r>
      <w:r w:rsidR="00063B7A" w:rsidRPr="000D6AEA">
        <w:rPr>
          <w:rFonts w:ascii="Palatino Linotype" w:hAnsi="Palatino Linotype" w:cs="Arial"/>
        </w:rPr>
        <w:t>u</w:t>
      </w:r>
      <w:r w:rsidR="009232E7" w:rsidRPr="000D6AEA">
        <w:rPr>
          <w:rFonts w:ascii="Palatino Linotype" w:hAnsi="Palatino Linotype"/>
        </w:rPr>
        <w:t xml:space="preserve">na vez analizada la solicitud de información, podemos determinar que objetivamente </w:t>
      </w:r>
      <w:r w:rsidR="00C321B1" w:rsidRPr="000D6AEA">
        <w:rPr>
          <w:rFonts w:ascii="Palatino Linotype" w:hAnsi="Palatino Linotype"/>
          <w:b/>
          <w:bCs/>
        </w:rPr>
        <w:t>el</w:t>
      </w:r>
      <w:r w:rsidR="009232E7" w:rsidRPr="000D6AEA">
        <w:rPr>
          <w:rFonts w:ascii="Palatino Linotype" w:hAnsi="Palatino Linotype"/>
          <w:b/>
          <w:bCs/>
        </w:rPr>
        <w:t xml:space="preserve"> Recurrente</w:t>
      </w:r>
      <w:r w:rsidR="009232E7" w:rsidRPr="000D6AEA">
        <w:rPr>
          <w:rFonts w:ascii="Palatino Linotype" w:hAnsi="Palatino Linotype"/>
        </w:rPr>
        <w:t xml:space="preserve"> peticiona</w:t>
      </w:r>
      <w:r w:rsidR="00C321B1" w:rsidRPr="000D6AEA">
        <w:rPr>
          <w:rFonts w:ascii="Palatino Linotype" w:hAnsi="Palatino Linotype"/>
        </w:rPr>
        <w:t xml:space="preserve"> lo siguiente: </w:t>
      </w:r>
      <w:r w:rsidR="00760FCC" w:rsidRPr="000D6AEA">
        <w:rPr>
          <w:rFonts w:ascii="Palatino Linotype" w:hAnsi="Palatino Linotype"/>
        </w:rPr>
        <w:t xml:space="preserve"> </w:t>
      </w:r>
    </w:p>
    <w:p w14:paraId="7DCFA671" w14:textId="77777777" w:rsidR="00C321B1" w:rsidRPr="000D6AEA" w:rsidRDefault="00C321B1" w:rsidP="006920EF">
      <w:pPr>
        <w:pStyle w:val="Prrafodelista"/>
        <w:autoSpaceDE w:val="0"/>
        <w:autoSpaceDN w:val="0"/>
        <w:adjustRightInd w:val="0"/>
        <w:spacing w:line="360" w:lineRule="auto"/>
        <w:ind w:left="0"/>
        <w:jc w:val="both"/>
        <w:rPr>
          <w:rFonts w:ascii="Palatino Linotype" w:hAnsi="Palatino Linotype"/>
        </w:rPr>
      </w:pPr>
    </w:p>
    <w:p w14:paraId="2EC27374" w14:textId="3AC3C1C5" w:rsidR="00262E5B" w:rsidRPr="000D6AEA" w:rsidRDefault="00344663" w:rsidP="00262E5B">
      <w:pPr>
        <w:pStyle w:val="Prrafodelista"/>
        <w:numPr>
          <w:ilvl w:val="0"/>
          <w:numId w:val="42"/>
        </w:numPr>
        <w:rPr>
          <w:rFonts w:ascii="Palatino Linotype" w:hAnsi="Palatino Linotype"/>
          <w:i/>
          <w:iCs/>
        </w:rPr>
      </w:pPr>
      <w:r w:rsidRPr="000D6AEA">
        <w:rPr>
          <w:rFonts w:ascii="Palatino Linotype" w:hAnsi="Palatino Linotype"/>
          <w:i/>
          <w:iCs/>
        </w:rPr>
        <w:t xml:space="preserve">Nómina de la segunda quincena de abril de 2026 del Sistema Municipal para el Desarrollo Integral de la Familia de </w:t>
      </w:r>
      <w:proofErr w:type="spellStart"/>
      <w:r w:rsidRPr="000D6AEA">
        <w:rPr>
          <w:rFonts w:ascii="Palatino Linotype" w:hAnsi="Palatino Linotype"/>
          <w:i/>
          <w:iCs/>
        </w:rPr>
        <w:t>Juchitepec</w:t>
      </w:r>
      <w:proofErr w:type="spellEnd"/>
      <w:r w:rsidRPr="000D6AEA">
        <w:rPr>
          <w:rFonts w:ascii="Palatino Linotype" w:hAnsi="Palatino Linotype"/>
          <w:i/>
          <w:iCs/>
        </w:rPr>
        <w:t>.</w:t>
      </w:r>
    </w:p>
    <w:p w14:paraId="36A94F1E" w14:textId="77777777" w:rsidR="00C321B1" w:rsidRPr="000D6AEA" w:rsidRDefault="00C321B1" w:rsidP="006920EF">
      <w:pPr>
        <w:pStyle w:val="Prrafodelista"/>
        <w:spacing w:line="360" w:lineRule="auto"/>
        <w:ind w:left="0"/>
        <w:contextualSpacing/>
        <w:jc w:val="both"/>
        <w:rPr>
          <w:rFonts w:ascii="Palatino Linotype" w:hAnsi="Palatino Linotype"/>
          <w:color w:val="000000"/>
          <w:lang w:val="es-ES_tradnl"/>
        </w:rPr>
      </w:pPr>
    </w:p>
    <w:p w14:paraId="388D0269" w14:textId="0142A034" w:rsidR="005E50F1" w:rsidRPr="000D6AEA" w:rsidRDefault="000F5CBE" w:rsidP="006920EF">
      <w:pPr>
        <w:pStyle w:val="Prrafodelista"/>
        <w:spacing w:line="360" w:lineRule="auto"/>
        <w:ind w:left="0"/>
        <w:contextualSpacing/>
        <w:jc w:val="both"/>
        <w:rPr>
          <w:rFonts w:ascii="Palatino Linotype" w:hAnsi="Palatino Linotype"/>
          <w:color w:val="000000"/>
          <w:lang w:val="es-ES_tradnl"/>
        </w:rPr>
      </w:pPr>
      <w:r w:rsidRPr="000D6AEA">
        <w:rPr>
          <w:rFonts w:ascii="Palatino Linotype" w:hAnsi="Palatino Linotype"/>
          <w:color w:val="000000"/>
          <w:lang w:val="es-ES_tradnl"/>
        </w:rPr>
        <w:t xml:space="preserve">Ahora bien, en respuesta a los requerimientos formulados por </w:t>
      </w:r>
      <w:r w:rsidR="00E21C29" w:rsidRPr="000D6AEA">
        <w:rPr>
          <w:rFonts w:ascii="Palatino Linotype" w:hAnsi="Palatino Linotype"/>
          <w:color w:val="000000"/>
          <w:lang w:val="es-ES_tradnl"/>
        </w:rPr>
        <w:t>el</w:t>
      </w:r>
      <w:r w:rsidRPr="000D6AEA">
        <w:rPr>
          <w:rFonts w:ascii="Palatino Linotype" w:hAnsi="Palatino Linotype"/>
          <w:color w:val="000000"/>
          <w:lang w:val="es-ES_tradnl"/>
        </w:rPr>
        <w:t xml:space="preserve"> particular, el </w:t>
      </w:r>
      <w:r w:rsidR="0025394E" w:rsidRPr="000D6AEA">
        <w:rPr>
          <w:rFonts w:ascii="Palatino Linotype" w:hAnsi="Palatino Linotype"/>
          <w:b/>
          <w:color w:val="000000"/>
          <w:lang w:val="es-ES_tradnl"/>
        </w:rPr>
        <w:t>S</w:t>
      </w:r>
      <w:r w:rsidRPr="000D6AEA">
        <w:rPr>
          <w:rFonts w:ascii="Palatino Linotype" w:hAnsi="Palatino Linotype"/>
          <w:b/>
          <w:color w:val="000000"/>
          <w:lang w:val="es-ES_tradnl"/>
        </w:rPr>
        <w:t xml:space="preserve">ujeto </w:t>
      </w:r>
      <w:r w:rsidR="0025394E" w:rsidRPr="000D6AEA">
        <w:rPr>
          <w:rFonts w:ascii="Palatino Linotype" w:hAnsi="Palatino Linotype"/>
          <w:b/>
          <w:color w:val="000000"/>
          <w:lang w:val="es-ES_tradnl"/>
        </w:rPr>
        <w:t>O</w:t>
      </w:r>
      <w:r w:rsidRPr="000D6AEA">
        <w:rPr>
          <w:rFonts w:ascii="Palatino Linotype" w:hAnsi="Palatino Linotype"/>
          <w:b/>
          <w:color w:val="000000"/>
          <w:lang w:val="es-ES_tradnl"/>
        </w:rPr>
        <w:t xml:space="preserve">bligado </w:t>
      </w:r>
      <w:r w:rsidR="008F2868" w:rsidRPr="000D6AEA">
        <w:rPr>
          <w:rFonts w:ascii="Palatino Linotype" w:hAnsi="Palatino Linotype"/>
          <w:bCs/>
          <w:color w:val="000000"/>
          <w:lang w:val="es-ES_tradnl"/>
        </w:rPr>
        <w:t>turnó la solicitud a la</w:t>
      </w:r>
      <w:r w:rsidR="00382978" w:rsidRPr="000D6AEA">
        <w:rPr>
          <w:rFonts w:ascii="Palatino Linotype" w:hAnsi="Palatino Linotype"/>
          <w:bCs/>
          <w:color w:val="000000"/>
          <w:lang w:val="es-ES_tradnl"/>
        </w:rPr>
        <w:t>s</w:t>
      </w:r>
      <w:r w:rsidR="008F2868" w:rsidRPr="000D6AEA">
        <w:rPr>
          <w:rFonts w:ascii="Palatino Linotype" w:hAnsi="Palatino Linotype"/>
          <w:bCs/>
          <w:color w:val="000000"/>
          <w:lang w:val="es-ES_tradnl"/>
        </w:rPr>
        <w:t xml:space="preserve"> unidad</w:t>
      </w:r>
      <w:r w:rsidR="00382978" w:rsidRPr="000D6AEA">
        <w:rPr>
          <w:rFonts w:ascii="Palatino Linotype" w:hAnsi="Palatino Linotype"/>
          <w:bCs/>
          <w:color w:val="000000"/>
          <w:lang w:val="es-ES_tradnl"/>
        </w:rPr>
        <w:t>es</w:t>
      </w:r>
      <w:r w:rsidR="008F2868" w:rsidRPr="000D6AEA">
        <w:rPr>
          <w:rFonts w:ascii="Palatino Linotype" w:hAnsi="Palatino Linotype"/>
          <w:bCs/>
          <w:color w:val="000000"/>
          <w:lang w:val="es-ES_tradnl"/>
        </w:rPr>
        <w:t xml:space="preserve"> administrativa</w:t>
      </w:r>
      <w:r w:rsidR="00382978" w:rsidRPr="000D6AEA">
        <w:rPr>
          <w:rFonts w:ascii="Palatino Linotype" w:hAnsi="Palatino Linotype"/>
          <w:bCs/>
          <w:color w:val="000000"/>
          <w:lang w:val="es-ES_tradnl"/>
        </w:rPr>
        <w:t>s</w:t>
      </w:r>
      <w:r w:rsidR="008F2868" w:rsidRPr="000D6AEA">
        <w:rPr>
          <w:rFonts w:ascii="Palatino Linotype" w:hAnsi="Palatino Linotype"/>
          <w:bCs/>
          <w:color w:val="000000"/>
          <w:lang w:val="es-ES_tradnl"/>
        </w:rPr>
        <w:t xml:space="preserve"> que consideró competente</w:t>
      </w:r>
      <w:r w:rsidR="00382978" w:rsidRPr="000D6AEA">
        <w:rPr>
          <w:rFonts w:ascii="Palatino Linotype" w:hAnsi="Palatino Linotype"/>
          <w:bCs/>
          <w:color w:val="000000"/>
          <w:lang w:val="es-ES_tradnl"/>
        </w:rPr>
        <w:t>s</w:t>
      </w:r>
      <w:r w:rsidR="008F2868" w:rsidRPr="000D6AEA">
        <w:rPr>
          <w:rFonts w:ascii="Palatino Linotype" w:hAnsi="Palatino Linotype"/>
          <w:bCs/>
          <w:color w:val="000000"/>
          <w:lang w:val="es-ES_tradnl"/>
        </w:rPr>
        <w:t xml:space="preserve"> y emitió su respuesta</w:t>
      </w:r>
      <w:r w:rsidR="0025394E" w:rsidRPr="000D6AEA">
        <w:rPr>
          <w:rFonts w:ascii="Palatino Linotype" w:hAnsi="Palatino Linotype"/>
          <w:bCs/>
          <w:color w:val="000000"/>
          <w:lang w:val="es-ES_tradnl"/>
        </w:rPr>
        <w:t>,</w:t>
      </w:r>
      <w:r w:rsidR="008F2868" w:rsidRPr="000D6AEA">
        <w:rPr>
          <w:rFonts w:ascii="Palatino Linotype" w:hAnsi="Palatino Linotype"/>
          <w:bCs/>
          <w:color w:val="000000"/>
          <w:lang w:val="es-ES_tradnl"/>
        </w:rPr>
        <w:t xml:space="preserve"> remitiendo</w:t>
      </w:r>
      <w:r w:rsidR="0025394E" w:rsidRPr="000D6AEA">
        <w:rPr>
          <w:rFonts w:ascii="Palatino Linotype" w:hAnsi="Palatino Linotype"/>
          <w:bCs/>
          <w:color w:val="000000"/>
          <w:lang w:val="es-ES_tradnl"/>
        </w:rPr>
        <w:t xml:space="preserve"> para tal efecto</w:t>
      </w:r>
      <w:r w:rsidR="008F2868" w:rsidRPr="000D6AEA">
        <w:rPr>
          <w:rFonts w:ascii="Palatino Linotype" w:hAnsi="Palatino Linotype"/>
          <w:bCs/>
          <w:color w:val="000000"/>
          <w:lang w:val="es-ES_tradnl"/>
        </w:rPr>
        <w:t xml:space="preserve"> </w:t>
      </w:r>
      <w:r w:rsidR="00344663" w:rsidRPr="000D6AEA">
        <w:rPr>
          <w:rFonts w:ascii="Palatino Linotype" w:hAnsi="Palatino Linotype"/>
          <w:bCs/>
          <w:color w:val="000000"/>
          <w:lang w:val="es-ES_tradnl"/>
        </w:rPr>
        <w:t>dos</w:t>
      </w:r>
      <w:r w:rsidR="008F2868" w:rsidRPr="000D6AEA">
        <w:rPr>
          <w:rFonts w:ascii="Palatino Linotype" w:hAnsi="Palatino Linotype"/>
          <w:bCs/>
          <w:color w:val="000000"/>
          <w:lang w:val="es-ES_tradnl"/>
        </w:rPr>
        <w:t xml:space="preserve"> archivo</w:t>
      </w:r>
      <w:r w:rsidR="00344663" w:rsidRPr="000D6AEA">
        <w:rPr>
          <w:rFonts w:ascii="Palatino Linotype" w:hAnsi="Palatino Linotype"/>
          <w:bCs/>
          <w:color w:val="000000"/>
          <w:lang w:val="es-ES_tradnl"/>
        </w:rPr>
        <w:t>s</w:t>
      </w:r>
      <w:r w:rsidR="008F2868" w:rsidRPr="000D6AEA">
        <w:rPr>
          <w:rFonts w:ascii="Palatino Linotype" w:hAnsi="Palatino Linotype"/>
          <w:bCs/>
          <w:color w:val="000000"/>
          <w:lang w:val="es-ES_tradnl"/>
        </w:rPr>
        <w:t xml:space="preserve"> electrónico</w:t>
      </w:r>
      <w:r w:rsidR="00344663" w:rsidRPr="000D6AEA">
        <w:rPr>
          <w:rFonts w:ascii="Palatino Linotype" w:hAnsi="Palatino Linotype"/>
          <w:bCs/>
          <w:color w:val="000000"/>
          <w:lang w:val="es-ES_tradnl"/>
        </w:rPr>
        <w:t>s</w:t>
      </w:r>
      <w:r w:rsidR="00162A64" w:rsidRPr="000D6AEA">
        <w:rPr>
          <w:rFonts w:ascii="Palatino Linotype" w:hAnsi="Palatino Linotype"/>
          <w:bCs/>
          <w:color w:val="000000"/>
          <w:lang w:val="es-ES_tradnl"/>
        </w:rPr>
        <w:t>,</w:t>
      </w:r>
      <w:r w:rsidR="00382978" w:rsidRPr="000D6AEA">
        <w:rPr>
          <w:rFonts w:ascii="Palatino Linotype" w:hAnsi="Palatino Linotype"/>
          <w:bCs/>
          <w:color w:val="000000"/>
          <w:lang w:val="es-ES_tradnl"/>
        </w:rPr>
        <w:t xml:space="preserve"> </w:t>
      </w:r>
      <w:r w:rsidR="008F2868" w:rsidRPr="000D6AEA">
        <w:rPr>
          <w:rFonts w:ascii="Palatino Linotype" w:hAnsi="Palatino Linotype"/>
          <w:bCs/>
          <w:color w:val="000000"/>
          <w:lang w:val="es-ES_tradnl"/>
        </w:rPr>
        <w:t>de</w:t>
      </w:r>
      <w:r w:rsidR="00344663" w:rsidRPr="000D6AEA">
        <w:rPr>
          <w:rFonts w:ascii="Palatino Linotype" w:hAnsi="Palatino Linotype"/>
          <w:bCs/>
          <w:color w:val="000000"/>
          <w:lang w:val="es-ES_tradnl"/>
        </w:rPr>
        <w:t xml:space="preserve"> los</w:t>
      </w:r>
      <w:r w:rsidR="00E21C29" w:rsidRPr="000D6AEA">
        <w:rPr>
          <w:rFonts w:ascii="Palatino Linotype" w:hAnsi="Palatino Linotype"/>
          <w:bCs/>
          <w:color w:val="000000"/>
          <w:lang w:val="es-ES_tradnl"/>
        </w:rPr>
        <w:t xml:space="preserve"> </w:t>
      </w:r>
      <w:r w:rsidR="008F2868" w:rsidRPr="000D6AEA">
        <w:rPr>
          <w:rFonts w:ascii="Palatino Linotype" w:hAnsi="Palatino Linotype"/>
          <w:bCs/>
          <w:color w:val="000000"/>
          <w:lang w:val="es-ES_tradnl"/>
        </w:rPr>
        <w:t>cual</w:t>
      </w:r>
      <w:r w:rsidR="00344663" w:rsidRPr="000D6AEA">
        <w:rPr>
          <w:rFonts w:ascii="Palatino Linotype" w:hAnsi="Palatino Linotype"/>
          <w:bCs/>
          <w:color w:val="000000"/>
          <w:lang w:val="es-ES_tradnl"/>
        </w:rPr>
        <w:t>es</w:t>
      </w:r>
      <w:r w:rsidR="008F2868" w:rsidRPr="000D6AEA">
        <w:rPr>
          <w:rFonts w:ascii="Palatino Linotype" w:hAnsi="Palatino Linotype"/>
          <w:bCs/>
          <w:color w:val="000000"/>
          <w:lang w:val="es-ES_tradnl"/>
        </w:rPr>
        <w:t xml:space="preserve"> se desprende la siguiente información</w:t>
      </w:r>
      <w:r w:rsidR="00286BF3" w:rsidRPr="000D6AEA">
        <w:rPr>
          <w:rFonts w:ascii="Palatino Linotype" w:hAnsi="Palatino Linotype"/>
          <w:color w:val="000000"/>
          <w:lang w:val="es-ES_tradnl"/>
        </w:rPr>
        <w:t>:</w:t>
      </w:r>
    </w:p>
    <w:p w14:paraId="1F9E885A" w14:textId="1FE1A210" w:rsidR="008F2868" w:rsidRPr="000D6AEA" w:rsidRDefault="008F2868" w:rsidP="006920EF">
      <w:pPr>
        <w:pStyle w:val="Prrafodelista"/>
        <w:spacing w:line="360" w:lineRule="auto"/>
        <w:ind w:left="0"/>
        <w:contextualSpacing/>
        <w:jc w:val="both"/>
        <w:rPr>
          <w:rFonts w:ascii="Palatino Linotype" w:hAnsi="Palatino Linotype"/>
          <w:color w:val="000000"/>
          <w:lang w:val="es-ES_tradnl"/>
        </w:rPr>
      </w:pPr>
    </w:p>
    <w:p w14:paraId="0CAB3C54" w14:textId="0A700821" w:rsidR="00344663" w:rsidRPr="000D6AEA" w:rsidRDefault="00760FCC" w:rsidP="006920EF">
      <w:pPr>
        <w:pStyle w:val="Prrafodelista"/>
        <w:numPr>
          <w:ilvl w:val="0"/>
          <w:numId w:val="18"/>
        </w:numPr>
        <w:spacing w:line="360" w:lineRule="auto"/>
        <w:contextualSpacing/>
        <w:jc w:val="both"/>
        <w:rPr>
          <w:rFonts w:ascii="Palatino Linotype" w:hAnsi="Palatino Linotype"/>
          <w:color w:val="000000"/>
          <w:lang w:val="es-ES_tradnl"/>
        </w:rPr>
      </w:pPr>
      <w:r w:rsidRPr="000D6AEA">
        <w:rPr>
          <w:rFonts w:ascii="Palatino Linotype" w:hAnsi="Palatino Linotype"/>
          <w:b/>
          <w:bCs/>
          <w:color w:val="000000"/>
          <w:lang w:val="es-ES_tradnl"/>
        </w:rPr>
        <w:t>“</w:t>
      </w:r>
      <w:r w:rsidR="00344663" w:rsidRPr="000D6AEA">
        <w:rPr>
          <w:rFonts w:ascii="Palatino Linotype" w:hAnsi="Palatino Linotype"/>
          <w:b/>
          <w:bCs/>
          <w:color w:val="000000"/>
          <w:lang w:val="es-ES_tradnl"/>
        </w:rPr>
        <w:t>FOLIO 00011.pdf</w:t>
      </w:r>
      <w:r w:rsidRPr="000D6AEA">
        <w:rPr>
          <w:rFonts w:ascii="Palatino Linotype" w:hAnsi="Palatino Linotype"/>
          <w:b/>
          <w:bCs/>
          <w:color w:val="000000"/>
          <w:lang w:val="es-ES_tradnl"/>
        </w:rPr>
        <w:t>”</w:t>
      </w:r>
      <w:r w:rsidR="008F2868" w:rsidRPr="000D6AEA">
        <w:rPr>
          <w:rFonts w:ascii="Palatino Linotype" w:hAnsi="Palatino Linotype"/>
          <w:b/>
          <w:bCs/>
          <w:color w:val="000000"/>
          <w:lang w:val="es-ES_tradnl"/>
        </w:rPr>
        <w:t>:</w:t>
      </w:r>
      <w:r w:rsidR="00382978" w:rsidRPr="000D6AEA">
        <w:rPr>
          <w:rFonts w:ascii="Palatino Linotype" w:hAnsi="Palatino Linotype"/>
          <w:b/>
          <w:bCs/>
          <w:color w:val="000000"/>
          <w:lang w:val="es-ES_tradnl"/>
        </w:rPr>
        <w:t xml:space="preserve"> </w:t>
      </w:r>
      <w:r w:rsidR="00344663" w:rsidRPr="000D6AEA">
        <w:rPr>
          <w:rFonts w:ascii="Palatino Linotype" w:hAnsi="Palatino Linotype"/>
          <w:color w:val="000000"/>
          <w:lang w:val="es-ES_tradnl"/>
        </w:rPr>
        <w:t xml:space="preserve">Oficio número </w:t>
      </w:r>
      <w:r w:rsidR="00850CAF" w:rsidRPr="000D6AEA">
        <w:rPr>
          <w:rFonts w:ascii="Palatino Linotype" w:hAnsi="Palatino Linotype"/>
          <w:color w:val="000000"/>
          <w:lang w:val="es-ES_tradnl"/>
        </w:rPr>
        <w:t xml:space="preserve">JUC/SMDIF/TES/0073/2026, con el cual, la Tesorera del Sistema Municipal para el Desarrollo Integral de la Familia de </w:t>
      </w:r>
      <w:proofErr w:type="spellStart"/>
      <w:r w:rsidR="00850CAF" w:rsidRPr="000D6AEA">
        <w:rPr>
          <w:rFonts w:ascii="Palatino Linotype" w:hAnsi="Palatino Linotype"/>
          <w:color w:val="000000"/>
          <w:lang w:val="es-ES_tradnl"/>
        </w:rPr>
        <w:t>Juchitepec</w:t>
      </w:r>
      <w:proofErr w:type="spellEnd"/>
      <w:r w:rsidR="00850CAF" w:rsidRPr="000D6AEA">
        <w:rPr>
          <w:rFonts w:ascii="Palatino Linotype" w:hAnsi="Palatino Linotype"/>
          <w:color w:val="000000"/>
          <w:lang w:val="es-ES_tradnl"/>
        </w:rPr>
        <w:t xml:space="preserve"> solicita al Titular de la Unidad de Transparencia que, </w:t>
      </w:r>
      <w:r w:rsidR="00850CAF" w:rsidRPr="000D6AEA">
        <w:rPr>
          <w:rFonts w:ascii="Palatino Linotype" w:hAnsi="Palatino Linotype"/>
          <w:color w:val="000000"/>
          <w:lang w:val="es-MX"/>
        </w:rPr>
        <w:t xml:space="preserve">informe a los integrantes del comité de trasparencia del sistema municipal para el desarrollo integral de la familia de </w:t>
      </w:r>
      <w:proofErr w:type="spellStart"/>
      <w:r w:rsidR="00850CAF" w:rsidRPr="000D6AEA">
        <w:rPr>
          <w:rFonts w:ascii="Palatino Linotype" w:hAnsi="Palatino Linotype"/>
          <w:color w:val="000000"/>
          <w:lang w:val="es-MX"/>
        </w:rPr>
        <w:t>Juchitepec</w:t>
      </w:r>
      <w:proofErr w:type="spellEnd"/>
      <w:r w:rsidR="00850CAF" w:rsidRPr="000D6AEA">
        <w:rPr>
          <w:rFonts w:ascii="Palatino Linotype" w:hAnsi="Palatino Linotype"/>
          <w:color w:val="000000"/>
          <w:lang w:val="es-MX"/>
        </w:rPr>
        <w:t>, haga llegar la propuesta del cuadro de clasificación de la información contenida en la documentación que se remitirá al solicitante</w:t>
      </w:r>
      <w:r w:rsidR="00FE1D27" w:rsidRPr="000D6AEA">
        <w:rPr>
          <w:rFonts w:ascii="Palatino Linotype" w:hAnsi="Palatino Linotype"/>
          <w:color w:val="000000"/>
          <w:lang w:val="es-MX"/>
        </w:rPr>
        <w:t>.</w:t>
      </w:r>
    </w:p>
    <w:p w14:paraId="6F2E9C8A" w14:textId="77777777" w:rsidR="00FE1D27" w:rsidRPr="000D6AEA" w:rsidRDefault="00FE1D27" w:rsidP="00FE1D27">
      <w:pPr>
        <w:pStyle w:val="Prrafodelista"/>
        <w:spacing w:line="360" w:lineRule="auto"/>
        <w:ind w:left="720"/>
        <w:contextualSpacing/>
        <w:jc w:val="both"/>
        <w:rPr>
          <w:rFonts w:ascii="Palatino Linotype" w:hAnsi="Palatino Linotype"/>
          <w:b/>
          <w:bCs/>
          <w:color w:val="000000"/>
          <w:lang w:val="es-ES_tradnl"/>
        </w:rPr>
      </w:pPr>
    </w:p>
    <w:p w14:paraId="0A4E1C46" w14:textId="7261C0B4" w:rsidR="00FE1D27" w:rsidRPr="000D6AEA" w:rsidRDefault="00FE1D27" w:rsidP="00FE1D27">
      <w:pPr>
        <w:pStyle w:val="Prrafodelista"/>
        <w:spacing w:line="360" w:lineRule="auto"/>
        <w:ind w:left="720"/>
        <w:contextualSpacing/>
        <w:jc w:val="both"/>
        <w:rPr>
          <w:rFonts w:ascii="Palatino Linotype" w:hAnsi="Palatino Linotype"/>
          <w:color w:val="000000"/>
          <w:lang w:val="es-ES_tradnl"/>
        </w:rPr>
      </w:pPr>
      <w:r w:rsidRPr="000D6AEA">
        <w:rPr>
          <w:rFonts w:ascii="Palatino Linotype" w:hAnsi="Palatino Linotype"/>
          <w:color w:val="000000"/>
          <w:lang w:val="es-ES_tradnl"/>
        </w:rPr>
        <w:lastRenderedPageBreak/>
        <w:t xml:space="preserve">A su vez, remitió </w:t>
      </w:r>
      <w:bookmarkStart w:id="1" w:name="_Hlk237433443"/>
      <w:r w:rsidRPr="000D6AEA">
        <w:rPr>
          <w:rFonts w:ascii="Palatino Linotype" w:hAnsi="Palatino Linotype"/>
          <w:color w:val="000000"/>
          <w:lang w:val="es-ES_tradnl"/>
        </w:rPr>
        <w:t xml:space="preserve">la versión pública de la </w:t>
      </w:r>
      <w:r w:rsidRPr="000D6AEA">
        <w:rPr>
          <w:rFonts w:ascii="Palatino Linotype" w:hAnsi="Palatino Linotype"/>
          <w:b/>
          <w:bCs/>
          <w:color w:val="000000"/>
          <w:u w:val="single"/>
          <w:lang w:val="es-ES_tradnl"/>
        </w:rPr>
        <w:t>nómina general del personal administrativo de la administración 2025-2027, correspondiente a la segunda quincena de abril de 2026</w:t>
      </w:r>
      <w:bookmarkEnd w:id="1"/>
      <w:r w:rsidRPr="000D6AEA">
        <w:rPr>
          <w:rFonts w:ascii="Palatino Linotype" w:hAnsi="Palatino Linotype"/>
          <w:color w:val="000000"/>
          <w:lang w:val="es-ES_tradnl"/>
        </w:rPr>
        <w:t xml:space="preserve">, así como </w:t>
      </w:r>
      <w:r w:rsidR="00DF757E" w:rsidRPr="000D6AEA">
        <w:rPr>
          <w:rFonts w:ascii="Palatino Linotype" w:hAnsi="Palatino Linotype"/>
          <w:color w:val="000000"/>
          <w:lang w:val="es-ES_tradnl"/>
        </w:rPr>
        <w:t xml:space="preserve">el cuadro de clasificación respectivo referido en el párrafo inmediato anterior. </w:t>
      </w:r>
    </w:p>
    <w:p w14:paraId="563E5FB6" w14:textId="77777777" w:rsidR="00344663" w:rsidRPr="000D6AEA" w:rsidRDefault="00344663" w:rsidP="00344663">
      <w:pPr>
        <w:pStyle w:val="Prrafodelista"/>
        <w:spacing w:line="360" w:lineRule="auto"/>
        <w:ind w:left="720"/>
        <w:contextualSpacing/>
        <w:jc w:val="both"/>
        <w:rPr>
          <w:rFonts w:ascii="Palatino Linotype" w:hAnsi="Palatino Linotype"/>
          <w:color w:val="000000"/>
          <w:lang w:val="es-ES_tradnl"/>
        </w:rPr>
      </w:pPr>
    </w:p>
    <w:p w14:paraId="3AF6E488" w14:textId="27AD9CEA" w:rsidR="00144E4C" w:rsidRPr="000D6AEA" w:rsidRDefault="00DF757E" w:rsidP="006920EF">
      <w:pPr>
        <w:pStyle w:val="Prrafodelista"/>
        <w:numPr>
          <w:ilvl w:val="0"/>
          <w:numId w:val="18"/>
        </w:numPr>
        <w:spacing w:line="360" w:lineRule="auto"/>
        <w:contextualSpacing/>
        <w:jc w:val="both"/>
        <w:rPr>
          <w:rFonts w:ascii="Palatino Linotype" w:hAnsi="Palatino Linotype"/>
          <w:color w:val="000000"/>
          <w:lang w:val="es-ES_tradnl"/>
        </w:rPr>
      </w:pPr>
      <w:r w:rsidRPr="000D6AEA">
        <w:rPr>
          <w:rFonts w:ascii="Palatino Linotype" w:hAnsi="Palatino Linotype"/>
          <w:color w:val="000000"/>
          <w:lang w:val="es-ES_tradnl"/>
        </w:rPr>
        <w:t>“</w:t>
      </w:r>
      <w:r w:rsidRPr="000D6AEA">
        <w:rPr>
          <w:rFonts w:ascii="Palatino Linotype" w:hAnsi="Palatino Linotype"/>
          <w:b/>
          <w:bCs/>
          <w:color w:val="000000"/>
          <w:lang w:val="es-ES_tradnl"/>
        </w:rPr>
        <w:t>DECIMA CUARTA SESIÓN EXTRAORDINARIA COMITE TRANSPARENCIA SDMIF JUCHITEPEC.pdf</w:t>
      </w:r>
      <w:r w:rsidRPr="000D6AEA">
        <w:rPr>
          <w:rFonts w:ascii="Palatino Linotype" w:hAnsi="Palatino Linotype"/>
          <w:color w:val="000000"/>
          <w:lang w:val="es-ES_tradnl"/>
        </w:rPr>
        <w:t xml:space="preserve">”: </w:t>
      </w:r>
      <w:r w:rsidR="00144E4C" w:rsidRPr="000D6AEA">
        <w:rPr>
          <w:rFonts w:ascii="Palatino Linotype" w:hAnsi="Palatino Linotype"/>
          <w:color w:val="000000"/>
          <w:lang w:val="es-ES_tradnl"/>
        </w:rPr>
        <w:t xml:space="preserve">Acta de la </w:t>
      </w:r>
      <w:r w:rsidRPr="000D6AEA">
        <w:rPr>
          <w:rFonts w:ascii="Palatino Linotype" w:hAnsi="Palatino Linotype"/>
          <w:color w:val="000000"/>
          <w:lang w:val="es-ES_tradnl"/>
        </w:rPr>
        <w:t xml:space="preserve">Décima </w:t>
      </w:r>
      <w:r w:rsidR="00144E4C" w:rsidRPr="000D6AEA">
        <w:rPr>
          <w:rFonts w:ascii="Palatino Linotype" w:hAnsi="Palatino Linotype"/>
          <w:color w:val="000000"/>
          <w:lang w:val="es-ES_tradnl"/>
        </w:rPr>
        <w:t xml:space="preserve">Cuarta Sesión </w:t>
      </w:r>
      <w:r w:rsidRPr="000D6AEA">
        <w:rPr>
          <w:rFonts w:ascii="Palatino Linotype" w:hAnsi="Palatino Linotype"/>
          <w:color w:val="000000"/>
          <w:lang w:val="es-ES_tradnl"/>
        </w:rPr>
        <w:t>Extraordinaria</w:t>
      </w:r>
      <w:r w:rsidR="00144E4C" w:rsidRPr="000D6AEA">
        <w:rPr>
          <w:rFonts w:ascii="Palatino Linotype" w:hAnsi="Palatino Linotype"/>
          <w:color w:val="000000"/>
          <w:lang w:val="es-ES_tradnl"/>
        </w:rPr>
        <w:t xml:space="preserve"> del Comité de Transparencia del Sujeto Obligado, con la cual, se aprobó la versión pública de los documentos remitidos en respuesta para dar a tención a la solicitud de información de mérito. </w:t>
      </w:r>
    </w:p>
    <w:p w14:paraId="1073C7B9" w14:textId="77777777" w:rsidR="00664E57" w:rsidRPr="000D6AEA" w:rsidRDefault="00664E57" w:rsidP="006920EF">
      <w:pPr>
        <w:spacing w:after="0" w:line="360" w:lineRule="auto"/>
        <w:jc w:val="both"/>
        <w:rPr>
          <w:rFonts w:ascii="Palatino Linotype" w:hAnsi="Palatino Linotype" w:cs="Arial"/>
          <w:sz w:val="24"/>
          <w:szCs w:val="24"/>
        </w:rPr>
      </w:pPr>
    </w:p>
    <w:p w14:paraId="2C69571A" w14:textId="57B64563" w:rsidR="00A87485" w:rsidRPr="000D6AEA" w:rsidRDefault="00091AAA" w:rsidP="006920EF">
      <w:pPr>
        <w:spacing w:after="0" w:line="360" w:lineRule="auto"/>
        <w:jc w:val="both"/>
        <w:rPr>
          <w:rFonts w:ascii="Palatino Linotype" w:hAnsi="Palatino Linotype" w:cs="Arial"/>
          <w:sz w:val="24"/>
          <w:szCs w:val="24"/>
        </w:rPr>
      </w:pPr>
      <w:r w:rsidRPr="000D6AEA">
        <w:rPr>
          <w:rFonts w:ascii="Palatino Linotype" w:hAnsi="Palatino Linotype" w:cs="Arial"/>
          <w:sz w:val="24"/>
          <w:szCs w:val="24"/>
        </w:rPr>
        <w:t xml:space="preserve">Es así </w:t>
      </w:r>
      <w:r w:rsidR="009012C2" w:rsidRPr="000D6AEA">
        <w:rPr>
          <w:rFonts w:ascii="Palatino Linotype" w:hAnsi="Palatino Linotype" w:cs="Arial"/>
          <w:sz w:val="24"/>
          <w:szCs w:val="24"/>
        </w:rPr>
        <w:t>que,</w:t>
      </w:r>
      <w:r w:rsidRPr="000D6AEA">
        <w:rPr>
          <w:rFonts w:ascii="Palatino Linotype" w:hAnsi="Palatino Linotype" w:cs="Arial"/>
          <w:sz w:val="24"/>
          <w:szCs w:val="24"/>
        </w:rPr>
        <w:t xml:space="preserve"> a</w:t>
      </w:r>
      <w:r w:rsidR="00BF390A" w:rsidRPr="000D6AEA">
        <w:rPr>
          <w:rFonts w:ascii="Palatino Linotype" w:hAnsi="Palatino Linotype" w:cs="Arial"/>
          <w:sz w:val="24"/>
          <w:szCs w:val="24"/>
        </w:rPr>
        <w:t xml:space="preserve">nte la respuesta emitida, el particular interpuso el presente recurso de revisión </w:t>
      </w:r>
      <w:r w:rsidR="00FE343A" w:rsidRPr="000D6AEA">
        <w:rPr>
          <w:rFonts w:ascii="Palatino Linotype" w:hAnsi="Palatino Linotype" w:cs="Arial"/>
          <w:sz w:val="24"/>
          <w:szCs w:val="24"/>
        </w:rPr>
        <w:t>manifestando</w:t>
      </w:r>
      <w:r w:rsidR="002D7107" w:rsidRPr="000D6AEA">
        <w:rPr>
          <w:rFonts w:ascii="Palatino Linotype" w:hAnsi="Palatino Linotype" w:cs="Arial"/>
          <w:sz w:val="24"/>
          <w:szCs w:val="24"/>
        </w:rPr>
        <w:t xml:space="preserve"> </w:t>
      </w:r>
      <w:r w:rsidR="00BF390A" w:rsidRPr="000D6AEA">
        <w:rPr>
          <w:rFonts w:ascii="Palatino Linotype" w:hAnsi="Palatino Linotype" w:cs="Arial"/>
          <w:sz w:val="24"/>
          <w:szCs w:val="24"/>
        </w:rPr>
        <w:t xml:space="preserve">como </w:t>
      </w:r>
      <w:r w:rsidR="00311AA7" w:rsidRPr="000D6AEA">
        <w:rPr>
          <w:rFonts w:ascii="Palatino Linotype" w:hAnsi="Palatino Linotype" w:cs="Arial"/>
          <w:sz w:val="24"/>
          <w:szCs w:val="24"/>
        </w:rPr>
        <w:t>acto impugnado</w:t>
      </w:r>
      <w:r w:rsidR="000E269D" w:rsidRPr="000D6AEA">
        <w:rPr>
          <w:rFonts w:ascii="Palatino Linotype" w:hAnsi="Palatino Linotype" w:cs="Arial"/>
          <w:sz w:val="24"/>
          <w:szCs w:val="24"/>
        </w:rPr>
        <w:t xml:space="preserve"> que “</w:t>
      </w:r>
      <w:r w:rsidR="00664E57" w:rsidRPr="000D6AEA">
        <w:rPr>
          <w:rFonts w:ascii="Palatino Linotype" w:hAnsi="Palatino Linotype" w:cs="Arial"/>
          <w:i/>
          <w:iCs/>
          <w:sz w:val="24"/>
          <w:szCs w:val="24"/>
        </w:rPr>
        <w:t>Me están negando la información</w:t>
      </w:r>
      <w:r w:rsidR="00311AA7" w:rsidRPr="000D6AEA">
        <w:rPr>
          <w:rFonts w:ascii="Palatino Linotype" w:hAnsi="Palatino Linotype" w:cs="Arial"/>
          <w:i/>
          <w:iCs/>
          <w:sz w:val="24"/>
          <w:szCs w:val="24"/>
        </w:rPr>
        <w:t xml:space="preserve">” </w:t>
      </w:r>
      <w:r w:rsidR="00311AA7" w:rsidRPr="000D6AEA">
        <w:rPr>
          <w:rFonts w:ascii="Palatino Linotype" w:hAnsi="Palatino Linotype" w:cs="Arial"/>
          <w:sz w:val="24"/>
          <w:szCs w:val="24"/>
        </w:rPr>
        <w:t xml:space="preserve">y como razones o motivos de inconformidad </w:t>
      </w:r>
      <w:r w:rsidR="000E04FA" w:rsidRPr="000D6AEA">
        <w:rPr>
          <w:rFonts w:ascii="Palatino Linotype" w:hAnsi="Palatino Linotype" w:cs="Arial"/>
          <w:sz w:val="24"/>
          <w:szCs w:val="24"/>
        </w:rPr>
        <w:t xml:space="preserve">lo siguiente: </w:t>
      </w:r>
    </w:p>
    <w:p w14:paraId="342B1815" w14:textId="77777777" w:rsidR="00373E0F" w:rsidRPr="000D6AEA" w:rsidRDefault="00373E0F" w:rsidP="006920EF">
      <w:pPr>
        <w:spacing w:after="0" w:line="360" w:lineRule="auto"/>
        <w:jc w:val="both"/>
        <w:rPr>
          <w:rFonts w:ascii="Palatino Linotype" w:hAnsi="Palatino Linotype" w:cs="Arial"/>
          <w:sz w:val="24"/>
          <w:szCs w:val="24"/>
        </w:rPr>
      </w:pPr>
    </w:p>
    <w:p w14:paraId="2FEA19DC" w14:textId="4BE283DB" w:rsidR="00A87485" w:rsidRPr="000D6AEA" w:rsidRDefault="000E04FA" w:rsidP="006920EF">
      <w:pPr>
        <w:spacing w:after="0"/>
        <w:ind w:left="851" w:right="850"/>
        <w:jc w:val="both"/>
        <w:rPr>
          <w:rFonts w:ascii="Palatino Linotype" w:hAnsi="Palatino Linotype" w:cs="Arial"/>
          <w:i/>
        </w:rPr>
      </w:pPr>
      <w:r w:rsidRPr="000D6AEA">
        <w:rPr>
          <w:rFonts w:ascii="Palatino Linotype" w:hAnsi="Palatino Linotype" w:cs="Arial"/>
          <w:i/>
        </w:rPr>
        <w:t>“</w:t>
      </w:r>
      <w:r w:rsidR="00DF757E" w:rsidRPr="000D6AEA">
        <w:rPr>
          <w:rFonts w:ascii="Palatino Linotype" w:hAnsi="Palatino Linotype" w:cs="Arial"/>
          <w:i/>
        </w:rPr>
        <w:t>Fundamentan su contestación con una clasificación de información como confidencial.</w:t>
      </w:r>
      <w:r w:rsidRPr="000D6AEA">
        <w:rPr>
          <w:rFonts w:ascii="Palatino Linotype" w:hAnsi="Palatino Linotype" w:cs="Arial"/>
          <w:i/>
        </w:rPr>
        <w:t>” [</w:t>
      </w:r>
      <w:proofErr w:type="gramStart"/>
      <w:r w:rsidRPr="000D6AEA">
        <w:rPr>
          <w:rFonts w:ascii="Palatino Linotype" w:hAnsi="Palatino Linotype" w:cs="Arial"/>
          <w:i/>
        </w:rPr>
        <w:t>sic</w:t>
      </w:r>
      <w:proofErr w:type="gramEnd"/>
      <w:r w:rsidRPr="000D6AEA">
        <w:rPr>
          <w:rFonts w:ascii="Palatino Linotype" w:hAnsi="Palatino Linotype" w:cs="Arial"/>
          <w:i/>
        </w:rPr>
        <w:t>]</w:t>
      </w:r>
    </w:p>
    <w:p w14:paraId="7DA41048" w14:textId="77777777" w:rsidR="00373E0F" w:rsidRPr="000D6AEA" w:rsidRDefault="00373E0F" w:rsidP="006920EF">
      <w:pPr>
        <w:spacing w:after="0"/>
        <w:ind w:left="851" w:right="850"/>
        <w:jc w:val="both"/>
        <w:rPr>
          <w:rFonts w:ascii="Palatino Linotype" w:hAnsi="Palatino Linotype" w:cs="Arial"/>
          <w:i/>
        </w:rPr>
      </w:pPr>
    </w:p>
    <w:p w14:paraId="12E953B1" w14:textId="77777777" w:rsidR="00373E0F" w:rsidRPr="000D6AEA" w:rsidRDefault="00373E0F" w:rsidP="006920EF">
      <w:pPr>
        <w:tabs>
          <w:tab w:val="left" w:pos="709"/>
        </w:tabs>
        <w:spacing w:after="0" w:line="360" w:lineRule="auto"/>
        <w:ind w:right="51"/>
        <w:jc w:val="both"/>
        <w:rPr>
          <w:rFonts w:ascii="Palatino Linotype" w:hAnsi="Palatino Linotype"/>
          <w:sz w:val="24"/>
          <w:szCs w:val="24"/>
        </w:rPr>
      </w:pPr>
    </w:p>
    <w:p w14:paraId="54A47CE9" w14:textId="0C11716A" w:rsidR="00664E57" w:rsidRPr="000D6AEA" w:rsidRDefault="00664E57" w:rsidP="00664E57">
      <w:pPr>
        <w:spacing w:after="0" w:line="360" w:lineRule="auto"/>
        <w:jc w:val="both"/>
        <w:rPr>
          <w:rFonts w:ascii="Palatino Linotype" w:eastAsia="Times New Roman" w:hAnsi="Palatino Linotype" w:cs="Times New Roman"/>
          <w:sz w:val="24"/>
          <w:szCs w:val="24"/>
        </w:rPr>
      </w:pPr>
      <w:r w:rsidRPr="000D6AEA">
        <w:rPr>
          <w:rFonts w:ascii="Palatino Linotype" w:eastAsia="Times New Roman" w:hAnsi="Palatino Linotype" w:cs="Times New Roman"/>
          <w:sz w:val="24"/>
          <w:szCs w:val="24"/>
        </w:rPr>
        <w:t xml:space="preserve">Por otra parte, el </w:t>
      </w:r>
      <w:r w:rsidRPr="000D6AEA">
        <w:rPr>
          <w:rFonts w:ascii="Palatino Linotype" w:eastAsia="Times New Roman" w:hAnsi="Palatino Linotype" w:cs="Times New Roman"/>
          <w:b/>
          <w:bCs/>
          <w:sz w:val="24"/>
          <w:szCs w:val="24"/>
        </w:rPr>
        <w:t>Sujeto Obligado</w:t>
      </w:r>
      <w:r w:rsidRPr="000D6AEA">
        <w:rPr>
          <w:rFonts w:ascii="Palatino Linotype" w:eastAsia="Times New Roman" w:hAnsi="Palatino Linotype" w:cs="Times New Roman"/>
          <w:sz w:val="24"/>
          <w:szCs w:val="24"/>
        </w:rPr>
        <w:t xml:space="preserve"> rindió en el momento procesal oportuno su Informe Justificado, remitiendo los archivos electrónicos denominados “</w:t>
      </w:r>
      <w:r w:rsidRPr="000D6AEA">
        <w:rPr>
          <w:rFonts w:ascii="Palatino Linotype" w:eastAsia="Times New Roman" w:hAnsi="Palatino Linotype" w:cs="Times New Roman"/>
          <w:b/>
          <w:bCs/>
          <w:sz w:val="24"/>
          <w:szCs w:val="24"/>
        </w:rPr>
        <w:t>OFICIO JUC-SMDIF-TES-077-2026.pdf</w:t>
      </w:r>
      <w:r w:rsidRPr="000D6AEA">
        <w:rPr>
          <w:rFonts w:ascii="Palatino Linotype" w:eastAsia="Times New Roman" w:hAnsi="Palatino Linotype" w:cs="Times New Roman"/>
          <w:sz w:val="24"/>
          <w:szCs w:val="24"/>
        </w:rPr>
        <w:t>” y “</w:t>
      </w:r>
      <w:r w:rsidRPr="000D6AEA">
        <w:rPr>
          <w:rFonts w:ascii="Palatino Linotype" w:eastAsia="Times New Roman" w:hAnsi="Palatino Linotype" w:cs="Times New Roman"/>
          <w:b/>
          <w:bCs/>
          <w:sz w:val="24"/>
          <w:szCs w:val="24"/>
        </w:rPr>
        <w:t>A QUIEN CORRESPONDA 011.pdf</w:t>
      </w:r>
      <w:r w:rsidRPr="000D6AEA">
        <w:rPr>
          <w:rFonts w:ascii="Palatino Linotype" w:eastAsia="Times New Roman" w:hAnsi="Palatino Linotype" w:cs="Times New Roman"/>
          <w:sz w:val="24"/>
          <w:szCs w:val="24"/>
        </w:rPr>
        <w:t xml:space="preserve">”, a través de los cuales, mediante oficios números JUC/SMDIF/TES/007/2026 y JUC/SMDIF/TAIP/074/2026 signados por la Tesorera y el Titular de la Unidad de Transparencia, respectivamente, ratifican la respuesta proporcionada, señalando que no se negó la entrega de </w:t>
      </w:r>
      <w:r w:rsidRPr="000D6AEA">
        <w:rPr>
          <w:rFonts w:ascii="Palatino Linotype" w:eastAsia="Times New Roman" w:hAnsi="Palatino Linotype" w:cs="Times New Roman"/>
          <w:sz w:val="24"/>
          <w:szCs w:val="24"/>
        </w:rPr>
        <w:lastRenderedPageBreak/>
        <w:t xml:space="preserve">información sino que, únicamente se clasificaron datos personales como información confidencial. </w:t>
      </w:r>
    </w:p>
    <w:p w14:paraId="7BB8D16A" w14:textId="77777777" w:rsidR="00664E57" w:rsidRPr="000D6AEA" w:rsidRDefault="00664E57" w:rsidP="006920EF">
      <w:pPr>
        <w:tabs>
          <w:tab w:val="left" w:pos="709"/>
        </w:tabs>
        <w:spacing w:after="0" w:line="360" w:lineRule="auto"/>
        <w:ind w:right="51"/>
        <w:jc w:val="both"/>
        <w:rPr>
          <w:rFonts w:ascii="Palatino Linotype" w:hAnsi="Palatino Linotype" w:cs="Arial"/>
          <w:sz w:val="24"/>
          <w:szCs w:val="24"/>
        </w:rPr>
      </w:pPr>
    </w:p>
    <w:p w14:paraId="7C0C39CC" w14:textId="4558D38E" w:rsidR="00303385" w:rsidRPr="000D6AEA" w:rsidRDefault="00303385" w:rsidP="006920EF">
      <w:pPr>
        <w:tabs>
          <w:tab w:val="left" w:pos="709"/>
        </w:tabs>
        <w:spacing w:after="0" w:line="360" w:lineRule="auto"/>
        <w:ind w:right="51"/>
        <w:jc w:val="both"/>
        <w:rPr>
          <w:rFonts w:ascii="Palatino Linotype" w:hAnsi="Palatino Linotype" w:cs="Arial"/>
          <w:sz w:val="24"/>
          <w:szCs w:val="24"/>
        </w:rPr>
      </w:pPr>
      <w:r w:rsidRPr="000D6AEA">
        <w:rPr>
          <w:rFonts w:ascii="Palatino Linotype" w:hAnsi="Palatino Linotype" w:cs="Arial"/>
          <w:sz w:val="24"/>
          <w:szCs w:val="24"/>
        </w:rPr>
        <w:t xml:space="preserve">Bajo las premisas anteriores, se concluye que en la especie será motivo de análisis si efectivamente, la respuesta otorgada por parte del </w:t>
      </w:r>
      <w:r w:rsidRPr="000D6AEA">
        <w:rPr>
          <w:rFonts w:ascii="Palatino Linotype" w:hAnsi="Palatino Linotype" w:cs="Arial"/>
          <w:b/>
          <w:sz w:val="24"/>
          <w:szCs w:val="24"/>
        </w:rPr>
        <w:t>Sujeto Obligado</w:t>
      </w:r>
      <w:r w:rsidRPr="000D6AEA">
        <w:rPr>
          <w:rFonts w:ascii="Palatino Linotype" w:hAnsi="Palatino Linotype" w:cs="Arial"/>
          <w:sz w:val="24"/>
          <w:szCs w:val="24"/>
        </w:rPr>
        <w:t xml:space="preserve"> satisface los requisitos establecidos por la Ley de la materia.</w:t>
      </w:r>
    </w:p>
    <w:p w14:paraId="3F4E905F" w14:textId="77777777" w:rsidR="0062301B" w:rsidRPr="000D6AEA" w:rsidRDefault="0062301B" w:rsidP="006920EF">
      <w:pPr>
        <w:tabs>
          <w:tab w:val="left" w:pos="709"/>
        </w:tabs>
        <w:spacing w:after="0" w:line="360" w:lineRule="auto"/>
        <w:ind w:right="51"/>
        <w:jc w:val="both"/>
        <w:rPr>
          <w:rFonts w:ascii="Palatino Linotype" w:hAnsi="Palatino Linotype" w:cs="Arial"/>
          <w:sz w:val="24"/>
          <w:szCs w:val="24"/>
        </w:rPr>
      </w:pPr>
    </w:p>
    <w:p w14:paraId="571DB8BD" w14:textId="776D6417" w:rsidR="00303385" w:rsidRPr="000D6AEA" w:rsidRDefault="00303385" w:rsidP="006920EF">
      <w:pPr>
        <w:autoSpaceDE w:val="0"/>
        <w:autoSpaceDN w:val="0"/>
        <w:adjustRightInd w:val="0"/>
        <w:spacing w:after="0" w:line="360" w:lineRule="auto"/>
        <w:jc w:val="both"/>
        <w:rPr>
          <w:rFonts w:ascii="Palatino Linotype" w:hAnsi="Palatino Linotype" w:cs="Arial"/>
          <w:color w:val="000000"/>
          <w:sz w:val="24"/>
          <w:szCs w:val="24"/>
        </w:rPr>
      </w:pPr>
      <w:r w:rsidRPr="000D6AEA">
        <w:rPr>
          <w:rFonts w:ascii="Palatino Linotype" w:hAnsi="Palatino Linotype"/>
          <w:sz w:val="24"/>
          <w:szCs w:val="24"/>
        </w:rPr>
        <w:t>Señalado lo anterior</w:t>
      </w:r>
      <w:r w:rsidRPr="000D6AEA">
        <w:rPr>
          <w:rFonts w:ascii="Palatino Linotype" w:hAnsi="Palatino Linotype" w:cs="Arial"/>
          <w:color w:val="000000"/>
          <w:sz w:val="24"/>
          <w:szCs w:val="24"/>
        </w:rPr>
        <w:t>, es de advertirse lo siguiente, nuestra Carta Magna dispone que para el ejercicio del derecho de acceso a la información los Estados deben observar diversos principios y bases, entre los cuales se establece que toda la información en posesión de cualquier autoridad, órgano, organismo, órganos autónomos, así como de cualquier sindicato que reciba y ejerza recursos públicos o realice actos de autoridad en el ámbito federal, estatal y municipal, es pública y sólo podrá ser reservada temporalmente por razones de interés público y seguridad nacional, en los términos que fijen las leyes, ello se aprecia en el Artículo 6, apartado A, numeral I de la Constitución Política de los Estados Unidos Mexicanos que a la letra establece:</w:t>
      </w:r>
    </w:p>
    <w:p w14:paraId="2A45077F" w14:textId="77777777" w:rsidR="00303385" w:rsidRPr="000D6AEA" w:rsidRDefault="00303385" w:rsidP="006920EF">
      <w:pPr>
        <w:spacing w:after="0"/>
        <w:ind w:left="851" w:right="851"/>
        <w:jc w:val="both"/>
        <w:rPr>
          <w:rFonts w:ascii="Palatino Linotype" w:hAnsi="Palatino Linotype" w:cs="Arial"/>
          <w:bCs/>
          <w:i/>
        </w:rPr>
      </w:pPr>
      <w:r w:rsidRPr="000D6AEA">
        <w:rPr>
          <w:rFonts w:ascii="Palatino Linotype" w:hAnsi="Palatino Linotype" w:cs="Arial"/>
          <w:bCs/>
          <w:i/>
        </w:rPr>
        <w:t>“</w:t>
      </w:r>
      <w:r w:rsidRPr="000D6AEA">
        <w:rPr>
          <w:rFonts w:ascii="Palatino Linotype" w:hAnsi="Palatino Linotype" w:cs="Arial"/>
          <w:b/>
          <w:bCs/>
          <w:i/>
        </w:rPr>
        <w:t>Artículo 6</w:t>
      </w:r>
    </w:p>
    <w:p w14:paraId="353D6F00" w14:textId="77777777" w:rsidR="00303385" w:rsidRPr="000D6AEA" w:rsidRDefault="00303385" w:rsidP="006920EF">
      <w:pPr>
        <w:spacing w:after="0"/>
        <w:ind w:left="851" w:right="851"/>
        <w:jc w:val="both"/>
        <w:rPr>
          <w:rFonts w:ascii="Palatino Linotype" w:hAnsi="Palatino Linotype" w:cs="Arial"/>
          <w:bCs/>
          <w:i/>
        </w:rPr>
      </w:pPr>
      <w:r w:rsidRPr="000D6AEA">
        <w:rPr>
          <w:rFonts w:ascii="Palatino Linotype" w:hAnsi="Palatino Linotype" w:cs="Arial"/>
          <w:bCs/>
          <w:i/>
        </w:rPr>
        <w:t>…</w:t>
      </w:r>
    </w:p>
    <w:p w14:paraId="10D82101" w14:textId="77777777" w:rsidR="00303385" w:rsidRPr="000D6AEA" w:rsidRDefault="00303385" w:rsidP="006920EF">
      <w:pPr>
        <w:spacing w:after="0"/>
        <w:ind w:left="851" w:right="851"/>
        <w:jc w:val="both"/>
        <w:rPr>
          <w:rFonts w:ascii="Palatino Linotype" w:hAnsi="Palatino Linotype" w:cs="Arial"/>
          <w:bCs/>
          <w:i/>
        </w:rPr>
      </w:pPr>
      <w:r w:rsidRPr="000D6AEA">
        <w:rPr>
          <w:rFonts w:ascii="Palatino Linotype" w:hAnsi="Palatino Linotype" w:cs="Arial"/>
          <w:bCs/>
          <w:i/>
        </w:rPr>
        <w:t>Para el ejercicio del derecho de acceso a la información, la Federación, los Estados y el Distrito Federal, en el ámbito de sus respectivas competencias, se regirán por los siguientes principios y bases:</w:t>
      </w:r>
    </w:p>
    <w:p w14:paraId="4E76DA36" w14:textId="77777777" w:rsidR="00303385" w:rsidRPr="000D6AEA" w:rsidRDefault="00303385" w:rsidP="006920EF">
      <w:pPr>
        <w:spacing w:after="0"/>
        <w:ind w:left="851" w:right="851"/>
        <w:jc w:val="both"/>
        <w:rPr>
          <w:rFonts w:ascii="Palatino Linotype" w:hAnsi="Palatino Linotype" w:cs="Arial"/>
          <w:bCs/>
          <w:i/>
        </w:rPr>
      </w:pPr>
    </w:p>
    <w:p w14:paraId="409E21F5" w14:textId="77777777" w:rsidR="00303385" w:rsidRPr="000D6AEA" w:rsidRDefault="00303385" w:rsidP="006920EF">
      <w:pPr>
        <w:tabs>
          <w:tab w:val="left" w:pos="709"/>
        </w:tabs>
        <w:spacing w:after="0"/>
        <w:ind w:left="851" w:right="851"/>
        <w:jc w:val="both"/>
        <w:rPr>
          <w:rFonts w:ascii="Palatino Linotype" w:hAnsi="Palatino Linotype" w:cs="Arial"/>
          <w:bCs/>
          <w:i/>
        </w:rPr>
      </w:pPr>
      <w:r w:rsidRPr="000D6AEA">
        <w:rPr>
          <w:rFonts w:ascii="Palatino Linotype" w:hAnsi="Palatino Linotype" w:cs="Arial"/>
          <w:bCs/>
          <w:i/>
        </w:rPr>
        <w:t xml:space="preserve">I. </w:t>
      </w:r>
      <w:r w:rsidRPr="000D6AEA">
        <w:rPr>
          <w:rFonts w:ascii="Palatino Linotype" w:hAnsi="Palatino Linotype" w:cs="Arial"/>
          <w:bCs/>
          <w:i/>
        </w:rPr>
        <w:tab/>
        <w:t xml:space="preserve">Toda la información en posesión de cualquier autoridad, entidad, órgano y organismo de los Poderes Ejecutivo, Legislativo y Judicial, órganos autónomos, partidos políticos, fideicomisos y fondos públicos, así como de cualquier persona física, moral o sindicato que reciba y ejerza recursos públicos o realice actos de autoridad en el ámbito federal, estatal y municipal, es pública y sólo podrá ser </w:t>
      </w:r>
      <w:r w:rsidRPr="000D6AEA">
        <w:rPr>
          <w:rFonts w:ascii="Palatino Linotype" w:hAnsi="Palatino Linotype" w:cs="Arial"/>
          <w:bCs/>
          <w:i/>
        </w:rPr>
        <w:lastRenderedPageBreak/>
        <w:t>reservada temporalmente por razones de interés público y seguridad nacional,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14:paraId="0D8993C4" w14:textId="77777777" w:rsidR="00303385" w:rsidRPr="000D6AEA" w:rsidRDefault="00303385" w:rsidP="006920EF">
      <w:pPr>
        <w:tabs>
          <w:tab w:val="left" w:pos="709"/>
        </w:tabs>
        <w:spacing w:after="0" w:line="480" w:lineRule="auto"/>
        <w:jc w:val="both"/>
        <w:rPr>
          <w:rFonts w:ascii="Palatino Linotype" w:hAnsi="Palatino Linotype" w:cs="Arial"/>
          <w:sz w:val="24"/>
          <w:szCs w:val="24"/>
        </w:rPr>
      </w:pPr>
    </w:p>
    <w:p w14:paraId="71F67EEC" w14:textId="77777777" w:rsidR="00303385" w:rsidRPr="000D6AEA" w:rsidRDefault="00303385" w:rsidP="006920EF">
      <w:pPr>
        <w:tabs>
          <w:tab w:val="left" w:pos="709"/>
        </w:tabs>
        <w:spacing w:after="0" w:line="360" w:lineRule="auto"/>
        <w:jc w:val="both"/>
        <w:rPr>
          <w:rFonts w:ascii="Palatino Linotype" w:hAnsi="Palatino Linotype" w:cs="Arial"/>
          <w:sz w:val="24"/>
          <w:szCs w:val="24"/>
        </w:rPr>
      </w:pPr>
      <w:r w:rsidRPr="000D6AEA">
        <w:rPr>
          <w:rFonts w:ascii="Palatino Linotype" w:hAnsi="Palatino Linotype" w:cs="Arial"/>
          <w:sz w:val="24"/>
          <w:szCs w:val="24"/>
        </w:rPr>
        <w:t xml:space="preserve">Ahora bien, en atención a lo dispuesto por los artículos 3, fracción XI y 12 </w:t>
      </w:r>
      <w:r w:rsidRPr="000D6AEA">
        <w:rPr>
          <w:rFonts w:ascii="Palatino Linotype" w:hAnsi="Palatino Linotype" w:cs="Arial"/>
          <w:bCs/>
          <w:sz w:val="24"/>
          <w:szCs w:val="24"/>
        </w:rPr>
        <w:t>de la Ley de Transparencia y Acceso a la Información Pública del Estado de México y Municipios</w:t>
      </w:r>
      <w:r w:rsidRPr="000D6AEA">
        <w:rPr>
          <w:rFonts w:ascii="Palatino Linotype" w:hAnsi="Palatino Linotype" w:cs="Arial"/>
          <w:sz w:val="24"/>
          <w:szCs w:val="24"/>
        </w:rPr>
        <w:t>, los cuales son del tenor literal siguiente:</w:t>
      </w:r>
    </w:p>
    <w:p w14:paraId="187010D5" w14:textId="77777777" w:rsidR="00303385" w:rsidRPr="000D6AEA" w:rsidRDefault="00303385" w:rsidP="006920EF">
      <w:pPr>
        <w:tabs>
          <w:tab w:val="left" w:pos="709"/>
        </w:tabs>
        <w:spacing w:after="0" w:line="360" w:lineRule="auto"/>
        <w:jc w:val="both"/>
        <w:rPr>
          <w:rFonts w:ascii="Palatino Linotype" w:hAnsi="Palatino Linotype" w:cs="Arial"/>
        </w:rPr>
      </w:pPr>
    </w:p>
    <w:p w14:paraId="1E4280D7" w14:textId="77777777" w:rsidR="00303385" w:rsidRPr="000D6AEA" w:rsidRDefault="00303385" w:rsidP="006920EF">
      <w:pPr>
        <w:spacing w:after="0"/>
        <w:ind w:left="851" w:right="851"/>
        <w:jc w:val="both"/>
        <w:rPr>
          <w:rFonts w:ascii="Palatino Linotype" w:hAnsi="Palatino Linotype" w:cs="Arial"/>
          <w:i/>
        </w:rPr>
      </w:pPr>
      <w:r w:rsidRPr="000D6AEA">
        <w:rPr>
          <w:rFonts w:ascii="Palatino Linotype" w:hAnsi="Palatino Linotype" w:cs="Arial"/>
          <w:b/>
          <w:bCs/>
          <w:i/>
        </w:rPr>
        <w:t xml:space="preserve">“Artículo 3.- </w:t>
      </w:r>
      <w:r w:rsidRPr="000D6AEA">
        <w:rPr>
          <w:rFonts w:ascii="Palatino Linotype" w:hAnsi="Palatino Linotype" w:cs="Arial"/>
          <w:i/>
        </w:rPr>
        <w:t>Para los efectos de la presente Ley se entenderá por:</w:t>
      </w:r>
    </w:p>
    <w:p w14:paraId="78557A30" w14:textId="77777777" w:rsidR="00303385" w:rsidRPr="000D6AEA" w:rsidRDefault="00303385" w:rsidP="006920EF">
      <w:pPr>
        <w:spacing w:after="0"/>
        <w:ind w:left="851" w:right="851"/>
        <w:jc w:val="both"/>
        <w:rPr>
          <w:rFonts w:ascii="Palatino Linotype" w:hAnsi="Palatino Linotype" w:cs="Arial"/>
          <w:i/>
        </w:rPr>
      </w:pPr>
      <w:r w:rsidRPr="000D6AEA">
        <w:rPr>
          <w:rFonts w:ascii="Palatino Linotype" w:hAnsi="Palatino Linotype" w:cs="Arial"/>
          <w:i/>
        </w:rPr>
        <w:t>…</w:t>
      </w:r>
    </w:p>
    <w:p w14:paraId="023D8B96" w14:textId="77777777" w:rsidR="00303385" w:rsidRPr="000D6AEA" w:rsidRDefault="00303385" w:rsidP="006920EF">
      <w:pPr>
        <w:spacing w:after="0"/>
        <w:ind w:left="851" w:right="851"/>
        <w:jc w:val="both"/>
        <w:rPr>
          <w:rFonts w:ascii="Palatino Linotype" w:hAnsi="Palatino Linotype" w:cs="Arial"/>
          <w:i/>
        </w:rPr>
      </w:pPr>
      <w:r w:rsidRPr="000D6AEA">
        <w:rPr>
          <w:rFonts w:ascii="Palatino Linotype" w:hAnsi="Palatino Linotype" w:cs="Arial"/>
          <w:b/>
          <w:i/>
        </w:rPr>
        <w:t>XI.</w:t>
      </w:r>
      <w:r w:rsidRPr="000D6AEA">
        <w:rPr>
          <w:rFonts w:ascii="Palatino Linotype" w:hAnsi="Palatino Linotype" w:cs="Arial"/>
          <w:i/>
        </w:rPr>
        <w:t xml:space="preserve"> </w:t>
      </w:r>
      <w:r w:rsidRPr="000D6AEA">
        <w:rPr>
          <w:rFonts w:ascii="Palatino Linotype" w:hAnsi="Palatino Linotype" w:cs="Arial"/>
          <w:b/>
          <w:i/>
        </w:rPr>
        <w:t>Documento:</w:t>
      </w:r>
      <w:r w:rsidRPr="000D6AEA">
        <w:rPr>
          <w:rFonts w:ascii="Palatino Linotype" w:hAnsi="Palatino Linotype" w:cs="Arial"/>
          <w:i/>
        </w:rPr>
        <w:t xml:space="preserve"> Los expedientes, reportes, estudios, actas, resoluciones, oficios, correspondencia, acuerdos, directivas, directrices, circulares, contratos, convenios, instructivos, notas, memorandos, estadísticas o bien, </w:t>
      </w:r>
      <w:r w:rsidRPr="000D6AEA">
        <w:rPr>
          <w:rFonts w:ascii="Palatino Linotype" w:hAnsi="Palatino Linotype" w:cs="Arial"/>
          <w:b/>
          <w:i/>
          <w:u w:val="single"/>
        </w:rPr>
        <w:t>cualquier otro registro que documente el ejercicio de las facultades, funciones y competencias de los sujetos obligados, sus servidores públicos e integrantes, sin importar su fuente o fecha de elaboración.</w:t>
      </w:r>
      <w:r w:rsidRPr="000D6AEA">
        <w:rPr>
          <w:rFonts w:ascii="Palatino Linotype" w:hAnsi="Palatino Linotype" w:cs="Arial"/>
          <w:i/>
        </w:rPr>
        <w:t xml:space="preserve"> Los documentos podrán estar en cualquier medio, sea escrito, impreso, sonoro, visual, electrónico, informático u holográfico;</w:t>
      </w:r>
    </w:p>
    <w:p w14:paraId="0E20AE9F" w14:textId="77777777" w:rsidR="00303385" w:rsidRPr="000D6AEA" w:rsidRDefault="00303385" w:rsidP="006920EF">
      <w:pPr>
        <w:spacing w:after="0"/>
        <w:ind w:left="851" w:right="851"/>
        <w:jc w:val="both"/>
        <w:rPr>
          <w:rFonts w:ascii="Palatino Linotype" w:hAnsi="Palatino Linotype" w:cs="Arial"/>
          <w:i/>
        </w:rPr>
      </w:pPr>
    </w:p>
    <w:p w14:paraId="16D7B4ED" w14:textId="77777777" w:rsidR="00303385" w:rsidRPr="000D6AEA" w:rsidRDefault="00303385" w:rsidP="006920EF">
      <w:pPr>
        <w:autoSpaceDE w:val="0"/>
        <w:autoSpaceDN w:val="0"/>
        <w:adjustRightInd w:val="0"/>
        <w:spacing w:after="0"/>
        <w:ind w:left="851" w:right="851"/>
        <w:jc w:val="both"/>
        <w:rPr>
          <w:rFonts w:ascii="Palatino Linotype" w:hAnsi="Palatino Linotype" w:cs="Arial"/>
          <w:bCs/>
          <w:i/>
        </w:rPr>
      </w:pPr>
      <w:r w:rsidRPr="000D6AEA">
        <w:rPr>
          <w:rFonts w:ascii="Palatino Linotype" w:hAnsi="Palatino Linotype" w:cs="Arial"/>
          <w:b/>
          <w:bCs/>
          <w:i/>
        </w:rPr>
        <w:t>Artículo 4.</w:t>
      </w:r>
      <w:r w:rsidRPr="000D6AEA">
        <w:rPr>
          <w:rFonts w:ascii="Palatino Linotype" w:hAnsi="Palatino Linotype" w:cs="Arial"/>
          <w:bCs/>
          <w:i/>
        </w:rPr>
        <w:t xml:space="preserve"> El derecho humano de acceso a la información pública es la prerrogativa de las personas para buscar, difundir, investigar, recabar, recibir y solicitar información pública, sin necesidad de acreditar personalidad ni interés jurídico.</w:t>
      </w:r>
    </w:p>
    <w:p w14:paraId="6C44A430" w14:textId="77777777" w:rsidR="00303385" w:rsidRPr="000D6AEA" w:rsidRDefault="00303385" w:rsidP="006920EF">
      <w:pPr>
        <w:autoSpaceDE w:val="0"/>
        <w:autoSpaceDN w:val="0"/>
        <w:adjustRightInd w:val="0"/>
        <w:spacing w:after="0"/>
        <w:ind w:left="851" w:right="851"/>
        <w:jc w:val="both"/>
        <w:rPr>
          <w:rFonts w:ascii="Palatino Linotype" w:hAnsi="Palatino Linotype" w:cs="Arial"/>
          <w:bCs/>
          <w:i/>
        </w:rPr>
      </w:pPr>
      <w:r w:rsidRPr="000D6AEA">
        <w:rPr>
          <w:rFonts w:ascii="Palatino Linotype" w:hAnsi="Palatino Linotype" w:cs="Arial"/>
          <w:b/>
          <w:bCs/>
          <w:i/>
          <w:u w:val="single"/>
        </w:rPr>
        <w:t>Toda la información generada, obtenida, adquirida, transformada, administrada o en posesión de los sujetos obligados es pública y accesible de manera permanente a cualquier persona,</w:t>
      </w:r>
      <w:r w:rsidRPr="000D6AEA">
        <w:rPr>
          <w:rFonts w:ascii="Palatino Linotype" w:hAnsi="Palatino Linotype" w:cs="Arial"/>
          <w:bCs/>
          <w:i/>
        </w:rPr>
        <w:t xml:space="preserve">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como reservada temporalmente por razones de interés público, en los términos de las causas legítimas y estrictamente necesarias previstas por esta Ley.</w:t>
      </w:r>
    </w:p>
    <w:p w14:paraId="205BB934" w14:textId="77777777" w:rsidR="00303385" w:rsidRPr="000D6AEA" w:rsidRDefault="00303385" w:rsidP="006920EF">
      <w:pPr>
        <w:autoSpaceDE w:val="0"/>
        <w:autoSpaceDN w:val="0"/>
        <w:adjustRightInd w:val="0"/>
        <w:spacing w:after="0"/>
        <w:ind w:left="851" w:right="851"/>
        <w:jc w:val="both"/>
        <w:rPr>
          <w:rFonts w:ascii="Palatino Linotype" w:hAnsi="Palatino Linotype" w:cs="Arial"/>
          <w:bCs/>
          <w:i/>
        </w:rPr>
      </w:pPr>
      <w:r w:rsidRPr="000D6AEA">
        <w:rPr>
          <w:rFonts w:ascii="Palatino Linotype" w:hAnsi="Palatino Linotype" w:cs="Arial"/>
          <w:bCs/>
          <w:i/>
        </w:rPr>
        <w:lastRenderedPageBreak/>
        <w:t>Los sujetos obligados deben poner en práctica, políticas y programas de acceso a la información que se apeguen a criterios de publicidad, veracidad, oportunidad, precisión y suficiencia en beneficio de los solicitantes.</w:t>
      </w:r>
    </w:p>
    <w:p w14:paraId="79DCCBCA" w14:textId="77777777" w:rsidR="00303385" w:rsidRPr="000D6AEA" w:rsidRDefault="00303385" w:rsidP="006920EF">
      <w:pPr>
        <w:spacing w:after="0"/>
        <w:ind w:left="851" w:right="851"/>
        <w:jc w:val="both"/>
        <w:rPr>
          <w:rFonts w:ascii="Palatino Linotype" w:hAnsi="Palatino Linotype" w:cs="Arial"/>
          <w:i/>
        </w:rPr>
      </w:pPr>
    </w:p>
    <w:p w14:paraId="268304A9" w14:textId="77777777" w:rsidR="00303385" w:rsidRPr="000D6AEA" w:rsidRDefault="00303385" w:rsidP="006920EF">
      <w:pPr>
        <w:spacing w:after="0"/>
        <w:ind w:left="851" w:right="851"/>
        <w:jc w:val="both"/>
        <w:rPr>
          <w:rFonts w:ascii="Palatino Linotype" w:hAnsi="Palatino Linotype" w:cs="Arial"/>
          <w:i/>
        </w:rPr>
      </w:pPr>
      <w:r w:rsidRPr="000D6AEA">
        <w:rPr>
          <w:rFonts w:ascii="Palatino Linotype" w:hAnsi="Palatino Linotype" w:cs="Arial"/>
          <w:b/>
          <w:i/>
        </w:rPr>
        <w:t>Artículo 12.</w:t>
      </w:r>
      <w:r w:rsidRPr="000D6AEA">
        <w:rPr>
          <w:rFonts w:ascii="Palatino Linotype" w:hAnsi="Palatino Linotype" w:cs="Arial"/>
          <w:i/>
        </w:rPr>
        <w:t xml:space="preserve"> Quienes generen, recopilen, administren, manejen, procesen, archiven o conserven información pública serán responsables de la misma en los términos de las disposiciones jurídicas aplicables.</w:t>
      </w:r>
    </w:p>
    <w:p w14:paraId="0B56A00A" w14:textId="77777777" w:rsidR="00303385" w:rsidRPr="000D6AEA" w:rsidRDefault="00303385" w:rsidP="006920EF">
      <w:pPr>
        <w:spacing w:after="0"/>
        <w:ind w:left="851" w:right="851"/>
        <w:jc w:val="both"/>
        <w:rPr>
          <w:rFonts w:ascii="Palatino Linotype" w:hAnsi="Palatino Linotype" w:cs="Arial"/>
          <w:i/>
        </w:rPr>
      </w:pPr>
    </w:p>
    <w:p w14:paraId="15464E8A" w14:textId="77777777" w:rsidR="00303385" w:rsidRPr="000D6AEA" w:rsidRDefault="00303385" w:rsidP="006920EF">
      <w:pPr>
        <w:spacing w:after="0"/>
        <w:ind w:left="851" w:right="851"/>
        <w:jc w:val="both"/>
        <w:rPr>
          <w:rFonts w:ascii="Palatino Linotype" w:hAnsi="Palatino Linotype" w:cs="Arial"/>
          <w:i/>
          <w:u w:val="single"/>
        </w:rPr>
      </w:pPr>
      <w:r w:rsidRPr="000D6AEA">
        <w:rPr>
          <w:rFonts w:ascii="Palatino Linotype" w:hAnsi="Palatino Linotype" w:cs="Arial"/>
          <w:b/>
          <w:i/>
          <w:u w:val="single"/>
        </w:rPr>
        <w:t>Los sujetos obligados sólo proporcionarán la información pública que se les requiera y que obre en sus archivos y en el estado en que ésta se encuentre. La obligación de proporcionar información no comprende el procesamiento de la misma, ni el presentarla conforme al interés del solicitante; no estarán obligados a generarla, resumirla, efectuar cálculos o practicar investigaciones</w:t>
      </w:r>
      <w:r w:rsidRPr="000D6AEA">
        <w:rPr>
          <w:rFonts w:ascii="Palatino Linotype" w:hAnsi="Palatino Linotype" w:cs="Arial"/>
          <w:i/>
        </w:rPr>
        <w:t>.”</w:t>
      </w:r>
    </w:p>
    <w:p w14:paraId="453FD2BC" w14:textId="77777777" w:rsidR="00303385" w:rsidRPr="000D6AEA" w:rsidRDefault="00303385" w:rsidP="006920EF">
      <w:pPr>
        <w:spacing w:after="0"/>
        <w:ind w:left="851" w:right="851"/>
        <w:jc w:val="right"/>
        <w:rPr>
          <w:rFonts w:ascii="Palatino Linotype" w:hAnsi="Palatino Linotype" w:cs="Arial"/>
        </w:rPr>
      </w:pPr>
    </w:p>
    <w:p w14:paraId="3C843E87" w14:textId="77777777" w:rsidR="00303385" w:rsidRPr="000D6AEA" w:rsidRDefault="00303385" w:rsidP="006920EF">
      <w:pPr>
        <w:spacing w:after="0"/>
        <w:ind w:left="851" w:right="851"/>
        <w:jc w:val="right"/>
        <w:rPr>
          <w:rFonts w:ascii="Palatino Linotype" w:hAnsi="Palatino Linotype" w:cs="Arial"/>
        </w:rPr>
      </w:pPr>
      <w:r w:rsidRPr="000D6AEA">
        <w:rPr>
          <w:rFonts w:ascii="Palatino Linotype" w:hAnsi="Palatino Linotype" w:cs="Arial"/>
        </w:rPr>
        <w:t>[Énfasis añadido]</w:t>
      </w:r>
    </w:p>
    <w:p w14:paraId="385F9EC7" w14:textId="77777777" w:rsidR="00303385" w:rsidRPr="000D6AEA" w:rsidRDefault="00303385" w:rsidP="006920EF">
      <w:pPr>
        <w:spacing w:after="0"/>
        <w:ind w:left="851" w:right="851"/>
        <w:jc w:val="right"/>
        <w:rPr>
          <w:rFonts w:ascii="Palatino Linotype" w:hAnsi="Palatino Linotype" w:cs="Arial"/>
        </w:rPr>
      </w:pPr>
    </w:p>
    <w:p w14:paraId="6A9B2013" w14:textId="1641EBF1" w:rsidR="00303385" w:rsidRPr="000D6AEA" w:rsidRDefault="00303385" w:rsidP="006920EF">
      <w:pPr>
        <w:spacing w:after="0" w:line="360" w:lineRule="auto"/>
        <w:jc w:val="both"/>
        <w:rPr>
          <w:rFonts w:ascii="Palatino Linotype" w:hAnsi="Palatino Linotype" w:cs="Arial"/>
          <w:sz w:val="24"/>
          <w:szCs w:val="24"/>
        </w:rPr>
      </w:pPr>
      <w:r w:rsidRPr="000D6AEA">
        <w:rPr>
          <w:rFonts w:ascii="Palatino Linotype" w:hAnsi="Palatino Linotype" w:cs="Arial"/>
          <w:sz w:val="24"/>
          <w:szCs w:val="24"/>
        </w:rPr>
        <w:t>De la interpretación a los preceptos citados, se desprende que es información pública la contenida en los documentos que los Sujetos Obligados generen, administren o se encuentre en su posesión en el ejercicio de sus atribuciones y que toda la información generada, obtenida, adquirida, transformada, administrada o en posesión de los sujetos obligados es pública y accesible de manera permanente a cualquier persona.</w:t>
      </w:r>
    </w:p>
    <w:p w14:paraId="31689ED4" w14:textId="77777777" w:rsidR="00153D08" w:rsidRPr="000D6AEA" w:rsidRDefault="00153D08" w:rsidP="006920EF">
      <w:pPr>
        <w:autoSpaceDE w:val="0"/>
        <w:autoSpaceDN w:val="0"/>
        <w:adjustRightInd w:val="0"/>
        <w:spacing w:after="0" w:line="360" w:lineRule="auto"/>
        <w:jc w:val="both"/>
        <w:rPr>
          <w:rFonts w:ascii="Palatino Linotype" w:hAnsi="Palatino Linotype"/>
          <w:sz w:val="24"/>
          <w:szCs w:val="24"/>
        </w:rPr>
      </w:pPr>
    </w:p>
    <w:p w14:paraId="0FDD8C0A" w14:textId="1B554595" w:rsidR="00395570" w:rsidRPr="000D6AEA" w:rsidRDefault="007F32C4" w:rsidP="00D52041">
      <w:pPr>
        <w:autoSpaceDE w:val="0"/>
        <w:autoSpaceDN w:val="0"/>
        <w:adjustRightInd w:val="0"/>
        <w:spacing w:after="0" w:line="360" w:lineRule="auto"/>
        <w:jc w:val="both"/>
        <w:rPr>
          <w:rFonts w:ascii="Palatino Linotype" w:eastAsia="Calibri" w:hAnsi="Palatino Linotype" w:cs="Arial"/>
          <w:sz w:val="24"/>
          <w:szCs w:val="24"/>
          <w:lang w:val="es-ES" w:eastAsia="es-ES"/>
        </w:rPr>
      </w:pPr>
      <w:r w:rsidRPr="000D6AEA">
        <w:rPr>
          <w:rFonts w:ascii="Palatino Linotype" w:eastAsia="Times New Roman" w:hAnsi="Palatino Linotype" w:cs="Arial"/>
          <w:sz w:val="24"/>
          <w:szCs w:val="24"/>
          <w:lang w:val="es-ES" w:eastAsia="es-ES"/>
        </w:rPr>
        <w:t>Ahora bien, en virtud de que de la solicitud objeto del presente medio de impugnación, se requirió información</w:t>
      </w:r>
      <w:r w:rsidR="00D52041" w:rsidRPr="000D6AEA">
        <w:rPr>
          <w:rFonts w:ascii="Palatino Linotype" w:eastAsia="Times New Roman" w:hAnsi="Palatino Linotype" w:cs="Arial"/>
          <w:sz w:val="24"/>
          <w:szCs w:val="24"/>
          <w:lang w:val="es-ES" w:eastAsia="es-ES"/>
        </w:rPr>
        <w:t xml:space="preserve"> referente a</w:t>
      </w:r>
      <w:r w:rsidR="00D52041" w:rsidRPr="000D6AEA">
        <w:rPr>
          <w:sz w:val="24"/>
          <w:szCs w:val="24"/>
        </w:rPr>
        <w:t xml:space="preserve"> </w:t>
      </w:r>
      <w:r w:rsidR="00D52041" w:rsidRPr="000D6AEA">
        <w:rPr>
          <w:rFonts w:ascii="Palatino Linotype" w:eastAsia="Times New Roman" w:hAnsi="Palatino Linotype" w:cs="Arial"/>
          <w:sz w:val="24"/>
          <w:szCs w:val="24"/>
          <w:lang w:val="es-ES" w:eastAsia="es-ES"/>
        </w:rPr>
        <w:t xml:space="preserve">la nómina de la segunda quincena de abril de 2026 del Sistema Municipal para el Desarrollo Integral de la Familia de </w:t>
      </w:r>
      <w:proofErr w:type="spellStart"/>
      <w:r w:rsidR="00D52041" w:rsidRPr="000D6AEA">
        <w:rPr>
          <w:rFonts w:ascii="Palatino Linotype" w:eastAsia="Times New Roman" w:hAnsi="Palatino Linotype" w:cs="Arial"/>
          <w:sz w:val="24"/>
          <w:szCs w:val="24"/>
          <w:lang w:val="es-ES" w:eastAsia="es-ES"/>
        </w:rPr>
        <w:t>Juchitepec</w:t>
      </w:r>
      <w:proofErr w:type="spellEnd"/>
      <w:r w:rsidR="000C0F03" w:rsidRPr="000D6AEA">
        <w:rPr>
          <w:rFonts w:ascii="Palatino Linotype" w:hAnsi="Palatino Linotype" w:cs="Arial"/>
          <w:sz w:val="24"/>
          <w:szCs w:val="24"/>
        </w:rPr>
        <w:t>,</w:t>
      </w:r>
      <w:r w:rsidR="00993A72" w:rsidRPr="000D6AEA">
        <w:rPr>
          <w:rFonts w:ascii="Palatino Linotype" w:hAnsi="Palatino Linotype" w:cs="Arial"/>
          <w:sz w:val="24"/>
          <w:szCs w:val="24"/>
        </w:rPr>
        <w:t xml:space="preserve"> </w:t>
      </w:r>
      <w:r w:rsidR="00664E57" w:rsidRPr="000D6AEA">
        <w:rPr>
          <w:rFonts w:ascii="Palatino Linotype" w:hAnsi="Palatino Linotype" w:cs="Arial"/>
          <w:sz w:val="24"/>
          <w:szCs w:val="24"/>
        </w:rPr>
        <w:t xml:space="preserve">es de recordar que </w:t>
      </w:r>
      <w:r w:rsidR="00993A72" w:rsidRPr="000D6AEA">
        <w:rPr>
          <w:rFonts w:ascii="Palatino Linotype" w:hAnsi="Palatino Linotype" w:cs="Arial"/>
          <w:sz w:val="24"/>
          <w:szCs w:val="24"/>
        </w:rPr>
        <w:t xml:space="preserve">el </w:t>
      </w:r>
      <w:r w:rsidR="00993A72" w:rsidRPr="000D6AEA">
        <w:rPr>
          <w:rFonts w:ascii="Palatino Linotype" w:hAnsi="Palatino Linotype" w:cs="Arial"/>
          <w:b/>
          <w:bCs/>
          <w:sz w:val="24"/>
          <w:szCs w:val="24"/>
        </w:rPr>
        <w:t>Sujeto Obligado</w:t>
      </w:r>
      <w:r w:rsidR="00D52041" w:rsidRPr="000D6AEA">
        <w:rPr>
          <w:rFonts w:ascii="Palatino Linotype" w:hAnsi="Palatino Linotype" w:cs="Arial"/>
          <w:bCs/>
          <w:sz w:val="24"/>
          <w:szCs w:val="24"/>
        </w:rPr>
        <w:t xml:space="preserve"> entregó la versión pública de la nómina general del personal administrativo de la administración 2025-2027 correspondiente a la segunda quincena de abril de 2026</w:t>
      </w:r>
      <w:r w:rsidR="00D52041" w:rsidRPr="000D6AEA">
        <w:rPr>
          <w:rFonts w:ascii="Palatino Linotype" w:eastAsia="Palatino Linotype" w:hAnsi="Palatino Linotype" w:cs="Palatino Linotype"/>
          <w:sz w:val="24"/>
          <w:szCs w:val="24"/>
        </w:rPr>
        <w:t>; sin embargo,</w:t>
      </w:r>
      <w:r w:rsidR="00395570" w:rsidRPr="000D6AEA">
        <w:rPr>
          <w:rFonts w:ascii="Palatino Linotype" w:eastAsia="Palatino Linotype" w:hAnsi="Palatino Linotype" w:cs="Palatino Linotype"/>
          <w:sz w:val="24"/>
          <w:szCs w:val="24"/>
        </w:rPr>
        <w:t xml:space="preserve"> </w:t>
      </w:r>
      <w:r w:rsidR="00395570" w:rsidRPr="000D6AEA">
        <w:rPr>
          <w:rFonts w:ascii="Palatino Linotype" w:hAnsi="Palatino Linotype" w:cs="Arial"/>
          <w:sz w:val="24"/>
          <w:szCs w:val="24"/>
          <w:lang w:eastAsia="es-MX"/>
        </w:rPr>
        <w:t xml:space="preserve">una vez analizada la información que </w:t>
      </w:r>
      <w:r w:rsidR="00395570" w:rsidRPr="000D6AEA">
        <w:rPr>
          <w:rFonts w:ascii="Palatino Linotype" w:hAnsi="Palatino Linotype" w:cs="Arial"/>
          <w:sz w:val="24"/>
          <w:szCs w:val="24"/>
          <w:lang w:eastAsia="es-MX"/>
        </w:rPr>
        <w:lastRenderedPageBreak/>
        <w:t xml:space="preserve">proporcionó el </w:t>
      </w:r>
      <w:r w:rsidR="00395570" w:rsidRPr="000D6AEA">
        <w:rPr>
          <w:rFonts w:ascii="Palatino Linotype" w:hAnsi="Palatino Linotype" w:cs="Arial"/>
          <w:b/>
          <w:bCs/>
          <w:sz w:val="24"/>
          <w:szCs w:val="24"/>
          <w:lang w:eastAsia="es-MX"/>
        </w:rPr>
        <w:t>Sujeto Obligado</w:t>
      </w:r>
      <w:r w:rsidR="00395570" w:rsidRPr="000D6AEA">
        <w:rPr>
          <w:rFonts w:ascii="Palatino Linotype" w:hAnsi="Palatino Linotype" w:cs="Arial"/>
          <w:sz w:val="24"/>
          <w:szCs w:val="24"/>
          <w:lang w:eastAsia="es-MX"/>
        </w:rPr>
        <w:t xml:space="preserve">, se estima que esta atendió parcialmente los requerimientos originales formulados por el solicitante, </w:t>
      </w:r>
      <w:r w:rsidR="00D52041" w:rsidRPr="000D6AEA">
        <w:rPr>
          <w:rFonts w:ascii="Palatino Linotype" w:hAnsi="Palatino Linotype" w:cs="Arial"/>
          <w:sz w:val="24"/>
          <w:szCs w:val="24"/>
          <w:lang w:eastAsia="es-MX"/>
        </w:rPr>
        <w:t xml:space="preserve">ello atendiendo que </w:t>
      </w:r>
      <w:r w:rsidR="00395570" w:rsidRPr="000D6AEA">
        <w:rPr>
          <w:rFonts w:ascii="Palatino Linotype" w:hAnsi="Palatino Linotype" w:cs="Arial"/>
          <w:sz w:val="24"/>
          <w:szCs w:val="24"/>
          <w:lang w:eastAsia="es-MX"/>
        </w:rPr>
        <w:t>al analizar la versión pública de los documentos remitidos, se advierte que se testaron datos considerados como públicos (</w:t>
      </w:r>
      <w:r w:rsidR="00395570" w:rsidRPr="000D6AEA">
        <w:rPr>
          <w:rFonts w:ascii="Palatino Linotype" w:hAnsi="Palatino Linotype" w:cs="Arial"/>
          <w:i/>
          <w:iCs/>
          <w:sz w:val="24"/>
          <w:szCs w:val="24"/>
          <w:lang w:eastAsia="es-MX"/>
        </w:rPr>
        <w:t xml:space="preserve"> </w:t>
      </w:r>
      <w:r w:rsidR="00D52041" w:rsidRPr="000D6AEA">
        <w:rPr>
          <w:rFonts w:ascii="Palatino Linotype" w:hAnsi="Palatino Linotype" w:cs="Arial"/>
          <w:i/>
          <w:iCs/>
          <w:sz w:val="24"/>
          <w:szCs w:val="24"/>
          <w:lang w:eastAsia="es-MX"/>
        </w:rPr>
        <w:t>servicios de salud, fondo del sistema solidario de reparto y SCI cuotas obligatorias</w:t>
      </w:r>
      <w:r w:rsidR="00395570" w:rsidRPr="000D6AEA">
        <w:rPr>
          <w:rFonts w:ascii="Palatino Linotype" w:hAnsi="Palatino Linotype" w:cs="Arial"/>
          <w:sz w:val="24"/>
          <w:szCs w:val="24"/>
          <w:lang w:eastAsia="es-MX"/>
        </w:rPr>
        <w:t xml:space="preserve">), </w:t>
      </w:r>
      <w:r w:rsidR="00D52041" w:rsidRPr="000D6AEA">
        <w:rPr>
          <w:rFonts w:ascii="Palatino Linotype" w:hAnsi="Palatino Linotype" w:cs="Arial"/>
          <w:sz w:val="24"/>
          <w:szCs w:val="24"/>
          <w:lang w:eastAsia="es-MX"/>
        </w:rPr>
        <w:t>situación</w:t>
      </w:r>
      <w:r w:rsidR="00395570" w:rsidRPr="000D6AEA">
        <w:rPr>
          <w:rFonts w:ascii="Palatino Linotype" w:hAnsi="Palatino Linotype" w:cs="Arial"/>
          <w:sz w:val="24"/>
          <w:szCs w:val="24"/>
          <w:lang w:eastAsia="es-MX"/>
        </w:rPr>
        <w:t xml:space="preserve"> que hace imposible satisfacer el derecho de acceso a la información, y por ende, en el presente caso, este Órgano Garante considera que el </w:t>
      </w:r>
      <w:r w:rsidR="00395570" w:rsidRPr="000D6AEA">
        <w:rPr>
          <w:rFonts w:ascii="Palatino Linotype" w:hAnsi="Palatino Linotype" w:cs="Arial"/>
          <w:b/>
          <w:bCs/>
          <w:sz w:val="24"/>
          <w:szCs w:val="24"/>
          <w:lang w:eastAsia="es-MX"/>
        </w:rPr>
        <w:t>Sujeto Obligado</w:t>
      </w:r>
      <w:r w:rsidR="00395570" w:rsidRPr="000D6AEA">
        <w:rPr>
          <w:rFonts w:ascii="Palatino Linotype" w:hAnsi="Palatino Linotype" w:cs="Arial"/>
          <w:sz w:val="24"/>
          <w:szCs w:val="24"/>
          <w:lang w:eastAsia="es-MX"/>
        </w:rPr>
        <w:t xml:space="preserve"> testó información que no es susceptible de ser clasificada como confidencial en las documentales remitidas, como se puede advertir enseguida:</w:t>
      </w:r>
    </w:p>
    <w:p w14:paraId="4152090A" w14:textId="77777777" w:rsidR="00395570" w:rsidRPr="000D6AEA" w:rsidRDefault="00395570" w:rsidP="00395570">
      <w:pPr>
        <w:tabs>
          <w:tab w:val="left" w:pos="7938"/>
        </w:tabs>
        <w:spacing w:after="0" w:line="360" w:lineRule="auto"/>
        <w:jc w:val="both"/>
        <w:rPr>
          <w:rFonts w:ascii="Palatino Linotype" w:hAnsi="Palatino Linotype" w:cs="Arial"/>
          <w:sz w:val="24"/>
          <w:szCs w:val="24"/>
          <w:lang w:eastAsia="es-MX"/>
        </w:rPr>
      </w:pPr>
    </w:p>
    <w:p w14:paraId="0331A153" w14:textId="2D635906" w:rsidR="00395570" w:rsidRPr="000D6AEA" w:rsidRDefault="00D52041" w:rsidP="00395570">
      <w:pPr>
        <w:tabs>
          <w:tab w:val="left" w:pos="7938"/>
        </w:tabs>
        <w:spacing w:after="0" w:line="360" w:lineRule="auto"/>
        <w:jc w:val="center"/>
        <w:rPr>
          <w:rFonts w:ascii="Palatino Linotype" w:hAnsi="Palatino Linotype" w:cs="Arial"/>
          <w:sz w:val="24"/>
          <w:szCs w:val="24"/>
          <w:lang w:eastAsia="es-MX"/>
        </w:rPr>
      </w:pPr>
      <w:r w:rsidRPr="000D6AEA">
        <w:rPr>
          <w:rFonts w:ascii="Palatino Linotype" w:hAnsi="Palatino Linotype" w:cs="Arial"/>
          <w:noProof/>
          <w:sz w:val="24"/>
          <w:szCs w:val="24"/>
          <w:lang w:eastAsia="es-MX"/>
        </w:rPr>
        <w:drawing>
          <wp:inline distT="0" distB="0" distL="0" distR="0" wp14:anchorId="575AFACB" wp14:editId="5278C9B0">
            <wp:extent cx="5898682" cy="2260121"/>
            <wp:effectExtent l="0" t="0" r="6985" b="6985"/>
            <wp:docPr id="18994977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497706" name=""/>
                    <pic:cNvPicPr/>
                  </pic:nvPicPr>
                  <pic:blipFill>
                    <a:blip r:embed="rId8"/>
                    <a:stretch>
                      <a:fillRect/>
                    </a:stretch>
                  </pic:blipFill>
                  <pic:spPr>
                    <a:xfrm>
                      <a:off x="0" y="0"/>
                      <a:ext cx="5902759" cy="2261683"/>
                    </a:xfrm>
                    <a:prstGeom prst="rect">
                      <a:avLst/>
                    </a:prstGeom>
                  </pic:spPr>
                </pic:pic>
              </a:graphicData>
            </a:graphic>
          </wp:inline>
        </w:drawing>
      </w:r>
    </w:p>
    <w:p w14:paraId="220694B7" w14:textId="77777777" w:rsidR="00395570" w:rsidRPr="000D6AEA" w:rsidRDefault="00395570" w:rsidP="00395570">
      <w:pPr>
        <w:autoSpaceDE w:val="0"/>
        <w:autoSpaceDN w:val="0"/>
        <w:adjustRightInd w:val="0"/>
        <w:spacing w:after="0" w:line="360" w:lineRule="auto"/>
        <w:ind w:right="72"/>
        <w:jc w:val="center"/>
        <w:rPr>
          <w:rFonts w:ascii="Palatino Linotype" w:hAnsi="Palatino Linotype" w:cs="Arial"/>
          <w:sz w:val="24"/>
          <w:szCs w:val="24"/>
          <w:lang w:eastAsia="es-MX"/>
        </w:rPr>
      </w:pPr>
    </w:p>
    <w:p w14:paraId="718406B9" w14:textId="77777777" w:rsidR="00395570" w:rsidRPr="000D6AEA" w:rsidRDefault="00395570" w:rsidP="00395570">
      <w:pPr>
        <w:autoSpaceDE w:val="0"/>
        <w:autoSpaceDN w:val="0"/>
        <w:adjustRightInd w:val="0"/>
        <w:spacing w:after="0" w:line="360" w:lineRule="auto"/>
        <w:ind w:right="72"/>
        <w:jc w:val="both"/>
        <w:rPr>
          <w:rFonts w:ascii="Palatino Linotype" w:hAnsi="Palatino Linotype" w:cs="Arial"/>
          <w:sz w:val="24"/>
          <w:szCs w:val="24"/>
          <w:lang w:eastAsia="es-MX"/>
        </w:rPr>
      </w:pPr>
    </w:p>
    <w:p w14:paraId="5B764197" w14:textId="430151CA" w:rsidR="00AE673A" w:rsidRPr="000D6AEA" w:rsidRDefault="00395570" w:rsidP="00AE673A">
      <w:pPr>
        <w:spacing w:after="0" w:line="360" w:lineRule="auto"/>
        <w:jc w:val="both"/>
        <w:rPr>
          <w:rFonts w:ascii="Palatino Linotype" w:hAnsi="Palatino Linotype" w:cs="Calibri"/>
          <w:sz w:val="24"/>
          <w:szCs w:val="24"/>
          <w:lang w:eastAsia="es-MX"/>
        </w:rPr>
      </w:pPr>
      <w:r w:rsidRPr="000D6AEA">
        <w:rPr>
          <w:rFonts w:ascii="Palatino Linotype" w:hAnsi="Palatino Linotype" w:cs="Calibri"/>
          <w:kern w:val="2"/>
          <w:sz w:val="24"/>
          <w:szCs w:val="24"/>
          <w:lang w:eastAsia="es-MX"/>
        </w:rPr>
        <w:t xml:space="preserve">Lo antes señalado, en virtud de que </w:t>
      </w:r>
      <w:r w:rsidR="00A538AA" w:rsidRPr="000D6AEA">
        <w:rPr>
          <w:rFonts w:ascii="Palatino Linotype" w:eastAsia="Times New Roman" w:hAnsi="Palatino Linotype" w:cs="Palatino Linotype"/>
          <w:sz w:val="24"/>
          <w:szCs w:val="24"/>
          <w:lang w:eastAsia="es-ES"/>
        </w:rPr>
        <w:t xml:space="preserve">los </w:t>
      </w:r>
      <w:r w:rsidR="00AE673A" w:rsidRPr="000D6AEA">
        <w:rPr>
          <w:rFonts w:ascii="Palatino Linotype" w:eastAsia="Times New Roman" w:hAnsi="Palatino Linotype" w:cs="Palatino Linotype"/>
          <w:sz w:val="24"/>
          <w:szCs w:val="24"/>
          <w:lang w:eastAsia="es-ES"/>
        </w:rPr>
        <w:t xml:space="preserve">descuentos </w:t>
      </w:r>
      <w:r w:rsidR="00A538AA" w:rsidRPr="000D6AEA">
        <w:rPr>
          <w:rFonts w:ascii="Palatino Linotype" w:eastAsia="Times New Roman" w:hAnsi="Palatino Linotype" w:cs="Palatino Linotype"/>
          <w:sz w:val="24"/>
          <w:szCs w:val="24"/>
          <w:lang w:eastAsia="es-ES"/>
        </w:rPr>
        <w:t>realizados por concepto del</w:t>
      </w:r>
      <w:r w:rsidR="00AE673A" w:rsidRPr="000D6AEA">
        <w:rPr>
          <w:rFonts w:ascii="Palatino Linotype" w:eastAsia="Times New Roman" w:hAnsi="Palatino Linotype" w:cs="Palatino Linotype"/>
          <w:sz w:val="24"/>
          <w:szCs w:val="24"/>
          <w:lang w:eastAsia="es-ES"/>
        </w:rPr>
        <w:t xml:space="preserve"> sistema de capitalización individual, </w:t>
      </w:r>
      <w:r w:rsidR="00A538AA" w:rsidRPr="000D6AEA">
        <w:rPr>
          <w:rFonts w:ascii="Palatino Linotype" w:eastAsia="Times New Roman" w:hAnsi="Palatino Linotype" w:cs="Palatino Linotype"/>
          <w:sz w:val="24"/>
          <w:szCs w:val="24"/>
          <w:lang w:eastAsia="es-ES"/>
        </w:rPr>
        <w:t xml:space="preserve">fondo del sistema solidario de reparto </w:t>
      </w:r>
      <w:r w:rsidR="00AE673A" w:rsidRPr="000D6AEA">
        <w:rPr>
          <w:rFonts w:ascii="Palatino Linotype" w:eastAsia="Times New Roman" w:hAnsi="Palatino Linotype" w:cs="Palatino Linotype"/>
          <w:sz w:val="24"/>
          <w:szCs w:val="24"/>
          <w:lang w:eastAsia="es-ES"/>
        </w:rPr>
        <w:t>y servicio de salud del ISSEMYM</w:t>
      </w:r>
      <w:r w:rsidR="00A538AA" w:rsidRPr="000D6AEA">
        <w:rPr>
          <w:rFonts w:ascii="Palatino Linotype" w:eastAsia="Times New Roman" w:hAnsi="Palatino Linotype" w:cs="Palatino Linotype"/>
          <w:sz w:val="24"/>
          <w:szCs w:val="24"/>
          <w:lang w:eastAsia="es-ES"/>
        </w:rPr>
        <w:t xml:space="preserve">, </w:t>
      </w:r>
      <w:r w:rsidR="00AE673A" w:rsidRPr="000D6AEA">
        <w:rPr>
          <w:rFonts w:ascii="Palatino Linotype" w:eastAsia="Times New Roman" w:hAnsi="Palatino Linotype" w:cs="Palatino Linotype"/>
          <w:sz w:val="24"/>
          <w:szCs w:val="24"/>
          <w:lang w:eastAsia="es-ES"/>
        </w:rPr>
        <w:t>no son información relacionada con una persona física identificada o identificable que permitan, directa o indirectamente, identificar a una persona.</w:t>
      </w:r>
    </w:p>
    <w:p w14:paraId="62BF1D89" w14:textId="77777777" w:rsidR="00AE673A" w:rsidRPr="000D6AEA" w:rsidRDefault="00AE673A" w:rsidP="00AE673A">
      <w:pPr>
        <w:spacing w:after="0" w:line="240" w:lineRule="auto"/>
        <w:ind w:left="720"/>
        <w:contextualSpacing/>
        <w:rPr>
          <w:rFonts w:ascii="Palatino Linotype" w:eastAsia="Times New Roman" w:hAnsi="Palatino Linotype" w:cs="Palatino Linotype"/>
          <w:sz w:val="24"/>
          <w:szCs w:val="24"/>
          <w:lang w:eastAsia="es-ES"/>
        </w:rPr>
      </w:pPr>
    </w:p>
    <w:p w14:paraId="58DD0F3F" w14:textId="413DACA8" w:rsidR="00AE673A" w:rsidRPr="000D6AEA" w:rsidRDefault="00A538AA" w:rsidP="00A538AA">
      <w:pPr>
        <w:spacing w:after="0" w:line="360" w:lineRule="auto"/>
        <w:jc w:val="both"/>
        <w:rPr>
          <w:rFonts w:ascii="Palatino Linotype" w:eastAsia="Times New Roman" w:hAnsi="Palatino Linotype" w:cs="Tahoma"/>
          <w:sz w:val="24"/>
          <w:szCs w:val="24"/>
          <w:lang w:eastAsia="es-ES"/>
        </w:rPr>
      </w:pPr>
      <w:r w:rsidRPr="000D6AEA">
        <w:rPr>
          <w:rFonts w:ascii="Palatino Linotype" w:eastAsia="Times New Roman" w:hAnsi="Palatino Linotype" w:cs="Tahoma"/>
          <w:sz w:val="24"/>
          <w:szCs w:val="24"/>
          <w:lang w:eastAsia="es-ES"/>
        </w:rPr>
        <w:lastRenderedPageBreak/>
        <w:t>Lo antes señalado, atendiendo a</w:t>
      </w:r>
      <w:r w:rsidR="00AE673A" w:rsidRPr="000D6AEA">
        <w:rPr>
          <w:rFonts w:ascii="Palatino Linotype" w:eastAsia="Times New Roman" w:hAnsi="Palatino Linotype" w:cs="Tahoma"/>
          <w:sz w:val="24"/>
          <w:szCs w:val="24"/>
          <w:lang w:eastAsia="es-ES"/>
        </w:rPr>
        <w:t xml:space="preserve"> que la deducción denominada: </w:t>
      </w:r>
      <w:r w:rsidR="00AE673A" w:rsidRPr="000D6AEA">
        <w:rPr>
          <w:rFonts w:ascii="Palatino Linotype" w:eastAsia="Times New Roman" w:hAnsi="Palatino Linotype" w:cs="Times New Roman"/>
          <w:sz w:val="24"/>
          <w:szCs w:val="24"/>
          <w:lang w:eastAsia="es-MX"/>
        </w:rPr>
        <w:t xml:space="preserve">Sistema de Capitalización </w:t>
      </w:r>
      <w:r w:rsidR="00AE673A" w:rsidRPr="000D6AEA">
        <w:rPr>
          <w:rFonts w:ascii="Palatino Linotype" w:eastAsia="Times New Roman" w:hAnsi="Palatino Linotype" w:cs="Palatino Linotype"/>
          <w:sz w:val="24"/>
          <w:szCs w:val="24"/>
          <w:lang w:eastAsia="es-ES"/>
        </w:rPr>
        <w:t>Individualizado</w:t>
      </w:r>
      <w:r w:rsidR="00AE673A" w:rsidRPr="000D6AEA">
        <w:rPr>
          <w:rFonts w:ascii="Palatino Linotype" w:eastAsia="Times New Roman" w:hAnsi="Palatino Linotype" w:cs="Times New Roman"/>
          <w:sz w:val="24"/>
          <w:szCs w:val="24"/>
          <w:lang w:eastAsia="es-MX"/>
        </w:rPr>
        <w:t xml:space="preserve"> (SCI)</w:t>
      </w:r>
      <w:r w:rsidR="00AE673A" w:rsidRPr="000D6AEA">
        <w:rPr>
          <w:rFonts w:ascii="Palatino Linotype" w:eastAsia="Times New Roman" w:hAnsi="Palatino Linotype" w:cs="Tahoma"/>
          <w:sz w:val="24"/>
          <w:szCs w:val="24"/>
          <w:lang w:eastAsia="es-ES"/>
        </w:rPr>
        <w:t>, es contemplada en los artículos 84 y 115 de la Ley de Seguridad Social para los Servidores Públicos del Estado de México y Municipios, al formar parte de uno de los sistemas que conforma el sistema mixto de pensiones, al corresponder específicamente a una reserva de ahorro en favor de los servidores públicos para su retiro, la cual señala:</w:t>
      </w:r>
    </w:p>
    <w:p w14:paraId="630165F5" w14:textId="77777777" w:rsidR="00A538AA" w:rsidRPr="000D6AEA" w:rsidRDefault="00A538AA" w:rsidP="00A538AA">
      <w:pPr>
        <w:spacing w:after="0" w:line="360" w:lineRule="auto"/>
        <w:jc w:val="both"/>
        <w:rPr>
          <w:rFonts w:ascii="Palatino Linotype" w:eastAsia="Times New Roman" w:hAnsi="Palatino Linotype" w:cs="Tahoma"/>
          <w:szCs w:val="24"/>
          <w:lang w:eastAsia="es-ES"/>
        </w:rPr>
      </w:pPr>
    </w:p>
    <w:p w14:paraId="339ED51B" w14:textId="77777777" w:rsidR="00AE673A" w:rsidRPr="000D6AEA" w:rsidRDefault="00AE673A" w:rsidP="00AE673A">
      <w:pPr>
        <w:spacing w:after="0" w:line="240" w:lineRule="auto"/>
        <w:ind w:left="567" w:right="902"/>
        <w:jc w:val="both"/>
        <w:rPr>
          <w:rFonts w:ascii="Palatino Linotype" w:eastAsia="Times New Roman" w:hAnsi="Palatino Linotype" w:cs="Tahoma"/>
          <w:i/>
          <w:sz w:val="24"/>
          <w:szCs w:val="28"/>
          <w:lang w:eastAsia="es-ES"/>
        </w:rPr>
      </w:pPr>
      <w:r w:rsidRPr="000D6AEA">
        <w:rPr>
          <w:rFonts w:ascii="Palatino Linotype" w:eastAsia="Times New Roman" w:hAnsi="Palatino Linotype" w:cs="Tahoma"/>
          <w:b/>
          <w:i/>
          <w:sz w:val="24"/>
          <w:szCs w:val="28"/>
          <w:lang w:eastAsia="es-ES"/>
        </w:rPr>
        <w:t>“ARTICULO 84.-</w:t>
      </w:r>
      <w:r w:rsidRPr="000D6AEA">
        <w:rPr>
          <w:rFonts w:ascii="Palatino Linotype" w:eastAsia="Times New Roman" w:hAnsi="Palatino Linotype" w:cs="Tahoma"/>
          <w:i/>
          <w:sz w:val="24"/>
          <w:szCs w:val="28"/>
          <w:lang w:eastAsia="es-ES"/>
        </w:rPr>
        <w:t xml:space="preserve"> Las pensiones que otorga esta ley, se basan en un régimen mixto, siendo una parte de beneficios definidos denominado </w:t>
      </w:r>
      <w:r w:rsidRPr="000D6AEA">
        <w:rPr>
          <w:rFonts w:ascii="Palatino Linotype" w:eastAsia="Times New Roman" w:hAnsi="Palatino Linotype" w:cs="Tahoma"/>
          <w:b/>
          <w:i/>
          <w:sz w:val="24"/>
          <w:szCs w:val="28"/>
          <w:lang w:eastAsia="es-ES"/>
        </w:rPr>
        <w:t>sistema solidario de reparto y otra de contribuciones definidas denominado sistema de capitalización individual</w:t>
      </w:r>
      <w:r w:rsidRPr="000D6AEA">
        <w:rPr>
          <w:rFonts w:ascii="Palatino Linotype" w:eastAsia="Times New Roman" w:hAnsi="Palatino Linotype" w:cs="Tahoma"/>
          <w:i/>
          <w:sz w:val="24"/>
          <w:szCs w:val="28"/>
          <w:lang w:eastAsia="es-ES"/>
        </w:rPr>
        <w:t>.</w:t>
      </w:r>
    </w:p>
    <w:p w14:paraId="6F6231E4" w14:textId="77777777" w:rsidR="00AE673A" w:rsidRPr="000D6AEA" w:rsidRDefault="00AE673A" w:rsidP="00AE673A">
      <w:pPr>
        <w:spacing w:after="0" w:line="240" w:lineRule="auto"/>
        <w:ind w:left="567" w:right="902"/>
        <w:jc w:val="both"/>
        <w:rPr>
          <w:rFonts w:ascii="Palatino Linotype" w:eastAsia="Times New Roman" w:hAnsi="Palatino Linotype" w:cs="Tahoma"/>
          <w:i/>
          <w:sz w:val="24"/>
          <w:szCs w:val="28"/>
          <w:lang w:eastAsia="es-ES"/>
        </w:rPr>
      </w:pPr>
    </w:p>
    <w:p w14:paraId="2520E3CD" w14:textId="77777777" w:rsidR="00AE673A" w:rsidRPr="000D6AEA" w:rsidRDefault="00AE673A" w:rsidP="00AE673A">
      <w:pPr>
        <w:spacing w:after="0" w:line="240" w:lineRule="auto"/>
        <w:ind w:left="567" w:right="902"/>
        <w:jc w:val="both"/>
        <w:rPr>
          <w:rFonts w:ascii="Palatino Linotype" w:eastAsia="Times New Roman" w:hAnsi="Palatino Linotype" w:cs="Tahoma"/>
          <w:i/>
          <w:sz w:val="24"/>
          <w:szCs w:val="28"/>
          <w:lang w:eastAsia="es-ES"/>
        </w:rPr>
      </w:pPr>
      <w:r w:rsidRPr="000D6AEA">
        <w:rPr>
          <w:rFonts w:ascii="Palatino Linotype" w:eastAsia="Times New Roman" w:hAnsi="Palatino Linotype" w:cs="Tahoma"/>
          <w:i/>
          <w:sz w:val="24"/>
          <w:szCs w:val="28"/>
          <w:lang w:eastAsia="es-ES"/>
        </w:rPr>
        <w:t>El monto total para el financiamiento de pensiones de cada servidor público, es equivalente al 16.77% de su sueldo sujeto a cotización, del cual el 13.52% se aplicará al fondo del sistema solidario de reparto y el 3.25% al sistema de capitalización individual.</w:t>
      </w:r>
    </w:p>
    <w:p w14:paraId="79CFFF91" w14:textId="77777777" w:rsidR="00AE673A" w:rsidRPr="000D6AEA" w:rsidRDefault="00AE673A" w:rsidP="00AE673A">
      <w:pPr>
        <w:spacing w:after="0" w:line="240" w:lineRule="auto"/>
        <w:ind w:left="567" w:right="902"/>
        <w:jc w:val="both"/>
        <w:rPr>
          <w:rFonts w:ascii="Palatino Linotype" w:eastAsia="Times New Roman" w:hAnsi="Palatino Linotype" w:cs="Tahoma"/>
          <w:i/>
          <w:sz w:val="24"/>
          <w:szCs w:val="28"/>
          <w:lang w:eastAsia="es-ES"/>
        </w:rPr>
      </w:pPr>
      <w:r w:rsidRPr="000D6AEA">
        <w:rPr>
          <w:rFonts w:ascii="Palatino Linotype" w:eastAsia="Times New Roman" w:hAnsi="Palatino Linotype" w:cs="Times New Roman"/>
          <w:i/>
          <w:szCs w:val="20"/>
          <w:lang w:eastAsia="es-ES"/>
        </w:rPr>
        <w:t xml:space="preserve"> </w:t>
      </w:r>
      <w:r w:rsidRPr="000D6AEA">
        <w:rPr>
          <w:rFonts w:ascii="Palatino Linotype" w:eastAsia="Times New Roman" w:hAnsi="Palatino Linotype" w:cs="Tahoma"/>
          <w:b/>
          <w:i/>
          <w:sz w:val="24"/>
          <w:szCs w:val="28"/>
          <w:lang w:eastAsia="es-ES"/>
        </w:rPr>
        <w:t>ARTICULO 115.-</w:t>
      </w:r>
      <w:r w:rsidRPr="000D6AEA">
        <w:rPr>
          <w:rFonts w:ascii="Palatino Linotype" w:eastAsia="Times New Roman" w:hAnsi="Palatino Linotype" w:cs="Tahoma"/>
          <w:i/>
          <w:sz w:val="24"/>
          <w:szCs w:val="28"/>
          <w:lang w:eastAsia="es-ES"/>
        </w:rPr>
        <w:t xml:space="preserve"> Por sistema de capitalización individual se entiende aquel régimen cuyo financiamiento es determinado y su beneficio variable, por lo que sus fondos se constituirán en una reserva, cuyo saldo será siempre igual a la suma de las partes alícuotas reconocidas a cada uno de los servidores públicos participantes en el sistema.”</w:t>
      </w:r>
    </w:p>
    <w:p w14:paraId="3B8C648C" w14:textId="77777777" w:rsidR="00AE673A" w:rsidRPr="000D6AEA" w:rsidRDefault="00AE673A" w:rsidP="00AE673A">
      <w:pPr>
        <w:spacing w:after="0" w:line="360" w:lineRule="auto"/>
        <w:jc w:val="both"/>
        <w:rPr>
          <w:rFonts w:ascii="Palatino Linotype" w:eastAsia="Times New Roman" w:hAnsi="Palatino Linotype" w:cs="Tahoma"/>
          <w:sz w:val="28"/>
          <w:szCs w:val="28"/>
          <w:lang w:eastAsia="es-ES"/>
        </w:rPr>
      </w:pPr>
    </w:p>
    <w:p w14:paraId="13FA26E7" w14:textId="77777777" w:rsidR="00AE673A" w:rsidRPr="000D6AEA" w:rsidRDefault="00AE673A" w:rsidP="00A538AA">
      <w:pPr>
        <w:spacing w:after="0" w:line="360" w:lineRule="auto"/>
        <w:jc w:val="both"/>
        <w:rPr>
          <w:rFonts w:ascii="Palatino Linotype" w:eastAsia="Times New Roman" w:hAnsi="Palatino Linotype" w:cs="Tahoma"/>
          <w:sz w:val="24"/>
          <w:szCs w:val="24"/>
          <w:lang w:eastAsia="es-ES"/>
        </w:rPr>
      </w:pPr>
      <w:r w:rsidRPr="000D6AEA">
        <w:rPr>
          <w:rFonts w:ascii="Palatino Linotype" w:eastAsia="Times New Roman" w:hAnsi="Palatino Linotype" w:cs="Tahoma"/>
          <w:sz w:val="24"/>
          <w:szCs w:val="24"/>
          <w:lang w:eastAsia="es-ES"/>
        </w:rPr>
        <w:t>En  esta misma disposición normativa, en los artículos 5 fracciones II, VII y VIII; 32, 34 y 35, dispone lo siguiente:</w:t>
      </w:r>
    </w:p>
    <w:p w14:paraId="335E6A45" w14:textId="77777777" w:rsidR="00A538AA" w:rsidRPr="000D6AEA" w:rsidRDefault="00A538AA" w:rsidP="00A538AA">
      <w:pPr>
        <w:spacing w:after="0" w:line="360" w:lineRule="auto"/>
        <w:jc w:val="both"/>
        <w:rPr>
          <w:rFonts w:ascii="Palatino Linotype" w:eastAsia="Times New Roman" w:hAnsi="Palatino Linotype" w:cs="Tahoma"/>
          <w:sz w:val="24"/>
          <w:szCs w:val="24"/>
          <w:lang w:eastAsia="es-ES"/>
        </w:rPr>
      </w:pPr>
    </w:p>
    <w:p w14:paraId="7EB32FCD" w14:textId="77777777" w:rsidR="00AE673A" w:rsidRPr="000D6AEA" w:rsidRDefault="00AE673A" w:rsidP="00AE673A">
      <w:pPr>
        <w:spacing w:after="0" w:line="240" w:lineRule="auto"/>
        <w:ind w:left="709" w:right="902"/>
        <w:jc w:val="both"/>
        <w:rPr>
          <w:rFonts w:ascii="Palatino Linotype" w:eastAsia="Times New Roman" w:hAnsi="Palatino Linotype" w:cs="Tahoma"/>
          <w:i/>
          <w:iCs/>
          <w:lang w:eastAsia="es-ES"/>
        </w:rPr>
      </w:pPr>
      <w:r w:rsidRPr="000D6AEA">
        <w:rPr>
          <w:rFonts w:ascii="Palatino Linotype" w:eastAsia="Times New Roman" w:hAnsi="Palatino Linotype" w:cs="Tahoma"/>
          <w:i/>
          <w:iCs/>
          <w:lang w:eastAsia="es-ES"/>
        </w:rPr>
        <w:t>“ARTÍCULO 5.- Para los efectos de esta ley se entiende por:</w:t>
      </w:r>
    </w:p>
    <w:p w14:paraId="3B3DBB0B" w14:textId="77777777" w:rsidR="00AE673A" w:rsidRPr="000D6AEA" w:rsidRDefault="00AE673A" w:rsidP="00AE673A">
      <w:pPr>
        <w:spacing w:after="0" w:line="240" w:lineRule="auto"/>
        <w:ind w:left="709" w:right="902"/>
        <w:jc w:val="both"/>
        <w:rPr>
          <w:rFonts w:ascii="Palatino Linotype" w:eastAsia="Times New Roman" w:hAnsi="Palatino Linotype" w:cs="Tahoma"/>
          <w:i/>
          <w:iCs/>
          <w:lang w:eastAsia="es-ES"/>
        </w:rPr>
      </w:pPr>
      <w:r w:rsidRPr="000D6AEA">
        <w:rPr>
          <w:rFonts w:ascii="Palatino Linotype" w:eastAsia="Times New Roman" w:hAnsi="Palatino Linotype" w:cs="Tahoma"/>
          <w:i/>
          <w:iCs/>
          <w:lang w:eastAsia="es-ES"/>
        </w:rPr>
        <w:t>…</w:t>
      </w:r>
    </w:p>
    <w:p w14:paraId="4A3D5A4E" w14:textId="77777777" w:rsidR="00AE673A" w:rsidRPr="000D6AEA" w:rsidRDefault="00AE673A" w:rsidP="00AE673A">
      <w:pPr>
        <w:spacing w:after="0" w:line="240" w:lineRule="auto"/>
        <w:ind w:left="709" w:right="902"/>
        <w:jc w:val="both"/>
        <w:rPr>
          <w:rFonts w:ascii="Palatino Linotype" w:eastAsia="Times New Roman" w:hAnsi="Palatino Linotype" w:cs="Tahoma"/>
          <w:i/>
          <w:iCs/>
          <w:lang w:eastAsia="es-ES"/>
        </w:rPr>
      </w:pPr>
      <w:r w:rsidRPr="000D6AEA">
        <w:rPr>
          <w:rFonts w:ascii="Palatino Linotype" w:eastAsia="Times New Roman" w:hAnsi="Palatino Linotype" w:cs="Tahoma"/>
          <w:i/>
          <w:iCs/>
          <w:lang w:eastAsia="es-ES"/>
        </w:rPr>
        <w:t>II. Institución pública, a los poderes públicos del estado, los ayuntamientos de los municipios y los tribunales administrativos, así como los organismos auxiliares y fideicomisos públicos de carácter estatal y municipal;</w:t>
      </w:r>
    </w:p>
    <w:p w14:paraId="2EBE3CDA" w14:textId="77777777" w:rsidR="00AE673A" w:rsidRPr="000D6AEA" w:rsidRDefault="00AE673A" w:rsidP="00AE673A">
      <w:pPr>
        <w:spacing w:after="0" w:line="240" w:lineRule="auto"/>
        <w:ind w:left="709" w:right="902"/>
        <w:jc w:val="both"/>
        <w:rPr>
          <w:rFonts w:ascii="Palatino Linotype" w:eastAsia="Times New Roman" w:hAnsi="Palatino Linotype" w:cs="Tahoma"/>
          <w:i/>
          <w:iCs/>
          <w:lang w:eastAsia="es-ES"/>
        </w:rPr>
      </w:pPr>
      <w:r w:rsidRPr="000D6AEA">
        <w:rPr>
          <w:rFonts w:ascii="Palatino Linotype" w:eastAsia="Times New Roman" w:hAnsi="Palatino Linotype" w:cs="Tahoma"/>
          <w:i/>
          <w:iCs/>
          <w:lang w:eastAsia="es-ES"/>
        </w:rPr>
        <w:lastRenderedPageBreak/>
        <w:t>…</w:t>
      </w:r>
    </w:p>
    <w:p w14:paraId="53313ADB" w14:textId="77777777" w:rsidR="00AE673A" w:rsidRPr="000D6AEA" w:rsidRDefault="00AE673A" w:rsidP="00AE673A">
      <w:pPr>
        <w:spacing w:after="0" w:line="240" w:lineRule="auto"/>
        <w:ind w:left="709" w:right="902"/>
        <w:jc w:val="both"/>
        <w:rPr>
          <w:rFonts w:ascii="Palatino Linotype" w:eastAsia="Times New Roman" w:hAnsi="Palatino Linotype" w:cs="Tahoma"/>
          <w:i/>
          <w:iCs/>
          <w:lang w:eastAsia="es-ES"/>
        </w:rPr>
      </w:pPr>
      <w:r w:rsidRPr="000D6AEA">
        <w:rPr>
          <w:rFonts w:ascii="Palatino Linotype" w:eastAsia="Times New Roman" w:hAnsi="Palatino Linotype" w:cs="Tahoma"/>
          <w:i/>
          <w:iCs/>
          <w:lang w:eastAsia="es-ES"/>
        </w:rPr>
        <w:t xml:space="preserve">VII. Cuota, al monto que le corresponde cubrir al servidor público, equivalente a un porcentaje determinado de sus sueldo sujeto a cotización, así como el que debe cubrir el pensionado o pensionista y que recibe el Instituto para otorgar las prestaciones establecidas en la presente ley; </w:t>
      </w:r>
    </w:p>
    <w:p w14:paraId="22ABBE39" w14:textId="77777777" w:rsidR="00AE673A" w:rsidRPr="000D6AEA" w:rsidRDefault="00AE673A" w:rsidP="00AE673A">
      <w:pPr>
        <w:spacing w:after="0" w:line="240" w:lineRule="auto"/>
        <w:ind w:left="709" w:right="902"/>
        <w:jc w:val="both"/>
        <w:rPr>
          <w:rFonts w:ascii="Palatino Linotype" w:eastAsia="Times New Roman" w:hAnsi="Palatino Linotype" w:cs="Tahoma"/>
          <w:b/>
          <w:bCs/>
          <w:i/>
          <w:iCs/>
          <w:lang w:eastAsia="es-ES"/>
        </w:rPr>
      </w:pPr>
      <w:r w:rsidRPr="000D6AEA">
        <w:rPr>
          <w:rFonts w:ascii="Palatino Linotype" w:eastAsia="Times New Roman" w:hAnsi="Palatino Linotype" w:cs="Tahoma"/>
          <w:i/>
          <w:iCs/>
          <w:lang w:eastAsia="es-ES"/>
        </w:rPr>
        <w:t xml:space="preserve">VIII. </w:t>
      </w:r>
      <w:r w:rsidRPr="000D6AEA">
        <w:rPr>
          <w:rFonts w:ascii="Palatino Linotype" w:eastAsia="Times New Roman" w:hAnsi="Palatino Linotype" w:cs="Tahoma"/>
          <w:b/>
          <w:bCs/>
          <w:i/>
          <w:iCs/>
          <w:lang w:eastAsia="es-ES"/>
        </w:rPr>
        <w:t>Aportación, al monto que le corresponde cubrir a las instituciones públicas como porcentaje del sueldo sujeto a cotización de cada servidor público;</w:t>
      </w:r>
    </w:p>
    <w:p w14:paraId="31AD624E" w14:textId="77777777" w:rsidR="00AE673A" w:rsidRPr="000D6AEA" w:rsidRDefault="00AE673A" w:rsidP="00AE673A">
      <w:pPr>
        <w:spacing w:after="0" w:line="240" w:lineRule="auto"/>
        <w:ind w:left="709" w:right="902"/>
        <w:jc w:val="both"/>
        <w:rPr>
          <w:rFonts w:ascii="Palatino Linotype" w:eastAsia="Times New Roman" w:hAnsi="Palatino Linotype" w:cs="Tahoma"/>
          <w:i/>
          <w:iCs/>
          <w:lang w:eastAsia="es-ES"/>
        </w:rPr>
      </w:pPr>
      <w:r w:rsidRPr="000D6AEA">
        <w:rPr>
          <w:rFonts w:ascii="Palatino Linotype" w:eastAsia="Times New Roman" w:hAnsi="Palatino Linotype" w:cs="Tahoma"/>
          <w:i/>
          <w:iCs/>
          <w:lang w:eastAsia="es-ES"/>
        </w:rPr>
        <w:t>…</w:t>
      </w:r>
    </w:p>
    <w:p w14:paraId="63A11CC1" w14:textId="77777777" w:rsidR="00AE673A" w:rsidRPr="000D6AEA" w:rsidRDefault="00AE673A" w:rsidP="00AE673A">
      <w:pPr>
        <w:spacing w:after="0" w:line="240" w:lineRule="auto"/>
        <w:ind w:left="709" w:right="902"/>
        <w:jc w:val="both"/>
        <w:rPr>
          <w:rFonts w:ascii="Palatino Linotype" w:eastAsia="Times New Roman" w:hAnsi="Palatino Linotype" w:cs="Tahoma"/>
          <w:b/>
          <w:bCs/>
          <w:i/>
          <w:iCs/>
          <w:lang w:eastAsia="es-ES"/>
        </w:rPr>
      </w:pPr>
      <w:r w:rsidRPr="000D6AEA">
        <w:rPr>
          <w:rFonts w:ascii="Palatino Linotype" w:eastAsia="Times New Roman" w:hAnsi="Palatino Linotype" w:cs="Tahoma"/>
          <w:i/>
          <w:iCs/>
          <w:lang w:eastAsia="es-ES"/>
        </w:rPr>
        <w:t xml:space="preserve">Artículo 32.- </w:t>
      </w:r>
      <w:r w:rsidRPr="000D6AEA">
        <w:rPr>
          <w:rFonts w:ascii="Palatino Linotype" w:eastAsia="Times New Roman" w:hAnsi="Palatino Linotype" w:cs="Tahoma"/>
          <w:b/>
          <w:bCs/>
          <w:i/>
          <w:iCs/>
          <w:lang w:eastAsia="es-ES"/>
        </w:rPr>
        <w:t xml:space="preserve">Las cuotas obligatorias que deberán cubrir los servidores públicos al Instituto, serán las siguientes: </w:t>
      </w:r>
    </w:p>
    <w:p w14:paraId="36D910D3" w14:textId="77777777" w:rsidR="00AE673A" w:rsidRPr="000D6AEA" w:rsidRDefault="00AE673A" w:rsidP="00AE673A">
      <w:pPr>
        <w:spacing w:after="0" w:line="240" w:lineRule="auto"/>
        <w:ind w:left="709" w:right="902"/>
        <w:jc w:val="both"/>
        <w:rPr>
          <w:rFonts w:ascii="Palatino Linotype" w:eastAsia="Times New Roman" w:hAnsi="Palatino Linotype" w:cs="Tahoma"/>
          <w:i/>
          <w:iCs/>
          <w:lang w:eastAsia="es-ES"/>
        </w:rPr>
      </w:pPr>
      <w:r w:rsidRPr="000D6AEA">
        <w:rPr>
          <w:rFonts w:ascii="Palatino Linotype" w:eastAsia="Times New Roman" w:hAnsi="Palatino Linotype" w:cs="Tahoma"/>
          <w:i/>
          <w:iCs/>
          <w:lang w:eastAsia="es-ES"/>
        </w:rPr>
        <w:t xml:space="preserve">I. El 4.625% del sueldo sujeto a cotización, para cubrir las prestaciones de servicios de salud; </w:t>
      </w:r>
    </w:p>
    <w:p w14:paraId="40673A08" w14:textId="77777777" w:rsidR="00AE673A" w:rsidRPr="000D6AEA" w:rsidRDefault="00AE673A" w:rsidP="00AE673A">
      <w:pPr>
        <w:spacing w:after="0" w:line="240" w:lineRule="auto"/>
        <w:ind w:left="709" w:right="902"/>
        <w:jc w:val="both"/>
        <w:rPr>
          <w:rFonts w:ascii="Palatino Linotype" w:eastAsia="Times New Roman" w:hAnsi="Palatino Linotype" w:cs="Tahoma"/>
          <w:i/>
          <w:iCs/>
          <w:lang w:eastAsia="es-ES"/>
        </w:rPr>
      </w:pPr>
      <w:r w:rsidRPr="000D6AEA">
        <w:rPr>
          <w:rFonts w:ascii="Palatino Linotype" w:eastAsia="Times New Roman" w:hAnsi="Palatino Linotype" w:cs="Tahoma"/>
          <w:i/>
          <w:iCs/>
          <w:lang w:eastAsia="es-ES"/>
        </w:rPr>
        <w:t xml:space="preserve">II. El 7.50% del sueldo sujeto a cotización, para cubrir el financiamiento de pensiones, de la siguiente manera: </w:t>
      </w:r>
    </w:p>
    <w:p w14:paraId="532A1468" w14:textId="77777777" w:rsidR="00AE673A" w:rsidRPr="000D6AEA" w:rsidRDefault="00AE673A" w:rsidP="00AE673A">
      <w:pPr>
        <w:spacing w:after="0" w:line="240" w:lineRule="auto"/>
        <w:ind w:left="709" w:right="902"/>
        <w:jc w:val="both"/>
        <w:rPr>
          <w:rFonts w:ascii="Palatino Linotype" w:eastAsia="Times New Roman" w:hAnsi="Palatino Linotype" w:cs="Tahoma"/>
          <w:i/>
          <w:iCs/>
          <w:lang w:eastAsia="es-ES"/>
        </w:rPr>
      </w:pPr>
      <w:r w:rsidRPr="000D6AEA">
        <w:rPr>
          <w:rFonts w:ascii="Palatino Linotype" w:eastAsia="Times New Roman" w:hAnsi="Palatino Linotype" w:cs="Tahoma"/>
          <w:i/>
          <w:iCs/>
          <w:lang w:eastAsia="es-ES"/>
        </w:rPr>
        <w:t xml:space="preserve">a. 6.10% para el fondo del sistema solidario de reparto. </w:t>
      </w:r>
    </w:p>
    <w:p w14:paraId="105DA8E9" w14:textId="77777777" w:rsidR="00AE673A" w:rsidRPr="000D6AEA" w:rsidRDefault="00AE673A" w:rsidP="00AE673A">
      <w:pPr>
        <w:spacing w:after="0" w:line="240" w:lineRule="auto"/>
        <w:ind w:left="709" w:right="902"/>
        <w:jc w:val="both"/>
        <w:rPr>
          <w:rFonts w:ascii="Palatino Linotype" w:eastAsia="Times New Roman" w:hAnsi="Palatino Linotype" w:cs="Tahoma"/>
          <w:b/>
          <w:bCs/>
          <w:i/>
          <w:iCs/>
          <w:u w:val="single"/>
          <w:lang w:eastAsia="es-ES"/>
        </w:rPr>
      </w:pPr>
      <w:r w:rsidRPr="000D6AEA">
        <w:rPr>
          <w:rFonts w:ascii="Palatino Linotype" w:eastAsia="Times New Roman" w:hAnsi="Palatino Linotype" w:cs="Tahoma"/>
          <w:b/>
          <w:bCs/>
          <w:i/>
          <w:iCs/>
          <w:u w:val="single"/>
          <w:lang w:eastAsia="es-ES"/>
        </w:rPr>
        <w:t xml:space="preserve">b. 1.40% para el sistema de capitalización individual. </w:t>
      </w:r>
    </w:p>
    <w:p w14:paraId="74259EED" w14:textId="77777777" w:rsidR="00AE673A" w:rsidRPr="000D6AEA" w:rsidRDefault="00AE673A" w:rsidP="00AE673A">
      <w:pPr>
        <w:spacing w:after="0" w:line="240" w:lineRule="auto"/>
        <w:ind w:left="709" w:right="902"/>
        <w:jc w:val="both"/>
        <w:rPr>
          <w:rFonts w:ascii="Palatino Linotype" w:eastAsia="Times New Roman" w:hAnsi="Palatino Linotype" w:cs="Tahoma"/>
          <w:i/>
          <w:iCs/>
          <w:lang w:eastAsia="es-ES"/>
        </w:rPr>
      </w:pPr>
      <w:r w:rsidRPr="000D6AEA">
        <w:rPr>
          <w:rFonts w:ascii="Palatino Linotype" w:eastAsia="Times New Roman" w:hAnsi="Palatino Linotype" w:cs="Tahoma"/>
          <w:i/>
          <w:iCs/>
          <w:lang w:eastAsia="es-ES"/>
        </w:rPr>
        <w:t>III. Las que determine anualmente el Consejo Directivo para otras prestaciones, señaladas en el Título IV.</w:t>
      </w:r>
    </w:p>
    <w:p w14:paraId="624ED159" w14:textId="77777777" w:rsidR="00AE673A" w:rsidRPr="000D6AEA" w:rsidRDefault="00AE673A" w:rsidP="00AE673A">
      <w:pPr>
        <w:spacing w:after="0" w:line="240" w:lineRule="auto"/>
        <w:ind w:left="709" w:right="902"/>
        <w:jc w:val="both"/>
        <w:rPr>
          <w:rFonts w:ascii="Palatino Linotype" w:eastAsia="Times New Roman" w:hAnsi="Palatino Linotype" w:cs="Tahoma"/>
          <w:i/>
          <w:iCs/>
          <w:lang w:eastAsia="es-ES"/>
        </w:rPr>
      </w:pPr>
      <w:r w:rsidRPr="000D6AEA">
        <w:rPr>
          <w:rFonts w:ascii="Palatino Linotype" w:eastAsia="Times New Roman" w:hAnsi="Palatino Linotype" w:cs="Tahoma"/>
          <w:i/>
          <w:iCs/>
          <w:lang w:eastAsia="es-ES"/>
        </w:rPr>
        <w:t>…</w:t>
      </w:r>
    </w:p>
    <w:p w14:paraId="04C228DD" w14:textId="77777777" w:rsidR="00AE673A" w:rsidRPr="000D6AEA" w:rsidRDefault="00AE673A" w:rsidP="00AE673A">
      <w:pPr>
        <w:spacing w:after="0" w:line="240" w:lineRule="auto"/>
        <w:ind w:left="709" w:right="902"/>
        <w:jc w:val="both"/>
        <w:rPr>
          <w:rFonts w:ascii="Palatino Linotype" w:eastAsia="Times New Roman" w:hAnsi="Palatino Linotype" w:cs="Tahoma"/>
          <w:i/>
          <w:iCs/>
          <w:lang w:eastAsia="es-ES"/>
        </w:rPr>
      </w:pPr>
      <w:r w:rsidRPr="000D6AEA">
        <w:rPr>
          <w:rFonts w:ascii="Palatino Linotype" w:eastAsia="Times New Roman" w:hAnsi="Palatino Linotype" w:cs="Tahoma"/>
          <w:i/>
          <w:iCs/>
          <w:lang w:eastAsia="es-ES"/>
        </w:rPr>
        <w:t xml:space="preserve">Artículo 34.- </w:t>
      </w:r>
      <w:r w:rsidRPr="000D6AEA">
        <w:rPr>
          <w:rFonts w:ascii="Palatino Linotype" w:eastAsia="Times New Roman" w:hAnsi="Palatino Linotype" w:cs="Tahoma"/>
          <w:b/>
          <w:bCs/>
          <w:i/>
          <w:iCs/>
          <w:lang w:eastAsia="es-ES"/>
        </w:rPr>
        <w:t>Las aportaciones que deberán cubrir obligatoriamente las instituciones públicas serán las siguientes</w:t>
      </w:r>
      <w:r w:rsidRPr="000D6AEA">
        <w:rPr>
          <w:rFonts w:ascii="Palatino Linotype" w:eastAsia="Times New Roman" w:hAnsi="Palatino Linotype" w:cs="Tahoma"/>
          <w:i/>
          <w:iCs/>
          <w:lang w:eastAsia="es-ES"/>
        </w:rPr>
        <w:t xml:space="preserve">: </w:t>
      </w:r>
    </w:p>
    <w:p w14:paraId="27A65E7C" w14:textId="77777777" w:rsidR="00AE673A" w:rsidRPr="000D6AEA" w:rsidRDefault="00AE673A" w:rsidP="00AE673A">
      <w:pPr>
        <w:spacing w:after="0" w:line="240" w:lineRule="auto"/>
        <w:ind w:left="709" w:right="902"/>
        <w:jc w:val="both"/>
        <w:rPr>
          <w:rFonts w:ascii="Palatino Linotype" w:eastAsia="Times New Roman" w:hAnsi="Palatino Linotype" w:cs="Tahoma"/>
          <w:i/>
          <w:iCs/>
          <w:lang w:eastAsia="es-ES"/>
        </w:rPr>
      </w:pPr>
      <w:r w:rsidRPr="000D6AEA">
        <w:rPr>
          <w:rFonts w:ascii="Palatino Linotype" w:eastAsia="Times New Roman" w:hAnsi="Palatino Linotype" w:cs="Tahoma"/>
          <w:i/>
          <w:iCs/>
          <w:lang w:eastAsia="es-ES"/>
        </w:rPr>
        <w:t xml:space="preserve">I. El 10% del sueldo sujeto a cotización, para cubrir las prestaciones de servicios de salud; </w:t>
      </w:r>
    </w:p>
    <w:p w14:paraId="3483775D" w14:textId="77777777" w:rsidR="00AE673A" w:rsidRPr="000D6AEA" w:rsidRDefault="00AE673A" w:rsidP="00AE673A">
      <w:pPr>
        <w:spacing w:after="0" w:line="240" w:lineRule="auto"/>
        <w:ind w:left="709" w:right="902"/>
        <w:jc w:val="both"/>
        <w:rPr>
          <w:rFonts w:ascii="Palatino Linotype" w:eastAsia="Times New Roman" w:hAnsi="Palatino Linotype" w:cs="Tahoma"/>
          <w:i/>
          <w:iCs/>
          <w:lang w:eastAsia="es-ES"/>
        </w:rPr>
      </w:pPr>
      <w:r w:rsidRPr="000D6AEA">
        <w:rPr>
          <w:rFonts w:ascii="Palatino Linotype" w:eastAsia="Times New Roman" w:hAnsi="Palatino Linotype" w:cs="Tahoma"/>
          <w:i/>
          <w:iCs/>
          <w:lang w:eastAsia="es-ES"/>
        </w:rPr>
        <w:t xml:space="preserve">II. El 9.27% del sueldo sujeto a cotización, para cubrir el financiamiento de pensiones, de la siguiente manera: </w:t>
      </w:r>
    </w:p>
    <w:p w14:paraId="32870D18" w14:textId="77777777" w:rsidR="00AE673A" w:rsidRPr="000D6AEA" w:rsidRDefault="00AE673A" w:rsidP="00AE673A">
      <w:pPr>
        <w:spacing w:after="0" w:line="240" w:lineRule="auto"/>
        <w:ind w:left="709" w:right="902"/>
        <w:jc w:val="both"/>
        <w:rPr>
          <w:rFonts w:ascii="Palatino Linotype" w:eastAsia="Times New Roman" w:hAnsi="Palatino Linotype" w:cs="Tahoma"/>
          <w:i/>
          <w:iCs/>
          <w:lang w:eastAsia="es-ES"/>
        </w:rPr>
      </w:pPr>
      <w:r w:rsidRPr="000D6AEA">
        <w:rPr>
          <w:rFonts w:ascii="Palatino Linotype" w:eastAsia="Times New Roman" w:hAnsi="Palatino Linotype" w:cs="Tahoma"/>
          <w:i/>
          <w:iCs/>
          <w:lang w:eastAsia="es-ES"/>
        </w:rPr>
        <w:t xml:space="preserve">a. 7.42% para el fondo del sistema solidario de reparto. </w:t>
      </w:r>
    </w:p>
    <w:p w14:paraId="020E1130" w14:textId="77777777" w:rsidR="00AE673A" w:rsidRPr="000D6AEA" w:rsidRDefault="00AE673A" w:rsidP="00AE673A">
      <w:pPr>
        <w:spacing w:after="0" w:line="240" w:lineRule="auto"/>
        <w:ind w:left="709" w:right="902"/>
        <w:jc w:val="both"/>
        <w:rPr>
          <w:rFonts w:ascii="Palatino Linotype" w:eastAsia="Times New Roman" w:hAnsi="Palatino Linotype" w:cs="Tahoma"/>
          <w:b/>
          <w:bCs/>
          <w:i/>
          <w:iCs/>
          <w:u w:val="single"/>
          <w:lang w:eastAsia="es-ES"/>
        </w:rPr>
      </w:pPr>
      <w:r w:rsidRPr="000D6AEA">
        <w:rPr>
          <w:rFonts w:ascii="Palatino Linotype" w:eastAsia="Times New Roman" w:hAnsi="Palatino Linotype" w:cs="Tahoma"/>
          <w:i/>
          <w:iCs/>
          <w:u w:val="single"/>
          <w:lang w:eastAsia="es-ES"/>
        </w:rPr>
        <w:t xml:space="preserve">b. </w:t>
      </w:r>
      <w:r w:rsidRPr="000D6AEA">
        <w:rPr>
          <w:rFonts w:ascii="Palatino Linotype" w:eastAsia="Times New Roman" w:hAnsi="Palatino Linotype" w:cs="Tahoma"/>
          <w:b/>
          <w:bCs/>
          <w:i/>
          <w:iCs/>
          <w:u w:val="single"/>
          <w:lang w:eastAsia="es-ES"/>
        </w:rPr>
        <w:t xml:space="preserve">1.85% para el sistema de capitalización individual. </w:t>
      </w:r>
    </w:p>
    <w:p w14:paraId="70B60C24" w14:textId="77777777" w:rsidR="00AE673A" w:rsidRPr="000D6AEA" w:rsidRDefault="00AE673A" w:rsidP="00AE673A">
      <w:pPr>
        <w:spacing w:after="0" w:line="240" w:lineRule="auto"/>
        <w:ind w:left="709" w:right="902"/>
        <w:jc w:val="both"/>
        <w:rPr>
          <w:rFonts w:ascii="Palatino Linotype" w:eastAsia="Times New Roman" w:hAnsi="Palatino Linotype" w:cs="Tahoma"/>
          <w:i/>
          <w:iCs/>
          <w:lang w:eastAsia="es-ES"/>
        </w:rPr>
      </w:pPr>
      <w:r w:rsidRPr="000D6AEA">
        <w:rPr>
          <w:rFonts w:ascii="Palatino Linotype" w:eastAsia="Times New Roman" w:hAnsi="Palatino Linotype" w:cs="Tahoma"/>
          <w:i/>
          <w:iCs/>
          <w:lang w:eastAsia="es-ES"/>
        </w:rPr>
        <w:t xml:space="preserve">III. Las que determine anualmente el Consejo Directivo para otras prestaciones, señaladas en el Título IV; </w:t>
      </w:r>
    </w:p>
    <w:p w14:paraId="12FCB9A5" w14:textId="77777777" w:rsidR="00AE673A" w:rsidRPr="000D6AEA" w:rsidRDefault="00AE673A" w:rsidP="00AE673A">
      <w:pPr>
        <w:spacing w:after="0" w:line="240" w:lineRule="auto"/>
        <w:ind w:left="709" w:right="902"/>
        <w:jc w:val="both"/>
        <w:rPr>
          <w:rFonts w:ascii="Palatino Linotype" w:eastAsia="Times New Roman" w:hAnsi="Palatino Linotype" w:cs="Tahoma"/>
          <w:i/>
          <w:iCs/>
          <w:lang w:eastAsia="es-ES"/>
        </w:rPr>
      </w:pPr>
      <w:r w:rsidRPr="000D6AEA">
        <w:rPr>
          <w:rFonts w:ascii="Palatino Linotype" w:eastAsia="Times New Roman" w:hAnsi="Palatino Linotype" w:cs="Tahoma"/>
          <w:i/>
          <w:iCs/>
          <w:lang w:eastAsia="es-ES"/>
        </w:rPr>
        <w:t xml:space="preserve">IV. El 0.875% para gastos de administración; </w:t>
      </w:r>
    </w:p>
    <w:p w14:paraId="046A9D07" w14:textId="77777777" w:rsidR="00AE673A" w:rsidRPr="000D6AEA" w:rsidRDefault="00AE673A" w:rsidP="00AE673A">
      <w:pPr>
        <w:spacing w:after="0" w:line="240" w:lineRule="auto"/>
        <w:ind w:left="709" w:right="902"/>
        <w:jc w:val="both"/>
        <w:rPr>
          <w:rFonts w:ascii="Palatino Linotype" w:eastAsia="Times New Roman" w:hAnsi="Palatino Linotype" w:cs="Tahoma"/>
          <w:i/>
          <w:iCs/>
          <w:lang w:eastAsia="es-ES"/>
        </w:rPr>
      </w:pPr>
      <w:r w:rsidRPr="000D6AEA">
        <w:rPr>
          <w:rFonts w:ascii="Palatino Linotype" w:eastAsia="Times New Roman" w:hAnsi="Palatino Linotype" w:cs="Tahoma"/>
          <w:i/>
          <w:iCs/>
          <w:lang w:eastAsia="es-ES"/>
        </w:rPr>
        <w:t>V. Las que se generen a cargo de las Instituciones públicas por concepto de riesgos de trabajo.</w:t>
      </w:r>
    </w:p>
    <w:p w14:paraId="0916BDDC" w14:textId="77777777" w:rsidR="00AE673A" w:rsidRPr="000D6AEA" w:rsidRDefault="00AE673A" w:rsidP="00AE673A">
      <w:pPr>
        <w:spacing w:after="0" w:line="360" w:lineRule="auto"/>
        <w:jc w:val="both"/>
        <w:rPr>
          <w:rFonts w:ascii="Palatino Linotype" w:eastAsia="Times New Roman" w:hAnsi="Palatino Linotype" w:cs="Tahoma"/>
          <w:sz w:val="28"/>
          <w:szCs w:val="28"/>
          <w:lang w:eastAsia="es-ES"/>
        </w:rPr>
      </w:pPr>
    </w:p>
    <w:p w14:paraId="6FC2E765" w14:textId="18A04AAF" w:rsidR="00AE673A" w:rsidRPr="000D6AEA" w:rsidRDefault="00AE673A" w:rsidP="00395570">
      <w:pPr>
        <w:spacing w:after="0" w:line="360" w:lineRule="auto"/>
        <w:jc w:val="both"/>
        <w:rPr>
          <w:rFonts w:ascii="Palatino Linotype" w:eastAsia="Times New Roman" w:hAnsi="Palatino Linotype" w:cs="Tahoma"/>
          <w:sz w:val="24"/>
          <w:szCs w:val="24"/>
          <w:lang w:eastAsia="es-ES"/>
        </w:rPr>
      </w:pPr>
      <w:r w:rsidRPr="000D6AEA">
        <w:rPr>
          <w:rFonts w:ascii="Palatino Linotype" w:eastAsia="Times New Roman" w:hAnsi="Palatino Linotype" w:cs="Tahoma"/>
          <w:sz w:val="24"/>
          <w:szCs w:val="24"/>
          <w:lang w:eastAsia="es-ES"/>
        </w:rPr>
        <w:t xml:space="preserve">Por lo antes señalado, las aportaciones ya están determinadas por un porcentaje en relación al sueldo del servidor público, las cuales son cubiertas obligatoriamente, tanto </w:t>
      </w:r>
      <w:r w:rsidRPr="000D6AEA">
        <w:rPr>
          <w:rFonts w:ascii="Palatino Linotype" w:eastAsia="Times New Roman" w:hAnsi="Palatino Linotype" w:cs="Tahoma"/>
          <w:sz w:val="24"/>
          <w:szCs w:val="24"/>
          <w:lang w:eastAsia="es-ES"/>
        </w:rPr>
        <w:lastRenderedPageBreak/>
        <w:t>por los servidores públicos, como por las instituciones públicas, por lo que al considerar los porcentajes correspondientes al Sistema de Capitalización Individual (%1,40 de servidor público y %1.85 de la Institución pública), es fácilmente identificable al conocer el sueldo del servidor público, por tanto dichos conceptos deberán de ser públicos.</w:t>
      </w:r>
      <w:bookmarkStart w:id="2" w:name="_heading=h.987we07n3kwj" w:colFirst="0" w:colLast="0"/>
      <w:bookmarkStart w:id="3" w:name="_heading=h.e4w0o6ue8sc6" w:colFirst="0" w:colLast="0"/>
      <w:bookmarkStart w:id="4" w:name="_heading=h.rtb9e44i85ua" w:colFirst="0" w:colLast="0"/>
      <w:bookmarkStart w:id="5" w:name="_heading=h.mt7q496zmklq" w:colFirst="0" w:colLast="0"/>
      <w:bookmarkStart w:id="6" w:name="_heading=h.n30l5xfevj1m" w:colFirst="0" w:colLast="0"/>
      <w:bookmarkStart w:id="7" w:name="_heading=h.xyl92zx2yn72" w:colFirst="0" w:colLast="0"/>
      <w:bookmarkEnd w:id="2"/>
      <w:bookmarkEnd w:id="3"/>
      <w:bookmarkEnd w:id="4"/>
      <w:bookmarkEnd w:id="5"/>
      <w:bookmarkEnd w:id="6"/>
      <w:bookmarkEnd w:id="7"/>
    </w:p>
    <w:p w14:paraId="1EB28B28" w14:textId="77777777" w:rsidR="00AE673A" w:rsidRPr="000D6AEA" w:rsidRDefault="00AE673A" w:rsidP="00395570">
      <w:pPr>
        <w:spacing w:after="0" w:line="360" w:lineRule="auto"/>
        <w:jc w:val="both"/>
        <w:rPr>
          <w:rFonts w:ascii="Palatino Linotype" w:hAnsi="Palatino Linotype" w:cs="Calibri"/>
          <w:sz w:val="24"/>
          <w:szCs w:val="24"/>
          <w:lang w:eastAsia="es-MX"/>
        </w:rPr>
      </w:pPr>
    </w:p>
    <w:p w14:paraId="7A070FF6" w14:textId="41B9F863" w:rsidR="00395570" w:rsidRPr="000D6AEA" w:rsidRDefault="00395570" w:rsidP="00395570">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 xml:space="preserve">Conforme a lo anterior, se logra observar que </w:t>
      </w:r>
      <w:r w:rsidR="000F5590" w:rsidRPr="000D6AEA">
        <w:rPr>
          <w:rFonts w:ascii="Palatino Linotype" w:hAnsi="Palatino Linotype" w:cs="Calibri"/>
          <w:sz w:val="24"/>
          <w:szCs w:val="24"/>
          <w:lang w:eastAsia="es-MX"/>
        </w:rPr>
        <w:t>los descuentos realizados por concepto del sistema de capitalización individual, fondo del sistema solidario de reparto y servicio de salud del ISSEMYM, no corresponden a información relacionada con una persona física identificada o identificable</w:t>
      </w:r>
      <w:r w:rsidRPr="000D6AEA">
        <w:rPr>
          <w:rFonts w:ascii="Palatino Linotype" w:hAnsi="Palatino Linotype" w:cs="Calibri"/>
          <w:sz w:val="24"/>
          <w:szCs w:val="24"/>
          <w:lang w:eastAsia="es-MX"/>
        </w:rPr>
        <w:t xml:space="preserve">, </w:t>
      </w:r>
      <w:r w:rsidR="000F5590" w:rsidRPr="000D6AEA">
        <w:rPr>
          <w:rFonts w:ascii="Palatino Linotype" w:hAnsi="Palatino Linotype" w:cs="Calibri"/>
          <w:sz w:val="24"/>
          <w:szCs w:val="24"/>
          <w:lang w:eastAsia="es-MX"/>
        </w:rPr>
        <w:t xml:space="preserve">aunado a que </w:t>
      </w:r>
      <w:r w:rsidRPr="000D6AEA">
        <w:rPr>
          <w:rFonts w:ascii="Palatino Linotype" w:hAnsi="Palatino Linotype" w:cs="Calibri"/>
          <w:sz w:val="24"/>
          <w:szCs w:val="24"/>
          <w:lang w:eastAsia="es-MX"/>
        </w:rPr>
        <w:t xml:space="preserve">no contienen información que dé acceso a datos personales, ni contiene datos confidenciales, por lo que, se considera que no actualiza la causal de clasificación establecida en el artículo 143, fracción I, de la Ley de Transparencia y Acceso a la Información Pública del Estado de México y Municipios. </w:t>
      </w:r>
    </w:p>
    <w:p w14:paraId="7BFC4BB2" w14:textId="77777777" w:rsidR="00395570" w:rsidRPr="000D6AEA" w:rsidRDefault="00395570" w:rsidP="00395570">
      <w:pPr>
        <w:spacing w:after="0" w:line="360" w:lineRule="auto"/>
        <w:jc w:val="both"/>
        <w:rPr>
          <w:rFonts w:ascii="Palatino Linotype" w:hAnsi="Palatino Linotype"/>
          <w:sz w:val="24"/>
          <w:szCs w:val="24"/>
          <w:lang w:eastAsia="es-MX"/>
        </w:rPr>
      </w:pPr>
    </w:p>
    <w:p w14:paraId="7FEB5A88" w14:textId="067153CE" w:rsidR="0060235C" w:rsidRPr="000D6AEA" w:rsidRDefault="00395570" w:rsidP="000F5590">
      <w:pPr>
        <w:spacing w:after="0" w:line="360" w:lineRule="auto"/>
        <w:jc w:val="both"/>
        <w:rPr>
          <w:rFonts w:ascii="Palatino Linotype" w:hAnsi="Palatino Linotype" w:cs="Arial"/>
          <w:sz w:val="24"/>
          <w:szCs w:val="24"/>
          <w:lang w:eastAsia="es-MX"/>
        </w:rPr>
      </w:pPr>
      <w:r w:rsidRPr="000D6AEA">
        <w:rPr>
          <w:rFonts w:ascii="Palatino Linotype" w:hAnsi="Palatino Linotype"/>
          <w:sz w:val="24"/>
          <w:szCs w:val="24"/>
          <w:lang w:eastAsia="es-MX"/>
        </w:rPr>
        <w:t xml:space="preserve">En ese tenor, una vez delimitados los datos que deben dejarse visibles en </w:t>
      </w:r>
      <w:r w:rsidR="000F5590" w:rsidRPr="000D6AEA">
        <w:rPr>
          <w:rFonts w:ascii="Palatino Linotype" w:hAnsi="Palatino Linotype"/>
          <w:sz w:val="24"/>
          <w:szCs w:val="24"/>
          <w:lang w:eastAsia="es-MX"/>
        </w:rPr>
        <w:t>la nómina general entregada</w:t>
      </w:r>
      <w:r w:rsidRPr="000D6AEA">
        <w:rPr>
          <w:rFonts w:ascii="Palatino Linotype" w:hAnsi="Palatino Linotype" w:cs="Arial"/>
          <w:sz w:val="24"/>
          <w:szCs w:val="24"/>
          <w:lang w:eastAsia="es-MX"/>
        </w:rPr>
        <w:t>; se colige que el Sujeto Obligado deberá remitir en una correcta versión públic</w:t>
      </w:r>
      <w:r w:rsidR="000F5590" w:rsidRPr="000D6AEA">
        <w:rPr>
          <w:rFonts w:ascii="Palatino Linotype" w:hAnsi="Palatino Linotype" w:cs="Arial"/>
          <w:sz w:val="24"/>
          <w:szCs w:val="24"/>
          <w:lang w:eastAsia="es-MX"/>
        </w:rPr>
        <w:t xml:space="preserve">a la nómina general del personal administrativo de la administración 2025-2027 correspondiente a la segunda quincena de abril de 2026, </w:t>
      </w:r>
      <w:r w:rsidRPr="000D6AEA">
        <w:rPr>
          <w:rFonts w:ascii="Palatino Linotype" w:hAnsi="Palatino Linotype" w:cs="Arial"/>
          <w:bCs/>
          <w:sz w:val="24"/>
          <w:szCs w:val="24"/>
          <w:lang w:eastAsia="es-MX"/>
        </w:rPr>
        <w:t>entregad</w:t>
      </w:r>
      <w:r w:rsidR="000F5590" w:rsidRPr="000D6AEA">
        <w:rPr>
          <w:rFonts w:ascii="Palatino Linotype" w:hAnsi="Palatino Linotype" w:cs="Arial"/>
          <w:bCs/>
          <w:sz w:val="24"/>
          <w:szCs w:val="24"/>
          <w:lang w:eastAsia="es-MX"/>
        </w:rPr>
        <w:t>a</w:t>
      </w:r>
      <w:r w:rsidRPr="000D6AEA">
        <w:rPr>
          <w:rFonts w:ascii="Palatino Linotype" w:hAnsi="Palatino Linotype" w:cs="Arial"/>
          <w:bCs/>
          <w:sz w:val="24"/>
          <w:szCs w:val="24"/>
          <w:lang w:eastAsia="es-MX"/>
        </w:rPr>
        <w:t xml:space="preserve"> mediante respuesta a la solicitud de información número</w:t>
      </w:r>
      <w:r w:rsidRPr="000D6AEA">
        <w:rPr>
          <w:rFonts w:ascii="Palatino Linotype" w:hAnsi="Palatino Linotype" w:cs="Arial"/>
          <w:sz w:val="24"/>
          <w:szCs w:val="24"/>
          <w:lang w:eastAsia="es-MX"/>
        </w:rPr>
        <w:t xml:space="preserve"> </w:t>
      </w:r>
      <w:r w:rsidR="000F5590" w:rsidRPr="000D6AEA">
        <w:rPr>
          <w:rFonts w:ascii="Palatino Linotype" w:hAnsi="Palatino Linotype" w:cs="Arial"/>
          <w:b/>
          <w:bCs/>
          <w:sz w:val="24"/>
          <w:szCs w:val="24"/>
          <w:lang w:eastAsia="es-MX"/>
        </w:rPr>
        <w:t>00011/DIFJUCHITEPEC/IP/2026</w:t>
      </w:r>
      <w:r w:rsidR="0060235C" w:rsidRPr="000D6AEA">
        <w:rPr>
          <w:rFonts w:ascii="Palatino Linotype" w:eastAsia="Calibri" w:hAnsi="Palatino Linotype" w:cs="Tahoma"/>
          <w:bCs/>
          <w:sz w:val="24"/>
        </w:rPr>
        <w:t xml:space="preserve">, junto con el acuerdo del Comité de Transparencia, en el que se funde y motive la eliminación de la información, de conformidad con lo establecido en los artículos 49, fracciones II y VIII, 128, 132, fracción I, 138, 143, fracción I y 149, de la Ley de </w:t>
      </w:r>
      <w:r w:rsidR="0060235C" w:rsidRPr="000D6AEA">
        <w:rPr>
          <w:rFonts w:ascii="Palatino Linotype" w:eastAsia="Calibri" w:hAnsi="Palatino Linotype" w:cs="Tahoma"/>
          <w:bCs/>
          <w:sz w:val="24"/>
        </w:rPr>
        <w:lastRenderedPageBreak/>
        <w:t>Transparencia y Acceso a la Información Pública de Estado de México y Municipios, de conformidad con lo siguiente:</w:t>
      </w:r>
    </w:p>
    <w:p w14:paraId="37863183" w14:textId="77777777" w:rsidR="0060235C" w:rsidRPr="000D6AEA" w:rsidRDefault="0060235C" w:rsidP="006920EF">
      <w:pPr>
        <w:autoSpaceDE w:val="0"/>
        <w:autoSpaceDN w:val="0"/>
        <w:adjustRightInd w:val="0"/>
        <w:spacing w:after="0" w:line="360" w:lineRule="auto"/>
        <w:jc w:val="both"/>
        <w:rPr>
          <w:rFonts w:ascii="Palatino Linotype" w:eastAsia="Calibri" w:hAnsi="Palatino Linotype" w:cs="Arial"/>
          <w:sz w:val="24"/>
          <w:szCs w:val="24"/>
        </w:rPr>
      </w:pPr>
    </w:p>
    <w:p w14:paraId="7CE1CC08" w14:textId="77777777" w:rsidR="00BB3A8B" w:rsidRPr="000D6AEA" w:rsidRDefault="00BB3A8B" w:rsidP="006920EF">
      <w:pPr>
        <w:shd w:val="clear" w:color="auto" w:fill="FFFFFF"/>
        <w:spacing w:after="0" w:line="360" w:lineRule="auto"/>
        <w:ind w:left="720"/>
        <w:jc w:val="both"/>
        <w:rPr>
          <w:rFonts w:ascii="Palatino Linotype" w:hAnsi="Palatino Linotype"/>
          <w:color w:val="222222"/>
          <w:sz w:val="28"/>
          <w:szCs w:val="28"/>
          <w:lang w:eastAsia="es-MX"/>
        </w:rPr>
      </w:pPr>
      <w:r w:rsidRPr="000D6AEA">
        <w:rPr>
          <w:rFonts w:ascii="Palatino Linotype" w:hAnsi="Palatino Linotype"/>
          <w:b/>
          <w:bCs/>
          <w:i/>
          <w:iCs/>
          <w:color w:val="222222"/>
          <w:sz w:val="28"/>
          <w:szCs w:val="28"/>
          <w:lang w:eastAsia="es-MX"/>
        </w:rPr>
        <w:t>De la versión pública.</w:t>
      </w:r>
    </w:p>
    <w:p w14:paraId="7D5D4763" w14:textId="77777777" w:rsidR="00BB3A8B" w:rsidRPr="000D6AEA" w:rsidRDefault="00BB3A8B" w:rsidP="006920EF">
      <w:pPr>
        <w:tabs>
          <w:tab w:val="left" w:pos="7938"/>
        </w:tabs>
        <w:spacing w:after="0" w:line="360" w:lineRule="auto"/>
        <w:jc w:val="both"/>
        <w:rPr>
          <w:rFonts w:ascii="Palatino Linotype" w:eastAsia="Arial Unicode MS" w:hAnsi="Palatino Linotype" w:cs="Arial"/>
          <w:sz w:val="24"/>
        </w:rPr>
      </w:pPr>
      <w:r w:rsidRPr="000D6AEA">
        <w:rPr>
          <w:rFonts w:ascii="Palatino Linotype" w:hAnsi="Palatino Linotype"/>
          <w:b/>
          <w:bCs/>
          <w:i/>
          <w:iCs/>
          <w:color w:val="222222"/>
          <w:sz w:val="24"/>
          <w:szCs w:val="24"/>
          <w:lang w:eastAsia="es-MX"/>
        </w:rPr>
        <w:t> </w:t>
      </w:r>
    </w:p>
    <w:p w14:paraId="222B0B16" w14:textId="77777777" w:rsidR="00D95EF9" w:rsidRPr="000D6AEA" w:rsidRDefault="00D95EF9" w:rsidP="00D95EF9">
      <w:pPr>
        <w:spacing w:after="0" w:line="360" w:lineRule="auto"/>
        <w:jc w:val="both"/>
        <w:rPr>
          <w:rFonts w:ascii="Palatino Linotype" w:eastAsia="Arial Unicode MS" w:hAnsi="Palatino Linotype" w:cs="Calibri"/>
          <w:sz w:val="24"/>
          <w:szCs w:val="24"/>
          <w:lang w:eastAsia="es-MX"/>
        </w:rPr>
      </w:pPr>
      <w:r w:rsidRPr="000D6AEA">
        <w:rPr>
          <w:rFonts w:ascii="Palatino Linotype" w:eastAsia="Arial Unicode MS" w:hAnsi="Palatino Linotype" w:cs="Calibri"/>
          <w:sz w:val="24"/>
          <w:szCs w:val="24"/>
          <w:lang w:eastAsia="es-MX"/>
        </w:rPr>
        <w:t>Tomando en consideración la naturaleza de los documentos que se está ordenado entregar al particular, este Órgano Garante determina ordenar que la entrega de la información al Recurrente se haga en versión pública, esto es, omitiendo, eliminando o suprimiendo la información personal de cada funcionario público, susceptibles de ser clasificadas como confidencial o cualquier otro dato que ponga en riesgo la vida, seguridad o salud de dicha persona.</w:t>
      </w:r>
    </w:p>
    <w:p w14:paraId="685513D2" w14:textId="77777777" w:rsidR="00D95EF9" w:rsidRPr="000D6AEA" w:rsidRDefault="00D95EF9" w:rsidP="00D95EF9">
      <w:pPr>
        <w:spacing w:after="0" w:line="360" w:lineRule="auto"/>
        <w:jc w:val="both"/>
        <w:rPr>
          <w:rFonts w:ascii="Palatino Linotype" w:hAnsi="Palatino Linotype" w:cs="Calibri"/>
          <w:bCs/>
          <w:sz w:val="24"/>
          <w:szCs w:val="24"/>
          <w:lang w:eastAsia="es-MX"/>
        </w:rPr>
      </w:pPr>
    </w:p>
    <w:p w14:paraId="22E64E69"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bCs/>
          <w:sz w:val="24"/>
          <w:szCs w:val="24"/>
          <w:lang w:eastAsia="es-MX"/>
        </w:rPr>
        <w:t>A este respecto, los</w:t>
      </w:r>
      <w:r w:rsidRPr="000D6AEA">
        <w:rPr>
          <w:rFonts w:ascii="Palatino Linotype" w:hAnsi="Palatino Linotype" w:cs="Calibri"/>
          <w:sz w:val="24"/>
          <w:szCs w:val="24"/>
          <w:lang w:eastAsia="es-MX"/>
        </w:rPr>
        <w:t xml:space="preserve"> artículos 3, fracciones IX, XX, XXI y XLV; 51 y 52de la Ley de Transparencia y Acceso a la Información Pública del Estado de México y Municipios establecen:</w:t>
      </w:r>
    </w:p>
    <w:p w14:paraId="785AD3EE" w14:textId="77777777" w:rsidR="00D95EF9" w:rsidRPr="000D6AEA" w:rsidRDefault="00D95EF9" w:rsidP="00D95EF9">
      <w:pPr>
        <w:spacing w:after="0" w:line="360" w:lineRule="auto"/>
        <w:rPr>
          <w:rFonts w:ascii="Palatino Linotype" w:hAnsi="Palatino Linotype" w:cs="Calibri"/>
          <w:noProof/>
          <w:sz w:val="24"/>
          <w:szCs w:val="24"/>
          <w:lang w:eastAsia="es-MX"/>
        </w:rPr>
      </w:pPr>
    </w:p>
    <w:p w14:paraId="4F813DBB"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Arial"/>
          <w:b/>
          <w:bCs/>
          <w:i/>
          <w:lang w:eastAsia="es-MX"/>
        </w:rPr>
        <w:t xml:space="preserve">Artículo 3. </w:t>
      </w:r>
      <w:r w:rsidRPr="000D6AEA">
        <w:rPr>
          <w:rFonts w:ascii="Palatino Linotype" w:hAnsi="Palatino Linotype" w:cs="Calibri"/>
          <w:i/>
          <w:lang w:eastAsia="es-MX"/>
        </w:rPr>
        <w:t xml:space="preserve">Para los efectos de la presente Ley se entenderá por: </w:t>
      </w:r>
    </w:p>
    <w:p w14:paraId="2C2A1AE8"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Arial"/>
          <w:i/>
          <w:lang w:eastAsia="es-MX"/>
        </w:rPr>
        <w:t>(…</w:t>
      </w:r>
      <w:r w:rsidRPr="000D6AEA">
        <w:rPr>
          <w:rFonts w:ascii="Palatino Linotype" w:hAnsi="Palatino Linotype" w:cs="Calibri"/>
          <w:i/>
          <w:lang w:eastAsia="es-MX"/>
        </w:rPr>
        <w:t>)</w:t>
      </w:r>
    </w:p>
    <w:p w14:paraId="6657064D" w14:textId="77777777" w:rsidR="00D95EF9" w:rsidRPr="000D6AEA" w:rsidRDefault="00D95EF9" w:rsidP="00D95EF9">
      <w:pPr>
        <w:spacing w:after="0" w:line="240" w:lineRule="auto"/>
        <w:ind w:left="567" w:right="616"/>
        <w:jc w:val="both"/>
        <w:rPr>
          <w:rFonts w:ascii="Palatino Linotype" w:hAnsi="Palatino Linotype" w:cs="Arial"/>
          <w:i/>
          <w:lang w:eastAsia="es-MX"/>
        </w:rPr>
      </w:pPr>
      <w:r w:rsidRPr="000D6AEA">
        <w:rPr>
          <w:rFonts w:ascii="Palatino Linotype" w:hAnsi="Palatino Linotype" w:cs="Arial"/>
          <w:b/>
          <w:i/>
          <w:lang w:eastAsia="es-MX"/>
        </w:rPr>
        <w:t>IX.</w:t>
      </w:r>
      <w:r w:rsidRPr="000D6AEA">
        <w:rPr>
          <w:rFonts w:ascii="Palatino Linotype" w:hAnsi="Palatino Linotype" w:cs="Arial"/>
          <w:i/>
          <w:lang w:eastAsia="es-MX"/>
        </w:rPr>
        <w:t xml:space="preserve"> </w:t>
      </w:r>
      <w:r w:rsidRPr="000D6AEA">
        <w:rPr>
          <w:rFonts w:ascii="Palatino Linotype" w:hAnsi="Palatino Linotype" w:cs="Arial"/>
          <w:b/>
          <w:i/>
          <w:lang w:eastAsia="es-MX"/>
        </w:rPr>
        <w:t xml:space="preserve">Datos personales: </w:t>
      </w:r>
      <w:r w:rsidRPr="000D6AEA">
        <w:rPr>
          <w:rFonts w:ascii="Palatino Linotype" w:hAnsi="Palatino Linotype" w:cs="Arial"/>
          <w:i/>
          <w:lang w:eastAsia="es-MX"/>
        </w:rPr>
        <w:t xml:space="preserve">La información concerniente a una persona, identificada o identificable según lo dispuesto por la Ley de Protección de Datos Personales del Estado de México; </w:t>
      </w:r>
    </w:p>
    <w:p w14:paraId="3399B7E0" w14:textId="77777777" w:rsidR="00D95EF9" w:rsidRPr="000D6AEA" w:rsidRDefault="00D95EF9" w:rsidP="00D95EF9">
      <w:pPr>
        <w:spacing w:after="0" w:line="240" w:lineRule="auto"/>
        <w:ind w:left="567" w:right="616"/>
        <w:jc w:val="both"/>
        <w:rPr>
          <w:rFonts w:ascii="Palatino Linotype" w:hAnsi="Palatino Linotype" w:cs="Arial"/>
          <w:i/>
          <w:lang w:eastAsia="es-MX"/>
        </w:rPr>
      </w:pPr>
      <w:r w:rsidRPr="000D6AEA">
        <w:rPr>
          <w:rFonts w:ascii="Palatino Linotype" w:hAnsi="Palatino Linotype" w:cs="Arial"/>
          <w:i/>
          <w:lang w:eastAsia="es-MX"/>
        </w:rPr>
        <w:t>(…)</w:t>
      </w:r>
    </w:p>
    <w:p w14:paraId="2B2FE88A" w14:textId="77777777" w:rsidR="00D95EF9" w:rsidRPr="000D6AEA" w:rsidRDefault="00D95EF9" w:rsidP="00D95EF9">
      <w:pPr>
        <w:spacing w:after="0" w:line="240" w:lineRule="auto"/>
        <w:ind w:left="567" w:right="616"/>
        <w:jc w:val="both"/>
        <w:rPr>
          <w:rFonts w:ascii="Palatino Linotype" w:hAnsi="Palatino Linotype" w:cs="Arial"/>
          <w:i/>
          <w:lang w:eastAsia="es-MX"/>
        </w:rPr>
      </w:pPr>
      <w:r w:rsidRPr="000D6AEA">
        <w:rPr>
          <w:rFonts w:ascii="Palatino Linotype" w:hAnsi="Palatino Linotype" w:cs="Arial"/>
          <w:b/>
          <w:i/>
          <w:lang w:eastAsia="es-MX"/>
        </w:rPr>
        <w:t>XX.</w:t>
      </w:r>
      <w:r w:rsidRPr="000D6AEA">
        <w:rPr>
          <w:rFonts w:ascii="Palatino Linotype" w:hAnsi="Palatino Linotype" w:cs="Arial"/>
          <w:i/>
          <w:lang w:eastAsia="es-MX"/>
        </w:rPr>
        <w:t xml:space="preserve"> </w:t>
      </w:r>
      <w:r w:rsidRPr="000D6AEA">
        <w:rPr>
          <w:rFonts w:ascii="Palatino Linotype" w:hAnsi="Palatino Linotype" w:cs="Arial"/>
          <w:b/>
          <w:i/>
          <w:lang w:eastAsia="es-MX"/>
        </w:rPr>
        <w:t>Información clasificada:</w:t>
      </w:r>
      <w:r w:rsidRPr="000D6AEA">
        <w:rPr>
          <w:rFonts w:ascii="Palatino Linotype" w:hAnsi="Palatino Linotype" w:cs="Arial"/>
          <w:i/>
          <w:lang w:eastAsia="es-MX"/>
        </w:rPr>
        <w:t xml:space="preserve"> Aquella considerada por la presente Ley como reservada o confidencial; </w:t>
      </w:r>
    </w:p>
    <w:p w14:paraId="67F8B9A4" w14:textId="77777777" w:rsidR="00D95EF9" w:rsidRPr="000D6AEA" w:rsidRDefault="00D95EF9" w:rsidP="00D95EF9">
      <w:pPr>
        <w:spacing w:after="0" w:line="240" w:lineRule="auto"/>
        <w:ind w:left="567" w:right="616"/>
        <w:jc w:val="both"/>
        <w:rPr>
          <w:rFonts w:ascii="Palatino Linotype" w:hAnsi="Palatino Linotype" w:cs="Arial"/>
          <w:i/>
          <w:lang w:eastAsia="es-MX"/>
        </w:rPr>
      </w:pPr>
      <w:r w:rsidRPr="000D6AEA">
        <w:rPr>
          <w:rFonts w:ascii="Palatino Linotype" w:hAnsi="Palatino Linotype" w:cs="Arial"/>
          <w:b/>
          <w:i/>
          <w:lang w:eastAsia="es-MX"/>
        </w:rPr>
        <w:t>XXI.</w:t>
      </w:r>
      <w:r w:rsidRPr="000D6AEA">
        <w:rPr>
          <w:rFonts w:ascii="Palatino Linotype" w:hAnsi="Palatino Linotype" w:cs="Arial"/>
          <w:i/>
          <w:lang w:eastAsia="es-MX"/>
        </w:rPr>
        <w:t xml:space="preserve"> </w:t>
      </w:r>
      <w:r w:rsidRPr="000D6AEA">
        <w:rPr>
          <w:rFonts w:ascii="Palatino Linotype" w:hAnsi="Palatino Linotype" w:cs="Arial"/>
          <w:b/>
          <w:i/>
          <w:lang w:eastAsia="es-MX"/>
        </w:rPr>
        <w:t>Información confidencial</w:t>
      </w:r>
      <w:r w:rsidRPr="000D6AEA">
        <w:rPr>
          <w:rFonts w:ascii="Palatino Linotype" w:hAnsi="Palatino Linotype" w:cs="Arial"/>
          <w:i/>
          <w:lang w:eastAsia="es-MX"/>
        </w:rPr>
        <w:t xml:space="preserve">: Se considera como información confidencial los secretos bancario, fiduciario, industrial, comercial, fiscal, bursátil y postal, cuya titularidad corresponda a particulares, sujetos de derecho internacional o a sujetos obligados cuando no involucren el ejercicio de recursos públicos; </w:t>
      </w:r>
    </w:p>
    <w:p w14:paraId="4BF6BBAB" w14:textId="77777777" w:rsidR="00D95EF9" w:rsidRPr="000D6AEA" w:rsidRDefault="00D95EF9" w:rsidP="00D95EF9">
      <w:pPr>
        <w:spacing w:after="0" w:line="240" w:lineRule="auto"/>
        <w:ind w:left="567" w:right="616"/>
        <w:jc w:val="both"/>
        <w:rPr>
          <w:rFonts w:ascii="Palatino Linotype" w:hAnsi="Palatino Linotype" w:cs="Arial"/>
          <w:i/>
          <w:lang w:eastAsia="es-MX"/>
        </w:rPr>
      </w:pPr>
      <w:r w:rsidRPr="000D6AEA">
        <w:rPr>
          <w:rFonts w:ascii="Palatino Linotype" w:hAnsi="Palatino Linotype" w:cs="Arial"/>
          <w:i/>
          <w:lang w:eastAsia="es-MX"/>
        </w:rPr>
        <w:lastRenderedPageBreak/>
        <w:t>(…)</w:t>
      </w:r>
    </w:p>
    <w:p w14:paraId="538A68F6" w14:textId="77777777" w:rsidR="00D95EF9" w:rsidRPr="000D6AEA" w:rsidRDefault="00D95EF9" w:rsidP="00D95EF9">
      <w:pPr>
        <w:spacing w:after="0" w:line="240" w:lineRule="auto"/>
        <w:ind w:left="567" w:right="616"/>
        <w:jc w:val="both"/>
        <w:rPr>
          <w:rFonts w:ascii="Palatino Linotype" w:hAnsi="Palatino Linotype" w:cs="Arial"/>
          <w:i/>
          <w:lang w:eastAsia="es-MX"/>
        </w:rPr>
      </w:pPr>
      <w:r w:rsidRPr="000D6AEA">
        <w:rPr>
          <w:rFonts w:ascii="Palatino Linotype" w:hAnsi="Palatino Linotype" w:cs="Arial"/>
          <w:b/>
          <w:i/>
          <w:lang w:eastAsia="es-MX"/>
        </w:rPr>
        <w:t>XLV. Versión pública:</w:t>
      </w:r>
      <w:r w:rsidRPr="000D6AEA">
        <w:rPr>
          <w:rFonts w:ascii="Palatino Linotype" w:hAnsi="Palatino Linotype" w:cs="Arial"/>
          <w:i/>
          <w:lang w:eastAsia="es-MX"/>
        </w:rPr>
        <w:t xml:space="preserve"> Documento en el que se elimine, suprime o borra la información clasificada como reservada o confidencial para permitir su acceso. </w:t>
      </w:r>
    </w:p>
    <w:p w14:paraId="7FE97709" w14:textId="77777777" w:rsidR="00D95EF9" w:rsidRPr="000D6AEA" w:rsidRDefault="00D95EF9" w:rsidP="00D95EF9">
      <w:pPr>
        <w:spacing w:after="0" w:line="240" w:lineRule="auto"/>
        <w:ind w:left="567" w:right="616"/>
        <w:jc w:val="both"/>
        <w:rPr>
          <w:rFonts w:ascii="Palatino Linotype" w:hAnsi="Palatino Linotype" w:cs="Arial"/>
          <w:i/>
          <w:lang w:eastAsia="es-MX"/>
        </w:rPr>
      </w:pPr>
    </w:p>
    <w:p w14:paraId="3A889406" w14:textId="77777777" w:rsidR="00D95EF9" w:rsidRPr="000D6AEA" w:rsidRDefault="00D95EF9" w:rsidP="00D95EF9">
      <w:pPr>
        <w:spacing w:after="0" w:line="240" w:lineRule="auto"/>
        <w:ind w:left="567" w:right="616"/>
        <w:jc w:val="both"/>
        <w:rPr>
          <w:rFonts w:ascii="Palatino Linotype" w:hAnsi="Palatino Linotype" w:cs="Arial"/>
          <w:i/>
          <w:lang w:eastAsia="es-MX"/>
        </w:rPr>
      </w:pPr>
      <w:r w:rsidRPr="000D6AEA">
        <w:rPr>
          <w:rFonts w:ascii="Palatino Linotype" w:hAnsi="Palatino Linotype" w:cs="Arial"/>
          <w:b/>
          <w:i/>
          <w:lang w:eastAsia="es-MX"/>
        </w:rPr>
        <w:t>Artículo 51.</w:t>
      </w:r>
      <w:r w:rsidRPr="000D6AEA">
        <w:rPr>
          <w:rFonts w:ascii="Palatino Linotype" w:hAnsi="Palatino Linotype" w:cs="Arial"/>
          <w:i/>
          <w:lang w:eastAsia="es-MX"/>
        </w:rPr>
        <w:t xml:space="preserve"> Los sujetos obligados designaran a un responsable para atender la Unidad de Transparencia, quien fungirá como enlace entre éstos y los solicitantes. Dicha Unidad será la encargada de tramitar internamente la solicitud de información </w:t>
      </w:r>
      <w:r w:rsidRPr="000D6AEA">
        <w:rPr>
          <w:rFonts w:ascii="Palatino Linotype" w:hAnsi="Palatino Linotype" w:cs="Arial"/>
          <w:b/>
          <w:i/>
          <w:lang w:eastAsia="es-MX"/>
        </w:rPr>
        <w:t xml:space="preserve">y tendrá la responsabilidad de verificar en cada caso que la misma no sea confidencial o reservada. </w:t>
      </w:r>
      <w:r w:rsidRPr="000D6AEA">
        <w:rPr>
          <w:rFonts w:ascii="Palatino Linotype" w:hAnsi="Palatino Linotype" w:cs="Arial"/>
          <w:i/>
          <w:lang w:eastAsia="es-MX"/>
        </w:rPr>
        <w:t xml:space="preserve">Dicha Unidad contará con las facultades internas necesarias para gestionar la atención a las solicitudes de información en los términos de la Ley General y la presente Ley. </w:t>
      </w:r>
    </w:p>
    <w:p w14:paraId="24A3787B" w14:textId="77777777" w:rsidR="00D95EF9" w:rsidRPr="000D6AEA" w:rsidRDefault="00D95EF9" w:rsidP="00D95EF9">
      <w:pPr>
        <w:spacing w:after="0" w:line="240" w:lineRule="auto"/>
        <w:ind w:left="567" w:right="616"/>
        <w:jc w:val="both"/>
        <w:rPr>
          <w:rFonts w:ascii="Palatino Linotype" w:hAnsi="Palatino Linotype" w:cs="Arial"/>
          <w:i/>
          <w:lang w:eastAsia="es-MX"/>
        </w:rPr>
      </w:pPr>
    </w:p>
    <w:p w14:paraId="2E51D968" w14:textId="77777777" w:rsidR="00D95EF9" w:rsidRPr="000D6AEA" w:rsidRDefault="00D95EF9" w:rsidP="00D95EF9">
      <w:pPr>
        <w:spacing w:after="0" w:line="240" w:lineRule="auto"/>
        <w:ind w:left="567" w:right="616"/>
        <w:jc w:val="both"/>
        <w:rPr>
          <w:rFonts w:ascii="Palatino Linotype" w:hAnsi="Palatino Linotype" w:cs="Arial"/>
          <w:bCs/>
          <w:i/>
          <w:noProof/>
          <w:lang w:eastAsia="es-MX"/>
        </w:rPr>
      </w:pPr>
      <w:r w:rsidRPr="000D6AEA">
        <w:rPr>
          <w:rFonts w:ascii="Palatino Linotype" w:hAnsi="Palatino Linotype" w:cs="Arial"/>
          <w:b/>
          <w:i/>
          <w:lang w:eastAsia="es-MX"/>
        </w:rPr>
        <w:t>Artículo 52.</w:t>
      </w:r>
      <w:r w:rsidRPr="000D6AEA">
        <w:rPr>
          <w:rFonts w:ascii="Palatino Linotype" w:hAnsi="Palatino Linotype" w:cs="Arial"/>
          <w:i/>
          <w:lang w:eastAsia="es-MX"/>
        </w:rPr>
        <w:t xml:space="preserve"> Las solicitudes de acceso a la información y las respuestas que se les dé, incluyendo, en su caso, la información entregada, así como las resoluciones a los recursos que en su caso se promuevan serán públicas, y de ser el caso que contenga datos personales que deban ser protegidos se podrá dar su acceso en su versión pública, siempre y cuando la resolución de referencia se someta a un proceso de disociación, es decir, no haga identificable al titular de tales datos personales.</w:t>
      </w:r>
    </w:p>
    <w:p w14:paraId="150E32A4" w14:textId="77777777" w:rsidR="00D95EF9" w:rsidRPr="000D6AEA" w:rsidRDefault="00D95EF9" w:rsidP="00D95EF9">
      <w:pPr>
        <w:spacing w:after="0" w:line="360" w:lineRule="auto"/>
        <w:rPr>
          <w:rFonts w:ascii="Palatino Linotype" w:hAnsi="Palatino Linotype" w:cs="Calibri"/>
          <w:noProof/>
          <w:sz w:val="24"/>
          <w:szCs w:val="24"/>
          <w:lang w:eastAsia="es-MX"/>
        </w:rPr>
      </w:pPr>
    </w:p>
    <w:p w14:paraId="5CB97878"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 xml:space="preserve">Así, los datos personales que obren en poder de los sujetos obligados deben estar protegidos, adoptando las medidas de seguridad administrativas, físicas y técnicas necesarias para garantizar la integridad, confidencialidad y disponibilidad de los datos personales, considerando además, que conforme al principio de finalidad, todo tratamiento de datos personales que efectúen deberá estar justificado en la Ley, lo anterior, en términos de lo dispuesto por el artículo 22, con relación con el 38, de la Ley de Protección de Datos Personales en Posesión de Sujetos Obligados del Estado de México y Municipios, los cuales se transcriben para mayor referencia: </w:t>
      </w:r>
    </w:p>
    <w:p w14:paraId="524F8AF4" w14:textId="77777777" w:rsidR="00D95EF9" w:rsidRPr="000D6AEA" w:rsidRDefault="00D95EF9" w:rsidP="00D95EF9">
      <w:pPr>
        <w:spacing w:after="0" w:line="360" w:lineRule="auto"/>
        <w:ind w:left="567" w:right="616"/>
        <w:jc w:val="both"/>
        <w:rPr>
          <w:rFonts w:ascii="Palatino Linotype" w:hAnsi="Palatino Linotype" w:cs="Calibri"/>
          <w:sz w:val="24"/>
          <w:szCs w:val="24"/>
          <w:lang w:eastAsia="es-MX"/>
        </w:rPr>
      </w:pPr>
    </w:p>
    <w:p w14:paraId="50929A0A" w14:textId="77777777" w:rsidR="00D95EF9" w:rsidRPr="000D6AEA" w:rsidRDefault="00D95EF9" w:rsidP="00D95EF9">
      <w:pPr>
        <w:spacing w:after="0" w:line="240" w:lineRule="auto"/>
        <w:ind w:left="567" w:right="616"/>
        <w:jc w:val="both"/>
        <w:rPr>
          <w:rFonts w:ascii="Palatino Linotype" w:eastAsia="Arial Unicode MS" w:hAnsi="Palatino Linotype" w:cs="Arial"/>
          <w:i/>
          <w:lang w:eastAsia="es-MX"/>
        </w:rPr>
      </w:pPr>
      <w:r w:rsidRPr="000D6AEA">
        <w:rPr>
          <w:rFonts w:ascii="Palatino Linotype" w:eastAsia="Arial Unicode MS" w:hAnsi="Palatino Linotype" w:cs="Arial"/>
          <w:b/>
          <w:i/>
          <w:lang w:eastAsia="es-MX"/>
        </w:rPr>
        <w:t>Artículo</w:t>
      </w:r>
      <w:r w:rsidRPr="000D6AEA">
        <w:rPr>
          <w:rFonts w:ascii="Palatino Linotype" w:eastAsia="Arial Unicode MS" w:hAnsi="Palatino Linotype" w:cs="Arial"/>
          <w:i/>
          <w:lang w:eastAsia="es-MX"/>
        </w:rPr>
        <w:t xml:space="preserve"> </w:t>
      </w:r>
      <w:r w:rsidRPr="000D6AEA">
        <w:rPr>
          <w:rFonts w:ascii="Palatino Linotype" w:eastAsia="Arial Unicode MS" w:hAnsi="Palatino Linotype" w:cs="Arial"/>
          <w:b/>
          <w:i/>
          <w:lang w:eastAsia="es-MX"/>
        </w:rPr>
        <w:t>22</w:t>
      </w:r>
      <w:r w:rsidRPr="000D6AEA">
        <w:rPr>
          <w:rFonts w:ascii="Palatino Linotype" w:eastAsia="Arial Unicode MS" w:hAnsi="Palatino Linotype" w:cs="Arial"/>
          <w:i/>
          <w:lang w:eastAsia="es-MX"/>
        </w:rPr>
        <w:t>. Todo tratamiento de datos personales que efectúe el responsable deberá estar justificado por finalidades concretas, lícitas, explícitas y legítimas, relacionadas con las atribuciones que la normatividad aplicable les confiera.</w:t>
      </w:r>
    </w:p>
    <w:p w14:paraId="232C64F3" w14:textId="77777777" w:rsidR="00D95EF9" w:rsidRPr="000D6AEA" w:rsidRDefault="00D95EF9" w:rsidP="00D95EF9">
      <w:pPr>
        <w:spacing w:after="0" w:line="240" w:lineRule="auto"/>
        <w:ind w:left="567" w:right="616"/>
        <w:jc w:val="both"/>
        <w:rPr>
          <w:rFonts w:ascii="Palatino Linotype" w:eastAsia="Arial Unicode MS" w:hAnsi="Palatino Linotype" w:cs="Arial"/>
          <w:i/>
          <w:lang w:eastAsia="es-MX"/>
        </w:rPr>
      </w:pPr>
    </w:p>
    <w:p w14:paraId="792986A8" w14:textId="77777777" w:rsidR="00D95EF9" w:rsidRPr="000D6AEA" w:rsidRDefault="00D95EF9" w:rsidP="00D95EF9">
      <w:pPr>
        <w:spacing w:after="0" w:line="240" w:lineRule="auto"/>
        <w:ind w:left="567" w:right="616"/>
        <w:jc w:val="both"/>
        <w:rPr>
          <w:rFonts w:ascii="Palatino Linotype" w:eastAsia="Arial Unicode MS" w:hAnsi="Palatino Linotype" w:cs="Arial"/>
          <w:i/>
          <w:lang w:eastAsia="es-MX"/>
        </w:rPr>
      </w:pPr>
      <w:r w:rsidRPr="000D6AEA">
        <w:rPr>
          <w:rFonts w:ascii="Palatino Linotype" w:eastAsia="Arial Unicode MS" w:hAnsi="Palatino Linotype" w:cs="Arial"/>
          <w:i/>
          <w:lang w:eastAsia="es-MX"/>
        </w:rPr>
        <w:lastRenderedPageBreak/>
        <w:t>El responsable podrá tratar datos personales para finalidades distintas a aquéllas establecidas en el aviso de privacidad, en los casos siguientes:</w:t>
      </w:r>
    </w:p>
    <w:p w14:paraId="491FC6B4" w14:textId="77777777" w:rsidR="00D95EF9" w:rsidRPr="000D6AEA" w:rsidRDefault="00D95EF9" w:rsidP="00D95EF9">
      <w:pPr>
        <w:spacing w:after="0" w:line="240" w:lineRule="auto"/>
        <w:ind w:left="567" w:right="616"/>
        <w:jc w:val="both"/>
        <w:rPr>
          <w:rFonts w:ascii="Palatino Linotype" w:eastAsia="Arial Unicode MS" w:hAnsi="Palatino Linotype" w:cs="Arial"/>
          <w:i/>
          <w:lang w:eastAsia="es-MX"/>
        </w:rPr>
      </w:pPr>
    </w:p>
    <w:p w14:paraId="6316C1FA" w14:textId="77777777" w:rsidR="00D95EF9" w:rsidRPr="000D6AEA" w:rsidRDefault="00D95EF9" w:rsidP="00D95EF9">
      <w:pPr>
        <w:spacing w:after="0" w:line="240" w:lineRule="auto"/>
        <w:ind w:left="567" w:right="616"/>
        <w:jc w:val="both"/>
        <w:rPr>
          <w:rFonts w:ascii="Palatino Linotype" w:eastAsia="Arial Unicode MS" w:hAnsi="Palatino Linotype" w:cs="Arial"/>
          <w:i/>
          <w:lang w:eastAsia="es-MX"/>
        </w:rPr>
      </w:pPr>
      <w:r w:rsidRPr="000D6AEA">
        <w:rPr>
          <w:rFonts w:ascii="Palatino Linotype" w:eastAsia="Arial Unicode MS" w:hAnsi="Palatino Linotype" w:cs="Arial"/>
          <w:i/>
          <w:lang w:eastAsia="es-MX"/>
        </w:rPr>
        <w:t>I. Cuente con atribuciones conferidas en ley y medie el consentimiento del titular.</w:t>
      </w:r>
    </w:p>
    <w:p w14:paraId="7B1C84CF" w14:textId="77777777" w:rsidR="00D95EF9" w:rsidRPr="000D6AEA" w:rsidRDefault="00D95EF9" w:rsidP="00D95EF9">
      <w:pPr>
        <w:spacing w:after="0" w:line="240" w:lineRule="auto"/>
        <w:ind w:left="567" w:right="616"/>
        <w:jc w:val="both"/>
        <w:rPr>
          <w:rFonts w:ascii="Palatino Linotype" w:eastAsia="Arial Unicode MS" w:hAnsi="Palatino Linotype" w:cs="Arial"/>
          <w:i/>
          <w:lang w:eastAsia="es-MX"/>
        </w:rPr>
      </w:pPr>
      <w:r w:rsidRPr="000D6AEA">
        <w:rPr>
          <w:rFonts w:ascii="Palatino Linotype" w:eastAsia="Arial Unicode MS" w:hAnsi="Palatino Linotype" w:cs="Arial"/>
          <w:i/>
          <w:lang w:eastAsia="es-MX"/>
        </w:rPr>
        <w:t>II. Se trate de una persona reportada como desaparecida, en los términos previstos en la presente Ley y demás disposiciones legales aplicables...</w:t>
      </w:r>
    </w:p>
    <w:p w14:paraId="101FF61C" w14:textId="77777777" w:rsidR="00D95EF9" w:rsidRPr="000D6AEA" w:rsidRDefault="00D95EF9" w:rsidP="00D95EF9">
      <w:pPr>
        <w:spacing w:after="0" w:line="240" w:lineRule="auto"/>
        <w:ind w:left="567" w:right="616"/>
        <w:jc w:val="both"/>
        <w:rPr>
          <w:rFonts w:ascii="Palatino Linotype" w:eastAsia="Arial Unicode MS" w:hAnsi="Palatino Linotype" w:cs="Arial"/>
          <w:i/>
          <w:lang w:eastAsia="es-MX"/>
        </w:rPr>
      </w:pPr>
    </w:p>
    <w:p w14:paraId="35313BDB" w14:textId="77777777" w:rsidR="00D95EF9" w:rsidRPr="000D6AEA" w:rsidRDefault="00D95EF9" w:rsidP="00D95EF9">
      <w:pPr>
        <w:spacing w:after="0" w:line="240" w:lineRule="auto"/>
        <w:ind w:left="567" w:right="616"/>
        <w:jc w:val="both"/>
        <w:rPr>
          <w:rFonts w:ascii="Palatino Linotype" w:eastAsia="Arial Unicode MS" w:hAnsi="Palatino Linotype" w:cs="Arial"/>
          <w:i/>
          <w:lang w:eastAsia="es-MX"/>
        </w:rPr>
      </w:pPr>
      <w:r w:rsidRPr="000D6AEA">
        <w:rPr>
          <w:rFonts w:ascii="Palatino Linotype" w:eastAsia="Arial Unicode MS" w:hAnsi="Palatino Linotype" w:cs="Arial"/>
          <w:b/>
          <w:i/>
          <w:lang w:eastAsia="es-MX"/>
        </w:rPr>
        <w:t>Artículo</w:t>
      </w:r>
      <w:r w:rsidRPr="000D6AEA">
        <w:rPr>
          <w:rFonts w:ascii="Palatino Linotype" w:eastAsia="Arial Unicode MS" w:hAnsi="Palatino Linotype" w:cs="Arial"/>
          <w:i/>
          <w:lang w:eastAsia="es-MX"/>
        </w:rPr>
        <w:t xml:space="preserve"> </w:t>
      </w:r>
      <w:r w:rsidRPr="000D6AEA">
        <w:rPr>
          <w:rFonts w:ascii="Palatino Linotype" w:eastAsia="Arial Unicode MS" w:hAnsi="Palatino Linotype" w:cs="Arial"/>
          <w:b/>
          <w:i/>
          <w:lang w:eastAsia="es-MX"/>
        </w:rPr>
        <w:t>38</w:t>
      </w:r>
      <w:r w:rsidRPr="000D6AEA">
        <w:rPr>
          <w:rFonts w:ascii="Palatino Linotype" w:eastAsia="Arial Unicode MS" w:hAnsi="Palatino Linotype" w:cs="Arial"/>
          <w:i/>
          <w:lang w:eastAsia="es-MX"/>
        </w:rPr>
        <w:t>. Con independencia del tipo de sistema y base de datos en el que se encuentren los datos personales o el tipo de tratamiento que se efectúe, el responsable adoptará, establecerá, mantendrá y documentará las medidas de seguridad administrativas, físicas y técnicas para garantizar la integridad, confidencialidad y disponibilidad de los datos personales, a través de controles y acciones que eviten su daño, alteración, pérdida, destrucción, o el uso, transferencia, acceso o cualquier tratamiento no autorizado o ilícito, de conformidad con lo dispuesto en los lineamientos que al efecto se expidan.</w:t>
      </w:r>
    </w:p>
    <w:p w14:paraId="3CD2166D" w14:textId="77777777" w:rsidR="00D95EF9" w:rsidRPr="000D6AEA" w:rsidRDefault="00D95EF9" w:rsidP="00D95EF9">
      <w:pPr>
        <w:spacing w:after="0" w:line="360" w:lineRule="auto"/>
        <w:ind w:left="567" w:right="616"/>
        <w:jc w:val="both"/>
        <w:rPr>
          <w:rFonts w:ascii="Palatino Linotype" w:eastAsia="Arial Unicode MS" w:hAnsi="Palatino Linotype" w:cs="Arial"/>
          <w:i/>
          <w:sz w:val="24"/>
          <w:szCs w:val="24"/>
          <w:lang w:eastAsia="es-MX"/>
        </w:rPr>
      </w:pPr>
    </w:p>
    <w:p w14:paraId="62B33394"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 xml:space="preserve">De este modo, en armonía entre los principios constitucionales de máxima publicidad y de protección de datos personales, la Ley permite la elaboración de versiones públicas en las que se suprima aquella información relacionada con la vida privada de los particulares y de los servidores públicos toda vez que ésta tiene por objeto proteger datos personales, entendiéndose por tales, aquéllos que hacen identificable a una persona. </w:t>
      </w:r>
    </w:p>
    <w:p w14:paraId="0FCEA8C2" w14:textId="77777777" w:rsidR="00D95EF9" w:rsidRPr="000D6AEA" w:rsidRDefault="00D95EF9" w:rsidP="00D95EF9">
      <w:pPr>
        <w:spacing w:after="0" w:line="360" w:lineRule="auto"/>
        <w:jc w:val="both"/>
        <w:rPr>
          <w:rFonts w:ascii="Palatino Linotype" w:hAnsi="Palatino Linotype" w:cs="Calibri"/>
          <w:sz w:val="24"/>
          <w:szCs w:val="24"/>
          <w:lang w:eastAsia="es-MX"/>
        </w:rPr>
      </w:pPr>
    </w:p>
    <w:p w14:paraId="062CD4D9" w14:textId="77777777" w:rsidR="00D95EF9" w:rsidRPr="000D6AEA" w:rsidRDefault="00D95EF9" w:rsidP="00D95EF9">
      <w:pPr>
        <w:spacing w:after="0" w:line="360" w:lineRule="auto"/>
        <w:jc w:val="both"/>
        <w:rPr>
          <w:rFonts w:ascii="Palatino Linotype" w:eastAsia="Arial Unicode MS" w:hAnsi="Palatino Linotype" w:cs="Calibri"/>
          <w:sz w:val="24"/>
          <w:szCs w:val="24"/>
          <w:lang w:eastAsia="es-MX"/>
        </w:rPr>
      </w:pPr>
      <w:r w:rsidRPr="000D6AEA">
        <w:rPr>
          <w:rFonts w:ascii="Palatino Linotype" w:eastAsia="Arial Unicode MS" w:hAnsi="Palatino Linotype" w:cs="Calibri"/>
          <w:sz w:val="24"/>
          <w:szCs w:val="24"/>
          <w:lang w:eastAsia="es-MX"/>
        </w:rPr>
        <w:t xml:space="preserve">En efecto, toda la información relativa a una persona física que le pueda hacer identificada o identificable constituye un dato personal en términos del artículo 4 fracción XI, de la Ley de Protección de Datos Personales en Posesión de Sujetos Obligados del Estado de México y Municipios; por consiguiente, se trata de información confidencial, que debe ser protegida por </w:t>
      </w:r>
      <w:r w:rsidRPr="000D6AEA">
        <w:rPr>
          <w:rFonts w:ascii="Palatino Linotype" w:eastAsia="Arial Unicode MS" w:hAnsi="Palatino Linotype" w:cs="Calibri"/>
          <w:color w:val="000000"/>
          <w:sz w:val="24"/>
          <w:szCs w:val="24"/>
          <w:lang w:eastAsia="es-MX"/>
        </w:rPr>
        <w:t>el Sujeto Obligado</w:t>
      </w:r>
      <w:r w:rsidRPr="000D6AEA">
        <w:rPr>
          <w:rFonts w:ascii="Palatino Linotype" w:eastAsia="Arial Unicode MS" w:hAnsi="Palatino Linotype" w:cs="Calibri"/>
          <w:sz w:val="24"/>
          <w:szCs w:val="24"/>
          <w:lang w:eastAsia="es-MX"/>
        </w:rPr>
        <w:t xml:space="preserve">, en ese contexto, todo dato personal susceptible de clasificación debe ser protegido. </w:t>
      </w:r>
    </w:p>
    <w:p w14:paraId="00EE4F6B" w14:textId="77777777" w:rsidR="00D95EF9" w:rsidRPr="000D6AEA" w:rsidRDefault="00D95EF9" w:rsidP="00D95EF9">
      <w:pPr>
        <w:spacing w:after="0" w:line="360" w:lineRule="auto"/>
        <w:jc w:val="both"/>
        <w:rPr>
          <w:rFonts w:ascii="Palatino Linotype" w:eastAsia="Arial Unicode MS" w:hAnsi="Palatino Linotype" w:cs="Calibri"/>
          <w:sz w:val="24"/>
          <w:szCs w:val="24"/>
          <w:lang w:eastAsia="es-MX"/>
        </w:rPr>
      </w:pPr>
    </w:p>
    <w:p w14:paraId="51697364" w14:textId="77777777" w:rsidR="00D95EF9" w:rsidRPr="000D6AEA" w:rsidRDefault="00D95EF9" w:rsidP="00D95EF9">
      <w:pPr>
        <w:spacing w:after="0" w:line="360" w:lineRule="auto"/>
        <w:jc w:val="both"/>
        <w:rPr>
          <w:rFonts w:ascii="Palatino Linotype" w:eastAsia="Arial Unicode MS" w:hAnsi="Palatino Linotype" w:cs="Calibri"/>
          <w:sz w:val="24"/>
          <w:szCs w:val="24"/>
          <w:lang w:eastAsia="es-MX"/>
        </w:rPr>
      </w:pPr>
      <w:r w:rsidRPr="000D6AEA">
        <w:rPr>
          <w:rFonts w:ascii="Palatino Linotype" w:eastAsia="Arial Unicode MS" w:hAnsi="Palatino Linotype" w:cs="Calibri"/>
          <w:sz w:val="24"/>
          <w:szCs w:val="24"/>
          <w:lang w:eastAsia="es-MX"/>
        </w:rPr>
        <w:lastRenderedPageBreak/>
        <w:t>Asimismo, de la versión pública deberá dejarse a la vista de la Recurrente</w:t>
      </w:r>
      <w:r w:rsidRPr="000D6AEA">
        <w:rPr>
          <w:rFonts w:ascii="Palatino Linotype" w:eastAsia="Arial Unicode MS" w:hAnsi="Palatino Linotype" w:cs="Calibri"/>
          <w:b/>
          <w:sz w:val="24"/>
          <w:szCs w:val="24"/>
          <w:lang w:eastAsia="es-MX"/>
        </w:rPr>
        <w:t xml:space="preserve"> </w:t>
      </w:r>
      <w:r w:rsidRPr="000D6AEA">
        <w:rPr>
          <w:rFonts w:ascii="Palatino Linotype" w:eastAsia="Arial Unicode MS" w:hAnsi="Palatino Linotype" w:cs="Calibri"/>
          <w:sz w:val="24"/>
          <w:szCs w:val="24"/>
          <w:lang w:eastAsia="es-MX"/>
        </w:rPr>
        <w:t xml:space="preserve">los siguientes elementos de información pública: monto total del sueldo neto y bruto, compensaciones, prestaciones, aguinaldos, bonos, pagos por concepto de gasolina, de servicio de telefonía celular, el nombre de los servidores públicos, el cargo que desempeña, área de adscripción, número de empleado (sólo en caso de no arrojar datos personales) y el período de la nómina respectiva, básicamente.  </w:t>
      </w:r>
    </w:p>
    <w:p w14:paraId="557CB405" w14:textId="77777777" w:rsidR="00D95EF9" w:rsidRPr="000D6AEA" w:rsidRDefault="00D95EF9" w:rsidP="00D95EF9">
      <w:pPr>
        <w:spacing w:after="0" w:line="360" w:lineRule="auto"/>
        <w:jc w:val="both"/>
        <w:rPr>
          <w:rFonts w:ascii="Palatino Linotype" w:hAnsi="Palatino Linotype" w:cs="Calibri"/>
          <w:sz w:val="24"/>
          <w:szCs w:val="24"/>
          <w:lang w:eastAsia="es-MX"/>
        </w:rPr>
      </w:pPr>
    </w:p>
    <w:p w14:paraId="2C131050"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Robustece lo anterior, el criterio sustentado por la Segunda Sala de la Suprema Corte de Justicia de la Nación, visible en la página 2518 del Tomo XXII, de la Novena Época del Semanario Judicial de la Federación y su Gaceta, Julio de 2008, de rubro y texto siguientes:</w:t>
      </w:r>
    </w:p>
    <w:p w14:paraId="7265A780" w14:textId="77777777" w:rsidR="00D95EF9" w:rsidRPr="000D6AEA" w:rsidRDefault="00D95EF9" w:rsidP="00D95EF9">
      <w:pPr>
        <w:spacing w:after="0" w:line="360" w:lineRule="auto"/>
        <w:rPr>
          <w:rFonts w:ascii="Palatino Linotype" w:hAnsi="Palatino Linotype" w:cs="Calibri"/>
          <w:sz w:val="24"/>
          <w:szCs w:val="24"/>
          <w:lang w:eastAsia="es-MX"/>
        </w:rPr>
      </w:pPr>
    </w:p>
    <w:p w14:paraId="40D7BC8E" w14:textId="77777777" w:rsidR="00D95EF9" w:rsidRPr="000D6AEA" w:rsidRDefault="00D95EF9" w:rsidP="00D95EF9">
      <w:pPr>
        <w:spacing w:after="0" w:line="240" w:lineRule="auto"/>
        <w:ind w:left="567" w:right="567"/>
        <w:jc w:val="both"/>
        <w:rPr>
          <w:rFonts w:ascii="Palatino Linotype" w:hAnsi="Palatino Linotype"/>
          <w:b/>
          <w:i/>
          <w:szCs w:val="24"/>
          <w:lang w:eastAsia="es-ES"/>
        </w:rPr>
      </w:pPr>
      <w:r w:rsidRPr="000D6AEA">
        <w:rPr>
          <w:rFonts w:ascii="Palatino Linotype" w:hAnsi="Palatino Linotype"/>
          <w:b/>
          <w:i/>
          <w:szCs w:val="24"/>
          <w:lang w:eastAsia="es-ES"/>
        </w:rPr>
        <w:t xml:space="preserve">TRANSPARENCIA Y ACCESO A LA INFORMACIÓN PÚBLICA GUBERNAMENTAL. LOS ARTÍCULOS 3o., FRACCIÓN II, Y 18, FRACCIÓN II, DE LA LEY FEDERAL RELATIVA, NO VIOLAN LA GARANTÍA DE IGUALDAD, AL TUTELAR EL DERECHO A LA PROTECCIÓN DE DATOS PERSONALES SÓLO DE LAS PERSONAS FÍSICAS. </w:t>
      </w:r>
    </w:p>
    <w:p w14:paraId="2F697285" w14:textId="77777777" w:rsidR="00D95EF9" w:rsidRPr="000D6AEA" w:rsidRDefault="00D95EF9" w:rsidP="00D95EF9">
      <w:pPr>
        <w:spacing w:after="0" w:line="240" w:lineRule="auto"/>
        <w:ind w:left="567" w:right="567"/>
        <w:jc w:val="both"/>
        <w:rPr>
          <w:rFonts w:ascii="Palatino Linotype" w:hAnsi="Palatino Linotype"/>
          <w:i/>
          <w:szCs w:val="24"/>
          <w:lang w:eastAsia="es-ES"/>
        </w:rPr>
      </w:pPr>
      <w:r w:rsidRPr="000D6AEA">
        <w:rPr>
          <w:rFonts w:ascii="Palatino Linotype" w:hAnsi="Palatino Linotype"/>
          <w:i/>
          <w:szCs w:val="24"/>
          <w:lang w:eastAsia="es-ES"/>
        </w:rPr>
        <w:t xml:space="preserve">Si se toma en cuenta que la garantía constitucional indicada no implica que todos los sujetos de la norma siempre se encuentren en condiciones de absoluta igualdad, sino que gocen de una igualdad jurídica traducida en la seguridad de no tener que soportar un perjuicio (o privarse de un beneficio) desigual e injustificado, se concluye que los artículos 3o., fracción II, y 18, fracción II, de la Ley Federal de Transparencia y Acceso a la Información Pública Gubernamental, al tutelar sólo el derecho a la protección de datos personales de las personas físicas y no de las morales, colectivas o jurídicas privadas, no violan la indicada garantía contenida en el artículo 1o. de la Constitución Política de los Estados Unidos Mexicanos, pues tal distinción se justifica porque el derecho a la protección de los datos personales se refiere únicamente a las personas físicas por estar encausado al respeto de un derecho personalísimo, como es el de la intimidad, del cual derivó aquél. Esto es, en el apuntado supuesto no se actualiza una igualdad jurídica entre las personas físicas y las morales porque ambas están en situaciones de derecho dispares, ya que la protección de datos </w:t>
      </w:r>
      <w:r w:rsidRPr="000D6AEA">
        <w:rPr>
          <w:rFonts w:ascii="Palatino Linotype" w:hAnsi="Palatino Linotype"/>
          <w:i/>
          <w:szCs w:val="24"/>
          <w:lang w:eastAsia="es-ES"/>
        </w:rPr>
        <w:lastRenderedPageBreak/>
        <w:t>personales, entre ellos el del patrimonio y su confidencialidad, es una derivación del derecho a la intimidad, del cual únicamente goza el individuo, entendido como la persona humana.</w:t>
      </w:r>
    </w:p>
    <w:p w14:paraId="7B5B3779" w14:textId="77777777" w:rsidR="00D95EF9" w:rsidRPr="000D6AEA" w:rsidRDefault="00D95EF9" w:rsidP="00D95EF9">
      <w:pPr>
        <w:spacing w:after="0" w:line="360" w:lineRule="auto"/>
        <w:jc w:val="both"/>
        <w:rPr>
          <w:rFonts w:ascii="Palatino Linotype" w:hAnsi="Palatino Linotype" w:cs="Calibri"/>
          <w:sz w:val="24"/>
          <w:szCs w:val="24"/>
          <w:lang w:eastAsia="es-MX"/>
        </w:rPr>
      </w:pPr>
    </w:p>
    <w:p w14:paraId="756C1105"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 xml:space="preserve">Por ende, en el presente caso el Sujeto Obligado sólo podrá testar los datos referidos con antelación, clasificación que tiene que efectuar mediante las formalidades que la Ley impone, es decir, resulta necesario que el Comité de Transparencia del Sujeto Obligado emita el Acuerdo de Clasificación correspondiente debidamente fundado y motivado, que sustente la versión pública, el cual deberá cumplir cabalmente con las formalidades previstas en el artículo 137, de la Ley de Transparencia y Acceso a la Información Pública del Estado de México y Municipios, así como con los numerales aplicables de los </w:t>
      </w:r>
      <w:r w:rsidRPr="000D6AEA">
        <w:rPr>
          <w:rFonts w:ascii="Palatino Linotype" w:hAnsi="Palatino Linotype" w:cs="Calibri"/>
          <w:b/>
          <w:sz w:val="24"/>
          <w:szCs w:val="24"/>
          <w:lang w:eastAsia="es-MX"/>
        </w:rPr>
        <w:t>Lineamientos Generales en Materia de Clasificación y Desclasificación de la Información, así como para la Elaboración de Versiones Públicas</w:t>
      </w:r>
      <w:r w:rsidRPr="000D6AEA">
        <w:rPr>
          <w:rFonts w:ascii="Palatino Linotype" w:hAnsi="Palatino Linotype" w:cs="Calibri"/>
          <w:sz w:val="24"/>
          <w:szCs w:val="24"/>
          <w:lang w:eastAsia="es-MX"/>
        </w:rPr>
        <w:t>, publicados en el Diario Oficial de la Federación en fecha quince de abril del año dos mil dieciséis, mediante Acuerdo del Consejo Nacional del Sistema Nacional de Transparencia, Acceso a la Información Pública y Protección de Datos Personales.</w:t>
      </w:r>
    </w:p>
    <w:p w14:paraId="4DD5D497" w14:textId="77777777" w:rsidR="00D95EF9" w:rsidRPr="000D6AEA" w:rsidRDefault="00D95EF9" w:rsidP="00D95EF9">
      <w:pPr>
        <w:spacing w:after="0" w:line="360" w:lineRule="auto"/>
        <w:rPr>
          <w:rFonts w:ascii="Palatino Linotype" w:hAnsi="Palatino Linotype" w:cs="Calibri"/>
          <w:sz w:val="24"/>
          <w:szCs w:val="24"/>
          <w:lang w:eastAsia="es-MX"/>
        </w:rPr>
      </w:pPr>
    </w:p>
    <w:p w14:paraId="1F4994BA"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Arial"/>
          <w:sz w:val="24"/>
          <w:szCs w:val="24"/>
          <w:lang w:eastAsia="es-MX"/>
        </w:rPr>
        <w:t xml:space="preserve">En el mismo sentido, en el </w:t>
      </w:r>
      <w:r w:rsidRPr="000D6AEA">
        <w:rPr>
          <w:rFonts w:ascii="Palatino Linotype" w:hAnsi="Palatino Linotype" w:cs="Calibri"/>
          <w:sz w:val="24"/>
          <w:szCs w:val="24"/>
          <w:lang w:eastAsia="es-MX"/>
        </w:rPr>
        <w:t xml:space="preserve">caso específico, </w:t>
      </w:r>
      <w:r w:rsidRPr="000D6AEA">
        <w:rPr>
          <w:rFonts w:ascii="Palatino Linotype" w:hAnsi="Palatino Linotype" w:cs="Arial"/>
          <w:sz w:val="24"/>
          <w:szCs w:val="24"/>
          <w:lang w:eastAsia="es-MX"/>
        </w:rPr>
        <w:t xml:space="preserve">se advierte que </w:t>
      </w:r>
      <w:r w:rsidRPr="000D6AEA">
        <w:rPr>
          <w:rFonts w:ascii="Palatino Linotype" w:hAnsi="Palatino Linotype" w:cs="Calibri"/>
          <w:sz w:val="24"/>
          <w:szCs w:val="24"/>
          <w:lang w:eastAsia="es-MX"/>
        </w:rPr>
        <w:t xml:space="preserve">en los documentos solicitados obran datos que son considerados confidenciales, cuyo acceso debe ser restringido, los cuales deben testarse al momento de la elaboración de versiones públicas, como es el caso del </w:t>
      </w:r>
      <w:r w:rsidRPr="000D6AEA">
        <w:rPr>
          <w:rFonts w:ascii="Palatino Linotype" w:hAnsi="Palatino Linotype" w:cs="Calibri"/>
          <w:b/>
          <w:sz w:val="24"/>
          <w:szCs w:val="24"/>
          <w:lang w:eastAsia="es-MX"/>
        </w:rPr>
        <w:t>Registro Federal de Contribuyentes</w:t>
      </w:r>
      <w:r w:rsidRPr="000D6AEA">
        <w:rPr>
          <w:rFonts w:ascii="Palatino Linotype" w:hAnsi="Palatino Linotype" w:cs="Calibri"/>
          <w:sz w:val="24"/>
          <w:szCs w:val="24"/>
          <w:lang w:eastAsia="es-MX"/>
        </w:rPr>
        <w:t xml:space="preserve"> (RFC), la </w:t>
      </w:r>
      <w:r w:rsidRPr="000D6AEA">
        <w:rPr>
          <w:rFonts w:ascii="Palatino Linotype" w:hAnsi="Palatino Linotype" w:cs="Calibri"/>
          <w:b/>
          <w:sz w:val="24"/>
          <w:szCs w:val="24"/>
          <w:lang w:eastAsia="es-MX"/>
        </w:rPr>
        <w:t>Clave Única de Registro de Población</w:t>
      </w:r>
      <w:r w:rsidRPr="000D6AEA">
        <w:rPr>
          <w:rFonts w:ascii="Palatino Linotype" w:hAnsi="Palatino Linotype" w:cs="Calibri"/>
          <w:sz w:val="24"/>
          <w:szCs w:val="24"/>
          <w:lang w:eastAsia="es-MX"/>
        </w:rPr>
        <w:t xml:space="preserve"> (CURP), la </w:t>
      </w:r>
      <w:r w:rsidRPr="000D6AEA">
        <w:rPr>
          <w:rFonts w:ascii="Palatino Linotype" w:hAnsi="Palatino Linotype" w:cs="Calibri"/>
          <w:b/>
          <w:sz w:val="24"/>
          <w:szCs w:val="24"/>
          <w:lang w:eastAsia="es-MX"/>
        </w:rPr>
        <w:t>Clave de cualquier tipo de seguridad social</w:t>
      </w:r>
      <w:r w:rsidRPr="000D6AEA">
        <w:rPr>
          <w:rFonts w:ascii="Palatino Linotype" w:hAnsi="Palatino Linotype" w:cs="Calibri"/>
          <w:sz w:val="24"/>
          <w:szCs w:val="24"/>
          <w:lang w:eastAsia="es-MX"/>
        </w:rPr>
        <w:t xml:space="preserve"> (ISSEMYM, u otros), así como, los </w:t>
      </w:r>
      <w:r w:rsidRPr="000D6AEA">
        <w:rPr>
          <w:rFonts w:ascii="Palatino Linotype" w:hAnsi="Palatino Linotype" w:cs="Calibri"/>
          <w:b/>
          <w:sz w:val="24"/>
          <w:szCs w:val="24"/>
          <w:lang w:eastAsia="es-MX"/>
        </w:rPr>
        <w:t xml:space="preserve">préstamos o descuentos </w:t>
      </w:r>
      <w:r w:rsidRPr="000D6AEA">
        <w:rPr>
          <w:rFonts w:ascii="Palatino Linotype" w:hAnsi="Palatino Linotype" w:cs="Calibri"/>
          <w:sz w:val="24"/>
          <w:szCs w:val="24"/>
          <w:lang w:eastAsia="es-MX"/>
        </w:rPr>
        <w:t xml:space="preserve">que se le hagan al servidor público, que no se encuentren relacionados con </w:t>
      </w:r>
      <w:r w:rsidRPr="000D6AEA">
        <w:rPr>
          <w:rFonts w:ascii="Palatino Linotype" w:hAnsi="Palatino Linotype" w:cs="Calibri"/>
          <w:b/>
          <w:sz w:val="24"/>
          <w:szCs w:val="24"/>
          <w:lang w:eastAsia="es-MX"/>
        </w:rPr>
        <w:t xml:space="preserve">los impuestos o las cuotas por seguridad social, sellos digitales del emisor y del Servicio de Administración </w:t>
      </w:r>
      <w:r w:rsidRPr="000D6AEA">
        <w:rPr>
          <w:rFonts w:ascii="Palatino Linotype" w:hAnsi="Palatino Linotype" w:cs="Calibri"/>
          <w:b/>
          <w:sz w:val="24"/>
          <w:szCs w:val="24"/>
          <w:lang w:eastAsia="es-MX"/>
        </w:rPr>
        <w:lastRenderedPageBreak/>
        <w:t>Tributaria y cadena original del complemento de certificación digital del órgano previamente señalado, números de serie de los certificados de los sellos digitales, folio fiscal, número de serie o folio interno y fecha y hora de emisión</w:t>
      </w:r>
      <w:r w:rsidRPr="000D6AEA">
        <w:rPr>
          <w:rFonts w:ascii="Palatino Linotype" w:hAnsi="Palatino Linotype" w:cs="Calibri"/>
          <w:sz w:val="24"/>
          <w:szCs w:val="24"/>
          <w:lang w:eastAsia="es-MX"/>
        </w:rPr>
        <w:t>, cuando de estos se desprendan o sean visibles datos personales correspondientes a los servidores públicos.</w:t>
      </w:r>
    </w:p>
    <w:p w14:paraId="64DB5E50" w14:textId="77777777" w:rsidR="00D95EF9" w:rsidRPr="000D6AEA" w:rsidRDefault="00D95EF9" w:rsidP="00D95EF9">
      <w:pPr>
        <w:spacing w:after="0" w:line="360" w:lineRule="auto"/>
        <w:jc w:val="both"/>
        <w:rPr>
          <w:rFonts w:ascii="Palatino Linotype" w:hAnsi="Palatino Linotype" w:cs="Calibri"/>
          <w:sz w:val="24"/>
          <w:szCs w:val="24"/>
          <w:lang w:eastAsia="es-MX"/>
        </w:rPr>
      </w:pPr>
    </w:p>
    <w:p w14:paraId="4EBE0C7C"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b/>
          <w:sz w:val="24"/>
          <w:szCs w:val="24"/>
          <w:lang w:eastAsia="es-MX"/>
        </w:rPr>
        <w:t>Cuando de la secuencia de números y letras no se advierta un Registro Federal de Contribuyentes o una Clave Única de Registro de Población, que pueda hacer identificable al titular del dato personal, no puede tenerse como dato personal y por ende información confidencial</w:t>
      </w:r>
      <w:r w:rsidRPr="000D6AEA">
        <w:rPr>
          <w:rFonts w:ascii="Palatino Linotype" w:hAnsi="Palatino Linotype" w:cs="Calibri"/>
          <w:sz w:val="24"/>
          <w:szCs w:val="24"/>
          <w:lang w:eastAsia="es-MX"/>
        </w:rPr>
        <w:t>. Por el contrario, debe considerarse que esta información incluida en los documentos fiscales, constituyen un elemento adicional que permite a cualquier persona verificar la legitimidad del documento entregado en una solicitud de acceso a la información y, por sí solos no contienen datos personales susceptibles de clasificación, ya que no hacen identificado o identificable a su titular, pues dichos datos sólo son de utilidad de manera directa a la Secretaria de Hacienda y Crédito Público y si bien, dichas cadenas sí derivan de la información personal de los contribuyentes, esta se encuentra encriptada como se verá a continuación.</w:t>
      </w:r>
    </w:p>
    <w:p w14:paraId="6BF1E0B0" w14:textId="77777777" w:rsidR="00D95EF9" w:rsidRPr="000D6AEA" w:rsidRDefault="00D95EF9" w:rsidP="00D95EF9">
      <w:pPr>
        <w:spacing w:after="0" w:line="360" w:lineRule="auto"/>
        <w:jc w:val="both"/>
        <w:rPr>
          <w:rFonts w:ascii="Palatino Linotype" w:hAnsi="Palatino Linotype" w:cs="Calibri"/>
          <w:sz w:val="24"/>
          <w:szCs w:val="24"/>
          <w:lang w:eastAsia="es-MX"/>
        </w:rPr>
      </w:pPr>
    </w:p>
    <w:p w14:paraId="3945B281"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 xml:space="preserve">Por cuanto hace al </w:t>
      </w:r>
      <w:r w:rsidRPr="000D6AEA">
        <w:rPr>
          <w:rFonts w:ascii="Palatino Linotype" w:hAnsi="Palatino Linotype" w:cs="Calibri"/>
          <w:b/>
          <w:sz w:val="24"/>
          <w:szCs w:val="24"/>
          <w:lang w:eastAsia="es-MX"/>
        </w:rPr>
        <w:t>Registro Federal de Contribuyentes</w:t>
      </w:r>
      <w:r w:rsidRPr="000D6AEA">
        <w:rPr>
          <w:rFonts w:ascii="Palatino Linotype" w:hAnsi="Palatino Linotype" w:cs="Calibri"/>
          <w:sz w:val="24"/>
          <w:szCs w:val="24"/>
          <w:lang w:eastAsia="es-MX"/>
        </w:rPr>
        <w:t xml:space="preserve"> </w:t>
      </w:r>
      <w:r w:rsidRPr="000D6AEA">
        <w:rPr>
          <w:rFonts w:ascii="Palatino Linotype" w:hAnsi="Palatino Linotype" w:cs="Calibri"/>
          <w:b/>
          <w:sz w:val="24"/>
          <w:szCs w:val="24"/>
          <w:lang w:eastAsia="es-MX"/>
        </w:rPr>
        <w:t>de las personas físicas</w:t>
      </w:r>
      <w:r w:rsidRPr="000D6AEA">
        <w:rPr>
          <w:rFonts w:ascii="Palatino Linotype" w:hAnsi="Palatino Linotype" w:cs="Calibri"/>
          <w:sz w:val="24"/>
          <w:szCs w:val="24"/>
          <w:lang w:eastAsia="es-MX"/>
        </w:rPr>
        <w:t xml:space="preserve"> constituye un dato personal, ya que se genera con caracteres alfanuméricos obtenidos a partir del nombre en mayúsculas sin acentos ni diéresis y la fecha de nacimiento de cada persona; es decir la primera letra del apellido paterno; seguida de la primera letra vocal del primer apellido; seguida de la primera letra del segundo apellido y por último la primera letra del nombre, posterior la fecha de nacimiento año/mes/día y </w:t>
      </w:r>
      <w:r w:rsidRPr="000D6AEA">
        <w:rPr>
          <w:rFonts w:ascii="Palatino Linotype" w:hAnsi="Palatino Linotype" w:cs="Calibri"/>
          <w:sz w:val="24"/>
          <w:szCs w:val="24"/>
          <w:lang w:eastAsia="es-MX"/>
        </w:rPr>
        <w:lastRenderedPageBreak/>
        <w:t xml:space="preserve">finalmente la </w:t>
      </w:r>
      <w:proofErr w:type="spellStart"/>
      <w:r w:rsidRPr="000D6AEA">
        <w:rPr>
          <w:rFonts w:ascii="Palatino Linotype" w:hAnsi="Palatino Linotype" w:cs="Calibri"/>
          <w:sz w:val="24"/>
          <w:szCs w:val="24"/>
          <w:lang w:eastAsia="es-MX"/>
        </w:rPr>
        <w:t>homoclave</w:t>
      </w:r>
      <w:proofErr w:type="spellEnd"/>
      <w:r w:rsidRPr="000D6AEA">
        <w:rPr>
          <w:rFonts w:ascii="Palatino Linotype" w:hAnsi="Palatino Linotype" w:cs="Calibri"/>
          <w:sz w:val="24"/>
          <w:szCs w:val="24"/>
          <w:lang w:eastAsia="es-MX"/>
        </w:rPr>
        <w:t>; la cual para su obtención es necesario acreditar personalidad, fecha de nacimiento entre otros con documentos oficiales.</w:t>
      </w:r>
    </w:p>
    <w:p w14:paraId="41DDCE5D" w14:textId="77777777" w:rsidR="00D95EF9" w:rsidRPr="000D6AEA" w:rsidRDefault="00D95EF9" w:rsidP="00D95EF9">
      <w:pPr>
        <w:spacing w:after="0" w:line="360" w:lineRule="auto"/>
        <w:jc w:val="both"/>
        <w:rPr>
          <w:rFonts w:ascii="Palatino Linotype" w:hAnsi="Palatino Linotype" w:cs="Calibri"/>
          <w:sz w:val="24"/>
          <w:szCs w:val="24"/>
          <w:lang w:eastAsia="es-MX"/>
        </w:rPr>
      </w:pPr>
    </w:p>
    <w:p w14:paraId="754294E8"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Al respecto, el Instituto Nacional Transparencia, Acceso a la Información y Protección de Datos Personales (INAI) a través del Criterio 19/17, señala literalmente lo siguiente:</w:t>
      </w:r>
    </w:p>
    <w:p w14:paraId="1657814B" w14:textId="77777777" w:rsidR="00D95EF9" w:rsidRPr="000D6AEA" w:rsidRDefault="00D95EF9" w:rsidP="00D95EF9">
      <w:pPr>
        <w:spacing w:after="0" w:line="360" w:lineRule="auto"/>
        <w:ind w:left="567" w:right="616"/>
        <w:jc w:val="both"/>
        <w:rPr>
          <w:rFonts w:ascii="Palatino Linotype" w:hAnsi="Palatino Linotype" w:cs="Calibri"/>
          <w:i/>
          <w:sz w:val="24"/>
          <w:szCs w:val="24"/>
          <w:lang w:eastAsia="es-MX"/>
        </w:rPr>
      </w:pPr>
    </w:p>
    <w:p w14:paraId="3607DB36"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b/>
          <w:i/>
          <w:lang w:eastAsia="es-MX"/>
        </w:rPr>
        <w:t>Registro Federal de Contribuyentes (RFC) de personas físicas</w:t>
      </w:r>
      <w:r w:rsidRPr="000D6AEA">
        <w:rPr>
          <w:rFonts w:ascii="Palatino Linotype" w:hAnsi="Palatino Linotype" w:cs="Calibri"/>
          <w:i/>
          <w:lang w:eastAsia="es-MX"/>
        </w:rPr>
        <w:t xml:space="preserve">. El RFC es una clave de carácter fiscal, </w:t>
      </w:r>
      <w:proofErr w:type="gramStart"/>
      <w:r w:rsidRPr="000D6AEA">
        <w:rPr>
          <w:rFonts w:ascii="Palatino Linotype" w:hAnsi="Palatino Linotype" w:cs="Calibri"/>
          <w:i/>
          <w:lang w:eastAsia="es-MX"/>
        </w:rPr>
        <w:t>única</w:t>
      </w:r>
      <w:proofErr w:type="gramEnd"/>
      <w:r w:rsidRPr="000D6AEA">
        <w:rPr>
          <w:rFonts w:ascii="Palatino Linotype" w:hAnsi="Palatino Linotype" w:cs="Calibri"/>
          <w:i/>
          <w:lang w:eastAsia="es-MX"/>
        </w:rPr>
        <w:t xml:space="preserve"> e irrepetible, que permite identificar al titular, su edad y fecha de nacimiento, por lo que es un dato personal de carácter confidencial.</w:t>
      </w:r>
    </w:p>
    <w:p w14:paraId="66716C99" w14:textId="77777777" w:rsidR="00D95EF9" w:rsidRPr="000D6AEA" w:rsidRDefault="00D95EF9" w:rsidP="00D95EF9">
      <w:pPr>
        <w:spacing w:after="0" w:line="360" w:lineRule="auto"/>
        <w:rPr>
          <w:rFonts w:ascii="Palatino Linotype" w:hAnsi="Palatino Linotype" w:cs="Calibri"/>
          <w:sz w:val="24"/>
          <w:szCs w:val="24"/>
          <w:lang w:eastAsia="es-MX"/>
        </w:rPr>
      </w:pPr>
    </w:p>
    <w:p w14:paraId="28601C73"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 xml:space="preserve">De lo anterior, se desprende que el Registro Federal de Contribuyentes se vincula al nombre de su titular, permitiendo identificar la edad de la persona, fecha de nacimiento, así como su </w:t>
      </w:r>
      <w:proofErr w:type="spellStart"/>
      <w:r w:rsidRPr="000D6AEA">
        <w:rPr>
          <w:rFonts w:ascii="Palatino Linotype" w:hAnsi="Palatino Linotype" w:cs="Calibri"/>
          <w:sz w:val="24"/>
          <w:szCs w:val="24"/>
          <w:lang w:eastAsia="es-MX"/>
        </w:rPr>
        <w:t>homoclave</w:t>
      </w:r>
      <w:proofErr w:type="spellEnd"/>
      <w:r w:rsidRPr="000D6AEA">
        <w:rPr>
          <w:rFonts w:ascii="Palatino Linotype" w:hAnsi="Palatino Linotype" w:cs="Calibri"/>
          <w:sz w:val="24"/>
          <w:szCs w:val="24"/>
          <w:lang w:eastAsia="es-MX"/>
        </w:rPr>
        <w:t xml:space="preserve">, determinando la identificación de dicha persona para efectos fiscales, por lo que éste constituye un dato personal que concierne a una persona física identificada e identificable en términos de los artículos 2 fracción II de la Ley de Transparencia y Acceso a la Información Pública del Estado de México y Municipios y  </w:t>
      </w:r>
      <w:r w:rsidRPr="000D6AEA">
        <w:rPr>
          <w:rFonts w:ascii="Palatino Linotype" w:eastAsia="Arial Unicode MS" w:hAnsi="Palatino Linotype" w:cs="Calibri"/>
          <w:sz w:val="24"/>
          <w:szCs w:val="24"/>
          <w:lang w:eastAsia="es-MX"/>
        </w:rPr>
        <w:t>4 fracción XI de la Ley de Protección de Datos Personales en Posesión de los Sujetos Obligados del Estado de México y Municipios</w:t>
      </w:r>
      <w:r w:rsidRPr="000D6AEA">
        <w:rPr>
          <w:rFonts w:ascii="Palatino Linotype" w:hAnsi="Palatino Linotype" w:cs="Calibri"/>
          <w:sz w:val="24"/>
          <w:szCs w:val="24"/>
          <w:lang w:eastAsia="es-MX"/>
        </w:rPr>
        <w:t>.</w:t>
      </w:r>
    </w:p>
    <w:p w14:paraId="0A302CB7" w14:textId="77777777" w:rsidR="00D95EF9" w:rsidRPr="000D6AEA" w:rsidRDefault="00D95EF9" w:rsidP="00D95EF9">
      <w:pPr>
        <w:spacing w:after="0" w:line="360" w:lineRule="auto"/>
        <w:jc w:val="both"/>
        <w:rPr>
          <w:rFonts w:ascii="Palatino Linotype" w:hAnsi="Palatino Linotype" w:cs="Calibri"/>
          <w:sz w:val="24"/>
          <w:szCs w:val="24"/>
          <w:lang w:eastAsia="es-MX"/>
        </w:rPr>
      </w:pPr>
    </w:p>
    <w:p w14:paraId="75302026"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 xml:space="preserve">Por cuanto hace a la </w:t>
      </w:r>
      <w:r w:rsidRPr="000D6AEA">
        <w:rPr>
          <w:rFonts w:ascii="Palatino Linotype" w:hAnsi="Palatino Linotype" w:cs="Calibri"/>
          <w:b/>
          <w:sz w:val="24"/>
          <w:szCs w:val="24"/>
          <w:lang w:eastAsia="es-MX"/>
        </w:rPr>
        <w:t xml:space="preserve">Clave Única de Registro de Población, </w:t>
      </w:r>
      <w:r w:rsidRPr="000D6AEA">
        <w:rPr>
          <w:rFonts w:ascii="Palatino Linotype" w:hAnsi="Palatino Linotype" w:cs="Calibri"/>
          <w:sz w:val="24"/>
          <w:szCs w:val="24"/>
          <w:lang w:eastAsia="es-MX"/>
        </w:rPr>
        <w:t>constituye un dato personal, ya que tiene como finalidad registrar a cada una de las personas que integran la población del país, con los datos que permitan certificar y acreditar fehacientemente su identidad, la cual servirá para identificarla de manera individual.</w:t>
      </w:r>
    </w:p>
    <w:p w14:paraId="524E506F" w14:textId="77777777" w:rsidR="00D95EF9" w:rsidRPr="000D6AEA" w:rsidRDefault="00D95EF9" w:rsidP="00D95EF9">
      <w:pPr>
        <w:spacing w:after="0" w:line="360" w:lineRule="auto"/>
        <w:rPr>
          <w:rFonts w:ascii="Palatino Linotype" w:hAnsi="Palatino Linotype" w:cs="Calibri"/>
          <w:sz w:val="24"/>
          <w:szCs w:val="24"/>
          <w:lang w:eastAsia="es-MX"/>
        </w:rPr>
      </w:pPr>
    </w:p>
    <w:p w14:paraId="21708B44"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lastRenderedPageBreak/>
        <w:t>Lo anterior, tiene sustento en los artículos 86 y 91, de la Ley General de Población, la cual señala lo siguiente:</w:t>
      </w:r>
    </w:p>
    <w:p w14:paraId="759B7A7B" w14:textId="77777777" w:rsidR="00D95EF9" w:rsidRPr="000D6AEA" w:rsidRDefault="00D95EF9" w:rsidP="00D95EF9">
      <w:pPr>
        <w:spacing w:after="0" w:line="360" w:lineRule="auto"/>
        <w:ind w:left="709" w:right="757"/>
        <w:jc w:val="both"/>
        <w:rPr>
          <w:rFonts w:ascii="Palatino Linotype" w:hAnsi="Palatino Linotype" w:cs="Arial,Bold"/>
          <w:b/>
          <w:bCs/>
          <w:i/>
          <w:sz w:val="24"/>
          <w:szCs w:val="24"/>
          <w:lang w:eastAsia="es-MX"/>
        </w:rPr>
      </w:pPr>
    </w:p>
    <w:p w14:paraId="68B6A529" w14:textId="77777777" w:rsidR="00D95EF9" w:rsidRPr="000D6AEA" w:rsidRDefault="00D95EF9" w:rsidP="00D95EF9">
      <w:pPr>
        <w:spacing w:after="0" w:line="240" w:lineRule="auto"/>
        <w:ind w:left="709" w:right="757"/>
        <w:jc w:val="both"/>
        <w:rPr>
          <w:rFonts w:ascii="Palatino Linotype" w:hAnsi="Palatino Linotype" w:cs="Arial"/>
          <w:i/>
          <w:lang w:eastAsia="es-MX"/>
        </w:rPr>
      </w:pPr>
      <w:r w:rsidRPr="000D6AEA">
        <w:rPr>
          <w:rFonts w:ascii="Palatino Linotype" w:hAnsi="Palatino Linotype" w:cs="Arial,Bold"/>
          <w:b/>
          <w:bCs/>
          <w:i/>
          <w:lang w:eastAsia="es-MX"/>
        </w:rPr>
        <w:t xml:space="preserve">Artículo 86. </w:t>
      </w:r>
      <w:r w:rsidRPr="000D6AEA">
        <w:rPr>
          <w:rFonts w:ascii="Palatino Linotype" w:hAnsi="Palatino Linotype" w:cs="Arial"/>
          <w:i/>
          <w:lang w:eastAsia="es-MX"/>
        </w:rPr>
        <w:t>El Registro Nacional de Población tiene como finalidad registrar a cada una de las personas que integran la población del país, con los datos que permitan certificar y acreditar fehacientemente su identidad.</w:t>
      </w:r>
    </w:p>
    <w:p w14:paraId="41EB0610" w14:textId="77777777" w:rsidR="00D95EF9" w:rsidRPr="000D6AEA" w:rsidRDefault="00D95EF9" w:rsidP="00D95EF9">
      <w:pPr>
        <w:spacing w:after="0" w:line="240" w:lineRule="auto"/>
        <w:ind w:left="709" w:right="757"/>
        <w:jc w:val="both"/>
        <w:rPr>
          <w:rFonts w:ascii="Palatino Linotype" w:hAnsi="Palatino Linotype" w:cs="Arial"/>
          <w:i/>
          <w:lang w:eastAsia="es-MX"/>
        </w:rPr>
      </w:pPr>
    </w:p>
    <w:p w14:paraId="70546A6D" w14:textId="77777777" w:rsidR="00D95EF9" w:rsidRPr="000D6AEA" w:rsidRDefault="00D95EF9" w:rsidP="00D95EF9">
      <w:pPr>
        <w:spacing w:after="0" w:line="240" w:lineRule="auto"/>
        <w:ind w:left="709" w:right="757"/>
        <w:jc w:val="both"/>
        <w:rPr>
          <w:rFonts w:ascii="Palatino Linotype" w:hAnsi="Palatino Linotype" w:cs="Arial"/>
          <w:i/>
          <w:lang w:eastAsia="es-MX"/>
        </w:rPr>
      </w:pPr>
      <w:r w:rsidRPr="000D6AEA">
        <w:rPr>
          <w:rFonts w:ascii="Palatino Linotype" w:hAnsi="Palatino Linotype" w:cs="Arial,Bold"/>
          <w:b/>
          <w:bCs/>
          <w:i/>
          <w:lang w:eastAsia="es-MX"/>
        </w:rPr>
        <w:t xml:space="preserve">Artículo 91. </w:t>
      </w:r>
      <w:r w:rsidRPr="000D6AEA">
        <w:rPr>
          <w:rFonts w:ascii="Palatino Linotype" w:hAnsi="Palatino Linotype" w:cs="Arial"/>
          <w:i/>
          <w:lang w:eastAsia="es-MX"/>
        </w:rPr>
        <w:t>Al incorporar a una persona en el Registro Nacional de Población, se le asignará una clave que se denominará Clave Única de Registro de Población. Esta servirá para registrarla e identificarla en forma individual.</w:t>
      </w:r>
    </w:p>
    <w:p w14:paraId="7183D6E6" w14:textId="77777777" w:rsidR="00D95EF9" w:rsidRPr="000D6AEA" w:rsidRDefault="00D95EF9" w:rsidP="00D95EF9">
      <w:pPr>
        <w:spacing w:after="0" w:line="360" w:lineRule="auto"/>
        <w:rPr>
          <w:rFonts w:ascii="Palatino Linotype" w:hAnsi="Palatino Linotype" w:cs="Calibri"/>
          <w:sz w:val="24"/>
          <w:szCs w:val="24"/>
          <w:lang w:eastAsia="es-MX"/>
        </w:rPr>
      </w:pPr>
    </w:p>
    <w:p w14:paraId="69D826C5"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 xml:space="preserve">Ahora bien, la Clave Única de Registro de Población, está integrada de 18 elementos representados por letras y números, que se generan a partir de los datos contenidos en un documento probatorio de identidad (acta de nacimiento, carta de naturalización o documento migratorio), la cual se integra de la primera letra del apellido paterno; seguida de la primera letra vocal del primer apellido; seguida de la primera letra del segundo apellido y por último la primera letra del nombre; fecha de nacimiento año/mes/día; sexo; Entidad Federativa o lugar de nacimiento; finalmente un digito verificador, compuesto de dos elementos, con el que se evitan duplicaciones en la Clave, identifican el cambio de siglo y garantizan la correcta integración. </w:t>
      </w:r>
    </w:p>
    <w:p w14:paraId="24543F17" w14:textId="77777777" w:rsidR="00D95EF9" w:rsidRPr="000D6AEA" w:rsidRDefault="00D95EF9" w:rsidP="00D95EF9">
      <w:pPr>
        <w:spacing w:after="0" w:line="360" w:lineRule="auto"/>
        <w:jc w:val="both"/>
        <w:rPr>
          <w:rFonts w:ascii="Palatino Linotype" w:hAnsi="Palatino Linotype" w:cs="Calibri"/>
          <w:sz w:val="24"/>
          <w:szCs w:val="24"/>
          <w:lang w:eastAsia="es-MX"/>
        </w:rPr>
      </w:pPr>
    </w:p>
    <w:p w14:paraId="4F0521EE"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Al respecto, el Instituto Nacional de Transparencia, Acceso a la Información y Protección de Datos Personales (INAI) a través del Criterio 18/17, señala literalmente lo siguiente:</w:t>
      </w:r>
    </w:p>
    <w:p w14:paraId="12F399BB" w14:textId="77777777" w:rsidR="00D95EF9" w:rsidRPr="000D6AEA" w:rsidRDefault="00D95EF9" w:rsidP="00D95EF9">
      <w:pPr>
        <w:spacing w:after="0" w:line="360" w:lineRule="auto"/>
        <w:rPr>
          <w:rFonts w:ascii="Palatino Linotype" w:hAnsi="Palatino Linotype" w:cs="Calibri"/>
          <w:sz w:val="24"/>
          <w:szCs w:val="24"/>
          <w:lang w:eastAsia="es-MX"/>
        </w:rPr>
      </w:pPr>
    </w:p>
    <w:p w14:paraId="265D4E7C"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b/>
          <w:i/>
          <w:lang w:eastAsia="es-MX"/>
        </w:rPr>
        <w:t>Clave Única de Registro de Población (CURP)</w:t>
      </w:r>
      <w:r w:rsidRPr="000D6AEA">
        <w:rPr>
          <w:rFonts w:ascii="Palatino Linotype" w:hAnsi="Palatino Linotype" w:cs="Calibri"/>
          <w:i/>
          <w:lang w:eastAsia="es-MX"/>
        </w:rPr>
        <w:t xml:space="preserve">. La Clave Única de Registro de Población se integra por datos personales que sólo conciernen al particular titular de la </w:t>
      </w:r>
      <w:r w:rsidRPr="000D6AEA">
        <w:rPr>
          <w:rFonts w:ascii="Palatino Linotype" w:hAnsi="Palatino Linotype" w:cs="Calibri"/>
          <w:i/>
          <w:lang w:eastAsia="es-MX"/>
        </w:rPr>
        <w:lastRenderedPageBreak/>
        <w:t>misma, como lo son su nombre, apellidos, fecha de nacimiento, lugar de nacimiento y sexo. Dichos datos, constituyen información que distingue plenamente a una persona física del resto de los habitantes del país, por lo que la CURP está considerada como información confidencial.</w:t>
      </w:r>
    </w:p>
    <w:p w14:paraId="6498C3AF" w14:textId="77777777" w:rsidR="00D95EF9" w:rsidRPr="000D6AEA" w:rsidRDefault="00D95EF9" w:rsidP="00D95EF9">
      <w:pPr>
        <w:spacing w:after="0" w:line="360" w:lineRule="auto"/>
        <w:ind w:right="616"/>
        <w:jc w:val="both"/>
        <w:rPr>
          <w:rFonts w:ascii="Palatino Linotype" w:hAnsi="Palatino Linotype" w:cs="Arial"/>
          <w:bCs/>
          <w:i/>
          <w:sz w:val="24"/>
          <w:szCs w:val="24"/>
          <w:lang w:eastAsia="es-MX"/>
        </w:rPr>
      </w:pPr>
    </w:p>
    <w:p w14:paraId="53980C34"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De lo anterior, se desprende que la Clave Única de Registro de Población, se encuentra vinculada al nombre de la persona, permitiendo identificar la edad, fecha de nacimiento, sexo, lugar de nacimiento, así como el código identificador; datos que únicamente le atañen a un particular, por lo que ésta constituye un dato personal que concierne a una persona física identificada e identificable en términos de los artículos 2 fracción II de la Ley de Transparencia y Acceso a la Información Pública del Estado de México y Municipios y  4 fracción XI de la Ley de Protección de Datos Personales en Posesión de Sujetos Obligados del Estado de México y Municipios.</w:t>
      </w:r>
    </w:p>
    <w:p w14:paraId="0B191BDB" w14:textId="77777777" w:rsidR="00D95EF9" w:rsidRPr="000D6AEA" w:rsidRDefault="00D95EF9" w:rsidP="00D95EF9">
      <w:pPr>
        <w:spacing w:after="0" w:line="360" w:lineRule="auto"/>
        <w:jc w:val="both"/>
        <w:rPr>
          <w:rFonts w:ascii="Palatino Linotype" w:hAnsi="Palatino Linotype" w:cs="Calibri"/>
          <w:sz w:val="24"/>
          <w:szCs w:val="24"/>
          <w:lang w:eastAsia="es-MX"/>
        </w:rPr>
      </w:pPr>
    </w:p>
    <w:p w14:paraId="5D4E68CA"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 xml:space="preserve">Por cuanto hace a la </w:t>
      </w:r>
      <w:r w:rsidRPr="000D6AEA">
        <w:rPr>
          <w:rFonts w:ascii="Palatino Linotype" w:hAnsi="Palatino Linotype" w:cs="Calibri"/>
          <w:b/>
          <w:sz w:val="24"/>
          <w:szCs w:val="24"/>
          <w:lang w:eastAsia="es-MX"/>
        </w:rPr>
        <w:t>Clave de cualquier tipo de seguridad social</w:t>
      </w:r>
      <w:r w:rsidRPr="000D6AEA">
        <w:rPr>
          <w:rFonts w:ascii="Palatino Linotype" w:hAnsi="Palatino Linotype" w:cs="Calibri"/>
          <w:sz w:val="24"/>
          <w:szCs w:val="24"/>
          <w:lang w:eastAsia="es-MX"/>
        </w:rPr>
        <w:t xml:space="preserve"> (ISSEMYM u otros), está integrado por una </w:t>
      </w:r>
      <w:r w:rsidRPr="000D6AEA">
        <w:rPr>
          <w:rFonts w:ascii="Palatino Linotype" w:hAnsi="Palatino Linotype" w:cs="Calibri"/>
          <w:bCs/>
          <w:sz w:val="24"/>
          <w:szCs w:val="24"/>
          <w:lang w:eastAsia="es-MX"/>
        </w:rPr>
        <w:t xml:space="preserve">secuencia de números con los que se identifica a los trabajadores que cubren las cuotas respectivas, asimismo, lo identifica con la fuente de trabajo; por lo que al ser una clave de identificación de los trabajadores, constituye información confidencial, </w:t>
      </w:r>
      <w:r w:rsidRPr="000D6AEA">
        <w:rPr>
          <w:rFonts w:ascii="Palatino Linotype" w:hAnsi="Palatino Linotype" w:cs="Calibri"/>
          <w:sz w:val="24"/>
          <w:szCs w:val="24"/>
          <w:lang w:eastAsia="es-MX"/>
        </w:rPr>
        <w:t xml:space="preserve">dato que únicamente le atañe al servidor público, por lo que constituye un dato personal que concierne a una persona física identificada e identificable en términos de los artículos 2 fracción II de la Ley de Transparencia y Acceso a la Información Pública del Estado de México y Municipios y  </w:t>
      </w:r>
      <w:r w:rsidRPr="000D6AEA">
        <w:rPr>
          <w:rFonts w:ascii="Palatino Linotype" w:eastAsia="Arial Unicode MS" w:hAnsi="Palatino Linotype" w:cs="Calibri"/>
          <w:sz w:val="24"/>
          <w:szCs w:val="24"/>
          <w:lang w:eastAsia="es-MX"/>
        </w:rPr>
        <w:t>4 fracción XI de la Ley de Protección de Datos Personales en Posesión de Sujetos Obligados del Estado de México y Municipios</w:t>
      </w:r>
      <w:r w:rsidRPr="000D6AEA">
        <w:rPr>
          <w:rFonts w:ascii="Palatino Linotype" w:hAnsi="Palatino Linotype" w:cs="Calibri"/>
          <w:sz w:val="24"/>
          <w:szCs w:val="24"/>
          <w:lang w:eastAsia="es-MX"/>
        </w:rPr>
        <w:t>.</w:t>
      </w:r>
    </w:p>
    <w:p w14:paraId="2416EB1F" w14:textId="77777777" w:rsidR="00D95EF9" w:rsidRPr="000D6AEA" w:rsidRDefault="00D95EF9" w:rsidP="00D95EF9">
      <w:pPr>
        <w:spacing w:after="0" w:line="360" w:lineRule="auto"/>
        <w:jc w:val="both"/>
        <w:rPr>
          <w:rFonts w:ascii="Palatino Linotype" w:hAnsi="Palatino Linotype" w:cs="Calibri"/>
          <w:sz w:val="24"/>
          <w:szCs w:val="24"/>
          <w:lang w:eastAsia="es-MX"/>
        </w:rPr>
      </w:pPr>
    </w:p>
    <w:p w14:paraId="1E46C0A8"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lastRenderedPageBreak/>
        <w:t xml:space="preserve">Respecto de los </w:t>
      </w:r>
      <w:r w:rsidRPr="000D6AEA">
        <w:rPr>
          <w:rFonts w:ascii="Palatino Linotype" w:hAnsi="Palatino Linotype" w:cs="Calibri"/>
          <w:b/>
          <w:sz w:val="24"/>
          <w:szCs w:val="24"/>
          <w:lang w:eastAsia="es-MX"/>
        </w:rPr>
        <w:t>préstamos o descuentos</w:t>
      </w:r>
      <w:r w:rsidRPr="000D6AEA">
        <w:rPr>
          <w:rFonts w:ascii="Palatino Linotype" w:hAnsi="Palatino Linotype" w:cs="Calibri"/>
          <w:sz w:val="24"/>
          <w:szCs w:val="24"/>
          <w:lang w:eastAsia="es-MX"/>
        </w:rPr>
        <w:t xml:space="preserve"> </w:t>
      </w:r>
      <w:r w:rsidRPr="000D6AEA">
        <w:rPr>
          <w:rFonts w:ascii="Palatino Linotype" w:hAnsi="Palatino Linotype" w:cs="Calibri"/>
          <w:b/>
          <w:sz w:val="24"/>
          <w:szCs w:val="24"/>
          <w:lang w:eastAsia="es-MX"/>
        </w:rPr>
        <w:t>de carácter personal</w:t>
      </w:r>
      <w:r w:rsidRPr="000D6AEA">
        <w:rPr>
          <w:rFonts w:ascii="Palatino Linotype" w:hAnsi="Palatino Linotype" w:cs="Calibri"/>
          <w:sz w:val="24"/>
          <w:szCs w:val="24"/>
          <w:lang w:eastAsia="es-MX"/>
        </w:rPr>
        <w:t>, éstos no deben tener relación con la prestación del servicio; es decir, son confidenciales los préstamos o descuentos que se le hagan a la persona en los que no se involucren instituciones públicas, en virtud de no favorecer en la transparencia y rendición de cuentas, sino, por el contrario con ello se violentaría la protección de información confidencial, porque incide en la intimidad de un individuo identificado.</w:t>
      </w:r>
    </w:p>
    <w:p w14:paraId="1B59AFF2" w14:textId="77777777" w:rsidR="00D95EF9" w:rsidRPr="000D6AEA" w:rsidRDefault="00D95EF9" w:rsidP="00D95EF9">
      <w:pPr>
        <w:spacing w:after="0" w:line="360" w:lineRule="auto"/>
        <w:rPr>
          <w:rFonts w:ascii="Palatino Linotype" w:hAnsi="Palatino Linotype" w:cs="Calibri"/>
          <w:sz w:val="24"/>
          <w:szCs w:val="24"/>
          <w:lang w:eastAsia="es-MX"/>
        </w:rPr>
      </w:pPr>
    </w:p>
    <w:p w14:paraId="5ABF9242"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Por su parte, el artículo 84 de la Ley del Trabajo de los Servidores Públicos del Estado y Municipios, señala:</w:t>
      </w:r>
    </w:p>
    <w:p w14:paraId="025AC26D" w14:textId="77777777" w:rsidR="00D95EF9" w:rsidRPr="000D6AEA" w:rsidRDefault="00D95EF9" w:rsidP="00D95EF9">
      <w:pPr>
        <w:spacing w:after="0" w:line="360" w:lineRule="auto"/>
        <w:rPr>
          <w:rFonts w:ascii="Palatino Linotype" w:hAnsi="Palatino Linotype" w:cs="Calibri"/>
          <w:sz w:val="24"/>
          <w:szCs w:val="24"/>
          <w:lang w:eastAsia="es-MX"/>
        </w:rPr>
      </w:pPr>
    </w:p>
    <w:p w14:paraId="6EE177E8" w14:textId="77777777" w:rsidR="00D95EF9" w:rsidRPr="000D6AEA" w:rsidRDefault="00D95EF9" w:rsidP="00D95EF9">
      <w:pPr>
        <w:spacing w:after="0" w:line="240" w:lineRule="auto"/>
        <w:ind w:left="567" w:right="616"/>
        <w:jc w:val="both"/>
        <w:rPr>
          <w:rFonts w:ascii="Palatino Linotype" w:hAnsi="Palatino Linotype" w:cs="Calibri"/>
          <w:i/>
          <w:noProof/>
          <w:lang w:eastAsia="es-MX"/>
        </w:rPr>
      </w:pPr>
      <w:r w:rsidRPr="000D6AEA">
        <w:rPr>
          <w:rFonts w:ascii="Palatino Linotype" w:hAnsi="Palatino Linotype" w:cs="Calibri"/>
          <w:b/>
          <w:i/>
          <w:noProof/>
          <w:lang w:eastAsia="es-MX"/>
        </w:rPr>
        <w:t>ARTÍCULO 84.</w:t>
      </w:r>
      <w:r w:rsidRPr="000D6AEA">
        <w:rPr>
          <w:rFonts w:ascii="Palatino Linotype" w:hAnsi="Palatino Linotype" w:cs="Calibri"/>
          <w:i/>
          <w:noProof/>
          <w:lang w:eastAsia="es-MX"/>
        </w:rPr>
        <w:t xml:space="preserve"> Sólo podrán hacerse retenciones, descuentos o deducciones al sueldo de los servidores públicos por concepto de:</w:t>
      </w:r>
    </w:p>
    <w:p w14:paraId="5AC1F4D8" w14:textId="77777777" w:rsidR="00D95EF9" w:rsidRPr="000D6AEA" w:rsidRDefault="00D95EF9" w:rsidP="00D95EF9">
      <w:pPr>
        <w:spacing w:after="0" w:line="240" w:lineRule="auto"/>
        <w:ind w:left="567" w:right="616"/>
        <w:jc w:val="both"/>
        <w:rPr>
          <w:rFonts w:ascii="Palatino Linotype" w:hAnsi="Palatino Linotype" w:cs="Calibri"/>
          <w:i/>
          <w:noProof/>
          <w:lang w:eastAsia="es-MX"/>
        </w:rPr>
      </w:pPr>
    </w:p>
    <w:p w14:paraId="5DDAF316" w14:textId="77777777" w:rsidR="00D95EF9" w:rsidRPr="000D6AEA" w:rsidRDefault="00D95EF9" w:rsidP="00D95EF9">
      <w:pPr>
        <w:spacing w:after="0" w:line="240" w:lineRule="auto"/>
        <w:ind w:left="567" w:right="616"/>
        <w:jc w:val="both"/>
        <w:rPr>
          <w:rFonts w:ascii="Palatino Linotype" w:hAnsi="Palatino Linotype" w:cs="Calibri"/>
          <w:i/>
          <w:noProof/>
          <w:lang w:eastAsia="es-MX"/>
        </w:rPr>
      </w:pPr>
      <w:r w:rsidRPr="000D6AEA">
        <w:rPr>
          <w:rFonts w:ascii="Palatino Linotype" w:hAnsi="Palatino Linotype" w:cs="Calibri"/>
          <w:i/>
          <w:noProof/>
          <w:lang w:eastAsia="es-MX"/>
        </w:rPr>
        <w:t>I. Gravámenes fiscales relacionados con el sueldo;</w:t>
      </w:r>
    </w:p>
    <w:p w14:paraId="33AC6D0F" w14:textId="77777777" w:rsidR="00D95EF9" w:rsidRPr="000D6AEA" w:rsidRDefault="00D95EF9" w:rsidP="00D95EF9">
      <w:pPr>
        <w:spacing w:after="0" w:line="240" w:lineRule="auto"/>
        <w:ind w:left="567" w:right="616"/>
        <w:jc w:val="both"/>
        <w:rPr>
          <w:rFonts w:ascii="Palatino Linotype" w:hAnsi="Palatino Linotype" w:cs="Calibri"/>
          <w:i/>
          <w:noProof/>
          <w:lang w:eastAsia="es-MX"/>
        </w:rPr>
      </w:pPr>
      <w:r w:rsidRPr="000D6AEA">
        <w:rPr>
          <w:rFonts w:ascii="Palatino Linotype" w:hAnsi="Palatino Linotype" w:cs="Calibri"/>
          <w:i/>
          <w:noProof/>
          <w:lang w:eastAsia="es-MX"/>
        </w:rPr>
        <w:t>II. Deudas contraídas con las instituciones públicas o dependencias por concepto de anticipos de sueldo, pagos hechos con exceso, errores o pérdidas debidamente comprobados;</w:t>
      </w:r>
    </w:p>
    <w:p w14:paraId="78E098A9" w14:textId="77777777" w:rsidR="00D95EF9" w:rsidRPr="000D6AEA" w:rsidRDefault="00D95EF9" w:rsidP="00D95EF9">
      <w:pPr>
        <w:spacing w:after="0" w:line="240" w:lineRule="auto"/>
        <w:ind w:left="567" w:right="616"/>
        <w:jc w:val="both"/>
        <w:rPr>
          <w:rFonts w:ascii="Palatino Linotype" w:hAnsi="Palatino Linotype" w:cs="Calibri"/>
          <w:i/>
          <w:noProof/>
          <w:lang w:eastAsia="es-MX"/>
        </w:rPr>
      </w:pPr>
      <w:r w:rsidRPr="000D6AEA">
        <w:rPr>
          <w:rFonts w:ascii="Palatino Linotype" w:hAnsi="Palatino Linotype" w:cs="Calibri"/>
          <w:i/>
          <w:noProof/>
          <w:lang w:eastAsia="es-MX"/>
        </w:rPr>
        <w:t>III. Cuotas sindicales;</w:t>
      </w:r>
    </w:p>
    <w:p w14:paraId="5B4D7EC8" w14:textId="77777777" w:rsidR="00D95EF9" w:rsidRPr="000D6AEA" w:rsidRDefault="00D95EF9" w:rsidP="00D95EF9">
      <w:pPr>
        <w:spacing w:after="0" w:line="240" w:lineRule="auto"/>
        <w:ind w:left="567" w:right="616"/>
        <w:jc w:val="both"/>
        <w:rPr>
          <w:rFonts w:ascii="Palatino Linotype" w:hAnsi="Palatino Linotype" w:cs="Calibri"/>
          <w:i/>
          <w:noProof/>
          <w:lang w:eastAsia="es-MX"/>
        </w:rPr>
      </w:pPr>
      <w:r w:rsidRPr="000D6AEA">
        <w:rPr>
          <w:rFonts w:ascii="Palatino Linotype" w:hAnsi="Palatino Linotype" w:cs="Calibri"/>
          <w:i/>
          <w:noProof/>
          <w:lang w:eastAsia="es-MX"/>
        </w:rPr>
        <w:t>IV. Cuotas de aportación a fondos para la constitución de cooperativas y de cajas de ahorro, siempre que el servidor público hubiese manifestado previamente, de manera expresa, su conformidad;</w:t>
      </w:r>
    </w:p>
    <w:p w14:paraId="4705B45E" w14:textId="77777777" w:rsidR="00D95EF9" w:rsidRPr="000D6AEA" w:rsidRDefault="00D95EF9" w:rsidP="00D95EF9">
      <w:pPr>
        <w:spacing w:after="0" w:line="240" w:lineRule="auto"/>
        <w:ind w:left="567" w:right="616"/>
        <w:jc w:val="both"/>
        <w:rPr>
          <w:rFonts w:ascii="Palatino Linotype" w:hAnsi="Palatino Linotype" w:cs="Calibri"/>
          <w:i/>
          <w:noProof/>
          <w:lang w:eastAsia="es-MX"/>
        </w:rPr>
      </w:pPr>
      <w:r w:rsidRPr="000D6AEA">
        <w:rPr>
          <w:rFonts w:ascii="Palatino Linotype" w:hAnsi="Palatino Linotype" w:cs="Calibri"/>
          <w:i/>
          <w:noProof/>
          <w:lang w:eastAsia="es-MX"/>
        </w:rPr>
        <w:t>V. Descuentos ordenados por el Instituto de Seguridad Social del Estado de México y Municipios, con motivo de cuotas y obligaciones contraídas con éste por los servidores públicos;</w:t>
      </w:r>
    </w:p>
    <w:p w14:paraId="40E561B3" w14:textId="77777777" w:rsidR="00D95EF9" w:rsidRPr="000D6AEA" w:rsidRDefault="00D95EF9" w:rsidP="00D95EF9">
      <w:pPr>
        <w:spacing w:after="0" w:line="240" w:lineRule="auto"/>
        <w:ind w:left="567" w:right="616"/>
        <w:jc w:val="both"/>
        <w:rPr>
          <w:rFonts w:ascii="Palatino Linotype" w:hAnsi="Palatino Linotype" w:cs="Calibri"/>
          <w:i/>
          <w:noProof/>
          <w:lang w:eastAsia="es-MX"/>
        </w:rPr>
      </w:pPr>
      <w:r w:rsidRPr="000D6AEA">
        <w:rPr>
          <w:rFonts w:ascii="Palatino Linotype" w:hAnsi="Palatino Linotype" w:cs="Calibri"/>
          <w:i/>
          <w:noProof/>
          <w:lang w:eastAsia="es-MX"/>
        </w:rPr>
        <w:t>VI. Obligaciones a cargo del servidor público con las que haya consentido, derivadas de la adquisición o del uso de habitaciones consideradas como de interés social;</w:t>
      </w:r>
    </w:p>
    <w:p w14:paraId="3AE1EAEA" w14:textId="77777777" w:rsidR="00D95EF9" w:rsidRPr="000D6AEA" w:rsidRDefault="00D95EF9" w:rsidP="00D95EF9">
      <w:pPr>
        <w:spacing w:after="0" w:line="240" w:lineRule="auto"/>
        <w:ind w:left="567" w:right="616"/>
        <w:jc w:val="both"/>
        <w:rPr>
          <w:rFonts w:ascii="Palatino Linotype" w:hAnsi="Palatino Linotype" w:cs="Calibri"/>
          <w:i/>
          <w:noProof/>
          <w:lang w:eastAsia="es-MX"/>
        </w:rPr>
      </w:pPr>
      <w:r w:rsidRPr="000D6AEA">
        <w:rPr>
          <w:rFonts w:ascii="Palatino Linotype" w:hAnsi="Palatino Linotype" w:cs="Calibri"/>
          <w:i/>
          <w:noProof/>
          <w:lang w:eastAsia="es-MX"/>
        </w:rPr>
        <w:t>VII. Faltas de puntualidad o de asistencia injustificadas;</w:t>
      </w:r>
    </w:p>
    <w:p w14:paraId="07FDF983" w14:textId="77777777" w:rsidR="00D95EF9" w:rsidRPr="000D6AEA" w:rsidRDefault="00D95EF9" w:rsidP="00D95EF9">
      <w:pPr>
        <w:spacing w:after="0" w:line="240" w:lineRule="auto"/>
        <w:ind w:left="567" w:right="616"/>
        <w:jc w:val="both"/>
        <w:rPr>
          <w:rFonts w:ascii="Palatino Linotype" w:hAnsi="Palatino Linotype" w:cs="Calibri"/>
          <w:i/>
          <w:noProof/>
          <w:lang w:eastAsia="es-MX"/>
        </w:rPr>
      </w:pPr>
      <w:r w:rsidRPr="000D6AEA">
        <w:rPr>
          <w:rFonts w:ascii="Palatino Linotype" w:hAnsi="Palatino Linotype" w:cs="Calibri"/>
          <w:i/>
          <w:noProof/>
          <w:lang w:eastAsia="es-MX"/>
        </w:rPr>
        <w:t>VIII. Pensiones alimenticias ordenadas por la autoridad judicial; o</w:t>
      </w:r>
    </w:p>
    <w:p w14:paraId="3559DCA6" w14:textId="77777777" w:rsidR="00D95EF9" w:rsidRPr="000D6AEA" w:rsidRDefault="00D95EF9" w:rsidP="00D95EF9">
      <w:pPr>
        <w:spacing w:after="0" w:line="240" w:lineRule="auto"/>
        <w:ind w:left="567" w:right="616"/>
        <w:jc w:val="both"/>
        <w:rPr>
          <w:rFonts w:ascii="Palatino Linotype" w:hAnsi="Palatino Linotype" w:cs="Calibri"/>
          <w:i/>
          <w:noProof/>
          <w:lang w:eastAsia="es-MX"/>
        </w:rPr>
      </w:pPr>
      <w:r w:rsidRPr="000D6AEA">
        <w:rPr>
          <w:rFonts w:ascii="Palatino Linotype" w:hAnsi="Palatino Linotype" w:cs="Calibri"/>
          <w:i/>
          <w:noProof/>
          <w:lang w:eastAsia="es-MX"/>
        </w:rPr>
        <w:t>IX. Cualquier otro convenido con instituciones de servicios y aceptado por el servidor público.</w:t>
      </w:r>
    </w:p>
    <w:p w14:paraId="53729FC6" w14:textId="77777777" w:rsidR="00D95EF9" w:rsidRPr="000D6AEA" w:rsidRDefault="00D95EF9" w:rsidP="00D95EF9">
      <w:pPr>
        <w:spacing w:after="0" w:line="240" w:lineRule="auto"/>
        <w:ind w:left="567" w:right="616"/>
        <w:jc w:val="both"/>
        <w:rPr>
          <w:rFonts w:ascii="Palatino Linotype" w:hAnsi="Palatino Linotype" w:cs="Calibri"/>
          <w:i/>
          <w:noProof/>
          <w:lang w:eastAsia="es-MX"/>
        </w:rPr>
      </w:pPr>
    </w:p>
    <w:p w14:paraId="6F68561A" w14:textId="77777777" w:rsidR="00D95EF9" w:rsidRPr="000D6AEA" w:rsidRDefault="00D95EF9" w:rsidP="00D95EF9">
      <w:pPr>
        <w:spacing w:after="0" w:line="240" w:lineRule="auto"/>
        <w:ind w:left="567" w:right="616"/>
        <w:jc w:val="both"/>
        <w:rPr>
          <w:rFonts w:ascii="Palatino Linotype" w:hAnsi="Palatino Linotype" w:cs="Calibri"/>
          <w:lang w:eastAsia="es-MX"/>
        </w:rPr>
      </w:pPr>
      <w:r w:rsidRPr="000D6AEA">
        <w:rPr>
          <w:rFonts w:ascii="Palatino Linotype" w:hAnsi="Palatino Linotype" w:cs="Calibri"/>
          <w:i/>
          <w:noProof/>
          <w:lang w:eastAsia="es-MX"/>
        </w:rPr>
        <w:t xml:space="preserve">El monto total de las retenciones, descuentos o deducciones no podrá exceder del 30% de la remuneración total, excepto en los casos a que se refieren las fracciones IV, V y VI de </w:t>
      </w:r>
      <w:r w:rsidRPr="000D6AEA">
        <w:rPr>
          <w:rFonts w:ascii="Palatino Linotype" w:hAnsi="Palatino Linotype" w:cs="Calibri"/>
          <w:i/>
          <w:noProof/>
          <w:lang w:eastAsia="es-MX"/>
        </w:rPr>
        <w:lastRenderedPageBreak/>
        <w:t>este artículo, en que podrán ser de hasta el 50%, salvo en los casos en que se demuestre que el crédito se concedió con base en los ingresos familiares para hacer posible el derecho constitucional a una vivienda digna, o se refieran a lo establecido en la fracción VIII de este artículo, en que se ajustará a lo determinado por la autoridad judicial.</w:t>
      </w:r>
    </w:p>
    <w:p w14:paraId="10BC2839" w14:textId="77777777" w:rsidR="00D95EF9" w:rsidRPr="000D6AEA" w:rsidRDefault="00D95EF9" w:rsidP="00D95EF9">
      <w:pPr>
        <w:spacing w:after="0" w:line="360" w:lineRule="auto"/>
        <w:jc w:val="both"/>
        <w:rPr>
          <w:rFonts w:ascii="Palatino Linotype" w:hAnsi="Palatino Linotype" w:cs="Calibri"/>
          <w:sz w:val="24"/>
          <w:szCs w:val="24"/>
          <w:lang w:eastAsia="es-MX"/>
        </w:rPr>
      </w:pPr>
    </w:p>
    <w:p w14:paraId="1D5FC117"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Derivado de lo anterior, la Ley establece claramente cuáles son esos descuentos o gravámenes que directamente se relacionan con las obligaciones adquiridas como servidores públicos y aquéllos que únicamente inciden en su vida privada. De este modo, descuentos por pensiones alimenticias o créditos adquiridos con instituciones privadas o públicas pero que fueron contraídas en forma individual, son información que debe clasificarse como confidencial.</w:t>
      </w:r>
    </w:p>
    <w:p w14:paraId="7D7F5389" w14:textId="77777777" w:rsidR="00D95EF9" w:rsidRPr="000D6AEA" w:rsidRDefault="00D95EF9" w:rsidP="00D95EF9">
      <w:pPr>
        <w:spacing w:after="0" w:line="360" w:lineRule="auto"/>
        <w:jc w:val="both"/>
        <w:rPr>
          <w:rFonts w:ascii="Palatino Linotype" w:hAnsi="Palatino Linotype" w:cs="Calibri"/>
          <w:sz w:val="24"/>
          <w:szCs w:val="24"/>
          <w:lang w:eastAsia="es-MX"/>
        </w:rPr>
      </w:pPr>
    </w:p>
    <w:p w14:paraId="18B4BA37"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 xml:space="preserve">No obstante, el denominado </w:t>
      </w:r>
      <w:r w:rsidRPr="000D6AEA">
        <w:rPr>
          <w:rFonts w:ascii="Palatino Linotype" w:hAnsi="Palatino Linotype" w:cs="Calibri"/>
          <w:b/>
          <w:sz w:val="24"/>
          <w:szCs w:val="24"/>
          <w:lang w:eastAsia="es-MX"/>
        </w:rPr>
        <w:t>Sistema de Capitalización Individual</w:t>
      </w:r>
      <w:r w:rsidRPr="000D6AEA">
        <w:rPr>
          <w:rFonts w:ascii="Palatino Linotype" w:hAnsi="Palatino Linotype" w:cs="Calibri"/>
          <w:sz w:val="24"/>
          <w:szCs w:val="24"/>
          <w:lang w:eastAsia="es-MX"/>
        </w:rPr>
        <w:t xml:space="preserve"> se define como el mecanismo de ahorro mediante el cual los servidores públicos y las instituciones públicas acumulan recursos para la etapa de retiro, adicionales a la pensión y que serán entregados conforme a lo establecido en la Ley de Seguridad Social para los Servidores Públicos del Estado de México y Municipios; por ende, se considera que es un descuento establecido por Ley y no debe considerarse como un dato personal, ya que no encuadra en ninguno de los supuestos referidos en el párrafo anterior.</w:t>
      </w:r>
    </w:p>
    <w:p w14:paraId="3E8461EC" w14:textId="77777777" w:rsidR="00D95EF9" w:rsidRPr="000D6AEA" w:rsidRDefault="00D95EF9" w:rsidP="00D95EF9">
      <w:pPr>
        <w:spacing w:after="0" w:line="360" w:lineRule="auto"/>
        <w:jc w:val="both"/>
        <w:rPr>
          <w:rFonts w:ascii="Palatino Linotype" w:hAnsi="Palatino Linotype" w:cs="Calibri"/>
          <w:sz w:val="24"/>
          <w:szCs w:val="24"/>
          <w:lang w:eastAsia="es-MX"/>
        </w:rPr>
      </w:pPr>
    </w:p>
    <w:p w14:paraId="77AD6416"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 xml:space="preserve">Por ende, en el presente caso el Sujeto Obligado debe atender las disposiciones en materia de protección de datos, a fin de salvaguardar los datos de particulares testando estos y emitir el debido Acuerdo que sustente la versión pública que se genere, ya que la clasificación de la información no se da por el simple mandato de la Ley, sino que es necesario que el Sujeto Obligado cuando clasifique un documento, ya sea en todo o </w:t>
      </w:r>
      <w:r w:rsidRPr="000D6AEA">
        <w:rPr>
          <w:rFonts w:ascii="Palatino Linotype" w:hAnsi="Palatino Linotype" w:cs="Calibri"/>
          <w:sz w:val="24"/>
          <w:szCs w:val="24"/>
          <w:lang w:eastAsia="es-MX"/>
        </w:rPr>
        <w:lastRenderedPageBreak/>
        <w:t>en parte, debe atender lo dispuesto por la Ley de la materia, siendo que dicha clasificación es un trabajo en conjunto tanto de los Servidores Públicos Habilitados, de las Unidades de Transparencia y del Comité de Transparencia del Sujeto Obligado, teniendo el deber los primeros, de presentar ante la Unidad de Transparencia la propuesta de clasificación de la información, para que luego ésta se presente ante el Comité de Transparencia de así resultar procedente el proyecto de clasificación de la información y finalmente sea éste último quien apruebe, modifique o revoque la clasificación de la información solicitada.</w:t>
      </w:r>
    </w:p>
    <w:p w14:paraId="51E59986" w14:textId="77777777" w:rsidR="00D95EF9" w:rsidRPr="000D6AEA" w:rsidRDefault="00D95EF9" w:rsidP="00D95EF9">
      <w:pPr>
        <w:spacing w:after="0" w:line="360" w:lineRule="auto"/>
        <w:jc w:val="both"/>
        <w:rPr>
          <w:rFonts w:ascii="Palatino Linotype" w:hAnsi="Palatino Linotype" w:cs="Calibri"/>
          <w:sz w:val="24"/>
          <w:szCs w:val="24"/>
          <w:lang w:eastAsia="es-MX"/>
        </w:rPr>
      </w:pPr>
    </w:p>
    <w:p w14:paraId="703F9B7E"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Así, es que el Sujeto Obligado deberá cumplir con todos y cada uno de los requisitos señalados en la Ley de Protección de Datos Personales en Posesión de Sujetos Obligados del Estado de México y Municipios, en la Ley de Transparencia y Acceso a la Información Pública del Estado de México y Municipios, y con los Lineamientos Generales en Materia de Clasificación y Desclasificación de la información, así como para la elaboración de Versiones Públicas; máxime que de conformidad con lo establecido en las Leyes y Lineamientos citados, para fundar la clasificación de la información se debe señalar el artículo, fracción, inciso, párrafo o numeral de la Ley que expresamente le otorga el carácter de confidencial.</w:t>
      </w:r>
    </w:p>
    <w:p w14:paraId="533D2D9A" w14:textId="77777777" w:rsidR="00D95EF9" w:rsidRPr="000D6AEA" w:rsidRDefault="00D95EF9" w:rsidP="00D95EF9">
      <w:pPr>
        <w:spacing w:after="0" w:line="360" w:lineRule="auto"/>
        <w:jc w:val="both"/>
        <w:rPr>
          <w:rFonts w:ascii="Palatino Linotype" w:hAnsi="Palatino Linotype" w:cs="Calibri"/>
          <w:sz w:val="24"/>
          <w:szCs w:val="24"/>
          <w:lang w:eastAsia="es-MX"/>
        </w:rPr>
      </w:pPr>
    </w:p>
    <w:p w14:paraId="6D0B5E76"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 xml:space="preserve">Ello, sin pasar por alto que la clasificación respectiva tiene que cumplirse mediante las formalidades impuestas por la ley; es decir, mediante Acuerdo debidamente fundado y motivado, en términos de los numerales 49, fracción VIII, y 132, fracciones I, II y III, de la Ley de la materia en vigor, así como los numerales Segundo, fracción XVIII, y del Cuarto al Décimo Primero de los Lineamientos Generales en materia de Clasificación </w:t>
      </w:r>
      <w:r w:rsidRPr="000D6AEA">
        <w:rPr>
          <w:rFonts w:ascii="Palatino Linotype" w:hAnsi="Palatino Linotype" w:cs="Calibri"/>
          <w:sz w:val="24"/>
          <w:szCs w:val="24"/>
          <w:lang w:eastAsia="es-MX"/>
        </w:rPr>
        <w:lastRenderedPageBreak/>
        <w:t>y Desclasificación de la Información, así como para la elaboración de Versiones Públicas, que literalmente establecen lo siguiente:</w:t>
      </w:r>
    </w:p>
    <w:p w14:paraId="6833B5D3" w14:textId="77777777" w:rsidR="00D95EF9" w:rsidRPr="000D6AEA" w:rsidRDefault="00D95EF9" w:rsidP="00D95EF9">
      <w:pPr>
        <w:spacing w:after="0" w:line="360" w:lineRule="auto"/>
        <w:rPr>
          <w:rFonts w:ascii="Palatino Linotype" w:hAnsi="Palatino Linotype" w:cs="Calibri"/>
          <w:sz w:val="24"/>
          <w:szCs w:val="24"/>
          <w:lang w:eastAsia="es-MX"/>
        </w:rPr>
      </w:pPr>
    </w:p>
    <w:p w14:paraId="22D33B4B"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b/>
          <w:i/>
          <w:lang w:eastAsia="es-MX"/>
        </w:rPr>
        <w:t xml:space="preserve">Artículo 49. </w:t>
      </w:r>
      <w:r w:rsidRPr="000D6AEA">
        <w:rPr>
          <w:rFonts w:ascii="Palatino Linotype" w:hAnsi="Palatino Linotype" w:cs="Calibri"/>
          <w:i/>
          <w:lang w:eastAsia="es-MX"/>
        </w:rPr>
        <w:t>Los Comités de Transparencia tendrán las siguientes atribuciones:</w:t>
      </w:r>
    </w:p>
    <w:p w14:paraId="1C966558" w14:textId="77777777" w:rsidR="00D95EF9" w:rsidRPr="000D6AEA" w:rsidRDefault="00D95EF9" w:rsidP="00D95EF9">
      <w:pPr>
        <w:spacing w:after="0" w:line="240" w:lineRule="auto"/>
        <w:ind w:left="567" w:right="616"/>
        <w:jc w:val="both"/>
        <w:rPr>
          <w:rFonts w:ascii="Palatino Linotype" w:hAnsi="Palatino Linotype" w:cs="Calibri"/>
          <w:bCs/>
          <w:i/>
          <w:lang w:eastAsia="es-MX"/>
        </w:rPr>
      </w:pPr>
      <w:r w:rsidRPr="000D6AEA">
        <w:rPr>
          <w:rFonts w:ascii="Palatino Linotype" w:hAnsi="Palatino Linotype" w:cs="Calibri"/>
          <w:bCs/>
          <w:i/>
          <w:lang w:eastAsia="es-MX"/>
        </w:rPr>
        <w:t>(…)</w:t>
      </w:r>
    </w:p>
    <w:p w14:paraId="50BAA42E"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b/>
          <w:i/>
          <w:lang w:eastAsia="es-MX"/>
        </w:rPr>
        <w:t>VIII.</w:t>
      </w:r>
      <w:r w:rsidRPr="000D6AEA">
        <w:rPr>
          <w:rFonts w:ascii="Palatino Linotype" w:hAnsi="Palatino Linotype" w:cs="Calibri"/>
          <w:i/>
          <w:lang w:eastAsia="es-MX"/>
        </w:rPr>
        <w:t xml:space="preserve"> Aprobar, modificar o revocar la clasificación de la información;</w:t>
      </w:r>
    </w:p>
    <w:p w14:paraId="23394FEE" w14:textId="77777777" w:rsidR="00D95EF9" w:rsidRPr="000D6AEA" w:rsidRDefault="00D95EF9" w:rsidP="00D95EF9">
      <w:pPr>
        <w:spacing w:after="0" w:line="240" w:lineRule="auto"/>
        <w:ind w:left="567" w:right="616"/>
        <w:jc w:val="both"/>
        <w:rPr>
          <w:rFonts w:ascii="Palatino Linotype" w:hAnsi="Palatino Linotype" w:cs="Calibri"/>
          <w:bCs/>
          <w:i/>
          <w:lang w:eastAsia="es-MX"/>
        </w:rPr>
      </w:pPr>
      <w:r w:rsidRPr="000D6AEA">
        <w:rPr>
          <w:rFonts w:ascii="Palatino Linotype" w:hAnsi="Palatino Linotype" w:cs="Calibri"/>
          <w:bCs/>
          <w:i/>
          <w:lang w:eastAsia="es-MX"/>
        </w:rPr>
        <w:t>(…)</w:t>
      </w:r>
    </w:p>
    <w:p w14:paraId="68BC216B" w14:textId="77777777" w:rsidR="00D95EF9" w:rsidRPr="000D6AEA" w:rsidRDefault="00D95EF9" w:rsidP="00D95EF9">
      <w:pPr>
        <w:spacing w:after="0" w:line="240" w:lineRule="auto"/>
        <w:ind w:left="567" w:right="616"/>
        <w:jc w:val="both"/>
        <w:rPr>
          <w:rFonts w:ascii="Palatino Linotype" w:hAnsi="Palatino Linotype" w:cs="Calibri"/>
          <w:i/>
          <w:lang w:eastAsia="es-MX"/>
        </w:rPr>
      </w:pPr>
    </w:p>
    <w:p w14:paraId="145AFC69"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b/>
          <w:i/>
          <w:lang w:eastAsia="es-MX"/>
        </w:rPr>
        <w:t>Artículo 132.</w:t>
      </w:r>
      <w:r w:rsidRPr="000D6AEA">
        <w:rPr>
          <w:rFonts w:ascii="Palatino Linotype" w:hAnsi="Palatino Linotype" w:cs="Calibri"/>
          <w:i/>
          <w:lang w:eastAsia="es-MX"/>
        </w:rPr>
        <w:t xml:space="preserve"> La clasificación de la información se llevará a cabo en el momento en que:</w:t>
      </w:r>
    </w:p>
    <w:p w14:paraId="01920943" w14:textId="77777777" w:rsidR="00D95EF9" w:rsidRPr="000D6AEA" w:rsidRDefault="00D95EF9" w:rsidP="00D95EF9">
      <w:pPr>
        <w:spacing w:after="0" w:line="240" w:lineRule="auto"/>
        <w:ind w:left="567" w:right="616"/>
        <w:jc w:val="both"/>
        <w:rPr>
          <w:rFonts w:ascii="Palatino Linotype" w:hAnsi="Palatino Linotype" w:cs="Calibri"/>
          <w:b/>
          <w:i/>
          <w:lang w:eastAsia="es-MX"/>
        </w:rPr>
      </w:pPr>
    </w:p>
    <w:p w14:paraId="5A79FCE5"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b/>
          <w:i/>
          <w:lang w:eastAsia="es-MX"/>
        </w:rPr>
        <w:t>I.</w:t>
      </w:r>
      <w:r w:rsidRPr="000D6AEA">
        <w:rPr>
          <w:rFonts w:ascii="Palatino Linotype" w:hAnsi="Palatino Linotype" w:cs="Calibri"/>
          <w:i/>
          <w:lang w:eastAsia="es-MX"/>
        </w:rPr>
        <w:t xml:space="preserve"> Se reciba una solicitud de acceso a la información;</w:t>
      </w:r>
    </w:p>
    <w:p w14:paraId="14E7C7D2"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b/>
          <w:i/>
          <w:lang w:eastAsia="es-MX"/>
        </w:rPr>
        <w:t>II.</w:t>
      </w:r>
      <w:r w:rsidRPr="000D6AEA">
        <w:rPr>
          <w:rFonts w:ascii="Palatino Linotype" w:hAnsi="Palatino Linotype" w:cs="Calibri"/>
          <w:i/>
          <w:lang w:eastAsia="es-MX"/>
        </w:rPr>
        <w:t xml:space="preserve"> Se determine mediante resolución de autoridad competente; o</w:t>
      </w:r>
    </w:p>
    <w:p w14:paraId="1AE96E13" w14:textId="77777777" w:rsidR="00D95EF9" w:rsidRPr="000D6AEA" w:rsidRDefault="00D95EF9" w:rsidP="00D95EF9">
      <w:pPr>
        <w:spacing w:after="0" w:line="240" w:lineRule="auto"/>
        <w:ind w:left="567" w:right="616"/>
        <w:jc w:val="both"/>
        <w:rPr>
          <w:rFonts w:ascii="Palatino Linotype" w:hAnsi="Palatino Linotype" w:cs="Calibri"/>
          <w:b/>
          <w:i/>
          <w:lang w:eastAsia="es-MX"/>
        </w:rPr>
      </w:pPr>
      <w:r w:rsidRPr="000D6AEA">
        <w:rPr>
          <w:rFonts w:ascii="Palatino Linotype" w:hAnsi="Palatino Linotype" w:cs="Calibri"/>
          <w:b/>
          <w:bCs/>
          <w:i/>
          <w:lang w:eastAsia="es-MX"/>
        </w:rPr>
        <w:t>III.</w:t>
      </w:r>
      <w:r w:rsidRPr="000D6AEA">
        <w:rPr>
          <w:rFonts w:ascii="Palatino Linotype" w:hAnsi="Palatino Linotype" w:cs="Calibri"/>
          <w:i/>
          <w:lang w:eastAsia="es-MX"/>
        </w:rPr>
        <w:t xml:space="preserve"> Se generen versiones públicas para dar cumplimiento a las obligaciones de transparencia previstas en esta Ley.</w:t>
      </w:r>
      <w:r w:rsidRPr="000D6AEA">
        <w:rPr>
          <w:rFonts w:ascii="Palatino Linotype" w:hAnsi="Palatino Linotype" w:cs="Calibri"/>
          <w:b/>
          <w:i/>
          <w:lang w:eastAsia="es-MX"/>
        </w:rPr>
        <w:t>”</w:t>
      </w:r>
    </w:p>
    <w:p w14:paraId="08309DE1" w14:textId="77777777" w:rsidR="00D95EF9" w:rsidRPr="000D6AEA" w:rsidRDefault="00D95EF9" w:rsidP="00D95EF9">
      <w:pPr>
        <w:spacing w:after="0" w:line="240" w:lineRule="auto"/>
        <w:ind w:left="567" w:right="616"/>
        <w:jc w:val="both"/>
        <w:rPr>
          <w:rFonts w:ascii="Palatino Linotype" w:hAnsi="Palatino Linotype" w:cs="Calibri"/>
          <w:b/>
          <w:i/>
          <w:lang w:eastAsia="es-MX"/>
        </w:rPr>
      </w:pPr>
    </w:p>
    <w:p w14:paraId="4C258572"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b/>
          <w:i/>
          <w:lang w:eastAsia="es-MX"/>
        </w:rPr>
        <w:t>Segundo.-</w:t>
      </w:r>
      <w:r w:rsidRPr="000D6AEA">
        <w:rPr>
          <w:rFonts w:ascii="Palatino Linotype" w:hAnsi="Palatino Linotype" w:cs="Calibri"/>
          <w:i/>
          <w:lang w:eastAsia="es-MX"/>
        </w:rPr>
        <w:t xml:space="preserve"> Para efectos de los presentes Lineamientos Generales, se entenderá por:</w:t>
      </w:r>
    </w:p>
    <w:p w14:paraId="567D55E8"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b/>
          <w:i/>
          <w:lang w:eastAsia="es-MX"/>
        </w:rPr>
        <w:t>XVIII.</w:t>
      </w:r>
      <w:r w:rsidRPr="000D6AEA">
        <w:rPr>
          <w:rFonts w:ascii="Palatino Linotype" w:hAnsi="Palatino Linotype" w:cs="Calibri"/>
          <w:i/>
          <w:lang w:eastAsia="es-MX"/>
        </w:rPr>
        <w:t xml:space="preserve"> </w:t>
      </w:r>
      <w:r w:rsidRPr="000D6AEA">
        <w:rPr>
          <w:rFonts w:ascii="Palatino Linotype" w:hAnsi="Palatino Linotype" w:cs="Calibri"/>
          <w:b/>
          <w:i/>
          <w:lang w:eastAsia="es-MX"/>
        </w:rPr>
        <w:t>Versión pública:</w:t>
      </w:r>
      <w:r w:rsidRPr="000D6AEA">
        <w:rPr>
          <w:rFonts w:ascii="Palatino Linotype" w:hAnsi="Palatino Linotype" w:cs="Calibri"/>
          <w:i/>
          <w:lang w:eastAsia="es-MX"/>
        </w:rPr>
        <w:t xml:space="preserve"> El documento a partir del que se otorga acceso a la información, en el que se testan partes o secciones clasificadas, indicando el contenido de éstas de manera genérica, fundando y motivando la reserva o confidencialidad, a través de la resolución que para tal efecto emita el Comité de Transparencia.</w:t>
      </w:r>
    </w:p>
    <w:p w14:paraId="215589EA" w14:textId="77777777" w:rsidR="00D95EF9" w:rsidRPr="000D6AEA" w:rsidRDefault="00D95EF9" w:rsidP="00D95EF9">
      <w:pPr>
        <w:spacing w:after="0" w:line="240" w:lineRule="auto"/>
        <w:ind w:left="567" w:right="616"/>
        <w:jc w:val="both"/>
        <w:rPr>
          <w:rFonts w:ascii="Palatino Linotype" w:hAnsi="Palatino Linotype" w:cs="Calibri"/>
          <w:b/>
          <w:i/>
          <w:lang w:eastAsia="es-MX"/>
        </w:rPr>
      </w:pPr>
    </w:p>
    <w:p w14:paraId="6998874F"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b/>
          <w:i/>
          <w:lang w:eastAsia="es-MX"/>
        </w:rPr>
        <w:t>Cuarto.</w:t>
      </w:r>
      <w:r w:rsidRPr="000D6AEA">
        <w:rPr>
          <w:rFonts w:ascii="Palatino Linotype" w:hAnsi="Palatino Linotype" w:cs="Calibri"/>
          <w:i/>
          <w:lang w:eastAsia="es-MX"/>
        </w:rPr>
        <w:t xml:space="preserve"> Para clasificar la información como reservada o confidencial, de manera total o parcial, el titular del área del sujeto obligado deberá atender lo dispuesto por el Título Sexto de la Ley General, en relación con las disposiciones contenidas en los presentes lineamientos, así como en aquellas disposiciones legales aplicables a la materia en el ámbito de sus respectivas competencias, en tanto estas últimas no contravengan lo dispuesto en la Ley General.</w:t>
      </w:r>
    </w:p>
    <w:p w14:paraId="1B8BCF79" w14:textId="77777777" w:rsidR="00D95EF9" w:rsidRPr="000D6AEA" w:rsidRDefault="00D95EF9" w:rsidP="00D95EF9">
      <w:pPr>
        <w:spacing w:after="0" w:line="240" w:lineRule="auto"/>
        <w:ind w:left="567" w:right="616"/>
        <w:jc w:val="both"/>
        <w:rPr>
          <w:rFonts w:ascii="Palatino Linotype" w:hAnsi="Palatino Linotype" w:cs="Calibri"/>
          <w:i/>
          <w:lang w:eastAsia="es-MX"/>
        </w:rPr>
      </w:pPr>
    </w:p>
    <w:p w14:paraId="5DA30C67"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i/>
          <w:lang w:eastAsia="es-MX"/>
        </w:rPr>
        <w:t>Los Sujetos Obligados deberán aplicar, de manera estricta, las excepciones al derecho de acceso a la información y sólo podrán invocarlas cuando acrediten su procedencia.</w:t>
      </w:r>
    </w:p>
    <w:p w14:paraId="531FB524" w14:textId="77777777" w:rsidR="00D95EF9" w:rsidRPr="000D6AEA" w:rsidRDefault="00D95EF9" w:rsidP="00D95EF9">
      <w:pPr>
        <w:spacing w:after="0" w:line="240" w:lineRule="auto"/>
        <w:ind w:left="567" w:right="616"/>
        <w:jc w:val="both"/>
        <w:rPr>
          <w:rFonts w:ascii="Palatino Linotype" w:hAnsi="Palatino Linotype" w:cs="Calibri"/>
          <w:b/>
          <w:i/>
          <w:lang w:eastAsia="es-MX"/>
        </w:rPr>
      </w:pPr>
    </w:p>
    <w:p w14:paraId="02750B3C"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b/>
          <w:i/>
          <w:lang w:eastAsia="es-MX"/>
        </w:rPr>
        <w:t>Quinto.</w:t>
      </w:r>
      <w:r w:rsidRPr="000D6AEA">
        <w:rPr>
          <w:rFonts w:ascii="Palatino Linotype" w:hAnsi="Palatino Linotype" w:cs="Calibri"/>
          <w:i/>
          <w:lang w:eastAsia="es-MX"/>
        </w:rPr>
        <w:t xml:space="preserve"> La carga de la prueba para justificar toda negativa de acceso a la información, por actualizarse cualquiera de los supuestos de clasificación previstos en la Ley General, la Ley Federal y leyes estatales, corresponderá a los Sujetos Obligados, por lo que deberán fundar y motivar debidamente la clasificación de la información ante una solicitud de acceso o al momento en que generen versiones públicas para dar cumplimiento a las obligaciones de </w:t>
      </w:r>
      <w:r w:rsidRPr="000D6AEA">
        <w:rPr>
          <w:rFonts w:ascii="Palatino Linotype" w:hAnsi="Palatino Linotype" w:cs="Calibri"/>
          <w:i/>
          <w:lang w:eastAsia="es-MX"/>
        </w:rPr>
        <w:lastRenderedPageBreak/>
        <w:t>transparencia, observando lo dispuesto en la Ley General y las demás disposiciones aplicables en la materia.</w:t>
      </w:r>
    </w:p>
    <w:p w14:paraId="5F3CB883" w14:textId="77777777" w:rsidR="00D95EF9" w:rsidRPr="000D6AEA" w:rsidRDefault="00D95EF9" w:rsidP="00D95EF9">
      <w:pPr>
        <w:spacing w:after="0" w:line="240" w:lineRule="auto"/>
        <w:ind w:left="567" w:right="616"/>
        <w:jc w:val="both"/>
        <w:rPr>
          <w:rFonts w:ascii="Palatino Linotype" w:hAnsi="Palatino Linotype" w:cs="Calibri"/>
          <w:b/>
          <w:i/>
          <w:lang w:eastAsia="es-MX"/>
        </w:rPr>
      </w:pPr>
    </w:p>
    <w:p w14:paraId="377F70E1"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b/>
          <w:i/>
          <w:lang w:eastAsia="es-MX"/>
        </w:rPr>
        <w:t>Sexto.</w:t>
      </w:r>
      <w:r w:rsidRPr="000D6AEA">
        <w:rPr>
          <w:rFonts w:ascii="Palatino Linotype" w:hAnsi="Palatino Linotype" w:cs="Calibri"/>
          <w:i/>
          <w:lang w:eastAsia="es-MX"/>
        </w:rPr>
        <w:t xml:space="preserve"> Los Sujetos Obligados no podrán emitir acuerdos de carácter general ni particular que clasifiquen documentos o expedientes como reservados, ni clasificar documentos antes de que se genere la información o cuando éstos no obren en sus archivos.</w:t>
      </w:r>
    </w:p>
    <w:p w14:paraId="2F1A38D0" w14:textId="77777777" w:rsidR="00D95EF9" w:rsidRPr="000D6AEA" w:rsidRDefault="00D95EF9" w:rsidP="00D95EF9">
      <w:pPr>
        <w:spacing w:after="0" w:line="240" w:lineRule="auto"/>
        <w:ind w:left="567" w:right="616"/>
        <w:jc w:val="both"/>
        <w:rPr>
          <w:rFonts w:ascii="Palatino Linotype" w:hAnsi="Palatino Linotype" w:cs="Calibri"/>
          <w:i/>
          <w:lang w:eastAsia="es-MX"/>
        </w:rPr>
      </w:pPr>
    </w:p>
    <w:p w14:paraId="1C024B92"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i/>
          <w:lang w:eastAsia="es-MX"/>
        </w:rPr>
        <w:t>La clasificación de información se realizará conforme a un análisis caso por caso, mediante la aplicación de la prueba de daño y de interés público.</w:t>
      </w:r>
    </w:p>
    <w:p w14:paraId="1F19E8DF" w14:textId="77777777" w:rsidR="00D95EF9" w:rsidRPr="000D6AEA" w:rsidRDefault="00D95EF9" w:rsidP="00D95EF9">
      <w:pPr>
        <w:spacing w:after="0" w:line="240" w:lineRule="auto"/>
        <w:ind w:left="567" w:right="616"/>
        <w:jc w:val="both"/>
        <w:rPr>
          <w:rFonts w:ascii="Palatino Linotype" w:hAnsi="Palatino Linotype" w:cs="Calibri"/>
          <w:b/>
          <w:i/>
          <w:lang w:eastAsia="es-MX"/>
        </w:rPr>
      </w:pPr>
    </w:p>
    <w:p w14:paraId="40077BC4"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b/>
          <w:i/>
          <w:lang w:eastAsia="es-MX"/>
        </w:rPr>
        <w:t>Séptimo.</w:t>
      </w:r>
      <w:r w:rsidRPr="000D6AEA">
        <w:rPr>
          <w:rFonts w:ascii="Palatino Linotype" w:hAnsi="Palatino Linotype" w:cs="Calibri"/>
          <w:i/>
          <w:lang w:eastAsia="es-MX"/>
        </w:rPr>
        <w:t xml:space="preserve"> La clasificación de la información se llevará a cabo en el momento en que:</w:t>
      </w:r>
    </w:p>
    <w:p w14:paraId="7A23F65A"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b/>
          <w:i/>
          <w:lang w:eastAsia="es-MX"/>
        </w:rPr>
        <w:t>I.</w:t>
      </w:r>
      <w:r w:rsidRPr="000D6AEA">
        <w:rPr>
          <w:rFonts w:ascii="Palatino Linotype" w:hAnsi="Palatino Linotype" w:cs="Calibri"/>
          <w:i/>
          <w:lang w:eastAsia="es-MX"/>
        </w:rPr>
        <w:t xml:space="preserve"> Se reciba una solicitud de acceso a la información;</w:t>
      </w:r>
    </w:p>
    <w:p w14:paraId="50AEC6F7" w14:textId="77777777" w:rsidR="00D95EF9" w:rsidRPr="000D6AEA" w:rsidRDefault="00D95EF9" w:rsidP="00D95EF9">
      <w:pPr>
        <w:spacing w:after="0" w:line="240" w:lineRule="auto"/>
        <w:ind w:left="567" w:right="616"/>
        <w:jc w:val="both"/>
        <w:rPr>
          <w:rFonts w:ascii="Palatino Linotype" w:hAnsi="Palatino Linotype" w:cs="Calibri"/>
          <w:b/>
          <w:i/>
          <w:lang w:eastAsia="es-MX"/>
        </w:rPr>
      </w:pPr>
    </w:p>
    <w:p w14:paraId="5C13DDB3"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b/>
          <w:i/>
          <w:lang w:eastAsia="es-MX"/>
        </w:rPr>
        <w:t>II.</w:t>
      </w:r>
      <w:r w:rsidRPr="000D6AEA">
        <w:rPr>
          <w:rFonts w:ascii="Palatino Linotype" w:hAnsi="Palatino Linotype" w:cs="Calibri"/>
          <w:i/>
          <w:lang w:eastAsia="es-MX"/>
        </w:rPr>
        <w:t xml:space="preserve"> Se determine mediante resolución de autoridad competente, o</w:t>
      </w:r>
    </w:p>
    <w:p w14:paraId="012D126B"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b/>
          <w:i/>
          <w:lang w:eastAsia="es-MX"/>
        </w:rPr>
        <w:t>III.</w:t>
      </w:r>
      <w:r w:rsidRPr="000D6AEA">
        <w:rPr>
          <w:rFonts w:ascii="Palatino Linotype" w:hAnsi="Palatino Linotype" w:cs="Calibri"/>
          <w:i/>
          <w:lang w:eastAsia="es-MX"/>
        </w:rPr>
        <w:t xml:space="preserve"> Se generen versiones públicas para dar cumplimiento a las obligaciones de transparencia previstas en la Ley General, la Ley Federal y las correspondientes de las entidades federativas.</w:t>
      </w:r>
    </w:p>
    <w:p w14:paraId="3928460C"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i/>
          <w:lang w:eastAsia="es-MX"/>
        </w:rPr>
        <w:t>Los titulares de las áreas deberán revisar la clasificación al momento de la recepción de una solicitud de acceso a la información, para verificar si encuadra en una causal de reserva o de confidencialidad.</w:t>
      </w:r>
    </w:p>
    <w:p w14:paraId="59141685" w14:textId="77777777" w:rsidR="00D95EF9" w:rsidRPr="000D6AEA" w:rsidRDefault="00D95EF9" w:rsidP="00D95EF9">
      <w:pPr>
        <w:spacing w:after="0" w:line="240" w:lineRule="auto"/>
        <w:ind w:left="567" w:right="616"/>
        <w:jc w:val="both"/>
        <w:rPr>
          <w:rFonts w:ascii="Palatino Linotype" w:hAnsi="Palatino Linotype" w:cs="Calibri"/>
          <w:b/>
          <w:i/>
          <w:lang w:eastAsia="es-MX"/>
        </w:rPr>
      </w:pPr>
    </w:p>
    <w:p w14:paraId="72B0E1A7"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b/>
          <w:i/>
          <w:lang w:eastAsia="es-MX"/>
        </w:rPr>
        <w:t>Octavo.</w:t>
      </w:r>
      <w:r w:rsidRPr="000D6AEA">
        <w:rPr>
          <w:rFonts w:ascii="Palatino Linotype" w:hAnsi="Palatino Linotype" w:cs="Calibri"/>
          <w:i/>
          <w:lang w:eastAsia="es-MX"/>
        </w:rPr>
        <w:t xml:space="preserve"> Para fundar la clasificación de la información se debe señalar el artículo, fracción, inciso, párrafo o numeral de la ley o tratado internacional suscrito por el Estado mexicano que expresamente le otorga el carácter de reservada o confidencial.</w:t>
      </w:r>
    </w:p>
    <w:p w14:paraId="06CDAEBF"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i/>
          <w:lang w:eastAsia="es-MX"/>
        </w:rPr>
        <w:t>Para motivar la clasificación se deberán señalar las razones o circunstancias especiales que lo llevaron a concluir que el caso particular se ajusta al supuesto previsto por la norma legal invocada como fundamento.</w:t>
      </w:r>
    </w:p>
    <w:p w14:paraId="1BB5783B"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i/>
          <w:lang w:eastAsia="es-MX"/>
        </w:rPr>
        <w:t>En caso de referirse a información reservada, la motivación de la clasificación también deberá comprender las circunstancias que justifican el establecimiento de determinado plazo de reserva.</w:t>
      </w:r>
    </w:p>
    <w:p w14:paraId="1BD234AB" w14:textId="77777777" w:rsidR="00D95EF9" w:rsidRPr="000D6AEA" w:rsidRDefault="00D95EF9" w:rsidP="00D95EF9">
      <w:pPr>
        <w:spacing w:after="0" w:line="240" w:lineRule="auto"/>
        <w:ind w:left="567" w:right="616"/>
        <w:jc w:val="both"/>
        <w:rPr>
          <w:rFonts w:ascii="Palatino Linotype" w:hAnsi="Palatino Linotype" w:cs="Calibri"/>
          <w:i/>
          <w:lang w:eastAsia="es-MX"/>
        </w:rPr>
      </w:pPr>
    </w:p>
    <w:p w14:paraId="6A3B57AA"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i/>
          <w:lang w:eastAsia="es-MX"/>
        </w:rPr>
        <w:t>Tratándose de información clasificada como confidencial respecto de la cual se haya determinado su conservación permanente por tener valor histórico, ésta conservará tal carácter de conformidad con la normativa aplicable en materia de archivos.</w:t>
      </w:r>
    </w:p>
    <w:p w14:paraId="019F02E8"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i/>
          <w:lang w:eastAsia="es-MX"/>
        </w:rPr>
        <w:t>Los documentos contenidos en los archivos históricos y los identificados como históricos confidenciales no serán susceptibles de clasificación como reservados.</w:t>
      </w:r>
    </w:p>
    <w:p w14:paraId="4C3F3235" w14:textId="77777777" w:rsidR="00D95EF9" w:rsidRPr="000D6AEA" w:rsidRDefault="00D95EF9" w:rsidP="00D95EF9">
      <w:pPr>
        <w:spacing w:after="0" w:line="240" w:lineRule="auto"/>
        <w:ind w:left="567" w:right="616"/>
        <w:jc w:val="both"/>
        <w:rPr>
          <w:rFonts w:ascii="Palatino Linotype" w:hAnsi="Palatino Linotype" w:cs="Calibri"/>
          <w:b/>
          <w:i/>
          <w:lang w:eastAsia="es-MX"/>
        </w:rPr>
      </w:pPr>
    </w:p>
    <w:p w14:paraId="2F75F060"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b/>
          <w:i/>
          <w:lang w:eastAsia="es-MX"/>
        </w:rPr>
        <w:lastRenderedPageBreak/>
        <w:t>Noveno.</w:t>
      </w:r>
      <w:r w:rsidRPr="000D6AEA">
        <w:rPr>
          <w:rFonts w:ascii="Palatino Linotype" w:hAnsi="Palatino Linotype" w:cs="Calibri"/>
          <w:i/>
          <w:lang w:eastAsia="es-MX"/>
        </w:rPr>
        <w:t xml:space="preserve"> En los casos en que se solicite un documento o expediente que contenga partes o secciones clasificadas, los titulares de las áreas deberán elaborar una versión pública fundando y motivando la clasificación de las partes o secciones que se testen, siguiendo los procedimientos establecidos en el Capítulo IX de los presentes lineamientos.</w:t>
      </w:r>
    </w:p>
    <w:p w14:paraId="5A935F00" w14:textId="77777777" w:rsidR="00D95EF9" w:rsidRPr="000D6AEA" w:rsidRDefault="00D95EF9" w:rsidP="00D95EF9">
      <w:pPr>
        <w:spacing w:after="0" w:line="240" w:lineRule="auto"/>
        <w:ind w:left="567" w:right="616"/>
        <w:jc w:val="both"/>
        <w:rPr>
          <w:rFonts w:ascii="Palatino Linotype" w:hAnsi="Palatino Linotype" w:cs="Calibri"/>
          <w:b/>
          <w:i/>
          <w:lang w:eastAsia="es-MX"/>
        </w:rPr>
      </w:pPr>
    </w:p>
    <w:p w14:paraId="62B071D1"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b/>
          <w:i/>
          <w:lang w:eastAsia="es-MX"/>
        </w:rPr>
        <w:t>Décimo.</w:t>
      </w:r>
      <w:r w:rsidRPr="000D6AEA">
        <w:rPr>
          <w:rFonts w:ascii="Palatino Linotype" w:hAnsi="Palatino Linotype" w:cs="Calibri"/>
          <w:i/>
          <w:lang w:eastAsia="es-MX"/>
        </w:rPr>
        <w:t xml:space="preserve"> Los titulares de las áreas, deberán tener conocimiento y llevar un registro del personal que, por la naturaleza de sus atribuciones, tenga acceso a los documentos clasificados. Asimismo, deberán asegurarse de que dicho personal cuente con los conocimientos técnicos y legales que le permitan manejar adecuadamente la información clasificada, en los términos de los Lineamientos para la Organización y Conservación de Archivos.</w:t>
      </w:r>
    </w:p>
    <w:p w14:paraId="260B5191" w14:textId="77777777" w:rsidR="00D95EF9" w:rsidRPr="000D6AEA" w:rsidRDefault="00D95EF9" w:rsidP="00D95EF9">
      <w:pPr>
        <w:spacing w:after="0" w:line="240" w:lineRule="auto"/>
        <w:ind w:left="567" w:right="616"/>
        <w:jc w:val="both"/>
        <w:rPr>
          <w:rFonts w:ascii="Palatino Linotype" w:hAnsi="Palatino Linotype" w:cs="Calibri"/>
          <w:i/>
          <w:lang w:eastAsia="es-MX"/>
        </w:rPr>
      </w:pPr>
    </w:p>
    <w:p w14:paraId="1B44FE12"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i/>
          <w:lang w:eastAsia="es-MX"/>
        </w:rPr>
        <w:t>En ausencia de los titulares de las áreas, la información será clasificada o desclasificada por la persona que lo supla, en términos de la normativa que rija la actuación del sujeto obligado.</w:t>
      </w:r>
    </w:p>
    <w:p w14:paraId="40D3BC93" w14:textId="77777777" w:rsidR="00D95EF9" w:rsidRPr="000D6AEA" w:rsidRDefault="00D95EF9" w:rsidP="00D95EF9">
      <w:pPr>
        <w:spacing w:after="0" w:line="240" w:lineRule="auto"/>
        <w:ind w:left="567" w:right="616"/>
        <w:jc w:val="both"/>
        <w:rPr>
          <w:rFonts w:ascii="Palatino Linotype" w:hAnsi="Palatino Linotype" w:cs="Calibri"/>
          <w:b/>
          <w:i/>
          <w:lang w:eastAsia="es-MX"/>
        </w:rPr>
      </w:pPr>
    </w:p>
    <w:p w14:paraId="15F62A8C" w14:textId="77777777" w:rsidR="00D95EF9" w:rsidRPr="000D6AEA" w:rsidRDefault="00D95EF9" w:rsidP="00D95EF9">
      <w:pPr>
        <w:spacing w:after="0" w:line="240" w:lineRule="auto"/>
        <w:ind w:left="567" w:right="616"/>
        <w:jc w:val="both"/>
        <w:rPr>
          <w:rFonts w:ascii="Palatino Linotype" w:hAnsi="Palatino Linotype" w:cs="Calibri"/>
          <w:b/>
          <w:lang w:eastAsia="es-MX"/>
        </w:rPr>
      </w:pPr>
      <w:r w:rsidRPr="000D6AEA">
        <w:rPr>
          <w:rFonts w:ascii="Palatino Linotype" w:hAnsi="Palatino Linotype" w:cs="Calibri"/>
          <w:b/>
          <w:i/>
          <w:lang w:eastAsia="es-MX"/>
        </w:rPr>
        <w:t>Décimo primero.</w:t>
      </w:r>
      <w:r w:rsidRPr="000D6AEA">
        <w:rPr>
          <w:rFonts w:ascii="Palatino Linotype" w:hAnsi="Palatino Linotype" w:cs="Calibri"/>
          <w:i/>
          <w:lang w:eastAsia="es-MX"/>
        </w:rPr>
        <w:t xml:space="preserve"> En el intercambio de información entre Sujetos Obligados para el ejercicio de sus atribuciones, los documentos que se encuentren clasificados deberán llevar la leyenda correspondiente de conformidad con lo dispuesto en el Capítulo VIII de los presentes lineamientos.</w:t>
      </w:r>
    </w:p>
    <w:p w14:paraId="1FCAF9DA" w14:textId="77777777" w:rsidR="00D95EF9" w:rsidRPr="000D6AEA" w:rsidRDefault="00D95EF9" w:rsidP="00D95EF9">
      <w:pPr>
        <w:spacing w:after="0" w:line="360" w:lineRule="auto"/>
        <w:jc w:val="both"/>
        <w:rPr>
          <w:rFonts w:ascii="Palatino Linotype" w:hAnsi="Palatino Linotype" w:cs="Arial"/>
          <w:i/>
          <w:sz w:val="24"/>
          <w:szCs w:val="24"/>
          <w:lang w:eastAsia="es-MX"/>
        </w:rPr>
      </w:pPr>
    </w:p>
    <w:p w14:paraId="48DFF47D"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 xml:space="preserve">De este modo, como ha sido señalado en la presente resolución, en armonía entre los principios constitucionales de máxima publicidad y de protección de datos personales, la Ley de Transparencia y Acceso a la Información Pública del Estado de México y Municipios permite la elaboración de versiones públicas en las que se suprima aquella información relacionada con la vida privada de particulares mediante el debido Acuerdo fundado y motivado en el que el Sujeto Obligado precise las razones objetivas por las que la apertura de la información generaría una afectación, asimismo, es claro que éste debe aplicar de manera restrictiva y limitada las hipótesis de clasificación y no hacerlas valer de manera general. Es importante señalar que, para acreditar dichos </w:t>
      </w:r>
      <w:r w:rsidRPr="000D6AEA">
        <w:rPr>
          <w:rFonts w:ascii="Palatino Linotype" w:hAnsi="Palatino Linotype" w:cs="Calibri"/>
          <w:sz w:val="24"/>
          <w:szCs w:val="24"/>
          <w:lang w:eastAsia="es-MX"/>
        </w:rPr>
        <w:lastRenderedPageBreak/>
        <w:t>supuestos jurídicos se debe fundar y motivar correctamente la categorización de la información.</w:t>
      </w:r>
    </w:p>
    <w:p w14:paraId="52B34683" w14:textId="77777777" w:rsidR="00D95EF9" w:rsidRPr="000D6AEA" w:rsidRDefault="00D95EF9" w:rsidP="00D95EF9">
      <w:pPr>
        <w:spacing w:after="0" w:line="360" w:lineRule="auto"/>
        <w:rPr>
          <w:rFonts w:ascii="Palatino Linotype" w:hAnsi="Palatino Linotype" w:cs="Calibri"/>
          <w:sz w:val="24"/>
          <w:szCs w:val="24"/>
          <w:lang w:eastAsia="es-MX"/>
        </w:rPr>
      </w:pPr>
    </w:p>
    <w:p w14:paraId="42A4E708"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Por tanto, la fundamentación y motivación consiste en la obligación que tiene todo ente público de expresar los preceptos jurídicos aplicables al asunto motivo del acto y las razones o argumentos de su actuar. Al respecto, el máximo tribunal del país ha establecido jurisprudencia respecto a qué debe entenderse por fundamentación y motivación, en los siguientes términos:</w:t>
      </w:r>
    </w:p>
    <w:p w14:paraId="4B3FF6C5" w14:textId="77777777" w:rsidR="00D95EF9" w:rsidRPr="000D6AEA" w:rsidRDefault="00D95EF9" w:rsidP="00D95EF9">
      <w:pPr>
        <w:spacing w:after="0" w:line="360" w:lineRule="auto"/>
        <w:rPr>
          <w:rFonts w:ascii="Palatino Linotype" w:hAnsi="Palatino Linotype" w:cs="Calibri"/>
          <w:sz w:val="24"/>
          <w:szCs w:val="24"/>
          <w:lang w:eastAsia="es-MX"/>
        </w:rPr>
      </w:pPr>
    </w:p>
    <w:p w14:paraId="6FEACDBD" w14:textId="77777777" w:rsidR="00D95EF9" w:rsidRPr="000D6AEA" w:rsidRDefault="00D95EF9" w:rsidP="00D95EF9">
      <w:pPr>
        <w:spacing w:after="0" w:line="240" w:lineRule="auto"/>
        <w:ind w:left="567" w:right="616"/>
        <w:jc w:val="both"/>
        <w:rPr>
          <w:rFonts w:ascii="Palatino Linotype" w:hAnsi="Palatino Linotype" w:cs="Calibri"/>
          <w:b/>
          <w:i/>
          <w:lang w:eastAsia="es-MX"/>
        </w:rPr>
      </w:pPr>
      <w:r w:rsidRPr="000D6AEA">
        <w:rPr>
          <w:rFonts w:ascii="Palatino Linotype" w:hAnsi="Palatino Linotype" w:cs="Calibri"/>
          <w:b/>
          <w:i/>
          <w:lang w:eastAsia="es-MX"/>
        </w:rPr>
        <w:t xml:space="preserve">FUNDAMENTACIÓN Y MOTIVACIÓN. </w:t>
      </w:r>
    </w:p>
    <w:p w14:paraId="1DE3B443"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i/>
          <w:lang w:eastAsia="es-MX"/>
        </w:rPr>
        <w:t>La debida fundamentación y motivación legal, deben entenderse, por lo primero, la cita del precepto legal aplicable al caso, y por lo segundo, las razones, motivos o circunstancias especiales que llevaron a la autoridad a concluir que el caso particular encuadra en el supuesto previsto por la norma legal invocada como fundamento.</w:t>
      </w:r>
    </w:p>
    <w:p w14:paraId="438737B2" w14:textId="77777777" w:rsidR="00D95EF9" w:rsidRPr="000D6AEA" w:rsidRDefault="00D95EF9" w:rsidP="00D95EF9">
      <w:pPr>
        <w:spacing w:after="0" w:line="360" w:lineRule="auto"/>
        <w:rPr>
          <w:rFonts w:ascii="Palatino Linotype" w:hAnsi="Palatino Linotype" w:cs="Calibri"/>
          <w:sz w:val="24"/>
          <w:szCs w:val="24"/>
          <w:lang w:eastAsia="es-MX"/>
        </w:rPr>
      </w:pPr>
    </w:p>
    <w:p w14:paraId="35707AD6"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Así, en un acto de autoridad se surte la debida fundamentación cuando se cita el precepto legal aplicable al caso concreto y la debida motivación cuando se expresan las razones, motivos o circunstancias que tomó en cuenta la autoridad para adecuar el hecho a los fundamentos de derecho. Más aún, a través de diversa jurisprudencia dictada por el Poder Judicial de la Federación se sostiene que la finalidad de la fundamentación o motivación es la de explicar, justificar, posibilitar la defensa y comunicar la decisión de la autoridad:</w:t>
      </w:r>
    </w:p>
    <w:p w14:paraId="37252F0C" w14:textId="77777777" w:rsidR="00D95EF9" w:rsidRPr="000D6AEA" w:rsidRDefault="00D95EF9" w:rsidP="00D95EF9">
      <w:pPr>
        <w:spacing w:after="0" w:line="360" w:lineRule="auto"/>
        <w:rPr>
          <w:rFonts w:ascii="Palatino Linotype" w:hAnsi="Palatino Linotype" w:cs="Calibri"/>
          <w:sz w:val="24"/>
          <w:szCs w:val="24"/>
          <w:lang w:eastAsia="es-MX"/>
        </w:rPr>
      </w:pPr>
    </w:p>
    <w:p w14:paraId="288AA7E4"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b/>
          <w:i/>
          <w:lang w:eastAsia="es-MX"/>
        </w:rPr>
        <w:t>FUNDAMENTACIÓN Y MOTIVACIÓN. EL ASPECTO FORMAL DE LA GARANTÍA Y SU FINALIDAD SE TRADUCEN EN EXPLICAR, JUSTIFICAR, POSIBILITAR LA DEFENSA Y COMUNICAR LA DECISIÓN</w:t>
      </w:r>
      <w:r w:rsidRPr="000D6AEA">
        <w:rPr>
          <w:rFonts w:ascii="Palatino Linotype" w:hAnsi="Palatino Linotype" w:cs="Calibri"/>
          <w:i/>
          <w:lang w:eastAsia="es-MX"/>
        </w:rPr>
        <w:t xml:space="preserve">. </w:t>
      </w:r>
    </w:p>
    <w:p w14:paraId="6A57A912" w14:textId="77777777" w:rsidR="00D95EF9" w:rsidRPr="000D6AEA" w:rsidRDefault="00D95EF9" w:rsidP="00D95EF9">
      <w:pPr>
        <w:spacing w:after="0" w:line="240" w:lineRule="auto"/>
        <w:ind w:left="567" w:right="616"/>
        <w:jc w:val="both"/>
        <w:rPr>
          <w:rFonts w:ascii="Palatino Linotype" w:hAnsi="Palatino Linotype" w:cs="Calibri"/>
          <w:i/>
          <w:lang w:eastAsia="es-MX"/>
        </w:rPr>
      </w:pPr>
      <w:r w:rsidRPr="000D6AEA">
        <w:rPr>
          <w:rFonts w:ascii="Palatino Linotype" w:hAnsi="Palatino Linotype" w:cs="Calibri"/>
          <w:i/>
          <w:lang w:eastAsia="es-MX"/>
        </w:rPr>
        <w:lastRenderedPageBreak/>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3FFE102D" w14:textId="77777777" w:rsidR="00D95EF9" w:rsidRPr="000D6AEA" w:rsidRDefault="00D95EF9" w:rsidP="00D95EF9">
      <w:pPr>
        <w:spacing w:after="0" w:line="360" w:lineRule="auto"/>
        <w:jc w:val="both"/>
        <w:rPr>
          <w:rFonts w:ascii="Palatino Linotype" w:hAnsi="Palatino Linotype" w:cs="Calibri"/>
          <w:sz w:val="24"/>
          <w:szCs w:val="24"/>
          <w:lang w:eastAsia="es-MX"/>
        </w:rPr>
      </w:pPr>
    </w:p>
    <w:p w14:paraId="10BF52C3" w14:textId="77777777" w:rsidR="00D95EF9" w:rsidRPr="000D6AEA" w:rsidRDefault="00D95EF9" w:rsidP="00D95EF9">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En consecuencia, la fundamentación y motivación implica que en el acto de autoridad, además de contenerse los supuestos jurídicos aplicables se expliquen claramente, por qué, a través de la utilización de la norma se emitió el acto. De este modo, la persona que se siente afectada pueda impugnar la decisión, permitiéndole una real y auténtica defensa.</w:t>
      </w:r>
    </w:p>
    <w:p w14:paraId="16D6B019" w14:textId="77777777" w:rsidR="00D95EF9" w:rsidRPr="000D6AEA" w:rsidRDefault="00D95EF9" w:rsidP="00D95EF9">
      <w:pPr>
        <w:spacing w:after="0" w:line="360" w:lineRule="auto"/>
        <w:jc w:val="both"/>
        <w:rPr>
          <w:rFonts w:ascii="Palatino Linotype" w:hAnsi="Palatino Linotype" w:cs="Calibri"/>
          <w:sz w:val="24"/>
          <w:szCs w:val="24"/>
          <w:lang w:eastAsia="es-MX"/>
        </w:rPr>
      </w:pPr>
    </w:p>
    <w:p w14:paraId="5BAA508A" w14:textId="4C410C3C" w:rsidR="00B57B32" w:rsidRPr="000D6AEA" w:rsidRDefault="00D95EF9" w:rsidP="006920EF">
      <w:pPr>
        <w:spacing w:after="0" w:line="360" w:lineRule="auto"/>
        <w:jc w:val="both"/>
        <w:rPr>
          <w:rFonts w:ascii="Palatino Linotype" w:hAnsi="Palatino Linotype" w:cs="Calibri"/>
          <w:sz w:val="24"/>
          <w:szCs w:val="24"/>
          <w:lang w:eastAsia="es-MX"/>
        </w:rPr>
      </w:pPr>
      <w:r w:rsidRPr="000D6AEA">
        <w:rPr>
          <w:rFonts w:ascii="Palatino Linotype" w:hAnsi="Palatino Linotype" w:cs="Calibri"/>
          <w:sz w:val="24"/>
          <w:szCs w:val="24"/>
          <w:lang w:eastAsia="es-MX"/>
        </w:rPr>
        <w:t>Por lo tanto, la entrega de documentos en su versión pública debe acompañarse necesariamente del Acuerdo del Comité de Transparencia del Sujeto Obligado</w:t>
      </w:r>
      <w:r w:rsidRPr="000D6AEA">
        <w:rPr>
          <w:rFonts w:ascii="Palatino Linotype" w:hAnsi="Palatino Linotype" w:cs="Calibri"/>
          <w:b/>
          <w:sz w:val="24"/>
          <w:szCs w:val="24"/>
          <w:lang w:eastAsia="es-MX"/>
        </w:rPr>
        <w:t xml:space="preserve"> </w:t>
      </w:r>
      <w:r w:rsidRPr="000D6AEA">
        <w:rPr>
          <w:rFonts w:ascii="Palatino Linotype" w:hAnsi="Palatino Linotype" w:cs="Calibri"/>
          <w:sz w:val="24"/>
          <w:szCs w:val="24"/>
          <w:lang w:eastAsia="es-MX"/>
        </w:rPr>
        <w:t xml:space="preserve">que la sustente, en el que se expongan los fundamentos y razones que llevaron a la autoridad a testar, suprimir o eliminar datos de dicho soporte documental, ya que el no hacerlo implica que lo entregado no es legal ni formalmente una versión pública, sino más bien una documentación ilegible, incompleta o tachada; pues no señalar las razones por las que no se aprecian determinados datos, ya sea porque se testan o suprimen, deja al </w:t>
      </w:r>
      <w:r w:rsidRPr="000D6AEA">
        <w:rPr>
          <w:rFonts w:ascii="Palatino Linotype" w:hAnsi="Palatino Linotype" w:cs="Calibri"/>
          <w:sz w:val="24"/>
          <w:szCs w:val="24"/>
          <w:lang w:eastAsia="es-MX"/>
        </w:rPr>
        <w:lastRenderedPageBreak/>
        <w:t>solicitante en estado de incertidumbre, al no conocer o comprender porque no aparecen en la documentación respectiva, es decir, si no se exponen de manera puntual las razones de ello se estaría violentando desde un inicio el derecho de acceso a la información de la solicitante.</w:t>
      </w:r>
    </w:p>
    <w:p w14:paraId="60727623" w14:textId="77777777" w:rsidR="00D95EF9" w:rsidRPr="000D6AEA" w:rsidRDefault="00D95EF9" w:rsidP="006920EF">
      <w:pPr>
        <w:spacing w:after="0" w:line="360" w:lineRule="auto"/>
        <w:jc w:val="both"/>
        <w:rPr>
          <w:rFonts w:ascii="Palatino Linotype" w:hAnsi="Palatino Linotype" w:cs="Arial"/>
        </w:rPr>
      </w:pPr>
    </w:p>
    <w:p w14:paraId="2FE09FD7" w14:textId="607822C2" w:rsidR="00B57B32" w:rsidRPr="000D6AEA" w:rsidRDefault="000A5A65" w:rsidP="006920EF">
      <w:pPr>
        <w:spacing w:after="0" w:line="360" w:lineRule="auto"/>
        <w:jc w:val="both"/>
        <w:rPr>
          <w:rFonts w:ascii="Palatino Linotype" w:eastAsia="Calibri" w:hAnsi="Palatino Linotype"/>
          <w:sz w:val="24"/>
          <w:szCs w:val="24"/>
        </w:rPr>
      </w:pPr>
      <w:r w:rsidRPr="000D6AEA">
        <w:rPr>
          <w:rFonts w:ascii="Palatino Linotype" w:eastAsia="Calibri" w:hAnsi="Palatino Linotype" w:cs="Arial"/>
          <w:sz w:val="24"/>
          <w:szCs w:val="24"/>
          <w:lang w:eastAsia="es-MX"/>
        </w:rPr>
        <w:t>Final</w:t>
      </w:r>
      <w:r w:rsidRPr="000D6AEA">
        <w:rPr>
          <w:rFonts w:ascii="Palatino Linotype" w:eastAsia="Calibri" w:hAnsi="Palatino Linotype"/>
          <w:sz w:val="24"/>
          <w:szCs w:val="24"/>
        </w:rPr>
        <w:t>mente,</w:t>
      </w:r>
      <w:r w:rsidR="00B57B32" w:rsidRPr="000D6AEA">
        <w:rPr>
          <w:rFonts w:ascii="Palatino Linotype" w:eastAsia="Calibri" w:hAnsi="Palatino Linotype"/>
          <w:sz w:val="24"/>
          <w:szCs w:val="24"/>
        </w:rPr>
        <w:t xml:space="preserve"> y en mérito de lo expuesto en líneas anteriores, resultan </w:t>
      </w:r>
      <w:r w:rsidR="00CB6BCF" w:rsidRPr="000D6AEA">
        <w:rPr>
          <w:rFonts w:ascii="Palatino Linotype" w:eastAsia="Calibri" w:hAnsi="Palatino Linotype"/>
          <w:sz w:val="24"/>
          <w:szCs w:val="24"/>
        </w:rPr>
        <w:t xml:space="preserve">parcialmente </w:t>
      </w:r>
      <w:r w:rsidR="00B57B32" w:rsidRPr="000D6AEA">
        <w:rPr>
          <w:rFonts w:ascii="Palatino Linotype" w:eastAsia="Calibri" w:hAnsi="Palatino Linotype"/>
          <w:sz w:val="24"/>
          <w:szCs w:val="24"/>
        </w:rPr>
        <w:t xml:space="preserve">fundados los motivos de inconformidad vertidos por </w:t>
      </w:r>
      <w:r w:rsidR="007C6FE7" w:rsidRPr="000D6AEA">
        <w:rPr>
          <w:rFonts w:ascii="Palatino Linotype" w:eastAsia="Calibri" w:hAnsi="Palatino Linotype"/>
          <w:b/>
          <w:bCs/>
          <w:sz w:val="24"/>
          <w:szCs w:val="24"/>
        </w:rPr>
        <w:t>el</w:t>
      </w:r>
      <w:r w:rsidR="00B57B32" w:rsidRPr="000D6AEA">
        <w:rPr>
          <w:rFonts w:ascii="Palatino Linotype" w:eastAsia="Calibri" w:hAnsi="Palatino Linotype"/>
          <w:sz w:val="24"/>
          <w:szCs w:val="24"/>
        </w:rPr>
        <w:t xml:space="preserve"> </w:t>
      </w:r>
      <w:r w:rsidR="00B57B32" w:rsidRPr="000D6AEA">
        <w:rPr>
          <w:rFonts w:ascii="Palatino Linotype" w:eastAsia="Calibri" w:hAnsi="Palatino Linotype"/>
          <w:b/>
          <w:sz w:val="24"/>
          <w:szCs w:val="24"/>
        </w:rPr>
        <w:t>Recurrente</w:t>
      </w:r>
      <w:r w:rsidR="00B57B32" w:rsidRPr="000D6AEA">
        <w:rPr>
          <w:rFonts w:ascii="Palatino Linotype" w:eastAsia="Calibri" w:hAnsi="Palatino Linotype"/>
          <w:sz w:val="24"/>
          <w:szCs w:val="24"/>
        </w:rPr>
        <w:t xml:space="preserve">, por ello con fundamento en el artículo 186 fracción III de la Ley de Transparencia y Acceso a la Información Pública del Estado de México y Municipios, se </w:t>
      </w:r>
      <w:r w:rsidR="00B57B32" w:rsidRPr="000D6AEA">
        <w:rPr>
          <w:rFonts w:ascii="Palatino Linotype" w:eastAsia="Calibri" w:hAnsi="Palatino Linotype"/>
          <w:b/>
          <w:sz w:val="24"/>
          <w:szCs w:val="24"/>
        </w:rPr>
        <w:t xml:space="preserve">MODIFICA </w:t>
      </w:r>
      <w:r w:rsidR="00B57B32" w:rsidRPr="000D6AEA">
        <w:rPr>
          <w:rFonts w:ascii="Palatino Linotype" w:eastAsia="Calibri" w:hAnsi="Palatino Linotype"/>
          <w:sz w:val="24"/>
          <w:szCs w:val="24"/>
        </w:rPr>
        <w:t xml:space="preserve">la respuesta a la solicitud de información </w:t>
      </w:r>
      <w:r w:rsidR="000A2C6D" w:rsidRPr="000D6AEA">
        <w:rPr>
          <w:rFonts w:ascii="Palatino Linotype" w:eastAsia="Calibri" w:hAnsi="Palatino Linotype" w:cs="Arial"/>
          <w:b/>
          <w:sz w:val="24"/>
          <w:szCs w:val="24"/>
        </w:rPr>
        <w:t>00011/DIFJUCHITEPEC/IP/2026</w:t>
      </w:r>
      <w:r w:rsidR="00B57B32" w:rsidRPr="000D6AEA">
        <w:rPr>
          <w:rFonts w:ascii="Palatino Linotype" w:eastAsia="Calibri" w:hAnsi="Palatino Linotype" w:cs="Arial"/>
          <w:b/>
          <w:sz w:val="24"/>
          <w:szCs w:val="24"/>
        </w:rPr>
        <w:t xml:space="preserve">, </w:t>
      </w:r>
      <w:r w:rsidR="00B57B32" w:rsidRPr="000D6AEA">
        <w:rPr>
          <w:rFonts w:ascii="Palatino Linotype" w:eastAsia="Calibri" w:hAnsi="Palatino Linotype"/>
          <w:sz w:val="24"/>
          <w:szCs w:val="24"/>
        </w:rPr>
        <w:t>que ha sido materia del presente fallo.</w:t>
      </w:r>
    </w:p>
    <w:p w14:paraId="48568F33" w14:textId="77777777" w:rsidR="00140DDF" w:rsidRPr="000D6AEA" w:rsidRDefault="00140DDF" w:rsidP="006920EF">
      <w:pPr>
        <w:autoSpaceDE w:val="0"/>
        <w:autoSpaceDN w:val="0"/>
        <w:adjustRightInd w:val="0"/>
        <w:spacing w:after="0" w:line="360" w:lineRule="auto"/>
        <w:jc w:val="both"/>
        <w:rPr>
          <w:rFonts w:ascii="Palatino Linotype" w:hAnsi="Palatino Linotype" w:cs="Arial"/>
          <w:sz w:val="24"/>
          <w:szCs w:val="24"/>
        </w:rPr>
      </w:pPr>
    </w:p>
    <w:p w14:paraId="3BDEE55C" w14:textId="51602705" w:rsidR="006A2320" w:rsidRPr="000D6AEA" w:rsidRDefault="00B57B32" w:rsidP="006920EF">
      <w:pPr>
        <w:spacing w:after="0" w:line="360" w:lineRule="auto"/>
        <w:jc w:val="both"/>
        <w:rPr>
          <w:rFonts w:ascii="Palatino Linotype" w:eastAsia="Calibri" w:hAnsi="Palatino Linotype"/>
          <w:sz w:val="24"/>
          <w:szCs w:val="24"/>
        </w:rPr>
      </w:pPr>
      <w:r w:rsidRPr="000D6AEA">
        <w:rPr>
          <w:rFonts w:ascii="Palatino Linotype" w:eastAsia="Calibri" w:hAnsi="Palatino Linotype"/>
          <w:sz w:val="24"/>
          <w:szCs w:val="24"/>
        </w:rPr>
        <w:t xml:space="preserve">Por lo antes expuesto y fundado. </w:t>
      </w:r>
    </w:p>
    <w:p w14:paraId="7111D109" w14:textId="77777777" w:rsidR="006A2320" w:rsidRPr="000D6AEA" w:rsidRDefault="006A2320" w:rsidP="006920EF">
      <w:pPr>
        <w:widowControl w:val="0"/>
        <w:spacing w:after="0" w:line="360" w:lineRule="auto"/>
        <w:ind w:left="20"/>
        <w:jc w:val="both"/>
        <w:rPr>
          <w:rFonts w:ascii="Palatino Linotype" w:hAnsi="Palatino Linotype"/>
        </w:rPr>
      </w:pPr>
    </w:p>
    <w:p w14:paraId="538D4592" w14:textId="77777777" w:rsidR="006A2320" w:rsidRPr="000D6AEA" w:rsidRDefault="006A2320" w:rsidP="006920EF">
      <w:pPr>
        <w:spacing w:after="0" w:line="360" w:lineRule="auto"/>
        <w:jc w:val="center"/>
        <w:rPr>
          <w:rFonts w:ascii="Palatino Linotype" w:eastAsia="Calibri" w:hAnsi="Palatino Linotype"/>
          <w:b/>
          <w:sz w:val="28"/>
          <w:lang w:val="pt-BR"/>
        </w:rPr>
      </w:pPr>
      <w:r w:rsidRPr="000D6AEA">
        <w:rPr>
          <w:rFonts w:ascii="Palatino Linotype" w:eastAsia="Calibri" w:hAnsi="Palatino Linotype"/>
          <w:b/>
          <w:sz w:val="28"/>
          <w:lang w:val="pt-BR"/>
        </w:rPr>
        <w:t>S E   R E S U E L V E</w:t>
      </w:r>
    </w:p>
    <w:p w14:paraId="6DB2E341" w14:textId="77777777" w:rsidR="006A2320" w:rsidRPr="000D6AEA" w:rsidRDefault="006A2320" w:rsidP="006920EF">
      <w:pPr>
        <w:spacing w:after="0" w:line="360" w:lineRule="auto"/>
        <w:jc w:val="center"/>
        <w:rPr>
          <w:rFonts w:ascii="Palatino Linotype" w:eastAsia="Calibri" w:hAnsi="Palatino Linotype"/>
          <w:b/>
          <w:lang w:val="pt-BR"/>
        </w:rPr>
      </w:pPr>
    </w:p>
    <w:p w14:paraId="79A03E86" w14:textId="1F53D920" w:rsidR="00B57B32" w:rsidRPr="000D6AEA" w:rsidRDefault="006A2320" w:rsidP="006920EF">
      <w:pPr>
        <w:autoSpaceDE w:val="0"/>
        <w:autoSpaceDN w:val="0"/>
        <w:adjustRightInd w:val="0"/>
        <w:spacing w:after="0" w:line="360" w:lineRule="auto"/>
        <w:ind w:right="49"/>
        <w:jc w:val="both"/>
        <w:rPr>
          <w:rFonts w:ascii="Palatino Linotype" w:eastAsia="Calibri" w:hAnsi="Palatino Linotype" w:cs="Arial"/>
          <w:sz w:val="24"/>
          <w:szCs w:val="24"/>
        </w:rPr>
      </w:pPr>
      <w:r w:rsidRPr="000D6AEA">
        <w:rPr>
          <w:rFonts w:ascii="Palatino Linotype" w:eastAsia="Calibri" w:hAnsi="Palatino Linotype" w:cs="Arial"/>
          <w:b/>
          <w:sz w:val="28"/>
        </w:rPr>
        <w:t>PRIMERO</w:t>
      </w:r>
      <w:r w:rsidRPr="000D6AEA">
        <w:rPr>
          <w:rFonts w:ascii="Palatino Linotype" w:eastAsia="Calibri" w:hAnsi="Palatino Linotype" w:cs="Arial"/>
          <w:b/>
        </w:rPr>
        <w:t xml:space="preserve">. </w:t>
      </w:r>
      <w:r w:rsidR="00B57B32" w:rsidRPr="000D6AEA">
        <w:rPr>
          <w:rFonts w:ascii="Palatino Linotype" w:eastAsia="Calibri" w:hAnsi="Palatino Linotype" w:cs="Arial"/>
          <w:sz w:val="24"/>
          <w:szCs w:val="24"/>
        </w:rPr>
        <w:t>Se</w:t>
      </w:r>
      <w:r w:rsidR="00B57B32" w:rsidRPr="000D6AEA">
        <w:rPr>
          <w:rFonts w:ascii="Palatino Linotype" w:eastAsia="Calibri" w:hAnsi="Palatino Linotype" w:cs="Arial"/>
          <w:b/>
          <w:sz w:val="24"/>
          <w:szCs w:val="24"/>
        </w:rPr>
        <w:t xml:space="preserve"> MODIFICA </w:t>
      </w:r>
      <w:r w:rsidR="00B57B32" w:rsidRPr="000D6AEA">
        <w:rPr>
          <w:rFonts w:ascii="Palatino Linotype" w:eastAsia="Calibri" w:hAnsi="Palatino Linotype" w:cs="Arial"/>
          <w:sz w:val="24"/>
          <w:szCs w:val="24"/>
        </w:rPr>
        <w:t xml:space="preserve">la respuesta entregada por </w:t>
      </w:r>
      <w:r w:rsidR="00B57B32" w:rsidRPr="000D6AEA">
        <w:rPr>
          <w:rFonts w:ascii="Palatino Linotype" w:eastAsia="Calibri" w:hAnsi="Palatino Linotype" w:cs="Arial"/>
          <w:b/>
          <w:bCs/>
          <w:sz w:val="24"/>
          <w:szCs w:val="24"/>
        </w:rPr>
        <w:t>El</w:t>
      </w:r>
      <w:r w:rsidR="00B57B32" w:rsidRPr="000D6AEA">
        <w:rPr>
          <w:rFonts w:ascii="Palatino Linotype" w:eastAsia="Calibri" w:hAnsi="Palatino Linotype" w:cs="Arial"/>
          <w:sz w:val="24"/>
          <w:szCs w:val="24"/>
        </w:rPr>
        <w:t xml:space="preserve"> </w:t>
      </w:r>
      <w:r w:rsidR="00B57B32" w:rsidRPr="000D6AEA">
        <w:rPr>
          <w:rFonts w:ascii="Palatino Linotype" w:eastAsia="Calibri" w:hAnsi="Palatino Linotype" w:cs="Arial"/>
          <w:b/>
          <w:sz w:val="24"/>
          <w:szCs w:val="24"/>
        </w:rPr>
        <w:t>Sujeto Obligado</w:t>
      </w:r>
      <w:r w:rsidR="00B57B32" w:rsidRPr="000D6AEA">
        <w:rPr>
          <w:rFonts w:ascii="Palatino Linotype" w:eastAsia="Calibri" w:hAnsi="Palatino Linotype" w:cs="Arial"/>
          <w:sz w:val="24"/>
          <w:szCs w:val="24"/>
        </w:rPr>
        <w:t>,</w:t>
      </w:r>
      <w:r w:rsidR="00B57B32" w:rsidRPr="000D6AEA">
        <w:rPr>
          <w:rFonts w:ascii="Palatino Linotype" w:hAnsi="Palatino Linotype" w:cs="Arial"/>
          <w:sz w:val="24"/>
          <w:szCs w:val="24"/>
        </w:rPr>
        <w:t xml:space="preserve"> a la solicitud de información número </w:t>
      </w:r>
      <w:r w:rsidR="000A2C6D" w:rsidRPr="000D6AEA">
        <w:rPr>
          <w:rFonts w:ascii="Palatino Linotype" w:hAnsi="Palatino Linotype" w:cs="Arial"/>
          <w:b/>
          <w:sz w:val="24"/>
          <w:szCs w:val="24"/>
        </w:rPr>
        <w:t>00011/DIFJUCHITEPEC/IP/2026</w:t>
      </w:r>
      <w:r w:rsidR="00B57B32" w:rsidRPr="000D6AEA">
        <w:rPr>
          <w:rFonts w:ascii="Palatino Linotype" w:hAnsi="Palatino Linotype" w:cs="Arial"/>
          <w:b/>
          <w:sz w:val="24"/>
          <w:szCs w:val="24"/>
        </w:rPr>
        <w:t>,</w:t>
      </w:r>
      <w:r w:rsidR="00B57B32" w:rsidRPr="000D6AEA">
        <w:rPr>
          <w:rFonts w:ascii="Palatino Linotype" w:eastAsia="Calibri" w:hAnsi="Palatino Linotype" w:cs="Arial"/>
          <w:sz w:val="24"/>
          <w:szCs w:val="24"/>
        </w:rPr>
        <w:t xml:space="preserve"> por resultar parcialmente fundados los motivos de inconformidad que arguye el Recurrente, en términos del Considerando </w:t>
      </w:r>
      <w:r w:rsidR="00AE673A" w:rsidRPr="000D6AEA">
        <w:rPr>
          <w:rFonts w:ascii="Palatino Linotype" w:eastAsia="Calibri" w:hAnsi="Palatino Linotype" w:cs="Arial"/>
          <w:b/>
          <w:sz w:val="24"/>
          <w:szCs w:val="24"/>
        </w:rPr>
        <w:t>CUARTO</w:t>
      </w:r>
      <w:r w:rsidR="00B57B32" w:rsidRPr="000D6AEA">
        <w:rPr>
          <w:rFonts w:ascii="Palatino Linotype" w:eastAsia="Calibri" w:hAnsi="Palatino Linotype" w:cs="Arial"/>
          <w:sz w:val="24"/>
          <w:szCs w:val="24"/>
        </w:rPr>
        <w:t xml:space="preserve"> de la presente resolución.</w:t>
      </w:r>
    </w:p>
    <w:p w14:paraId="5F6BCB92" w14:textId="138B987D" w:rsidR="006A2320" w:rsidRPr="000D6AEA" w:rsidRDefault="006A2320" w:rsidP="006920EF">
      <w:pPr>
        <w:tabs>
          <w:tab w:val="left" w:pos="8647"/>
        </w:tabs>
        <w:spacing w:after="0" w:line="360" w:lineRule="auto"/>
        <w:jc w:val="both"/>
        <w:rPr>
          <w:rFonts w:ascii="Palatino Linotype" w:eastAsia="Calibri" w:hAnsi="Palatino Linotype" w:cs="Arial"/>
        </w:rPr>
      </w:pPr>
    </w:p>
    <w:p w14:paraId="4DA2050A" w14:textId="589457B1" w:rsidR="00B57B32" w:rsidRPr="000D6AEA" w:rsidRDefault="00B57B32" w:rsidP="006920EF">
      <w:pPr>
        <w:pStyle w:val="Sinespaciado"/>
        <w:spacing w:line="360" w:lineRule="auto"/>
        <w:jc w:val="both"/>
        <w:rPr>
          <w:rFonts w:ascii="Palatino Linotype" w:hAnsi="Palatino Linotype"/>
          <w:lang w:val="es-ES_tradnl"/>
        </w:rPr>
      </w:pPr>
      <w:r w:rsidRPr="000D6AEA">
        <w:rPr>
          <w:rFonts w:ascii="Palatino Linotype" w:eastAsia="Calibri" w:hAnsi="Palatino Linotype" w:cs="Arial"/>
          <w:b/>
          <w:sz w:val="28"/>
          <w:szCs w:val="28"/>
        </w:rPr>
        <w:lastRenderedPageBreak/>
        <w:t>SEGUNDO.</w:t>
      </w:r>
      <w:r w:rsidRPr="000D6AEA">
        <w:rPr>
          <w:rFonts w:ascii="Palatino Linotype" w:eastAsia="Calibri" w:hAnsi="Palatino Linotype" w:cs="Arial"/>
        </w:rPr>
        <w:t xml:space="preserve"> Se </w:t>
      </w:r>
      <w:r w:rsidRPr="000D6AEA">
        <w:rPr>
          <w:rFonts w:ascii="Palatino Linotype" w:eastAsia="Calibri" w:hAnsi="Palatino Linotype" w:cs="Arial"/>
          <w:b/>
        </w:rPr>
        <w:t xml:space="preserve">ORDENA </w:t>
      </w:r>
      <w:r w:rsidRPr="000D6AEA">
        <w:rPr>
          <w:rFonts w:ascii="Palatino Linotype" w:eastAsia="Calibri" w:hAnsi="Palatino Linotype" w:cs="Arial"/>
        </w:rPr>
        <w:t xml:space="preserve">al </w:t>
      </w:r>
      <w:r w:rsidRPr="000D6AEA">
        <w:rPr>
          <w:rFonts w:ascii="Palatino Linotype" w:eastAsia="Calibri" w:hAnsi="Palatino Linotype" w:cs="Arial"/>
          <w:b/>
        </w:rPr>
        <w:t xml:space="preserve">Sujeto Obligado </w:t>
      </w:r>
      <w:r w:rsidRPr="000D6AEA">
        <w:rPr>
          <w:rFonts w:ascii="Palatino Linotype" w:eastAsia="Calibri" w:hAnsi="Palatino Linotype" w:cs="Arial"/>
        </w:rPr>
        <w:t>haga entrega a</w:t>
      </w:r>
      <w:r w:rsidR="007C6FE7" w:rsidRPr="000D6AEA">
        <w:rPr>
          <w:rFonts w:ascii="Palatino Linotype" w:eastAsia="Calibri" w:hAnsi="Palatino Linotype" w:cs="Arial"/>
        </w:rPr>
        <w:t>l</w:t>
      </w:r>
      <w:r w:rsidR="00FE5B53" w:rsidRPr="000D6AEA">
        <w:rPr>
          <w:rFonts w:ascii="Palatino Linotype" w:eastAsia="Calibri" w:hAnsi="Palatino Linotype" w:cs="Arial"/>
        </w:rPr>
        <w:t xml:space="preserve"> </w:t>
      </w:r>
      <w:r w:rsidRPr="000D6AEA">
        <w:rPr>
          <w:rFonts w:ascii="Palatino Linotype" w:eastAsia="Calibri" w:hAnsi="Palatino Linotype" w:cs="Arial"/>
          <w:b/>
        </w:rPr>
        <w:t xml:space="preserve">Recurrente, </w:t>
      </w:r>
      <w:r w:rsidRPr="000D6AEA">
        <w:rPr>
          <w:rFonts w:ascii="Palatino Linotype" w:eastAsia="Calibri" w:hAnsi="Palatino Linotype" w:cs="Arial"/>
        </w:rPr>
        <w:t>a través del</w:t>
      </w:r>
      <w:r w:rsidR="00690103" w:rsidRPr="000D6AEA">
        <w:rPr>
          <w:rFonts w:ascii="Palatino Linotype" w:eastAsia="Calibri" w:hAnsi="Palatino Linotype" w:cs="Arial"/>
        </w:rPr>
        <w:t xml:space="preserve"> Sistema de Acceso a la Información Mexiquense (</w:t>
      </w:r>
      <w:r w:rsidRPr="000D6AEA">
        <w:rPr>
          <w:rFonts w:ascii="Palatino Linotype" w:eastAsia="Calibri" w:hAnsi="Palatino Linotype" w:cs="Arial"/>
        </w:rPr>
        <w:t>SAIMEX</w:t>
      </w:r>
      <w:r w:rsidR="00690103" w:rsidRPr="000D6AEA">
        <w:rPr>
          <w:rFonts w:ascii="Palatino Linotype" w:eastAsia="Calibri" w:hAnsi="Palatino Linotype" w:cs="Arial"/>
        </w:rPr>
        <w:t>)</w:t>
      </w:r>
      <w:r w:rsidRPr="000D6AEA">
        <w:rPr>
          <w:rFonts w:ascii="Palatino Linotype" w:hAnsi="Palatino Linotype"/>
          <w:lang w:val="es-ES_tradnl"/>
        </w:rPr>
        <w:t xml:space="preserve">, en términos del </w:t>
      </w:r>
      <w:r w:rsidRPr="000D6AEA">
        <w:rPr>
          <w:rFonts w:ascii="Palatino Linotype" w:hAnsi="Palatino Linotype"/>
          <w:bCs/>
          <w:lang w:val="es-ES_tradnl"/>
        </w:rPr>
        <w:t>Considerando</w:t>
      </w:r>
      <w:r w:rsidRPr="000D6AEA">
        <w:rPr>
          <w:rFonts w:ascii="Palatino Linotype" w:hAnsi="Palatino Linotype"/>
          <w:b/>
          <w:lang w:val="es-ES_tradnl"/>
        </w:rPr>
        <w:t xml:space="preserve"> </w:t>
      </w:r>
      <w:r w:rsidR="00AE673A" w:rsidRPr="000D6AEA">
        <w:rPr>
          <w:rFonts w:ascii="Palatino Linotype" w:hAnsi="Palatino Linotype"/>
          <w:b/>
          <w:lang w:val="es-ES_tradnl"/>
        </w:rPr>
        <w:t>CUARTO</w:t>
      </w:r>
      <w:r w:rsidRPr="000D6AEA">
        <w:rPr>
          <w:rFonts w:ascii="Palatino Linotype" w:hAnsi="Palatino Linotype"/>
        </w:rPr>
        <w:t xml:space="preserve"> de la presente resolución</w:t>
      </w:r>
      <w:r w:rsidR="0009342F" w:rsidRPr="000D6AEA">
        <w:rPr>
          <w:rFonts w:ascii="Palatino Linotype" w:hAnsi="Palatino Linotype"/>
          <w:lang w:val="es-ES_tradnl"/>
        </w:rPr>
        <w:t>,</w:t>
      </w:r>
      <w:r w:rsidRPr="000D6AEA">
        <w:rPr>
          <w:rFonts w:ascii="Palatino Linotype" w:hAnsi="Palatino Linotype"/>
          <w:lang w:val="es-ES_tradnl"/>
        </w:rPr>
        <w:t xml:space="preserve"> </w:t>
      </w:r>
      <w:r w:rsidR="00420DD5" w:rsidRPr="000D6AEA">
        <w:rPr>
          <w:rFonts w:ascii="Palatino Linotype" w:hAnsi="Palatino Linotype"/>
          <w:lang w:val="es-ES_tradnl"/>
        </w:rPr>
        <w:t>de</w:t>
      </w:r>
      <w:r w:rsidRPr="000D6AEA">
        <w:rPr>
          <w:rFonts w:ascii="Palatino Linotype" w:hAnsi="Palatino Linotype"/>
          <w:lang w:val="es-ES_tradnl"/>
        </w:rPr>
        <w:t xml:space="preserve"> lo siguiente: </w:t>
      </w:r>
    </w:p>
    <w:p w14:paraId="5BA82E4B" w14:textId="77777777" w:rsidR="00B57B32" w:rsidRPr="000D6AEA" w:rsidRDefault="00B57B32" w:rsidP="006920EF">
      <w:pPr>
        <w:autoSpaceDE w:val="0"/>
        <w:autoSpaceDN w:val="0"/>
        <w:adjustRightInd w:val="0"/>
        <w:spacing w:after="0" w:line="360" w:lineRule="auto"/>
        <w:ind w:right="51"/>
        <w:jc w:val="both"/>
        <w:rPr>
          <w:rFonts w:ascii="Palatino Linotype" w:hAnsi="Palatino Linotype"/>
          <w:sz w:val="24"/>
          <w:szCs w:val="24"/>
          <w:lang w:eastAsia="es-MX"/>
        </w:rPr>
      </w:pPr>
    </w:p>
    <w:p w14:paraId="3FA549F8" w14:textId="76E54A30" w:rsidR="003107DA" w:rsidRPr="000D6AEA" w:rsidRDefault="00D95EF9" w:rsidP="003107DA">
      <w:pPr>
        <w:pStyle w:val="Prrafodelista"/>
        <w:numPr>
          <w:ilvl w:val="0"/>
          <w:numId w:val="40"/>
        </w:numPr>
        <w:jc w:val="both"/>
        <w:rPr>
          <w:rFonts w:ascii="Palatino Linotype" w:hAnsi="Palatino Linotype" w:cstheme="minorBidi"/>
          <w:bCs/>
          <w:i/>
          <w:lang w:val="es-MX"/>
        </w:rPr>
      </w:pPr>
      <w:r w:rsidRPr="000D6AEA">
        <w:rPr>
          <w:rFonts w:ascii="Palatino Linotype" w:hAnsi="Palatino Linotype" w:cstheme="minorBidi"/>
          <w:bCs/>
          <w:i/>
          <w:lang w:val="es-MX"/>
        </w:rPr>
        <w:t xml:space="preserve">La correcta versión pública de </w:t>
      </w:r>
      <w:r w:rsidR="000A2C6D" w:rsidRPr="000D6AEA">
        <w:rPr>
          <w:rFonts w:ascii="Palatino Linotype" w:hAnsi="Palatino Linotype" w:cstheme="minorBidi"/>
          <w:bCs/>
          <w:i/>
          <w:lang w:val="es-MX"/>
        </w:rPr>
        <w:t xml:space="preserve">la nómina general del personal administrativo de la administración 2025-2027, correspondiente a la segunda quincena de abril de 2026, entregada mediante respuesta a la solicitud de información número </w:t>
      </w:r>
      <w:r w:rsidR="000A2C6D" w:rsidRPr="000D6AEA">
        <w:rPr>
          <w:rFonts w:ascii="Palatino Linotype" w:hAnsi="Palatino Linotype" w:cstheme="minorBidi"/>
          <w:b/>
          <w:bCs/>
          <w:i/>
          <w:lang w:val="es-MX"/>
        </w:rPr>
        <w:t>00011/DIFJUCHITEPEC/IP/2026</w:t>
      </w:r>
      <w:r w:rsidR="003107DA" w:rsidRPr="000D6AEA">
        <w:rPr>
          <w:rFonts w:ascii="Palatino Linotype" w:hAnsi="Palatino Linotype" w:cstheme="minorBidi"/>
          <w:bCs/>
          <w:i/>
          <w:lang w:val="es-MX"/>
        </w:rPr>
        <w:t>.</w:t>
      </w:r>
    </w:p>
    <w:p w14:paraId="4937C8D7" w14:textId="7C20C70E" w:rsidR="0026743F" w:rsidRPr="000D6AEA" w:rsidRDefault="0026743F" w:rsidP="00D95EF9">
      <w:pPr>
        <w:spacing w:line="360" w:lineRule="auto"/>
        <w:jc w:val="both"/>
        <w:rPr>
          <w:rFonts w:ascii="Palatino Linotype" w:hAnsi="Palatino Linotype"/>
        </w:rPr>
      </w:pPr>
    </w:p>
    <w:p w14:paraId="3AAFDF00" w14:textId="77777777" w:rsidR="00276A54" w:rsidRPr="000D6AEA" w:rsidRDefault="0026743F" w:rsidP="006920EF">
      <w:pPr>
        <w:spacing w:after="0" w:line="259" w:lineRule="auto"/>
        <w:ind w:left="567"/>
        <w:jc w:val="both"/>
        <w:rPr>
          <w:rFonts w:ascii="Palatino Linotype" w:eastAsia="Calibri" w:hAnsi="Palatino Linotype" w:cs="Times New Roman"/>
          <w:i/>
          <w:szCs w:val="28"/>
        </w:rPr>
      </w:pPr>
      <w:r w:rsidRPr="000D6AEA">
        <w:rPr>
          <w:rFonts w:ascii="Palatino Linotype" w:eastAsia="Calibri" w:hAnsi="Palatino Linotype" w:cs="Times New Roman"/>
          <w:i/>
          <w:szCs w:val="28"/>
        </w:rPr>
        <w:t>Para la entrega en versión pública deberá emitir el Acuerdo del Comité de Transparencia en términos de los artículos 49, fracción VIII y 132 fracción II de la Ley de Transparencia y Acceso a la Información Pública del Estado de México y Municipios, en el que funde y motive las razones sobre los datos que se supriman o eliminen y se pong</w:t>
      </w:r>
      <w:r w:rsidR="00831930" w:rsidRPr="000D6AEA">
        <w:rPr>
          <w:rFonts w:ascii="Palatino Linotype" w:eastAsia="Calibri" w:hAnsi="Palatino Linotype" w:cs="Times New Roman"/>
          <w:i/>
          <w:szCs w:val="28"/>
        </w:rPr>
        <w:t>a a disposición del recurrente.</w:t>
      </w:r>
    </w:p>
    <w:p w14:paraId="25A9E00D" w14:textId="77777777" w:rsidR="00276A54" w:rsidRPr="000D6AEA" w:rsidRDefault="00276A54" w:rsidP="006920EF">
      <w:pPr>
        <w:spacing w:after="0" w:line="259" w:lineRule="auto"/>
        <w:ind w:left="567"/>
        <w:jc w:val="both"/>
        <w:rPr>
          <w:rFonts w:ascii="Palatino Linotype" w:eastAsia="Calibri" w:hAnsi="Palatino Linotype" w:cs="Times New Roman"/>
          <w:i/>
          <w:szCs w:val="28"/>
        </w:rPr>
      </w:pPr>
    </w:p>
    <w:p w14:paraId="574E2F58" w14:textId="77777777" w:rsidR="00172DB1" w:rsidRPr="000D6AEA" w:rsidRDefault="00172DB1" w:rsidP="006920EF">
      <w:pPr>
        <w:spacing w:after="0" w:line="259" w:lineRule="auto"/>
        <w:ind w:left="567"/>
        <w:jc w:val="both"/>
        <w:rPr>
          <w:rFonts w:ascii="Palatino Linotype" w:eastAsia="Calibri" w:hAnsi="Palatino Linotype" w:cs="Times New Roman"/>
          <w:i/>
          <w:szCs w:val="28"/>
        </w:rPr>
      </w:pPr>
    </w:p>
    <w:p w14:paraId="5793924E" w14:textId="5FEC5477" w:rsidR="00B57B32" w:rsidRPr="000D6AEA" w:rsidRDefault="00B57B32" w:rsidP="006920EF">
      <w:pPr>
        <w:autoSpaceDE w:val="0"/>
        <w:autoSpaceDN w:val="0"/>
        <w:adjustRightInd w:val="0"/>
        <w:spacing w:after="0" w:line="360" w:lineRule="auto"/>
        <w:ind w:right="49"/>
        <w:jc w:val="both"/>
        <w:rPr>
          <w:rFonts w:ascii="Palatino Linotype" w:eastAsia="Calibri" w:hAnsi="Palatino Linotype" w:cs="Arial"/>
          <w:sz w:val="24"/>
          <w:szCs w:val="24"/>
        </w:rPr>
      </w:pPr>
      <w:r w:rsidRPr="000D6AEA">
        <w:rPr>
          <w:rFonts w:ascii="Palatino Linotype" w:eastAsia="Calibri" w:hAnsi="Palatino Linotype" w:cs="Arial"/>
          <w:b/>
          <w:sz w:val="28"/>
          <w:szCs w:val="28"/>
        </w:rPr>
        <w:t>TERCERO.</w:t>
      </w:r>
      <w:r w:rsidRPr="000D6AEA">
        <w:rPr>
          <w:rFonts w:ascii="Palatino Linotype" w:eastAsia="Calibri" w:hAnsi="Palatino Linotype" w:cs="Arial"/>
          <w:b/>
        </w:rPr>
        <w:t xml:space="preserve"> </w:t>
      </w:r>
      <w:r w:rsidR="003107DA" w:rsidRPr="000D6AEA">
        <w:rPr>
          <w:rFonts w:ascii="Palatino Linotype" w:hAnsi="Palatino Linotype" w:cs="Tahoma"/>
          <w:b/>
          <w:sz w:val="24"/>
          <w:szCs w:val="24"/>
          <w:lang w:val="es-ES_tradnl" w:eastAsia="es-ES"/>
        </w:rPr>
        <w:t xml:space="preserve">NOTIFÍQUESE </w:t>
      </w:r>
      <w:r w:rsidR="003107DA" w:rsidRPr="000D6AEA">
        <w:rPr>
          <w:rFonts w:ascii="Palatino Linotype" w:hAnsi="Palatino Linotype" w:cs="Tahoma"/>
          <w:sz w:val="24"/>
          <w:szCs w:val="24"/>
          <w:lang w:val="es-ES_tradnl" w:eastAsia="es-ES"/>
        </w:rPr>
        <w:t>la presente resolución al Titular de la Unidad de Transparencia del Sujeto Obligado</w:t>
      </w:r>
      <w:r w:rsidR="003107DA" w:rsidRPr="000D6AEA">
        <w:rPr>
          <w:rFonts w:ascii="Palatino Linotype" w:hAnsi="Palatino Linotype" w:cs="Arial"/>
          <w:sz w:val="24"/>
          <w:szCs w:val="24"/>
          <w:lang w:val="es-ES" w:eastAsia="es-ES"/>
        </w:rPr>
        <w:t xml:space="preserve"> a través del Sistema de Acceso a la Información Mexiquense </w:t>
      </w:r>
      <w:r w:rsidR="003107DA" w:rsidRPr="000D6AEA">
        <w:rPr>
          <w:rFonts w:ascii="Palatino Linotype" w:hAnsi="Palatino Linotype" w:cs="Arial"/>
          <w:b/>
          <w:sz w:val="24"/>
          <w:szCs w:val="24"/>
          <w:lang w:val="es-ES" w:eastAsia="es-ES"/>
        </w:rPr>
        <w:t>(SAIMEX)</w:t>
      </w:r>
      <w:r w:rsidR="003107DA" w:rsidRPr="000D6AEA">
        <w:rPr>
          <w:rFonts w:ascii="Palatino Linotype" w:hAnsi="Palatino Linotype" w:cs="Tahoma"/>
          <w:sz w:val="24"/>
          <w:szCs w:val="24"/>
          <w:lang w:val="es-ES_tradnl" w:eastAsia="es-ES"/>
        </w:rPr>
        <w:t>, para que conforme al artículo 186 último párrafo, 189 segundo párrafo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2E6197DB" w14:textId="710B7BD4" w:rsidR="00970E3E" w:rsidRPr="000D6AEA" w:rsidRDefault="00970E3E" w:rsidP="006920EF">
      <w:pPr>
        <w:autoSpaceDE w:val="0"/>
        <w:autoSpaceDN w:val="0"/>
        <w:adjustRightInd w:val="0"/>
        <w:spacing w:after="0" w:line="360" w:lineRule="auto"/>
        <w:ind w:right="49"/>
        <w:jc w:val="both"/>
        <w:rPr>
          <w:rFonts w:ascii="Palatino Linotype" w:eastAsia="Calibri" w:hAnsi="Palatino Linotype" w:cs="Arial"/>
        </w:rPr>
      </w:pPr>
    </w:p>
    <w:p w14:paraId="216C0E74" w14:textId="77777777" w:rsidR="00970E3E" w:rsidRPr="000D6AEA" w:rsidRDefault="00970E3E" w:rsidP="006920EF">
      <w:pPr>
        <w:autoSpaceDE w:val="0"/>
        <w:autoSpaceDN w:val="0"/>
        <w:adjustRightInd w:val="0"/>
        <w:spacing w:after="0" w:line="360" w:lineRule="auto"/>
        <w:jc w:val="both"/>
        <w:rPr>
          <w:rFonts w:ascii="Palatino Linotype" w:eastAsia="Calibri" w:hAnsi="Palatino Linotype" w:cs="Arial"/>
          <w:sz w:val="24"/>
          <w:szCs w:val="24"/>
        </w:rPr>
      </w:pPr>
      <w:r w:rsidRPr="000D6AEA">
        <w:rPr>
          <w:rFonts w:ascii="Palatino Linotype" w:eastAsia="Calibri" w:hAnsi="Palatino Linotype" w:cs="Arial"/>
          <w:b/>
          <w:sz w:val="28"/>
        </w:rPr>
        <w:t>CUARTO</w:t>
      </w:r>
      <w:r w:rsidRPr="000D6AEA">
        <w:rPr>
          <w:rFonts w:ascii="Palatino Linotype" w:eastAsia="Calibri" w:hAnsi="Palatino Linotype" w:cs="Arial"/>
          <w:b/>
        </w:rPr>
        <w:t xml:space="preserve">. </w:t>
      </w:r>
      <w:r w:rsidRPr="000D6AEA">
        <w:rPr>
          <w:rFonts w:ascii="Palatino Linotype" w:eastAsia="Calibri" w:hAnsi="Palatino Linotype" w:cs="Arial"/>
          <w:sz w:val="24"/>
          <w:szCs w:val="24"/>
        </w:rPr>
        <w:t xml:space="preserve">De conformidad con el artículo 198, de la Ley de Transparencia y Acceso a la Información Pública del Estado de México y Municipios, de considerarlo procedente, el </w:t>
      </w:r>
      <w:r w:rsidRPr="000D6AEA">
        <w:rPr>
          <w:rFonts w:ascii="Palatino Linotype" w:eastAsia="Calibri" w:hAnsi="Palatino Linotype" w:cs="Arial"/>
          <w:b/>
          <w:sz w:val="24"/>
          <w:szCs w:val="24"/>
        </w:rPr>
        <w:t>Sujeto Obligado</w:t>
      </w:r>
      <w:r w:rsidRPr="000D6AEA">
        <w:rPr>
          <w:rFonts w:ascii="Palatino Linotype" w:eastAsia="Calibri" w:hAnsi="Palatino Linotype" w:cs="Arial"/>
          <w:sz w:val="24"/>
          <w:szCs w:val="24"/>
        </w:rPr>
        <w:t xml:space="preserve"> de manera fundada y motivada, podrá solicitar una ampliación de plazo para el cumplimiento de la presente resolución.</w:t>
      </w:r>
    </w:p>
    <w:p w14:paraId="53609260" w14:textId="77777777" w:rsidR="00B57B32" w:rsidRPr="000D6AEA" w:rsidRDefault="00B57B32" w:rsidP="006920EF">
      <w:pPr>
        <w:pStyle w:val="Sinespaciado"/>
        <w:spacing w:line="360" w:lineRule="auto"/>
        <w:jc w:val="both"/>
        <w:rPr>
          <w:rFonts w:ascii="Palatino Linotype" w:eastAsia="Calibri" w:hAnsi="Palatino Linotype" w:cs="Arial"/>
          <w:b/>
          <w:sz w:val="28"/>
          <w:szCs w:val="28"/>
          <w:lang w:eastAsia="en-US"/>
        </w:rPr>
      </w:pPr>
    </w:p>
    <w:p w14:paraId="2393D8C7" w14:textId="1A60371D" w:rsidR="00F91528" w:rsidRPr="000D6AEA" w:rsidRDefault="008B5C47" w:rsidP="006920EF">
      <w:pPr>
        <w:spacing w:after="0" w:line="360" w:lineRule="auto"/>
        <w:jc w:val="both"/>
        <w:rPr>
          <w:rFonts w:ascii="Palatino Linotype" w:hAnsi="Palatino Linotype" w:cs="Arial"/>
          <w:sz w:val="24"/>
          <w:szCs w:val="24"/>
          <w:lang w:val="es-ES" w:eastAsia="es-ES"/>
        </w:rPr>
      </w:pPr>
      <w:r w:rsidRPr="000D6AEA">
        <w:rPr>
          <w:rFonts w:ascii="Palatino Linotype" w:hAnsi="Palatino Linotype" w:cs="Arial"/>
          <w:b/>
          <w:sz w:val="28"/>
          <w:szCs w:val="28"/>
        </w:rPr>
        <w:t>QUINTO</w:t>
      </w:r>
      <w:r w:rsidRPr="000D6AEA">
        <w:rPr>
          <w:rFonts w:ascii="Palatino Linotype" w:hAnsi="Palatino Linotype" w:cs="Arial"/>
          <w:b/>
          <w:sz w:val="26"/>
          <w:szCs w:val="26"/>
        </w:rPr>
        <w:t>.</w:t>
      </w:r>
      <w:r w:rsidRPr="000D6AEA">
        <w:rPr>
          <w:rFonts w:ascii="Palatino Linotype" w:hAnsi="Palatino Linotype" w:cs="Arial"/>
          <w:b/>
        </w:rPr>
        <w:t xml:space="preserve"> </w:t>
      </w:r>
      <w:r w:rsidR="003107DA" w:rsidRPr="000D6AEA">
        <w:rPr>
          <w:rFonts w:ascii="Palatino Linotype" w:hAnsi="Palatino Linotype" w:cs="Arial"/>
          <w:b/>
          <w:sz w:val="24"/>
          <w:szCs w:val="24"/>
          <w:lang w:val="es-ES" w:eastAsia="es-ES"/>
        </w:rPr>
        <w:t>NOTIFÍQUESE</w:t>
      </w:r>
      <w:r w:rsidR="003107DA" w:rsidRPr="000D6AEA">
        <w:rPr>
          <w:rFonts w:ascii="Palatino Linotype" w:hAnsi="Palatino Linotype" w:cs="Arial"/>
          <w:sz w:val="24"/>
          <w:szCs w:val="24"/>
          <w:lang w:val="es-ES" w:eastAsia="es-ES"/>
        </w:rPr>
        <w:t xml:space="preserve"> al </w:t>
      </w:r>
      <w:r w:rsidR="003107DA" w:rsidRPr="000D6AEA">
        <w:rPr>
          <w:rFonts w:ascii="Palatino Linotype" w:hAnsi="Palatino Linotype" w:cs="Arial"/>
          <w:b/>
          <w:sz w:val="24"/>
          <w:szCs w:val="24"/>
          <w:lang w:val="es-ES" w:eastAsia="es-ES"/>
        </w:rPr>
        <w:t>Recurrente</w:t>
      </w:r>
      <w:r w:rsidR="003107DA" w:rsidRPr="000D6AEA">
        <w:rPr>
          <w:rFonts w:ascii="Palatino Linotype" w:hAnsi="Palatino Linotype" w:cs="Arial"/>
          <w:sz w:val="24"/>
          <w:szCs w:val="24"/>
          <w:lang w:val="es-ES" w:eastAsia="es-ES"/>
        </w:rPr>
        <w:t xml:space="preserve"> la presente resolución a través del Sistema de Acceso a la Información Mexiquense </w:t>
      </w:r>
      <w:r w:rsidR="003107DA" w:rsidRPr="000D6AEA">
        <w:rPr>
          <w:rFonts w:ascii="Palatino Linotype" w:hAnsi="Palatino Linotype" w:cs="Arial"/>
          <w:b/>
          <w:sz w:val="24"/>
          <w:szCs w:val="24"/>
          <w:lang w:val="es-ES" w:eastAsia="es-ES"/>
        </w:rPr>
        <w:t>(SAIMEX),</w:t>
      </w:r>
      <w:r w:rsidR="003107DA" w:rsidRPr="000D6AEA">
        <w:rPr>
          <w:rFonts w:ascii="Palatino Linotype" w:hAnsi="Palatino Linotype" w:cs="Arial"/>
          <w:sz w:val="24"/>
          <w:szCs w:val="24"/>
          <w:lang w:val="es-ES" w:eastAsia="es-ES"/>
        </w:rPr>
        <w:t xml:space="preserve"> y hágase de su conocimiento que en caso de considerar que le causa algún perjuicio, podrá promover el Juicio de Amparo en los términos de las leyes aplicables, de acuerdo a lo estipulado por el artículo 196, de la Ley de Transparencia y Acceso a la Información Pública del Estado de México y Municipios.</w:t>
      </w:r>
    </w:p>
    <w:p w14:paraId="7FEBFE75" w14:textId="77777777" w:rsidR="007C6FE7" w:rsidRPr="000D6AEA" w:rsidRDefault="007C6FE7" w:rsidP="006920EF">
      <w:pPr>
        <w:spacing w:after="0" w:line="360" w:lineRule="auto"/>
        <w:jc w:val="both"/>
        <w:rPr>
          <w:rFonts w:ascii="Palatino Linotype" w:hAnsi="Palatino Linotype"/>
          <w:sz w:val="24"/>
          <w:szCs w:val="24"/>
        </w:rPr>
      </w:pPr>
    </w:p>
    <w:p w14:paraId="1C94BE23" w14:textId="2960561E" w:rsidR="001B7694" w:rsidRPr="000D6AEA" w:rsidRDefault="000D6AEA" w:rsidP="003107DA">
      <w:pPr>
        <w:spacing w:after="0" w:line="360" w:lineRule="auto"/>
        <w:jc w:val="both"/>
        <w:rPr>
          <w:rFonts w:ascii="Palatino Linotype" w:hAnsi="Palatino Linotype" w:cs="Arial"/>
          <w:sz w:val="24"/>
          <w:szCs w:val="24"/>
        </w:rPr>
      </w:pPr>
      <w:r w:rsidRPr="000D6AEA">
        <w:rPr>
          <w:rFonts w:ascii="Palatino Linotype" w:hAnsi="Palatino Linotype"/>
          <w:sz w:val="24"/>
          <w:szCs w:val="24"/>
        </w:rPr>
        <w:t>ASÍ LO RESUELVE, POR UNANIMIDAD DE VOTOS, EL PLENO DEL INSTITUTO DE TRANSPARENCIA, ACCESO A LA INFORMACIÓN PÚBLICA Y PROTECCIÓN DE DATOS PERSONALES DEL ESTADO DE MÉXICO Y MUNICIPIOS, CONFORMADO POR LOS COMISIONADOS JOSÉ MARTÍNEZ VILCHIS; MARÍA DEL ROSARIO MEJÍA AYALA Y GUADALUPE RAMÍREZ PEÑA; EN LA TRIGÉSIMA SESIÓN ORDINARIA CELEBRADA EL VEINTISÉIS DE AGOSTO DE DOS MIL VEINTISÉIS, ANTE EL SECRETARIO TÉCNICO DEL PLENO, ALEXIS TAPIA RAMÍREZ</w:t>
      </w:r>
      <w:r w:rsidR="009F74E7" w:rsidRPr="000D6AEA">
        <w:rPr>
          <w:rFonts w:ascii="Palatino Linotype" w:hAnsi="Palatino Linotype" w:cs="Arial"/>
          <w:sz w:val="24"/>
          <w:szCs w:val="24"/>
        </w:rPr>
        <w:t>.</w:t>
      </w:r>
      <w:r w:rsidR="00117E65" w:rsidRPr="000D6AEA">
        <w:rPr>
          <w:rFonts w:ascii="Palatino Linotype" w:hAnsi="Palatino Linotype" w:cs="Arial"/>
          <w:sz w:val="24"/>
          <w:szCs w:val="24"/>
        </w:rPr>
        <w:t>-</w:t>
      </w:r>
      <w:r w:rsidR="00831930" w:rsidRPr="000D6AEA">
        <w:rPr>
          <w:rFonts w:ascii="Palatino Linotype" w:hAnsi="Palatino Linotype" w:cs="Arial"/>
          <w:sz w:val="24"/>
          <w:szCs w:val="24"/>
        </w:rPr>
        <w:t>------</w:t>
      </w:r>
      <w:r w:rsidR="00015225" w:rsidRPr="000D6AEA">
        <w:rPr>
          <w:rFonts w:ascii="Palatino Linotype" w:hAnsi="Palatino Linotype" w:cs="Arial"/>
          <w:sz w:val="24"/>
          <w:szCs w:val="24"/>
        </w:rPr>
        <w:t>-</w:t>
      </w:r>
      <w:r w:rsidR="00502A53" w:rsidRPr="000D6AEA">
        <w:rPr>
          <w:rFonts w:ascii="Palatino Linotype" w:hAnsi="Palatino Linotype" w:cs="Arial"/>
          <w:sz w:val="24"/>
          <w:szCs w:val="24"/>
        </w:rPr>
        <w:t>-----------</w:t>
      </w:r>
      <w:r w:rsidR="004016F0" w:rsidRPr="000D6AEA">
        <w:rPr>
          <w:rFonts w:ascii="Palatino Linotype" w:hAnsi="Palatino Linotype" w:cs="Arial"/>
          <w:sz w:val="24"/>
          <w:szCs w:val="24"/>
        </w:rPr>
        <w:t>---------------------------------------------------------------------------------------------------------</w:t>
      </w:r>
      <w:r w:rsidR="00723F76" w:rsidRPr="000D6AEA">
        <w:rPr>
          <w:rFonts w:ascii="Palatino Linotype" w:hAnsi="Palatino Linotype" w:cs="Arial"/>
          <w:sz w:val="24"/>
          <w:szCs w:val="24"/>
        </w:rPr>
        <w:t>-----------------------------------------------------------------------------</w:t>
      </w:r>
    </w:p>
    <w:p w14:paraId="4F9A9958" w14:textId="0885EBF7" w:rsidR="00DD13E2" w:rsidRDefault="008B5C47" w:rsidP="006920EF">
      <w:pPr>
        <w:spacing w:after="0" w:line="276" w:lineRule="auto"/>
        <w:rPr>
          <w:rFonts w:ascii="Palatino Linotype" w:hAnsi="Palatino Linotype"/>
          <w:sz w:val="14"/>
          <w:szCs w:val="16"/>
        </w:rPr>
      </w:pPr>
      <w:r w:rsidRPr="000D6AEA">
        <w:rPr>
          <w:rFonts w:ascii="Palatino Linotype" w:hAnsi="Palatino Linotype"/>
          <w:sz w:val="14"/>
          <w:szCs w:val="16"/>
        </w:rPr>
        <w:t>JMV/CCR</w:t>
      </w:r>
      <w:r w:rsidR="00841CCD" w:rsidRPr="000D6AEA">
        <w:rPr>
          <w:rFonts w:ascii="Palatino Linotype" w:hAnsi="Palatino Linotype"/>
          <w:sz w:val="14"/>
          <w:szCs w:val="16"/>
        </w:rPr>
        <w:t>/</w:t>
      </w:r>
      <w:r w:rsidR="009126FE" w:rsidRPr="000D6AEA">
        <w:rPr>
          <w:rFonts w:ascii="Palatino Linotype" w:hAnsi="Palatino Linotype"/>
          <w:sz w:val="14"/>
          <w:szCs w:val="16"/>
        </w:rPr>
        <w:t>EJDG</w:t>
      </w:r>
    </w:p>
    <w:p w14:paraId="77D863CA" w14:textId="410BC72B" w:rsidR="001B7694" w:rsidRDefault="001B7694" w:rsidP="006920EF">
      <w:pPr>
        <w:spacing w:after="0" w:line="276" w:lineRule="auto"/>
        <w:rPr>
          <w:sz w:val="20"/>
        </w:rPr>
      </w:pPr>
    </w:p>
    <w:p w14:paraId="7BE48393" w14:textId="77777777" w:rsidR="00C812E3" w:rsidRPr="00755A9B" w:rsidRDefault="00C812E3" w:rsidP="006920EF">
      <w:pPr>
        <w:spacing w:after="0" w:line="276" w:lineRule="auto"/>
        <w:rPr>
          <w:sz w:val="20"/>
        </w:rPr>
      </w:pPr>
    </w:p>
    <w:sectPr w:rsidR="00C812E3" w:rsidRPr="00755A9B" w:rsidSect="00564DB2">
      <w:headerReference w:type="default" r:id="rId9"/>
      <w:footerReference w:type="default" r:id="rId10"/>
      <w:headerReference w:type="first" r:id="rId11"/>
      <w:footerReference w:type="first" r:id="rId12"/>
      <w:pgSz w:w="12240" w:h="15840"/>
      <w:pgMar w:top="1417" w:right="1467"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4712D5" w14:textId="77777777" w:rsidR="00A945D2" w:rsidRDefault="00A945D2" w:rsidP="00D34057">
      <w:r>
        <w:separator/>
      </w:r>
    </w:p>
  </w:endnote>
  <w:endnote w:type="continuationSeparator" w:id="0">
    <w:p w14:paraId="0CC1B118" w14:textId="77777777" w:rsidR="00A945D2" w:rsidRDefault="00A945D2" w:rsidP="00D34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DE527A" w14:textId="77777777" w:rsidR="00CB6BCF" w:rsidRPr="000B69FA" w:rsidRDefault="00CB6BCF" w:rsidP="00564DB2">
    <w:pPr>
      <w:pStyle w:val="Piedepgina"/>
      <w:jc w:val="right"/>
      <w:rPr>
        <w:rFonts w:ascii="Palatino Linotype" w:hAnsi="Palatino Linotype"/>
        <w:sz w:val="20"/>
      </w:rPr>
    </w:pPr>
    <w:r w:rsidRPr="000B69FA">
      <w:rPr>
        <w:rFonts w:ascii="Palatino Linotype" w:hAnsi="Palatino Linotype"/>
        <w:sz w:val="20"/>
      </w:rPr>
      <w:t xml:space="preserve">Página </w:t>
    </w:r>
    <w:r w:rsidRPr="000B69FA">
      <w:rPr>
        <w:rFonts w:ascii="Palatino Linotype" w:hAnsi="Palatino Linotype"/>
        <w:bCs/>
        <w:sz w:val="20"/>
      </w:rPr>
      <w:fldChar w:fldCharType="begin"/>
    </w:r>
    <w:r w:rsidRPr="000B69FA">
      <w:rPr>
        <w:rFonts w:ascii="Palatino Linotype" w:hAnsi="Palatino Linotype"/>
        <w:bCs/>
        <w:sz w:val="20"/>
      </w:rPr>
      <w:instrText>PAGE  \* Arabic  \* MERGEFORMAT</w:instrText>
    </w:r>
    <w:r w:rsidRPr="000B69FA">
      <w:rPr>
        <w:rFonts w:ascii="Palatino Linotype" w:hAnsi="Palatino Linotype"/>
        <w:bCs/>
        <w:sz w:val="20"/>
      </w:rPr>
      <w:fldChar w:fldCharType="separate"/>
    </w:r>
    <w:r w:rsidR="00A60173">
      <w:rPr>
        <w:rFonts w:ascii="Palatino Linotype" w:hAnsi="Palatino Linotype"/>
        <w:bCs/>
        <w:noProof/>
        <w:sz w:val="20"/>
      </w:rPr>
      <w:t>21</w:t>
    </w:r>
    <w:r w:rsidRPr="000B69FA">
      <w:rPr>
        <w:rFonts w:ascii="Palatino Linotype" w:hAnsi="Palatino Linotype"/>
        <w:bCs/>
        <w:sz w:val="20"/>
      </w:rPr>
      <w:fldChar w:fldCharType="end"/>
    </w:r>
    <w:r w:rsidRPr="000B69FA">
      <w:rPr>
        <w:rFonts w:ascii="Palatino Linotype" w:hAnsi="Palatino Linotype"/>
        <w:sz w:val="20"/>
      </w:rPr>
      <w:t xml:space="preserve"> de </w:t>
    </w:r>
    <w:r w:rsidRPr="000B69FA">
      <w:rPr>
        <w:rFonts w:ascii="Palatino Linotype" w:hAnsi="Palatino Linotype"/>
        <w:bCs/>
        <w:sz w:val="20"/>
      </w:rPr>
      <w:fldChar w:fldCharType="begin"/>
    </w:r>
    <w:r w:rsidRPr="000B69FA">
      <w:rPr>
        <w:rFonts w:ascii="Palatino Linotype" w:hAnsi="Palatino Linotype"/>
        <w:bCs/>
        <w:sz w:val="20"/>
      </w:rPr>
      <w:instrText>NUMPAGES  \* Arabic  \* MERGEFORMAT</w:instrText>
    </w:r>
    <w:r w:rsidRPr="000B69FA">
      <w:rPr>
        <w:rFonts w:ascii="Palatino Linotype" w:hAnsi="Palatino Linotype"/>
        <w:bCs/>
        <w:sz w:val="20"/>
      </w:rPr>
      <w:fldChar w:fldCharType="separate"/>
    </w:r>
    <w:r w:rsidR="00A60173">
      <w:rPr>
        <w:rFonts w:ascii="Palatino Linotype" w:hAnsi="Palatino Linotype"/>
        <w:bCs/>
        <w:noProof/>
        <w:sz w:val="20"/>
      </w:rPr>
      <w:t>40</w:t>
    </w:r>
    <w:r w:rsidRPr="000B69FA">
      <w:rPr>
        <w:rFonts w:ascii="Palatino Linotype" w:hAnsi="Palatino Linotype"/>
        <w:bCs/>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4255C8" w14:textId="77777777" w:rsidR="00CB6BCF" w:rsidRPr="008171C2" w:rsidRDefault="00CB6BCF" w:rsidP="00564DB2">
    <w:pPr>
      <w:pStyle w:val="Piedepgina"/>
      <w:jc w:val="right"/>
      <w:rPr>
        <w:rFonts w:ascii="Palatino Linotype" w:hAnsi="Palatino Linotype"/>
        <w:b/>
        <w:sz w:val="20"/>
      </w:rPr>
    </w:pPr>
    <w:r w:rsidRPr="008171C2">
      <w:rPr>
        <w:rFonts w:ascii="Palatino Linotype" w:hAnsi="Palatino Linotype"/>
        <w:b/>
        <w:sz w:val="20"/>
      </w:rPr>
      <w:t xml:space="preserve">Página </w:t>
    </w:r>
    <w:r w:rsidRPr="008171C2">
      <w:rPr>
        <w:rFonts w:ascii="Palatino Linotype" w:hAnsi="Palatino Linotype"/>
        <w:b/>
        <w:bCs/>
        <w:sz w:val="20"/>
      </w:rPr>
      <w:fldChar w:fldCharType="begin"/>
    </w:r>
    <w:r w:rsidRPr="008171C2">
      <w:rPr>
        <w:rFonts w:ascii="Palatino Linotype" w:hAnsi="Palatino Linotype"/>
        <w:b/>
        <w:bCs/>
        <w:sz w:val="20"/>
      </w:rPr>
      <w:instrText>PAGE  \* Arabic  \* MERGEFORMAT</w:instrText>
    </w:r>
    <w:r w:rsidRPr="008171C2">
      <w:rPr>
        <w:rFonts w:ascii="Palatino Linotype" w:hAnsi="Palatino Linotype"/>
        <w:b/>
        <w:bCs/>
        <w:sz w:val="20"/>
      </w:rPr>
      <w:fldChar w:fldCharType="separate"/>
    </w:r>
    <w:r w:rsidR="00A60173">
      <w:rPr>
        <w:rFonts w:ascii="Palatino Linotype" w:hAnsi="Palatino Linotype"/>
        <w:b/>
        <w:bCs/>
        <w:noProof/>
        <w:sz w:val="20"/>
      </w:rPr>
      <w:t>1</w:t>
    </w:r>
    <w:r w:rsidRPr="008171C2">
      <w:rPr>
        <w:rFonts w:ascii="Palatino Linotype" w:hAnsi="Palatino Linotype"/>
        <w:b/>
        <w:bCs/>
        <w:sz w:val="20"/>
      </w:rPr>
      <w:fldChar w:fldCharType="end"/>
    </w:r>
    <w:r w:rsidRPr="008171C2">
      <w:rPr>
        <w:rFonts w:ascii="Palatino Linotype" w:hAnsi="Palatino Linotype"/>
        <w:b/>
        <w:sz w:val="20"/>
      </w:rPr>
      <w:t xml:space="preserve"> de </w:t>
    </w:r>
    <w:r w:rsidRPr="008171C2">
      <w:rPr>
        <w:rFonts w:ascii="Palatino Linotype" w:hAnsi="Palatino Linotype"/>
        <w:b/>
        <w:bCs/>
        <w:sz w:val="20"/>
      </w:rPr>
      <w:fldChar w:fldCharType="begin"/>
    </w:r>
    <w:r w:rsidRPr="008171C2">
      <w:rPr>
        <w:rFonts w:ascii="Palatino Linotype" w:hAnsi="Palatino Linotype"/>
        <w:b/>
        <w:bCs/>
        <w:sz w:val="20"/>
      </w:rPr>
      <w:instrText>NUMPAGES  \* Arabic  \* MERGEFORMAT</w:instrText>
    </w:r>
    <w:r w:rsidRPr="008171C2">
      <w:rPr>
        <w:rFonts w:ascii="Palatino Linotype" w:hAnsi="Palatino Linotype"/>
        <w:b/>
        <w:bCs/>
        <w:sz w:val="20"/>
      </w:rPr>
      <w:fldChar w:fldCharType="separate"/>
    </w:r>
    <w:r w:rsidR="00A60173">
      <w:rPr>
        <w:rFonts w:ascii="Palatino Linotype" w:hAnsi="Palatino Linotype"/>
        <w:b/>
        <w:bCs/>
        <w:noProof/>
        <w:sz w:val="20"/>
      </w:rPr>
      <w:t>40</w:t>
    </w:r>
    <w:r w:rsidRPr="008171C2">
      <w:rPr>
        <w:rFonts w:ascii="Palatino Linotype" w:hAnsi="Palatino Linotype"/>
        <w:b/>
        <w:bCs/>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A7B22E" w14:textId="77777777" w:rsidR="00A945D2" w:rsidRDefault="00A945D2" w:rsidP="00D34057">
      <w:r>
        <w:separator/>
      </w:r>
    </w:p>
  </w:footnote>
  <w:footnote w:type="continuationSeparator" w:id="0">
    <w:p w14:paraId="52B90DD5" w14:textId="77777777" w:rsidR="00A945D2" w:rsidRDefault="00A945D2" w:rsidP="00D34057">
      <w:r>
        <w:continuationSeparator/>
      </w:r>
    </w:p>
  </w:footnote>
  <w:footnote w:id="1">
    <w:p w14:paraId="4A7DCFA5" w14:textId="77777777" w:rsidR="00CB6BCF" w:rsidRPr="00EE06B0" w:rsidRDefault="00CB6BCF" w:rsidP="00912A21">
      <w:pPr>
        <w:jc w:val="both"/>
        <w:rPr>
          <w:rFonts w:ascii="Palatino Linotype" w:hAnsi="Palatino Linotype"/>
          <w:b/>
          <w:bCs/>
          <w:i/>
          <w:sz w:val="20"/>
          <w:szCs w:val="20"/>
          <w:lang w:eastAsia="es-MX"/>
        </w:rPr>
      </w:pPr>
      <w:r>
        <w:rPr>
          <w:rStyle w:val="Refdenotaalpie"/>
        </w:rPr>
        <w:footnoteRef/>
      </w:r>
      <w:r>
        <w:t xml:space="preserve"> </w:t>
      </w:r>
      <w:r w:rsidRPr="00946E1F">
        <w:rPr>
          <w:rFonts w:ascii="Palatino Linotype" w:hAnsi="Palatino Linotype"/>
          <w:b/>
          <w:bCs/>
          <w:i/>
          <w:sz w:val="20"/>
          <w:szCs w:val="20"/>
        </w:rPr>
        <w:t xml:space="preserve">IMPROCEDENCIA Y SOBRESEIMIENTO EN EL JUICIO DE AMPARO. LAS CAUSAS PREVISTAS </w:t>
      </w:r>
      <w:r w:rsidRPr="00EE06B0">
        <w:rPr>
          <w:rFonts w:ascii="Palatino Linotype" w:hAnsi="Palatino Linotype"/>
          <w:b/>
          <w:bCs/>
          <w:i/>
          <w:sz w:val="20"/>
          <w:szCs w:val="20"/>
        </w:rPr>
        <w:t>EN LOS ARTÍCULOS 73 Y 74 DE LA LEY DE LA MATERIA, RESPECTIVAMENTE, NO SON INCOMPATIBLES CON EL ARTÍCULO 25.1 DE LA CONVENCIÓN AMERICANA SOBRE DERECHOS HUMANOS.</w:t>
      </w:r>
    </w:p>
    <w:p w14:paraId="5793B70B" w14:textId="77777777" w:rsidR="00CB6BCF" w:rsidRPr="00EE06B0" w:rsidRDefault="00CB6BCF" w:rsidP="00912A21">
      <w:pPr>
        <w:jc w:val="both"/>
        <w:rPr>
          <w:rFonts w:ascii="Palatino Linotype" w:hAnsi="Palatino Linotype"/>
          <w:i/>
          <w:sz w:val="20"/>
          <w:szCs w:val="20"/>
        </w:rPr>
      </w:pPr>
      <w:r w:rsidRPr="00EE06B0">
        <w:rPr>
          <w:rFonts w:ascii="Palatino Linotype" w:hAnsi="Palatino Linotype"/>
          <w:i/>
          <w:sz w:val="20"/>
          <w:szCs w:val="20"/>
        </w:rPr>
        <w:t>Del examen de compatibilidad de los artículos</w:t>
      </w:r>
      <w:r w:rsidRPr="00EE06B0">
        <w:rPr>
          <w:rStyle w:val="apple-converted-space"/>
          <w:rFonts w:ascii="Palatino Linotype" w:hAnsi="Palatino Linotype"/>
          <w:i/>
          <w:sz w:val="20"/>
          <w:szCs w:val="20"/>
        </w:rPr>
        <w:t> </w:t>
      </w:r>
      <w:hyperlink r:id="rId1" w:history="1">
        <w:r w:rsidRPr="00EE06B0">
          <w:rPr>
            <w:rStyle w:val="Hipervnculo"/>
            <w:rFonts w:ascii="Palatino Linotype" w:hAnsi="Palatino Linotype"/>
            <w:i/>
            <w:sz w:val="20"/>
            <w:szCs w:val="20"/>
          </w:rPr>
          <w:t>73 y 74 de la Ley de Amparo</w:t>
        </w:r>
      </w:hyperlink>
      <w:r w:rsidRPr="00EE06B0">
        <w:rPr>
          <w:rStyle w:val="apple-converted-space"/>
          <w:rFonts w:ascii="Palatino Linotype" w:hAnsi="Palatino Linotype"/>
          <w:i/>
          <w:sz w:val="20"/>
          <w:szCs w:val="20"/>
        </w:rPr>
        <w:t> </w:t>
      </w:r>
      <w:r w:rsidRPr="00EE06B0">
        <w:rPr>
          <w:rFonts w:ascii="Palatino Linotype" w:hAnsi="Palatino Linotype"/>
          <w:i/>
          <w:sz w:val="20"/>
          <w:szCs w:val="20"/>
        </w:rPr>
        <w:t>con el artículo</w:t>
      </w:r>
      <w:r w:rsidRPr="00EE06B0">
        <w:rPr>
          <w:rStyle w:val="apple-converted-space"/>
          <w:rFonts w:ascii="Palatino Linotype" w:hAnsi="Palatino Linotype"/>
          <w:i/>
          <w:sz w:val="20"/>
          <w:szCs w:val="20"/>
        </w:rPr>
        <w:t> </w:t>
      </w:r>
      <w:hyperlink r:id="rId2" w:history="1">
        <w:r w:rsidRPr="00EE06B0">
          <w:rPr>
            <w:rStyle w:val="Hipervnculo"/>
            <w:rFonts w:ascii="Palatino Linotype" w:hAnsi="Palatino Linotype"/>
            <w:i/>
            <w:sz w:val="20"/>
            <w:szCs w:val="20"/>
          </w:rPr>
          <w:t>25.1 de la Convención Americana sobre Derechos Humanos</w:t>
        </w:r>
      </w:hyperlink>
      <w:r w:rsidRPr="00EE06B0">
        <w:rPr>
          <w:rStyle w:val="apple-converted-space"/>
          <w:rFonts w:ascii="Palatino Linotype" w:hAnsi="Palatino Linotype"/>
          <w:i/>
          <w:sz w:val="20"/>
          <w:szCs w:val="20"/>
        </w:rPr>
        <w:t> </w:t>
      </w:r>
      <w:r w:rsidRPr="00EE06B0">
        <w:rPr>
          <w:rFonts w:ascii="Palatino Linotype" w:hAnsi="Palatino Linotype"/>
          <w:b/>
          <w:i/>
          <w:sz w:val="20"/>
          <w:szCs w:val="20"/>
          <w:u w:val="single"/>
        </w:rPr>
        <w:t>no se advierte que el derecho interno desatienda los estándares que pretenden proteger los derechos humanos en dicho tratado, por regular causas de improcedencia y sobreseimiento que impiden abordar el estudio de fondo del asunto en el juicio de amparo,</w:t>
      </w:r>
      <w:r w:rsidRPr="00EE06B0">
        <w:rPr>
          <w:rFonts w:ascii="Palatino Linotype" w:hAnsi="Palatino Linotype"/>
          <w:i/>
          <w:sz w:val="20"/>
          <w:szCs w:val="20"/>
        </w:rPr>
        <w:t xml:space="preserve"> en virtud de que el propósito de condicionar el acceso a los tribunales para evitar un sobrecargo de casos sin mérito, es en sí legítimo, por lo que esa compatibilidad, en cuanto a los requisitos para la admisibilidad de los recursos dependerá, en principio, de los siguientes criterios: no pueden ser irracionales ni de tal naturaleza que despojen al derecho de su esencia, ni discriminatorios y, en el caso, la razonabilidad de esas causas se justifica por la viabilidad de que una eventual sentencia </w:t>
      </w:r>
      <w:proofErr w:type="spellStart"/>
      <w:r w:rsidRPr="00EE06B0">
        <w:rPr>
          <w:rFonts w:ascii="Palatino Linotype" w:hAnsi="Palatino Linotype"/>
          <w:i/>
          <w:sz w:val="20"/>
          <w:szCs w:val="20"/>
        </w:rPr>
        <w:t>concesoria</w:t>
      </w:r>
      <w:proofErr w:type="spellEnd"/>
      <w:r w:rsidRPr="00EE06B0">
        <w:rPr>
          <w:rFonts w:ascii="Palatino Linotype" w:hAnsi="Palatino Linotype"/>
          <w:i/>
          <w:sz w:val="20"/>
          <w:szCs w:val="20"/>
        </w:rPr>
        <w:t xml:space="preserve"> tenga un ámbito de protección concreto y no entre en conflicto con el orden jurídico, no son de tal naturaleza que despojen al derecho de su esencia ni tampoco son discriminatorias, pues no existe alguna condicionante para su aplicabilidad, en función de cuestiones personales o particulares del quejoso. Por tanto, las indicadas causas de improcedencia y sobreseimiento no son incompatibles con el citado precepto 25.1, pues no impiden decidir sencilla, rápida y efectivamente sobre los derechos fundamentales reclamados como violados dentro del juicio de garantías.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AC2D19" w14:textId="147B7F01" w:rsidR="00CB6BCF" w:rsidRDefault="00A945D2">
    <w:pPr>
      <w:pStyle w:val="Encabezado"/>
    </w:pPr>
    <w:r>
      <w:rPr>
        <w:noProof/>
      </w:rPr>
      <w:pict w14:anchorId="399AF8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85.35pt;margin-top:-131.5pt;width:609.4pt;height:793.75pt;z-index:-251657216;mso-wrap-edited:f;mso-width-percent:0;mso-height-percent:0;mso-position-horizontal-relative:margin;mso-position-vertical-relative:margin;mso-width-percent:0;mso-height-percent:0" o:allowincell="f">
          <v:imagedata r:id="rId1" o:title="infoem"/>
          <w10:wrap anchorx="margin" anchory="margin"/>
        </v:shape>
      </w:pict>
    </w:r>
  </w:p>
  <w:tbl>
    <w:tblPr>
      <w:tblW w:w="10065" w:type="dxa"/>
      <w:tblInd w:w="-851" w:type="dxa"/>
      <w:tblCellMar>
        <w:left w:w="70" w:type="dxa"/>
        <w:right w:w="70" w:type="dxa"/>
      </w:tblCellMar>
      <w:tblLook w:val="04A0" w:firstRow="1" w:lastRow="0" w:firstColumn="1" w:lastColumn="0" w:noHBand="0" w:noVBand="1"/>
    </w:tblPr>
    <w:tblGrid>
      <w:gridCol w:w="5529"/>
      <w:gridCol w:w="4536"/>
    </w:tblGrid>
    <w:tr w:rsidR="00CB6BCF" w14:paraId="3EBBCCA0" w14:textId="77777777" w:rsidTr="00E31501">
      <w:trPr>
        <w:trHeight w:val="227"/>
      </w:trPr>
      <w:tc>
        <w:tcPr>
          <w:tcW w:w="5529" w:type="dxa"/>
          <w:hideMark/>
        </w:tcPr>
        <w:p w14:paraId="5F4AF24B" w14:textId="77777777" w:rsidR="00CB6BCF" w:rsidRDefault="00CB6BCF" w:rsidP="00564DB2">
          <w:pPr>
            <w:spacing w:after="120"/>
            <w:ind w:right="204"/>
            <w:jc w:val="right"/>
            <w:rPr>
              <w:rFonts w:ascii="Palatino Linotype" w:hAnsi="Palatino Linotype" w:cs="Arial"/>
              <w:b/>
              <w:szCs w:val="20"/>
            </w:rPr>
          </w:pPr>
          <w:r>
            <w:rPr>
              <w:rFonts w:ascii="Palatino Linotype" w:hAnsi="Palatino Linotype" w:cs="Arial"/>
              <w:b/>
              <w:szCs w:val="20"/>
            </w:rPr>
            <w:t>Recurso de Revisión N°:</w:t>
          </w:r>
        </w:p>
      </w:tc>
      <w:tc>
        <w:tcPr>
          <w:tcW w:w="4536" w:type="dxa"/>
          <w:hideMark/>
        </w:tcPr>
        <w:p w14:paraId="593E1BC2" w14:textId="3D505D2A" w:rsidR="00CB6BCF" w:rsidRDefault="00E30FC3" w:rsidP="00564DB2">
          <w:pPr>
            <w:spacing w:after="120"/>
            <w:ind w:left="-486" w:right="214" w:firstLine="1585"/>
            <w:jc w:val="right"/>
            <w:rPr>
              <w:rFonts w:ascii="Palatino Linotype" w:hAnsi="Palatino Linotype" w:cs="Arial"/>
              <w:szCs w:val="20"/>
            </w:rPr>
          </w:pPr>
          <w:r w:rsidRPr="00E30FC3">
            <w:rPr>
              <w:rFonts w:ascii="Palatino Linotype" w:hAnsi="Palatino Linotype" w:cs="Arial"/>
              <w:bCs/>
              <w:lang w:eastAsia="es-MX"/>
            </w:rPr>
            <w:t>06385/INFOEM/IP/RR/2026</w:t>
          </w:r>
        </w:p>
      </w:tc>
    </w:tr>
    <w:tr w:rsidR="00CB6BCF" w14:paraId="05B82912" w14:textId="77777777" w:rsidTr="00E31501">
      <w:trPr>
        <w:trHeight w:val="242"/>
      </w:trPr>
      <w:tc>
        <w:tcPr>
          <w:tcW w:w="5529" w:type="dxa"/>
          <w:hideMark/>
        </w:tcPr>
        <w:p w14:paraId="45A5E639" w14:textId="77777777" w:rsidR="00CB6BCF" w:rsidRDefault="00CB6BCF" w:rsidP="00564DB2">
          <w:pPr>
            <w:spacing w:after="120"/>
            <w:ind w:right="204"/>
            <w:jc w:val="right"/>
            <w:rPr>
              <w:rFonts w:ascii="Palatino Linotype" w:hAnsi="Palatino Linotype" w:cs="Arial"/>
              <w:b/>
              <w:szCs w:val="20"/>
            </w:rPr>
          </w:pPr>
          <w:r>
            <w:rPr>
              <w:rFonts w:ascii="Palatino Linotype" w:hAnsi="Palatino Linotype" w:cs="Arial"/>
              <w:b/>
              <w:szCs w:val="20"/>
            </w:rPr>
            <w:t>Sujeto Obligado:</w:t>
          </w:r>
        </w:p>
      </w:tc>
      <w:tc>
        <w:tcPr>
          <w:tcW w:w="4536" w:type="dxa"/>
          <w:hideMark/>
        </w:tcPr>
        <w:p w14:paraId="63CE8B05" w14:textId="735CDB4A" w:rsidR="00CB6BCF" w:rsidRDefault="00E30FC3" w:rsidP="00E31501">
          <w:pPr>
            <w:ind w:left="-72" w:right="214" w:firstLine="284"/>
            <w:jc w:val="right"/>
            <w:rPr>
              <w:rFonts w:ascii="Palatino Linotype" w:hAnsi="Palatino Linotype" w:cs="Arial"/>
              <w:szCs w:val="20"/>
            </w:rPr>
          </w:pPr>
          <w:r w:rsidRPr="00E30FC3">
            <w:rPr>
              <w:rFonts w:ascii="Palatino Linotype" w:hAnsi="Palatino Linotype" w:cs="Arial"/>
              <w:szCs w:val="20"/>
            </w:rPr>
            <w:t xml:space="preserve">Sistema Municipal para el Desarrollo Integral de la Familia de </w:t>
          </w:r>
          <w:proofErr w:type="spellStart"/>
          <w:r w:rsidRPr="00E30FC3">
            <w:rPr>
              <w:rFonts w:ascii="Palatino Linotype" w:hAnsi="Palatino Linotype" w:cs="Arial"/>
              <w:szCs w:val="20"/>
            </w:rPr>
            <w:t>Juchitepec</w:t>
          </w:r>
          <w:proofErr w:type="spellEnd"/>
        </w:p>
      </w:tc>
    </w:tr>
    <w:tr w:rsidR="00CB6BCF" w14:paraId="4AC99349" w14:textId="77777777" w:rsidTr="00E31501">
      <w:trPr>
        <w:trHeight w:val="342"/>
      </w:trPr>
      <w:tc>
        <w:tcPr>
          <w:tcW w:w="5529" w:type="dxa"/>
          <w:hideMark/>
        </w:tcPr>
        <w:p w14:paraId="050C3A62" w14:textId="2269D921" w:rsidR="00CB6BCF" w:rsidRDefault="00CB6BCF" w:rsidP="00564DB2">
          <w:pPr>
            <w:tabs>
              <w:tab w:val="left" w:pos="4892"/>
            </w:tabs>
            <w:spacing w:after="120"/>
            <w:ind w:right="204"/>
            <w:jc w:val="right"/>
            <w:rPr>
              <w:rFonts w:ascii="Palatino Linotype" w:hAnsi="Palatino Linotype" w:cs="Arial"/>
              <w:b/>
              <w:szCs w:val="20"/>
            </w:rPr>
          </w:pPr>
          <w:r>
            <w:rPr>
              <w:rFonts w:ascii="Palatino Linotype" w:hAnsi="Palatino Linotype" w:cs="Arial"/>
              <w:b/>
              <w:szCs w:val="20"/>
            </w:rPr>
            <w:t>Comisionado Ponente:</w:t>
          </w:r>
        </w:p>
      </w:tc>
      <w:tc>
        <w:tcPr>
          <w:tcW w:w="4536" w:type="dxa"/>
          <w:hideMark/>
        </w:tcPr>
        <w:p w14:paraId="412886D6" w14:textId="2F7A3DA2" w:rsidR="00CB6BCF" w:rsidRDefault="00CB6BCF" w:rsidP="00564DB2">
          <w:pPr>
            <w:spacing w:after="120"/>
            <w:ind w:left="-486" w:right="214" w:firstLine="567"/>
            <w:jc w:val="right"/>
            <w:rPr>
              <w:rFonts w:ascii="Palatino Linotype" w:hAnsi="Palatino Linotype" w:cs="Arial"/>
              <w:szCs w:val="20"/>
            </w:rPr>
          </w:pPr>
          <w:r w:rsidRPr="00F06299">
            <w:rPr>
              <w:rFonts w:ascii="Palatino Linotype" w:hAnsi="Palatino Linotype" w:cs="Arial"/>
              <w:szCs w:val="20"/>
            </w:rPr>
            <w:t>José Martínez Vilchis</w:t>
          </w:r>
        </w:p>
      </w:tc>
    </w:tr>
  </w:tbl>
  <w:p w14:paraId="322445AA" w14:textId="77777777" w:rsidR="00CB6BCF" w:rsidRDefault="00CB6BC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65" w:type="dxa"/>
      <w:tblInd w:w="-851" w:type="dxa"/>
      <w:tblLayout w:type="fixed"/>
      <w:tblCellMar>
        <w:left w:w="70" w:type="dxa"/>
        <w:right w:w="70" w:type="dxa"/>
      </w:tblCellMar>
      <w:tblLook w:val="04A0" w:firstRow="1" w:lastRow="0" w:firstColumn="1" w:lastColumn="0" w:noHBand="0" w:noVBand="1"/>
    </w:tblPr>
    <w:tblGrid>
      <w:gridCol w:w="5529"/>
      <w:gridCol w:w="4536"/>
    </w:tblGrid>
    <w:tr w:rsidR="00CB6BCF" w14:paraId="393A0417" w14:textId="77777777" w:rsidTr="00564DB2">
      <w:trPr>
        <w:trHeight w:val="227"/>
      </w:trPr>
      <w:tc>
        <w:tcPr>
          <w:tcW w:w="5529" w:type="dxa"/>
          <w:hideMark/>
        </w:tcPr>
        <w:p w14:paraId="1D809BCF" w14:textId="294A4220" w:rsidR="00CB6BCF" w:rsidRDefault="00CB6BCF" w:rsidP="00564DB2">
          <w:pPr>
            <w:spacing w:after="120"/>
            <w:ind w:right="204"/>
            <w:jc w:val="right"/>
            <w:rPr>
              <w:rFonts w:ascii="Palatino Linotype" w:hAnsi="Palatino Linotype" w:cs="Arial"/>
              <w:b/>
              <w:szCs w:val="20"/>
            </w:rPr>
          </w:pPr>
          <w:r>
            <w:rPr>
              <w:rFonts w:ascii="Palatino Linotype" w:hAnsi="Palatino Linotype" w:cs="Arial"/>
              <w:b/>
              <w:szCs w:val="20"/>
            </w:rPr>
            <w:t>Recurso de Revisión N°:</w:t>
          </w:r>
        </w:p>
      </w:tc>
      <w:tc>
        <w:tcPr>
          <w:tcW w:w="4536" w:type="dxa"/>
          <w:hideMark/>
        </w:tcPr>
        <w:p w14:paraId="69E60AD2" w14:textId="4A6F7080" w:rsidR="00CB6BCF" w:rsidRPr="00B4142F" w:rsidRDefault="00E30FC3" w:rsidP="004558D1">
          <w:pPr>
            <w:spacing w:after="120"/>
            <w:ind w:left="-486" w:right="214" w:firstLine="1408"/>
            <w:jc w:val="right"/>
            <w:rPr>
              <w:rFonts w:ascii="Palatino Linotype" w:hAnsi="Palatino Linotype" w:cs="Arial"/>
              <w:szCs w:val="20"/>
            </w:rPr>
          </w:pPr>
          <w:r w:rsidRPr="00E30FC3">
            <w:rPr>
              <w:rFonts w:ascii="Palatino Linotype" w:hAnsi="Palatino Linotype" w:cs="Arial"/>
              <w:bCs/>
              <w:lang w:eastAsia="es-MX"/>
            </w:rPr>
            <w:t>06385/INFOEM/IP/RR/2026</w:t>
          </w:r>
        </w:p>
      </w:tc>
    </w:tr>
    <w:tr w:rsidR="00CB6BCF" w14:paraId="3CBA8370" w14:textId="77777777" w:rsidTr="00564DB2">
      <w:trPr>
        <w:trHeight w:val="196"/>
      </w:trPr>
      <w:tc>
        <w:tcPr>
          <w:tcW w:w="5529" w:type="dxa"/>
          <w:hideMark/>
        </w:tcPr>
        <w:p w14:paraId="01BBAC1E" w14:textId="77777777" w:rsidR="00CB6BCF" w:rsidRDefault="00CB6BCF" w:rsidP="00564DB2">
          <w:pPr>
            <w:spacing w:after="120"/>
            <w:ind w:right="204"/>
            <w:jc w:val="right"/>
            <w:rPr>
              <w:rFonts w:ascii="Palatino Linotype" w:hAnsi="Palatino Linotype" w:cs="Arial"/>
              <w:b/>
              <w:szCs w:val="20"/>
            </w:rPr>
          </w:pPr>
          <w:r>
            <w:rPr>
              <w:rFonts w:ascii="Palatino Linotype" w:hAnsi="Palatino Linotype" w:cs="Arial"/>
              <w:b/>
              <w:szCs w:val="20"/>
            </w:rPr>
            <w:t>Recurrente:</w:t>
          </w:r>
        </w:p>
      </w:tc>
      <w:tc>
        <w:tcPr>
          <w:tcW w:w="4536" w:type="dxa"/>
          <w:hideMark/>
        </w:tcPr>
        <w:p w14:paraId="17C6B27F" w14:textId="266BB14A" w:rsidR="00CB6BCF" w:rsidRPr="00F06FED" w:rsidRDefault="00A60173" w:rsidP="00564DB2">
          <w:pPr>
            <w:spacing w:after="120"/>
            <w:ind w:left="-486" w:right="214" w:firstLine="567"/>
            <w:jc w:val="right"/>
            <w:rPr>
              <w:rFonts w:ascii="Palatino Linotype" w:hAnsi="Palatino Linotype" w:cs="Arial"/>
            </w:rPr>
          </w:pPr>
          <w:r>
            <w:rPr>
              <w:rFonts w:ascii="Palatino Linotype" w:hAnsi="Palatino Linotype" w:cs="Arial"/>
            </w:rPr>
            <w:t>XXXXXXXX</w:t>
          </w:r>
        </w:p>
      </w:tc>
    </w:tr>
    <w:tr w:rsidR="00CB6BCF" w14:paraId="3016720F" w14:textId="77777777" w:rsidTr="00564DB2">
      <w:trPr>
        <w:trHeight w:val="242"/>
      </w:trPr>
      <w:tc>
        <w:tcPr>
          <w:tcW w:w="5529" w:type="dxa"/>
          <w:hideMark/>
        </w:tcPr>
        <w:p w14:paraId="5A512D3D" w14:textId="77777777" w:rsidR="00CB6BCF" w:rsidRDefault="00CB6BCF" w:rsidP="008171C2">
          <w:pPr>
            <w:ind w:right="204"/>
            <w:jc w:val="right"/>
            <w:rPr>
              <w:rFonts w:ascii="Palatino Linotype" w:hAnsi="Palatino Linotype" w:cs="Arial"/>
              <w:b/>
              <w:szCs w:val="20"/>
            </w:rPr>
          </w:pPr>
          <w:r>
            <w:rPr>
              <w:rFonts w:ascii="Palatino Linotype" w:hAnsi="Palatino Linotype" w:cs="Arial"/>
              <w:b/>
              <w:szCs w:val="20"/>
            </w:rPr>
            <w:t>Sujeto Obligado:</w:t>
          </w:r>
        </w:p>
      </w:tc>
      <w:tc>
        <w:tcPr>
          <w:tcW w:w="4536" w:type="dxa"/>
          <w:hideMark/>
        </w:tcPr>
        <w:p w14:paraId="20B08CCE" w14:textId="19A76D50" w:rsidR="00CB6BCF" w:rsidRDefault="00E30FC3" w:rsidP="008171C2">
          <w:pPr>
            <w:ind w:left="-495" w:right="214" w:firstLine="567"/>
            <w:jc w:val="right"/>
            <w:rPr>
              <w:rFonts w:ascii="Palatino Linotype" w:hAnsi="Palatino Linotype" w:cs="Arial"/>
              <w:szCs w:val="20"/>
            </w:rPr>
          </w:pPr>
          <w:r w:rsidRPr="00E30FC3">
            <w:rPr>
              <w:rFonts w:ascii="Palatino Linotype" w:hAnsi="Palatino Linotype" w:cs="Arial"/>
              <w:szCs w:val="20"/>
            </w:rPr>
            <w:t xml:space="preserve">Sistema Municipal para el Desarrollo Integral de la Familia de </w:t>
          </w:r>
          <w:proofErr w:type="spellStart"/>
          <w:r w:rsidRPr="00E30FC3">
            <w:rPr>
              <w:rFonts w:ascii="Palatino Linotype" w:hAnsi="Palatino Linotype" w:cs="Arial"/>
              <w:szCs w:val="20"/>
            </w:rPr>
            <w:t>Juchitepec</w:t>
          </w:r>
          <w:proofErr w:type="spellEnd"/>
        </w:p>
      </w:tc>
    </w:tr>
    <w:tr w:rsidR="00CB6BCF" w14:paraId="1DA38D4E" w14:textId="77777777" w:rsidTr="00564DB2">
      <w:trPr>
        <w:trHeight w:val="342"/>
      </w:trPr>
      <w:tc>
        <w:tcPr>
          <w:tcW w:w="5529" w:type="dxa"/>
          <w:hideMark/>
        </w:tcPr>
        <w:p w14:paraId="68227E44" w14:textId="493ED142" w:rsidR="00CB6BCF" w:rsidRDefault="00CB6BCF" w:rsidP="00564DB2">
          <w:pPr>
            <w:tabs>
              <w:tab w:val="left" w:pos="4892"/>
            </w:tabs>
            <w:spacing w:after="120"/>
            <w:ind w:right="204"/>
            <w:jc w:val="right"/>
            <w:rPr>
              <w:rFonts w:ascii="Palatino Linotype" w:hAnsi="Palatino Linotype" w:cs="Arial"/>
              <w:b/>
              <w:szCs w:val="20"/>
            </w:rPr>
          </w:pPr>
          <w:r>
            <w:rPr>
              <w:rFonts w:ascii="Palatino Linotype" w:hAnsi="Palatino Linotype" w:cs="Arial"/>
              <w:b/>
              <w:szCs w:val="20"/>
            </w:rPr>
            <w:t>Comisionado Ponente:</w:t>
          </w:r>
        </w:p>
      </w:tc>
      <w:tc>
        <w:tcPr>
          <w:tcW w:w="4536" w:type="dxa"/>
          <w:hideMark/>
        </w:tcPr>
        <w:p w14:paraId="0E52E839" w14:textId="05C6E02C" w:rsidR="00CB6BCF" w:rsidRDefault="00CB6BCF" w:rsidP="00564DB2">
          <w:pPr>
            <w:spacing w:after="120"/>
            <w:ind w:left="-486" w:right="214" w:firstLine="567"/>
            <w:jc w:val="right"/>
            <w:rPr>
              <w:rFonts w:ascii="Palatino Linotype" w:hAnsi="Palatino Linotype" w:cs="Arial"/>
              <w:szCs w:val="20"/>
            </w:rPr>
          </w:pPr>
          <w:r w:rsidRPr="00F06299">
            <w:rPr>
              <w:rFonts w:ascii="Palatino Linotype" w:hAnsi="Palatino Linotype" w:cs="Arial"/>
              <w:szCs w:val="20"/>
            </w:rPr>
            <w:t>José Martínez Vilchis</w:t>
          </w:r>
        </w:p>
      </w:tc>
    </w:tr>
  </w:tbl>
  <w:p w14:paraId="26709E76" w14:textId="20D788EA" w:rsidR="00CB6BCF" w:rsidRPr="00FF74F5" w:rsidRDefault="00A945D2">
    <w:pPr>
      <w:pStyle w:val="Encabezado"/>
      <w:rPr>
        <w:sz w:val="2"/>
      </w:rPr>
    </w:pPr>
    <w:r>
      <w:rPr>
        <w:rFonts w:ascii="Palatino Linotype" w:hAnsi="Palatino Linotype" w:cs="Arial"/>
        <w:b/>
        <w:noProof/>
        <w:szCs w:val="20"/>
      </w:rPr>
      <w:pict w14:anchorId="399AF8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94296" o:spid="_x0000_s2049" type="#_x0000_t75" alt="" style="position:absolute;margin-left:-87.3pt;margin-top:-124.3pt;width:609.4pt;height:793.75pt;z-index:-251658240;mso-wrap-edited:f;mso-width-percent:0;mso-height-percent:0;mso-position-horizontal-relative:margin;mso-position-vertical-relative:margin;mso-width-percent:0;mso-height-percent:0" o:allowincell="f">
          <v:imagedata r:id="rId1" o:title="infoem"/>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4FE0B8A2"/>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6546E5"/>
    <w:multiLevelType w:val="hybridMultilevel"/>
    <w:tmpl w:val="CB308FEE"/>
    <w:lvl w:ilvl="0" w:tplc="04162D4A">
      <w:start w:val="1"/>
      <w:numFmt w:val="decimal"/>
      <w:lvlText w:val="%1."/>
      <w:lvlJc w:val="left"/>
      <w:pPr>
        <w:ind w:left="720" w:hanging="360"/>
      </w:pPr>
      <w:rPr>
        <w:rFonts w:hint="default"/>
        <w:b/>
        <w:bCs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27902BC"/>
    <w:multiLevelType w:val="hybridMultilevel"/>
    <w:tmpl w:val="5EF8A698"/>
    <w:lvl w:ilvl="0" w:tplc="C41044BC">
      <w:start w:val="1"/>
      <w:numFmt w:val="decimal"/>
      <w:lvlText w:val="%1."/>
      <w:lvlJc w:val="left"/>
      <w:pPr>
        <w:ind w:left="405" w:hanging="360"/>
      </w:pPr>
      <w:rPr>
        <w:rFonts w:hint="default"/>
      </w:rPr>
    </w:lvl>
    <w:lvl w:ilvl="1" w:tplc="580A0019" w:tentative="1">
      <w:start w:val="1"/>
      <w:numFmt w:val="lowerLetter"/>
      <w:lvlText w:val="%2."/>
      <w:lvlJc w:val="left"/>
      <w:pPr>
        <w:ind w:left="1125" w:hanging="360"/>
      </w:pPr>
    </w:lvl>
    <w:lvl w:ilvl="2" w:tplc="580A001B" w:tentative="1">
      <w:start w:val="1"/>
      <w:numFmt w:val="lowerRoman"/>
      <w:lvlText w:val="%3."/>
      <w:lvlJc w:val="right"/>
      <w:pPr>
        <w:ind w:left="1845" w:hanging="180"/>
      </w:pPr>
    </w:lvl>
    <w:lvl w:ilvl="3" w:tplc="580A000F" w:tentative="1">
      <w:start w:val="1"/>
      <w:numFmt w:val="decimal"/>
      <w:lvlText w:val="%4."/>
      <w:lvlJc w:val="left"/>
      <w:pPr>
        <w:ind w:left="2565" w:hanging="360"/>
      </w:pPr>
    </w:lvl>
    <w:lvl w:ilvl="4" w:tplc="580A0019" w:tentative="1">
      <w:start w:val="1"/>
      <w:numFmt w:val="lowerLetter"/>
      <w:lvlText w:val="%5."/>
      <w:lvlJc w:val="left"/>
      <w:pPr>
        <w:ind w:left="3285" w:hanging="360"/>
      </w:pPr>
    </w:lvl>
    <w:lvl w:ilvl="5" w:tplc="580A001B" w:tentative="1">
      <w:start w:val="1"/>
      <w:numFmt w:val="lowerRoman"/>
      <w:lvlText w:val="%6."/>
      <w:lvlJc w:val="right"/>
      <w:pPr>
        <w:ind w:left="4005" w:hanging="180"/>
      </w:pPr>
    </w:lvl>
    <w:lvl w:ilvl="6" w:tplc="580A000F" w:tentative="1">
      <w:start w:val="1"/>
      <w:numFmt w:val="decimal"/>
      <w:lvlText w:val="%7."/>
      <w:lvlJc w:val="left"/>
      <w:pPr>
        <w:ind w:left="4725" w:hanging="360"/>
      </w:pPr>
    </w:lvl>
    <w:lvl w:ilvl="7" w:tplc="580A0019" w:tentative="1">
      <w:start w:val="1"/>
      <w:numFmt w:val="lowerLetter"/>
      <w:lvlText w:val="%8."/>
      <w:lvlJc w:val="left"/>
      <w:pPr>
        <w:ind w:left="5445" w:hanging="360"/>
      </w:pPr>
    </w:lvl>
    <w:lvl w:ilvl="8" w:tplc="580A001B" w:tentative="1">
      <w:start w:val="1"/>
      <w:numFmt w:val="lowerRoman"/>
      <w:lvlText w:val="%9."/>
      <w:lvlJc w:val="right"/>
      <w:pPr>
        <w:ind w:left="6165" w:hanging="180"/>
      </w:pPr>
    </w:lvl>
  </w:abstractNum>
  <w:abstractNum w:abstractNumId="3" w15:restartNumberingAfterBreak="0">
    <w:nsid w:val="0330773F"/>
    <w:multiLevelType w:val="hybridMultilevel"/>
    <w:tmpl w:val="7E9CC218"/>
    <w:lvl w:ilvl="0" w:tplc="810ABD9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08683A06"/>
    <w:multiLevelType w:val="hybridMultilevel"/>
    <w:tmpl w:val="F87C4CB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ADE1D49"/>
    <w:multiLevelType w:val="multilevel"/>
    <w:tmpl w:val="1DEE77F0"/>
    <w:lvl w:ilvl="0">
      <w:start w:val="1"/>
      <w:numFmt w:val="upperRoman"/>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6" w15:restartNumberingAfterBreak="0">
    <w:nsid w:val="0B11301C"/>
    <w:multiLevelType w:val="hybridMultilevel"/>
    <w:tmpl w:val="D8A033E6"/>
    <w:lvl w:ilvl="0" w:tplc="A5F8CA70">
      <w:start w:val="1"/>
      <w:numFmt w:val="decimal"/>
      <w:lvlText w:val="%1."/>
      <w:lvlJc w:val="left"/>
      <w:pPr>
        <w:ind w:left="1211" w:hanging="360"/>
      </w:pPr>
      <w:rPr>
        <w:rFonts w:hint="default"/>
      </w:rPr>
    </w:lvl>
    <w:lvl w:ilvl="1" w:tplc="580A0019" w:tentative="1">
      <w:start w:val="1"/>
      <w:numFmt w:val="lowerLetter"/>
      <w:lvlText w:val="%2."/>
      <w:lvlJc w:val="left"/>
      <w:pPr>
        <w:ind w:left="1931" w:hanging="360"/>
      </w:pPr>
    </w:lvl>
    <w:lvl w:ilvl="2" w:tplc="580A001B" w:tentative="1">
      <w:start w:val="1"/>
      <w:numFmt w:val="lowerRoman"/>
      <w:lvlText w:val="%3."/>
      <w:lvlJc w:val="right"/>
      <w:pPr>
        <w:ind w:left="2651" w:hanging="180"/>
      </w:pPr>
    </w:lvl>
    <w:lvl w:ilvl="3" w:tplc="580A000F" w:tentative="1">
      <w:start w:val="1"/>
      <w:numFmt w:val="decimal"/>
      <w:lvlText w:val="%4."/>
      <w:lvlJc w:val="left"/>
      <w:pPr>
        <w:ind w:left="3371" w:hanging="360"/>
      </w:pPr>
    </w:lvl>
    <w:lvl w:ilvl="4" w:tplc="580A0019" w:tentative="1">
      <w:start w:val="1"/>
      <w:numFmt w:val="lowerLetter"/>
      <w:lvlText w:val="%5."/>
      <w:lvlJc w:val="left"/>
      <w:pPr>
        <w:ind w:left="4091" w:hanging="360"/>
      </w:pPr>
    </w:lvl>
    <w:lvl w:ilvl="5" w:tplc="580A001B" w:tentative="1">
      <w:start w:val="1"/>
      <w:numFmt w:val="lowerRoman"/>
      <w:lvlText w:val="%6."/>
      <w:lvlJc w:val="right"/>
      <w:pPr>
        <w:ind w:left="4811" w:hanging="180"/>
      </w:pPr>
    </w:lvl>
    <w:lvl w:ilvl="6" w:tplc="580A000F" w:tentative="1">
      <w:start w:val="1"/>
      <w:numFmt w:val="decimal"/>
      <w:lvlText w:val="%7."/>
      <w:lvlJc w:val="left"/>
      <w:pPr>
        <w:ind w:left="5531" w:hanging="360"/>
      </w:pPr>
    </w:lvl>
    <w:lvl w:ilvl="7" w:tplc="580A0019" w:tentative="1">
      <w:start w:val="1"/>
      <w:numFmt w:val="lowerLetter"/>
      <w:lvlText w:val="%8."/>
      <w:lvlJc w:val="left"/>
      <w:pPr>
        <w:ind w:left="6251" w:hanging="360"/>
      </w:pPr>
    </w:lvl>
    <w:lvl w:ilvl="8" w:tplc="580A001B" w:tentative="1">
      <w:start w:val="1"/>
      <w:numFmt w:val="lowerRoman"/>
      <w:lvlText w:val="%9."/>
      <w:lvlJc w:val="right"/>
      <w:pPr>
        <w:ind w:left="6971" w:hanging="180"/>
      </w:pPr>
    </w:lvl>
  </w:abstractNum>
  <w:abstractNum w:abstractNumId="7" w15:restartNumberingAfterBreak="0">
    <w:nsid w:val="0F5728F2"/>
    <w:multiLevelType w:val="multilevel"/>
    <w:tmpl w:val="BD72329E"/>
    <w:lvl w:ilvl="0">
      <w:start w:val="1"/>
      <w:numFmt w:val="upperRoman"/>
      <w:lvlText w:val="%1."/>
      <w:lvlJc w:val="left"/>
      <w:pPr>
        <w:ind w:left="1080" w:hanging="720"/>
      </w:pPr>
      <w:rPr>
        <w:rFonts w:hint="default"/>
        <w:b/>
        <w:bCs/>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8" w15:restartNumberingAfterBreak="0">
    <w:nsid w:val="114B133B"/>
    <w:multiLevelType w:val="hybridMultilevel"/>
    <w:tmpl w:val="E64CAAB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215631B"/>
    <w:multiLevelType w:val="hybridMultilevel"/>
    <w:tmpl w:val="8CE837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8787912"/>
    <w:multiLevelType w:val="hybridMultilevel"/>
    <w:tmpl w:val="8374931E"/>
    <w:lvl w:ilvl="0" w:tplc="080A000F">
      <w:start w:val="1"/>
      <w:numFmt w:val="decimal"/>
      <w:lvlText w:val="%1."/>
      <w:lvlJc w:val="left"/>
      <w:pPr>
        <w:ind w:left="720" w:hanging="360"/>
      </w:pPr>
      <w:rPr>
        <w:rFont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9394F59"/>
    <w:multiLevelType w:val="hybridMultilevel"/>
    <w:tmpl w:val="FFFFFFFF"/>
    <w:lvl w:ilvl="0" w:tplc="91002714">
      <w:start w:val="1"/>
      <w:numFmt w:val="upperLetter"/>
      <w:lvlText w:val="%1."/>
      <w:lvlJc w:val="left"/>
      <w:pPr>
        <w:ind w:left="1068" w:hanging="360"/>
      </w:pPr>
      <w:rPr>
        <w:rFonts w:cs="Times New Roman" w:hint="default"/>
      </w:rPr>
    </w:lvl>
    <w:lvl w:ilvl="1" w:tplc="080A0019" w:tentative="1">
      <w:start w:val="1"/>
      <w:numFmt w:val="lowerLetter"/>
      <w:lvlText w:val="%2."/>
      <w:lvlJc w:val="left"/>
      <w:pPr>
        <w:ind w:left="1788" w:hanging="360"/>
      </w:pPr>
      <w:rPr>
        <w:rFonts w:cs="Times New Roman"/>
      </w:rPr>
    </w:lvl>
    <w:lvl w:ilvl="2" w:tplc="080A001B" w:tentative="1">
      <w:start w:val="1"/>
      <w:numFmt w:val="lowerRoman"/>
      <w:lvlText w:val="%3."/>
      <w:lvlJc w:val="right"/>
      <w:pPr>
        <w:ind w:left="2508" w:hanging="180"/>
      </w:pPr>
      <w:rPr>
        <w:rFonts w:cs="Times New Roman"/>
      </w:rPr>
    </w:lvl>
    <w:lvl w:ilvl="3" w:tplc="080A000F" w:tentative="1">
      <w:start w:val="1"/>
      <w:numFmt w:val="decimal"/>
      <w:lvlText w:val="%4."/>
      <w:lvlJc w:val="left"/>
      <w:pPr>
        <w:ind w:left="3228" w:hanging="360"/>
      </w:pPr>
      <w:rPr>
        <w:rFonts w:cs="Times New Roman"/>
      </w:rPr>
    </w:lvl>
    <w:lvl w:ilvl="4" w:tplc="080A0019" w:tentative="1">
      <w:start w:val="1"/>
      <w:numFmt w:val="lowerLetter"/>
      <w:lvlText w:val="%5."/>
      <w:lvlJc w:val="left"/>
      <w:pPr>
        <w:ind w:left="3948" w:hanging="360"/>
      </w:pPr>
      <w:rPr>
        <w:rFonts w:cs="Times New Roman"/>
      </w:rPr>
    </w:lvl>
    <w:lvl w:ilvl="5" w:tplc="080A001B" w:tentative="1">
      <w:start w:val="1"/>
      <w:numFmt w:val="lowerRoman"/>
      <w:lvlText w:val="%6."/>
      <w:lvlJc w:val="right"/>
      <w:pPr>
        <w:ind w:left="4668" w:hanging="180"/>
      </w:pPr>
      <w:rPr>
        <w:rFonts w:cs="Times New Roman"/>
      </w:rPr>
    </w:lvl>
    <w:lvl w:ilvl="6" w:tplc="080A000F" w:tentative="1">
      <w:start w:val="1"/>
      <w:numFmt w:val="decimal"/>
      <w:lvlText w:val="%7."/>
      <w:lvlJc w:val="left"/>
      <w:pPr>
        <w:ind w:left="5388" w:hanging="360"/>
      </w:pPr>
      <w:rPr>
        <w:rFonts w:cs="Times New Roman"/>
      </w:rPr>
    </w:lvl>
    <w:lvl w:ilvl="7" w:tplc="080A0019" w:tentative="1">
      <w:start w:val="1"/>
      <w:numFmt w:val="lowerLetter"/>
      <w:lvlText w:val="%8."/>
      <w:lvlJc w:val="left"/>
      <w:pPr>
        <w:ind w:left="6108" w:hanging="360"/>
      </w:pPr>
      <w:rPr>
        <w:rFonts w:cs="Times New Roman"/>
      </w:rPr>
    </w:lvl>
    <w:lvl w:ilvl="8" w:tplc="080A001B" w:tentative="1">
      <w:start w:val="1"/>
      <w:numFmt w:val="lowerRoman"/>
      <w:lvlText w:val="%9."/>
      <w:lvlJc w:val="right"/>
      <w:pPr>
        <w:ind w:left="6828" w:hanging="180"/>
      </w:pPr>
      <w:rPr>
        <w:rFonts w:cs="Times New Roman"/>
      </w:rPr>
    </w:lvl>
  </w:abstractNum>
  <w:abstractNum w:abstractNumId="12" w15:restartNumberingAfterBreak="0">
    <w:nsid w:val="1CB05448"/>
    <w:multiLevelType w:val="hybridMultilevel"/>
    <w:tmpl w:val="F4CA8170"/>
    <w:lvl w:ilvl="0" w:tplc="7974F73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5740CF2"/>
    <w:multiLevelType w:val="hybridMultilevel"/>
    <w:tmpl w:val="0E227470"/>
    <w:lvl w:ilvl="0" w:tplc="93F82A64">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7D71BC1"/>
    <w:multiLevelType w:val="hybridMultilevel"/>
    <w:tmpl w:val="FD623BD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82014DE"/>
    <w:multiLevelType w:val="hybridMultilevel"/>
    <w:tmpl w:val="685C0FA6"/>
    <w:lvl w:ilvl="0" w:tplc="580A0001">
      <w:start w:val="1"/>
      <w:numFmt w:val="bullet"/>
      <w:lvlText w:val=""/>
      <w:lvlJc w:val="left"/>
      <w:pPr>
        <w:ind w:left="720" w:hanging="360"/>
      </w:pPr>
      <w:rPr>
        <w:rFonts w:ascii="Symbol" w:hAnsi="Symbol" w:hint="default"/>
      </w:rPr>
    </w:lvl>
    <w:lvl w:ilvl="1" w:tplc="580A0003">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6" w15:restartNumberingAfterBreak="0">
    <w:nsid w:val="28696D83"/>
    <w:multiLevelType w:val="hybridMultilevel"/>
    <w:tmpl w:val="CB308FEE"/>
    <w:lvl w:ilvl="0" w:tplc="04162D4A">
      <w:start w:val="1"/>
      <w:numFmt w:val="decimal"/>
      <w:lvlText w:val="%1."/>
      <w:lvlJc w:val="left"/>
      <w:pPr>
        <w:ind w:left="720" w:hanging="360"/>
      </w:pPr>
      <w:rPr>
        <w:rFonts w:hint="default"/>
        <w:b/>
        <w:bCs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910085C"/>
    <w:multiLevelType w:val="hybridMultilevel"/>
    <w:tmpl w:val="D57E042C"/>
    <w:lvl w:ilvl="0" w:tplc="793212E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6F6414"/>
    <w:multiLevelType w:val="hybridMultilevel"/>
    <w:tmpl w:val="3FD64A6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E8673F3"/>
    <w:multiLevelType w:val="hybridMultilevel"/>
    <w:tmpl w:val="C9E62A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2FD546C6"/>
    <w:multiLevelType w:val="hybridMultilevel"/>
    <w:tmpl w:val="A55647BA"/>
    <w:lvl w:ilvl="0" w:tplc="93F82A64">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30E045BA"/>
    <w:multiLevelType w:val="hybridMultilevel"/>
    <w:tmpl w:val="20166C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2406E06"/>
    <w:multiLevelType w:val="hybridMultilevel"/>
    <w:tmpl w:val="BAE8FBF8"/>
    <w:lvl w:ilvl="0" w:tplc="F3EC5DB2">
      <w:start w:val="1"/>
      <w:numFmt w:val="decimal"/>
      <w:lvlText w:val="%1."/>
      <w:lvlJc w:val="left"/>
      <w:pPr>
        <w:ind w:left="2258" w:hanging="720"/>
      </w:pPr>
      <w:rPr>
        <w:rFonts w:hint="default"/>
        <w:b/>
      </w:rPr>
    </w:lvl>
    <w:lvl w:ilvl="1" w:tplc="080A0019" w:tentative="1">
      <w:start w:val="1"/>
      <w:numFmt w:val="lowerLetter"/>
      <w:lvlText w:val="%2."/>
      <w:lvlJc w:val="left"/>
      <w:pPr>
        <w:ind w:left="2210" w:hanging="360"/>
      </w:pPr>
    </w:lvl>
    <w:lvl w:ilvl="2" w:tplc="080A001B" w:tentative="1">
      <w:start w:val="1"/>
      <w:numFmt w:val="lowerRoman"/>
      <w:lvlText w:val="%3."/>
      <w:lvlJc w:val="right"/>
      <w:pPr>
        <w:ind w:left="2930" w:hanging="180"/>
      </w:pPr>
    </w:lvl>
    <w:lvl w:ilvl="3" w:tplc="080A000F" w:tentative="1">
      <w:start w:val="1"/>
      <w:numFmt w:val="decimal"/>
      <w:lvlText w:val="%4."/>
      <w:lvlJc w:val="left"/>
      <w:pPr>
        <w:ind w:left="3650" w:hanging="360"/>
      </w:pPr>
    </w:lvl>
    <w:lvl w:ilvl="4" w:tplc="080A0019" w:tentative="1">
      <w:start w:val="1"/>
      <w:numFmt w:val="lowerLetter"/>
      <w:lvlText w:val="%5."/>
      <w:lvlJc w:val="left"/>
      <w:pPr>
        <w:ind w:left="4370" w:hanging="360"/>
      </w:pPr>
    </w:lvl>
    <w:lvl w:ilvl="5" w:tplc="080A001B" w:tentative="1">
      <w:start w:val="1"/>
      <w:numFmt w:val="lowerRoman"/>
      <w:lvlText w:val="%6."/>
      <w:lvlJc w:val="right"/>
      <w:pPr>
        <w:ind w:left="5090" w:hanging="180"/>
      </w:pPr>
    </w:lvl>
    <w:lvl w:ilvl="6" w:tplc="080A000F" w:tentative="1">
      <w:start w:val="1"/>
      <w:numFmt w:val="decimal"/>
      <w:lvlText w:val="%7."/>
      <w:lvlJc w:val="left"/>
      <w:pPr>
        <w:ind w:left="5810" w:hanging="360"/>
      </w:pPr>
    </w:lvl>
    <w:lvl w:ilvl="7" w:tplc="080A0019" w:tentative="1">
      <w:start w:val="1"/>
      <w:numFmt w:val="lowerLetter"/>
      <w:lvlText w:val="%8."/>
      <w:lvlJc w:val="left"/>
      <w:pPr>
        <w:ind w:left="6530" w:hanging="360"/>
      </w:pPr>
    </w:lvl>
    <w:lvl w:ilvl="8" w:tplc="080A001B" w:tentative="1">
      <w:start w:val="1"/>
      <w:numFmt w:val="lowerRoman"/>
      <w:lvlText w:val="%9."/>
      <w:lvlJc w:val="right"/>
      <w:pPr>
        <w:ind w:left="7250" w:hanging="180"/>
      </w:pPr>
    </w:lvl>
  </w:abstractNum>
  <w:abstractNum w:abstractNumId="23" w15:restartNumberingAfterBreak="0">
    <w:nsid w:val="373530B1"/>
    <w:multiLevelType w:val="hybridMultilevel"/>
    <w:tmpl w:val="B6C4F5E0"/>
    <w:lvl w:ilvl="0" w:tplc="22AEF9CE">
      <w:start w:val="1"/>
      <w:numFmt w:val="upperRoman"/>
      <w:lvlText w:val="%1."/>
      <w:lvlJc w:val="left"/>
      <w:pPr>
        <w:ind w:left="1488" w:hanging="720"/>
      </w:pPr>
      <w:rPr>
        <w:rFonts w:hint="default"/>
        <w:b/>
      </w:rPr>
    </w:lvl>
    <w:lvl w:ilvl="1" w:tplc="080A0019" w:tentative="1">
      <w:start w:val="1"/>
      <w:numFmt w:val="lowerLetter"/>
      <w:lvlText w:val="%2."/>
      <w:lvlJc w:val="left"/>
      <w:pPr>
        <w:ind w:left="1848" w:hanging="360"/>
      </w:pPr>
    </w:lvl>
    <w:lvl w:ilvl="2" w:tplc="080A001B" w:tentative="1">
      <w:start w:val="1"/>
      <w:numFmt w:val="lowerRoman"/>
      <w:lvlText w:val="%3."/>
      <w:lvlJc w:val="right"/>
      <w:pPr>
        <w:ind w:left="2568" w:hanging="180"/>
      </w:pPr>
    </w:lvl>
    <w:lvl w:ilvl="3" w:tplc="080A000F" w:tentative="1">
      <w:start w:val="1"/>
      <w:numFmt w:val="decimal"/>
      <w:lvlText w:val="%4."/>
      <w:lvlJc w:val="left"/>
      <w:pPr>
        <w:ind w:left="3288" w:hanging="360"/>
      </w:pPr>
    </w:lvl>
    <w:lvl w:ilvl="4" w:tplc="080A0019" w:tentative="1">
      <w:start w:val="1"/>
      <w:numFmt w:val="lowerLetter"/>
      <w:lvlText w:val="%5."/>
      <w:lvlJc w:val="left"/>
      <w:pPr>
        <w:ind w:left="4008" w:hanging="360"/>
      </w:pPr>
    </w:lvl>
    <w:lvl w:ilvl="5" w:tplc="080A001B" w:tentative="1">
      <w:start w:val="1"/>
      <w:numFmt w:val="lowerRoman"/>
      <w:lvlText w:val="%6."/>
      <w:lvlJc w:val="right"/>
      <w:pPr>
        <w:ind w:left="4728" w:hanging="180"/>
      </w:pPr>
    </w:lvl>
    <w:lvl w:ilvl="6" w:tplc="080A000F" w:tentative="1">
      <w:start w:val="1"/>
      <w:numFmt w:val="decimal"/>
      <w:lvlText w:val="%7."/>
      <w:lvlJc w:val="left"/>
      <w:pPr>
        <w:ind w:left="5448" w:hanging="360"/>
      </w:pPr>
    </w:lvl>
    <w:lvl w:ilvl="7" w:tplc="080A0019" w:tentative="1">
      <w:start w:val="1"/>
      <w:numFmt w:val="lowerLetter"/>
      <w:lvlText w:val="%8."/>
      <w:lvlJc w:val="left"/>
      <w:pPr>
        <w:ind w:left="6168" w:hanging="360"/>
      </w:pPr>
    </w:lvl>
    <w:lvl w:ilvl="8" w:tplc="080A001B" w:tentative="1">
      <w:start w:val="1"/>
      <w:numFmt w:val="lowerRoman"/>
      <w:lvlText w:val="%9."/>
      <w:lvlJc w:val="right"/>
      <w:pPr>
        <w:ind w:left="6888" w:hanging="180"/>
      </w:pPr>
    </w:lvl>
  </w:abstractNum>
  <w:abstractNum w:abstractNumId="24" w15:restartNumberingAfterBreak="0">
    <w:nsid w:val="397D42FB"/>
    <w:multiLevelType w:val="hybridMultilevel"/>
    <w:tmpl w:val="C574AFCE"/>
    <w:lvl w:ilvl="0" w:tplc="19E852F2">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9912CD7"/>
    <w:multiLevelType w:val="hybridMultilevel"/>
    <w:tmpl w:val="D5EC711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A806E8"/>
    <w:multiLevelType w:val="hybridMultilevel"/>
    <w:tmpl w:val="2654BE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2CC56C4"/>
    <w:multiLevelType w:val="multilevel"/>
    <w:tmpl w:val="70504A20"/>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8" w15:restartNumberingAfterBreak="0">
    <w:nsid w:val="44F6652D"/>
    <w:multiLevelType w:val="multilevel"/>
    <w:tmpl w:val="4030BD22"/>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9" w15:restartNumberingAfterBreak="0">
    <w:nsid w:val="483A209B"/>
    <w:multiLevelType w:val="hybridMultilevel"/>
    <w:tmpl w:val="E64CAAB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CCD0962"/>
    <w:multiLevelType w:val="hybridMultilevel"/>
    <w:tmpl w:val="BCBCFB3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D0328D2"/>
    <w:multiLevelType w:val="hybridMultilevel"/>
    <w:tmpl w:val="2F0E955A"/>
    <w:lvl w:ilvl="0" w:tplc="0DAA909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D811828"/>
    <w:multiLevelType w:val="hybridMultilevel"/>
    <w:tmpl w:val="CB308FEE"/>
    <w:lvl w:ilvl="0" w:tplc="FFFFFFFF">
      <w:start w:val="1"/>
      <w:numFmt w:val="decimal"/>
      <w:lvlText w:val="%1."/>
      <w:lvlJc w:val="left"/>
      <w:pPr>
        <w:ind w:left="720" w:hanging="360"/>
      </w:pPr>
      <w:rPr>
        <w:rFonts w:hint="default"/>
        <w:b/>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F7E69BF"/>
    <w:multiLevelType w:val="hybridMultilevel"/>
    <w:tmpl w:val="0E5C59E4"/>
    <w:lvl w:ilvl="0" w:tplc="080A0003">
      <w:start w:val="1"/>
      <w:numFmt w:val="bullet"/>
      <w:lvlText w:val="o"/>
      <w:lvlJc w:val="left"/>
      <w:pPr>
        <w:ind w:left="1440" w:hanging="360"/>
      </w:pPr>
      <w:rPr>
        <w:rFonts w:ascii="Courier New" w:hAnsi="Courier New" w:cs="Courier New" w:hint="default"/>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34" w15:restartNumberingAfterBreak="0">
    <w:nsid w:val="560839D1"/>
    <w:multiLevelType w:val="hybridMultilevel"/>
    <w:tmpl w:val="FFFFFFFF"/>
    <w:lvl w:ilvl="0" w:tplc="9056A2C0">
      <w:start w:val="1"/>
      <w:numFmt w:val="decimal"/>
      <w:lvlText w:val="%1."/>
      <w:lvlJc w:val="left"/>
      <w:pPr>
        <w:ind w:left="644" w:hanging="360"/>
      </w:pPr>
      <w:rPr>
        <w:rFonts w:ascii="Palatino Linotype" w:hAnsi="Palatino Linotype" w:cs="Times New Roman" w:hint="default"/>
        <w:b/>
        <w:i w:val="0"/>
        <w:color w:val="000000" w:themeColor="text1"/>
        <w:sz w:val="24"/>
        <w:szCs w:val="24"/>
      </w:rPr>
    </w:lvl>
    <w:lvl w:ilvl="1" w:tplc="080A0019">
      <w:start w:val="1"/>
      <w:numFmt w:val="lowerLetter"/>
      <w:lvlText w:val="%2."/>
      <w:lvlJc w:val="left"/>
      <w:pPr>
        <w:ind w:left="1440" w:hanging="360"/>
      </w:pPr>
      <w:rPr>
        <w:rFonts w:cs="Times New Roman"/>
      </w:rPr>
    </w:lvl>
    <w:lvl w:ilvl="2" w:tplc="080A001B">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5" w15:restartNumberingAfterBreak="0">
    <w:nsid w:val="58AE5205"/>
    <w:multiLevelType w:val="hybridMultilevel"/>
    <w:tmpl w:val="DDD285DC"/>
    <w:lvl w:ilvl="0" w:tplc="FD88E084">
      <w:numFmt w:val="bullet"/>
      <w:lvlText w:val=""/>
      <w:lvlJc w:val="left"/>
      <w:pPr>
        <w:ind w:left="1211" w:hanging="360"/>
      </w:pPr>
      <w:rPr>
        <w:rFonts w:ascii="Symbol" w:eastAsia="Times New Roman" w:hAnsi="Symbol" w:cs="Times New Roman"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36" w15:restartNumberingAfterBreak="0">
    <w:nsid w:val="5BD24EA0"/>
    <w:multiLevelType w:val="hybridMultilevel"/>
    <w:tmpl w:val="E64CAA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DC63E13"/>
    <w:multiLevelType w:val="hybridMultilevel"/>
    <w:tmpl w:val="E354ACDA"/>
    <w:lvl w:ilvl="0" w:tplc="54BC04D6">
      <w:start w:val="1"/>
      <w:numFmt w:val="upperRoman"/>
      <w:lvlText w:val="%1."/>
      <w:lvlJc w:val="left"/>
      <w:pPr>
        <w:ind w:left="1287" w:hanging="720"/>
      </w:pPr>
      <w:rPr>
        <w:rFonts w:hint="default"/>
      </w:rPr>
    </w:lvl>
    <w:lvl w:ilvl="1" w:tplc="080A0019">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8" w15:restartNumberingAfterBreak="0">
    <w:nsid w:val="62784E87"/>
    <w:multiLevelType w:val="multilevel"/>
    <w:tmpl w:val="A8647322"/>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9" w15:restartNumberingAfterBreak="0">
    <w:nsid w:val="688B6535"/>
    <w:multiLevelType w:val="hybridMultilevel"/>
    <w:tmpl w:val="C574AFCE"/>
    <w:lvl w:ilvl="0" w:tplc="19E852F2">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C1821F7"/>
    <w:multiLevelType w:val="hybridMultilevel"/>
    <w:tmpl w:val="83C8F47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1" w15:restartNumberingAfterBreak="0">
    <w:nsid w:val="6C7D457A"/>
    <w:multiLevelType w:val="hybridMultilevel"/>
    <w:tmpl w:val="B93A7B6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2" w15:restartNumberingAfterBreak="0">
    <w:nsid w:val="71E356FE"/>
    <w:multiLevelType w:val="hybridMultilevel"/>
    <w:tmpl w:val="747C32C8"/>
    <w:lvl w:ilvl="0" w:tplc="080A0017">
      <w:start w:val="1"/>
      <w:numFmt w:val="lowerLetter"/>
      <w:lvlText w:val="%1)"/>
      <w:lvlJc w:val="left"/>
      <w:pPr>
        <w:ind w:left="9008" w:hanging="360"/>
      </w:pPr>
      <w:rPr>
        <w:rFonts w:hint="default"/>
      </w:rPr>
    </w:lvl>
    <w:lvl w:ilvl="1" w:tplc="080A0019">
      <w:start w:val="1"/>
      <w:numFmt w:val="lowerLetter"/>
      <w:lvlText w:val="%2."/>
      <w:lvlJc w:val="left"/>
      <w:pPr>
        <w:ind w:left="9728" w:hanging="360"/>
      </w:pPr>
    </w:lvl>
    <w:lvl w:ilvl="2" w:tplc="080A001B" w:tentative="1">
      <w:start w:val="1"/>
      <w:numFmt w:val="lowerRoman"/>
      <w:lvlText w:val="%3."/>
      <w:lvlJc w:val="right"/>
      <w:pPr>
        <w:ind w:left="10448" w:hanging="180"/>
      </w:pPr>
    </w:lvl>
    <w:lvl w:ilvl="3" w:tplc="080A000F" w:tentative="1">
      <w:start w:val="1"/>
      <w:numFmt w:val="decimal"/>
      <w:lvlText w:val="%4."/>
      <w:lvlJc w:val="left"/>
      <w:pPr>
        <w:ind w:left="11168" w:hanging="360"/>
      </w:pPr>
    </w:lvl>
    <w:lvl w:ilvl="4" w:tplc="080A0019" w:tentative="1">
      <w:start w:val="1"/>
      <w:numFmt w:val="lowerLetter"/>
      <w:lvlText w:val="%5."/>
      <w:lvlJc w:val="left"/>
      <w:pPr>
        <w:ind w:left="11888" w:hanging="360"/>
      </w:pPr>
    </w:lvl>
    <w:lvl w:ilvl="5" w:tplc="080A001B" w:tentative="1">
      <w:start w:val="1"/>
      <w:numFmt w:val="lowerRoman"/>
      <w:lvlText w:val="%6."/>
      <w:lvlJc w:val="right"/>
      <w:pPr>
        <w:ind w:left="12608" w:hanging="180"/>
      </w:pPr>
    </w:lvl>
    <w:lvl w:ilvl="6" w:tplc="080A000F" w:tentative="1">
      <w:start w:val="1"/>
      <w:numFmt w:val="decimal"/>
      <w:lvlText w:val="%7."/>
      <w:lvlJc w:val="left"/>
      <w:pPr>
        <w:ind w:left="13328" w:hanging="360"/>
      </w:pPr>
    </w:lvl>
    <w:lvl w:ilvl="7" w:tplc="080A0019" w:tentative="1">
      <w:start w:val="1"/>
      <w:numFmt w:val="lowerLetter"/>
      <w:lvlText w:val="%8."/>
      <w:lvlJc w:val="left"/>
      <w:pPr>
        <w:ind w:left="14048" w:hanging="360"/>
      </w:pPr>
    </w:lvl>
    <w:lvl w:ilvl="8" w:tplc="080A001B" w:tentative="1">
      <w:start w:val="1"/>
      <w:numFmt w:val="lowerRoman"/>
      <w:lvlText w:val="%9."/>
      <w:lvlJc w:val="right"/>
      <w:pPr>
        <w:ind w:left="14768" w:hanging="180"/>
      </w:pPr>
    </w:lvl>
  </w:abstractNum>
  <w:abstractNum w:abstractNumId="43" w15:restartNumberingAfterBreak="0">
    <w:nsid w:val="74E54604"/>
    <w:multiLevelType w:val="hybridMultilevel"/>
    <w:tmpl w:val="945E722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A1E17F1"/>
    <w:multiLevelType w:val="hybridMultilevel"/>
    <w:tmpl w:val="396E82C0"/>
    <w:lvl w:ilvl="0" w:tplc="71B8F982">
      <w:start w:val="1"/>
      <w:numFmt w:val="decimal"/>
      <w:lvlText w:val="%1."/>
      <w:lvlJc w:val="left"/>
      <w:pPr>
        <w:ind w:left="720" w:hanging="360"/>
      </w:pPr>
      <w:rPr>
        <w:rFonts w:hint="default"/>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C15181F"/>
    <w:multiLevelType w:val="hybridMultilevel"/>
    <w:tmpl w:val="494EAC4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D3E0EBE"/>
    <w:multiLevelType w:val="hybridMultilevel"/>
    <w:tmpl w:val="2DD2515E"/>
    <w:lvl w:ilvl="0" w:tplc="1D4A126A">
      <w:start w:val="1"/>
      <w:numFmt w:val="lowerLetter"/>
      <w:lvlText w:val="%1)"/>
      <w:lvlJc w:val="left"/>
      <w:pPr>
        <w:ind w:left="720" w:hanging="360"/>
      </w:pPr>
      <w:rPr>
        <w:rFonts w:ascii="Palatino Linotype" w:eastAsiaTheme="minorHAnsi" w:hAnsi="Palatino Linotype" w:cs="Arial"/>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2"/>
  </w:num>
  <w:num w:numId="2">
    <w:abstractNumId w:val="12"/>
  </w:num>
  <w:num w:numId="3">
    <w:abstractNumId w:val="31"/>
  </w:num>
  <w:num w:numId="4">
    <w:abstractNumId w:val="30"/>
  </w:num>
  <w:num w:numId="5">
    <w:abstractNumId w:val="46"/>
  </w:num>
  <w:num w:numId="6">
    <w:abstractNumId w:val="35"/>
  </w:num>
  <w:num w:numId="7">
    <w:abstractNumId w:val="24"/>
  </w:num>
  <w:num w:numId="8">
    <w:abstractNumId w:val="39"/>
  </w:num>
  <w:num w:numId="9">
    <w:abstractNumId w:val="23"/>
  </w:num>
  <w:num w:numId="10">
    <w:abstractNumId w:val="22"/>
  </w:num>
  <w:num w:numId="11">
    <w:abstractNumId w:val="3"/>
  </w:num>
  <w:num w:numId="12">
    <w:abstractNumId w:val="20"/>
  </w:num>
  <w:num w:numId="13">
    <w:abstractNumId w:val="13"/>
  </w:num>
  <w:num w:numId="14">
    <w:abstractNumId w:val="19"/>
  </w:num>
  <w:num w:numId="15">
    <w:abstractNumId w:val="45"/>
  </w:num>
  <w:num w:numId="16">
    <w:abstractNumId w:val="37"/>
  </w:num>
  <w:num w:numId="17">
    <w:abstractNumId w:val="8"/>
  </w:num>
  <w:num w:numId="18">
    <w:abstractNumId w:val="18"/>
  </w:num>
  <w:num w:numId="19">
    <w:abstractNumId w:val="10"/>
  </w:num>
  <w:num w:numId="20">
    <w:abstractNumId w:val="25"/>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15"/>
  </w:num>
  <w:num w:numId="24">
    <w:abstractNumId w:val="4"/>
  </w:num>
  <w:num w:numId="25">
    <w:abstractNumId w:val="5"/>
  </w:num>
  <w:num w:numId="26">
    <w:abstractNumId w:val="33"/>
  </w:num>
  <w:num w:numId="27">
    <w:abstractNumId w:val="0"/>
  </w:num>
  <w:num w:numId="28">
    <w:abstractNumId w:val="14"/>
  </w:num>
  <w:num w:numId="29">
    <w:abstractNumId w:val="26"/>
  </w:num>
  <w:num w:numId="30">
    <w:abstractNumId w:val="41"/>
  </w:num>
  <w:num w:numId="31">
    <w:abstractNumId w:val="36"/>
  </w:num>
  <w:num w:numId="32">
    <w:abstractNumId w:val="2"/>
  </w:num>
  <w:num w:numId="33">
    <w:abstractNumId w:val="17"/>
  </w:num>
  <w:num w:numId="34">
    <w:abstractNumId w:val="9"/>
  </w:num>
  <w:num w:numId="35">
    <w:abstractNumId w:val="16"/>
  </w:num>
  <w:num w:numId="36">
    <w:abstractNumId w:val="40"/>
  </w:num>
  <w:num w:numId="37">
    <w:abstractNumId w:val="32"/>
  </w:num>
  <w:num w:numId="38">
    <w:abstractNumId w:val="44"/>
  </w:num>
  <w:num w:numId="39">
    <w:abstractNumId w:val="29"/>
  </w:num>
  <w:num w:numId="40">
    <w:abstractNumId w:val="1"/>
  </w:num>
  <w:num w:numId="41">
    <w:abstractNumId w:val="21"/>
  </w:num>
  <w:num w:numId="42">
    <w:abstractNumId w:val="43"/>
  </w:num>
  <w:num w:numId="43">
    <w:abstractNumId w:val="28"/>
  </w:num>
  <w:num w:numId="44">
    <w:abstractNumId w:val="27"/>
  </w:num>
  <w:num w:numId="45">
    <w:abstractNumId w:val="6"/>
  </w:num>
  <w:num w:numId="46">
    <w:abstractNumId w:val="38"/>
  </w:num>
  <w:num w:numId="47">
    <w:abstractNumId w:val="11"/>
  </w:num>
  <w:num w:numId="4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1"/>
  <w:activeWritingStyle w:appName="MSWord" w:lang="es-ES" w:vendorID="64" w:dllVersion="6" w:nlCheck="1" w:checkStyle="1"/>
  <w:activeWritingStyle w:appName="MSWord" w:lang="es-MX"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pt-BR" w:vendorID="64" w:dllVersion="4096" w:nlCheck="1" w:checkStyle="0"/>
  <w:activeWritingStyle w:appName="MSWord" w:lang="es-MX" w:vendorID="64" w:dllVersion="131078" w:nlCheck="1" w:checkStyle="1"/>
  <w:activeWritingStyle w:appName="MSWord" w:lang="es-ES_tradnl" w:vendorID="64" w:dllVersion="131078" w:nlCheck="1" w:checkStyle="1"/>
  <w:activeWritingStyle w:appName="MSWord" w:lang="es-ES" w:vendorID="64" w:dllVersion="131078" w:nlCheck="1" w:checkStyle="1"/>
  <w:activeWritingStyle w:appName="MSWord" w:lang="pt-BR" w:vendorID="64" w:dllVersion="131078" w:nlCheck="1" w:checkStyle="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057"/>
    <w:rsid w:val="0001187A"/>
    <w:rsid w:val="00013A05"/>
    <w:rsid w:val="00015225"/>
    <w:rsid w:val="00016BB6"/>
    <w:rsid w:val="00017B86"/>
    <w:rsid w:val="00020B6A"/>
    <w:rsid w:val="00026EB1"/>
    <w:rsid w:val="00041A17"/>
    <w:rsid w:val="00050780"/>
    <w:rsid w:val="00050ED1"/>
    <w:rsid w:val="00055AB9"/>
    <w:rsid w:val="00062654"/>
    <w:rsid w:val="00063B7A"/>
    <w:rsid w:val="00091AAA"/>
    <w:rsid w:val="0009342F"/>
    <w:rsid w:val="00095D0B"/>
    <w:rsid w:val="000970BB"/>
    <w:rsid w:val="000972EE"/>
    <w:rsid w:val="000A2C6D"/>
    <w:rsid w:val="000A5A65"/>
    <w:rsid w:val="000A5E44"/>
    <w:rsid w:val="000B1582"/>
    <w:rsid w:val="000B4FBC"/>
    <w:rsid w:val="000C0F03"/>
    <w:rsid w:val="000C7DA1"/>
    <w:rsid w:val="000D006F"/>
    <w:rsid w:val="000D1B96"/>
    <w:rsid w:val="000D4787"/>
    <w:rsid w:val="000D4CB2"/>
    <w:rsid w:val="000D6AEA"/>
    <w:rsid w:val="000D6FBA"/>
    <w:rsid w:val="000E04FA"/>
    <w:rsid w:val="000E269D"/>
    <w:rsid w:val="000E7C06"/>
    <w:rsid w:val="000F43D7"/>
    <w:rsid w:val="000F5590"/>
    <w:rsid w:val="000F5CBE"/>
    <w:rsid w:val="000F6CA6"/>
    <w:rsid w:val="00103CD5"/>
    <w:rsid w:val="001114EF"/>
    <w:rsid w:val="00112485"/>
    <w:rsid w:val="00117E65"/>
    <w:rsid w:val="00120096"/>
    <w:rsid w:val="0012374B"/>
    <w:rsid w:val="00123ECE"/>
    <w:rsid w:val="00127BCA"/>
    <w:rsid w:val="00135F23"/>
    <w:rsid w:val="00140DDF"/>
    <w:rsid w:val="00141116"/>
    <w:rsid w:val="00143708"/>
    <w:rsid w:val="00143843"/>
    <w:rsid w:val="00143BE4"/>
    <w:rsid w:val="00144E4C"/>
    <w:rsid w:val="00152971"/>
    <w:rsid w:val="00153D08"/>
    <w:rsid w:val="001545AD"/>
    <w:rsid w:val="00154E6B"/>
    <w:rsid w:val="00155F3D"/>
    <w:rsid w:val="001615BA"/>
    <w:rsid w:val="00162A64"/>
    <w:rsid w:val="001679F1"/>
    <w:rsid w:val="001705F4"/>
    <w:rsid w:val="00172DB1"/>
    <w:rsid w:val="00174621"/>
    <w:rsid w:val="00181245"/>
    <w:rsid w:val="00194E28"/>
    <w:rsid w:val="001965B4"/>
    <w:rsid w:val="00196C30"/>
    <w:rsid w:val="001A4544"/>
    <w:rsid w:val="001A6E30"/>
    <w:rsid w:val="001A7973"/>
    <w:rsid w:val="001B0A88"/>
    <w:rsid w:val="001B3FBE"/>
    <w:rsid w:val="001B41D2"/>
    <w:rsid w:val="001B7694"/>
    <w:rsid w:val="001C0E3D"/>
    <w:rsid w:val="001C2774"/>
    <w:rsid w:val="001D40B1"/>
    <w:rsid w:val="001D6B18"/>
    <w:rsid w:val="001E286C"/>
    <w:rsid w:val="001E3111"/>
    <w:rsid w:val="001E7A89"/>
    <w:rsid w:val="001F02E1"/>
    <w:rsid w:val="001F4B4F"/>
    <w:rsid w:val="001F5E61"/>
    <w:rsid w:val="00215429"/>
    <w:rsid w:val="00223E54"/>
    <w:rsid w:val="00225F85"/>
    <w:rsid w:val="00226E72"/>
    <w:rsid w:val="00234D61"/>
    <w:rsid w:val="002379F2"/>
    <w:rsid w:val="002468A3"/>
    <w:rsid w:val="002538C9"/>
    <w:rsid w:val="0025394E"/>
    <w:rsid w:val="0025795D"/>
    <w:rsid w:val="00262E5B"/>
    <w:rsid w:val="0026594F"/>
    <w:rsid w:val="00267078"/>
    <w:rsid w:val="0026743F"/>
    <w:rsid w:val="00272D2A"/>
    <w:rsid w:val="00276A54"/>
    <w:rsid w:val="0028416A"/>
    <w:rsid w:val="00286BF3"/>
    <w:rsid w:val="00293EFD"/>
    <w:rsid w:val="00295945"/>
    <w:rsid w:val="002A2D97"/>
    <w:rsid w:val="002A6356"/>
    <w:rsid w:val="002A6EFB"/>
    <w:rsid w:val="002A7856"/>
    <w:rsid w:val="002B1BB7"/>
    <w:rsid w:val="002B2253"/>
    <w:rsid w:val="002B2B95"/>
    <w:rsid w:val="002B660F"/>
    <w:rsid w:val="002D0A06"/>
    <w:rsid w:val="002D1630"/>
    <w:rsid w:val="002D2D32"/>
    <w:rsid w:val="002D310B"/>
    <w:rsid w:val="002D4085"/>
    <w:rsid w:val="002D5567"/>
    <w:rsid w:val="002D66D5"/>
    <w:rsid w:val="002D7107"/>
    <w:rsid w:val="002D794C"/>
    <w:rsid w:val="002E2DFB"/>
    <w:rsid w:val="002F33A9"/>
    <w:rsid w:val="002F5CA8"/>
    <w:rsid w:val="002F62E0"/>
    <w:rsid w:val="002F7BA4"/>
    <w:rsid w:val="00302D2F"/>
    <w:rsid w:val="00303385"/>
    <w:rsid w:val="00306441"/>
    <w:rsid w:val="003073EB"/>
    <w:rsid w:val="003107DA"/>
    <w:rsid w:val="00311AA7"/>
    <w:rsid w:val="00316BB4"/>
    <w:rsid w:val="00322DC7"/>
    <w:rsid w:val="003242C7"/>
    <w:rsid w:val="00325BEC"/>
    <w:rsid w:val="00344663"/>
    <w:rsid w:val="00344824"/>
    <w:rsid w:val="00344F6E"/>
    <w:rsid w:val="00346625"/>
    <w:rsid w:val="003526F9"/>
    <w:rsid w:val="00354DDE"/>
    <w:rsid w:val="003559E1"/>
    <w:rsid w:val="00355D5C"/>
    <w:rsid w:val="00360BBA"/>
    <w:rsid w:val="00362E23"/>
    <w:rsid w:val="00363686"/>
    <w:rsid w:val="00364D21"/>
    <w:rsid w:val="00366BE8"/>
    <w:rsid w:val="003708E1"/>
    <w:rsid w:val="0037302A"/>
    <w:rsid w:val="00373D05"/>
    <w:rsid w:val="00373E0F"/>
    <w:rsid w:val="00374E14"/>
    <w:rsid w:val="003756A5"/>
    <w:rsid w:val="00382978"/>
    <w:rsid w:val="00386844"/>
    <w:rsid w:val="00395570"/>
    <w:rsid w:val="003A1A28"/>
    <w:rsid w:val="003A4670"/>
    <w:rsid w:val="003A5AE4"/>
    <w:rsid w:val="003A6076"/>
    <w:rsid w:val="003B38F1"/>
    <w:rsid w:val="003B3DD4"/>
    <w:rsid w:val="003B6A9D"/>
    <w:rsid w:val="003C0110"/>
    <w:rsid w:val="003C0538"/>
    <w:rsid w:val="003C309C"/>
    <w:rsid w:val="003C49D6"/>
    <w:rsid w:val="003D002D"/>
    <w:rsid w:val="003D0754"/>
    <w:rsid w:val="003F3CC8"/>
    <w:rsid w:val="003F66C2"/>
    <w:rsid w:val="004016F0"/>
    <w:rsid w:val="004105FB"/>
    <w:rsid w:val="00412084"/>
    <w:rsid w:val="0041354F"/>
    <w:rsid w:val="0041558F"/>
    <w:rsid w:val="00416CE7"/>
    <w:rsid w:val="00416DBE"/>
    <w:rsid w:val="004204BB"/>
    <w:rsid w:val="0042060D"/>
    <w:rsid w:val="00420D92"/>
    <w:rsid w:val="00420DD5"/>
    <w:rsid w:val="004244A0"/>
    <w:rsid w:val="004302BF"/>
    <w:rsid w:val="004308D7"/>
    <w:rsid w:val="00431689"/>
    <w:rsid w:val="0044308F"/>
    <w:rsid w:val="00444D57"/>
    <w:rsid w:val="0044703B"/>
    <w:rsid w:val="00450A1F"/>
    <w:rsid w:val="004558D1"/>
    <w:rsid w:val="00456C92"/>
    <w:rsid w:val="00457A19"/>
    <w:rsid w:val="00457E98"/>
    <w:rsid w:val="00460121"/>
    <w:rsid w:val="0046058C"/>
    <w:rsid w:val="00462E1D"/>
    <w:rsid w:val="00467861"/>
    <w:rsid w:val="00473A6A"/>
    <w:rsid w:val="00475335"/>
    <w:rsid w:val="00476F5C"/>
    <w:rsid w:val="00477598"/>
    <w:rsid w:val="004805B8"/>
    <w:rsid w:val="00480FEA"/>
    <w:rsid w:val="004838E7"/>
    <w:rsid w:val="00490AAB"/>
    <w:rsid w:val="004A2087"/>
    <w:rsid w:val="004A2EA2"/>
    <w:rsid w:val="004A71AA"/>
    <w:rsid w:val="004B2123"/>
    <w:rsid w:val="004B3A7C"/>
    <w:rsid w:val="004B3D8B"/>
    <w:rsid w:val="004B6925"/>
    <w:rsid w:val="004B6B78"/>
    <w:rsid w:val="004C191E"/>
    <w:rsid w:val="004C75CD"/>
    <w:rsid w:val="004D406E"/>
    <w:rsid w:val="004D498F"/>
    <w:rsid w:val="004D55BA"/>
    <w:rsid w:val="004F3954"/>
    <w:rsid w:val="004F4591"/>
    <w:rsid w:val="004F643D"/>
    <w:rsid w:val="004F77EA"/>
    <w:rsid w:val="00502A53"/>
    <w:rsid w:val="005035F7"/>
    <w:rsid w:val="0050427F"/>
    <w:rsid w:val="00510472"/>
    <w:rsid w:val="005124FB"/>
    <w:rsid w:val="005151C4"/>
    <w:rsid w:val="00517C9B"/>
    <w:rsid w:val="005212E2"/>
    <w:rsid w:val="005219ED"/>
    <w:rsid w:val="00525C26"/>
    <w:rsid w:val="0053007F"/>
    <w:rsid w:val="005414FD"/>
    <w:rsid w:val="00544ADD"/>
    <w:rsid w:val="00552C9A"/>
    <w:rsid w:val="005578B7"/>
    <w:rsid w:val="00557B3B"/>
    <w:rsid w:val="00564DB2"/>
    <w:rsid w:val="005665BE"/>
    <w:rsid w:val="00567D39"/>
    <w:rsid w:val="00570073"/>
    <w:rsid w:val="005733EB"/>
    <w:rsid w:val="00573B4F"/>
    <w:rsid w:val="00574BF4"/>
    <w:rsid w:val="00584350"/>
    <w:rsid w:val="00585BF1"/>
    <w:rsid w:val="0059021B"/>
    <w:rsid w:val="00594FEE"/>
    <w:rsid w:val="005A14A4"/>
    <w:rsid w:val="005A1818"/>
    <w:rsid w:val="005B0651"/>
    <w:rsid w:val="005B066D"/>
    <w:rsid w:val="005B201D"/>
    <w:rsid w:val="005B5976"/>
    <w:rsid w:val="005B7C1F"/>
    <w:rsid w:val="005C29D9"/>
    <w:rsid w:val="005C3D98"/>
    <w:rsid w:val="005C547F"/>
    <w:rsid w:val="005C74BE"/>
    <w:rsid w:val="005E161C"/>
    <w:rsid w:val="005E4C32"/>
    <w:rsid w:val="005E50F1"/>
    <w:rsid w:val="005F4AAF"/>
    <w:rsid w:val="006002BC"/>
    <w:rsid w:val="006004A4"/>
    <w:rsid w:val="00601482"/>
    <w:rsid w:val="0060235C"/>
    <w:rsid w:val="006054E7"/>
    <w:rsid w:val="00614CBD"/>
    <w:rsid w:val="006209B6"/>
    <w:rsid w:val="00620A1D"/>
    <w:rsid w:val="00622C8D"/>
    <w:rsid w:val="0062301B"/>
    <w:rsid w:val="00625C2B"/>
    <w:rsid w:val="00627C77"/>
    <w:rsid w:val="006301EC"/>
    <w:rsid w:val="00630FBE"/>
    <w:rsid w:val="00633AB9"/>
    <w:rsid w:val="00635E45"/>
    <w:rsid w:val="00640746"/>
    <w:rsid w:val="00644542"/>
    <w:rsid w:val="00646183"/>
    <w:rsid w:val="00646421"/>
    <w:rsid w:val="00646635"/>
    <w:rsid w:val="00646F29"/>
    <w:rsid w:val="00654C45"/>
    <w:rsid w:val="00656B46"/>
    <w:rsid w:val="00657723"/>
    <w:rsid w:val="00662B52"/>
    <w:rsid w:val="00663350"/>
    <w:rsid w:val="00664E57"/>
    <w:rsid w:val="00666716"/>
    <w:rsid w:val="00666B5B"/>
    <w:rsid w:val="0067216A"/>
    <w:rsid w:val="00672348"/>
    <w:rsid w:val="00674D6A"/>
    <w:rsid w:val="0067790D"/>
    <w:rsid w:val="006802F0"/>
    <w:rsid w:val="006844A9"/>
    <w:rsid w:val="00687D36"/>
    <w:rsid w:val="00690103"/>
    <w:rsid w:val="006920EF"/>
    <w:rsid w:val="00693B7A"/>
    <w:rsid w:val="006A2320"/>
    <w:rsid w:val="006A3831"/>
    <w:rsid w:val="006A56A5"/>
    <w:rsid w:val="006A66EE"/>
    <w:rsid w:val="006B164C"/>
    <w:rsid w:val="006C2453"/>
    <w:rsid w:val="006C3983"/>
    <w:rsid w:val="006D566D"/>
    <w:rsid w:val="006F612C"/>
    <w:rsid w:val="007017C7"/>
    <w:rsid w:val="0070231E"/>
    <w:rsid w:val="00703D66"/>
    <w:rsid w:val="00706E31"/>
    <w:rsid w:val="00716EF7"/>
    <w:rsid w:val="00722BF3"/>
    <w:rsid w:val="00723F76"/>
    <w:rsid w:val="00724D5F"/>
    <w:rsid w:val="00725027"/>
    <w:rsid w:val="007250E5"/>
    <w:rsid w:val="00725339"/>
    <w:rsid w:val="0073045F"/>
    <w:rsid w:val="00730A9F"/>
    <w:rsid w:val="0073583C"/>
    <w:rsid w:val="007358E0"/>
    <w:rsid w:val="00742B13"/>
    <w:rsid w:val="007442FB"/>
    <w:rsid w:val="007476C5"/>
    <w:rsid w:val="00751C25"/>
    <w:rsid w:val="0075245B"/>
    <w:rsid w:val="00755A9B"/>
    <w:rsid w:val="00760F25"/>
    <w:rsid w:val="00760FCC"/>
    <w:rsid w:val="00762A90"/>
    <w:rsid w:val="00765568"/>
    <w:rsid w:val="0076744D"/>
    <w:rsid w:val="0076759C"/>
    <w:rsid w:val="0078004C"/>
    <w:rsid w:val="00781C95"/>
    <w:rsid w:val="00783FD2"/>
    <w:rsid w:val="00786AD5"/>
    <w:rsid w:val="00787CCB"/>
    <w:rsid w:val="00793527"/>
    <w:rsid w:val="007A0FD4"/>
    <w:rsid w:val="007A17DE"/>
    <w:rsid w:val="007A4437"/>
    <w:rsid w:val="007A5915"/>
    <w:rsid w:val="007B1512"/>
    <w:rsid w:val="007C07B0"/>
    <w:rsid w:val="007C4C2E"/>
    <w:rsid w:val="007C6FE7"/>
    <w:rsid w:val="007C7215"/>
    <w:rsid w:val="007D0A9E"/>
    <w:rsid w:val="007D3403"/>
    <w:rsid w:val="007D7483"/>
    <w:rsid w:val="007E1970"/>
    <w:rsid w:val="007F2A5E"/>
    <w:rsid w:val="007F32C4"/>
    <w:rsid w:val="00802E56"/>
    <w:rsid w:val="00803FC8"/>
    <w:rsid w:val="008058B1"/>
    <w:rsid w:val="00805DE1"/>
    <w:rsid w:val="00806692"/>
    <w:rsid w:val="008067B5"/>
    <w:rsid w:val="0080743D"/>
    <w:rsid w:val="00811752"/>
    <w:rsid w:val="00812043"/>
    <w:rsid w:val="00812A5F"/>
    <w:rsid w:val="0081573E"/>
    <w:rsid w:val="00815B37"/>
    <w:rsid w:val="00816560"/>
    <w:rsid w:val="008171C2"/>
    <w:rsid w:val="00820DE3"/>
    <w:rsid w:val="0082480B"/>
    <w:rsid w:val="00827428"/>
    <w:rsid w:val="00827C8B"/>
    <w:rsid w:val="00831930"/>
    <w:rsid w:val="0083511B"/>
    <w:rsid w:val="00841CCD"/>
    <w:rsid w:val="0084347C"/>
    <w:rsid w:val="00847043"/>
    <w:rsid w:val="00850CAF"/>
    <w:rsid w:val="00853111"/>
    <w:rsid w:val="00855E9B"/>
    <w:rsid w:val="00856E19"/>
    <w:rsid w:val="00871E5C"/>
    <w:rsid w:val="008740B7"/>
    <w:rsid w:val="008746A2"/>
    <w:rsid w:val="0087624E"/>
    <w:rsid w:val="0087697C"/>
    <w:rsid w:val="00877448"/>
    <w:rsid w:val="00881E67"/>
    <w:rsid w:val="008848D7"/>
    <w:rsid w:val="008852D8"/>
    <w:rsid w:val="00896349"/>
    <w:rsid w:val="008A38A0"/>
    <w:rsid w:val="008A42CC"/>
    <w:rsid w:val="008B2EF8"/>
    <w:rsid w:val="008B5C47"/>
    <w:rsid w:val="008C33AA"/>
    <w:rsid w:val="008C5586"/>
    <w:rsid w:val="008C5F81"/>
    <w:rsid w:val="008D6D96"/>
    <w:rsid w:val="008D7CE1"/>
    <w:rsid w:val="008E40A8"/>
    <w:rsid w:val="008E5AAE"/>
    <w:rsid w:val="008E5D5B"/>
    <w:rsid w:val="008E6A1A"/>
    <w:rsid w:val="008E7894"/>
    <w:rsid w:val="008F2868"/>
    <w:rsid w:val="008F2C9A"/>
    <w:rsid w:val="008F4C6F"/>
    <w:rsid w:val="008F7DDA"/>
    <w:rsid w:val="009012C2"/>
    <w:rsid w:val="00902001"/>
    <w:rsid w:val="00902C13"/>
    <w:rsid w:val="009050DE"/>
    <w:rsid w:val="00907B49"/>
    <w:rsid w:val="009126FE"/>
    <w:rsid w:val="00912A21"/>
    <w:rsid w:val="0091562A"/>
    <w:rsid w:val="00916EEF"/>
    <w:rsid w:val="00917CAA"/>
    <w:rsid w:val="009232E7"/>
    <w:rsid w:val="00925243"/>
    <w:rsid w:val="00926051"/>
    <w:rsid w:val="00940A28"/>
    <w:rsid w:val="009440E4"/>
    <w:rsid w:val="00944C22"/>
    <w:rsid w:val="00951B8F"/>
    <w:rsid w:val="0095372B"/>
    <w:rsid w:val="00955017"/>
    <w:rsid w:val="00962A6A"/>
    <w:rsid w:val="00964636"/>
    <w:rsid w:val="009649AB"/>
    <w:rsid w:val="0096624A"/>
    <w:rsid w:val="00970E3E"/>
    <w:rsid w:val="00972636"/>
    <w:rsid w:val="00984BAD"/>
    <w:rsid w:val="00991C1C"/>
    <w:rsid w:val="00993420"/>
    <w:rsid w:val="00993A72"/>
    <w:rsid w:val="00993FD3"/>
    <w:rsid w:val="00995F88"/>
    <w:rsid w:val="00996492"/>
    <w:rsid w:val="009A00AB"/>
    <w:rsid w:val="009A3EDE"/>
    <w:rsid w:val="009A58C5"/>
    <w:rsid w:val="009A5F05"/>
    <w:rsid w:val="009B26E5"/>
    <w:rsid w:val="009C304A"/>
    <w:rsid w:val="009C3C39"/>
    <w:rsid w:val="009C717B"/>
    <w:rsid w:val="009D1003"/>
    <w:rsid w:val="009D5B53"/>
    <w:rsid w:val="009D62BD"/>
    <w:rsid w:val="009D7D7B"/>
    <w:rsid w:val="009E16FA"/>
    <w:rsid w:val="009E6C93"/>
    <w:rsid w:val="009E71C1"/>
    <w:rsid w:val="009E7BDA"/>
    <w:rsid w:val="009F42F3"/>
    <w:rsid w:val="009F46A9"/>
    <w:rsid w:val="009F47DC"/>
    <w:rsid w:val="009F5FDA"/>
    <w:rsid w:val="009F74E7"/>
    <w:rsid w:val="00A01730"/>
    <w:rsid w:val="00A01C97"/>
    <w:rsid w:val="00A10127"/>
    <w:rsid w:val="00A166BC"/>
    <w:rsid w:val="00A1684F"/>
    <w:rsid w:val="00A17DC9"/>
    <w:rsid w:val="00A26E90"/>
    <w:rsid w:val="00A35B6F"/>
    <w:rsid w:val="00A37185"/>
    <w:rsid w:val="00A41464"/>
    <w:rsid w:val="00A414C3"/>
    <w:rsid w:val="00A45E2B"/>
    <w:rsid w:val="00A47E40"/>
    <w:rsid w:val="00A538AA"/>
    <w:rsid w:val="00A54243"/>
    <w:rsid w:val="00A56017"/>
    <w:rsid w:val="00A56F06"/>
    <w:rsid w:val="00A573AC"/>
    <w:rsid w:val="00A57715"/>
    <w:rsid w:val="00A60173"/>
    <w:rsid w:val="00A618C1"/>
    <w:rsid w:val="00A7407A"/>
    <w:rsid w:val="00A74EA8"/>
    <w:rsid w:val="00A76C35"/>
    <w:rsid w:val="00A7729C"/>
    <w:rsid w:val="00A826B6"/>
    <w:rsid w:val="00A8418B"/>
    <w:rsid w:val="00A864B6"/>
    <w:rsid w:val="00A87485"/>
    <w:rsid w:val="00A93170"/>
    <w:rsid w:val="00A945D2"/>
    <w:rsid w:val="00A951AD"/>
    <w:rsid w:val="00AA05E2"/>
    <w:rsid w:val="00AA0796"/>
    <w:rsid w:val="00AA2D91"/>
    <w:rsid w:val="00AA4F99"/>
    <w:rsid w:val="00AB0F1D"/>
    <w:rsid w:val="00AB1B2E"/>
    <w:rsid w:val="00AB2C4C"/>
    <w:rsid w:val="00AB76DF"/>
    <w:rsid w:val="00AC1823"/>
    <w:rsid w:val="00AC3F77"/>
    <w:rsid w:val="00AC4340"/>
    <w:rsid w:val="00AD76F0"/>
    <w:rsid w:val="00AE673A"/>
    <w:rsid w:val="00AF1160"/>
    <w:rsid w:val="00AF1B80"/>
    <w:rsid w:val="00AF6F7D"/>
    <w:rsid w:val="00AF73E3"/>
    <w:rsid w:val="00B0487B"/>
    <w:rsid w:val="00B12105"/>
    <w:rsid w:val="00B21190"/>
    <w:rsid w:val="00B235E2"/>
    <w:rsid w:val="00B32668"/>
    <w:rsid w:val="00B35972"/>
    <w:rsid w:val="00B42E2D"/>
    <w:rsid w:val="00B453B2"/>
    <w:rsid w:val="00B468C8"/>
    <w:rsid w:val="00B506F8"/>
    <w:rsid w:val="00B53702"/>
    <w:rsid w:val="00B57B32"/>
    <w:rsid w:val="00B61E37"/>
    <w:rsid w:val="00B66344"/>
    <w:rsid w:val="00B72016"/>
    <w:rsid w:val="00B727AB"/>
    <w:rsid w:val="00B75B02"/>
    <w:rsid w:val="00B9730E"/>
    <w:rsid w:val="00BA06F7"/>
    <w:rsid w:val="00BB0BEB"/>
    <w:rsid w:val="00BB3A8B"/>
    <w:rsid w:val="00BB4154"/>
    <w:rsid w:val="00BB7570"/>
    <w:rsid w:val="00BB796F"/>
    <w:rsid w:val="00BC73E3"/>
    <w:rsid w:val="00BD28E3"/>
    <w:rsid w:val="00BD6588"/>
    <w:rsid w:val="00BE3B14"/>
    <w:rsid w:val="00BF32A0"/>
    <w:rsid w:val="00BF390A"/>
    <w:rsid w:val="00BF3BA8"/>
    <w:rsid w:val="00C048F9"/>
    <w:rsid w:val="00C06C9A"/>
    <w:rsid w:val="00C0784D"/>
    <w:rsid w:val="00C07D77"/>
    <w:rsid w:val="00C156B4"/>
    <w:rsid w:val="00C17BB1"/>
    <w:rsid w:val="00C20508"/>
    <w:rsid w:val="00C20E6B"/>
    <w:rsid w:val="00C31842"/>
    <w:rsid w:val="00C321B1"/>
    <w:rsid w:val="00C34327"/>
    <w:rsid w:val="00C401CE"/>
    <w:rsid w:val="00C42C80"/>
    <w:rsid w:val="00C44875"/>
    <w:rsid w:val="00C531E1"/>
    <w:rsid w:val="00C57CB5"/>
    <w:rsid w:val="00C612C3"/>
    <w:rsid w:val="00C61705"/>
    <w:rsid w:val="00C6304A"/>
    <w:rsid w:val="00C6788F"/>
    <w:rsid w:val="00C72426"/>
    <w:rsid w:val="00C742B6"/>
    <w:rsid w:val="00C77741"/>
    <w:rsid w:val="00C812E3"/>
    <w:rsid w:val="00C81700"/>
    <w:rsid w:val="00C82261"/>
    <w:rsid w:val="00C848BA"/>
    <w:rsid w:val="00C85950"/>
    <w:rsid w:val="00C90E54"/>
    <w:rsid w:val="00C92FAC"/>
    <w:rsid w:val="00C93295"/>
    <w:rsid w:val="00C94B65"/>
    <w:rsid w:val="00C973A2"/>
    <w:rsid w:val="00CA261F"/>
    <w:rsid w:val="00CA2B5E"/>
    <w:rsid w:val="00CA5E39"/>
    <w:rsid w:val="00CB0173"/>
    <w:rsid w:val="00CB09F1"/>
    <w:rsid w:val="00CB1908"/>
    <w:rsid w:val="00CB6BCF"/>
    <w:rsid w:val="00CB7DC4"/>
    <w:rsid w:val="00CC090C"/>
    <w:rsid w:val="00CC416B"/>
    <w:rsid w:val="00CC50EE"/>
    <w:rsid w:val="00CC5DBE"/>
    <w:rsid w:val="00CC6F3C"/>
    <w:rsid w:val="00CD0423"/>
    <w:rsid w:val="00CD29AE"/>
    <w:rsid w:val="00CD51C8"/>
    <w:rsid w:val="00CE02B6"/>
    <w:rsid w:val="00CE4919"/>
    <w:rsid w:val="00CE7764"/>
    <w:rsid w:val="00CF1C53"/>
    <w:rsid w:val="00CF70A0"/>
    <w:rsid w:val="00D01899"/>
    <w:rsid w:val="00D01ECF"/>
    <w:rsid w:val="00D0788F"/>
    <w:rsid w:val="00D10308"/>
    <w:rsid w:val="00D1051B"/>
    <w:rsid w:val="00D106BD"/>
    <w:rsid w:val="00D10730"/>
    <w:rsid w:val="00D155B7"/>
    <w:rsid w:val="00D20C1D"/>
    <w:rsid w:val="00D24294"/>
    <w:rsid w:val="00D25134"/>
    <w:rsid w:val="00D27E5B"/>
    <w:rsid w:val="00D32086"/>
    <w:rsid w:val="00D34057"/>
    <w:rsid w:val="00D36682"/>
    <w:rsid w:val="00D52041"/>
    <w:rsid w:val="00D536F1"/>
    <w:rsid w:val="00D53DDC"/>
    <w:rsid w:val="00D623CE"/>
    <w:rsid w:val="00D64AF1"/>
    <w:rsid w:val="00D67A0D"/>
    <w:rsid w:val="00D67BEC"/>
    <w:rsid w:val="00D74B7C"/>
    <w:rsid w:val="00D800F2"/>
    <w:rsid w:val="00D93767"/>
    <w:rsid w:val="00D95458"/>
    <w:rsid w:val="00D95EF9"/>
    <w:rsid w:val="00D96EF8"/>
    <w:rsid w:val="00DA0C88"/>
    <w:rsid w:val="00DA323F"/>
    <w:rsid w:val="00DA43AD"/>
    <w:rsid w:val="00DB6F3B"/>
    <w:rsid w:val="00DD13E2"/>
    <w:rsid w:val="00DD6010"/>
    <w:rsid w:val="00DD7C88"/>
    <w:rsid w:val="00DE2F9E"/>
    <w:rsid w:val="00DF757E"/>
    <w:rsid w:val="00E017CE"/>
    <w:rsid w:val="00E024BE"/>
    <w:rsid w:val="00E02FE0"/>
    <w:rsid w:val="00E127E6"/>
    <w:rsid w:val="00E131A8"/>
    <w:rsid w:val="00E1740E"/>
    <w:rsid w:val="00E213F7"/>
    <w:rsid w:val="00E21C29"/>
    <w:rsid w:val="00E2616D"/>
    <w:rsid w:val="00E26437"/>
    <w:rsid w:val="00E27B09"/>
    <w:rsid w:val="00E3038B"/>
    <w:rsid w:val="00E30AD4"/>
    <w:rsid w:val="00E30FC3"/>
    <w:rsid w:val="00E31501"/>
    <w:rsid w:val="00E3262B"/>
    <w:rsid w:val="00E33DB0"/>
    <w:rsid w:val="00E36016"/>
    <w:rsid w:val="00E41748"/>
    <w:rsid w:val="00E43997"/>
    <w:rsid w:val="00E44452"/>
    <w:rsid w:val="00E45777"/>
    <w:rsid w:val="00E47A35"/>
    <w:rsid w:val="00E53540"/>
    <w:rsid w:val="00E53C06"/>
    <w:rsid w:val="00E56E9F"/>
    <w:rsid w:val="00E57684"/>
    <w:rsid w:val="00E662FD"/>
    <w:rsid w:val="00E746BE"/>
    <w:rsid w:val="00E76590"/>
    <w:rsid w:val="00E82D29"/>
    <w:rsid w:val="00E82F11"/>
    <w:rsid w:val="00E842A4"/>
    <w:rsid w:val="00E86343"/>
    <w:rsid w:val="00E91313"/>
    <w:rsid w:val="00E91EE4"/>
    <w:rsid w:val="00E9595C"/>
    <w:rsid w:val="00EA1879"/>
    <w:rsid w:val="00EA3EE4"/>
    <w:rsid w:val="00EA53C7"/>
    <w:rsid w:val="00EA7CB2"/>
    <w:rsid w:val="00EB4143"/>
    <w:rsid w:val="00EB5A3A"/>
    <w:rsid w:val="00EB7501"/>
    <w:rsid w:val="00EC61B4"/>
    <w:rsid w:val="00ED224E"/>
    <w:rsid w:val="00ED27AB"/>
    <w:rsid w:val="00ED33BB"/>
    <w:rsid w:val="00ED5CA3"/>
    <w:rsid w:val="00ED660D"/>
    <w:rsid w:val="00ED6C96"/>
    <w:rsid w:val="00EE2C0A"/>
    <w:rsid w:val="00EE7C84"/>
    <w:rsid w:val="00EE7D5E"/>
    <w:rsid w:val="00F06299"/>
    <w:rsid w:val="00F11AD3"/>
    <w:rsid w:val="00F13387"/>
    <w:rsid w:val="00F16317"/>
    <w:rsid w:val="00F16EF8"/>
    <w:rsid w:val="00F21527"/>
    <w:rsid w:val="00F24722"/>
    <w:rsid w:val="00F24AD0"/>
    <w:rsid w:val="00F31639"/>
    <w:rsid w:val="00F3632E"/>
    <w:rsid w:val="00F457C8"/>
    <w:rsid w:val="00F46230"/>
    <w:rsid w:val="00F50059"/>
    <w:rsid w:val="00F55842"/>
    <w:rsid w:val="00F57746"/>
    <w:rsid w:val="00F735E8"/>
    <w:rsid w:val="00F912B7"/>
    <w:rsid w:val="00F91528"/>
    <w:rsid w:val="00F96E94"/>
    <w:rsid w:val="00FA4896"/>
    <w:rsid w:val="00FA73E6"/>
    <w:rsid w:val="00FA751D"/>
    <w:rsid w:val="00FA7D5F"/>
    <w:rsid w:val="00FB15A6"/>
    <w:rsid w:val="00FB3270"/>
    <w:rsid w:val="00FB612C"/>
    <w:rsid w:val="00FC28CC"/>
    <w:rsid w:val="00FC3BBC"/>
    <w:rsid w:val="00FD1200"/>
    <w:rsid w:val="00FE1D27"/>
    <w:rsid w:val="00FE23C7"/>
    <w:rsid w:val="00FE343A"/>
    <w:rsid w:val="00FE459F"/>
    <w:rsid w:val="00FE5B53"/>
    <w:rsid w:val="00FF14FE"/>
    <w:rsid w:val="00FF2171"/>
    <w:rsid w:val="00FF74F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5A91CE2"/>
  <w15:chartTrackingRefBased/>
  <w15:docId w15:val="{5C810458-6993-430F-80B8-643C2F381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7CB2"/>
    <w:pPr>
      <w:spacing w:line="256" w:lineRule="auto"/>
    </w:pPr>
  </w:style>
  <w:style w:type="paragraph" w:styleId="Ttulo3">
    <w:name w:val="heading 3"/>
    <w:basedOn w:val="Normal"/>
    <w:link w:val="Ttulo3Car"/>
    <w:uiPriority w:val="9"/>
    <w:qFormat/>
    <w:rsid w:val="00D34057"/>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D34057"/>
    <w:rPr>
      <w:rFonts w:ascii="Times New Roman" w:eastAsia="Times New Roman" w:hAnsi="Times New Roman" w:cs="Times New Roman"/>
      <w:b/>
      <w:bCs/>
      <w:sz w:val="27"/>
      <w:szCs w:val="27"/>
      <w:lang w:eastAsia="es-MX"/>
    </w:rPr>
  </w:style>
  <w:style w:type="paragraph" w:styleId="Encabezado">
    <w:name w:val="header"/>
    <w:basedOn w:val="Normal"/>
    <w:link w:val="EncabezadoCar"/>
    <w:uiPriority w:val="99"/>
    <w:unhideWhenUsed/>
    <w:rsid w:val="00D34057"/>
    <w:pPr>
      <w:tabs>
        <w:tab w:val="center" w:pos="4419"/>
        <w:tab w:val="right" w:pos="8838"/>
      </w:tabs>
      <w:spacing w:after="0" w:line="240" w:lineRule="auto"/>
    </w:pPr>
    <w:rPr>
      <w:rFonts w:ascii="Times New Roman" w:eastAsia="Calibri" w:hAnsi="Times New Roman" w:cs="Times New Roman"/>
      <w:sz w:val="24"/>
      <w:szCs w:val="24"/>
      <w:lang w:val="es-ES" w:eastAsia="es-ES"/>
    </w:rPr>
  </w:style>
  <w:style w:type="character" w:customStyle="1" w:styleId="EncabezadoCar">
    <w:name w:val="Encabezado Car"/>
    <w:basedOn w:val="Fuentedeprrafopredeter"/>
    <w:link w:val="Encabezado"/>
    <w:uiPriority w:val="99"/>
    <w:rsid w:val="00D34057"/>
    <w:rPr>
      <w:rFonts w:ascii="Times New Roman" w:eastAsia="Calibri" w:hAnsi="Times New Roman" w:cs="Times New Roman"/>
      <w:sz w:val="24"/>
      <w:szCs w:val="24"/>
      <w:lang w:val="es-ES" w:eastAsia="es-ES"/>
    </w:rPr>
  </w:style>
  <w:style w:type="paragraph" w:styleId="Piedepgina">
    <w:name w:val="footer"/>
    <w:basedOn w:val="Normal"/>
    <w:link w:val="PiedepginaCar"/>
    <w:uiPriority w:val="99"/>
    <w:unhideWhenUsed/>
    <w:rsid w:val="00D34057"/>
    <w:pPr>
      <w:tabs>
        <w:tab w:val="center" w:pos="4419"/>
        <w:tab w:val="right" w:pos="8838"/>
      </w:tabs>
      <w:spacing w:after="0" w:line="240" w:lineRule="auto"/>
    </w:pPr>
    <w:rPr>
      <w:rFonts w:ascii="Times New Roman" w:eastAsia="Calibri" w:hAnsi="Times New Roman" w:cs="Times New Roman"/>
      <w:sz w:val="24"/>
      <w:szCs w:val="24"/>
      <w:lang w:val="es-ES" w:eastAsia="es-ES"/>
    </w:rPr>
  </w:style>
  <w:style w:type="character" w:customStyle="1" w:styleId="PiedepginaCar">
    <w:name w:val="Pie de página Car"/>
    <w:basedOn w:val="Fuentedeprrafopredeter"/>
    <w:link w:val="Piedepgina"/>
    <w:uiPriority w:val="99"/>
    <w:rsid w:val="00D34057"/>
    <w:rPr>
      <w:rFonts w:ascii="Times New Roman" w:eastAsia="Calibri" w:hAnsi="Times New Roman" w:cs="Times New Roman"/>
      <w:sz w:val="24"/>
      <w:szCs w:val="24"/>
      <w:lang w:val="es-ES"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D34057"/>
    <w:pPr>
      <w:spacing w:after="0" w:line="240" w:lineRule="auto"/>
      <w:ind w:left="708"/>
    </w:pPr>
    <w:rPr>
      <w:rFonts w:ascii="Times New Roman" w:eastAsia="Times New Roman" w:hAnsi="Times New Roman" w:cs="Times New Roman"/>
      <w:sz w:val="24"/>
      <w:szCs w:val="24"/>
      <w:lang w:val="es-ES"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D34057"/>
    <w:rPr>
      <w:rFonts w:ascii="Times New Roman" w:eastAsia="Times New Roman" w:hAnsi="Times New Roman" w:cs="Times New Roman"/>
      <w:sz w:val="24"/>
      <w:szCs w:val="24"/>
      <w:lang w:val="es-ES" w:eastAsia="es-ES"/>
    </w:rPr>
  </w:style>
  <w:style w:type="character" w:customStyle="1" w:styleId="apple-converted-space">
    <w:name w:val="apple-converted-space"/>
    <w:basedOn w:val="Fuentedeprrafopredeter"/>
    <w:rsid w:val="00D34057"/>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註腳內容"/>
    <w:basedOn w:val="Fuentedeprrafopredeter"/>
    <w:uiPriority w:val="99"/>
    <w:unhideWhenUsed/>
    <w:qFormat/>
    <w:rsid w:val="00D34057"/>
    <w:rPr>
      <w:vertAlign w:val="superscript"/>
    </w:rPr>
  </w:style>
  <w:style w:type="character" w:styleId="Hipervnculo">
    <w:name w:val="Hyperlink"/>
    <w:basedOn w:val="Fuentedeprrafopredeter"/>
    <w:uiPriority w:val="99"/>
    <w:unhideWhenUsed/>
    <w:rsid w:val="00D34057"/>
    <w:rPr>
      <w:color w:val="0563C1" w:themeColor="hyperlink"/>
      <w:u w:val="single"/>
    </w:rPr>
  </w:style>
  <w:style w:type="paragraph" w:styleId="Sinespaciado">
    <w:name w:val="No Spacing"/>
    <w:aliases w:val="Francesa,INAI"/>
    <w:link w:val="SinespaciadoCar"/>
    <w:uiPriority w:val="1"/>
    <w:qFormat/>
    <w:rsid w:val="00D34057"/>
    <w:pPr>
      <w:spacing w:after="0" w:line="240" w:lineRule="auto"/>
    </w:pPr>
    <w:rPr>
      <w:rFonts w:ascii="Times New Roman" w:eastAsia="Times New Roman" w:hAnsi="Times New Roman" w:cs="Times New Roman"/>
      <w:sz w:val="24"/>
      <w:szCs w:val="24"/>
      <w:lang w:eastAsia="es-ES"/>
    </w:rPr>
  </w:style>
  <w:style w:type="character" w:styleId="Textoennegrita">
    <w:name w:val="Strong"/>
    <w:uiPriority w:val="22"/>
    <w:qFormat/>
    <w:rsid w:val="00D34057"/>
    <w:rPr>
      <w:b/>
      <w:bCs/>
    </w:rPr>
  </w:style>
  <w:style w:type="character" w:customStyle="1" w:styleId="SinespaciadoCar">
    <w:name w:val="Sin espaciado Car"/>
    <w:aliases w:val="Francesa Car,INAI Car"/>
    <w:link w:val="Sinespaciado"/>
    <w:uiPriority w:val="1"/>
    <w:locked/>
    <w:rsid w:val="00D34057"/>
    <w:rPr>
      <w:rFonts w:ascii="Times New Roman" w:eastAsia="Times New Roman" w:hAnsi="Times New Roman" w:cs="Times New Roman"/>
      <w:sz w:val="24"/>
      <w:szCs w:val="24"/>
      <w:lang w:eastAsia="es-ES"/>
    </w:rPr>
  </w:style>
  <w:style w:type="paragraph" w:styleId="NormalWeb">
    <w:name w:val="Normal (Web)"/>
    <w:basedOn w:val="Normal"/>
    <w:uiPriority w:val="99"/>
    <w:semiHidden/>
    <w:unhideWhenUsed/>
    <w:rsid w:val="00D34057"/>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deglobo">
    <w:name w:val="Balloon Text"/>
    <w:basedOn w:val="Normal"/>
    <w:link w:val="TextodegloboCar"/>
    <w:uiPriority w:val="99"/>
    <w:semiHidden/>
    <w:unhideWhenUsed/>
    <w:rsid w:val="00362E2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62E23"/>
    <w:rPr>
      <w:rFonts w:ascii="Segoe UI" w:hAnsi="Segoe UI" w:cs="Segoe UI"/>
      <w:sz w:val="18"/>
      <w:szCs w:val="18"/>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6802F0"/>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6802F0"/>
    <w:rPr>
      <w:sz w:val="20"/>
      <w:szCs w:val="20"/>
    </w:rPr>
  </w:style>
  <w:style w:type="table" w:styleId="Tablaconcuadrcula">
    <w:name w:val="Table Grid"/>
    <w:basedOn w:val="Tablanormal"/>
    <w:uiPriority w:val="39"/>
    <w:rsid w:val="00B359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Fuentedeprrafopredeter"/>
    <w:rsid w:val="00FF14FE"/>
  </w:style>
  <w:style w:type="table" w:customStyle="1" w:styleId="Tablaconcuadrcula1">
    <w:name w:val="Tabla con cuadrícula1"/>
    <w:basedOn w:val="Tablanormal"/>
    <w:next w:val="Tablaconcuadrcula"/>
    <w:uiPriority w:val="39"/>
    <w:rsid w:val="00A874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27C8B"/>
    <w:pPr>
      <w:autoSpaceDE w:val="0"/>
      <w:autoSpaceDN w:val="0"/>
      <w:adjustRightInd w:val="0"/>
      <w:spacing w:after="0" w:line="240" w:lineRule="auto"/>
    </w:pPr>
    <w:rPr>
      <w:rFonts w:ascii="Arial" w:hAnsi="Arial" w:cs="Arial"/>
      <w:color w:val="000000"/>
      <w:sz w:val="24"/>
      <w:szCs w:val="24"/>
    </w:rPr>
  </w:style>
  <w:style w:type="character" w:customStyle="1" w:styleId="Mencinsinresolver1">
    <w:name w:val="Mención sin resolver1"/>
    <w:basedOn w:val="Fuentedeprrafopredeter"/>
    <w:uiPriority w:val="99"/>
    <w:semiHidden/>
    <w:unhideWhenUsed/>
    <w:rsid w:val="00141116"/>
    <w:rPr>
      <w:color w:val="605E5C"/>
      <w:shd w:val="clear" w:color="auto" w:fill="E1DFDD"/>
    </w:rPr>
  </w:style>
  <w:style w:type="character" w:styleId="Hipervnculovisitado">
    <w:name w:val="FollowedHyperlink"/>
    <w:basedOn w:val="Fuentedeprrafopredeter"/>
    <w:uiPriority w:val="99"/>
    <w:semiHidden/>
    <w:unhideWhenUsed/>
    <w:rsid w:val="00141116"/>
    <w:rPr>
      <w:color w:val="954F72" w:themeColor="followedHyperlink"/>
      <w:u w:val="single"/>
    </w:rPr>
  </w:style>
  <w:style w:type="paragraph" w:styleId="Lista2">
    <w:name w:val="List 2"/>
    <w:basedOn w:val="Normal"/>
    <w:uiPriority w:val="99"/>
    <w:unhideWhenUsed/>
    <w:rsid w:val="00D32086"/>
    <w:pPr>
      <w:ind w:left="566" w:hanging="283"/>
      <w:contextualSpacing/>
    </w:pPr>
  </w:style>
  <w:style w:type="paragraph" w:styleId="Saludo">
    <w:name w:val="Salutation"/>
    <w:basedOn w:val="Normal"/>
    <w:next w:val="Normal"/>
    <w:link w:val="SaludoCar"/>
    <w:uiPriority w:val="99"/>
    <w:unhideWhenUsed/>
    <w:rsid w:val="00D32086"/>
  </w:style>
  <w:style w:type="character" w:customStyle="1" w:styleId="SaludoCar">
    <w:name w:val="Saludo Car"/>
    <w:basedOn w:val="Fuentedeprrafopredeter"/>
    <w:link w:val="Saludo"/>
    <w:uiPriority w:val="99"/>
    <w:rsid w:val="00D32086"/>
  </w:style>
  <w:style w:type="paragraph" w:styleId="Listaconvietas2">
    <w:name w:val="List Bullet 2"/>
    <w:basedOn w:val="Normal"/>
    <w:uiPriority w:val="99"/>
    <w:unhideWhenUsed/>
    <w:rsid w:val="00D32086"/>
    <w:pPr>
      <w:numPr>
        <w:numId w:val="27"/>
      </w:numPr>
      <w:contextualSpacing/>
    </w:pPr>
  </w:style>
  <w:style w:type="paragraph" w:styleId="Continuarlista2">
    <w:name w:val="List Continue 2"/>
    <w:basedOn w:val="Normal"/>
    <w:uiPriority w:val="99"/>
    <w:unhideWhenUsed/>
    <w:rsid w:val="00D32086"/>
    <w:pPr>
      <w:spacing w:after="120"/>
      <w:ind w:left="566"/>
      <w:contextualSpacing/>
    </w:pPr>
  </w:style>
  <w:style w:type="paragraph" w:styleId="Textoindependiente">
    <w:name w:val="Body Text"/>
    <w:basedOn w:val="Normal"/>
    <w:link w:val="TextoindependienteCar"/>
    <w:uiPriority w:val="99"/>
    <w:unhideWhenUsed/>
    <w:rsid w:val="00D32086"/>
    <w:pPr>
      <w:spacing w:after="120"/>
    </w:pPr>
  </w:style>
  <w:style w:type="character" w:customStyle="1" w:styleId="TextoindependienteCar">
    <w:name w:val="Texto independiente Car"/>
    <w:basedOn w:val="Fuentedeprrafopredeter"/>
    <w:link w:val="Textoindependiente"/>
    <w:uiPriority w:val="99"/>
    <w:rsid w:val="00D32086"/>
  </w:style>
  <w:style w:type="paragraph" w:styleId="Sangradetextonormal">
    <w:name w:val="Body Text Indent"/>
    <w:basedOn w:val="Normal"/>
    <w:link w:val="SangradetextonormalCar"/>
    <w:uiPriority w:val="99"/>
    <w:unhideWhenUsed/>
    <w:rsid w:val="00D32086"/>
    <w:pPr>
      <w:spacing w:after="120"/>
      <w:ind w:left="283"/>
    </w:pPr>
  </w:style>
  <w:style w:type="character" w:customStyle="1" w:styleId="SangradetextonormalCar">
    <w:name w:val="Sangría de texto normal Car"/>
    <w:basedOn w:val="Fuentedeprrafopredeter"/>
    <w:link w:val="Sangradetextonormal"/>
    <w:uiPriority w:val="99"/>
    <w:rsid w:val="00D32086"/>
  </w:style>
  <w:style w:type="paragraph" w:customStyle="1" w:styleId="Lneadeasunto">
    <w:name w:val="Línea de asunto"/>
    <w:basedOn w:val="Normal"/>
    <w:rsid w:val="00D32086"/>
  </w:style>
  <w:style w:type="paragraph" w:styleId="Textoindependienteprimerasangra2">
    <w:name w:val="Body Text First Indent 2"/>
    <w:basedOn w:val="Sangradetextonormal"/>
    <w:link w:val="Textoindependienteprimerasangra2Car"/>
    <w:uiPriority w:val="99"/>
    <w:unhideWhenUsed/>
    <w:rsid w:val="00D32086"/>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D32086"/>
  </w:style>
  <w:style w:type="paragraph" w:customStyle="1" w:styleId="Citas">
    <w:name w:val="Citas"/>
    <w:basedOn w:val="Normal"/>
    <w:qFormat/>
    <w:rsid w:val="00457E98"/>
    <w:pPr>
      <w:spacing w:before="240" w:line="360" w:lineRule="auto"/>
      <w:ind w:left="851" w:right="851"/>
      <w:jc w:val="both"/>
    </w:pPr>
    <w:rPr>
      <w:rFonts w:ascii="Palatino Linotype" w:hAnsi="Palatino Linotype" w:cs="Arial"/>
      <w:i/>
    </w:rPr>
  </w:style>
  <w:style w:type="character" w:customStyle="1" w:styleId="Mencinsinresolver2">
    <w:name w:val="Mención sin resolver2"/>
    <w:basedOn w:val="Fuentedeprrafopredeter"/>
    <w:uiPriority w:val="99"/>
    <w:semiHidden/>
    <w:unhideWhenUsed/>
    <w:rsid w:val="003A46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2094">
      <w:bodyDiv w:val="1"/>
      <w:marLeft w:val="0"/>
      <w:marRight w:val="0"/>
      <w:marTop w:val="0"/>
      <w:marBottom w:val="0"/>
      <w:divBdr>
        <w:top w:val="none" w:sz="0" w:space="0" w:color="auto"/>
        <w:left w:val="none" w:sz="0" w:space="0" w:color="auto"/>
        <w:bottom w:val="none" w:sz="0" w:space="0" w:color="auto"/>
        <w:right w:val="none" w:sz="0" w:space="0" w:color="auto"/>
      </w:divBdr>
    </w:div>
    <w:div w:id="95640051">
      <w:bodyDiv w:val="1"/>
      <w:marLeft w:val="0"/>
      <w:marRight w:val="0"/>
      <w:marTop w:val="0"/>
      <w:marBottom w:val="0"/>
      <w:divBdr>
        <w:top w:val="none" w:sz="0" w:space="0" w:color="auto"/>
        <w:left w:val="none" w:sz="0" w:space="0" w:color="auto"/>
        <w:bottom w:val="none" w:sz="0" w:space="0" w:color="auto"/>
        <w:right w:val="none" w:sz="0" w:space="0" w:color="auto"/>
      </w:divBdr>
    </w:div>
    <w:div w:id="161239969">
      <w:bodyDiv w:val="1"/>
      <w:marLeft w:val="0"/>
      <w:marRight w:val="0"/>
      <w:marTop w:val="0"/>
      <w:marBottom w:val="0"/>
      <w:divBdr>
        <w:top w:val="none" w:sz="0" w:space="0" w:color="auto"/>
        <w:left w:val="none" w:sz="0" w:space="0" w:color="auto"/>
        <w:bottom w:val="none" w:sz="0" w:space="0" w:color="auto"/>
        <w:right w:val="none" w:sz="0" w:space="0" w:color="auto"/>
      </w:divBdr>
    </w:div>
    <w:div w:id="234828413">
      <w:bodyDiv w:val="1"/>
      <w:marLeft w:val="0"/>
      <w:marRight w:val="0"/>
      <w:marTop w:val="0"/>
      <w:marBottom w:val="0"/>
      <w:divBdr>
        <w:top w:val="none" w:sz="0" w:space="0" w:color="auto"/>
        <w:left w:val="none" w:sz="0" w:space="0" w:color="auto"/>
        <w:bottom w:val="none" w:sz="0" w:space="0" w:color="auto"/>
        <w:right w:val="none" w:sz="0" w:space="0" w:color="auto"/>
      </w:divBdr>
    </w:div>
    <w:div w:id="395054596">
      <w:bodyDiv w:val="1"/>
      <w:marLeft w:val="0"/>
      <w:marRight w:val="0"/>
      <w:marTop w:val="0"/>
      <w:marBottom w:val="0"/>
      <w:divBdr>
        <w:top w:val="none" w:sz="0" w:space="0" w:color="auto"/>
        <w:left w:val="none" w:sz="0" w:space="0" w:color="auto"/>
        <w:bottom w:val="none" w:sz="0" w:space="0" w:color="auto"/>
        <w:right w:val="none" w:sz="0" w:space="0" w:color="auto"/>
      </w:divBdr>
    </w:div>
    <w:div w:id="407575053">
      <w:bodyDiv w:val="1"/>
      <w:marLeft w:val="0"/>
      <w:marRight w:val="0"/>
      <w:marTop w:val="0"/>
      <w:marBottom w:val="0"/>
      <w:divBdr>
        <w:top w:val="none" w:sz="0" w:space="0" w:color="auto"/>
        <w:left w:val="none" w:sz="0" w:space="0" w:color="auto"/>
        <w:bottom w:val="none" w:sz="0" w:space="0" w:color="auto"/>
        <w:right w:val="none" w:sz="0" w:space="0" w:color="auto"/>
      </w:divBdr>
    </w:div>
    <w:div w:id="598829289">
      <w:bodyDiv w:val="1"/>
      <w:marLeft w:val="0"/>
      <w:marRight w:val="0"/>
      <w:marTop w:val="0"/>
      <w:marBottom w:val="0"/>
      <w:divBdr>
        <w:top w:val="none" w:sz="0" w:space="0" w:color="auto"/>
        <w:left w:val="none" w:sz="0" w:space="0" w:color="auto"/>
        <w:bottom w:val="none" w:sz="0" w:space="0" w:color="auto"/>
        <w:right w:val="none" w:sz="0" w:space="0" w:color="auto"/>
      </w:divBdr>
    </w:div>
    <w:div w:id="637758458">
      <w:bodyDiv w:val="1"/>
      <w:marLeft w:val="0"/>
      <w:marRight w:val="0"/>
      <w:marTop w:val="0"/>
      <w:marBottom w:val="0"/>
      <w:divBdr>
        <w:top w:val="none" w:sz="0" w:space="0" w:color="auto"/>
        <w:left w:val="none" w:sz="0" w:space="0" w:color="auto"/>
        <w:bottom w:val="none" w:sz="0" w:space="0" w:color="auto"/>
        <w:right w:val="none" w:sz="0" w:space="0" w:color="auto"/>
      </w:divBdr>
    </w:div>
    <w:div w:id="906645640">
      <w:bodyDiv w:val="1"/>
      <w:marLeft w:val="0"/>
      <w:marRight w:val="0"/>
      <w:marTop w:val="0"/>
      <w:marBottom w:val="0"/>
      <w:divBdr>
        <w:top w:val="none" w:sz="0" w:space="0" w:color="auto"/>
        <w:left w:val="none" w:sz="0" w:space="0" w:color="auto"/>
        <w:bottom w:val="none" w:sz="0" w:space="0" w:color="auto"/>
        <w:right w:val="none" w:sz="0" w:space="0" w:color="auto"/>
      </w:divBdr>
    </w:div>
    <w:div w:id="1239023658">
      <w:bodyDiv w:val="1"/>
      <w:marLeft w:val="0"/>
      <w:marRight w:val="0"/>
      <w:marTop w:val="0"/>
      <w:marBottom w:val="0"/>
      <w:divBdr>
        <w:top w:val="none" w:sz="0" w:space="0" w:color="auto"/>
        <w:left w:val="none" w:sz="0" w:space="0" w:color="auto"/>
        <w:bottom w:val="none" w:sz="0" w:space="0" w:color="auto"/>
        <w:right w:val="none" w:sz="0" w:space="0" w:color="auto"/>
      </w:divBdr>
    </w:div>
    <w:div w:id="1284843200">
      <w:bodyDiv w:val="1"/>
      <w:marLeft w:val="0"/>
      <w:marRight w:val="0"/>
      <w:marTop w:val="0"/>
      <w:marBottom w:val="0"/>
      <w:divBdr>
        <w:top w:val="none" w:sz="0" w:space="0" w:color="auto"/>
        <w:left w:val="none" w:sz="0" w:space="0" w:color="auto"/>
        <w:bottom w:val="none" w:sz="0" w:space="0" w:color="auto"/>
        <w:right w:val="none" w:sz="0" w:space="0" w:color="auto"/>
      </w:divBdr>
    </w:div>
    <w:div w:id="1371495381">
      <w:bodyDiv w:val="1"/>
      <w:marLeft w:val="0"/>
      <w:marRight w:val="0"/>
      <w:marTop w:val="0"/>
      <w:marBottom w:val="0"/>
      <w:divBdr>
        <w:top w:val="none" w:sz="0" w:space="0" w:color="auto"/>
        <w:left w:val="none" w:sz="0" w:space="0" w:color="auto"/>
        <w:bottom w:val="none" w:sz="0" w:space="0" w:color="auto"/>
        <w:right w:val="none" w:sz="0" w:space="0" w:color="auto"/>
      </w:divBdr>
    </w:div>
    <w:div w:id="1377776523">
      <w:bodyDiv w:val="1"/>
      <w:marLeft w:val="0"/>
      <w:marRight w:val="0"/>
      <w:marTop w:val="0"/>
      <w:marBottom w:val="0"/>
      <w:divBdr>
        <w:top w:val="none" w:sz="0" w:space="0" w:color="auto"/>
        <w:left w:val="none" w:sz="0" w:space="0" w:color="auto"/>
        <w:bottom w:val="none" w:sz="0" w:space="0" w:color="auto"/>
        <w:right w:val="none" w:sz="0" w:space="0" w:color="auto"/>
      </w:divBdr>
    </w:div>
    <w:div w:id="1386833383">
      <w:bodyDiv w:val="1"/>
      <w:marLeft w:val="0"/>
      <w:marRight w:val="0"/>
      <w:marTop w:val="0"/>
      <w:marBottom w:val="0"/>
      <w:divBdr>
        <w:top w:val="none" w:sz="0" w:space="0" w:color="auto"/>
        <w:left w:val="none" w:sz="0" w:space="0" w:color="auto"/>
        <w:bottom w:val="none" w:sz="0" w:space="0" w:color="auto"/>
        <w:right w:val="none" w:sz="0" w:space="0" w:color="auto"/>
      </w:divBdr>
    </w:div>
    <w:div w:id="1510414702">
      <w:bodyDiv w:val="1"/>
      <w:marLeft w:val="0"/>
      <w:marRight w:val="0"/>
      <w:marTop w:val="0"/>
      <w:marBottom w:val="0"/>
      <w:divBdr>
        <w:top w:val="none" w:sz="0" w:space="0" w:color="auto"/>
        <w:left w:val="none" w:sz="0" w:space="0" w:color="auto"/>
        <w:bottom w:val="none" w:sz="0" w:space="0" w:color="auto"/>
        <w:right w:val="none" w:sz="0" w:space="0" w:color="auto"/>
      </w:divBdr>
    </w:div>
    <w:div w:id="1723747056">
      <w:bodyDiv w:val="1"/>
      <w:marLeft w:val="0"/>
      <w:marRight w:val="0"/>
      <w:marTop w:val="0"/>
      <w:marBottom w:val="0"/>
      <w:divBdr>
        <w:top w:val="none" w:sz="0" w:space="0" w:color="auto"/>
        <w:left w:val="none" w:sz="0" w:space="0" w:color="auto"/>
        <w:bottom w:val="none" w:sz="0" w:space="0" w:color="auto"/>
        <w:right w:val="none" w:sz="0" w:space="0" w:color="auto"/>
      </w:divBdr>
    </w:div>
    <w:div w:id="1839148910">
      <w:bodyDiv w:val="1"/>
      <w:marLeft w:val="0"/>
      <w:marRight w:val="0"/>
      <w:marTop w:val="0"/>
      <w:marBottom w:val="0"/>
      <w:divBdr>
        <w:top w:val="none" w:sz="0" w:space="0" w:color="auto"/>
        <w:left w:val="none" w:sz="0" w:space="0" w:color="auto"/>
        <w:bottom w:val="none" w:sz="0" w:space="0" w:color="auto"/>
        <w:right w:val="none" w:sz="0" w:space="0" w:color="auto"/>
      </w:divBdr>
    </w:div>
    <w:div w:id="1841432460">
      <w:bodyDiv w:val="1"/>
      <w:marLeft w:val="0"/>
      <w:marRight w:val="0"/>
      <w:marTop w:val="0"/>
      <w:marBottom w:val="0"/>
      <w:divBdr>
        <w:top w:val="none" w:sz="0" w:space="0" w:color="auto"/>
        <w:left w:val="none" w:sz="0" w:space="0" w:color="auto"/>
        <w:bottom w:val="none" w:sz="0" w:space="0" w:color="auto"/>
        <w:right w:val="none" w:sz="0" w:space="0" w:color="auto"/>
      </w:divBdr>
    </w:div>
    <w:div w:id="2132238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javascript:AbrirModal(2)" TargetMode="External"/><Relationship Id="rId1" Type="http://schemas.openxmlformats.org/officeDocument/2006/relationships/hyperlink" Target="javascript:AbrirModal(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C3BAF-30DF-4331-A72C-C4B7DBA8D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40</Pages>
  <Words>10085</Words>
  <Characters>55468</Characters>
  <Application>Microsoft Office Word</Application>
  <DocSecurity>0</DocSecurity>
  <Lines>462</Lines>
  <Paragraphs>130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INFOEM557</cp:lastModifiedBy>
  <cp:revision>16</cp:revision>
  <cp:lastPrinted>2026-08-28T15:47:00Z</cp:lastPrinted>
  <dcterms:created xsi:type="dcterms:W3CDTF">2026-08-10T22:13:00Z</dcterms:created>
  <dcterms:modified xsi:type="dcterms:W3CDTF">2026-08-28T17:31:00Z</dcterms:modified>
</cp:coreProperties>
</file>