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302" w:rsidRDefault="006B3302">
      <w:pPr>
        <w:widowControl w:val="0"/>
        <w:pBdr>
          <w:top w:val="nil"/>
          <w:left w:val="nil"/>
          <w:bottom w:val="nil"/>
          <w:right w:val="nil"/>
          <w:between w:val="nil"/>
        </w:pBdr>
        <w:spacing w:line="276" w:lineRule="auto"/>
      </w:pPr>
    </w:p>
    <w:p w:rsidR="006B3302" w:rsidRPr="00850128" w:rsidRDefault="004A41A5">
      <w:pPr>
        <w:tabs>
          <w:tab w:val="left" w:pos="3465"/>
        </w:tabs>
        <w:spacing w:line="360" w:lineRule="auto"/>
        <w:ind w:right="49"/>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50128">
        <w:rPr>
          <w:rFonts w:ascii="Palatino Linotype" w:eastAsia="Palatino Linotype" w:hAnsi="Palatino Linotype" w:cs="Palatino Linotype"/>
        </w:rPr>
        <w:t>diecinueve</w:t>
      </w:r>
      <w:r w:rsidRPr="00850128">
        <w:rPr>
          <w:rFonts w:ascii="Palatino Linotype" w:eastAsia="Palatino Linotype" w:hAnsi="Palatino Linotype" w:cs="Palatino Linotype"/>
        </w:rPr>
        <w:t xml:space="preserve"> de marzo de dos mil veintiséis.</w:t>
      </w:r>
    </w:p>
    <w:p w:rsidR="006B3302" w:rsidRPr="00850128" w:rsidRDefault="006B3302">
      <w:pPr>
        <w:tabs>
          <w:tab w:val="left" w:pos="3465"/>
        </w:tabs>
        <w:spacing w:line="360" w:lineRule="auto"/>
        <w:ind w:right="49"/>
        <w:jc w:val="both"/>
        <w:rPr>
          <w:rFonts w:ascii="Palatino Linotype" w:eastAsia="Palatino Linotype" w:hAnsi="Palatino Linotype" w:cs="Palatino Linotype"/>
        </w:rPr>
      </w:pPr>
    </w:p>
    <w:p w:rsidR="006B3302" w:rsidRPr="00850128" w:rsidRDefault="004A41A5">
      <w:pPr>
        <w:spacing w:line="360" w:lineRule="auto"/>
        <w:ind w:right="49"/>
        <w:jc w:val="both"/>
        <w:rPr>
          <w:rFonts w:ascii="Palatino Linotype" w:eastAsia="Palatino Linotype" w:hAnsi="Palatino Linotype" w:cs="Palatino Linotype"/>
        </w:rPr>
      </w:pPr>
      <w:r w:rsidRPr="00850128">
        <w:rPr>
          <w:rFonts w:ascii="Palatino Linotype" w:eastAsia="Palatino Linotype" w:hAnsi="Palatino Linotype" w:cs="Palatino Linotype"/>
          <w:b/>
          <w:bCs/>
        </w:rPr>
        <w:t xml:space="preserve">VISTAS </w:t>
      </w:r>
      <w:r w:rsidRPr="00850128">
        <w:rPr>
          <w:rFonts w:ascii="Palatino Linotype" w:eastAsia="Palatino Linotype" w:hAnsi="Palatino Linotype" w:cs="Palatino Linotype"/>
        </w:rPr>
        <w:t xml:space="preserve">las constancias para resolver el Recurso de Revisión </w:t>
      </w:r>
      <w:r w:rsidRPr="00850128">
        <w:rPr>
          <w:rFonts w:ascii="Palatino Linotype" w:eastAsia="Palatino Linotype" w:hAnsi="Palatino Linotype" w:cs="Palatino Linotype"/>
          <w:b/>
          <w:bCs/>
        </w:rPr>
        <w:t>13263/INFOEM/IP/RR/2025,</w:t>
      </w:r>
      <w:r w:rsidRPr="00850128">
        <w:rPr>
          <w:rFonts w:ascii="Palatino Linotype" w:eastAsia="Palatino Linotype" w:hAnsi="Palatino Linotype" w:cs="Palatino Linotype"/>
        </w:rPr>
        <w:t xml:space="preserve"> presentado por</w:t>
      </w:r>
      <w:r w:rsidRPr="00850128">
        <w:rPr>
          <w:rFonts w:ascii="Palatino Linotype" w:eastAsia="Palatino Linotype" w:hAnsi="Palatino Linotype" w:cs="Palatino Linotype"/>
          <w:b/>
          <w:bCs/>
          <w:i/>
          <w:iCs/>
        </w:rPr>
        <w:t xml:space="preserve"> </w:t>
      </w:r>
      <w:r w:rsidR="00E3765C">
        <w:rPr>
          <w:rFonts w:ascii="Palatino Linotype" w:eastAsia="Palatino Linotype" w:hAnsi="Palatino Linotype" w:cs="Palatino Linotype"/>
          <w:b/>
          <w:bCs/>
          <w:iCs/>
        </w:rPr>
        <w:t>XXXX</w:t>
      </w:r>
      <w:r w:rsidRPr="00850128">
        <w:rPr>
          <w:rFonts w:ascii="Palatino Linotype" w:eastAsia="Palatino Linotype" w:hAnsi="Palatino Linotype" w:cs="Palatino Linotype"/>
          <w:b/>
          <w:bCs/>
        </w:rPr>
        <w:t>,</w:t>
      </w:r>
      <w:r w:rsidRPr="00850128">
        <w:rPr>
          <w:rFonts w:ascii="Palatino Linotype" w:eastAsia="Palatino Linotype" w:hAnsi="Palatino Linotype" w:cs="Palatino Linotype"/>
        </w:rPr>
        <w:t xml:space="preserve"> a quien en lo sucesivo se denominará </w:t>
      </w:r>
      <w:r w:rsidRPr="00850128">
        <w:rPr>
          <w:rFonts w:ascii="Palatino Linotype" w:eastAsia="Palatino Linotype" w:hAnsi="Palatino Linotype" w:cs="Palatino Linotype"/>
          <w:b/>
          <w:bCs/>
        </w:rPr>
        <w:t>EL RECURRENTE</w:t>
      </w:r>
      <w:r w:rsidRPr="00850128">
        <w:rPr>
          <w:rFonts w:ascii="Palatino Linotype" w:eastAsia="Palatino Linotype" w:hAnsi="Palatino Linotype" w:cs="Palatino Linotype"/>
        </w:rPr>
        <w:t xml:space="preserve">, en contra de la respuesta otorgada a la Solicitud de Información con número de folio </w:t>
      </w:r>
      <w:r w:rsidRPr="00850128">
        <w:rPr>
          <w:rFonts w:ascii="Palatino Linotype" w:eastAsia="Palatino Linotype" w:hAnsi="Palatino Linotype" w:cs="Palatino Linotype"/>
          <w:b/>
          <w:bCs/>
        </w:rPr>
        <w:t>05370/TOLUCA/IP/2025</w:t>
      </w:r>
      <w:r w:rsidRPr="00850128">
        <w:rPr>
          <w:rFonts w:ascii="Palatino Linotype" w:eastAsia="Palatino Linotype" w:hAnsi="Palatino Linotype" w:cs="Palatino Linotype"/>
        </w:rPr>
        <w:t xml:space="preserve">, por parte de la </w:t>
      </w:r>
      <w:r w:rsidRPr="00850128">
        <w:rPr>
          <w:rFonts w:ascii="Palatino Linotype" w:eastAsia="Palatino Linotype" w:hAnsi="Palatino Linotype" w:cs="Palatino Linotype"/>
          <w:b/>
          <w:bCs/>
        </w:rPr>
        <w:t xml:space="preserve">Ayuntamiento de Toluca, </w:t>
      </w:r>
      <w:r w:rsidRPr="00850128">
        <w:rPr>
          <w:rFonts w:ascii="Palatino Linotype" w:eastAsia="Palatino Linotype" w:hAnsi="Palatino Linotype" w:cs="Palatino Linotype"/>
        </w:rPr>
        <w:t xml:space="preserve">en adelante </w:t>
      </w:r>
      <w:r w:rsidRPr="00850128">
        <w:rPr>
          <w:rFonts w:ascii="Palatino Linotype" w:eastAsia="Palatino Linotype" w:hAnsi="Palatino Linotype" w:cs="Palatino Linotype"/>
          <w:b/>
          <w:bCs/>
        </w:rPr>
        <w:t>EL SUJETO OBLIGADO,</w:t>
      </w:r>
      <w:r w:rsidRPr="00850128">
        <w:rPr>
          <w:rFonts w:ascii="Palatino Linotype" w:eastAsia="Palatino Linotype" w:hAnsi="Palatino Linotype" w:cs="Palatino Linotype"/>
        </w:rPr>
        <w:t xml:space="preserve"> se emite la presente Resolución con base en los siguientes:</w:t>
      </w:r>
    </w:p>
    <w:p w:rsidR="006B3302" w:rsidRPr="00850128" w:rsidRDefault="006B3302">
      <w:pPr>
        <w:spacing w:line="360" w:lineRule="auto"/>
        <w:ind w:right="49"/>
        <w:jc w:val="both"/>
        <w:rPr>
          <w:rFonts w:ascii="Palatino Linotype" w:eastAsia="Palatino Linotype" w:hAnsi="Palatino Linotype" w:cs="Palatino Linotype"/>
        </w:rPr>
      </w:pPr>
    </w:p>
    <w:p w:rsidR="006B3302" w:rsidRPr="00850128" w:rsidRDefault="004A41A5">
      <w:pPr>
        <w:pStyle w:val="Ttulo1"/>
        <w:spacing w:before="0" w:line="360" w:lineRule="auto"/>
        <w:ind w:right="49"/>
        <w:jc w:val="center"/>
        <w:rPr>
          <w:rFonts w:ascii="Palatino Linotype" w:eastAsia="Palatino Linotype" w:hAnsi="Palatino Linotype" w:cs="Palatino Linotype"/>
          <w:b/>
          <w:bCs/>
          <w:color w:val="000000"/>
          <w:sz w:val="24"/>
          <w:szCs w:val="24"/>
        </w:rPr>
      </w:pPr>
      <w:bookmarkStart w:id="0" w:name="_heading=h.gjdgxs" w:colFirst="0" w:colLast="0"/>
      <w:bookmarkEnd w:id="0"/>
      <w:r w:rsidRPr="00850128">
        <w:rPr>
          <w:rFonts w:ascii="Palatino Linotype" w:eastAsia="Palatino Linotype" w:hAnsi="Palatino Linotype" w:cs="Palatino Linotype"/>
          <w:b/>
          <w:bCs/>
          <w:color w:val="000000"/>
          <w:sz w:val="24"/>
          <w:szCs w:val="24"/>
        </w:rPr>
        <w:t>A N T E C E D E N T E S</w:t>
      </w:r>
    </w:p>
    <w:p w:rsidR="006B3302" w:rsidRPr="00850128" w:rsidRDefault="006B3302">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u w:val="single"/>
        </w:rPr>
      </w:pPr>
    </w:p>
    <w:p w:rsidR="006B3302" w:rsidRPr="00850128" w:rsidRDefault="004A41A5">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El día</w:t>
      </w:r>
      <w:r w:rsidRPr="00850128">
        <w:rPr>
          <w:rFonts w:ascii="Palatino Linotype" w:eastAsia="Palatino Linotype" w:hAnsi="Palatino Linotype" w:cs="Palatino Linotype"/>
          <w:b/>
          <w:bCs/>
          <w:color w:val="000000"/>
        </w:rPr>
        <w:t xml:space="preserve"> veintisiete de octubre dos mil veinticinco</w:t>
      </w:r>
      <w:r w:rsidRPr="00850128">
        <w:rPr>
          <w:rFonts w:ascii="Palatino Linotype" w:eastAsia="Palatino Linotype" w:hAnsi="Palatino Linotype" w:cs="Palatino Linotype"/>
          <w:color w:val="000000"/>
        </w:rPr>
        <w:t>,</w:t>
      </w:r>
      <w:r w:rsidRPr="00850128">
        <w:rPr>
          <w:rFonts w:ascii="Palatino Linotype" w:eastAsia="Palatino Linotype" w:hAnsi="Palatino Linotype" w:cs="Palatino Linotype"/>
          <w:b/>
          <w:bCs/>
          <w:color w:val="000000"/>
        </w:rPr>
        <w:t xml:space="preserve"> </w:t>
      </w:r>
      <w:r w:rsidRPr="00850128">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6B3302" w:rsidRPr="00850128" w:rsidRDefault="006B3302">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B3302" w:rsidRPr="00850128" w:rsidRDefault="004A41A5">
      <w:pPr>
        <w:pBdr>
          <w:top w:val="nil"/>
          <w:left w:val="nil"/>
          <w:bottom w:val="nil"/>
          <w:right w:val="nil"/>
          <w:between w:val="nil"/>
        </w:pBdr>
        <w:spacing w:line="360" w:lineRule="auto"/>
        <w:ind w:left="425" w:right="333"/>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i/>
          <w:iCs/>
          <w:color w:val="000000"/>
        </w:rPr>
        <w:t>“</w:t>
      </w:r>
      <w:r w:rsidRPr="00850128">
        <w:rPr>
          <w:rFonts w:ascii="Palatino Linotype" w:eastAsia="Palatino Linotype" w:hAnsi="Palatino Linotype" w:cs="Palatino Linotype"/>
          <w:i/>
          <w:iCs/>
        </w:rPr>
        <w:t>se solicitan las lista de asistencia del año 2024 de la Consejería Jurídica en versión publica</w:t>
      </w:r>
      <w:r w:rsidRPr="00850128">
        <w:rPr>
          <w:rFonts w:ascii="Palatino Linotype" w:eastAsia="Palatino Linotype" w:hAnsi="Palatino Linotype" w:cs="Palatino Linotype"/>
          <w:i/>
          <w:iCs/>
          <w:color w:val="000000"/>
        </w:rPr>
        <w:t>”</w:t>
      </w:r>
      <w:bookmarkStart w:id="1" w:name="_GoBack"/>
      <w:bookmarkEnd w:id="1"/>
    </w:p>
    <w:p w:rsidR="006B3302" w:rsidRPr="00850128" w:rsidRDefault="006B3302">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rsidR="006B3302" w:rsidRPr="00850128" w:rsidRDefault="004A41A5">
      <w:pPr>
        <w:numPr>
          <w:ilvl w:val="0"/>
          <w:numId w:val="2"/>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Se eligió como modalidad de entrega de la información: </w:t>
      </w:r>
      <w:r w:rsidRPr="00850128">
        <w:rPr>
          <w:rFonts w:ascii="Palatino Linotype" w:eastAsia="Palatino Linotype" w:hAnsi="Palatino Linotype" w:cs="Palatino Linotype"/>
          <w:b/>
          <w:bCs/>
          <w:color w:val="000000"/>
        </w:rPr>
        <w:t>a través de SAIMEX</w:t>
      </w:r>
    </w:p>
    <w:p w:rsidR="006B3302" w:rsidRPr="00850128" w:rsidRDefault="004A41A5">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rPr>
      </w:pPr>
      <w:r w:rsidRPr="00850128">
        <w:rPr>
          <w:rFonts w:ascii="Palatino Linotype" w:eastAsia="Palatino Linotype" w:hAnsi="Palatino Linotype" w:cs="Palatino Linotype"/>
          <w:color w:val="000000"/>
        </w:rPr>
        <w:lastRenderedPageBreak/>
        <w:t xml:space="preserve">El </w:t>
      </w:r>
      <w:r w:rsidRPr="00850128">
        <w:rPr>
          <w:rFonts w:ascii="Palatino Linotype" w:eastAsia="Palatino Linotype" w:hAnsi="Palatino Linotype" w:cs="Palatino Linotype"/>
          <w:b/>
          <w:bCs/>
          <w:color w:val="000000"/>
        </w:rPr>
        <w:t>dieciocho de noviembre de dos mil veinticinco</w:t>
      </w:r>
      <w:r w:rsidRPr="00850128">
        <w:rPr>
          <w:rFonts w:ascii="Palatino Linotype" w:eastAsia="Palatino Linotype" w:hAnsi="Palatino Linotype" w:cs="Palatino Linotype"/>
          <w:color w:val="000000"/>
        </w:rPr>
        <w:t xml:space="preserve">, </w:t>
      </w:r>
      <w:r w:rsidRPr="00850128">
        <w:rPr>
          <w:rFonts w:ascii="Palatino Linotype" w:eastAsia="Palatino Linotype" w:hAnsi="Palatino Linotype" w:cs="Palatino Linotype"/>
        </w:rPr>
        <w:t xml:space="preserve">el </w:t>
      </w:r>
      <w:r w:rsidRPr="00850128">
        <w:rPr>
          <w:rFonts w:ascii="Palatino Linotype" w:eastAsia="Palatino Linotype" w:hAnsi="Palatino Linotype" w:cs="Palatino Linotype"/>
          <w:b/>
          <w:bCs/>
        </w:rPr>
        <w:t xml:space="preserve">SUJETO OBLIGADO </w:t>
      </w:r>
      <w:r w:rsidRPr="00850128">
        <w:rPr>
          <w:rFonts w:ascii="Palatino Linotype" w:eastAsia="Palatino Linotype" w:hAnsi="Palatino Linotype" w:cs="Palatino Linotype"/>
        </w:rPr>
        <w:t xml:space="preserve">dio respuesta a la solicitud de acceso a la información a través de SAIMEX, mediante un archivo electrónico denominado </w:t>
      </w:r>
      <w:r w:rsidRPr="00850128">
        <w:rPr>
          <w:rFonts w:ascii="Palatino Linotype" w:eastAsia="Palatino Linotype" w:hAnsi="Palatino Linotype" w:cs="Palatino Linotype"/>
          <w:b/>
          <w:bCs/>
          <w:i/>
          <w:iCs/>
        </w:rPr>
        <w:t>NOTIF. CIUDADANO S. 5370.pdf</w:t>
      </w:r>
      <w:r w:rsidRPr="00850128">
        <w:rPr>
          <w:rFonts w:ascii="Palatino Linotype" w:eastAsia="Palatino Linotype" w:hAnsi="Palatino Linotype" w:cs="Palatino Linotype"/>
        </w:rPr>
        <w:t>, cuyo contenido de manera general corresponde a un oficio signado por la Directora General de Administración, a través del cual informa que después de una búsqueda en los archivos que guarda esa Dirección, no se encontró registro alguno de lo solicitado.</w:t>
      </w:r>
    </w:p>
    <w:p w:rsidR="006B3302" w:rsidRPr="00850128" w:rsidRDefault="006B330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6B3302" w:rsidRPr="00850128" w:rsidRDefault="004A41A5">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color w:val="000000"/>
        </w:rPr>
        <w:t>El</w:t>
      </w:r>
      <w:r w:rsidRPr="00850128">
        <w:rPr>
          <w:rFonts w:ascii="Palatino Linotype" w:eastAsia="Palatino Linotype" w:hAnsi="Palatino Linotype" w:cs="Palatino Linotype"/>
          <w:b/>
          <w:bCs/>
          <w:color w:val="000000"/>
        </w:rPr>
        <w:t xml:space="preserve"> </w:t>
      </w:r>
      <w:r w:rsidRPr="00850128">
        <w:rPr>
          <w:rFonts w:ascii="Palatino Linotype" w:eastAsia="Palatino Linotype" w:hAnsi="Palatino Linotype" w:cs="Palatino Linotype"/>
          <w:b/>
          <w:bCs/>
        </w:rPr>
        <w:t xml:space="preserve">veinticinco de agosto de dos mil veinticinco, </w:t>
      </w:r>
      <w:r w:rsidRPr="00850128">
        <w:rPr>
          <w:rFonts w:ascii="Palatino Linotype" w:eastAsia="Palatino Linotype" w:hAnsi="Palatino Linotype" w:cs="Palatino Linotype"/>
        </w:rPr>
        <w:t xml:space="preserve">la parte </w:t>
      </w:r>
      <w:r w:rsidRPr="00850128">
        <w:rPr>
          <w:rFonts w:ascii="Palatino Linotype" w:eastAsia="Palatino Linotype" w:hAnsi="Palatino Linotype" w:cs="Palatino Linotype"/>
          <w:b/>
          <w:bCs/>
        </w:rPr>
        <w:t>Recurrente</w:t>
      </w:r>
      <w:r w:rsidRPr="00850128">
        <w:rPr>
          <w:rFonts w:ascii="Palatino Linotype" w:eastAsia="Palatino Linotype" w:hAnsi="Palatino Linotype" w:cs="Palatino Linotype"/>
        </w:rPr>
        <w:t xml:space="preserve"> interpuso el recurso de revisión a través de </w:t>
      </w:r>
      <w:r w:rsidRPr="00850128">
        <w:rPr>
          <w:rFonts w:ascii="Palatino Linotype" w:eastAsia="Palatino Linotype" w:hAnsi="Palatino Linotype" w:cs="Palatino Linotype"/>
          <w:b/>
          <w:bCs/>
        </w:rPr>
        <w:t xml:space="preserve">SAIMEX, </w:t>
      </w:r>
      <w:r w:rsidRPr="00850128">
        <w:rPr>
          <w:rFonts w:ascii="Palatino Linotype" w:eastAsia="Palatino Linotype" w:hAnsi="Palatino Linotype" w:cs="Palatino Linotype"/>
        </w:rPr>
        <w:t>en donde se manifestó lo siguiente:</w:t>
      </w:r>
    </w:p>
    <w:p w:rsidR="006B3302" w:rsidRPr="00850128" w:rsidRDefault="006B330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6B3302" w:rsidRPr="00850128" w:rsidRDefault="004A41A5">
      <w:pPr>
        <w:tabs>
          <w:tab w:val="left" w:pos="2745"/>
        </w:tabs>
        <w:spacing w:line="360" w:lineRule="auto"/>
        <w:ind w:left="709" w:right="616"/>
        <w:jc w:val="both"/>
        <w:rPr>
          <w:rFonts w:ascii="Palatino Linotype" w:eastAsia="Palatino Linotype" w:hAnsi="Palatino Linotype" w:cs="Palatino Linotype"/>
          <w:b/>
          <w:bCs/>
        </w:rPr>
      </w:pPr>
      <w:r w:rsidRPr="00850128">
        <w:rPr>
          <w:rFonts w:ascii="Palatino Linotype" w:eastAsia="Palatino Linotype" w:hAnsi="Palatino Linotype" w:cs="Palatino Linotype"/>
          <w:b/>
          <w:bCs/>
        </w:rPr>
        <w:t xml:space="preserve">Acto impugnado: </w:t>
      </w:r>
    </w:p>
    <w:p w:rsidR="006B3302" w:rsidRPr="00850128" w:rsidRDefault="004A41A5">
      <w:pPr>
        <w:tabs>
          <w:tab w:val="left" w:pos="2745"/>
        </w:tabs>
        <w:spacing w:line="360" w:lineRule="auto"/>
        <w:ind w:left="709"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“Negativa de la información”</w:t>
      </w:r>
    </w:p>
    <w:p w:rsidR="006B3302" w:rsidRPr="00850128" w:rsidRDefault="006B3302">
      <w:pPr>
        <w:tabs>
          <w:tab w:val="left" w:pos="2745"/>
        </w:tabs>
        <w:spacing w:line="360" w:lineRule="auto"/>
        <w:ind w:left="709" w:right="616"/>
        <w:jc w:val="both"/>
        <w:rPr>
          <w:rFonts w:ascii="Palatino Linotype" w:eastAsia="Palatino Linotype" w:hAnsi="Palatino Linotype" w:cs="Palatino Linotype"/>
          <w:i/>
          <w:iCs/>
        </w:rPr>
      </w:pPr>
    </w:p>
    <w:p w:rsidR="006B3302" w:rsidRPr="00850128" w:rsidRDefault="004A41A5">
      <w:pPr>
        <w:spacing w:line="360" w:lineRule="auto"/>
        <w:ind w:left="709" w:right="616"/>
        <w:jc w:val="both"/>
        <w:rPr>
          <w:rFonts w:ascii="Palatino Linotype" w:eastAsia="Palatino Linotype" w:hAnsi="Palatino Linotype" w:cs="Palatino Linotype"/>
        </w:rPr>
      </w:pPr>
      <w:bookmarkStart w:id="2" w:name="_heading=h.30j0zll" w:colFirst="0" w:colLast="0"/>
      <w:bookmarkEnd w:id="2"/>
      <w:r w:rsidRPr="00850128">
        <w:rPr>
          <w:rFonts w:ascii="Palatino Linotype" w:eastAsia="Palatino Linotype" w:hAnsi="Palatino Linotype" w:cs="Palatino Linotype"/>
          <w:b/>
          <w:bCs/>
        </w:rPr>
        <w:t>Razones o motivos de inconformidad</w:t>
      </w:r>
      <w:r w:rsidRPr="00850128">
        <w:rPr>
          <w:rFonts w:ascii="Palatino Linotype" w:eastAsia="Palatino Linotype" w:hAnsi="Palatino Linotype" w:cs="Palatino Linotype"/>
        </w:rPr>
        <w:t>:</w:t>
      </w:r>
    </w:p>
    <w:p w:rsidR="006B3302" w:rsidRPr="00850128" w:rsidRDefault="004A41A5">
      <w:pPr>
        <w:tabs>
          <w:tab w:val="left" w:pos="2745"/>
        </w:tabs>
        <w:spacing w:line="360" w:lineRule="auto"/>
        <w:ind w:left="709"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“La negativa de la información, a sabiendas de que si existen las listas de asistencia o formatos de asistencia o como le quieran llamar a la información, Nuevamente se pide que se entreguen en versión publica las lista de asistencia de la Consejeria Jurídica del año 2024 en las que se registraban la asistencias de los trabajadores antes de que implentaran su biometrico</w:t>
      </w:r>
      <w:r w:rsidRPr="00850128">
        <w:rPr>
          <w:rFonts w:ascii="Palatino Linotype" w:eastAsia="Palatino Linotype" w:hAnsi="Palatino Linotype" w:cs="Palatino Linotype"/>
          <w:b/>
          <w:bCs/>
          <w:i/>
          <w:iCs/>
        </w:rPr>
        <w:t>”</w:t>
      </w:r>
    </w:p>
    <w:p w:rsidR="006B3302" w:rsidRPr="00850128" w:rsidRDefault="006B3302">
      <w:pPr>
        <w:pBdr>
          <w:top w:val="nil"/>
          <w:left w:val="nil"/>
          <w:bottom w:val="nil"/>
          <w:right w:val="nil"/>
          <w:between w:val="nil"/>
        </w:pBdr>
        <w:spacing w:line="360" w:lineRule="auto"/>
        <w:ind w:left="709" w:right="49"/>
        <w:jc w:val="both"/>
        <w:rPr>
          <w:rFonts w:ascii="Palatino Linotype" w:eastAsia="Palatino Linotype" w:hAnsi="Palatino Linotype" w:cs="Palatino Linotype"/>
          <w:i/>
          <w:iCs/>
          <w:color w:val="000000"/>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rPr>
        <w:t>Con fecha</w:t>
      </w:r>
      <w:r w:rsidRPr="00850128">
        <w:rPr>
          <w:rFonts w:ascii="Palatino Linotype" w:eastAsia="Palatino Linotype" w:hAnsi="Palatino Linotype" w:cs="Palatino Linotype"/>
          <w:b/>
          <w:bCs/>
        </w:rPr>
        <w:t xml:space="preserve"> uno de diciembre dos mil veinticinco, </w:t>
      </w:r>
      <w:r w:rsidRPr="00850128">
        <w:rPr>
          <w:rFonts w:ascii="Palatino Linotype" w:eastAsia="Palatino Linotype" w:hAnsi="Palatino Linotype" w:cs="Palatino Linotype"/>
        </w:rPr>
        <w:t xml:space="preserve">este Instituto de Transparencia, Acceso a la Información Pública y Protección de Datos Personales </w:t>
      </w:r>
      <w:r w:rsidRPr="00850128">
        <w:rPr>
          <w:rFonts w:ascii="Palatino Linotype" w:eastAsia="Palatino Linotype" w:hAnsi="Palatino Linotype" w:cs="Palatino Linotype"/>
        </w:rPr>
        <w:lastRenderedPageBreak/>
        <w:t xml:space="preserve">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50128">
        <w:rPr>
          <w:rFonts w:ascii="Palatino Linotype" w:eastAsia="Palatino Linotype" w:hAnsi="Palatino Linotype" w:cs="Palatino Linotype"/>
          <w:b/>
          <w:bCs/>
        </w:rPr>
        <w:t xml:space="preserve">Sujeto Obligado </w:t>
      </w:r>
      <w:r w:rsidRPr="00850128">
        <w:rPr>
          <w:rFonts w:ascii="Palatino Linotype" w:eastAsia="Palatino Linotype" w:hAnsi="Palatino Linotype" w:cs="Palatino Linotype"/>
        </w:rPr>
        <w:t>presentara su informe justificado.</w:t>
      </w:r>
    </w:p>
    <w:p w:rsidR="006B3302" w:rsidRPr="00850128" w:rsidRDefault="006B3302">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850128">
        <w:rPr>
          <w:rFonts w:ascii="Palatino Linotype" w:eastAsia="Palatino Linotype" w:hAnsi="Palatino Linotype" w:cs="Palatino Linotype"/>
          <w:color w:val="000000"/>
        </w:rPr>
        <w:t>El</w:t>
      </w:r>
      <w:r w:rsidRPr="00850128">
        <w:rPr>
          <w:rFonts w:ascii="Palatino Linotype" w:eastAsia="Palatino Linotype" w:hAnsi="Palatino Linotype" w:cs="Palatino Linotype"/>
          <w:b/>
          <w:bCs/>
          <w:color w:val="000000"/>
        </w:rPr>
        <w:t xml:space="preserve"> SUJETO </w:t>
      </w:r>
      <w:r w:rsidRPr="00850128">
        <w:rPr>
          <w:rFonts w:ascii="Palatino Linotype" w:eastAsia="Palatino Linotype" w:hAnsi="Palatino Linotype" w:cs="Palatino Linotype"/>
          <w:b/>
          <w:bCs/>
        </w:rPr>
        <w:t>OBLIGADO</w:t>
      </w:r>
      <w:r w:rsidRPr="00850128">
        <w:rPr>
          <w:rFonts w:ascii="Palatino Linotype" w:eastAsia="Palatino Linotype" w:hAnsi="Palatino Linotype" w:cs="Palatino Linotype"/>
          <w:b/>
          <w:bCs/>
          <w:color w:val="000000"/>
        </w:rPr>
        <w:t xml:space="preserve"> </w:t>
      </w:r>
      <w:r w:rsidRPr="00850128">
        <w:rPr>
          <w:rFonts w:ascii="Palatino Linotype" w:eastAsia="Palatino Linotype" w:hAnsi="Palatino Linotype" w:cs="Palatino Linotype"/>
          <w:color w:val="000000"/>
        </w:rPr>
        <w:t xml:space="preserve">el día </w:t>
      </w:r>
      <w:r w:rsidRPr="00850128">
        <w:rPr>
          <w:rFonts w:ascii="Palatino Linotype" w:eastAsia="Palatino Linotype" w:hAnsi="Palatino Linotype" w:cs="Palatino Linotype"/>
          <w:b/>
          <w:bCs/>
          <w:color w:val="000000"/>
        </w:rPr>
        <w:t xml:space="preserve">nueve de marzo de dos </w:t>
      </w:r>
      <w:r w:rsidRPr="00850128">
        <w:rPr>
          <w:rFonts w:ascii="Palatino Linotype" w:eastAsia="Palatino Linotype" w:hAnsi="Palatino Linotype" w:cs="Palatino Linotype"/>
          <w:b/>
          <w:bCs/>
        </w:rPr>
        <w:t>mil</w:t>
      </w:r>
      <w:r w:rsidRPr="00850128">
        <w:rPr>
          <w:rFonts w:ascii="Palatino Linotype" w:eastAsia="Palatino Linotype" w:hAnsi="Palatino Linotype" w:cs="Palatino Linotype"/>
          <w:b/>
          <w:bCs/>
          <w:color w:val="000000"/>
        </w:rPr>
        <w:t xml:space="preserve"> veinticinco </w:t>
      </w:r>
      <w:r w:rsidRPr="00850128">
        <w:rPr>
          <w:rFonts w:ascii="Palatino Linotype" w:eastAsia="Palatino Linotype" w:hAnsi="Palatino Linotype" w:cs="Palatino Linotype"/>
          <w:color w:val="000000"/>
        </w:rPr>
        <w:t>rindió informe justificado por medio de un escrito signado por el Titular de la Unidad de Transparencia a través del cual informa que se ratifica a la respuesta emitida por la Dirección General de Administración y Servidor Público Habilitado del 18 de noviembre de 2025, a la solicitud 05370/TOLUCA/IP/2025, relacionada con el Recurso de Revisión 13263/INFOEM/IP/RR/2025.</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b/>
          <w:bCs/>
          <w:color w:val="000000"/>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850128">
        <w:rPr>
          <w:rFonts w:ascii="Palatino Linotype" w:eastAsia="Palatino Linotype" w:hAnsi="Palatino Linotype" w:cs="Palatino Linotype"/>
          <w:color w:val="000000"/>
        </w:rPr>
        <w:t xml:space="preserve">Seguidamente en fecha </w:t>
      </w:r>
      <w:r w:rsidRPr="00850128">
        <w:rPr>
          <w:rFonts w:ascii="Palatino Linotype" w:eastAsia="Palatino Linotype" w:hAnsi="Palatino Linotype" w:cs="Palatino Linotype"/>
          <w:b/>
          <w:bCs/>
          <w:color w:val="000000"/>
        </w:rPr>
        <w:t>diez de marzo de dos mil veintiséis</w:t>
      </w:r>
      <w:r w:rsidRPr="00850128">
        <w:rPr>
          <w:rFonts w:ascii="Palatino Linotype" w:eastAsia="Palatino Linotype" w:hAnsi="Palatino Linotype" w:cs="Palatino Linotype"/>
          <w:color w:val="000000"/>
        </w:rPr>
        <w:t xml:space="preserve">, se amplió el termino para resolver, consecutivamente se decretó el cierre de instrucción mediante Acuerdo de día </w:t>
      </w:r>
      <w:r w:rsidRPr="00850128">
        <w:rPr>
          <w:rFonts w:ascii="Palatino Linotype" w:eastAsia="Palatino Linotype" w:hAnsi="Palatino Linotype" w:cs="Palatino Linotype"/>
          <w:b/>
          <w:bCs/>
          <w:color w:val="000000"/>
        </w:rPr>
        <w:t>trece de marzo del año en curso</w:t>
      </w:r>
      <w:r w:rsidRPr="00850128">
        <w:rPr>
          <w:rFonts w:ascii="Palatino Linotype" w:eastAsia="Palatino Linotype" w:hAnsi="Palatino Linotype" w:cs="Palatino Linotype"/>
          <w:color w:val="000000"/>
        </w:rPr>
        <w:t>, por lo que no habiendo más que hacer constar, y-----------------------------------------------------------------------------</w:t>
      </w:r>
    </w:p>
    <w:p w:rsidR="006B3302" w:rsidRPr="00850128" w:rsidRDefault="006B3302">
      <w:pPr>
        <w:pBdr>
          <w:top w:val="nil"/>
          <w:left w:val="nil"/>
          <w:bottom w:val="nil"/>
          <w:right w:val="nil"/>
          <w:between w:val="nil"/>
        </w:pBdr>
        <w:spacing w:line="360" w:lineRule="auto"/>
        <w:ind w:left="720" w:right="49"/>
        <w:jc w:val="center"/>
        <w:rPr>
          <w:rFonts w:ascii="Palatino Linotype" w:eastAsia="Palatino Linotype" w:hAnsi="Palatino Linotype" w:cs="Palatino Linotype"/>
          <w:b/>
          <w:bCs/>
          <w:color w:val="000000"/>
        </w:rPr>
      </w:pPr>
    </w:p>
    <w:p w:rsidR="006B3302" w:rsidRPr="00850128" w:rsidRDefault="004A41A5">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r w:rsidRPr="00850128">
        <w:rPr>
          <w:rFonts w:ascii="Palatino Linotype" w:eastAsia="Palatino Linotype" w:hAnsi="Palatino Linotype" w:cs="Palatino Linotype"/>
          <w:b/>
          <w:bCs/>
          <w:color w:val="000000"/>
        </w:rPr>
        <w:t>C O N S I D E R A C I O N E S</w:t>
      </w:r>
    </w:p>
    <w:p w:rsidR="006B3302" w:rsidRPr="00850128" w:rsidRDefault="006B3302">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p>
    <w:p w:rsidR="006B3302" w:rsidRPr="00850128" w:rsidRDefault="004A41A5">
      <w:pPr>
        <w:pStyle w:val="Ttulo2"/>
        <w:spacing w:before="0" w:line="360" w:lineRule="auto"/>
        <w:ind w:right="49"/>
        <w:rPr>
          <w:rFonts w:ascii="Palatino Linotype" w:eastAsia="Palatino Linotype" w:hAnsi="Palatino Linotype" w:cs="Palatino Linotype"/>
          <w:b/>
          <w:bCs/>
          <w:color w:val="000000"/>
          <w:sz w:val="24"/>
          <w:szCs w:val="24"/>
        </w:rPr>
      </w:pPr>
      <w:bookmarkStart w:id="3" w:name="_heading=h.3znysh7" w:colFirst="0" w:colLast="0"/>
      <w:bookmarkEnd w:id="3"/>
      <w:r w:rsidRPr="00850128">
        <w:rPr>
          <w:rFonts w:ascii="Palatino Linotype" w:eastAsia="Palatino Linotype" w:hAnsi="Palatino Linotype" w:cs="Palatino Linotype"/>
          <w:b/>
          <w:bCs/>
          <w:color w:val="000000"/>
          <w:sz w:val="24"/>
          <w:szCs w:val="24"/>
        </w:rPr>
        <w:t>PRIMERO. Competencia</w:t>
      </w: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w:t>
      </w:r>
      <w:r w:rsidRPr="00850128">
        <w:rPr>
          <w:rFonts w:ascii="Palatino Linotype" w:eastAsia="Palatino Linotype" w:hAnsi="Palatino Linotype" w:cs="Palatino Linotype"/>
        </w:rPr>
        <w:t>trigésimo</w:t>
      </w:r>
      <w:r w:rsidRPr="00850128">
        <w:rPr>
          <w:rFonts w:ascii="Palatino Linotype" w:eastAsia="Palatino Linotype" w:hAnsi="Palatino Linotype" w:cs="Palatino Linotype"/>
          <w:color w:val="000000"/>
        </w:rPr>
        <w:t xml:space="preserve"> séptimo, trigésimo octavo y trigésimo noveno fracciones IV y V </w:t>
      </w:r>
      <w:r w:rsidRPr="00850128">
        <w:rPr>
          <w:rFonts w:ascii="Palatino Linotype" w:eastAsia="Palatino Linotype" w:hAnsi="Palatino Linotype" w:cs="Palatino Linotype"/>
          <w:color w:val="000000"/>
        </w:rPr>
        <w:lastRenderedPageBreak/>
        <w:t>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6B3302" w:rsidRPr="00850128" w:rsidRDefault="006B3302">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B3302" w:rsidRPr="00850128" w:rsidRDefault="004A41A5">
      <w:pPr>
        <w:pStyle w:val="Ttulo2"/>
        <w:spacing w:before="0" w:line="360" w:lineRule="auto"/>
        <w:ind w:right="49"/>
        <w:rPr>
          <w:rFonts w:ascii="Palatino Linotype" w:eastAsia="Palatino Linotype" w:hAnsi="Palatino Linotype" w:cs="Palatino Linotype"/>
          <w:b/>
          <w:bCs/>
          <w:color w:val="000000"/>
          <w:sz w:val="24"/>
          <w:szCs w:val="24"/>
        </w:rPr>
      </w:pPr>
      <w:bookmarkStart w:id="4" w:name="_heading=h.2et92p0" w:colFirst="0" w:colLast="0"/>
      <w:bookmarkEnd w:id="4"/>
      <w:r w:rsidRPr="00850128">
        <w:rPr>
          <w:rFonts w:ascii="Palatino Linotype" w:eastAsia="Palatino Linotype" w:hAnsi="Palatino Linotype" w:cs="Palatino Linotype"/>
          <w:b/>
          <w:bCs/>
          <w:color w:val="000000"/>
          <w:sz w:val="24"/>
          <w:szCs w:val="24"/>
        </w:rPr>
        <w:t>SEGUNDO. Procedencia.</w:t>
      </w: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Este Órgano Garante considera que el medio de impugnación reúne los requisitos de </w:t>
      </w:r>
      <w:r w:rsidRPr="00850128">
        <w:rPr>
          <w:rFonts w:ascii="Palatino Linotype" w:eastAsia="Palatino Linotype" w:hAnsi="Palatino Linotype" w:cs="Palatino Linotype"/>
          <w:color w:val="000000"/>
        </w:rPr>
        <w:t>procedencia</w:t>
      </w:r>
      <w:r w:rsidRPr="00850128">
        <w:rPr>
          <w:rFonts w:ascii="Palatino Linotype" w:eastAsia="Palatino Linotype" w:hAnsi="Palatino Linotype" w:cs="Palatino Linotype"/>
        </w:rPr>
        <w:t xml:space="preserve"> </w:t>
      </w:r>
      <w:r w:rsidRPr="00850128">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6B3302" w:rsidRPr="00850128" w:rsidRDefault="006B3302">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Por otro lado, es de suma importancia señalar que la parte recurrente no proporciona un </w:t>
      </w:r>
      <w:r w:rsidRPr="00850128">
        <w:rPr>
          <w:rFonts w:ascii="Palatino Linotype" w:eastAsia="Palatino Linotype" w:hAnsi="Palatino Linotype" w:cs="Palatino Linotype"/>
          <w:u w:val="single"/>
        </w:rPr>
        <w:t>nombre completo</w:t>
      </w:r>
      <w:r w:rsidRPr="00850128">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spacing w:line="360" w:lineRule="auto"/>
        <w:ind w:left="567"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lastRenderedPageBreak/>
        <w:t>"</w:t>
      </w:r>
      <w:r w:rsidRPr="00850128">
        <w:rPr>
          <w:rFonts w:ascii="Palatino Linotype" w:eastAsia="Palatino Linotype" w:hAnsi="Palatino Linotype" w:cs="Palatino Linotype"/>
          <w:b/>
          <w:bCs/>
          <w:i/>
          <w:iCs/>
        </w:rPr>
        <w:t>Las solicitudes anónimas</w:t>
      </w:r>
      <w:r w:rsidRPr="00850128">
        <w:rPr>
          <w:rFonts w:ascii="Palatino Linotype" w:eastAsia="Palatino Linotype" w:hAnsi="Palatino Linotype" w:cs="Palatino Linotype"/>
          <w:i/>
          <w:iCs/>
        </w:rPr>
        <w:t xml:space="preserve">, con nombre incompleto o seudónimo </w:t>
      </w:r>
      <w:r w:rsidRPr="00850128">
        <w:rPr>
          <w:rFonts w:ascii="Palatino Linotype" w:eastAsia="Palatino Linotype" w:hAnsi="Palatino Linotype" w:cs="Palatino Linotype"/>
          <w:b/>
          <w:bCs/>
          <w:i/>
          <w:iCs/>
        </w:rPr>
        <w:t>serán procedentes para su trámite por parte del sujeto obligado ante quien se presente</w:t>
      </w:r>
      <w:r w:rsidRPr="00850128">
        <w:rPr>
          <w:rFonts w:ascii="Palatino Linotype" w:eastAsia="Palatino Linotype" w:hAnsi="Palatino Linotype" w:cs="Palatino Linotype"/>
          <w:i/>
          <w:iCs/>
        </w:rPr>
        <w:t>. No podrá requerirse información adicional con motivo del nombre proporcionado por el solicitante."</w:t>
      </w:r>
    </w:p>
    <w:p w:rsidR="006B3302" w:rsidRPr="00850128" w:rsidRDefault="006B3302">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 de Revisión.</w:t>
      </w:r>
    </w:p>
    <w:p w:rsidR="006B3302" w:rsidRPr="00850128" w:rsidRDefault="006B3302">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rsidR="006B3302" w:rsidRPr="00850128" w:rsidRDefault="004A41A5">
      <w:pPr>
        <w:pStyle w:val="Ttulo2"/>
        <w:tabs>
          <w:tab w:val="left" w:pos="284"/>
          <w:tab w:val="left" w:pos="426"/>
        </w:tabs>
        <w:spacing w:before="0" w:line="360" w:lineRule="auto"/>
        <w:rPr>
          <w:rFonts w:ascii="Palatino Linotype" w:eastAsia="Palatino Linotype" w:hAnsi="Palatino Linotype" w:cs="Palatino Linotype"/>
          <w:b/>
          <w:bCs/>
          <w:color w:val="000000"/>
          <w:sz w:val="24"/>
          <w:szCs w:val="24"/>
        </w:rPr>
      </w:pPr>
      <w:bookmarkStart w:id="5" w:name="_heading=h.tyjcwt" w:colFirst="0" w:colLast="0"/>
      <w:bookmarkEnd w:id="5"/>
      <w:r w:rsidRPr="00850128">
        <w:rPr>
          <w:rFonts w:ascii="Palatino Linotype" w:eastAsia="Palatino Linotype" w:hAnsi="Palatino Linotype" w:cs="Palatino Linotype"/>
          <w:b/>
          <w:bCs/>
          <w:color w:val="000000"/>
          <w:sz w:val="24"/>
          <w:szCs w:val="24"/>
        </w:rPr>
        <w:t xml:space="preserve">TERCERO. Del planteamiento de la </w:t>
      </w:r>
      <w:r w:rsidRPr="00850128">
        <w:rPr>
          <w:rFonts w:ascii="Palatino Linotype" w:eastAsia="Palatino Linotype" w:hAnsi="Palatino Linotype" w:cs="Palatino Linotype"/>
          <w:b/>
          <w:bCs/>
          <w:i/>
          <w:iCs/>
          <w:color w:val="000000"/>
          <w:sz w:val="24"/>
          <w:szCs w:val="24"/>
        </w:rPr>
        <w:t>Litis.</w:t>
      </w:r>
    </w:p>
    <w:p w:rsidR="006B3302" w:rsidRPr="00850128" w:rsidRDefault="006B3302">
      <w:pPr>
        <w:spacing w:line="360" w:lineRule="auto"/>
        <w:rPr>
          <w:rFonts w:ascii="Palatino Linotype" w:eastAsia="Palatino Linotype" w:hAnsi="Palatino Linotype" w:cs="Palatino Linotype"/>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Se solicitó tener acceso, a la información que a continuación se simplifica:</w:t>
      </w:r>
    </w:p>
    <w:p w:rsidR="006B3302" w:rsidRPr="00850128" w:rsidRDefault="006B3302">
      <w:pPr>
        <w:pBdr>
          <w:top w:val="nil"/>
          <w:left w:val="nil"/>
          <w:bottom w:val="nil"/>
          <w:right w:val="nil"/>
          <w:between w:val="nil"/>
        </w:pBdr>
        <w:spacing w:line="360" w:lineRule="auto"/>
        <w:ind w:right="49"/>
        <w:jc w:val="both"/>
        <w:rPr>
          <w:rFonts w:ascii="Palatino Linotype" w:eastAsia="Palatino Linotype" w:hAnsi="Palatino Linotype" w:cs="Palatino Linotype"/>
          <w:b/>
          <w:bCs/>
        </w:rPr>
      </w:pPr>
    </w:p>
    <w:p w:rsidR="006B3302" w:rsidRPr="00850128" w:rsidRDefault="004A41A5">
      <w:pPr>
        <w:numPr>
          <w:ilvl w:val="0"/>
          <w:numId w:val="4"/>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850128">
        <w:rPr>
          <w:rFonts w:ascii="Palatino Linotype" w:eastAsia="Palatino Linotype" w:hAnsi="Palatino Linotype" w:cs="Palatino Linotype"/>
          <w:b/>
          <w:bCs/>
          <w:color w:val="000000"/>
        </w:rPr>
        <w:t>Listas de asistencias de los servidores públicos adscritos a la Consejería Jurídica del año 2024.</w:t>
      </w:r>
    </w:p>
    <w:p w:rsidR="006B3302" w:rsidRPr="00850128" w:rsidRDefault="006B3302">
      <w:pPr>
        <w:pBdr>
          <w:top w:val="nil"/>
          <w:left w:val="nil"/>
          <w:bottom w:val="nil"/>
          <w:right w:val="nil"/>
          <w:between w:val="nil"/>
        </w:pBdr>
        <w:spacing w:line="360" w:lineRule="auto"/>
        <w:ind w:left="1080" w:right="567"/>
        <w:jc w:val="both"/>
        <w:rPr>
          <w:rFonts w:ascii="Palatino Linotype" w:eastAsia="Palatino Linotype" w:hAnsi="Palatino Linotype" w:cs="Palatino Linotype"/>
          <w:b/>
          <w:bCs/>
          <w:color w:val="000000"/>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Inconforme con la respuesta, el solicitante interpuso recurso de revisión de manera general en contra del enlace entregado que contiene información diversa</w:t>
      </w:r>
      <w:r w:rsidRPr="00850128">
        <w:rPr>
          <w:rFonts w:ascii="Palatino Linotype" w:eastAsia="Palatino Linotype" w:hAnsi="Palatino Linotype" w:cs="Palatino Linotype"/>
          <w:color w:val="000000"/>
        </w:rPr>
        <w:t xml:space="preserve">. </w:t>
      </w:r>
      <w:r w:rsidRPr="00850128">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fracción VI, de la Ley de Transparencia y Acceso a la Información Pública del Estado de México y Municipios; fracción que determina la hipótesis relativa a la entrega de información que no corresponde con la solicitada; contexto </w:t>
      </w:r>
      <w:r w:rsidRPr="00850128">
        <w:rPr>
          <w:rFonts w:ascii="Palatino Linotype" w:eastAsia="Palatino Linotype" w:hAnsi="Palatino Linotype" w:cs="Palatino Linotype"/>
        </w:rPr>
        <w:lastRenderedPageBreak/>
        <w:t xml:space="preserve">del cual se dolió el Recurrente al momento de interponer su inconformidad. De modo tal que el presente recurso de revisión se abocará en determinar si el Sujeto Obligado con su respuesta ciertamente actualiza la causal de procedencia señalada. </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spacing w:line="360" w:lineRule="auto"/>
        <w:rPr>
          <w:rFonts w:ascii="Palatino Linotype" w:eastAsia="Palatino Linotype" w:hAnsi="Palatino Linotype" w:cs="Palatino Linotype"/>
          <w:b/>
          <w:bCs/>
        </w:rPr>
      </w:pPr>
      <w:r w:rsidRPr="00850128">
        <w:rPr>
          <w:rFonts w:ascii="Palatino Linotype" w:eastAsia="Palatino Linotype" w:hAnsi="Palatino Linotype" w:cs="Palatino Linotype"/>
          <w:b/>
          <w:bCs/>
        </w:rPr>
        <w:t>CUARTO. Del estudio y resolución del asunto.</w:t>
      </w: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6B3302" w:rsidRPr="00850128" w:rsidRDefault="006B330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w:t>
      </w:r>
      <w:r w:rsidRPr="00850128">
        <w:rPr>
          <w:rFonts w:ascii="Palatino Linotype" w:eastAsia="Palatino Linotype" w:hAnsi="Palatino Linotype" w:cs="Palatino Linotype"/>
        </w:rPr>
        <w:lastRenderedPageBreak/>
        <w:t>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bookmarkStart w:id="6" w:name="_heading=h.uid3aib7hvxa" w:colFirst="0" w:colLast="0"/>
      <w:bookmarkEnd w:id="6"/>
      <w:r w:rsidRPr="00850128">
        <w:rPr>
          <w:rFonts w:ascii="Palatino Linotype" w:eastAsia="Palatino Linotype" w:hAnsi="Palatino Linotype" w:cs="Palatino Linotype"/>
        </w:rPr>
        <w:t>Dicho lo anterior por razones de orden argumentativo, es necesario traer a contexto primeramente la respuesta que versó en la negativa a la entrega de la información, ya que a decir de la servidora pública habilitada, no se localizó soporte documental relacionado a lo solicitado. Al respecto si bien es cierto es de explorado derecho que este Instituto no puede dudar de la veracidad de las respuestas emitidas por los sujetos obligados; también lo es que resulta necesario puntualizar al respecto lo siguiente.</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numPr>
          <w:ilvl w:val="0"/>
          <w:numId w:val="9"/>
        </w:numPr>
        <w:spacing w:line="360" w:lineRule="auto"/>
        <w:ind w:left="0"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Primeramente, de conformidad con el artículo 49, de la Ley del Trabajo de los Servidores Públicos del Estado de México y Municipios se determinan los requisitos para tener por formalizada una relación de trabajo entre el servidor y las entidades públicas, los cuales se enlistan a continuación: </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49.-</w:t>
      </w:r>
      <w:r w:rsidRPr="00850128">
        <w:rPr>
          <w:rFonts w:ascii="Palatino Linotype" w:eastAsia="Palatino Linotype" w:hAnsi="Palatino Linotype" w:cs="Palatino Linotype"/>
          <w:i/>
          <w:iCs/>
        </w:rPr>
        <w:t xml:space="preserve"> Los nombramientos, contratos o formato único de Movimientos de Personal de los servidores públicos deberán contener:</w:t>
      </w:r>
    </w:p>
    <w:p w:rsidR="006B3302" w:rsidRPr="00850128" w:rsidRDefault="006B3302">
      <w:pPr>
        <w:spacing w:line="360" w:lineRule="auto"/>
        <w:ind w:left="567" w:right="474"/>
        <w:jc w:val="both"/>
        <w:rPr>
          <w:rFonts w:ascii="Palatino Linotype" w:eastAsia="Palatino Linotype" w:hAnsi="Palatino Linotype" w:cs="Palatino Linotype"/>
          <w:i/>
          <w:iCs/>
        </w:rPr>
      </w:pP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lastRenderedPageBreak/>
        <w:t xml:space="preserve">I. Nombre completo del servidor público; </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II. Cargo para el que es designado, fecha de inicio de sus servicios y lugar de adscripción; </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III. Carácter del nombramiento, ya sea de servidores públicos generales o de confianza, así como la temporalidad del mismo; </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IV. Remuneración correspondiente al puesto; </w:t>
      </w:r>
    </w:p>
    <w:p w:rsidR="006B3302" w:rsidRPr="00850128" w:rsidRDefault="004A41A5">
      <w:pPr>
        <w:spacing w:line="360" w:lineRule="auto"/>
        <w:ind w:left="567" w:right="474"/>
        <w:jc w:val="both"/>
        <w:rPr>
          <w:rFonts w:ascii="Palatino Linotype" w:eastAsia="Palatino Linotype" w:hAnsi="Palatino Linotype" w:cs="Palatino Linotype"/>
          <w:b/>
          <w:bCs/>
          <w:i/>
          <w:iCs/>
        </w:rPr>
      </w:pPr>
      <w:r w:rsidRPr="00850128">
        <w:rPr>
          <w:rFonts w:ascii="Palatino Linotype" w:eastAsia="Palatino Linotype" w:hAnsi="Palatino Linotype" w:cs="Palatino Linotype"/>
          <w:b/>
          <w:bCs/>
          <w:i/>
          <w:iCs/>
        </w:rPr>
        <w:t xml:space="preserve">V. Jornada de trabajo; </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VI. Derogada; </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VII. Firma del servidor público autorizado para emitir el nombramiento, contrato o formato único de Movimientos de Personal, así como el fundamento legal de esa atribución.</w:t>
      </w:r>
    </w:p>
    <w:p w:rsidR="006B3302" w:rsidRPr="00850128" w:rsidRDefault="006B3302">
      <w:pPr>
        <w:spacing w:line="360" w:lineRule="auto"/>
        <w:jc w:val="both"/>
        <w:rPr>
          <w:rFonts w:ascii="Palatino Linotype" w:eastAsia="Palatino Linotype" w:hAnsi="Palatino Linotype" w:cs="Palatino Linotype"/>
          <w:i/>
          <w:iCs/>
        </w:rPr>
      </w:pPr>
    </w:p>
    <w:p w:rsidR="006B3302" w:rsidRPr="00850128" w:rsidRDefault="004A41A5">
      <w:pPr>
        <w:numPr>
          <w:ilvl w:val="0"/>
          <w:numId w:val="9"/>
        </w:numPr>
        <w:spacing w:line="360" w:lineRule="auto"/>
        <w:ind w:left="0"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Del citado ordenamiento legal, se advierte que, en los nombramientos, contratos o formatos únicos de movimientos de personal, deben contener, entre otros requisitos, la jornada de trabajo; </w:t>
      </w:r>
      <w:r w:rsidRPr="00850128">
        <w:rPr>
          <w:rFonts w:ascii="Palatino Linotype" w:eastAsia="Palatino Linotype" w:hAnsi="Palatino Linotype" w:cs="Palatino Linotype"/>
          <w:b/>
          <w:bCs/>
        </w:rPr>
        <w:t>es decir el periodo o espacio de tiempo por el cual el servidor público prestará su servicio al ente público del que se trate</w:t>
      </w:r>
      <w:r w:rsidRPr="00850128">
        <w:rPr>
          <w:rFonts w:ascii="Palatino Linotype" w:eastAsia="Palatino Linotype" w:hAnsi="Palatino Linotype" w:cs="Palatino Linotype"/>
        </w:rPr>
        <w:t xml:space="preserve">, lo que se robustece con lo establecido en los artículos 56 y 59 del mismo ordenamiento legal, que dispone lo siguiente: </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tabs>
          <w:tab w:val="left" w:pos="7938"/>
        </w:tabs>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r w:rsidRPr="00850128">
        <w:rPr>
          <w:rFonts w:ascii="Palatino Linotype" w:eastAsia="Palatino Linotype" w:hAnsi="Palatino Linotype" w:cs="Palatino Linotype"/>
          <w:b/>
          <w:bCs/>
          <w:i/>
          <w:iCs/>
        </w:rPr>
        <w:t>ARTÍCULO 56</w:t>
      </w:r>
      <w:r w:rsidRPr="00850128">
        <w:rPr>
          <w:rFonts w:ascii="Palatino Linotype" w:eastAsia="Palatino Linotype" w:hAnsi="Palatino Linotype" w:cs="Palatino Linotype"/>
          <w:i/>
          <w:iCs/>
        </w:rPr>
        <w:t>. Las condiciones generales de trabajo, establecerán como mínimo:</w:t>
      </w:r>
    </w:p>
    <w:p w:rsidR="006B3302" w:rsidRPr="00850128" w:rsidRDefault="004A41A5">
      <w:pPr>
        <w:tabs>
          <w:tab w:val="left" w:pos="7938"/>
        </w:tabs>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 </w:t>
      </w:r>
      <w:r w:rsidRPr="00850128">
        <w:rPr>
          <w:rFonts w:ascii="Palatino Linotype" w:eastAsia="Palatino Linotype" w:hAnsi="Palatino Linotype" w:cs="Palatino Linotype"/>
          <w:b/>
          <w:bCs/>
          <w:i/>
          <w:iCs/>
        </w:rPr>
        <w:t>Duración de la jornada de trabajo</w:t>
      </w:r>
      <w:r w:rsidRPr="00850128">
        <w:rPr>
          <w:rFonts w:ascii="Palatino Linotype" w:eastAsia="Palatino Linotype" w:hAnsi="Palatino Linotype" w:cs="Palatino Linotype"/>
          <w:i/>
          <w:iCs/>
        </w:rPr>
        <w:t>;</w:t>
      </w:r>
    </w:p>
    <w:p w:rsidR="006B3302" w:rsidRPr="00850128" w:rsidRDefault="004A41A5">
      <w:pPr>
        <w:tabs>
          <w:tab w:val="left" w:pos="7938"/>
        </w:tabs>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 </w:t>
      </w:r>
    </w:p>
    <w:p w:rsidR="006B3302" w:rsidRPr="00850128" w:rsidRDefault="004A41A5">
      <w:pPr>
        <w:tabs>
          <w:tab w:val="left" w:pos="7938"/>
        </w:tabs>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lastRenderedPageBreak/>
        <w:t>ARTÍCULO 59.</w:t>
      </w:r>
      <w:r w:rsidRPr="00850128">
        <w:rPr>
          <w:rFonts w:ascii="Palatino Linotype" w:eastAsia="Palatino Linotype" w:hAnsi="Palatino Linotype" w:cs="Palatino Linotype"/>
          <w:i/>
          <w:iCs/>
        </w:rPr>
        <w:t xml:space="preserve"> </w:t>
      </w:r>
      <w:r w:rsidRPr="00850128">
        <w:rPr>
          <w:rFonts w:ascii="Palatino Linotype" w:eastAsia="Palatino Linotype" w:hAnsi="Palatino Linotype" w:cs="Palatino Linotype"/>
          <w:b/>
          <w:bCs/>
          <w:i/>
          <w:iCs/>
        </w:rPr>
        <w:t>Jornada de trabajo es el tiempo durante el cual el servidor público está a disposición de la institución pública para prestar sus servicios</w:t>
      </w:r>
      <w:r w:rsidRPr="00850128">
        <w:rPr>
          <w:rFonts w:ascii="Palatino Linotype" w:eastAsia="Palatino Linotype" w:hAnsi="Palatino Linotype" w:cs="Palatino Linotype"/>
          <w:i/>
          <w:iCs/>
        </w:rPr>
        <w:t>. El horario de trabajo será determinado conforme a las necesidades del servicio de la institución pública o dependencia, de acuerdo a lo estipulado en las condiciones generales de trabajo, sin que exceda los máximos legales”.</w:t>
      </w:r>
    </w:p>
    <w:p w:rsidR="006B3302" w:rsidRPr="00850128" w:rsidRDefault="004A41A5">
      <w:pPr>
        <w:spacing w:line="360" w:lineRule="auto"/>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 </w:t>
      </w:r>
    </w:p>
    <w:p w:rsidR="006B3302" w:rsidRPr="00850128" w:rsidRDefault="004A41A5">
      <w:pPr>
        <w:numPr>
          <w:ilvl w:val="0"/>
          <w:numId w:val="9"/>
        </w:numPr>
        <w:spacing w:line="360" w:lineRule="auto"/>
        <w:ind w:left="0"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En ese contexto, la duración de la jornada de trabajo puede ser de varias maneras, las cuales se encuentran establecidas en el artículo 60, 61, 62 y 63 de la mencionada Ley de Trabajo que literalmente señalan lo siguiente: </w:t>
      </w:r>
    </w:p>
    <w:p w:rsidR="006B3302" w:rsidRPr="00850128" w:rsidRDefault="006B3302">
      <w:pPr>
        <w:spacing w:line="360" w:lineRule="auto"/>
        <w:ind w:left="1495"/>
        <w:jc w:val="both"/>
        <w:rPr>
          <w:rFonts w:ascii="Palatino Linotype" w:eastAsia="Palatino Linotype" w:hAnsi="Palatino Linotype" w:cs="Palatino Linotype"/>
        </w:rPr>
      </w:pPr>
    </w:p>
    <w:p w:rsidR="006B3302" w:rsidRPr="00850128" w:rsidRDefault="004A41A5">
      <w:pPr>
        <w:tabs>
          <w:tab w:val="left" w:pos="7938"/>
        </w:tabs>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60</w:t>
      </w:r>
      <w:r w:rsidRPr="00850128">
        <w:rPr>
          <w:rFonts w:ascii="Palatino Linotype" w:eastAsia="Palatino Linotype" w:hAnsi="Palatino Linotype" w:cs="Palatino Linotype"/>
          <w:i/>
          <w:iCs/>
        </w:rPr>
        <w:t xml:space="preserve">. La jornada de trabajo puede ser diurna, nocturna o mixta, conforme a lo siguiente: </w:t>
      </w:r>
    </w:p>
    <w:p w:rsidR="006B3302" w:rsidRPr="00850128" w:rsidRDefault="004A41A5">
      <w:pPr>
        <w:tabs>
          <w:tab w:val="left" w:pos="7938"/>
        </w:tabs>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 Diurna, la comprendida entre las seis y las veinte horas; </w:t>
      </w:r>
    </w:p>
    <w:p w:rsidR="006B3302" w:rsidRPr="00850128" w:rsidRDefault="004A41A5">
      <w:pPr>
        <w:tabs>
          <w:tab w:val="left" w:pos="7938"/>
        </w:tabs>
        <w:spacing w:line="360" w:lineRule="auto"/>
        <w:ind w:left="426" w:right="474"/>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II. Nocturna, la comprendida entre las veinte y las seis horas; y </w:t>
      </w:r>
    </w:p>
    <w:p w:rsidR="006B3302" w:rsidRPr="00850128" w:rsidRDefault="004A41A5">
      <w:pPr>
        <w:tabs>
          <w:tab w:val="left" w:pos="7938"/>
        </w:tabs>
        <w:spacing w:line="360" w:lineRule="auto"/>
        <w:ind w:left="426" w:right="474"/>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III. Mixta, la que comprenda períodos de tiempo de las jornadas diurna y nocturna, siempre que el período nocturno sea menor de tres horas y media, pues en caso contrario, se considerará como jornada nocturna. </w:t>
      </w:r>
    </w:p>
    <w:p w:rsidR="006B3302" w:rsidRPr="00850128" w:rsidRDefault="006B3302">
      <w:pPr>
        <w:tabs>
          <w:tab w:val="left" w:pos="7938"/>
        </w:tabs>
        <w:spacing w:line="360" w:lineRule="auto"/>
        <w:ind w:left="426" w:right="474"/>
        <w:jc w:val="both"/>
        <w:rPr>
          <w:rFonts w:ascii="Palatino Linotype" w:eastAsia="Palatino Linotype" w:hAnsi="Palatino Linotype" w:cs="Palatino Linotype"/>
          <w:i/>
          <w:iCs/>
        </w:rPr>
      </w:pPr>
    </w:p>
    <w:p w:rsidR="006B3302" w:rsidRPr="00850128" w:rsidRDefault="004A41A5">
      <w:pPr>
        <w:tabs>
          <w:tab w:val="left" w:pos="7938"/>
        </w:tabs>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61.</w:t>
      </w:r>
      <w:r w:rsidRPr="00850128">
        <w:rPr>
          <w:rFonts w:ascii="Palatino Linotype" w:eastAsia="Palatino Linotype" w:hAnsi="Palatino Linotype" w:cs="Palatino Linotype"/>
          <w:i/>
          <w:iCs/>
        </w:rPr>
        <w:t xml:space="preserve"> Cuando la naturaleza del trabajo así lo exija, la jornada se reducirá teniendo en cuenta el número de horas que pueda trabajar un individuo normal sin sufrir quebranto en su salud. </w:t>
      </w:r>
    </w:p>
    <w:p w:rsidR="006B3302" w:rsidRPr="00850128" w:rsidRDefault="006B3302">
      <w:pPr>
        <w:tabs>
          <w:tab w:val="left" w:pos="7938"/>
        </w:tabs>
        <w:spacing w:line="360" w:lineRule="auto"/>
        <w:ind w:left="426" w:right="474"/>
        <w:jc w:val="both"/>
        <w:rPr>
          <w:rFonts w:ascii="Palatino Linotype" w:eastAsia="Palatino Linotype" w:hAnsi="Palatino Linotype" w:cs="Palatino Linotype"/>
          <w:i/>
          <w:iCs/>
        </w:rPr>
      </w:pPr>
    </w:p>
    <w:p w:rsidR="006B3302" w:rsidRPr="00850128" w:rsidRDefault="004A41A5">
      <w:pPr>
        <w:tabs>
          <w:tab w:val="left" w:pos="7938"/>
        </w:tabs>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62.</w:t>
      </w:r>
      <w:r w:rsidRPr="00850128">
        <w:rPr>
          <w:rFonts w:ascii="Palatino Linotype" w:eastAsia="Palatino Linotype" w:hAnsi="Palatino Linotype" w:cs="Palatino Linotype"/>
          <w:i/>
          <w:iCs/>
        </w:rPr>
        <w:t xml:space="preserve"> Por cada seis días de trabajo el servidor público disfrutará de uno de descanso con goce de sueldo íntegro. Cuando proceda, se podrán distribuir las </w:t>
      </w:r>
      <w:r w:rsidRPr="00850128">
        <w:rPr>
          <w:rFonts w:ascii="Palatino Linotype" w:eastAsia="Palatino Linotype" w:hAnsi="Palatino Linotype" w:cs="Palatino Linotype"/>
          <w:i/>
          <w:iCs/>
        </w:rPr>
        <w:lastRenderedPageBreak/>
        <w:t xml:space="preserve">horas de trabajo, a fin de permitir a los servidores públicos el descanso del sábado o cualquier modalidad equivalente. </w:t>
      </w:r>
    </w:p>
    <w:p w:rsidR="006B3302" w:rsidRPr="00850128" w:rsidRDefault="006B3302">
      <w:pPr>
        <w:tabs>
          <w:tab w:val="left" w:pos="7938"/>
        </w:tabs>
        <w:spacing w:line="360" w:lineRule="auto"/>
        <w:ind w:left="426" w:right="474"/>
        <w:jc w:val="both"/>
        <w:rPr>
          <w:rFonts w:ascii="Palatino Linotype" w:eastAsia="Palatino Linotype" w:hAnsi="Palatino Linotype" w:cs="Palatino Linotype"/>
          <w:i/>
          <w:iCs/>
        </w:rPr>
      </w:pPr>
    </w:p>
    <w:p w:rsidR="006B3302" w:rsidRPr="00850128" w:rsidRDefault="004A41A5">
      <w:pPr>
        <w:tabs>
          <w:tab w:val="left" w:pos="7938"/>
        </w:tabs>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63.</w:t>
      </w:r>
      <w:r w:rsidRPr="00850128">
        <w:rPr>
          <w:rFonts w:ascii="Palatino Linotype" w:eastAsia="Palatino Linotype" w:hAnsi="Palatino Linotype" w:cs="Palatino Linotype"/>
          <w:i/>
          <w:iCs/>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numPr>
          <w:ilvl w:val="0"/>
          <w:numId w:val="9"/>
        </w:numPr>
        <w:spacing w:line="360" w:lineRule="auto"/>
        <w:ind w:left="0"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88.</w:t>
      </w:r>
      <w:r w:rsidRPr="00850128">
        <w:rPr>
          <w:rFonts w:ascii="Palatino Linotype" w:eastAsia="Palatino Linotype" w:hAnsi="Palatino Linotype" w:cs="Palatino Linotype"/>
          <w:i/>
          <w:iCs/>
        </w:rPr>
        <w:t xml:space="preserve"> Son obligaciones de los servidores públicos: </w:t>
      </w: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lastRenderedPageBreak/>
        <w:t xml:space="preserve">VI. Cumplir con las obligaciones que señalan las condiciones generales de trabajo; </w:t>
      </w:r>
    </w:p>
    <w:p w:rsidR="006B3302" w:rsidRPr="00850128" w:rsidRDefault="006B3302">
      <w:pPr>
        <w:spacing w:line="360" w:lineRule="auto"/>
        <w:jc w:val="both"/>
        <w:rPr>
          <w:rFonts w:ascii="Palatino Linotype" w:eastAsia="Palatino Linotype" w:hAnsi="Palatino Linotype" w:cs="Palatino Linotype"/>
          <w:i/>
          <w:iCs/>
        </w:rPr>
      </w:pPr>
    </w:p>
    <w:p w:rsidR="006B3302" w:rsidRPr="00850128" w:rsidRDefault="004A41A5">
      <w:pPr>
        <w:numPr>
          <w:ilvl w:val="0"/>
          <w:numId w:val="9"/>
        </w:numPr>
        <w:spacing w:line="360" w:lineRule="auto"/>
        <w:ind w:left="0"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rsidR="006B3302" w:rsidRPr="00850128" w:rsidRDefault="006B3302">
      <w:pPr>
        <w:spacing w:line="360" w:lineRule="auto"/>
        <w:ind w:left="1495"/>
        <w:jc w:val="both"/>
        <w:rPr>
          <w:rFonts w:ascii="Palatino Linotype" w:eastAsia="Palatino Linotype" w:hAnsi="Palatino Linotype" w:cs="Palatino Linotype"/>
        </w:rPr>
      </w:pP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93.</w:t>
      </w:r>
      <w:r w:rsidRPr="00850128">
        <w:rPr>
          <w:rFonts w:ascii="Palatino Linotype" w:eastAsia="Palatino Linotype" w:hAnsi="Palatino Linotype" w:cs="Palatino Linotype"/>
          <w:i/>
          <w:iCs/>
        </w:rPr>
        <w:t xml:space="preserve"> Son causas de rescisión de la relación laboral, sin responsabilidad para las instituciones públicas:</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IV. Incurrir en cuatro o más faltas de asistencia a sus labores sin causa justificada, dentro de un lapso de treinta días;</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V. Abandonar las labores sin autorización previa o razón plenamente justificada, en contravención a lo establecido en las condiciones generales de trabajo;</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p>
    <w:p w:rsidR="006B3302" w:rsidRPr="00850128" w:rsidRDefault="004A41A5">
      <w:pPr>
        <w:spacing w:line="360" w:lineRule="auto"/>
        <w:ind w:left="567"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XVII.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numPr>
          <w:ilvl w:val="0"/>
          <w:numId w:val="9"/>
        </w:numPr>
        <w:spacing w:line="360" w:lineRule="auto"/>
        <w:ind w:left="0"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lastRenderedPageBreak/>
        <w:t xml:space="preserve">Ahora bien, para comprobar el cumplimiento de la jornada de trabajo del Servidor Público, de conformidad con lo que establecen la fracción III y el penúltimo párrafo del artículo 220-K de la Ley en cita, precisa que: </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220 K.-</w:t>
      </w:r>
      <w:r w:rsidRPr="00850128">
        <w:rPr>
          <w:rFonts w:ascii="Palatino Linotype" w:eastAsia="Palatino Linotype" w:hAnsi="Palatino Linotype" w:cs="Palatino Linotype"/>
          <w:i/>
          <w:iCs/>
        </w:rPr>
        <w:t xml:space="preserve"> La institución o dependencia pública tiene la obligación de conservar y exhibir en el proceso los documentos que a continuación se precisan: </w:t>
      </w: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III. Controles de asistencia o la información magnética o electrónica de asistencia de los servidores públicos</w:t>
      </w:r>
      <w:r w:rsidRPr="00850128">
        <w:rPr>
          <w:rFonts w:ascii="Palatino Linotype" w:eastAsia="Palatino Linotype" w:hAnsi="Palatino Linotype" w:cs="Palatino Linotype"/>
          <w:i/>
          <w:iCs/>
        </w:rPr>
        <w:t xml:space="preserve">; </w:t>
      </w: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p>
    <w:p w:rsidR="006B3302" w:rsidRPr="00850128" w:rsidRDefault="004A41A5">
      <w:pPr>
        <w:spacing w:line="360" w:lineRule="auto"/>
        <w:ind w:left="426" w:right="474"/>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Los documentos señalados en la fracción I de este artículo, deberán conservarse mientras dure la relación laboral y hasta un año después; </w:t>
      </w:r>
      <w:r w:rsidRPr="00850128">
        <w:rPr>
          <w:rFonts w:ascii="Palatino Linotype" w:eastAsia="Palatino Linotype" w:hAnsi="Palatino Linotype" w:cs="Palatino Linotype"/>
          <w:b/>
          <w:bCs/>
          <w:i/>
          <w:iCs/>
        </w:rPr>
        <w:t>los señalados por las fracciones</w:t>
      </w:r>
      <w:r w:rsidRPr="00850128">
        <w:rPr>
          <w:rFonts w:ascii="Palatino Linotype" w:eastAsia="Palatino Linotype" w:hAnsi="Palatino Linotype" w:cs="Palatino Linotype"/>
          <w:i/>
          <w:iCs/>
        </w:rPr>
        <w:t xml:space="preserve"> II, </w:t>
      </w:r>
      <w:r w:rsidRPr="00850128">
        <w:rPr>
          <w:rFonts w:ascii="Palatino Linotype" w:eastAsia="Palatino Linotype" w:hAnsi="Palatino Linotype" w:cs="Palatino Linotype"/>
          <w:b/>
          <w:bCs/>
          <w:i/>
          <w:iCs/>
        </w:rPr>
        <w:t>III,</w:t>
      </w:r>
      <w:r w:rsidRPr="00850128">
        <w:rPr>
          <w:rFonts w:ascii="Palatino Linotype" w:eastAsia="Palatino Linotype" w:hAnsi="Palatino Linotype" w:cs="Palatino Linotype"/>
          <w:i/>
          <w:iCs/>
        </w:rPr>
        <w:t xml:space="preserve"> IV </w:t>
      </w:r>
      <w:r w:rsidRPr="00850128">
        <w:rPr>
          <w:rFonts w:ascii="Palatino Linotype" w:eastAsia="Palatino Linotype" w:hAnsi="Palatino Linotype" w:cs="Palatino Linotype"/>
          <w:b/>
          <w:bCs/>
          <w:i/>
          <w:iCs/>
        </w:rPr>
        <w:t>durante el último año y un año después de que se extinga la relación laboral</w:t>
      </w:r>
      <w:r w:rsidRPr="00850128">
        <w:rPr>
          <w:rFonts w:ascii="Palatino Linotype" w:eastAsia="Palatino Linotype" w:hAnsi="Palatino Linotype" w:cs="Palatino Linotype"/>
          <w:i/>
          <w:iCs/>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numPr>
          <w:ilvl w:val="0"/>
          <w:numId w:val="9"/>
        </w:numPr>
        <w:spacing w:line="360" w:lineRule="auto"/>
        <w:ind w:left="0" w:firstLine="0"/>
        <w:jc w:val="both"/>
        <w:rPr>
          <w:rFonts w:ascii="Palatino Linotype" w:eastAsia="Palatino Linotype" w:hAnsi="Palatino Linotype" w:cs="Palatino Linotype"/>
          <w:b/>
          <w:bCs/>
        </w:rPr>
      </w:pPr>
      <w:r w:rsidRPr="00850128">
        <w:rPr>
          <w:rFonts w:ascii="Palatino Linotype" w:eastAsia="Palatino Linotype" w:hAnsi="Palatino Linotype" w:cs="Palatino Linotype"/>
        </w:rPr>
        <w:t>En consecuencia, se acredita que el Sujeto debe generar el control se asistencia de sus trabajadores y estos deben ser conservados durante el último año y un año después para el caso de que la relación laboral ya esté extinta.</w:t>
      </w:r>
    </w:p>
    <w:p w:rsidR="006B3302" w:rsidRPr="00850128" w:rsidRDefault="006B3302">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lastRenderedPageBreak/>
        <w:t xml:space="preserve">Por otro lado y en esa tesitura, es necesario traer a contexto el artículo 11.32 del </w:t>
      </w:r>
      <w:r w:rsidRPr="00850128">
        <w:rPr>
          <w:rFonts w:ascii="Palatino Linotype" w:eastAsia="Palatino Linotype" w:hAnsi="Palatino Linotype" w:cs="Palatino Linotype"/>
          <w:b/>
          <w:bCs/>
        </w:rPr>
        <w:t xml:space="preserve">Código Reglamentario Municipal de Toluca </w:t>
      </w:r>
      <w:r w:rsidRPr="00850128">
        <w:rPr>
          <w:rFonts w:ascii="Palatino Linotype" w:eastAsia="Palatino Linotype" w:hAnsi="Palatino Linotype" w:cs="Palatino Linotype"/>
        </w:rPr>
        <w:t>refiere que la jornada de trabajo, es el tiempo durante el cual el servidor público está a disposición de la Dependencia o Unidad Administrativa para prestar sus servicios, mientras que el artículo 11.40 señala que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exceptuando del horario que antecede a los servidores públicos que determine la Dirección General de Administración, por medio de la Dirección de Recursos Humanos</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Por su parte, el artículo 11.41 del referido código reglamentario, establece que las y los servidores públicos que laboran un horario continuo de 8 o de 9 horas diarias, tendrán derecho a disfrutar de treinta minutos de descanso durante los cuales podrán tomar sus alimentos, tiempo que se considerará como efectivo.</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Del mismo modo, los artículos 11.44 y 141.45 señalan que el control de asistencia de las y los servidores públicos, se sujetará a las siguientes disposiciones </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spacing w:line="360" w:lineRule="auto"/>
        <w:ind w:left="851"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11.44</w:t>
      </w:r>
      <w:r w:rsidRPr="00850128">
        <w:rPr>
          <w:rFonts w:ascii="Palatino Linotype" w:eastAsia="Palatino Linotype" w:hAnsi="Palatino Linotype" w:cs="Palatino Linotype"/>
          <w:i/>
          <w:iCs/>
        </w:rPr>
        <w:t>. El control de asistencia de las y los servidores públicos se sujetará a las siguientes disposiciones:</w:t>
      </w:r>
    </w:p>
    <w:p w:rsidR="006B3302" w:rsidRPr="00850128" w:rsidRDefault="006B3302">
      <w:pPr>
        <w:spacing w:line="360" w:lineRule="auto"/>
        <w:ind w:left="851" w:right="567"/>
        <w:jc w:val="both"/>
        <w:rPr>
          <w:rFonts w:ascii="Palatino Linotype" w:eastAsia="Palatino Linotype" w:hAnsi="Palatino Linotype" w:cs="Palatino Linotype"/>
          <w:i/>
          <w:iCs/>
        </w:rPr>
      </w:pPr>
    </w:p>
    <w:p w:rsidR="006B3302" w:rsidRPr="00850128" w:rsidRDefault="004A41A5">
      <w:pPr>
        <w:spacing w:line="360" w:lineRule="auto"/>
        <w:ind w:left="851"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 </w:t>
      </w:r>
      <w:r w:rsidRPr="00850128">
        <w:rPr>
          <w:rFonts w:ascii="Palatino Linotype" w:eastAsia="Palatino Linotype" w:hAnsi="Palatino Linotype" w:cs="Palatino Linotype"/>
          <w:b/>
          <w:bCs/>
          <w:i/>
          <w:iCs/>
        </w:rPr>
        <w:t xml:space="preserve">El </w:t>
      </w:r>
      <w:r w:rsidRPr="00850128">
        <w:rPr>
          <w:rFonts w:ascii="Palatino Linotype" w:eastAsia="Palatino Linotype" w:hAnsi="Palatino Linotype" w:cs="Palatino Linotype"/>
          <w:b/>
          <w:bCs/>
          <w:i/>
          <w:iCs/>
          <w:u w:val="single"/>
        </w:rPr>
        <w:t>control se llevará mediante</w:t>
      </w:r>
      <w:r w:rsidRPr="00850128">
        <w:rPr>
          <w:rFonts w:ascii="Palatino Linotype" w:eastAsia="Palatino Linotype" w:hAnsi="Palatino Linotype" w:cs="Palatino Linotype"/>
          <w:i/>
          <w:iCs/>
        </w:rPr>
        <w:t xml:space="preserve"> </w:t>
      </w:r>
      <w:r w:rsidRPr="00850128">
        <w:rPr>
          <w:rFonts w:ascii="Palatino Linotype" w:eastAsia="Palatino Linotype" w:hAnsi="Palatino Linotype" w:cs="Palatino Linotype"/>
          <w:b/>
          <w:bCs/>
          <w:i/>
          <w:iCs/>
          <w:u w:val="single"/>
        </w:rPr>
        <w:t>lectores manuales, tarjetas,</w:t>
      </w:r>
      <w:r w:rsidRPr="00850128">
        <w:rPr>
          <w:rFonts w:ascii="Palatino Linotype" w:eastAsia="Palatino Linotype" w:hAnsi="Palatino Linotype" w:cs="Palatino Linotype"/>
          <w:i/>
          <w:iCs/>
        </w:rPr>
        <w:t xml:space="preserve"> </w:t>
      </w:r>
      <w:r w:rsidRPr="00850128">
        <w:rPr>
          <w:rFonts w:ascii="Palatino Linotype" w:eastAsia="Palatino Linotype" w:hAnsi="Palatino Linotype" w:cs="Palatino Linotype"/>
          <w:b/>
          <w:bCs/>
          <w:i/>
          <w:iCs/>
          <w:u w:val="single"/>
        </w:rPr>
        <w:t>listas de asistencia</w:t>
      </w:r>
      <w:r w:rsidRPr="00850128">
        <w:rPr>
          <w:rFonts w:ascii="Palatino Linotype" w:eastAsia="Palatino Linotype" w:hAnsi="Palatino Linotype" w:cs="Palatino Linotype"/>
          <w:i/>
          <w:iCs/>
        </w:rPr>
        <w:t xml:space="preserve"> o por cualquier otro sistema que disponga la Dirección General de Administración.</w:t>
      </w:r>
    </w:p>
    <w:p w:rsidR="006B3302" w:rsidRPr="00850128" w:rsidRDefault="006B3302">
      <w:pPr>
        <w:spacing w:line="360" w:lineRule="auto"/>
        <w:ind w:left="851" w:right="567"/>
        <w:jc w:val="both"/>
        <w:rPr>
          <w:rFonts w:ascii="Palatino Linotype" w:eastAsia="Palatino Linotype" w:hAnsi="Palatino Linotype" w:cs="Palatino Linotype"/>
          <w:i/>
          <w:iCs/>
        </w:rPr>
      </w:pPr>
    </w:p>
    <w:p w:rsidR="006B3302" w:rsidRPr="00850128" w:rsidRDefault="004A41A5">
      <w:pPr>
        <w:spacing w:line="360" w:lineRule="auto"/>
        <w:ind w:left="851"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Las tarjetas y listas de asistencia deberán contener el </w:t>
      </w:r>
      <w:r w:rsidRPr="00850128">
        <w:rPr>
          <w:rFonts w:ascii="Palatino Linotype" w:eastAsia="Palatino Linotype" w:hAnsi="Palatino Linotype" w:cs="Palatino Linotype"/>
          <w:b/>
          <w:bCs/>
          <w:i/>
          <w:iCs/>
        </w:rPr>
        <w:t>nombre de la Dependencia</w:t>
      </w:r>
      <w:r w:rsidRPr="00850128">
        <w:rPr>
          <w:rFonts w:ascii="Palatino Linotype" w:eastAsia="Palatino Linotype" w:hAnsi="Palatino Linotype" w:cs="Palatino Linotype"/>
          <w:i/>
          <w:iCs/>
        </w:rPr>
        <w:t xml:space="preserve"> o Unidad Administrativa </w:t>
      </w:r>
      <w:r w:rsidRPr="00850128">
        <w:rPr>
          <w:rFonts w:ascii="Palatino Linotype" w:eastAsia="Palatino Linotype" w:hAnsi="Palatino Linotype" w:cs="Palatino Linotype"/>
          <w:b/>
          <w:bCs/>
          <w:i/>
          <w:iCs/>
        </w:rPr>
        <w:t>donde presta sus servicios el servidor público, el nombre de éste, su lugar de adscripción, número de empleado y todo dato que permita el debido control</w:t>
      </w:r>
      <w:r w:rsidRPr="00850128">
        <w:rPr>
          <w:rFonts w:ascii="Palatino Linotype" w:eastAsia="Palatino Linotype" w:hAnsi="Palatino Linotype" w:cs="Palatino Linotype"/>
          <w:i/>
          <w:iCs/>
        </w:rPr>
        <w:t>. Si el sistema dispuesto requiere que la tarjeta o similar se coloque en un lugar predeterminado, la o el servidor público no podrá retirarla sin la autorización correspondiente;</w:t>
      </w:r>
    </w:p>
    <w:p w:rsidR="006B3302" w:rsidRPr="00850128" w:rsidRDefault="006B3302">
      <w:pPr>
        <w:spacing w:line="360" w:lineRule="auto"/>
        <w:ind w:left="851" w:right="567"/>
        <w:jc w:val="both"/>
        <w:rPr>
          <w:rFonts w:ascii="Palatino Linotype" w:eastAsia="Palatino Linotype" w:hAnsi="Palatino Linotype" w:cs="Palatino Linotype"/>
          <w:i/>
          <w:iCs/>
        </w:rPr>
      </w:pPr>
    </w:p>
    <w:p w:rsidR="006B3302" w:rsidRPr="00850128" w:rsidRDefault="004A41A5">
      <w:pPr>
        <w:spacing w:line="360" w:lineRule="auto"/>
        <w:ind w:left="851"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II. </w:t>
      </w:r>
      <w:r w:rsidRPr="00850128">
        <w:rPr>
          <w:rFonts w:ascii="Palatino Linotype" w:eastAsia="Palatino Linotype" w:hAnsi="Palatino Linotype" w:cs="Palatino Linotype"/>
          <w:b/>
          <w:bCs/>
          <w:i/>
          <w:iCs/>
          <w:u w:val="single"/>
        </w:rPr>
        <w:t xml:space="preserve">Se exceptúa del control de asistencia a los servidores públicos que en forma expresa </w:t>
      </w:r>
      <w:r w:rsidRPr="00850128">
        <w:rPr>
          <w:rFonts w:ascii="Palatino Linotype" w:eastAsia="Palatino Linotype" w:hAnsi="Palatino Linotype" w:cs="Palatino Linotype"/>
          <w:i/>
          <w:iCs/>
        </w:rPr>
        <w:t>hayan sido autorizados por los titulares de las Dependencias o Unidades Administrativas, en razón de la naturaleza del servicio o de las circunstancias especiales que medien, previa autorización de la Dirección General de Administración;</w:t>
      </w:r>
    </w:p>
    <w:p w:rsidR="006B3302" w:rsidRPr="00850128" w:rsidRDefault="006B3302">
      <w:pPr>
        <w:spacing w:line="360" w:lineRule="auto"/>
        <w:ind w:left="851" w:right="567"/>
        <w:jc w:val="both"/>
        <w:rPr>
          <w:rFonts w:ascii="Palatino Linotype" w:eastAsia="Palatino Linotype" w:hAnsi="Palatino Linotype" w:cs="Palatino Linotype"/>
          <w:i/>
          <w:iCs/>
        </w:rPr>
      </w:pPr>
    </w:p>
    <w:p w:rsidR="006B3302" w:rsidRPr="00850128" w:rsidRDefault="004A41A5">
      <w:pPr>
        <w:spacing w:line="360" w:lineRule="auto"/>
        <w:ind w:left="851" w:right="567"/>
        <w:jc w:val="both"/>
        <w:rPr>
          <w:rFonts w:ascii="Palatino Linotype" w:eastAsia="Palatino Linotype" w:hAnsi="Palatino Linotype" w:cs="Palatino Linotype"/>
        </w:rPr>
      </w:pPr>
      <w:r w:rsidRPr="00850128">
        <w:rPr>
          <w:rFonts w:ascii="Palatino Linotype" w:eastAsia="Palatino Linotype" w:hAnsi="Palatino Linotype" w:cs="Palatino Linotype"/>
          <w:i/>
          <w:iCs/>
        </w:rPr>
        <w:t>III. Cuando por alguna circunstancia el servidor público no pueda registrar su asistencia, inmediatamente deberá hacerlo del conocimiento de su Delegado Administrativo, para que tome las acciones conducentes</w:t>
      </w:r>
      <w:r w:rsidRPr="00850128">
        <w:rPr>
          <w:rFonts w:ascii="Palatino Linotype" w:eastAsia="Palatino Linotype" w:hAnsi="Palatino Linotype" w:cs="Palatino Linotype"/>
        </w:rPr>
        <w:t>.</w:t>
      </w:r>
    </w:p>
    <w:p w:rsidR="006B3302" w:rsidRPr="00850128" w:rsidRDefault="006B3302">
      <w:pPr>
        <w:spacing w:line="360" w:lineRule="auto"/>
        <w:ind w:left="851" w:right="567"/>
        <w:jc w:val="both"/>
        <w:rPr>
          <w:rFonts w:ascii="Palatino Linotype" w:eastAsia="Palatino Linotype" w:hAnsi="Palatino Linotype" w:cs="Palatino Linotype"/>
        </w:rPr>
      </w:pPr>
    </w:p>
    <w:p w:rsidR="006B3302" w:rsidRPr="00850128" w:rsidRDefault="004A41A5">
      <w:pPr>
        <w:spacing w:line="360" w:lineRule="auto"/>
        <w:ind w:left="851"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lastRenderedPageBreak/>
        <w:t xml:space="preserve">Artículo 11.45. </w:t>
      </w:r>
      <w:r w:rsidRPr="00850128">
        <w:rPr>
          <w:rFonts w:ascii="Palatino Linotype" w:eastAsia="Palatino Linotype" w:hAnsi="Palatino Linotype" w:cs="Palatino Linotype"/>
          <w:b/>
          <w:bCs/>
          <w:i/>
          <w:iCs/>
        </w:rPr>
        <w:t>Para la entrada a sus labores y registro de asistencia, se concederá a la o el servidor público, una tolerancia de diez minutos después de la hora señalada para la iniciarlas</w:t>
      </w:r>
      <w:r w:rsidRPr="00850128">
        <w:rPr>
          <w:rFonts w:ascii="Palatino Linotype" w:eastAsia="Palatino Linotype" w:hAnsi="Palatino Linotype" w:cs="Palatino Linotype"/>
          <w:i/>
          <w:iCs/>
        </w:rPr>
        <w:t xml:space="preserve">. </w:t>
      </w:r>
    </w:p>
    <w:p w:rsidR="006B3302" w:rsidRPr="00850128" w:rsidRDefault="006B3302">
      <w:pPr>
        <w:spacing w:line="360" w:lineRule="auto"/>
        <w:ind w:left="851" w:right="567"/>
        <w:jc w:val="both"/>
        <w:rPr>
          <w:rFonts w:ascii="Palatino Linotype" w:eastAsia="Palatino Linotype" w:hAnsi="Palatino Linotype" w:cs="Palatino Linotype"/>
          <w:i/>
          <w:iCs/>
        </w:rPr>
      </w:pPr>
    </w:p>
    <w:p w:rsidR="006B3302" w:rsidRPr="00850128" w:rsidRDefault="004A41A5">
      <w:pPr>
        <w:spacing w:line="360" w:lineRule="auto"/>
        <w:ind w:left="851"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Se considerará retardo, cuando la o el servidor público se presente a sus labores entre el minuto once y el quince después de su entrada. Asimismo, tres retardos acumulativos en una quincena serán considerados como una falta.</w:t>
      </w:r>
    </w:p>
    <w:p w:rsidR="006B3302" w:rsidRPr="00850128" w:rsidRDefault="006B3302">
      <w:pPr>
        <w:spacing w:line="360" w:lineRule="auto"/>
        <w:ind w:left="851" w:right="567"/>
        <w:jc w:val="both"/>
        <w:rPr>
          <w:rFonts w:ascii="Palatino Linotype" w:eastAsia="Palatino Linotype" w:hAnsi="Palatino Linotype" w:cs="Palatino Linotype"/>
          <w:i/>
          <w:iCs/>
        </w:rPr>
      </w:pPr>
    </w:p>
    <w:p w:rsidR="006B3302" w:rsidRPr="00850128" w:rsidRDefault="004A41A5">
      <w:pPr>
        <w:spacing w:line="360" w:lineRule="auto"/>
        <w:ind w:left="851"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Se considerará falta de asistencia, el hecho de que la o el servidor público se presente a sus labores después del minuto 16 (dieciséis), así como registrar la salida antes del límite del horario diario establecido.</w:t>
      </w:r>
    </w:p>
    <w:p w:rsidR="006B3302" w:rsidRPr="00850128" w:rsidRDefault="006B3302">
      <w:pPr>
        <w:spacing w:line="360" w:lineRule="auto"/>
        <w:ind w:left="851" w:right="567"/>
        <w:jc w:val="both"/>
        <w:rPr>
          <w:rFonts w:ascii="Palatino Linotype" w:eastAsia="Palatino Linotype" w:hAnsi="Palatino Linotype" w:cs="Palatino Linotype"/>
          <w:i/>
          <w:iCs/>
        </w:rPr>
      </w:pPr>
    </w:p>
    <w:p w:rsidR="006B3302" w:rsidRPr="00850128" w:rsidRDefault="004A41A5">
      <w:pPr>
        <w:spacing w:line="360" w:lineRule="auto"/>
        <w:ind w:left="851"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Cuando la o el servidor público incurra en faltas de asistencia y tres retardos, no tendrá derecho al pago correspondiente al tiempo no laborado; el descuento se podrá ver reflejado dentro de alguna de las dos siguientes quincenas, en que se cometió la falta.”</w:t>
      </w:r>
    </w:p>
    <w:p w:rsidR="006B3302" w:rsidRPr="00850128" w:rsidRDefault="004A41A5">
      <w:pPr>
        <w:spacing w:line="360" w:lineRule="auto"/>
        <w:ind w:left="851" w:right="567"/>
        <w:jc w:val="both"/>
        <w:rPr>
          <w:rFonts w:ascii="Palatino Linotype" w:eastAsia="Palatino Linotype" w:hAnsi="Palatino Linotype" w:cs="Palatino Linotype"/>
        </w:rPr>
      </w:pPr>
      <w:r w:rsidRPr="00850128">
        <w:rPr>
          <w:rFonts w:ascii="Palatino Linotype" w:eastAsia="Palatino Linotype" w:hAnsi="Palatino Linotype" w:cs="Palatino Linotype"/>
        </w:rPr>
        <w:t>Énfasis propio</w:t>
      </w:r>
    </w:p>
    <w:p w:rsidR="006B3302" w:rsidRPr="00850128" w:rsidRDefault="006B3302">
      <w:pPr>
        <w:spacing w:line="360" w:lineRule="auto"/>
        <w:ind w:left="851" w:right="567"/>
        <w:jc w:val="both"/>
        <w:rPr>
          <w:rFonts w:ascii="Palatino Linotype" w:eastAsia="Palatino Linotype" w:hAnsi="Palatino Linotype" w:cs="Palatino Linotype"/>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De lo anterior, resulta claro que la Unidad Administrativa que se pronunció, es la competente para atender el requerimiento de información, al ser quien lleva el control y registro de asistencias de los servidores públicos del Ayuntamiento de Toluca, advirtiendo que para la Unidad de Transparencia, llevan su registro de entrada y salida a través de una lista, mismo del que también se puede advertir el Horario de laboral de cada uno de los servidores públicos que integran dicha </w:t>
      </w:r>
      <w:r w:rsidRPr="00850128">
        <w:rPr>
          <w:rFonts w:ascii="Palatino Linotype" w:eastAsia="Palatino Linotype" w:hAnsi="Palatino Linotype" w:cs="Palatino Linotype"/>
        </w:rPr>
        <w:lastRenderedPageBreak/>
        <w:t xml:space="preserve">unidad administrativa; por lo que, resulta procedente ordenar la entrega del documento </w:t>
      </w:r>
      <w:r w:rsidRPr="00850128">
        <w:rPr>
          <w:rFonts w:ascii="Palatino Linotype" w:eastAsia="Palatino Linotype" w:hAnsi="Palatino Linotype" w:cs="Palatino Linotype"/>
          <w:u w:val="single"/>
        </w:rPr>
        <w:t>donde conste el control o registro de asistencia</w:t>
      </w:r>
      <w:r w:rsidRPr="00850128">
        <w:rPr>
          <w:rFonts w:ascii="Palatino Linotype" w:eastAsia="Palatino Linotype" w:hAnsi="Palatino Linotype" w:cs="Palatino Linotype"/>
        </w:rPr>
        <w:t xml:space="preserve"> del personal adscrito a la Consejería Jurídica del Ayuntamiento de Toluca, del 01 de enero al 31 de diciembre de 2024.</w:t>
      </w:r>
    </w:p>
    <w:p w:rsidR="006B3302" w:rsidRPr="00850128" w:rsidRDefault="006B3302">
      <w:pPr>
        <w:pBdr>
          <w:top w:val="nil"/>
          <w:left w:val="nil"/>
          <w:bottom w:val="nil"/>
          <w:right w:val="nil"/>
          <w:between w:val="nil"/>
        </w:pBdr>
        <w:spacing w:line="360" w:lineRule="auto"/>
        <w:ind w:left="502" w:right="49"/>
        <w:jc w:val="both"/>
        <w:rPr>
          <w:rFonts w:ascii="Palatino Linotype" w:eastAsia="Palatino Linotype" w:hAnsi="Palatino Linotype" w:cs="Palatino Linotype"/>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rPr>
      </w:pPr>
      <w:r w:rsidRPr="00850128">
        <w:rPr>
          <w:rFonts w:ascii="Palatino Linotype" w:eastAsia="Palatino Linotype" w:hAnsi="Palatino Linotype" w:cs="Palatino Linotype"/>
        </w:rPr>
        <w:t xml:space="preserve">De lo anterior se hace énfasis, ya que en los motivos de inconformidad, el hoy </w:t>
      </w:r>
      <w:r w:rsidRPr="00850128">
        <w:rPr>
          <w:rFonts w:ascii="Palatino Linotype" w:eastAsia="Palatino Linotype" w:hAnsi="Palatino Linotype" w:cs="Palatino Linotype"/>
          <w:b/>
          <w:bCs/>
        </w:rPr>
        <w:t xml:space="preserve">RECURRENTE, </w:t>
      </w:r>
      <w:r w:rsidRPr="00850128">
        <w:rPr>
          <w:rFonts w:ascii="Palatino Linotype" w:eastAsia="Palatino Linotype" w:hAnsi="Palatino Linotype" w:cs="Palatino Linotype"/>
        </w:rPr>
        <w:t xml:space="preserve">señala que en dicha anualidad se registraba asistencia antes de la implementación de un biométrico (checador biométrico), el cual corresponde a un mecanismo utilizada actualmente por diversas instituciones y organismos de la administración pública, para el control de asistencia a través de datos biométricos para una eficiente gestión de su personal, registrando entradas, salidas y pausas utilizando características físicas únicas como huellas dactilares, reconocimiento facial, o escaneo de iris; luego entonces si bien es cierto en la solicitud de información inicial se refiere en estricto sentido a las </w:t>
      </w:r>
      <w:r w:rsidRPr="00850128">
        <w:rPr>
          <w:rFonts w:ascii="Palatino Linotype" w:eastAsia="Palatino Linotype" w:hAnsi="Palatino Linotype" w:cs="Palatino Linotype"/>
          <w:i/>
          <w:iCs/>
        </w:rPr>
        <w:t>listas,</w:t>
      </w:r>
      <w:r w:rsidRPr="00850128">
        <w:rPr>
          <w:rFonts w:ascii="Palatino Linotype" w:eastAsia="Palatino Linotype" w:hAnsi="Palatino Linotype" w:cs="Palatino Linotype"/>
        </w:rPr>
        <w:t xml:space="preserve"> también lo es que este debe interpretarse a cualquier documento físico o digital en que queden asentados los registros de asistencia, con independencia de su denominación, en todo caso corresponde a los sujetos obligados otorgar la expresión documental.</w:t>
      </w:r>
    </w:p>
    <w:p w:rsidR="006B3302" w:rsidRPr="00850128" w:rsidRDefault="006B3302">
      <w:pPr>
        <w:pBdr>
          <w:top w:val="nil"/>
          <w:left w:val="nil"/>
          <w:bottom w:val="nil"/>
          <w:right w:val="nil"/>
          <w:between w:val="nil"/>
        </w:pBdr>
        <w:spacing w:line="360" w:lineRule="auto"/>
        <w:ind w:left="502"/>
        <w:jc w:val="both"/>
        <w:rPr>
          <w:rFonts w:ascii="Palatino Linotype" w:eastAsia="Palatino Linotype" w:hAnsi="Palatino Linotype" w:cs="Palatino Linotype"/>
          <w:color w:val="000000"/>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Sirve de sustento a lo anterior, el Criterio 028-10, emitido por el entonces Pleno del Instituto Federal de Acceso a la Información y Protección de Datos, ahora INAI, que establece: </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pBdr>
          <w:top w:val="nil"/>
          <w:left w:val="nil"/>
          <w:bottom w:val="nil"/>
          <w:right w:val="nil"/>
          <w:between w:val="nil"/>
        </w:pBdr>
        <w:spacing w:line="360" w:lineRule="auto"/>
        <w:ind w:left="502" w:right="567"/>
        <w:jc w:val="both"/>
        <w:rPr>
          <w:rFonts w:ascii="Palatino Linotype" w:eastAsia="Palatino Linotype" w:hAnsi="Palatino Linotype" w:cs="Palatino Linotype"/>
          <w:b/>
          <w:bCs/>
          <w:i/>
          <w:iCs/>
          <w:color w:val="000000"/>
          <w:u w:val="single"/>
        </w:rPr>
      </w:pPr>
      <w:r w:rsidRPr="00850128">
        <w:rPr>
          <w:rFonts w:ascii="Palatino Linotype" w:eastAsia="Palatino Linotype" w:hAnsi="Palatino Linotype" w:cs="Palatino Linotype"/>
          <w:b/>
          <w:bCs/>
          <w:i/>
          <w:iCs/>
          <w:color w:val="000000"/>
        </w:rPr>
        <w:t xml:space="preserve">“Cuando en una solicitud de información no se identifique un documento en específico, si ésta tiene una expresión documental, el sujeto obligado </w:t>
      </w:r>
      <w:r w:rsidRPr="00850128">
        <w:rPr>
          <w:rFonts w:ascii="Palatino Linotype" w:eastAsia="Palatino Linotype" w:hAnsi="Palatino Linotype" w:cs="Palatino Linotype"/>
          <w:b/>
          <w:bCs/>
          <w:i/>
          <w:iCs/>
          <w:color w:val="000000"/>
        </w:rPr>
        <w:lastRenderedPageBreak/>
        <w:t>deberá entregar al particular el documento en específico.</w:t>
      </w:r>
      <w:r w:rsidRPr="00850128">
        <w:rPr>
          <w:rFonts w:ascii="Palatino Linotype" w:eastAsia="Palatino Linotype" w:hAnsi="Palatino Linotype" w:cs="Palatino Linotype"/>
          <w:i/>
          <w:iCs/>
          <w:color w:val="000000"/>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850128">
        <w:rPr>
          <w:rFonts w:ascii="Palatino Linotype" w:eastAsia="Palatino Linotype" w:hAnsi="Palatino Linotype" w:cs="Palatino Linotype"/>
          <w:b/>
          <w:bCs/>
          <w:i/>
          <w:iCs/>
          <w:color w:val="000000"/>
          <w:u w:val="single"/>
        </w:rPr>
        <w:t xml:space="preserve">cuando el particular lleve a cabo una solicitud de información sin identificar de forma precisa la documentación específica que pudiera contener dicha información, </w:t>
      </w:r>
      <w:r w:rsidRPr="00850128">
        <w:rPr>
          <w:rFonts w:ascii="Palatino Linotype" w:eastAsia="Palatino Linotype" w:hAnsi="Palatino Linotype" w:cs="Palatino Linotype"/>
          <w:i/>
          <w:iCs/>
          <w:color w:val="000000"/>
        </w:rPr>
        <w:t xml:space="preserve">o bien pareciera que más bien la solicitud se constituye como una consulta y no como una solicitud de acceso en términos de la Ley Federal de Transparencia y Acceso a la Información Pública Gubernamental, pero su respuesta puede obrar en algún documento, </w:t>
      </w:r>
      <w:r w:rsidRPr="00850128">
        <w:rPr>
          <w:rFonts w:ascii="Palatino Linotype" w:eastAsia="Palatino Linotype" w:hAnsi="Palatino Linotype" w:cs="Palatino Linotype"/>
          <w:b/>
          <w:bCs/>
          <w:i/>
          <w:iCs/>
          <w:color w:val="000000"/>
        </w:rPr>
        <w:t>el sujeto obligado debe dar a la solicitud una interpretación que le dé una expresión documental. Es decir</w:t>
      </w:r>
      <w:r w:rsidRPr="00850128">
        <w:rPr>
          <w:rFonts w:ascii="Palatino Linotype" w:eastAsia="Palatino Linotype" w:hAnsi="Palatino Linotype" w:cs="Palatino Linotype"/>
          <w:b/>
          <w:bCs/>
          <w:i/>
          <w:iCs/>
          <w:color w:val="000000"/>
          <w:u w:val="single"/>
        </w:rPr>
        <w:t>, si la respuesta a la solicitud obra en algún documento en poder de la autoridad, pero el particular no hace referencia específica a tal documento, se deberá hacer entrega del mismo al solicitante.</w:t>
      </w:r>
    </w:p>
    <w:p w:rsidR="006B3302" w:rsidRPr="00850128" w:rsidRDefault="006B3302">
      <w:pPr>
        <w:pBdr>
          <w:top w:val="nil"/>
          <w:left w:val="nil"/>
          <w:bottom w:val="nil"/>
          <w:right w:val="nil"/>
          <w:between w:val="nil"/>
        </w:pBdr>
        <w:spacing w:line="360" w:lineRule="auto"/>
        <w:ind w:left="502" w:right="567"/>
        <w:jc w:val="both"/>
        <w:rPr>
          <w:rFonts w:ascii="Palatino Linotype" w:eastAsia="Palatino Linotype" w:hAnsi="Palatino Linotype" w:cs="Palatino Linotype"/>
          <w:b/>
          <w:bCs/>
          <w:i/>
          <w:iCs/>
          <w:color w:val="000000"/>
          <w:u w:val="single"/>
        </w:rPr>
      </w:pPr>
    </w:p>
    <w:p w:rsidR="006B3302" w:rsidRPr="00850128" w:rsidRDefault="004A41A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50128">
        <w:rPr>
          <w:rFonts w:ascii="Palatino Linotype" w:eastAsia="Palatino Linotype" w:hAnsi="Palatino Linotype" w:cs="Palatino Linotype"/>
        </w:rPr>
        <w:t>Por lo anterior se advierte que si bien es cierto la</w:t>
      </w:r>
      <w:r w:rsidRPr="00850128">
        <w:rPr>
          <w:rFonts w:ascii="Palatino Linotype" w:eastAsia="Palatino Linotype" w:hAnsi="Palatino Linotype" w:cs="Palatino Linotype"/>
          <w:b/>
          <w:bCs/>
        </w:rPr>
        <w:t xml:space="preserve"> RECURRENTE </w:t>
      </w:r>
      <w:r w:rsidRPr="00850128">
        <w:rPr>
          <w:rFonts w:ascii="Palatino Linotype" w:eastAsia="Palatino Linotype" w:hAnsi="Palatino Linotype" w:cs="Palatino Linotype"/>
        </w:rPr>
        <w:t xml:space="preserve">en la solicitud emplea el termino listado, se debe otorgar una expresión documental a cualquiera que sea el registro en que quede asentada la información solicitada, ya que es de explorado derecho que para el ejercicio del acceso a la información pública, los solicitantes no se encuentran obligados conocer con puntualidad el </w:t>
      </w:r>
      <w:r w:rsidRPr="00850128">
        <w:rPr>
          <w:rFonts w:ascii="Palatino Linotype" w:eastAsia="Palatino Linotype" w:hAnsi="Palatino Linotype" w:cs="Palatino Linotype"/>
        </w:rPr>
        <w:lastRenderedPageBreak/>
        <w:t>término preciso jurídico, técnico o administrativo de la información o el documento al que desean acceder.</w:t>
      </w:r>
    </w:p>
    <w:p w:rsidR="006B3302" w:rsidRPr="00850128" w:rsidRDefault="004A41A5">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 </w:t>
      </w: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Con la determinación anterior, se estima </w:t>
      </w:r>
      <w:r w:rsidRPr="00850128">
        <w:rPr>
          <w:rFonts w:ascii="Palatino Linotype" w:eastAsia="Palatino Linotype" w:hAnsi="Palatino Linotype" w:cs="Palatino Linotype"/>
        </w:rPr>
        <w:t>quedará</w:t>
      </w:r>
      <w:r w:rsidRPr="00850128">
        <w:rPr>
          <w:rFonts w:ascii="Palatino Linotype" w:eastAsia="Palatino Linotype" w:hAnsi="Palatino Linotype" w:cs="Palatino Linotype"/>
          <w:color w:val="000000"/>
        </w:rPr>
        <w:t xml:space="preserve"> por colmado el derecho de acceso a la información del ahora Recurrente; toda vez que el Derecho que tutela este Órgano Garante corresponde a la  </w:t>
      </w:r>
      <w:r w:rsidRPr="00850128">
        <w:rPr>
          <w:rFonts w:ascii="Palatino Linotype" w:eastAsia="Palatino Linotype" w:hAnsi="Palatino Linotype" w:cs="Palatino Linotype"/>
          <w:i/>
          <w:iCs/>
          <w:color w:val="000000"/>
        </w:rPr>
        <w:t>igualdad de oportunidades para recibir, buscar e impartir información</w:t>
      </w:r>
      <w:r w:rsidRPr="00850128">
        <w:rPr>
          <w:rFonts w:ascii="Palatino Linotype" w:eastAsia="Palatino Linotype" w:hAnsi="Palatino Linotype" w:cs="Palatino Linotype"/>
          <w:i/>
          <w:iCs/>
          <w:color w:val="000000"/>
          <w:vertAlign w:val="superscript"/>
        </w:rPr>
        <w:footnoteReference w:id="1"/>
      </w:r>
      <w:r w:rsidRPr="00850128">
        <w:rPr>
          <w:rFonts w:ascii="Palatino Linotype" w:eastAsia="Palatino Linotype" w:hAnsi="Palatino Linotype" w:cs="Palatino Linotype"/>
          <w:i/>
          <w:iCs/>
          <w:color w:val="000000"/>
        </w:rPr>
        <w:t xml:space="preserve"> en posesión de cualquier autoridad, entidad, órgano y organismo de los </w:t>
      </w:r>
      <w:r w:rsidRPr="00850128">
        <w:rPr>
          <w:rFonts w:ascii="Palatino Linotype" w:eastAsia="Palatino Linotype" w:hAnsi="Palatino Linotype" w:cs="Palatino Linotype"/>
          <w:color w:val="000000"/>
        </w:rPr>
        <w:t>poderes</w:t>
      </w:r>
      <w:r w:rsidRPr="00850128">
        <w:rPr>
          <w:rFonts w:ascii="Palatino Linotype" w:eastAsia="Palatino Linotype" w:hAnsi="Palatino Linotype" w:cs="Palatino Linotype"/>
          <w:i/>
          <w:iCs/>
          <w:color w:val="000000"/>
        </w:rPr>
        <w:t xml:space="preserve"> Ejecutivo, Legislativo y Judicial, órganos autónomos, partidos políticos, </w:t>
      </w:r>
      <w:r w:rsidRPr="00850128">
        <w:rPr>
          <w:rFonts w:ascii="Palatino Linotype" w:eastAsia="Palatino Linotype" w:hAnsi="Palatino Linotype" w:cs="Palatino Linotype"/>
          <w:color w:val="000000"/>
        </w:rPr>
        <w:t>fideicomisos</w:t>
      </w:r>
      <w:r w:rsidRPr="00850128">
        <w:rPr>
          <w:rFonts w:ascii="Palatino Linotype" w:eastAsia="Palatino Linotype" w:hAnsi="Palatino Linotype" w:cs="Palatino Linotype"/>
          <w:i/>
          <w:iCs/>
          <w:color w:val="000000"/>
        </w:rPr>
        <w:t>, y fondos públicos, así como de cualquier persona física, moral o sindicato que reciba y ejerza recursos públicos o realice actos de autoridad en el ámbito federal, estatal y municipal</w:t>
      </w:r>
      <w:r w:rsidRPr="00850128">
        <w:rPr>
          <w:rFonts w:ascii="Palatino Linotype" w:eastAsia="Palatino Linotype" w:hAnsi="Palatino Linotype" w:cs="Palatino Linotype"/>
          <w:color w:val="000000"/>
          <w:vertAlign w:val="superscript"/>
        </w:rPr>
        <w:footnoteReference w:id="2"/>
      </w:r>
      <w:r w:rsidRPr="00850128">
        <w:rPr>
          <w:rFonts w:ascii="Palatino Linotype" w:eastAsia="Palatino Linotype" w:hAnsi="Palatino Linotype" w:cs="Palatino Linotype"/>
          <w:i/>
          <w:iCs/>
          <w:color w:val="000000"/>
        </w:rPr>
        <w:t xml:space="preserve"> </w:t>
      </w:r>
      <w:r w:rsidRPr="00850128">
        <w:rPr>
          <w:rFonts w:ascii="Palatino Linotype" w:eastAsia="Palatino Linotype" w:hAnsi="Palatino Linotype" w:cs="Palatino Linotype"/>
          <w:color w:val="000000"/>
        </w:rPr>
        <w:t xml:space="preserve">que se constituye como una herramienta fundamental para </w:t>
      </w:r>
      <w:r w:rsidRPr="00850128">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sidRPr="00850128">
        <w:rPr>
          <w:rFonts w:ascii="Palatino Linotype" w:eastAsia="Palatino Linotype" w:hAnsi="Palatino Linotype" w:cs="Palatino Linotype"/>
          <w:i/>
          <w:iCs/>
          <w:color w:val="000000"/>
          <w:vertAlign w:val="superscript"/>
        </w:rPr>
        <w:footnoteReference w:id="3"/>
      </w:r>
      <w:r w:rsidRPr="00850128">
        <w:rPr>
          <w:rFonts w:ascii="Palatino Linotype" w:eastAsia="Palatino Linotype" w:hAnsi="Palatino Linotype" w:cs="Palatino Linotype"/>
          <w:color w:val="000000"/>
        </w:rPr>
        <w:t>fomentando</w:t>
      </w:r>
      <w:r w:rsidRPr="00850128">
        <w:rPr>
          <w:rFonts w:ascii="Palatino Linotype" w:eastAsia="Palatino Linotype" w:hAnsi="Palatino Linotype" w:cs="Palatino Linotype"/>
          <w:i/>
          <w:iCs/>
          <w:color w:val="000000"/>
        </w:rPr>
        <w:t xml:space="preserve"> la transparencia de las actividades estatales y</w:t>
      </w:r>
      <w:r w:rsidRPr="00850128">
        <w:rPr>
          <w:rFonts w:ascii="Palatino Linotype" w:eastAsia="Palatino Linotype" w:hAnsi="Palatino Linotype" w:cs="Palatino Linotype"/>
          <w:color w:val="000000"/>
        </w:rPr>
        <w:t xml:space="preserve"> promoviendo</w:t>
      </w:r>
      <w:r w:rsidRPr="00850128">
        <w:rPr>
          <w:rFonts w:ascii="Palatino Linotype" w:eastAsia="Palatino Linotype" w:hAnsi="Palatino Linotype" w:cs="Palatino Linotype"/>
          <w:i/>
          <w:iCs/>
          <w:color w:val="000000"/>
        </w:rPr>
        <w:t xml:space="preserve"> la responsabilidad de los funcionarios sobre su gestión pública</w:t>
      </w:r>
      <w:r w:rsidRPr="00850128">
        <w:rPr>
          <w:rFonts w:ascii="Palatino Linotype" w:eastAsia="Palatino Linotype" w:hAnsi="Palatino Linotype" w:cs="Palatino Linotype"/>
          <w:i/>
          <w:iCs/>
          <w:color w:val="000000"/>
          <w:vertAlign w:val="superscript"/>
        </w:rPr>
        <w:footnoteReference w:id="4"/>
      </w:r>
      <w:r w:rsidRPr="00850128">
        <w:rPr>
          <w:rFonts w:ascii="Palatino Linotype" w:eastAsia="Palatino Linotype" w:hAnsi="Palatino Linotype" w:cs="Palatino Linotype"/>
          <w:i/>
          <w:iCs/>
          <w:color w:val="000000"/>
        </w:rPr>
        <w:t xml:space="preserve"> </w:t>
      </w:r>
      <w:r w:rsidRPr="00850128">
        <w:rPr>
          <w:rFonts w:ascii="Palatino Linotype" w:eastAsia="Palatino Linotype" w:hAnsi="Palatino Linotype" w:cs="Palatino Linotype"/>
          <w:color w:val="000000"/>
        </w:rPr>
        <w:t>que permite</w:t>
      </w:r>
      <w:r w:rsidRPr="00850128">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Pr="00850128">
        <w:rPr>
          <w:rFonts w:ascii="Palatino Linotype" w:eastAsia="Palatino Linotype" w:hAnsi="Palatino Linotype" w:cs="Palatino Linotype"/>
          <w:i/>
          <w:iCs/>
          <w:color w:val="000000"/>
          <w:vertAlign w:val="superscript"/>
        </w:rPr>
        <w:footnoteReference w:id="5"/>
      </w:r>
      <w:r w:rsidRPr="00850128">
        <w:rPr>
          <w:rFonts w:ascii="Palatino Linotype" w:eastAsia="Palatino Linotype" w:hAnsi="Palatino Linotype" w:cs="Palatino Linotype"/>
          <w:color w:val="000000"/>
        </w:rPr>
        <w:t xml:space="preserve"> ” </w:t>
      </w:r>
    </w:p>
    <w:p w:rsidR="006B3302" w:rsidRPr="00850128" w:rsidRDefault="006B330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6B3302" w:rsidRPr="00850128" w:rsidRDefault="004A41A5">
      <w:pPr>
        <w:spacing w:line="360" w:lineRule="auto"/>
        <w:ind w:left="426" w:right="567"/>
        <w:jc w:val="both"/>
        <w:rPr>
          <w:rFonts w:ascii="Palatino Linotype" w:eastAsia="Palatino Linotype" w:hAnsi="Palatino Linotype" w:cs="Palatino Linotype"/>
          <w:b/>
          <w:bCs/>
          <w:i/>
          <w:iCs/>
          <w:color w:val="000000"/>
        </w:rPr>
      </w:pPr>
      <w:r w:rsidRPr="00850128">
        <w:rPr>
          <w:rFonts w:ascii="Palatino Linotype" w:eastAsia="Palatino Linotype" w:hAnsi="Palatino Linotype" w:cs="Palatino Linotype"/>
          <w:b/>
          <w:bCs/>
          <w:i/>
          <w:iCs/>
          <w:color w:val="000000"/>
        </w:rPr>
        <w:t>“CRITERIO 0002-11</w:t>
      </w:r>
    </w:p>
    <w:p w:rsidR="006B3302" w:rsidRPr="00850128" w:rsidRDefault="004A41A5">
      <w:pPr>
        <w:spacing w:line="360" w:lineRule="auto"/>
        <w:ind w:left="425" w:right="567"/>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sidRPr="00850128">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B3302" w:rsidRPr="00850128" w:rsidRDefault="004A41A5">
      <w:pPr>
        <w:spacing w:line="360" w:lineRule="auto"/>
        <w:ind w:left="425" w:right="567"/>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i/>
          <w:iCs/>
          <w:color w:val="000000"/>
        </w:rPr>
        <w:t>En consecuencia el acceso a la información se refiere a que se cumplan cualquiera de los siguientes tres supuestos:</w:t>
      </w:r>
    </w:p>
    <w:p w:rsidR="006B3302" w:rsidRPr="00850128" w:rsidRDefault="004A41A5">
      <w:pPr>
        <w:spacing w:line="360" w:lineRule="auto"/>
        <w:ind w:left="425" w:right="567"/>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rsidR="006B3302" w:rsidRPr="00850128" w:rsidRDefault="004A41A5">
      <w:pPr>
        <w:spacing w:line="360" w:lineRule="auto"/>
        <w:ind w:left="425" w:right="567"/>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rsidR="006B3302" w:rsidRPr="00850128" w:rsidRDefault="004A41A5">
      <w:pPr>
        <w:spacing w:line="360" w:lineRule="auto"/>
        <w:ind w:left="425" w:right="567"/>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i/>
          <w:iCs/>
          <w:color w:val="000000"/>
        </w:rPr>
        <w:lastRenderedPageBreak/>
        <w:t>Que se trate de información registrada en cualquier soporte documental, que en ejercicio de las atribuciones conferidas, se encuentre en posesión de los Sujetos Obligados.”</w:t>
      </w:r>
    </w:p>
    <w:p w:rsidR="006B3302" w:rsidRPr="00850128" w:rsidRDefault="006B3302">
      <w:pPr>
        <w:spacing w:line="360" w:lineRule="auto"/>
        <w:jc w:val="both"/>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Es así que, todos los actos de autoridad que realicen los Sujetos Obligados </w:t>
      </w:r>
      <w:r w:rsidRPr="00850128">
        <w:rPr>
          <w:rFonts w:ascii="Palatino Linotype" w:eastAsia="Palatino Linotype" w:hAnsi="Palatino Linotype" w:cs="Palatino Linotype"/>
          <w:b/>
          <w:bCs/>
          <w:color w:val="000000"/>
        </w:rPr>
        <w:t xml:space="preserve">deben </w:t>
      </w:r>
      <w:r w:rsidRPr="00850128">
        <w:rPr>
          <w:rFonts w:ascii="Palatino Linotype" w:eastAsia="Palatino Linotype" w:hAnsi="Palatino Linotype" w:cs="Palatino Linotype"/>
          <w:color w:val="000000"/>
        </w:rPr>
        <w:t>estar</w:t>
      </w:r>
      <w:r w:rsidRPr="00850128">
        <w:rPr>
          <w:rFonts w:ascii="Palatino Linotype" w:eastAsia="Palatino Linotype" w:hAnsi="Palatino Linotype" w:cs="Palatino Linotype"/>
          <w:b/>
          <w:bCs/>
          <w:color w:val="000000"/>
        </w:rPr>
        <w:t xml:space="preserve"> </w:t>
      </w:r>
      <w:r w:rsidRPr="00850128">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6B3302" w:rsidRPr="00850128" w:rsidRDefault="006B330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6B3302" w:rsidRPr="00850128" w:rsidRDefault="004A41A5">
      <w:pPr>
        <w:spacing w:line="360" w:lineRule="auto"/>
        <w:ind w:left="425" w:right="333"/>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b/>
          <w:bCs/>
          <w:i/>
          <w:iCs/>
          <w:color w:val="000000"/>
        </w:rPr>
        <w:t xml:space="preserve">“Artículo 4. </w:t>
      </w:r>
      <w:r w:rsidRPr="00850128">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rsidR="006B3302" w:rsidRPr="00850128" w:rsidRDefault="004A41A5">
      <w:pPr>
        <w:spacing w:line="360" w:lineRule="auto"/>
        <w:ind w:left="426" w:right="333"/>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b/>
          <w:bCs/>
          <w:i/>
          <w:iCs/>
          <w:color w:val="000000"/>
        </w:rPr>
        <w:t>Toda la información</w:t>
      </w:r>
      <w:r w:rsidRPr="00850128">
        <w:rPr>
          <w:rFonts w:ascii="Palatino Linotype" w:eastAsia="Palatino Linotype" w:hAnsi="Palatino Linotype" w:cs="Palatino Linotype"/>
          <w:i/>
          <w:iCs/>
          <w:color w:val="000000"/>
        </w:rPr>
        <w:t xml:space="preserve"> generada, obtenida, adquirida, transformada, administrada o </w:t>
      </w:r>
      <w:r w:rsidRPr="00850128">
        <w:rPr>
          <w:rFonts w:ascii="Palatino Linotype" w:eastAsia="Palatino Linotype" w:hAnsi="Palatino Linotype" w:cs="Palatino Linotype"/>
          <w:b/>
          <w:bCs/>
          <w:i/>
          <w:iCs/>
          <w:color w:val="000000"/>
        </w:rPr>
        <w:t>en posesión de los sujetos obligados es pública</w:t>
      </w:r>
      <w:r w:rsidRPr="00850128">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B3302" w:rsidRPr="00850128" w:rsidRDefault="004A41A5">
      <w:pPr>
        <w:spacing w:line="360" w:lineRule="auto"/>
        <w:ind w:left="426" w:right="333"/>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i/>
          <w:iCs/>
          <w:color w:val="000000"/>
        </w:rPr>
        <w:lastRenderedPageBreak/>
        <w:t>Los sujetos obligados deben poner en práctica, políticas y programas de acceso a la información que se apeguen a criterios de publicidad, veracidad, oportunidad, precisión y suficiencia en beneficio de los solicitantes.”</w:t>
      </w:r>
    </w:p>
    <w:p w:rsidR="006B3302" w:rsidRPr="00850128" w:rsidRDefault="006B3302">
      <w:pPr>
        <w:spacing w:line="360" w:lineRule="auto"/>
        <w:jc w:val="both"/>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50128">
        <w:rPr>
          <w:rFonts w:ascii="Palatino Linotype" w:eastAsia="Palatino Linotype" w:hAnsi="Palatino Linotype" w:cs="Palatino Linotype"/>
          <w:color w:val="000000"/>
          <w:vertAlign w:val="superscript"/>
        </w:rPr>
        <w:footnoteReference w:id="6"/>
      </w:r>
      <w:r w:rsidRPr="00850128">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6B3302" w:rsidRPr="00850128" w:rsidRDefault="006B3302">
      <w:pPr>
        <w:spacing w:line="360" w:lineRule="auto"/>
        <w:jc w:val="both"/>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6B3302" w:rsidRPr="00850128" w:rsidRDefault="004A41A5">
      <w:pPr>
        <w:pBdr>
          <w:top w:val="nil"/>
          <w:left w:val="nil"/>
          <w:bottom w:val="nil"/>
          <w:right w:val="nil"/>
          <w:between w:val="nil"/>
        </w:pBdr>
        <w:tabs>
          <w:tab w:val="left" w:pos="851"/>
        </w:tabs>
        <w:spacing w:line="360" w:lineRule="auto"/>
        <w:ind w:left="425" w:right="425"/>
        <w:jc w:val="both"/>
        <w:rPr>
          <w:rFonts w:ascii="Palatino Linotype" w:eastAsia="Palatino Linotype" w:hAnsi="Palatino Linotype" w:cs="Palatino Linotype"/>
          <w:i/>
          <w:iCs/>
          <w:color w:val="000000"/>
        </w:rPr>
      </w:pPr>
      <w:r w:rsidRPr="00850128">
        <w:rPr>
          <w:rFonts w:ascii="Palatino Linotype" w:eastAsia="Palatino Linotype" w:hAnsi="Palatino Linotype" w:cs="Palatino Linotype"/>
          <w:b/>
          <w:bCs/>
          <w:i/>
          <w:iCs/>
          <w:color w:val="000000"/>
        </w:rPr>
        <w:t>“ACCESO A LA INFORMACIÓN. IMPLICACIÓN DEL PRINCIPIO DE MÁXIMA PUBLICIDAD EN EL DERECHO FUNDAMENTAL RELATIVO.</w:t>
      </w:r>
      <w:r w:rsidRPr="00850128">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w:t>
      </w:r>
      <w:r w:rsidRPr="00850128">
        <w:rPr>
          <w:rFonts w:ascii="Palatino Linotype" w:eastAsia="Palatino Linotype" w:hAnsi="Palatino Linotype" w:cs="Palatino Linotype"/>
          <w:i/>
          <w:iCs/>
          <w:color w:val="000000"/>
        </w:rPr>
        <w:lastRenderedPageBreak/>
        <w:t>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6B3302" w:rsidRPr="00850128" w:rsidRDefault="006B3302">
      <w:pPr>
        <w:spacing w:line="360" w:lineRule="auto"/>
        <w:rPr>
          <w:rFonts w:ascii="Palatino Linotype" w:eastAsia="Palatino Linotype" w:hAnsi="Palatino Linotype" w:cs="Palatino Linotype"/>
          <w:b/>
          <w:bCs/>
        </w:rPr>
      </w:pPr>
      <w:bookmarkStart w:id="7" w:name="_heading=h.9b1qydtwt06h" w:colFirst="0" w:colLast="0"/>
      <w:bookmarkEnd w:id="7"/>
    </w:p>
    <w:p w:rsidR="006B3302" w:rsidRPr="00850128" w:rsidRDefault="004A41A5">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sidRPr="00850128">
        <w:rPr>
          <w:rFonts w:ascii="Palatino Linotype" w:eastAsia="Palatino Linotype" w:hAnsi="Palatino Linotype" w:cs="Palatino Linotype"/>
          <w:b/>
          <w:bCs/>
          <w:color w:val="000000"/>
        </w:rPr>
        <w:t>QUINTO. De la versión pública.</w:t>
      </w: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lastRenderedPageBreak/>
        <w:t xml:space="preserve">Finalmente, debe señalarse que dada la propia y especial naturaleza de lo solicitado, eminentemente contiene múltiples datos personales que deberán ser protegidos como ya quedó asentado en el Considerando anterior del presente proveído. Para dar cumplimiento a la presente resolución, contengan datos que deban ser clasificados, el </w:t>
      </w:r>
      <w:r w:rsidRPr="00850128">
        <w:rPr>
          <w:rFonts w:ascii="Palatino Linotype" w:eastAsia="Palatino Linotype" w:hAnsi="Palatino Linotype" w:cs="Palatino Linotype"/>
          <w:b/>
          <w:bCs/>
          <w:color w:val="000000"/>
        </w:rPr>
        <w:t>SUJETO OBLIGADO</w:t>
      </w:r>
      <w:r w:rsidRPr="00850128">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spacing w:line="360" w:lineRule="auto"/>
        <w:ind w:left="993" w:right="1041"/>
        <w:jc w:val="both"/>
        <w:rPr>
          <w:rFonts w:ascii="Palatino Linotype" w:eastAsia="Palatino Linotype" w:hAnsi="Palatino Linotype" w:cs="Palatino Linotype"/>
          <w:b/>
          <w:bCs/>
          <w:i/>
          <w:iCs/>
        </w:rPr>
      </w:pPr>
      <w:r w:rsidRPr="00850128">
        <w:rPr>
          <w:rFonts w:ascii="Palatino Linotype" w:eastAsia="Palatino Linotype" w:hAnsi="Palatino Linotype" w:cs="Palatino Linotype"/>
          <w:b/>
          <w:bCs/>
          <w:i/>
          <w:iCs/>
        </w:rPr>
        <w:t xml:space="preserve"> “Artículo 3. Para los efectos de la presente Ley se entenderá por:</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IX. Datos personales:</w:t>
      </w:r>
      <w:r w:rsidRPr="00850128">
        <w:rPr>
          <w:rFonts w:ascii="Palatino Linotype" w:eastAsia="Palatino Linotype" w:hAnsi="Palatino Linotype" w:cs="Palatino Linotype"/>
          <w:i/>
          <w:iCs/>
        </w:rPr>
        <w:t xml:space="preserve"> </w:t>
      </w:r>
      <w:r w:rsidRPr="00850128">
        <w:rPr>
          <w:rFonts w:ascii="Palatino Linotype" w:eastAsia="Palatino Linotype" w:hAnsi="Palatino Linotype" w:cs="Palatino Linotype"/>
          <w:b/>
          <w:bCs/>
          <w:i/>
          <w:iCs/>
        </w:rPr>
        <w:t>La información concerniente a una persona, identificada o identificable</w:t>
      </w:r>
      <w:r w:rsidRPr="00850128">
        <w:rPr>
          <w:rFonts w:ascii="Palatino Linotype" w:eastAsia="Palatino Linotype" w:hAnsi="Palatino Linotype" w:cs="Palatino Linotype"/>
          <w:i/>
          <w:iCs/>
        </w:rPr>
        <w:t xml:space="preserve"> según lo dispuesto por la Ley de Protección de Datos Personales del Estado de México;</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XX. Información clasificada:</w:t>
      </w:r>
      <w:r w:rsidRPr="00850128">
        <w:rPr>
          <w:rFonts w:ascii="Palatino Linotype" w:eastAsia="Palatino Linotype" w:hAnsi="Palatino Linotype" w:cs="Palatino Linotype"/>
          <w:i/>
          <w:iCs/>
        </w:rPr>
        <w:t xml:space="preserve"> Aquella considerada por la presente Ley como reservada o confidencial;</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XXXII. Protección de Datos Personales:</w:t>
      </w:r>
      <w:r w:rsidRPr="00850128">
        <w:rPr>
          <w:rFonts w:ascii="Palatino Linotype" w:eastAsia="Palatino Linotype" w:hAnsi="Palatino Linotype" w:cs="Palatino Linotype"/>
          <w:i/>
          <w:iCs/>
        </w:rPr>
        <w:t xml:space="preserve"> Derecho humano que tutela la privacidad de datos personales en poder de los sujetos obligados y sujetos particulares;</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lastRenderedPageBreak/>
        <w:t>XLV. Versión pública</w:t>
      </w:r>
      <w:r w:rsidRPr="00850128">
        <w:rPr>
          <w:rFonts w:ascii="Palatino Linotype" w:eastAsia="Palatino Linotype" w:hAnsi="Palatino Linotype" w:cs="Palatino Linotype"/>
          <w:i/>
          <w:iCs/>
        </w:rPr>
        <w:t>: Documento en el que se elimine, suprime o borra la información clasificada como reservada o confidencial para permitir su acceso.”</w:t>
      </w:r>
    </w:p>
    <w:p w:rsidR="006B3302" w:rsidRPr="00850128" w:rsidRDefault="006B3302">
      <w:pPr>
        <w:spacing w:line="360" w:lineRule="auto"/>
        <w:ind w:left="993" w:right="1041"/>
        <w:jc w:val="both"/>
        <w:rPr>
          <w:rFonts w:ascii="Palatino Linotype" w:eastAsia="Palatino Linotype" w:hAnsi="Palatino Linotype" w:cs="Palatino Linotype"/>
          <w:i/>
          <w:iCs/>
        </w:rPr>
      </w:pP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6.</w:t>
      </w:r>
      <w:r w:rsidRPr="00850128">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6B3302" w:rsidRPr="00850128" w:rsidRDefault="006B3302">
      <w:pPr>
        <w:spacing w:line="360" w:lineRule="auto"/>
        <w:ind w:left="993" w:right="1041"/>
        <w:jc w:val="both"/>
        <w:rPr>
          <w:rFonts w:ascii="Palatino Linotype" w:eastAsia="Palatino Linotype" w:hAnsi="Palatino Linotype" w:cs="Palatino Linotype"/>
          <w:i/>
          <w:iCs/>
        </w:rPr>
      </w:pP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w:t>
      </w:r>
      <w:r w:rsidRPr="00850128">
        <w:rPr>
          <w:rFonts w:ascii="Palatino Linotype" w:eastAsia="Palatino Linotype" w:hAnsi="Palatino Linotype" w:cs="Palatino Linotype"/>
          <w:b/>
          <w:bCs/>
          <w:i/>
          <w:iCs/>
        </w:rPr>
        <w:t>Artículo 49.</w:t>
      </w:r>
      <w:r w:rsidRPr="00850128">
        <w:rPr>
          <w:rFonts w:ascii="Palatino Linotype" w:eastAsia="Palatino Linotype" w:hAnsi="Palatino Linotype" w:cs="Palatino Linotype"/>
          <w:i/>
          <w:iCs/>
        </w:rPr>
        <w:t> Los Comités de Transparencia tendrán las siguientes atribuciones:</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VIII</w:t>
      </w:r>
      <w:r w:rsidRPr="00850128">
        <w:rPr>
          <w:rFonts w:ascii="Palatino Linotype" w:eastAsia="Palatino Linotype" w:hAnsi="Palatino Linotype" w:cs="Palatino Linotype"/>
          <w:i/>
          <w:iCs/>
        </w:rPr>
        <w:t>. Aprobar, modificar o revocar la clasificación de la información;</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 xml:space="preserve">Artículo 91. </w:t>
      </w:r>
      <w:r w:rsidRPr="00850128">
        <w:rPr>
          <w:rFonts w:ascii="Palatino Linotype" w:eastAsia="Palatino Linotype" w:hAnsi="Palatino Linotype" w:cs="Palatino Linotype"/>
          <w:i/>
          <w:iCs/>
        </w:rPr>
        <w:t>El acceso a la información pública será restringido excepcionalmente, cuando ésta sea clasificada como reservada o confidencial.</w:t>
      </w:r>
    </w:p>
    <w:p w:rsidR="006B3302" w:rsidRPr="00850128" w:rsidRDefault="006B3302">
      <w:pPr>
        <w:spacing w:line="360" w:lineRule="auto"/>
        <w:ind w:left="993" w:right="1041"/>
        <w:jc w:val="both"/>
        <w:rPr>
          <w:rFonts w:ascii="Palatino Linotype" w:eastAsia="Palatino Linotype" w:hAnsi="Palatino Linotype" w:cs="Palatino Linotype"/>
          <w:i/>
          <w:iCs/>
        </w:rPr>
      </w:pPr>
    </w:p>
    <w:p w:rsidR="006B3302" w:rsidRPr="00850128" w:rsidRDefault="004A41A5">
      <w:pPr>
        <w:spacing w:line="360" w:lineRule="auto"/>
        <w:ind w:left="993" w:right="1041"/>
        <w:jc w:val="both"/>
        <w:rPr>
          <w:rFonts w:ascii="Palatino Linotype" w:eastAsia="Palatino Linotype" w:hAnsi="Palatino Linotype" w:cs="Palatino Linotype"/>
          <w:b/>
          <w:bCs/>
          <w:i/>
          <w:iCs/>
        </w:rPr>
      </w:pPr>
      <w:r w:rsidRPr="00850128">
        <w:rPr>
          <w:rFonts w:ascii="Palatino Linotype" w:eastAsia="Palatino Linotype" w:hAnsi="Palatino Linotype" w:cs="Palatino Linotype"/>
          <w:b/>
          <w:bCs/>
          <w:i/>
          <w:iCs/>
        </w:rPr>
        <w:t>“Artículo 137.</w:t>
      </w:r>
      <w:r w:rsidRPr="00850128">
        <w:rPr>
          <w:rFonts w:ascii="Palatino Linotype" w:eastAsia="Palatino Linotype" w:hAnsi="Palatino Linotype" w:cs="Palatino Linotype"/>
          <w:i/>
          <w:iCs/>
        </w:rPr>
        <w:t xml:space="preserve"> Cuando un mismo medio, impreso o electrónico, contenga información pública y reservada o confidencial, la Unidad de </w:t>
      </w:r>
      <w:r w:rsidRPr="00850128">
        <w:rPr>
          <w:rFonts w:ascii="Palatino Linotype" w:eastAsia="Palatino Linotype" w:hAnsi="Palatino Linotype" w:cs="Palatino Linotype"/>
          <w:i/>
          <w:iCs/>
        </w:rPr>
        <w:lastRenderedPageBreak/>
        <w:t>Transparencia para efectos de atender una solicitud de información, deberán elaborar una versión pública en la que se testen las partes o secciones clasificadas, indicando su contenido de manera genérica y fundando y motivando su clasificación.”</w:t>
      </w:r>
    </w:p>
    <w:p w:rsidR="006B3302" w:rsidRPr="00850128" w:rsidRDefault="006B3302">
      <w:pPr>
        <w:spacing w:line="360" w:lineRule="auto"/>
        <w:ind w:left="993" w:right="1041"/>
        <w:jc w:val="both"/>
        <w:rPr>
          <w:rFonts w:ascii="Palatino Linotype" w:eastAsia="Palatino Linotype" w:hAnsi="Palatino Linotype" w:cs="Palatino Linotype"/>
          <w:b/>
          <w:bCs/>
          <w:i/>
          <w:iCs/>
        </w:rPr>
      </w:pP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143</w:t>
      </w:r>
      <w:r w:rsidRPr="00850128">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I.</w:t>
      </w:r>
      <w:r w:rsidRPr="00850128">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rsidR="006B3302" w:rsidRPr="00850128" w:rsidRDefault="004A41A5">
      <w:pPr>
        <w:spacing w:line="360" w:lineRule="auto"/>
        <w:ind w:left="993" w:right="1041"/>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rsidR="006B3302" w:rsidRPr="00850128" w:rsidRDefault="006B3302">
      <w:pPr>
        <w:spacing w:line="360" w:lineRule="auto"/>
        <w:ind w:left="993" w:right="1041"/>
        <w:jc w:val="both"/>
        <w:rPr>
          <w:rFonts w:ascii="Palatino Linotype" w:eastAsia="Palatino Linotype" w:hAnsi="Palatino Linotype" w:cs="Palatino Linotype"/>
          <w:i/>
          <w:iCs/>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w:t>
      </w:r>
      <w:r w:rsidRPr="00850128">
        <w:rPr>
          <w:rFonts w:ascii="Palatino Linotype" w:eastAsia="Palatino Linotype" w:hAnsi="Palatino Linotype" w:cs="Palatino Linotype"/>
          <w:color w:val="000000"/>
        </w:rPr>
        <w:lastRenderedPageBreak/>
        <w:t>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6B3302" w:rsidRPr="00850128" w:rsidRDefault="006B3302">
      <w:pPr>
        <w:spacing w:line="360" w:lineRule="auto"/>
        <w:ind w:right="50"/>
        <w:jc w:val="both"/>
        <w:rPr>
          <w:rFonts w:ascii="Palatino Linotype" w:eastAsia="Palatino Linotype" w:hAnsi="Palatino Linotype" w:cs="Palatino Linotype"/>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6B3302" w:rsidRPr="00850128" w:rsidRDefault="006B3302">
      <w:pPr>
        <w:spacing w:line="360" w:lineRule="auto"/>
        <w:ind w:left="851" w:right="1043"/>
        <w:jc w:val="both"/>
        <w:rPr>
          <w:rFonts w:ascii="Palatino Linotype" w:eastAsia="Palatino Linotype" w:hAnsi="Palatino Linotype" w:cs="Palatino Linotype"/>
          <w:b/>
          <w:bCs/>
          <w:i/>
          <w:iCs/>
        </w:rPr>
      </w:pPr>
    </w:p>
    <w:p w:rsidR="006B3302" w:rsidRPr="00850128" w:rsidRDefault="004A41A5">
      <w:pPr>
        <w:spacing w:line="360" w:lineRule="auto"/>
        <w:ind w:left="851" w:right="1043"/>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49.</w:t>
      </w:r>
      <w:r w:rsidRPr="00850128">
        <w:rPr>
          <w:rFonts w:ascii="Palatino Linotype" w:eastAsia="Palatino Linotype" w:hAnsi="Palatino Linotype" w:cs="Palatino Linotype"/>
          <w:i/>
          <w:iCs/>
        </w:rPr>
        <w:t xml:space="preserve"> </w:t>
      </w:r>
      <w:r w:rsidRPr="00850128">
        <w:rPr>
          <w:rFonts w:ascii="Palatino Linotype" w:eastAsia="Palatino Linotype" w:hAnsi="Palatino Linotype" w:cs="Palatino Linotype"/>
          <w:b/>
          <w:bCs/>
          <w:i/>
          <w:iCs/>
        </w:rPr>
        <w:t>Los Comités de Transparencia</w:t>
      </w:r>
      <w:r w:rsidRPr="00850128">
        <w:rPr>
          <w:rFonts w:ascii="Palatino Linotype" w:eastAsia="Palatino Linotype" w:hAnsi="Palatino Linotype" w:cs="Palatino Linotype"/>
          <w:i/>
          <w:iCs/>
        </w:rPr>
        <w:t xml:space="preserve"> tendrán las siguientes atribuciones:</w:t>
      </w:r>
    </w:p>
    <w:p w:rsidR="006B3302" w:rsidRPr="00850128" w:rsidRDefault="004A41A5">
      <w:pPr>
        <w:spacing w:line="360" w:lineRule="auto"/>
        <w:ind w:left="851" w:right="1043"/>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VIII. Aprobar, modificar o revocar la clasificación de la información</w:t>
      </w:r>
      <w:r w:rsidRPr="00850128">
        <w:rPr>
          <w:rFonts w:ascii="Palatino Linotype" w:eastAsia="Palatino Linotype" w:hAnsi="Palatino Linotype" w:cs="Palatino Linotype"/>
          <w:i/>
          <w:iCs/>
        </w:rPr>
        <w:t>…”</w:t>
      </w:r>
    </w:p>
    <w:p w:rsidR="006B3302" w:rsidRPr="00850128" w:rsidRDefault="004A41A5">
      <w:pPr>
        <w:spacing w:line="360" w:lineRule="auto"/>
        <w:ind w:left="851" w:right="1043"/>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lastRenderedPageBreak/>
        <w:t>“</w:t>
      </w:r>
      <w:r w:rsidRPr="00850128">
        <w:rPr>
          <w:rFonts w:ascii="Palatino Linotype" w:eastAsia="Palatino Linotype" w:hAnsi="Palatino Linotype" w:cs="Palatino Linotype"/>
          <w:b/>
          <w:bCs/>
          <w:i/>
          <w:iCs/>
        </w:rPr>
        <w:t>Artículo 53.</w:t>
      </w:r>
      <w:r w:rsidRPr="00850128">
        <w:rPr>
          <w:rFonts w:ascii="Palatino Linotype" w:eastAsia="Palatino Linotype" w:hAnsi="Palatino Linotype" w:cs="Palatino Linotype"/>
          <w:i/>
          <w:iCs/>
        </w:rPr>
        <w:t xml:space="preserve"> Las </w:t>
      </w:r>
      <w:r w:rsidRPr="00850128">
        <w:rPr>
          <w:rFonts w:ascii="Palatino Linotype" w:eastAsia="Palatino Linotype" w:hAnsi="Palatino Linotype" w:cs="Palatino Linotype"/>
          <w:b/>
          <w:bCs/>
          <w:i/>
          <w:iCs/>
        </w:rPr>
        <w:t>Unidades de Transparencia</w:t>
      </w:r>
      <w:r w:rsidRPr="00850128">
        <w:rPr>
          <w:rFonts w:ascii="Palatino Linotype" w:eastAsia="Palatino Linotype" w:hAnsi="Palatino Linotype" w:cs="Palatino Linotype"/>
          <w:i/>
          <w:iCs/>
        </w:rPr>
        <w:t xml:space="preserve"> tendrán las siguientes </w:t>
      </w:r>
      <w:r w:rsidRPr="00850128">
        <w:rPr>
          <w:rFonts w:ascii="Palatino Linotype" w:eastAsia="Palatino Linotype" w:hAnsi="Palatino Linotype" w:cs="Palatino Linotype"/>
          <w:b/>
          <w:bCs/>
          <w:i/>
          <w:iCs/>
        </w:rPr>
        <w:t>funciones</w:t>
      </w:r>
      <w:r w:rsidRPr="00850128">
        <w:rPr>
          <w:rFonts w:ascii="Palatino Linotype" w:eastAsia="Palatino Linotype" w:hAnsi="Palatino Linotype" w:cs="Palatino Linotype"/>
          <w:i/>
          <w:iCs/>
        </w:rPr>
        <w:t>:</w:t>
      </w:r>
    </w:p>
    <w:p w:rsidR="006B3302" w:rsidRPr="00850128" w:rsidRDefault="004A41A5">
      <w:pPr>
        <w:spacing w:line="360" w:lineRule="auto"/>
        <w:ind w:left="851" w:right="1043"/>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X. Presentar ante el Comité, el proyecto de clasificación de información</w:t>
      </w:r>
      <w:r w:rsidRPr="00850128">
        <w:rPr>
          <w:rFonts w:ascii="Palatino Linotype" w:eastAsia="Palatino Linotype" w:hAnsi="Palatino Linotype" w:cs="Palatino Linotype"/>
          <w:i/>
          <w:iCs/>
        </w:rPr>
        <w:t xml:space="preserve">…” </w:t>
      </w:r>
    </w:p>
    <w:p w:rsidR="006B3302" w:rsidRPr="00850128" w:rsidRDefault="004A41A5">
      <w:pPr>
        <w:spacing w:line="360" w:lineRule="auto"/>
        <w:ind w:left="851" w:right="1043"/>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“Artículo 59.</w:t>
      </w:r>
      <w:r w:rsidRPr="00850128">
        <w:rPr>
          <w:rFonts w:ascii="Palatino Linotype" w:eastAsia="Palatino Linotype" w:hAnsi="Palatino Linotype" w:cs="Palatino Linotype"/>
          <w:i/>
          <w:iCs/>
        </w:rPr>
        <w:t xml:space="preserve"> Los </w:t>
      </w:r>
      <w:r w:rsidRPr="00850128">
        <w:rPr>
          <w:rFonts w:ascii="Palatino Linotype" w:eastAsia="Palatino Linotype" w:hAnsi="Palatino Linotype" w:cs="Palatino Linotype"/>
          <w:b/>
          <w:bCs/>
          <w:i/>
          <w:iCs/>
        </w:rPr>
        <w:t>servidores públicos habilitados</w:t>
      </w:r>
      <w:r w:rsidRPr="00850128">
        <w:rPr>
          <w:rFonts w:ascii="Palatino Linotype" w:eastAsia="Palatino Linotype" w:hAnsi="Palatino Linotype" w:cs="Palatino Linotype"/>
          <w:i/>
          <w:iCs/>
        </w:rPr>
        <w:t xml:space="preserve"> tendrán las </w:t>
      </w:r>
      <w:r w:rsidRPr="00850128">
        <w:rPr>
          <w:rFonts w:ascii="Palatino Linotype" w:eastAsia="Palatino Linotype" w:hAnsi="Palatino Linotype" w:cs="Palatino Linotype"/>
          <w:b/>
          <w:bCs/>
          <w:i/>
          <w:iCs/>
        </w:rPr>
        <w:t>funciones</w:t>
      </w:r>
      <w:r w:rsidRPr="00850128">
        <w:rPr>
          <w:rFonts w:ascii="Palatino Linotype" w:eastAsia="Palatino Linotype" w:hAnsi="Palatino Linotype" w:cs="Palatino Linotype"/>
          <w:i/>
          <w:iCs/>
        </w:rPr>
        <w:t xml:space="preserve"> siguientes:</w:t>
      </w:r>
    </w:p>
    <w:p w:rsidR="006B3302" w:rsidRPr="00850128" w:rsidRDefault="004A41A5">
      <w:pPr>
        <w:spacing w:line="360" w:lineRule="auto"/>
        <w:ind w:left="851" w:right="1043"/>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V. Integrar y presentar al responsable de la Unidad de Transparencia la propuesta de clasificación de información</w:t>
      </w:r>
      <w:r w:rsidRPr="00850128">
        <w:rPr>
          <w:rFonts w:ascii="Palatino Linotype" w:eastAsia="Palatino Linotype" w:hAnsi="Palatino Linotype" w:cs="Palatino Linotype"/>
          <w:i/>
          <w:iCs/>
        </w:rPr>
        <w:t>, la cual tendrá los fundamentos y argumentos en que se basa dicha propuesta…”</w:t>
      </w:r>
    </w:p>
    <w:p w:rsidR="006B3302" w:rsidRPr="00850128" w:rsidRDefault="006B3302">
      <w:pPr>
        <w:spacing w:line="360" w:lineRule="auto"/>
        <w:ind w:left="851" w:right="1043"/>
        <w:jc w:val="both"/>
        <w:rPr>
          <w:rFonts w:ascii="Palatino Linotype" w:eastAsia="Palatino Linotype" w:hAnsi="Palatino Linotype" w:cs="Palatino Linotype"/>
          <w:i/>
          <w:iCs/>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rsidR="006B3302" w:rsidRPr="00850128" w:rsidRDefault="006B3302">
      <w:pPr>
        <w:pBdr>
          <w:top w:val="nil"/>
          <w:left w:val="nil"/>
          <w:bottom w:val="nil"/>
          <w:right w:val="nil"/>
          <w:between w:val="nil"/>
        </w:pBdr>
        <w:spacing w:line="360" w:lineRule="auto"/>
        <w:ind w:left="360"/>
        <w:jc w:val="both"/>
        <w:rPr>
          <w:rFonts w:ascii="Palatino Linotype" w:eastAsia="Palatino Linotype" w:hAnsi="Palatino Linotype" w:cs="Palatino Linotype"/>
        </w:rPr>
      </w:pP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w:t>
      </w:r>
      <w:r w:rsidRPr="00850128">
        <w:rPr>
          <w:rFonts w:ascii="Palatino Linotype" w:eastAsia="Palatino Linotype" w:hAnsi="Palatino Linotype" w:cs="Palatino Linotype"/>
          <w:b/>
          <w:bCs/>
          <w:i/>
          <w:iCs/>
        </w:rPr>
        <w:t>Artículo 149.</w:t>
      </w:r>
      <w:r w:rsidRPr="00850128">
        <w:rPr>
          <w:rFonts w:ascii="Palatino Linotype" w:eastAsia="Palatino Linotype" w:hAnsi="Palatino Linotype" w:cs="Palatino Linotype"/>
          <w:i/>
          <w:iCs/>
        </w:rPr>
        <w:t xml:space="preserve"> El </w:t>
      </w:r>
      <w:r w:rsidRPr="00850128">
        <w:rPr>
          <w:rFonts w:ascii="Palatino Linotype" w:eastAsia="Palatino Linotype" w:hAnsi="Palatino Linotype" w:cs="Palatino Linotype"/>
          <w:b/>
          <w:bCs/>
          <w:i/>
          <w:iCs/>
        </w:rPr>
        <w:t>acuerdo que clasifique la información como confidencial</w:t>
      </w:r>
      <w:r w:rsidRPr="00850128">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rsidR="006B3302" w:rsidRPr="00850128" w:rsidRDefault="006B330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6B3302" w:rsidRPr="00850128" w:rsidRDefault="006B330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En el caso concreto, Con relación al </w:t>
      </w:r>
      <w:r w:rsidRPr="00850128">
        <w:rPr>
          <w:rFonts w:ascii="Palatino Linotype" w:eastAsia="Palatino Linotype" w:hAnsi="Palatino Linotype" w:cs="Palatino Linotype"/>
          <w:b/>
          <w:bCs/>
          <w:color w:val="000000"/>
        </w:rPr>
        <w:t>número de empleado</w:t>
      </w:r>
      <w:r w:rsidRPr="00850128">
        <w:rPr>
          <w:rFonts w:ascii="Palatino Linotype" w:eastAsia="Palatino Linotype" w:hAnsi="Palatino Linotype" w:cs="Palatino Linotype"/>
          <w:color w:val="00000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rsidR="006B3302" w:rsidRPr="00850128" w:rsidRDefault="006B3302">
      <w:pPr>
        <w:pBdr>
          <w:top w:val="nil"/>
          <w:left w:val="nil"/>
          <w:bottom w:val="nil"/>
          <w:right w:val="nil"/>
          <w:between w:val="nil"/>
        </w:pBdr>
        <w:spacing w:line="360" w:lineRule="auto"/>
        <w:jc w:val="both"/>
        <w:rPr>
          <w:rFonts w:ascii="Palatino Linotype" w:eastAsia="Palatino Linotype" w:hAnsi="Palatino Linotype" w:cs="Palatino Linotype"/>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lastRenderedPageBreak/>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6B3302" w:rsidRPr="00850128" w:rsidRDefault="006B3302">
      <w:pPr>
        <w:spacing w:line="360" w:lineRule="auto"/>
        <w:rPr>
          <w:rFonts w:ascii="Palatino Linotype" w:eastAsia="Palatino Linotype" w:hAnsi="Palatino Linotype" w:cs="Palatino Linotype"/>
        </w:rPr>
      </w:pPr>
    </w:p>
    <w:p w:rsidR="006B3302" w:rsidRPr="00850128" w:rsidRDefault="004A41A5">
      <w:pPr>
        <w:pBdr>
          <w:top w:val="nil"/>
          <w:left w:val="nil"/>
          <w:bottom w:val="nil"/>
          <w:right w:val="nil"/>
          <w:between w:val="nil"/>
        </w:pBdr>
        <w:spacing w:line="360" w:lineRule="auto"/>
        <w:ind w:left="567" w:right="616"/>
        <w:jc w:val="both"/>
        <w:rPr>
          <w:rFonts w:ascii="Palatino Linotype" w:eastAsia="Palatino Linotype" w:hAnsi="Palatino Linotype" w:cs="Palatino Linotype"/>
        </w:rPr>
      </w:pPr>
      <w:r w:rsidRPr="00850128">
        <w:rPr>
          <w:rFonts w:ascii="Palatino Linotype" w:eastAsia="Palatino Linotype" w:hAnsi="Palatino Linotype" w:cs="Palatino Linotype"/>
          <w:b/>
          <w:bCs/>
          <w:i/>
          <w:iCs/>
        </w:rPr>
        <w:t xml:space="preserve">Número de empleado. </w:t>
      </w:r>
      <w:r w:rsidRPr="00850128">
        <w:rPr>
          <w:rFonts w:ascii="Palatino Linotype" w:eastAsia="Palatino Linotype" w:hAnsi="Palatino Linotype" w:cs="Palatino Linotype"/>
          <w:i/>
          <w:iC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6B3302" w:rsidRPr="00850128" w:rsidRDefault="006B3302">
      <w:pPr>
        <w:spacing w:line="360" w:lineRule="auto"/>
        <w:rPr>
          <w:rFonts w:ascii="Palatino Linotype" w:eastAsia="Palatino Linotype" w:hAnsi="Palatino Linotype" w:cs="Palatino Linotype"/>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w:t>
      </w:r>
      <w:r w:rsidRPr="00850128">
        <w:rPr>
          <w:rFonts w:ascii="Palatino Linotype" w:eastAsia="Palatino Linotype" w:hAnsi="Palatino Linotype" w:cs="Palatino Linotype"/>
          <w:b/>
          <w:bCs/>
          <w:color w:val="000000"/>
        </w:rPr>
        <w:t xml:space="preserve"> Sujeto Obligado</w:t>
      </w:r>
      <w:r w:rsidRPr="00850128">
        <w:rPr>
          <w:rFonts w:ascii="Palatino Linotype" w:eastAsia="Palatino Linotype" w:hAnsi="Palatino Linotype" w:cs="Palatino Linotype"/>
          <w:color w:val="00000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6B3302" w:rsidRPr="00850128" w:rsidRDefault="006B330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3302" w:rsidRPr="00850128" w:rsidRDefault="004A41A5">
      <w:pPr>
        <w:numPr>
          <w:ilvl w:val="0"/>
          <w:numId w:val="6"/>
        </w:numPr>
        <w:spacing w:line="360" w:lineRule="auto"/>
        <w:jc w:val="both"/>
        <w:rPr>
          <w:rFonts w:ascii="Palatino Linotype" w:eastAsia="Palatino Linotype" w:hAnsi="Palatino Linotype" w:cs="Palatino Linotype"/>
        </w:rPr>
      </w:pPr>
      <w:r w:rsidRPr="00850128">
        <w:rPr>
          <w:rFonts w:ascii="Palatino Linotype" w:eastAsia="Palatino Linotype" w:hAnsi="Palatino Linotype" w:cs="Palatino Linotype"/>
          <w:b/>
          <w:bCs/>
        </w:rPr>
        <w:t>Firma de servidores públicos.</w:t>
      </w:r>
    </w:p>
    <w:p w:rsidR="006B3302" w:rsidRPr="00850128" w:rsidRDefault="006B3302">
      <w:pPr>
        <w:spacing w:line="360" w:lineRule="auto"/>
        <w:ind w:left="720"/>
        <w:jc w:val="both"/>
        <w:rPr>
          <w:rFonts w:ascii="Palatino Linotype" w:eastAsia="Palatino Linotype" w:hAnsi="Palatino Linotype" w:cs="Palatino Linotype"/>
          <w:b/>
          <w:bCs/>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Sobre dicho dato, cabe precisar que, en el presente caso, se trata de los servidores públicos en ejercicio de sus funciones (sin calidad de particular), por lo que, la firma no es un dato personal confidencial.</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(de ser el caso que obre su firma) da cuenta de su registro de asistencia. </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La publicidad de dichos datos, se robustece, con el criterio 02/19, emitido por el entonces Instituto Nacional de Transparencia, Acceso a la Información y Protección de Datos Personales, que establece lo siguiente:</w:t>
      </w:r>
    </w:p>
    <w:p w:rsidR="006B3302" w:rsidRPr="00850128" w:rsidRDefault="004A41A5">
      <w:pPr>
        <w:spacing w:line="360" w:lineRule="auto"/>
        <w:ind w:left="567" w:right="567"/>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“Firma y rúbrica de servidores públicos.</w:t>
      </w:r>
      <w:r w:rsidRPr="00850128">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6B3302" w:rsidRPr="00850128" w:rsidRDefault="006B3302">
      <w:pPr>
        <w:spacing w:line="360" w:lineRule="auto"/>
        <w:ind w:left="567" w:right="567"/>
        <w:jc w:val="both"/>
        <w:rPr>
          <w:rFonts w:ascii="Palatino Linotype" w:eastAsia="Palatino Linotype" w:hAnsi="Palatino Linotype" w:cs="Palatino Linotype"/>
          <w:i/>
          <w:iCs/>
        </w:rPr>
      </w:pPr>
    </w:p>
    <w:p w:rsidR="006B3302" w:rsidRPr="00850128" w:rsidRDefault="004A41A5">
      <w:pPr>
        <w:numPr>
          <w:ilvl w:val="0"/>
          <w:numId w:val="7"/>
        </w:numPr>
        <w:pBdr>
          <w:top w:val="nil"/>
          <w:left w:val="nil"/>
          <w:bottom w:val="nil"/>
          <w:right w:val="nil"/>
          <w:between w:val="nil"/>
        </w:pBdr>
        <w:tabs>
          <w:tab w:val="left" w:pos="993"/>
        </w:tabs>
        <w:spacing w:line="360" w:lineRule="auto"/>
        <w:ind w:left="426" w:right="-28"/>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b/>
          <w:bCs/>
          <w:color w:val="000000"/>
        </w:rPr>
        <w:t xml:space="preserve">Huella Dactilar. </w:t>
      </w: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lastRenderedPageBreak/>
        <w:t>Al respecto, la huella dactilar es la impresión visible o moldeada que produce el contacto de las crestas papilares de un dedo de la mano sobre una superficie.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se indica que existen tres principios fundamentales para la identificación de las huellas dactilares, a saber:</w:t>
      </w:r>
    </w:p>
    <w:p w:rsidR="006B3302" w:rsidRPr="00850128" w:rsidRDefault="006B3302">
      <w:pPr>
        <w:tabs>
          <w:tab w:val="left" w:pos="993"/>
        </w:tabs>
        <w:spacing w:line="360" w:lineRule="auto"/>
        <w:ind w:right="-28"/>
        <w:jc w:val="both"/>
        <w:rPr>
          <w:rFonts w:ascii="Palatino Linotype" w:eastAsia="Palatino Linotype" w:hAnsi="Palatino Linotype" w:cs="Palatino Linotype"/>
        </w:rPr>
      </w:pPr>
    </w:p>
    <w:p w:rsidR="006B3302" w:rsidRPr="00850128" w:rsidRDefault="004A41A5">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Primer principio. La huella es una característica individual. No hay dos huellas con características en las crestas que sean idénticas.</w:t>
      </w:r>
    </w:p>
    <w:p w:rsidR="006B3302" w:rsidRPr="00850128" w:rsidRDefault="004A41A5">
      <w:pPr>
        <w:numPr>
          <w:ilvl w:val="0"/>
          <w:numId w:val="8"/>
        </w:numPr>
        <w:pBdr>
          <w:top w:val="nil"/>
          <w:left w:val="nil"/>
          <w:bottom w:val="nil"/>
          <w:right w:val="nil"/>
          <w:between w:val="nil"/>
        </w:pBdr>
        <w:tabs>
          <w:tab w:val="left" w:pos="993"/>
        </w:tabs>
        <w:spacing w:line="360" w:lineRule="auto"/>
        <w:ind w:right="-28"/>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Segundo principio. Una huella permanece sin cambios durante toda la vida de un individuo (sin embargo, puede adquirir cicatrices o cualquier otra deformación que impida su identificación clara).</w:t>
      </w:r>
    </w:p>
    <w:p w:rsidR="006B3302" w:rsidRPr="00850128" w:rsidRDefault="006B3302">
      <w:pPr>
        <w:tabs>
          <w:tab w:val="left" w:pos="993"/>
        </w:tabs>
        <w:spacing w:line="360" w:lineRule="auto"/>
        <w:ind w:right="-28"/>
        <w:jc w:val="both"/>
        <w:rPr>
          <w:rFonts w:ascii="Palatino Linotype" w:eastAsia="Palatino Linotype" w:hAnsi="Palatino Linotype" w:cs="Palatino Linotype"/>
        </w:rPr>
      </w:pPr>
    </w:p>
    <w:p w:rsidR="006B3302" w:rsidRPr="00850128" w:rsidRDefault="004A41A5">
      <w:pPr>
        <w:numPr>
          <w:ilvl w:val="0"/>
          <w:numId w:val="8"/>
        </w:numPr>
        <w:pBdr>
          <w:top w:val="nil"/>
          <w:left w:val="nil"/>
          <w:bottom w:val="nil"/>
          <w:right w:val="nil"/>
          <w:between w:val="nil"/>
        </w:pBdr>
        <w:tabs>
          <w:tab w:val="left" w:pos="993"/>
        </w:tabs>
        <w:spacing w:line="360" w:lineRule="auto"/>
        <w:ind w:right="-28"/>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Tercer principio. Las huellas tienen patrones que se forman con sus crestas, lo que hace posible clasificarlas sistemáticamente para agilizar las búsquedas.</w:t>
      </w:r>
    </w:p>
    <w:p w:rsidR="006B3302" w:rsidRPr="00850128" w:rsidRDefault="006B3302">
      <w:pPr>
        <w:tabs>
          <w:tab w:val="left" w:pos="993"/>
        </w:tabs>
        <w:spacing w:line="360" w:lineRule="auto"/>
        <w:ind w:right="-28"/>
        <w:jc w:val="both"/>
        <w:rPr>
          <w:rFonts w:ascii="Palatino Linotype" w:eastAsia="Palatino Linotype" w:hAnsi="Palatino Linotype" w:cs="Palatino Linotype"/>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Conforme a lo expuesto, es indubitable que la huella dactilar es una característica propia de un individuo que permite su reconocimiento. Por tanto, sin duda, se considera que es una característica individual que se utiliza como medio de </w:t>
      </w:r>
      <w:r w:rsidRPr="00850128">
        <w:rPr>
          <w:rFonts w:ascii="Palatino Linotype" w:eastAsia="Palatino Linotype" w:hAnsi="Palatino Linotype" w:cs="Palatino Linotype"/>
          <w:color w:val="000000"/>
        </w:rPr>
        <w:lastRenderedPageBreak/>
        <w:t>identificación de las personas y, por tanto, constituye un dato personal, de conformidad con lo establecido en el artículo 143, fracción I de la Ley de la materia.</w:t>
      </w:r>
    </w:p>
    <w:p w:rsidR="006B3302" w:rsidRPr="00850128" w:rsidRDefault="006B3302">
      <w:pPr>
        <w:tabs>
          <w:tab w:val="left" w:pos="993"/>
        </w:tabs>
        <w:spacing w:line="360" w:lineRule="auto"/>
        <w:ind w:right="-28"/>
        <w:jc w:val="both"/>
        <w:rPr>
          <w:rFonts w:ascii="Palatino Linotype" w:eastAsia="Palatino Linotype" w:hAnsi="Palatino Linotype" w:cs="Palatino Linotype"/>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Ahora bien, no obstante que dicho dato no se haya recolectado mediante escaneo que permita su sistematización y procesamiento electrónico, incluso su recolección en tinta y papel también permite su escaneo, lo que puede propiciar un mal </w:t>
      </w:r>
      <w:r w:rsidRPr="00850128">
        <w:rPr>
          <w:rFonts w:ascii="Palatino Linotype" w:eastAsia="Palatino Linotype" w:hAnsi="Palatino Linotype" w:cs="Palatino Linotype"/>
        </w:rPr>
        <w:t>uso</w:t>
      </w:r>
      <w:r w:rsidRPr="00850128">
        <w:rPr>
          <w:rFonts w:ascii="Palatino Linotype" w:eastAsia="Palatino Linotype" w:hAnsi="Palatino Linotype" w:cs="Palatino Linotype"/>
          <w:color w:val="000000"/>
        </w:rPr>
        <w:t xml:space="preserve"> de dicho dato, sino se aplican las medidas de protección adecuada, tal como lo refiere la siguiente Tesis Aislada:</w:t>
      </w:r>
    </w:p>
    <w:p w:rsidR="006B3302" w:rsidRPr="00850128" w:rsidRDefault="006B3302">
      <w:pPr>
        <w:pBdr>
          <w:top w:val="nil"/>
          <w:left w:val="nil"/>
          <w:bottom w:val="nil"/>
          <w:right w:val="nil"/>
          <w:between w:val="nil"/>
        </w:pBdr>
        <w:spacing w:line="360" w:lineRule="auto"/>
        <w:ind w:left="360"/>
        <w:jc w:val="both"/>
        <w:rPr>
          <w:rFonts w:ascii="Palatino Linotype" w:eastAsia="Palatino Linotype" w:hAnsi="Palatino Linotype" w:cs="Palatino Linotype"/>
        </w:rPr>
      </w:pPr>
    </w:p>
    <w:p w:rsidR="006B3302" w:rsidRPr="00850128" w:rsidRDefault="004A41A5">
      <w:pPr>
        <w:tabs>
          <w:tab w:val="left" w:pos="993"/>
        </w:tabs>
        <w:spacing w:line="360" w:lineRule="auto"/>
        <w:ind w:left="567" w:right="539"/>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“HUELLA DACTILAR. ES APTA PARA ACREDITAR EL CONSENTIMIENTO EN LA CELEBRACIÓN DE UN CONTRATO. 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w:t>
      </w:r>
      <w:r w:rsidRPr="00850128">
        <w:rPr>
          <w:rFonts w:ascii="Palatino Linotype" w:eastAsia="Palatino Linotype" w:hAnsi="Palatino Linotype" w:cs="Palatino Linotype"/>
          <w:i/>
          <w:iCs/>
        </w:rPr>
        <w:lastRenderedPageBreak/>
        <w:t>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rsidR="006B3302" w:rsidRPr="00850128" w:rsidRDefault="006B3302">
      <w:pPr>
        <w:tabs>
          <w:tab w:val="left" w:pos="993"/>
        </w:tabs>
        <w:spacing w:line="360" w:lineRule="auto"/>
        <w:ind w:left="567" w:right="539"/>
        <w:jc w:val="both"/>
        <w:rPr>
          <w:rFonts w:ascii="Palatino Linotype" w:eastAsia="Palatino Linotype" w:hAnsi="Palatino Linotype" w:cs="Palatino Linotype"/>
          <w:i/>
          <w:iCs/>
        </w:rPr>
      </w:pPr>
    </w:p>
    <w:p w:rsidR="006B3302" w:rsidRPr="00850128" w:rsidRDefault="004A41A5">
      <w:pPr>
        <w:numPr>
          <w:ilvl w:val="0"/>
          <w:numId w:val="5"/>
        </w:numPr>
        <w:pBdr>
          <w:top w:val="nil"/>
          <w:left w:val="nil"/>
          <w:bottom w:val="nil"/>
          <w:right w:val="nil"/>
          <w:between w:val="nil"/>
        </w:pBdr>
        <w:tabs>
          <w:tab w:val="left" w:pos="284"/>
          <w:tab w:val="left" w:pos="426"/>
        </w:tabs>
        <w:spacing w:line="360" w:lineRule="auto"/>
        <w:ind w:left="0" w:right="49"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Por tanto de obrar en el soporte documental a entregar, se deberá de clasificar pues es un dato que </w:t>
      </w:r>
      <w:r w:rsidRPr="00850128">
        <w:rPr>
          <w:rFonts w:ascii="Palatino Linotype" w:eastAsia="Palatino Linotype" w:hAnsi="Palatino Linotype" w:cs="Palatino Linotype"/>
          <w:b/>
          <w:bCs/>
          <w:color w:val="000000"/>
        </w:rPr>
        <w:t>incide en su vida privada</w:t>
      </w:r>
      <w:r w:rsidRPr="00850128">
        <w:rPr>
          <w:rFonts w:ascii="Palatino Linotype" w:eastAsia="Palatino Linotype" w:hAnsi="Palatino Linotype" w:cs="Palatino Linotype"/>
          <w:color w:val="000000"/>
        </w:rPr>
        <w:t>.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lastRenderedPageBreak/>
        <w:t xml:space="preserve">Sirven de sustento a lo anterior, las tesis jurisprudenciales </w:t>
      </w:r>
      <w:r w:rsidRPr="00850128">
        <w:rPr>
          <w:rFonts w:ascii="Palatino Linotype" w:eastAsia="Palatino Linotype" w:hAnsi="Palatino Linotype" w:cs="Palatino Linotype"/>
          <w:i/>
          <w:iCs/>
          <w:color w:val="000000"/>
        </w:rPr>
        <w:t xml:space="preserve">P. LX/2000 </w:t>
      </w:r>
      <w:r w:rsidRPr="00850128">
        <w:rPr>
          <w:rFonts w:ascii="Palatino Linotype" w:eastAsia="Palatino Linotype" w:hAnsi="Palatino Linotype" w:cs="Palatino Linotype"/>
          <w:color w:val="000000"/>
        </w:rPr>
        <w:t xml:space="preserve">y </w:t>
      </w:r>
      <w:r w:rsidRPr="00850128">
        <w:rPr>
          <w:rFonts w:ascii="Palatino Linotype" w:eastAsia="Palatino Linotype" w:hAnsi="Palatino Linotype" w:cs="Palatino Linotype"/>
          <w:i/>
          <w:iCs/>
          <w:color w:val="000000"/>
        </w:rPr>
        <w:t>2a. XLIII/2008</w:t>
      </w:r>
      <w:r w:rsidRPr="00850128">
        <w:rPr>
          <w:rFonts w:ascii="Palatino Linotype" w:eastAsia="Palatino Linotype" w:hAnsi="Palatino Linotype" w:cs="Palatino Linotype"/>
          <w:b/>
          <w:bCs/>
          <w:color w:val="000000"/>
        </w:rPr>
        <w:t xml:space="preserve"> </w:t>
      </w:r>
      <w:r w:rsidRPr="00850128">
        <w:rPr>
          <w:rFonts w:ascii="Palatino Linotype" w:eastAsia="Palatino Linotype" w:hAnsi="Palatino Linotype" w:cs="Palatino Linotype"/>
          <w:color w:val="000000"/>
        </w:rPr>
        <w:t>emitidas por el Peno y la Segunda Sala de la Suprema Corte de Justicia de la Nación, respectivamente, que son del tenor literal siguiente:</w:t>
      </w: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850128">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50128">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850128">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850128">
        <w:rPr>
          <w:rFonts w:ascii="Palatino Linotype" w:eastAsia="Palatino Linotype" w:hAnsi="Palatino Linotype" w:cs="Palatino Linotype"/>
          <w:b/>
          <w:bCs/>
          <w:i/>
          <w:iCs/>
        </w:rPr>
        <w:t xml:space="preserve">mientras que por lo que respecta a la protección de la </w:t>
      </w:r>
      <w:r w:rsidRPr="00850128">
        <w:rPr>
          <w:rFonts w:ascii="Palatino Linotype" w:eastAsia="Palatino Linotype" w:hAnsi="Palatino Linotype" w:cs="Palatino Linotype"/>
          <w:b/>
          <w:bCs/>
          <w:i/>
          <w:iCs/>
        </w:rPr>
        <w:lastRenderedPageBreak/>
        <w:t>persona existen normas que protegen el derecho a la vida o a la privacidad de los gobernados</w:t>
      </w:r>
      <w:r w:rsidRPr="00850128">
        <w:rPr>
          <w:rFonts w:ascii="Palatino Linotype" w:eastAsia="Palatino Linotype" w:hAnsi="Palatino Linotype" w:cs="Palatino Linotype"/>
          <w:i/>
          <w:iCs/>
        </w:rPr>
        <w:t>.”</w:t>
      </w:r>
    </w:p>
    <w:p w:rsidR="006B3302" w:rsidRPr="00850128" w:rsidRDefault="006B3302">
      <w:pPr>
        <w:spacing w:line="360" w:lineRule="auto"/>
        <w:ind w:left="851" w:right="851"/>
        <w:jc w:val="both"/>
        <w:rPr>
          <w:rFonts w:ascii="Palatino Linotype" w:eastAsia="Palatino Linotype" w:hAnsi="Palatino Linotype" w:cs="Palatino Linotype"/>
          <w:i/>
          <w:iCs/>
        </w:rPr>
      </w:pP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w:t>
      </w:r>
      <w:r w:rsidRPr="00850128">
        <w:rPr>
          <w:rFonts w:ascii="Palatino Linotype" w:eastAsia="Palatino Linotype" w:hAnsi="Palatino Linotype" w:cs="Palatino Linotype"/>
          <w:i/>
          <w:iCs/>
        </w:rPr>
        <w:t>GARANTÍA</w:t>
      </w:r>
      <w:r w:rsidRPr="00850128">
        <w:rPr>
          <w:rFonts w:ascii="Palatino Linotype" w:eastAsia="Palatino Linotype" w:hAnsi="Palatino Linotype" w:cs="Palatino Linotype"/>
          <w:b/>
          <w:bCs/>
          <w:i/>
          <w:iCs/>
        </w:rPr>
        <w:t xml:space="preserve"> DE ACCESO A LA INFORMACIÓN. </w:t>
      </w:r>
      <w:r w:rsidRPr="00850128">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50128">
        <w:rPr>
          <w:rFonts w:ascii="Palatino Linotype" w:eastAsia="Palatino Linotype" w:hAnsi="Palatino Linotype" w:cs="Palatino Linotype"/>
          <w:b/>
          <w:bCs/>
          <w:i/>
          <w:iCs/>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w:t>
      </w:r>
      <w:r w:rsidRPr="00850128">
        <w:rPr>
          <w:rFonts w:ascii="Palatino Linotype" w:eastAsia="Palatino Linotype" w:hAnsi="Palatino Linotype" w:cs="Palatino Linotype"/>
          <w:b/>
          <w:bCs/>
          <w:i/>
          <w:iCs/>
        </w:rPr>
        <w:lastRenderedPageBreak/>
        <w:t>es decir, que exista proporcionalidad y congruencia entre el derecho fundamental de que se trata y la razón que motive la restricción legislativa correspondiente,</w:t>
      </w:r>
      <w:r w:rsidRPr="00850128">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6B3302" w:rsidRPr="00850128" w:rsidRDefault="006B3302">
      <w:pPr>
        <w:spacing w:line="360" w:lineRule="auto"/>
        <w:ind w:left="851" w:right="851"/>
        <w:jc w:val="both"/>
        <w:rPr>
          <w:rFonts w:ascii="Palatino Linotype" w:eastAsia="Palatino Linotype" w:hAnsi="Palatino Linotype" w:cs="Palatino Linotype"/>
          <w:i/>
          <w:iCs/>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en el que se expongan los fundamentos y razonamientos que llevaron al </w:t>
      </w:r>
      <w:r w:rsidRPr="00850128">
        <w:rPr>
          <w:rFonts w:ascii="Palatino Linotype" w:eastAsia="Palatino Linotype" w:hAnsi="Palatino Linotype" w:cs="Palatino Linotype"/>
          <w:b/>
          <w:bCs/>
          <w:color w:val="000000"/>
        </w:rPr>
        <w:t>SUJETO OBLIGADO</w:t>
      </w:r>
      <w:r w:rsidRPr="00850128">
        <w:rPr>
          <w:rFonts w:ascii="Palatino Linotype" w:eastAsia="Palatino Linotype" w:hAnsi="Palatino Linotype" w:cs="Palatino Linotype"/>
          <w:color w:val="000000"/>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50128">
        <w:rPr>
          <w:rFonts w:ascii="Palatino Linotype" w:eastAsia="Palatino Linotype" w:hAnsi="Palatino Linotype" w:cs="Palatino Linotype"/>
          <w:b/>
          <w:bCs/>
          <w:color w:val="000000"/>
        </w:rPr>
        <w:t>RECURRENTE.</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6B3302" w:rsidRPr="00850128" w:rsidRDefault="006B3302">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B3302" w:rsidRPr="00850128" w:rsidRDefault="006B3302">
      <w:pPr>
        <w:pBdr>
          <w:top w:val="nil"/>
          <w:left w:val="nil"/>
          <w:bottom w:val="nil"/>
          <w:right w:val="nil"/>
          <w:between w:val="nil"/>
        </w:pBdr>
        <w:spacing w:line="360" w:lineRule="auto"/>
        <w:ind w:left="360"/>
        <w:jc w:val="both"/>
        <w:rPr>
          <w:rFonts w:ascii="Palatino Linotype" w:eastAsia="Palatino Linotype" w:hAnsi="Palatino Linotype" w:cs="Palatino Linotype"/>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“Quincuagésimo sexto</w:t>
      </w:r>
      <w:r w:rsidRPr="00850128">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lastRenderedPageBreak/>
        <w:t xml:space="preserve">Quincuagésimo séptimo. Se considera, en principio, como información pública y no podrá omitirse de las versiones públicas la siguiente: </w:t>
      </w: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III. La información que documente decisiones y los actos de autoridad concluidos de los sujetos obligados, así como el ejercicio de las facultades o actividades de los servidores públicos, de manera que se pueda valorar el desempeño de los mismos.</w:t>
      </w: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6B3302" w:rsidRPr="00850128" w:rsidRDefault="004A41A5">
      <w:pPr>
        <w:spacing w:line="360" w:lineRule="auto"/>
        <w:ind w:left="567" w:right="616"/>
        <w:jc w:val="both"/>
        <w:rPr>
          <w:rFonts w:ascii="Palatino Linotype" w:eastAsia="Palatino Linotype" w:hAnsi="Palatino Linotype" w:cs="Palatino Linotype"/>
          <w:i/>
          <w:iCs/>
        </w:rPr>
      </w:pPr>
      <w:r w:rsidRPr="00850128">
        <w:rPr>
          <w:rFonts w:ascii="Palatino Linotype" w:eastAsia="Palatino Linotype" w:hAnsi="Palatino Linotype" w:cs="Palatino Linotype"/>
          <w:i/>
          <w:iCs/>
        </w:rPr>
        <w:t>Quincuagésimo octavo. Los sujetos obligados garantizarán que los sistemas o medios empleados para eliminar la información en las versiones públicas no permitan la recuperación o visualización de la misma.”</w:t>
      </w:r>
    </w:p>
    <w:p w:rsidR="006B3302" w:rsidRPr="00850128" w:rsidRDefault="006B3302">
      <w:pPr>
        <w:spacing w:line="360" w:lineRule="auto"/>
        <w:ind w:left="851" w:right="902"/>
        <w:jc w:val="both"/>
        <w:rPr>
          <w:rFonts w:ascii="Palatino Linotype" w:eastAsia="Palatino Linotype" w:hAnsi="Palatino Linotype" w:cs="Palatino Linotype"/>
          <w:i/>
          <w:iCs/>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Por lo tanto, </w:t>
      </w:r>
      <w:r w:rsidRPr="00850128">
        <w:rPr>
          <w:rFonts w:ascii="Palatino Linotype" w:eastAsia="Palatino Linotype" w:hAnsi="Palatino Linotype" w:cs="Palatino Linotype"/>
          <w:b/>
          <w:bCs/>
          <w:color w:val="000000"/>
        </w:rPr>
        <w:t xml:space="preserve">la entrega de documentos en su versión pública debe </w:t>
      </w:r>
      <w:r w:rsidRPr="00850128">
        <w:rPr>
          <w:rFonts w:ascii="Palatino Linotype" w:eastAsia="Palatino Linotype" w:hAnsi="Palatino Linotype" w:cs="Palatino Linotype"/>
          <w:color w:val="000000"/>
        </w:rPr>
        <w:t>acompañarse</w:t>
      </w:r>
      <w:r w:rsidRPr="00850128">
        <w:rPr>
          <w:rFonts w:ascii="Palatino Linotype" w:eastAsia="Palatino Linotype" w:hAnsi="Palatino Linotype" w:cs="Palatino Linotype"/>
          <w:b/>
          <w:bCs/>
          <w:color w:val="000000"/>
        </w:rPr>
        <w:t xml:space="preserve"> </w:t>
      </w:r>
      <w:r w:rsidRPr="00850128">
        <w:rPr>
          <w:rFonts w:ascii="Palatino Linotype" w:eastAsia="Palatino Linotype" w:hAnsi="Palatino Linotype" w:cs="Palatino Linotype"/>
          <w:color w:val="000000"/>
        </w:rPr>
        <w:t>necesariamente</w:t>
      </w:r>
      <w:r w:rsidRPr="00850128">
        <w:rPr>
          <w:rFonts w:ascii="Palatino Linotype" w:eastAsia="Palatino Linotype" w:hAnsi="Palatino Linotype" w:cs="Palatino Linotype"/>
          <w:b/>
          <w:bCs/>
          <w:color w:val="000000"/>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850128">
        <w:rPr>
          <w:rFonts w:ascii="Palatino Linotype" w:eastAsia="Palatino Linotype" w:hAnsi="Palatino Linotype" w:cs="Palatino Linotype"/>
          <w:color w:val="000000"/>
        </w:rPr>
        <w:t xml:space="preserve">, ya que no hacerlo, se reitera que lo entregado no tendría un sustento jurídico ni resultaría ser una versión pública, sino más bien una documentación ilegible, incompleta o tachada; </w:t>
      </w:r>
      <w:r w:rsidRPr="00850128">
        <w:rPr>
          <w:rFonts w:ascii="Palatino Linotype" w:eastAsia="Palatino Linotype" w:hAnsi="Palatino Linotype" w:cs="Palatino Linotype"/>
          <w:color w:val="000000"/>
        </w:rPr>
        <w:lastRenderedPageBreak/>
        <w:t>ya que el no justificar las causas o motivos por las que no se aprecian determinados datos -ya sea porque se testan o suprimen- deja al solicitante en estado de incertidumbre, al no conocer o comprender porque no aparecen en la documentación respectiva.</w:t>
      </w:r>
    </w:p>
    <w:p w:rsidR="006B3302" w:rsidRPr="00850128" w:rsidRDefault="006B3302">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Los sujetos obligados</w:t>
      </w:r>
      <w:r w:rsidRPr="00850128">
        <w:rPr>
          <w:rFonts w:ascii="Palatino Linotype" w:eastAsia="Palatino Linotype" w:hAnsi="Palatino Linotype" w:cs="Palatino Linotype"/>
          <w:b/>
          <w:bCs/>
          <w:color w:val="000000"/>
        </w:rPr>
        <w:t xml:space="preserve"> </w:t>
      </w:r>
      <w:r w:rsidRPr="00850128">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4"/>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237"/>
      </w:tblGrid>
      <w:tr w:rsidR="006B3302" w:rsidRPr="00850128">
        <w:tc>
          <w:tcPr>
            <w:tcW w:w="2689" w:type="dxa"/>
          </w:tcPr>
          <w:p w:rsidR="006B3302" w:rsidRPr="00850128" w:rsidRDefault="004A41A5">
            <w:pPr>
              <w:tabs>
                <w:tab w:val="left" w:pos="284"/>
              </w:tabs>
              <w:rPr>
                <w:rFonts w:ascii="Palatino Linotype" w:eastAsia="Palatino Linotype" w:hAnsi="Palatino Linotype" w:cs="Palatino Linotype"/>
              </w:rPr>
            </w:pPr>
            <w:r w:rsidRPr="00850128">
              <w:rPr>
                <w:rFonts w:ascii="Palatino Linotype" w:eastAsia="Palatino Linotype" w:hAnsi="Palatino Linotype" w:cs="Palatino Linotype"/>
              </w:rPr>
              <w:t>a) Requisitos previos.</w:t>
            </w:r>
          </w:p>
        </w:tc>
        <w:tc>
          <w:tcPr>
            <w:tcW w:w="6237" w:type="dxa"/>
          </w:tcPr>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6B3302" w:rsidRPr="00850128" w:rsidRDefault="004A41A5">
            <w:pPr>
              <w:tabs>
                <w:tab w:val="left" w:pos="284"/>
              </w:tabs>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850128">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850128">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6B3302" w:rsidRPr="00850128" w:rsidRDefault="006B3302">
            <w:pPr>
              <w:tabs>
                <w:tab w:val="left" w:pos="284"/>
              </w:tabs>
              <w:jc w:val="both"/>
              <w:rPr>
                <w:rFonts w:ascii="Palatino Linotype" w:eastAsia="Palatino Linotype" w:hAnsi="Palatino Linotype" w:cs="Palatino Linotype"/>
              </w:rPr>
            </w:pPr>
          </w:p>
        </w:tc>
      </w:tr>
      <w:tr w:rsidR="006B3302" w:rsidRPr="00850128">
        <w:tc>
          <w:tcPr>
            <w:tcW w:w="2689" w:type="dxa"/>
          </w:tcPr>
          <w:p w:rsidR="006B3302" w:rsidRPr="00850128" w:rsidRDefault="004A41A5">
            <w:pPr>
              <w:tabs>
                <w:tab w:val="left" w:pos="284"/>
              </w:tabs>
              <w:rPr>
                <w:rFonts w:ascii="Palatino Linotype" w:eastAsia="Palatino Linotype" w:hAnsi="Palatino Linotype" w:cs="Palatino Linotype"/>
              </w:rPr>
            </w:pPr>
            <w:r w:rsidRPr="00850128">
              <w:rPr>
                <w:rFonts w:ascii="Palatino Linotype" w:eastAsia="Palatino Linotype" w:hAnsi="Palatino Linotype" w:cs="Palatino Linotype"/>
              </w:rPr>
              <w:lastRenderedPageBreak/>
              <w:t>b) Supuestos de clasificación.</w:t>
            </w:r>
          </w:p>
        </w:tc>
        <w:tc>
          <w:tcPr>
            <w:tcW w:w="6237" w:type="dxa"/>
          </w:tcPr>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B3302" w:rsidRPr="00850128" w:rsidRDefault="004A41A5">
            <w:pPr>
              <w:tabs>
                <w:tab w:val="left" w:pos="284"/>
              </w:tabs>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El </w:t>
            </w:r>
            <w:r w:rsidRPr="00850128">
              <w:rPr>
                <w:rFonts w:ascii="Palatino Linotype" w:eastAsia="Palatino Linotype" w:hAnsi="Palatino Linotype" w:cs="Palatino Linotype"/>
                <w:b/>
                <w:bCs/>
                <w:color w:val="000000"/>
              </w:rPr>
              <w:t>Sujeto Obligado</w:t>
            </w:r>
            <w:r w:rsidRPr="00850128">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6B3302" w:rsidRPr="00850128" w:rsidRDefault="006B3302">
            <w:pPr>
              <w:tabs>
                <w:tab w:val="left" w:pos="284"/>
              </w:tabs>
              <w:jc w:val="both"/>
              <w:rPr>
                <w:rFonts w:ascii="Palatino Linotype" w:eastAsia="Palatino Linotype" w:hAnsi="Palatino Linotype" w:cs="Palatino Linotype"/>
              </w:rPr>
            </w:pPr>
          </w:p>
        </w:tc>
      </w:tr>
      <w:tr w:rsidR="006B3302" w:rsidRPr="00850128">
        <w:tc>
          <w:tcPr>
            <w:tcW w:w="2689" w:type="dxa"/>
          </w:tcPr>
          <w:p w:rsidR="006B3302" w:rsidRPr="00850128" w:rsidRDefault="004A41A5">
            <w:pPr>
              <w:tabs>
                <w:tab w:val="left" w:pos="284"/>
              </w:tabs>
              <w:rPr>
                <w:rFonts w:ascii="Palatino Linotype" w:eastAsia="Palatino Linotype" w:hAnsi="Palatino Linotype" w:cs="Palatino Linotype"/>
              </w:rPr>
            </w:pPr>
            <w:r w:rsidRPr="00850128">
              <w:rPr>
                <w:rFonts w:ascii="Palatino Linotype" w:eastAsia="Palatino Linotype" w:hAnsi="Palatino Linotype" w:cs="Palatino Linotype"/>
              </w:rPr>
              <w:t>c) Formalidades para emitir el acuerdo de clasificación.</w:t>
            </w:r>
          </w:p>
        </w:tc>
        <w:tc>
          <w:tcPr>
            <w:tcW w:w="6237" w:type="dxa"/>
          </w:tcPr>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Es necesario que </w:t>
            </w:r>
            <w:r w:rsidRPr="00850128">
              <w:rPr>
                <w:rFonts w:ascii="Palatino Linotype" w:eastAsia="Palatino Linotype" w:hAnsi="Palatino Linotype" w:cs="Palatino Linotype"/>
                <w:b/>
                <w:bCs/>
                <w:color w:val="000000"/>
                <w:u w:val="single"/>
              </w:rPr>
              <w:t>el acto reúna con los requisitos elementales</w:t>
            </w:r>
            <w:r w:rsidRPr="00850128">
              <w:rPr>
                <w:rFonts w:ascii="Palatino Linotype" w:eastAsia="Palatino Linotype" w:hAnsi="Palatino Linotype" w:cs="Palatino Linotype"/>
                <w:color w:val="000000"/>
              </w:rPr>
              <w:t>, entre ellos, que la autoridad que va a emitir el acto de autoridad sea la legalmente facultada para ello.</w:t>
            </w:r>
          </w:p>
          <w:p w:rsidR="006B3302" w:rsidRPr="00850128" w:rsidRDefault="004A41A5">
            <w:pPr>
              <w:tabs>
                <w:tab w:val="left" w:pos="284"/>
              </w:tabs>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w:t>
            </w:r>
            <w:r w:rsidRPr="00850128">
              <w:rPr>
                <w:rFonts w:ascii="Palatino Linotype" w:eastAsia="Palatino Linotype" w:hAnsi="Palatino Linotype" w:cs="Palatino Linotype"/>
                <w:color w:val="000000"/>
              </w:rPr>
              <w:lastRenderedPageBreak/>
              <w:t>previamente por los titulares de áreas y que son sujetas a control, en primera instancia, por el Comité de Transparencia.</w:t>
            </w:r>
          </w:p>
          <w:p w:rsidR="006B3302" w:rsidRPr="00850128" w:rsidRDefault="006B3302">
            <w:pPr>
              <w:tabs>
                <w:tab w:val="left" w:pos="284"/>
              </w:tabs>
              <w:jc w:val="both"/>
              <w:rPr>
                <w:rFonts w:ascii="Palatino Linotype" w:eastAsia="Palatino Linotype" w:hAnsi="Palatino Linotype" w:cs="Palatino Linotype"/>
              </w:rPr>
            </w:pPr>
          </w:p>
        </w:tc>
      </w:tr>
      <w:tr w:rsidR="006B3302" w:rsidRPr="00850128">
        <w:tc>
          <w:tcPr>
            <w:tcW w:w="2689" w:type="dxa"/>
          </w:tcPr>
          <w:p w:rsidR="006B3302" w:rsidRPr="00850128" w:rsidRDefault="006B3302">
            <w:pPr>
              <w:tabs>
                <w:tab w:val="left" w:pos="284"/>
              </w:tabs>
              <w:rPr>
                <w:rFonts w:ascii="Palatino Linotype" w:eastAsia="Palatino Linotype" w:hAnsi="Palatino Linotype" w:cs="Palatino Linotype"/>
              </w:rPr>
            </w:pPr>
          </w:p>
          <w:p w:rsidR="006B3302" w:rsidRPr="00850128" w:rsidRDefault="004A41A5">
            <w:pPr>
              <w:tabs>
                <w:tab w:val="left" w:pos="284"/>
              </w:tabs>
              <w:jc w:val="both"/>
              <w:rPr>
                <w:rFonts w:ascii="Palatino Linotype" w:eastAsia="Palatino Linotype" w:hAnsi="Palatino Linotype" w:cs="Palatino Linotype"/>
              </w:rPr>
            </w:pPr>
            <w:r w:rsidRPr="00850128">
              <w:rPr>
                <w:rFonts w:ascii="Palatino Linotype" w:eastAsia="Palatino Linotype" w:hAnsi="Palatino Linotype" w:cs="Palatino Linotype"/>
                <w:color w:val="000000"/>
              </w:rPr>
              <w:t xml:space="preserve">d) Requisitos de fondo del acuerdo de clasificación. </w:t>
            </w:r>
          </w:p>
        </w:tc>
        <w:tc>
          <w:tcPr>
            <w:tcW w:w="6237" w:type="dxa"/>
          </w:tcPr>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50128">
              <w:rPr>
                <w:rFonts w:ascii="Palatino Linotype" w:eastAsia="Palatino Linotype" w:hAnsi="Palatino Linotype" w:cs="Palatino Linotype"/>
                <w:b/>
                <w:bCs/>
                <w:color w:val="000000"/>
              </w:rPr>
              <w:t>Sujetos Obligados</w:t>
            </w:r>
            <w:r w:rsidRPr="00850128">
              <w:rPr>
                <w:rFonts w:ascii="Palatino Linotype" w:eastAsia="Palatino Linotype" w:hAnsi="Palatino Linotype" w:cs="Palatino Linotype"/>
                <w:color w:val="000000"/>
              </w:rPr>
              <w:t xml:space="preserve">, por lo que deberán fundar y motivar debidamente la clasificación. </w:t>
            </w:r>
          </w:p>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De lo anterior, se desprende que para una correcta </w:t>
            </w:r>
            <w:r w:rsidRPr="00850128">
              <w:rPr>
                <w:rFonts w:ascii="Palatino Linotype" w:eastAsia="Palatino Linotype" w:hAnsi="Palatino Linotype" w:cs="Palatino Linotype"/>
                <w:b/>
                <w:bCs/>
                <w:color w:val="000000"/>
              </w:rPr>
              <w:t>clasificación total o parcial</w:t>
            </w:r>
            <w:r w:rsidRPr="00850128">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Ahora bien, </w:t>
            </w:r>
            <w:r w:rsidRPr="00850128">
              <w:rPr>
                <w:rFonts w:ascii="Palatino Linotype" w:eastAsia="Palatino Linotype" w:hAnsi="Palatino Linotype" w:cs="Palatino Linotype"/>
                <w:b/>
                <w:bCs/>
                <w:color w:val="000000"/>
                <w:u w:val="single"/>
              </w:rPr>
              <w:t>para cada caso además de fundar y motivar</w:t>
            </w:r>
            <w:r w:rsidRPr="00850128">
              <w:rPr>
                <w:rFonts w:ascii="Palatino Linotype" w:eastAsia="Palatino Linotype" w:hAnsi="Palatino Linotype" w:cs="Palatino Linotype"/>
                <w:color w:val="000000"/>
              </w:rPr>
              <w:t xml:space="preserve">, se debe identificar con claridad que datos contenidos en </w:t>
            </w:r>
            <w:r w:rsidRPr="00850128">
              <w:rPr>
                <w:rFonts w:ascii="Palatino Linotype" w:eastAsia="Palatino Linotype" w:hAnsi="Palatino Linotype" w:cs="Palatino Linotype"/>
                <w:color w:val="000000"/>
              </w:rPr>
              <w:lastRenderedPageBreak/>
              <w:t>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6B3302" w:rsidRPr="00850128" w:rsidRDefault="006B3302">
            <w:pPr>
              <w:tabs>
                <w:tab w:val="left" w:pos="284"/>
              </w:tabs>
              <w:ind w:right="49"/>
              <w:jc w:val="both"/>
              <w:rPr>
                <w:rFonts w:ascii="Palatino Linotype" w:eastAsia="Palatino Linotype" w:hAnsi="Palatino Linotype" w:cs="Palatino Linotype"/>
                <w:color w:val="000000"/>
              </w:rPr>
            </w:pPr>
          </w:p>
        </w:tc>
      </w:tr>
      <w:tr w:rsidR="006B3302" w:rsidRPr="00850128">
        <w:tc>
          <w:tcPr>
            <w:tcW w:w="2689" w:type="dxa"/>
          </w:tcPr>
          <w:p w:rsidR="006B3302" w:rsidRPr="00850128" w:rsidRDefault="004A41A5">
            <w:pPr>
              <w:tabs>
                <w:tab w:val="left" w:pos="284"/>
              </w:tabs>
              <w:ind w:right="49"/>
              <w:jc w:val="both"/>
              <w:rPr>
                <w:rFonts w:ascii="Palatino Linotype" w:eastAsia="Palatino Linotype" w:hAnsi="Palatino Linotype" w:cs="Palatino Linotype"/>
              </w:rPr>
            </w:pPr>
            <w:r w:rsidRPr="00850128">
              <w:rPr>
                <w:rFonts w:ascii="Palatino Linotype" w:eastAsia="Palatino Linotype" w:hAnsi="Palatino Linotype" w:cs="Palatino Linotype"/>
              </w:rPr>
              <w:lastRenderedPageBreak/>
              <w:t xml:space="preserve">e) Condiciones especiales de la clasificación de la información como confidencial. </w:t>
            </w:r>
          </w:p>
        </w:tc>
        <w:tc>
          <w:tcPr>
            <w:tcW w:w="6237" w:type="dxa"/>
          </w:tcPr>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6B3302" w:rsidRPr="00850128" w:rsidRDefault="004A41A5">
            <w:pPr>
              <w:tabs>
                <w:tab w:val="left" w:pos="284"/>
              </w:tabs>
              <w:ind w:right="49"/>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B3302" w:rsidRPr="00850128" w:rsidRDefault="004A41A5">
            <w:pPr>
              <w:tabs>
                <w:tab w:val="left" w:pos="284"/>
              </w:tabs>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6B3302" w:rsidRPr="00850128" w:rsidRDefault="006B3302">
            <w:pPr>
              <w:tabs>
                <w:tab w:val="left" w:pos="284"/>
              </w:tabs>
              <w:rPr>
                <w:rFonts w:ascii="Palatino Linotype" w:eastAsia="Palatino Linotype" w:hAnsi="Palatino Linotype" w:cs="Palatino Linotype"/>
              </w:rPr>
            </w:pPr>
          </w:p>
        </w:tc>
      </w:tr>
    </w:tbl>
    <w:p w:rsidR="006B3302" w:rsidRPr="00850128" w:rsidRDefault="006B3302">
      <w:pPr>
        <w:tabs>
          <w:tab w:val="left" w:pos="284"/>
        </w:tabs>
        <w:spacing w:line="360" w:lineRule="auto"/>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6B3302" w:rsidRPr="00850128" w:rsidRDefault="006B3302">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3302" w:rsidRPr="00850128" w:rsidRDefault="004A41A5">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50128">
        <w:rPr>
          <w:rFonts w:ascii="Palatino Linotype" w:eastAsia="Palatino Linotype" w:hAnsi="Palatino Linotype" w:cs="Palatino Linotype"/>
          <w:color w:val="000000"/>
        </w:rPr>
        <w:lastRenderedPageBreak/>
        <w:t xml:space="preserve">Por lo anteriormente expuesto y fundado, este Órgano Garante emite los siguientes: </w:t>
      </w:r>
    </w:p>
    <w:p w:rsidR="006B3302" w:rsidRPr="00850128" w:rsidRDefault="004A41A5">
      <w:pPr>
        <w:pStyle w:val="Ttulo1"/>
        <w:spacing w:before="0" w:line="360" w:lineRule="auto"/>
        <w:jc w:val="center"/>
        <w:rPr>
          <w:rFonts w:ascii="Palatino Linotype" w:eastAsia="Palatino Linotype" w:hAnsi="Palatino Linotype" w:cs="Palatino Linotype"/>
          <w:b/>
          <w:bCs/>
          <w:color w:val="000000"/>
          <w:sz w:val="24"/>
          <w:szCs w:val="24"/>
        </w:rPr>
      </w:pPr>
      <w:bookmarkStart w:id="8" w:name="_heading=h.h3wekzi5xmos" w:colFirst="0" w:colLast="0"/>
      <w:bookmarkEnd w:id="8"/>
      <w:r w:rsidRPr="00850128">
        <w:rPr>
          <w:rFonts w:ascii="Palatino Linotype" w:eastAsia="Palatino Linotype" w:hAnsi="Palatino Linotype" w:cs="Palatino Linotype"/>
          <w:b/>
          <w:bCs/>
          <w:color w:val="000000"/>
          <w:sz w:val="24"/>
          <w:szCs w:val="24"/>
        </w:rPr>
        <w:t>R E S O L U T I V O S</w:t>
      </w:r>
    </w:p>
    <w:p w:rsidR="006B3302" w:rsidRPr="00850128" w:rsidRDefault="006B3302">
      <w:pPr>
        <w:spacing w:line="360" w:lineRule="auto"/>
        <w:rPr>
          <w:rFonts w:ascii="Palatino Linotype" w:eastAsia="Palatino Linotype" w:hAnsi="Palatino Linotype" w:cs="Palatino Linotype"/>
        </w:rPr>
      </w:pPr>
    </w:p>
    <w:p w:rsidR="006B3302" w:rsidRPr="00850128" w:rsidRDefault="004A41A5">
      <w:pPr>
        <w:spacing w:line="360" w:lineRule="auto"/>
        <w:jc w:val="both"/>
        <w:rPr>
          <w:rFonts w:ascii="Palatino Linotype" w:eastAsia="Palatino Linotype" w:hAnsi="Palatino Linotype" w:cs="Palatino Linotype"/>
        </w:rPr>
      </w:pPr>
      <w:r w:rsidRPr="00850128">
        <w:rPr>
          <w:rFonts w:ascii="Palatino Linotype" w:eastAsia="Palatino Linotype" w:hAnsi="Palatino Linotype" w:cs="Palatino Linotype"/>
          <w:b/>
          <w:bCs/>
        </w:rPr>
        <w:t>PRIMERO</w:t>
      </w:r>
      <w:r w:rsidRPr="00850128">
        <w:rPr>
          <w:rFonts w:ascii="Palatino Linotype" w:eastAsia="Palatino Linotype" w:hAnsi="Palatino Linotype" w:cs="Palatino Linotype"/>
        </w:rPr>
        <w:t>. Resultan fundadas las</w:t>
      </w:r>
      <w:r w:rsidRPr="00850128">
        <w:rPr>
          <w:rFonts w:ascii="Palatino Linotype" w:eastAsia="Palatino Linotype" w:hAnsi="Palatino Linotype" w:cs="Palatino Linotype"/>
          <w:b/>
          <w:bCs/>
        </w:rPr>
        <w:t xml:space="preserve"> </w:t>
      </w:r>
      <w:r w:rsidRPr="00850128">
        <w:rPr>
          <w:rFonts w:ascii="Palatino Linotype" w:eastAsia="Palatino Linotype" w:hAnsi="Palatino Linotype" w:cs="Palatino Linotype"/>
        </w:rPr>
        <w:t xml:space="preserve">razones o motivos de inconformidad hechos valer en el Recurso de Revisión </w:t>
      </w:r>
      <w:r w:rsidRPr="00850128">
        <w:rPr>
          <w:rFonts w:ascii="Palatino Linotype" w:eastAsia="Palatino Linotype" w:hAnsi="Palatino Linotype" w:cs="Palatino Linotype"/>
          <w:b/>
          <w:bCs/>
          <w:color w:val="000000"/>
        </w:rPr>
        <w:t>13263/INFOEM/IP/RR/2025</w:t>
      </w:r>
      <w:r w:rsidRPr="00850128">
        <w:rPr>
          <w:rFonts w:ascii="Palatino Linotype" w:eastAsia="Palatino Linotype" w:hAnsi="Palatino Linotype" w:cs="Palatino Linotype"/>
          <w:b/>
          <w:bCs/>
        </w:rPr>
        <w:t xml:space="preserve">, </w:t>
      </w:r>
      <w:r w:rsidRPr="00850128">
        <w:rPr>
          <w:rFonts w:ascii="Palatino Linotype" w:eastAsia="Palatino Linotype" w:hAnsi="Palatino Linotype" w:cs="Palatino Linotype"/>
        </w:rPr>
        <w:t xml:space="preserve">en términos de los </w:t>
      </w:r>
      <w:r w:rsidRPr="00850128">
        <w:rPr>
          <w:rFonts w:ascii="Palatino Linotype" w:eastAsia="Palatino Linotype" w:hAnsi="Palatino Linotype" w:cs="Palatino Linotype"/>
          <w:b/>
          <w:bCs/>
        </w:rPr>
        <w:t>Considerandos</w:t>
      </w:r>
      <w:r w:rsidRPr="00850128">
        <w:rPr>
          <w:rFonts w:ascii="Palatino Linotype" w:eastAsia="Palatino Linotype" w:hAnsi="Palatino Linotype" w:cs="Palatino Linotype"/>
        </w:rPr>
        <w:t xml:space="preserve"> </w:t>
      </w:r>
      <w:r w:rsidRPr="00850128">
        <w:rPr>
          <w:rFonts w:ascii="Palatino Linotype" w:eastAsia="Palatino Linotype" w:hAnsi="Palatino Linotype" w:cs="Palatino Linotype"/>
          <w:b/>
          <w:bCs/>
        </w:rPr>
        <w:t>CUARTO</w:t>
      </w:r>
      <w:r w:rsidRPr="00850128">
        <w:rPr>
          <w:rFonts w:ascii="Palatino Linotype" w:eastAsia="Palatino Linotype" w:hAnsi="Palatino Linotype" w:cs="Palatino Linotype"/>
        </w:rPr>
        <w:t xml:space="preserve"> y </w:t>
      </w:r>
      <w:r w:rsidRPr="00850128">
        <w:rPr>
          <w:rFonts w:ascii="Palatino Linotype" w:eastAsia="Palatino Linotype" w:hAnsi="Palatino Linotype" w:cs="Palatino Linotype"/>
          <w:b/>
          <w:bCs/>
        </w:rPr>
        <w:t xml:space="preserve">QUINTO </w:t>
      </w:r>
      <w:r w:rsidRPr="00850128">
        <w:rPr>
          <w:rFonts w:ascii="Palatino Linotype" w:eastAsia="Palatino Linotype" w:hAnsi="Palatino Linotype" w:cs="Palatino Linotype"/>
        </w:rPr>
        <w:t>de la presente Resolución.</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spacing w:line="360" w:lineRule="auto"/>
        <w:jc w:val="both"/>
        <w:rPr>
          <w:rFonts w:ascii="Palatino Linotype" w:eastAsia="Palatino Linotype" w:hAnsi="Palatino Linotype" w:cs="Palatino Linotype"/>
        </w:rPr>
      </w:pPr>
      <w:bookmarkStart w:id="9" w:name="_heading=h.qz7zzwy6dra7" w:colFirst="0" w:colLast="0"/>
      <w:bookmarkEnd w:id="9"/>
      <w:r w:rsidRPr="00850128">
        <w:rPr>
          <w:rFonts w:ascii="Palatino Linotype" w:eastAsia="Palatino Linotype" w:hAnsi="Palatino Linotype" w:cs="Palatino Linotype"/>
          <w:b/>
          <w:bCs/>
        </w:rPr>
        <w:t xml:space="preserve">SEGUNDO. </w:t>
      </w:r>
      <w:r w:rsidRPr="00850128">
        <w:rPr>
          <w:rFonts w:ascii="Palatino Linotype" w:eastAsia="Palatino Linotype" w:hAnsi="Palatino Linotype" w:cs="Palatino Linotype"/>
          <w:color w:val="000000"/>
        </w:rPr>
        <w:t xml:space="preserve">Se </w:t>
      </w:r>
      <w:r w:rsidRPr="00850128">
        <w:rPr>
          <w:rFonts w:ascii="Palatino Linotype" w:eastAsia="Palatino Linotype" w:hAnsi="Palatino Linotype" w:cs="Palatino Linotype"/>
          <w:b/>
          <w:bCs/>
          <w:color w:val="000000"/>
        </w:rPr>
        <w:t xml:space="preserve">REVOCA </w:t>
      </w:r>
      <w:r w:rsidR="00850128">
        <w:rPr>
          <w:rFonts w:ascii="Palatino Linotype" w:eastAsia="Palatino Linotype" w:hAnsi="Palatino Linotype" w:cs="Palatino Linotype"/>
          <w:color w:val="000000"/>
        </w:rPr>
        <w:t xml:space="preserve">la respuesta emitida por el </w:t>
      </w:r>
      <w:r w:rsidRPr="00850128">
        <w:rPr>
          <w:rFonts w:ascii="Palatino Linotype" w:eastAsia="Palatino Linotype" w:hAnsi="Palatino Linotype" w:cs="Palatino Linotype"/>
          <w:b/>
          <w:bCs/>
        </w:rPr>
        <w:t>Ayuntamiento de Toluca</w:t>
      </w:r>
      <w:r w:rsidRPr="00850128">
        <w:rPr>
          <w:rFonts w:ascii="Palatino Linotype" w:eastAsia="Palatino Linotype" w:hAnsi="Palatino Linotype" w:cs="Palatino Linotype"/>
          <w:color w:val="000000"/>
        </w:rPr>
        <w:t xml:space="preserve"> y se </w:t>
      </w:r>
      <w:r w:rsidRPr="00850128">
        <w:rPr>
          <w:rFonts w:ascii="Palatino Linotype" w:eastAsia="Palatino Linotype" w:hAnsi="Palatino Linotype" w:cs="Palatino Linotype"/>
          <w:b/>
          <w:bCs/>
          <w:color w:val="000000"/>
        </w:rPr>
        <w:t>ORDENA</w:t>
      </w:r>
      <w:r w:rsidRPr="00850128">
        <w:rPr>
          <w:rFonts w:ascii="Palatino Linotype" w:eastAsia="Palatino Linotype" w:hAnsi="Palatino Linotype" w:cs="Palatino Linotype"/>
          <w:color w:val="000000"/>
        </w:rPr>
        <w:t xml:space="preserve"> entregar vía Sistema de Acceso a la Información Mexiquense (SAIMEX), en versión pública, la siguiente información</w:t>
      </w:r>
      <w:r w:rsidRPr="00850128">
        <w:rPr>
          <w:rFonts w:ascii="Palatino Linotype" w:eastAsia="Palatino Linotype" w:hAnsi="Palatino Linotype" w:cs="Palatino Linotype"/>
        </w:rPr>
        <w:t>:</w:t>
      </w:r>
    </w:p>
    <w:p w:rsidR="006B3302" w:rsidRPr="00850128" w:rsidRDefault="006B3302">
      <w:pPr>
        <w:pBdr>
          <w:top w:val="nil"/>
          <w:left w:val="nil"/>
          <w:bottom w:val="nil"/>
          <w:right w:val="nil"/>
          <w:between w:val="nil"/>
        </w:pBdr>
        <w:tabs>
          <w:tab w:val="left" w:pos="8080"/>
        </w:tabs>
        <w:spacing w:line="360" w:lineRule="auto"/>
        <w:ind w:left="709" w:right="474"/>
        <w:jc w:val="both"/>
        <w:rPr>
          <w:rFonts w:ascii="Palatino Linotype" w:eastAsia="Palatino Linotype" w:hAnsi="Palatino Linotype" w:cs="Palatino Linotype"/>
          <w:i/>
          <w:iCs/>
          <w:color w:val="000000"/>
        </w:rPr>
      </w:pPr>
    </w:p>
    <w:p w:rsidR="006B3302" w:rsidRPr="00850128" w:rsidRDefault="004A41A5">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850128">
        <w:rPr>
          <w:rFonts w:ascii="Palatino Linotype" w:eastAsia="Palatino Linotype" w:hAnsi="Palatino Linotype" w:cs="Palatino Linotype"/>
          <w:b/>
          <w:bCs/>
          <w:color w:val="000000"/>
        </w:rPr>
        <w:t>Las listas o el documento donde conste el control o registro de asistencia del personal adscrito a la Consejería Jurídica, del 01 de enero al 31 de diciembre de 2024.</w:t>
      </w:r>
    </w:p>
    <w:p w:rsidR="006B3302" w:rsidRPr="00850128" w:rsidRDefault="006B3302">
      <w:pPr>
        <w:pBdr>
          <w:top w:val="nil"/>
          <w:left w:val="nil"/>
          <w:bottom w:val="nil"/>
          <w:right w:val="nil"/>
          <w:between w:val="nil"/>
        </w:pBdr>
        <w:spacing w:line="360" w:lineRule="auto"/>
        <w:ind w:left="720" w:right="567"/>
        <w:jc w:val="both"/>
        <w:rPr>
          <w:rFonts w:ascii="Palatino Linotype" w:eastAsia="Palatino Linotype" w:hAnsi="Palatino Linotype" w:cs="Palatino Linotype"/>
          <w:b/>
          <w:bCs/>
          <w:color w:val="000000"/>
        </w:rPr>
      </w:pPr>
    </w:p>
    <w:p w:rsidR="006B3302" w:rsidRPr="00850128" w:rsidRDefault="004A41A5">
      <w:pPr>
        <w:tabs>
          <w:tab w:val="left" w:pos="8080"/>
        </w:tabs>
        <w:spacing w:line="360" w:lineRule="auto"/>
        <w:ind w:right="49"/>
        <w:jc w:val="both"/>
        <w:rPr>
          <w:rFonts w:ascii="Palatino Linotype" w:eastAsia="Palatino Linotype" w:hAnsi="Palatino Linotype" w:cs="Palatino Linotype"/>
        </w:rPr>
      </w:pPr>
      <w:bookmarkStart w:id="10" w:name="_heading=h.2um6i05fmrwv" w:colFirst="0" w:colLast="0"/>
      <w:bookmarkEnd w:id="10"/>
      <w:r w:rsidRPr="00850128">
        <w:rPr>
          <w:rFonts w:ascii="Palatino Linotype" w:eastAsia="Palatino Linotype" w:hAnsi="Palatino Linotype" w:cs="Palatino Linotype"/>
        </w:rPr>
        <w:t>Para el caso de no haberse generado listas o registros de asistencia, de algún servidor público por contar con exención de registro, deberá entregarse el documento mediante el cual se autorizó de forma expresa la exención de firmar o registrar asistencia.</w:t>
      </w:r>
    </w:p>
    <w:p w:rsidR="006B3302" w:rsidRPr="00850128" w:rsidRDefault="006B3302">
      <w:pPr>
        <w:tabs>
          <w:tab w:val="left" w:pos="8080"/>
        </w:tabs>
        <w:spacing w:line="360" w:lineRule="auto"/>
        <w:ind w:right="49"/>
        <w:jc w:val="both"/>
        <w:rPr>
          <w:rFonts w:ascii="Palatino Linotype" w:eastAsia="Palatino Linotype" w:hAnsi="Palatino Linotype" w:cs="Palatino Linotype"/>
        </w:rPr>
      </w:pPr>
    </w:p>
    <w:p w:rsidR="006B3302" w:rsidRPr="00850128" w:rsidRDefault="004A41A5">
      <w:pPr>
        <w:tabs>
          <w:tab w:val="left" w:pos="8080"/>
        </w:tabs>
        <w:spacing w:line="360" w:lineRule="auto"/>
        <w:ind w:right="49"/>
        <w:jc w:val="both"/>
        <w:rPr>
          <w:rFonts w:ascii="Palatino Linotype" w:eastAsia="Palatino Linotype" w:hAnsi="Palatino Linotype" w:cs="Palatino Linotype"/>
        </w:rPr>
      </w:pPr>
      <w:r w:rsidRPr="00850128">
        <w:rPr>
          <w:rFonts w:ascii="Palatino Linotype" w:eastAsia="Palatino Linotype" w:hAnsi="Palatino Linotype" w:cs="Palatino Linotype"/>
        </w:rPr>
        <w:t xml:space="preserve">Se deberá emitir el Acuerdo del Comité de Transparencia en términos de los artículos 49, fracciones II y VIII, 132, fracción II y 143 de la Ley de Transparencia y Acceso a la Información Pública del Estado de México y Municipios, en el que funde </w:t>
      </w:r>
      <w:r w:rsidRPr="00850128">
        <w:rPr>
          <w:rFonts w:ascii="Palatino Linotype" w:eastAsia="Palatino Linotype" w:hAnsi="Palatino Linotype" w:cs="Palatino Linotype"/>
        </w:rPr>
        <w:lastRenderedPageBreak/>
        <w:t xml:space="preserve">y motive las razones sobre la eliminación de los datos y documentos confidenciales del soporte documental respectivo objeto de las versiones públicas que se formulen y se pongan a disposición del </w:t>
      </w:r>
      <w:r w:rsidRPr="00850128">
        <w:rPr>
          <w:rFonts w:ascii="Palatino Linotype" w:eastAsia="Palatino Linotype" w:hAnsi="Palatino Linotype" w:cs="Palatino Linotype"/>
          <w:b/>
          <w:bCs/>
          <w:color w:val="000000"/>
        </w:rPr>
        <w:t>RECURRENTE</w:t>
      </w:r>
      <w:r w:rsidRPr="00850128">
        <w:rPr>
          <w:rFonts w:ascii="Palatino Linotype" w:eastAsia="Palatino Linotype" w:hAnsi="Palatino Linotype" w:cs="Palatino Linotype"/>
        </w:rPr>
        <w:t>.</w:t>
      </w:r>
    </w:p>
    <w:p w:rsidR="006B3302" w:rsidRPr="00850128" w:rsidRDefault="006B3302">
      <w:pPr>
        <w:tabs>
          <w:tab w:val="left" w:pos="8080"/>
        </w:tabs>
        <w:spacing w:line="360" w:lineRule="auto"/>
        <w:ind w:right="49"/>
        <w:jc w:val="both"/>
        <w:rPr>
          <w:rFonts w:ascii="Palatino Linotype" w:eastAsia="Palatino Linotype" w:hAnsi="Palatino Linotype" w:cs="Palatino Linotype"/>
        </w:rPr>
      </w:pPr>
    </w:p>
    <w:p w:rsidR="006B3302" w:rsidRPr="00850128" w:rsidRDefault="004A41A5">
      <w:pPr>
        <w:spacing w:line="360" w:lineRule="auto"/>
        <w:jc w:val="both"/>
        <w:rPr>
          <w:rFonts w:ascii="Palatino Linotype" w:eastAsia="Palatino Linotype" w:hAnsi="Palatino Linotype" w:cs="Palatino Linotype"/>
        </w:rPr>
      </w:pPr>
      <w:r w:rsidRPr="00850128">
        <w:rPr>
          <w:rFonts w:ascii="Palatino Linotype" w:eastAsia="Palatino Linotype" w:hAnsi="Palatino Linotype" w:cs="Palatino Linotype"/>
          <w:b/>
          <w:bCs/>
        </w:rPr>
        <w:t xml:space="preserve">TERCERO. Notifíquese </w:t>
      </w:r>
      <w:r w:rsidRPr="00850128">
        <w:rPr>
          <w:rFonts w:ascii="Palatino Linotype" w:eastAsia="Palatino Linotype" w:hAnsi="Palatino Linotype" w:cs="Palatino Linotype"/>
        </w:rPr>
        <w:t xml:space="preserve">la presente Resolución al Titular de la Unidad de Transparencia del Sujeto Obligado vía </w:t>
      </w:r>
      <w:r w:rsidRPr="00850128">
        <w:rPr>
          <w:rFonts w:ascii="Palatino Linotype" w:eastAsia="Palatino Linotype" w:hAnsi="Palatino Linotype" w:cs="Palatino Linotype"/>
          <w:b/>
          <w:bCs/>
        </w:rPr>
        <w:t>SAIMEX</w:t>
      </w:r>
      <w:r w:rsidRPr="00850128">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850128">
        <w:rPr>
          <w:rFonts w:ascii="Palatino Linotype" w:eastAsia="Palatino Linotype" w:hAnsi="Palatino Linotype" w:cs="Palatino Linotype"/>
          <w:b/>
          <w:bCs/>
        </w:rPr>
        <w:t>dé cumplimiento a lo ordenado dentro del plazo de diez días hábiles</w:t>
      </w:r>
      <w:r w:rsidRPr="00850128">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spacing w:line="360" w:lineRule="auto"/>
        <w:jc w:val="both"/>
        <w:rPr>
          <w:rFonts w:ascii="Palatino Linotype" w:eastAsia="Palatino Linotype" w:hAnsi="Palatino Linotype" w:cs="Palatino Linotype"/>
        </w:rPr>
      </w:pPr>
      <w:r w:rsidRPr="00850128">
        <w:rPr>
          <w:rFonts w:ascii="Palatino Linotype" w:eastAsia="Palatino Linotype" w:hAnsi="Palatino Linotype" w:cs="Palatino Linotype"/>
          <w:b/>
          <w:bCs/>
        </w:rPr>
        <w:t xml:space="preserve">CUARTO. </w:t>
      </w:r>
      <w:r w:rsidRPr="0085012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50128">
        <w:rPr>
          <w:rFonts w:ascii="Palatino Linotype" w:eastAsia="Palatino Linotype" w:hAnsi="Palatino Linotype" w:cs="Palatino Linotype"/>
          <w:b/>
          <w:bCs/>
        </w:rPr>
        <w:t>SUJETO OBLIGADO</w:t>
      </w:r>
      <w:r w:rsidRPr="00850128">
        <w:rPr>
          <w:rFonts w:ascii="Palatino Linotype" w:eastAsia="Palatino Linotype" w:hAnsi="Palatino Linotype" w:cs="Palatino Linotype"/>
        </w:rPr>
        <w:t xml:space="preserve"> de manera fundada y motivada, podrá solicitar una ampliación de plazo para el cumplimiento de la presente Resolución.</w:t>
      </w:r>
    </w:p>
    <w:p w:rsidR="006B3302" w:rsidRPr="00850128" w:rsidRDefault="006B3302">
      <w:pPr>
        <w:spacing w:line="360" w:lineRule="auto"/>
        <w:jc w:val="both"/>
        <w:rPr>
          <w:rFonts w:ascii="Palatino Linotype" w:eastAsia="Palatino Linotype" w:hAnsi="Palatino Linotype" w:cs="Palatino Linotype"/>
        </w:rPr>
      </w:pPr>
    </w:p>
    <w:p w:rsidR="006B3302" w:rsidRPr="00850128" w:rsidRDefault="004A41A5">
      <w:pPr>
        <w:tabs>
          <w:tab w:val="left" w:pos="8080"/>
        </w:tabs>
        <w:spacing w:line="360" w:lineRule="auto"/>
        <w:ind w:right="49"/>
        <w:jc w:val="both"/>
        <w:rPr>
          <w:rFonts w:ascii="Palatino Linotype" w:eastAsia="Palatino Linotype" w:hAnsi="Palatino Linotype" w:cs="Palatino Linotype"/>
        </w:rPr>
      </w:pPr>
      <w:bookmarkStart w:id="11" w:name="_heading=h.e2f4rvi0hw6p" w:colFirst="0" w:colLast="0"/>
      <w:bookmarkEnd w:id="11"/>
      <w:r w:rsidRPr="00850128">
        <w:rPr>
          <w:rFonts w:ascii="Palatino Linotype" w:eastAsia="Palatino Linotype" w:hAnsi="Palatino Linotype" w:cs="Palatino Linotype"/>
          <w:b/>
          <w:bCs/>
        </w:rPr>
        <w:t xml:space="preserve">QUINTO. </w:t>
      </w:r>
      <w:r w:rsidRPr="00850128">
        <w:rPr>
          <w:rFonts w:ascii="Palatino Linotype" w:eastAsia="Palatino Linotype" w:hAnsi="Palatino Linotype" w:cs="Palatino Linotype"/>
        </w:rPr>
        <w:t xml:space="preserve">Notifíquese al </w:t>
      </w:r>
      <w:r w:rsidRPr="00850128">
        <w:rPr>
          <w:rFonts w:ascii="Palatino Linotype" w:eastAsia="Palatino Linotype" w:hAnsi="Palatino Linotype" w:cs="Palatino Linotype"/>
          <w:b/>
          <w:bCs/>
        </w:rPr>
        <w:t>RECURRENTE</w:t>
      </w:r>
      <w:r w:rsidRPr="00850128">
        <w:rPr>
          <w:rFonts w:ascii="Palatino Linotype" w:eastAsia="Palatino Linotype" w:hAnsi="Palatino Linotype" w:cs="Palatino Linotype"/>
        </w:rPr>
        <w:t xml:space="preserve"> la presente Resolución, vía </w:t>
      </w:r>
      <w:r w:rsidRPr="00850128">
        <w:rPr>
          <w:rFonts w:ascii="Palatino Linotype" w:eastAsia="Palatino Linotype" w:hAnsi="Palatino Linotype" w:cs="Palatino Linotype"/>
          <w:b/>
          <w:bCs/>
        </w:rPr>
        <w:t>SAIMEX</w:t>
      </w:r>
      <w:r w:rsidRPr="00850128">
        <w:rPr>
          <w:rFonts w:ascii="Palatino Linotype" w:eastAsia="Palatino Linotype" w:hAnsi="Palatino Linotype" w:cs="Palatino Linotype"/>
        </w:rPr>
        <w:t>.</w:t>
      </w:r>
    </w:p>
    <w:p w:rsidR="006B3302" w:rsidRPr="00850128" w:rsidRDefault="006B3302">
      <w:pPr>
        <w:tabs>
          <w:tab w:val="left" w:pos="8080"/>
        </w:tabs>
        <w:spacing w:line="360" w:lineRule="auto"/>
        <w:ind w:right="49"/>
        <w:jc w:val="both"/>
        <w:rPr>
          <w:rFonts w:ascii="Palatino Linotype" w:eastAsia="Palatino Linotype" w:hAnsi="Palatino Linotype" w:cs="Palatino Linotype"/>
        </w:rPr>
      </w:pPr>
    </w:p>
    <w:p w:rsidR="006B3302" w:rsidRPr="00850128" w:rsidRDefault="004A41A5">
      <w:pPr>
        <w:shd w:val="clear" w:color="auto" w:fill="FFFFFF"/>
        <w:spacing w:line="360" w:lineRule="auto"/>
        <w:jc w:val="both"/>
        <w:rPr>
          <w:rFonts w:ascii="Palatino Linotype" w:eastAsia="Palatino Linotype" w:hAnsi="Palatino Linotype" w:cs="Palatino Linotype"/>
        </w:rPr>
      </w:pPr>
      <w:r w:rsidRPr="00850128">
        <w:rPr>
          <w:rFonts w:ascii="Palatino Linotype" w:eastAsia="Palatino Linotype" w:hAnsi="Palatino Linotype" w:cs="Palatino Linotype"/>
          <w:b/>
          <w:bCs/>
        </w:rPr>
        <w:t xml:space="preserve">SEXTO. </w:t>
      </w:r>
      <w:r w:rsidRPr="00850128">
        <w:rPr>
          <w:rFonts w:ascii="Palatino Linotype" w:eastAsia="Palatino Linotype" w:hAnsi="Palatino Linotype" w:cs="Palatino Linotype"/>
        </w:rPr>
        <w:t>Se hace del conocimiento del</w:t>
      </w:r>
      <w:r w:rsidRPr="00850128">
        <w:rPr>
          <w:rFonts w:ascii="Palatino Linotype" w:eastAsia="Palatino Linotype" w:hAnsi="Palatino Linotype" w:cs="Palatino Linotype"/>
          <w:b/>
          <w:bCs/>
        </w:rPr>
        <w:t xml:space="preserve"> RECURRENTE </w:t>
      </w:r>
      <w:r w:rsidRPr="00850128">
        <w:rPr>
          <w:rFonts w:ascii="Palatino Linotype" w:eastAsia="Palatino Linotype" w:hAnsi="Palatino Linotype" w:cs="Palatino Linotype"/>
        </w:rPr>
        <w:t xml:space="preserve">que, de conformidad con lo establecido en el artículo 196 de la Ley de Transparencia y Acceso a la Información </w:t>
      </w:r>
      <w:r w:rsidRPr="00850128">
        <w:rPr>
          <w:rFonts w:ascii="Palatino Linotype" w:eastAsia="Palatino Linotype" w:hAnsi="Palatino Linotype" w:cs="Palatino Linotype"/>
        </w:rPr>
        <w:lastRenderedPageBreak/>
        <w:t>Pública del Estado de México y Municipios, en caso de que considere que la Resolución le cause algún perjuicio podrá impugnarla vía juicio de amparo en los términos de las leyes aplicables.</w:t>
      </w:r>
    </w:p>
    <w:p w:rsidR="006B3302" w:rsidRPr="00850128" w:rsidRDefault="006B3302">
      <w:pPr>
        <w:shd w:val="clear" w:color="auto" w:fill="FFFFFF"/>
        <w:spacing w:line="360" w:lineRule="auto"/>
        <w:ind w:right="49"/>
        <w:jc w:val="both"/>
        <w:rPr>
          <w:rFonts w:ascii="Palatino Linotype" w:eastAsia="Palatino Linotype" w:hAnsi="Palatino Linotype" w:cs="Palatino Linotype"/>
        </w:rPr>
      </w:pPr>
    </w:p>
    <w:p w:rsidR="00850128" w:rsidRPr="003E2295" w:rsidRDefault="00850128" w:rsidP="00850128">
      <w:pPr>
        <w:spacing w:before="240" w:after="240" w:line="360" w:lineRule="auto"/>
        <w:ind w:firstLine="1"/>
        <w:jc w:val="both"/>
        <w:rPr>
          <w:rFonts w:ascii="Palatino Linotype" w:hAnsi="Palatino Linotype"/>
        </w:rPr>
      </w:pPr>
      <w:bookmarkStart w:id="12"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SESIÓN O</w:t>
      </w:r>
      <w:r>
        <w:rPr>
          <w:rFonts w:ascii="Palatino Linotype" w:hAnsi="Palatino Linotype" w:cs="Palatino Linotype"/>
        </w:rPr>
        <w:t>RDINARIA, CELEBRADA EL DIECINUEVE (19</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2"/>
    <w:p w:rsidR="006B3302" w:rsidRDefault="006B3302">
      <w:pPr>
        <w:spacing w:line="360" w:lineRule="auto"/>
        <w:ind w:right="49"/>
        <w:jc w:val="both"/>
        <w:rPr>
          <w:rFonts w:ascii="Palatino Linotype" w:eastAsia="Palatino Linotype" w:hAnsi="Palatino Linotype" w:cs="Palatino Linotype"/>
        </w:rPr>
      </w:pPr>
    </w:p>
    <w:p w:rsidR="006B3302" w:rsidRDefault="006B3302">
      <w:pPr>
        <w:spacing w:line="360" w:lineRule="auto"/>
        <w:ind w:right="49"/>
        <w:jc w:val="both"/>
        <w:rPr>
          <w:rFonts w:ascii="Palatino Linotype" w:eastAsia="Palatino Linotype" w:hAnsi="Palatino Linotype" w:cs="Palatino Linotype"/>
        </w:rPr>
      </w:pPr>
    </w:p>
    <w:p w:rsidR="006B3302" w:rsidRDefault="006B3302">
      <w:pPr>
        <w:spacing w:line="360" w:lineRule="auto"/>
        <w:ind w:right="49"/>
        <w:jc w:val="both"/>
        <w:rPr>
          <w:rFonts w:ascii="Palatino Linotype" w:eastAsia="Palatino Linotype" w:hAnsi="Palatino Linotype" w:cs="Palatino Linotype"/>
        </w:rPr>
      </w:pPr>
    </w:p>
    <w:p w:rsidR="006B3302" w:rsidRDefault="006B3302">
      <w:pPr>
        <w:spacing w:line="360" w:lineRule="auto"/>
        <w:ind w:right="49"/>
        <w:rPr>
          <w:rFonts w:ascii="Palatino Linotype" w:eastAsia="Palatino Linotype" w:hAnsi="Palatino Linotype" w:cs="Palatino Linotype"/>
        </w:rPr>
      </w:pPr>
    </w:p>
    <w:p w:rsidR="006B3302" w:rsidRDefault="006B3302">
      <w:pPr>
        <w:spacing w:line="360" w:lineRule="auto"/>
        <w:ind w:right="49"/>
        <w:rPr>
          <w:rFonts w:ascii="Palatino Linotype" w:eastAsia="Palatino Linotype" w:hAnsi="Palatino Linotype" w:cs="Palatino Linotype"/>
        </w:rPr>
      </w:pPr>
    </w:p>
    <w:p w:rsidR="006B3302" w:rsidRDefault="006B3302">
      <w:pPr>
        <w:spacing w:line="360" w:lineRule="auto"/>
        <w:ind w:right="49"/>
        <w:rPr>
          <w:rFonts w:ascii="Palatino Linotype" w:eastAsia="Palatino Linotype" w:hAnsi="Palatino Linotype" w:cs="Palatino Linotype"/>
        </w:rPr>
      </w:pPr>
    </w:p>
    <w:p w:rsidR="006B3302" w:rsidRDefault="006B3302">
      <w:pPr>
        <w:spacing w:line="360" w:lineRule="auto"/>
        <w:ind w:right="49"/>
        <w:rPr>
          <w:rFonts w:ascii="Palatino Linotype" w:eastAsia="Palatino Linotype" w:hAnsi="Palatino Linotype" w:cs="Palatino Linotype"/>
        </w:rPr>
      </w:pPr>
    </w:p>
    <w:p w:rsidR="006B3302" w:rsidRDefault="006B3302">
      <w:pPr>
        <w:spacing w:line="360" w:lineRule="auto"/>
        <w:ind w:right="49"/>
        <w:rPr>
          <w:rFonts w:ascii="Palatino Linotype" w:eastAsia="Palatino Linotype" w:hAnsi="Palatino Linotype" w:cs="Palatino Linotype"/>
        </w:rPr>
      </w:pPr>
    </w:p>
    <w:p w:rsidR="006B3302" w:rsidRDefault="006B3302">
      <w:pPr>
        <w:spacing w:line="360" w:lineRule="auto"/>
        <w:ind w:right="49"/>
        <w:rPr>
          <w:rFonts w:ascii="Palatino Linotype" w:eastAsia="Palatino Linotype" w:hAnsi="Palatino Linotype" w:cs="Palatino Linotype"/>
        </w:rPr>
      </w:pPr>
    </w:p>
    <w:p w:rsidR="006B3302" w:rsidRDefault="006B3302">
      <w:pPr>
        <w:spacing w:line="360" w:lineRule="auto"/>
        <w:ind w:right="49"/>
        <w:rPr>
          <w:rFonts w:ascii="Palatino Linotype" w:eastAsia="Palatino Linotype" w:hAnsi="Palatino Linotype" w:cs="Palatino Linotype"/>
        </w:rPr>
      </w:pPr>
    </w:p>
    <w:p w:rsidR="006B3302" w:rsidRDefault="004A41A5">
      <w:pPr>
        <w:tabs>
          <w:tab w:val="left" w:pos="3374"/>
        </w:tabs>
        <w:spacing w:line="360" w:lineRule="auto"/>
        <w:ind w:right="49"/>
        <w:rPr>
          <w:rFonts w:ascii="Palatino Linotype" w:eastAsia="Palatino Linotype" w:hAnsi="Palatino Linotype" w:cs="Palatino Linotype"/>
        </w:rPr>
      </w:pPr>
      <w:r>
        <w:rPr>
          <w:rFonts w:ascii="Palatino Linotype" w:eastAsia="Palatino Linotype" w:hAnsi="Palatino Linotype" w:cs="Palatino Linotype"/>
        </w:rPr>
        <w:lastRenderedPageBreak/>
        <w:tab/>
      </w:r>
    </w:p>
    <w:p w:rsidR="006B3302" w:rsidRDefault="006B3302">
      <w:pPr>
        <w:tabs>
          <w:tab w:val="left" w:pos="3374"/>
        </w:tabs>
        <w:spacing w:line="360" w:lineRule="auto"/>
        <w:ind w:right="49"/>
        <w:rPr>
          <w:rFonts w:ascii="Palatino Linotype" w:eastAsia="Palatino Linotype" w:hAnsi="Palatino Linotype" w:cs="Palatino Linotype"/>
        </w:rPr>
      </w:pPr>
    </w:p>
    <w:p w:rsidR="006B3302" w:rsidRDefault="006B3302">
      <w:pPr>
        <w:tabs>
          <w:tab w:val="left" w:pos="3374"/>
        </w:tabs>
        <w:spacing w:line="360" w:lineRule="auto"/>
        <w:ind w:right="49"/>
        <w:rPr>
          <w:rFonts w:ascii="Palatino Linotype" w:eastAsia="Palatino Linotype" w:hAnsi="Palatino Linotype" w:cs="Palatino Linotype"/>
        </w:rPr>
      </w:pPr>
    </w:p>
    <w:p w:rsidR="006B3302" w:rsidRDefault="006B3302">
      <w:pPr>
        <w:tabs>
          <w:tab w:val="left" w:pos="3374"/>
        </w:tabs>
        <w:spacing w:line="360" w:lineRule="auto"/>
        <w:ind w:right="49"/>
        <w:rPr>
          <w:rFonts w:ascii="Palatino Linotype" w:eastAsia="Palatino Linotype" w:hAnsi="Palatino Linotype" w:cs="Palatino Linotype"/>
        </w:rPr>
      </w:pPr>
    </w:p>
    <w:p w:rsidR="006B3302" w:rsidRDefault="006B3302">
      <w:pPr>
        <w:tabs>
          <w:tab w:val="left" w:pos="3374"/>
        </w:tabs>
        <w:spacing w:line="360" w:lineRule="auto"/>
        <w:ind w:right="49"/>
        <w:rPr>
          <w:rFonts w:ascii="Palatino Linotype" w:eastAsia="Palatino Linotype" w:hAnsi="Palatino Linotype" w:cs="Palatino Linotype"/>
        </w:rPr>
      </w:pPr>
    </w:p>
    <w:p w:rsidR="006B3302" w:rsidRDefault="006B3302">
      <w:pPr>
        <w:tabs>
          <w:tab w:val="left" w:pos="3374"/>
        </w:tabs>
        <w:spacing w:line="360" w:lineRule="auto"/>
        <w:ind w:right="49"/>
        <w:rPr>
          <w:rFonts w:ascii="Palatino Linotype" w:eastAsia="Palatino Linotype" w:hAnsi="Palatino Linotype" w:cs="Palatino Linotype"/>
        </w:rPr>
      </w:pPr>
    </w:p>
    <w:p w:rsidR="006B3302" w:rsidRDefault="006B3302">
      <w:pPr>
        <w:tabs>
          <w:tab w:val="left" w:pos="3374"/>
        </w:tabs>
        <w:spacing w:line="360" w:lineRule="auto"/>
        <w:ind w:right="49"/>
        <w:rPr>
          <w:rFonts w:ascii="Palatino Linotype" w:eastAsia="Palatino Linotype" w:hAnsi="Palatino Linotype" w:cs="Palatino Linotype"/>
        </w:rPr>
      </w:pPr>
    </w:p>
    <w:p w:rsidR="006B3302" w:rsidRDefault="006B3302">
      <w:pPr>
        <w:tabs>
          <w:tab w:val="left" w:pos="3374"/>
        </w:tabs>
        <w:spacing w:line="360" w:lineRule="auto"/>
        <w:ind w:right="49"/>
        <w:rPr>
          <w:rFonts w:ascii="Palatino Linotype" w:eastAsia="Palatino Linotype" w:hAnsi="Palatino Linotype" w:cs="Palatino Linotype"/>
        </w:rPr>
      </w:pPr>
    </w:p>
    <w:p w:rsidR="006B3302" w:rsidRDefault="006B3302">
      <w:pPr>
        <w:tabs>
          <w:tab w:val="left" w:pos="3374"/>
        </w:tabs>
        <w:spacing w:line="360" w:lineRule="auto"/>
        <w:ind w:right="49"/>
        <w:rPr>
          <w:rFonts w:ascii="Palatino Linotype" w:eastAsia="Palatino Linotype" w:hAnsi="Palatino Linotype" w:cs="Palatino Linotype"/>
        </w:rPr>
      </w:pPr>
    </w:p>
    <w:p w:rsidR="006B3302" w:rsidRDefault="006B3302">
      <w:pPr>
        <w:spacing w:line="360" w:lineRule="auto"/>
        <w:ind w:right="49"/>
        <w:rPr>
          <w:rFonts w:ascii="Palatino Linotype" w:eastAsia="Palatino Linotype" w:hAnsi="Palatino Linotype" w:cs="Palatino Linotype"/>
        </w:rPr>
      </w:pPr>
    </w:p>
    <w:sectPr w:rsidR="006B3302">
      <w:headerReference w:type="even" r:id="rId8"/>
      <w:headerReference w:type="default" r:id="rId9"/>
      <w:footerReference w:type="default" r:id="rId10"/>
      <w:headerReference w:type="first" r:id="rId11"/>
      <w:footerReference w:type="first" r:id="rId12"/>
      <w:pgSz w:w="12240" w:h="15840"/>
      <w:pgMar w:top="2268" w:right="170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F4C" w:rsidRDefault="00202F4C">
      <w:r>
        <w:separator/>
      </w:r>
    </w:p>
  </w:endnote>
  <w:endnote w:type="continuationSeparator" w:id="0">
    <w:p w:rsidR="00202F4C" w:rsidRDefault="0020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embedRegular r:id="rId1" w:fontKey="{95C3E371-E374-441B-A1FC-295E722EC9AD}"/>
    <w:embedBold r:id="rId2" w:fontKey="{173B00D0-3902-4498-81FC-CAD715E22C7D}"/>
    <w:embedItalic r:id="rId3" w:fontKey="{7137FB91-28C1-49A8-B1CF-133BF1708A2D}"/>
    <w:embedBoldItalic r:id="rId4" w:fontKey="{F24EE747-126A-4112-B677-7F7EA2AAD497}"/>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1A6B9D35-AE5B-4945-9A3F-E343D30802D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9DF02CA-75A4-4FBA-A39D-0084499BD00B}"/>
    <w:embedBold r:id="rId7" w:fontKey="{26C97A0B-AC17-4659-B822-0DE07A16BEC7}"/>
    <w:embedItalic r:id="rId8" w:fontKey="{6BF36EB9-7CD2-4139-923D-0A78A5566252}"/>
  </w:font>
  <w:font w:name="Calibri Light">
    <w:panose1 w:val="020F0302020204030204"/>
    <w:charset w:val="00"/>
    <w:family w:val="swiss"/>
    <w:pitch w:val="variable"/>
    <w:sig w:usb0="E4002EFF" w:usb1="C200247B" w:usb2="00000009" w:usb3="00000000" w:csb0="000001FF" w:csb1="00000000"/>
    <w:embedRegular r:id="rId9" w:fontKey="{33FCBD76-7037-43B6-A561-C1F3E3FCB87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A5C4EF70-6BB1-4832-B3F1-0CC0F84DA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302" w:rsidRDefault="004A41A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3765C">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3765C">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p>
  <w:p w:rsidR="006B3302" w:rsidRDefault="006B330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302" w:rsidRDefault="004A41A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3765C">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3765C">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p>
  <w:p w:rsidR="006B3302" w:rsidRDefault="006B330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F4C" w:rsidRDefault="00202F4C">
      <w:r>
        <w:separator/>
      </w:r>
    </w:p>
  </w:footnote>
  <w:footnote w:type="continuationSeparator" w:id="0">
    <w:p w:rsidR="00202F4C" w:rsidRDefault="00202F4C">
      <w:r>
        <w:continuationSeparator/>
      </w:r>
    </w:p>
  </w:footnote>
  <w:footnote w:id="1">
    <w:p w:rsidR="006B3302" w:rsidRDefault="004A41A5">
      <w:pPr>
        <w:pBdr>
          <w:top w:val="nil"/>
          <w:left w:val="nil"/>
          <w:bottom w:val="nil"/>
          <w:right w:val="nil"/>
          <w:between w:val="nil"/>
        </w:pBdr>
        <w:rPr>
          <w:rFonts w:ascii="Palatino Linotype" w:eastAsia="Palatino Linotype" w:hAnsi="Palatino Linotype" w:cs="Palatino Linotype"/>
          <w:color w:val="000000"/>
          <w:sz w:val="22"/>
          <w:szCs w:val="22"/>
        </w:rPr>
      </w:pPr>
      <w:r>
        <w:rPr>
          <w:vertAlign w:val="superscript"/>
        </w:rPr>
        <w:footnoteRef/>
      </w:r>
      <w:r>
        <w:rPr>
          <w:rFonts w:ascii="Palatino Linotype" w:eastAsia="Palatino Linotype" w:hAnsi="Palatino Linotype" w:cs="Palatino Linotype"/>
          <w:color w:val="000000"/>
          <w:sz w:val="22"/>
          <w:szCs w:val="22"/>
        </w:rPr>
        <w:t xml:space="preserve"> Convención Americana sobre Derechos Humanos. Artículo 13.</w:t>
      </w:r>
    </w:p>
  </w:footnote>
  <w:footnote w:id="2">
    <w:p w:rsidR="006B3302" w:rsidRDefault="004A41A5">
      <w:pPr>
        <w:pBdr>
          <w:top w:val="nil"/>
          <w:left w:val="nil"/>
          <w:bottom w:val="nil"/>
          <w:right w:val="nil"/>
          <w:between w:val="nil"/>
        </w:pBdr>
        <w:rPr>
          <w:rFonts w:ascii="Palatino Linotype" w:eastAsia="Palatino Linotype" w:hAnsi="Palatino Linotype" w:cs="Palatino Linotype"/>
          <w:color w:val="000000"/>
          <w:sz w:val="22"/>
          <w:szCs w:val="22"/>
        </w:rPr>
      </w:pPr>
      <w:r>
        <w:rPr>
          <w:vertAlign w:val="superscript"/>
        </w:rPr>
        <w:footnoteRef/>
      </w:r>
      <w:r>
        <w:rPr>
          <w:rFonts w:ascii="Palatino Linotype" w:eastAsia="Palatino Linotype" w:hAnsi="Palatino Linotype" w:cs="Palatino Linotype"/>
          <w:color w:val="000000"/>
          <w:sz w:val="22"/>
          <w:szCs w:val="22"/>
        </w:rPr>
        <w:t xml:space="preserve"> Constitución Política de los Estados Unidos Mexicanos. Artículo sexto, sección A, Fracción I.</w:t>
      </w:r>
    </w:p>
  </w:footnote>
  <w:footnote w:id="3">
    <w:p w:rsidR="006B3302" w:rsidRDefault="004A41A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6B3302" w:rsidRDefault="004A41A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6B3302" w:rsidRDefault="004A41A5">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6B3302" w:rsidRDefault="004A41A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6B3302" w:rsidRDefault="004A41A5">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6B3302" w:rsidRDefault="004A41A5">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302" w:rsidRDefault="00202F4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302" w:rsidRDefault="006B3302">
    <w:pPr>
      <w:widowControl w:val="0"/>
      <w:pBdr>
        <w:top w:val="nil"/>
        <w:left w:val="nil"/>
        <w:bottom w:val="nil"/>
        <w:right w:val="nil"/>
        <w:between w:val="nil"/>
      </w:pBdr>
      <w:spacing w:line="276" w:lineRule="auto"/>
      <w:rPr>
        <w:color w:val="000000"/>
      </w:rPr>
    </w:pPr>
  </w:p>
  <w:tbl>
    <w:tblPr>
      <w:tblStyle w:val="a5"/>
      <w:tblW w:w="6519" w:type="dxa"/>
      <w:tblInd w:w="2694" w:type="dxa"/>
      <w:tblLayout w:type="fixed"/>
      <w:tblLook w:val="0400" w:firstRow="0" w:lastRow="0" w:firstColumn="0" w:lastColumn="0" w:noHBand="0" w:noVBand="1"/>
    </w:tblPr>
    <w:tblGrid>
      <w:gridCol w:w="2976"/>
      <w:gridCol w:w="3543"/>
    </w:tblGrid>
    <w:tr w:rsidR="006B3302">
      <w:trPr>
        <w:trHeight w:val="227"/>
      </w:trPr>
      <w:tc>
        <w:tcPr>
          <w:tcW w:w="2976" w:type="dxa"/>
          <w:vAlign w:val="center"/>
        </w:tcPr>
        <w:p w:rsidR="006B3302" w:rsidRDefault="004A41A5">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543" w:type="dxa"/>
          <w:vAlign w:val="center"/>
        </w:tcPr>
        <w:p w:rsidR="006B3302" w:rsidRDefault="004A41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13263/INFOEM/IP/RR/2025</w:t>
          </w:r>
        </w:p>
      </w:tc>
    </w:tr>
    <w:tr w:rsidR="006B3302">
      <w:trPr>
        <w:trHeight w:val="242"/>
      </w:trPr>
      <w:tc>
        <w:tcPr>
          <w:tcW w:w="2976" w:type="dxa"/>
          <w:vAlign w:val="center"/>
        </w:tcPr>
        <w:p w:rsidR="006B3302" w:rsidRDefault="004A41A5">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543" w:type="dxa"/>
          <w:vAlign w:val="center"/>
        </w:tcPr>
        <w:p w:rsidR="006B3302" w:rsidRDefault="004A41A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Toluca</w:t>
          </w:r>
        </w:p>
      </w:tc>
    </w:tr>
    <w:tr w:rsidR="006B3302">
      <w:trPr>
        <w:trHeight w:val="342"/>
      </w:trPr>
      <w:tc>
        <w:tcPr>
          <w:tcW w:w="2976" w:type="dxa"/>
          <w:vAlign w:val="center"/>
        </w:tcPr>
        <w:p w:rsidR="006B3302" w:rsidRDefault="004A41A5">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543" w:type="dxa"/>
          <w:vAlign w:val="center"/>
        </w:tcPr>
        <w:p w:rsidR="006B3302" w:rsidRDefault="004A41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6B3302" w:rsidRDefault="00202F4C">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302" w:rsidRDefault="006B3302">
    <w:pPr>
      <w:widowControl w:val="0"/>
      <w:pBdr>
        <w:top w:val="nil"/>
        <w:left w:val="nil"/>
        <w:bottom w:val="nil"/>
        <w:right w:val="nil"/>
        <w:between w:val="nil"/>
      </w:pBdr>
      <w:spacing w:line="276" w:lineRule="auto"/>
      <w:rPr>
        <w:color w:val="000000"/>
        <w:sz w:val="14"/>
        <w:szCs w:val="14"/>
      </w:rPr>
    </w:pPr>
  </w:p>
  <w:tbl>
    <w:tblPr>
      <w:tblStyle w:val="a6"/>
      <w:tblW w:w="6660" w:type="dxa"/>
      <w:tblInd w:w="2552" w:type="dxa"/>
      <w:tblLayout w:type="fixed"/>
      <w:tblLook w:val="0400" w:firstRow="0" w:lastRow="0" w:firstColumn="0" w:lastColumn="0" w:noHBand="0" w:noVBand="1"/>
    </w:tblPr>
    <w:tblGrid>
      <w:gridCol w:w="2977"/>
      <w:gridCol w:w="3683"/>
    </w:tblGrid>
    <w:tr w:rsidR="006B3302">
      <w:trPr>
        <w:trHeight w:val="227"/>
      </w:trPr>
      <w:tc>
        <w:tcPr>
          <w:tcW w:w="2977" w:type="dxa"/>
          <w:vAlign w:val="center"/>
        </w:tcPr>
        <w:p w:rsidR="006B3302" w:rsidRDefault="004A41A5">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83" w:type="dxa"/>
          <w:vAlign w:val="center"/>
        </w:tcPr>
        <w:p w:rsidR="006B3302" w:rsidRDefault="004A41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13263/INFOEM/IP/RR/2025</w:t>
          </w:r>
        </w:p>
      </w:tc>
    </w:tr>
    <w:tr w:rsidR="006B3302">
      <w:trPr>
        <w:trHeight w:val="242"/>
      </w:trPr>
      <w:tc>
        <w:tcPr>
          <w:tcW w:w="2977" w:type="dxa"/>
          <w:vAlign w:val="center"/>
        </w:tcPr>
        <w:p w:rsidR="006B3302" w:rsidRDefault="004A41A5">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83" w:type="dxa"/>
        </w:tcPr>
        <w:p w:rsidR="006B3302" w:rsidRDefault="00E3765C">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XXXX</w:t>
          </w:r>
        </w:p>
      </w:tc>
    </w:tr>
    <w:tr w:rsidR="006B3302">
      <w:trPr>
        <w:trHeight w:val="342"/>
      </w:trPr>
      <w:tc>
        <w:tcPr>
          <w:tcW w:w="2977" w:type="dxa"/>
          <w:vAlign w:val="center"/>
        </w:tcPr>
        <w:p w:rsidR="006B3302" w:rsidRDefault="004A41A5">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83" w:type="dxa"/>
          <w:vAlign w:val="center"/>
        </w:tcPr>
        <w:p w:rsidR="006B3302" w:rsidRDefault="004A41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Toluca</w:t>
          </w:r>
        </w:p>
      </w:tc>
    </w:tr>
    <w:tr w:rsidR="006B3302">
      <w:trPr>
        <w:trHeight w:val="342"/>
      </w:trPr>
      <w:tc>
        <w:tcPr>
          <w:tcW w:w="2977" w:type="dxa"/>
          <w:vAlign w:val="center"/>
        </w:tcPr>
        <w:p w:rsidR="006B3302" w:rsidRDefault="004A41A5">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83" w:type="dxa"/>
          <w:vAlign w:val="center"/>
        </w:tcPr>
        <w:p w:rsidR="006B3302" w:rsidRDefault="004A41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6B3302" w:rsidRDefault="00202F4C">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06623"/>
    <w:multiLevelType w:val="multilevel"/>
    <w:tmpl w:val="44B8DAC6"/>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057CA"/>
    <w:multiLevelType w:val="multilevel"/>
    <w:tmpl w:val="63C4DB2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FA6669"/>
    <w:multiLevelType w:val="multilevel"/>
    <w:tmpl w:val="48B0027E"/>
    <w:lvl w:ilvl="0">
      <w:start w:val="24"/>
      <w:numFmt w:val="decimal"/>
      <w:lvlText w:val="%1."/>
      <w:lvlJc w:val="left"/>
      <w:pPr>
        <w:ind w:left="36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CD3D10"/>
    <w:multiLevelType w:val="multilevel"/>
    <w:tmpl w:val="B8BED16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 w15:restartNumberingAfterBreak="0">
    <w:nsid w:val="397916B9"/>
    <w:multiLevelType w:val="multilevel"/>
    <w:tmpl w:val="D79E6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F424AD"/>
    <w:multiLevelType w:val="multilevel"/>
    <w:tmpl w:val="5B2287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C4A4149"/>
    <w:multiLevelType w:val="multilevel"/>
    <w:tmpl w:val="BBD0B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7E64FE"/>
    <w:multiLevelType w:val="multilevel"/>
    <w:tmpl w:val="65C813CC"/>
    <w:lvl w:ilvl="0">
      <w:start w:val="53"/>
      <w:numFmt w:val="decimal"/>
      <w:lvlText w:val="%1."/>
      <w:lvlJc w:val="left"/>
      <w:pPr>
        <w:ind w:left="1495" w:hanging="360"/>
      </w:pPr>
      <w:rPr>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C61521"/>
    <w:multiLevelType w:val="multilevel"/>
    <w:tmpl w:val="A4D0659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D707729"/>
    <w:multiLevelType w:val="multilevel"/>
    <w:tmpl w:val="3D683D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9"/>
  </w:num>
  <w:num w:numId="4">
    <w:abstractNumId w:val="5"/>
  </w:num>
  <w:num w:numId="5">
    <w:abstractNumId w:val="2"/>
  </w:num>
  <w:num w:numId="6">
    <w:abstractNumId w:val="1"/>
  </w:num>
  <w:num w:numId="7">
    <w:abstractNumId w:val="4"/>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302"/>
    <w:rsid w:val="001A6B01"/>
    <w:rsid w:val="00202F4C"/>
    <w:rsid w:val="004A41A5"/>
    <w:rsid w:val="006B3302"/>
    <w:rsid w:val="00850128"/>
    <w:rsid w:val="00D134B2"/>
    <w:rsid w:val="00E376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0E4370D-1D00-46B4-84C8-85695A6C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r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10"/>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rPr>
  </w:style>
  <w:style w:type="paragraph" w:customStyle="1" w:styleId="rtejustify">
    <w:name w:val="rtejustify"/>
    <w:basedOn w:val="Normal"/>
    <w:rsid w:val="00924256"/>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pLV+1nXwx7B24NLSz7IfLZqKQ==">CgMxLjAyCGguZ2pkZ3hzMgloLjMwajB6bGwyCWguM3pueXNoNzIJaC4yZXQ5MnAwMghoLnR5amN3dDIOaC51aWQzYWliN2h2eGEyDmguOWIxcXlkdHd0MDZoMg5oLmgzd2Vremk1eG1vczIOaC5xejd6end5NmRyYTcyDmguMnVtNmkwNWZtcnd2Mg5oLmUyZjRydmkwaHc2cDgAciExOXl1aTJab3Q4OTkzdUtzeVhLTVBZUWstLU1hdVNkRDQ=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9936</Words>
  <Characters>54650</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5</cp:revision>
  <cp:lastPrinted>2026-03-23T16:22:00Z</cp:lastPrinted>
  <dcterms:created xsi:type="dcterms:W3CDTF">2026-03-10T16:12:00Z</dcterms:created>
  <dcterms:modified xsi:type="dcterms:W3CDTF">2026-04-08T00:13:00Z</dcterms:modified>
</cp:coreProperties>
</file>