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2873" w:rsidRDefault="00C85A03">
      <w:pPr>
        <w:tabs>
          <w:tab w:val="left" w:pos="3465"/>
        </w:tabs>
        <w:spacing w:line="360" w:lineRule="auto"/>
        <w:ind w:right="-929"/>
        <w:jc w:val="both"/>
        <w:rPr>
          <w:rFonts w:ascii="Palatino Linotype" w:eastAsia="Palatino Linotype" w:hAnsi="Palatino Linotype" w:cs="Palatino Linotype"/>
          <w:b/>
          <w:bCs/>
        </w:rPr>
      </w:pPr>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w:t>
      </w:r>
      <w:r w:rsidR="006C50D3">
        <w:rPr>
          <w:rFonts w:ascii="Palatino Linotype" w:eastAsia="Palatino Linotype" w:hAnsi="Palatino Linotype" w:cs="Palatino Linotype"/>
          <w:b/>
          <w:bCs/>
        </w:rPr>
        <w:t>fecha tres (03) de junio</w:t>
      </w:r>
      <w:r>
        <w:rPr>
          <w:rFonts w:ascii="Palatino Linotype" w:eastAsia="Palatino Linotype" w:hAnsi="Palatino Linotype" w:cs="Palatino Linotype"/>
          <w:b/>
          <w:bCs/>
        </w:rPr>
        <w:t xml:space="preserve"> de dos mil veintiséis.</w:t>
      </w:r>
    </w:p>
    <w:p w:rsidR="00062873" w:rsidRDefault="00062873">
      <w:pPr>
        <w:tabs>
          <w:tab w:val="left" w:pos="3465"/>
        </w:tabs>
        <w:spacing w:line="360" w:lineRule="auto"/>
        <w:ind w:right="-929"/>
        <w:jc w:val="both"/>
        <w:rPr>
          <w:rFonts w:ascii="Palatino Linotype" w:eastAsia="Palatino Linotype" w:hAnsi="Palatino Linotype" w:cs="Palatino Linotype"/>
        </w:rPr>
      </w:pPr>
    </w:p>
    <w:p w:rsidR="00062873" w:rsidRDefault="00C85A03">
      <w:pPr>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b/>
          <w:bCs/>
        </w:rPr>
        <w:t xml:space="preserve">VISTAS </w:t>
      </w:r>
      <w:r>
        <w:rPr>
          <w:rFonts w:ascii="Palatino Linotype" w:eastAsia="Palatino Linotype" w:hAnsi="Palatino Linotype" w:cs="Palatino Linotype"/>
        </w:rPr>
        <w:t xml:space="preserve">las constancias para resolver el Recurso de Revisión </w:t>
      </w:r>
      <w:r>
        <w:rPr>
          <w:rFonts w:ascii="Palatino Linotype" w:eastAsia="Palatino Linotype" w:hAnsi="Palatino Linotype" w:cs="Palatino Linotype"/>
          <w:b/>
          <w:bCs/>
        </w:rPr>
        <w:t>11748/INFOEM/IP/RR/2025,</w:t>
      </w:r>
      <w:r>
        <w:rPr>
          <w:rFonts w:ascii="Palatino Linotype" w:eastAsia="Palatino Linotype" w:hAnsi="Palatino Linotype" w:cs="Palatino Linotype"/>
        </w:rPr>
        <w:t xml:space="preserve"> presentado por </w:t>
      </w:r>
      <w:r w:rsidR="00F272AA">
        <w:rPr>
          <w:rFonts w:ascii="Palatino Linotype" w:eastAsia="Palatino Linotype" w:hAnsi="Palatino Linotype" w:cs="Palatino Linotype"/>
          <w:b/>
          <w:bCs/>
        </w:rPr>
        <w:t>XXXX</w:t>
      </w:r>
      <w:r>
        <w:rPr>
          <w:rFonts w:ascii="Palatino Linotype" w:eastAsia="Palatino Linotype" w:hAnsi="Palatino Linotype" w:cs="Palatino Linotype"/>
          <w:b/>
          <w:bCs/>
        </w:rPr>
        <w:t>,</w:t>
      </w:r>
      <w:r>
        <w:rPr>
          <w:rFonts w:ascii="Palatino Linotype" w:eastAsia="Palatino Linotype" w:hAnsi="Palatino Linotype" w:cs="Palatino Linotype"/>
        </w:rPr>
        <w:t xml:space="preserve"> a quien en lo sucesivo se denominará </w:t>
      </w:r>
      <w:r w:rsidR="006C50D3">
        <w:rPr>
          <w:rFonts w:ascii="Palatino Linotype" w:eastAsia="Palatino Linotype" w:hAnsi="Palatino Linotype" w:cs="Palatino Linotype"/>
          <w:b/>
          <w:bCs/>
        </w:rPr>
        <w:t>LA</w:t>
      </w:r>
      <w:r>
        <w:rPr>
          <w:rFonts w:ascii="Palatino Linotype" w:eastAsia="Palatino Linotype" w:hAnsi="Palatino Linotype" w:cs="Palatino Linotype"/>
          <w:b/>
          <w:bCs/>
        </w:rPr>
        <w:t xml:space="preserve"> RECURRENTE</w:t>
      </w:r>
      <w:r>
        <w:rPr>
          <w:rFonts w:ascii="Palatino Linotype" w:eastAsia="Palatino Linotype" w:hAnsi="Palatino Linotype" w:cs="Palatino Linotype"/>
        </w:rPr>
        <w:t xml:space="preserve">, en contra de la respuesta otorgada a la solicitud de información con número de folio </w:t>
      </w:r>
      <w:r>
        <w:rPr>
          <w:rFonts w:ascii="Palatino Linotype" w:eastAsia="Palatino Linotype" w:hAnsi="Palatino Linotype" w:cs="Palatino Linotype"/>
          <w:b/>
          <w:bCs/>
        </w:rPr>
        <w:t>00518/ATIZARA/IP/2025</w:t>
      </w:r>
      <w:r w:rsidR="006C50D3">
        <w:rPr>
          <w:rFonts w:ascii="Palatino Linotype" w:eastAsia="Palatino Linotype" w:hAnsi="Palatino Linotype" w:cs="Palatino Linotype"/>
        </w:rPr>
        <w:t>, por parte del</w:t>
      </w:r>
      <w:r>
        <w:rPr>
          <w:rFonts w:ascii="Palatino Linotype" w:eastAsia="Palatino Linotype" w:hAnsi="Palatino Linotype" w:cs="Palatino Linotype"/>
        </w:rPr>
        <w:t xml:space="preserve"> </w:t>
      </w:r>
      <w:r>
        <w:rPr>
          <w:rFonts w:ascii="Palatino Linotype" w:eastAsia="Palatino Linotype" w:hAnsi="Palatino Linotype" w:cs="Palatino Linotype"/>
          <w:b/>
          <w:bCs/>
        </w:rPr>
        <w:t xml:space="preserve">Ayuntamiento de Atizapán de Zaragoza, </w:t>
      </w:r>
      <w:r>
        <w:rPr>
          <w:rFonts w:ascii="Palatino Linotype" w:eastAsia="Palatino Linotype" w:hAnsi="Palatino Linotype" w:cs="Palatino Linotype"/>
        </w:rPr>
        <w:t xml:space="preserve">en adelante </w:t>
      </w:r>
      <w:r>
        <w:rPr>
          <w:rFonts w:ascii="Palatino Linotype" w:eastAsia="Palatino Linotype" w:hAnsi="Palatino Linotype" w:cs="Palatino Linotype"/>
          <w:b/>
          <w:bCs/>
        </w:rPr>
        <w:t>EL SUJETO OBLIGADO,</w:t>
      </w:r>
      <w:r>
        <w:rPr>
          <w:rFonts w:ascii="Palatino Linotype" w:eastAsia="Palatino Linotype" w:hAnsi="Palatino Linotype" w:cs="Palatino Linotype"/>
        </w:rPr>
        <w:t xml:space="preserve"> se emite la presente Resolución con base en los siguientes:</w:t>
      </w:r>
    </w:p>
    <w:p w:rsidR="00062873" w:rsidRDefault="00062873">
      <w:pPr>
        <w:spacing w:line="360" w:lineRule="auto"/>
        <w:ind w:right="-929"/>
        <w:jc w:val="both"/>
        <w:rPr>
          <w:rFonts w:ascii="Palatino Linotype" w:eastAsia="Palatino Linotype" w:hAnsi="Palatino Linotype" w:cs="Palatino Linotype"/>
        </w:rPr>
      </w:pPr>
    </w:p>
    <w:p w:rsidR="00062873" w:rsidRDefault="00C85A03">
      <w:pPr>
        <w:pStyle w:val="Ttulo1"/>
        <w:spacing w:before="0" w:line="360" w:lineRule="auto"/>
        <w:ind w:right="-929"/>
        <w:jc w:val="center"/>
        <w:rPr>
          <w:rFonts w:ascii="Palatino Linotype" w:eastAsia="Palatino Linotype" w:hAnsi="Palatino Linotype" w:cs="Palatino Linotype"/>
          <w:b/>
          <w:bCs/>
          <w:color w:val="000000"/>
          <w:sz w:val="24"/>
          <w:szCs w:val="24"/>
        </w:rPr>
      </w:pPr>
      <w:bookmarkStart w:id="0" w:name="_heading=h.gjdgxs" w:colFirst="0" w:colLast="0"/>
      <w:bookmarkEnd w:id="0"/>
      <w:r>
        <w:rPr>
          <w:rFonts w:ascii="Palatino Linotype" w:eastAsia="Palatino Linotype" w:hAnsi="Palatino Linotype" w:cs="Palatino Linotype"/>
          <w:b/>
          <w:bCs/>
          <w:color w:val="000000"/>
          <w:sz w:val="24"/>
          <w:szCs w:val="24"/>
        </w:rPr>
        <w:t>A N T E C E D E N T E S</w:t>
      </w:r>
    </w:p>
    <w:p w:rsidR="00062873" w:rsidRDefault="00062873">
      <w:pPr>
        <w:pBdr>
          <w:top w:val="nil"/>
          <w:left w:val="nil"/>
          <w:bottom w:val="nil"/>
          <w:right w:val="nil"/>
          <w:between w:val="nil"/>
        </w:pBdr>
        <w:spacing w:line="360" w:lineRule="auto"/>
        <w:ind w:right="-929"/>
        <w:jc w:val="both"/>
        <w:rPr>
          <w:rFonts w:ascii="Palatino Linotype" w:eastAsia="Palatino Linotype" w:hAnsi="Palatino Linotype" w:cs="Palatino Linotype"/>
          <w:b/>
          <w:bCs/>
          <w:color w:val="000000"/>
          <w:u w:val="single"/>
        </w:rPr>
      </w:pPr>
    </w:p>
    <w:p w:rsidR="00062873" w:rsidRDefault="00C85A03">
      <w:pPr>
        <w:numPr>
          <w:ilvl w:val="0"/>
          <w:numId w:val="3"/>
        </w:numPr>
        <w:pBdr>
          <w:top w:val="nil"/>
          <w:left w:val="nil"/>
          <w:bottom w:val="nil"/>
          <w:right w:val="nil"/>
          <w:between w:val="nil"/>
        </w:pBdr>
        <w:tabs>
          <w:tab w:val="left" w:pos="0"/>
        </w:tabs>
        <w:spacing w:line="360" w:lineRule="auto"/>
        <w:ind w:left="0" w:right="-929" w:firstLine="0"/>
        <w:jc w:val="both"/>
        <w:rPr>
          <w:color w:val="000000"/>
        </w:rPr>
      </w:pPr>
      <w:r>
        <w:rPr>
          <w:rFonts w:ascii="Palatino Linotype" w:eastAsia="Palatino Linotype" w:hAnsi="Palatino Linotype" w:cs="Palatino Linotype"/>
          <w:color w:val="000000"/>
        </w:rPr>
        <w:t>El día</w:t>
      </w:r>
      <w:r>
        <w:rPr>
          <w:rFonts w:ascii="Palatino Linotype" w:eastAsia="Palatino Linotype" w:hAnsi="Palatino Linotype" w:cs="Palatino Linotype"/>
          <w:b/>
          <w:bCs/>
          <w:color w:val="000000"/>
        </w:rPr>
        <w:t xml:space="preserve"> nueve de septiembre dos mil veinticinco</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se presentó ante el Sujeto Obligado vía Sistema de Acceso a la Información Mexiquense, en adelante (SAIMEX), la siguiente solicitud de información pública:</w:t>
      </w:r>
    </w:p>
    <w:p w:rsidR="00062873" w:rsidRDefault="00062873">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062873" w:rsidRDefault="00C85A03">
      <w:pPr>
        <w:pBdr>
          <w:top w:val="nil"/>
          <w:left w:val="nil"/>
          <w:bottom w:val="nil"/>
          <w:right w:val="nil"/>
          <w:between w:val="nil"/>
        </w:pBdr>
        <w:spacing w:line="360" w:lineRule="auto"/>
        <w:ind w:left="425"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i/>
          <w:iCs/>
        </w:rPr>
        <w:t xml:space="preserve">Se solicita via SAIMEX relación integral, detallada y documentada de todas las verificaciones, inspecciones y clausuras realizadas bajo la firma, autorización o supervisión de la C. Claudia Karina Janet de la Fuente Martínez, en su calidad de Subdirectora de Normatividad y Verificación del H. Ayuntamiento de Atizapán de Zaragoza, especificando de manera precisa: 1. Giro comercial del establecimiento verificado o clausurado. 2. Domicilio completo de cada establecimiento. 3. Fecha de la diligencia y fundamento legal invocado. 4. Nombre de los servidores públicos intervinientes en cada actuación. 5. Tipo de irregularidad detectada y sanción económica o administrativa impuesta. 6. Monto de las multas, pagos o convenios derivados, precisando la </w:t>
      </w:r>
      <w:r>
        <w:rPr>
          <w:rFonts w:ascii="Palatino Linotype" w:eastAsia="Palatino Linotype" w:hAnsi="Palatino Linotype" w:cs="Palatino Linotype"/>
          <w:i/>
          <w:iCs/>
        </w:rPr>
        <w:lastRenderedPageBreak/>
        <w:t>cuenta bancaria de concentración de ingresos en la que se realizó el depósito. 7. Informe de procedimientos administrativos o recursos presentados por los particulares contra dichas actuaciones. 8. Observaciones emitidas por el Órgano Interno de Control o instancias fiscalizadoras respecto al cumplimiento de la normatividad en estas actuaciones.</w:t>
      </w:r>
      <w:r>
        <w:rPr>
          <w:rFonts w:ascii="Palatino Linotype" w:eastAsia="Palatino Linotype" w:hAnsi="Palatino Linotype" w:cs="Palatino Linotype"/>
          <w:i/>
          <w:iCs/>
          <w:color w:val="000000"/>
        </w:rPr>
        <w:t>”</w:t>
      </w:r>
    </w:p>
    <w:p w:rsidR="00062873" w:rsidRDefault="00062873">
      <w:pPr>
        <w:pBdr>
          <w:top w:val="nil"/>
          <w:left w:val="nil"/>
          <w:bottom w:val="nil"/>
          <w:right w:val="nil"/>
          <w:between w:val="nil"/>
        </w:pBdr>
        <w:spacing w:line="360" w:lineRule="auto"/>
        <w:ind w:left="425" w:right="-929"/>
        <w:jc w:val="both"/>
        <w:rPr>
          <w:rFonts w:ascii="Palatino Linotype" w:eastAsia="Palatino Linotype" w:hAnsi="Palatino Linotype" w:cs="Palatino Linotype"/>
          <w:color w:val="000000"/>
        </w:rPr>
      </w:pPr>
    </w:p>
    <w:p w:rsidR="00062873" w:rsidRDefault="00C85A03">
      <w:pPr>
        <w:numPr>
          <w:ilvl w:val="0"/>
          <w:numId w:val="4"/>
        </w:numPr>
        <w:pBdr>
          <w:top w:val="nil"/>
          <w:left w:val="nil"/>
          <w:bottom w:val="nil"/>
          <w:right w:val="nil"/>
          <w:between w:val="nil"/>
        </w:pBdr>
        <w:tabs>
          <w:tab w:val="left" w:pos="0"/>
        </w:tabs>
        <w:spacing w:line="360" w:lineRule="auto"/>
        <w:ind w:left="709" w:right="-92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 eligió como modalidad de entrega de la información: </w:t>
      </w:r>
      <w:r>
        <w:rPr>
          <w:rFonts w:ascii="Palatino Linotype" w:eastAsia="Palatino Linotype" w:hAnsi="Palatino Linotype" w:cs="Palatino Linotype"/>
          <w:b/>
          <w:bCs/>
          <w:color w:val="000000"/>
        </w:rPr>
        <w:t>a través de SAIMEX</w:t>
      </w:r>
    </w:p>
    <w:p w:rsidR="00062873" w:rsidRDefault="00062873">
      <w:pPr>
        <w:pBdr>
          <w:top w:val="nil"/>
          <w:left w:val="nil"/>
          <w:bottom w:val="nil"/>
          <w:right w:val="nil"/>
          <w:between w:val="nil"/>
        </w:pBdr>
        <w:tabs>
          <w:tab w:val="left" w:pos="0"/>
        </w:tabs>
        <w:spacing w:line="360" w:lineRule="auto"/>
        <w:ind w:left="709" w:right="-929"/>
        <w:jc w:val="both"/>
        <w:rPr>
          <w:rFonts w:ascii="Palatino Linotype" w:eastAsia="Palatino Linotype" w:hAnsi="Palatino Linotype" w:cs="Palatino Linotype"/>
          <w:color w:val="000000"/>
        </w:rPr>
      </w:pPr>
    </w:p>
    <w:p w:rsidR="00062873" w:rsidRDefault="00C85A03">
      <w:pPr>
        <w:numPr>
          <w:ilvl w:val="0"/>
          <w:numId w:val="3"/>
        </w:numPr>
        <w:pBdr>
          <w:top w:val="nil"/>
          <w:left w:val="nil"/>
          <w:bottom w:val="nil"/>
          <w:right w:val="nil"/>
          <w:between w:val="nil"/>
        </w:pBdr>
        <w:tabs>
          <w:tab w:val="left" w:pos="0"/>
        </w:tabs>
        <w:spacing w:line="360" w:lineRule="auto"/>
        <w:ind w:left="0" w:right="-929" w:firstLine="0"/>
        <w:jc w:val="both"/>
      </w:pPr>
      <w:r>
        <w:rPr>
          <w:rFonts w:ascii="Palatino Linotype" w:eastAsia="Palatino Linotype" w:hAnsi="Palatino Linotype" w:cs="Palatino Linotype"/>
        </w:rPr>
        <w:t>El día</w:t>
      </w:r>
      <w:r>
        <w:rPr>
          <w:rFonts w:ascii="Palatino Linotype" w:eastAsia="Palatino Linotype" w:hAnsi="Palatino Linotype" w:cs="Palatino Linotype"/>
          <w:b/>
          <w:bCs/>
        </w:rPr>
        <w:t xml:space="preserve"> treinta de septiembre de dos mil veinticinco, </w:t>
      </w:r>
      <w:r>
        <w:rPr>
          <w:rFonts w:ascii="Palatino Linotype" w:eastAsia="Palatino Linotype" w:hAnsi="Palatino Linotype" w:cs="Palatino Linotype"/>
        </w:rPr>
        <w:t xml:space="preserve">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con fundamento en los artículos 4, 23 fracción IV, 24 último párrafo, 53 fracción VI, 59, 160, 163 </w:t>
      </w:r>
      <w:r>
        <w:rPr>
          <w:rFonts w:ascii="Palatino Linotype" w:eastAsia="Palatino Linotype" w:hAnsi="Palatino Linotype" w:cs="Palatino Linotype"/>
          <w:color w:val="000000"/>
        </w:rPr>
        <w:t>segundo</w:t>
      </w:r>
      <w:r>
        <w:rPr>
          <w:rFonts w:ascii="Palatino Linotype" w:eastAsia="Palatino Linotype" w:hAnsi="Palatino Linotype" w:cs="Palatino Linotype"/>
        </w:rPr>
        <w:t xml:space="preserve"> párrafo y demás relativos de la Ley de Transparencia y Acceso a la Información Pública del Estado de México y Municipios, solicitó una prórroga para la entrega de la información, ya que a su decir requiere un procesamiento, </w:t>
      </w:r>
      <w:r>
        <w:rPr>
          <w:rFonts w:ascii="Palatino Linotype" w:eastAsia="Palatino Linotype" w:hAnsi="Palatino Linotype" w:cs="Palatino Linotype"/>
          <w:i/>
          <w:iCs/>
        </w:rPr>
        <w:t>máxime</w:t>
      </w:r>
      <w:r>
        <w:rPr>
          <w:rFonts w:ascii="Palatino Linotype" w:eastAsia="Palatino Linotype" w:hAnsi="Palatino Linotype" w:cs="Palatino Linotype"/>
        </w:rPr>
        <w:t xml:space="preserve"> de señalar que el número de solicitudes recibidas retrasa la búsqueda de la información.</w:t>
      </w:r>
    </w:p>
    <w:p w:rsidR="00062873" w:rsidRDefault="00062873">
      <w:pPr>
        <w:pBdr>
          <w:top w:val="nil"/>
          <w:left w:val="nil"/>
          <w:bottom w:val="nil"/>
          <w:right w:val="nil"/>
          <w:between w:val="nil"/>
        </w:pBdr>
        <w:tabs>
          <w:tab w:val="left" w:pos="0"/>
        </w:tabs>
        <w:spacing w:line="360" w:lineRule="auto"/>
        <w:ind w:right="-929"/>
        <w:jc w:val="both"/>
        <w:rPr>
          <w:rFonts w:ascii="Palatino Linotype" w:eastAsia="Palatino Linotype" w:hAnsi="Palatino Linotype" w:cs="Palatino Linotype"/>
          <w:b/>
          <w:bCs/>
        </w:rPr>
      </w:pPr>
    </w:p>
    <w:p w:rsidR="00062873" w:rsidRDefault="00C85A03">
      <w:pPr>
        <w:numPr>
          <w:ilvl w:val="0"/>
          <w:numId w:val="3"/>
        </w:numPr>
        <w:pBdr>
          <w:top w:val="nil"/>
          <w:left w:val="nil"/>
          <w:bottom w:val="nil"/>
          <w:right w:val="nil"/>
          <w:between w:val="nil"/>
        </w:pBdr>
        <w:tabs>
          <w:tab w:val="left" w:pos="0"/>
        </w:tabs>
        <w:spacing w:line="360" w:lineRule="auto"/>
        <w:ind w:left="0" w:right="-929"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diez de octubre de </w:t>
      </w:r>
      <w:r>
        <w:rPr>
          <w:rFonts w:ascii="Palatino Linotype" w:eastAsia="Palatino Linotype" w:hAnsi="Palatino Linotype" w:cs="Palatino Linotype"/>
        </w:rPr>
        <w:t>dos</w:t>
      </w:r>
      <w:r>
        <w:rPr>
          <w:rFonts w:ascii="Palatino Linotype" w:eastAsia="Palatino Linotype" w:hAnsi="Palatino Linotype" w:cs="Palatino Linotype"/>
          <w:b/>
          <w:bCs/>
          <w:color w:val="000000"/>
        </w:rPr>
        <w:t xml:space="preserve"> mil veinticinco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 xml:space="preserve">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dio respuesta a la solicitud de acceso a la información a través de SAIMEX, mediante tres archivos a saber:</w:t>
      </w:r>
    </w:p>
    <w:p w:rsidR="00062873" w:rsidRDefault="00C85A03">
      <w:pPr>
        <w:pBdr>
          <w:top w:val="nil"/>
          <w:left w:val="nil"/>
          <w:bottom w:val="nil"/>
          <w:right w:val="nil"/>
          <w:between w:val="nil"/>
        </w:pBdr>
        <w:tabs>
          <w:tab w:val="left" w:pos="0"/>
        </w:tabs>
        <w:spacing w:line="360" w:lineRule="auto"/>
        <w:ind w:right="-929"/>
        <w:jc w:val="center"/>
        <w:rPr>
          <w:rFonts w:ascii="Palatino Linotype" w:eastAsia="Palatino Linotype" w:hAnsi="Palatino Linotype" w:cs="Palatino Linotype"/>
          <w:b/>
          <w:bCs/>
        </w:rPr>
      </w:pPr>
      <w:r>
        <w:rPr>
          <w:rFonts w:ascii="Palatino Linotype" w:eastAsia="Palatino Linotype" w:hAnsi="Palatino Linotype" w:cs="Palatino Linotype"/>
          <w:b/>
          <w:bCs/>
        </w:rPr>
        <w:t>NÚMERO DE OFICIO OICM.EJ.4442.2025 Y ADJUNTO OICM.SI.4413.2025.pdf</w:t>
      </w:r>
    </w:p>
    <w:p w:rsidR="00062873" w:rsidRDefault="00C85A03">
      <w:pPr>
        <w:pBdr>
          <w:top w:val="nil"/>
          <w:left w:val="nil"/>
          <w:bottom w:val="nil"/>
          <w:right w:val="nil"/>
          <w:between w:val="nil"/>
        </w:pBdr>
        <w:tabs>
          <w:tab w:val="left" w:pos="0"/>
        </w:tabs>
        <w:spacing w:line="360" w:lineRule="auto"/>
        <w:ind w:right="-929"/>
        <w:jc w:val="center"/>
        <w:rPr>
          <w:rFonts w:ascii="Palatino Linotype" w:eastAsia="Palatino Linotype" w:hAnsi="Palatino Linotype" w:cs="Palatino Linotype"/>
          <w:b/>
          <w:bCs/>
        </w:rPr>
      </w:pPr>
      <w:r>
        <w:rPr>
          <w:rFonts w:ascii="Palatino Linotype" w:eastAsia="Palatino Linotype" w:hAnsi="Palatino Linotype" w:cs="Palatino Linotype"/>
          <w:b/>
          <w:bCs/>
        </w:rPr>
        <w:t>ROf857CambioModalidadATIZARA2025 (1).pdf</w:t>
      </w:r>
    </w:p>
    <w:p w:rsidR="00062873" w:rsidRDefault="00C85A03">
      <w:pPr>
        <w:pBdr>
          <w:top w:val="nil"/>
          <w:left w:val="nil"/>
          <w:bottom w:val="nil"/>
          <w:right w:val="nil"/>
          <w:between w:val="nil"/>
        </w:pBdr>
        <w:tabs>
          <w:tab w:val="left" w:pos="0"/>
        </w:tabs>
        <w:spacing w:line="360" w:lineRule="auto"/>
        <w:ind w:right="-929"/>
        <w:jc w:val="center"/>
        <w:rPr>
          <w:rFonts w:ascii="Palatino Linotype" w:eastAsia="Palatino Linotype" w:hAnsi="Palatino Linotype" w:cs="Palatino Linotype"/>
          <w:b/>
          <w:bCs/>
        </w:rPr>
      </w:pPr>
      <w:r>
        <w:rPr>
          <w:rFonts w:ascii="Palatino Linotype" w:eastAsia="Palatino Linotype" w:hAnsi="Palatino Linotype" w:cs="Palatino Linotype"/>
          <w:b/>
          <w:bCs/>
        </w:rPr>
        <w:t>[Untitled]_2025101015432433.pdf</w:t>
      </w:r>
    </w:p>
    <w:p w:rsidR="00062873" w:rsidRDefault="00062873">
      <w:pPr>
        <w:ind w:right="-929"/>
        <w:rPr>
          <w:rFonts w:ascii="Palatino Linotype" w:eastAsia="Palatino Linotype" w:hAnsi="Palatino Linotype" w:cs="Palatino Linotype"/>
        </w:rPr>
      </w:pPr>
    </w:p>
    <w:p w:rsidR="00062873" w:rsidRDefault="00C85A03">
      <w:pPr>
        <w:numPr>
          <w:ilvl w:val="0"/>
          <w:numId w:val="3"/>
        </w:numPr>
        <w:pBdr>
          <w:top w:val="nil"/>
          <w:left w:val="nil"/>
          <w:bottom w:val="nil"/>
          <w:right w:val="nil"/>
          <w:between w:val="nil"/>
        </w:pBdr>
        <w:tabs>
          <w:tab w:val="left" w:pos="0"/>
        </w:tabs>
        <w:spacing w:line="360" w:lineRule="auto"/>
        <w:ind w:left="0" w:right="-929"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Cuyo contenido que de manera general corresponde a un oficio signado por el Contralor Interno Municipal, a través del cual informa que derivado de una búsqueda exhaustiva realizada en los archivos que obran dentro de la Subdirección Investigadora, no se encontró información referente a observaciones emitidas por el Órgano Interno de Control </w:t>
      </w:r>
      <w:r>
        <w:rPr>
          <w:rFonts w:ascii="Palatino Linotype" w:eastAsia="Palatino Linotype" w:hAnsi="Palatino Linotype" w:cs="Palatino Linotype"/>
        </w:rPr>
        <w:lastRenderedPageBreak/>
        <w:t xml:space="preserve">o instancias fiscalizadoras respecto al cumplimiento de la normatividad en materia de verificaciones, inspecciones y clausuras realizadas bajo la firma, autorización o supervisión de la C. Claudia Karina Janet de la Fuente Martínez; oficio suscrito por el Director General de Informática de este Instituto en el que consta el registro en la bitácora de incidencias, realizado por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en razón que la información a subir al sistema cuenta con un peso de 599 MB; oficio signado por la Subdirectora de Normatividad y Verificación del Ayuntamiento, a través del cual informa de un cambio de modalidad de 4200 hojas útiles que conforman parte de la respuesta, de lo solicitado.</w:t>
      </w:r>
    </w:p>
    <w:p w:rsidR="00062873" w:rsidRDefault="00062873">
      <w:pPr>
        <w:pBdr>
          <w:top w:val="nil"/>
          <w:left w:val="nil"/>
          <w:bottom w:val="nil"/>
          <w:right w:val="nil"/>
          <w:between w:val="nil"/>
        </w:pBdr>
        <w:tabs>
          <w:tab w:val="left" w:pos="0"/>
        </w:tabs>
        <w:spacing w:line="360" w:lineRule="auto"/>
        <w:ind w:right="-929"/>
        <w:jc w:val="both"/>
        <w:rPr>
          <w:rFonts w:ascii="Palatino Linotype" w:eastAsia="Palatino Linotype" w:hAnsi="Palatino Linotype" w:cs="Palatino Linotype"/>
          <w:b/>
          <w:bCs/>
        </w:rPr>
      </w:pPr>
    </w:p>
    <w:p w:rsidR="00062873" w:rsidRDefault="00C85A03">
      <w:pPr>
        <w:numPr>
          <w:ilvl w:val="0"/>
          <w:numId w:val="3"/>
        </w:numPr>
        <w:pBdr>
          <w:top w:val="nil"/>
          <w:left w:val="nil"/>
          <w:bottom w:val="nil"/>
          <w:right w:val="nil"/>
          <w:between w:val="nil"/>
        </w:pBdr>
        <w:tabs>
          <w:tab w:val="left" w:pos="0"/>
        </w:tabs>
        <w:spacing w:line="360" w:lineRule="auto"/>
        <w:ind w:left="0" w:right="-929" w:firstLine="0"/>
        <w:jc w:val="both"/>
      </w:pPr>
      <w:r>
        <w:rPr>
          <w:rFonts w:ascii="Palatino Linotype" w:eastAsia="Palatino Linotype" w:hAnsi="Palatino Linotype" w:cs="Palatino Linotype"/>
          <w:color w:val="000000"/>
        </w:rPr>
        <w:t>El</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b/>
          <w:bCs/>
        </w:rPr>
        <w:t xml:space="preserve">diez de octubre de dos mil veinticinco, </w:t>
      </w:r>
      <w:r>
        <w:rPr>
          <w:rFonts w:ascii="Palatino Linotype" w:eastAsia="Palatino Linotype" w:hAnsi="Palatino Linotype" w:cs="Palatino Linotype"/>
        </w:rPr>
        <w:t xml:space="preserve">la parte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interpuso el recurso de revisión a través de </w:t>
      </w:r>
      <w:r>
        <w:rPr>
          <w:rFonts w:ascii="Palatino Linotype" w:eastAsia="Palatino Linotype" w:hAnsi="Palatino Linotype" w:cs="Palatino Linotype"/>
          <w:b/>
          <w:bCs/>
        </w:rPr>
        <w:t xml:space="preserve">SAIMEX, </w:t>
      </w:r>
      <w:r>
        <w:rPr>
          <w:rFonts w:ascii="Palatino Linotype" w:eastAsia="Palatino Linotype" w:hAnsi="Palatino Linotype" w:cs="Palatino Linotype"/>
        </w:rPr>
        <w:t>en donde se manifestó lo siguiente:</w:t>
      </w:r>
    </w:p>
    <w:p w:rsidR="00062873" w:rsidRDefault="00062873">
      <w:pPr>
        <w:pBdr>
          <w:top w:val="nil"/>
          <w:left w:val="nil"/>
          <w:bottom w:val="nil"/>
          <w:right w:val="nil"/>
          <w:between w:val="nil"/>
        </w:pBdr>
        <w:tabs>
          <w:tab w:val="left" w:pos="0"/>
        </w:tabs>
        <w:spacing w:line="360" w:lineRule="auto"/>
        <w:ind w:right="-929"/>
        <w:jc w:val="both"/>
        <w:rPr>
          <w:rFonts w:ascii="Palatino Linotype" w:eastAsia="Palatino Linotype" w:hAnsi="Palatino Linotype" w:cs="Palatino Linotype"/>
        </w:rPr>
      </w:pPr>
    </w:p>
    <w:p w:rsidR="00062873" w:rsidRDefault="00C85A03">
      <w:pPr>
        <w:numPr>
          <w:ilvl w:val="0"/>
          <w:numId w:val="1"/>
        </w:numPr>
        <w:tabs>
          <w:tab w:val="left" w:pos="2745"/>
        </w:tabs>
        <w:spacing w:line="360" w:lineRule="auto"/>
        <w:ind w:left="992" w:right="-929"/>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Acto impugnado: </w:t>
      </w:r>
    </w:p>
    <w:p w:rsidR="00062873" w:rsidRDefault="00C85A03">
      <w:pPr>
        <w:tabs>
          <w:tab w:val="left" w:pos="2745"/>
        </w:tabs>
        <w:spacing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i/>
          <w:iCs/>
        </w:rPr>
        <w:t>“Mediante oficio sin número visible, emitido por la Unidad de Transparencia del H. Ayuntamiento de Atizapán de Zaragoza, se me notificó la modificación unilateral de la modalidad de entrega de la información solicitada, cambiando la entrega electrónica o documental por consulta directa in situ, bajo el argumento de que el volumen de información (599 MB y 4,200 fojas) “sobrepasa las capacidades técnicas y humanas” del sujeto obligado.”</w:t>
      </w:r>
    </w:p>
    <w:p w:rsidR="00062873" w:rsidRDefault="00062873">
      <w:pPr>
        <w:tabs>
          <w:tab w:val="left" w:pos="2745"/>
        </w:tabs>
        <w:spacing w:line="360" w:lineRule="auto"/>
        <w:ind w:left="851" w:right="-929"/>
        <w:jc w:val="both"/>
        <w:rPr>
          <w:rFonts w:ascii="Palatino Linotype" w:eastAsia="Palatino Linotype" w:hAnsi="Palatino Linotype" w:cs="Palatino Linotype"/>
          <w:i/>
          <w:iCs/>
        </w:rPr>
      </w:pPr>
    </w:p>
    <w:p w:rsidR="00062873" w:rsidRDefault="00C85A03">
      <w:pPr>
        <w:numPr>
          <w:ilvl w:val="0"/>
          <w:numId w:val="2"/>
        </w:numPr>
        <w:spacing w:line="360" w:lineRule="auto"/>
        <w:ind w:left="850" w:right="-929"/>
        <w:jc w:val="both"/>
        <w:rPr>
          <w:rFonts w:ascii="Palatino Linotype" w:eastAsia="Palatino Linotype" w:hAnsi="Palatino Linotype" w:cs="Palatino Linotype"/>
        </w:rPr>
      </w:pPr>
      <w:bookmarkStart w:id="1" w:name="_heading=h.30j0zll" w:colFirst="0" w:colLast="0"/>
      <w:bookmarkEnd w:id="1"/>
      <w:r>
        <w:rPr>
          <w:rFonts w:ascii="Palatino Linotype" w:eastAsia="Palatino Linotype" w:hAnsi="Palatino Linotype" w:cs="Palatino Linotype"/>
          <w:b/>
          <w:bCs/>
        </w:rPr>
        <w:t>Razones o motivos de inconformidad</w:t>
      </w:r>
      <w:r>
        <w:rPr>
          <w:rFonts w:ascii="Palatino Linotype" w:eastAsia="Palatino Linotype" w:hAnsi="Palatino Linotype" w:cs="Palatino Linotype"/>
        </w:rPr>
        <w:t>:</w:t>
      </w:r>
    </w:p>
    <w:p w:rsidR="00062873" w:rsidRDefault="00C85A03">
      <w:pPr>
        <w:tabs>
          <w:tab w:val="left" w:pos="2745"/>
        </w:tabs>
        <w:spacing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“PRIMERO. Violación al principio constitucional de máxima publicidad. El artículo 6º, fracción I, de la Constitución Política de los Estados Unidos Mexicanos y el artículo 4º de la LTAIPEMyM establecen el principio de máxima publicidad, en virtud del cual toda información en poder de las autoridades es pública y sólo puede reservarse por causas </w:t>
      </w:r>
      <w:r>
        <w:rPr>
          <w:rFonts w:ascii="Palatino Linotype" w:eastAsia="Palatino Linotype" w:hAnsi="Palatino Linotype" w:cs="Palatino Linotype"/>
          <w:i/>
          <w:iCs/>
        </w:rPr>
        <w:lastRenderedPageBreak/>
        <w:t xml:space="preserve">estrictamente excepcionales. El cambio de modalidad de entrega constituye una restricción indirecta al acceso pleno a la información, al imponer al solicitante cargas materiales y temporales innecesarias, tales como el traslado físico y la revisión de miles de documentos en un tiempo limitado, sin acreditar imposibilidad técnica absoluta para su entrega electrónica. La Suprema Corte de Justicia de la Nación ha sostenido que las autoridades están obligadas a facilitar la entrega de la información en la modalidad elegida por el solicitante, salvo que exista imposibilidad material plenamente justificada (Tesis Aislada: P. XLV/2018 (10a.)). En el caso concreto, la autoridad omitió acreditar tal imposibilidad, limitándose a referir “carga de trabajo y limitaciones técnicas”, argumento insuficiente conforme al estándar reforzado de acceso efectivo a la información pública, derivado del principio pro persona y del test de proporcionalidad que rige toda restricción a derechos fundamentales. SEGUNDO. Ausencia de resolución del Comité de Transparencia. El Lineamiento Sexagésimo Séptimo de los Lineamientos Generales en materia de Clasificación y Desclasificación de la Información dispone que el Comité de Transparencia debe emitir resolución fundada y motivada antes de autorizar la modalidad de consulta directa, determinando las partes clasificadas y las medidas de resguardo. El acto impugnado no contiene referencia alguna al Comité de Transparencia, ni se adjunta resolución formal que respalde la decisión, con lo cual se vulnera el principio de legalidad y debido procedimiento administrativo consagrado en el artículo 16 constitucional. La omisión en la intervención del Comité constituye una nulidad de pleno derecho, conforme al artículo 185, fracción I, de la LTAIPEMyM, al haberse emitido un acto sin competencia formal ni sustento normativo. Doctrinalmente, Rafael Rojina Villegas enseña que todo acto administrativo debe emanar de autoridad competente, estar debidamente fundado y motivado, y observar las formas esenciales del procedimiento; de lo contrario, carece de validez jurídica al quebrantar el principio de juridicidad que tutela el Estado de Derecho. TERCERO. Falta </w:t>
      </w:r>
      <w:r>
        <w:rPr>
          <w:rFonts w:ascii="Palatino Linotype" w:eastAsia="Palatino Linotype" w:hAnsi="Palatino Linotype" w:cs="Palatino Linotype"/>
          <w:i/>
          <w:iCs/>
        </w:rPr>
        <w:lastRenderedPageBreak/>
        <w:t>de motivación y proporcionalidad en la restricción. El acto impugnado carece de motivación objetiva, razonada y suficiente que acredite que la entrega en versión digital sea materialmente imposible. La mera alusión al “peso de los archivos” o a la “limitada capacidad de personal” no satisface el estándar reforzado de motivación exigido por el artículo 8º de la Ley General de Transparencia y Acceso a la Información Pública y el artículo 158 de la LTAIPEMyM. El test de proporcionalidad exige que toda restricción a derechos fundamentales cumpla con los principios de: a) Idoneidad: que la medida sea apta para alcanzar un fin legítimo; b) Necesidad: que no exista otra medida menos lesiva; y c) Proporcionalidad en sentido estricto: que el beneficio obtenido sea mayor que la afectación causada. La autoridad omitió valorar alternativas razonables, como: La entrega fraccionada en varios archivos digitales, La entrega en dispositivos electrónicos (USB o CD) proporcionados por el solicitante, O el envío segmentado mediante correo institucional. La omisión de explorar tales alternativas demuestra falta de proporcionalidad y violación al principio pro persona consagrado en el artículo 1º constitucional, que obliga a las autoridades a interpretar y aplicar las normas de la manera más favorable al ejercicio del derecho fundamental.”</w:t>
      </w:r>
    </w:p>
    <w:p w:rsidR="00062873" w:rsidRDefault="00062873">
      <w:pPr>
        <w:pBdr>
          <w:top w:val="nil"/>
          <w:left w:val="nil"/>
          <w:bottom w:val="nil"/>
          <w:right w:val="nil"/>
          <w:between w:val="nil"/>
        </w:pBdr>
        <w:spacing w:line="360" w:lineRule="auto"/>
        <w:ind w:left="709" w:right="-929"/>
        <w:jc w:val="both"/>
        <w:rPr>
          <w:rFonts w:ascii="Palatino Linotype" w:eastAsia="Palatino Linotype" w:hAnsi="Palatino Linotype" w:cs="Palatino Linotype"/>
          <w:i/>
          <w:iCs/>
          <w:color w:val="000000"/>
        </w:rPr>
      </w:pPr>
    </w:p>
    <w:p w:rsidR="00062873" w:rsidRDefault="00C85A03">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rPr>
        <w:t>Con fecha</w:t>
      </w:r>
      <w:r>
        <w:rPr>
          <w:rFonts w:ascii="Palatino Linotype" w:eastAsia="Palatino Linotype" w:hAnsi="Palatino Linotype" w:cs="Palatino Linotype"/>
          <w:b/>
          <w:bCs/>
        </w:rPr>
        <w:t xml:space="preserve"> trece de octubre dos mil veinticinco, </w:t>
      </w:r>
      <w:r>
        <w:rPr>
          <w:rFonts w:ascii="Palatino Linotype" w:eastAsia="Palatino Linotype" w:hAnsi="Palatino Linotype" w:cs="Palatino Linotype"/>
        </w:rPr>
        <w:t xml:space="preserve">este Instituto de Transparencia, Acceso a la Información Pública y Protección de Datos Personales del Estado de México y Municipios, admitió a trámite el recurso de revisión que ahora se resuelve, dando un plazo máximo de siete días hábiles para que las partes manifestaron lo que a su derecho resultara conveniente, ofrecieran pruebas, formulen alegatos y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presentará su informe justificado.</w:t>
      </w:r>
    </w:p>
    <w:p w:rsidR="00062873" w:rsidRDefault="00062873">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062873" w:rsidRDefault="00C85A03">
      <w:pPr>
        <w:numPr>
          <w:ilvl w:val="0"/>
          <w:numId w:val="3"/>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lastRenderedPageBreak/>
        <w:t>El</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rPr>
        <w:t>SUJETO</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b/>
          <w:bCs/>
        </w:rPr>
        <w:t>OBLIGADO</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el día </w:t>
      </w:r>
      <w:r>
        <w:rPr>
          <w:rFonts w:ascii="Palatino Linotype" w:eastAsia="Palatino Linotype" w:hAnsi="Palatino Linotype" w:cs="Palatino Linotype"/>
          <w:b/>
          <w:bCs/>
          <w:color w:val="000000"/>
        </w:rPr>
        <w:t xml:space="preserve">veintiuno de </w:t>
      </w:r>
      <w:r>
        <w:rPr>
          <w:rFonts w:ascii="Palatino Linotype" w:eastAsia="Palatino Linotype" w:hAnsi="Palatino Linotype" w:cs="Palatino Linotype"/>
        </w:rPr>
        <w:t>octubre</w:t>
      </w:r>
      <w:r>
        <w:rPr>
          <w:rFonts w:ascii="Palatino Linotype" w:eastAsia="Palatino Linotype" w:hAnsi="Palatino Linotype" w:cs="Palatino Linotype"/>
          <w:b/>
          <w:bCs/>
          <w:color w:val="000000"/>
        </w:rPr>
        <w:t xml:space="preserve"> dos mil veinticinco </w:t>
      </w:r>
      <w:r>
        <w:rPr>
          <w:rFonts w:ascii="Palatino Linotype" w:eastAsia="Palatino Linotype" w:hAnsi="Palatino Linotype" w:cs="Palatino Linotype"/>
          <w:color w:val="000000"/>
        </w:rPr>
        <w:t xml:space="preserve">rindió informe justificado por medio de un archivo denominado </w:t>
      </w:r>
      <w:r>
        <w:rPr>
          <w:rFonts w:ascii="Palatino Linotype" w:eastAsia="Palatino Linotype" w:hAnsi="Palatino Linotype" w:cs="Palatino Linotype"/>
          <w:i/>
          <w:iCs/>
          <w:color w:val="000000"/>
        </w:rPr>
        <w:t>[Untitled]_2025102115465119.pdf</w:t>
      </w:r>
      <w:r>
        <w:rPr>
          <w:rFonts w:ascii="Palatino Linotype" w:eastAsia="Palatino Linotype" w:hAnsi="Palatino Linotype" w:cs="Palatino Linotype"/>
          <w:color w:val="000000"/>
        </w:rPr>
        <w:t xml:space="preserve">, que contiene un oficio signado por el Tesorero Municipal, quien informa que respecto de los montos de las multas, pagos o convenios derivados, precisando la cuenta bancaria de concentración de ingreso en la que se realizó el </w:t>
      </w:r>
      <w:r>
        <w:rPr>
          <w:rFonts w:ascii="Palatino Linotype" w:eastAsia="Palatino Linotype" w:hAnsi="Palatino Linotype" w:cs="Palatino Linotype"/>
        </w:rPr>
        <w:t>depósito</w:t>
      </w:r>
      <w:r>
        <w:rPr>
          <w:rFonts w:ascii="Palatino Linotype" w:eastAsia="Palatino Linotype" w:hAnsi="Palatino Linotype" w:cs="Palatino Linotype"/>
          <w:color w:val="000000"/>
        </w:rPr>
        <w:t>, se encuentran publicada en la página oficial de Municipio y, puede ser consultada a través de una liga electrónico que se transcribe, en formato cerrado, así como una serie de instrucción para la consulta de la información; así como un escrito signado por la Titular de la Unidad de Transparencia y Acceso a la Información, que corresponde al oficio de turno, mediante el cual se solicita al servidor público habilitado, se pronuncie respecto del recurso de revisión interpuesto.</w:t>
      </w:r>
    </w:p>
    <w:p w:rsidR="00062873" w:rsidRDefault="00062873">
      <w:pPr>
        <w:pBdr>
          <w:top w:val="nil"/>
          <w:left w:val="nil"/>
          <w:bottom w:val="nil"/>
          <w:right w:val="nil"/>
          <w:between w:val="nil"/>
        </w:pBdr>
        <w:ind w:left="720" w:right="-929"/>
        <w:rPr>
          <w:rFonts w:ascii="Palatino Linotype" w:eastAsia="Palatino Linotype" w:hAnsi="Palatino Linotype" w:cs="Palatino Linotype"/>
          <w:color w:val="000000"/>
        </w:rPr>
      </w:pPr>
    </w:p>
    <w:p w:rsidR="00062873" w:rsidRDefault="00C85A03">
      <w:pPr>
        <w:numPr>
          <w:ilvl w:val="0"/>
          <w:numId w:val="3"/>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rPr>
        <w:t xml:space="preserve">Por su parte el solicitante fue omiso en realizar manifestaciones que a su derecho </w:t>
      </w:r>
      <w:r>
        <w:rPr>
          <w:rFonts w:ascii="Palatino Linotype" w:eastAsia="Palatino Linotype" w:hAnsi="Palatino Linotype" w:cs="Palatino Linotype"/>
          <w:color w:val="000000"/>
        </w:rPr>
        <w:t>conviniera</w:t>
      </w:r>
      <w:r>
        <w:rPr>
          <w:rFonts w:ascii="Palatino Linotype" w:eastAsia="Palatino Linotype" w:hAnsi="Palatino Linotype" w:cs="Palatino Linotype"/>
        </w:rPr>
        <w:t xml:space="preserve"> y asistiera.</w:t>
      </w:r>
    </w:p>
    <w:p w:rsidR="00062873" w:rsidRDefault="00062873">
      <w:pPr>
        <w:pBdr>
          <w:top w:val="nil"/>
          <w:left w:val="nil"/>
          <w:bottom w:val="nil"/>
          <w:right w:val="nil"/>
          <w:between w:val="nil"/>
        </w:pBdr>
        <w:spacing w:line="360" w:lineRule="auto"/>
        <w:ind w:right="-929"/>
        <w:rPr>
          <w:rFonts w:ascii="Palatino Linotype" w:eastAsia="Palatino Linotype" w:hAnsi="Palatino Linotype" w:cs="Palatino Linotype"/>
          <w:b/>
          <w:bCs/>
          <w:color w:val="000000"/>
        </w:rPr>
      </w:pPr>
    </w:p>
    <w:p w:rsidR="00062873" w:rsidRDefault="00C85A03">
      <w:pPr>
        <w:numPr>
          <w:ilvl w:val="0"/>
          <w:numId w:val="3"/>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Seguidamente, mediante Acuerdo de fecha </w:t>
      </w:r>
      <w:r>
        <w:rPr>
          <w:rFonts w:ascii="Palatino Linotype" w:eastAsia="Palatino Linotype" w:hAnsi="Palatino Linotype" w:cs="Palatino Linotype"/>
          <w:b/>
          <w:bCs/>
          <w:color w:val="000000"/>
        </w:rPr>
        <w:t xml:space="preserve">veintisiete de mayo de dos mil veintiséis, </w:t>
      </w:r>
      <w:r>
        <w:rPr>
          <w:rFonts w:ascii="Palatino Linotype" w:eastAsia="Palatino Linotype" w:hAnsi="Palatino Linotype" w:cs="Palatino Linotype"/>
          <w:color w:val="000000"/>
        </w:rPr>
        <w:t xml:space="preserve">se amplió el término para resolver. Por ello, es menester precisar que, si bien </w:t>
      </w:r>
      <w:r>
        <w:rPr>
          <w:rFonts w:ascii="Palatino Linotype" w:eastAsia="Palatino Linotype" w:hAnsi="Palatino Linotype" w:cs="Palatino Linotype"/>
        </w:rPr>
        <w:t>se</w:t>
      </w:r>
      <w:r>
        <w:rPr>
          <w:rFonts w:ascii="Palatino Linotype" w:eastAsia="Palatino Linotype" w:hAnsi="Palatino Linotype" w:cs="Palatino Linotype"/>
          <w:color w:val="000000"/>
        </w:rPr>
        <w:t xml:space="preserve"> ha excedido el plazo para resolver el presente medio de impugnación, de conformidad con la ley de la materia, el plazo para emitir la resolución se encuentra justificado en los elementos para medir la razonabilidad de asuntos conforme a los parámetros establecidos por diversos órganos jurisdiccionales federales, aplicables también en procedimientos análogos, como el que nos ocupa.</w:t>
      </w:r>
    </w:p>
    <w:p w:rsidR="00062873" w:rsidRDefault="00062873">
      <w:pPr>
        <w:pBdr>
          <w:top w:val="nil"/>
          <w:left w:val="nil"/>
          <w:bottom w:val="nil"/>
          <w:right w:val="nil"/>
          <w:between w:val="nil"/>
        </w:pBdr>
        <w:spacing w:line="360" w:lineRule="auto"/>
        <w:ind w:right="-929"/>
        <w:jc w:val="both"/>
        <w:rPr>
          <w:rFonts w:ascii="Palatino Linotype" w:eastAsia="Palatino Linotype" w:hAnsi="Palatino Linotype" w:cs="Palatino Linotype"/>
          <w:b/>
          <w:bCs/>
          <w:color w:val="000000"/>
        </w:rPr>
      </w:pPr>
    </w:p>
    <w:p w:rsidR="00062873" w:rsidRDefault="00C85A03">
      <w:pPr>
        <w:numPr>
          <w:ilvl w:val="0"/>
          <w:numId w:val="3"/>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Consecutivamente se decretó el cierre de instrucción mediante Acuerdo de día dos de abril de dos mil veintiséis, por lo que no habiendo más que hacer constar, y</w:t>
      </w:r>
      <w:r w:rsidR="00B420A0">
        <w:rPr>
          <w:rFonts w:ascii="Palatino Linotype" w:eastAsia="Palatino Linotype" w:hAnsi="Palatino Linotype" w:cs="Palatino Linotype"/>
          <w:color w:val="000000"/>
        </w:rPr>
        <w:t xml:space="preserve"> ----------------------</w:t>
      </w:r>
    </w:p>
    <w:p w:rsidR="00062873" w:rsidRDefault="00C85A03">
      <w:pPr>
        <w:pBdr>
          <w:top w:val="nil"/>
          <w:left w:val="nil"/>
          <w:bottom w:val="nil"/>
          <w:right w:val="nil"/>
          <w:between w:val="nil"/>
        </w:pBdr>
        <w:spacing w:line="360" w:lineRule="auto"/>
        <w:ind w:right="-929"/>
        <w:jc w:val="center"/>
        <w:rPr>
          <w:rFonts w:ascii="Palatino Linotype" w:eastAsia="Palatino Linotype" w:hAnsi="Palatino Linotype" w:cs="Palatino Linotype"/>
          <w:b/>
          <w:bCs/>
          <w:color w:val="000000"/>
        </w:rPr>
      </w:pPr>
      <w:bookmarkStart w:id="2" w:name="_GoBack"/>
      <w:bookmarkEnd w:id="2"/>
      <w:r>
        <w:rPr>
          <w:rFonts w:ascii="Palatino Linotype" w:eastAsia="Palatino Linotype" w:hAnsi="Palatino Linotype" w:cs="Palatino Linotype"/>
          <w:b/>
          <w:bCs/>
          <w:color w:val="000000"/>
        </w:rPr>
        <w:lastRenderedPageBreak/>
        <w:t>C O N S I D E R A C I O N E S</w:t>
      </w:r>
    </w:p>
    <w:p w:rsidR="00062873" w:rsidRDefault="00062873">
      <w:pPr>
        <w:pBdr>
          <w:top w:val="nil"/>
          <w:left w:val="nil"/>
          <w:bottom w:val="nil"/>
          <w:right w:val="nil"/>
          <w:between w:val="nil"/>
        </w:pBdr>
        <w:spacing w:line="360" w:lineRule="auto"/>
        <w:ind w:right="-929"/>
        <w:jc w:val="center"/>
        <w:rPr>
          <w:rFonts w:ascii="Palatino Linotype" w:eastAsia="Palatino Linotype" w:hAnsi="Palatino Linotype" w:cs="Palatino Linotype"/>
          <w:b/>
          <w:bCs/>
          <w:color w:val="000000"/>
        </w:rPr>
      </w:pPr>
    </w:p>
    <w:p w:rsidR="00062873" w:rsidRDefault="00C85A03">
      <w:pPr>
        <w:pStyle w:val="Ttulo2"/>
        <w:spacing w:before="0" w:line="360" w:lineRule="auto"/>
        <w:ind w:right="-929"/>
        <w:rPr>
          <w:rFonts w:ascii="Palatino Linotype" w:eastAsia="Palatino Linotype" w:hAnsi="Palatino Linotype" w:cs="Palatino Linotype"/>
          <w:b/>
          <w:bCs/>
          <w:color w:val="000000"/>
          <w:sz w:val="24"/>
          <w:szCs w:val="24"/>
        </w:rPr>
      </w:pPr>
      <w:bookmarkStart w:id="3" w:name="_heading=h.3znysh7" w:colFirst="0" w:colLast="0"/>
      <w:bookmarkEnd w:id="3"/>
      <w:r>
        <w:rPr>
          <w:rFonts w:ascii="Palatino Linotype" w:eastAsia="Palatino Linotype" w:hAnsi="Palatino Linotype" w:cs="Palatino Linotype"/>
          <w:b/>
          <w:bCs/>
          <w:color w:val="000000"/>
          <w:sz w:val="24"/>
          <w:szCs w:val="24"/>
        </w:rPr>
        <w:t>PRIMERO. Competencia</w:t>
      </w:r>
    </w:p>
    <w:p w:rsidR="00062873" w:rsidRDefault="00C85A03">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w:t>
      </w:r>
      <w:r>
        <w:rPr>
          <w:rFonts w:ascii="Palatino Linotype" w:eastAsia="Palatino Linotype" w:hAnsi="Palatino Linotype" w:cs="Palatino Linotype"/>
        </w:rPr>
        <w:t>trigésimo</w:t>
      </w:r>
      <w:r>
        <w:rPr>
          <w:rFonts w:ascii="Palatino Linotype" w:eastAsia="Palatino Linotype" w:hAnsi="Palatino Linotype" w:cs="Palatino Linotype"/>
          <w:color w:val="000000"/>
        </w:rPr>
        <w:t xml:space="preserve">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062873" w:rsidRDefault="00062873">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062873" w:rsidRDefault="00C85A03">
      <w:pPr>
        <w:pStyle w:val="Ttulo2"/>
        <w:spacing w:before="0" w:line="360" w:lineRule="auto"/>
        <w:ind w:right="-929"/>
        <w:rPr>
          <w:rFonts w:ascii="Palatino Linotype" w:eastAsia="Palatino Linotype" w:hAnsi="Palatino Linotype" w:cs="Palatino Linotype"/>
          <w:b/>
          <w:bCs/>
          <w:color w:val="000000"/>
          <w:sz w:val="24"/>
          <w:szCs w:val="24"/>
        </w:rPr>
      </w:pPr>
      <w:bookmarkStart w:id="4" w:name="_heading=h.2et92p0" w:colFirst="0" w:colLast="0"/>
      <w:bookmarkEnd w:id="4"/>
      <w:r>
        <w:rPr>
          <w:rFonts w:ascii="Palatino Linotype" w:eastAsia="Palatino Linotype" w:hAnsi="Palatino Linotype" w:cs="Palatino Linotype"/>
          <w:b/>
          <w:bCs/>
          <w:color w:val="000000"/>
          <w:sz w:val="24"/>
          <w:szCs w:val="24"/>
        </w:rPr>
        <w:t>SEGUNDO. Procedencia.</w:t>
      </w:r>
    </w:p>
    <w:p w:rsidR="00062873" w:rsidRDefault="00C85A03">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rPr>
        <w:t xml:space="preserve">Este Órgano Garante considera que el medio de impugnación reúne los requisitos de </w:t>
      </w:r>
      <w:r>
        <w:rPr>
          <w:rFonts w:ascii="Palatino Linotype" w:eastAsia="Palatino Linotype" w:hAnsi="Palatino Linotype" w:cs="Palatino Linotype"/>
          <w:color w:val="000000"/>
        </w:rPr>
        <w:t>procedencia</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el Recurrente ante otra instancia.</w:t>
      </w:r>
    </w:p>
    <w:p w:rsidR="00062873" w:rsidRDefault="00062873">
      <w:pPr>
        <w:pBdr>
          <w:top w:val="nil"/>
          <w:left w:val="nil"/>
          <w:bottom w:val="nil"/>
          <w:right w:val="nil"/>
          <w:between w:val="nil"/>
        </w:pBdr>
        <w:spacing w:line="360" w:lineRule="auto"/>
        <w:ind w:right="-929"/>
        <w:jc w:val="both"/>
        <w:rPr>
          <w:rFonts w:ascii="Palatino Linotype" w:eastAsia="Palatino Linotype" w:hAnsi="Palatino Linotype" w:cs="Palatino Linotype"/>
        </w:rPr>
      </w:pPr>
    </w:p>
    <w:p w:rsidR="00062873" w:rsidRDefault="00C85A03">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 xml:space="preserve">Por otro lado, es de suma importancia señalar que la parte recurrente no proporciona un </w:t>
      </w:r>
      <w:r>
        <w:rPr>
          <w:rFonts w:ascii="Palatino Linotype" w:eastAsia="Palatino Linotype" w:hAnsi="Palatino Linotype" w:cs="Palatino Linotype"/>
          <w:color w:val="000000"/>
          <w:u w:val="single"/>
        </w:rPr>
        <w:t>nombre completo</w:t>
      </w:r>
      <w:r>
        <w:rPr>
          <w:rFonts w:ascii="Palatino Linotype" w:eastAsia="Palatino Linotype" w:hAnsi="Palatino Linotype" w:cs="Palatino Linotype"/>
          <w:color w:val="000000"/>
        </w:rPr>
        <w:t xml:space="preserve"> como se advierte en el detalle de seguimiento del SAIMEX, no obstante, lo anterior, no proporcionar el nombre completo no es motivo para archivar la solicitud de acceso a la información pública como concluida, conforme a lo previsto en el artículo 155, </w:t>
      </w:r>
      <w:r>
        <w:rPr>
          <w:rFonts w:ascii="Palatino Linotype" w:eastAsia="Palatino Linotype" w:hAnsi="Palatino Linotype" w:cs="Palatino Linotype"/>
          <w:color w:val="000000"/>
        </w:rPr>
        <w:lastRenderedPageBreak/>
        <w:t>penúltimo párrafo de la Ley de Transparencia y Acceso a la Información Pública del Estado de México y Municipios que establece lo siguiente:</w:t>
      </w:r>
    </w:p>
    <w:p w:rsidR="00062873" w:rsidRDefault="00C85A03">
      <w:pPr>
        <w:spacing w:line="360" w:lineRule="auto"/>
        <w:ind w:left="567"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Las solicitudes anónimas</w:t>
      </w:r>
      <w:r>
        <w:rPr>
          <w:rFonts w:ascii="Palatino Linotype" w:eastAsia="Palatino Linotype" w:hAnsi="Palatino Linotype" w:cs="Palatino Linotype"/>
          <w:i/>
          <w:iCs/>
          <w:color w:val="000000"/>
        </w:rPr>
        <w:t xml:space="preserve">, con nombre incompleto o seudónimo </w:t>
      </w:r>
      <w:r>
        <w:rPr>
          <w:rFonts w:ascii="Palatino Linotype" w:eastAsia="Palatino Linotype" w:hAnsi="Palatino Linotype" w:cs="Palatino Linotype"/>
          <w:b/>
          <w:bCs/>
          <w:i/>
          <w:iCs/>
          <w:color w:val="000000"/>
        </w:rPr>
        <w:t>serán procedentes para su trámite por parte del sujeto obligado ante quien se presente</w:t>
      </w:r>
      <w:r>
        <w:rPr>
          <w:rFonts w:ascii="Palatino Linotype" w:eastAsia="Palatino Linotype" w:hAnsi="Palatino Linotype" w:cs="Palatino Linotype"/>
          <w:i/>
          <w:iCs/>
          <w:color w:val="000000"/>
        </w:rPr>
        <w:t>. No podrá requerirse información adicional con motivo del nombre proporcionado por el solicitante."</w:t>
      </w:r>
    </w:p>
    <w:p w:rsidR="00062873" w:rsidRDefault="00062873">
      <w:pPr>
        <w:pBdr>
          <w:top w:val="nil"/>
          <w:left w:val="nil"/>
          <w:bottom w:val="nil"/>
          <w:right w:val="nil"/>
          <w:between w:val="nil"/>
        </w:pBdr>
        <w:spacing w:line="360" w:lineRule="auto"/>
        <w:ind w:right="-929"/>
        <w:jc w:val="both"/>
        <w:rPr>
          <w:rFonts w:ascii="Palatino Linotype" w:eastAsia="Palatino Linotype" w:hAnsi="Palatino Linotype" w:cs="Palatino Linotype"/>
        </w:rPr>
      </w:pPr>
    </w:p>
    <w:p w:rsidR="00062873" w:rsidRDefault="00C85A03">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rPr>
        <w:t>Finalmente, el escrito contiene las formalidades previstas por el artículo 180 último párrafo de la citada Ley de la Materia, por lo que es procedente que este Instituto conozca y resuelva el presente Recurso de Revisión.</w:t>
      </w:r>
    </w:p>
    <w:p w:rsidR="00062873" w:rsidRDefault="00062873">
      <w:pPr>
        <w:pBdr>
          <w:top w:val="nil"/>
          <w:left w:val="nil"/>
          <w:bottom w:val="nil"/>
          <w:right w:val="nil"/>
          <w:between w:val="nil"/>
        </w:pBdr>
        <w:spacing w:line="360" w:lineRule="auto"/>
        <w:ind w:right="-929"/>
        <w:rPr>
          <w:rFonts w:ascii="Palatino Linotype" w:eastAsia="Palatino Linotype" w:hAnsi="Palatino Linotype" w:cs="Palatino Linotype"/>
          <w:color w:val="000000"/>
        </w:rPr>
      </w:pPr>
    </w:p>
    <w:p w:rsidR="00062873" w:rsidRDefault="00C85A03">
      <w:pPr>
        <w:pStyle w:val="Ttulo2"/>
        <w:tabs>
          <w:tab w:val="left" w:pos="284"/>
          <w:tab w:val="left" w:pos="426"/>
        </w:tabs>
        <w:spacing w:before="0" w:line="360" w:lineRule="auto"/>
        <w:ind w:right="-929"/>
        <w:rPr>
          <w:rFonts w:ascii="Palatino Linotype" w:eastAsia="Palatino Linotype" w:hAnsi="Palatino Linotype" w:cs="Palatino Linotype"/>
          <w:b/>
          <w:bCs/>
          <w:color w:val="000000"/>
          <w:sz w:val="24"/>
          <w:szCs w:val="24"/>
        </w:rPr>
      </w:pPr>
      <w:bookmarkStart w:id="5" w:name="_heading=h.tyjcwt" w:colFirst="0" w:colLast="0"/>
      <w:bookmarkEnd w:id="5"/>
      <w:r>
        <w:rPr>
          <w:rFonts w:ascii="Palatino Linotype" w:eastAsia="Palatino Linotype" w:hAnsi="Palatino Linotype" w:cs="Palatino Linotype"/>
          <w:b/>
          <w:bCs/>
          <w:color w:val="000000"/>
          <w:sz w:val="24"/>
          <w:szCs w:val="24"/>
        </w:rPr>
        <w:t xml:space="preserve">TERCERO. Del planteamiento de la </w:t>
      </w:r>
      <w:r>
        <w:rPr>
          <w:rFonts w:ascii="Palatino Linotype" w:eastAsia="Palatino Linotype" w:hAnsi="Palatino Linotype" w:cs="Palatino Linotype"/>
          <w:b/>
          <w:bCs/>
          <w:i/>
          <w:iCs/>
          <w:color w:val="000000"/>
          <w:sz w:val="24"/>
          <w:szCs w:val="24"/>
        </w:rPr>
        <w:t>Litis.</w:t>
      </w:r>
    </w:p>
    <w:p w:rsidR="00062873" w:rsidRDefault="00C85A03">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rPr>
        <w:t>Se solicitó tener acceso, a la información que a continuación se simplifica:</w:t>
      </w:r>
    </w:p>
    <w:p w:rsidR="00062873" w:rsidRDefault="00C85A03">
      <w:pPr>
        <w:numPr>
          <w:ilvl w:val="0"/>
          <w:numId w:val="6"/>
        </w:numPr>
        <w:pBdr>
          <w:top w:val="nil"/>
          <w:left w:val="nil"/>
          <w:bottom w:val="nil"/>
          <w:right w:val="nil"/>
          <w:between w:val="nil"/>
        </w:pBdr>
        <w:spacing w:line="360" w:lineRule="auto"/>
        <w:ind w:right="-92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Soporte documental en que consten o se adviertan las verificaciones, inspecciones y clausuras realizadas bajo la firma, autorización o supervisión de la C. Claudia Karina Janet de la Fuente Martínez, Subdirectora de Normatividad y Verificación del H. Ayuntamiento de Atizapán de Zaragoza, del que se desprenda: giro comercial del establecimiento verificado o clausurado, domicilio, fecha de la diligencia, fundamento legal, nombre de los servidores públicos intervinientes, tipo de irregularidad detectada y sanción económica o administrativa impuesta, monto de las multas, pagos o convenios derivados y, la cuenta bancaria de concentración de ingresos en la que se realizó el depósito;</w:t>
      </w:r>
    </w:p>
    <w:p w:rsidR="00062873" w:rsidRDefault="00C85A03">
      <w:pPr>
        <w:numPr>
          <w:ilvl w:val="0"/>
          <w:numId w:val="6"/>
        </w:numPr>
        <w:pBdr>
          <w:top w:val="nil"/>
          <w:left w:val="nil"/>
          <w:bottom w:val="nil"/>
          <w:right w:val="nil"/>
          <w:between w:val="nil"/>
        </w:pBdr>
        <w:spacing w:line="360" w:lineRule="auto"/>
        <w:ind w:right="-92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Informe de procedimientos administrativos o recursos presentados por los particulares contra dichas actuaciones;</w:t>
      </w:r>
    </w:p>
    <w:p w:rsidR="00062873" w:rsidRDefault="00C85A03">
      <w:pPr>
        <w:numPr>
          <w:ilvl w:val="0"/>
          <w:numId w:val="6"/>
        </w:numPr>
        <w:pBdr>
          <w:top w:val="nil"/>
          <w:left w:val="nil"/>
          <w:bottom w:val="nil"/>
          <w:right w:val="nil"/>
          <w:between w:val="nil"/>
        </w:pBdr>
        <w:spacing w:line="360" w:lineRule="auto"/>
        <w:ind w:right="-92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Observaciones emitidas por el Órgano Interno de Control o instancias fiscalizadoras respecto al cumplimiento de la normatividad en estas actuaciones.</w:t>
      </w:r>
    </w:p>
    <w:p w:rsidR="00062873" w:rsidRDefault="00062873">
      <w:pPr>
        <w:pBdr>
          <w:top w:val="nil"/>
          <w:left w:val="nil"/>
          <w:bottom w:val="nil"/>
          <w:right w:val="nil"/>
          <w:between w:val="nil"/>
        </w:pBdr>
        <w:spacing w:line="360" w:lineRule="auto"/>
        <w:ind w:left="1080" w:right="-929"/>
        <w:jc w:val="both"/>
        <w:rPr>
          <w:rFonts w:ascii="Palatino Linotype" w:eastAsia="Palatino Linotype" w:hAnsi="Palatino Linotype" w:cs="Palatino Linotype"/>
          <w:b/>
          <w:bCs/>
          <w:color w:val="000000"/>
        </w:rPr>
      </w:pPr>
    </w:p>
    <w:p w:rsidR="00062873" w:rsidRDefault="00C85A03">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rPr>
        <w:t>Inconforme con la respuesta, el solicitante interpuso recurso de revisión de manera general en contra del cambio de modalidad de entrega de la información</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artículo 179, fracción VIII, de la Ley de Transparencia y Acceso a la Información Pública del Estado de México y Municipios; fracción que determina la hipótesis relativa a la notificación, entrega o puesta a disposición de información en una modalidad o formato distinto al solicitado; contexto del cual se dolió el Recurrente al momento de interponer su inconformidad. De modo tal que el presente recurso de revisión se abocará en determinar si el Sujeto Obligado con su respuesta ciertamente actualiza la causal de procedencia señalada. </w:t>
      </w:r>
    </w:p>
    <w:p w:rsidR="00062873" w:rsidRDefault="00062873">
      <w:pPr>
        <w:pBdr>
          <w:top w:val="nil"/>
          <w:left w:val="nil"/>
          <w:bottom w:val="nil"/>
          <w:right w:val="nil"/>
          <w:between w:val="nil"/>
        </w:pBdr>
        <w:spacing w:line="360" w:lineRule="auto"/>
        <w:ind w:left="720" w:right="-929"/>
        <w:rPr>
          <w:rFonts w:ascii="Palatino Linotype" w:eastAsia="Palatino Linotype" w:hAnsi="Palatino Linotype" w:cs="Palatino Linotype"/>
        </w:rPr>
      </w:pPr>
    </w:p>
    <w:p w:rsidR="00062873" w:rsidRDefault="00C85A03">
      <w:pPr>
        <w:spacing w:line="360" w:lineRule="auto"/>
        <w:ind w:right="-929"/>
        <w:rPr>
          <w:rFonts w:ascii="Palatino Linotype" w:eastAsia="Palatino Linotype" w:hAnsi="Palatino Linotype" w:cs="Palatino Linotype"/>
          <w:b/>
          <w:bCs/>
        </w:rPr>
      </w:pPr>
      <w:r>
        <w:rPr>
          <w:rFonts w:ascii="Palatino Linotype" w:eastAsia="Palatino Linotype" w:hAnsi="Palatino Linotype" w:cs="Palatino Linotype"/>
          <w:b/>
          <w:bCs/>
        </w:rPr>
        <w:t>CUARTO. Del estudio y resolución del asunto.</w:t>
      </w:r>
    </w:p>
    <w:p w:rsidR="00062873" w:rsidRDefault="00C85A03">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rPr>
        <w:t xml:space="preserve">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w:t>
      </w:r>
      <w:r>
        <w:rPr>
          <w:rFonts w:ascii="Palatino Linotype" w:eastAsia="Palatino Linotype" w:hAnsi="Palatino Linotype" w:cs="Palatino Linotype"/>
        </w:rPr>
        <w:lastRenderedPageBreak/>
        <w:t>funciones desde su origen la eventual publicidad y reutilización de la información que generen.</w:t>
      </w:r>
    </w:p>
    <w:p w:rsidR="00062873" w:rsidRDefault="00062873">
      <w:pPr>
        <w:pBdr>
          <w:top w:val="nil"/>
          <w:left w:val="nil"/>
          <w:bottom w:val="nil"/>
          <w:right w:val="nil"/>
          <w:between w:val="nil"/>
        </w:pBdr>
        <w:spacing w:line="360" w:lineRule="auto"/>
        <w:ind w:left="502" w:right="-929"/>
        <w:jc w:val="both"/>
        <w:rPr>
          <w:rFonts w:ascii="Palatino Linotype" w:eastAsia="Palatino Linotype" w:hAnsi="Palatino Linotype" w:cs="Palatino Linotype"/>
        </w:rPr>
      </w:pPr>
    </w:p>
    <w:p w:rsidR="00062873" w:rsidRDefault="00C85A03">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062873" w:rsidRDefault="00062873">
      <w:pPr>
        <w:pBdr>
          <w:top w:val="nil"/>
          <w:left w:val="nil"/>
          <w:bottom w:val="nil"/>
          <w:right w:val="nil"/>
          <w:between w:val="nil"/>
        </w:pBdr>
        <w:spacing w:line="360" w:lineRule="auto"/>
        <w:ind w:right="-929"/>
        <w:jc w:val="both"/>
        <w:rPr>
          <w:rFonts w:ascii="Palatino Linotype" w:eastAsia="Palatino Linotype" w:hAnsi="Palatino Linotype" w:cs="Palatino Linotype"/>
        </w:rPr>
      </w:pPr>
    </w:p>
    <w:p w:rsidR="00062873" w:rsidRDefault="00C85A03">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062873" w:rsidRDefault="00062873">
      <w:pPr>
        <w:pBdr>
          <w:top w:val="nil"/>
          <w:left w:val="nil"/>
          <w:bottom w:val="nil"/>
          <w:right w:val="nil"/>
          <w:between w:val="nil"/>
        </w:pBdr>
        <w:spacing w:line="360" w:lineRule="auto"/>
        <w:ind w:left="720" w:right="-929"/>
        <w:rPr>
          <w:rFonts w:ascii="Palatino Linotype" w:eastAsia="Palatino Linotype" w:hAnsi="Palatino Linotype" w:cs="Palatino Linotype"/>
          <w:color w:val="000000"/>
        </w:rPr>
      </w:pPr>
    </w:p>
    <w:p w:rsidR="00062873" w:rsidRDefault="00C85A03">
      <w:pPr>
        <w:numPr>
          <w:ilvl w:val="0"/>
          <w:numId w:val="3"/>
        </w:numPr>
        <w:pBdr>
          <w:top w:val="nil"/>
          <w:left w:val="nil"/>
          <w:bottom w:val="nil"/>
          <w:right w:val="nil"/>
          <w:between w:val="nil"/>
        </w:pBdr>
        <w:spacing w:line="360" w:lineRule="auto"/>
        <w:ind w:left="0" w:right="-929" w:firstLine="0"/>
        <w:jc w:val="both"/>
      </w:pPr>
      <w:bookmarkStart w:id="6" w:name="_heading=h.zbz0h1mjdx3f" w:colFirst="0" w:colLast="0"/>
      <w:bookmarkEnd w:id="6"/>
      <w:r>
        <w:rPr>
          <w:rFonts w:ascii="Palatino Linotype" w:eastAsia="Palatino Linotype" w:hAnsi="Palatino Linotype" w:cs="Palatino Linotype"/>
        </w:rPr>
        <w:t>Dicho lo anterior es necesario traer a contexto los motivos de inconformidad; toda vez que estos son tendentes a impugnar la información que se puso a disposición en consulta directa; es decir que no se impugna las solicitud de información relativas a “</w:t>
      </w:r>
      <w:r>
        <w:rPr>
          <w:rFonts w:ascii="Palatino Linotype" w:eastAsia="Palatino Linotype" w:hAnsi="Palatino Linotype" w:cs="Palatino Linotype"/>
          <w:i/>
          <w:iCs/>
        </w:rPr>
        <w:t xml:space="preserve">Observaciones </w:t>
      </w:r>
      <w:r>
        <w:rPr>
          <w:rFonts w:ascii="Palatino Linotype" w:eastAsia="Palatino Linotype" w:hAnsi="Palatino Linotype" w:cs="Palatino Linotype"/>
          <w:i/>
          <w:iCs/>
        </w:rPr>
        <w:lastRenderedPageBreak/>
        <w:t>emitidas por el Órgano Interno de Control o instancias fiscalizadoras respecto al cumplimiento de la normatividad en estas actuaciones.</w:t>
      </w:r>
      <w:r>
        <w:rPr>
          <w:rFonts w:ascii="Palatino Linotype" w:eastAsia="Palatino Linotype" w:hAnsi="Palatino Linotype" w:cs="Palatino Linotype"/>
        </w:rPr>
        <w:t>”</w:t>
      </w:r>
    </w:p>
    <w:p w:rsidR="00062873" w:rsidRDefault="00062873">
      <w:pPr>
        <w:pBdr>
          <w:top w:val="nil"/>
          <w:left w:val="nil"/>
          <w:bottom w:val="nil"/>
          <w:right w:val="nil"/>
          <w:between w:val="nil"/>
        </w:pBdr>
        <w:spacing w:line="360" w:lineRule="auto"/>
        <w:ind w:left="502" w:right="-929"/>
        <w:jc w:val="both"/>
        <w:rPr>
          <w:rFonts w:ascii="Palatino Linotype" w:eastAsia="Palatino Linotype" w:hAnsi="Palatino Linotype" w:cs="Palatino Linotype"/>
        </w:rPr>
      </w:pPr>
      <w:bookmarkStart w:id="7" w:name="_heading=h.xpakpjcjert7" w:colFirst="0" w:colLast="0"/>
      <w:bookmarkEnd w:id="7"/>
    </w:p>
    <w:p w:rsidR="00062873" w:rsidRDefault="00C85A03">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rPr>
        <w:t xml:space="preserve">De tal forma que, la parte de la solicitud </w:t>
      </w:r>
      <w:r>
        <w:rPr>
          <w:rFonts w:ascii="Palatino Linotype" w:eastAsia="Palatino Linotype" w:hAnsi="Palatino Linotype" w:cs="Palatino Linotype"/>
          <w:u w:val="single"/>
        </w:rPr>
        <w:t xml:space="preserve">o de lo entregado en respuesta, </w:t>
      </w:r>
      <w:r>
        <w:rPr>
          <w:rFonts w:ascii="Palatino Linotype" w:eastAsia="Palatino Linotype" w:hAnsi="Palatino Linotype" w:cs="Palatino Linotype"/>
        </w:rPr>
        <w:t xml:space="preserve">que no fue impugnada debe declararse consentida, toda vez que al no realizar manifestaciones de inconformidad; no pueden producirse efectos jurídicos tendentes a revocar, confirmar o modificar el acto reclamado, ya que no realizó manifestación alguna al respecto. </w:t>
      </w:r>
    </w:p>
    <w:p w:rsidR="00062873" w:rsidRDefault="00062873">
      <w:pPr>
        <w:pBdr>
          <w:top w:val="nil"/>
          <w:left w:val="nil"/>
          <w:bottom w:val="nil"/>
          <w:right w:val="nil"/>
          <w:between w:val="nil"/>
        </w:pBdr>
        <w:spacing w:line="360" w:lineRule="auto"/>
        <w:ind w:left="720" w:right="-929"/>
        <w:rPr>
          <w:rFonts w:ascii="Palatino Linotype" w:eastAsia="Palatino Linotype" w:hAnsi="Palatino Linotype" w:cs="Palatino Linotype"/>
          <w:color w:val="000000"/>
        </w:rPr>
      </w:pPr>
    </w:p>
    <w:p w:rsidR="00062873" w:rsidRDefault="00C85A03">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rPr>
        <w:t>Sirve de sustento, la tesis jurisprudencial número VI.3o.C. J/60, publicada en el Semanario Judicial de la Federación y su Gaceta bajo el número de registro 176,608 que a la letra dice:</w:t>
      </w:r>
    </w:p>
    <w:p w:rsidR="00062873" w:rsidRDefault="00C85A03">
      <w:pPr>
        <w:tabs>
          <w:tab w:val="left" w:pos="851"/>
        </w:tabs>
        <w:spacing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“ACTOS CONSENTIDOS. SON LOS QUE NO SE IMPUGNAN MEDIANTE EL RECURSO IDÓNEO. </w:t>
      </w:r>
      <w:r>
        <w:rPr>
          <w:rFonts w:ascii="Palatino Linotype" w:eastAsia="Palatino Linotype" w:hAnsi="Palatino Linotype" w:cs="Palatino Linotype"/>
          <w:i/>
          <w:iCs/>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rsidR="00B420A0" w:rsidRDefault="00B420A0">
      <w:pPr>
        <w:tabs>
          <w:tab w:val="left" w:pos="851"/>
        </w:tabs>
        <w:spacing w:line="360" w:lineRule="auto"/>
        <w:ind w:left="851" w:right="-929"/>
        <w:jc w:val="both"/>
        <w:rPr>
          <w:rFonts w:ascii="Palatino Linotype" w:eastAsia="Palatino Linotype" w:hAnsi="Palatino Linotype" w:cs="Palatino Linotype"/>
          <w:i/>
          <w:iCs/>
        </w:rPr>
      </w:pPr>
    </w:p>
    <w:p w:rsidR="00062873" w:rsidRDefault="00C85A03">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rPr>
        <w:t xml:space="preserve">De la interpretación del criterio antes citado, se advierte que cuando el particular impugnó la respuesta del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no expresó razón o motivo de inconformidad en contra de todos los rubros solicitados, por tanto estos deben declararse atendidos, pues se entiende que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está conforme con la respuesta proporcionada por </w:t>
      </w:r>
      <w:r>
        <w:rPr>
          <w:rFonts w:ascii="Palatino Linotype" w:eastAsia="Palatino Linotype" w:hAnsi="Palatino Linotype" w:cs="Palatino Linotype"/>
          <w:b/>
          <w:bCs/>
        </w:rPr>
        <w:t>EL SUJETO OBLIGADO,</w:t>
      </w:r>
      <w:r>
        <w:rPr>
          <w:rFonts w:ascii="Palatino Linotype" w:eastAsia="Palatino Linotype" w:hAnsi="Palatino Linotype" w:cs="Palatino Linotype"/>
        </w:rPr>
        <w:t xml:space="preserve"> al no contravenir la misma.</w:t>
      </w:r>
    </w:p>
    <w:p w:rsidR="00062873" w:rsidRDefault="00C85A03">
      <w:pPr>
        <w:pBdr>
          <w:top w:val="nil"/>
          <w:left w:val="nil"/>
          <w:bottom w:val="nil"/>
          <w:right w:val="nil"/>
          <w:between w:val="nil"/>
        </w:pBdr>
        <w:spacing w:line="360" w:lineRule="auto"/>
        <w:ind w:left="502" w:right="-929"/>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rsidR="00062873" w:rsidRDefault="00C85A03">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rPr>
        <w:lastRenderedPageBreak/>
        <w:t>Atento a ello, es importante traer a contexto la Tesis Jurisprudencial Número 3ª./J.7/91, Publicada en el Semanario Judicial de la Federación y su Gaceta bajo el número de registro 174,177, que establece lo siguiente:</w:t>
      </w:r>
    </w:p>
    <w:p w:rsidR="00062873" w:rsidRDefault="00C85A03">
      <w:pPr>
        <w:tabs>
          <w:tab w:val="left" w:pos="7937"/>
          <w:tab w:val="left" w:pos="8222"/>
        </w:tabs>
        <w:spacing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“REVISIÓN EN AMPARO. LOS RESOLUTIVOS NO COMBATIDOS DEBEN DECLARARSE FIRMES. </w:t>
      </w:r>
      <w:r>
        <w:rPr>
          <w:rFonts w:ascii="Palatino Linotype" w:eastAsia="Palatino Linotype" w:hAnsi="Palatino Linotype" w:cs="Palatino Linotype"/>
          <w:i/>
          <w:iCs/>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rsidR="00062873" w:rsidRDefault="00062873">
      <w:pPr>
        <w:tabs>
          <w:tab w:val="left" w:pos="7937"/>
          <w:tab w:val="left" w:pos="8222"/>
        </w:tabs>
        <w:spacing w:line="360" w:lineRule="auto"/>
        <w:ind w:left="851" w:right="-929"/>
        <w:jc w:val="both"/>
        <w:rPr>
          <w:rFonts w:ascii="Palatino Linotype" w:eastAsia="Palatino Linotype" w:hAnsi="Palatino Linotype" w:cs="Palatino Linotype"/>
          <w:i/>
          <w:iCs/>
        </w:rPr>
      </w:pPr>
    </w:p>
    <w:p w:rsidR="00062873" w:rsidRDefault="00C85A03">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rPr>
        <w:t xml:space="preserve">En consecuencia que los demás fundamentos remitidos en respuesta. Se consideran un acto consentido y, en consecuencia, este Órgano Resolutor no entrará al estudio del mismo por las razones hasta aquí expuestas. </w:t>
      </w:r>
    </w:p>
    <w:p w:rsidR="00062873" w:rsidRDefault="00062873">
      <w:pPr>
        <w:pBdr>
          <w:top w:val="nil"/>
          <w:left w:val="nil"/>
          <w:bottom w:val="nil"/>
          <w:right w:val="nil"/>
          <w:between w:val="nil"/>
        </w:pBdr>
        <w:spacing w:line="360" w:lineRule="auto"/>
        <w:ind w:right="-929"/>
        <w:jc w:val="both"/>
        <w:rPr>
          <w:rFonts w:ascii="Palatino Linotype" w:eastAsia="Palatino Linotype" w:hAnsi="Palatino Linotype" w:cs="Palatino Linotype"/>
        </w:rPr>
      </w:pPr>
    </w:p>
    <w:p w:rsidR="00062873" w:rsidRDefault="00C85A03">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rPr>
        <w:t xml:space="preserve">Ahora bien, respecto del resto de la información, se desprende un aspecto importante, como lo es que, ya fue asumida de manera expresa por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tan es así que la pone a disposición del ahora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en consulta directa e, incluso conoce de manera puntual el número de fojas que la integrará y el peso informático.</w:t>
      </w:r>
    </w:p>
    <w:p w:rsidR="00062873" w:rsidRDefault="00062873">
      <w:pPr>
        <w:pBdr>
          <w:top w:val="nil"/>
          <w:left w:val="nil"/>
          <w:bottom w:val="nil"/>
          <w:right w:val="nil"/>
          <w:between w:val="nil"/>
        </w:pBdr>
        <w:spacing w:line="360" w:lineRule="auto"/>
        <w:ind w:left="502" w:right="-929"/>
        <w:jc w:val="both"/>
        <w:rPr>
          <w:rFonts w:ascii="Palatino Linotype" w:eastAsia="Palatino Linotype" w:hAnsi="Palatino Linotype" w:cs="Palatino Linotype"/>
        </w:rPr>
      </w:pPr>
    </w:p>
    <w:p w:rsidR="00062873" w:rsidRDefault="00C85A03">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rPr>
        <w:t xml:space="preserve">De modo tal que se omite un análisis pormenorizado de la fuente obligacional del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para poder determinar si genera, posee o administra lo solicitado, al corresponder a información que ya ha sido asumida de manera expresa.</w:t>
      </w:r>
    </w:p>
    <w:p w:rsidR="00062873" w:rsidRDefault="00C85A03">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rPr>
        <w:lastRenderedPageBreak/>
        <w:t xml:space="preserve">No obstante, con relación al pretendido cambio de modalidad, corresponde a un contexto que se desestima </w:t>
      </w:r>
      <w:r>
        <w:rPr>
          <w:rFonts w:ascii="Palatino Linotype" w:eastAsia="Palatino Linotype" w:hAnsi="Palatino Linotype" w:cs="Palatino Linotype"/>
          <w:i/>
          <w:iCs/>
        </w:rPr>
        <w:t>de facto</w:t>
      </w:r>
      <w:r>
        <w:rPr>
          <w:rFonts w:ascii="Palatino Linotype" w:eastAsia="Palatino Linotype" w:hAnsi="Palatino Linotype" w:cs="Palatino Linotype"/>
        </w:rPr>
        <w:t>; toda vez que con los datos informados, resulta evidente su improcedencia, por las siguientes consideraciones.</w:t>
      </w:r>
    </w:p>
    <w:p w:rsidR="00062873" w:rsidRDefault="00062873">
      <w:pPr>
        <w:pBdr>
          <w:top w:val="nil"/>
          <w:left w:val="nil"/>
          <w:bottom w:val="nil"/>
          <w:right w:val="nil"/>
          <w:between w:val="nil"/>
        </w:pBdr>
        <w:ind w:left="720" w:right="-929"/>
        <w:rPr>
          <w:rFonts w:ascii="Palatino Linotype" w:eastAsia="Palatino Linotype" w:hAnsi="Palatino Linotype" w:cs="Palatino Linotype"/>
          <w:color w:val="000000"/>
        </w:rPr>
      </w:pPr>
    </w:p>
    <w:p w:rsidR="00062873" w:rsidRDefault="00C85A03">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rPr>
        <w:t>El cambio de modalidad se pretende sustentar, en el peso que implica la información solicitada, que de acuerdo al reporte de incidencias realizado ante este Instituto, quedó registrado en la bitácora un peso de 599 megabytes (sin que se haya informado del número de fojas); peso que si bien sobrepasa las capacidades técnicas del SAIMEX; también lo es, que no así el volumen de fojas que integran la información.</w:t>
      </w:r>
    </w:p>
    <w:p w:rsidR="00062873" w:rsidRDefault="00062873">
      <w:pPr>
        <w:pBdr>
          <w:top w:val="nil"/>
          <w:left w:val="nil"/>
          <w:bottom w:val="nil"/>
          <w:right w:val="nil"/>
          <w:between w:val="nil"/>
        </w:pBdr>
        <w:ind w:left="720" w:right="-929"/>
        <w:rPr>
          <w:rFonts w:ascii="Palatino Linotype" w:eastAsia="Palatino Linotype" w:hAnsi="Palatino Linotype" w:cs="Palatino Linotype"/>
          <w:color w:val="000000"/>
        </w:rPr>
      </w:pPr>
    </w:p>
    <w:p w:rsidR="00062873" w:rsidRDefault="00C85A03">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rPr>
        <w:t>Al respecto, se logra apreciar en el oficio suscrito por la Subdirectora de Normatividad y Verificación en su calidad de servidora pública habilitada, que se informa del volumen de información, el cual está compuesto por un total de 4200 (cuatro mil doscientas) hojas.</w:t>
      </w:r>
    </w:p>
    <w:p w:rsidR="00062873" w:rsidRDefault="00062873">
      <w:pPr>
        <w:pBdr>
          <w:top w:val="nil"/>
          <w:left w:val="nil"/>
          <w:bottom w:val="nil"/>
          <w:right w:val="nil"/>
          <w:between w:val="nil"/>
        </w:pBdr>
        <w:ind w:left="720" w:right="-929"/>
        <w:rPr>
          <w:rFonts w:ascii="Palatino Linotype" w:eastAsia="Palatino Linotype" w:hAnsi="Palatino Linotype" w:cs="Palatino Linotype"/>
          <w:color w:val="000000"/>
        </w:rPr>
      </w:pPr>
    </w:p>
    <w:p w:rsidR="00062873" w:rsidRDefault="00C85A03">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rPr>
        <w:t xml:space="preserve">Al respecto, el Pleno de este Instituto ha determinado en numerosas resoluciones con apoyo de la Dirección General de Informática de este Instituto, que en relación al peso máximo de archivos que soporta el SAIMEX para adjuntar como respuesta a las solicitudes de información, que el SAIMEX tiene el soporte tecnológico para que se puedan adjuntar archivos con un peso aproximado de hasta 500Mb </w:t>
      </w:r>
      <w:r>
        <w:rPr>
          <w:rFonts w:ascii="Palatino Linotype" w:eastAsia="Palatino Linotype" w:hAnsi="Palatino Linotype" w:cs="Palatino Linotype"/>
          <w:u w:val="single"/>
        </w:rPr>
        <w:t>o un equivalente de hasta 8,000 hojas</w:t>
      </w:r>
      <w:r>
        <w:rPr>
          <w:rFonts w:ascii="Palatino Linotype" w:eastAsia="Palatino Linotype" w:hAnsi="Palatino Linotype" w:cs="Palatino Linotype"/>
        </w:rPr>
        <w:t xml:space="preserve">, garantizando que el solicitante no tenga problemas en la descarga de la información usando conexiones a internet convencionales, bajo parámetros de escaneo en resolución máxima de 150Dpi's, escala de grises y formato "PDF" extraído directamente del escáner, hecho que evidentemente debe superarse para eventualmente proponer un cambio de modalidad por imposibilidad técnica, contexto que en el presente asunto no se materializa, ya que si bien no se informó del número exacto de hojas que implica la información a entregar, en el presente </w:t>
      </w:r>
      <w:r>
        <w:rPr>
          <w:rFonts w:ascii="Palatino Linotype" w:eastAsia="Palatino Linotype" w:hAnsi="Palatino Linotype" w:cs="Palatino Linotype"/>
        </w:rPr>
        <w:lastRenderedPageBreak/>
        <w:t>asunto, resulta innecesario al tener el dato concreto del peso en megabytes, mismo que puede ser remitido sin inconveniente vía SAIMEX,</w:t>
      </w:r>
    </w:p>
    <w:p w:rsidR="00062873" w:rsidRDefault="00062873">
      <w:pPr>
        <w:pBdr>
          <w:top w:val="nil"/>
          <w:left w:val="nil"/>
          <w:bottom w:val="nil"/>
          <w:right w:val="nil"/>
          <w:between w:val="nil"/>
        </w:pBdr>
        <w:spacing w:line="360" w:lineRule="auto"/>
        <w:ind w:left="720" w:right="-929"/>
        <w:rPr>
          <w:rFonts w:ascii="Palatino Linotype" w:eastAsia="Palatino Linotype" w:hAnsi="Palatino Linotype" w:cs="Palatino Linotype"/>
          <w:color w:val="000000"/>
        </w:rPr>
      </w:pPr>
    </w:p>
    <w:p w:rsidR="00062873" w:rsidRDefault="00C85A03">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De ahí, que la propia Dirección de Informática, además de informar mediante oficio</w:t>
      </w:r>
      <w:r>
        <w:t xml:space="preserve"> </w:t>
      </w:r>
      <w:r>
        <w:rPr>
          <w:rFonts w:ascii="Palatino Linotype" w:eastAsia="Palatino Linotype" w:hAnsi="Palatino Linotype" w:cs="Palatino Linotype"/>
          <w:color w:val="000000"/>
        </w:rPr>
        <w:t>INFOEM/DGI/857/</w:t>
      </w:r>
      <w:r>
        <w:rPr>
          <w:rFonts w:ascii="Palatino Linotype" w:eastAsia="Palatino Linotype" w:hAnsi="Palatino Linotype" w:cs="Palatino Linotype"/>
        </w:rPr>
        <w:t>2025</w:t>
      </w:r>
      <w:r>
        <w:rPr>
          <w:rFonts w:ascii="Palatino Linotype" w:eastAsia="Palatino Linotype" w:hAnsi="Palatino Linotype" w:cs="Palatino Linotype"/>
          <w:color w:val="000000"/>
        </w:rPr>
        <w:t xml:space="preserve">, que la incidencia técnica había quedado registrada; que también resultaba importante </w:t>
      </w:r>
      <w:r>
        <w:rPr>
          <w:rFonts w:ascii="Palatino Linotype" w:eastAsia="Palatino Linotype" w:hAnsi="Palatino Linotype" w:cs="Palatino Linotype"/>
        </w:rPr>
        <w:t>hacerle</w:t>
      </w:r>
      <w:r>
        <w:rPr>
          <w:rFonts w:ascii="Palatino Linotype" w:eastAsia="Palatino Linotype" w:hAnsi="Palatino Linotype" w:cs="Palatino Linotype"/>
          <w:color w:val="000000"/>
        </w:rPr>
        <w:t xml:space="preserve"> del conocimiento, que el peso de 599 MB, es responsabilidad del Sujeto Obligado. En ese sentido fue que se le hizo la recomendación, para el escaneo de fojas, utilizar una resolución alta de 150 Dpi's, en escala de grises y formato "PDF"; extraído directamente del escáner.</w:t>
      </w:r>
    </w:p>
    <w:p w:rsidR="00062873" w:rsidRDefault="00062873">
      <w:pPr>
        <w:pBdr>
          <w:top w:val="nil"/>
          <w:left w:val="nil"/>
          <w:bottom w:val="nil"/>
          <w:right w:val="nil"/>
          <w:between w:val="nil"/>
        </w:pBdr>
        <w:ind w:left="720" w:right="-929"/>
        <w:rPr>
          <w:rFonts w:ascii="Palatino Linotype" w:eastAsia="Palatino Linotype" w:hAnsi="Palatino Linotype" w:cs="Palatino Linotype"/>
          <w:color w:val="000000"/>
        </w:rPr>
      </w:pPr>
    </w:p>
    <w:p w:rsidR="00062873" w:rsidRDefault="00C85A03">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rPr>
        <w:t>De lo que se colige que las 4200 fojas, se encuentran escaneadas de una manera que implica un peso mayor, ya sea por su resolución o por su formato; de ahí que se le haga saber que el peso depende de la manera en que los sujetos obligados realicen el escaneo de documentos.</w:t>
      </w:r>
    </w:p>
    <w:p w:rsidR="00062873" w:rsidRDefault="00062873">
      <w:pPr>
        <w:pBdr>
          <w:top w:val="nil"/>
          <w:left w:val="nil"/>
          <w:bottom w:val="nil"/>
          <w:right w:val="nil"/>
          <w:between w:val="nil"/>
        </w:pBdr>
        <w:spacing w:line="360" w:lineRule="auto"/>
        <w:ind w:right="-929"/>
        <w:jc w:val="both"/>
        <w:rPr>
          <w:rFonts w:ascii="Palatino Linotype" w:eastAsia="Palatino Linotype" w:hAnsi="Palatino Linotype" w:cs="Palatino Linotype"/>
        </w:rPr>
      </w:pPr>
    </w:p>
    <w:p w:rsidR="00062873" w:rsidRDefault="00C85A03">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rPr>
        <w:t>A mayor abundamiento, la recomendación emitida por la Dirección de Informática, consiste en usar una resolución de 150 DPI (“dots per inch” o puntos por pulgada) los cuales determinan la calidad de la imagen escaneada.</w:t>
      </w:r>
    </w:p>
    <w:p w:rsidR="00062873" w:rsidRDefault="00062873">
      <w:pPr>
        <w:pBdr>
          <w:top w:val="nil"/>
          <w:left w:val="nil"/>
          <w:bottom w:val="nil"/>
          <w:right w:val="nil"/>
          <w:between w:val="nil"/>
        </w:pBdr>
        <w:ind w:left="720" w:right="-929"/>
        <w:rPr>
          <w:rFonts w:ascii="Palatino Linotype" w:eastAsia="Palatino Linotype" w:hAnsi="Palatino Linotype" w:cs="Palatino Linotype"/>
          <w:color w:val="000000"/>
        </w:rPr>
      </w:pPr>
    </w:p>
    <w:p w:rsidR="00062873" w:rsidRDefault="00C85A03">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rPr>
        <w:t>Una resolución de 150 DPI eventualmente puede ser suficiente para leer documentos y genera archivos menos pesados que resoluciones más altas, escala de grises o escanear en blanco, negro y tonos grises reduce considerablemente el tamaño del archivo, a diferencia del escaneo a color.</w:t>
      </w:r>
    </w:p>
    <w:p w:rsidR="00062873" w:rsidRDefault="00062873">
      <w:pPr>
        <w:pBdr>
          <w:top w:val="nil"/>
          <w:left w:val="nil"/>
          <w:bottom w:val="nil"/>
          <w:right w:val="nil"/>
          <w:between w:val="nil"/>
        </w:pBdr>
        <w:ind w:left="720" w:right="-929"/>
        <w:rPr>
          <w:rFonts w:ascii="Palatino Linotype" w:eastAsia="Palatino Linotype" w:hAnsi="Palatino Linotype" w:cs="Palatino Linotype"/>
          <w:color w:val="000000"/>
        </w:rPr>
      </w:pPr>
    </w:p>
    <w:p w:rsidR="00062873" w:rsidRDefault="00C85A03">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rPr>
        <w:lastRenderedPageBreak/>
        <w:t>En cuanto al formato PDF, el documento se refiere a que debe guardarse directamente en PDF, que es un formato más práctico y compatible para consulta y descarga y por cuanto hace a extraído directamente del escáner, significa que el PDF debe generarse desde el propio escáner, sin convertir imágenes posteriormente o usar procesos que aumentaran innecesariamente el tamaño del archivo.</w:t>
      </w:r>
    </w:p>
    <w:p w:rsidR="00062873" w:rsidRDefault="00062873">
      <w:pPr>
        <w:pBdr>
          <w:top w:val="nil"/>
          <w:left w:val="nil"/>
          <w:bottom w:val="nil"/>
          <w:right w:val="nil"/>
          <w:between w:val="nil"/>
        </w:pBdr>
        <w:spacing w:line="360" w:lineRule="auto"/>
        <w:ind w:right="-929"/>
        <w:jc w:val="both"/>
        <w:rPr>
          <w:rFonts w:ascii="Palatino Linotype" w:eastAsia="Palatino Linotype" w:hAnsi="Palatino Linotype" w:cs="Palatino Linotype"/>
        </w:rPr>
      </w:pPr>
    </w:p>
    <w:p w:rsidR="00062873" w:rsidRDefault="00C85A03">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rPr>
        <w:t>En conjunto, los comentarios de la Dirección de Informática, sostienen que los archivos eventualmente pesan demasiado porque no se siguieron esas recomendaciones técnicas de digitalización. Por tanto al ya tener este Órgano Garante conocimiento pleno y puntual del número de fojas que integran la respuesta, determina que el cambio de modalidad propuesto resulta improcedente, siendo dable ordenar su entrega en la modalidad de entrega, inicialmente elegida.</w:t>
      </w:r>
    </w:p>
    <w:p w:rsidR="00062873" w:rsidRDefault="00062873">
      <w:pPr>
        <w:spacing w:line="360" w:lineRule="auto"/>
        <w:ind w:right="-929"/>
        <w:jc w:val="both"/>
        <w:rPr>
          <w:rFonts w:ascii="Palatino Linotype" w:eastAsia="Palatino Linotype" w:hAnsi="Palatino Linotype" w:cs="Palatino Linotype"/>
        </w:rPr>
      </w:pPr>
    </w:p>
    <w:p w:rsidR="00062873" w:rsidRDefault="00C85A03">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rPr>
        <w:t>Además, de que la información que se ordena, es de interés general y de alcance público, puesto que la ciudadanía tiene derecho a conocer de las verificaciones, inspecciones y clausuras que realizan los ayuntamientos con la finalidad de proteger a la sociedad y garantizar el cumplimiento de la ley en actividades que pueden afectar a la comunidad; asimismo porque les permiten vigilar que la autoridad actúe legalmente, sin arbitrariedad y en beneficio de la comunidad. Sin embargo, se advierte información que eventualmente podría reservarse temporalmente si se afectan procedimientos en curso, como lo es aquella que dé cumplimiento al rubro relativo a “</w:t>
      </w:r>
      <w:r>
        <w:rPr>
          <w:rFonts w:ascii="Palatino Linotype" w:eastAsia="Palatino Linotype" w:hAnsi="Palatino Linotype" w:cs="Palatino Linotype"/>
          <w:i/>
          <w:iCs/>
        </w:rPr>
        <w:t>Informe de procedimientos administrativos o recursos presentados por los particulares contra dichas actuaciones”</w:t>
      </w:r>
      <w:r>
        <w:rPr>
          <w:rFonts w:ascii="Palatino Linotype" w:eastAsia="Palatino Linotype" w:hAnsi="Palatino Linotype" w:cs="Palatino Linotype"/>
        </w:rPr>
        <w:t xml:space="preserve">, pues </w:t>
      </w:r>
      <w:r>
        <w:rPr>
          <w:rFonts w:ascii="Palatino Linotype" w:eastAsia="Palatino Linotype" w:hAnsi="Palatino Linotype" w:cs="Palatino Linotype"/>
          <w:color w:val="000000"/>
        </w:rPr>
        <w:t>se colige que eventualmente se pudiera actualizar la causal contenida en la fracción VIII del artículo 140 de la Ley de Transparencia y Acceso a la Información Pública del Estado de México y Municipios, a saber:</w:t>
      </w:r>
    </w:p>
    <w:p w:rsidR="00062873" w:rsidRDefault="00C85A03">
      <w:pPr>
        <w:spacing w:line="360" w:lineRule="auto"/>
        <w:ind w:left="426"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 xml:space="preserve">“Artículo 140. El acceso a la información pública será restringido excepcionalmente, cuando por razones de interés público, ésta sea clasificada como reservada, conforme a los criterios siguientes: </w:t>
      </w:r>
    </w:p>
    <w:p w:rsidR="00062873" w:rsidRDefault="00C85A03">
      <w:pPr>
        <w:spacing w:line="360" w:lineRule="auto"/>
        <w:ind w:left="426"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062873" w:rsidRDefault="00C85A03">
      <w:pPr>
        <w:spacing w:line="360" w:lineRule="auto"/>
        <w:ind w:left="426"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VIII. Vulnere la conducción de los expedientes judiciales o de los procedimientos administrativos seguidos en forma de juicio, en tanto no hayan quedado firmes; </w:t>
      </w:r>
    </w:p>
    <w:p w:rsidR="00062873" w:rsidRDefault="00C85A03">
      <w:pPr>
        <w:spacing w:line="360" w:lineRule="auto"/>
        <w:ind w:left="426"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062873" w:rsidRDefault="00062873">
      <w:pPr>
        <w:spacing w:line="360" w:lineRule="auto"/>
        <w:ind w:right="-929"/>
        <w:jc w:val="both"/>
        <w:rPr>
          <w:rFonts w:ascii="Palatino Linotype" w:eastAsia="Palatino Linotype" w:hAnsi="Palatino Linotype" w:cs="Palatino Linotype"/>
          <w:color w:val="000000"/>
        </w:rPr>
      </w:pPr>
    </w:p>
    <w:p w:rsidR="00062873" w:rsidRDefault="00C85A03">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Ello derivado, del cambio de modalidad propuesto, pues se desconoce si existen procedimiento en trámite que eventualmente pudieran actualizar, la causal de reserva en cita; toda vez que dicha causal está contemplada en la Ley de la Materia para proteger aquella información cuya divulgación pueda afectar materialmente la conducción de un procedimiento contencioso mientras no exista resolución firme.</w:t>
      </w:r>
    </w:p>
    <w:p w:rsidR="00062873" w:rsidRDefault="00062873">
      <w:pPr>
        <w:spacing w:line="360" w:lineRule="auto"/>
        <w:ind w:right="-929"/>
        <w:jc w:val="both"/>
        <w:rPr>
          <w:rFonts w:ascii="Palatino Linotype" w:eastAsia="Palatino Linotype" w:hAnsi="Palatino Linotype" w:cs="Palatino Linotype"/>
          <w:color w:val="000000"/>
        </w:rPr>
      </w:pPr>
    </w:p>
    <w:p w:rsidR="00062873" w:rsidRDefault="00C85A03">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 xml:space="preserve">En ese sentido, los </w:t>
      </w:r>
      <w:r>
        <w:rPr>
          <w:rFonts w:ascii="Palatino Linotype" w:eastAsia="Palatino Linotype" w:hAnsi="Palatino Linotype" w:cs="Palatino Linotype"/>
        </w:rPr>
        <w:t>procedimientos administrativos o recursos presentados por los particulares contra dichas actuaciones</w:t>
      </w:r>
      <w:r>
        <w:rPr>
          <w:rFonts w:ascii="Palatino Linotype" w:eastAsia="Palatino Linotype" w:hAnsi="Palatino Linotype" w:cs="Palatino Linotype"/>
          <w:color w:val="000000"/>
        </w:rPr>
        <w:t xml:space="preserve"> pudiera actualizar una causal de reserva, de no estar concluidos, toda vez que con su entrega, eventualmente se pueden revelan estrategias procesales, actuaciones jurisdiccionales, desprotegiendo elementos como estrategias jurídicas, líneas de defensa, pruebas, actuaciones internas del litigio, proyectos de resolución, diligencias pendientes, cuya difusión sí podría afectar el debido proceso o generar una ventaja indebida para alguna de las partes.</w:t>
      </w:r>
    </w:p>
    <w:p w:rsidR="00062873" w:rsidRDefault="00062873">
      <w:pPr>
        <w:spacing w:line="360" w:lineRule="auto"/>
        <w:ind w:right="-929"/>
        <w:jc w:val="both"/>
        <w:rPr>
          <w:rFonts w:ascii="Palatino Linotype" w:eastAsia="Palatino Linotype" w:hAnsi="Palatino Linotype" w:cs="Palatino Linotype"/>
          <w:color w:val="000000"/>
        </w:rPr>
      </w:pPr>
    </w:p>
    <w:p w:rsidR="00062873" w:rsidRDefault="00C85A03">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 xml:space="preserve">Por tanto, dada su propia y especial naturaleza, eventualmente, si pudieran actualizar una causal de reserva, si estos no están concluidos. En ese sentido, los sujetos obligados deben acreditar una prueba de daño, en la cual se justifique caso por caso por qué su divulgación </w:t>
      </w:r>
      <w:r>
        <w:rPr>
          <w:rFonts w:ascii="Palatino Linotype" w:eastAsia="Palatino Linotype" w:hAnsi="Palatino Linotype" w:cs="Palatino Linotype"/>
          <w:color w:val="000000"/>
        </w:rPr>
        <w:lastRenderedPageBreak/>
        <w:t>afectaría realmente el procedimiento, ya que –se insiste– esos documentos sí pueden ser más sensibles que el resto de la información solicitada.</w:t>
      </w:r>
    </w:p>
    <w:p w:rsidR="00062873" w:rsidRDefault="00062873">
      <w:pPr>
        <w:pBdr>
          <w:top w:val="nil"/>
          <w:left w:val="nil"/>
          <w:bottom w:val="nil"/>
          <w:right w:val="nil"/>
          <w:between w:val="nil"/>
        </w:pBdr>
        <w:ind w:left="720" w:right="-929"/>
        <w:rPr>
          <w:rFonts w:ascii="Palatino Linotype" w:eastAsia="Palatino Linotype" w:hAnsi="Palatino Linotype" w:cs="Palatino Linotype"/>
          <w:color w:val="000000"/>
        </w:rPr>
      </w:pPr>
    </w:p>
    <w:p w:rsidR="00062873" w:rsidRDefault="00C85A03">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 xml:space="preserve">Luego entonces, la reserva debe estar fundada y motivada, reiterando en la aplicabilidad de una prueba de daño, debiendo demostrar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de manera enunciativa más no limitativa aspectos como que el documento constituye una prueba central aún no desahogada; que su difusión alteraría la igualdad procesal; que revelaría estrategia jurídica; o que interferiría materialmente con actuaciones pendientes, esto para el caso que la causal que se actualice por existir procedimientos en trámite.</w:t>
      </w:r>
    </w:p>
    <w:p w:rsidR="00062873" w:rsidRDefault="00062873">
      <w:pPr>
        <w:spacing w:line="360" w:lineRule="auto"/>
        <w:ind w:right="-929"/>
        <w:jc w:val="both"/>
        <w:rPr>
          <w:rFonts w:ascii="Palatino Linotype" w:eastAsia="Palatino Linotype" w:hAnsi="Palatino Linotype" w:cs="Palatino Linotype"/>
          <w:color w:val="000000"/>
        </w:rPr>
      </w:pPr>
    </w:p>
    <w:p w:rsidR="00062873" w:rsidRDefault="00C85A03">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rPr>
        <w:t xml:space="preserve">Dicho lo anterior, es necesario definir con puntualidad a la prueba de daño como la </w:t>
      </w:r>
      <w:r>
        <w:rPr>
          <w:rFonts w:ascii="Palatino Linotype" w:eastAsia="Palatino Linotype" w:hAnsi="Palatino Linotype" w:cs="Palatino Linotype"/>
          <w:color w:val="000000"/>
        </w:rPr>
        <w:t>responsabilidad</w:t>
      </w:r>
      <w:r>
        <w:rPr>
          <w:rFonts w:ascii="Palatino Linotype" w:eastAsia="Palatino Linotype" w:hAnsi="Palatino Linotype" w:cs="Palatino Linotype"/>
        </w:rPr>
        <w:t xml:space="preserve"> de los </w:t>
      </w:r>
      <w:r>
        <w:rPr>
          <w:rFonts w:ascii="Palatino Linotype" w:eastAsia="Palatino Linotype" w:hAnsi="Palatino Linotype" w:cs="Palatino Linotype"/>
          <w:color w:val="000000"/>
        </w:rPr>
        <w:t>sujetos</w:t>
      </w:r>
      <w:r>
        <w:rPr>
          <w:rFonts w:ascii="Palatino Linotype" w:eastAsia="Palatino Linotype" w:hAnsi="Palatino Linotype" w:cs="Palatino Linotype"/>
        </w:rPr>
        <w:t xml:space="preserve">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r>
        <w:rPr>
          <w:rFonts w:ascii="Palatino Linotype" w:eastAsia="Palatino Linotype" w:hAnsi="Palatino Linotype" w:cs="Palatino Linotype"/>
          <w:vertAlign w:val="superscript"/>
        </w:rPr>
        <w:footnoteReference w:id="1"/>
      </w:r>
    </w:p>
    <w:p w:rsidR="00062873" w:rsidRDefault="00062873">
      <w:pPr>
        <w:spacing w:line="360" w:lineRule="auto"/>
        <w:ind w:right="-929"/>
        <w:jc w:val="both"/>
        <w:rPr>
          <w:rFonts w:ascii="Palatino Linotype" w:eastAsia="Palatino Linotype" w:hAnsi="Palatino Linotype" w:cs="Palatino Linotype"/>
        </w:rPr>
      </w:pPr>
    </w:p>
    <w:p w:rsidR="00062873" w:rsidRDefault="00C85A03">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rPr>
        <w:t>De este modo,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r>
        <w:rPr>
          <w:rFonts w:ascii="Palatino Linotype" w:eastAsia="Palatino Linotype" w:hAnsi="Palatino Linotype" w:cs="Palatino Linotype"/>
          <w:vertAlign w:val="superscript"/>
        </w:rPr>
        <w:footnoteReference w:id="2"/>
      </w:r>
    </w:p>
    <w:p w:rsidR="00062873" w:rsidRDefault="00C85A03">
      <w:pPr>
        <w:numPr>
          <w:ilvl w:val="0"/>
          <w:numId w:val="7"/>
        </w:numPr>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rPr>
        <w:lastRenderedPageBreak/>
        <w:t>Se reciba una solicitud de acceso a la información.</w:t>
      </w:r>
    </w:p>
    <w:p w:rsidR="00062873" w:rsidRDefault="00C85A03">
      <w:pPr>
        <w:numPr>
          <w:ilvl w:val="0"/>
          <w:numId w:val="7"/>
        </w:numPr>
        <w:spacing w:line="360" w:lineRule="auto"/>
        <w:ind w:right="-929"/>
        <w:jc w:val="both"/>
        <w:rPr>
          <w:rFonts w:ascii="Palatino Linotype" w:eastAsia="Palatino Linotype" w:hAnsi="Palatino Linotype" w:cs="Palatino Linotype"/>
          <w:b/>
          <w:bCs/>
          <w:u w:val="single"/>
        </w:rPr>
      </w:pPr>
      <w:r>
        <w:rPr>
          <w:rFonts w:ascii="Palatino Linotype" w:eastAsia="Palatino Linotype" w:hAnsi="Palatino Linotype" w:cs="Palatino Linotype"/>
          <w:b/>
          <w:bCs/>
          <w:u w:val="single"/>
        </w:rPr>
        <w:t>Se determine mediante resolución de autoridad competente.</w:t>
      </w:r>
    </w:p>
    <w:p w:rsidR="00062873" w:rsidRDefault="00C85A03">
      <w:pPr>
        <w:numPr>
          <w:ilvl w:val="0"/>
          <w:numId w:val="7"/>
        </w:numPr>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rPr>
        <w:t>Se generen versiones públicas para dar cumplimiento a las obligaciones de transparencia previstas en la Ley.</w:t>
      </w:r>
    </w:p>
    <w:p w:rsidR="00062873" w:rsidRDefault="00062873">
      <w:pPr>
        <w:spacing w:line="360" w:lineRule="auto"/>
        <w:ind w:right="-929"/>
        <w:jc w:val="both"/>
        <w:rPr>
          <w:rFonts w:ascii="Palatino Linotype" w:eastAsia="Palatino Linotype" w:hAnsi="Palatino Linotype" w:cs="Palatino Linotype"/>
        </w:rPr>
      </w:pPr>
    </w:p>
    <w:p w:rsidR="00062873" w:rsidRDefault="00C85A03">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rPr>
        <w:t>Situación que se robustece con el artículo 141 de la misma Ley, que señala que las causales de reserva previstas, se deberán fundar y motivar, a través de la aplicación de la prueba de daño.</w:t>
      </w:r>
    </w:p>
    <w:p w:rsidR="00062873" w:rsidRDefault="00062873">
      <w:pPr>
        <w:spacing w:line="360" w:lineRule="auto"/>
        <w:ind w:right="-929"/>
        <w:jc w:val="both"/>
        <w:rPr>
          <w:rFonts w:ascii="Palatino Linotype" w:eastAsia="Palatino Linotype" w:hAnsi="Palatino Linotype" w:cs="Palatino Linotype"/>
        </w:rPr>
      </w:pPr>
    </w:p>
    <w:p w:rsidR="00062873" w:rsidRDefault="00C85A03">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rPr>
        <w:t xml:space="preserve">Igualmente, la clasificación de la información debe estar sustentada en el Acuerdo de Clasificación correspondiente, en el que, de manera fundada y motivada, se establezcan las hipótesis normativas aplicables al caso concreto y se analice la prueba del daño que prevé el artículo 129 de la Ley de Transparencia de mérito, para lo cual, los sujetos obligados deberán considerar lo siguiente: </w:t>
      </w:r>
    </w:p>
    <w:p w:rsidR="00062873" w:rsidRDefault="00C85A03">
      <w:pPr>
        <w:numPr>
          <w:ilvl w:val="0"/>
          <w:numId w:val="8"/>
        </w:num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 divulgación de la información representa un riesgo real, demostrable e identificable del perjuicio significativo al interés público o a la seguridad pública;</w:t>
      </w:r>
    </w:p>
    <w:p w:rsidR="00062873" w:rsidRDefault="00C85A03">
      <w:pPr>
        <w:numPr>
          <w:ilvl w:val="0"/>
          <w:numId w:val="8"/>
        </w:num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riesgo de perjuicio que supondría la divulgación supera el interés público general de que se difunda; y</w:t>
      </w:r>
    </w:p>
    <w:p w:rsidR="00062873" w:rsidRDefault="00C85A03">
      <w:pPr>
        <w:numPr>
          <w:ilvl w:val="0"/>
          <w:numId w:val="8"/>
        </w:num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 limitación se adecua al principio de proporcionalidad y representa el medio menos restrictivo disponible para evitar el perjuicio. </w:t>
      </w:r>
    </w:p>
    <w:p w:rsidR="00062873" w:rsidRDefault="00062873">
      <w:pPr>
        <w:spacing w:line="360" w:lineRule="auto"/>
        <w:ind w:right="-929"/>
        <w:jc w:val="both"/>
        <w:rPr>
          <w:rFonts w:ascii="Palatino Linotype" w:eastAsia="Palatino Linotype" w:hAnsi="Palatino Linotype" w:cs="Palatino Linotype"/>
        </w:rPr>
      </w:pPr>
    </w:p>
    <w:p w:rsidR="00062873" w:rsidRDefault="00C85A03">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rPr>
        <w:lastRenderedPageBreak/>
        <w:t>De tal manera, las limitaciones al acceso a la información deben sustentarse en una adecuada clasificación que debe distinguir y tomar en cuenta qué información puede generar un daño desproporcionado o innecesario a valores jurídicamente protegidos; tal y como lo dispone la siguiente tesis</w:t>
      </w:r>
      <w:r>
        <w:rPr>
          <w:rFonts w:ascii="Palatino Linotype" w:eastAsia="Palatino Linotype" w:hAnsi="Palatino Linotype" w:cs="Palatino Linotype"/>
          <w:vertAlign w:val="superscript"/>
        </w:rPr>
        <w:t>:</w:t>
      </w:r>
    </w:p>
    <w:p w:rsidR="00062873" w:rsidRDefault="00C85A03">
      <w:pPr>
        <w:spacing w:before="240"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“INFORMACIÓN RESERVADA. APLICACIÓN DE LA "PRUEBA DE DAÑO E INTERÉS PÚBLICO" PARA DETERMINAR LO ADECUADO DE LA APORTADA CON ESA CLASIFICACIÓN EN EL JUICIO DE AMPARO POR LA AUTORIDAD RESPONSABLE, A EFECTO DE HACER VIABLE LA DEFENSA EFECTIVA DEL QUEJOSO.</w:t>
      </w:r>
      <w:r>
        <w:rPr>
          <w:rFonts w:ascii="Palatino Linotype" w:eastAsia="Palatino Linotype" w:hAnsi="Palatino Linotype" w:cs="Palatino Linotype"/>
          <w:i/>
          <w:iCs/>
        </w:rPr>
        <w:t xml:space="preserve"> </w:t>
      </w:r>
    </w:p>
    <w:p w:rsidR="00062873" w:rsidRDefault="00C85A03">
      <w:pPr>
        <w:spacing w:before="240"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i/>
          <w:iCs/>
        </w:rPr>
        <w:t>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officio, con el propósito de obtener una versión que sea pública para la parte interesada.”</w:t>
      </w:r>
    </w:p>
    <w:p w:rsidR="00062873" w:rsidRDefault="00062873">
      <w:pPr>
        <w:spacing w:before="240" w:line="360" w:lineRule="auto"/>
        <w:ind w:left="851" w:right="-929"/>
        <w:jc w:val="both"/>
        <w:rPr>
          <w:rFonts w:ascii="Palatino Linotype" w:eastAsia="Palatino Linotype" w:hAnsi="Palatino Linotype" w:cs="Palatino Linotype"/>
          <w:i/>
          <w:iCs/>
        </w:rPr>
      </w:pPr>
    </w:p>
    <w:p w:rsidR="00062873" w:rsidRDefault="00C85A03">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rPr>
        <w:lastRenderedPageBreak/>
        <w:t xml:space="preserve">Prueba de daño, que cobra relevancia puesto que </w:t>
      </w:r>
      <w:r>
        <w:rPr>
          <w:rFonts w:ascii="Palatino Linotype" w:eastAsia="Palatino Linotype" w:hAnsi="Palatino Linotype" w:cs="Palatino Linotype"/>
          <w:b/>
          <w:bCs/>
          <w:u w:val="single"/>
        </w:rPr>
        <w:t>sí ésta no arroja resultados contundentes sobre un posible peligro, deberá de publicarse la información</w:t>
      </w:r>
      <w:r>
        <w:rPr>
          <w:rFonts w:ascii="Palatino Linotype" w:eastAsia="Palatino Linotype" w:hAnsi="Palatino Linotype" w:cs="Palatino Linotype"/>
          <w:vertAlign w:val="superscript"/>
        </w:rPr>
        <w:footnoteReference w:id="3"/>
      </w:r>
      <w:r>
        <w:rPr>
          <w:rFonts w:ascii="Palatino Linotype" w:eastAsia="Palatino Linotype" w:hAnsi="Palatino Linotype" w:cs="Palatino Linotype"/>
        </w:rPr>
        <w:t>. Siendo que, los Sujetos Obligados deben aplicar de manera restrictiva y limitada, las excepciones al derecho de acceso a la información, sin ampliar las excepciones y supuestos de reserva previstos en la Ley General de Transparencia y Acceso a la Información Pública o la Ley local, aduciendo analogía o mayoría de razón.</w:t>
      </w:r>
    </w:p>
    <w:p w:rsidR="00062873" w:rsidRDefault="00062873">
      <w:pPr>
        <w:spacing w:line="360" w:lineRule="auto"/>
        <w:ind w:right="-929"/>
        <w:jc w:val="both"/>
        <w:rPr>
          <w:rFonts w:ascii="Palatino Linotype" w:eastAsia="Palatino Linotype" w:hAnsi="Palatino Linotype" w:cs="Palatino Linotype"/>
        </w:rPr>
      </w:pPr>
    </w:p>
    <w:p w:rsidR="00062873" w:rsidRDefault="00C85A03">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rPr>
        <w:t>Asimismo, los Sujetos Obligados no pueden emitir acuerdos de carácter general o particular que clasifiquen documentos o información como reservada, ya que dicha clasificación, debe estar acorde con la actualización de los supuestos definidos; resaltando, además, que la clasificación de la información se debe realizar conforme a un análisis caso por caso, mediante la aplicación de la enunciada prueba de daño.</w:t>
      </w:r>
      <w:r>
        <w:rPr>
          <w:rFonts w:ascii="Palatino Linotype" w:eastAsia="Palatino Linotype" w:hAnsi="Palatino Linotype" w:cs="Palatino Linotype"/>
          <w:vertAlign w:val="superscript"/>
        </w:rPr>
        <w:footnoteReference w:id="4"/>
      </w:r>
    </w:p>
    <w:p w:rsidR="00062873" w:rsidRDefault="00062873">
      <w:pPr>
        <w:spacing w:line="360" w:lineRule="auto"/>
        <w:ind w:right="-929"/>
        <w:jc w:val="both"/>
        <w:rPr>
          <w:rFonts w:ascii="Palatino Linotype" w:eastAsia="Palatino Linotype" w:hAnsi="Palatino Linotype" w:cs="Palatino Linotype"/>
        </w:rPr>
      </w:pPr>
    </w:p>
    <w:p w:rsidR="00062873" w:rsidRDefault="00C85A03">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rPr>
        <w:t>De este modo, es necesario que la autoridad, al aplicar la prueba de daño, distinga entre los supuestos por los cuales puede invocar la reserva de la información y cuáles de manera clara y específica, son los que le atañen a la información que se solicite; situación que le hará permisible distinguir diferencias y formular una idónea y adecuada clasificación de la información, generando así, una regla individualizada y pertinente para el caso, a través de la aplicación de dicha prueba.</w:t>
      </w:r>
    </w:p>
    <w:p w:rsidR="00062873" w:rsidRDefault="00062873">
      <w:pPr>
        <w:spacing w:line="360" w:lineRule="auto"/>
        <w:ind w:right="-929"/>
        <w:jc w:val="both"/>
        <w:rPr>
          <w:rFonts w:ascii="Palatino Linotype" w:eastAsia="Palatino Linotype" w:hAnsi="Palatino Linotype" w:cs="Palatino Linotype"/>
        </w:rPr>
      </w:pPr>
    </w:p>
    <w:p w:rsidR="00062873" w:rsidRDefault="00C85A03">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rPr>
        <w:lastRenderedPageBreak/>
        <w:t>Aunado a lo anterior, se tiene que, para realizar la clasificación de la información se debe</w:t>
      </w:r>
      <w:r>
        <w:rPr>
          <w:rFonts w:ascii="Palatino Linotype" w:eastAsia="Palatino Linotype" w:hAnsi="Palatino Linotype" w:cs="Palatino Linotype"/>
          <w:vertAlign w:val="superscript"/>
        </w:rPr>
        <w:footnoteReference w:id="5"/>
      </w:r>
      <w:r>
        <w:rPr>
          <w:rFonts w:ascii="Palatino Linotype" w:eastAsia="Palatino Linotype" w:hAnsi="Palatino Linotype" w:cs="Palatino Linotype"/>
        </w:rPr>
        <w:t>:</w:t>
      </w:r>
    </w:p>
    <w:p w:rsidR="00062873" w:rsidRDefault="00C85A03">
      <w:pPr>
        <w:numPr>
          <w:ilvl w:val="0"/>
          <w:numId w:val="9"/>
        </w:numPr>
        <w:spacing w:before="240" w:after="240" w:line="360" w:lineRule="auto"/>
        <w:ind w:left="714" w:right="-929" w:hanging="357"/>
        <w:jc w:val="both"/>
        <w:rPr>
          <w:rFonts w:ascii="Palatino Linotype" w:eastAsia="Palatino Linotype" w:hAnsi="Palatino Linotype" w:cs="Palatino Linotype"/>
        </w:rPr>
      </w:pPr>
      <w:r>
        <w:rPr>
          <w:rFonts w:ascii="Palatino Linotype" w:eastAsia="Palatino Linotype" w:hAnsi="Palatino Linotype" w:cs="Palatino Linotype"/>
          <w:b/>
          <w:bCs/>
        </w:rPr>
        <w:t>Fundar:</w:t>
      </w:r>
      <w:r>
        <w:rPr>
          <w:rFonts w:ascii="Palatino Linotype" w:eastAsia="Palatino Linotype" w:hAnsi="Palatino Linotype" w:cs="Palatino Linotype"/>
        </w:rPr>
        <w:t xml:space="preserve"> señalando el artículo, fracción, inciso, párrafo o numeral de la Ley o tratado internacional suscrito por el Estado mexicano que expresamente le otorgue el carácter de reservada.</w:t>
      </w:r>
    </w:p>
    <w:p w:rsidR="00062873" w:rsidRDefault="00C85A03">
      <w:pPr>
        <w:numPr>
          <w:ilvl w:val="0"/>
          <w:numId w:val="9"/>
        </w:numPr>
        <w:spacing w:before="240" w:line="360" w:lineRule="auto"/>
        <w:ind w:left="714" w:right="-929" w:hanging="357"/>
        <w:jc w:val="both"/>
        <w:rPr>
          <w:rFonts w:ascii="Palatino Linotype" w:eastAsia="Palatino Linotype" w:hAnsi="Palatino Linotype" w:cs="Palatino Linotype"/>
          <w:b/>
          <w:bCs/>
          <w:u w:val="single"/>
        </w:rPr>
      </w:pPr>
      <w:r>
        <w:rPr>
          <w:rFonts w:ascii="Palatino Linotype" w:eastAsia="Palatino Linotype" w:hAnsi="Palatino Linotype" w:cs="Palatino Linotype"/>
          <w:b/>
          <w:bCs/>
        </w:rPr>
        <w:t>Motivar:</w:t>
      </w:r>
      <w:r>
        <w:rPr>
          <w:rFonts w:ascii="Palatino Linotype" w:eastAsia="Palatino Linotype" w:hAnsi="Palatino Linotype" w:cs="Palatino Linotype"/>
        </w:rPr>
        <w:t xml:space="preserve"> señalando las razones o circunstancias especiales que lo llevaron a concluir que el caso particular se ajusta al supuesto previsto por la norma legal invocada como fundamento.</w:t>
      </w:r>
    </w:p>
    <w:p w:rsidR="00062873" w:rsidRDefault="00C85A03">
      <w:pPr>
        <w:numPr>
          <w:ilvl w:val="0"/>
          <w:numId w:val="9"/>
        </w:numPr>
        <w:spacing w:before="240" w:line="360" w:lineRule="auto"/>
        <w:ind w:left="714" w:right="-929" w:hanging="357"/>
        <w:jc w:val="both"/>
        <w:rPr>
          <w:rFonts w:ascii="Palatino Linotype" w:eastAsia="Palatino Linotype" w:hAnsi="Palatino Linotype" w:cs="Palatino Linotype"/>
          <w:b/>
          <w:bCs/>
          <w:u w:val="single"/>
        </w:rPr>
      </w:pPr>
      <w:r>
        <w:rPr>
          <w:rFonts w:ascii="Palatino Linotype" w:eastAsia="Palatino Linotype" w:hAnsi="Palatino Linotype" w:cs="Palatino Linotype"/>
          <w:b/>
          <w:bCs/>
          <w:u w:val="single"/>
        </w:rPr>
        <w:t>Siendo que, en el caso específico de la reserva, la motivación de la clasificación, también deberá comprender las circunstancias que justifican el establecimiento de determinado plazo de reserva.</w:t>
      </w:r>
    </w:p>
    <w:p w:rsidR="00062873" w:rsidRDefault="00062873">
      <w:pPr>
        <w:spacing w:line="360" w:lineRule="auto"/>
        <w:ind w:right="-929"/>
        <w:jc w:val="both"/>
        <w:rPr>
          <w:rFonts w:ascii="Palatino Linotype" w:eastAsia="Palatino Linotype" w:hAnsi="Palatino Linotype" w:cs="Palatino Linotype"/>
        </w:rPr>
      </w:pPr>
    </w:p>
    <w:p w:rsidR="00062873" w:rsidRDefault="00C85A03">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rPr>
        <w:t xml:space="preserve">En otras palabras, para clasificar la información como reservada, los acuerdos deben estar debidamente fundados y motivados, exponiendo los hechos relevantes para decidir, citando la norma habilitante y un argumento mínimo pero suficiente para acreditar el razonamiento realizado. Sirve de sustento a lo anterior el siguiente criterio jurisprudencial: </w:t>
      </w:r>
    </w:p>
    <w:p w:rsidR="00062873" w:rsidRDefault="00C85A03">
      <w:pPr>
        <w:spacing w:before="240" w:line="360" w:lineRule="auto"/>
        <w:ind w:left="851"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“FUNDAMENTACIÓN Y MOTIVACIÓN. EL ASPECTO FORMAL DE LA GARANTÍA Y SU FINALIDAD SE TRADUCEN EN EXPLICAR, JUSTIFICAR, POSIBILITAR LA DEFENSA Y COMUNICAR LA DECISIÓN. </w:t>
      </w:r>
    </w:p>
    <w:p w:rsidR="00062873" w:rsidRDefault="00C85A03">
      <w:pPr>
        <w:spacing w:before="240"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El contenido formal de la garantía de legalidad prevista en el artículo 16 constitucional relativa a la fundamentación y motivación tiene como propósito primordial y ratio que el justiciable </w:t>
      </w:r>
      <w:r>
        <w:rPr>
          <w:rFonts w:ascii="Palatino Linotype" w:eastAsia="Palatino Linotype" w:hAnsi="Palatino Linotype" w:cs="Palatino Linotype"/>
          <w:b/>
          <w:bCs/>
          <w:i/>
          <w:iCs/>
          <w:u w:val="single"/>
        </w:rPr>
        <w:t>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w:t>
      </w:r>
      <w:r>
        <w:rPr>
          <w:rFonts w:ascii="Palatino Linotype" w:eastAsia="Palatino Linotype" w:hAnsi="Palatino Linotype" w:cs="Palatino Linotype"/>
          <w:i/>
          <w:iCs/>
          <w:u w:val="single"/>
        </w:rPr>
        <w:t>.</w:t>
      </w:r>
      <w:r>
        <w:rPr>
          <w:rFonts w:ascii="Palatino Linotype" w:eastAsia="Palatino Linotype" w:hAnsi="Palatino Linotype" w:cs="Palatino Linotype"/>
          <w:i/>
          <w:iCs/>
        </w:rPr>
        <w:t>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w:t>
      </w:r>
      <w:r>
        <w:rPr>
          <w:rFonts w:ascii="Palatino Linotype" w:eastAsia="Palatino Linotype" w:hAnsi="Palatino Linotype" w:cs="Palatino Linotype"/>
          <w:b/>
          <w:bCs/>
          <w:i/>
          <w:iCs/>
          <w:u w:val="single"/>
        </w:rPr>
        <w:t>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w:t>
      </w:r>
      <w:r>
        <w:rPr>
          <w:rFonts w:ascii="Palatino Linotype" w:eastAsia="Palatino Linotype" w:hAnsi="Palatino Linotype" w:cs="Palatino Linotype"/>
          <w:i/>
          <w:iCs/>
        </w:rPr>
        <w:t> del que se deduzca la relación de pertenencia lógica de los hechos al derecho invocado, que es la subsunción.”</w:t>
      </w:r>
    </w:p>
    <w:p w:rsidR="00062873" w:rsidRDefault="00062873">
      <w:pPr>
        <w:pBdr>
          <w:top w:val="nil"/>
          <w:left w:val="nil"/>
          <w:bottom w:val="nil"/>
          <w:right w:val="nil"/>
          <w:between w:val="nil"/>
        </w:pBdr>
        <w:ind w:left="720" w:right="-929"/>
        <w:rPr>
          <w:rFonts w:ascii="Palatino Linotype" w:eastAsia="Palatino Linotype" w:hAnsi="Palatino Linotype" w:cs="Palatino Linotype"/>
          <w:color w:val="000000"/>
        </w:rPr>
      </w:pPr>
    </w:p>
    <w:p w:rsidR="00062873" w:rsidRDefault="00C85A03">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rPr>
        <w:t>Luego</w:t>
      </w:r>
      <w:r>
        <w:rPr>
          <w:rFonts w:ascii="Palatino Linotype" w:eastAsia="Palatino Linotype" w:hAnsi="Palatino Linotype" w:cs="Palatino Linotype"/>
          <w:color w:val="000000"/>
        </w:rPr>
        <w:t xml:space="preserve"> entonces, si no se actualiza la causal de reserva en los términos planteados, será improcedente y se deberá proceder a su entrega en versión pública, al ser la obra pública </w:t>
      </w:r>
      <w:r>
        <w:rPr>
          <w:rFonts w:ascii="Palatino Linotype" w:eastAsia="Palatino Linotype" w:hAnsi="Palatino Linotype" w:cs="Palatino Linotype"/>
        </w:rPr>
        <w:t>existente</w:t>
      </w:r>
      <w:r>
        <w:rPr>
          <w:rFonts w:ascii="Palatino Linotype" w:eastAsia="Palatino Linotype" w:hAnsi="Palatino Linotype" w:cs="Palatino Linotype"/>
          <w:color w:val="000000"/>
        </w:rPr>
        <w:t xml:space="preserve"> de interés público.</w:t>
      </w:r>
    </w:p>
    <w:p w:rsidR="00062873" w:rsidRDefault="00062873">
      <w:pPr>
        <w:pBdr>
          <w:top w:val="nil"/>
          <w:left w:val="nil"/>
          <w:bottom w:val="nil"/>
          <w:right w:val="nil"/>
          <w:between w:val="nil"/>
        </w:pBdr>
        <w:ind w:left="720" w:right="-929"/>
        <w:rPr>
          <w:rFonts w:ascii="Palatino Linotype" w:eastAsia="Palatino Linotype" w:hAnsi="Palatino Linotype" w:cs="Palatino Linotype"/>
          <w:color w:val="000000"/>
        </w:rPr>
      </w:pPr>
    </w:p>
    <w:p w:rsidR="00062873" w:rsidRDefault="00C85A03">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 xml:space="preserve">Por otro </w:t>
      </w:r>
      <w:r>
        <w:rPr>
          <w:rFonts w:ascii="Palatino Linotype" w:eastAsia="Palatino Linotype" w:hAnsi="Palatino Linotype" w:cs="Palatino Linotype"/>
        </w:rPr>
        <w:t>lado</w:t>
      </w:r>
      <w:r>
        <w:rPr>
          <w:rFonts w:ascii="Palatino Linotype" w:eastAsia="Palatino Linotype" w:hAnsi="Palatino Linotype" w:cs="Palatino Linotype"/>
          <w:color w:val="000000"/>
        </w:rPr>
        <w:t xml:space="preserve">, no pasa desapercibido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emitió un pronunciamiento en calidad de informe justificado, relativo al requerimiento del monto de </w:t>
      </w:r>
      <w:r>
        <w:rPr>
          <w:rFonts w:ascii="Palatino Linotype" w:eastAsia="Palatino Linotype" w:hAnsi="Palatino Linotype" w:cs="Palatino Linotype"/>
          <w:color w:val="000000"/>
        </w:rPr>
        <w:lastRenderedPageBreak/>
        <w:t>las multas, pagos o convenios derivados, precisando la cuenta bancaria de concentración de ingreso en la que se realizan los depósitos.</w:t>
      </w:r>
    </w:p>
    <w:p w:rsidR="00062873" w:rsidRDefault="00062873">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062873" w:rsidRDefault="00C85A03">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De este último rubro se informa que la cuenta bancaria, refiere cuatro nombres de instituciones bancarias en donde el Ayuntamiento, detenta cuenta. Contexto que resulta insuficiente para tener por atendida la solicitud de mérito, pues referir únicamente el nombre de un banco no implica, por sí mismo, dar a conocer una cuenta bancaria, solo identifica a la institución financiera, pero no revela información específica de una cuenta.</w:t>
      </w:r>
    </w:p>
    <w:p w:rsidR="00062873" w:rsidRDefault="00062873">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062873" w:rsidRDefault="00C85A03">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 xml:space="preserve">El soporte documental que sí puede colmar el requerimiento </w:t>
      </w:r>
      <w:r>
        <w:rPr>
          <w:rFonts w:ascii="Palatino Linotype" w:eastAsia="Palatino Linotype" w:hAnsi="Palatino Linotype" w:cs="Palatino Linotype"/>
        </w:rPr>
        <w:t>puede</w:t>
      </w:r>
      <w:r>
        <w:rPr>
          <w:rFonts w:ascii="Palatino Linotype" w:eastAsia="Palatino Linotype" w:hAnsi="Palatino Linotype" w:cs="Palatino Linotype"/>
          <w:color w:val="000000"/>
        </w:rPr>
        <w:t xml:space="preserve"> ser de manera enunciativa más no limitativa: el número de cuenta, CLABE interbancaria, número de tarjeta, saldos, movimientos, estados de cuenta. Datos que tratándose de particulares son confidenciales, no así tratándose de cuentas del Ayuntamiento en donde se realizan pagos de multas. Siendo en todo caso procedente ordenar, las cuentas referidas en informe justificado.</w:t>
      </w:r>
    </w:p>
    <w:p w:rsidR="00062873" w:rsidRDefault="00062873">
      <w:pPr>
        <w:pBdr>
          <w:top w:val="nil"/>
          <w:left w:val="nil"/>
          <w:bottom w:val="nil"/>
          <w:right w:val="nil"/>
          <w:between w:val="nil"/>
        </w:pBdr>
        <w:ind w:left="720" w:right="-929"/>
        <w:rPr>
          <w:rFonts w:ascii="Palatino Linotype" w:eastAsia="Palatino Linotype" w:hAnsi="Palatino Linotype" w:cs="Palatino Linotype"/>
          <w:color w:val="000000"/>
        </w:rPr>
      </w:pPr>
    </w:p>
    <w:p w:rsidR="00062873" w:rsidRDefault="00C85A03">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 xml:space="preserve">Respecto de la información que refiere se encuentra publicada (Monto de las multas, pagos o convenios derivados),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refiere tres enlaces, todos ellos en formato cerrado, situación por la cual, no se puede tener por atendido el rubro de referencia.</w:t>
      </w:r>
    </w:p>
    <w:p w:rsidR="00062873" w:rsidRDefault="00062873">
      <w:pPr>
        <w:pBdr>
          <w:top w:val="nil"/>
          <w:left w:val="nil"/>
          <w:bottom w:val="nil"/>
          <w:right w:val="nil"/>
          <w:between w:val="nil"/>
        </w:pBdr>
        <w:ind w:left="720" w:right="-929"/>
        <w:rPr>
          <w:rFonts w:ascii="Palatino Linotype" w:eastAsia="Palatino Linotype" w:hAnsi="Palatino Linotype" w:cs="Palatino Linotype"/>
          <w:color w:val="000000"/>
        </w:rPr>
      </w:pPr>
    </w:p>
    <w:p w:rsidR="00062873" w:rsidRDefault="00C85A03">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Lo anterior en virtud que</w:t>
      </w:r>
      <w:r>
        <w:rPr>
          <w:rFonts w:ascii="Palatino Linotype" w:eastAsia="Palatino Linotype" w:hAnsi="Palatino Linotype" w:cs="Palatino Linotype"/>
        </w:rPr>
        <w:t xml:space="preserve"> los artículos 11 y 161 de la Ley de Transparencia Estatal, señalan las características que debe disfrutar toda información entregada por los sujetos obligados desde el momento de su generación, publicación y entrega vía hipervínculo, así como la forma en que se deberá consultar la información, señalando una fuente precisa y concreta, como se observa a continuación:</w:t>
      </w:r>
    </w:p>
    <w:p w:rsidR="00062873" w:rsidRDefault="00C85A03">
      <w:pPr>
        <w:pBdr>
          <w:top w:val="nil"/>
          <w:left w:val="nil"/>
          <w:bottom w:val="nil"/>
          <w:right w:val="nil"/>
          <w:between w:val="nil"/>
        </w:pBdr>
        <w:spacing w:line="360" w:lineRule="auto"/>
        <w:ind w:left="567"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lastRenderedPageBreak/>
        <w:t>Artículo 11.</w:t>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b/>
          <w:bCs/>
          <w:i/>
          <w:iCs/>
          <w:color w:val="000000"/>
          <w:u w:val="single"/>
        </w:rPr>
        <w:t>En la generación, publicación y entrega de información se deberá garantizar que ésta sea accesible</w:t>
      </w:r>
      <w:r>
        <w:rPr>
          <w:rFonts w:ascii="Palatino Linotype" w:eastAsia="Palatino Linotype" w:hAnsi="Palatino Linotype" w:cs="Palatino Linotype"/>
          <w:i/>
          <w:iCs/>
          <w:color w:val="000000"/>
        </w:rPr>
        <w:t>, actualizada, completa, congruente, confiable, verificable, veraz, integral, oportuna y expedita, sujeta a un claro régimen de excepciones que deberá estar definido y ser además legítima y estrictamente necesaria en una sociedad democrática, por lo que atenderá las necesidades del derecho de acceso a la información de toda persona.</w:t>
      </w:r>
    </w:p>
    <w:p w:rsidR="00062873" w:rsidRDefault="00C85A03">
      <w:pPr>
        <w:pBdr>
          <w:top w:val="nil"/>
          <w:left w:val="nil"/>
          <w:bottom w:val="nil"/>
          <w:right w:val="nil"/>
          <w:between w:val="nil"/>
        </w:pBdr>
        <w:spacing w:line="360" w:lineRule="auto"/>
        <w:ind w:left="567"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062873" w:rsidRDefault="00062873">
      <w:pPr>
        <w:pBdr>
          <w:top w:val="nil"/>
          <w:left w:val="nil"/>
          <w:bottom w:val="nil"/>
          <w:right w:val="nil"/>
          <w:between w:val="nil"/>
        </w:pBdr>
        <w:spacing w:line="360" w:lineRule="auto"/>
        <w:ind w:left="567" w:right="-929"/>
        <w:jc w:val="both"/>
        <w:rPr>
          <w:rFonts w:ascii="Palatino Linotype" w:eastAsia="Palatino Linotype" w:hAnsi="Palatino Linotype" w:cs="Palatino Linotype"/>
          <w:i/>
          <w:iCs/>
          <w:color w:val="000000"/>
        </w:rPr>
      </w:pPr>
    </w:p>
    <w:p w:rsidR="00062873" w:rsidRDefault="00C85A03">
      <w:pPr>
        <w:pBdr>
          <w:top w:val="nil"/>
          <w:left w:val="nil"/>
          <w:bottom w:val="nil"/>
          <w:right w:val="nil"/>
          <w:between w:val="nil"/>
        </w:pBdr>
        <w:spacing w:line="360" w:lineRule="auto"/>
        <w:ind w:left="567" w:right="-929"/>
        <w:jc w:val="both"/>
        <w:rPr>
          <w:rFonts w:ascii="Palatino Linotype" w:eastAsia="Palatino Linotype" w:hAnsi="Palatino Linotype" w:cs="Palatino Linotype"/>
          <w:b/>
          <w:bCs/>
          <w:i/>
          <w:iCs/>
          <w:color w:val="000000"/>
          <w:u w:val="single"/>
        </w:rPr>
      </w:pPr>
      <w:r>
        <w:rPr>
          <w:rFonts w:ascii="Palatino Linotype" w:eastAsia="Palatino Linotype" w:hAnsi="Palatino Linotype" w:cs="Palatino Linotype"/>
          <w:b/>
          <w:bCs/>
          <w:i/>
          <w:iCs/>
          <w:color w:val="000000"/>
        </w:rPr>
        <w:t>Artículo 161.</w:t>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b/>
          <w:bCs/>
          <w:i/>
          <w:iCs/>
          <w:color w:val="000000"/>
          <w:u w:val="single"/>
        </w:rPr>
        <w:t>Cuando la información requerida por el solicitante ya esté</w:t>
      </w:r>
      <w:r>
        <w:rPr>
          <w:rFonts w:ascii="Palatino Linotype" w:eastAsia="Palatino Linotype" w:hAnsi="Palatino Linotype" w:cs="Palatino Linotype"/>
          <w:i/>
          <w:iCs/>
          <w:color w:val="000000"/>
        </w:rPr>
        <w:t xml:space="preserve"> disponible al público en medios impresos, tales como libros, compendios, trípticos, registros públicos, en formatos electrónicos </w:t>
      </w:r>
      <w:r>
        <w:rPr>
          <w:rFonts w:ascii="Palatino Linotype" w:eastAsia="Palatino Linotype" w:hAnsi="Palatino Linotype" w:cs="Palatino Linotype"/>
          <w:b/>
          <w:bCs/>
          <w:i/>
          <w:iCs/>
          <w:color w:val="000000"/>
          <w:u w:val="single"/>
        </w:rPr>
        <w:t>disponibles en Internet</w:t>
      </w:r>
      <w:r>
        <w:rPr>
          <w:rFonts w:ascii="Palatino Linotype" w:eastAsia="Palatino Linotype" w:hAnsi="Palatino Linotype" w:cs="Palatino Linotype"/>
          <w:i/>
          <w:iCs/>
          <w:color w:val="000000"/>
        </w:rPr>
        <w:t xml:space="preserve"> o en cualquier otro medio, </w:t>
      </w:r>
      <w:r>
        <w:rPr>
          <w:rFonts w:ascii="Palatino Linotype" w:eastAsia="Palatino Linotype" w:hAnsi="Palatino Linotype" w:cs="Palatino Linotype"/>
          <w:b/>
          <w:bCs/>
          <w:i/>
          <w:iCs/>
          <w:color w:val="000000"/>
          <w:u w:val="single"/>
        </w:rPr>
        <w:t>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una búsqueda en toda la información que se encuentre disponible.”</w:t>
      </w:r>
    </w:p>
    <w:p w:rsidR="00062873" w:rsidRDefault="00062873">
      <w:pPr>
        <w:pBdr>
          <w:top w:val="nil"/>
          <w:left w:val="nil"/>
          <w:bottom w:val="nil"/>
          <w:right w:val="nil"/>
          <w:between w:val="nil"/>
        </w:pBdr>
        <w:spacing w:line="360" w:lineRule="auto"/>
        <w:ind w:left="426" w:right="-929"/>
        <w:jc w:val="both"/>
        <w:rPr>
          <w:rFonts w:ascii="Palatino Linotype" w:eastAsia="Palatino Linotype" w:hAnsi="Palatino Linotype" w:cs="Palatino Linotype"/>
          <w:i/>
          <w:iCs/>
          <w:color w:val="000000"/>
        </w:rPr>
      </w:pPr>
    </w:p>
    <w:p w:rsidR="00062873" w:rsidRDefault="00C85A03">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rPr>
        <w:t xml:space="preserve">De los artículos transcritos, se establecen las características que debe tener la </w:t>
      </w:r>
      <w:r>
        <w:rPr>
          <w:rFonts w:ascii="Palatino Linotype" w:eastAsia="Palatino Linotype" w:hAnsi="Palatino Linotype" w:cs="Palatino Linotype"/>
          <w:color w:val="000000"/>
        </w:rPr>
        <w:t>información</w:t>
      </w:r>
      <w:r>
        <w:rPr>
          <w:rFonts w:ascii="Palatino Linotype" w:eastAsia="Palatino Linotype" w:hAnsi="Palatino Linotype" w:cs="Palatino Linotype"/>
        </w:rPr>
        <w:t xml:space="preserve"> desde el momento de su generación, publicación y entrega, de igual manera se </w:t>
      </w:r>
      <w:r>
        <w:rPr>
          <w:rFonts w:ascii="Palatino Linotype" w:eastAsia="Palatino Linotype" w:hAnsi="Palatino Linotype" w:cs="Palatino Linotype"/>
          <w:color w:val="000000"/>
        </w:rPr>
        <w:t>contempla</w:t>
      </w:r>
      <w:r>
        <w:rPr>
          <w:rFonts w:ascii="Palatino Linotype" w:eastAsia="Palatino Linotype" w:hAnsi="Palatino Linotype" w:cs="Palatino Linotype"/>
        </w:rPr>
        <w:t xml:space="preserve"> el procedimiento a seguir por los sujetos obligados para informar a los solicitantes sobre información que se encuentre disponible en libros, compendios, formatos electrónicos, entre otros, haciéndole saber al solicitante como podrá consultar, reproducir o adquirir la información, en un plazo no mayor a cinco días hábiles, comprendiendo:</w:t>
      </w:r>
    </w:p>
    <w:p w:rsidR="00062873" w:rsidRDefault="00C85A03">
      <w:pPr>
        <w:numPr>
          <w:ilvl w:val="0"/>
          <w:numId w:val="10"/>
        </w:numPr>
        <w:pBdr>
          <w:top w:val="nil"/>
          <w:left w:val="nil"/>
          <w:bottom w:val="nil"/>
          <w:right w:val="nil"/>
          <w:between w:val="nil"/>
        </w:pBdr>
        <w:spacing w:line="360" w:lineRule="auto"/>
        <w:ind w:right="-929" w:hanging="425"/>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 fuente,</w:t>
      </w:r>
    </w:p>
    <w:p w:rsidR="00062873" w:rsidRDefault="00C85A03">
      <w:pPr>
        <w:numPr>
          <w:ilvl w:val="0"/>
          <w:numId w:val="10"/>
        </w:numPr>
        <w:pBdr>
          <w:top w:val="nil"/>
          <w:left w:val="nil"/>
          <w:bottom w:val="nil"/>
          <w:right w:val="nil"/>
          <w:between w:val="nil"/>
        </w:pBdr>
        <w:spacing w:line="360" w:lineRule="auto"/>
        <w:ind w:right="-929" w:hanging="425"/>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lugar, y</w:t>
      </w:r>
    </w:p>
    <w:p w:rsidR="00062873" w:rsidRDefault="00C85A03">
      <w:pPr>
        <w:numPr>
          <w:ilvl w:val="0"/>
          <w:numId w:val="10"/>
        </w:numPr>
        <w:pBdr>
          <w:top w:val="nil"/>
          <w:left w:val="nil"/>
          <w:bottom w:val="nil"/>
          <w:right w:val="nil"/>
          <w:between w:val="nil"/>
        </w:pBdr>
        <w:spacing w:line="360" w:lineRule="auto"/>
        <w:ind w:right="-929" w:hanging="425"/>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 forma. </w:t>
      </w:r>
    </w:p>
    <w:p w:rsidR="00062873" w:rsidRDefault="00C85A03">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rPr>
        <w:lastRenderedPageBreak/>
        <w:t>Asimismo, se establece que la fuente de la información deberá ser:</w:t>
      </w:r>
    </w:p>
    <w:p w:rsidR="00062873" w:rsidRDefault="00C85A03">
      <w:pPr>
        <w:numPr>
          <w:ilvl w:val="0"/>
          <w:numId w:val="11"/>
        </w:numPr>
        <w:pBdr>
          <w:top w:val="nil"/>
          <w:left w:val="nil"/>
          <w:bottom w:val="nil"/>
          <w:right w:val="nil"/>
          <w:between w:val="nil"/>
        </w:pBdr>
        <w:spacing w:line="360" w:lineRule="auto"/>
        <w:ind w:right="-929" w:hanging="425"/>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Precisa,</w:t>
      </w:r>
    </w:p>
    <w:p w:rsidR="00062873" w:rsidRDefault="00C85A03">
      <w:pPr>
        <w:numPr>
          <w:ilvl w:val="0"/>
          <w:numId w:val="11"/>
        </w:numPr>
        <w:pBdr>
          <w:top w:val="nil"/>
          <w:left w:val="nil"/>
          <w:bottom w:val="nil"/>
          <w:right w:val="nil"/>
          <w:between w:val="nil"/>
        </w:pBdr>
        <w:spacing w:line="360" w:lineRule="auto"/>
        <w:ind w:right="-929" w:hanging="425"/>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Concreta,</w:t>
      </w:r>
    </w:p>
    <w:p w:rsidR="00062873" w:rsidRDefault="00C85A03">
      <w:pPr>
        <w:numPr>
          <w:ilvl w:val="0"/>
          <w:numId w:val="11"/>
        </w:numPr>
        <w:pBdr>
          <w:top w:val="nil"/>
          <w:left w:val="nil"/>
          <w:bottom w:val="nil"/>
          <w:right w:val="nil"/>
          <w:between w:val="nil"/>
        </w:pBdr>
        <w:spacing w:line="360" w:lineRule="auto"/>
        <w:ind w:right="-929" w:hanging="425"/>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Y no debe implicar que el solicitante realice una búsqueda en toda la información que se encuentre disponible.</w:t>
      </w:r>
    </w:p>
    <w:p w:rsidR="00062873" w:rsidRDefault="00062873">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062873" w:rsidRDefault="00C85A03">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 xml:space="preserve">Luego entonces, al encontrarse en formato cerrado no se cumplen con las características que establece la Ley de la Materia, pues acceder a los enlaces implica que el particular debe capturar las direcciones electrónicas de manera manual sin que para tal efecto medie error en su captura. Pero suponiendo sin conceder, se </w:t>
      </w:r>
      <w:r>
        <w:rPr>
          <w:rFonts w:ascii="Palatino Linotype" w:eastAsia="Palatino Linotype" w:hAnsi="Palatino Linotype" w:cs="Palatino Linotype"/>
        </w:rPr>
        <w:t>encontrarán</w:t>
      </w:r>
      <w:r>
        <w:rPr>
          <w:rFonts w:ascii="Palatino Linotype" w:eastAsia="Palatino Linotype" w:hAnsi="Palatino Linotype" w:cs="Palatino Linotype"/>
          <w:color w:val="000000"/>
        </w:rPr>
        <w:t xml:space="preserve"> en formato abierto y se pudiera acceder a su contenido con solo dar clic, tampoco colman el rubro de referencia al corresponder dos de esos enlaces a páginas de inicio</w:t>
      </w:r>
      <w:r>
        <w:t xml:space="preserve"> </w:t>
      </w:r>
      <w:r>
        <w:rPr>
          <w:rFonts w:ascii="Palatino Linotype" w:eastAsia="Palatino Linotype" w:hAnsi="Palatino Linotype" w:cs="Palatino Linotype"/>
          <w:color w:val="000000"/>
        </w:rPr>
        <w:t>que corresponde a la primera página que aparece al entrar a un sitio web, sistema o aplicación y que funciona como la portada o punto principal de acceso a la información y servicios disponibles; luego entonces ello implica que el particular realice una búsqueda, incumpliendo con ello lo dispuesto por la Ley de la Materia.</w:t>
      </w:r>
    </w:p>
    <w:p w:rsidR="00062873" w:rsidRDefault="00062873">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062873" w:rsidRDefault="00C85A03">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 xml:space="preserve">Por cuanto hace al enlace Estado Comparativo Presupuestal de Ingresos, suponiendo sin conceder estuviera en formato abierto, tampoco puede colmar la solicitud, en virtud que de su contenido no se </w:t>
      </w:r>
      <w:r>
        <w:rPr>
          <w:rFonts w:ascii="Palatino Linotype" w:eastAsia="Palatino Linotype" w:hAnsi="Palatino Linotype" w:cs="Palatino Linotype"/>
        </w:rPr>
        <w:t>puede</w:t>
      </w:r>
      <w:r>
        <w:rPr>
          <w:rFonts w:ascii="Palatino Linotype" w:eastAsia="Palatino Linotype" w:hAnsi="Palatino Linotype" w:cs="Palatino Linotype"/>
          <w:color w:val="000000"/>
        </w:rPr>
        <w:t xml:space="preserve"> obtener puntualmente lo solicitado relacionado con la servidora pública referida en la solicitud de información.</w:t>
      </w:r>
    </w:p>
    <w:p w:rsidR="00062873" w:rsidRDefault="00062873">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062873" w:rsidRDefault="00C85A03">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 xml:space="preserve">Posteriormente no pasa desapercibido que respecto a la pretensión del solicitante a que se le especifique de manera precisa y que se le informe, no es observable, ya que es de </w:t>
      </w:r>
      <w:r>
        <w:rPr>
          <w:rFonts w:ascii="Palatino Linotype" w:eastAsia="Palatino Linotype" w:hAnsi="Palatino Linotype" w:cs="Palatino Linotype"/>
          <w:color w:val="000000"/>
        </w:rPr>
        <w:lastRenderedPageBreak/>
        <w:t xml:space="preserve">explorado derecho que </w:t>
      </w:r>
      <w:r>
        <w:rPr>
          <w:rFonts w:ascii="Palatino Linotype" w:eastAsia="Palatino Linotype" w:hAnsi="Palatino Linotype" w:cs="Palatino Linotype"/>
          <w:b/>
          <w:bCs/>
          <w:color w:val="000000"/>
          <w:u w:val="single"/>
        </w:rPr>
        <w:t>el acceso a la información versa sobre documentos que obren en los archivos de los sujetos obligados, que hayan generado, poseído o administrado</w:t>
      </w:r>
      <w:r>
        <w:rPr>
          <w:rFonts w:ascii="Palatino Linotype" w:eastAsia="Palatino Linotype" w:hAnsi="Palatino Linotype" w:cs="Palatino Linotype"/>
          <w:color w:val="000000"/>
        </w:rPr>
        <w:t xml:space="preserve"> en ejercicio de sus funciones de derecho público, </w:t>
      </w:r>
      <w:r>
        <w:rPr>
          <w:rFonts w:ascii="Palatino Linotype" w:eastAsia="Palatino Linotype" w:hAnsi="Palatino Linotype" w:cs="Palatino Linotype"/>
          <w:b/>
          <w:bCs/>
          <w:color w:val="000000"/>
        </w:rPr>
        <w:t>previo a la interposición de una solicitud de información</w:t>
      </w:r>
      <w:r>
        <w:rPr>
          <w:rFonts w:ascii="Palatino Linotype" w:eastAsia="Palatino Linotype" w:hAnsi="Palatino Linotype" w:cs="Palatino Linotype"/>
          <w:color w:val="000000"/>
        </w:rPr>
        <w:t xml:space="preserve">. </w:t>
      </w:r>
    </w:p>
    <w:p w:rsidR="00062873" w:rsidRDefault="00062873">
      <w:pPr>
        <w:spacing w:line="360" w:lineRule="auto"/>
        <w:ind w:right="-929"/>
        <w:jc w:val="both"/>
        <w:rPr>
          <w:rFonts w:ascii="Palatino Linotype" w:eastAsia="Palatino Linotype" w:hAnsi="Palatino Linotype" w:cs="Palatino Linotype"/>
          <w:color w:val="000000"/>
        </w:rPr>
      </w:pPr>
    </w:p>
    <w:p w:rsidR="00062873" w:rsidRDefault="00C85A03">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 xml:space="preserve">Derecho que se colma con la entrega de los documentos generados, poseídos o administrados, sin que los sujetos </w:t>
      </w:r>
      <w:r>
        <w:rPr>
          <w:rFonts w:ascii="Palatino Linotype" w:eastAsia="Palatino Linotype" w:hAnsi="Palatino Linotype" w:cs="Palatino Linotype"/>
        </w:rPr>
        <w:t xml:space="preserve">obligados están obligados a generar documentos </w:t>
      </w:r>
      <w:r>
        <w:rPr>
          <w:rFonts w:ascii="Palatino Linotype" w:eastAsia="Palatino Linotype" w:hAnsi="Palatino Linotype" w:cs="Palatino Linotype"/>
          <w:i/>
          <w:iCs/>
        </w:rPr>
        <w:t>ad hoc</w:t>
      </w:r>
      <w:r>
        <w:rPr>
          <w:rFonts w:ascii="Palatino Linotype" w:eastAsia="Palatino Linotype" w:hAnsi="Palatino Linotype" w:cs="Palatino Linotype"/>
        </w:rPr>
        <w:t xml:space="preserve"> para atender las solicitudes de información de los </w:t>
      </w:r>
      <w:r>
        <w:rPr>
          <w:rFonts w:ascii="Palatino Linotype" w:eastAsia="Palatino Linotype" w:hAnsi="Palatino Linotype" w:cs="Palatino Linotype"/>
          <w:color w:val="000000"/>
        </w:rPr>
        <w:t>particulares</w:t>
      </w:r>
      <w:r>
        <w:rPr>
          <w:rFonts w:ascii="Palatino Linotype" w:eastAsia="Palatino Linotype" w:hAnsi="Palatino Linotype" w:cs="Palatino Linotype"/>
        </w:rPr>
        <w:t xml:space="preserve"> conforme a sus intereses particulares, como apoyo a lo anterior, es aplicable por analogía el </w:t>
      </w:r>
      <w:r>
        <w:rPr>
          <w:rFonts w:ascii="Palatino Linotype" w:eastAsia="Palatino Linotype" w:hAnsi="Palatino Linotype" w:cs="Palatino Linotype"/>
          <w:b/>
          <w:bCs/>
        </w:rPr>
        <w:t>Criterio 03/17</w:t>
      </w:r>
      <w:r>
        <w:rPr>
          <w:rFonts w:ascii="Palatino Linotype" w:eastAsia="Palatino Linotype" w:hAnsi="Palatino Linotype" w:cs="Palatino Linotype"/>
        </w:rPr>
        <w:t>, emitido por el Pleno del Instituto Nacional de Transparencia, Acceso a la Información y Protección de Datos Personales (INAI), que a la letra dice:</w:t>
      </w:r>
    </w:p>
    <w:p w:rsidR="00062873" w:rsidRDefault="00C85A03">
      <w:pPr>
        <w:pBdr>
          <w:top w:val="nil"/>
          <w:left w:val="nil"/>
          <w:bottom w:val="nil"/>
          <w:right w:val="nil"/>
          <w:between w:val="nil"/>
        </w:pBdr>
        <w:ind w:left="567"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“No existe obligación de elaborar documentos ad hoc para atender las solicitudes de acceso a la información. </w:t>
      </w:r>
      <w:r>
        <w:rPr>
          <w:rFonts w:ascii="Palatino Linotype" w:eastAsia="Palatino Linotype" w:hAnsi="Palatino Linotype" w:cs="Palatino Linotype"/>
          <w:i/>
          <w:iCs/>
          <w:color w:val="000000"/>
        </w:rPr>
        <w:t>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rsidR="00062873" w:rsidRDefault="00062873">
      <w:pPr>
        <w:pBdr>
          <w:top w:val="nil"/>
          <w:left w:val="nil"/>
          <w:bottom w:val="nil"/>
          <w:right w:val="nil"/>
          <w:between w:val="nil"/>
        </w:pBdr>
        <w:ind w:left="720" w:right="-929"/>
        <w:rPr>
          <w:rFonts w:ascii="Palatino Linotype" w:eastAsia="Palatino Linotype" w:hAnsi="Palatino Linotype" w:cs="Palatino Linotype"/>
          <w:color w:val="000000"/>
        </w:rPr>
      </w:pPr>
    </w:p>
    <w:p w:rsidR="00B420A0" w:rsidRDefault="00B420A0">
      <w:pPr>
        <w:pBdr>
          <w:top w:val="nil"/>
          <w:left w:val="nil"/>
          <w:bottom w:val="nil"/>
          <w:right w:val="nil"/>
          <w:between w:val="nil"/>
        </w:pBdr>
        <w:ind w:left="720" w:right="-929"/>
        <w:rPr>
          <w:rFonts w:ascii="Palatino Linotype" w:eastAsia="Palatino Linotype" w:hAnsi="Palatino Linotype" w:cs="Palatino Linotype"/>
          <w:color w:val="000000"/>
        </w:rPr>
      </w:pPr>
    </w:p>
    <w:p w:rsidR="00062873" w:rsidRDefault="00C85A03">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color w:val="000000"/>
        </w:rPr>
        <w:t>Finalmente debe señalarse que la solicitud de información carece de lapso temporal</w:t>
      </w:r>
      <w:r>
        <w:rPr>
          <w:rFonts w:ascii="Palatino Linotype" w:eastAsia="Palatino Linotype" w:hAnsi="Palatino Linotype" w:cs="Palatino Linotype"/>
        </w:rPr>
        <w:t xml:space="preserve"> del cual se requiere la información. Por tanto a efecto de determinar si lo entregado colma o no el derecho de acceso a la información del</w:t>
      </w:r>
      <w:r>
        <w:rPr>
          <w:rFonts w:ascii="Palatino Linotype" w:eastAsia="Palatino Linotype" w:hAnsi="Palatino Linotype" w:cs="Palatino Linotype"/>
          <w:b/>
          <w:bCs/>
        </w:rPr>
        <w:t xml:space="preserve"> RECURRENTE</w:t>
      </w:r>
      <w:r>
        <w:rPr>
          <w:rFonts w:ascii="Palatino Linotype" w:eastAsia="Palatino Linotype" w:hAnsi="Palatino Linotype" w:cs="Palatino Linotype"/>
        </w:rPr>
        <w:t xml:space="preserve"> es necesario traer a contexto el </w:t>
      </w:r>
      <w:r>
        <w:rPr>
          <w:rFonts w:ascii="Palatino Linotype" w:eastAsia="Palatino Linotype" w:hAnsi="Palatino Linotype" w:cs="Palatino Linotype"/>
          <w:b/>
          <w:bCs/>
        </w:rPr>
        <w:t>Criterio</w:t>
      </w:r>
      <w:r>
        <w:rPr>
          <w:rFonts w:ascii="Palatino Linotype" w:eastAsia="Palatino Linotype" w:hAnsi="Palatino Linotype" w:cs="Palatino Linotype"/>
        </w:rPr>
        <w:t xml:space="preserve"> </w:t>
      </w:r>
      <w:r>
        <w:rPr>
          <w:rFonts w:ascii="Palatino Linotype" w:eastAsia="Palatino Linotype" w:hAnsi="Palatino Linotype" w:cs="Palatino Linotype"/>
          <w:b/>
          <w:bCs/>
        </w:rPr>
        <w:t xml:space="preserve">3/19 </w:t>
      </w:r>
      <w:r>
        <w:rPr>
          <w:rFonts w:ascii="Palatino Linotype" w:eastAsia="Palatino Linotype" w:hAnsi="Palatino Linotype" w:cs="Palatino Linotype"/>
        </w:rPr>
        <w:t xml:space="preserve">emitido por el Instituto Nacional de Transparencia, Acceso a la Información y Protección de Datos Personales, que dispone a la literalidad lo siguiente: </w:t>
      </w:r>
    </w:p>
    <w:p w:rsidR="00062873" w:rsidRDefault="00C85A03">
      <w:pPr>
        <w:pBdr>
          <w:top w:val="nil"/>
          <w:left w:val="nil"/>
          <w:bottom w:val="nil"/>
          <w:right w:val="nil"/>
          <w:between w:val="nil"/>
        </w:pBdr>
        <w:spacing w:before="240" w:after="160" w:line="360" w:lineRule="auto"/>
        <w:ind w:left="851" w:right="-929"/>
        <w:jc w:val="center"/>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lastRenderedPageBreak/>
        <w:t>“PERIODO DE BÚSQUEDA DE LA INFORMACIÓN.</w:t>
      </w:r>
    </w:p>
    <w:p w:rsidR="00062873" w:rsidRDefault="00C85A03">
      <w:pPr>
        <w:pBdr>
          <w:top w:val="nil"/>
          <w:left w:val="nil"/>
          <w:bottom w:val="nil"/>
          <w:right w:val="nil"/>
          <w:between w:val="nil"/>
        </w:pBdr>
        <w:spacing w:before="240" w:after="160" w:line="360" w:lineRule="auto"/>
        <w:ind w:left="851"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En el supuesto de que el particular no haya señalado el periodo respecto del cual requiere la información, o bien, de la solicitud presentada no se adviertan elementos que permitan identificarlo, deberá considerarse, para efectos de la búsqueda de la información, que el requerimiento se refiere al año inmediato anterior, contado a partir de la fecha en que se presentó la solicitud.”</w:t>
      </w:r>
    </w:p>
    <w:p w:rsidR="00062873" w:rsidRDefault="00062873">
      <w:pPr>
        <w:pBdr>
          <w:top w:val="nil"/>
          <w:left w:val="nil"/>
          <w:bottom w:val="nil"/>
          <w:right w:val="nil"/>
          <w:between w:val="nil"/>
        </w:pBdr>
        <w:spacing w:line="360" w:lineRule="auto"/>
        <w:ind w:left="720" w:right="-929"/>
        <w:rPr>
          <w:rFonts w:ascii="Palatino Linotype" w:eastAsia="Palatino Linotype" w:hAnsi="Palatino Linotype" w:cs="Palatino Linotype"/>
          <w:color w:val="000000"/>
        </w:rPr>
      </w:pPr>
    </w:p>
    <w:p w:rsidR="00062873" w:rsidRDefault="00C85A03">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rPr>
        <w:t xml:space="preserve">Luego entonces, el periodo de búsqueda de la presente solicitud de </w:t>
      </w:r>
      <w:r>
        <w:rPr>
          <w:rFonts w:ascii="Palatino Linotype" w:eastAsia="Palatino Linotype" w:hAnsi="Palatino Linotype" w:cs="Palatino Linotype"/>
          <w:color w:val="000000"/>
        </w:rPr>
        <w:t>información</w:t>
      </w:r>
      <w:r>
        <w:rPr>
          <w:rFonts w:ascii="Palatino Linotype" w:eastAsia="Palatino Linotype" w:hAnsi="Palatino Linotype" w:cs="Palatino Linotype"/>
        </w:rPr>
        <w:t xml:space="preserve"> debió versar del 09 de septiembre 2025 al 09 de septiembre 2026.</w:t>
      </w:r>
    </w:p>
    <w:p w:rsidR="00062873" w:rsidRDefault="00062873">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062873" w:rsidRDefault="00C85A03">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 xml:space="preserve">Con la determinación anterior quedará por colmado el derecho de acceso a la información </w:t>
      </w:r>
      <w:r>
        <w:rPr>
          <w:rFonts w:ascii="Palatino Linotype" w:eastAsia="Palatino Linotype" w:hAnsi="Palatino Linotype" w:cs="Palatino Linotype"/>
        </w:rPr>
        <w:t>del</w:t>
      </w:r>
      <w:r>
        <w:rPr>
          <w:rFonts w:ascii="Palatino Linotype" w:eastAsia="Palatino Linotype" w:hAnsi="Palatino Linotype" w:cs="Palatino Linotype"/>
          <w:color w:val="000000"/>
        </w:rPr>
        <w:t xml:space="preserve"> ahora Recurrente; toda vez que el Derecho que tutela este Órgano Garante </w:t>
      </w:r>
      <w:r>
        <w:rPr>
          <w:rFonts w:ascii="Palatino Linotype" w:eastAsia="Palatino Linotype" w:hAnsi="Palatino Linotype" w:cs="Palatino Linotype"/>
        </w:rPr>
        <w:t>corresponde</w:t>
      </w:r>
      <w:r>
        <w:rPr>
          <w:rFonts w:ascii="Palatino Linotype" w:eastAsia="Palatino Linotype" w:hAnsi="Palatino Linotype" w:cs="Palatino Linotype"/>
          <w:color w:val="000000"/>
        </w:rPr>
        <w:t xml:space="preserve"> a la  </w:t>
      </w:r>
      <w:r>
        <w:rPr>
          <w:rFonts w:ascii="Palatino Linotype" w:eastAsia="Palatino Linotype" w:hAnsi="Palatino Linotype" w:cs="Palatino Linotype"/>
          <w:i/>
          <w:iCs/>
          <w:color w:val="000000"/>
        </w:rPr>
        <w:t>igualdad de oportunidades para recibir, buscar e impartir información</w:t>
      </w:r>
      <w:r>
        <w:rPr>
          <w:rFonts w:ascii="Palatino Linotype" w:eastAsia="Palatino Linotype" w:hAnsi="Palatino Linotype" w:cs="Palatino Linotype"/>
          <w:i/>
          <w:iCs/>
          <w:color w:val="000000"/>
          <w:vertAlign w:val="superscript"/>
        </w:rPr>
        <w:footnoteReference w:id="6"/>
      </w:r>
      <w:r>
        <w:rPr>
          <w:rFonts w:ascii="Palatino Linotype" w:eastAsia="Palatino Linotype" w:hAnsi="Palatino Linotype" w:cs="Palatino Linotype"/>
          <w:i/>
          <w:iCs/>
          <w:color w:val="000000"/>
        </w:rPr>
        <w:t xml:space="preserve"> en posesión de cualquier autoridad, entidad, órgano y organismo de los </w:t>
      </w:r>
      <w:r>
        <w:rPr>
          <w:rFonts w:ascii="Palatino Linotype" w:eastAsia="Palatino Linotype" w:hAnsi="Palatino Linotype" w:cs="Palatino Linotype"/>
          <w:color w:val="000000"/>
        </w:rPr>
        <w:t>poderes</w:t>
      </w:r>
      <w:r>
        <w:rPr>
          <w:rFonts w:ascii="Palatino Linotype" w:eastAsia="Palatino Linotype" w:hAnsi="Palatino Linotype" w:cs="Palatino Linotype"/>
          <w:i/>
          <w:iCs/>
          <w:color w:val="000000"/>
        </w:rPr>
        <w:t xml:space="preserve">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Pr>
          <w:rFonts w:ascii="Palatino Linotype" w:eastAsia="Palatino Linotype" w:hAnsi="Palatino Linotype" w:cs="Palatino Linotype"/>
          <w:color w:val="000000"/>
          <w:vertAlign w:val="superscript"/>
        </w:rPr>
        <w:footnoteReference w:id="7"/>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color w:val="000000"/>
        </w:rPr>
        <w:t xml:space="preserve">que se constituye como una herramienta fundamental para </w:t>
      </w:r>
      <w:r>
        <w:rPr>
          <w:rFonts w:ascii="Palatino Linotype" w:eastAsia="Palatino Linotype" w:hAnsi="Palatino Linotype" w:cs="Palatino Linotype"/>
          <w:i/>
          <w:iCs/>
          <w:color w:val="000000"/>
        </w:rPr>
        <w:t>ejercer control democrático de las gestiones estatales, de forma tal que puedan cuestionar, indagar y considerar si se está dando un adecuado cumplimiento de las funciones públicas,</w:t>
      </w:r>
      <w:r>
        <w:rPr>
          <w:rFonts w:ascii="Palatino Linotype" w:eastAsia="Palatino Linotype" w:hAnsi="Palatino Linotype" w:cs="Palatino Linotype"/>
          <w:i/>
          <w:iCs/>
          <w:color w:val="000000"/>
          <w:vertAlign w:val="superscript"/>
        </w:rPr>
        <w:footnoteReference w:id="8"/>
      </w:r>
      <w:r>
        <w:rPr>
          <w:rFonts w:ascii="Palatino Linotype" w:eastAsia="Palatino Linotype" w:hAnsi="Palatino Linotype" w:cs="Palatino Linotype"/>
          <w:color w:val="000000"/>
        </w:rPr>
        <w:t>fomentando</w:t>
      </w:r>
      <w:r>
        <w:rPr>
          <w:rFonts w:ascii="Palatino Linotype" w:eastAsia="Palatino Linotype" w:hAnsi="Palatino Linotype" w:cs="Palatino Linotype"/>
          <w:i/>
          <w:iCs/>
          <w:color w:val="000000"/>
        </w:rPr>
        <w:t xml:space="preserve"> la transparencia de las actividades estatales y</w:t>
      </w:r>
      <w:r>
        <w:rPr>
          <w:rFonts w:ascii="Palatino Linotype" w:eastAsia="Palatino Linotype" w:hAnsi="Palatino Linotype" w:cs="Palatino Linotype"/>
          <w:color w:val="000000"/>
        </w:rPr>
        <w:t xml:space="preserve"> promoviendo</w:t>
      </w:r>
      <w:r>
        <w:rPr>
          <w:rFonts w:ascii="Palatino Linotype" w:eastAsia="Palatino Linotype" w:hAnsi="Palatino Linotype" w:cs="Palatino Linotype"/>
          <w:i/>
          <w:iCs/>
          <w:color w:val="000000"/>
        </w:rPr>
        <w:t xml:space="preserve"> la responsabilidad de los funcionarios sobre su gestión </w:t>
      </w:r>
      <w:r>
        <w:rPr>
          <w:rFonts w:ascii="Palatino Linotype" w:eastAsia="Palatino Linotype" w:hAnsi="Palatino Linotype" w:cs="Palatino Linotype"/>
          <w:i/>
          <w:iCs/>
          <w:color w:val="000000"/>
        </w:rPr>
        <w:lastRenderedPageBreak/>
        <w:t>pública</w:t>
      </w:r>
      <w:r>
        <w:rPr>
          <w:rFonts w:ascii="Palatino Linotype" w:eastAsia="Palatino Linotype" w:hAnsi="Palatino Linotype" w:cs="Palatino Linotype"/>
          <w:i/>
          <w:iCs/>
          <w:color w:val="000000"/>
          <w:vertAlign w:val="superscript"/>
        </w:rPr>
        <w:footnoteReference w:id="9"/>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color w:val="000000"/>
        </w:rPr>
        <w:t>que permite</w:t>
      </w:r>
      <w:r>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r>
        <w:rPr>
          <w:rFonts w:ascii="Palatino Linotype" w:eastAsia="Palatino Linotype" w:hAnsi="Palatino Linotype" w:cs="Palatino Linotype"/>
          <w:i/>
          <w:iCs/>
          <w:color w:val="000000"/>
          <w:vertAlign w:val="superscript"/>
        </w:rPr>
        <w:footnoteReference w:id="10"/>
      </w:r>
      <w:r>
        <w:rPr>
          <w:rFonts w:ascii="Palatino Linotype" w:eastAsia="Palatino Linotype" w:hAnsi="Palatino Linotype" w:cs="Palatino Linotype"/>
          <w:color w:val="000000"/>
        </w:rPr>
        <w:t xml:space="preserve"> ”</w:t>
      </w:r>
    </w:p>
    <w:p w:rsidR="00062873" w:rsidRDefault="00062873">
      <w:pPr>
        <w:spacing w:line="360" w:lineRule="auto"/>
        <w:ind w:right="-929"/>
        <w:jc w:val="both"/>
        <w:rPr>
          <w:rFonts w:ascii="Palatino Linotype" w:eastAsia="Palatino Linotype" w:hAnsi="Palatino Linotype" w:cs="Palatino Linotype"/>
          <w:color w:val="000000"/>
        </w:rPr>
      </w:pPr>
    </w:p>
    <w:p w:rsidR="00062873" w:rsidRDefault="00C85A03">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Para entender los alcances de la información pública se considera importante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062873" w:rsidRDefault="00C85A03">
      <w:pPr>
        <w:spacing w:line="360" w:lineRule="auto"/>
        <w:ind w:left="426" w:right="-929"/>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“CRITERIO 0002-11</w:t>
      </w:r>
    </w:p>
    <w:p w:rsidR="00062873" w:rsidRDefault="00C85A03">
      <w:pPr>
        <w:spacing w:line="360" w:lineRule="auto"/>
        <w:ind w:left="426"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INFORMACIÓN PÚBLICA, CONCEPTO DE, EN MATERIA DE TRANSPARENCIA. INTERPRETACIÓN TEMÁTICA DE LOS ARTÍCULOS 2, FRACCIÓN V, XV, Y XVI, 3, 4,11 Y 41.</w:t>
      </w:r>
      <w:r>
        <w:rPr>
          <w:rFonts w:ascii="Palatino Linotype" w:eastAsia="Palatino Linotype" w:hAnsi="Palatino Linotype" w:cs="Palatino Linotype"/>
          <w:i/>
          <w:iCs/>
          <w:color w:val="000000"/>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062873" w:rsidRDefault="00C85A03">
      <w:pPr>
        <w:spacing w:line="360" w:lineRule="auto"/>
        <w:ind w:left="426"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En consecuencia el acceso a la información se refiere a que se cumplan cualquiera de los siguientes tres supuestos:</w:t>
      </w:r>
    </w:p>
    <w:p w:rsidR="00062873" w:rsidRDefault="00C85A03">
      <w:pPr>
        <w:spacing w:line="360" w:lineRule="auto"/>
        <w:ind w:left="426"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Que se trate de información registrada en cualquier soporte documental, que en ejercicio de las atribuciones conferidas, sea generada por los Sujetos Obligados;</w:t>
      </w:r>
    </w:p>
    <w:p w:rsidR="00062873" w:rsidRDefault="00C85A03">
      <w:pPr>
        <w:spacing w:line="360" w:lineRule="auto"/>
        <w:ind w:left="426"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Que se trate de información registrada en cualquier soporte documental, que en ejercicio de las atribuciones conferidas, sea administrada por los Sujetos Obligados, y</w:t>
      </w:r>
    </w:p>
    <w:p w:rsidR="00062873" w:rsidRDefault="00C85A03">
      <w:pPr>
        <w:spacing w:line="360" w:lineRule="auto"/>
        <w:ind w:left="426"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Que se trate de información registrada en cualquier soporte documental, que en ejercicio de las atribuciones conferidas, se encuentre en posesión de los Sujetos Obligados.”</w:t>
      </w:r>
    </w:p>
    <w:p w:rsidR="00062873" w:rsidRDefault="00062873">
      <w:pPr>
        <w:spacing w:line="360" w:lineRule="auto"/>
        <w:ind w:left="567" w:right="-929"/>
        <w:jc w:val="both"/>
        <w:rPr>
          <w:rFonts w:ascii="Palatino Linotype" w:eastAsia="Palatino Linotype" w:hAnsi="Palatino Linotype" w:cs="Palatino Linotype"/>
          <w:i/>
          <w:iCs/>
          <w:color w:val="000000"/>
        </w:rPr>
      </w:pPr>
    </w:p>
    <w:p w:rsidR="00062873" w:rsidRDefault="00C85A03">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El derecho de acceso a la información encuentra su materia elemental en los documentos, y la Ley de Transparencia local  nos brinda el siguiente concepto, para darnos un mejor panorama:</w:t>
      </w:r>
    </w:p>
    <w:p w:rsidR="00062873" w:rsidRDefault="00C85A03">
      <w:pPr>
        <w:spacing w:line="360" w:lineRule="auto"/>
        <w:ind w:left="426"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XI. Documento: </w:t>
      </w:r>
      <w:r>
        <w:rPr>
          <w:rFonts w:ascii="Palatino Linotype" w:eastAsia="Palatino Linotype" w:hAnsi="Palatino Linotype" w:cs="Palatino Linotype"/>
          <w:i/>
          <w:iCs/>
          <w:color w:val="000000"/>
        </w:rPr>
        <w:t xml:space="preserve">Los expedientes, reportes, estudios, actas, resoluciones, oficios, correspondencia, acuerdos, directivas, directrices, circulares, contratos, convenios, instructivos, notas, memorandos, estadísticas o bien, </w:t>
      </w:r>
      <w:r>
        <w:rPr>
          <w:rFonts w:ascii="Palatino Linotype" w:eastAsia="Palatino Linotype" w:hAnsi="Palatino Linotype" w:cs="Palatino Linotype"/>
          <w:b/>
          <w:bCs/>
          <w:i/>
          <w:iCs/>
          <w:color w:val="000000"/>
        </w:rPr>
        <w:t>cualquier otro registro</w:t>
      </w:r>
      <w:r>
        <w:rPr>
          <w:rFonts w:ascii="Palatino Linotype" w:eastAsia="Palatino Linotype" w:hAnsi="Palatino Linotype" w:cs="Palatino Linotype"/>
          <w:i/>
          <w:iCs/>
          <w:color w:val="000000"/>
        </w:rPr>
        <w:t xml:space="preserve">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062873" w:rsidRDefault="00062873">
      <w:pPr>
        <w:spacing w:line="360" w:lineRule="auto"/>
        <w:ind w:left="567" w:right="-929"/>
        <w:jc w:val="both"/>
        <w:rPr>
          <w:rFonts w:ascii="Palatino Linotype" w:eastAsia="Palatino Linotype" w:hAnsi="Palatino Linotype" w:cs="Palatino Linotype"/>
          <w:i/>
          <w:iCs/>
          <w:color w:val="000000"/>
        </w:rPr>
      </w:pPr>
    </w:p>
    <w:p w:rsidR="00062873" w:rsidRDefault="00C85A03">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 xml:space="preserve">Es así que, todos los actos de autoridad que realicen los Sujetos Obligados </w:t>
      </w:r>
      <w:r>
        <w:rPr>
          <w:rFonts w:ascii="Palatino Linotype" w:eastAsia="Palatino Linotype" w:hAnsi="Palatino Linotype" w:cs="Palatino Linotype"/>
          <w:b/>
          <w:bCs/>
          <w:color w:val="000000"/>
        </w:rPr>
        <w:t xml:space="preserve">deben estar </w:t>
      </w:r>
      <w:r>
        <w:rPr>
          <w:rFonts w:ascii="Palatino Linotype" w:eastAsia="Palatino Linotype" w:hAnsi="Palatino Linotype" w:cs="Palatino Linotype"/>
          <w:color w:val="000000"/>
        </w:rPr>
        <w:t>documentados y, bajo el más alto estándar de transparencia deberán poner toda la información que se encuentre en su posesión, a disposición de los particulares que la soliciten.</w:t>
      </w:r>
    </w:p>
    <w:p w:rsidR="00062873" w:rsidRDefault="00062873">
      <w:pPr>
        <w:spacing w:line="360" w:lineRule="auto"/>
        <w:ind w:right="-929"/>
        <w:jc w:val="both"/>
        <w:rPr>
          <w:rFonts w:ascii="Palatino Linotype" w:eastAsia="Palatino Linotype" w:hAnsi="Palatino Linotype" w:cs="Palatino Linotype"/>
          <w:color w:val="000000"/>
        </w:rPr>
      </w:pPr>
    </w:p>
    <w:p w:rsidR="00062873" w:rsidRDefault="00C85A03">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Además, debemos tomar en cuenta los artículos 4 y 12 (antes transcrito), de la Ley de Transparencia y Acceso a la Información Pública del Estado de México y Municipios, los cuales establecen lo siguiente:</w:t>
      </w:r>
    </w:p>
    <w:p w:rsidR="00062873" w:rsidRDefault="00C85A03">
      <w:pPr>
        <w:spacing w:line="360" w:lineRule="auto"/>
        <w:ind w:left="426"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lastRenderedPageBreak/>
        <w:t xml:space="preserve">“Artículo 4. </w:t>
      </w:r>
      <w:r>
        <w:rPr>
          <w:rFonts w:ascii="Palatino Linotype" w:eastAsia="Palatino Linotype" w:hAnsi="Palatino Linotype" w:cs="Palatino Linotype"/>
          <w:i/>
          <w:iCs/>
          <w:color w:val="000000"/>
        </w:rPr>
        <w:t>El derecho humano de acceso a la información pública es la prerrogativa de las personas para buscar, difundir, investigar, recabar, recibir y solicitar información pública, sin necesidad de acreditar personalidad ni interés jurídico.</w:t>
      </w:r>
    </w:p>
    <w:p w:rsidR="00062873" w:rsidRDefault="00C85A03">
      <w:pPr>
        <w:spacing w:line="360" w:lineRule="auto"/>
        <w:ind w:left="426"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Toda la información</w:t>
      </w:r>
      <w:r>
        <w:rPr>
          <w:rFonts w:ascii="Palatino Linotype" w:eastAsia="Palatino Linotype" w:hAnsi="Palatino Linotype" w:cs="Palatino Linotype"/>
          <w:i/>
          <w:iCs/>
          <w:color w:val="000000"/>
        </w:rPr>
        <w:t xml:space="preserve"> generada, obtenida, adquirida, transformada, administrada o </w:t>
      </w:r>
      <w:r>
        <w:rPr>
          <w:rFonts w:ascii="Palatino Linotype" w:eastAsia="Palatino Linotype" w:hAnsi="Palatino Linotype" w:cs="Palatino Linotype"/>
          <w:b/>
          <w:bCs/>
          <w:i/>
          <w:iCs/>
          <w:color w:val="000000"/>
        </w:rPr>
        <w:t>en posesión de los sujetos obligados es pública</w:t>
      </w:r>
      <w:r>
        <w:rPr>
          <w:rFonts w:ascii="Palatino Linotype" w:eastAsia="Palatino Linotype" w:hAnsi="Palatino Linotype" w:cs="Palatino Linotype"/>
          <w:i/>
          <w:iCs/>
          <w:color w:val="000000"/>
        </w:rPr>
        <w:t xml:space="preserve">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062873" w:rsidRDefault="00C85A03">
      <w:pPr>
        <w:spacing w:line="360" w:lineRule="auto"/>
        <w:ind w:left="426"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Los sujetos obligados deben poner en práctica, políticas y programas de acceso a la información que se apeguen a criterios de publicidad, veracidad, oportunidad, precisión y suficiencia en beneficio de los solicitantes.”</w:t>
      </w:r>
    </w:p>
    <w:p w:rsidR="00062873" w:rsidRDefault="00062873">
      <w:pPr>
        <w:spacing w:line="360" w:lineRule="auto"/>
        <w:ind w:left="567" w:right="-929"/>
        <w:jc w:val="both"/>
        <w:rPr>
          <w:rFonts w:ascii="Palatino Linotype" w:eastAsia="Palatino Linotype" w:hAnsi="Palatino Linotype" w:cs="Palatino Linotype"/>
          <w:i/>
          <w:iCs/>
          <w:color w:val="000000"/>
        </w:rPr>
      </w:pPr>
    </w:p>
    <w:p w:rsidR="00062873" w:rsidRDefault="00C85A03">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Pr>
          <w:rFonts w:ascii="Palatino Linotype" w:eastAsia="Palatino Linotype" w:hAnsi="Palatino Linotype" w:cs="Palatino Linotype"/>
          <w:color w:val="000000"/>
          <w:vertAlign w:val="superscript"/>
        </w:rPr>
        <w:footnoteReference w:id="11"/>
      </w:r>
      <w:r>
        <w:rPr>
          <w:rFonts w:ascii="Palatino Linotype" w:eastAsia="Palatino Linotype" w:hAnsi="Palatino Linotype" w:cs="Palatino Linotype"/>
          <w:color w:val="000000"/>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062873" w:rsidRDefault="00C85A03">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lastRenderedPageBreak/>
        <w:t>Robustece lo anterior la Tesis aislada identificada con la clave I.4º.A.40 A del Cuarto Tribunal colegiado en Materia Administrativa del Primer Circuito, publicada en el Seminario Judicial de la Federación y su Gaceta en el libro XVIII, Marzo 2013, Página 1899.</w:t>
      </w:r>
    </w:p>
    <w:p w:rsidR="00062873" w:rsidRDefault="00C85A03">
      <w:pPr>
        <w:pBdr>
          <w:top w:val="nil"/>
          <w:left w:val="nil"/>
          <w:bottom w:val="nil"/>
          <w:right w:val="nil"/>
          <w:between w:val="nil"/>
        </w:pBdr>
        <w:tabs>
          <w:tab w:val="left" w:pos="851"/>
        </w:tabs>
        <w:spacing w:line="360" w:lineRule="auto"/>
        <w:ind w:left="425"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ACCESO A LA INFORMACIÓN. IMPLICACIÓN DEL PRINCIPIO DE MÁXIMA PUBLICIDAD EN EL DERECHO FUNDAMENTAL RELATIVO.</w:t>
      </w:r>
      <w:r>
        <w:rPr>
          <w:rFonts w:ascii="Palatino Linotype" w:eastAsia="Palatino Linotype" w:hAnsi="Palatino Linotype" w:cs="Palatino Linotype"/>
          <w:i/>
          <w:iCs/>
          <w:color w:val="000000"/>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rsidR="00062873" w:rsidRDefault="00062873">
      <w:pPr>
        <w:spacing w:line="360" w:lineRule="auto"/>
        <w:ind w:right="-929"/>
        <w:rPr>
          <w:rFonts w:ascii="Palatino Linotype" w:eastAsia="Palatino Linotype" w:hAnsi="Palatino Linotype" w:cs="Palatino Linotype"/>
          <w:b/>
          <w:bCs/>
        </w:rPr>
      </w:pPr>
      <w:bookmarkStart w:id="8" w:name="_heading=h.n5s89pddg1jn" w:colFirst="0" w:colLast="0"/>
      <w:bookmarkEnd w:id="8"/>
    </w:p>
    <w:p w:rsidR="00062873" w:rsidRDefault="00C85A03">
      <w:pPr>
        <w:pBdr>
          <w:top w:val="nil"/>
          <w:left w:val="nil"/>
          <w:bottom w:val="nil"/>
          <w:right w:val="nil"/>
          <w:between w:val="nil"/>
        </w:pBdr>
        <w:tabs>
          <w:tab w:val="left" w:pos="284"/>
          <w:tab w:val="left" w:pos="426"/>
        </w:tabs>
        <w:spacing w:line="360" w:lineRule="auto"/>
        <w:ind w:right="-92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QUINTO. De la versión pública.</w:t>
      </w:r>
    </w:p>
    <w:p w:rsidR="00062873" w:rsidRDefault="00C85A03">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rPr>
        <w:t xml:space="preserve">Finalmente, debe señalarse que dada la propia y especial naturaleza de lo solicitado, </w:t>
      </w:r>
      <w:r>
        <w:rPr>
          <w:rFonts w:ascii="Palatino Linotype" w:eastAsia="Palatino Linotype" w:hAnsi="Palatino Linotype" w:cs="Palatino Linotype"/>
          <w:color w:val="000000"/>
        </w:rPr>
        <w:t>eminentemente</w:t>
      </w:r>
      <w:r>
        <w:rPr>
          <w:rFonts w:ascii="Palatino Linotype" w:eastAsia="Palatino Linotype" w:hAnsi="Palatino Linotype" w:cs="Palatino Linotype"/>
        </w:rPr>
        <w:t xml:space="preserve"> contiene múltiples datos personales que deberán ser protegidos como ya quedó asentado en el Considerando anterior del presente proveído. </w:t>
      </w:r>
      <w:r>
        <w:rPr>
          <w:rFonts w:ascii="Palatino Linotype" w:eastAsia="Palatino Linotype" w:hAnsi="Palatino Linotype" w:cs="Palatino Linotype"/>
          <w:color w:val="000000"/>
        </w:rPr>
        <w:t>Para</w:t>
      </w:r>
      <w:r>
        <w:rPr>
          <w:rFonts w:ascii="Palatino Linotype" w:eastAsia="Palatino Linotype" w:hAnsi="Palatino Linotype" w:cs="Palatino Linotype"/>
        </w:rPr>
        <w:t xml:space="preserve"> dar cumplimiento a la presente resolución, contengan datos que deban ser clasificados,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deberá hacer la elaboración de la versión pública de tales documentos a fin de satisfacer el derecho de acceso a la información pública del recurrente sin menoscabo al derecho a la protección de los datos personales de terceros.</w:t>
      </w:r>
    </w:p>
    <w:p w:rsidR="00062873" w:rsidRDefault="00062873">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062873" w:rsidRDefault="00C85A03">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rPr>
        <w:t>Por lo que, para efectos de la elaboración de la versión pública se deberá observar lo dispuesto por los artículos 3 fracciones IX, XX, XXI, XXXII y XLV; 6, 49 fracción VIII, 91, 137, 143 Fracción I, de la Ley de Transparencia y Acceso a la Información Pública del Estado de México y Municipios vigente, que establecen:</w:t>
      </w:r>
    </w:p>
    <w:p w:rsidR="00062873" w:rsidRDefault="00C85A03">
      <w:pPr>
        <w:spacing w:line="360" w:lineRule="auto"/>
        <w:ind w:left="993"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 “Artículo 3. Para los efectos de la presente Ley se entenderá por:</w:t>
      </w:r>
    </w:p>
    <w:p w:rsidR="00062873" w:rsidRDefault="00C85A03">
      <w:pPr>
        <w:spacing w:line="360" w:lineRule="auto"/>
        <w:ind w:left="993"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IX. Datos personales:</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La información concerniente a una persona, identificada o identificable</w:t>
      </w:r>
      <w:r>
        <w:rPr>
          <w:rFonts w:ascii="Palatino Linotype" w:eastAsia="Palatino Linotype" w:hAnsi="Palatino Linotype" w:cs="Palatino Linotype"/>
          <w:i/>
          <w:iCs/>
        </w:rPr>
        <w:t xml:space="preserve"> según lo dispuesto por la Ley de Protección de Datos Personales del Estado de México;</w:t>
      </w:r>
    </w:p>
    <w:p w:rsidR="00062873" w:rsidRDefault="00C85A03">
      <w:pPr>
        <w:spacing w:line="360" w:lineRule="auto"/>
        <w:ind w:left="993"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XX. Información clasificada:</w:t>
      </w:r>
      <w:r>
        <w:rPr>
          <w:rFonts w:ascii="Palatino Linotype" w:eastAsia="Palatino Linotype" w:hAnsi="Palatino Linotype" w:cs="Palatino Linotype"/>
          <w:i/>
          <w:iCs/>
        </w:rPr>
        <w:t xml:space="preserve"> Aquella considerada por la presente Ley como reservada o confidencial;</w:t>
      </w:r>
    </w:p>
    <w:p w:rsidR="00062873" w:rsidRDefault="00C85A03">
      <w:pPr>
        <w:spacing w:line="360" w:lineRule="auto"/>
        <w:ind w:left="993"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XXXII. Protección de Datos Personales:</w:t>
      </w:r>
      <w:r>
        <w:rPr>
          <w:rFonts w:ascii="Palatino Linotype" w:eastAsia="Palatino Linotype" w:hAnsi="Palatino Linotype" w:cs="Palatino Linotype"/>
          <w:i/>
          <w:iCs/>
        </w:rPr>
        <w:t xml:space="preserve"> Derecho humano que tutela la privacidad de datos personales en poder de los sujetos obligados y sujetos particulares;</w:t>
      </w:r>
    </w:p>
    <w:p w:rsidR="00062873" w:rsidRDefault="00C85A03">
      <w:pPr>
        <w:spacing w:line="360" w:lineRule="auto"/>
        <w:ind w:left="993"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XLV. Versión pública</w:t>
      </w:r>
      <w:r>
        <w:rPr>
          <w:rFonts w:ascii="Palatino Linotype" w:eastAsia="Palatino Linotype" w:hAnsi="Palatino Linotype" w:cs="Palatino Linotype"/>
          <w:i/>
          <w:iCs/>
        </w:rPr>
        <w:t>: Documento en el que se elimine, suprime o borra la información clasificada como reservada o confidencial para permitir su acceso.”</w:t>
      </w:r>
    </w:p>
    <w:p w:rsidR="00062873" w:rsidRDefault="00C85A03">
      <w:pPr>
        <w:spacing w:line="360" w:lineRule="auto"/>
        <w:ind w:left="993"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“Artículo 6.</w:t>
      </w:r>
      <w:r>
        <w:rPr>
          <w:rFonts w:ascii="Palatino Linotype" w:eastAsia="Palatino Linotype" w:hAnsi="Palatino Linotype" w:cs="Palatino Linotype"/>
          <w:i/>
          <w:iCs/>
        </w:rPr>
        <w:t xml:space="preserve">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rsidR="00062873" w:rsidRDefault="00062873">
      <w:pPr>
        <w:spacing w:line="360" w:lineRule="auto"/>
        <w:ind w:left="993" w:right="-929"/>
        <w:jc w:val="both"/>
        <w:rPr>
          <w:rFonts w:ascii="Palatino Linotype" w:eastAsia="Palatino Linotype" w:hAnsi="Palatino Linotype" w:cs="Palatino Linotype"/>
          <w:i/>
          <w:iCs/>
        </w:rPr>
      </w:pPr>
    </w:p>
    <w:p w:rsidR="00062873" w:rsidRDefault="00C85A03">
      <w:pPr>
        <w:spacing w:line="360" w:lineRule="auto"/>
        <w:ind w:left="993" w:right="-929"/>
        <w:jc w:val="both"/>
        <w:rPr>
          <w:rFonts w:ascii="Palatino Linotype" w:eastAsia="Palatino Linotype" w:hAnsi="Palatino Linotype" w:cs="Palatino Linotype"/>
          <w:i/>
          <w:iCs/>
        </w:rPr>
      </w:pPr>
      <w:r>
        <w:rPr>
          <w:rFonts w:ascii="Palatino Linotype" w:eastAsia="Palatino Linotype" w:hAnsi="Palatino Linotype" w:cs="Palatino Linotype"/>
          <w:i/>
          <w:iCs/>
        </w:rPr>
        <w:t> </w:t>
      </w:r>
      <w:r>
        <w:rPr>
          <w:rFonts w:ascii="Palatino Linotype" w:eastAsia="Palatino Linotype" w:hAnsi="Palatino Linotype" w:cs="Palatino Linotype"/>
          <w:b/>
          <w:bCs/>
          <w:i/>
          <w:iCs/>
        </w:rPr>
        <w:t>Artículo 49.</w:t>
      </w:r>
      <w:r>
        <w:rPr>
          <w:rFonts w:ascii="Palatino Linotype" w:eastAsia="Palatino Linotype" w:hAnsi="Palatino Linotype" w:cs="Palatino Linotype"/>
          <w:i/>
          <w:iCs/>
        </w:rPr>
        <w:t> Los Comités de Transparencia tendrán las siguientes atribuciones:</w:t>
      </w:r>
    </w:p>
    <w:p w:rsidR="00062873" w:rsidRDefault="00C85A03">
      <w:pPr>
        <w:spacing w:line="360" w:lineRule="auto"/>
        <w:ind w:left="993"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062873" w:rsidRDefault="00C85A03">
      <w:pPr>
        <w:spacing w:line="360" w:lineRule="auto"/>
        <w:ind w:left="993"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VIII</w:t>
      </w:r>
      <w:r>
        <w:rPr>
          <w:rFonts w:ascii="Palatino Linotype" w:eastAsia="Palatino Linotype" w:hAnsi="Palatino Linotype" w:cs="Palatino Linotype"/>
          <w:i/>
          <w:iCs/>
        </w:rPr>
        <w:t>. Aprobar, modificar o revocar la clasificación de la información;</w:t>
      </w:r>
    </w:p>
    <w:p w:rsidR="00062873" w:rsidRDefault="00C85A03">
      <w:pPr>
        <w:spacing w:line="360" w:lineRule="auto"/>
        <w:ind w:left="993"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062873" w:rsidRDefault="00C85A03">
      <w:pPr>
        <w:spacing w:line="360" w:lineRule="auto"/>
        <w:ind w:left="993"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91. </w:t>
      </w:r>
      <w:r>
        <w:rPr>
          <w:rFonts w:ascii="Palatino Linotype" w:eastAsia="Palatino Linotype" w:hAnsi="Palatino Linotype" w:cs="Palatino Linotype"/>
          <w:i/>
          <w:iCs/>
        </w:rPr>
        <w:t>El acceso a la información pública será restringido excepcionalmente, cuando ésta sea clasificada como reservada o confidencial.</w:t>
      </w:r>
    </w:p>
    <w:p w:rsidR="00062873" w:rsidRDefault="00062873">
      <w:pPr>
        <w:spacing w:line="360" w:lineRule="auto"/>
        <w:ind w:left="993" w:right="-929"/>
        <w:jc w:val="both"/>
        <w:rPr>
          <w:rFonts w:ascii="Palatino Linotype" w:eastAsia="Palatino Linotype" w:hAnsi="Palatino Linotype" w:cs="Palatino Linotype"/>
          <w:i/>
          <w:iCs/>
        </w:rPr>
      </w:pPr>
    </w:p>
    <w:p w:rsidR="00062873" w:rsidRDefault="00C85A03">
      <w:pPr>
        <w:spacing w:line="360" w:lineRule="auto"/>
        <w:ind w:left="993"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“Artículo 137.</w:t>
      </w:r>
      <w:r>
        <w:rPr>
          <w:rFonts w:ascii="Palatino Linotype" w:eastAsia="Palatino Linotype" w:hAnsi="Palatino Linotype" w:cs="Palatino Linotype"/>
          <w:i/>
          <w:iCs/>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rsidR="00062873" w:rsidRDefault="00062873">
      <w:pPr>
        <w:spacing w:line="360" w:lineRule="auto"/>
        <w:ind w:left="993" w:right="-929"/>
        <w:jc w:val="both"/>
        <w:rPr>
          <w:rFonts w:ascii="Palatino Linotype" w:eastAsia="Palatino Linotype" w:hAnsi="Palatino Linotype" w:cs="Palatino Linotype"/>
          <w:b/>
          <w:bCs/>
          <w:i/>
          <w:iCs/>
        </w:rPr>
      </w:pPr>
    </w:p>
    <w:p w:rsidR="00062873" w:rsidRDefault="00C85A03">
      <w:pPr>
        <w:spacing w:line="360" w:lineRule="auto"/>
        <w:ind w:left="993"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143</w:t>
      </w:r>
      <w:r>
        <w:rPr>
          <w:rFonts w:ascii="Palatino Linotype" w:eastAsia="Palatino Linotype" w:hAnsi="Palatino Linotype" w:cs="Palatino Linotype"/>
          <w:i/>
          <w:iCs/>
        </w:rPr>
        <w:t>. Para los efectos de esta Ley se considera información confidencial, la clasificada como tal, de manera permanente, por su naturaleza, cuando:</w:t>
      </w:r>
    </w:p>
    <w:p w:rsidR="00062873" w:rsidRDefault="00C85A03">
      <w:pPr>
        <w:spacing w:line="360" w:lineRule="auto"/>
        <w:ind w:left="993"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I.</w:t>
      </w:r>
      <w:r>
        <w:rPr>
          <w:rFonts w:ascii="Palatino Linotype" w:eastAsia="Palatino Linotype" w:hAnsi="Palatino Linotype" w:cs="Palatino Linotype"/>
          <w:i/>
          <w:iCs/>
        </w:rPr>
        <w:t xml:space="preserve"> Se refiera a la información privada y los datos personales concernientes a una persona física o jurídica colectiva identificada o identificable;</w:t>
      </w:r>
    </w:p>
    <w:p w:rsidR="00062873" w:rsidRDefault="00C85A03">
      <w:pPr>
        <w:spacing w:line="360" w:lineRule="auto"/>
        <w:ind w:left="993" w:right="-929"/>
        <w:jc w:val="both"/>
        <w:rPr>
          <w:rFonts w:ascii="Palatino Linotype" w:eastAsia="Palatino Linotype" w:hAnsi="Palatino Linotype" w:cs="Palatino Linotype"/>
          <w:i/>
          <w:iCs/>
        </w:rPr>
      </w:pPr>
      <w:r>
        <w:rPr>
          <w:rFonts w:ascii="Palatino Linotype" w:eastAsia="Palatino Linotype" w:hAnsi="Palatino Linotype" w:cs="Palatino Linotype"/>
          <w:i/>
          <w:iCs/>
        </w:rPr>
        <w:t>II. Los secretos bancario, fiduciario, industrial, comercial, fiscal, bursátil y postal, cuya titularidad corresponda a particulares, sujetos de derecho internacional o a sujetos obligados cuando no involucren el ejercicio de recursos públicos; y</w:t>
      </w:r>
    </w:p>
    <w:p w:rsidR="00062873" w:rsidRDefault="00C85A03">
      <w:pPr>
        <w:spacing w:line="360" w:lineRule="auto"/>
        <w:ind w:left="993"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III. La que presenten los particulares a los sujetos obligados, de conformidad con lo dispuesto por las leyes o los tratados internacionales.” </w:t>
      </w:r>
    </w:p>
    <w:p w:rsidR="00062873" w:rsidRDefault="00062873">
      <w:pPr>
        <w:spacing w:line="360" w:lineRule="auto"/>
        <w:ind w:left="993" w:right="-929"/>
        <w:jc w:val="both"/>
        <w:rPr>
          <w:rFonts w:ascii="Palatino Linotype" w:eastAsia="Palatino Linotype" w:hAnsi="Palatino Linotype" w:cs="Palatino Linotype"/>
          <w:i/>
          <w:iCs/>
        </w:rPr>
      </w:pPr>
    </w:p>
    <w:p w:rsidR="00062873" w:rsidRDefault="00C85A03">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rPr>
        <w:t>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Sujeto Obligado deberá proceder a testar los datos personales que se encuentren contenidos en los documentos a entregar por parte del Sujeto Obligado para satisfacer el derecho de acceso a la información pública de la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 que señala la fracción XII del artículo 4 de la Ley de Protección de Datos Personales en Posesión de Sujetos Obligados del Estado de México.</w:t>
      </w:r>
    </w:p>
    <w:p w:rsidR="00062873" w:rsidRDefault="00062873">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062873" w:rsidRDefault="00C85A03">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rsidR="00062873" w:rsidRDefault="00C85A03">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rPr>
        <w:lastRenderedPageBreak/>
        <w:t>En ese contexto,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rsidR="00062873" w:rsidRDefault="00C85A03">
      <w:pPr>
        <w:spacing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49.</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Los Comités de Transparencia</w:t>
      </w:r>
      <w:r>
        <w:rPr>
          <w:rFonts w:ascii="Palatino Linotype" w:eastAsia="Palatino Linotype" w:hAnsi="Palatino Linotype" w:cs="Palatino Linotype"/>
          <w:i/>
          <w:iCs/>
        </w:rPr>
        <w:t xml:space="preserve"> tendrán las siguientes atribuciones:</w:t>
      </w:r>
    </w:p>
    <w:p w:rsidR="00062873" w:rsidRDefault="00C85A03">
      <w:pPr>
        <w:spacing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VIII. Aprobar, modificar o revocar la clasificación de la información</w:t>
      </w:r>
      <w:r>
        <w:rPr>
          <w:rFonts w:ascii="Palatino Linotype" w:eastAsia="Palatino Linotype" w:hAnsi="Palatino Linotype" w:cs="Palatino Linotype"/>
          <w:i/>
          <w:iCs/>
        </w:rPr>
        <w:t>…”</w:t>
      </w:r>
    </w:p>
    <w:p w:rsidR="00062873" w:rsidRDefault="00C85A03">
      <w:pPr>
        <w:spacing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53.</w:t>
      </w:r>
      <w:r>
        <w:rPr>
          <w:rFonts w:ascii="Palatino Linotype" w:eastAsia="Palatino Linotype" w:hAnsi="Palatino Linotype" w:cs="Palatino Linotype"/>
          <w:i/>
          <w:iCs/>
        </w:rPr>
        <w:t xml:space="preserve"> Las </w:t>
      </w:r>
      <w:r>
        <w:rPr>
          <w:rFonts w:ascii="Palatino Linotype" w:eastAsia="Palatino Linotype" w:hAnsi="Palatino Linotype" w:cs="Palatino Linotype"/>
          <w:b/>
          <w:bCs/>
          <w:i/>
          <w:iCs/>
        </w:rPr>
        <w:t>Unidades de Transparencia</w:t>
      </w:r>
      <w:r>
        <w:rPr>
          <w:rFonts w:ascii="Palatino Linotype" w:eastAsia="Palatino Linotype" w:hAnsi="Palatino Linotype" w:cs="Palatino Linotype"/>
          <w:i/>
          <w:iCs/>
        </w:rPr>
        <w:t xml:space="preserve"> tendrán las siguientes </w:t>
      </w:r>
      <w:r>
        <w:rPr>
          <w:rFonts w:ascii="Palatino Linotype" w:eastAsia="Palatino Linotype" w:hAnsi="Palatino Linotype" w:cs="Palatino Linotype"/>
          <w:b/>
          <w:bCs/>
          <w:i/>
          <w:iCs/>
        </w:rPr>
        <w:t>funciones</w:t>
      </w:r>
      <w:r>
        <w:rPr>
          <w:rFonts w:ascii="Palatino Linotype" w:eastAsia="Palatino Linotype" w:hAnsi="Palatino Linotype" w:cs="Palatino Linotype"/>
          <w:i/>
          <w:iCs/>
        </w:rPr>
        <w:t>:</w:t>
      </w:r>
    </w:p>
    <w:p w:rsidR="00062873" w:rsidRDefault="00C85A03">
      <w:pPr>
        <w:spacing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X. Presentar ante el Comité, el proyecto de clasificación de información</w:t>
      </w:r>
      <w:r>
        <w:rPr>
          <w:rFonts w:ascii="Palatino Linotype" w:eastAsia="Palatino Linotype" w:hAnsi="Palatino Linotype" w:cs="Palatino Linotype"/>
          <w:i/>
          <w:iCs/>
        </w:rPr>
        <w:t xml:space="preserve">…” </w:t>
      </w:r>
    </w:p>
    <w:p w:rsidR="00062873" w:rsidRDefault="00C85A03">
      <w:pPr>
        <w:spacing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59.</w:t>
      </w:r>
      <w:r>
        <w:rPr>
          <w:rFonts w:ascii="Palatino Linotype" w:eastAsia="Palatino Linotype" w:hAnsi="Palatino Linotype" w:cs="Palatino Linotype"/>
          <w:i/>
          <w:iCs/>
        </w:rPr>
        <w:t xml:space="preserve"> Los </w:t>
      </w:r>
      <w:r>
        <w:rPr>
          <w:rFonts w:ascii="Palatino Linotype" w:eastAsia="Palatino Linotype" w:hAnsi="Palatino Linotype" w:cs="Palatino Linotype"/>
          <w:b/>
          <w:bCs/>
          <w:i/>
          <w:iCs/>
        </w:rPr>
        <w:t>servidores públicos habilitados</w:t>
      </w:r>
      <w:r>
        <w:rPr>
          <w:rFonts w:ascii="Palatino Linotype" w:eastAsia="Palatino Linotype" w:hAnsi="Palatino Linotype" w:cs="Palatino Linotype"/>
          <w:i/>
          <w:iCs/>
        </w:rPr>
        <w:t xml:space="preserve"> tendrán las </w:t>
      </w:r>
      <w:r>
        <w:rPr>
          <w:rFonts w:ascii="Palatino Linotype" w:eastAsia="Palatino Linotype" w:hAnsi="Palatino Linotype" w:cs="Palatino Linotype"/>
          <w:b/>
          <w:bCs/>
          <w:i/>
          <w:iCs/>
        </w:rPr>
        <w:t>funciones</w:t>
      </w:r>
      <w:r>
        <w:rPr>
          <w:rFonts w:ascii="Palatino Linotype" w:eastAsia="Palatino Linotype" w:hAnsi="Palatino Linotype" w:cs="Palatino Linotype"/>
          <w:i/>
          <w:iCs/>
        </w:rPr>
        <w:t xml:space="preserve"> siguientes:</w:t>
      </w:r>
    </w:p>
    <w:p w:rsidR="00062873" w:rsidRDefault="00C85A03">
      <w:pPr>
        <w:spacing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V. Integrar y presentar al responsable de la Unidad de Transparencia la propuesta de clasificación de información</w:t>
      </w:r>
      <w:r>
        <w:rPr>
          <w:rFonts w:ascii="Palatino Linotype" w:eastAsia="Palatino Linotype" w:hAnsi="Palatino Linotype" w:cs="Palatino Linotype"/>
          <w:i/>
          <w:iCs/>
        </w:rPr>
        <w:t>, la cual tendrá los fundamentos y argumentos en que se basa dicha propuesta…”</w:t>
      </w:r>
    </w:p>
    <w:p w:rsidR="00062873" w:rsidRDefault="00062873">
      <w:pPr>
        <w:spacing w:line="360" w:lineRule="auto"/>
        <w:ind w:left="851" w:right="-929"/>
        <w:jc w:val="both"/>
        <w:rPr>
          <w:rFonts w:ascii="Palatino Linotype" w:eastAsia="Palatino Linotype" w:hAnsi="Palatino Linotype" w:cs="Palatino Linotype"/>
          <w:i/>
          <w:iCs/>
        </w:rPr>
      </w:pPr>
    </w:p>
    <w:p w:rsidR="00062873" w:rsidRDefault="00C85A03">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rsidR="00062873" w:rsidRDefault="00062873">
      <w:pPr>
        <w:spacing w:line="360" w:lineRule="auto"/>
        <w:ind w:right="-929"/>
        <w:jc w:val="both"/>
        <w:rPr>
          <w:rFonts w:ascii="Palatino Linotype" w:eastAsia="Palatino Linotype" w:hAnsi="Palatino Linotype" w:cs="Palatino Linotype"/>
        </w:rPr>
      </w:pPr>
    </w:p>
    <w:p w:rsidR="00062873" w:rsidRDefault="00C85A03">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rPr>
        <w:lastRenderedPageBreak/>
        <w:t>Para lo cual, a su vez en el caso de información de carácter confidencial, se debe atender a lo que señala el artículo 149 de la Ley de Transparencia Local vigente, que se lee como sigue:</w:t>
      </w:r>
    </w:p>
    <w:p w:rsidR="00062873" w:rsidRDefault="00C85A03">
      <w:pPr>
        <w:spacing w:line="360" w:lineRule="auto"/>
        <w:ind w:left="993"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149.</w:t>
      </w:r>
      <w:r>
        <w:rPr>
          <w:rFonts w:ascii="Palatino Linotype" w:eastAsia="Palatino Linotype" w:hAnsi="Palatino Linotype" w:cs="Palatino Linotype"/>
          <w:i/>
          <w:iCs/>
        </w:rPr>
        <w:t xml:space="preserve"> El </w:t>
      </w:r>
      <w:r>
        <w:rPr>
          <w:rFonts w:ascii="Palatino Linotype" w:eastAsia="Palatino Linotype" w:hAnsi="Palatino Linotype" w:cs="Palatino Linotype"/>
          <w:b/>
          <w:bCs/>
          <w:i/>
          <w:iCs/>
        </w:rPr>
        <w:t>acuerdo que clasifique la información como confidencial</w:t>
      </w:r>
      <w:r>
        <w:rPr>
          <w:rFonts w:ascii="Palatino Linotype" w:eastAsia="Palatino Linotype" w:hAnsi="Palatino Linotype" w:cs="Palatino Linotype"/>
          <w:i/>
          <w:iCs/>
        </w:rPr>
        <w:t xml:space="preserve"> deberá contener un razonamiento lógico en el que demuestre que la información se encuentra en alguna o algunas de las hipótesis previstas en la presente Ley.”</w:t>
      </w:r>
    </w:p>
    <w:p w:rsidR="00062873" w:rsidRDefault="00062873">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062873" w:rsidRDefault="00C85A03">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rPr>
        <w:t>Es decir, el Sujeto Obligado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parte solicitante.</w:t>
      </w:r>
    </w:p>
    <w:p w:rsidR="00062873" w:rsidRDefault="00062873">
      <w:pPr>
        <w:pBdr>
          <w:top w:val="nil"/>
          <w:left w:val="nil"/>
          <w:bottom w:val="nil"/>
          <w:right w:val="nil"/>
          <w:between w:val="nil"/>
        </w:pBdr>
        <w:spacing w:line="360" w:lineRule="auto"/>
        <w:ind w:right="-929"/>
        <w:jc w:val="both"/>
        <w:rPr>
          <w:rFonts w:ascii="Palatino Linotype" w:eastAsia="Palatino Linotype" w:hAnsi="Palatino Linotype" w:cs="Palatino Linotype"/>
        </w:rPr>
      </w:pPr>
    </w:p>
    <w:p w:rsidR="00062873" w:rsidRDefault="00C85A03">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 xml:space="preserve">Asimismo, se destaca que la versión pública que elabore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 cumplir con las formalidades exigidas en la Ley, por lo que para tal efecto emitirá el Acuerdo del Comité de Transparencia en términos de la Ley de Transparencia y Acceso a la Información Pública del Estado de México y Municipios, y los Lineamientos Generales en Materia de Clasificación y Desclasificación de la Información, Así como para la elaboración de versiones públicas emitidos por el Consejo Nacional de Transparencia, con el cual </w:t>
      </w:r>
      <w:r>
        <w:rPr>
          <w:rFonts w:ascii="Palatino Linotype" w:eastAsia="Palatino Linotype" w:hAnsi="Palatino Linotype" w:cs="Palatino Linotype"/>
        </w:rPr>
        <w:t>sustentará</w:t>
      </w:r>
      <w:r>
        <w:rPr>
          <w:rFonts w:ascii="Palatino Linotype" w:eastAsia="Palatino Linotype" w:hAnsi="Palatino Linotype" w:cs="Palatino Linotype"/>
          <w:color w:val="000000"/>
        </w:rPr>
        <w:t xml:space="preserve"> la clasificación de datos y con ello la "versión pública" de los documentos materia de las solicitudes</w:t>
      </w:r>
      <w:r>
        <w:rPr>
          <w:rFonts w:ascii="Palatino Linotype" w:eastAsia="Palatino Linotype" w:hAnsi="Palatino Linotype" w:cs="Palatino Linotype"/>
          <w:color w:val="000000"/>
          <w:highlight w:val="white"/>
        </w:rPr>
        <w:t>.</w:t>
      </w:r>
    </w:p>
    <w:p w:rsidR="00062873" w:rsidRDefault="00C85A03">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lastRenderedPageBreak/>
        <w:t>Efectivamente, cuando se clasifica información como confidencial o reservada es importante someterlo al Comité de Transparencia, quien debe confirmar, modificar o revocar la clasificación.</w:t>
      </w:r>
    </w:p>
    <w:p w:rsidR="00062873" w:rsidRDefault="00062873">
      <w:pPr>
        <w:pBdr>
          <w:top w:val="nil"/>
          <w:left w:val="nil"/>
          <w:bottom w:val="nil"/>
          <w:right w:val="nil"/>
          <w:between w:val="nil"/>
        </w:pBdr>
        <w:spacing w:line="360" w:lineRule="auto"/>
        <w:ind w:left="720" w:right="-929"/>
        <w:rPr>
          <w:rFonts w:ascii="Palatino Linotype" w:eastAsia="Palatino Linotype" w:hAnsi="Palatino Linotype" w:cs="Palatino Linotype"/>
          <w:color w:val="000000"/>
        </w:rPr>
      </w:pPr>
    </w:p>
    <w:p w:rsidR="00062873" w:rsidRDefault="00C85A03">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Por lo tanto, la entrega de documentos en su versión pública debe acompañarse necesariamente del Acuerdo del Comité de Transparencia que la sustente, en el que se expongan los fundamentos y razonamientos que llevaron al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a testar, suprimir o eliminar datos de dicho soporte documental,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 por lo que el acuerdo respectivo, deberá hacerse del conocimiento del </w:t>
      </w:r>
      <w:r>
        <w:rPr>
          <w:rFonts w:ascii="Palatino Linotype" w:eastAsia="Palatino Linotype" w:hAnsi="Palatino Linotype" w:cs="Palatino Linotype"/>
          <w:b/>
          <w:bCs/>
          <w:color w:val="000000"/>
        </w:rPr>
        <w:t>RECURRENTE.</w:t>
      </w:r>
    </w:p>
    <w:p w:rsidR="00062873" w:rsidRDefault="00062873">
      <w:pPr>
        <w:pBdr>
          <w:top w:val="nil"/>
          <w:left w:val="nil"/>
          <w:bottom w:val="nil"/>
          <w:right w:val="nil"/>
          <w:between w:val="nil"/>
        </w:pBdr>
        <w:spacing w:line="360" w:lineRule="auto"/>
        <w:ind w:left="720" w:right="-929"/>
        <w:rPr>
          <w:rFonts w:ascii="Palatino Linotype" w:eastAsia="Palatino Linotype" w:hAnsi="Palatino Linotype" w:cs="Palatino Linotype"/>
          <w:color w:val="000000"/>
        </w:rPr>
      </w:pPr>
    </w:p>
    <w:p w:rsidR="00062873" w:rsidRDefault="00C85A03">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los servidores públicos. </w:t>
      </w:r>
    </w:p>
    <w:p w:rsidR="00062873" w:rsidRDefault="00062873">
      <w:pPr>
        <w:pBdr>
          <w:top w:val="nil"/>
          <w:left w:val="nil"/>
          <w:bottom w:val="nil"/>
          <w:right w:val="nil"/>
          <w:between w:val="nil"/>
        </w:pBdr>
        <w:spacing w:line="360" w:lineRule="auto"/>
        <w:ind w:left="720" w:right="-929"/>
        <w:rPr>
          <w:rFonts w:ascii="Palatino Linotype" w:eastAsia="Palatino Linotype" w:hAnsi="Palatino Linotype" w:cs="Palatino Linotype"/>
          <w:color w:val="000000"/>
        </w:rPr>
      </w:pPr>
    </w:p>
    <w:p w:rsidR="00062873" w:rsidRDefault="00C85A03">
      <w:pPr>
        <w:numPr>
          <w:ilvl w:val="0"/>
          <w:numId w:val="3"/>
        </w:numPr>
        <w:pBdr>
          <w:top w:val="nil"/>
          <w:left w:val="nil"/>
          <w:bottom w:val="nil"/>
          <w:right w:val="nil"/>
          <w:between w:val="nil"/>
        </w:pBdr>
        <w:spacing w:line="360" w:lineRule="auto"/>
        <w:ind w:left="141" w:right="-929" w:firstLine="0"/>
        <w:jc w:val="both"/>
        <w:rPr>
          <w:color w:val="000000"/>
        </w:rPr>
      </w:pPr>
      <w:r>
        <w:rPr>
          <w:rFonts w:ascii="Palatino Linotype" w:eastAsia="Palatino Linotype" w:hAnsi="Palatino Linotype" w:cs="Palatino Linotype"/>
          <w:color w:val="000000"/>
        </w:rPr>
        <w:t xml:space="preserve">Igualmente, los Lineamientos Generales en Materia de Clasificación y Desclasificación de la Información, así como para la elaboración de Versiones Públicas, emitidos por el </w:t>
      </w:r>
      <w:r>
        <w:rPr>
          <w:rFonts w:ascii="Palatino Linotype" w:eastAsia="Palatino Linotype" w:hAnsi="Palatino Linotype" w:cs="Palatino Linotype"/>
          <w:color w:val="000000"/>
        </w:rPr>
        <w:lastRenderedPageBreak/>
        <w:t xml:space="preserve">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w:t>
      </w:r>
      <w:r>
        <w:rPr>
          <w:rFonts w:ascii="Palatino Linotype" w:eastAsia="Palatino Linotype" w:hAnsi="Palatino Linotype" w:cs="Palatino Linotype"/>
        </w:rPr>
        <w:t>clasificará</w:t>
      </w:r>
      <w:r>
        <w:rPr>
          <w:rFonts w:ascii="Palatino Linotype" w:eastAsia="Palatino Linotype" w:hAnsi="Palatino Linotype" w:cs="Palatino Linotype"/>
          <w:color w:val="000000"/>
        </w:rPr>
        <w:t xml:space="preserve"> como reservada o confidencial la información que posean, </w:t>
      </w:r>
      <w:r>
        <w:rPr>
          <w:rFonts w:ascii="Palatino Linotype" w:eastAsia="Palatino Linotype" w:hAnsi="Palatino Linotype" w:cs="Palatino Linotype"/>
        </w:rPr>
        <w:t>desclasificará</w:t>
      </w:r>
      <w:r>
        <w:rPr>
          <w:rFonts w:ascii="Palatino Linotype" w:eastAsia="Palatino Linotype" w:hAnsi="Palatino Linotype" w:cs="Palatino Linotype"/>
          <w:color w:val="000000"/>
        </w:rPr>
        <w:t xml:space="preserve"> y generarán, en su caso, versiones públicas de expedientes o documentos que contengan partes o secciones clasificadas.</w:t>
      </w:r>
    </w:p>
    <w:p w:rsidR="00062873" w:rsidRDefault="00062873">
      <w:pPr>
        <w:pBdr>
          <w:top w:val="nil"/>
          <w:left w:val="nil"/>
          <w:bottom w:val="nil"/>
          <w:right w:val="nil"/>
          <w:between w:val="nil"/>
        </w:pBdr>
        <w:spacing w:line="360" w:lineRule="auto"/>
        <w:ind w:left="720" w:right="-929"/>
        <w:rPr>
          <w:rFonts w:ascii="Palatino Linotype" w:eastAsia="Palatino Linotype" w:hAnsi="Palatino Linotype" w:cs="Palatino Linotype"/>
          <w:color w:val="000000"/>
        </w:rPr>
      </w:pPr>
    </w:p>
    <w:p w:rsidR="00062873" w:rsidRDefault="00C85A03">
      <w:pPr>
        <w:numPr>
          <w:ilvl w:val="0"/>
          <w:numId w:val="3"/>
        </w:numPr>
        <w:pBdr>
          <w:top w:val="nil"/>
          <w:left w:val="nil"/>
          <w:bottom w:val="nil"/>
          <w:right w:val="nil"/>
          <w:between w:val="nil"/>
        </w:pBdr>
        <w:spacing w:line="360" w:lineRule="auto"/>
        <w:ind w:left="141" w:right="-929" w:firstLine="0"/>
        <w:jc w:val="both"/>
        <w:rPr>
          <w:color w:val="000000"/>
        </w:rPr>
      </w:pPr>
      <w:r>
        <w:rPr>
          <w:rFonts w:ascii="Palatino Linotype" w:eastAsia="Palatino Linotype" w:hAnsi="Palatino Linotype" w:cs="Palatino Linotype"/>
          <w:color w:val="000000"/>
        </w:rPr>
        <w:t>Entorno a lo que aquí nos interesa, los Lineamientos Quincuagésimo sexto, Quincuagésimo séptimo y Quincuagésimo octavo, establecen lo siguiente:</w:t>
      </w:r>
    </w:p>
    <w:p w:rsidR="00062873" w:rsidRDefault="00C85A03">
      <w:pPr>
        <w:spacing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i/>
          <w:iCs/>
        </w:rPr>
        <w:t>“Quincuagésimo sexto</w:t>
      </w:r>
      <w:r>
        <w:rPr>
          <w:rFonts w:ascii="Palatino Linotype" w:eastAsia="Palatino Linotype" w:hAnsi="Palatino Linotype" w:cs="Palatino Linotype"/>
          <w:b/>
          <w:bCs/>
          <w:i/>
          <w:iCs/>
        </w:rPr>
        <w:t>.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rsidR="00062873" w:rsidRDefault="00C85A03">
      <w:pPr>
        <w:spacing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Quincuagésimo séptimo. Se considera, en principio, como información pública y no podrá omitirse de las versiones públicas la siguiente: </w:t>
      </w:r>
    </w:p>
    <w:p w:rsidR="00062873" w:rsidRDefault="00C85A03">
      <w:pPr>
        <w:spacing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La relativa a las Obligaciones de Transparencia que contempla el Título V de la Ley General y las demás disposiciones legales aplicables; </w:t>
      </w:r>
    </w:p>
    <w:p w:rsidR="00062873" w:rsidRDefault="00C85A03">
      <w:pPr>
        <w:spacing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 El nombre de los servidores públicos en los documentos, y sus firmas autógrafas, cuando sean utilizados en el ejercicio de las facultades conferidas para el desempeño del servicio público, y </w:t>
      </w:r>
    </w:p>
    <w:p w:rsidR="00062873" w:rsidRDefault="00C85A03">
      <w:pPr>
        <w:spacing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i/>
          <w:iCs/>
        </w:rPr>
        <w:t>III. La información que documente decisiones y los actos de autoridad concluidos de los sujetos obligados, así como el ejercicio de las facultades o actividades de los servidores públicos, de manera que se pueda valorar el desempeño de los mismos.</w:t>
      </w:r>
    </w:p>
    <w:p w:rsidR="00062873" w:rsidRDefault="00C85A03">
      <w:pPr>
        <w:spacing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 xml:space="preserve">Lo anterior, siempre y cuando no se acredite alguna causal de clasificación, prevista en las leyes o en los tratados internaciones suscritos por el Estado mexicano. </w:t>
      </w:r>
    </w:p>
    <w:p w:rsidR="00062873" w:rsidRDefault="00C85A03">
      <w:pPr>
        <w:spacing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i/>
          <w:iCs/>
        </w:rPr>
        <w:t>Quincuagésimo octavo. Los sujetos obligados garantizarán que los sistemas o medios empleados para eliminar la información en las versiones públicas no permitan la recuperación o visualización de la misma.”</w:t>
      </w:r>
    </w:p>
    <w:p w:rsidR="00062873" w:rsidRDefault="00062873">
      <w:pPr>
        <w:spacing w:line="360" w:lineRule="auto"/>
        <w:ind w:left="851" w:right="-929"/>
        <w:jc w:val="both"/>
        <w:rPr>
          <w:rFonts w:ascii="Palatino Linotype" w:eastAsia="Palatino Linotype" w:hAnsi="Palatino Linotype" w:cs="Palatino Linotype"/>
          <w:i/>
          <w:iCs/>
        </w:rPr>
      </w:pPr>
    </w:p>
    <w:p w:rsidR="00062873" w:rsidRDefault="00C85A03">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 xml:space="preserve">Por lo tanto, </w:t>
      </w:r>
      <w:r>
        <w:rPr>
          <w:rFonts w:ascii="Palatino Linotype" w:eastAsia="Palatino Linotype" w:hAnsi="Palatino Linotype" w:cs="Palatino Linotype"/>
          <w:b/>
          <w:bCs/>
          <w:color w:val="000000"/>
        </w:rPr>
        <w:t xml:space="preserve">la entrega de documentos en su versión pública debe </w:t>
      </w:r>
      <w:r>
        <w:rPr>
          <w:rFonts w:ascii="Palatino Linotype" w:eastAsia="Palatino Linotype" w:hAnsi="Palatino Linotype" w:cs="Palatino Linotype"/>
          <w:color w:val="000000"/>
        </w:rPr>
        <w:t>acompañarse</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necesariamente</w:t>
      </w:r>
      <w:r>
        <w:rPr>
          <w:rFonts w:ascii="Palatino Linotype" w:eastAsia="Palatino Linotype" w:hAnsi="Palatino Linotype" w:cs="Palatino Linotype"/>
          <w:b/>
          <w:bCs/>
          <w:color w:val="000000"/>
        </w:rPr>
        <w:t xml:space="preserve"> del Acuerdo del Comité de Transparencia que la sustente el cual debe estar debidamente fundado y motivado, en el que se expongan los fundamentos y razonamientos que llevaron al Sujeto Obligado a testar, suprimir o eliminar datos de dicho soporte documental</w:t>
      </w:r>
      <w:r>
        <w:rPr>
          <w:rFonts w:ascii="Palatino Linotype" w:eastAsia="Palatino Linotype" w:hAnsi="Palatino Linotype" w:cs="Palatino Linotype"/>
          <w:color w:val="000000"/>
        </w:rPr>
        <w:t>,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rsidR="00062873" w:rsidRDefault="00062873">
      <w:pPr>
        <w:pBdr>
          <w:top w:val="nil"/>
          <w:left w:val="nil"/>
          <w:bottom w:val="nil"/>
          <w:right w:val="nil"/>
          <w:between w:val="nil"/>
        </w:pBdr>
        <w:tabs>
          <w:tab w:val="left" w:pos="284"/>
          <w:tab w:val="left" w:pos="426"/>
        </w:tabs>
        <w:spacing w:line="360" w:lineRule="auto"/>
        <w:ind w:right="-929"/>
        <w:jc w:val="both"/>
        <w:rPr>
          <w:rFonts w:ascii="Palatino Linotype" w:eastAsia="Palatino Linotype" w:hAnsi="Palatino Linotype" w:cs="Palatino Linotype"/>
          <w:color w:val="000000"/>
        </w:rPr>
      </w:pPr>
    </w:p>
    <w:p w:rsidR="00062873" w:rsidRDefault="00C85A03">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Los sujetos obligados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062873" w:rsidRDefault="00062873">
      <w:pPr>
        <w:tabs>
          <w:tab w:val="left" w:pos="284"/>
        </w:tabs>
        <w:spacing w:line="360" w:lineRule="auto"/>
        <w:ind w:right="-929"/>
        <w:jc w:val="both"/>
        <w:rPr>
          <w:rFonts w:ascii="Palatino Linotype" w:eastAsia="Palatino Linotype" w:hAnsi="Palatino Linotype" w:cs="Palatino Linotype"/>
          <w:color w:val="000000"/>
        </w:rPr>
      </w:pPr>
    </w:p>
    <w:tbl>
      <w:tblPr>
        <w:tblStyle w:val="a"/>
        <w:tblW w:w="9705"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525"/>
        <w:gridCol w:w="6180"/>
      </w:tblGrid>
      <w:tr w:rsidR="00062873">
        <w:tc>
          <w:tcPr>
            <w:tcW w:w="3525" w:type="dxa"/>
          </w:tcPr>
          <w:p w:rsidR="00062873" w:rsidRDefault="00C85A03">
            <w:pPr>
              <w:tabs>
                <w:tab w:val="left" w:pos="284"/>
              </w:tabs>
              <w:ind w:right="-126"/>
              <w:rPr>
                <w:rFonts w:ascii="Palatino Linotype" w:eastAsia="Palatino Linotype" w:hAnsi="Palatino Linotype" w:cs="Palatino Linotype"/>
              </w:rPr>
            </w:pPr>
            <w:r>
              <w:rPr>
                <w:rFonts w:ascii="Palatino Linotype" w:eastAsia="Palatino Linotype" w:hAnsi="Palatino Linotype" w:cs="Palatino Linotype"/>
              </w:rPr>
              <w:lastRenderedPageBreak/>
              <w:t>a) Requisitos previos.</w:t>
            </w:r>
          </w:p>
        </w:tc>
        <w:tc>
          <w:tcPr>
            <w:tcW w:w="6180" w:type="dxa"/>
          </w:tcPr>
          <w:p w:rsidR="00062873" w:rsidRDefault="00C85A03">
            <w:pPr>
              <w:tabs>
                <w:tab w:val="left" w:pos="284"/>
              </w:tabs>
              <w:ind w:right="-12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062873" w:rsidRDefault="00C85A03">
            <w:pPr>
              <w:tabs>
                <w:tab w:val="left" w:pos="284"/>
              </w:tabs>
              <w:ind w:right="-12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062873" w:rsidRDefault="00C85A03">
            <w:pPr>
              <w:tabs>
                <w:tab w:val="left" w:pos="284"/>
              </w:tabs>
              <w:ind w:right="-12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rsidR="00062873" w:rsidRDefault="00C85A03">
            <w:pPr>
              <w:tabs>
                <w:tab w:val="left" w:pos="284"/>
              </w:tabs>
              <w:ind w:right="-12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Pr>
                <w:rFonts w:ascii="Palatino Linotype" w:eastAsia="Palatino Linotype" w:hAnsi="Palatino Linotype" w:cs="Palatino Linotype"/>
                <w:color w:val="000000"/>
                <w:u w:val="single"/>
              </w:rPr>
              <w:t>no se puede hacer un acuerdo para clasificar de manera general todos los documentos de un expediente o área, sin</w:t>
            </w:r>
            <w:r>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p w:rsidR="00062873" w:rsidRDefault="00062873">
            <w:pPr>
              <w:tabs>
                <w:tab w:val="left" w:pos="284"/>
              </w:tabs>
              <w:ind w:right="-126"/>
              <w:jc w:val="both"/>
              <w:rPr>
                <w:rFonts w:ascii="Palatino Linotype" w:eastAsia="Palatino Linotype" w:hAnsi="Palatino Linotype" w:cs="Palatino Linotype"/>
              </w:rPr>
            </w:pPr>
          </w:p>
        </w:tc>
      </w:tr>
      <w:tr w:rsidR="00062873">
        <w:tc>
          <w:tcPr>
            <w:tcW w:w="3525" w:type="dxa"/>
          </w:tcPr>
          <w:p w:rsidR="00062873" w:rsidRDefault="00C85A03">
            <w:pPr>
              <w:tabs>
                <w:tab w:val="left" w:pos="284"/>
              </w:tabs>
              <w:ind w:right="-126"/>
              <w:rPr>
                <w:rFonts w:ascii="Palatino Linotype" w:eastAsia="Palatino Linotype" w:hAnsi="Palatino Linotype" w:cs="Palatino Linotype"/>
              </w:rPr>
            </w:pPr>
            <w:r>
              <w:rPr>
                <w:rFonts w:ascii="Palatino Linotype" w:eastAsia="Palatino Linotype" w:hAnsi="Palatino Linotype" w:cs="Palatino Linotype"/>
              </w:rPr>
              <w:t>b) Supuestos de clasificación.</w:t>
            </w:r>
          </w:p>
        </w:tc>
        <w:tc>
          <w:tcPr>
            <w:tcW w:w="6180" w:type="dxa"/>
          </w:tcPr>
          <w:p w:rsidR="00062873" w:rsidRDefault="00C85A03">
            <w:pPr>
              <w:tabs>
                <w:tab w:val="left" w:pos="284"/>
              </w:tabs>
              <w:ind w:right="-12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062873" w:rsidRDefault="00C85A03">
            <w:pPr>
              <w:tabs>
                <w:tab w:val="left" w:pos="284"/>
              </w:tabs>
              <w:ind w:right="-12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062873" w:rsidRDefault="00C85A03">
            <w:pPr>
              <w:tabs>
                <w:tab w:val="left" w:pos="284"/>
              </w:tabs>
              <w:ind w:right="-12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p w:rsidR="00062873" w:rsidRDefault="00062873">
            <w:pPr>
              <w:tabs>
                <w:tab w:val="left" w:pos="284"/>
              </w:tabs>
              <w:ind w:right="-126"/>
              <w:jc w:val="both"/>
              <w:rPr>
                <w:rFonts w:ascii="Palatino Linotype" w:eastAsia="Palatino Linotype" w:hAnsi="Palatino Linotype" w:cs="Palatino Linotype"/>
              </w:rPr>
            </w:pPr>
          </w:p>
        </w:tc>
      </w:tr>
      <w:tr w:rsidR="00062873">
        <w:tc>
          <w:tcPr>
            <w:tcW w:w="3525" w:type="dxa"/>
          </w:tcPr>
          <w:p w:rsidR="00062873" w:rsidRDefault="00C85A03">
            <w:pPr>
              <w:tabs>
                <w:tab w:val="left" w:pos="284"/>
              </w:tabs>
              <w:ind w:right="-126"/>
              <w:rPr>
                <w:rFonts w:ascii="Palatino Linotype" w:eastAsia="Palatino Linotype" w:hAnsi="Palatino Linotype" w:cs="Palatino Linotype"/>
              </w:rPr>
            </w:pPr>
            <w:r>
              <w:rPr>
                <w:rFonts w:ascii="Palatino Linotype" w:eastAsia="Palatino Linotype" w:hAnsi="Palatino Linotype" w:cs="Palatino Linotype"/>
              </w:rPr>
              <w:lastRenderedPageBreak/>
              <w:t>c) Formalidades para emitir el acuerdo de clasificación.</w:t>
            </w:r>
          </w:p>
        </w:tc>
        <w:tc>
          <w:tcPr>
            <w:tcW w:w="6180" w:type="dxa"/>
          </w:tcPr>
          <w:p w:rsidR="00062873" w:rsidRDefault="00C85A03">
            <w:pPr>
              <w:tabs>
                <w:tab w:val="left" w:pos="284"/>
              </w:tabs>
              <w:ind w:right="-12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062873" w:rsidRDefault="00C85A03">
            <w:pPr>
              <w:tabs>
                <w:tab w:val="left" w:pos="284"/>
              </w:tabs>
              <w:ind w:right="-12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necesario que </w:t>
            </w:r>
            <w:r>
              <w:rPr>
                <w:rFonts w:ascii="Palatino Linotype" w:eastAsia="Palatino Linotype" w:hAnsi="Palatino Linotype" w:cs="Palatino Linotype"/>
                <w:b/>
                <w:bCs/>
                <w:color w:val="000000"/>
                <w:u w:val="single"/>
              </w:rPr>
              <w:t>el acto reúna con los requisitos elementales</w:t>
            </w:r>
            <w:r>
              <w:rPr>
                <w:rFonts w:ascii="Palatino Linotype" w:eastAsia="Palatino Linotype" w:hAnsi="Palatino Linotype" w:cs="Palatino Linotype"/>
                <w:color w:val="000000"/>
              </w:rPr>
              <w:t>, entre ellos, que la autoridad que va a emitir el acto de autoridad sea la legalmente facultada para ello.</w:t>
            </w:r>
          </w:p>
          <w:p w:rsidR="00062873" w:rsidRDefault="00C85A03">
            <w:pPr>
              <w:tabs>
                <w:tab w:val="left" w:pos="284"/>
              </w:tabs>
              <w:ind w:right="-12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Pr>
                <w:rFonts w:ascii="Palatino Linotype" w:eastAsia="Palatino Linotype" w:hAnsi="Palatino Linotype" w:cs="Palatino Linotype"/>
              </w:rPr>
              <w:t>El área</w:t>
            </w:r>
            <w:r>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p w:rsidR="00062873" w:rsidRDefault="00062873">
            <w:pPr>
              <w:tabs>
                <w:tab w:val="left" w:pos="284"/>
              </w:tabs>
              <w:ind w:right="-126"/>
              <w:jc w:val="both"/>
              <w:rPr>
                <w:rFonts w:ascii="Palatino Linotype" w:eastAsia="Palatino Linotype" w:hAnsi="Palatino Linotype" w:cs="Palatino Linotype"/>
              </w:rPr>
            </w:pPr>
          </w:p>
        </w:tc>
      </w:tr>
      <w:tr w:rsidR="00062873">
        <w:tc>
          <w:tcPr>
            <w:tcW w:w="3525" w:type="dxa"/>
          </w:tcPr>
          <w:p w:rsidR="00062873" w:rsidRDefault="00062873">
            <w:pPr>
              <w:tabs>
                <w:tab w:val="left" w:pos="284"/>
              </w:tabs>
              <w:ind w:right="-126"/>
              <w:rPr>
                <w:rFonts w:ascii="Palatino Linotype" w:eastAsia="Palatino Linotype" w:hAnsi="Palatino Linotype" w:cs="Palatino Linotype"/>
              </w:rPr>
            </w:pPr>
          </w:p>
          <w:p w:rsidR="00062873" w:rsidRDefault="00C85A03">
            <w:pPr>
              <w:tabs>
                <w:tab w:val="left" w:pos="284"/>
              </w:tabs>
              <w:ind w:right="-126"/>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d) Requisitos de fondo del acuerdo de clasificación. </w:t>
            </w:r>
          </w:p>
        </w:tc>
        <w:tc>
          <w:tcPr>
            <w:tcW w:w="6180" w:type="dxa"/>
          </w:tcPr>
          <w:p w:rsidR="00062873" w:rsidRDefault="00C85A03">
            <w:pPr>
              <w:tabs>
                <w:tab w:val="left" w:pos="284"/>
              </w:tabs>
              <w:ind w:right="-12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color w:val="000000"/>
              </w:rPr>
              <w:t>Sujetos Obligados</w:t>
            </w:r>
            <w:r>
              <w:rPr>
                <w:rFonts w:ascii="Palatino Linotype" w:eastAsia="Palatino Linotype" w:hAnsi="Palatino Linotype" w:cs="Palatino Linotype"/>
                <w:color w:val="000000"/>
              </w:rPr>
              <w:t xml:space="preserve">, por lo que deberán fundar y motivar debidamente la clasificación. </w:t>
            </w:r>
          </w:p>
          <w:p w:rsidR="00062873" w:rsidRDefault="00C85A03">
            <w:pPr>
              <w:tabs>
                <w:tab w:val="left" w:pos="284"/>
              </w:tabs>
              <w:ind w:right="-12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De lo anterior, se desprende que para una correcta </w:t>
            </w:r>
            <w:r>
              <w:rPr>
                <w:rFonts w:ascii="Palatino Linotype" w:eastAsia="Palatino Linotype" w:hAnsi="Palatino Linotype" w:cs="Palatino Linotype"/>
                <w:b/>
                <w:bCs/>
                <w:color w:val="000000"/>
              </w:rPr>
              <w:t>clasificación total o parcial</w:t>
            </w:r>
            <w:r>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062873" w:rsidRDefault="00C85A03">
            <w:pPr>
              <w:tabs>
                <w:tab w:val="left" w:pos="284"/>
              </w:tabs>
              <w:ind w:right="-12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062873" w:rsidRDefault="00C85A03">
            <w:pPr>
              <w:tabs>
                <w:tab w:val="left" w:pos="284"/>
              </w:tabs>
              <w:ind w:right="-12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062873" w:rsidRDefault="00C85A03">
            <w:pPr>
              <w:tabs>
                <w:tab w:val="left" w:pos="284"/>
              </w:tabs>
              <w:ind w:right="-12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w:t>
            </w:r>
            <w:r>
              <w:rPr>
                <w:rFonts w:ascii="Palatino Linotype" w:eastAsia="Palatino Linotype" w:hAnsi="Palatino Linotype" w:cs="Palatino Linotype"/>
                <w:b/>
                <w:bCs/>
                <w:color w:val="000000"/>
                <w:u w:val="single"/>
              </w:rPr>
              <w:t>para cada caso además de fundar y motivar</w:t>
            </w:r>
            <w:r>
              <w:rPr>
                <w:rFonts w:ascii="Palatino Linotype" w:eastAsia="Palatino Linotype" w:hAnsi="Palatino Linotype" w:cs="Palatino Linotype"/>
                <w:color w:val="000000"/>
              </w:rPr>
              <w:t xml:space="preserve">, se debe identificar con claridad </w:t>
            </w:r>
            <w:r>
              <w:rPr>
                <w:rFonts w:ascii="Palatino Linotype" w:eastAsia="Palatino Linotype" w:hAnsi="Palatino Linotype" w:cs="Palatino Linotype"/>
              </w:rPr>
              <w:t>qué</w:t>
            </w:r>
            <w:r>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p w:rsidR="00062873" w:rsidRDefault="00062873">
            <w:pPr>
              <w:tabs>
                <w:tab w:val="left" w:pos="284"/>
              </w:tabs>
              <w:ind w:right="-126"/>
              <w:jc w:val="both"/>
              <w:rPr>
                <w:rFonts w:ascii="Palatino Linotype" w:eastAsia="Palatino Linotype" w:hAnsi="Palatino Linotype" w:cs="Palatino Linotype"/>
                <w:color w:val="000000"/>
              </w:rPr>
            </w:pPr>
          </w:p>
        </w:tc>
      </w:tr>
      <w:tr w:rsidR="00062873">
        <w:tc>
          <w:tcPr>
            <w:tcW w:w="3525" w:type="dxa"/>
          </w:tcPr>
          <w:p w:rsidR="00062873" w:rsidRDefault="00C85A03">
            <w:pPr>
              <w:tabs>
                <w:tab w:val="left" w:pos="284"/>
              </w:tabs>
              <w:ind w:right="-126"/>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 Condiciones especiales de la clasificación de la información como confidencial. </w:t>
            </w:r>
          </w:p>
        </w:tc>
        <w:tc>
          <w:tcPr>
            <w:tcW w:w="6180" w:type="dxa"/>
          </w:tcPr>
          <w:p w:rsidR="00062873" w:rsidRDefault="00C85A03">
            <w:pPr>
              <w:tabs>
                <w:tab w:val="left" w:pos="284"/>
              </w:tabs>
              <w:ind w:right="-12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062873" w:rsidRDefault="00C85A03">
            <w:pPr>
              <w:tabs>
                <w:tab w:val="left" w:pos="284"/>
              </w:tabs>
              <w:ind w:right="-12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062873" w:rsidRDefault="00C85A03">
            <w:pPr>
              <w:tabs>
                <w:tab w:val="left" w:pos="284"/>
              </w:tabs>
              <w:ind w:right="-126"/>
              <w:rPr>
                <w:rFonts w:ascii="Palatino Linotype" w:eastAsia="Palatino Linotype" w:hAnsi="Palatino Linotype" w:cs="Palatino Linotype"/>
                <w:color w:val="000000"/>
              </w:rPr>
            </w:pPr>
            <w:r>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p w:rsidR="00062873" w:rsidRDefault="00062873">
            <w:pPr>
              <w:tabs>
                <w:tab w:val="left" w:pos="284"/>
              </w:tabs>
              <w:ind w:right="-126"/>
              <w:rPr>
                <w:rFonts w:ascii="Palatino Linotype" w:eastAsia="Palatino Linotype" w:hAnsi="Palatino Linotype" w:cs="Palatino Linotype"/>
              </w:rPr>
            </w:pPr>
          </w:p>
        </w:tc>
      </w:tr>
    </w:tbl>
    <w:p w:rsidR="00062873" w:rsidRDefault="00062873">
      <w:pPr>
        <w:tabs>
          <w:tab w:val="left" w:pos="284"/>
        </w:tabs>
        <w:spacing w:line="360" w:lineRule="auto"/>
        <w:ind w:right="-929"/>
        <w:rPr>
          <w:rFonts w:ascii="Palatino Linotype" w:eastAsia="Palatino Linotype" w:hAnsi="Palatino Linotype" w:cs="Palatino Linotype"/>
          <w:color w:val="000000"/>
        </w:rPr>
      </w:pPr>
    </w:p>
    <w:p w:rsidR="00062873" w:rsidRDefault="00C85A03">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rsidR="00062873" w:rsidRDefault="00062873">
      <w:pPr>
        <w:pBdr>
          <w:top w:val="nil"/>
          <w:left w:val="nil"/>
          <w:bottom w:val="nil"/>
          <w:right w:val="nil"/>
          <w:between w:val="nil"/>
        </w:pBdr>
        <w:spacing w:line="360" w:lineRule="auto"/>
        <w:ind w:left="502" w:right="-929"/>
        <w:jc w:val="both"/>
        <w:rPr>
          <w:rFonts w:ascii="Palatino Linotype" w:eastAsia="Palatino Linotype" w:hAnsi="Palatino Linotype" w:cs="Palatino Linotype"/>
        </w:rPr>
      </w:pPr>
    </w:p>
    <w:p w:rsidR="00062873" w:rsidRDefault="00C85A03">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 xml:space="preserve">Por lo anteriormente expuesto y fundado, este Órgano Garante emite los siguientes: </w:t>
      </w:r>
    </w:p>
    <w:p w:rsidR="00062873" w:rsidRDefault="00062873">
      <w:pPr>
        <w:pBdr>
          <w:top w:val="nil"/>
          <w:left w:val="nil"/>
          <w:bottom w:val="nil"/>
          <w:right w:val="nil"/>
          <w:between w:val="nil"/>
        </w:pBdr>
        <w:spacing w:line="360" w:lineRule="auto"/>
        <w:ind w:right="-929"/>
        <w:jc w:val="both"/>
        <w:rPr>
          <w:rFonts w:ascii="Palatino Linotype" w:eastAsia="Palatino Linotype" w:hAnsi="Palatino Linotype" w:cs="Palatino Linotype"/>
        </w:rPr>
      </w:pPr>
    </w:p>
    <w:p w:rsidR="00062873" w:rsidRDefault="00C85A03">
      <w:pPr>
        <w:pStyle w:val="Ttulo1"/>
        <w:spacing w:before="0" w:line="360" w:lineRule="auto"/>
        <w:ind w:right="-929"/>
        <w:jc w:val="center"/>
        <w:rPr>
          <w:rFonts w:ascii="Palatino Linotype" w:eastAsia="Palatino Linotype" w:hAnsi="Palatino Linotype" w:cs="Palatino Linotype"/>
          <w:b/>
          <w:bCs/>
          <w:color w:val="000000"/>
          <w:sz w:val="24"/>
          <w:szCs w:val="24"/>
        </w:rPr>
      </w:pPr>
      <w:bookmarkStart w:id="9" w:name="_heading=h.4yeuhaaoqiwx" w:colFirst="0" w:colLast="0"/>
      <w:bookmarkEnd w:id="9"/>
      <w:r>
        <w:rPr>
          <w:rFonts w:ascii="Palatino Linotype" w:eastAsia="Palatino Linotype" w:hAnsi="Palatino Linotype" w:cs="Palatino Linotype"/>
          <w:b/>
          <w:bCs/>
          <w:color w:val="000000"/>
          <w:sz w:val="24"/>
          <w:szCs w:val="24"/>
        </w:rPr>
        <w:t>R E S O L U T I V O S</w:t>
      </w:r>
    </w:p>
    <w:p w:rsidR="00062873" w:rsidRDefault="00062873">
      <w:pPr>
        <w:spacing w:line="360" w:lineRule="auto"/>
        <w:ind w:right="-929"/>
        <w:rPr>
          <w:rFonts w:ascii="Palatino Linotype" w:eastAsia="Palatino Linotype" w:hAnsi="Palatino Linotype" w:cs="Palatino Linotype"/>
        </w:rPr>
      </w:pPr>
    </w:p>
    <w:p w:rsidR="00062873" w:rsidRDefault="00C85A03">
      <w:pPr>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b/>
          <w:bCs/>
        </w:rPr>
        <w:t>PRIMERO</w:t>
      </w:r>
      <w:r>
        <w:rPr>
          <w:rFonts w:ascii="Palatino Linotype" w:eastAsia="Palatino Linotype" w:hAnsi="Palatino Linotype" w:cs="Palatino Linotype"/>
        </w:rPr>
        <w:t>. Resultan fundadas las</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razones o motivos de inconformidad hechos valer en el Recurso de Revisión </w:t>
      </w:r>
      <w:r>
        <w:rPr>
          <w:rFonts w:ascii="Palatino Linotype" w:eastAsia="Palatino Linotype" w:hAnsi="Palatino Linotype" w:cs="Palatino Linotype"/>
          <w:b/>
          <w:bCs/>
          <w:color w:val="000000"/>
        </w:rPr>
        <w:t>11748/INFOEM/IP/RR/2025</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en términos de los </w:t>
      </w:r>
      <w:r>
        <w:rPr>
          <w:rFonts w:ascii="Palatino Linotype" w:eastAsia="Palatino Linotype" w:hAnsi="Palatino Linotype" w:cs="Palatino Linotype"/>
          <w:b/>
          <w:bCs/>
        </w:rPr>
        <w:t>Considerandos</w:t>
      </w:r>
      <w:r>
        <w:rPr>
          <w:rFonts w:ascii="Palatino Linotype" w:eastAsia="Palatino Linotype" w:hAnsi="Palatino Linotype" w:cs="Palatino Linotype"/>
        </w:rPr>
        <w:t xml:space="preserve"> </w:t>
      </w:r>
      <w:r>
        <w:rPr>
          <w:rFonts w:ascii="Palatino Linotype" w:eastAsia="Palatino Linotype" w:hAnsi="Palatino Linotype" w:cs="Palatino Linotype"/>
          <w:b/>
          <w:bCs/>
        </w:rPr>
        <w:t>CUARTO</w:t>
      </w:r>
      <w:r>
        <w:rPr>
          <w:rFonts w:ascii="Palatino Linotype" w:eastAsia="Palatino Linotype" w:hAnsi="Palatino Linotype" w:cs="Palatino Linotype"/>
        </w:rPr>
        <w:t xml:space="preserve"> y </w:t>
      </w:r>
      <w:r>
        <w:rPr>
          <w:rFonts w:ascii="Palatino Linotype" w:eastAsia="Palatino Linotype" w:hAnsi="Palatino Linotype" w:cs="Palatino Linotype"/>
          <w:b/>
          <w:bCs/>
        </w:rPr>
        <w:t xml:space="preserve">QUINTO </w:t>
      </w:r>
      <w:r>
        <w:rPr>
          <w:rFonts w:ascii="Palatino Linotype" w:eastAsia="Palatino Linotype" w:hAnsi="Palatino Linotype" w:cs="Palatino Linotype"/>
        </w:rPr>
        <w:t>de la presente Resolución.</w:t>
      </w:r>
    </w:p>
    <w:p w:rsidR="00062873" w:rsidRDefault="00062873">
      <w:pPr>
        <w:spacing w:line="360" w:lineRule="auto"/>
        <w:ind w:right="-929"/>
        <w:jc w:val="both"/>
        <w:rPr>
          <w:rFonts w:ascii="Palatino Linotype" w:eastAsia="Palatino Linotype" w:hAnsi="Palatino Linotype" w:cs="Palatino Linotype"/>
        </w:rPr>
      </w:pPr>
    </w:p>
    <w:p w:rsidR="00062873" w:rsidRDefault="00C85A03">
      <w:pPr>
        <w:spacing w:line="360" w:lineRule="auto"/>
        <w:ind w:right="-929"/>
        <w:jc w:val="both"/>
        <w:rPr>
          <w:rFonts w:ascii="Palatino Linotype" w:eastAsia="Palatino Linotype" w:hAnsi="Palatino Linotype" w:cs="Palatino Linotype"/>
        </w:rPr>
      </w:pPr>
      <w:bookmarkStart w:id="10" w:name="_heading=h.a2ohud5lgha7" w:colFirst="0" w:colLast="0"/>
      <w:bookmarkEnd w:id="10"/>
      <w:r>
        <w:rPr>
          <w:rFonts w:ascii="Palatino Linotype" w:eastAsia="Palatino Linotype" w:hAnsi="Palatino Linotype" w:cs="Palatino Linotype"/>
          <w:b/>
          <w:bCs/>
        </w:rPr>
        <w:lastRenderedPageBreak/>
        <w:t xml:space="preserve">SEGUNDO. </w:t>
      </w:r>
      <w:r>
        <w:rPr>
          <w:rFonts w:ascii="Palatino Linotype" w:eastAsia="Palatino Linotype" w:hAnsi="Palatino Linotype" w:cs="Palatino Linotype"/>
          <w:color w:val="000000"/>
        </w:rPr>
        <w:t xml:space="preserve">Se </w:t>
      </w:r>
      <w:r>
        <w:rPr>
          <w:rFonts w:ascii="Palatino Linotype" w:eastAsia="Palatino Linotype" w:hAnsi="Palatino Linotype" w:cs="Palatino Linotype"/>
          <w:b/>
          <w:bCs/>
          <w:color w:val="000000"/>
        </w:rPr>
        <w:t xml:space="preserve">MODIFICA </w:t>
      </w:r>
      <w:r>
        <w:rPr>
          <w:rFonts w:ascii="Palatino Linotype" w:eastAsia="Palatino Linotype" w:hAnsi="Palatino Linotype" w:cs="Palatino Linotype"/>
          <w:color w:val="000000"/>
        </w:rPr>
        <w:t xml:space="preserve">la respuesta emitida por el </w:t>
      </w:r>
      <w:r>
        <w:rPr>
          <w:rFonts w:ascii="Palatino Linotype" w:eastAsia="Palatino Linotype" w:hAnsi="Palatino Linotype" w:cs="Palatino Linotype"/>
          <w:b/>
          <w:bCs/>
        </w:rPr>
        <w:t>Ayuntamiento de Atizapán de Zaragoza</w:t>
      </w:r>
      <w:r>
        <w:rPr>
          <w:rFonts w:ascii="Palatino Linotype" w:eastAsia="Palatino Linotype" w:hAnsi="Palatino Linotype" w:cs="Palatino Linotype"/>
          <w:color w:val="000000"/>
        </w:rPr>
        <w:t xml:space="preserve"> y se </w:t>
      </w:r>
      <w:r>
        <w:rPr>
          <w:rFonts w:ascii="Palatino Linotype" w:eastAsia="Palatino Linotype" w:hAnsi="Palatino Linotype" w:cs="Palatino Linotype"/>
          <w:b/>
          <w:bCs/>
          <w:color w:val="000000"/>
        </w:rPr>
        <w:t>ORDENA</w:t>
      </w:r>
      <w:r>
        <w:rPr>
          <w:rFonts w:ascii="Palatino Linotype" w:eastAsia="Palatino Linotype" w:hAnsi="Palatino Linotype" w:cs="Palatino Linotype"/>
          <w:color w:val="000000"/>
        </w:rPr>
        <w:t xml:space="preserve"> entregar vía Sistema de Acceso a la Información Mexiquense (SAIMEX), en versión pública, la siguiente información</w:t>
      </w:r>
      <w:r>
        <w:rPr>
          <w:rFonts w:ascii="Palatino Linotype" w:eastAsia="Palatino Linotype" w:hAnsi="Palatino Linotype" w:cs="Palatino Linotype"/>
        </w:rPr>
        <w:t>:</w:t>
      </w:r>
    </w:p>
    <w:p w:rsidR="00062873" w:rsidRDefault="00062873">
      <w:pPr>
        <w:pBdr>
          <w:top w:val="nil"/>
          <w:left w:val="nil"/>
          <w:bottom w:val="nil"/>
          <w:right w:val="nil"/>
          <w:between w:val="nil"/>
        </w:pBdr>
        <w:tabs>
          <w:tab w:val="left" w:pos="8080"/>
        </w:tabs>
        <w:spacing w:line="360" w:lineRule="auto"/>
        <w:ind w:left="709" w:right="-929"/>
        <w:jc w:val="both"/>
        <w:rPr>
          <w:rFonts w:ascii="Palatino Linotype" w:eastAsia="Palatino Linotype" w:hAnsi="Palatino Linotype" w:cs="Palatino Linotype"/>
          <w:i/>
          <w:iCs/>
          <w:color w:val="000000"/>
        </w:rPr>
      </w:pPr>
    </w:p>
    <w:p w:rsidR="00062873" w:rsidRDefault="00C85A03">
      <w:pPr>
        <w:numPr>
          <w:ilvl w:val="0"/>
          <w:numId w:val="5"/>
        </w:numPr>
        <w:pBdr>
          <w:top w:val="nil"/>
          <w:left w:val="nil"/>
          <w:bottom w:val="nil"/>
          <w:right w:val="nil"/>
          <w:between w:val="nil"/>
        </w:pBdr>
        <w:spacing w:line="360" w:lineRule="auto"/>
        <w:ind w:right="-92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Soporte documental en que consten o se adviertan las verificaciones, inspecciones y clausuras realizadas con autorización o supervisión de la servidora pública referida en la solicitud de información, al mayor grado de desagregación, del que se desprenda: giro comercial del establecimiento verificado o clausurado, domicilio, fecha de la diligencia, fundamento legal, nombre de los servidores públicos intervinientes, tipo de irregularidad detectada y sanción económica o administrativa impuesta, monto de las multas, pagos o convenios derivados, del</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09 de septiembre de 2024 al 09 de septiembre de 2025;</w:t>
      </w:r>
    </w:p>
    <w:p w:rsidR="00062873" w:rsidRDefault="00C85A03">
      <w:pPr>
        <w:numPr>
          <w:ilvl w:val="0"/>
          <w:numId w:val="5"/>
        </w:numPr>
        <w:pBdr>
          <w:top w:val="nil"/>
          <w:left w:val="nil"/>
          <w:bottom w:val="nil"/>
          <w:right w:val="nil"/>
          <w:between w:val="nil"/>
        </w:pBdr>
        <w:spacing w:line="360" w:lineRule="auto"/>
        <w:ind w:right="-92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Los números de las cuentas bancarias abiertas, referidas en el informe justificado; y</w:t>
      </w:r>
    </w:p>
    <w:p w:rsidR="00062873" w:rsidRDefault="00C85A03">
      <w:pPr>
        <w:numPr>
          <w:ilvl w:val="0"/>
          <w:numId w:val="5"/>
        </w:numPr>
        <w:pBdr>
          <w:top w:val="nil"/>
          <w:left w:val="nil"/>
          <w:bottom w:val="nil"/>
          <w:right w:val="nil"/>
          <w:between w:val="nil"/>
        </w:pBdr>
        <w:spacing w:line="360" w:lineRule="auto"/>
        <w:ind w:right="-92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Los procedimientos administrativos o recursos presentados por  particulares contra dichas actuaciones, del</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09 de septiembre de 2024 al 09 de septiembre de 2025;</w:t>
      </w:r>
    </w:p>
    <w:p w:rsidR="00062873" w:rsidRDefault="00062873">
      <w:pPr>
        <w:pBdr>
          <w:top w:val="nil"/>
          <w:left w:val="nil"/>
          <w:bottom w:val="nil"/>
          <w:right w:val="nil"/>
          <w:between w:val="nil"/>
        </w:pBdr>
        <w:spacing w:line="360" w:lineRule="auto"/>
        <w:ind w:left="1080" w:right="-929"/>
        <w:jc w:val="both"/>
        <w:rPr>
          <w:rFonts w:ascii="Palatino Linotype" w:eastAsia="Palatino Linotype" w:hAnsi="Palatino Linotype" w:cs="Palatino Linotype"/>
          <w:b/>
          <w:bCs/>
          <w:color w:val="000000"/>
        </w:rPr>
      </w:pPr>
    </w:p>
    <w:p w:rsidR="00062873" w:rsidRDefault="00C85A03">
      <w:pPr>
        <w:tabs>
          <w:tab w:val="left" w:pos="8080"/>
        </w:tabs>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rPr>
        <w:t xml:space="preserve">Para efectos de lo anterior, se deberá emitir el Acuerdo del Comité de Transparencia en términos de los artículos 49, fracciones II y VIII, 132, fracción II y 143 de la Ley de Transparencia y Acceso a la Información Pública del Estado de México y Municipios, en el que funde y motive las razones sobre la eliminación de los datos y documentos confidenciales del soporte documental respectivo objeto de las versiones públicas que se formulen y se pongan a disposición del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rPr>
        <w:t>.</w:t>
      </w:r>
    </w:p>
    <w:p w:rsidR="00062873" w:rsidRDefault="00062873">
      <w:pPr>
        <w:tabs>
          <w:tab w:val="left" w:pos="8080"/>
        </w:tabs>
        <w:spacing w:line="360" w:lineRule="auto"/>
        <w:ind w:right="-929"/>
        <w:jc w:val="both"/>
        <w:rPr>
          <w:rFonts w:ascii="Palatino Linotype" w:eastAsia="Palatino Linotype" w:hAnsi="Palatino Linotype" w:cs="Palatino Linotype"/>
        </w:rPr>
      </w:pPr>
    </w:p>
    <w:p w:rsidR="00062873" w:rsidRDefault="00C85A03">
      <w:pPr>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Asimismo, en referencia al </w:t>
      </w:r>
      <w:r>
        <w:rPr>
          <w:rFonts w:ascii="Palatino Linotype" w:eastAsia="Palatino Linotype" w:hAnsi="Palatino Linotype" w:cs="Palatino Linotype"/>
          <w:b/>
          <w:bCs/>
        </w:rPr>
        <w:t>inciso c)</w:t>
      </w:r>
      <w:r>
        <w:rPr>
          <w:rFonts w:ascii="Palatino Linotype" w:eastAsia="Palatino Linotype" w:hAnsi="Palatino Linotype" w:cs="Palatino Linotype"/>
        </w:rPr>
        <w:t>, en caso de existir procedimientos en trámite que actualicen la hipótesis prevista en el artículo 140 fracción VIII de la Ley de Transparencia y Acceso a la Información Pública del Estado de México y Municipios, resulta procedente la entrega del acuerdo que clasifique como información reservada, a través de la aplicación de la prueba de daño.</w:t>
      </w:r>
    </w:p>
    <w:p w:rsidR="00062873" w:rsidRDefault="00062873">
      <w:pPr>
        <w:tabs>
          <w:tab w:val="left" w:pos="8080"/>
        </w:tabs>
        <w:spacing w:line="360" w:lineRule="auto"/>
        <w:ind w:right="-929"/>
        <w:jc w:val="both"/>
        <w:rPr>
          <w:rFonts w:ascii="Palatino Linotype" w:eastAsia="Palatino Linotype" w:hAnsi="Palatino Linotype" w:cs="Palatino Linotype"/>
        </w:rPr>
      </w:pPr>
    </w:p>
    <w:p w:rsidR="00062873" w:rsidRDefault="00C85A03">
      <w:pPr>
        <w:spacing w:line="360" w:lineRule="auto"/>
        <w:ind w:right="-929"/>
        <w:jc w:val="both"/>
        <w:rPr>
          <w:rFonts w:ascii="Palatino Linotype" w:eastAsia="Palatino Linotype" w:hAnsi="Palatino Linotype" w:cs="Palatino Linotype"/>
        </w:rPr>
      </w:pPr>
      <w:bookmarkStart w:id="11" w:name="_heading=h.i79cbk3igdqs" w:colFirst="0" w:colLast="0"/>
      <w:bookmarkEnd w:id="11"/>
      <w:r>
        <w:rPr>
          <w:rFonts w:ascii="Palatino Linotype" w:eastAsia="Palatino Linotype" w:hAnsi="Palatino Linotype" w:cs="Palatino Linotype"/>
          <w:b/>
          <w:bCs/>
        </w:rPr>
        <w:t xml:space="preserve">TERCERO. Notifíquese </w:t>
      </w:r>
      <w:r>
        <w:rPr>
          <w:rFonts w:ascii="Palatino Linotype" w:eastAsia="Palatino Linotype" w:hAnsi="Palatino Linotype" w:cs="Palatino Linotype"/>
        </w:rPr>
        <w:t xml:space="preserve">la presente Resolución al Titular de la Unidad de Transparencia del Sujeto Obligado vía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para que conforme al artículo 186 último párrafo, 189 segundo párrafo y 194 de la Ley de Transparencia y Acceso a la Información Pública del Estado de México y Municipios; </w:t>
      </w:r>
      <w:r>
        <w:rPr>
          <w:rFonts w:ascii="Palatino Linotype" w:eastAsia="Palatino Linotype" w:hAnsi="Palatino Linotype" w:cs="Palatino Linotype"/>
          <w:b/>
          <w:bCs/>
        </w:rPr>
        <w:t>dé cumplimiento a lo ordenado dentro del plazo de diez días hábiles</w:t>
      </w:r>
      <w:r>
        <w:rPr>
          <w:rFonts w:ascii="Palatino Linotype" w:eastAsia="Palatino Linotype" w:hAnsi="Palatino Linotype" w:cs="Palatino Linotype"/>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062873" w:rsidRDefault="00062873">
      <w:pPr>
        <w:spacing w:line="360" w:lineRule="auto"/>
        <w:ind w:right="-929"/>
        <w:jc w:val="both"/>
        <w:rPr>
          <w:rFonts w:ascii="Palatino Linotype" w:eastAsia="Palatino Linotype" w:hAnsi="Palatino Linotype" w:cs="Palatino Linotype"/>
        </w:rPr>
      </w:pPr>
    </w:p>
    <w:p w:rsidR="00062873" w:rsidRDefault="00C85A03">
      <w:pPr>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b/>
          <w:bCs/>
        </w:rPr>
        <w:t xml:space="preserve">CUARTO. </w:t>
      </w:r>
      <w:r>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 manera fundada y motivada, podrá solicitar una ampliación de plazo para el cumplimiento de la presente Resolución.</w:t>
      </w:r>
    </w:p>
    <w:p w:rsidR="00062873" w:rsidRDefault="00062873">
      <w:pPr>
        <w:spacing w:line="360" w:lineRule="auto"/>
        <w:ind w:right="-929"/>
        <w:jc w:val="both"/>
        <w:rPr>
          <w:rFonts w:ascii="Palatino Linotype" w:eastAsia="Palatino Linotype" w:hAnsi="Palatino Linotype" w:cs="Palatino Linotype"/>
        </w:rPr>
      </w:pPr>
    </w:p>
    <w:p w:rsidR="00062873" w:rsidRDefault="00C85A03">
      <w:pPr>
        <w:tabs>
          <w:tab w:val="left" w:pos="8080"/>
        </w:tabs>
        <w:spacing w:line="360" w:lineRule="auto"/>
        <w:ind w:right="-929"/>
        <w:jc w:val="both"/>
        <w:rPr>
          <w:rFonts w:ascii="Palatino Linotype" w:eastAsia="Palatino Linotype" w:hAnsi="Palatino Linotype" w:cs="Palatino Linotype"/>
        </w:rPr>
      </w:pPr>
      <w:bookmarkStart w:id="12" w:name="_heading=h.5whw2knkvdq1" w:colFirst="0" w:colLast="0"/>
      <w:bookmarkEnd w:id="12"/>
      <w:r>
        <w:rPr>
          <w:rFonts w:ascii="Palatino Linotype" w:eastAsia="Palatino Linotype" w:hAnsi="Palatino Linotype" w:cs="Palatino Linotype"/>
          <w:b/>
          <w:bCs/>
        </w:rPr>
        <w:t xml:space="preserve">QUINTO. </w:t>
      </w:r>
      <w:r>
        <w:rPr>
          <w:rFonts w:ascii="Palatino Linotype" w:eastAsia="Palatino Linotype" w:hAnsi="Palatino Linotype" w:cs="Palatino Linotype"/>
        </w:rPr>
        <w:t xml:space="preserve">Notifíquese al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la presente Resolución, vía </w:t>
      </w:r>
      <w:r>
        <w:rPr>
          <w:rFonts w:ascii="Palatino Linotype" w:eastAsia="Palatino Linotype" w:hAnsi="Palatino Linotype" w:cs="Palatino Linotype"/>
          <w:b/>
          <w:bCs/>
        </w:rPr>
        <w:t>SAIMEX</w:t>
      </w:r>
      <w:r>
        <w:rPr>
          <w:rFonts w:ascii="Palatino Linotype" w:eastAsia="Palatino Linotype" w:hAnsi="Palatino Linotype" w:cs="Palatino Linotype"/>
        </w:rPr>
        <w:t>.</w:t>
      </w:r>
    </w:p>
    <w:p w:rsidR="00062873" w:rsidRDefault="00062873">
      <w:pPr>
        <w:tabs>
          <w:tab w:val="left" w:pos="8080"/>
        </w:tabs>
        <w:spacing w:line="360" w:lineRule="auto"/>
        <w:ind w:right="-929"/>
        <w:jc w:val="both"/>
        <w:rPr>
          <w:rFonts w:ascii="Palatino Linotype" w:eastAsia="Palatino Linotype" w:hAnsi="Palatino Linotype" w:cs="Palatino Linotype"/>
        </w:rPr>
      </w:pPr>
    </w:p>
    <w:p w:rsidR="00062873" w:rsidRDefault="00C85A03">
      <w:pPr>
        <w:shd w:val="clear" w:color="auto" w:fill="FFFFFF"/>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b/>
          <w:bCs/>
        </w:rPr>
        <w:lastRenderedPageBreak/>
        <w:t xml:space="preserve">SEXTO. </w:t>
      </w:r>
      <w:r>
        <w:rPr>
          <w:rFonts w:ascii="Palatino Linotype" w:eastAsia="Palatino Linotype" w:hAnsi="Palatino Linotype" w:cs="Palatino Linotype"/>
        </w:rPr>
        <w:t>Se hace del conocimiento del</w:t>
      </w:r>
      <w:r>
        <w:rPr>
          <w:rFonts w:ascii="Palatino Linotype" w:eastAsia="Palatino Linotype" w:hAnsi="Palatino Linotype" w:cs="Palatino Linotype"/>
          <w:b/>
          <w:bCs/>
        </w:rPr>
        <w:t xml:space="preserve"> RECURRENTE </w:t>
      </w:r>
      <w:r>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062873" w:rsidRDefault="00062873">
      <w:pPr>
        <w:shd w:val="clear" w:color="auto" w:fill="FFFFFF"/>
        <w:spacing w:line="360" w:lineRule="auto"/>
        <w:ind w:right="-929"/>
        <w:jc w:val="both"/>
        <w:rPr>
          <w:rFonts w:ascii="Palatino Linotype" w:eastAsia="Palatino Linotype" w:hAnsi="Palatino Linotype" w:cs="Palatino Linotype"/>
        </w:rPr>
      </w:pPr>
    </w:p>
    <w:p w:rsidR="006C50D3" w:rsidRPr="003E2295" w:rsidRDefault="006C50D3" w:rsidP="006C50D3">
      <w:pPr>
        <w:spacing w:before="240" w:after="240" w:line="360" w:lineRule="auto"/>
        <w:ind w:right="-943" w:firstLine="1"/>
        <w:jc w:val="both"/>
        <w:rPr>
          <w:rFonts w:ascii="Palatino Linotype" w:hAnsi="Palatino Linotype"/>
        </w:rPr>
      </w:pPr>
      <w:bookmarkStart w:id="13" w:name="_Hlk99014733"/>
      <w:r w:rsidRPr="003E2295">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w:t>
      </w:r>
      <w:r w:rsidR="00D13D48">
        <w:rPr>
          <w:rFonts w:ascii="Palatino Linotype" w:hAnsi="Palatino Linotype" w:cs="Palatino Linotype"/>
        </w:rPr>
        <w:t xml:space="preserve"> EMITIENDO VOTO PARTICULAR </w:t>
      </w:r>
      <w:r w:rsidRPr="003E2295">
        <w:rPr>
          <w:rFonts w:ascii="Palatino Linotype" w:hAnsi="Palatino Linotype" w:cs="Palatino Linotype"/>
        </w:rPr>
        <w:t xml:space="preserve"> Y GUADALUPE RAMÍREZ PEÑA; EN LA </w:t>
      </w:r>
      <w:r>
        <w:rPr>
          <w:rFonts w:ascii="Palatino Linotype" w:hAnsi="Palatino Linotype" w:cs="Palatino Linotype"/>
        </w:rPr>
        <w:t xml:space="preserve">VIGÉSIMA </w:t>
      </w:r>
      <w:r w:rsidRPr="003E2295">
        <w:rPr>
          <w:rFonts w:ascii="Palatino Linotype" w:hAnsi="Palatino Linotype" w:cs="Palatino Linotype"/>
        </w:rPr>
        <w:t>SESIÓN O</w:t>
      </w:r>
      <w:r>
        <w:rPr>
          <w:rFonts w:ascii="Palatino Linotype" w:hAnsi="Palatino Linotype" w:cs="Palatino Linotype"/>
        </w:rPr>
        <w:t>RDINARIA, CELEBRADA EL TRES (03</w:t>
      </w:r>
      <w:r w:rsidRPr="003E2295">
        <w:rPr>
          <w:rFonts w:ascii="Palatino Linotype" w:hAnsi="Palatino Linotype" w:cs="Palatino Linotype"/>
        </w:rPr>
        <w:t xml:space="preserve">) DE </w:t>
      </w:r>
      <w:r>
        <w:rPr>
          <w:rFonts w:ascii="Palatino Linotype" w:hAnsi="Palatino Linotype" w:cs="Palatino Linotype"/>
        </w:rPr>
        <w:t>JUNIO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3"/>
    <w:p w:rsidR="00062873" w:rsidRDefault="00062873" w:rsidP="006C50D3">
      <w:pPr>
        <w:spacing w:line="360" w:lineRule="auto"/>
        <w:ind w:right="-943"/>
        <w:jc w:val="both"/>
        <w:rPr>
          <w:rFonts w:ascii="Palatino Linotype" w:eastAsia="Palatino Linotype" w:hAnsi="Palatino Linotype" w:cs="Palatino Linotype"/>
        </w:rPr>
      </w:pPr>
    </w:p>
    <w:p w:rsidR="00062873" w:rsidRDefault="00062873">
      <w:pPr>
        <w:spacing w:line="360" w:lineRule="auto"/>
        <w:ind w:right="-929"/>
        <w:jc w:val="both"/>
        <w:rPr>
          <w:rFonts w:ascii="Palatino Linotype" w:eastAsia="Palatino Linotype" w:hAnsi="Palatino Linotype" w:cs="Palatino Linotype"/>
        </w:rPr>
      </w:pPr>
    </w:p>
    <w:p w:rsidR="00062873" w:rsidRDefault="00062873">
      <w:pPr>
        <w:spacing w:line="360" w:lineRule="auto"/>
        <w:ind w:right="-929"/>
        <w:jc w:val="both"/>
        <w:rPr>
          <w:rFonts w:ascii="Palatino Linotype" w:eastAsia="Palatino Linotype" w:hAnsi="Palatino Linotype" w:cs="Palatino Linotype"/>
        </w:rPr>
      </w:pPr>
    </w:p>
    <w:p w:rsidR="00062873" w:rsidRDefault="00062873">
      <w:pPr>
        <w:spacing w:line="360" w:lineRule="auto"/>
        <w:ind w:right="-929"/>
        <w:jc w:val="both"/>
        <w:rPr>
          <w:rFonts w:ascii="Palatino Linotype" w:eastAsia="Palatino Linotype" w:hAnsi="Palatino Linotype" w:cs="Palatino Linotype"/>
        </w:rPr>
      </w:pPr>
    </w:p>
    <w:p w:rsidR="00062873" w:rsidRDefault="00062873">
      <w:pPr>
        <w:spacing w:line="360" w:lineRule="auto"/>
        <w:ind w:right="-929"/>
        <w:rPr>
          <w:rFonts w:ascii="Palatino Linotype" w:eastAsia="Palatino Linotype" w:hAnsi="Palatino Linotype" w:cs="Palatino Linotype"/>
        </w:rPr>
      </w:pPr>
    </w:p>
    <w:p w:rsidR="00062873" w:rsidRDefault="00062873">
      <w:pPr>
        <w:spacing w:line="360" w:lineRule="auto"/>
        <w:ind w:right="-929"/>
        <w:rPr>
          <w:rFonts w:ascii="Palatino Linotype" w:eastAsia="Palatino Linotype" w:hAnsi="Palatino Linotype" w:cs="Palatino Linotype"/>
        </w:rPr>
      </w:pPr>
    </w:p>
    <w:p w:rsidR="00062873" w:rsidRDefault="00062873">
      <w:pPr>
        <w:spacing w:line="360" w:lineRule="auto"/>
        <w:ind w:right="-929"/>
        <w:rPr>
          <w:rFonts w:ascii="Palatino Linotype" w:eastAsia="Palatino Linotype" w:hAnsi="Palatino Linotype" w:cs="Palatino Linotype"/>
        </w:rPr>
      </w:pPr>
    </w:p>
    <w:p w:rsidR="00062873" w:rsidRDefault="00062873">
      <w:pPr>
        <w:spacing w:line="360" w:lineRule="auto"/>
        <w:ind w:right="-929"/>
        <w:rPr>
          <w:rFonts w:ascii="Palatino Linotype" w:eastAsia="Palatino Linotype" w:hAnsi="Palatino Linotype" w:cs="Palatino Linotype"/>
        </w:rPr>
      </w:pPr>
    </w:p>
    <w:p w:rsidR="00062873" w:rsidRDefault="00062873">
      <w:pPr>
        <w:spacing w:line="360" w:lineRule="auto"/>
        <w:ind w:right="-929"/>
        <w:rPr>
          <w:rFonts w:ascii="Palatino Linotype" w:eastAsia="Palatino Linotype" w:hAnsi="Palatino Linotype" w:cs="Palatino Linotype"/>
        </w:rPr>
      </w:pPr>
    </w:p>
    <w:p w:rsidR="00062873" w:rsidRDefault="00062873">
      <w:pPr>
        <w:spacing w:line="360" w:lineRule="auto"/>
        <w:ind w:right="-929"/>
        <w:rPr>
          <w:rFonts w:ascii="Palatino Linotype" w:eastAsia="Palatino Linotype" w:hAnsi="Palatino Linotype" w:cs="Palatino Linotype"/>
        </w:rPr>
      </w:pPr>
    </w:p>
    <w:p w:rsidR="00062873" w:rsidRDefault="00062873">
      <w:pPr>
        <w:spacing w:line="360" w:lineRule="auto"/>
        <w:ind w:right="-929"/>
        <w:rPr>
          <w:rFonts w:ascii="Palatino Linotype" w:eastAsia="Palatino Linotype" w:hAnsi="Palatino Linotype" w:cs="Palatino Linotype"/>
        </w:rPr>
      </w:pPr>
    </w:p>
    <w:p w:rsidR="00062873" w:rsidRDefault="00C85A03">
      <w:pPr>
        <w:tabs>
          <w:tab w:val="left" w:pos="3374"/>
        </w:tabs>
        <w:spacing w:line="360" w:lineRule="auto"/>
        <w:ind w:right="-929"/>
        <w:rPr>
          <w:rFonts w:ascii="Palatino Linotype" w:eastAsia="Palatino Linotype" w:hAnsi="Palatino Linotype" w:cs="Palatino Linotype"/>
        </w:rPr>
      </w:pPr>
      <w:r>
        <w:rPr>
          <w:rFonts w:ascii="Palatino Linotype" w:eastAsia="Palatino Linotype" w:hAnsi="Palatino Linotype" w:cs="Palatino Linotype"/>
        </w:rPr>
        <w:tab/>
      </w:r>
    </w:p>
    <w:p w:rsidR="00062873" w:rsidRDefault="00062873">
      <w:pPr>
        <w:tabs>
          <w:tab w:val="left" w:pos="3374"/>
        </w:tabs>
        <w:spacing w:line="360" w:lineRule="auto"/>
        <w:ind w:right="-929"/>
        <w:rPr>
          <w:rFonts w:ascii="Palatino Linotype" w:eastAsia="Palatino Linotype" w:hAnsi="Palatino Linotype" w:cs="Palatino Linotype"/>
        </w:rPr>
      </w:pPr>
    </w:p>
    <w:p w:rsidR="00062873" w:rsidRDefault="00062873">
      <w:pPr>
        <w:tabs>
          <w:tab w:val="left" w:pos="3374"/>
        </w:tabs>
        <w:spacing w:line="360" w:lineRule="auto"/>
        <w:ind w:right="-929"/>
        <w:rPr>
          <w:rFonts w:ascii="Palatino Linotype" w:eastAsia="Palatino Linotype" w:hAnsi="Palatino Linotype" w:cs="Palatino Linotype"/>
        </w:rPr>
      </w:pPr>
    </w:p>
    <w:p w:rsidR="00062873" w:rsidRDefault="00062873">
      <w:pPr>
        <w:tabs>
          <w:tab w:val="left" w:pos="3374"/>
        </w:tabs>
        <w:spacing w:line="360" w:lineRule="auto"/>
        <w:ind w:right="-929"/>
        <w:rPr>
          <w:rFonts w:ascii="Palatino Linotype" w:eastAsia="Palatino Linotype" w:hAnsi="Palatino Linotype" w:cs="Palatino Linotype"/>
        </w:rPr>
      </w:pPr>
    </w:p>
    <w:p w:rsidR="00062873" w:rsidRDefault="00062873">
      <w:pPr>
        <w:tabs>
          <w:tab w:val="left" w:pos="3374"/>
        </w:tabs>
        <w:spacing w:line="360" w:lineRule="auto"/>
        <w:ind w:right="-929"/>
        <w:rPr>
          <w:rFonts w:ascii="Palatino Linotype" w:eastAsia="Palatino Linotype" w:hAnsi="Palatino Linotype" w:cs="Palatino Linotype"/>
        </w:rPr>
      </w:pPr>
    </w:p>
    <w:p w:rsidR="00062873" w:rsidRDefault="00062873">
      <w:pPr>
        <w:tabs>
          <w:tab w:val="left" w:pos="3374"/>
        </w:tabs>
        <w:spacing w:line="360" w:lineRule="auto"/>
        <w:ind w:right="-929"/>
        <w:rPr>
          <w:rFonts w:ascii="Palatino Linotype" w:eastAsia="Palatino Linotype" w:hAnsi="Palatino Linotype" w:cs="Palatino Linotype"/>
        </w:rPr>
      </w:pPr>
    </w:p>
    <w:p w:rsidR="00062873" w:rsidRDefault="00062873">
      <w:pPr>
        <w:tabs>
          <w:tab w:val="left" w:pos="3374"/>
        </w:tabs>
        <w:spacing w:line="360" w:lineRule="auto"/>
        <w:ind w:right="-929"/>
        <w:rPr>
          <w:rFonts w:ascii="Palatino Linotype" w:eastAsia="Palatino Linotype" w:hAnsi="Palatino Linotype" w:cs="Palatino Linotype"/>
        </w:rPr>
      </w:pPr>
    </w:p>
    <w:p w:rsidR="00062873" w:rsidRDefault="00062873">
      <w:pPr>
        <w:tabs>
          <w:tab w:val="left" w:pos="3374"/>
        </w:tabs>
        <w:spacing w:line="360" w:lineRule="auto"/>
        <w:ind w:right="-929"/>
        <w:rPr>
          <w:rFonts w:ascii="Palatino Linotype" w:eastAsia="Palatino Linotype" w:hAnsi="Palatino Linotype" w:cs="Palatino Linotype"/>
        </w:rPr>
      </w:pPr>
    </w:p>
    <w:p w:rsidR="00062873" w:rsidRDefault="00062873">
      <w:pPr>
        <w:tabs>
          <w:tab w:val="left" w:pos="3374"/>
        </w:tabs>
        <w:spacing w:line="360" w:lineRule="auto"/>
        <w:ind w:right="-929"/>
        <w:rPr>
          <w:rFonts w:ascii="Palatino Linotype" w:eastAsia="Palatino Linotype" w:hAnsi="Palatino Linotype" w:cs="Palatino Linotype"/>
        </w:rPr>
      </w:pPr>
    </w:p>
    <w:p w:rsidR="00062873" w:rsidRDefault="00062873">
      <w:pPr>
        <w:spacing w:line="360" w:lineRule="auto"/>
        <w:ind w:right="-929"/>
        <w:rPr>
          <w:rFonts w:ascii="Palatino Linotype" w:eastAsia="Palatino Linotype" w:hAnsi="Palatino Linotype" w:cs="Palatino Linotype"/>
        </w:rPr>
      </w:pPr>
    </w:p>
    <w:sectPr w:rsidR="00062873">
      <w:headerReference w:type="even" r:id="rId8"/>
      <w:headerReference w:type="default" r:id="rId9"/>
      <w:footerReference w:type="even" r:id="rId10"/>
      <w:footerReference w:type="default" r:id="rId11"/>
      <w:headerReference w:type="first" r:id="rId12"/>
      <w:footerReference w:type="first" r:id="rId13"/>
      <w:pgSz w:w="12240" w:h="15840"/>
      <w:pgMar w:top="2268" w:right="1701"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2465" w:rsidRDefault="00E72465">
      <w:r>
        <w:separator/>
      </w:r>
    </w:p>
  </w:endnote>
  <w:endnote w:type="continuationSeparator" w:id="0">
    <w:p w:rsidR="00E72465" w:rsidRDefault="00E72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E1A8D45E-DA01-49FD-AF27-F1869D07324B}"/>
    <w:embedBold r:id="rId2" w:fontKey="{96965145-B85E-424F-BDA2-B7C78AD93661}"/>
    <w:embedItalic r:id="rId3" w:fontKey="{F360642B-2749-44B1-B5BA-CD4D94629AFA}"/>
    <w:embedBoldItalic r:id="rId4" w:fontKey="{33284A27-1FEC-477F-959E-D1BF13D2ABDF}"/>
  </w:font>
  <w:font w:name="Noto Sans Symbols">
    <w:altName w:val="Times New Roman"/>
    <w:charset w:val="00"/>
    <w:family w:val="auto"/>
    <w:pitch w:val="default"/>
    <w:embedRegular r:id="rId5" w:fontKey="{AC8E6DB7-FD76-47E5-87F5-2CC17DAB5F8C}"/>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438CABCB-942D-47A2-AB14-B9A6B1CB044A}"/>
    <w:embedBold r:id="rId7" w:fontKey="{6A16B5FF-186F-404E-9DD6-A68D646B2568}"/>
  </w:font>
  <w:font w:name="Georgia">
    <w:panose1 w:val="02040502050405020303"/>
    <w:charset w:val="00"/>
    <w:family w:val="roman"/>
    <w:pitch w:val="variable"/>
    <w:sig w:usb0="00000287" w:usb1="00000000" w:usb2="00000000" w:usb3="00000000" w:csb0="0000009F" w:csb1="00000000"/>
    <w:embedItalic r:id="rId8" w:fontKey="{608E4D1F-6087-4D0C-80F6-03517DE9283F}"/>
  </w:font>
  <w:font w:name="Cambria">
    <w:panose1 w:val="02040503050406030204"/>
    <w:charset w:val="00"/>
    <w:family w:val="roman"/>
    <w:pitch w:val="variable"/>
    <w:sig w:usb0="E00006FF" w:usb1="420024FF" w:usb2="02000000" w:usb3="00000000" w:csb0="0000019F" w:csb1="00000000"/>
    <w:embedRegular r:id="rId9" w:fontKey="{EFCEC838-B1D4-4885-86EA-82DE1BF22F5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2873" w:rsidRDefault="00062873">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2873" w:rsidRDefault="00C85A03">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9D1ADB">
      <w:rPr>
        <w:rFonts w:ascii="Palatino Linotype" w:eastAsia="Palatino Linotype" w:hAnsi="Palatino Linotype" w:cs="Palatino Linotype"/>
        <w:noProof/>
        <w:color w:val="000000"/>
        <w:sz w:val="22"/>
        <w:szCs w:val="22"/>
      </w:rPr>
      <w:t>23</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9D1ADB">
      <w:rPr>
        <w:rFonts w:ascii="Palatino Linotype" w:eastAsia="Palatino Linotype" w:hAnsi="Palatino Linotype" w:cs="Palatino Linotype"/>
        <w:noProof/>
        <w:color w:val="000000"/>
        <w:sz w:val="22"/>
        <w:szCs w:val="22"/>
      </w:rPr>
      <w:t>47</w:t>
    </w:r>
    <w:r>
      <w:rPr>
        <w:rFonts w:ascii="Palatino Linotype" w:eastAsia="Palatino Linotype" w:hAnsi="Palatino Linotype" w:cs="Palatino Linotype"/>
        <w:color w:val="000000"/>
        <w:sz w:val="22"/>
        <w:szCs w:val="22"/>
      </w:rPr>
      <w:fldChar w:fldCharType="end"/>
    </w:r>
  </w:p>
  <w:p w:rsidR="00062873" w:rsidRDefault="00062873">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2873" w:rsidRDefault="00C85A03">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F272AA">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F272AA">
      <w:rPr>
        <w:rFonts w:ascii="Palatino Linotype" w:eastAsia="Palatino Linotype" w:hAnsi="Palatino Linotype" w:cs="Palatino Linotype"/>
        <w:noProof/>
        <w:color w:val="000000"/>
        <w:sz w:val="22"/>
        <w:szCs w:val="22"/>
      </w:rPr>
      <w:t>47</w:t>
    </w:r>
    <w:r>
      <w:rPr>
        <w:rFonts w:ascii="Palatino Linotype" w:eastAsia="Palatino Linotype" w:hAnsi="Palatino Linotype" w:cs="Palatino Linotype"/>
        <w:color w:val="000000"/>
        <w:sz w:val="22"/>
        <w:szCs w:val="22"/>
      </w:rPr>
      <w:fldChar w:fldCharType="end"/>
    </w:r>
  </w:p>
  <w:p w:rsidR="00062873" w:rsidRDefault="00062873">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2465" w:rsidRDefault="00E72465">
      <w:r>
        <w:separator/>
      </w:r>
    </w:p>
  </w:footnote>
  <w:footnote w:type="continuationSeparator" w:id="0">
    <w:p w:rsidR="00E72465" w:rsidRDefault="00E72465">
      <w:r>
        <w:continuationSeparator/>
      </w:r>
    </w:p>
  </w:footnote>
  <w:footnote w:id="1">
    <w:p w:rsidR="00062873" w:rsidRDefault="00C85A03">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3ro, fracción XXXIII, de la Ley de Transparencia y Acceso a la Información Pública del Estado de México y Municipios. De manera análoga, el Lineamiento Segundo fracción XIV, de los Lineamientos Generales en Materia de Clasificación y Desclasificación de la Información, así como para la elaboración de la versiones públicas, definen a la prueba de daño como la argumentación fundada y motivada, que deben realizar los Sujetos Obligados, tendiente a acreditar, que la divulgación de la información lesiona el interés jurídicamente protegido por la norma aplicable y que el daño que puede producirse con la publicidad de la información es mayor que de conocerla.</w:t>
      </w:r>
    </w:p>
  </w:footnote>
  <w:footnote w:id="2">
    <w:p w:rsidR="00062873" w:rsidRDefault="00C85A03">
      <w:pPr>
        <w:pBdr>
          <w:top w:val="nil"/>
          <w:left w:val="nil"/>
          <w:bottom w:val="nil"/>
          <w:right w:val="nil"/>
          <w:between w:val="nil"/>
        </w:pBdr>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132 de la Ley de Transparencia y Acceso a la Información Pública del Estado de México y Municipios.</w:t>
      </w:r>
    </w:p>
  </w:footnote>
  <w:footnote w:id="3">
    <w:p w:rsidR="00062873" w:rsidRDefault="00C85A03">
      <w:pPr>
        <w:pBdr>
          <w:top w:val="nil"/>
          <w:left w:val="nil"/>
          <w:bottom w:val="nil"/>
          <w:right w:val="nil"/>
          <w:between w:val="nil"/>
        </w:pBdr>
        <w:jc w:val="both"/>
        <w:rPr>
          <w:color w:val="000000"/>
          <w:sz w:val="20"/>
          <w:szCs w:val="20"/>
        </w:rPr>
      </w:pPr>
      <w:r>
        <w:rPr>
          <w:vertAlign w:val="superscript"/>
        </w:rPr>
        <w:footnoteRef/>
      </w:r>
      <w:r>
        <w:rPr>
          <w:rFonts w:ascii="Palatino Linotype" w:eastAsia="Palatino Linotype" w:hAnsi="Palatino Linotype" w:cs="Palatino Linotype"/>
          <w:color w:val="000000"/>
          <w:sz w:val="16"/>
          <w:szCs w:val="16"/>
        </w:rPr>
        <w:t xml:space="preserve"> Exposición de Motivos de la Iniciativa con Proyecto de Decreto por el que se expide la Ley General de Transparencia y Acceso a la Información Pública, p.32, consultada en </w:t>
      </w:r>
      <w:hyperlink r:id="rId1">
        <w:r>
          <w:rPr>
            <w:rFonts w:ascii="Palatino Linotype" w:eastAsia="Palatino Linotype" w:hAnsi="Palatino Linotype" w:cs="Palatino Linotype"/>
            <w:color w:val="0563C1"/>
            <w:sz w:val="16"/>
            <w:szCs w:val="16"/>
            <w:u w:val="single"/>
          </w:rPr>
          <w:t>http://www.senado.gob.mx/comisiones/anticorrupcion/docs/transparencia/Iniciativa_LGTAIP.pdf</w:t>
        </w:r>
      </w:hyperlink>
      <w:r>
        <w:rPr>
          <w:rFonts w:ascii="Palatino Linotype" w:eastAsia="Palatino Linotype" w:hAnsi="Palatino Linotype" w:cs="Palatino Linotype"/>
          <w:color w:val="000000"/>
          <w:sz w:val="16"/>
          <w:szCs w:val="16"/>
        </w:rPr>
        <w:t xml:space="preserve"> </w:t>
      </w:r>
    </w:p>
  </w:footnote>
  <w:footnote w:id="4">
    <w:p w:rsidR="00062873" w:rsidRDefault="00C85A03">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rFonts w:ascii="Palatino Linotype" w:eastAsia="Palatino Linotype" w:hAnsi="Palatino Linotype" w:cs="Palatino Linotype"/>
          <w:color w:val="000000"/>
          <w:sz w:val="16"/>
          <w:szCs w:val="16"/>
        </w:rPr>
        <w:t>Artículo 134 de la Ley de Transparencia y Acceso a la Información Pública del Estado de México y Municipios.</w:t>
      </w:r>
    </w:p>
  </w:footnote>
  <w:footnote w:id="5">
    <w:p w:rsidR="00062873" w:rsidRDefault="00C85A03">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rFonts w:ascii="Palatino Linotype" w:eastAsia="Palatino Linotype" w:hAnsi="Palatino Linotype" w:cs="Palatino Linotype"/>
          <w:color w:val="000000"/>
          <w:sz w:val="16"/>
          <w:szCs w:val="16"/>
        </w:rPr>
        <w:t>Lineamiento Octavo de los Lineamientos General en materia de Clasificación y Desclasificación de la Información, así como para la elaboración de versiones públicas.</w:t>
      </w:r>
    </w:p>
  </w:footnote>
  <w:footnote w:id="6">
    <w:p w:rsidR="00062873" w:rsidRDefault="00C85A0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7">
    <w:p w:rsidR="00062873" w:rsidRDefault="00C85A0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8">
    <w:p w:rsidR="00062873" w:rsidRDefault="00C85A03">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Corte Interamericana de Derechos Humanos. Caso Claude Reyes y otros vs Chile. Sentencia de 19 de septiembre de 2006. Serie C. No. 151. Párr. 86.</w:t>
      </w:r>
    </w:p>
  </w:footnote>
  <w:footnote w:id="9">
    <w:p w:rsidR="00062873" w:rsidRDefault="00C85A03">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Ibídem. Párr. 87.</w:t>
      </w:r>
    </w:p>
  </w:footnote>
  <w:footnote w:id="10">
    <w:p w:rsidR="00062873" w:rsidRDefault="00C85A03">
      <w:pPr>
        <w:pBdr>
          <w:top w:val="nil"/>
          <w:left w:val="nil"/>
          <w:bottom w:val="nil"/>
          <w:right w:val="nil"/>
          <w:between w:val="nil"/>
        </w:pBdr>
        <w:rPr>
          <w:color w:val="000000"/>
          <w:sz w:val="20"/>
          <w:szCs w:val="20"/>
        </w:rPr>
      </w:pPr>
      <w:r>
        <w:rPr>
          <w:vertAlign w:val="superscript"/>
        </w:rPr>
        <w:footnoteRef/>
      </w:r>
      <w:r>
        <w:rPr>
          <w:rFonts w:ascii="Palatino Linotype" w:eastAsia="Palatino Linotype" w:hAnsi="Palatino Linotype" w:cs="Palatino Linotype"/>
          <w:color w:val="000000"/>
          <w:sz w:val="18"/>
          <w:szCs w:val="18"/>
        </w:rPr>
        <w:t xml:space="preserve"> Declaración conjunta del Relator Especial de las Naciones Unidas (ONU) para la Libertad de Opinión y de Expresión, el Representante para la Libertad de los Medios de Comunicación de la Organización para la Seguridad y la Cooperación en Europa (OSCE) y el Relator Especial de la Organización de los Estados Americanos (OEA) para la Libertad de Expresión (2004), disponible en </w:t>
      </w:r>
      <w:hyperlink r:id="rId2">
        <w:r>
          <w:rPr>
            <w:rFonts w:ascii="Palatino Linotype" w:eastAsia="Palatino Linotype" w:hAnsi="Palatino Linotype" w:cs="Palatino Linotype"/>
            <w:color w:val="0000FF"/>
            <w:sz w:val="18"/>
            <w:szCs w:val="18"/>
            <w:u w:val="single"/>
          </w:rPr>
          <w:t>http://www.oas.org/es/cidh/expresion/documentos_basicos/declaraciones.asp</w:t>
        </w:r>
      </w:hyperlink>
      <w:r>
        <w:rPr>
          <w:rFonts w:ascii="Palatino Linotype" w:eastAsia="Palatino Linotype" w:hAnsi="Palatino Linotype" w:cs="Palatino Linotype"/>
          <w:color w:val="000000"/>
          <w:sz w:val="18"/>
          <w:szCs w:val="18"/>
        </w:rPr>
        <w:t>.</w:t>
      </w:r>
    </w:p>
  </w:footnote>
  <w:footnote w:id="11">
    <w:p w:rsidR="00062873" w:rsidRDefault="00C85A03">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Ley de Transparencia y Acceso a la Información Pública del Estado de México y Municipios. Artículo 9. …</w:t>
      </w:r>
    </w:p>
    <w:p w:rsidR="00062873" w:rsidRDefault="00C85A03">
      <w:pPr>
        <w:pBdr>
          <w:top w:val="nil"/>
          <w:left w:val="nil"/>
          <w:bottom w:val="nil"/>
          <w:right w:val="nil"/>
          <w:between w:val="nil"/>
        </w:pBdr>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II. Eficacia: Obligación del Instituto para tutelar, de manera efectiva, el derecho de acceso a la información;</w:t>
      </w:r>
    </w:p>
    <w:p w:rsidR="00062873" w:rsidRDefault="00C85A03">
      <w:pPr>
        <w:pBdr>
          <w:top w:val="nil"/>
          <w:left w:val="nil"/>
          <w:bottom w:val="nil"/>
          <w:right w:val="nil"/>
          <w:between w:val="nil"/>
        </w:pBdr>
        <w:rPr>
          <w:color w:val="000000"/>
          <w:sz w:val="20"/>
          <w:szCs w:val="20"/>
        </w:rPr>
      </w:pPr>
      <w:r>
        <w:rPr>
          <w:color w:val="000000"/>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2873" w:rsidRDefault="00E72465">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7425" w:type="dxa"/>
      <w:tblInd w:w="2694" w:type="dxa"/>
      <w:tblLayout w:type="fixed"/>
      <w:tblLook w:val="0400" w:firstRow="0" w:lastRow="0" w:firstColumn="0" w:lastColumn="0" w:noHBand="0" w:noVBand="1"/>
    </w:tblPr>
    <w:tblGrid>
      <w:gridCol w:w="2754"/>
      <w:gridCol w:w="4671"/>
    </w:tblGrid>
    <w:tr w:rsidR="00062873">
      <w:trPr>
        <w:trHeight w:val="227"/>
      </w:trPr>
      <w:tc>
        <w:tcPr>
          <w:tcW w:w="2754" w:type="dxa"/>
          <w:vAlign w:val="center"/>
        </w:tcPr>
        <w:p w:rsidR="00062873" w:rsidRPr="00B420A0" w:rsidRDefault="00C85A03">
          <w:pPr>
            <w:ind w:right="34"/>
            <w:jc w:val="right"/>
            <w:rPr>
              <w:rFonts w:ascii="Palatino Linotype" w:eastAsia="Palatino Linotype" w:hAnsi="Palatino Linotype" w:cs="Palatino Linotype"/>
              <w:b/>
              <w:bCs/>
              <w:szCs w:val="22"/>
            </w:rPr>
          </w:pPr>
          <w:r w:rsidRPr="00B420A0">
            <w:rPr>
              <w:rFonts w:ascii="Palatino Linotype" w:eastAsia="Palatino Linotype" w:hAnsi="Palatino Linotype" w:cs="Palatino Linotype"/>
              <w:b/>
              <w:bCs/>
              <w:szCs w:val="22"/>
            </w:rPr>
            <w:t>Recurso de Revisión:</w:t>
          </w:r>
        </w:p>
      </w:tc>
      <w:tc>
        <w:tcPr>
          <w:tcW w:w="4671" w:type="dxa"/>
          <w:vAlign w:val="center"/>
        </w:tcPr>
        <w:p w:rsidR="00062873" w:rsidRPr="00B420A0" w:rsidRDefault="00C85A03">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B420A0">
            <w:rPr>
              <w:rFonts w:ascii="Palatino Linotype" w:eastAsia="Palatino Linotype" w:hAnsi="Palatino Linotype" w:cs="Palatino Linotype"/>
              <w:color w:val="000000"/>
              <w:szCs w:val="22"/>
            </w:rPr>
            <w:t>11748/INFOEM/IP/RR/2025</w:t>
          </w:r>
        </w:p>
      </w:tc>
    </w:tr>
    <w:tr w:rsidR="00062873">
      <w:trPr>
        <w:trHeight w:val="242"/>
      </w:trPr>
      <w:tc>
        <w:tcPr>
          <w:tcW w:w="2754" w:type="dxa"/>
          <w:vAlign w:val="center"/>
        </w:tcPr>
        <w:p w:rsidR="00062873" w:rsidRPr="00B420A0" w:rsidRDefault="00C85A03">
          <w:pPr>
            <w:ind w:right="34"/>
            <w:jc w:val="right"/>
            <w:rPr>
              <w:rFonts w:ascii="Palatino Linotype" w:eastAsia="Palatino Linotype" w:hAnsi="Palatino Linotype" w:cs="Palatino Linotype"/>
              <w:b/>
              <w:bCs/>
              <w:szCs w:val="22"/>
            </w:rPr>
          </w:pPr>
          <w:r w:rsidRPr="00B420A0">
            <w:rPr>
              <w:rFonts w:ascii="Palatino Linotype" w:eastAsia="Palatino Linotype" w:hAnsi="Palatino Linotype" w:cs="Palatino Linotype"/>
              <w:b/>
              <w:bCs/>
              <w:szCs w:val="22"/>
            </w:rPr>
            <w:t>Sujeto Obligado:</w:t>
          </w:r>
        </w:p>
      </w:tc>
      <w:tc>
        <w:tcPr>
          <w:tcW w:w="4671" w:type="dxa"/>
          <w:vAlign w:val="center"/>
        </w:tcPr>
        <w:p w:rsidR="00062873" w:rsidRPr="00B420A0" w:rsidRDefault="00C85A03">
          <w:pPr>
            <w:pBdr>
              <w:top w:val="nil"/>
              <w:left w:val="nil"/>
              <w:bottom w:val="nil"/>
              <w:right w:val="nil"/>
              <w:between w:val="nil"/>
            </w:pBdr>
            <w:tabs>
              <w:tab w:val="center" w:pos="4419"/>
              <w:tab w:val="right" w:pos="8838"/>
            </w:tabs>
            <w:jc w:val="both"/>
            <w:rPr>
              <w:rFonts w:ascii="Palatino Linotype" w:eastAsia="Palatino Linotype" w:hAnsi="Palatino Linotype" w:cs="Palatino Linotype"/>
              <w:color w:val="000000"/>
              <w:szCs w:val="22"/>
              <w:highlight w:val="green"/>
            </w:rPr>
          </w:pPr>
          <w:r w:rsidRPr="00B420A0">
            <w:rPr>
              <w:rFonts w:ascii="Palatino Linotype" w:eastAsia="Palatino Linotype" w:hAnsi="Palatino Linotype" w:cs="Palatino Linotype"/>
              <w:color w:val="000000"/>
              <w:szCs w:val="22"/>
            </w:rPr>
            <w:t>Ayuntamiento de Atizapán de Zaragoza</w:t>
          </w:r>
        </w:p>
      </w:tc>
    </w:tr>
    <w:tr w:rsidR="00062873">
      <w:trPr>
        <w:trHeight w:val="342"/>
      </w:trPr>
      <w:tc>
        <w:tcPr>
          <w:tcW w:w="2754" w:type="dxa"/>
          <w:vAlign w:val="center"/>
        </w:tcPr>
        <w:p w:rsidR="00062873" w:rsidRPr="00B420A0" w:rsidRDefault="00C85A03">
          <w:pPr>
            <w:ind w:right="34"/>
            <w:jc w:val="right"/>
            <w:rPr>
              <w:rFonts w:ascii="Palatino Linotype" w:eastAsia="Palatino Linotype" w:hAnsi="Palatino Linotype" w:cs="Palatino Linotype"/>
              <w:b/>
              <w:bCs/>
              <w:szCs w:val="22"/>
            </w:rPr>
          </w:pPr>
          <w:r w:rsidRPr="00B420A0">
            <w:rPr>
              <w:rFonts w:ascii="Palatino Linotype" w:eastAsia="Palatino Linotype" w:hAnsi="Palatino Linotype" w:cs="Palatino Linotype"/>
              <w:b/>
              <w:bCs/>
              <w:szCs w:val="22"/>
            </w:rPr>
            <w:t>Comisionada Ponente:</w:t>
          </w:r>
        </w:p>
      </w:tc>
      <w:tc>
        <w:tcPr>
          <w:tcW w:w="4671" w:type="dxa"/>
          <w:vAlign w:val="center"/>
        </w:tcPr>
        <w:p w:rsidR="00062873" w:rsidRPr="00B420A0" w:rsidRDefault="00C85A03">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rPr>
          </w:pPr>
          <w:r w:rsidRPr="00B420A0">
            <w:rPr>
              <w:rFonts w:ascii="Palatino Linotype" w:eastAsia="Palatino Linotype" w:hAnsi="Palatino Linotype" w:cs="Palatino Linotype"/>
              <w:color w:val="000000"/>
              <w:szCs w:val="22"/>
            </w:rPr>
            <w:t>María del Rosario Mejía Ayala</w:t>
          </w:r>
        </w:p>
      </w:tc>
    </w:tr>
  </w:tbl>
  <w:p w:rsidR="00062873" w:rsidRDefault="00E72465">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7725" w:type="dxa"/>
      <w:tblInd w:w="2552" w:type="dxa"/>
      <w:tblLayout w:type="fixed"/>
      <w:tblLook w:val="0400" w:firstRow="0" w:lastRow="0" w:firstColumn="0" w:lastColumn="0" w:noHBand="0" w:noVBand="1"/>
    </w:tblPr>
    <w:tblGrid>
      <w:gridCol w:w="2754"/>
      <w:gridCol w:w="4971"/>
    </w:tblGrid>
    <w:tr w:rsidR="00062873">
      <w:trPr>
        <w:trHeight w:val="227"/>
      </w:trPr>
      <w:tc>
        <w:tcPr>
          <w:tcW w:w="2754" w:type="dxa"/>
          <w:vAlign w:val="center"/>
        </w:tcPr>
        <w:p w:rsidR="00062873" w:rsidRDefault="00C85A03">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971" w:type="dxa"/>
          <w:vAlign w:val="center"/>
        </w:tcPr>
        <w:p w:rsidR="00062873" w:rsidRDefault="00C85A03">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11748/INFOEM/IP/RR/2025</w:t>
          </w:r>
        </w:p>
      </w:tc>
    </w:tr>
    <w:tr w:rsidR="00062873">
      <w:trPr>
        <w:trHeight w:val="242"/>
      </w:trPr>
      <w:tc>
        <w:tcPr>
          <w:tcW w:w="2754" w:type="dxa"/>
          <w:vAlign w:val="center"/>
        </w:tcPr>
        <w:p w:rsidR="00062873" w:rsidRDefault="00C85A03">
          <w:pPr>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971" w:type="dxa"/>
        </w:tcPr>
        <w:p w:rsidR="00062873" w:rsidRDefault="00F272AA">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XXXX</w:t>
          </w:r>
        </w:p>
      </w:tc>
    </w:tr>
    <w:tr w:rsidR="00062873">
      <w:trPr>
        <w:trHeight w:val="342"/>
      </w:trPr>
      <w:tc>
        <w:tcPr>
          <w:tcW w:w="2754" w:type="dxa"/>
          <w:vAlign w:val="center"/>
        </w:tcPr>
        <w:p w:rsidR="00062873" w:rsidRDefault="00C85A03">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971" w:type="dxa"/>
          <w:vAlign w:val="center"/>
        </w:tcPr>
        <w:p w:rsidR="00062873" w:rsidRDefault="00C85A03">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Ayuntamiento de Atizapán de Zaragoza</w:t>
          </w:r>
        </w:p>
      </w:tc>
    </w:tr>
    <w:tr w:rsidR="00062873">
      <w:trPr>
        <w:trHeight w:val="342"/>
      </w:trPr>
      <w:tc>
        <w:tcPr>
          <w:tcW w:w="2754" w:type="dxa"/>
          <w:vAlign w:val="center"/>
        </w:tcPr>
        <w:p w:rsidR="00062873" w:rsidRDefault="00C85A03">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971" w:type="dxa"/>
          <w:vAlign w:val="center"/>
        </w:tcPr>
        <w:p w:rsidR="00062873" w:rsidRDefault="00C85A03">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062873" w:rsidRDefault="00E72465">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1091C"/>
    <w:multiLevelType w:val="multilevel"/>
    <w:tmpl w:val="2B1E99C4"/>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7C31C42"/>
    <w:multiLevelType w:val="multilevel"/>
    <w:tmpl w:val="AC5A9954"/>
    <w:lvl w:ilvl="0">
      <w:start w:val="1"/>
      <w:numFmt w:val="lowerLetter"/>
      <w:lvlText w:val="%1)"/>
      <w:lvlJc w:val="left"/>
      <w:pPr>
        <w:ind w:left="709" w:hanging="42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8DD6115"/>
    <w:multiLevelType w:val="multilevel"/>
    <w:tmpl w:val="68FAD382"/>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F8C5D12"/>
    <w:multiLevelType w:val="multilevel"/>
    <w:tmpl w:val="9F4230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6587C33"/>
    <w:multiLevelType w:val="multilevel"/>
    <w:tmpl w:val="1B8E8F9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38445755"/>
    <w:multiLevelType w:val="multilevel"/>
    <w:tmpl w:val="64A441A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38611E6B"/>
    <w:multiLevelType w:val="multilevel"/>
    <w:tmpl w:val="47BED434"/>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7" w15:restartNumberingAfterBreak="0">
    <w:nsid w:val="4F7172D0"/>
    <w:multiLevelType w:val="multilevel"/>
    <w:tmpl w:val="C95ECA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7B165D9"/>
    <w:multiLevelType w:val="multilevel"/>
    <w:tmpl w:val="1908C5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0A4400F"/>
    <w:multiLevelType w:val="multilevel"/>
    <w:tmpl w:val="6ACC8FDC"/>
    <w:lvl w:ilvl="0">
      <w:start w:val="1"/>
      <w:numFmt w:val="lowerLetter"/>
      <w:lvlText w:val="%1)"/>
      <w:lvlJc w:val="left"/>
      <w:pPr>
        <w:ind w:left="709" w:hanging="42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2CB29E3"/>
    <w:multiLevelType w:val="multilevel"/>
    <w:tmpl w:val="2528D08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0"/>
  </w:num>
  <w:num w:numId="2">
    <w:abstractNumId w:val="4"/>
  </w:num>
  <w:num w:numId="3">
    <w:abstractNumId w:val="0"/>
  </w:num>
  <w:num w:numId="4">
    <w:abstractNumId w:val="6"/>
  </w:num>
  <w:num w:numId="5">
    <w:abstractNumId w:val="3"/>
  </w:num>
  <w:num w:numId="6">
    <w:abstractNumId w:val="5"/>
  </w:num>
  <w:num w:numId="7">
    <w:abstractNumId w:val="2"/>
  </w:num>
  <w:num w:numId="8">
    <w:abstractNumId w:val="7"/>
  </w:num>
  <w:num w:numId="9">
    <w:abstractNumId w:val="8"/>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873"/>
    <w:rsid w:val="00062873"/>
    <w:rsid w:val="003B2189"/>
    <w:rsid w:val="004D26FF"/>
    <w:rsid w:val="006C50D3"/>
    <w:rsid w:val="009D1ADB"/>
    <w:rsid w:val="00B169B3"/>
    <w:rsid w:val="00B420A0"/>
    <w:rsid w:val="00C85A03"/>
    <w:rsid w:val="00D13D48"/>
    <w:rsid w:val="00E41086"/>
    <w:rsid w:val="00E72465"/>
    <w:rsid w:val="00F272A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83D83113-4729-4276-AA47-3708776DD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2" Type="http://schemas.openxmlformats.org/officeDocument/2006/relationships/hyperlink" Target="http://www.oas.org/es/cidh/expresion/documentos_basicos/declaraciones.asp" TargetMode="External"/><Relationship Id="rId1" Type="http://schemas.openxmlformats.org/officeDocument/2006/relationships/hyperlink" Target="http://www.senado.gob.mx/comisiones/anticorrupcion/docs/transparencia/Iniciativa_LGTAIP.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5MoYn1y1HqdBMt5Kc3I2XoIQfQ==">CgMxLjAyCGguZ2pkZ3hzMgloLjMwajB6bGwyCWguM3pueXNoNzIJaC4yZXQ5MnAwMghoLnR5amN3dDIOaC56YnowaDFtamR4M2YyDmgueHBha3BqY2plcnQ3Mg5oLm41czg5cGRkZzFqbjIOaC40eWV1aGFhb3Fpd3gyDmguYTJvaHVkNWxnaGE3Mg5oLmk3OWNiazNpZ2RxczIOaC41d2h3Mmtua3ZkcTE4AHIhMUs2aHhaMzJPSmdxbjNMZ2ExSHZVX1N5cEEwSzRoVVpN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47</Pages>
  <Words>11439</Words>
  <Characters>62918</Characters>
  <Application>Microsoft Office Word</Application>
  <DocSecurity>0</DocSecurity>
  <Lines>524</Lines>
  <Paragraphs>148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74209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8</cp:revision>
  <cp:lastPrinted>2026-06-05T16:47:00Z</cp:lastPrinted>
  <dcterms:created xsi:type="dcterms:W3CDTF">2026-06-03T20:50:00Z</dcterms:created>
  <dcterms:modified xsi:type="dcterms:W3CDTF">2026-06-10T00:04:00Z</dcterms:modified>
</cp:coreProperties>
</file>