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E38" w:rsidRPr="009052DB" w:rsidRDefault="002E4E38" w:rsidP="002E4E38">
      <w:pPr>
        <w:shd w:val="clear" w:color="auto" w:fill="FFFFFF"/>
        <w:spacing w:after="0" w:line="360" w:lineRule="auto"/>
        <w:jc w:val="both"/>
        <w:rPr>
          <w:rFonts w:ascii="Palatino Linotype" w:eastAsia="Palatino Linotype" w:hAnsi="Palatino Linotype" w:cs="Palatino Linotype"/>
          <w:color w:val="000000"/>
          <w:sz w:val="24"/>
          <w:szCs w:val="24"/>
        </w:rPr>
      </w:pPr>
      <w:r w:rsidRPr="009052DB">
        <w:rPr>
          <w:rFonts w:ascii="Palatino Linotype" w:eastAsia="Palatino Linotype" w:hAnsi="Palatino Linotype" w:cs="Palatino Linotype"/>
          <w:color w:val="000000"/>
          <w:sz w:val="24"/>
          <w:szCs w:val="24"/>
        </w:rPr>
        <w:t xml:space="preserve">Resolución del Pleno del Instituto de Transparencia, Acceso a la Información Pública y Protección de Datos Personales del Estado de México y Municipios, con domicilio en Metepec, Estado de México, </w:t>
      </w:r>
      <w:r w:rsidR="00BD71FC" w:rsidRPr="009052DB">
        <w:rPr>
          <w:rFonts w:ascii="Palatino Linotype" w:eastAsia="Palatino Linotype" w:hAnsi="Palatino Linotype" w:cs="Palatino Linotype"/>
          <w:color w:val="000000"/>
          <w:sz w:val="24"/>
          <w:szCs w:val="24"/>
        </w:rPr>
        <w:t>veintidós</w:t>
      </w:r>
      <w:r w:rsidRPr="009052DB">
        <w:rPr>
          <w:rFonts w:ascii="Palatino Linotype" w:eastAsia="Palatino Linotype" w:hAnsi="Palatino Linotype" w:cs="Palatino Linotype"/>
          <w:color w:val="000000"/>
          <w:sz w:val="24"/>
          <w:szCs w:val="24"/>
        </w:rPr>
        <w:t xml:space="preserve"> de abril de dos mil veintiséis.</w:t>
      </w:r>
    </w:p>
    <w:p w:rsidR="002E4E38" w:rsidRPr="009052DB" w:rsidRDefault="002E4E38" w:rsidP="002E4E38">
      <w:pPr>
        <w:shd w:val="clear" w:color="auto" w:fill="FFFFFF"/>
        <w:spacing w:after="0" w:line="360" w:lineRule="auto"/>
        <w:jc w:val="both"/>
        <w:rPr>
          <w:rFonts w:ascii="Palatino Linotype" w:eastAsia="Palatino Linotype" w:hAnsi="Palatino Linotype" w:cs="Palatino Linotype"/>
          <w:color w:val="000000"/>
          <w:sz w:val="24"/>
          <w:szCs w:val="24"/>
        </w:rPr>
      </w:pPr>
    </w:p>
    <w:p w:rsidR="002E4E38" w:rsidRPr="009052DB" w:rsidRDefault="002E4E38" w:rsidP="002E4E38">
      <w:pPr>
        <w:tabs>
          <w:tab w:val="left" w:pos="1701"/>
        </w:tabs>
        <w:spacing w:after="0" w:line="360" w:lineRule="auto"/>
        <w:jc w:val="both"/>
        <w:rPr>
          <w:rFonts w:ascii="Palatino Linotype" w:eastAsia="Palatino Linotype" w:hAnsi="Palatino Linotype" w:cs="Palatino Linotype"/>
          <w:b/>
          <w:sz w:val="24"/>
          <w:szCs w:val="24"/>
        </w:rPr>
      </w:pPr>
      <w:r w:rsidRPr="009052DB">
        <w:rPr>
          <w:rFonts w:ascii="Palatino Linotype" w:eastAsia="Palatino Linotype" w:hAnsi="Palatino Linotype" w:cs="Palatino Linotype"/>
          <w:b/>
          <w:sz w:val="24"/>
          <w:szCs w:val="24"/>
        </w:rPr>
        <w:t>VISTO</w:t>
      </w:r>
      <w:r w:rsidRPr="009052DB">
        <w:rPr>
          <w:rFonts w:ascii="Palatino Linotype" w:eastAsia="Palatino Linotype" w:hAnsi="Palatino Linotype" w:cs="Palatino Linotype"/>
          <w:sz w:val="24"/>
          <w:szCs w:val="24"/>
        </w:rPr>
        <w:t xml:space="preserve"> el expediente electrónico de los recursos de revisión con número </w:t>
      </w:r>
      <w:bookmarkStart w:id="0" w:name="_GoBack"/>
      <w:r w:rsidRPr="009052DB">
        <w:rPr>
          <w:rFonts w:ascii="Palatino Linotype" w:eastAsia="Palatino Linotype" w:hAnsi="Palatino Linotype" w:cs="Palatino Linotype"/>
          <w:b/>
          <w:sz w:val="24"/>
          <w:szCs w:val="24"/>
        </w:rPr>
        <w:t>02015/INFOEM/IP/RR/2026</w:t>
      </w:r>
      <w:bookmarkEnd w:id="0"/>
      <w:r w:rsidRPr="009052DB">
        <w:rPr>
          <w:rFonts w:ascii="Palatino Linotype" w:eastAsia="Palatino Linotype" w:hAnsi="Palatino Linotype" w:cs="Palatino Linotype"/>
          <w:b/>
          <w:sz w:val="24"/>
          <w:szCs w:val="24"/>
        </w:rPr>
        <w:t xml:space="preserve"> </w:t>
      </w:r>
      <w:r w:rsidR="00F07D3C">
        <w:rPr>
          <w:rFonts w:ascii="Palatino Linotype" w:eastAsia="Palatino Linotype" w:hAnsi="Palatino Linotype" w:cs="Palatino Linotype"/>
          <w:color w:val="000000"/>
          <w:sz w:val="24"/>
          <w:szCs w:val="24"/>
        </w:rPr>
        <w:t>interpuesto por</w:t>
      </w:r>
      <w:r w:rsidRPr="009052DB">
        <w:rPr>
          <w:rFonts w:ascii="Palatino Linotype" w:eastAsia="Palatino Linotype" w:hAnsi="Palatino Linotype" w:cs="Palatino Linotype"/>
          <w:color w:val="000000"/>
          <w:sz w:val="24"/>
          <w:szCs w:val="24"/>
        </w:rPr>
        <w:t xml:space="preserve"> </w:t>
      </w:r>
      <w:r w:rsidR="00F07D3C">
        <w:rPr>
          <w:rFonts w:ascii="Palatino Linotype" w:eastAsia="Palatino Linotype" w:hAnsi="Palatino Linotype" w:cs="Palatino Linotype"/>
          <w:color w:val="000000"/>
          <w:sz w:val="24"/>
          <w:szCs w:val="24"/>
        </w:rPr>
        <w:t>XXXXXXXXXXXXXXXX</w:t>
      </w:r>
      <w:r w:rsidRPr="009052DB">
        <w:rPr>
          <w:rFonts w:ascii="Palatino Linotype" w:eastAsia="Palatino Linotype" w:hAnsi="Palatino Linotype" w:cs="Palatino Linotype"/>
          <w:color w:val="000000"/>
          <w:sz w:val="24"/>
          <w:szCs w:val="24"/>
        </w:rPr>
        <w:t xml:space="preserve">, quien en lo sucesivo se le denominara como la parte </w:t>
      </w:r>
      <w:r w:rsidRPr="009052DB">
        <w:rPr>
          <w:rFonts w:ascii="Palatino Linotype" w:eastAsia="Palatino Linotype" w:hAnsi="Palatino Linotype" w:cs="Palatino Linotype"/>
          <w:b/>
          <w:color w:val="000000"/>
          <w:sz w:val="24"/>
          <w:szCs w:val="24"/>
        </w:rPr>
        <w:t>Recurrente</w:t>
      </w:r>
      <w:r w:rsidRPr="009052DB">
        <w:rPr>
          <w:rFonts w:ascii="Palatino Linotype" w:eastAsia="Palatino Linotype" w:hAnsi="Palatino Linotype" w:cs="Palatino Linotype"/>
          <w:color w:val="000000"/>
          <w:sz w:val="24"/>
          <w:szCs w:val="24"/>
        </w:rPr>
        <w:t xml:space="preserve">, </w:t>
      </w:r>
      <w:r w:rsidRPr="009052DB">
        <w:rPr>
          <w:rFonts w:ascii="Palatino Linotype" w:eastAsia="Palatino Linotype" w:hAnsi="Palatino Linotype" w:cs="Palatino Linotype"/>
          <w:sz w:val="24"/>
          <w:szCs w:val="24"/>
        </w:rPr>
        <w:t xml:space="preserve">en contra de la falta de respuesta del </w:t>
      </w:r>
      <w:r w:rsidRPr="009052DB">
        <w:rPr>
          <w:rFonts w:ascii="Palatino Linotype" w:eastAsia="Palatino Linotype" w:hAnsi="Palatino Linotype" w:cs="Palatino Linotype"/>
          <w:b/>
          <w:color w:val="000000"/>
          <w:sz w:val="24"/>
          <w:szCs w:val="24"/>
        </w:rPr>
        <w:t>Ayuntamiento de Tepotzotlán</w:t>
      </w:r>
      <w:r w:rsidRPr="009052DB">
        <w:rPr>
          <w:rFonts w:ascii="Palatino Linotype" w:eastAsia="Palatino Linotype" w:hAnsi="Palatino Linotype" w:cs="Palatino Linotype"/>
          <w:b/>
          <w:sz w:val="24"/>
          <w:szCs w:val="24"/>
        </w:rPr>
        <w:t xml:space="preserve">, </w:t>
      </w:r>
      <w:r w:rsidRPr="009052DB">
        <w:rPr>
          <w:rFonts w:ascii="Palatino Linotype" w:eastAsia="Palatino Linotype" w:hAnsi="Palatino Linotype" w:cs="Palatino Linotype"/>
          <w:sz w:val="24"/>
          <w:szCs w:val="24"/>
        </w:rPr>
        <w:t>en lo subsecuente</w:t>
      </w:r>
      <w:r w:rsidRPr="009052DB">
        <w:rPr>
          <w:rFonts w:ascii="Palatino Linotype" w:eastAsia="Palatino Linotype" w:hAnsi="Palatino Linotype" w:cs="Palatino Linotype"/>
          <w:b/>
          <w:sz w:val="24"/>
          <w:szCs w:val="24"/>
        </w:rPr>
        <w:t xml:space="preserve"> el Sujeto Obligado, </w:t>
      </w:r>
      <w:r w:rsidRPr="009052DB">
        <w:rPr>
          <w:rFonts w:ascii="Palatino Linotype" w:eastAsia="Palatino Linotype" w:hAnsi="Palatino Linotype" w:cs="Palatino Linotype"/>
          <w:sz w:val="24"/>
          <w:szCs w:val="24"/>
        </w:rPr>
        <w:t>se procede a dictar la presente resolución.</w:t>
      </w:r>
    </w:p>
    <w:p w:rsidR="002E4E38" w:rsidRPr="009052DB" w:rsidRDefault="002E4E38" w:rsidP="002E4E38">
      <w:pPr>
        <w:tabs>
          <w:tab w:val="left" w:pos="6960"/>
        </w:tabs>
        <w:spacing w:after="0" w:line="360" w:lineRule="auto"/>
        <w:jc w:val="both"/>
        <w:rPr>
          <w:rFonts w:ascii="Palatino Linotype" w:eastAsia="Palatino Linotype" w:hAnsi="Palatino Linotype" w:cs="Palatino Linotype"/>
          <w:sz w:val="24"/>
          <w:szCs w:val="24"/>
        </w:rPr>
      </w:pPr>
    </w:p>
    <w:p w:rsidR="002E4E38" w:rsidRPr="009052DB" w:rsidRDefault="002E4E38" w:rsidP="002E4E38">
      <w:pPr>
        <w:spacing w:after="0" w:line="360" w:lineRule="auto"/>
        <w:jc w:val="center"/>
        <w:rPr>
          <w:rFonts w:ascii="Palatino Linotype" w:eastAsia="Palatino Linotype" w:hAnsi="Palatino Linotype" w:cs="Palatino Linotype"/>
          <w:b/>
          <w:sz w:val="28"/>
          <w:szCs w:val="28"/>
        </w:rPr>
      </w:pPr>
      <w:r w:rsidRPr="009052DB">
        <w:rPr>
          <w:rFonts w:ascii="Palatino Linotype" w:eastAsia="Palatino Linotype" w:hAnsi="Palatino Linotype" w:cs="Palatino Linotype"/>
          <w:b/>
          <w:sz w:val="28"/>
          <w:szCs w:val="28"/>
        </w:rPr>
        <w:t>A N T E C E D E N T E S</w:t>
      </w:r>
    </w:p>
    <w:p w:rsidR="002E4E38" w:rsidRPr="009052DB" w:rsidRDefault="002E4E38" w:rsidP="002E4E38">
      <w:pPr>
        <w:spacing w:after="0" w:line="360" w:lineRule="auto"/>
        <w:rPr>
          <w:rFonts w:ascii="Palatino Linotype" w:eastAsia="Palatino Linotype" w:hAnsi="Palatino Linotype" w:cs="Palatino Linotype"/>
          <w:b/>
          <w:sz w:val="24"/>
          <w:szCs w:val="24"/>
        </w:rPr>
      </w:pPr>
    </w:p>
    <w:p w:rsidR="002E4E38" w:rsidRPr="009052DB" w:rsidRDefault="002E4E38" w:rsidP="002E4E38">
      <w:pPr>
        <w:spacing w:after="0" w:line="360" w:lineRule="auto"/>
        <w:jc w:val="both"/>
        <w:rPr>
          <w:rFonts w:ascii="Palatino Linotype" w:eastAsia="Palatino Linotype" w:hAnsi="Palatino Linotype" w:cs="Palatino Linotype"/>
          <w:b/>
          <w:sz w:val="28"/>
          <w:szCs w:val="24"/>
        </w:rPr>
      </w:pPr>
      <w:r w:rsidRPr="009052DB">
        <w:rPr>
          <w:rFonts w:ascii="Palatino Linotype" w:eastAsia="Palatino Linotype" w:hAnsi="Palatino Linotype" w:cs="Palatino Linotype"/>
          <w:b/>
          <w:sz w:val="28"/>
          <w:szCs w:val="24"/>
        </w:rPr>
        <w:t xml:space="preserve">PRIMERO. </w:t>
      </w:r>
      <w:r w:rsidRPr="009052DB">
        <w:rPr>
          <w:rFonts w:ascii="Palatino Linotype" w:eastAsia="Palatino Linotype" w:hAnsi="Palatino Linotype" w:cs="Palatino Linotype"/>
          <w:b/>
          <w:color w:val="000000"/>
          <w:sz w:val="28"/>
          <w:szCs w:val="24"/>
        </w:rPr>
        <w:t>De la solicitud de información.</w:t>
      </w:r>
    </w:p>
    <w:p w:rsidR="002E4E38" w:rsidRPr="009052DB" w:rsidRDefault="002E4E38" w:rsidP="002E4E38">
      <w:pPr>
        <w:spacing w:after="0" w:line="360" w:lineRule="auto"/>
        <w:jc w:val="both"/>
        <w:rPr>
          <w:rFonts w:ascii="Palatino Linotype" w:eastAsia="Palatino Linotype" w:hAnsi="Palatino Linotype" w:cs="Palatino Linotype"/>
          <w:b/>
          <w:sz w:val="24"/>
          <w:szCs w:val="24"/>
        </w:rPr>
      </w:pPr>
      <w:r w:rsidRPr="009052DB">
        <w:rPr>
          <w:rFonts w:ascii="Palatino Linotype" w:eastAsia="Palatino Linotype" w:hAnsi="Palatino Linotype" w:cs="Palatino Linotype"/>
          <w:sz w:val="24"/>
          <w:szCs w:val="24"/>
        </w:rPr>
        <w:t xml:space="preserve">En fecha </w:t>
      </w:r>
      <w:r w:rsidRPr="009052DB">
        <w:rPr>
          <w:rFonts w:ascii="Palatino Linotype" w:eastAsia="Palatino Linotype" w:hAnsi="Palatino Linotype" w:cs="Palatino Linotype"/>
          <w:b/>
          <w:sz w:val="24"/>
          <w:szCs w:val="24"/>
        </w:rPr>
        <w:t>doce de enero de dos mil veintiséis</w:t>
      </w:r>
      <w:r w:rsidRPr="009052DB">
        <w:rPr>
          <w:rFonts w:ascii="Palatino Linotype" w:eastAsia="Palatino Linotype" w:hAnsi="Palatino Linotype" w:cs="Palatino Linotype"/>
          <w:sz w:val="24"/>
          <w:szCs w:val="24"/>
        </w:rPr>
        <w:t>, la parte</w:t>
      </w:r>
      <w:r w:rsidRPr="009052DB">
        <w:rPr>
          <w:rFonts w:ascii="Palatino Linotype" w:eastAsia="Palatino Linotype" w:hAnsi="Palatino Linotype" w:cs="Palatino Linotype"/>
          <w:b/>
          <w:sz w:val="24"/>
          <w:szCs w:val="24"/>
        </w:rPr>
        <w:t xml:space="preserve"> Recurrente</w:t>
      </w:r>
      <w:r w:rsidRPr="009052DB">
        <w:rPr>
          <w:rFonts w:ascii="Palatino Linotype" w:eastAsia="Palatino Linotype" w:hAnsi="Palatino Linotype" w:cs="Palatino Linotype"/>
          <w:sz w:val="24"/>
          <w:szCs w:val="24"/>
        </w:rPr>
        <w:t xml:space="preserve"> presentó a través del Sistema de Acceso a la Información Mexiquense (</w:t>
      </w:r>
      <w:r w:rsidRPr="009052DB">
        <w:rPr>
          <w:rFonts w:ascii="Palatino Linotype" w:eastAsia="Palatino Linotype" w:hAnsi="Palatino Linotype" w:cs="Palatino Linotype"/>
          <w:b/>
          <w:sz w:val="24"/>
          <w:szCs w:val="24"/>
        </w:rPr>
        <w:t>SAIMEX)</w:t>
      </w:r>
      <w:r w:rsidRPr="009052DB">
        <w:rPr>
          <w:rFonts w:ascii="Palatino Linotype" w:eastAsia="Palatino Linotype" w:hAnsi="Palatino Linotype" w:cs="Palatino Linotype"/>
          <w:sz w:val="24"/>
          <w:szCs w:val="24"/>
        </w:rPr>
        <w:t xml:space="preserve">, la solicitud de acceso a la información pública, con número de folio </w:t>
      </w:r>
      <w:r w:rsidR="009A63F9" w:rsidRPr="009052DB">
        <w:rPr>
          <w:rFonts w:ascii="Palatino Linotype" w:eastAsia="Palatino Linotype" w:hAnsi="Palatino Linotype" w:cs="Palatino Linotype"/>
          <w:b/>
          <w:sz w:val="24"/>
          <w:szCs w:val="24"/>
        </w:rPr>
        <w:t>00035/TEPOTZOT/IP/2026</w:t>
      </w:r>
      <w:r w:rsidRPr="009052DB">
        <w:rPr>
          <w:rFonts w:ascii="Palatino Linotype" w:eastAsia="Palatino Linotype" w:hAnsi="Palatino Linotype" w:cs="Palatino Linotype"/>
          <w:sz w:val="24"/>
          <w:szCs w:val="24"/>
        </w:rPr>
        <w:t xml:space="preserve">, de lo siguiente: </w:t>
      </w:r>
    </w:p>
    <w:p w:rsidR="002E4E38" w:rsidRPr="009052DB" w:rsidRDefault="002E4E38" w:rsidP="009A63F9">
      <w:pPr>
        <w:pStyle w:val="INFOEM"/>
        <w:rPr>
          <w:lang w:val="es-ES_tradnl" w:eastAsia="es-ES"/>
        </w:rPr>
      </w:pPr>
      <w:r w:rsidRPr="009052DB">
        <w:rPr>
          <w:lang w:val="es-ES_tradnl" w:eastAsia="es-ES"/>
        </w:rPr>
        <w:t>“</w:t>
      </w:r>
      <w:r w:rsidR="009A63F9" w:rsidRPr="009052DB">
        <w:rPr>
          <w:lang w:val="es-ES" w:eastAsia="es-ES"/>
        </w:rPr>
        <w:t>Solicito se informe cuántos contratos celebrados en 2025 presentan ampliaciones de monto o plazo, indicando contrato original, monto inicial, monto ampliado y motivo de la ampliación.</w:t>
      </w:r>
      <w:r w:rsidRPr="009052DB">
        <w:rPr>
          <w:lang w:val="es-ES_tradnl" w:eastAsia="es-ES"/>
        </w:rPr>
        <w:t>” (Sic)</w:t>
      </w:r>
    </w:p>
    <w:p w:rsidR="002E4E38" w:rsidRPr="009052DB" w:rsidRDefault="002E4E38" w:rsidP="002E4E38">
      <w:pPr>
        <w:spacing w:before="240" w:line="360" w:lineRule="auto"/>
        <w:jc w:val="both"/>
        <w:rPr>
          <w:rFonts w:ascii="Palatino Linotype" w:hAnsi="Palatino Linotype"/>
          <w:lang w:val="es-ES_tradnl"/>
        </w:rPr>
      </w:pPr>
      <w:r w:rsidRPr="009052DB">
        <w:rPr>
          <w:rFonts w:ascii="Palatino Linotype" w:hAnsi="Palatino Linotype"/>
          <w:b/>
          <w:lang w:val="es-ES_tradnl"/>
        </w:rPr>
        <w:t>Modalidad de entrega:</w:t>
      </w:r>
      <w:r w:rsidRPr="009052DB">
        <w:rPr>
          <w:rFonts w:ascii="Palatino Linotype" w:hAnsi="Palatino Linotype"/>
          <w:lang w:val="es-ES_tradnl"/>
        </w:rPr>
        <w:t xml:space="preserve"> A través del SAIMEX.</w:t>
      </w:r>
    </w:p>
    <w:p w:rsidR="002E4E38" w:rsidRPr="009052DB" w:rsidRDefault="002E4E38" w:rsidP="002E4E38">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rsidR="002E4E38" w:rsidRPr="009052DB" w:rsidRDefault="002E4E38" w:rsidP="002E4E38">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9052DB">
        <w:rPr>
          <w:rFonts w:ascii="Palatino Linotype" w:eastAsia="Palatino Linotype" w:hAnsi="Palatino Linotype" w:cs="Palatino Linotype"/>
          <w:b/>
          <w:color w:val="000000"/>
          <w:sz w:val="28"/>
          <w:szCs w:val="24"/>
        </w:rPr>
        <w:lastRenderedPageBreak/>
        <w:t>SEGUNDO. De la prórroga.</w:t>
      </w:r>
    </w:p>
    <w:p w:rsidR="002E4E38" w:rsidRPr="009052DB" w:rsidRDefault="002E4E38" w:rsidP="002E4E38">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9052DB">
        <w:rPr>
          <w:rFonts w:ascii="Palatino Linotype" w:eastAsia="Palatino Linotype" w:hAnsi="Palatino Linotype" w:cs="Palatino Linotype"/>
          <w:color w:val="000000"/>
          <w:sz w:val="24"/>
          <w:szCs w:val="24"/>
        </w:rPr>
        <w:t xml:space="preserve">En fecha </w:t>
      </w:r>
      <w:r w:rsidRPr="009052DB">
        <w:rPr>
          <w:rFonts w:ascii="Palatino Linotype" w:eastAsia="Palatino Linotype" w:hAnsi="Palatino Linotype" w:cs="Palatino Linotype"/>
          <w:b/>
          <w:color w:val="000000"/>
          <w:sz w:val="24"/>
          <w:szCs w:val="24"/>
        </w:rPr>
        <w:t>tres de febrero</w:t>
      </w:r>
      <w:r w:rsidRPr="009052DB">
        <w:rPr>
          <w:rFonts w:ascii="Palatino Linotype" w:eastAsia="Palatino Linotype" w:hAnsi="Palatino Linotype" w:cs="Palatino Linotype"/>
          <w:color w:val="000000"/>
          <w:sz w:val="24"/>
          <w:szCs w:val="24"/>
        </w:rPr>
        <w:t xml:space="preserve"> </w:t>
      </w:r>
      <w:r w:rsidR="009A63F9" w:rsidRPr="009052DB">
        <w:rPr>
          <w:rFonts w:ascii="Palatino Linotype" w:eastAsia="Palatino Linotype" w:hAnsi="Palatino Linotype" w:cs="Palatino Linotype"/>
          <w:b/>
          <w:color w:val="000000"/>
          <w:sz w:val="24"/>
          <w:szCs w:val="24"/>
        </w:rPr>
        <w:t>de dos mil veintiséis</w:t>
      </w:r>
      <w:r w:rsidR="009A63F9" w:rsidRPr="009052DB">
        <w:rPr>
          <w:rFonts w:ascii="Palatino Linotype" w:eastAsia="Palatino Linotype" w:hAnsi="Palatino Linotype" w:cs="Palatino Linotype"/>
          <w:color w:val="000000"/>
          <w:sz w:val="24"/>
          <w:szCs w:val="24"/>
        </w:rPr>
        <w:t xml:space="preserve"> </w:t>
      </w:r>
      <w:r w:rsidRPr="009052DB">
        <w:rPr>
          <w:rFonts w:ascii="Palatino Linotype" w:eastAsia="Palatino Linotype" w:hAnsi="Palatino Linotype" w:cs="Palatino Linotype"/>
          <w:color w:val="000000"/>
          <w:sz w:val="24"/>
          <w:szCs w:val="24"/>
        </w:rPr>
        <w:t>el Sujeto obligado notificó a la parte Recurrente una prórroga para dar respuesta a la solicitud de información, en los términos siguientes:</w:t>
      </w:r>
    </w:p>
    <w:p w:rsidR="002E4E38" w:rsidRPr="009052DB" w:rsidRDefault="002E4E38" w:rsidP="002E4E38">
      <w:pPr>
        <w:pStyle w:val="INFOEM"/>
      </w:pPr>
      <w:r w:rsidRPr="009052DB">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rsidR="002E4E38" w:rsidRPr="009052DB" w:rsidRDefault="002E4E38" w:rsidP="002E4E38">
      <w:pPr>
        <w:pStyle w:val="INFOEM"/>
      </w:pPr>
      <w:r w:rsidRPr="009052DB">
        <w:t xml:space="preserve">DE ACUERDO A LA CUARTA SESIÓN EXTRAORDINARIA 2026 DEL COMITÉ DE TRANSPARENCIA DE FECHA 03 DE FEBRERO DE 2026, EN EL ACUERDO 02/SE/04/CT/2026: Se aprueba por unanimidad la prórroga para atender las solicitudes de información con número de folio </w:t>
      </w:r>
      <w:r w:rsidR="009A63F9" w:rsidRPr="009052DB">
        <w:t>00035/TEPOTZOT/IP/2026</w:t>
      </w:r>
      <w:r w:rsidRPr="009052DB">
        <w:t xml:space="preserve">, realizada por el particular.” (Sic) </w:t>
      </w:r>
    </w:p>
    <w:p w:rsidR="002E4E38" w:rsidRPr="009052DB" w:rsidRDefault="002E4E38" w:rsidP="002E4E38">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rsidR="002E4E38" w:rsidRPr="009052DB" w:rsidRDefault="002E4E38" w:rsidP="002E4E38">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9052DB">
        <w:rPr>
          <w:rFonts w:ascii="Palatino Linotype" w:eastAsia="Palatino Linotype" w:hAnsi="Palatino Linotype" w:cs="Palatino Linotype"/>
          <w:b/>
          <w:sz w:val="28"/>
          <w:szCs w:val="24"/>
        </w:rPr>
        <w:t xml:space="preserve">TERCERO. </w:t>
      </w:r>
      <w:r w:rsidRPr="009052DB">
        <w:rPr>
          <w:rFonts w:ascii="Palatino Linotype" w:eastAsia="Palatino Linotype" w:hAnsi="Palatino Linotype" w:cs="Palatino Linotype"/>
          <w:b/>
          <w:color w:val="000000"/>
          <w:sz w:val="28"/>
          <w:szCs w:val="24"/>
        </w:rPr>
        <w:t>De la falta de respuesta del Sujeto Obligado.</w:t>
      </w:r>
    </w:p>
    <w:p w:rsidR="002E4E38" w:rsidRPr="009052DB" w:rsidRDefault="002E4E38" w:rsidP="002E4E38">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9052DB">
        <w:rPr>
          <w:rFonts w:ascii="Palatino Linotype" w:eastAsia="Palatino Linotype" w:hAnsi="Palatino Linotype" w:cs="Palatino Linotype"/>
          <w:color w:val="000000"/>
          <w:sz w:val="24"/>
          <w:szCs w:val="24"/>
        </w:rPr>
        <w:t>E</w:t>
      </w:r>
      <w:r w:rsidRPr="009052DB">
        <w:rPr>
          <w:rFonts w:ascii="Palatino Linotype" w:eastAsia="Palatino Linotype" w:hAnsi="Palatino Linotype" w:cs="Palatino Linotype"/>
          <w:sz w:val="24"/>
          <w:szCs w:val="24"/>
        </w:rPr>
        <w:t xml:space="preserve">l </w:t>
      </w:r>
      <w:r w:rsidRPr="009052DB">
        <w:rPr>
          <w:rFonts w:ascii="Palatino Linotype" w:eastAsia="Palatino Linotype" w:hAnsi="Palatino Linotype" w:cs="Palatino Linotype"/>
          <w:b/>
          <w:sz w:val="24"/>
          <w:szCs w:val="24"/>
        </w:rPr>
        <w:t>Sujeto Obligado</w:t>
      </w:r>
      <w:r w:rsidRPr="009052DB">
        <w:rPr>
          <w:rFonts w:ascii="Palatino Linotype" w:eastAsia="Palatino Linotype" w:hAnsi="Palatino Linotype" w:cs="Palatino Linotype"/>
          <w:sz w:val="24"/>
          <w:szCs w:val="24"/>
        </w:rPr>
        <w:t xml:space="preserve"> no proporcionó respuesta a la solicitud de información </w:t>
      </w:r>
      <w:r w:rsidRPr="009052DB">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rsidR="002E4E38" w:rsidRPr="009052DB" w:rsidRDefault="002E4E38" w:rsidP="002E4E38">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rsidR="002E4E38" w:rsidRPr="009052DB" w:rsidRDefault="002E4E38" w:rsidP="002E4E38">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9052DB">
        <w:rPr>
          <w:rFonts w:ascii="Palatino Linotype" w:eastAsia="Palatino Linotype" w:hAnsi="Palatino Linotype" w:cs="Palatino Linotype"/>
          <w:b/>
          <w:sz w:val="28"/>
          <w:szCs w:val="24"/>
        </w:rPr>
        <w:t xml:space="preserve">CUARTO. </w:t>
      </w:r>
      <w:r w:rsidRPr="009052DB">
        <w:rPr>
          <w:rFonts w:ascii="Palatino Linotype" w:eastAsia="Palatino Linotype" w:hAnsi="Palatino Linotype" w:cs="Palatino Linotype"/>
          <w:b/>
          <w:color w:val="000000"/>
          <w:sz w:val="28"/>
          <w:szCs w:val="24"/>
        </w:rPr>
        <w:t>Del recurso de revisión.</w:t>
      </w:r>
    </w:p>
    <w:p w:rsidR="002E4E38" w:rsidRPr="009052DB" w:rsidRDefault="002E4E38" w:rsidP="002E4E38">
      <w:pPr>
        <w:spacing w:after="0" w:line="360" w:lineRule="auto"/>
        <w:jc w:val="both"/>
        <w:rPr>
          <w:rFonts w:ascii="Palatino Linotype" w:eastAsia="Palatino Linotype" w:hAnsi="Palatino Linotype" w:cs="Palatino Linotype"/>
          <w:b/>
          <w:sz w:val="24"/>
          <w:szCs w:val="24"/>
        </w:rPr>
      </w:pPr>
      <w:r w:rsidRPr="009052DB">
        <w:rPr>
          <w:rFonts w:ascii="Palatino Linotype" w:eastAsia="Palatino Linotype" w:hAnsi="Palatino Linotype" w:cs="Palatino Linotype"/>
          <w:sz w:val="24"/>
          <w:szCs w:val="24"/>
        </w:rPr>
        <w:t>Ante la falta de respuesta</w:t>
      </w:r>
      <w:r w:rsidRPr="009052DB">
        <w:rPr>
          <w:rFonts w:ascii="Palatino Linotype" w:eastAsia="Palatino Linotype" w:hAnsi="Palatino Linotype" w:cs="Palatino Linotype"/>
          <w:b/>
          <w:sz w:val="24"/>
          <w:szCs w:val="24"/>
        </w:rPr>
        <w:t xml:space="preserve"> </w:t>
      </w:r>
      <w:r w:rsidRPr="009052DB">
        <w:rPr>
          <w:rFonts w:ascii="Palatino Linotype" w:eastAsia="Palatino Linotype" w:hAnsi="Palatino Linotype" w:cs="Palatino Linotype"/>
          <w:sz w:val="24"/>
          <w:szCs w:val="24"/>
        </w:rPr>
        <w:t xml:space="preserve">del </w:t>
      </w:r>
      <w:r w:rsidRPr="009052DB">
        <w:rPr>
          <w:rFonts w:ascii="Palatino Linotype" w:eastAsia="Palatino Linotype" w:hAnsi="Palatino Linotype" w:cs="Palatino Linotype"/>
          <w:b/>
          <w:sz w:val="24"/>
          <w:szCs w:val="24"/>
        </w:rPr>
        <w:t>Sujeto Obligado</w:t>
      </w:r>
      <w:r w:rsidRPr="009052DB">
        <w:rPr>
          <w:rFonts w:ascii="Palatino Linotype" w:eastAsia="Palatino Linotype" w:hAnsi="Palatino Linotype" w:cs="Palatino Linotype"/>
          <w:sz w:val="24"/>
          <w:szCs w:val="24"/>
        </w:rPr>
        <w:t xml:space="preserve">, la parte </w:t>
      </w:r>
      <w:r w:rsidRPr="009052DB">
        <w:rPr>
          <w:rFonts w:ascii="Palatino Linotype" w:eastAsia="Palatino Linotype" w:hAnsi="Palatino Linotype" w:cs="Palatino Linotype"/>
          <w:b/>
          <w:sz w:val="24"/>
          <w:szCs w:val="24"/>
        </w:rPr>
        <w:t>Recurrente</w:t>
      </w:r>
      <w:r w:rsidRPr="009052DB">
        <w:rPr>
          <w:rFonts w:ascii="Palatino Linotype" w:eastAsia="Palatino Linotype" w:hAnsi="Palatino Linotype" w:cs="Palatino Linotype"/>
          <w:sz w:val="24"/>
          <w:szCs w:val="24"/>
        </w:rPr>
        <w:t xml:space="preserve"> interpuso el recurso de revisión en fecha </w:t>
      </w:r>
      <w:r w:rsidRPr="009052DB">
        <w:rPr>
          <w:rFonts w:ascii="Palatino Linotype" w:eastAsia="Palatino Linotype" w:hAnsi="Palatino Linotype" w:cs="Palatino Linotype"/>
          <w:b/>
          <w:sz w:val="24"/>
          <w:szCs w:val="24"/>
        </w:rPr>
        <w:t>dieciséis de febrero de dos mil veintiséis</w:t>
      </w:r>
      <w:r w:rsidRPr="009052DB">
        <w:rPr>
          <w:rFonts w:ascii="Palatino Linotype" w:eastAsia="Palatino Linotype" w:hAnsi="Palatino Linotype" w:cs="Palatino Linotype"/>
          <w:sz w:val="24"/>
          <w:szCs w:val="24"/>
        </w:rPr>
        <w:t>, registrado</w:t>
      </w:r>
      <w:r w:rsidRPr="009052DB">
        <w:rPr>
          <w:rFonts w:ascii="Palatino Linotype" w:eastAsia="Palatino Linotype" w:hAnsi="Palatino Linotype" w:cs="Palatino Linotype"/>
          <w:b/>
          <w:sz w:val="24"/>
          <w:szCs w:val="24"/>
        </w:rPr>
        <w:t xml:space="preserve"> </w:t>
      </w:r>
      <w:r w:rsidRPr="009052DB">
        <w:rPr>
          <w:rFonts w:ascii="Palatino Linotype" w:eastAsia="Palatino Linotype" w:hAnsi="Palatino Linotype" w:cs="Palatino Linotype"/>
          <w:sz w:val="24"/>
          <w:szCs w:val="24"/>
        </w:rPr>
        <w:t xml:space="preserve">en </w:t>
      </w:r>
      <w:r w:rsidRPr="009052DB">
        <w:rPr>
          <w:rFonts w:ascii="Palatino Linotype" w:eastAsia="Palatino Linotype" w:hAnsi="Palatino Linotype" w:cs="Palatino Linotype"/>
          <w:sz w:val="24"/>
          <w:szCs w:val="24"/>
        </w:rPr>
        <w:lastRenderedPageBreak/>
        <w:t xml:space="preserve">el </w:t>
      </w:r>
      <w:r w:rsidRPr="009052DB">
        <w:rPr>
          <w:rFonts w:ascii="Palatino Linotype" w:eastAsia="Palatino Linotype" w:hAnsi="Palatino Linotype" w:cs="Palatino Linotype"/>
          <w:b/>
          <w:sz w:val="24"/>
          <w:szCs w:val="24"/>
        </w:rPr>
        <w:t xml:space="preserve">SAIMEX </w:t>
      </w:r>
      <w:r w:rsidRPr="009052DB">
        <w:rPr>
          <w:rFonts w:ascii="Palatino Linotype" w:eastAsia="Palatino Linotype" w:hAnsi="Palatino Linotype" w:cs="Palatino Linotype"/>
          <w:sz w:val="24"/>
          <w:szCs w:val="24"/>
        </w:rPr>
        <w:t xml:space="preserve">con el número de expediente </w:t>
      </w:r>
      <w:r w:rsidRPr="009052DB">
        <w:rPr>
          <w:rFonts w:ascii="Palatino Linotype" w:eastAsia="Palatino Linotype" w:hAnsi="Palatino Linotype" w:cs="Palatino Linotype"/>
          <w:b/>
          <w:sz w:val="24"/>
          <w:szCs w:val="24"/>
        </w:rPr>
        <w:t>02015/INFOEM/IP/RR/2026</w:t>
      </w:r>
      <w:r w:rsidRPr="009052DB">
        <w:rPr>
          <w:rFonts w:ascii="Palatino Linotype" w:eastAsia="Palatino Linotype" w:hAnsi="Palatino Linotype" w:cs="Palatino Linotype"/>
          <w:sz w:val="24"/>
          <w:szCs w:val="24"/>
        </w:rPr>
        <w:t>, y señaló como acto impugnado y razones o motivos de inconformidad, lo siguiente:</w:t>
      </w:r>
    </w:p>
    <w:p w:rsidR="002E4E38" w:rsidRPr="009052DB" w:rsidRDefault="002E4E38" w:rsidP="002E4E38">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rsidR="002E4E38" w:rsidRPr="009052DB" w:rsidRDefault="002E4E38" w:rsidP="002E4E38">
      <w:pPr>
        <w:pStyle w:val="INFOEM"/>
        <w:ind w:left="142"/>
        <w:rPr>
          <w:b/>
          <w:i w:val="0"/>
          <w:sz w:val="24"/>
        </w:rPr>
      </w:pPr>
      <w:r w:rsidRPr="009052DB">
        <w:rPr>
          <w:b/>
          <w:i w:val="0"/>
          <w:sz w:val="24"/>
        </w:rPr>
        <w:t xml:space="preserve">Acto Impugnado: </w:t>
      </w:r>
    </w:p>
    <w:p w:rsidR="002E4E38" w:rsidRPr="009052DB" w:rsidRDefault="002E4E38" w:rsidP="002E4E38">
      <w:pPr>
        <w:pStyle w:val="INFOEM"/>
      </w:pPr>
      <w:r w:rsidRPr="009052DB">
        <w:t>“</w:t>
      </w:r>
      <w:r w:rsidR="009A63F9" w:rsidRPr="009052DB">
        <w:t xml:space="preserve">Solicito se informe cuántos contratos celebrados en 2025 presentan ampliaciones de monto o plazo, indicando contrato original, monto inicial, monto ampliado y motivo de la ampliación. </w:t>
      </w:r>
      <w:r w:rsidRPr="009052DB">
        <w:t xml:space="preserve">" (Sic) </w:t>
      </w:r>
    </w:p>
    <w:p w:rsidR="002E4E38" w:rsidRPr="009052DB" w:rsidRDefault="002E4E38" w:rsidP="002E4E38">
      <w:pPr>
        <w:pStyle w:val="INFOEM"/>
      </w:pPr>
    </w:p>
    <w:p w:rsidR="002E4E38" w:rsidRPr="009052DB" w:rsidRDefault="002E4E38" w:rsidP="002E4E38">
      <w:pPr>
        <w:pStyle w:val="INFOEM"/>
        <w:ind w:left="284"/>
        <w:rPr>
          <w:b/>
          <w:i w:val="0"/>
          <w:sz w:val="24"/>
        </w:rPr>
      </w:pPr>
      <w:r w:rsidRPr="009052DB">
        <w:rPr>
          <w:b/>
          <w:i w:val="0"/>
          <w:sz w:val="24"/>
        </w:rPr>
        <w:t xml:space="preserve">Razones o Motivos de Inconformidad: </w:t>
      </w:r>
    </w:p>
    <w:p w:rsidR="002E4E38" w:rsidRPr="009052DB" w:rsidRDefault="002E4E38" w:rsidP="002E4E38">
      <w:pPr>
        <w:pStyle w:val="INFOEM"/>
      </w:pPr>
      <w:r w:rsidRPr="009052DB">
        <w:t>“</w:t>
      </w:r>
      <w:r w:rsidR="009A63F9" w:rsidRPr="009052DB">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w:t>
      </w:r>
      <w:r w:rsidR="009A63F9" w:rsidRPr="009052DB">
        <w:lastRenderedPageBreak/>
        <w:t xml:space="preserve">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w:t>
      </w:r>
      <w:r w:rsidR="009A63F9" w:rsidRPr="009052DB">
        <w:lastRenderedPageBreak/>
        <w:t>entrega de versión pública, aplicando un testado estricto, proporcional y debidamente justificado, acompañado del acta del Comité de Transparencia donde conste la determinación correspondiente.</w:t>
      </w:r>
      <w:r w:rsidRPr="009052DB">
        <w:t>”</w:t>
      </w:r>
      <w:r w:rsidRPr="009052DB">
        <w:rPr>
          <w:sz w:val="24"/>
          <w:szCs w:val="24"/>
        </w:rPr>
        <w:t xml:space="preserve"> (Sic)</w:t>
      </w:r>
      <w:r w:rsidRPr="009052DB">
        <w:rPr>
          <w:rFonts w:ascii="Times New Roman" w:eastAsia="Times New Roman" w:hAnsi="Times New Roman" w:cs="Times New Roman"/>
          <w:sz w:val="24"/>
          <w:szCs w:val="24"/>
        </w:rPr>
        <w:t xml:space="preserve"> </w:t>
      </w:r>
    </w:p>
    <w:p w:rsidR="002E4E38" w:rsidRPr="009052DB" w:rsidRDefault="002E4E38" w:rsidP="002E4E38">
      <w:pPr>
        <w:spacing w:after="0" w:line="360" w:lineRule="auto"/>
        <w:jc w:val="both"/>
        <w:rPr>
          <w:rFonts w:ascii="Palatino Linotype" w:eastAsia="Palatino Linotype" w:hAnsi="Palatino Linotype" w:cs="Palatino Linotype"/>
          <w:b/>
          <w:sz w:val="28"/>
          <w:szCs w:val="28"/>
        </w:rPr>
      </w:pPr>
    </w:p>
    <w:p w:rsidR="002E4E38" w:rsidRPr="009052DB" w:rsidRDefault="002E4E38" w:rsidP="002E4E38">
      <w:pPr>
        <w:spacing w:before="240" w:line="360" w:lineRule="auto"/>
        <w:jc w:val="both"/>
        <w:rPr>
          <w:rFonts w:ascii="Palatino Linotype" w:hAnsi="Palatino Linotype" w:cs="Arial"/>
          <w:b/>
        </w:rPr>
      </w:pPr>
      <w:r w:rsidRPr="009052DB">
        <w:rPr>
          <w:rFonts w:ascii="Palatino Linotype" w:hAnsi="Palatino Linotype" w:cs="Arial"/>
          <w:b/>
          <w:sz w:val="28"/>
        </w:rPr>
        <w:t>QUINTO</w:t>
      </w:r>
      <w:r w:rsidRPr="009052DB">
        <w:rPr>
          <w:rFonts w:ascii="Palatino Linotype" w:hAnsi="Palatino Linotype" w:cs="Arial"/>
          <w:b/>
        </w:rPr>
        <w:t xml:space="preserve">. </w:t>
      </w:r>
      <w:r w:rsidRPr="009052DB">
        <w:rPr>
          <w:rFonts w:ascii="Palatino Linotype" w:hAnsi="Palatino Linotype" w:cs="Arial"/>
          <w:b/>
          <w:sz w:val="28"/>
          <w:szCs w:val="28"/>
        </w:rPr>
        <w:t>Del turno y admisión del recurso de revisión.</w:t>
      </w:r>
    </w:p>
    <w:p w:rsidR="002E4E38" w:rsidRPr="009052DB" w:rsidRDefault="002E4E38" w:rsidP="002E4E38">
      <w:pPr>
        <w:spacing w:before="240" w:line="360" w:lineRule="auto"/>
        <w:jc w:val="both"/>
        <w:rPr>
          <w:rFonts w:ascii="Palatino Linotype" w:hAnsi="Palatino Linotype" w:cs="Arial"/>
          <w:sz w:val="32"/>
        </w:rPr>
      </w:pPr>
      <w:r w:rsidRPr="009052DB">
        <w:rPr>
          <w:rFonts w:ascii="Palatino Linotype" w:hAnsi="Palatino Linotype"/>
          <w:sz w:val="24"/>
        </w:rPr>
        <w:t xml:space="preserve">El medio de impugnación fue turnado al Comisionado Presidente </w:t>
      </w:r>
      <w:r w:rsidRPr="009052DB">
        <w:rPr>
          <w:rFonts w:ascii="Palatino Linotype" w:hAnsi="Palatino Linotype"/>
          <w:b/>
          <w:sz w:val="24"/>
        </w:rPr>
        <w:t>José Martínez Vilchis,</w:t>
      </w:r>
      <w:r w:rsidRPr="009052DB">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9052DB">
        <w:rPr>
          <w:rFonts w:ascii="Palatino Linotype" w:hAnsi="Palatino Linotype"/>
          <w:b/>
          <w:sz w:val="24"/>
        </w:rPr>
        <w:t>admisión</w:t>
      </w:r>
      <w:r w:rsidRPr="009052DB">
        <w:rPr>
          <w:rFonts w:ascii="Palatino Linotype" w:hAnsi="Palatino Linotype"/>
          <w:sz w:val="24"/>
        </w:rPr>
        <w:t xml:space="preserve"> en fecha </w:t>
      </w:r>
      <w:r w:rsidRPr="009052DB">
        <w:rPr>
          <w:rFonts w:ascii="Palatino Linotype" w:hAnsi="Palatino Linotype"/>
          <w:b/>
          <w:sz w:val="24"/>
        </w:rPr>
        <w:t>dieciocho de febrero de dos mil veintiséis</w:t>
      </w:r>
      <w:r w:rsidRPr="009052DB">
        <w:rPr>
          <w:rFonts w:ascii="Palatino Linotype" w:hAnsi="Palatino Linotype"/>
          <w:sz w:val="24"/>
        </w:rPr>
        <w:t>, determinándose en ellos, un plazo de siete días para que las partes manifestaran lo que a su derecho corresponda en términos del numeral ya citado.</w:t>
      </w:r>
    </w:p>
    <w:p w:rsidR="002E4E38" w:rsidRPr="009052DB" w:rsidRDefault="002E4E38" w:rsidP="002E4E38">
      <w:pPr>
        <w:spacing w:after="0" w:line="360" w:lineRule="auto"/>
        <w:jc w:val="both"/>
        <w:rPr>
          <w:rFonts w:ascii="Palatino Linotype" w:eastAsia="Palatino Linotype" w:hAnsi="Palatino Linotype" w:cs="Palatino Linotype"/>
          <w:b/>
          <w:sz w:val="28"/>
          <w:szCs w:val="28"/>
        </w:rPr>
      </w:pPr>
    </w:p>
    <w:p w:rsidR="002E4E38" w:rsidRPr="009052DB" w:rsidRDefault="002E4E38" w:rsidP="002E4E38">
      <w:pPr>
        <w:pStyle w:val="Prrafodelista"/>
        <w:spacing w:line="360" w:lineRule="auto"/>
        <w:ind w:left="0"/>
        <w:jc w:val="both"/>
        <w:rPr>
          <w:rFonts w:ascii="Palatino Linotype" w:hAnsi="Palatino Linotype" w:cs="Arial"/>
          <w:b/>
          <w:sz w:val="28"/>
          <w:szCs w:val="28"/>
        </w:rPr>
      </w:pPr>
      <w:r w:rsidRPr="009052DB">
        <w:rPr>
          <w:rFonts w:ascii="Palatino Linotype" w:hAnsi="Palatino Linotype" w:cs="Arial"/>
          <w:b/>
          <w:sz w:val="28"/>
          <w:szCs w:val="28"/>
        </w:rPr>
        <w:t>SEXTO</w:t>
      </w:r>
      <w:r w:rsidRPr="009052DB">
        <w:rPr>
          <w:rFonts w:ascii="Palatino Linotype" w:hAnsi="Palatino Linotype" w:cs="Arial"/>
          <w:b/>
        </w:rPr>
        <w:t>.</w:t>
      </w:r>
      <w:r w:rsidRPr="009052DB">
        <w:rPr>
          <w:rFonts w:ascii="Palatino Linotype" w:hAnsi="Palatino Linotype" w:cs="Arial"/>
          <w:b/>
          <w:sz w:val="28"/>
          <w:szCs w:val="28"/>
        </w:rPr>
        <w:t xml:space="preserve"> De la etapa de instrucción.</w:t>
      </w:r>
    </w:p>
    <w:p w:rsidR="002E4E38" w:rsidRPr="009052DB" w:rsidRDefault="002E4E38" w:rsidP="002E4E38">
      <w:pPr>
        <w:spacing w:line="360" w:lineRule="auto"/>
        <w:jc w:val="both"/>
        <w:rPr>
          <w:rFonts w:ascii="Palatino Linotype" w:hAnsi="Palatino Linotype" w:cs="Arial"/>
          <w:sz w:val="24"/>
        </w:rPr>
      </w:pPr>
      <w:r w:rsidRPr="009052DB">
        <w:rPr>
          <w:rFonts w:ascii="Palatino Linotype" w:hAnsi="Palatino Linotype" w:cs="Arial"/>
          <w:sz w:val="24"/>
        </w:rPr>
        <w:t xml:space="preserve">De las constancias que obran en el expediente electrónico del SAIMEX, se advierte que el </w:t>
      </w:r>
      <w:r w:rsidRPr="009052DB">
        <w:rPr>
          <w:rFonts w:ascii="Palatino Linotype" w:hAnsi="Palatino Linotype" w:cs="Arial"/>
          <w:b/>
          <w:sz w:val="24"/>
        </w:rPr>
        <w:t>Sujeto Obligado</w:t>
      </w:r>
      <w:r w:rsidRPr="009052DB">
        <w:rPr>
          <w:rFonts w:ascii="Palatino Linotype" w:hAnsi="Palatino Linotype" w:cs="Arial"/>
          <w:sz w:val="24"/>
        </w:rPr>
        <w:t xml:space="preserve"> rindió su informe justificado en fecha veinticinco de febrero de dos mil veintiséis, por medio del archivo electrónico </w:t>
      </w:r>
      <w:r w:rsidRPr="009052DB">
        <w:rPr>
          <w:rFonts w:ascii="Palatino Linotype" w:hAnsi="Palatino Linotype" w:cs="Arial"/>
          <w:b/>
          <w:sz w:val="24"/>
        </w:rPr>
        <w:t>“</w:t>
      </w:r>
      <w:r w:rsidR="009A63F9" w:rsidRPr="009052DB">
        <w:rPr>
          <w:rFonts w:ascii="Palatino Linotype" w:hAnsi="Palatino Linotype" w:cs="Arial"/>
          <w:b/>
          <w:i/>
          <w:sz w:val="24"/>
        </w:rPr>
        <w:t>ADQ-032-2026_0001.pdf</w:t>
      </w:r>
      <w:r w:rsidRPr="009052DB">
        <w:rPr>
          <w:rFonts w:ascii="Palatino Linotype" w:hAnsi="Palatino Linotype" w:cs="Arial"/>
          <w:b/>
          <w:i/>
          <w:sz w:val="24"/>
        </w:rPr>
        <w:t>”</w:t>
      </w:r>
      <w:r w:rsidRPr="009052DB">
        <w:rPr>
          <w:rFonts w:ascii="Palatino Linotype" w:hAnsi="Palatino Linotype" w:cs="Arial"/>
          <w:i/>
          <w:sz w:val="24"/>
        </w:rPr>
        <w:t>,</w:t>
      </w:r>
      <w:r w:rsidRPr="009052DB">
        <w:rPr>
          <w:rFonts w:ascii="Palatino Linotype" w:hAnsi="Palatino Linotype" w:cs="Arial"/>
          <w:sz w:val="24"/>
        </w:rPr>
        <w:t xml:space="preserve"> mismo que fue puesto a la vista del Recurrente en fecha </w:t>
      </w:r>
      <w:r w:rsidR="009A63F9" w:rsidRPr="009052DB">
        <w:rPr>
          <w:rFonts w:ascii="Palatino Linotype" w:hAnsi="Palatino Linotype" w:cs="Arial"/>
          <w:sz w:val="24"/>
        </w:rPr>
        <w:t>nueve</w:t>
      </w:r>
      <w:r w:rsidRPr="009052DB">
        <w:rPr>
          <w:rFonts w:ascii="Palatino Linotype" w:hAnsi="Palatino Linotype" w:cs="Arial"/>
          <w:sz w:val="24"/>
        </w:rPr>
        <w:t xml:space="preserve"> de abril de dos mil veintiséis</w:t>
      </w:r>
      <w:r w:rsidRPr="009052DB">
        <w:rPr>
          <w:rFonts w:ascii="Palatino Linotype" w:hAnsi="Palatino Linotype" w:cs="Arial"/>
          <w:b/>
          <w:i/>
          <w:sz w:val="24"/>
        </w:rPr>
        <w:t xml:space="preserve">. </w:t>
      </w:r>
    </w:p>
    <w:p w:rsidR="002E4E38" w:rsidRPr="009052DB" w:rsidRDefault="002E4E38" w:rsidP="002E4E38">
      <w:pPr>
        <w:spacing w:after="0" w:line="360" w:lineRule="auto"/>
        <w:jc w:val="both"/>
        <w:rPr>
          <w:rFonts w:ascii="Palatino Linotype" w:hAnsi="Palatino Linotype" w:cs="Arial"/>
          <w:b/>
          <w:sz w:val="28"/>
          <w:szCs w:val="28"/>
        </w:rPr>
      </w:pPr>
    </w:p>
    <w:p w:rsidR="002E4E38" w:rsidRPr="009052DB" w:rsidRDefault="002E4E38" w:rsidP="002E4E38">
      <w:pPr>
        <w:spacing w:after="0" w:line="360" w:lineRule="auto"/>
        <w:jc w:val="both"/>
        <w:rPr>
          <w:rFonts w:ascii="Palatino Linotype" w:hAnsi="Palatino Linotype" w:cs="Arial"/>
          <w:b/>
          <w:sz w:val="28"/>
          <w:lang w:val="es-ES_tradnl"/>
        </w:rPr>
      </w:pPr>
      <w:r w:rsidRPr="009052DB">
        <w:rPr>
          <w:rFonts w:ascii="Palatino Linotype" w:hAnsi="Palatino Linotype" w:cs="Arial"/>
          <w:b/>
          <w:sz w:val="28"/>
          <w:lang w:val="es-ES_tradnl"/>
        </w:rPr>
        <w:t>SÉPTIMO</w:t>
      </w:r>
      <w:r w:rsidRPr="009052DB">
        <w:rPr>
          <w:rFonts w:ascii="Palatino Linotype" w:hAnsi="Palatino Linotype" w:cs="Arial"/>
          <w:b/>
          <w:sz w:val="28"/>
          <w:szCs w:val="28"/>
        </w:rPr>
        <w:t xml:space="preserve">. </w:t>
      </w:r>
      <w:r w:rsidRPr="009052DB">
        <w:rPr>
          <w:rFonts w:ascii="Palatino Linotype" w:hAnsi="Palatino Linotype" w:cs="Arial"/>
          <w:b/>
          <w:sz w:val="28"/>
          <w:lang w:val="es-ES_tradnl"/>
        </w:rPr>
        <w:t>De la ampliación del término para resolver.</w:t>
      </w:r>
    </w:p>
    <w:p w:rsidR="002E4E38" w:rsidRPr="009052DB" w:rsidRDefault="002E4E38" w:rsidP="002E4E38">
      <w:pPr>
        <w:spacing w:line="360" w:lineRule="auto"/>
        <w:jc w:val="both"/>
        <w:rPr>
          <w:rFonts w:ascii="Palatino Linotype" w:hAnsi="Palatino Linotype" w:cs="Arial"/>
          <w:sz w:val="24"/>
        </w:rPr>
      </w:pPr>
      <w:r w:rsidRPr="009052DB">
        <w:rPr>
          <w:rFonts w:ascii="Palatino Linotype" w:hAnsi="Palatino Linotype" w:cs="Arial"/>
          <w:sz w:val="24"/>
        </w:rPr>
        <w:lastRenderedPageBreak/>
        <w:t xml:space="preserve">De las constancias que integran el expediente electrónico, se advierte que han transcurrido los términos de Ley, para la emisión de la resolución en el presente recurso de revisión, por lo que en fecha </w:t>
      </w:r>
      <w:r w:rsidRPr="009052DB">
        <w:rPr>
          <w:rFonts w:ascii="Palatino Linotype" w:hAnsi="Palatino Linotype" w:cs="Arial"/>
          <w:b/>
          <w:sz w:val="24"/>
        </w:rPr>
        <w:t>nueve de abril de dos mil veintiséis</w:t>
      </w:r>
      <w:r w:rsidRPr="009052DB">
        <w:rPr>
          <w:rFonts w:ascii="Palatino Linotype" w:hAnsi="Palatino Linotype" w:cs="Arial"/>
          <w:sz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2E4E38" w:rsidRPr="009052DB" w:rsidRDefault="002E4E38" w:rsidP="002E4E38">
      <w:pPr>
        <w:spacing w:after="0" w:line="360" w:lineRule="auto"/>
        <w:jc w:val="both"/>
        <w:rPr>
          <w:rFonts w:ascii="Palatino Linotype" w:hAnsi="Palatino Linotype" w:cs="Arial"/>
          <w:sz w:val="24"/>
          <w:szCs w:val="24"/>
        </w:rPr>
      </w:pPr>
    </w:p>
    <w:p w:rsidR="002E4E38" w:rsidRPr="009052DB" w:rsidRDefault="002E4E38" w:rsidP="002E4E38">
      <w:pPr>
        <w:spacing w:after="0" w:line="360" w:lineRule="auto"/>
        <w:jc w:val="both"/>
        <w:rPr>
          <w:rFonts w:ascii="Palatino Linotype" w:hAnsi="Palatino Linotype" w:cs="Arial"/>
          <w:b/>
          <w:sz w:val="28"/>
          <w:szCs w:val="28"/>
        </w:rPr>
      </w:pPr>
      <w:r w:rsidRPr="009052DB">
        <w:rPr>
          <w:rFonts w:ascii="Palatino Linotype" w:hAnsi="Palatino Linotype" w:cs="Arial"/>
          <w:b/>
          <w:sz w:val="28"/>
          <w:lang w:val="es-ES_tradnl"/>
        </w:rPr>
        <w:t>OCTAVO</w:t>
      </w:r>
      <w:r w:rsidRPr="009052DB">
        <w:rPr>
          <w:rFonts w:ascii="Palatino Linotype" w:hAnsi="Palatino Linotype" w:cs="Arial"/>
          <w:b/>
          <w:sz w:val="28"/>
          <w:szCs w:val="28"/>
        </w:rPr>
        <w:t>.</w:t>
      </w:r>
      <w:r w:rsidRPr="009052DB">
        <w:rPr>
          <w:rFonts w:ascii="Palatino Linotype" w:hAnsi="Palatino Linotype" w:cs="Arial"/>
          <w:b/>
          <w:sz w:val="28"/>
          <w:lang w:val="es-ES_tradnl"/>
        </w:rPr>
        <w:t xml:space="preserve"> </w:t>
      </w:r>
      <w:r w:rsidRPr="009052DB">
        <w:rPr>
          <w:rFonts w:ascii="Palatino Linotype" w:hAnsi="Palatino Linotype" w:cs="Arial"/>
          <w:b/>
          <w:sz w:val="28"/>
          <w:szCs w:val="28"/>
        </w:rPr>
        <w:t>Del Cierre de Instrucción.</w:t>
      </w:r>
    </w:p>
    <w:p w:rsidR="002E4E38" w:rsidRPr="009052DB" w:rsidRDefault="002E4E38" w:rsidP="002E4E38">
      <w:pPr>
        <w:spacing w:after="0" w:line="360" w:lineRule="auto"/>
        <w:jc w:val="both"/>
        <w:rPr>
          <w:rFonts w:ascii="Palatino Linotype" w:hAnsi="Palatino Linotype" w:cs="Arial"/>
          <w:sz w:val="24"/>
          <w:szCs w:val="24"/>
        </w:rPr>
      </w:pPr>
      <w:r w:rsidRPr="009052DB">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9C1BBC" w:rsidRPr="009052DB">
        <w:rPr>
          <w:rFonts w:ascii="Palatino Linotype" w:hAnsi="Palatino Linotype" w:cs="Arial"/>
          <w:b/>
          <w:sz w:val="24"/>
          <w:szCs w:val="24"/>
        </w:rPr>
        <w:t>veintidós</w:t>
      </w:r>
      <w:r w:rsidRPr="009052DB">
        <w:rPr>
          <w:rFonts w:ascii="Palatino Linotype" w:hAnsi="Palatino Linotype" w:cs="Arial"/>
          <w:b/>
          <w:sz w:val="24"/>
          <w:szCs w:val="24"/>
        </w:rPr>
        <w:t xml:space="preserve"> de abril de dos mil veintiséis</w:t>
      </w:r>
      <w:r w:rsidRPr="009052DB">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rsidR="002E4E38" w:rsidRPr="009052DB" w:rsidRDefault="002E4E38" w:rsidP="002E4E38">
      <w:pPr>
        <w:spacing w:line="360" w:lineRule="auto"/>
        <w:jc w:val="both"/>
        <w:rPr>
          <w:rFonts w:ascii="Palatino Linotype" w:hAnsi="Palatino Linotype" w:cs="Arial"/>
          <w:sz w:val="24"/>
        </w:rPr>
      </w:pPr>
    </w:p>
    <w:p w:rsidR="002E4E38" w:rsidRPr="009052DB" w:rsidRDefault="002E4E38" w:rsidP="002E4E38">
      <w:pPr>
        <w:spacing w:after="0" w:line="360" w:lineRule="auto"/>
        <w:jc w:val="both"/>
        <w:rPr>
          <w:rFonts w:ascii="Palatino Linotype" w:eastAsia="Palatino Linotype" w:hAnsi="Palatino Linotype" w:cs="Palatino Linotype"/>
          <w:sz w:val="24"/>
          <w:szCs w:val="24"/>
        </w:rPr>
      </w:pPr>
    </w:p>
    <w:p w:rsidR="002E4E38" w:rsidRPr="009052DB" w:rsidRDefault="002E4E38" w:rsidP="002E4E38">
      <w:pPr>
        <w:spacing w:after="0" w:line="360" w:lineRule="auto"/>
        <w:jc w:val="center"/>
        <w:rPr>
          <w:rFonts w:ascii="Palatino Linotype" w:eastAsia="Palatino Linotype" w:hAnsi="Palatino Linotype" w:cs="Palatino Linotype"/>
          <w:sz w:val="24"/>
          <w:szCs w:val="24"/>
        </w:rPr>
      </w:pPr>
      <w:r w:rsidRPr="009052DB">
        <w:rPr>
          <w:rFonts w:ascii="Palatino Linotype" w:eastAsia="Palatino Linotype" w:hAnsi="Palatino Linotype" w:cs="Palatino Linotype"/>
          <w:b/>
          <w:sz w:val="28"/>
          <w:szCs w:val="28"/>
        </w:rPr>
        <w:t xml:space="preserve">C O N S I D E R A N D O </w:t>
      </w:r>
    </w:p>
    <w:p w:rsidR="002E4E38" w:rsidRPr="009052DB" w:rsidRDefault="002E4E38" w:rsidP="002E4E38">
      <w:pPr>
        <w:spacing w:after="0" w:line="360" w:lineRule="auto"/>
        <w:jc w:val="both"/>
        <w:rPr>
          <w:rFonts w:ascii="Palatino Linotype" w:eastAsia="Palatino Linotype" w:hAnsi="Palatino Linotype" w:cs="Palatino Linotype"/>
          <w:sz w:val="24"/>
          <w:szCs w:val="24"/>
        </w:rPr>
      </w:pPr>
    </w:p>
    <w:p w:rsidR="002E4E38" w:rsidRPr="009052DB" w:rsidRDefault="002E4E38" w:rsidP="002E4E38">
      <w:pPr>
        <w:spacing w:after="0" w:line="360" w:lineRule="auto"/>
        <w:jc w:val="both"/>
        <w:rPr>
          <w:rFonts w:ascii="Palatino Linotype" w:eastAsia="Palatino Linotype" w:hAnsi="Palatino Linotype" w:cs="Palatino Linotype"/>
          <w:sz w:val="28"/>
          <w:szCs w:val="24"/>
        </w:rPr>
      </w:pPr>
      <w:r w:rsidRPr="009052DB">
        <w:rPr>
          <w:rFonts w:ascii="Palatino Linotype" w:eastAsia="Palatino Linotype" w:hAnsi="Palatino Linotype" w:cs="Palatino Linotype"/>
          <w:b/>
          <w:sz w:val="28"/>
          <w:szCs w:val="24"/>
        </w:rPr>
        <w:t>PRIMERO. De la competencia</w:t>
      </w:r>
      <w:r w:rsidRPr="009052DB">
        <w:rPr>
          <w:rFonts w:ascii="Palatino Linotype" w:eastAsia="Palatino Linotype" w:hAnsi="Palatino Linotype" w:cs="Palatino Linotype"/>
          <w:sz w:val="28"/>
          <w:szCs w:val="24"/>
        </w:rPr>
        <w:t>.</w:t>
      </w:r>
    </w:p>
    <w:p w:rsidR="002E4E38" w:rsidRPr="009052DB" w:rsidRDefault="002E4E38" w:rsidP="002E4E38">
      <w:pPr>
        <w:spacing w:after="0" w:line="360" w:lineRule="auto"/>
        <w:jc w:val="both"/>
        <w:rPr>
          <w:rFonts w:ascii="Palatino Linotype" w:hAnsi="Palatino Linotype"/>
          <w:sz w:val="24"/>
          <w:szCs w:val="24"/>
          <w:lang w:val="es-ES"/>
        </w:rPr>
      </w:pPr>
      <w:r w:rsidRPr="009052DB">
        <w:rPr>
          <w:rFonts w:ascii="Palatino Linotype" w:hAnsi="Palatino Linotype"/>
          <w:sz w:val="24"/>
          <w:szCs w:val="24"/>
          <w:lang w:val="es-ES"/>
        </w:rPr>
        <w:t xml:space="preserve">Este Instituto de Transparencia, Acceso a la Información Pública y Protección de Datos Personales del Estado de México y Municipios es competente para conocer y resolver </w:t>
      </w:r>
      <w:r w:rsidRPr="009052DB">
        <w:rPr>
          <w:rFonts w:ascii="Palatino Linotype" w:hAnsi="Palatino Linotype"/>
          <w:sz w:val="24"/>
          <w:szCs w:val="24"/>
          <w:lang w:val="es-ES"/>
        </w:rPr>
        <w:lastRenderedPageBreak/>
        <w:t>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2E4E38" w:rsidRPr="009052DB" w:rsidRDefault="002E4E38" w:rsidP="002E4E38">
      <w:pPr>
        <w:spacing w:after="0" w:line="360" w:lineRule="auto"/>
        <w:jc w:val="both"/>
        <w:rPr>
          <w:rFonts w:ascii="Palatino Linotype" w:eastAsia="Palatino Linotype" w:hAnsi="Palatino Linotype" w:cs="Palatino Linotype"/>
          <w:sz w:val="24"/>
          <w:szCs w:val="24"/>
        </w:rPr>
      </w:pPr>
    </w:p>
    <w:p w:rsidR="002E4E38" w:rsidRPr="009052DB" w:rsidRDefault="002E4E38" w:rsidP="002E4E38">
      <w:pPr>
        <w:pStyle w:val="Prrafodelista"/>
        <w:autoSpaceDE w:val="0"/>
        <w:autoSpaceDN w:val="0"/>
        <w:adjustRightInd w:val="0"/>
        <w:spacing w:line="360" w:lineRule="auto"/>
        <w:ind w:left="0"/>
        <w:jc w:val="both"/>
        <w:rPr>
          <w:rFonts w:ascii="Palatino Linotype" w:hAnsi="Palatino Linotype" w:cs="Arial"/>
          <w:b/>
        </w:rPr>
      </w:pPr>
      <w:r w:rsidRPr="009052DB">
        <w:rPr>
          <w:rFonts w:ascii="Palatino Linotype" w:hAnsi="Palatino Linotype" w:cs="Arial"/>
          <w:b/>
          <w:sz w:val="28"/>
        </w:rPr>
        <w:t>SEGUNDO</w:t>
      </w:r>
      <w:r w:rsidRPr="009052DB">
        <w:rPr>
          <w:rFonts w:ascii="Palatino Linotype" w:hAnsi="Palatino Linotype" w:cs="Arial"/>
          <w:b/>
        </w:rPr>
        <w:t xml:space="preserve">. </w:t>
      </w:r>
      <w:r w:rsidRPr="009052DB">
        <w:rPr>
          <w:rFonts w:ascii="Palatino Linotype" w:hAnsi="Palatino Linotype" w:cs="Arial"/>
          <w:b/>
          <w:sz w:val="28"/>
          <w:szCs w:val="28"/>
        </w:rPr>
        <w:t>Sobre los alcances del recurso de revisión.</w:t>
      </w:r>
      <w:r w:rsidRPr="009052DB">
        <w:rPr>
          <w:rFonts w:ascii="Palatino Linotype" w:hAnsi="Palatino Linotype" w:cs="Arial"/>
          <w:b/>
        </w:rPr>
        <w:t xml:space="preserve"> </w:t>
      </w:r>
    </w:p>
    <w:p w:rsidR="002E4E38" w:rsidRPr="009052DB" w:rsidRDefault="002E4E38" w:rsidP="002E4E38">
      <w:pPr>
        <w:autoSpaceDE w:val="0"/>
        <w:autoSpaceDN w:val="0"/>
        <w:adjustRightInd w:val="0"/>
        <w:spacing w:after="0" w:line="360" w:lineRule="auto"/>
        <w:jc w:val="both"/>
        <w:rPr>
          <w:rFonts w:ascii="Palatino Linotype" w:hAnsi="Palatino Linotype" w:cs="Arial"/>
          <w:sz w:val="24"/>
          <w:szCs w:val="24"/>
        </w:rPr>
      </w:pPr>
      <w:r w:rsidRPr="009052DB">
        <w:rPr>
          <w:rFonts w:ascii="Palatino Linotype" w:hAnsi="Palatino Linotype" w:cs="Arial"/>
          <w:sz w:val="24"/>
          <w:szCs w:val="24"/>
        </w:rPr>
        <w:t>Anterior a todo debe destacarse que el recurso de revisión tiene el fin y alcance que señalan los numerales 176, 179 fracción V,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rsidR="002E4E38" w:rsidRPr="009052DB" w:rsidRDefault="002E4E38" w:rsidP="002E4E38">
      <w:pPr>
        <w:autoSpaceDE w:val="0"/>
        <w:autoSpaceDN w:val="0"/>
        <w:adjustRightInd w:val="0"/>
        <w:spacing w:after="0" w:line="360" w:lineRule="auto"/>
        <w:jc w:val="both"/>
        <w:rPr>
          <w:rFonts w:ascii="Palatino Linotype" w:hAnsi="Palatino Linotype" w:cs="Arial"/>
          <w:sz w:val="24"/>
          <w:szCs w:val="24"/>
        </w:rPr>
      </w:pPr>
    </w:p>
    <w:p w:rsidR="002E4E38" w:rsidRPr="009052DB" w:rsidRDefault="002E4E38" w:rsidP="002E4E38">
      <w:pPr>
        <w:autoSpaceDE w:val="0"/>
        <w:autoSpaceDN w:val="0"/>
        <w:adjustRightInd w:val="0"/>
        <w:spacing w:after="0" w:line="360" w:lineRule="auto"/>
        <w:jc w:val="both"/>
        <w:rPr>
          <w:rFonts w:ascii="Palatino Linotype" w:hAnsi="Palatino Linotype" w:cs="Arial"/>
          <w:sz w:val="24"/>
          <w:szCs w:val="24"/>
        </w:rPr>
      </w:pPr>
      <w:r w:rsidRPr="009052DB">
        <w:rPr>
          <w:rFonts w:ascii="Palatino Linotype" w:hAnsi="Palatino Linotype" w:cs="Arial"/>
          <w:sz w:val="24"/>
          <w:szCs w:val="24"/>
        </w:rPr>
        <w:t>Es de precisar que la Ley de Transparencia y Acceso a la Información Pública del Estado de México y Municipios, describe el mecanismo de procedencia de los recursos de revisión, en ese sentido en su artículo 163 se indica lo siguiente:</w:t>
      </w:r>
    </w:p>
    <w:p w:rsidR="002E4E38" w:rsidRPr="009052DB" w:rsidRDefault="002E4E38" w:rsidP="002E4E38">
      <w:pPr>
        <w:autoSpaceDE w:val="0"/>
        <w:autoSpaceDN w:val="0"/>
        <w:adjustRightInd w:val="0"/>
        <w:spacing w:after="0" w:line="360" w:lineRule="auto"/>
        <w:jc w:val="both"/>
        <w:rPr>
          <w:rFonts w:ascii="Palatino Linotype" w:hAnsi="Palatino Linotype" w:cs="Arial"/>
          <w:sz w:val="24"/>
          <w:szCs w:val="24"/>
        </w:rPr>
      </w:pPr>
    </w:p>
    <w:p w:rsidR="002E4E38" w:rsidRPr="009052DB" w:rsidRDefault="002E4E38" w:rsidP="002E4E38">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9052DB">
        <w:rPr>
          <w:rFonts w:ascii="Palatino Linotype" w:eastAsia="Times New Roman" w:hAnsi="Palatino Linotype" w:cs="Arial"/>
          <w:i/>
          <w:lang w:val="es-ES" w:eastAsia="es-ES"/>
        </w:rPr>
        <w:t>“</w:t>
      </w:r>
      <w:r w:rsidRPr="009052DB">
        <w:rPr>
          <w:rFonts w:ascii="Palatino Linotype" w:eastAsia="Times New Roman" w:hAnsi="Palatino Linotype" w:cs="Arial"/>
          <w:b/>
          <w:i/>
          <w:lang w:val="es-ES" w:eastAsia="es-ES"/>
        </w:rPr>
        <w:t>Artículo 163.</w:t>
      </w:r>
      <w:r w:rsidRPr="009052DB">
        <w:rPr>
          <w:rFonts w:ascii="Palatino Linotype" w:eastAsia="Times New Roman" w:hAnsi="Palatino Linotype" w:cs="Arial"/>
          <w:i/>
          <w:lang w:val="es-ES" w:eastAsia="es-ES"/>
        </w:rPr>
        <w:t xml:space="preserve"> </w:t>
      </w:r>
      <w:r w:rsidRPr="009052DB">
        <w:rPr>
          <w:rFonts w:ascii="Palatino Linotype" w:eastAsia="Times New Roman" w:hAnsi="Palatino Linotype" w:cs="Arial"/>
          <w:i/>
          <w:u w:val="single"/>
          <w:lang w:val="es-ES" w:eastAsia="es-ES"/>
        </w:rPr>
        <w:t>La Unidad de Transparencia deberá notificar la respuesta a la solicitud al interesado en el menor tiempo posible, que no podrá exceder de quince días hábiles, contados a partir del día siguiente a la presentación de aquélla.</w:t>
      </w:r>
    </w:p>
    <w:p w:rsidR="002E4E38" w:rsidRPr="009052DB" w:rsidRDefault="002E4E38" w:rsidP="002E4E38">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9052DB">
        <w:rPr>
          <w:rFonts w:ascii="Palatino Linotype" w:eastAsia="Times New Roman" w:hAnsi="Palatino Linotype" w:cs="Arial"/>
          <w:i/>
          <w:lang w:val="es-ES" w:eastAsia="es-ES"/>
        </w:rPr>
        <w:lastRenderedPageBreak/>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rsidR="002E4E38" w:rsidRPr="009052DB" w:rsidRDefault="002E4E38" w:rsidP="002E4E38">
      <w:pPr>
        <w:autoSpaceDE w:val="0"/>
        <w:autoSpaceDN w:val="0"/>
        <w:adjustRightInd w:val="0"/>
        <w:spacing w:after="0" w:line="240" w:lineRule="auto"/>
        <w:ind w:left="567" w:right="567"/>
        <w:jc w:val="right"/>
        <w:rPr>
          <w:rFonts w:ascii="Palatino Linotype" w:eastAsia="Times New Roman" w:hAnsi="Palatino Linotype" w:cs="Arial"/>
          <w:lang w:val="es-ES" w:eastAsia="es-ES"/>
        </w:rPr>
      </w:pPr>
      <w:r w:rsidRPr="009052DB">
        <w:rPr>
          <w:rFonts w:ascii="Palatino Linotype" w:eastAsia="Times New Roman" w:hAnsi="Palatino Linotype" w:cs="Arial"/>
          <w:lang w:val="es-ES" w:eastAsia="es-ES"/>
        </w:rPr>
        <w:t>(Énfasis añadido)</w:t>
      </w:r>
    </w:p>
    <w:p w:rsidR="002E4E38" w:rsidRPr="009052DB" w:rsidRDefault="002E4E38" w:rsidP="002E4E38">
      <w:pPr>
        <w:autoSpaceDE w:val="0"/>
        <w:autoSpaceDN w:val="0"/>
        <w:adjustRightInd w:val="0"/>
        <w:spacing w:after="0" w:line="360" w:lineRule="auto"/>
        <w:jc w:val="both"/>
        <w:rPr>
          <w:rFonts w:ascii="Palatino Linotype" w:hAnsi="Palatino Linotype" w:cs="Arial"/>
          <w:sz w:val="24"/>
          <w:szCs w:val="24"/>
        </w:rPr>
      </w:pPr>
    </w:p>
    <w:p w:rsidR="002E4E38" w:rsidRPr="009052DB" w:rsidRDefault="002E4E38" w:rsidP="002E4E38">
      <w:pPr>
        <w:autoSpaceDE w:val="0"/>
        <w:autoSpaceDN w:val="0"/>
        <w:adjustRightInd w:val="0"/>
        <w:spacing w:after="0" w:line="360" w:lineRule="auto"/>
        <w:jc w:val="both"/>
        <w:rPr>
          <w:rFonts w:ascii="Palatino Linotype" w:hAnsi="Palatino Linotype" w:cs="Arial"/>
          <w:sz w:val="24"/>
          <w:szCs w:val="24"/>
        </w:rPr>
      </w:pPr>
      <w:r w:rsidRPr="009052DB">
        <w:rPr>
          <w:rFonts w:ascii="Palatino Linotype" w:hAnsi="Palatino Linotype" w:cs="Arial"/>
          <w:sz w:val="24"/>
          <w:szCs w:val="24"/>
        </w:rPr>
        <w:t xml:space="preserve">De la interpretación al precepto legal inserto, se advierte que el plazo que les asiste a los </w:t>
      </w:r>
      <w:r w:rsidRPr="009052DB">
        <w:rPr>
          <w:rFonts w:ascii="Palatino Linotype" w:hAnsi="Palatino Linotype" w:cs="Arial"/>
          <w:b/>
          <w:sz w:val="24"/>
          <w:szCs w:val="24"/>
        </w:rPr>
        <w:t>sujetos</w:t>
      </w:r>
      <w:r w:rsidRPr="009052DB">
        <w:rPr>
          <w:rFonts w:ascii="Palatino Linotype" w:hAnsi="Palatino Linotype" w:cs="Arial"/>
          <w:sz w:val="24"/>
          <w:szCs w:val="24"/>
        </w:rPr>
        <w:t xml:space="preserve"> </w:t>
      </w:r>
      <w:r w:rsidRPr="009052DB">
        <w:rPr>
          <w:rFonts w:ascii="Palatino Linotype" w:hAnsi="Palatino Linotype" w:cs="Arial"/>
          <w:b/>
          <w:sz w:val="24"/>
          <w:szCs w:val="24"/>
        </w:rPr>
        <w:t>obligados</w:t>
      </w:r>
      <w:r w:rsidRPr="009052DB">
        <w:rPr>
          <w:rFonts w:ascii="Palatino Linotype" w:hAnsi="Palatino Linotype" w:cs="Arial"/>
          <w:sz w:val="24"/>
          <w:szCs w:val="24"/>
        </w:rPr>
        <w:t xml:space="preserve"> para notificar la respuesta a una solicitud de información pública, es de quince días hábiles posteriores a la presentación de ésta. 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w:t>
      </w:r>
    </w:p>
    <w:p w:rsidR="002E4E38" w:rsidRPr="009052DB" w:rsidRDefault="002E4E38" w:rsidP="002E4E38">
      <w:pPr>
        <w:autoSpaceDE w:val="0"/>
        <w:autoSpaceDN w:val="0"/>
        <w:adjustRightInd w:val="0"/>
        <w:spacing w:after="0" w:line="360" w:lineRule="auto"/>
        <w:jc w:val="both"/>
        <w:rPr>
          <w:rFonts w:ascii="Palatino Linotype" w:hAnsi="Palatino Linotype" w:cs="Arial"/>
          <w:sz w:val="24"/>
          <w:szCs w:val="24"/>
        </w:rPr>
      </w:pPr>
    </w:p>
    <w:p w:rsidR="002E4E38" w:rsidRPr="009052DB" w:rsidRDefault="002E4E38" w:rsidP="002E4E38">
      <w:pPr>
        <w:autoSpaceDE w:val="0"/>
        <w:autoSpaceDN w:val="0"/>
        <w:adjustRightInd w:val="0"/>
        <w:spacing w:after="0" w:line="360" w:lineRule="auto"/>
        <w:jc w:val="both"/>
        <w:rPr>
          <w:rFonts w:ascii="Palatino Linotype" w:hAnsi="Palatino Linotype" w:cs="Arial"/>
          <w:sz w:val="24"/>
          <w:szCs w:val="24"/>
        </w:rPr>
      </w:pPr>
      <w:r w:rsidRPr="009052DB">
        <w:rPr>
          <w:rFonts w:ascii="Palatino Linotype" w:hAnsi="Palatino Linotype" w:cs="Arial"/>
          <w:sz w:val="24"/>
          <w:szCs w:val="24"/>
        </w:rPr>
        <w:t xml:space="preserve">Se constituye la figura jurídica de la </w:t>
      </w:r>
      <w:r w:rsidRPr="009052DB">
        <w:rPr>
          <w:rFonts w:ascii="Palatino Linotype" w:hAnsi="Palatino Linotype" w:cs="Arial"/>
          <w:b/>
          <w:i/>
          <w:sz w:val="24"/>
          <w:szCs w:val="24"/>
        </w:rPr>
        <w:t>NEGATIVA FICTA</w:t>
      </w:r>
      <w:r w:rsidRPr="009052DB">
        <w:rPr>
          <w:rFonts w:ascii="Palatino Linotype" w:hAnsi="Palatino Linotype" w:cs="Arial"/>
          <w:sz w:val="24"/>
          <w:szCs w:val="24"/>
        </w:rPr>
        <w:t>, cuya esencia consiste en atribuir un efecto negativo al silencio de la autoridad administrativa frente a las instancias y solicitudes que hagan los particulares. Por su parte el artículo 178 de la Ley de Transparencia y Acceso a la Información Pública del Estado de México y Municipios, establece:</w:t>
      </w:r>
    </w:p>
    <w:p w:rsidR="002E4E38" w:rsidRPr="009052DB" w:rsidRDefault="002E4E38" w:rsidP="002E4E38">
      <w:pPr>
        <w:spacing w:after="0" w:line="240" w:lineRule="auto"/>
        <w:rPr>
          <w:rFonts w:ascii="Palatino Linotype" w:hAnsi="Palatino Linotype"/>
        </w:rPr>
      </w:pPr>
    </w:p>
    <w:p w:rsidR="002E4E38" w:rsidRPr="009052DB" w:rsidRDefault="002E4E38" w:rsidP="002E4E38">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9052DB">
        <w:rPr>
          <w:rFonts w:ascii="Palatino Linotype" w:eastAsia="Times New Roman" w:hAnsi="Palatino Linotype" w:cs="Arial"/>
          <w:i/>
          <w:lang w:val="es-ES" w:eastAsia="es-ES"/>
        </w:rPr>
        <w:t>“</w:t>
      </w:r>
      <w:r w:rsidRPr="009052DB">
        <w:rPr>
          <w:rFonts w:ascii="Palatino Linotype" w:eastAsia="Times New Roman" w:hAnsi="Palatino Linotype" w:cs="Arial"/>
          <w:b/>
          <w:i/>
          <w:lang w:val="es-ES" w:eastAsia="es-ES"/>
        </w:rPr>
        <w:t>Artículo 178.</w:t>
      </w:r>
      <w:r w:rsidRPr="009052DB">
        <w:rPr>
          <w:rFonts w:ascii="Palatino Linotype" w:eastAsia="Times New Roman" w:hAnsi="Palatino Linotype" w:cs="Arial"/>
          <w:i/>
          <w:lang w:val="es-ES" w:eastAsia="es-ES"/>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rsidR="002E4E38" w:rsidRPr="009052DB" w:rsidRDefault="002E4E38" w:rsidP="002E4E38">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p>
    <w:p w:rsidR="002E4E38" w:rsidRPr="009052DB" w:rsidRDefault="002E4E38" w:rsidP="002E4E38">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9052DB">
        <w:rPr>
          <w:rFonts w:ascii="Palatino Linotype" w:eastAsia="Times New Roman" w:hAnsi="Palatino Linotype" w:cs="Arial"/>
          <w:b/>
          <w:i/>
          <w:lang w:val="es-ES" w:eastAsia="es-ES"/>
        </w:rPr>
        <w:t>A falta de respuesta del Sujeto Obligado, dentro de los plazos establecidos en esta Ley, a una solicitud de acceso a la información pública, el recurso podrá ser interpuesto en cualquier momento</w:t>
      </w:r>
      <w:r w:rsidRPr="009052DB">
        <w:rPr>
          <w:rFonts w:ascii="Palatino Linotype" w:eastAsia="Times New Roman" w:hAnsi="Palatino Linotype" w:cs="Arial"/>
          <w:i/>
          <w:lang w:val="es-ES" w:eastAsia="es-ES"/>
        </w:rPr>
        <w:t>, acompañado con el documento que pruebe la fecha en que presentó la solicitud.</w:t>
      </w:r>
    </w:p>
    <w:p w:rsidR="002E4E38" w:rsidRPr="009052DB" w:rsidRDefault="002E4E38" w:rsidP="002E4E38">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p>
    <w:p w:rsidR="002E4E38" w:rsidRPr="009052DB" w:rsidRDefault="002E4E38" w:rsidP="002E4E38">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9052DB">
        <w:rPr>
          <w:rFonts w:ascii="Palatino Linotype" w:eastAsia="Times New Roman" w:hAnsi="Palatino Linotype" w:cs="Arial"/>
          <w:i/>
          <w:lang w:val="es-ES" w:eastAsia="es-ES"/>
        </w:rPr>
        <w:t>En el caso de que se interponga ante la Unidad de Transparencia, ésta deberá remitir el recurso de revisión al Instituto a más tardar al día siguiente de haberlo recibido.”</w:t>
      </w:r>
    </w:p>
    <w:p w:rsidR="002E4E38" w:rsidRPr="009052DB" w:rsidRDefault="002E4E38" w:rsidP="002E4E38">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p>
    <w:p w:rsidR="002E4E38" w:rsidRPr="009052DB" w:rsidRDefault="002E4E38" w:rsidP="002E4E38">
      <w:pPr>
        <w:autoSpaceDE w:val="0"/>
        <w:autoSpaceDN w:val="0"/>
        <w:adjustRightInd w:val="0"/>
        <w:spacing w:after="0" w:line="240" w:lineRule="auto"/>
        <w:ind w:left="567" w:right="567"/>
        <w:jc w:val="right"/>
        <w:rPr>
          <w:rFonts w:ascii="Palatino Linotype" w:eastAsia="Times New Roman" w:hAnsi="Palatino Linotype" w:cs="Arial"/>
          <w:lang w:val="es-ES" w:eastAsia="es-ES"/>
        </w:rPr>
      </w:pPr>
      <w:r w:rsidRPr="009052DB">
        <w:rPr>
          <w:rFonts w:ascii="Palatino Linotype" w:eastAsia="Times New Roman" w:hAnsi="Palatino Linotype" w:cs="Arial"/>
          <w:lang w:val="es-ES" w:eastAsia="es-ES"/>
        </w:rPr>
        <w:t>(Énfasis añadido)</w:t>
      </w:r>
    </w:p>
    <w:p w:rsidR="002E4E38" w:rsidRPr="009052DB" w:rsidRDefault="002E4E38" w:rsidP="002E4E38">
      <w:pPr>
        <w:autoSpaceDE w:val="0"/>
        <w:autoSpaceDN w:val="0"/>
        <w:adjustRightInd w:val="0"/>
        <w:spacing w:after="0" w:line="360" w:lineRule="auto"/>
        <w:jc w:val="both"/>
        <w:rPr>
          <w:rFonts w:ascii="Palatino Linotype" w:hAnsi="Palatino Linotype" w:cs="Arial"/>
          <w:sz w:val="24"/>
          <w:szCs w:val="24"/>
        </w:rPr>
      </w:pPr>
    </w:p>
    <w:p w:rsidR="002E4E38" w:rsidRPr="009052DB" w:rsidRDefault="002E4E38" w:rsidP="002E4E38">
      <w:pPr>
        <w:autoSpaceDE w:val="0"/>
        <w:autoSpaceDN w:val="0"/>
        <w:adjustRightInd w:val="0"/>
        <w:spacing w:after="0" w:line="360" w:lineRule="auto"/>
        <w:jc w:val="both"/>
        <w:rPr>
          <w:rFonts w:ascii="Palatino Linotype" w:hAnsi="Palatino Linotype" w:cs="Arial"/>
          <w:sz w:val="24"/>
          <w:szCs w:val="24"/>
        </w:rPr>
      </w:pPr>
      <w:r w:rsidRPr="009052DB">
        <w:rPr>
          <w:rFonts w:ascii="Palatino Linotype" w:hAnsi="Palatino Linotype" w:cs="Arial"/>
          <w:sz w:val="24"/>
          <w:szCs w:val="24"/>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al no existir respuesta a la solicitud de información por parte del </w:t>
      </w:r>
      <w:r w:rsidRPr="009052DB">
        <w:rPr>
          <w:rFonts w:ascii="Palatino Linotype" w:hAnsi="Palatino Linotype" w:cs="Arial"/>
          <w:b/>
          <w:sz w:val="24"/>
          <w:szCs w:val="24"/>
        </w:rPr>
        <w:t>Sujeto Obligado</w:t>
      </w:r>
      <w:r w:rsidRPr="009052DB">
        <w:rPr>
          <w:rFonts w:ascii="Palatino Linotype" w:hAnsi="Palatino Linotype" w:cs="Arial"/>
          <w:sz w:val="24"/>
          <w:szCs w:val="24"/>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rsidR="002E4E38" w:rsidRPr="009052DB" w:rsidRDefault="002E4E38" w:rsidP="002E4E38">
      <w:pPr>
        <w:pStyle w:val="Prrafodelista"/>
        <w:autoSpaceDE w:val="0"/>
        <w:autoSpaceDN w:val="0"/>
        <w:adjustRightInd w:val="0"/>
        <w:spacing w:line="360" w:lineRule="auto"/>
        <w:ind w:left="0"/>
        <w:jc w:val="both"/>
        <w:rPr>
          <w:rFonts w:ascii="Palatino Linotype" w:hAnsi="Palatino Linotype" w:cs="Arial"/>
          <w:b/>
        </w:rPr>
      </w:pPr>
    </w:p>
    <w:p w:rsidR="002E4E38" w:rsidRPr="009052DB" w:rsidRDefault="002E4E38" w:rsidP="002E4E38">
      <w:pPr>
        <w:spacing w:after="0" w:line="360" w:lineRule="auto"/>
        <w:ind w:right="49"/>
        <w:jc w:val="both"/>
        <w:rPr>
          <w:rFonts w:ascii="Palatino Linotype" w:eastAsia="Times New Roman" w:hAnsi="Palatino Linotype" w:cs="Arial"/>
          <w:b/>
          <w:sz w:val="28"/>
          <w:szCs w:val="28"/>
          <w:lang w:val="es-ES" w:eastAsia="es-ES"/>
        </w:rPr>
      </w:pPr>
      <w:r w:rsidRPr="009052DB">
        <w:rPr>
          <w:rFonts w:ascii="Palatino Linotype" w:eastAsia="Times New Roman" w:hAnsi="Palatino Linotype" w:cs="Arial"/>
          <w:b/>
          <w:sz w:val="28"/>
          <w:szCs w:val="28"/>
          <w:lang w:val="es-ES" w:eastAsia="es-ES"/>
        </w:rPr>
        <w:t>TERCERO.</w:t>
      </w:r>
      <w:r w:rsidRPr="009052DB">
        <w:rPr>
          <w:rFonts w:ascii="Palatino Linotype" w:eastAsia="Times New Roman" w:hAnsi="Palatino Linotype" w:cs="Arial"/>
          <w:sz w:val="28"/>
          <w:szCs w:val="28"/>
          <w:lang w:val="es-ES" w:eastAsia="es-ES"/>
        </w:rPr>
        <w:t xml:space="preserve"> </w:t>
      </w:r>
      <w:r w:rsidRPr="009052DB">
        <w:rPr>
          <w:rFonts w:ascii="Palatino Linotype" w:eastAsia="Times New Roman" w:hAnsi="Palatino Linotype" w:cs="Arial"/>
          <w:b/>
          <w:sz w:val="28"/>
          <w:szCs w:val="28"/>
          <w:lang w:val="es-ES" w:eastAsia="es-ES"/>
        </w:rPr>
        <w:t xml:space="preserve">De las causas de improcedencia. </w:t>
      </w:r>
    </w:p>
    <w:p w:rsidR="002E4E38" w:rsidRPr="009052DB" w:rsidRDefault="002E4E38" w:rsidP="002E4E38">
      <w:pPr>
        <w:spacing w:after="0" w:line="360" w:lineRule="auto"/>
        <w:ind w:right="49"/>
        <w:jc w:val="both"/>
        <w:rPr>
          <w:rFonts w:ascii="Palatino Linotype" w:eastAsia="Times New Roman" w:hAnsi="Palatino Linotype" w:cs="Arial"/>
          <w:sz w:val="24"/>
          <w:szCs w:val="24"/>
          <w:lang w:val="es-ES" w:eastAsia="es-ES"/>
        </w:rPr>
      </w:pPr>
      <w:r w:rsidRPr="009052DB">
        <w:rPr>
          <w:rFonts w:ascii="Palatino Linotype" w:eastAsia="Times New Roman" w:hAnsi="Palatino Linotype" w:cs="Arial"/>
          <w:sz w:val="24"/>
          <w:szCs w:val="24"/>
          <w:lang w:val="es-ES" w:eastAsia="es-ES"/>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las circunstancias anteriores que no son incompatibles con el derecho de </w:t>
      </w:r>
      <w:r w:rsidRPr="009052DB">
        <w:rPr>
          <w:rFonts w:ascii="Palatino Linotype" w:eastAsia="Times New Roman" w:hAnsi="Palatino Linotype" w:cs="Arial"/>
          <w:sz w:val="24"/>
          <w:szCs w:val="24"/>
          <w:lang w:val="es-ES" w:eastAsia="es-ES"/>
        </w:rPr>
        <w:lastRenderedPageBreak/>
        <w:t>acceso a la justicia, ya que éste no se coarta por regular causas de improcedencia y sobreseimiento con tales fines</w:t>
      </w:r>
      <w:r w:rsidRPr="009052DB">
        <w:rPr>
          <w:rFonts w:ascii="Palatino Linotype" w:eastAsia="Times New Roman" w:hAnsi="Palatino Linotype" w:cs="Arial"/>
          <w:sz w:val="24"/>
          <w:szCs w:val="24"/>
          <w:vertAlign w:val="superscript"/>
          <w:lang w:val="es-ES" w:eastAsia="es-ES"/>
        </w:rPr>
        <w:footnoteReference w:id="1"/>
      </w:r>
      <w:r w:rsidRPr="009052DB">
        <w:rPr>
          <w:rFonts w:ascii="Palatino Linotype" w:eastAsia="Times New Roman" w:hAnsi="Palatino Linotype" w:cs="Arial"/>
          <w:sz w:val="24"/>
          <w:szCs w:val="24"/>
          <w:lang w:val="es-ES" w:eastAsia="es-ES"/>
        </w:rPr>
        <w:t>.</w:t>
      </w:r>
    </w:p>
    <w:p w:rsidR="002E4E38" w:rsidRPr="009052DB" w:rsidRDefault="002E4E38" w:rsidP="002E4E38">
      <w:pPr>
        <w:spacing w:after="0" w:line="360" w:lineRule="auto"/>
        <w:ind w:right="49"/>
        <w:jc w:val="both"/>
        <w:rPr>
          <w:rFonts w:ascii="Palatino Linotype" w:eastAsia="Times New Roman" w:hAnsi="Palatino Linotype" w:cs="Arial"/>
          <w:sz w:val="24"/>
          <w:szCs w:val="24"/>
          <w:lang w:val="es-ES" w:eastAsia="es-ES"/>
        </w:rPr>
      </w:pPr>
    </w:p>
    <w:p w:rsidR="002E4E38" w:rsidRPr="009052DB" w:rsidRDefault="002E4E38" w:rsidP="002E4E3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9052DB">
        <w:rPr>
          <w:rFonts w:ascii="Palatino Linotype" w:eastAsia="Times New Roman" w:hAnsi="Palatino Linotype" w:cs="Arial"/>
          <w:sz w:val="24"/>
          <w:szCs w:val="24"/>
          <w:lang w:val="es-ES" w:eastAsia="es-ES"/>
        </w:rPr>
        <w:t>Así las cosas, del análisis de los expedientes electrónicos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rsidR="002E4E38" w:rsidRPr="009052DB" w:rsidRDefault="002E4E38" w:rsidP="002E4E3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rsidR="002E4E38" w:rsidRPr="009052DB" w:rsidRDefault="002E4E38" w:rsidP="002E4E38">
      <w:pPr>
        <w:widowControl w:val="0"/>
        <w:autoSpaceDE w:val="0"/>
        <w:autoSpaceDN w:val="0"/>
        <w:adjustRightInd w:val="0"/>
        <w:spacing w:after="0" w:line="360" w:lineRule="auto"/>
        <w:jc w:val="both"/>
        <w:rPr>
          <w:rFonts w:ascii="Palatino Linotype" w:eastAsia="Times New Roman" w:hAnsi="Palatino Linotype" w:cs="Times New Roman"/>
          <w:b/>
          <w:sz w:val="28"/>
          <w:szCs w:val="28"/>
          <w:lang w:val="es-ES" w:eastAsia="es-ES"/>
        </w:rPr>
      </w:pPr>
      <w:r w:rsidRPr="009052DB">
        <w:rPr>
          <w:rFonts w:ascii="Palatino Linotype" w:eastAsia="Times New Roman" w:hAnsi="Palatino Linotype" w:cs="Arial"/>
          <w:b/>
          <w:sz w:val="28"/>
          <w:szCs w:val="28"/>
          <w:lang w:val="es-ES" w:eastAsia="es-ES"/>
        </w:rPr>
        <w:t>CUARTO. Estudio y resolución del asunto</w:t>
      </w:r>
      <w:r w:rsidRPr="009052DB">
        <w:rPr>
          <w:rFonts w:ascii="Palatino Linotype" w:eastAsia="Times New Roman" w:hAnsi="Palatino Linotype" w:cs="Times New Roman"/>
          <w:b/>
          <w:sz w:val="28"/>
          <w:szCs w:val="28"/>
          <w:lang w:val="es-ES" w:eastAsia="es-ES"/>
        </w:rPr>
        <w:t xml:space="preserve">. </w:t>
      </w:r>
    </w:p>
    <w:p w:rsidR="002E4E38" w:rsidRPr="009052DB" w:rsidRDefault="002E4E38" w:rsidP="002E4E38">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rPr>
      </w:pPr>
      <w:r w:rsidRPr="009052DB">
        <w:rPr>
          <w:rFonts w:ascii="Palatino Linotype" w:eastAsia="Palatino Linotype" w:hAnsi="Palatino Linotype" w:cs="Palatino Linotype"/>
          <w:color w:val="000000"/>
          <w:sz w:val="24"/>
          <w:szCs w:val="24"/>
        </w:rPr>
        <w:t xml:space="preserve">El análisis y resolución del presente recurso, se funda en el contenido íntegro de las actuaciones que obran en el expediente electrónico, para así estar en posibilidad este </w:t>
      </w:r>
      <w:r w:rsidRPr="009052DB">
        <w:rPr>
          <w:rFonts w:ascii="Palatino Linotype" w:eastAsia="Palatino Linotype" w:hAnsi="Palatino Linotype" w:cs="Palatino Linotype"/>
          <w:color w:val="000000"/>
          <w:sz w:val="24"/>
          <w:szCs w:val="24"/>
        </w:rPr>
        <w:lastRenderedPageBreak/>
        <w:t>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2E4E38" w:rsidRPr="009052DB" w:rsidRDefault="002E4E38" w:rsidP="002E4E3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rsidR="002E4E38" w:rsidRPr="009052DB" w:rsidRDefault="002E4E38" w:rsidP="002E4E38">
      <w:pPr>
        <w:spacing w:after="0" w:line="360" w:lineRule="auto"/>
        <w:jc w:val="both"/>
        <w:rPr>
          <w:rFonts w:ascii="Palatino Linotype" w:eastAsia="Times New Roman" w:hAnsi="Palatino Linotype" w:cs="Arial"/>
          <w:sz w:val="24"/>
          <w:szCs w:val="24"/>
          <w:lang w:val="es-ES" w:eastAsia="es-ES"/>
        </w:rPr>
      </w:pPr>
      <w:r w:rsidRPr="009052DB">
        <w:rPr>
          <w:rFonts w:ascii="Palatino Linotype" w:eastAsia="Times New Roman" w:hAnsi="Palatino Linotype" w:cs="Arial"/>
          <w:sz w:val="24"/>
          <w:szCs w:val="24"/>
          <w:lang w:val="es-ES" w:eastAsia="es-ES"/>
        </w:rPr>
        <w:t xml:space="preserve">Ahora bien, de los requerimientos contenidos en la solicitud de información, se aprecia que objetivamente el </w:t>
      </w:r>
      <w:r w:rsidRPr="009052DB">
        <w:rPr>
          <w:rFonts w:ascii="Palatino Linotype" w:eastAsia="Times New Roman" w:hAnsi="Palatino Linotype" w:cs="Arial"/>
          <w:b/>
          <w:sz w:val="24"/>
          <w:szCs w:val="24"/>
          <w:lang w:val="es-ES" w:eastAsia="es-ES"/>
        </w:rPr>
        <w:t>Recurrente</w:t>
      </w:r>
      <w:r w:rsidRPr="009052DB">
        <w:rPr>
          <w:rFonts w:ascii="Palatino Linotype" w:eastAsia="Times New Roman" w:hAnsi="Palatino Linotype" w:cs="Arial"/>
          <w:sz w:val="24"/>
          <w:szCs w:val="24"/>
          <w:lang w:val="es-ES" w:eastAsia="es-ES"/>
        </w:rPr>
        <w:t xml:space="preserve"> peticiona le sea entregado por el sistema SAIMEX, lo siguiente:</w:t>
      </w:r>
    </w:p>
    <w:p w:rsidR="002E4E38" w:rsidRPr="009052DB" w:rsidRDefault="002E4E38" w:rsidP="002E4E38">
      <w:pPr>
        <w:spacing w:after="0" w:line="360" w:lineRule="auto"/>
        <w:jc w:val="both"/>
        <w:rPr>
          <w:rFonts w:ascii="Palatino Linotype" w:eastAsia="Times New Roman" w:hAnsi="Palatino Linotype" w:cs="Arial"/>
          <w:sz w:val="24"/>
          <w:szCs w:val="24"/>
          <w:lang w:val="es-ES" w:eastAsia="es-ES"/>
        </w:rPr>
      </w:pPr>
    </w:p>
    <w:p w:rsidR="002E4E38" w:rsidRPr="009052DB" w:rsidRDefault="009A63F9" w:rsidP="009A63F9">
      <w:pPr>
        <w:pStyle w:val="Prrafodelista"/>
        <w:numPr>
          <w:ilvl w:val="0"/>
          <w:numId w:val="5"/>
        </w:numPr>
        <w:spacing w:line="360" w:lineRule="auto"/>
        <w:ind w:left="426"/>
        <w:jc w:val="both"/>
        <w:rPr>
          <w:rFonts w:ascii="Palatino Linotype" w:hAnsi="Palatino Linotype" w:cs="Arial"/>
        </w:rPr>
      </w:pPr>
      <w:r w:rsidRPr="009052DB">
        <w:rPr>
          <w:rFonts w:ascii="Palatino Linotype" w:hAnsi="Palatino Linotype" w:cs="Arial"/>
        </w:rPr>
        <w:t>Cuántos contratos celebrados en 2025 presentan ampliaciones de monto o plazo, indicando contrato original, monto inicial, monto ampliado y motivo de la ampliación.</w:t>
      </w:r>
    </w:p>
    <w:p w:rsidR="002E4E38" w:rsidRPr="009052DB" w:rsidRDefault="002E4E38" w:rsidP="002E4E38">
      <w:pPr>
        <w:spacing w:after="0" w:line="360" w:lineRule="auto"/>
        <w:jc w:val="both"/>
        <w:rPr>
          <w:rFonts w:ascii="Palatino Linotype" w:eastAsia="Times New Roman" w:hAnsi="Palatino Linotype" w:cs="Arial"/>
          <w:sz w:val="24"/>
          <w:szCs w:val="24"/>
          <w:lang w:val="es-ES" w:eastAsia="es-ES"/>
        </w:rPr>
      </w:pPr>
    </w:p>
    <w:p w:rsidR="002E4E38" w:rsidRPr="009052DB" w:rsidRDefault="002E4E38" w:rsidP="002E4E38">
      <w:pPr>
        <w:pStyle w:val="INFOEM"/>
        <w:ind w:left="0" w:right="0"/>
        <w:rPr>
          <w:i w:val="0"/>
          <w:sz w:val="24"/>
        </w:rPr>
      </w:pPr>
      <w:r w:rsidRPr="009052DB">
        <w:rPr>
          <w:rFonts w:eastAsia="Palatino Linotype" w:cs="Palatino Linotype"/>
          <w:i w:val="0"/>
          <w:color w:val="000000"/>
          <w:sz w:val="24"/>
          <w:szCs w:val="24"/>
        </w:rPr>
        <w:t xml:space="preserve">Ante la falta respuesta por parte del </w:t>
      </w:r>
      <w:r w:rsidRPr="009052DB">
        <w:rPr>
          <w:rFonts w:eastAsia="Palatino Linotype" w:cs="Palatino Linotype"/>
          <w:b/>
          <w:i w:val="0"/>
          <w:color w:val="000000"/>
          <w:sz w:val="24"/>
          <w:szCs w:val="24"/>
        </w:rPr>
        <w:t>Sujeto Obligado</w:t>
      </w:r>
      <w:r w:rsidRPr="009052DB">
        <w:rPr>
          <w:rFonts w:eastAsia="Palatino Linotype" w:cs="Palatino Linotype"/>
          <w:i w:val="0"/>
          <w:color w:val="000000"/>
          <w:sz w:val="24"/>
          <w:szCs w:val="24"/>
        </w:rPr>
        <w:t xml:space="preserve">, el </w:t>
      </w:r>
      <w:r w:rsidRPr="009052DB">
        <w:rPr>
          <w:rFonts w:eastAsia="Palatino Linotype" w:cs="Palatino Linotype"/>
          <w:b/>
          <w:i w:val="0"/>
          <w:color w:val="000000"/>
          <w:sz w:val="24"/>
          <w:szCs w:val="24"/>
        </w:rPr>
        <w:t>Recurrente</w:t>
      </w:r>
      <w:r w:rsidRPr="009052DB">
        <w:rPr>
          <w:rFonts w:eastAsia="Palatino Linotype" w:cs="Palatino Linotype"/>
          <w:i w:val="0"/>
          <w:color w:val="000000"/>
          <w:sz w:val="24"/>
          <w:szCs w:val="24"/>
        </w:rPr>
        <w:t xml:space="preserve"> consideró que su derecho a la información pública había sido vulnerado, por lo que interpuso el recurso de revisión al rubro citado</w:t>
      </w:r>
      <w:r w:rsidRPr="009052DB">
        <w:rPr>
          <w:rFonts w:cs="Arial"/>
          <w:bCs/>
          <w:i w:val="0"/>
          <w:sz w:val="24"/>
        </w:rPr>
        <w:t>, señalando sustancialmente como sus razones o motivos de inconformidad, lo siguiente:</w:t>
      </w:r>
      <w:r w:rsidRPr="009052DB" w:rsidDel="00107C3B">
        <w:rPr>
          <w:b/>
          <w:i w:val="0"/>
          <w:sz w:val="24"/>
        </w:rPr>
        <w:t xml:space="preserve"> </w:t>
      </w:r>
      <w:r w:rsidRPr="009052DB">
        <w:rPr>
          <w:i w:val="0"/>
          <w:sz w:val="24"/>
        </w:rPr>
        <w:t>“</w:t>
      </w:r>
      <w:r w:rsidR="009A63F9" w:rsidRPr="009052DB">
        <w:rPr>
          <w:sz w:val="24"/>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w:t>
      </w:r>
      <w:r w:rsidR="009A63F9" w:rsidRPr="009052DB">
        <w:rPr>
          <w:sz w:val="24"/>
        </w:rPr>
        <w:lastRenderedPageBreak/>
        <w:t xml:space="preserve">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w:t>
      </w:r>
      <w:r w:rsidR="009A63F9" w:rsidRPr="009052DB">
        <w:rPr>
          <w:sz w:val="24"/>
        </w:rPr>
        <w:lastRenderedPageBreak/>
        <w:t>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9052DB">
        <w:rPr>
          <w:sz w:val="24"/>
        </w:rPr>
        <w:t>” (Sic)</w:t>
      </w:r>
      <w:r w:rsidRPr="009052DB">
        <w:rPr>
          <w:i w:val="0"/>
          <w:sz w:val="24"/>
        </w:rPr>
        <w:t xml:space="preserve">. </w:t>
      </w:r>
    </w:p>
    <w:p w:rsidR="002E4E38" w:rsidRPr="009052DB" w:rsidRDefault="002E4E38" w:rsidP="002E4E38">
      <w:pPr>
        <w:tabs>
          <w:tab w:val="left" w:pos="709"/>
        </w:tabs>
        <w:spacing w:line="360" w:lineRule="auto"/>
        <w:jc w:val="both"/>
        <w:rPr>
          <w:rFonts w:ascii="Palatino Linotype" w:hAnsi="Palatino Linotype" w:cs="Arial"/>
          <w:sz w:val="24"/>
        </w:rPr>
      </w:pPr>
    </w:p>
    <w:p w:rsidR="002E4E38" w:rsidRPr="009052DB" w:rsidRDefault="002E4E38" w:rsidP="002E4E38">
      <w:pPr>
        <w:tabs>
          <w:tab w:val="left" w:pos="709"/>
        </w:tabs>
        <w:spacing w:line="360" w:lineRule="auto"/>
        <w:jc w:val="both"/>
        <w:rPr>
          <w:rFonts w:ascii="Palatino Linotype" w:hAnsi="Palatino Linotype" w:cs="Arial"/>
          <w:sz w:val="24"/>
        </w:rPr>
      </w:pPr>
      <w:r w:rsidRPr="009052DB">
        <w:rPr>
          <w:rFonts w:ascii="Palatino Linotype" w:hAnsi="Palatino Linotype" w:cs="Arial"/>
          <w:sz w:val="24"/>
        </w:rPr>
        <w:t xml:space="preserve">Aunado a lo anterior, mediante informe justificado rendido por </w:t>
      </w:r>
      <w:r w:rsidRPr="009052DB">
        <w:rPr>
          <w:rFonts w:ascii="Palatino Linotype" w:hAnsi="Palatino Linotype" w:cs="Arial"/>
          <w:b/>
          <w:sz w:val="24"/>
        </w:rPr>
        <w:t>El Sujeto Obligado</w:t>
      </w:r>
      <w:r w:rsidRPr="009052DB">
        <w:rPr>
          <w:rFonts w:ascii="Palatino Linotype" w:hAnsi="Palatino Linotype" w:cs="Arial"/>
          <w:sz w:val="24"/>
        </w:rPr>
        <w:t xml:space="preserve">, se advierte que </w:t>
      </w:r>
      <w:r w:rsidRPr="009052DB">
        <w:rPr>
          <w:rFonts w:ascii="Palatino Linotype" w:hAnsi="Palatino Linotype" w:cs="Arial"/>
          <w:bCs/>
          <w:sz w:val="24"/>
        </w:rPr>
        <w:t>remitió a</w:t>
      </w:r>
      <w:r w:rsidRPr="009052DB">
        <w:rPr>
          <w:rFonts w:ascii="Palatino Linotype" w:hAnsi="Palatino Linotype" w:cs="Arial"/>
          <w:sz w:val="24"/>
        </w:rPr>
        <w:t xml:space="preserve"> través del Sistema de Acceso a la Información Mexiquense (</w:t>
      </w:r>
      <w:r w:rsidRPr="009052DB">
        <w:rPr>
          <w:rFonts w:ascii="Palatino Linotype" w:hAnsi="Palatino Linotype" w:cs="Arial"/>
          <w:b/>
          <w:sz w:val="24"/>
        </w:rPr>
        <w:t xml:space="preserve">SAIMEX), </w:t>
      </w:r>
      <w:r w:rsidRPr="009052DB">
        <w:rPr>
          <w:rFonts w:ascii="Palatino Linotype" w:hAnsi="Palatino Linotype" w:cs="Arial"/>
          <w:sz w:val="24"/>
        </w:rPr>
        <w:t>por medio de los archivos electrónicos siguientes:</w:t>
      </w:r>
    </w:p>
    <w:p w:rsidR="002E4E38" w:rsidRPr="009052DB" w:rsidRDefault="009A63F9" w:rsidP="009A63F9">
      <w:pPr>
        <w:pStyle w:val="Prrafodelista"/>
        <w:numPr>
          <w:ilvl w:val="0"/>
          <w:numId w:val="1"/>
        </w:numPr>
        <w:spacing w:line="360" w:lineRule="auto"/>
        <w:jc w:val="both"/>
        <w:rPr>
          <w:rFonts w:ascii="Palatino Linotype" w:hAnsi="Palatino Linotype" w:cs="Arial"/>
        </w:rPr>
      </w:pPr>
      <w:r w:rsidRPr="009052DB">
        <w:rPr>
          <w:rFonts w:ascii="Palatino Linotype" w:hAnsi="Palatino Linotype" w:cs="Arial"/>
          <w:b/>
          <w:i/>
        </w:rPr>
        <w:t>ADQ-032-2026_0001.pdf</w:t>
      </w:r>
      <w:r w:rsidR="002E4E38" w:rsidRPr="009052DB">
        <w:rPr>
          <w:rFonts w:ascii="Palatino Linotype" w:hAnsi="Palatino Linotype" w:cs="Arial"/>
        </w:rPr>
        <w:t xml:space="preserve">: oficio número </w:t>
      </w:r>
      <w:r w:rsidRPr="009052DB">
        <w:rPr>
          <w:rFonts w:ascii="Palatino Linotype" w:hAnsi="Palatino Linotype" w:cs="Arial"/>
        </w:rPr>
        <w:t>ADQ</w:t>
      </w:r>
      <w:r w:rsidR="002E4E38" w:rsidRPr="009052DB">
        <w:rPr>
          <w:rFonts w:ascii="Palatino Linotype" w:hAnsi="Palatino Linotype" w:cs="Arial"/>
        </w:rPr>
        <w:t>/</w:t>
      </w:r>
      <w:r w:rsidRPr="009052DB">
        <w:rPr>
          <w:rFonts w:ascii="Palatino Linotype" w:hAnsi="Palatino Linotype" w:cs="Arial"/>
        </w:rPr>
        <w:t>032</w:t>
      </w:r>
      <w:r w:rsidR="002E4E38" w:rsidRPr="009052DB">
        <w:rPr>
          <w:rFonts w:ascii="Palatino Linotype" w:hAnsi="Palatino Linotype" w:cs="Arial"/>
        </w:rPr>
        <w:t xml:space="preserve">/2026, firmado por </w:t>
      </w:r>
      <w:r w:rsidRPr="009052DB">
        <w:rPr>
          <w:rFonts w:ascii="Palatino Linotype" w:hAnsi="Palatino Linotype" w:cs="Arial"/>
        </w:rPr>
        <w:t>la Jefa de Adquisiciones</w:t>
      </w:r>
      <w:r w:rsidR="002E4E38" w:rsidRPr="009052DB">
        <w:rPr>
          <w:rFonts w:ascii="Palatino Linotype" w:hAnsi="Palatino Linotype" w:cs="Arial"/>
        </w:rPr>
        <w:t xml:space="preserve">, en </w:t>
      </w:r>
      <w:r w:rsidRPr="009052DB">
        <w:rPr>
          <w:rFonts w:ascii="Palatino Linotype" w:hAnsi="Palatino Linotype" w:cs="Arial"/>
        </w:rPr>
        <w:t>el refiere que se realizaron 19 ampliaciones</w:t>
      </w:r>
      <w:r w:rsidR="007E57D3" w:rsidRPr="009052DB">
        <w:rPr>
          <w:rFonts w:ascii="Palatino Linotype" w:hAnsi="Palatino Linotype" w:cs="Arial"/>
        </w:rPr>
        <w:t xml:space="preserve"> de contratos pedidos, el  monto de ampliación va de $1,000 como mínimo hasta $500,000 como máximo, más IVA. </w:t>
      </w:r>
      <w:r w:rsidR="002D6FC9" w:rsidRPr="009052DB">
        <w:rPr>
          <w:rFonts w:ascii="Palatino Linotype" w:hAnsi="Palatino Linotype" w:cs="Arial"/>
        </w:rPr>
        <w:t xml:space="preserve">El monto ampliado con base en el artículo 125 de la Ley de Contratación Pública del Estado de México y Municipios es del 30%. El motivo de la ampliación es porque los proveedores son los que  mejor manejan los materiales y servicios, dado cumplimiento con los principios de eficiencia, eficacia, economía, transparencia y honradez. </w:t>
      </w:r>
    </w:p>
    <w:p w:rsidR="002E4E38" w:rsidRPr="009052DB" w:rsidRDefault="002E4E38" w:rsidP="002E4E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lang w:val="es-ES_tradnl"/>
        </w:rPr>
      </w:pPr>
    </w:p>
    <w:p w:rsidR="002E4E38" w:rsidRPr="009052DB" w:rsidRDefault="002E4E38" w:rsidP="002E4E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lang w:val="es-ES_tradnl"/>
        </w:rPr>
      </w:pPr>
      <w:r w:rsidRPr="009052DB">
        <w:rPr>
          <w:rFonts w:ascii="Palatino Linotype" w:eastAsia="Palatino Linotype" w:hAnsi="Palatino Linotype" w:cs="Palatino Linotype"/>
          <w:color w:val="000000"/>
          <w:sz w:val="24"/>
          <w:lang w:val="es-ES_tradnl"/>
        </w:rPr>
        <w:lastRenderedPageBreak/>
        <w:t xml:space="preserve">Ahora bien, quedando establecido lo anterior, este Órgano Garante considera viable establecer si el informe justificado del Sujeto Obligado colma la pretensión del Recurrente. </w:t>
      </w:r>
    </w:p>
    <w:p w:rsidR="002E4E38" w:rsidRPr="009052DB" w:rsidRDefault="002E4E38" w:rsidP="002E4E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lang w:val="es-ES_tradnl"/>
        </w:rPr>
      </w:pPr>
    </w:p>
    <w:tbl>
      <w:tblPr>
        <w:tblStyle w:val="Tablaconcuadrcula1"/>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112"/>
        <w:gridCol w:w="5386"/>
        <w:gridCol w:w="1544"/>
      </w:tblGrid>
      <w:tr w:rsidR="002E4E38" w:rsidRPr="009052DB" w:rsidTr="00B760C3">
        <w:trPr>
          <w:trHeight w:val="440"/>
        </w:trPr>
        <w:tc>
          <w:tcPr>
            <w:tcW w:w="2112" w:type="dxa"/>
            <w:shd w:val="clear" w:color="auto" w:fill="E7E6E6" w:themeFill="background2"/>
          </w:tcPr>
          <w:p w:rsidR="002E4E38" w:rsidRPr="009052DB" w:rsidRDefault="002E4E38" w:rsidP="002D6FC9">
            <w:pPr>
              <w:spacing w:line="360" w:lineRule="auto"/>
              <w:jc w:val="center"/>
              <w:rPr>
                <w:rFonts w:ascii="Palatino Linotype" w:eastAsiaTheme="minorHAnsi" w:hAnsi="Palatino Linotype" w:cstheme="minorBidi"/>
                <w:b/>
                <w:i/>
                <w:color w:val="000000"/>
                <w:lang w:eastAsia="en-US"/>
              </w:rPr>
            </w:pPr>
            <w:r w:rsidRPr="009052DB">
              <w:rPr>
                <w:rFonts w:ascii="Palatino Linotype" w:eastAsiaTheme="minorHAnsi" w:hAnsi="Palatino Linotype" w:cstheme="minorBidi"/>
                <w:b/>
                <w:i/>
                <w:color w:val="000000"/>
                <w:lang w:eastAsia="en-US"/>
              </w:rPr>
              <w:t>Requerimientos</w:t>
            </w:r>
          </w:p>
        </w:tc>
        <w:tc>
          <w:tcPr>
            <w:tcW w:w="5386" w:type="dxa"/>
            <w:shd w:val="clear" w:color="auto" w:fill="E7E6E6" w:themeFill="background2"/>
          </w:tcPr>
          <w:p w:rsidR="002E4E38" w:rsidRPr="009052DB" w:rsidRDefault="002E4E38" w:rsidP="002D6FC9">
            <w:pPr>
              <w:spacing w:line="360" w:lineRule="auto"/>
              <w:jc w:val="center"/>
              <w:rPr>
                <w:rFonts w:ascii="Palatino Linotype" w:eastAsiaTheme="minorHAnsi" w:hAnsi="Palatino Linotype" w:cstheme="minorBidi"/>
                <w:b/>
                <w:i/>
                <w:color w:val="000000"/>
                <w:lang w:eastAsia="en-US"/>
              </w:rPr>
            </w:pPr>
            <w:r w:rsidRPr="009052DB">
              <w:rPr>
                <w:rFonts w:ascii="Palatino Linotype" w:eastAsiaTheme="minorHAnsi" w:hAnsi="Palatino Linotype" w:cstheme="minorBidi"/>
                <w:b/>
                <w:i/>
                <w:color w:val="000000"/>
                <w:lang w:eastAsia="en-US"/>
              </w:rPr>
              <w:t>Informe Justificado</w:t>
            </w:r>
          </w:p>
        </w:tc>
        <w:tc>
          <w:tcPr>
            <w:tcW w:w="1544" w:type="dxa"/>
            <w:shd w:val="clear" w:color="auto" w:fill="E7E6E6" w:themeFill="background2"/>
          </w:tcPr>
          <w:p w:rsidR="002E4E38" w:rsidRPr="009052DB" w:rsidRDefault="002E4E38" w:rsidP="002D6FC9">
            <w:pPr>
              <w:spacing w:line="360" w:lineRule="auto"/>
              <w:jc w:val="center"/>
              <w:rPr>
                <w:rFonts w:ascii="Palatino Linotype" w:eastAsiaTheme="minorHAnsi" w:hAnsi="Palatino Linotype" w:cstheme="minorBidi"/>
                <w:b/>
                <w:i/>
                <w:color w:val="000000"/>
                <w:lang w:eastAsia="en-US"/>
              </w:rPr>
            </w:pPr>
            <w:r w:rsidRPr="009052DB">
              <w:rPr>
                <w:rFonts w:ascii="Palatino Linotype" w:eastAsiaTheme="minorHAnsi" w:hAnsi="Palatino Linotype" w:cstheme="minorBidi"/>
                <w:b/>
                <w:i/>
                <w:color w:val="000000"/>
                <w:lang w:eastAsia="en-US"/>
              </w:rPr>
              <w:t>Colma</w:t>
            </w:r>
          </w:p>
        </w:tc>
      </w:tr>
      <w:tr w:rsidR="00B760C3" w:rsidRPr="009052DB" w:rsidTr="00B760C3">
        <w:trPr>
          <w:trHeight w:val="1751"/>
        </w:trPr>
        <w:tc>
          <w:tcPr>
            <w:tcW w:w="2112" w:type="dxa"/>
          </w:tcPr>
          <w:p w:rsidR="00B760C3" w:rsidRPr="009052DB" w:rsidRDefault="00B760C3" w:rsidP="001B7F33">
            <w:pPr>
              <w:jc w:val="both"/>
              <w:rPr>
                <w:rFonts w:ascii="Palatino Linotype" w:eastAsiaTheme="minorHAnsi" w:hAnsi="Palatino Linotype" w:cstheme="minorBidi"/>
                <w:color w:val="000000"/>
                <w:lang w:eastAsia="en-US"/>
              </w:rPr>
            </w:pPr>
            <w:r w:rsidRPr="009052DB">
              <w:rPr>
                <w:rFonts w:ascii="Palatino Linotype" w:eastAsiaTheme="minorHAnsi" w:hAnsi="Palatino Linotype" w:cstheme="minorBidi"/>
                <w:color w:val="000000"/>
                <w:lang w:eastAsia="en-US"/>
              </w:rPr>
              <w:t>Cuántos contratos celebrados en 2025 presentan ampliaciones de monto o plazo</w:t>
            </w:r>
          </w:p>
        </w:tc>
        <w:tc>
          <w:tcPr>
            <w:tcW w:w="5386" w:type="dxa"/>
          </w:tcPr>
          <w:p w:rsidR="00B760C3" w:rsidRPr="009052DB" w:rsidRDefault="00B760C3" w:rsidP="00B760C3">
            <w:pPr>
              <w:spacing w:after="160"/>
              <w:jc w:val="both"/>
              <w:rPr>
                <w:rFonts w:ascii="Palatino Linotype" w:eastAsia="Times New Roman" w:hAnsi="Palatino Linotype" w:cs="Times New Roman"/>
                <w:color w:val="000000"/>
                <w:lang w:val="es-ES" w:eastAsia="es-ES"/>
              </w:rPr>
            </w:pPr>
            <w:r w:rsidRPr="009052DB">
              <w:rPr>
                <w:rFonts w:ascii="Palatino Linotype" w:eastAsia="Times New Roman" w:hAnsi="Palatino Linotype" w:cs="Times New Roman"/>
                <w:color w:val="000000"/>
                <w:lang w:eastAsia="es-ES"/>
              </w:rPr>
              <w:t xml:space="preserve">Se realizaron 19 ampliaciones </w:t>
            </w:r>
          </w:p>
        </w:tc>
        <w:tc>
          <w:tcPr>
            <w:tcW w:w="1544" w:type="dxa"/>
          </w:tcPr>
          <w:p w:rsidR="00B760C3" w:rsidRPr="009052DB" w:rsidRDefault="00B760C3" w:rsidP="002D6FC9">
            <w:pPr>
              <w:jc w:val="center"/>
              <w:rPr>
                <w:rFonts w:ascii="Palatino Linotype" w:eastAsiaTheme="minorHAnsi" w:hAnsi="Palatino Linotype" w:cstheme="minorBidi"/>
                <w:b/>
                <w:i/>
                <w:color w:val="000000"/>
                <w:lang w:eastAsia="en-US"/>
              </w:rPr>
            </w:pPr>
            <w:r w:rsidRPr="009052DB">
              <w:rPr>
                <w:rFonts w:ascii="Palatino Linotype" w:eastAsiaTheme="minorHAnsi" w:hAnsi="Palatino Linotype" w:cstheme="minorBidi"/>
                <w:b/>
                <w:i/>
                <w:color w:val="000000"/>
                <w:lang w:eastAsia="en-US"/>
              </w:rPr>
              <w:t xml:space="preserve">Sí  </w:t>
            </w:r>
          </w:p>
          <w:p w:rsidR="00F54F22" w:rsidRPr="009052DB" w:rsidRDefault="00F54F22" w:rsidP="00F54F22">
            <w:pPr>
              <w:jc w:val="center"/>
              <w:rPr>
                <w:rFonts w:ascii="Palatino Linotype" w:eastAsiaTheme="minorHAnsi" w:hAnsi="Palatino Linotype" w:cstheme="minorBidi"/>
                <w:i/>
                <w:color w:val="000000"/>
                <w:lang w:eastAsia="en-US"/>
              </w:rPr>
            </w:pPr>
            <w:r w:rsidRPr="009052DB">
              <w:rPr>
                <w:rFonts w:ascii="Palatino Linotype" w:eastAsiaTheme="minorHAnsi" w:hAnsi="Palatino Linotype" w:cstheme="minorBidi"/>
                <w:i/>
                <w:color w:val="000000"/>
                <w:lang w:eastAsia="en-US"/>
              </w:rPr>
              <w:t>Admite contar con la información</w:t>
            </w:r>
          </w:p>
        </w:tc>
      </w:tr>
      <w:tr w:rsidR="00B760C3" w:rsidRPr="009052DB" w:rsidTr="00B760C3">
        <w:trPr>
          <w:trHeight w:val="893"/>
        </w:trPr>
        <w:tc>
          <w:tcPr>
            <w:tcW w:w="2112" w:type="dxa"/>
          </w:tcPr>
          <w:p w:rsidR="00B760C3" w:rsidRPr="009052DB" w:rsidRDefault="00B760C3" w:rsidP="002D6FC9">
            <w:pPr>
              <w:jc w:val="both"/>
              <w:rPr>
                <w:rFonts w:ascii="Palatino Linotype" w:eastAsiaTheme="minorHAnsi" w:hAnsi="Palatino Linotype" w:cstheme="minorBidi"/>
                <w:color w:val="000000"/>
                <w:lang w:eastAsia="en-US"/>
              </w:rPr>
            </w:pPr>
            <w:r w:rsidRPr="009052DB">
              <w:rPr>
                <w:rFonts w:ascii="Palatino Linotype" w:eastAsiaTheme="minorHAnsi" w:hAnsi="Palatino Linotype" w:cstheme="minorBidi"/>
                <w:color w:val="000000"/>
                <w:lang w:eastAsia="en-US"/>
              </w:rPr>
              <w:t>Contrato original</w:t>
            </w:r>
          </w:p>
        </w:tc>
        <w:tc>
          <w:tcPr>
            <w:tcW w:w="5386" w:type="dxa"/>
          </w:tcPr>
          <w:p w:rsidR="00B760C3" w:rsidRPr="009052DB" w:rsidRDefault="00B760C3" w:rsidP="00B760C3">
            <w:pPr>
              <w:pStyle w:val="Prrafodelista"/>
              <w:numPr>
                <w:ilvl w:val="0"/>
                <w:numId w:val="1"/>
              </w:numPr>
              <w:ind w:left="176" w:hanging="141"/>
              <w:jc w:val="both"/>
              <w:rPr>
                <w:rFonts w:ascii="Palatino Linotype" w:hAnsi="Palatino Linotype" w:cs="Arial"/>
              </w:rPr>
            </w:pPr>
            <w:r w:rsidRPr="009052DB">
              <w:rPr>
                <w:rFonts w:ascii="Palatino Linotype" w:hAnsi="Palatino Linotype"/>
                <w:color w:val="000000"/>
              </w:rPr>
              <w:t>De contratos pedidos</w:t>
            </w:r>
          </w:p>
          <w:p w:rsidR="00B760C3" w:rsidRPr="009052DB" w:rsidRDefault="00B760C3" w:rsidP="00B760C3">
            <w:pPr>
              <w:pStyle w:val="Prrafodelista"/>
              <w:ind w:left="176"/>
              <w:jc w:val="both"/>
              <w:rPr>
                <w:rFonts w:ascii="Palatino Linotype" w:hAnsi="Palatino Linotype"/>
                <w:color w:val="000000"/>
              </w:rPr>
            </w:pPr>
          </w:p>
        </w:tc>
        <w:tc>
          <w:tcPr>
            <w:tcW w:w="1544" w:type="dxa"/>
          </w:tcPr>
          <w:p w:rsidR="00B760C3" w:rsidRPr="009052DB" w:rsidRDefault="00B760C3" w:rsidP="002D6FC9">
            <w:pPr>
              <w:jc w:val="center"/>
              <w:rPr>
                <w:rFonts w:ascii="Palatino Linotype" w:eastAsiaTheme="minorHAnsi" w:hAnsi="Palatino Linotype" w:cstheme="minorBidi"/>
                <w:b/>
                <w:i/>
                <w:color w:val="000000"/>
                <w:lang w:eastAsia="en-US"/>
              </w:rPr>
            </w:pPr>
            <w:r w:rsidRPr="009052DB">
              <w:rPr>
                <w:rFonts w:ascii="Palatino Linotype" w:eastAsiaTheme="minorHAnsi" w:hAnsi="Palatino Linotype" w:cstheme="minorBidi"/>
                <w:b/>
                <w:i/>
                <w:color w:val="000000"/>
                <w:lang w:eastAsia="en-US"/>
              </w:rPr>
              <w:t>Parcialmente</w:t>
            </w:r>
          </w:p>
          <w:p w:rsidR="00B760C3" w:rsidRPr="009052DB" w:rsidRDefault="00B760C3" w:rsidP="002D6FC9">
            <w:pPr>
              <w:jc w:val="center"/>
              <w:rPr>
                <w:rFonts w:ascii="Palatino Linotype" w:eastAsiaTheme="minorHAnsi" w:hAnsi="Palatino Linotype" w:cstheme="minorBidi"/>
                <w:i/>
                <w:color w:val="000000"/>
                <w:lang w:eastAsia="en-US"/>
              </w:rPr>
            </w:pPr>
            <w:r w:rsidRPr="009052DB">
              <w:rPr>
                <w:rFonts w:ascii="Palatino Linotype" w:eastAsiaTheme="minorHAnsi" w:hAnsi="Palatino Linotype" w:cstheme="minorBidi"/>
                <w:i/>
                <w:color w:val="000000"/>
                <w:lang w:eastAsia="en-US"/>
              </w:rPr>
              <w:t>No entregaron los contratos</w:t>
            </w:r>
          </w:p>
        </w:tc>
      </w:tr>
      <w:tr w:rsidR="00B760C3" w:rsidRPr="009052DB" w:rsidTr="00B760C3">
        <w:trPr>
          <w:trHeight w:val="893"/>
        </w:trPr>
        <w:tc>
          <w:tcPr>
            <w:tcW w:w="2112" w:type="dxa"/>
          </w:tcPr>
          <w:p w:rsidR="00B760C3" w:rsidRPr="009052DB" w:rsidRDefault="00B760C3" w:rsidP="002D6FC9">
            <w:pPr>
              <w:jc w:val="both"/>
              <w:rPr>
                <w:rFonts w:ascii="Palatino Linotype" w:eastAsiaTheme="minorHAnsi" w:hAnsi="Palatino Linotype" w:cstheme="minorBidi"/>
                <w:color w:val="000000"/>
                <w:lang w:eastAsia="en-US"/>
              </w:rPr>
            </w:pPr>
            <w:r w:rsidRPr="009052DB">
              <w:rPr>
                <w:rFonts w:ascii="Palatino Linotype" w:eastAsiaTheme="minorHAnsi" w:hAnsi="Palatino Linotype" w:cstheme="minorBidi"/>
                <w:color w:val="000000"/>
                <w:lang w:eastAsia="en-US"/>
              </w:rPr>
              <w:t>Monto inicial</w:t>
            </w:r>
          </w:p>
        </w:tc>
        <w:tc>
          <w:tcPr>
            <w:tcW w:w="5386" w:type="dxa"/>
          </w:tcPr>
          <w:p w:rsidR="00B760C3" w:rsidRPr="009052DB" w:rsidRDefault="00B760C3" w:rsidP="00B760C3">
            <w:pPr>
              <w:jc w:val="both"/>
              <w:rPr>
                <w:rFonts w:ascii="Palatino Linotype" w:hAnsi="Palatino Linotype"/>
                <w:color w:val="000000"/>
              </w:rPr>
            </w:pPr>
            <w:r w:rsidRPr="009052DB">
              <w:rPr>
                <w:rFonts w:ascii="Palatino Linotype" w:hAnsi="Palatino Linotype"/>
                <w:color w:val="000000"/>
              </w:rPr>
              <w:t xml:space="preserve">No hubo pronunciamiento </w:t>
            </w:r>
          </w:p>
        </w:tc>
        <w:tc>
          <w:tcPr>
            <w:tcW w:w="1544" w:type="dxa"/>
          </w:tcPr>
          <w:p w:rsidR="00B760C3" w:rsidRPr="009052DB" w:rsidRDefault="00B760C3" w:rsidP="002D6FC9">
            <w:pPr>
              <w:jc w:val="center"/>
              <w:rPr>
                <w:rFonts w:ascii="Palatino Linotype" w:eastAsiaTheme="minorHAnsi" w:hAnsi="Palatino Linotype" w:cstheme="minorBidi"/>
                <w:b/>
                <w:i/>
                <w:color w:val="000000"/>
                <w:lang w:eastAsia="en-US"/>
              </w:rPr>
            </w:pPr>
            <w:r w:rsidRPr="009052DB">
              <w:rPr>
                <w:rFonts w:ascii="Palatino Linotype" w:eastAsiaTheme="minorHAnsi" w:hAnsi="Palatino Linotype" w:cstheme="minorBidi"/>
                <w:b/>
                <w:i/>
                <w:color w:val="000000"/>
                <w:lang w:eastAsia="en-US"/>
              </w:rPr>
              <w:t xml:space="preserve">No </w:t>
            </w:r>
          </w:p>
        </w:tc>
      </w:tr>
      <w:tr w:rsidR="00B760C3" w:rsidRPr="009052DB" w:rsidTr="00B760C3">
        <w:trPr>
          <w:trHeight w:val="893"/>
        </w:trPr>
        <w:tc>
          <w:tcPr>
            <w:tcW w:w="2112" w:type="dxa"/>
          </w:tcPr>
          <w:p w:rsidR="00B760C3" w:rsidRPr="009052DB" w:rsidRDefault="00B760C3" w:rsidP="002D6FC9">
            <w:pPr>
              <w:jc w:val="both"/>
              <w:rPr>
                <w:rFonts w:ascii="Palatino Linotype" w:eastAsiaTheme="minorHAnsi" w:hAnsi="Palatino Linotype" w:cstheme="minorBidi"/>
                <w:color w:val="000000"/>
                <w:lang w:eastAsia="en-US"/>
              </w:rPr>
            </w:pPr>
            <w:r w:rsidRPr="009052DB">
              <w:rPr>
                <w:rFonts w:ascii="Palatino Linotype" w:eastAsiaTheme="minorHAnsi" w:hAnsi="Palatino Linotype" w:cstheme="minorBidi"/>
                <w:color w:val="000000"/>
                <w:lang w:eastAsia="en-US"/>
              </w:rPr>
              <w:t>Monto ampliado</w:t>
            </w:r>
          </w:p>
        </w:tc>
        <w:tc>
          <w:tcPr>
            <w:tcW w:w="5386" w:type="dxa"/>
          </w:tcPr>
          <w:p w:rsidR="00B760C3" w:rsidRPr="009052DB" w:rsidRDefault="00B760C3" w:rsidP="00B760C3">
            <w:pPr>
              <w:pStyle w:val="Prrafodelista"/>
              <w:numPr>
                <w:ilvl w:val="0"/>
                <w:numId w:val="1"/>
              </w:numPr>
              <w:ind w:left="176" w:hanging="141"/>
              <w:jc w:val="both"/>
              <w:rPr>
                <w:rFonts w:ascii="Palatino Linotype" w:hAnsi="Palatino Linotype" w:cs="Arial"/>
              </w:rPr>
            </w:pPr>
            <w:r w:rsidRPr="009052DB">
              <w:rPr>
                <w:rFonts w:ascii="Palatino Linotype" w:hAnsi="Palatino Linotype" w:cs="Arial"/>
              </w:rPr>
              <w:t xml:space="preserve">El  monto de ampliación va de $1,000 como mínimo hasta $500,000 como máximo, más IVA. </w:t>
            </w:r>
          </w:p>
          <w:p w:rsidR="00B760C3" w:rsidRPr="009052DB" w:rsidRDefault="00B760C3" w:rsidP="00B760C3">
            <w:pPr>
              <w:pStyle w:val="Prrafodelista"/>
              <w:numPr>
                <w:ilvl w:val="0"/>
                <w:numId w:val="1"/>
              </w:numPr>
              <w:ind w:left="176" w:hanging="141"/>
              <w:jc w:val="both"/>
              <w:rPr>
                <w:rFonts w:ascii="Palatino Linotype" w:hAnsi="Palatino Linotype" w:cs="Arial"/>
              </w:rPr>
            </w:pPr>
            <w:r w:rsidRPr="009052DB">
              <w:rPr>
                <w:rFonts w:ascii="Palatino Linotype" w:hAnsi="Palatino Linotype" w:cs="Arial"/>
              </w:rPr>
              <w:t>El monto ampliado con base en el artículo 125 de la Ley de Contratación Pública del Estado de México y Municipios es del 30%.</w:t>
            </w:r>
          </w:p>
        </w:tc>
        <w:tc>
          <w:tcPr>
            <w:tcW w:w="1544" w:type="dxa"/>
          </w:tcPr>
          <w:p w:rsidR="00B760C3" w:rsidRPr="009052DB" w:rsidRDefault="00B760C3" w:rsidP="002D6FC9">
            <w:pPr>
              <w:jc w:val="center"/>
              <w:rPr>
                <w:rFonts w:ascii="Palatino Linotype" w:eastAsiaTheme="minorHAnsi" w:hAnsi="Palatino Linotype" w:cstheme="minorBidi"/>
                <w:b/>
                <w:i/>
                <w:color w:val="000000"/>
                <w:lang w:eastAsia="en-US"/>
              </w:rPr>
            </w:pPr>
            <w:r w:rsidRPr="009052DB">
              <w:rPr>
                <w:rFonts w:ascii="Palatino Linotype" w:eastAsiaTheme="minorHAnsi" w:hAnsi="Palatino Linotype" w:cstheme="minorBidi"/>
                <w:b/>
                <w:i/>
                <w:color w:val="000000"/>
                <w:lang w:eastAsia="en-US"/>
              </w:rPr>
              <w:t xml:space="preserve">No </w:t>
            </w:r>
          </w:p>
        </w:tc>
      </w:tr>
      <w:tr w:rsidR="00B760C3" w:rsidRPr="009052DB" w:rsidTr="00B760C3">
        <w:trPr>
          <w:trHeight w:val="893"/>
        </w:trPr>
        <w:tc>
          <w:tcPr>
            <w:tcW w:w="2112" w:type="dxa"/>
          </w:tcPr>
          <w:p w:rsidR="00B760C3" w:rsidRPr="009052DB" w:rsidRDefault="00B760C3" w:rsidP="002D6FC9">
            <w:pPr>
              <w:jc w:val="both"/>
              <w:rPr>
                <w:rFonts w:ascii="Palatino Linotype" w:eastAsiaTheme="minorHAnsi" w:hAnsi="Palatino Linotype" w:cstheme="minorBidi"/>
                <w:color w:val="000000"/>
                <w:lang w:eastAsia="en-US"/>
              </w:rPr>
            </w:pPr>
            <w:r w:rsidRPr="009052DB">
              <w:rPr>
                <w:rFonts w:ascii="Palatino Linotype" w:eastAsiaTheme="minorHAnsi" w:hAnsi="Palatino Linotype" w:cstheme="minorBidi"/>
                <w:color w:val="000000"/>
                <w:lang w:eastAsia="en-US"/>
              </w:rPr>
              <w:t>Motivo de la ampliación</w:t>
            </w:r>
          </w:p>
        </w:tc>
        <w:tc>
          <w:tcPr>
            <w:tcW w:w="5386" w:type="dxa"/>
          </w:tcPr>
          <w:p w:rsidR="00B760C3" w:rsidRPr="009052DB" w:rsidRDefault="00B760C3" w:rsidP="002D6FC9">
            <w:pPr>
              <w:pStyle w:val="Prrafodelista"/>
              <w:numPr>
                <w:ilvl w:val="0"/>
                <w:numId w:val="1"/>
              </w:numPr>
              <w:ind w:left="176" w:hanging="141"/>
              <w:jc w:val="both"/>
              <w:rPr>
                <w:rFonts w:ascii="Palatino Linotype" w:hAnsi="Palatino Linotype"/>
                <w:color w:val="000000"/>
              </w:rPr>
            </w:pPr>
            <w:r w:rsidRPr="009052DB">
              <w:rPr>
                <w:rFonts w:ascii="Palatino Linotype" w:hAnsi="Palatino Linotype" w:cs="Arial"/>
              </w:rPr>
              <w:t>El motivo de la ampliación es porque los proveedores son los que mejor manejan los materiales y servicios, dado cumplimiento con los principios de eficiencia, eficacia, economía, transparencia y honradez</w:t>
            </w:r>
          </w:p>
        </w:tc>
        <w:tc>
          <w:tcPr>
            <w:tcW w:w="1544" w:type="dxa"/>
          </w:tcPr>
          <w:p w:rsidR="00B760C3" w:rsidRPr="009052DB" w:rsidRDefault="00B760C3" w:rsidP="002D6FC9">
            <w:pPr>
              <w:jc w:val="center"/>
              <w:rPr>
                <w:rFonts w:ascii="Palatino Linotype" w:eastAsiaTheme="minorHAnsi" w:hAnsi="Palatino Linotype" w:cstheme="minorBidi"/>
                <w:b/>
                <w:i/>
                <w:color w:val="000000"/>
                <w:lang w:eastAsia="en-US"/>
              </w:rPr>
            </w:pPr>
            <w:r w:rsidRPr="009052DB">
              <w:rPr>
                <w:rFonts w:ascii="Palatino Linotype" w:eastAsiaTheme="minorHAnsi" w:hAnsi="Palatino Linotype" w:cstheme="minorBidi"/>
                <w:b/>
                <w:i/>
                <w:color w:val="000000"/>
                <w:lang w:eastAsia="en-US"/>
              </w:rPr>
              <w:t xml:space="preserve">No </w:t>
            </w:r>
          </w:p>
        </w:tc>
      </w:tr>
    </w:tbl>
    <w:p w:rsidR="002E4E38" w:rsidRPr="009052DB" w:rsidRDefault="002E4E38" w:rsidP="002E4E38">
      <w:pPr>
        <w:spacing w:after="0" w:line="360" w:lineRule="auto"/>
        <w:jc w:val="both"/>
        <w:rPr>
          <w:rFonts w:ascii="Palatino Linotype" w:eastAsia="Palatino Linotype" w:hAnsi="Palatino Linotype" w:cs="Palatino Linotype"/>
          <w:sz w:val="24"/>
          <w:szCs w:val="24"/>
          <w:lang w:eastAsia="en-US"/>
        </w:rPr>
      </w:pPr>
    </w:p>
    <w:p w:rsidR="00F54F22" w:rsidRPr="009052DB" w:rsidRDefault="00F54F22" w:rsidP="00F54F22">
      <w:pPr>
        <w:spacing w:line="360" w:lineRule="auto"/>
        <w:ind w:right="49"/>
        <w:contextualSpacing/>
        <w:jc w:val="both"/>
        <w:rPr>
          <w:rFonts w:ascii="Palatino Linotype" w:eastAsia="MS Mincho" w:hAnsi="Palatino Linotype" w:cs="Arial"/>
          <w:sz w:val="24"/>
          <w:szCs w:val="24"/>
          <w:lang w:val="es-ES_tradnl" w:eastAsia="es-ES"/>
        </w:rPr>
      </w:pPr>
      <w:r w:rsidRPr="009052DB">
        <w:rPr>
          <w:rFonts w:ascii="Palatino Linotype" w:eastAsia="Palatino Linotype" w:hAnsi="Palatino Linotype" w:cs="Palatino Linotype"/>
          <w:sz w:val="24"/>
          <w:szCs w:val="24"/>
          <w:lang w:eastAsia="en-US"/>
        </w:rPr>
        <w:t xml:space="preserve">En primer término, los documentos que dan cuenta de la información requerida, de manera enunciativa más no limitativa, son los contratos. </w:t>
      </w:r>
      <w:r w:rsidRPr="009052DB">
        <w:rPr>
          <w:rFonts w:ascii="Palatino Linotype" w:eastAsia="MS Mincho" w:hAnsi="Palatino Linotype" w:cs="Arial"/>
          <w:sz w:val="24"/>
          <w:szCs w:val="24"/>
          <w:lang w:val="es-ES" w:eastAsia="es-ES"/>
        </w:rPr>
        <w:t xml:space="preserve">Robustece lo anterior </w:t>
      </w:r>
      <w:r w:rsidRPr="009052DB">
        <w:rPr>
          <w:rFonts w:ascii="Palatino Linotype" w:eastAsia="MS Mincho" w:hAnsi="Palatino Linotype" w:cs="Arial"/>
          <w:sz w:val="24"/>
          <w:szCs w:val="24"/>
          <w:lang w:val="es-ES_tradnl" w:eastAsia="es-ES"/>
        </w:rPr>
        <w:t xml:space="preserve">el Criterio Orientador </w:t>
      </w:r>
      <w:r w:rsidRPr="009052DB">
        <w:rPr>
          <w:rFonts w:ascii="Palatino Linotype" w:eastAsia="MS Mincho" w:hAnsi="Palatino Linotype" w:cs="Arial"/>
          <w:b/>
          <w:sz w:val="24"/>
          <w:szCs w:val="24"/>
          <w:lang w:val="es-ES_tradnl" w:eastAsia="es-ES"/>
        </w:rPr>
        <w:t>16/17</w:t>
      </w:r>
      <w:r w:rsidRPr="009052DB">
        <w:rPr>
          <w:rFonts w:ascii="Palatino Linotype" w:eastAsia="MS Mincho" w:hAnsi="Palatino Linotype" w:cs="Arial"/>
          <w:sz w:val="24"/>
          <w:szCs w:val="24"/>
          <w:lang w:val="es-ES_tradnl" w:eastAsia="es-ES"/>
        </w:rPr>
        <w:t xml:space="preserve"> emitido de igual forma por el Instituto Nacional de </w:t>
      </w:r>
      <w:r w:rsidRPr="009052DB">
        <w:rPr>
          <w:rFonts w:ascii="Palatino Linotype" w:eastAsia="MS Mincho" w:hAnsi="Palatino Linotype" w:cs="Arial"/>
          <w:sz w:val="24"/>
          <w:szCs w:val="24"/>
          <w:lang w:val="es-ES_tradnl" w:eastAsia="es-ES"/>
        </w:rPr>
        <w:lastRenderedPageBreak/>
        <w:t>Transparencia, Acceso a la Información y Protección de Datos Personales que a la literalidad prevé:</w:t>
      </w:r>
    </w:p>
    <w:p w:rsidR="00F54F22" w:rsidRPr="009052DB" w:rsidRDefault="00F54F22" w:rsidP="00F54F22">
      <w:pPr>
        <w:spacing w:after="0" w:line="360" w:lineRule="auto"/>
        <w:ind w:right="49"/>
        <w:contextualSpacing/>
        <w:jc w:val="both"/>
        <w:rPr>
          <w:rFonts w:ascii="Palatino Linotype" w:eastAsia="MS Mincho" w:hAnsi="Palatino Linotype" w:cs="Arial"/>
          <w:sz w:val="24"/>
          <w:lang w:val="es-ES_tradnl" w:eastAsia="es-ES"/>
        </w:rPr>
      </w:pPr>
    </w:p>
    <w:p w:rsidR="00F54F22" w:rsidRPr="009052DB" w:rsidRDefault="00F54F22" w:rsidP="00F54F22">
      <w:pPr>
        <w:spacing w:after="0" w:line="240" w:lineRule="auto"/>
        <w:ind w:left="567" w:right="616"/>
        <w:jc w:val="both"/>
        <w:rPr>
          <w:rFonts w:ascii="Palatino Linotype" w:eastAsia="MS Mincho" w:hAnsi="Palatino Linotype" w:cs="Arial"/>
          <w:i/>
          <w:sz w:val="24"/>
          <w:lang w:val="es-ES_tradnl" w:eastAsia="es-ES"/>
        </w:rPr>
      </w:pPr>
      <w:r w:rsidRPr="009052DB">
        <w:rPr>
          <w:rFonts w:ascii="Palatino Linotype" w:eastAsia="MS Mincho" w:hAnsi="Palatino Linotype" w:cs="Arial"/>
          <w:b/>
          <w:i/>
          <w:sz w:val="24"/>
          <w:lang w:val="es-ES_tradnl" w:eastAsia="es-ES"/>
        </w:rPr>
        <w:t>“Expresión documental</w:t>
      </w:r>
      <w:r w:rsidRPr="009052DB">
        <w:rPr>
          <w:rFonts w:ascii="Palatino Linotype" w:eastAsia="MS Mincho" w:hAnsi="Palatino Linotype" w:cs="Arial"/>
          <w:i/>
          <w:sz w:val="24"/>
          <w:lang w:val="es-ES_tradnl" w:eastAsia="es-ES"/>
        </w:rPr>
        <w:t xml:space="preserve">. 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 </w:t>
      </w:r>
    </w:p>
    <w:p w:rsidR="00F54F22" w:rsidRPr="009052DB" w:rsidRDefault="00F54F22" w:rsidP="00F54F22">
      <w:pPr>
        <w:spacing w:after="0" w:line="240" w:lineRule="auto"/>
        <w:ind w:left="567" w:right="567"/>
        <w:jc w:val="both"/>
        <w:rPr>
          <w:rFonts w:ascii="Palatino Linotype" w:eastAsia="MS Mincho" w:hAnsi="Palatino Linotype" w:cs="Arial"/>
          <w:i/>
          <w:sz w:val="20"/>
          <w:lang w:val="es-ES_tradnl" w:eastAsia="es-ES"/>
        </w:rPr>
      </w:pPr>
      <w:r w:rsidRPr="009052DB">
        <w:rPr>
          <w:rFonts w:ascii="Palatino Linotype" w:eastAsia="MS Mincho" w:hAnsi="Palatino Linotype" w:cs="Arial"/>
          <w:i/>
          <w:sz w:val="20"/>
          <w:lang w:val="es-ES_tradnl" w:eastAsia="es-ES"/>
        </w:rPr>
        <w:t>Resoluciones:</w:t>
      </w:r>
    </w:p>
    <w:p w:rsidR="00F54F22" w:rsidRPr="009052DB" w:rsidRDefault="00F54F22" w:rsidP="00F54F22">
      <w:pPr>
        <w:spacing w:after="0" w:line="240" w:lineRule="auto"/>
        <w:ind w:left="567" w:right="567"/>
        <w:jc w:val="both"/>
        <w:rPr>
          <w:rFonts w:ascii="Palatino Linotype" w:eastAsia="MS Mincho" w:hAnsi="Palatino Linotype" w:cs="Arial"/>
          <w:i/>
          <w:sz w:val="20"/>
          <w:lang w:val="es-ES_tradnl" w:eastAsia="es-ES"/>
        </w:rPr>
      </w:pPr>
      <w:r w:rsidRPr="009052DB">
        <w:rPr>
          <w:rFonts w:ascii="Palatino Linotype" w:eastAsia="MS Mincho" w:hAnsi="Palatino Linotype" w:cs="Arial"/>
          <w:i/>
          <w:sz w:val="20"/>
          <w:lang w:val="es-ES_tradnl" w:eastAsia="es-ES"/>
        </w:rPr>
        <w:t>•</w:t>
      </w:r>
      <w:r w:rsidRPr="009052DB">
        <w:rPr>
          <w:rFonts w:ascii="Palatino Linotype" w:eastAsia="MS Mincho" w:hAnsi="Palatino Linotype" w:cs="Arial"/>
          <w:i/>
          <w:sz w:val="20"/>
          <w:lang w:val="es-ES_tradnl" w:eastAsia="es-ES"/>
        </w:rPr>
        <w:tab/>
        <w:t>RRA 0774/16. Secretaría de Salud. 31 de agosto de 2016. Por unanimidad. Comisionada Ponente María Patricia Kurczyn Villalobos.</w:t>
      </w:r>
    </w:p>
    <w:p w:rsidR="00F54F22" w:rsidRPr="009052DB" w:rsidRDefault="00F54F22" w:rsidP="00F54F22">
      <w:pPr>
        <w:spacing w:after="0" w:line="240" w:lineRule="auto"/>
        <w:ind w:left="567" w:right="567"/>
        <w:jc w:val="both"/>
        <w:rPr>
          <w:rFonts w:ascii="Palatino Linotype" w:eastAsia="MS Mincho" w:hAnsi="Palatino Linotype" w:cs="Arial"/>
          <w:i/>
          <w:sz w:val="20"/>
          <w:lang w:val="es-ES_tradnl" w:eastAsia="es-ES"/>
        </w:rPr>
      </w:pPr>
      <w:r w:rsidRPr="009052DB">
        <w:rPr>
          <w:rFonts w:ascii="Palatino Linotype" w:eastAsia="MS Mincho" w:hAnsi="Palatino Linotype" w:cs="Arial"/>
          <w:i/>
          <w:sz w:val="20"/>
          <w:lang w:val="es-ES_tradnl" w:eastAsia="es-ES"/>
        </w:rPr>
        <w:t>•</w:t>
      </w:r>
      <w:r w:rsidRPr="009052DB">
        <w:rPr>
          <w:rFonts w:ascii="Palatino Linotype" w:eastAsia="MS Mincho" w:hAnsi="Palatino Linotype" w:cs="Arial"/>
          <w:i/>
          <w:sz w:val="20"/>
          <w:lang w:val="es-ES_tradnl" w:eastAsia="es-ES"/>
        </w:rPr>
        <w:tab/>
        <w:t xml:space="preserve">RRA 0143/17. Universidad Autónoma Agraria Antonio Narro. 22 de febrero de 2017. Por unanimidad. Comisionado Ponente Oscar Mauricio Guerra Ford. </w:t>
      </w:r>
    </w:p>
    <w:p w:rsidR="00F54F22" w:rsidRPr="009052DB" w:rsidRDefault="00F54F22" w:rsidP="00F54F22">
      <w:pPr>
        <w:spacing w:after="0" w:line="240" w:lineRule="auto"/>
        <w:ind w:left="567" w:right="567"/>
        <w:jc w:val="both"/>
        <w:rPr>
          <w:rFonts w:ascii="Palatino Linotype" w:eastAsia="MS Mincho" w:hAnsi="Palatino Linotype" w:cs="Arial"/>
          <w:i/>
          <w:sz w:val="20"/>
          <w:lang w:val="es-ES_tradnl" w:eastAsia="es-ES"/>
        </w:rPr>
      </w:pPr>
      <w:r w:rsidRPr="009052DB">
        <w:rPr>
          <w:rFonts w:ascii="Palatino Linotype" w:eastAsia="MS Mincho" w:hAnsi="Palatino Linotype" w:cs="Arial"/>
          <w:i/>
          <w:sz w:val="20"/>
          <w:lang w:val="es-ES_tradnl" w:eastAsia="es-ES"/>
        </w:rPr>
        <w:t>•</w:t>
      </w:r>
      <w:r w:rsidRPr="009052DB">
        <w:rPr>
          <w:rFonts w:ascii="Palatino Linotype" w:eastAsia="MS Mincho" w:hAnsi="Palatino Linotype" w:cs="Arial"/>
          <w:i/>
          <w:sz w:val="20"/>
          <w:lang w:val="es-ES_tradnl" w:eastAsia="es-ES"/>
        </w:rPr>
        <w:tab/>
        <w:t>RRA 0540/17. Secretaría de Economía. 08 de marzo del 2017. Por unanimidad. Comisionado Ponente Francisco Javier Acuña Llamas”</w:t>
      </w:r>
    </w:p>
    <w:p w:rsidR="00F54F22" w:rsidRPr="009052DB" w:rsidRDefault="00F54F22" w:rsidP="00F54F22">
      <w:pPr>
        <w:tabs>
          <w:tab w:val="left" w:pos="426"/>
        </w:tabs>
        <w:spacing w:after="0" w:line="360" w:lineRule="auto"/>
        <w:ind w:right="49"/>
        <w:contextualSpacing/>
        <w:jc w:val="both"/>
        <w:rPr>
          <w:rFonts w:ascii="Palatino Linotype" w:eastAsia="Times New Roman" w:hAnsi="Palatino Linotype" w:cs="Times New Roman"/>
          <w:sz w:val="24"/>
          <w:szCs w:val="24"/>
          <w:lang w:val="es-ES" w:eastAsia="es-ES"/>
        </w:rPr>
      </w:pPr>
    </w:p>
    <w:p w:rsidR="00F54F22" w:rsidRPr="009052DB" w:rsidRDefault="00F54F22" w:rsidP="00F54F22">
      <w:pPr>
        <w:spacing w:after="0" w:line="360" w:lineRule="auto"/>
        <w:jc w:val="both"/>
        <w:rPr>
          <w:rFonts w:ascii="Palatino Linotype" w:eastAsia="Times New Roman" w:hAnsi="Palatino Linotype" w:cs="Times New Roman"/>
          <w:sz w:val="24"/>
          <w:szCs w:val="24"/>
          <w:lang w:val="es-ES" w:eastAsia="es-ES"/>
        </w:rPr>
      </w:pPr>
      <w:r w:rsidRPr="009052DB">
        <w:rPr>
          <w:rFonts w:ascii="Palatino Linotype" w:eastAsia="Times New Roman" w:hAnsi="Palatino Linotype" w:cs="Times New Roman"/>
          <w:sz w:val="24"/>
          <w:szCs w:val="24"/>
          <w:lang w:val="es-ES" w:eastAsia="es-ES"/>
        </w:rPr>
        <w:t>Es así que, cuando se aprecien deficiencias en la solicitud, o bien, que los particulares no especifiquen el documento en donde consta la información requerida, los sujetos obligados deben realizar acciones tendientes a garantizar el derecho de los recurrentes, haciendo entrega del soporte documental que dé cuenta de los requerimientos.</w:t>
      </w:r>
    </w:p>
    <w:p w:rsidR="001B7F33" w:rsidRPr="009052DB" w:rsidRDefault="001B7F33" w:rsidP="002E4E38">
      <w:pPr>
        <w:spacing w:after="0" w:line="360" w:lineRule="auto"/>
        <w:jc w:val="both"/>
        <w:rPr>
          <w:rFonts w:ascii="Palatino Linotype" w:eastAsia="Palatino Linotype" w:hAnsi="Palatino Linotype" w:cs="Palatino Linotype"/>
          <w:sz w:val="24"/>
          <w:szCs w:val="24"/>
          <w:lang w:eastAsia="en-US"/>
        </w:rPr>
      </w:pPr>
    </w:p>
    <w:p w:rsidR="001B7F33" w:rsidRPr="009052DB" w:rsidRDefault="007633C9" w:rsidP="002E4E38">
      <w:pPr>
        <w:spacing w:after="0" w:line="360" w:lineRule="auto"/>
        <w:jc w:val="both"/>
        <w:rPr>
          <w:rFonts w:ascii="Palatino Linotype" w:eastAsia="Palatino Linotype" w:hAnsi="Palatino Linotype" w:cs="Palatino Linotype"/>
          <w:sz w:val="24"/>
          <w:szCs w:val="24"/>
          <w:lang w:eastAsia="en-US"/>
        </w:rPr>
      </w:pPr>
      <w:r w:rsidRPr="009052DB">
        <w:rPr>
          <w:rFonts w:ascii="Palatino Linotype" w:eastAsia="Palatino Linotype" w:hAnsi="Palatino Linotype" w:cs="Palatino Linotype"/>
          <w:sz w:val="24"/>
          <w:szCs w:val="24"/>
          <w:lang w:eastAsia="en-US"/>
        </w:rPr>
        <w:t xml:space="preserve">En </w:t>
      </w:r>
      <w:r w:rsidR="00F54F22" w:rsidRPr="009052DB">
        <w:rPr>
          <w:rFonts w:ascii="Palatino Linotype" w:eastAsia="Palatino Linotype" w:hAnsi="Palatino Linotype" w:cs="Palatino Linotype"/>
          <w:sz w:val="24"/>
          <w:szCs w:val="24"/>
          <w:lang w:eastAsia="en-US"/>
        </w:rPr>
        <w:t>segundo</w:t>
      </w:r>
      <w:r w:rsidRPr="009052DB">
        <w:rPr>
          <w:rFonts w:ascii="Palatino Linotype" w:eastAsia="Palatino Linotype" w:hAnsi="Palatino Linotype" w:cs="Palatino Linotype"/>
          <w:sz w:val="24"/>
          <w:szCs w:val="24"/>
          <w:lang w:eastAsia="en-US"/>
        </w:rPr>
        <w:t xml:space="preserve"> término, conforme a la Ley de Contratación Pública del Estado de México en el artículo 80 se establece dos tipos de contratos, los contratos </w:t>
      </w:r>
      <w:r w:rsidR="00F54F22" w:rsidRPr="009052DB">
        <w:rPr>
          <w:rFonts w:ascii="Palatino Linotype" w:eastAsia="Palatino Linotype" w:hAnsi="Palatino Linotype" w:cs="Palatino Linotype"/>
          <w:sz w:val="24"/>
          <w:szCs w:val="24"/>
          <w:lang w:eastAsia="en-US"/>
        </w:rPr>
        <w:t>“</w:t>
      </w:r>
      <w:r w:rsidRPr="009052DB">
        <w:rPr>
          <w:rFonts w:ascii="Palatino Linotype" w:eastAsia="Palatino Linotype" w:hAnsi="Palatino Linotype" w:cs="Palatino Linotype"/>
          <w:sz w:val="24"/>
          <w:szCs w:val="24"/>
          <w:lang w:eastAsia="en-US"/>
        </w:rPr>
        <w:t>pedido</w:t>
      </w:r>
      <w:r w:rsidR="00F54F22" w:rsidRPr="009052DB">
        <w:rPr>
          <w:rFonts w:ascii="Palatino Linotype" w:eastAsia="Palatino Linotype" w:hAnsi="Palatino Linotype" w:cs="Palatino Linotype"/>
          <w:sz w:val="24"/>
          <w:szCs w:val="24"/>
          <w:lang w:eastAsia="en-US"/>
        </w:rPr>
        <w:t>”</w:t>
      </w:r>
      <w:r w:rsidRPr="009052DB">
        <w:rPr>
          <w:rFonts w:ascii="Palatino Linotype" w:eastAsia="Palatino Linotype" w:hAnsi="Palatino Linotype" w:cs="Palatino Linotype"/>
          <w:sz w:val="24"/>
          <w:szCs w:val="24"/>
          <w:lang w:eastAsia="en-US"/>
        </w:rPr>
        <w:t xml:space="preserve"> (contratos cuya cantidad no excede los montos establecidos para la adjudicación directa) y los contratos </w:t>
      </w:r>
      <w:r w:rsidR="00F54F22" w:rsidRPr="009052DB">
        <w:rPr>
          <w:rFonts w:ascii="Palatino Linotype" w:eastAsia="Palatino Linotype" w:hAnsi="Palatino Linotype" w:cs="Palatino Linotype"/>
          <w:sz w:val="24"/>
          <w:szCs w:val="24"/>
          <w:lang w:eastAsia="en-US"/>
        </w:rPr>
        <w:t>“</w:t>
      </w:r>
      <w:r w:rsidRPr="009052DB">
        <w:rPr>
          <w:rFonts w:ascii="Palatino Linotype" w:eastAsia="Palatino Linotype" w:hAnsi="Palatino Linotype" w:cs="Palatino Linotype"/>
          <w:sz w:val="24"/>
          <w:szCs w:val="24"/>
          <w:lang w:eastAsia="en-US"/>
        </w:rPr>
        <w:t>abiertos</w:t>
      </w:r>
      <w:r w:rsidR="00F54F22" w:rsidRPr="009052DB">
        <w:rPr>
          <w:rFonts w:ascii="Palatino Linotype" w:eastAsia="Palatino Linotype" w:hAnsi="Palatino Linotype" w:cs="Palatino Linotype"/>
          <w:sz w:val="24"/>
          <w:szCs w:val="24"/>
          <w:lang w:eastAsia="en-US"/>
        </w:rPr>
        <w:t>”</w:t>
      </w:r>
      <w:r w:rsidRPr="009052DB">
        <w:rPr>
          <w:rFonts w:ascii="Palatino Linotype" w:eastAsia="Palatino Linotype" w:hAnsi="Palatino Linotype" w:cs="Palatino Linotype"/>
          <w:sz w:val="24"/>
          <w:szCs w:val="24"/>
          <w:lang w:eastAsia="en-US"/>
        </w:rPr>
        <w:t xml:space="preserve"> (cantidad y plazos indeterminados, únicamente con cantidades mínimas y máximas), tal como se transcribe:</w:t>
      </w:r>
    </w:p>
    <w:p w:rsidR="00F54F22" w:rsidRPr="009052DB" w:rsidRDefault="00F54F22" w:rsidP="007633C9">
      <w:pPr>
        <w:pStyle w:val="INFOEM"/>
      </w:pPr>
      <w:r w:rsidRPr="009052DB">
        <w:lastRenderedPageBreak/>
        <w:t>Artículo 48.- La Oficialía Mayor, las entidades, los tribunales administrativos y los ayuntamientos podrán adquirir bienes, arrendar bienes muebles e inmuebles y contratar servicios, mediante adjudicación directa, cuando:</w:t>
      </w:r>
    </w:p>
    <w:p w:rsidR="00F54F22" w:rsidRPr="009052DB" w:rsidRDefault="00F54F22" w:rsidP="007633C9">
      <w:pPr>
        <w:pStyle w:val="INFOEM"/>
      </w:pPr>
      <w:r w:rsidRPr="009052DB">
        <w:t>…</w:t>
      </w:r>
    </w:p>
    <w:p w:rsidR="00F54F22" w:rsidRPr="009052DB" w:rsidRDefault="00F54F22" w:rsidP="007633C9">
      <w:pPr>
        <w:pStyle w:val="INFOEM"/>
      </w:pPr>
      <w:r w:rsidRPr="009052DB">
        <w:rPr>
          <w:b/>
        </w:rPr>
        <w:t>XI. El importe de la operación no rebase los montos establecidos en el Presupuesto de Egresos del Gobierno del Estado del ejercicio correspondiente</w:t>
      </w:r>
      <w:r w:rsidRPr="009052DB">
        <w:t>. Tratándose de arrendamientos de inmuebles se entenderá por importe de la operación el monto mensual de la renta.</w:t>
      </w:r>
    </w:p>
    <w:p w:rsidR="00F54F22" w:rsidRPr="009052DB" w:rsidRDefault="00F54F22" w:rsidP="007633C9">
      <w:pPr>
        <w:pStyle w:val="INFOEM"/>
      </w:pPr>
      <w:r w:rsidRPr="009052DB">
        <w:t>…</w:t>
      </w:r>
    </w:p>
    <w:p w:rsidR="007633C9" w:rsidRPr="009052DB" w:rsidRDefault="007633C9" w:rsidP="007633C9">
      <w:pPr>
        <w:pStyle w:val="INFOEM"/>
      </w:pPr>
      <w:r w:rsidRPr="009052DB">
        <w:rPr>
          <w:b/>
        </w:rPr>
        <w:t>Artículo 80.-</w:t>
      </w:r>
      <w:r w:rsidRPr="009052DB">
        <w:t xml:space="preserve"> </w:t>
      </w:r>
      <w:r w:rsidRPr="009052DB">
        <w:rPr>
          <w:b/>
        </w:rPr>
        <w:t xml:space="preserve">Los contratos pedido son aquellos instrumentos que permiten a las dependencias, </w:t>
      </w:r>
      <w:r w:rsidRPr="009052DB">
        <w:t>a las entidades, a los tribunales administrativos y a los ayuntamiento</w:t>
      </w:r>
      <w:r w:rsidRPr="009052DB">
        <w:rPr>
          <w:b/>
        </w:rPr>
        <w:t xml:space="preserve">s </w:t>
      </w:r>
      <w:r w:rsidRPr="009052DB">
        <w:rPr>
          <w:b/>
          <w:u w:val="single"/>
        </w:rPr>
        <w:t>adquirir bienes o contratar servicios por una cantidad que no exceda los montos establecidos para la adjudicación directa</w:t>
      </w:r>
      <w:r w:rsidRPr="009052DB">
        <w:rPr>
          <w:b/>
        </w:rPr>
        <w:t xml:space="preserve">, </w:t>
      </w:r>
      <w:r w:rsidRPr="009052DB">
        <w:t xml:space="preserve">de conformidad con lo previsto en la fracción XI del artículo 48 de la presente Ley.  </w:t>
      </w:r>
    </w:p>
    <w:p w:rsidR="007633C9" w:rsidRPr="009052DB" w:rsidRDefault="007633C9" w:rsidP="007633C9">
      <w:pPr>
        <w:pStyle w:val="INFOEM"/>
      </w:pPr>
      <w:r w:rsidRPr="009052DB">
        <w:t xml:space="preserve">Las dependencias deberán celebrar contratos pedido para la contratación de bienes o de servicios, que realicen al amparo de dicha fracción. </w:t>
      </w:r>
    </w:p>
    <w:p w:rsidR="002E4E38" w:rsidRPr="009052DB" w:rsidRDefault="007633C9" w:rsidP="002E4E38">
      <w:pPr>
        <w:pStyle w:val="INFOEM"/>
      </w:pPr>
      <w:r w:rsidRPr="009052DB">
        <w:rPr>
          <w:b/>
        </w:rPr>
        <w:t>Artículo 81.-</w:t>
      </w:r>
      <w:r w:rsidRPr="009052DB">
        <w:t xml:space="preserve"> </w:t>
      </w:r>
      <w:r w:rsidRPr="009052DB">
        <w:rPr>
          <w:b/>
        </w:rPr>
        <w:t>Los contratos abiertos son aquellos instrumentos que permiten a las dependencias,</w:t>
      </w:r>
      <w:r w:rsidRPr="009052DB">
        <w:t xml:space="preserve"> a las entidades, a los tribunales administrativos y a los ayuntamientos </w:t>
      </w:r>
      <w:r w:rsidRPr="009052DB">
        <w:rPr>
          <w:b/>
          <w:u w:val="single"/>
        </w:rPr>
        <w:t>adquirir bienes o contratar servicios por una cantidad y plazo indeterminados,</w:t>
      </w:r>
      <w:r w:rsidRPr="009052DB">
        <w:t xml:space="preserve"> </w:t>
      </w:r>
      <w:r w:rsidRPr="009052DB">
        <w:rPr>
          <w:b/>
          <w:u w:val="single"/>
        </w:rPr>
        <w:t>fijando mínimos y máximos</w:t>
      </w:r>
      <w:r w:rsidRPr="009052DB">
        <w:t>, dentro de la asignación presupuestal correspondiente, y en el caso de los Ayuntamientos con sujeción a las disposiciones legales correspondientes.</w:t>
      </w:r>
    </w:p>
    <w:p w:rsidR="007633C9" w:rsidRPr="009052DB" w:rsidRDefault="007633C9" w:rsidP="002E4E38">
      <w:pPr>
        <w:pStyle w:val="INFOEM"/>
      </w:pPr>
      <w:r w:rsidRPr="009052DB">
        <w:rPr>
          <w:b/>
        </w:rPr>
        <w:t xml:space="preserve">Artículo 82.- </w:t>
      </w:r>
      <w:r w:rsidRPr="009052DB">
        <w:t xml:space="preserve">Para la celebración de contratos abiertos se observará lo siguiente: </w:t>
      </w:r>
    </w:p>
    <w:p w:rsidR="007633C9" w:rsidRPr="009052DB" w:rsidRDefault="007633C9" w:rsidP="007633C9">
      <w:pPr>
        <w:pStyle w:val="INFOEM"/>
        <w:numPr>
          <w:ilvl w:val="0"/>
          <w:numId w:val="7"/>
        </w:numPr>
      </w:pPr>
      <w:r w:rsidRPr="009052DB">
        <w:lastRenderedPageBreak/>
        <w:t xml:space="preserve">Se deberá determinar, de manera previa a la iniciación del procedimiento adquisitivo correspondiente, la cantidad mínima y máxima de bienes por adquirir o el plazo mínimo y máximo de la prestación de servicios, así como la asignación presupuestal disponible. </w:t>
      </w:r>
    </w:p>
    <w:p w:rsidR="007633C9" w:rsidRPr="009052DB" w:rsidRDefault="007633C9" w:rsidP="007633C9">
      <w:pPr>
        <w:pStyle w:val="INFOEM"/>
        <w:numPr>
          <w:ilvl w:val="0"/>
          <w:numId w:val="7"/>
        </w:numPr>
      </w:pPr>
      <w:r w:rsidRPr="009052DB">
        <w:t xml:space="preserve"> El programa de suministro que formará parte del contrato establecerá las cantidades mínimas y máximas de los bienes o los plazos mínimos y máximos de prestación de servicios y, en su caso, los precios unitarios. </w:t>
      </w:r>
    </w:p>
    <w:p w:rsidR="007633C9" w:rsidRPr="009052DB" w:rsidRDefault="007633C9" w:rsidP="007633C9">
      <w:pPr>
        <w:pStyle w:val="INFOEM"/>
        <w:numPr>
          <w:ilvl w:val="0"/>
          <w:numId w:val="7"/>
        </w:numPr>
      </w:pPr>
      <w:r w:rsidRPr="009052DB">
        <w:t xml:space="preserve">En general, los contratos tendrán una vigencia que no excederá del ejercicio fiscal en que se suscriba. </w:t>
      </w:r>
    </w:p>
    <w:p w:rsidR="007633C9" w:rsidRPr="009052DB" w:rsidRDefault="007633C9" w:rsidP="007633C9">
      <w:pPr>
        <w:pStyle w:val="INFOEM"/>
        <w:numPr>
          <w:ilvl w:val="0"/>
          <w:numId w:val="7"/>
        </w:numPr>
      </w:pPr>
      <w:r w:rsidRPr="009052DB">
        <w:t>Podrá rebasar un ejercicio fiscal, en cuyo caso las contratantes, en sus programas anuales de adquisiciones, arrendamientos y servicios, deberán determinar tanto el presupuesto total, como el relativo a los ejercicios subsiguientes, en los que además de considerar los costos vigentes, tomarán en cuenta las previsiones necesarias para los ajustes de costos que aseguren la continuidad del suministro.</w:t>
      </w:r>
    </w:p>
    <w:p w:rsidR="007633C9" w:rsidRPr="009052DB" w:rsidRDefault="007633C9" w:rsidP="007633C9">
      <w:pPr>
        <w:pStyle w:val="INFOEM"/>
        <w:numPr>
          <w:ilvl w:val="0"/>
          <w:numId w:val="7"/>
        </w:numPr>
      </w:pPr>
      <w:r w:rsidRPr="009052DB">
        <w:t>El proveedor suministrará los bienes y los servicios en las cantidades y en las fechas que determine la contratante.</w:t>
      </w:r>
    </w:p>
    <w:p w:rsidR="007633C9" w:rsidRPr="009052DB" w:rsidRDefault="00BB158A" w:rsidP="002E4E38">
      <w:pPr>
        <w:spacing w:line="360" w:lineRule="auto"/>
        <w:jc w:val="both"/>
        <w:rPr>
          <w:rFonts w:ascii="Palatino Linotype" w:hAnsi="Palatino Linotype"/>
          <w:color w:val="000000"/>
          <w:sz w:val="24"/>
        </w:rPr>
      </w:pPr>
      <w:r w:rsidRPr="009052DB">
        <w:rPr>
          <w:rFonts w:ascii="Palatino Linotype" w:hAnsi="Palatino Linotype"/>
          <w:color w:val="000000"/>
          <w:sz w:val="24"/>
        </w:rPr>
        <w:t>Por su parte, el Reglamento de la Ley de Contratación antes referida establece que en el caso de ampliaciones de contrato, la empresa o persona debe presentar un escrito de sostenimiento:</w:t>
      </w:r>
    </w:p>
    <w:p w:rsidR="00BB158A" w:rsidRPr="009052DB" w:rsidRDefault="00BB158A" w:rsidP="00BB158A">
      <w:pPr>
        <w:pStyle w:val="INFOEM"/>
      </w:pPr>
      <w:r w:rsidRPr="009052DB">
        <w:t>Artículo 15.- A las solicitudes deberá adjuntarse la documentación e información que se señala a continuación y la adicional que le sea requerida por la Convocante:</w:t>
      </w:r>
    </w:p>
    <w:p w:rsidR="00BB158A" w:rsidRPr="009052DB" w:rsidRDefault="00BB158A" w:rsidP="00BB158A">
      <w:pPr>
        <w:pStyle w:val="INFOEM"/>
      </w:pPr>
      <w:r w:rsidRPr="009052DB">
        <w:t>…</w:t>
      </w:r>
    </w:p>
    <w:p w:rsidR="00BB158A" w:rsidRPr="009052DB" w:rsidRDefault="00BB158A" w:rsidP="00BB158A">
      <w:pPr>
        <w:pStyle w:val="INFOEM"/>
      </w:pPr>
      <w:r w:rsidRPr="009052DB">
        <w:lastRenderedPageBreak/>
        <w:t xml:space="preserve">d) En el caso de ampliaciones de contrato el escrito de sostenimiento de la empresa o persona física adjudicada.  </w:t>
      </w:r>
    </w:p>
    <w:p w:rsidR="002E4E38" w:rsidRPr="009052DB" w:rsidRDefault="002E4E38" w:rsidP="002E4E38">
      <w:pPr>
        <w:spacing w:line="360" w:lineRule="auto"/>
        <w:jc w:val="both"/>
        <w:rPr>
          <w:rFonts w:ascii="Palatino Linotype" w:hAnsi="Palatino Linotype"/>
          <w:color w:val="000000"/>
          <w:sz w:val="24"/>
        </w:rPr>
      </w:pPr>
      <w:r w:rsidRPr="009052DB">
        <w:rPr>
          <w:rFonts w:ascii="Palatino Linotype" w:hAnsi="Palatino Linotype"/>
          <w:color w:val="000000"/>
          <w:sz w:val="24"/>
        </w:rPr>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2E4E38" w:rsidRPr="009052DB" w:rsidRDefault="002E4E38" w:rsidP="002E4E38">
      <w:pPr>
        <w:spacing w:line="360" w:lineRule="auto"/>
        <w:jc w:val="both"/>
        <w:rPr>
          <w:rFonts w:ascii="Palatino Linotype" w:hAnsi="Palatino Linotype"/>
          <w:color w:val="000000"/>
          <w:sz w:val="24"/>
        </w:rPr>
      </w:pPr>
    </w:p>
    <w:p w:rsidR="002E4E38" w:rsidRPr="009052DB" w:rsidRDefault="002E4E38" w:rsidP="002E4E38">
      <w:pPr>
        <w:ind w:left="567" w:right="567"/>
        <w:jc w:val="both"/>
        <w:rPr>
          <w:rFonts w:ascii="Palatino Linotype" w:hAnsi="Palatino Linotype"/>
          <w:b/>
          <w:i/>
          <w:sz w:val="24"/>
        </w:rPr>
      </w:pPr>
      <w:r w:rsidRPr="009052DB">
        <w:rPr>
          <w:rFonts w:ascii="Palatino Linotype" w:hAnsi="Palatino Linotype"/>
          <w:b/>
          <w:i/>
          <w:sz w:val="24"/>
        </w:rPr>
        <w:t>Artículo 6</w:t>
      </w:r>
    </w:p>
    <w:p w:rsidR="002E4E38" w:rsidRPr="009052DB" w:rsidRDefault="002E4E38" w:rsidP="002E4E38">
      <w:pPr>
        <w:ind w:left="567" w:right="567"/>
        <w:jc w:val="both"/>
        <w:rPr>
          <w:rFonts w:ascii="Palatino Linotype" w:hAnsi="Palatino Linotype"/>
          <w:i/>
          <w:sz w:val="24"/>
        </w:rPr>
      </w:pPr>
      <w:r w:rsidRPr="009052DB">
        <w:rPr>
          <w:rFonts w:ascii="Palatino Linotype" w:hAnsi="Palatino Linotype"/>
          <w:i/>
          <w:sz w:val="24"/>
        </w:rPr>
        <w:t>…</w:t>
      </w:r>
    </w:p>
    <w:p w:rsidR="002E4E38" w:rsidRPr="009052DB" w:rsidRDefault="002E4E38" w:rsidP="002E4E38">
      <w:pPr>
        <w:ind w:left="567" w:right="567"/>
        <w:jc w:val="both"/>
        <w:rPr>
          <w:rFonts w:ascii="Palatino Linotype" w:hAnsi="Palatino Linotype"/>
          <w:i/>
          <w:sz w:val="24"/>
        </w:rPr>
      </w:pPr>
      <w:r w:rsidRPr="009052DB">
        <w:rPr>
          <w:rFonts w:ascii="Palatino Linotype" w:hAnsi="Palatino Linotype"/>
          <w:i/>
          <w:sz w:val="24"/>
        </w:rPr>
        <w:t>Para el ejercicio del derecho de acceso a la información, la Federación, los Estados y el Distrito Federal, en el ámbito de sus respectivas competencias, se regirán por los siguientes principios y bases:</w:t>
      </w:r>
    </w:p>
    <w:p w:rsidR="002E4E38" w:rsidRPr="009052DB" w:rsidRDefault="002E4E38" w:rsidP="002E4E38">
      <w:pPr>
        <w:ind w:left="567" w:right="567"/>
        <w:jc w:val="both"/>
        <w:rPr>
          <w:rFonts w:ascii="Palatino Linotype" w:hAnsi="Palatino Linotype"/>
          <w:i/>
          <w:sz w:val="24"/>
        </w:rPr>
      </w:pPr>
    </w:p>
    <w:p w:rsidR="002E4E38" w:rsidRPr="009052DB" w:rsidRDefault="002E4E38" w:rsidP="002E4E38">
      <w:pPr>
        <w:numPr>
          <w:ilvl w:val="0"/>
          <w:numId w:val="6"/>
        </w:numPr>
        <w:spacing w:after="0" w:line="240" w:lineRule="auto"/>
        <w:ind w:left="993" w:right="567"/>
        <w:jc w:val="both"/>
        <w:rPr>
          <w:rFonts w:ascii="Palatino Linotype" w:hAnsi="Palatino Linotype"/>
          <w:i/>
          <w:sz w:val="24"/>
        </w:rPr>
      </w:pPr>
      <w:r w:rsidRPr="009052DB">
        <w:rPr>
          <w:rFonts w:ascii="Palatino Linotype" w:hAnsi="Palatino Linotype"/>
          <w:i/>
          <w:sz w:val="24"/>
        </w:rPr>
        <w:t xml:space="preserve">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w:t>
      </w:r>
      <w:r w:rsidRPr="009052DB">
        <w:rPr>
          <w:rFonts w:ascii="Palatino Linotype" w:hAnsi="Palatino Linotype"/>
          <w:i/>
          <w:sz w:val="24"/>
        </w:rPr>
        <w:lastRenderedPageBreak/>
        <w:t>documentar todo acto que derive del ejercicio de sus facultades, competencias o funciones, la ley determinará los supuestos específicos bajo los cuales procederá la declaración de inexistencia de la información.</w:t>
      </w:r>
    </w:p>
    <w:p w:rsidR="002E4E38" w:rsidRPr="009052DB" w:rsidRDefault="002E4E38" w:rsidP="002E4E38">
      <w:pPr>
        <w:spacing w:line="360" w:lineRule="auto"/>
        <w:jc w:val="both"/>
        <w:rPr>
          <w:rFonts w:ascii="Palatino Linotype" w:hAnsi="Palatino Linotype"/>
          <w:sz w:val="24"/>
        </w:rPr>
      </w:pPr>
    </w:p>
    <w:p w:rsidR="002E4E38" w:rsidRPr="009052DB" w:rsidRDefault="002E4E38" w:rsidP="002E4E38">
      <w:pPr>
        <w:spacing w:line="360" w:lineRule="auto"/>
        <w:jc w:val="both"/>
        <w:rPr>
          <w:rFonts w:ascii="Palatino Linotype" w:hAnsi="Palatino Linotype" w:cs="Arial"/>
          <w:sz w:val="24"/>
        </w:rPr>
      </w:pPr>
      <w:r w:rsidRPr="009052DB">
        <w:rPr>
          <w:rFonts w:ascii="Palatino Linotype" w:hAnsi="Palatino Linotype" w:cs="Arial"/>
          <w:sz w:val="24"/>
        </w:rPr>
        <w:t xml:space="preserve">Por otro lado, en atención a lo dispuesto por los artículos 3, fracción XI y 12 </w:t>
      </w:r>
      <w:r w:rsidRPr="009052DB">
        <w:rPr>
          <w:rFonts w:ascii="Palatino Linotype" w:hAnsi="Palatino Linotype" w:cs="Arial"/>
          <w:bCs/>
          <w:sz w:val="24"/>
        </w:rPr>
        <w:t>de la Ley de Transparencia y Acceso a la Información Pública del Estado de México y Municipios</w:t>
      </w:r>
      <w:r w:rsidRPr="009052DB">
        <w:rPr>
          <w:rFonts w:ascii="Palatino Linotype" w:hAnsi="Palatino Linotype" w:cs="Arial"/>
          <w:sz w:val="24"/>
        </w:rPr>
        <w:t>, los cuales son del tenor literal siguiente:</w:t>
      </w:r>
    </w:p>
    <w:p w:rsidR="002E4E38" w:rsidRPr="009052DB" w:rsidRDefault="002E4E38" w:rsidP="002E4E38">
      <w:pPr>
        <w:ind w:left="567" w:right="567"/>
        <w:jc w:val="both"/>
        <w:rPr>
          <w:rFonts w:ascii="Palatino Linotype" w:hAnsi="Palatino Linotype"/>
          <w:sz w:val="24"/>
        </w:rPr>
      </w:pPr>
    </w:p>
    <w:p w:rsidR="002E4E38" w:rsidRPr="009052DB" w:rsidRDefault="002E4E38" w:rsidP="002E4E38">
      <w:pPr>
        <w:ind w:left="567" w:right="332"/>
        <w:jc w:val="both"/>
        <w:rPr>
          <w:rFonts w:ascii="Palatino Linotype" w:hAnsi="Palatino Linotype"/>
          <w:i/>
          <w:sz w:val="24"/>
        </w:rPr>
      </w:pPr>
      <w:r w:rsidRPr="009052DB">
        <w:rPr>
          <w:rFonts w:ascii="Palatino Linotype" w:hAnsi="Palatino Linotype"/>
          <w:b/>
          <w:bCs/>
          <w:i/>
          <w:sz w:val="24"/>
        </w:rPr>
        <w:t xml:space="preserve">Artículo 3.- </w:t>
      </w:r>
      <w:r w:rsidRPr="009052DB">
        <w:rPr>
          <w:rFonts w:ascii="Palatino Linotype" w:hAnsi="Palatino Linotype"/>
          <w:i/>
          <w:sz w:val="24"/>
        </w:rPr>
        <w:t>Para los efectos de la presente Ley se entenderá por:</w:t>
      </w:r>
    </w:p>
    <w:p w:rsidR="002E4E38" w:rsidRPr="009052DB" w:rsidRDefault="002E4E38" w:rsidP="002E4E38">
      <w:pPr>
        <w:ind w:left="567" w:right="332"/>
        <w:jc w:val="both"/>
        <w:rPr>
          <w:rFonts w:ascii="Palatino Linotype" w:hAnsi="Palatino Linotype"/>
          <w:i/>
          <w:sz w:val="24"/>
        </w:rPr>
      </w:pPr>
      <w:r w:rsidRPr="009052DB">
        <w:rPr>
          <w:rFonts w:ascii="Palatino Linotype" w:hAnsi="Palatino Linotype"/>
          <w:i/>
          <w:sz w:val="24"/>
        </w:rPr>
        <w:t>…</w:t>
      </w:r>
    </w:p>
    <w:p w:rsidR="002E4E38" w:rsidRPr="009052DB" w:rsidRDefault="002E4E38" w:rsidP="002E4E38">
      <w:pPr>
        <w:ind w:left="567" w:right="332"/>
        <w:jc w:val="both"/>
        <w:rPr>
          <w:rFonts w:ascii="Palatino Linotype" w:hAnsi="Palatino Linotype"/>
          <w:i/>
          <w:sz w:val="24"/>
        </w:rPr>
      </w:pPr>
      <w:r w:rsidRPr="009052DB">
        <w:rPr>
          <w:rFonts w:ascii="Palatino Linotype" w:hAnsi="Palatino Linotype"/>
          <w:b/>
          <w:i/>
          <w:sz w:val="24"/>
        </w:rPr>
        <w:t>XI.</w:t>
      </w:r>
      <w:r w:rsidRPr="009052DB">
        <w:rPr>
          <w:rFonts w:ascii="Palatino Linotype" w:hAnsi="Palatino Linotype"/>
          <w:i/>
          <w:sz w:val="24"/>
        </w:rPr>
        <w:t xml:space="preserve"> </w:t>
      </w:r>
      <w:r w:rsidRPr="009052DB">
        <w:rPr>
          <w:rFonts w:ascii="Palatino Linotype" w:hAnsi="Palatino Linotype"/>
          <w:b/>
          <w:i/>
          <w:sz w:val="24"/>
        </w:rPr>
        <w:t>Documento:</w:t>
      </w:r>
      <w:r w:rsidRPr="009052DB">
        <w:rPr>
          <w:rFonts w:ascii="Palatino Linotype" w:hAnsi="Palatino Linotype"/>
          <w:i/>
          <w:sz w:val="24"/>
        </w:rPr>
        <w:t xml:space="preserve"> Los expedientes, reportes, estudios, actas, resoluciones, oficios, correspondencia, acuerdos, directivas, directrices, circulares, contratos, convenios, instructivos, notas, memorandos, estadísticas o bien, </w:t>
      </w:r>
      <w:r w:rsidRPr="009052DB">
        <w:rPr>
          <w:rFonts w:ascii="Palatino Linotype" w:hAnsi="Palatino Linotype"/>
          <w:b/>
          <w:i/>
          <w:sz w:val="24"/>
          <w:u w:val="single"/>
        </w:rPr>
        <w:t>cualquier otro registro que documente el ejercicio de las facultades, funciones y competencias de los sujetos obligados, sus servidores públicos e integrantes, sin importar su fuente o fecha de elaboración.</w:t>
      </w:r>
      <w:r w:rsidRPr="009052DB">
        <w:rPr>
          <w:rFonts w:ascii="Palatino Linotype" w:hAnsi="Palatino Linotype"/>
          <w:i/>
          <w:sz w:val="24"/>
        </w:rPr>
        <w:t xml:space="preserve"> Los documentos podrán estar en cualquier medio, sea escrito, impreso, sonoro, visual, electrónico, informático u holográfico;</w:t>
      </w:r>
    </w:p>
    <w:p w:rsidR="002E4E38" w:rsidRPr="009052DB" w:rsidRDefault="002E4E38" w:rsidP="002E4E38">
      <w:pPr>
        <w:ind w:left="567" w:right="332"/>
        <w:jc w:val="both"/>
        <w:rPr>
          <w:rFonts w:ascii="Palatino Linotype" w:hAnsi="Palatino Linotype"/>
          <w:i/>
          <w:sz w:val="24"/>
        </w:rPr>
      </w:pPr>
    </w:p>
    <w:p w:rsidR="002E4E38" w:rsidRPr="009052DB" w:rsidRDefault="002E4E38" w:rsidP="002E4E38">
      <w:pPr>
        <w:ind w:left="567" w:right="332"/>
        <w:jc w:val="both"/>
        <w:rPr>
          <w:rFonts w:ascii="Palatino Linotype" w:hAnsi="Palatino Linotype"/>
          <w:i/>
          <w:sz w:val="24"/>
        </w:rPr>
      </w:pPr>
    </w:p>
    <w:p w:rsidR="002E4E38" w:rsidRPr="009052DB" w:rsidRDefault="002E4E38" w:rsidP="002E4E38">
      <w:pPr>
        <w:ind w:left="567" w:right="332"/>
        <w:jc w:val="both"/>
        <w:rPr>
          <w:rFonts w:ascii="Palatino Linotype" w:hAnsi="Palatino Linotype"/>
          <w:bCs/>
          <w:i/>
          <w:sz w:val="24"/>
        </w:rPr>
      </w:pPr>
      <w:r w:rsidRPr="009052DB">
        <w:rPr>
          <w:rFonts w:ascii="Palatino Linotype" w:hAnsi="Palatino Linotype"/>
          <w:b/>
          <w:bCs/>
          <w:i/>
          <w:sz w:val="24"/>
        </w:rPr>
        <w:t>Artículo 4.</w:t>
      </w:r>
      <w:r w:rsidRPr="009052DB">
        <w:rPr>
          <w:rFonts w:ascii="Palatino Linotype" w:hAnsi="Palatino Linotype"/>
          <w:bCs/>
          <w:i/>
          <w:sz w:val="24"/>
        </w:rPr>
        <w:t xml:space="preserve"> El derecho humano de acceso a la información pública es la prerrogativa de las personas para buscar, difundir, investigar, recabar, recibir y solicitar información pública, sin necesidad de acreditar personalidad ni interés jurídico.</w:t>
      </w:r>
    </w:p>
    <w:p w:rsidR="002E4E38" w:rsidRPr="009052DB" w:rsidRDefault="002E4E38" w:rsidP="002E4E38">
      <w:pPr>
        <w:ind w:left="567" w:right="332"/>
        <w:jc w:val="both"/>
        <w:rPr>
          <w:rFonts w:ascii="Palatino Linotype" w:hAnsi="Palatino Linotype"/>
          <w:bCs/>
          <w:i/>
          <w:sz w:val="24"/>
        </w:rPr>
      </w:pPr>
      <w:r w:rsidRPr="009052DB">
        <w:rPr>
          <w:rFonts w:ascii="Palatino Linotype" w:hAnsi="Palatino Linotype"/>
          <w:b/>
          <w:bCs/>
          <w:i/>
          <w:sz w:val="24"/>
          <w:u w:val="single"/>
        </w:rPr>
        <w:t>Toda la información generada, obtenida, adquirida, transformada, administrada o en posesión de los sujetos obligados es pública y accesible de manera permanente a cualquier persona,</w:t>
      </w:r>
      <w:r w:rsidRPr="009052DB">
        <w:rPr>
          <w:rFonts w:ascii="Palatino Linotype" w:hAnsi="Palatino Linotype"/>
          <w:bCs/>
          <w:i/>
          <w:sz w:val="24"/>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w:t>
      </w:r>
      <w:r w:rsidRPr="009052DB">
        <w:rPr>
          <w:rFonts w:ascii="Palatino Linotype" w:hAnsi="Palatino Linotype"/>
          <w:bCs/>
          <w:i/>
          <w:sz w:val="24"/>
        </w:rPr>
        <w:lastRenderedPageBreak/>
        <w:t>excepcionalmente como reservada temporalmente por razones de interés público, en los términos de las causas legítimas y estrictamente necesarias previstas por esta Ley.</w:t>
      </w:r>
    </w:p>
    <w:p w:rsidR="002E4E38" w:rsidRPr="009052DB" w:rsidRDefault="002E4E38" w:rsidP="002E4E38">
      <w:pPr>
        <w:ind w:left="567" w:right="332"/>
        <w:jc w:val="both"/>
        <w:rPr>
          <w:rFonts w:ascii="Palatino Linotype" w:hAnsi="Palatino Linotype"/>
          <w:bCs/>
          <w:i/>
          <w:sz w:val="24"/>
        </w:rPr>
      </w:pPr>
      <w:r w:rsidRPr="009052DB">
        <w:rPr>
          <w:rFonts w:ascii="Palatino Linotype" w:hAnsi="Palatino Linotype"/>
          <w:bCs/>
          <w:i/>
          <w:sz w:val="24"/>
        </w:rPr>
        <w:t>Los sujetos obligados deben poner en práctica, políticas y programas de acceso a la información que se apeguen a criterios de publicidad, veracidad, oportunidad, precisión y suficiencia en beneficio de los solicitantes.</w:t>
      </w:r>
    </w:p>
    <w:p w:rsidR="002E4E38" w:rsidRPr="009052DB" w:rsidRDefault="002E4E38" w:rsidP="002E4E38">
      <w:pPr>
        <w:ind w:left="567" w:right="332"/>
        <w:jc w:val="both"/>
        <w:rPr>
          <w:rFonts w:ascii="Palatino Linotype" w:hAnsi="Palatino Linotype"/>
          <w:i/>
          <w:sz w:val="24"/>
        </w:rPr>
      </w:pPr>
    </w:p>
    <w:p w:rsidR="002E4E38" w:rsidRPr="009052DB" w:rsidRDefault="002E4E38" w:rsidP="002E4E38">
      <w:pPr>
        <w:ind w:left="567" w:right="332"/>
        <w:jc w:val="both"/>
        <w:rPr>
          <w:rFonts w:ascii="Palatino Linotype" w:hAnsi="Palatino Linotype"/>
          <w:i/>
          <w:sz w:val="24"/>
        </w:rPr>
      </w:pPr>
      <w:r w:rsidRPr="009052DB">
        <w:rPr>
          <w:rFonts w:ascii="Palatino Linotype" w:hAnsi="Palatino Linotype"/>
          <w:b/>
          <w:i/>
          <w:sz w:val="24"/>
        </w:rPr>
        <w:t>Artículo 12.</w:t>
      </w:r>
      <w:r w:rsidRPr="009052DB">
        <w:rPr>
          <w:rFonts w:ascii="Palatino Linotype" w:hAnsi="Palatino Linotype"/>
          <w:i/>
          <w:sz w:val="24"/>
        </w:rPr>
        <w:t xml:space="preserve"> Quienes generen, recopilen, administren, manejen, procesen, archiven o conserven información pública serán responsables de la misma en los términos de las disposiciones jurídicas aplicables.</w:t>
      </w:r>
    </w:p>
    <w:p w:rsidR="002E4E38" w:rsidRPr="009052DB" w:rsidRDefault="002E4E38" w:rsidP="002E4E38">
      <w:pPr>
        <w:ind w:left="567" w:right="332"/>
        <w:jc w:val="both"/>
        <w:rPr>
          <w:rFonts w:ascii="Palatino Linotype" w:hAnsi="Palatino Linotype"/>
          <w:i/>
          <w:sz w:val="24"/>
          <w:u w:val="single"/>
        </w:rPr>
      </w:pPr>
      <w:r w:rsidRPr="009052DB">
        <w:rPr>
          <w:rFonts w:ascii="Palatino Linotype" w:hAnsi="Palatino Linotype"/>
          <w:b/>
          <w:i/>
          <w:sz w:val="24"/>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9052DB">
        <w:rPr>
          <w:rFonts w:ascii="Palatino Linotype" w:hAnsi="Palatino Linotype"/>
          <w:i/>
          <w:sz w:val="24"/>
        </w:rPr>
        <w:t>.</w:t>
      </w:r>
    </w:p>
    <w:p w:rsidR="002E4E38" w:rsidRPr="009052DB" w:rsidRDefault="002E4E38" w:rsidP="002E4E38">
      <w:pPr>
        <w:spacing w:line="360" w:lineRule="auto"/>
        <w:jc w:val="both"/>
        <w:rPr>
          <w:rFonts w:ascii="Palatino Linotype" w:hAnsi="Palatino Linotype"/>
          <w:sz w:val="24"/>
        </w:rPr>
      </w:pPr>
    </w:p>
    <w:p w:rsidR="002E4E38" w:rsidRPr="009052DB" w:rsidRDefault="002E4E38" w:rsidP="002E4E38">
      <w:pPr>
        <w:spacing w:line="360" w:lineRule="auto"/>
        <w:jc w:val="both"/>
        <w:rPr>
          <w:rFonts w:ascii="Palatino Linotype" w:hAnsi="Palatino Linotype"/>
          <w:sz w:val="24"/>
        </w:rPr>
      </w:pPr>
      <w:r w:rsidRPr="009052DB">
        <w:rPr>
          <w:rFonts w:ascii="Palatino Linotype" w:hAnsi="Palatino Linotype" w:cs="Arial"/>
          <w:sz w:val="24"/>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rsidR="002E4E38" w:rsidRPr="009052DB" w:rsidRDefault="002E4E38" w:rsidP="002E4E38">
      <w:pPr>
        <w:spacing w:line="360" w:lineRule="auto"/>
        <w:jc w:val="both"/>
        <w:rPr>
          <w:rFonts w:ascii="Palatino Linotype" w:hAnsi="Palatino Linotype" w:cs="Arial"/>
          <w:color w:val="000000"/>
          <w:sz w:val="24"/>
          <w:lang w:val="es-ES_tradnl"/>
        </w:rPr>
      </w:pPr>
      <w:r w:rsidRPr="009052DB">
        <w:rPr>
          <w:rFonts w:ascii="Palatino Linotype" w:hAnsi="Palatino Linotype" w:cs="Arial"/>
          <w:color w:val="000000"/>
          <w:sz w:val="24"/>
          <w:lang w:val="es-ES_tradnl"/>
        </w:rPr>
        <w:t>En síntesis, el derecho de acceso a la información pública se satisface en aquellos casos en que se entregue el soporte documental en que conste la información pública, toda vez que, los Sujetos Obligados</w:t>
      </w:r>
      <w:r w:rsidRPr="009052DB">
        <w:rPr>
          <w:rFonts w:ascii="Palatino Linotype" w:hAnsi="Palatino Linotype" w:cs="Arial"/>
          <w:b/>
          <w:color w:val="000000"/>
          <w:sz w:val="24"/>
          <w:lang w:val="es-ES_tradnl"/>
        </w:rPr>
        <w:t xml:space="preserve"> </w:t>
      </w:r>
      <w:r w:rsidRPr="009052DB">
        <w:rPr>
          <w:rFonts w:ascii="Palatino Linotype" w:hAnsi="Palatino Linotype" w:cs="Arial"/>
          <w:color w:val="000000"/>
          <w:sz w:val="24"/>
          <w:lang w:val="es-ES_tradnl"/>
        </w:rPr>
        <w:t xml:space="preserve">no tienen el deber de generar, poseer o administrar la información pública con el grado de detalle solicitado; esto es, que no tienen el deber </w:t>
      </w:r>
      <w:r w:rsidRPr="009052DB">
        <w:rPr>
          <w:rFonts w:ascii="Palatino Linotype" w:hAnsi="Palatino Linotype" w:cs="Arial"/>
          <w:color w:val="000000"/>
          <w:sz w:val="24"/>
          <w:lang w:val="es-ES_tradnl"/>
        </w:rPr>
        <w:lastRenderedPageBreak/>
        <w:t xml:space="preserve">de generar </w:t>
      </w:r>
      <w:r w:rsidRPr="009052DB">
        <w:rPr>
          <w:rFonts w:ascii="Palatino Linotype" w:hAnsi="Palatino Linotype" w:cs="Arial"/>
          <w:b/>
          <w:color w:val="000000"/>
          <w:sz w:val="24"/>
          <w:lang w:val="es-ES_tradnl"/>
        </w:rPr>
        <w:t xml:space="preserve">un documento </w:t>
      </w:r>
      <w:r w:rsidRPr="009052DB">
        <w:rPr>
          <w:rFonts w:ascii="Palatino Linotype" w:hAnsi="Palatino Linotype" w:cs="Arial"/>
          <w:b/>
          <w:i/>
          <w:color w:val="000000"/>
          <w:sz w:val="24"/>
          <w:lang w:val="es-ES_tradnl"/>
        </w:rPr>
        <w:t>ad hoc</w:t>
      </w:r>
      <w:r w:rsidRPr="009052DB">
        <w:rPr>
          <w:rFonts w:ascii="Palatino Linotype" w:hAnsi="Palatino Linotype" w:cs="Arial"/>
          <w:color w:val="000000"/>
          <w:sz w:val="24"/>
          <w:lang w:val="es-ES_tradnl"/>
        </w:rPr>
        <w:t>, para satisfacer el derecho de acceso a la información pública.</w:t>
      </w:r>
    </w:p>
    <w:p w:rsidR="002E4E38" w:rsidRPr="009052DB" w:rsidRDefault="002E4E38" w:rsidP="002E4E38">
      <w:pPr>
        <w:spacing w:line="360" w:lineRule="auto"/>
        <w:jc w:val="both"/>
        <w:rPr>
          <w:rFonts w:ascii="Palatino Linotype" w:hAnsi="Palatino Linotype" w:cs="Arial"/>
          <w:color w:val="000000"/>
          <w:sz w:val="24"/>
          <w:lang w:val="es-ES_tradnl"/>
        </w:rPr>
      </w:pPr>
    </w:p>
    <w:p w:rsidR="002E4E38" w:rsidRPr="009052DB" w:rsidRDefault="002E4E38" w:rsidP="002E4E38">
      <w:pPr>
        <w:spacing w:line="360" w:lineRule="auto"/>
        <w:jc w:val="both"/>
        <w:rPr>
          <w:rFonts w:ascii="Palatino Linotype" w:hAnsi="Palatino Linotype"/>
          <w:b/>
          <w:bCs/>
          <w:color w:val="000000"/>
          <w:sz w:val="24"/>
          <w:lang w:val="es-ES_tradnl"/>
        </w:rPr>
      </w:pPr>
      <w:r w:rsidRPr="009052DB">
        <w:rPr>
          <w:rFonts w:ascii="Palatino Linotype" w:hAnsi="Palatino Linotype" w:cs="Arial"/>
          <w:color w:val="000000"/>
          <w:sz w:val="24"/>
          <w:lang w:val="es-ES_tradnl"/>
        </w:rPr>
        <w:t xml:space="preserve">Como apoyo a lo anterior, es aplicable el Criterio orientador 03-17, emitido por </w:t>
      </w:r>
      <w:r w:rsidRPr="009052DB">
        <w:rPr>
          <w:rFonts w:ascii="Palatino Linotype" w:eastAsia="Arial Unicode MS" w:hAnsi="Palatino Linotype" w:cs="Arial"/>
          <w:color w:val="000000"/>
          <w:sz w:val="24"/>
          <w:lang w:val="es-ES_tradnl"/>
        </w:rPr>
        <w:t>el entonces Instituto Nacional de Transparencia, Acceso a la Información y Protección de Datos Personales,</w:t>
      </w:r>
      <w:r w:rsidRPr="009052DB">
        <w:rPr>
          <w:rFonts w:ascii="Palatino Linotype" w:hAnsi="Palatino Linotype"/>
          <w:bCs/>
          <w:color w:val="000000"/>
          <w:sz w:val="24"/>
          <w:lang w:val="es-ES_tradnl"/>
        </w:rPr>
        <w:t xml:space="preserve"> que dice:</w:t>
      </w:r>
      <w:r w:rsidRPr="009052DB">
        <w:rPr>
          <w:rFonts w:ascii="Palatino Linotype" w:hAnsi="Palatino Linotype"/>
          <w:b/>
          <w:bCs/>
          <w:color w:val="000000"/>
          <w:sz w:val="24"/>
          <w:lang w:val="es-ES_tradnl"/>
        </w:rPr>
        <w:t xml:space="preserve"> </w:t>
      </w:r>
    </w:p>
    <w:p w:rsidR="002E4E38" w:rsidRPr="009052DB" w:rsidRDefault="002E4E38" w:rsidP="002E4E38">
      <w:pPr>
        <w:spacing w:line="360" w:lineRule="auto"/>
        <w:jc w:val="both"/>
        <w:rPr>
          <w:rFonts w:ascii="Palatino Linotype" w:hAnsi="Palatino Linotype"/>
          <w:sz w:val="24"/>
          <w:lang w:val="es-ES_tradnl"/>
        </w:rPr>
      </w:pPr>
    </w:p>
    <w:p w:rsidR="002E4E38" w:rsidRPr="009052DB" w:rsidRDefault="002E4E38" w:rsidP="002E4E38">
      <w:pPr>
        <w:spacing w:line="360" w:lineRule="auto"/>
        <w:ind w:left="851" w:right="850"/>
        <w:jc w:val="both"/>
        <w:rPr>
          <w:rFonts w:ascii="Palatino Linotype" w:hAnsi="Palatino Linotype" w:cs="Arial"/>
          <w:color w:val="000000"/>
          <w:sz w:val="4"/>
          <w:lang w:val="es-ES_tradnl"/>
        </w:rPr>
      </w:pPr>
    </w:p>
    <w:p w:rsidR="002E4E38" w:rsidRPr="009052DB" w:rsidRDefault="002E4E38" w:rsidP="002E4E38">
      <w:pPr>
        <w:ind w:left="567" w:right="567"/>
        <w:jc w:val="both"/>
        <w:rPr>
          <w:rFonts w:ascii="Palatino Linotype" w:hAnsi="Palatino Linotype" w:cs="Arial"/>
          <w:i/>
          <w:color w:val="000000"/>
          <w:sz w:val="24"/>
          <w:lang w:val="es-ES_tradnl"/>
        </w:rPr>
      </w:pPr>
      <w:r w:rsidRPr="009052DB">
        <w:rPr>
          <w:rFonts w:ascii="Palatino Linotype" w:hAnsi="Palatino Linotype" w:cs="Arial"/>
          <w:b/>
          <w:i/>
          <w:color w:val="000000"/>
          <w:sz w:val="24"/>
          <w:lang w:val="es-ES_tradnl"/>
        </w:rPr>
        <w:t>No existe obligación de elaborar documentos ad hoc para atender las solicitudes de acceso a la información.</w:t>
      </w:r>
      <w:r w:rsidRPr="009052DB">
        <w:rPr>
          <w:rFonts w:ascii="Palatino Linotype" w:hAnsi="Palatino Linotype" w:cs="Arial"/>
          <w:i/>
          <w:color w:val="000000"/>
          <w:sz w:val="24"/>
          <w:lang w:val="es-ES_tradnl"/>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2E4E38" w:rsidRPr="009052DB" w:rsidRDefault="002E4E38" w:rsidP="002E4E38">
      <w:pPr>
        <w:ind w:left="567" w:right="567"/>
        <w:jc w:val="both"/>
        <w:rPr>
          <w:rFonts w:ascii="Palatino Linotype" w:hAnsi="Palatino Linotype" w:cs="Arial"/>
          <w:i/>
          <w:color w:val="000000"/>
          <w:sz w:val="4"/>
          <w:lang w:val="es-ES_tradnl"/>
        </w:rPr>
      </w:pPr>
    </w:p>
    <w:p w:rsidR="002E4E38" w:rsidRPr="009052DB" w:rsidRDefault="002E4E38" w:rsidP="002E4E38">
      <w:pPr>
        <w:spacing w:line="360" w:lineRule="auto"/>
        <w:jc w:val="both"/>
        <w:rPr>
          <w:rFonts w:ascii="Palatino Linotype" w:hAnsi="Palatino Linotype" w:cs="Arial"/>
          <w:noProof/>
          <w:color w:val="000000"/>
          <w:sz w:val="24"/>
        </w:rPr>
      </w:pPr>
      <w:r w:rsidRPr="009052DB">
        <w:rPr>
          <w:rFonts w:ascii="Palatino Linotype" w:hAnsi="Palatino Linotype" w:cs="Arial"/>
          <w:noProof/>
          <w:color w:val="000000"/>
          <w:sz w:val="24"/>
        </w:rPr>
        <w:t xml:space="preserve">Con base en lo anteriormente expuesto, se arriba a la conclusión de que </w:t>
      </w:r>
      <w:r w:rsidRPr="009052DB">
        <w:rPr>
          <w:rFonts w:ascii="Palatino Linotype" w:hAnsi="Palatino Linotype" w:cs="Arial"/>
          <w:b/>
          <w:noProof/>
          <w:color w:val="000000"/>
          <w:sz w:val="24"/>
        </w:rPr>
        <w:t xml:space="preserve">Sujeto Obligado </w:t>
      </w:r>
      <w:r w:rsidRPr="009052DB">
        <w:rPr>
          <w:rFonts w:ascii="Palatino Linotype" w:hAnsi="Palatino Linotype" w:cs="Arial"/>
          <w:noProof/>
          <w:color w:val="000000"/>
          <w:sz w:val="24"/>
        </w:rPr>
        <w:t>no</w:t>
      </w:r>
      <w:r w:rsidRPr="009052DB">
        <w:rPr>
          <w:rFonts w:ascii="Palatino Linotype" w:hAnsi="Palatino Linotype" w:cs="Arial"/>
          <w:b/>
          <w:noProof/>
          <w:color w:val="000000"/>
          <w:sz w:val="24"/>
        </w:rPr>
        <w:t xml:space="preserve"> </w:t>
      </w:r>
      <w:r w:rsidRPr="009052DB">
        <w:rPr>
          <w:rFonts w:ascii="Palatino Linotype" w:hAnsi="Palatino Linotype" w:cs="Arial"/>
          <w:noProof/>
          <w:color w:val="000000"/>
          <w:sz w:val="24"/>
        </w:rPr>
        <w:t xml:space="preserve">colmó el derecho de acceso a la información ejercido por el particular. </w:t>
      </w:r>
    </w:p>
    <w:p w:rsidR="002E4E38" w:rsidRPr="009052DB" w:rsidRDefault="002E4E38" w:rsidP="002E4E38">
      <w:pPr>
        <w:tabs>
          <w:tab w:val="left" w:pos="709"/>
        </w:tabs>
        <w:spacing w:line="360" w:lineRule="auto"/>
        <w:jc w:val="both"/>
        <w:rPr>
          <w:rFonts w:ascii="Palatino Linotype" w:eastAsiaTheme="minorHAnsi" w:hAnsi="Palatino Linotype" w:cstheme="minorBidi"/>
          <w:b/>
          <w:i/>
          <w:sz w:val="28"/>
          <w:szCs w:val="28"/>
          <w:lang w:eastAsia="en-US"/>
        </w:rPr>
      </w:pPr>
    </w:p>
    <w:p w:rsidR="002E4E38" w:rsidRPr="009052DB" w:rsidRDefault="002E4E38" w:rsidP="002E4E38">
      <w:pPr>
        <w:tabs>
          <w:tab w:val="left" w:pos="709"/>
        </w:tabs>
        <w:spacing w:line="360" w:lineRule="auto"/>
        <w:jc w:val="both"/>
        <w:rPr>
          <w:rFonts w:ascii="Palatino Linotype" w:eastAsiaTheme="minorHAnsi" w:hAnsi="Palatino Linotype" w:cstheme="minorBidi"/>
          <w:b/>
          <w:i/>
          <w:sz w:val="28"/>
          <w:szCs w:val="28"/>
          <w:lang w:eastAsia="en-US"/>
        </w:rPr>
      </w:pPr>
      <w:r w:rsidRPr="009052DB">
        <w:rPr>
          <w:rFonts w:ascii="Palatino Linotype" w:eastAsiaTheme="minorHAnsi" w:hAnsi="Palatino Linotype" w:cstheme="minorBidi"/>
          <w:b/>
          <w:i/>
          <w:sz w:val="28"/>
          <w:szCs w:val="28"/>
          <w:lang w:eastAsia="en-US"/>
        </w:rPr>
        <w:t>De la declaratoria de inexistencia</w:t>
      </w:r>
    </w:p>
    <w:p w:rsidR="002E4E38" w:rsidRPr="009052DB" w:rsidRDefault="002E4E38" w:rsidP="002E4E38">
      <w:pPr>
        <w:tabs>
          <w:tab w:val="left" w:pos="709"/>
        </w:tabs>
        <w:spacing w:line="360" w:lineRule="auto"/>
        <w:jc w:val="both"/>
        <w:rPr>
          <w:rFonts w:ascii="Palatino Linotype" w:eastAsiaTheme="minorHAnsi" w:hAnsi="Palatino Linotype" w:cstheme="minorBidi"/>
          <w:sz w:val="24"/>
          <w:szCs w:val="24"/>
          <w:lang w:eastAsia="en-US"/>
        </w:rPr>
      </w:pPr>
      <w:r w:rsidRPr="009052DB">
        <w:rPr>
          <w:rFonts w:ascii="Palatino Linotype" w:eastAsiaTheme="minorHAnsi" w:hAnsi="Palatino Linotype" w:cstheme="minorBidi"/>
          <w:bCs/>
          <w:sz w:val="24"/>
          <w:szCs w:val="24"/>
          <w:lang w:eastAsia="en-US"/>
        </w:rPr>
        <w:lastRenderedPageBreak/>
        <w:t xml:space="preserve">Declaratoria que </w:t>
      </w:r>
      <w:r w:rsidRPr="009052DB">
        <w:rPr>
          <w:rFonts w:ascii="Palatino Linotype" w:eastAsiaTheme="minorHAnsi" w:hAnsi="Palatino Linotype" w:cstheme="minorBidi"/>
          <w:sz w:val="24"/>
          <w:szCs w:val="24"/>
          <w:lang w:eastAsia="en-US"/>
        </w:rPr>
        <w:t>deberá realizarse conforme a lo establecido en lo dispuesto por los artículos 19, 49 fracciones II y XIII, 169 y 170 de la Ley de Transparencia y Acceso a la Información Pública del Estado de México y Municipios, cuyo contenido es el siguiente:</w:t>
      </w:r>
    </w:p>
    <w:p w:rsidR="002E4E38" w:rsidRPr="009052DB" w:rsidRDefault="002E4E38" w:rsidP="002E4E38">
      <w:pPr>
        <w:tabs>
          <w:tab w:val="left" w:pos="709"/>
        </w:tabs>
        <w:spacing w:before="240" w:line="360" w:lineRule="auto"/>
        <w:ind w:left="851" w:right="851"/>
        <w:jc w:val="both"/>
        <w:rPr>
          <w:rFonts w:ascii="Palatino Linotype" w:eastAsiaTheme="minorHAnsi" w:hAnsi="Palatino Linotype" w:cstheme="minorBidi"/>
          <w:i/>
          <w:szCs w:val="24"/>
          <w:lang w:eastAsia="en-US"/>
        </w:rPr>
      </w:pPr>
      <w:r w:rsidRPr="009052DB">
        <w:rPr>
          <w:rFonts w:ascii="Palatino Linotype" w:eastAsiaTheme="minorHAnsi" w:hAnsi="Palatino Linotype" w:cstheme="minorBidi"/>
          <w:b/>
          <w:bCs/>
          <w:i/>
          <w:iCs/>
          <w:szCs w:val="24"/>
          <w:lang w:eastAsia="en-US"/>
        </w:rPr>
        <w:t xml:space="preserve">“Artículo 19. </w:t>
      </w:r>
      <w:r w:rsidRPr="009052DB">
        <w:rPr>
          <w:rFonts w:ascii="Palatino Linotype" w:eastAsiaTheme="minorHAnsi" w:hAnsi="Palatino Linotype" w:cstheme="minorBidi"/>
          <w:i/>
          <w:iCs/>
          <w:szCs w:val="24"/>
          <w:u w:val="single"/>
          <w:lang w:eastAsia="en-US"/>
        </w:rPr>
        <w:t>Se presume que la información debe existir si se refiere a las facultades, competencias y funciones que los ordenamientos jurídicos aplicables otorgan a los sujetos obligados. </w:t>
      </w:r>
    </w:p>
    <w:p w:rsidR="002E4E38" w:rsidRPr="009052DB" w:rsidRDefault="002E4E38" w:rsidP="002E4E38">
      <w:pPr>
        <w:tabs>
          <w:tab w:val="left" w:pos="709"/>
        </w:tabs>
        <w:spacing w:before="240" w:line="360" w:lineRule="auto"/>
        <w:ind w:left="851" w:right="851"/>
        <w:jc w:val="both"/>
        <w:rPr>
          <w:rFonts w:ascii="Palatino Linotype" w:eastAsiaTheme="minorHAnsi" w:hAnsi="Palatino Linotype" w:cstheme="minorBidi"/>
          <w:i/>
          <w:szCs w:val="24"/>
          <w:lang w:eastAsia="en-US"/>
        </w:rPr>
      </w:pPr>
      <w:r w:rsidRPr="009052DB">
        <w:rPr>
          <w:rFonts w:ascii="Palatino Linotype" w:eastAsiaTheme="minorHAnsi" w:hAnsi="Palatino Linotype" w:cstheme="minorBidi"/>
          <w:i/>
          <w:iCs/>
          <w:szCs w:val="24"/>
          <w:lang w:eastAsia="en-US"/>
        </w:rPr>
        <w:t>(…)</w:t>
      </w:r>
    </w:p>
    <w:p w:rsidR="002E4E38" w:rsidRPr="009052DB" w:rsidRDefault="002E4E38" w:rsidP="002E4E38">
      <w:pPr>
        <w:tabs>
          <w:tab w:val="left" w:pos="709"/>
        </w:tabs>
        <w:spacing w:before="240" w:line="360" w:lineRule="auto"/>
        <w:ind w:left="851" w:right="851"/>
        <w:jc w:val="both"/>
        <w:rPr>
          <w:rFonts w:ascii="Palatino Linotype" w:eastAsiaTheme="minorHAnsi" w:hAnsi="Palatino Linotype" w:cstheme="minorBidi"/>
          <w:i/>
          <w:szCs w:val="24"/>
          <w:lang w:eastAsia="en-US"/>
        </w:rPr>
      </w:pPr>
      <w:r w:rsidRPr="009052DB">
        <w:rPr>
          <w:rFonts w:ascii="Palatino Linotype" w:eastAsiaTheme="minorHAnsi" w:hAnsi="Palatino Linotype" w:cstheme="minorBidi"/>
          <w:i/>
          <w:iCs/>
          <w:szCs w:val="24"/>
          <w:lang w:eastAsia="en-US"/>
        </w:rPr>
        <w:t xml:space="preserve">Si el sujeto obligado, en el ejercicio de sus atribuciones, debía generar, poseer o administrar la información, pero ésta no se encuentra, </w:t>
      </w:r>
      <w:r w:rsidRPr="009052DB">
        <w:rPr>
          <w:rFonts w:ascii="Palatino Linotype" w:eastAsiaTheme="minorHAnsi" w:hAnsi="Palatino Linotype" w:cstheme="minorBidi"/>
          <w:i/>
          <w:iCs/>
          <w:szCs w:val="24"/>
          <w:u w:val="single"/>
          <w:lang w:eastAsia="en-US"/>
        </w:rPr>
        <w:t>el Comité de transparencia deberá emitir un acuerdo de inexistencia, debidamente fundado y motivado, en el que detalle las razones del por qué no obra en sus archivos.</w:t>
      </w:r>
    </w:p>
    <w:p w:rsidR="002E4E38" w:rsidRPr="009052DB" w:rsidRDefault="002E4E38" w:rsidP="002E4E38">
      <w:pPr>
        <w:tabs>
          <w:tab w:val="left" w:pos="709"/>
        </w:tabs>
        <w:spacing w:before="240" w:line="360" w:lineRule="auto"/>
        <w:ind w:left="851" w:right="851"/>
        <w:jc w:val="both"/>
        <w:rPr>
          <w:rFonts w:ascii="Palatino Linotype" w:eastAsiaTheme="minorHAnsi" w:hAnsi="Palatino Linotype" w:cstheme="minorBidi"/>
          <w:i/>
          <w:szCs w:val="24"/>
          <w:lang w:eastAsia="en-US"/>
        </w:rPr>
      </w:pPr>
      <w:r w:rsidRPr="009052DB">
        <w:rPr>
          <w:rFonts w:ascii="Palatino Linotype" w:eastAsiaTheme="minorHAnsi" w:hAnsi="Palatino Linotype" w:cstheme="minorBidi"/>
          <w:b/>
          <w:bCs/>
          <w:i/>
          <w:iCs/>
          <w:szCs w:val="24"/>
          <w:lang w:eastAsia="en-US"/>
        </w:rPr>
        <w:t>Artículo 49.</w:t>
      </w:r>
      <w:r w:rsidRPr="009052DB">
        <w:rPr>
          <w:rFonts w:ascii="Palatino Linotype" w:eastAsiaTheme="minorHAnsi" w:hAnsi="Palatino Linotype" w:cstheme="minorBidi"/>
          <w:i/>
          <w:iCs/>
          <w:szCs w:val="24"/>
          <w:lang w:eastAsia="en-US"/>
        </w:rPr>
        <w:t xml:space="preserve"> Los </w:t>
      </w:r>
      <w:r w:rsidRPr="009052DB">
        <w:rPr>
          <w:rFonts w:ascii="Palatino Linotype" w:eastAsiaTheme="minorHAnsi" w:hAnsi="Palatino Linotype" w:cstheme="minorBidi"/>
          <w:i/>
          <w:iCs/>
          <w:szCs w:val="24"/>
          <w:u w:val="single"/>
          <w:lang w:eastAsia="en-US"/>
        </w:rPr>
        <w:t xml:space="preserve">Comités de Transparencia </w:t>
      </w:r>
      <w:r w:rsidRPr="009052DB">
        <w:rPr>
          <w:rFonts w:ascii="Palatino Linotype" w:eastAsiaTheme="minorHAnsi" w:hAnsi="Palatino Linotype" w:cstheme="minorBidi"/>
          <w:i/>
          <w:iCs/>
          <w:szCs w:val="24"/>
          <w:lang w:eastAsia="en-US"/>
        </w:rPr>
        <w:t>tendrán las siguientes atribuciones:</w:t>
      </w:r>
    </w:p>
    <w:p w:rsidR="002E4E38" w:rsidRPr="009052DB" w:rsidRDefault="002E4E38" w:rsidP="002E4E38">
      <w:pPr>
        <w:tabs>
          <w:tab w:val="left" w:pos="709"/>
        </w:tabs>
        <w:spacing w:before="240" w:line="360" w:lineRule="auto"/>
        <w:ind w:left="851" w:right="851"/>
        <w:jc w:val="both"/>
        <w:rPr>
          <w:rFonts w:ascii="Palatino Linotype" w:eastAsiaTheme="minorHAnsi" w:hAnsi="Palatino Linotype" w:cstheme="minorBidi"/>
          <w:i/>
          <w:szCs w:val="24"/>
          <w:lang w:eastAsia="en-US"/>
        </w:rPr>
      </w:pPr>
      <w:r w:rsidRPr="009052DB">
        <w:rPr>
          <w:rFonts w:ascii="Palatino Linotype" w:eastAsiaTheme="minorHAnsi" w:hAnsi="Palatino Linotype" w:cstheme="minorBidi"/>
          <w:i/>
          <w:szCs w:val="24"/>
          <w:lang w:eastAsia="en-US"/>
        </w:rPr>
        <w:t>II. Confirmar, modificar o revocar las determinaciones que en materia de ampliación del plazo de respuesta, clasificación de la información</w:t>
      </w:r>
      <w:r w:rsidRPr="009052DB">
        <w:rPr>
          <w:rFonts w:ascii="Palatino Linotype" w:eastAsiaTheme="minorHAnsi" w:hAnsi="Palatino Linotype" w:cstheme="minorBidi"/>
          <w:i/>
          <w:szCs w:val="24"/>
          <w:u w:val="single"/>
          <w:lang w:eastAsia="en-US"/>
        </w:rPr>
        <w:t xml:space="preserve"> y declaración de inexistencia </w:t>
      </w:r>
      <w:r w:rsidRPr="009052DB">
        <w:rPr>
          <w:rFonts w:ascii="Palatino Linotype" w:eastAsiaTheme="minorHAnsi" w:hAnsi="Palatino Linotype" w:cstheme="minorBidi"/>
          <w:i/>
          <w:szCs w:val="24"/>
          <w:lang w:eastAsia="en-US"/>
        </w:rPr>
        <w:t>o de incompetencia realicen los titulares de las áreas de los sujetos obligados;</w:t>
      </w:r>
    </w:p>
    <w:p w:rsidR="002E4E38" w:rsidRPr="009052DB" w:rsidRDefault="002E4E38" w:rsidP="002E4E38">
      <w:pPr>
        <w:tabs>
          <w:tab w:val="left" w:pos="709"/>
        </w:tabs>
        <w:spacing w:before="240" w:line="360" w:lineRule="auto"/>
        <w:ind w:left="851" w:right="851"/>
        <w:jc w:val="both"/>
        <w:rPr>
          <w:rFonts w:ascii="Palatino Linotype" w:eastAsiaTheme="minorHAnsi" w:hAnsi="Palatino Linotype" w:cstheme="minorBidi"/>
          <w:i/>
          <w:szCs w:val="24"/>
          <w:lang w:eastAsia="en-US"/>
        </w:rPr>
      </w:pPr>
      <w:r w:rsidRPr="009052DB">
        <w:rPr>
          <w:rFonts w:ascii="Palatino Linotype" w:eastAsiaTheme="minorHAnsi" w:hAnsi="Palatino Linotype" w:cstheme="minorBidi"/>
          <w:i/>
          <w:szCs w:val="24"/>
          <w:lang w:eastAsia="en-US"/>
        </w:rPr>
        <w:t xml:space="preserve">XIII. </w:t>
      </w:r>
      <w:r w:rsidRPr="009052DB">
        <w:rPr>
          <w:rFonts w:ascii="Palatino Linotype" w:eastAsiaTheme="minorHAnsi" w:hAnsi="Palatino Linotype" w:cstheme="minorBidi"/>
          <w:i/>
          <w:szCs w:val="24"/>
          <w:u w:val="single"/>
          <w:lang w:eastAsia="en-US"/>
        </w:rPr>
        <w:t>Dictaminar las declaratorias de inexistencia de la información que les remitan las unidades administrativas y resolver en consecuencia</w:t>
      </w:r>
      <w:r w:rsidRPr="009052DB">
        <w:rPr>
          <w:rFonts w:ascii="Palatino Linotype" w:eastAsiaTheme="minorHAnsi" w:hAnsi="Palatino Linotype" w:cstheme="minorBidi"/>
          <w:i/>
          <w:szCs w:val="24"/>
          <w:lang w:eastAsia="en-US"/>
        </w:rPr>
        <w:t>;</w:t>
      </w:r>
    </w:p>
    <w:p w:rsidR="002E4E38" w:rsidRPr="009052DB" w:rsidRDefault="002E4E38" w:rsidP="002E4E38">
      <w:pPr>
        <w:tabs>
          <w:tab w:val="left" w:pos="709"/>
        </w:tabs>
        <w:spacing w:before="240" w:line="360" w:lineRule="auto"/>
        <w:ind w:left="851" w:right="851"/>
        <w:jc w:val="both"/>
        <w:rPr>
          <w:rFonts w:ascii="Palatino Linotype" w:eastAsiaTheme="minorHAnsi" w:hAnsi="Palatino Linotype" w:cstheme="minorBidi"/>
          <w:b/>
          <w:i/>
          <w:szCs w:val="24"/>
          <w:u w:val="single"/>
          <w:lang w:eastAsia="en-US"/>
        </w:rPr>
      </w:pPr>
      <w:r w:rsidRPr="009052DB">
        <w:rPr>
          <w:rFonts w:ascii="Palatino Linotype" w:eastAsiaTheme="minorHAnsi" w:hAnsi="Palatino Linotype" w:cstheme="minorBidi"/>
          <w:b/>
          <w:i/>
          <w:u w:val="single"/>
          <w:lang w:eastAsia="en-US"/>
        </w:rPr>
        <w:t>Artículo 169. Cuando la información no se encuentre en los archivos del sujeto obligado, el Comité de Transparencia:</w:t>
      </w:r>
    </w:p>
    <w:p w:rsidR="002E4E38" w:rsidRPr="009052DB" w:rsidRDefault="002E4E38" w:rsidP="002E4E38">
      <w:pPr>
        <w:tabs>
          <w:tab w:val="left" w:pos="709"/>
        </w:tabs>
        <w:spacing w:before="240" w:line="360" w:lineRule="auto"/>
        <w:ind w:left="851" w:right="851"/>
        <w:jc w:val="both"/>
        <w:rPr>
          <w:rFonts w:ascii="Palatino Linotype" w:eastAsiaTheme="minorHAnsi" w:hAnsi="Palatino Linotype" w:cstheme="minorBidi"/>
          <w:b/>
          <w:i/>
          <w:szCs w:val="24"/>
          <w:lang w:eastAsia="en-US"/>
        </w:rPr>
      </w:pPr>
      <w:r w:rsidRPr="009052DB">
        <w:rPr>
          <w:rFonts w:ascii="Palatino Linotype" w:eastAsiaTheme="minorHAnsi" w:hAnsi="Palatino Linotype" w:cstheme="minorBidi"/>
          <w:b/>
          <w:bCs/>
          <w:i/>
          <w:szCs w:val="24"/>
          <w:lang w:eastAsia="en-US"/>
        </w:rPr>
        <w:t xml:space="preserve">I. </w:t>
      </w:r>
      <w:r w:rsidRPr="009052DB">
        <w:rPr>
          <w:rFonts w:ascii="Palatino Linotype" w:eastAsiaTheme="minorHAnsi" w:hAnsi="Palatino Linotype" w:cstheme="minorBidi"/>
          <w:i/>
          <w:szCs w:val="24"/>
          <w:u w:val="single"/>
          <w:lang w:eastAsia="en-US"/>
        </w:rPr>
        <w:t>Analizará el caso y tomará las medidas necesarias para localizar la información;</w:t>
      </w:r>
    </w:p>
    <w:p w:rsidR="002E4E38" w:rsidRPr="009052DB" w:rsidRDefault="002E4E38" w:rsidP="002E4E38">
      <w:pPr>
        <w:tabs>
          <w:tab w:val="left" w:pos="709"/>
        </w:tabs>
        <w:spacing w:before="240" w:line="360" w:lineRule="auto"/>
        <w:ind w:left="851" w:right="851"/>
        <w:jc w:val="both"/>
        <w:rPr>
          <w:rFonts w:ascii="Palatino Linotype" w:eastAsiaTheme="minorHAnsi" w:hAnsi="Palatino Linotype" w:cstheme="minorBidi"/>
          <w:b/>
          <w:i/>
          <w:szCs w:val="24"/>
          <w:lang w:eastAsia="en-US"/>
        </w:rPr>
      </w:pPr>
      <w:r w:rsidRPr="009052DB">
        <w:rPr>
          <w:rFonts w:ascii="Palatino Linotype" w:eastAsiaTheme="minorHAnsi" w:hAnsi="Palatino Linotype" w:cstheme="minorBidi"/>
          <w:b/>
          <w:bCs/>
          <w:i/>
          <w:szCs w:val="24"/>
          <w:lang w:eastAsia="en-US"/>
        </w:rPr>
        <w:lastRenderedPageBreak/>
        <w:t xml:space="preserve">II. </w:t>
      </w:r>
      <w:r w:rsidRPr="009052DB">
        <w:rPr>
          <w:rFonts w:ascii="Palatino Linotype" w:eastAsiaTheme="minorHAnsi" w:hAnsi="Palatino Linotype" w:cstheme="minorBidi"/>
          <w:i/>
          <w:szCs w:val="24"/>
          <w:u w:val="single"/>
          <w:lang w:eastAsia="en-US"/>
        </w:rPr>
        <w:t>Expedirá una resolución que confirme la inexistencia del documento;</w:t>
      </w:r>
    </w:p>
    <w:p w:rsidR="002E4E38" w:rsidRPr="009052DB" w:rsidRDefault="002E4E38" w:rsidP="002E4E38">
      <w:pPr>
        <w:tabs>
          <w:tab w:val="left" w:pos="709"/>
        </w:tabs>
        <w:spacing w:before="240" w:line="360" w:lineRule="auto"/>
        <w:ind w:left="851" w:right="851"/>
        <w:jc w:val="both"/>
        <w:rPr>
          <w:rFonts w:ascii="Palatino Linotype" w:eastAsiaTheme="minorHAnsi" w:hAnsi="Palatino Linotype" w:cstheme="minorBidi"/>
          <w:b/>
          <w:i/>
          <w:szCs w:val="24"/>
          <w:lang w:eastAsia="en-US"/>
        </w:rPr>
      </w:pPr>
      <w:r w:rsidRPr="009052DB">
        <w:rPr>
          <w:rFonts w:ascii="Palatino Linotype" w:eastAsiaTheme="minorHAnsi" w:hAnsi="Palatino Linotype" w:cstheme="minorBidi"/>
          <w:b/>
          <w:bCs/>
          <w:i/>
          <w:szCs w:val="24"/>
          <w:lang w:eastAsia="en-US"/>
        </w:rPr>
        <w:t xml:space="preserve">III. </w:t>
      </w:r>
      <w:r w:rsidRPr="009052DB">
        <w:rPr>
          <w:rFonts w:ascii="Palatino Linotype" w:eastAsiaTheme="minorHAnsi" w:hAnsi="Palatino Linotype" w:cstheme="minorBidi"/>
          <w:i/>
          <w:szCs w:val="24"/>
          <w:u w:val="single"/>
          <w:lang w:eastAsia="en-US"/>
        </w:rPr>
        <w:t>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p w:rsidR="002E4E38" w:rsidRPr="009052DB" w:rsidRDefault="002E4E38" w:rsidP="002E4E38">
      <w:pPr>
        <w:tabs>
          <w:tab w:val="left" w:pos="709"/>
        </w:tabs>
        <w:spacing w:before="240" w:line="360" w:lineRule="auto"/>
        <w:ind w:left="851" w:right="851"/>
        <w:jc w:val="both"/>
        <w:rPr>
          <w:rFonts w:ascii="Palatino Linotype" w:eastAsiaTheme="minorHAnsi" w:hAnsi="Palatino Linotype" w:cstheme="minorBidi"/>
          <w:i/>
          <w:szCs w:val="24"/>
          <w:u w:val="single"/>
          <w:lang w:eastAsia="en-US"/>
        </w:rPr>
      </w:pPr>
      <w:r w:rsidRPr="009052DB">
        <w:rPr>
          <w:rFonts w:ascii="Palatino Linotype" w:eastAsiaTheme="minorHAnsi" w:hAnsi="Palatino Linotype" w:cstheme="minorBidi"/>
          <w:b/>
          <w:bCs/>
          <w:i/>
          <w:szCs w:val="24"/>
          <w:lang w:eastAsia="en-US"/>
        </w:rPr>
        <w:t xml:space="preserve">IV. </w:t>
      </w:r>
      <w:r w:rsidRPr="009052DB">
        <w:rPr>
          <w:rFonts w:ascii="Palatino Linotype" w:eastAsiaTheme="minorHAnsi" w:hAnsi="Palatino Linotype" w:cstheme="minorBidi"/>
          <w:i/>
          <w:szCs w:val="24"/>
          <w:u w:val="single"/>
          <w:lang w:eastAsia="en-US"/>
        </w:rPr>
        <w:t>Notificará al órgano interno de control o equivalente del sujeto obligado quien, en su caso, deberá iniciar el procedimiento de responsabilidad administrativa que corresponda.</w:t>
      </w:r>
    </w:p>
    <w:p w:rsidR="002E4E38" w:rsidRPr="009052DB" w:rsidRDefault="002E4E38" w:rsidP="002E4E38">
      <w:pPr>
        <w:tabs>
          <w:tab w:val="left" w:pos="709"/>
        </w:tabs>
        <w:spacing w:before="240" w:line="360" w:lineRule="auto"/>
        <w:ind w:left="851" w:right="851"/>
        <w:jc w:val="both"/>
        <w:rPr>
          <w:rFonts w:ascii="Palatino Linotype" w:eastAsiaTheme="minorHAnsi" w:hAnsi="Palatino Linotype" w:cstheme="minorBidi"/>
          <w:i/>
          <w:szCs w:val="24"/>
          <w:u w:val="single"/>
          <w:lang w:eastAsia="en-US"/>
        </w:rPr>
      </w:pPr>
      <w:r w:rsidRPr="009052DB">
        <w:rPr>
          <w:rFonts w:ascii="Palatino Linotype" w:eastAsiaTheme="minorHAnsi" w:hAnsi="Palatino Linotype" w:cstheme="minorBidi"/>
          <w:i/>
          <w:szCs w:val="24"/>
          <w:u w:val="single"/>
          <w:lang w:eastAsia="en-US"/>
        </w:rPr>
        <w:t>La Unidad de Transparencia deberá notificarlo al solicitante por escrito, en un plazo que no exceda de quince días hábiles contados a partir del día siguiente a la presentación de la solicitud.</w:t>
      </w:r>
    </w:p>
    <w:p w:rsidR="002E4E38" w:rsidRPr="009052DB" w:rsidRDefault="002E4E38" w:rsidP="002E4E38">
      <w:pPr>
        <w:tabs>
          <w:tab w:val="left" w:pos="709"/>
        </w:tabs>
        <w:spacing w:before="240" w:line="360" w:lineRule="auto"/>
        <w:ind w:left="851" w:right="851"/>
        <w:jc w:val="both"/>
        <w:rPr>
          <w:rFonts w:ascii="Palatino Linotype" w:eastAsiaTheme="minorHAnsi" w:hAnsi="Palatino Linotype" w:cstheme="minorBidi"/>
          <w:i/>
          <w:szCs w:val="24"/>
          <w:u w:val="single"/>
          <w:lang w:eastAsia="en-US"/>
        </w:rPr>
      </w:pPr>
      <w:r w:rsidRPr="009052DB">
        <w:rPr>
          <w:rFonts w:ascii="Palatino Linotype" w:eastAsiaTheme="minorHAnsi" w:hAnsi="Palatino Linotype" w:cstheme="minorBidi"/>
          <w:i/>
          <w:szCs w:val="24"/>
          <w:u w:val="single"/>
          <w:lang w:eastAsia="en-US"/>
        </w:rPr>
        <w:t>Este plazo podrá ampliarse hasta por otros siete días hábiles, siempre que existan razones para ello, debiendo notificarse por escrito al solicitante.</w:t>
      </w:r>
    </w:p>
    <w:p w:rsidR="002E4E38" w:rsidRPr="009052DB" w:rsidRDefault="002E4E38" w:rsidP="002E4E38">
      <w:pPr>
        <w:tabs>
          <w:tab w:val="left" w:pos="709"/>
        </w:tabs>
        <w:spacing w:before="240" w:line="360" w:lineRule="auto"/>
        <w:ind w:left="851" w:right="851"/>
        <w:jc w:val="both"/>
        <w:rPr>
          <w:rFonts w:ascii="Palatino Linotype" w:eastAsiaTheme="minorHAnsi" w:hAnsi="Palatino Linotype" w:cstheme="minorBidi"/>
          <w:b/>
          <w:i/>
          <w:iCs/>
          <w:szCs w:val="24"/>
          <w:lang w:eastAsia="en-US"/>
        </w:rPr>
      </w:pPr>
      <w:r w:rsidRPr="009052DB">
        <w:rPr>
          <w:rFonts w:ascii="Palatino Linotype" w:eastAsiaTheme="minorHAnsi" w:hAnsi="Palatino Linotype" w:cstheme="minorBidi"/>
          <w:b/>
          <w:i/>
          <w:szCs w:val="24"/>
          <w:lang w:eastAsia="en-US"/>
        </w:rPr>
        <w:t>Artículo 170</w:t>
      </w:r>
      <w:r w:rsidRPr="009052DB">
        <w:rPr>
          <w:rFonts w:ascii="Palatino Linotype" w:eastAsiaTheme="minorHAnsi" w:hAnsi="Palatino Linotype" w:cstheme="minorBidi"/>
          <w:b/>
          <w:bCs/>
          <w:i/>
          <w:iCs/>
          <w:szCs w:val="24"/>
          <w:lang w:eastAsia="en-US"/>
        </w:rPr>
        <w:t>.</w:t>
      </w:r>
      <w:r w:rsidRPr="009052DB">
        <w:rPr>
          <w:rFonts w:ascii="Palatino Linotype" w:eastAsiaTheme="minorHAnsi" w:hAnsi="Palatino Linotype" w:cstheme="minorBidi"/>
          <w:i/>
          <w:iCs/>
          <w:szCs w:val="24"/>
          <w:lang w:eastAsia="en-US"/>
        </w:rPr>
        <w:t xml:space="preserve"> </w:t>
      </w:r>
      <w:r w:rsidRPr="009052DB">
        <w:rPr>
          <w:rFonts w:ascii="Palatino Linotype" w:eastAsiaTheme="minorHAnsi" w:hAnsi="Palatino Linotype" w:cstheme="minorBidi"/>
          <w:i/>
          <w:iCs/>
          <w:szCs w:val="24"/>
          <w:u w:val="single"/>
          <w:lang w:eastAsia="en-US"/>
        </w:rPr>
        <w:t>La resolución del Comité de Transparencia que confirme la inexistencia de la información solicitada contendrá los elementos mínimos que permitan al solicitante tener la certeza de que se utilizó un criterio de búsqueda exhaustivo, además de señalar las circunstancias de tiempo, modo y lugar que generaron la existencia en cuestión y señalará al servidor público responsable de contar con la misma.</w:t>
      </w:r>
      <w:r w:rsidRPr="009052DB">
        <w:rPr>
          <w:rFonts w:ascii="Palatino Linotype" w:eastAsiaTheme="minorHAnsi" w:hAnsi="Palatino Linotype" w:cstheme="minorBidi"/>
          <w:i/>
          <w:iCs/>
          <w:szCs w:val="24"/>
          <w:lang w:eastAsia="en-US"/>
        </w:rPr>
        <w:t xml:space="preserve">” </w:t>
      </w:r>
      <w:r w:rsidRPr="009052DB">
        <w:rPr>
          <w:rFonts w:ascii="Palatino Linotype" w:eastAsiaTheme="minorHAnsi" w:hAnsi="Palatino Linotype" w:cstheme="minorBidi"/>
          <w:b/>
          <w:i/>
          <w:iCs/>
          <w:szCs w:val="24"/>
          <w:lang w:eastAsia="en-US"/>
        </w:rPr>
        <w:t>[Sic]</w:t>
      </w:r>
    </w:p>
    <w:p w:rsidR="002E4E38" w:rsidRPr="009052DB" w:rsidRDefault="002E4E38" w:rsidP="002E4E38">
      <w:pPr>
        <w:tabs>
          <w:tab w:val="left" w:pos="709"/>
        </w:tabs>
        <w:spacing w:after="0" w:line="240" w:lineRule="auto"/>
        <w:ind w:left="567" w:right="567"/>
        <w:jc w:val="both"/>
        <w:rPr>
          <w:rFonts w:ascii="Palatino Linotype" w:eastAsiaTheme="minorHAnsi" w:hAnsi="Palatino Linotype" w:cstheme="minorBidi"/>
          <w:i/>
          <w:szCs w:val="24"/>
          <w:lang w:eastAsia="en-US"/>
        </w:rPr>
      </w:pPr>
    </w:p>
    <w:p w:rsidR="002E4E38" w:rsidRPr="009052DB" w:rsidRDefault="002E4E38" w:rsidP="002E4E38">
      <w:pPr>
        <w:spacing w:after="0" w:line="360" w:lineRule="auto"/>
        <w:jc w:val="both"/>
        <w:rPr>
          <w:rFonts w:ascii="Palatino Linotype" w:eastAsiaTheme="minorHAnsi" w:hAnsi="Palatino Linotype" w:cs="Arial"/>
          <w:sz w:val="24"/>
          <w:szCs w:val="24"/>
          <w:lang w:eastAsia="en-US"/>
        </w:rPr>
      </w:pPr>
    </w:p>
    <w:p w:rsidR="002E4E38" w:rsidRPr="009052DB" w:rsidRDefault="002E4E38" w:rsidP="002E4E38">
      <w:pPr>
        <w:spacing w:after="0" w:line="360" w:lineRule="auto"/>
        <w:jc w:val="both"/>
        <w:rPr>
          <w:rFonts w:ascii="Palatino Linotype" w:eastAsia="Times New Roman" w:hAnsi="Palatino Linotype" w:cs="Times New Roman"/>
          <w:sz w:val="24"/>
          <w:szCs w:val="24"/>
          <w:lang w:eastAsia="es-ES"/>
        </w:rPr>
      </w:pPr>
      <w:r w:rsidRPr="009052DB">
        <w:rPr>
          <w:rFonts w:ascii="Palatino Linotype" w:eastAsiaTheme="minorHAnsi" w:hAnsi="Palatino Linotype" w:cs="Arial"/>
          <w:sz w:val="24"/>
          <w:szCs w:val="24"/>
          <w:lang w:eastAsia="en-US"/>
        </w:rPr>
        <w:lastRenderedPageBreak/>
        <w:t>Por otra parte, en observancia a lo anterior tiene aplicación lo establecido en los Lineamientos para la Recepción, Trámite y Resolución de las solicitudes de Acceso a la Información Pública, Acceso, Modificación, Sustitución, Rectificación o Supresión Parcial o Total de Datos Personales, así como de los recursos de revisión que deberán observar los sujetos obligados por la Ley de Transparencia y Acceso a la Información Pública del Estado de México y Municipios, en su numeral CUARENTA Y CUATRO, así como, CUARENTA Y CINCO.</w:t>
      </w:r>
    </w:p>
    <w:p w:rsidR="002E4E38" w:rsidRPr="009052DB" w:rsidRDefault="002E4E38" w:rsidP="002E4E38">
      <w:pPr>
        <w:spacing w:after="0" w:line="360" w:lineRule="auto"/>
        <w:contextualSpacing/>
        <w:jc w:val="both"/>
        <w:rPr>
          <w:rFonts w:ascii="Palatino Linotype" w:eastAsia="Palatino Linotype" w:hAnsi="Palatino Linotype" w:cs="Palatino Linotype"/>
          <w:sz w:val="24"/>
          <w:szCs w:val="24"/>
          <w:lang w:eastAsia="en-US"/>
        </w:rPr>
      </w:pPr>
      <w:r w:rsidRPr="009052DB">
        <w:rPr>
          <w:rFonts w:ascii="Palatino Linotype" w:eastAsia="Palatino Linotype" w:hAnsi="Palatino Linotype" w:cs="Palatino Linotype"/>
          <w:sz w:val="24"/>
          <w:szCs w:val="24"/>
          <w:lang w:eastAsia="en-US"/>
        </w:rPr>
        <w:t>Al respecto, es aplicable el Criterio 04/19 emitido por el Instituto Nacional de Transparencia, Acceso a la Información y Protección de Datos Personales, que a la letra estipula lo siguiente:</w:t>
      </w:r>
    </w:p>
    <w:p w:rsidR="002E4E38" w:rsidRPr="009052DB" w:rsidRDefault="002E4E38" w:rsidP="002E4E38">
      <w:pPr>
        <w:spacing w:before="240" w:line="360" w:lineRule="auto"/>
        <w:ind w:left="851" w:right="851"/>
        <w:jc w:val="both"/>
        <w:rPr>
          <w:rFonts w:ascii="Palatino Linotype" w:eastAsiaTheme="minorHAnsi" w:hAnsi="Palatino Linotype" w:cs="Arial"/>
          <w:b/>
          <w:i/>
          <w:lang w:eastAsia="en-US"/>
        </w:rPr>
      </w:pPr>
      <w:r w:rsidRPr="009052DB">
        <w:rPr>
          <w:rFonts w:ascii="Palatino Linotype" w:eastAsiaTheme="minorHAnsi" w:hAnsi="Palatino Linotype" w:cs="Arial"/>
          <w:b/>
          <w:i/>
          <w:lang w:eastAsia="en-US"/>
        </w:rPr>
        <w:t xml:space="preserve">“PROPÓSITO DE LA DECLARACIÓN FORMAL DE INEXISTENCIA. </w:t>
      </w:r>
    </w:p>
    <w:p w:rsidR="002E4E38" w:rsidRPr="009052DB" w:rsidRDefault="002E4E38" w:rsidP="002E4E38">
      <w:pPr>
        <w:spacing w:before="240" w:line="360" w:lineRule="auto"/>
        <w:ind w:left="851" w:right="851"/>
        <w:jc w:val="both"/>
        <w:rPr>
          <w:rFonts w:ascii="Palatino Linotype" w:eastAsiaTheme="minorHAnsi" w:hAnsi="Palatino Linotype" w:cs="Arial"/>
          <w:b/>
          <w:i/>
          <w:lang w:eastAsia="en-US"/>
        </w:rPr>
      </w:pPr>
      <w:r w:rsidRPr="009052DB">
        <w:rPr>
          <w:rFonts w:ascii="Palatino Linotype" w:eastAsiaTheme="minorHAnsi" w:hAnsi="Palatino Linotype" w:cs="Arial"/>
          <w:i/>
          <w:lang w:eastAsia="en-US"/>
        </w:rPr>
        <w:t>El propósito de que los Comités de Transparencia emitan una declaración que confirme la inexistencia de la información solicitada,</w:t>
      </w:r>
      <w:r w:rsidRPr="009052DB">
        <w:rPr>
          <w:rFonts w:ascii="Palatino Linotype" w:eastAsiaTheme="minorHAnsi" w:hAnsi="Palatino Linotype" w:cs="Arial"/>
          <w:b/>
          <w:bCs/>
          <w:i/>
          <w:lang w:eastAsia="en-US"/>
        </w:rPr>
        <w:t xml:space="preserve"> </w:t>
      </w:r>
      <w:r w:rsidRPr="009052DB">
        <w:rPr>
          <w:rFonts w:ascii="Palatino Linotype" w:eastAsiaTheme="minorHAnsi" w:hAnsi="Palatino Linotype" w:cs="Arial"/>
          <w:b/>
          <w:bCs/>
          <w:i/>
          <w:u w:val="single"/>
          <w:lang w:eastAsia="en-US"/>
        </w:rPr>
        <w:t>es garantizar al solicitante que se realizaron las gestiones necesarias para la ubicación de la información de su interés; por lo cual, el acta en el que se haga constar esa declaración formal de inexistencia</w:t>
      </w:r>
      <w:r w:rsidRPr="009052DB">
        <w:rPr>
          <w:rFonts w:ascii="Palatino Linotype" w:eastAsiaTheme="minorHAnsi" w:hAnsi="Palatino Linotype" w:cs="Arial"/>
          <w:i/>
          <w:lang w:eastAsia="en-US"/>
        </w:rPr>
        <w:t xml:space="preserve">, debe contener los elementos suficientes para generar en los solicitantes la certeza del carácter exhaustivo de la búsqueda de lo solicitado.” </w:t>
      </w:r>
      <w:r w:rsidRPr="009052DB">
        <w:rPr>
          <w:rFonts w:ascii="Palatino Linotype" w:eastAsiaTheme="minorHAnsi" w:hAnsi="Palatino Linotype" w:cs="Arial"/>
          <w:b/>
          <w:i/>
          <w:lang w:eastAsia="en-US"/>
        </w:rPr>
        <w:t xml:space="preserve">[Sic] </w:t>
      </w:r>
    </w:p>
    <w:p w:rsidR="002E4E38" w:rsidRPr="009052DB" w:rsidRDefault="002E4E38" w:rsidP="002E4E38">
      <w:pPr>
        <w:spacing w:after="0" w:line="360" w:lineRule="auto"/>
        <w:jc w:val="both"/>
        <w:rPr>
          <w:rFonts w:ascii="Palatino Linotype" w:eastAsia="Palatino Linotype" w:hAnsi="Palatino Linotype" w:cs="Palatino Linotype"/>
          <w:sz w:val="24"/>
          <w:szCs w:val="24"/>
          <w:lang w:eastAsia="en-US"/>
        </w:rPr>
      </w:pPr>
    </w:p>
    <w:p w:rsidR="002E4E38" w:rsidRPr="009052DB" w:rsidRDefault="002E4E38" w:rsidP="002E4E38">
      <w:pPr>
        <w:numPr>
          <w:ilvl w:val="0"/>
          <w:numId w:val="2"/>
        </w:numPr>
        <w:spacing w:after="0" w:line="360" w:lineRule="auto"/>
        <w:ind w:left="142"/>
        <w:jc w:val="both"/>
        <w:rPr>
          <w:rFonts w:asciiTheme="minorHAnsi" w:eastAsiaTheme="minorHAnsi" w:hAnsiTheme="minorHAnsi" w:cstheme="minorBidi"/>
          <w:b/>
          <w:i/>
          <w:sz w:val="28"/>
          <w:szCs w:val="28"/>
          <w:lang w:eastAsia="en-US"/>
        </w:rPr>
      </w:pPr>
      <w:r w:rsidRPr="009052DB">
        <w:rPr>
          <w:rFonts w:ascii="Palatino Linotype" w:eastAsia="Palatino Linotype" w:hAnsi="Palatino Linotype" w:cs="Palatino Linotype"/>
          <w:b/>
          <w:i/>
          <w:sz w:val="28"/>
          <w:szCs w:val="28"/>
          <w:lang w:eastAsia="en-US"/>
        </w:rPr>
        <w:t>De la versión pública</w:t>
      </w:r>
    </w:p>
    <w:p w:rsidR="002E4E38" w:rsidRPr="009052DB" w:rsidRDefault="002E4E38" w:rsidP="002E4E38">
      <w:pPr>
        <w:tabs>
          <w:tab w:val="left" w:pos="7938"/>
        </w:tabs>
        <w:spacing w:before="240" w:after="240" w:line="360" w:lineRule="auto"/>
        <w:jc w:val="both"/>
        <w:rPr>
          <w:rFonts w:ascii="Palatino Linotype" w:eastAsia="Arial Unicode MS" w:hAnsi="Palatino Linotype" w:cs="Arial"/>
          <w:sz w:val="24"/>
          <w:szCs w:val="24"/>
          <w:lang w:val="es-ES_tradnl"/>
        </w:rPr>
      </w:pPr>
      <w:r w:rsidRPr="009052DB">
        <w:rPr>
          <w:rFonts w:ascii="Palatino Linotype" w:eastAsia="Arial Unicode MS" w:hAnsi="Palatino Linotype" w:cs="Arial"/>
          <w:sz w:val="24"/>
          <w:szCs w:val="24"/>
          <w:lang w:val="es-ES_tradnl"/>
        </w:rPr>
        <w:t xml:space="preserve">No pasa desapercibido que la información podría contener información susceptible de clasificar, por lo cual, dicha información debe ser clasificada para no vulnerar un derecho intangible. Aunado a que de ser en caso de contar con otra información </w:t>
      </w:r>
      <w:r w:rsidRPr="009052DB">
        <w:rPr>
          <w:rFonts w:ascii="Palatino Linotype" w:eastAsia="Arial Unicode MS" w:hAnsi="Palatino Linotype" w:cs="Arial"/>
          <w:sz w:val="24"/>
          <w:szCs w:val="24"/>
          <w:lang w:val="es-ES_tradnl"/>
        </w:rPr>
        <w:lastRenderedPageBreak/>
        <w:t>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2E4E38" w:rsidRPr="009052DB" w:rsidRDefault="002E4E38" w:rsidP="002E4E38">
      <w:pPr>
        <w:spacing w:before="240" w:after="0" w:line="360" w:lineRule="auto"/>
        <w:ind w:left="851" w:right="851"/>
        <w:jc w:val="both"/>
        <w:rPr>
          <w:rFonts w:ascii="Palatino Linotype" w:hAnsi="Palatino Linotype" w:cs="Arial"/>
          <w:i/>
          <w:sz w:val="24"/>
          <w:szCs w:val="24"/>
          <w:lang w:val="es-ES_tradnl"/>
        </w:rPr>
      </w:pPr>
      <w:r w:rsidRPr="009052DB">
        <w:rPr>
          <w:rFonts w:ascii="Palatino Linotype" w:hAnsi="Palatino Linotype" w:cs="Arial"/>
          <w:i/>
          <w:sz w:val="24"/>
          <w:szCs w:val="24"/>
          <w:lang w:val="es-ES_tradnl"/>
        </w:rPr>
        <w:t>“Artículo 3. Para los efectos de la presente Ley se entenderá por:</w:t>
      </w:r>
    </w:p>
    <w:p w:rsidR="002E4E38" w:rsidRPr="009052DB" w:rsidRDefault="002E4E38" w:rsidP="002E4E38">
      <w:pPr>
        <w:spacing w:before="240" w:after="0" w:line="360" w:lineRule="auto"/>
        <w:ind w:left="851" w:right="851"/>
        <w:jc w:val="both"/>
        <w:rPr>
          <w:rFonts w:ascii="Palatino Linotype" w:hAnsi="Palatino Linotype" w:cs="Arial"/>
          <w:i/>
          <w:sz w:val="24"/>
          <w:szCs w:val="24"/>
          <w:lang w:val="es-ES_tradnl"/>
        </w:rPr>
      </w:pPr>
      <w:r w:rsidRPr="009052DB">
        <w:rPr>
          <w:rFonts w:ascii="Palatino Linotype" w:hAnsi="Palatino Linotype" w:cs="Arial"/>
          <w:i/>
          <w:sz w:val="24"/>
          <w:szCs w:val="24"/>
          <w:lang w:val="es-ES_tradnl"/>
        </w:rPr>
        <w:t>(…)</w:t>
      </w:r>
    </w:p>
    <w:p w:rsidR="002E4E38" w:rsidRPr="009052DB" w:rsidRDefault="002E4E38" w:rsidP="002E4E38">
      <w:pPr>
        <w:spacing w:before="240" w:after="0" w:line="360" w:lineRule="auto"/>
        <w:ind w:left="851" w:right="851"/>
        <w:jc w:val="both"/>
        <w:rPr>
          <w:rFonts w:ascii="Palatino Linotype" w:hAnsi="Palatino Linotype" w:cs="Arial"/>
          <w:b/>
          <w:i/>
          <w:sz w:val="24"/>
          <w:szCs w:val="24"/>
          <w:lang w:val="es-ES_tradnl"/>
        </w:rPr>
      </w:pPr>
      <w:r w:rsidRPr="009052DB">
        <w:rPr>
          <w:rFonts w:ascii="Palatino Linotype" w:hAnsi="Palatino Linotype" w:cs="Arial"/>
          <w:b/>
          <w:i/>
          <w:sz w:val="24"/>
          <w:szCs w:val="24"/>
          <w:u w:val="single"/>
          <w:lang w:val="es-ES_tradnl"/>
        </w:rPr>
        <w:t>IX. Datos personales:</w:t>
      </w:r>
      <w:r w:rsidRPr="009052DB">
        <w:rPr>
          <w:rFonts w:ascii="Palatino Linotype" w:hAnsi="Palatino Linotype" w:cs="Arial"/>
          <w:b/>
          <w:i/>
          <w:sz w:val="24"/>
          <w:szCs w:val="24"/>
          <w:lang w:val="es-ES_tradnl"/>
        </w:rPr>
        <w:t xml:space="preserve"> </w:t>
      </w:r>
      <w:r w:rsidRPr="009052DB">
        <w:rPr>
          <w:rFonts w:ascii="Palatino Linotype" w:hAnsi="Palatino Linotype" w:cs="Arial"/>
          <w:i/>
          <w:sz w:val="24"/>
          <w:szCs w:val="24"/>
          <w:lang w:val="es-ES_tradnl"/>
        </w:rPr>
        <w:t>La información concerniente a una persona, identificada o identificable según lo dispuesto por la Ley de Protección de Datos Personales del Estado de México;</w:t>
      </w:r>
    </w:p>
    <w:p w:rsidR="002E4E38" w:rsidRPr="009052DB" w:rsidRDefault="002E4E38" w:rsidP="002E4E38">
      <w:pPr>
        <w:spacing w:before="240" w:after="0" w:line="360" w:lineRule="auto"/>
        <w:ind w:left="851" w:right="851"/>
        <w:jc w:val="both"/>
        <w:rPr>
          <w:rFonts w:ascii="Palatino Linotype" w:hAnsi="Palatino Linotype" w:cs="Arial"/>
          <w:b/>
          <w:i/>
          <w:sz w:val="24"/>
          <w:szCs w:val="24"/>
          <w:lang w:val="es-ES_tradnl"/>
        </w:rPr>
      </w:pPr>
      <w:r w:rsidRPr="009052DB">
        <w:rPr>
          <w:rFonts w:ascii="Palatino Linotype" w:hAnsi="Palatino Linotype" w:cs="Arial"/>
          <w:b/>
          <w:i/>
          <w:sz w:val="24"/>
          <w:szCs w:val="24"/>
          <w:lang w:val="es-ES_tradnl"/>
        </w:rPr>
        <w:t>(…)</w:t>
      </w:r>
    </w:p>
    <w:p w:rsidR="002E4E38" w:rsidRPr="009052DB" w:rsidRDefault="002E4E38" w:rsidP="002E4E38">
      <w:pPr>
        <w:spacing w:before="240" w:after="0" w:line="360" w:lineRule="auto"/>
        <w:ind w:left="851" w:right="851"/>
        <w:jc w:val="both"/>
        <w:rPr>
          <w:rFonts w:ascii="Palatino Linotype" w:hAnsi="Palatino Linotype" w:cs="Arial"/>
          <w:b/>
          <w:i/>
          <w:sz w:val="24"/>
          <w:szCs w:val="24"/>
          <w:lang w:val="es-ES_tradnl"/>
        </w:rPr>
      </w:pPr>
      <w:r w:rsidRPr="009052DB">
        <w:rPr>
          <w:rFonts w:ascii="Palatino Linotype" w:hAnsi="Palatino Linotype" w:cs="Arial"/>
          <w:b/>
          <w:i/>
          <w:sz w:val="24"/>
          <w:szCs w:val="24"/>
          <w:u w:val="single"/>
          <w:lang w:val="es-ES_tradnl"/>
        </w:rPr>
        <w:t>XLV. Versión pública:</w:t>
      </w:r>
      <w:r w:rsidRPr="009052DB">
        <w:rPr>
          <w:rFonts w:ascii="Palatino Linotype" w:hAnsi="Palatino Linotype" w:cs="Arial"/>
          <w:b/>
          <w:i/>
          <w:sz w:val="24"/>
          <w:szCs w:val="24"/>
          <w:lang w:val="es-ES_tradnl"/>
        </w:rPr>
        <w:t xml:space="preserve"> </w:t>
      </w:r>
      <w:r w:rsidRPr="009052DB">
        <w:rPr>
          <w:rFonts w:ascii="Palatino Linotype" w:hAnsi="Palatino Linotype" w:cs="Arial"/>
          <w:i/>
          <w:sz w:val="24"/>
          <w:szCs w:val="24"/>
          <w:lang w:val="es-ES_tradnl"/>
        </w:rPr>
        <w:t>Documento en el que se elimine, suprime o borra la información clasificada como reservada o confidencial para permitir su acceso.</w:t>
      </w:r>
    </w:p>
    <w:p w:rsidR="002E4E38" w:rsidRPr="009052DB" w:rsidRDefault="002E4E38" w:rsidP="002E4E38">
      <w:pPr>
        <w:spacing w:before="240" w:after="0" w:line="360" w:lineRule="auto"/>
        <w:ind w:left="851" w:right="851"/>
        <w:jc w:val="both"/>
        <w:rPr>
          <w:rFonts w:ascii="Palatino Linotype" w:hAnsi="Palatino Linotype" w:cs="Arial"/>
          <w:b/>
          <w:i/>
          <w:sz w:val="24"/>
          <w:szCs w:val="24"/>
          <w:lang w:val="es-ES_tradnl"/>
        </w:rPr>
      </w:pPr>
      <w:r w:rsidRPr="009052DB">
        <w:rPr>
          <w:rFonts w:ascii="Palatino Linotype" w:hAnsi="Palatino Linotype" w:cs="Arial"/>
          <w:i/>
          <w:sz w:val="24"/>
          <w:szCs w:val="24"/>
          <w:lang w:val="es-ES_tradnl"/>
        </w:rPr>
        <w:t xml:space="preserve">Artículo 122. </w:t>
      </w:r>
      <w:r w:rsidRPr="009052DB">
        <w:rPr>
          <w:rFonts w:ascii="Palatino Linotype" w:hAnsi="Palatino Linotype" w:cs="Arial"/>
          <w:b/>
          <w:i/>
          <w:sz w:val="24"/>
          <w:szCs w:val="24"/>
          <w:u w:val="single"/>
          <w:lang w:val="es-ES_tradnl"/>
        </w:rPr>
        <w:t>La clasificación es el proceso mediante el cual el sujeto obligado determina que la información en su poder actualiza alguno de los supuestos de reserva o confidencialidad, de conformidad con lo dispuesto en el presente título.</w:t>
      </w:r>
    </w:p>
    <w:p w:rsidR="002E4E38" w:rsidRPr="009052DB" w:rsidRDefault="002E4E38" w:rsidP="002E4E38">
      <w:pPr>
        <w:spacing w:before="240" w:after="0" w:line="360" w:lineRule="auto"/>
        <w:ind w:left="851" w:right="851"/>
        <w:jc w:val="both"/>
        <w:rPr>
          <w:rFonts w:ascii="Palatino Linotype" w:hAnsi="Palatino Linotype" w:cs="Arial"/>
          <w:i/>
          <w:sz w:val="24"/>
          <w:szCs w:val="24"/>
          <w:lang w:val="es-ES_tradnl"/>
        </w:rPr>
      </w:pPr>
      <w:r w:rsidRPr="009052DB">
        <w:rPr>
          <w:rFonts w:ascii="Palatino Linotype" w:hAnsi="Palatino Linotype" w:cs="Arial"/>
          <w:i/>
          <w:sz w:val="24"/>
          <w:szCs w:val="24"/>
          <w:lang w:val="es-ES_tradnl"/>
        </w:rPr>
        <w:t>[…]</w:t>
      </w:r>
    </w:p>
    <w:p w:rsidR="002E4E38" w:rsidRPr="009052DB" w:rsidRDefault="002E4E38" w:rsidP="002E4E38">
      <w:pPr>
        <w:spacing w:before="240" w:after="0" w:line="360" w:lineRule="auto"/>
        <w:ind w:left="851" w:right="851"/>
        <w:jc w:val="both"/>
        <w:rPr>
          <w:rFonts w:ascii="Palatino Linotype" w:hAnsi="Palatino Linotype" w:cs="Arial"/>
          <w:i/>
          <w:sz w:val="24"/>
          <w:szCs w:val="24"/>
          <w:lang w:val="es-ES_tradnl"/>
        </w:rPr>
      </w:pPr>
      <w:r w:rsidRPr="009052DB">
        <w:rPr>
          <w:rFonts w:ascii="Palatino Linotype" w:hAnsi="Palatino Linotype" w:cs="Arial"/>
          <w:i/>
          <w:sz w:val="24"/>
          <w:szCs w:val="24"/>
          <w:lang w:val="es-ES_tradnl"/>
        </w:rPr>
        <w:lastRenderedPageBreak/>
        <w:t>Artículo 132. La clasificación de la información se llevará a cabo en el momento en que:</w:t>
      </w:r>
    </w:p>
    <w:p w:rsidR="002E4E38" w:rsidRPr="009052DB" w:rsidRDefault="002E4E38" w:rsidP="002E4E38">
      <w:pPr>
        <w:spacing w:before="240" w:after="0" w:line="360" w:lineRule="auto"/>
        <w:ind w:left="851" w:right="851"/>
        <w:jc w:val="both"/>
        <w:rPr>
          <w:rFonts w:ascii="Palatino Linotype" w:hAnsi="Palatino Linotype" w:cs="Arial"/>
          <w:i/>
          <w:sz w:val="24"/>
          <w:szCs w:val="24"/>
          <w:lang w:val="es-ES_tradnl"/>
        </w:rPr>
      </w:pPr>
      <w:r w:rsidRPr="009052DB">
        <w:rPr>
          <w:rFonts w:ascii="Palatino Linotype" w:hAnsi="Palatino Linotype" w:cs="Arial"/>
          <w:i/>
          <w:sz w:val="24"/>
          <w:szCs w:val="24"/>
          <w:lang w:val="es-ES_tradnl"/>
        </w:rPr>
        <w:t>[…]</w:t>
      </w:r>
    </w:p>
    <w:p w:rsidR="002E4E38" w:rsidRPr="009052DB" w:rsidRDefault="002E4E38" w:rsidP="002E4E38">
      <w:pPr>
        <w:spacing w:before="240" w:after="0" w:line="360" w:lineRule="auto"/>
        <w:ind w:left="851" w:right="851"/>
        <w:jc w:val="both"/>
        <w:rPr>
          <w:rFonts w:ascii="Palatino Linotype" w:hAnsi="Palatino Linotype" w:cs="Arial"/>
          <w:b/>
          <w:i/>
          <w:sz w:val="24"/>
          <w:szCs w:val="24"/>
          <w:u w:val="single"/>
          <w:lang w:val="es-ES_tradnl"/>
        </w:rPr>
      </w:pPr>
      <w:r w:rsidRPr="009052DB">
        <w:rPr>
          <w:rFonts w:ascii="Palatino Linotype" w:hAnsi="Palatino Linotype" w:cs="Arial"/>
          <w:b/>
          <w:i/>
          <w:sz w:val="24"/>
          <w:szCs w:val="24"/>
          <w:u w:val="single"/>
          <w:lang w:val="es-ES_tradnl"/>
        </w:rPr>
        <w:t>II. Se determine mediante resolución de autoridad competente; o</w:t>
      </w:r>
    </w:p>
    <w:p w:rsidR="002E4E38" w:rsidRPr="009052DB" w:rsidRDefault="002E4E38" w:rsidP="002E4E38">
      <w:pPr>
        <w:spacing w:before="240" w:after="0" w:line="360" w:lineRule="auto"/>
        <w:ind w:left="851" w:right="851"/>
        <w:jc w:val="both"/>
        <w:rPr>
          <w:rFonts w:ascii="Palatino Linotype" w:hAnsi="Palatino Linotype" w:cs="Arial"/>
          <w:b/>
          <w:i/>
          <w:sz w:val="24"/>
          <w:szCs w:val="24"/>
          <w:lang w:val="es-ES_tradnl"/>
        </w:rPr>
      </w:pPr>
      <w:r w:rsidRPr="009052DB">
        <w:rPr>
          <w:rFonts w:ascii="Palatino Linotype" w:hAnsi="Palatino Linotype" w:cs="Arial"/>
          <w:b/>
          <w:i/>
          <w:sz w:val="24"/>
          <w:szCs w:val="24"/>
          <w:lang w:val="es-ES_tradnl"/>
        </w:rPr>
        <w:t>(…)</w:t>
      </w:r>
    </w:p>
    <w:p w:rsidR="002E4E38" w:rsidRPr="009052DB" w:rsidRDefault="002E4E38" w:rsidP="002E4E38">
      <w:pPr>
        <w:spacing w:before="240" w:after="0" w:line="360" w:lineRule="auto"/>
        <w:ind w:left="851" w:right="851"/>
        <w:jc w:val="both"/>
        <w:rPr>
          <w:rFonts w:ascii="Palatino Linotype" w:hAnsi="Palatino Linotype" w:cs="Arial"/>
          <w:b/>
          <w:i/>
          <w:sz w:val="24"/>
          <w:szCs w:val="24"/>
          <w:lang w:val="es-ES_tradnl"/>
        </w:rPr>
      </w:pPr>
      <w:r w:rsidRPr="009052DB">
        <w:rPr>
          <w:rFonts w:ascii="Palatino Linotype" w:hAnsi="Palatino Linotype" w:cs="Arial"/>
          <w:i/>
          <w:sz w:val="24"/>
          <w:szCs w:val="24"/>
          <w:lang w:val="es-ES_tradnl"/>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9052DB">
        <w:rPr>
          <w:rFonts w:ascii="Palatino Linotype" w:hAnsi="Palatino Linotype" w:cs="Arial"/>
          <w:b/>
          <w:i/>
          <w:sz w:val="24"/>
          <w:szCs w:val="24"/>
          <w:lang w:val="es-ES_tradnl"/>
        </w:rPr>
        <w:t xml:space="preserve"> </w:t>
      </w:r>
      <w:r w:rsidRPr="009052DB">
        <w:rPr>
          <w:rFonts w:ascii="Palatino Linotype" w:hAnsi="Palatino Linotype" w:cs="Arial"/>
          <w:b/>
          <w:i/>
          <w:sz w:val="24"/>
          <w:szCs w:val="24"/>
          <w:u w:val="single"/>
          <w:lang w:val="es-ES_tradnl"/>
        </w:rPr>
        <w:t xml:space="preserve">de manera genérica y fundando y motivando su clasificación.” </w:t>
      </w:r>
      <w:r w:rsidRPr="009052DB">
        <w:rPr>
          <w:rFonts w:ascii="Palatino Linotype" w:hAnsi="Palatino Linotype" w:cs="Arial"/>
          <w:b/>
          <w:i/>
          <w:sz w:val="24"/>
          <w:szCs w:val="24"/>
          <w:lang w:val="es-ES_tradnl"/>
        </w:rPr>
        <w:t>[Sic]</w:t>
      </w:r>
    </w:p>
    <w:p w:rsidR="002E4E38" w:rsidRPr="009052DB" w:rsidRDefault="002E4E38" w:rsidP="002E4E38">
      <w:pPr>
        <w:spacing w:after="0" w:line="360" w:lineRule="auto"/>
        <w:ind w:right="51"/>
        <w:jc w:val="both"/>
        <w:rPr>
          <w:rFonts w:ascii="Palatino Linotype" w:eastAsia="Arial Unicode MS" w:hAnsi="Palatino Linotype" w:cs="Arial"/>
          <w:sz w:val="24"/>
          <w:szCs w:val="24"/>
          <w:lang w:val="es-ES_tradnl"/>
        </w:rPr>
      </w:pPr>
    </w:p>
    <w:p w:rsidR="002E4E38" w:rsidRPr="009052DB" w:rsidRDefault="002E4E38" w:rsidP="002E4E38">
      <w:pPr>
        <w:spacing w:after="0" w:line="360" w:lineRule="auto"/>
        <w:jc w:val="both"/>
        <w:rPr>
          <w:rFonts w:ascii="Palatino Linotype" w:eastAsia="Times New Roman" w:hAnsi="Palatino Linotype" w:cs="Arial"/>
          <w:sz w:val="24"/>
          <w:szCs w:val="24"/>
          <w:lang w:val="es-ES" w:eastAsia="es-ES"/>
        </w:rPr>
      </w:pPr>
      <w:r w:rsidRPr="009052DB">
        <w:rPr>
          <w:rFonts w:ascii="Palatino Linotype" w:eastAsia="Times New Roman" w:hAnsi="Palatino Linotype" w:cs="Arial"/>
          <w:sz w:val="24"/>
          <w:szCs w:val="24"/>
          <w:lang w:val="es-ES" w:eastAsia="es-ES"/>
        </w:rPr>
        <w:t xml:space="preserve">Lo anterior es así, puesto que ha de destacarse que el artículo 91, de la Ley de la Materia, dispone que el acceso a la información pública será restringido excepcionalmente, cuando ésta sea clasificada como reservada o confidencial. </w:t>
      </w:r>
    </w:p>
    <w:p w:rsidR="002E4E38" w:rsidRPr="009052DB" w:rsidRDefault="002E4E38" w:rsidP="002E4E38">
      <w:pPr>
        <w:spacing w:after="0" w:line="360" w:lineRule="auto"/>
        <w:jc w:val="both"/>
        <w:rPr>
          <w:rFonts w:ascii="Palatino Linotype" w:eastAsia="Times New Roman" w:hAnsi="Palatino Linotype" w:cs="Arial"/>
          <w:sz w:val="24"/>
          <w:szCs w:val="24"/>
          <w:lang w:val="es-ES" w:eastAsia="es-ES"/>
        </w:rPr>
      </w:pPr>
    </w:p>
    <w:p w:rsidR="002E4E38" w:rsidRPr="009052DB" w:rsidRDefault="002E4E38" w:rsidP="002E4E38">
      <w:pPr>
        <w:spacing w:after="0" w:line="360" w:lineRule="auto"/>
        <w:jc w:val="both"/>
        <w:rPr>
          <w:rFonts w:ascii="Palatino Linotype" w:eastAsia="Times New Roman" w:hAnsi="Palatino Linotype" w:cs="Arial"/>
          <w:b/>
          <w:sz w:val="24"/>
          <w:szCs w:val="24"/>
          <w:lang w:val="es-ES" w:eastAsia="es-ES"/>
        </w:rPr>
      </w:pPr>
      <w:r w:rsidRPr="009052DB">
        <w:rPr>
          <w:rFonts w:ascii="Palatino Linotype" w:eastAsia="Times New Roman" w:hAnsi="Palatino Linotype" w:cs="Arial"/>
          <w:sz w:val="24"/>
          <w:szCs w:val="24"/>
          <w:lang w:val="es-ES" w:eastAsia="es-ES"/>
        </w:rPr>
        <w:t xml:space="preserve">En caso específico, de los documentos solicitados obran datos que son considerados confidenciales, cuyo acceso debe ser restringido, los cuales deben testarse al momento de la elaboración de versiones públicas, como es el caso del </w:t>
      </w:r>
      <w:r w:rsidRPr="009052DB">
        <w:rPr>
          <w:rFonts w:ascii="Palatino Linotype" w:eastAsia="Times New Roman" w:hAnsi="Palatino Linotype" w:cs="Arial"/>
          <w:b/>
          <w:sz w:val="24"/>
          <w:szCs w:val="24"/>
          <w:lang w:val="es-ES" w:eastAsia="es-ES"/>
        </w:rPr>
        <w:t>Registro Federal de Contribuyentes (RFC)</w:t>
      </w:r>
      <w:r w:rsidRPr="009052DB">
        <w:rPr>
          <w:rFonts w:ascii="Palatino Linotype" w:eastAsia="Times New Roman" w:hAnsi="Palatino Linotype" w:cs="Arial"/>
          <w:sz w:val="24"/>
          <w:szCs w:val="24"/>
          <w:lang w:val="es-ES" w:eastAsia="es-ES"/>
        </w:rPr>
        <w:t xml:space="preserve"> y la </w:t>
      </w:r>
      <w:r w:rsidRPr="009052DB">
        <w:rPr>
          <w:rFonts w:ascii="Palatino Linotype" w:eastAsia="Times New Roman" w:hAnsi="Palatino Linotype" w:cs="Arial"/>
          <w:b/>
          <w:sz w:val="24"/>
          <w:szCs w:val="24"/>
          <w:lang w:val="es-ES" w:eastAsia="es-ES"/>
        </w:rPr>
        <w:t>Clave Única de Registro de Población (CURP).</w:t>
      </w:r>
    </w:p>
    <w:p w:rsidR="002E4E38" w:rsidRPr="009052DB" w:rsidRDefault="002E4E38" w:rsidP="002E4E38">
      <w:pPr>
        <w:spacing w:after="0" w:line="360" w:lineRule="auto"/>
        <w:jc w:val="both"/>
        <w:rPr>
          <w:rFonts w:ascii="Palatino Linotype" w:eastAsia="Times New Roman" w:hAnsi="Palatino Linotype" w:cs="Arial"/>
          <w:b/>
          <w:sz w:val="24"/>
          <w:szCs w:val="24"/>
          <w:lang w:val="es-ES" w:eastAsia="es-ES"/>
        </w:rPr>
      </w:pPr>
    </w:p>
    <w:p w:rsidR="002E4E38" w:rsidRPr="009052DB" w:rsidRDefault="002E4E38" w:rsidP="002E4E38">
      <w:pPr>
        <w:spacing w:after="0" w:line="360" w:lineRule="auto"/>
        <w:jc w:val="both"/>
        <w:rPr>
          <w:rFonts w:ascii="Palatino Linotype" w:eastAsia="Times New Roman" w:hAnsi="Palatino Linotype" w:cs="Arial"/>
          <w:sz w:val="24"/>
          <w:szCs w:val="24"/>
          <w:lang w:val="es-ES" w:eastAsia="es-ES"/>
        </w:rPr>
      </w:pPr>
      <w:r w:rsidRPr="009052DB">
        <w:rPr>
          <w:rFonts w:ascii="Palatino Linotype" w:eastAsia="Times New Roman" w:hAnsi="Palatino Linotype" w:cs="Arial"/>
          <w:sz w:val="24"/>
          <w:szCs w:val="24"/>
          <w:lang w:val="es-ES" w:eastAsia="es-ES"/>
        </w:rPr>
        <w:lastRenderedPageBreak/>
        <w:t xml:space="preserve">Por cuanto hace al </w:t>
      </w:r>
      <w:r w:rsidRPr="009052DB">
        <w:rPr>
          <w:rFonts w:ascii="Palatino Linotype" w:eastAsia="Times New Roman" w:hAnsi="Palatino Linotype" w:cs="Arial"/>
          <w:b/>
          <w:sz w:val="24"/>
          <w:szCs w:val="24"/>
          <w:lang w:val="es-ES" w:eastAsia="es-ES"/>
        </w:rPr>
        <w:t>Registro Federal de Contribuyentes de las personas físicas</w:t>
      </w:r>
      <w:r w:rsidRPr="009052DB">
        <w:rPr>
          <w:rFonts w:ascii="Palatino Linotype" w:eastAsia="Times New Roman" w:hAnsi="Palatino Linotype" w:cs="Arial"/>
          <w:sz w:val="24"/>
          <w:szCs w:val="24"/>
          <w:lang w:val="es-ES" w:eastAsia="es-ES"/>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rsidR="002E4E38" w:rsidRPr="009052DB" w:rsidRDefault="002E4E38" w:rsidP="002E4E38">
      <w:pPr>
        <w:spacing w:after="0" w:line="360" w:lineRule="auto"/>
        <w:jc w:val="both"/>
        <w:rPr>
          <w:rFonts w:ascii="Palatino Linotype" w:eastAsia="Times New Roman" w:hAnsi="Palatino Linotype" w:cs="Arial"/>
          <w:sz w:val="24"/>
          <w:szCs w:val="24"/>
          <w:lang w:val="es-ES" w:eastAsia="es-ES"/>
        </w:rPr>
      </w:pPr>
    </w:p>
    <w:p w:rsidR="002E4E38" w:rsidRPr="009052DB" w:rsidRDefault="002E4E38" w:rsidP="002E4E38">
      <w:pPr>
        <w:spacing w:after="0" w:line="360" w:lineRule="auto"/>
        <w:jc w:val="both"/>
        <w:rPr>
          <w:rFonts w:ascii="Palatino Linotype" w:eastAsia="Times New Roman" w:hAnsi="Palatino Linotype" w:cs="Arial"/>
          <w:sz w:val="24"/>
          <w:szCs w:val="24"/>
          <w:lang w:val="es-ES" w:eastAsia="es-ES"/>
        </w:rPr>
      </w:pPr>
      <w:r w:rsidRPr="009052DB">
        <w:rPr>
          <w:rFonts w:ascii="Palatino Linotype" w:eastAsia="Times New Roman" w:hAnsi="Palatino Linotype" w:cs="Arial"/>
          <w:sz w:val="24"/>
          <w:szCs w:val="24"/>
          <w:lang w:val="es-ES" w:eastAsia="es-ES"/>
        </w:rPr>
        <w:t>Al respecto, el entonces Instituto Nacional Transparencia, Acceso a la Información y Protección de Datos Personales (INAI) a través del Criterio orientador 19/17, señala literalmente lo siguiente:</w:t>
      </w:r>
    </w:p>
    <w:p w:rsidR="002E4E38" w:rsidRPr="009052DB" w:rsidRDefault="002E4E38" w:rsidP="002E4E38">
      <w:pPr>
        <w:spacing w:after="0" w:line="360" w:lineRule="auto"/>
        <w:jc w:val="both"/>
        <w:rPr>
          <w:rFonts w:ascii="Palatino Linotype" w:eastAsia="Times New Roman" w:hAnsi="Palatino Linotype" w:cs="Arial"/>
          <w:sz w:val="24"/>
          <w:szCs w:val="24"/>
          <w:lang w:val="es-ES" w:eastAsia="es-ES"/>
        </w:rPr>
      </w:pPr>
    </w:p>
    <w:p w:rsidR="002E4E38" w:rsidRPr="009052DB" w:rsidRDefault="002E4E38" w:rsidP="002E4E38">
      <w:pPr>
        <w:spacing w:after="0" w:line="276" w:lineRule="auto"/>
        <w:ind w:left="567" w:right="567"/>
        <w:jc w:val="both"/>
        <w:rPr>
          <w:rFonts w:ascii="Palatino Linotype" w:eastAsia="Times New Roman" w:hAnsi="Palatino Linotype" w:cs="Arial"/>
          <w:i/>
          <w:sz w:val="24"/>
          <w:szCs w:val="24"/>
          <w:lang w:val="es-ES" w:eastAsia="es-ES"/>
        </w:rPr>
      </w:pPr>
      <w:r w:rsidRPr="009052DB">
        <w:rPr>
          <w:rFonts w:ascii="Palatino Linotype" w:eastAsia="Times New Roman" w:hAnsi="Palatino Linotype" w:cs="Arial"/>
          <w:i/>
          <w:sz w:val="24"/>
          <w:szCs w:val="24"/>
          <w:lang w:val="es-ES" w:eastAsia="es-ES"/>
        </w:rPr>
        <w:t>“</w:t>
      </w:r>
      <w:r w:rsidRPr="009052DB">
        <w:rPr>
          <w:rFonts w:ascii="Palatino Linotype" w:eastAsia="Times New Roman" w:hAnsi="Palatino Linotype" w:cs="Arial"/>
          <w:b/>
          <w:i/>
          <w:sz w:val="24"/>
          <w:szCs w:val="24"/>
          <w:lang w:val="es-ES" w:eastAsia="es-ES"/>
        </w:rPr>
        <w:t>Registro Federal de Contribuyentes (RFC) de personas físicas</w:t>
      </w:r>
      <w:r w:rsidRPr="009052DB">
        <w:rPr>
          <w:rFonts w:ascii="Palatino Linotype" w:eastAsia="Times New Roman" w:hAnsi="Palatino Linotype" w:cs="Arial"/>
          <w:i/>
          <w:sz w:val="24"/>
          <w:szCs w:val="24"/>
          <w:lang w:val="es-ES" w:eastAsia="es-ES"/>
        </w:rPr>
        <w:t>. El RFC es una clave de carácter fiscal, única e irrepetible, que permite identificar al titular, su edad y fecha de nacimiento, por lo que es un dato personal de carácter confidencial.</w:t>
      </w:r>
    </w:p>
    <w:p w:rsidR="002E4E38" w:rsidRPr="009052DB" w:rsidRDefault="002E4E38" w:rsidP="002E4E38">
      <w:pPr>
        <w:spacing w:after="0" w:line="360" w:lineRule="auto"/>
        <w:jc w:val="both"/>
        <w:rPr>
          <w:rFonts w:ascii="Palatino Linotype" w:eastAsia="Times New Roman" w:hAnsi="Palatino Linotype" w:cs="Arial"/>
          <w:sz w:val="24"/>
          <w:szCs w:val="24"/>
          <w:lang w:val="es-ES" w:eastAsia="es-ES"/>
        </w:rPr>
      </w:pPr>
    </w:p>
    <w:p w:rsidR="002E4E38" w:rsidRPr="009052DB" w:rsidRDefault="002E4E38" w:rsidP="002E4E38">
      <w:pPr>
        <w:spacing w:after="0" w:line="360" w:lineRule="auto"/>
        <w:jc w:val="both"/>
        <w:rPr>
          <w:rFonts w:ascii="Palatino Linotype" w:eastAsia="Times New Roman" w:hAnsi="Palatino Linotype" w:cs="Arial"/>
          <w:sz w:val="24"/>
          <w:szCs w:val="24"/>
          <w:lang w:val="es-ES" w:eastAsia="es-ES"/>
        </w:rPr>
      </w:pPr>
      <w:r w:rsidRPr="009052DB">
        <w:rPr>
          <w:rFonts w:ascii="Palatino Linotype" w:eastAsia="Times New Roman" w:hAnsi="Palatino Linotype" w:cs="Arial"/>
          <w:sz w:val="24"/>
          <w:szCs w:val="24"/>
          <w:lang w:val="es-ES" w:eastAsia="es-ES"/>
        </w:rPr>
        <w:t>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los Sujetos Obligados del Estado de México y Municipios.</w:t>
      </w:r>
    </w:p>
    <w:p w:rsidR="002E4E38" w:rsidRPr="009052DB" w:rsidRDefault="002E4E38" w:rsidP="002E4E38">
      <w:pPr>
        <w:spacing w:after="0" w:line="360" w:lineRule="auto"/>
        <w:jc w:val="both"/>
        <w:rPr>
          <w:rFonts w:ascii="Palatino Linotype" w:eastAsia="Times New Roman" w:hAnsi="Palatino Linotype" w:cs="Arial"/>
          <w:sz w:val="24"/>
          <w:szCs w:val="24"/>
          <w:lang w:val="es-ES" w:eastAsia="es-ES"/>
        </w:rPr>
      </w:pPr>
    </w:p>
    <w:p w:rsidR="002E4E38" w:rsidRPr="009052DB" w:rsidRDefault="002E4E38" w:rsidP="002E4E38">
      <w:pPr>
        <w:spacing w:after="0" w:line="360" w:lineRule="auto"/>
        <w:jc w:val="both"/>
        <w:rPr>
          <w:rFonts w:ascii="Palatino Linotype" w:eastAsia="Times New Roman" w:hAnsi="Palatino Linotype" w:cs="Arial"/>
          <w:sz w:val="24"/>
          <w:szCs w:val="24"/>
          <w:lang w:val="es-ES" w:eastAsia="es-ES"/>
        </w:rPr>
      </w:pPr>
      <w:r w:rsidRPr="009052DB">
        <w:rPr>
          <w:rFonts w:ascii="Palatino Linotype" w:eastAsia="Times New Roman" w:hAnsi="Palatino Linotype" w:cs="Arial"/>
          <w:sz w:val="24"/>
          <w:szCs w:val="24"/>
          <w:lang w:val="es-ES" w:eastAsia="es-ES"/>
        </w:rPr>
        <w:t xml:space="preserve">Por cuanto hace a la </w:t>
      </w:r>
      <w:r w:rsidRPr="009052DB">
        <w:rPr>
          <w:rFonts w:ascii="Palatino Linotype" w:eastAsia="Times New Roman" w:hAnsi="Palatino Linotype" w:cs="Arial"/>
          <w:b/>
          <w:sz w:val="24"/>
          <w:szCs w:val="24"/>
          <w:lang w:val="es-ES" w:eastAsia="es-ES"/>
        </w:rPr>
        <w:t>Clave Única de Registro de Población</w:t>
      </w:r>
      <w:r w:rsidRPr="009052DB">
        <w:rPr>
          <w:rFonts w:ascii="Palatino Linotype" w:eastAsia="Times New Roman" w:hAnsi="Palatino Linotype" w:cs="Arial"/>
          <w:sz w:val="24"/>
          <w:szCs w:val="24"/>
          <w:lang w:val="es-ES" w:eastAsia="es-ES"/>
        </w:rPr>
        <w:t>, constituye un dato personal, ya que tiene como finalidad registrar a cada una de las personas que integran la población del país, con los datos que permitan certificar y acreditar fehacientemente su identidad, la cual servirá para identificarla de manera individual.</w:t>
      </w:r>
    </w:p>
    <w:p w:rsidR="002E4E38" w:rsidRPr="009052DB" w:rsidRDefault="002E4E38" w:rsidP="002E4E38">
      <w:pPr>
        <w:spacing w:after="0" w:line="360" w:lineRule="auto"/>
        <w:jc w:val="both"/>
        <w:rPr>
          <w:rFonts w:ascii="Palatino Linotype" w:eastAsia="Times New Roman" w:hAnsi="Palatino Linotype" w:cs="Arial"/>
          <w:sz w:val="24"/>
          <w:szCs w:val="24"/>
          <w:lang w:val="es-ES" w:eastAsia="es-ES"/>
        </w:rPr>
      </w:pPr>
    </w:p>
    <w:p w:rsidR="002E4E38" w:rsidRPr="009052DB" w:rsidRDefault="002E4E38" w:rsidP="002E4E38">
      <w:pPr>
        <w:spacing w:after="0" w:line="360" w:lineRule="auto"/>
        <w:jc w:val="both"/>
        <w:rPr>
          <w:rFonts w:ascii="Palatino Linotype" w:eastAsia="Times New Roman" w:hAnsi="Palatino Linotype" w:cs="Arial"/>
          <w:sz w:val="24"/>
          <w:szCs w:val="24"/>
          <w:lang w:val="es-ES" w:eastAsia="es-ES"/>
        </w:rPr>
      </w:pPr>
      <w:r w:rsidRPr="009052DB">
        <w:rPr>
          <w:rFonts w:ascii="Palatino Linotype" w:eastAsia="Times New Roman" w:hAnsi="Palatino Linotype" w:cs="Arial"/>
          <w:sz w:val="24"/>
          <w:szCs w:val="24"/>
          <w:lang w:val="es-ES" w:eastAsia="es-ES"/>
        </w:rPr>
        <w:t>Lo anterior, tiene sustento en los artículos 86 y 91, de la Ley General de Población, la cual señala lo siguiente:</w:t>
      </w:r>
    </w:p>
    <w:p w:rsidR="002E4E38" w:rsidRPr="009052DB" w:rsidRDefault="002E4E38" w:rsidP="002E4E38">
      <w:pPr>
        <w:spacing w:after="0" w:line="276" w:lineRule="auto"/>
        <w:jc w:val="both"/>
        <w:rPr>
          <w:rFonts w:ascii="Palatino Linotype" w:eastAsia="Times New Roman" w:hAnsi="Palatino Linotype" w:cs="Arial"/>
          <w:sz w:val="24"/>
          <w:szCs w:val="24"/>
          <w:lang w:val="es-ES" w:eastAsia="es-ES"/>
        </w:rPr>
      </w:pPr>
    </w:p>
    <w:p w:rsidR="002E4E38" w:rsidRPr="009052DB" w:rsidRDefault="002E4E38" w:rsidP="002E4E38">
      <w:pPr>
        <w:spacing w:after="0" w:line="276" w:lineRule="auto"/>
        <w:ind w:left="567" w:right="567"/>
        <w:jc w:val="both"/>
        <w:rPr>
          <w:rFonts w:ascii="Palatino Linotype" w:eastAsia="Times New Roman" w:hAnsi="Palatino Linotype" w:cs="Arial"/>
          <w:i/>
          <w:sz w:val="24"/>
          <w:szCs w:val="24"/>
          <w:lang w:val="es-ES" w:eastAsia="es-ES"/>
        </w:rPr>
      </w:pPr>
      <w:r w:rsidRPr="009052DB">
        <w:rPr>
          <w:rFonts w:ascii="Palatino Linotype" w:eastAsia="Times New Roman" w:hAnsi="Palatino Linotype" w:cs="Arial"/>
          <w:i/>
          <w:sz w:val="24"/>
          <w:szCs w:val="24"/>
          <w:lang w:val="es-ES" w:eastAsia="es-ES"/>
        </w:rPr>
        <w:t>“</w:t>
      </w:r>
      <w:r w:rsidRPr="009052DB">
        <w:rPr>
          <w:rFonts w:ascii="Palatino Linotype" w:eastAsia="Times New Roman" w:hAnsi="Palatino Linotype" w:cs="Arial"/>
          <w:b/>
          <w:i/>
          <w:sz w:val="24"/>
          <w:szCs w:val="24"/>
          <w:lang w:val="es-ES" w:eastAsia="es-ES"/>
        </w:rPr>
        <w:t>Artículo 86.</w:t>
      </w:r>
      <w:r w:rsidRPr="009052DB">
        <w:rPr>
          <w:rFonts w:ascii="Palatino Linotype" w:eastAsia="Times New Roman" w:hAnsi="Palatino Linotype" w:cs="Arial"/>
          <w:i/>
          <w:sz w:val="24"/>
          <w:szCs w:val="24"/>
          <w:lang w:val="es-ES" w:eastAsia="es-ES"/>
        </w:rPr>
        <w:t xml:space="preserve"> El Registro Nacional de Población tiene como finalidad registrar a cada una de las personas que integran la población del país, con los datos que permitan certificar y acreditar fehacientemente su identidad.</w:t>
      </w:r>
    </w:p>
    <w:p w:rsidR="002E4E38" w:rsidRPr="009052DB" w:rsidRDefault="002E4E38" w:rsidP="002E4E38">
      <w:pPr>
        <w:spacing w:after="0" w:line="276" w:lineRule="auto"/>
        <w:ind w:left="567" w:right="567"/>
        <w:jc w:val="both"/>
        <w:rPr>
          <w:rFonts w:ascii="Palatino Linotype" w:eastAsia="Times New Roman" w:hAnsi="Palatino Linotype" w:cs="Arial"/>
          <w:i/>
          <w:sz w:val="24"/>
          <w:szCs w:val="24"/>
          <w:lang w:val="es-ES" w:eastAsia="es-ES"/>
        </w:rPr>
      </w:pPr>
    </w:p>
    <w:p w:rsidR="002E4E38" w:rsidRPr="009052DB" w:rsidRDefault="002E4E38" w:rsidP="002E4E38">
      <w:pPr>
        <w:spacing w:after="0" w:line="276" w:lineRule="auto"/>
        <w:ind w:left="567" w:right="567"/>
        <w:jc w:val="both"/>
        <w:rPr>
          <w:rFonts w:ascii="Palatino Linotype" w:eastAsia="Times New Roman" w:hAnsi="Palatino Linotype" w:cs="Arial"/>
          <w:i/>
          <w:sz w:val="24"/>
          <w:szCs w:val="24"/>
          <w:lang w:val="es-ES" w:eastAsia="es-ES"/>
        </w:rPr>
      </w:pPr>
      <w:r w:rsidRPr="009052DB">
        <w:rPr>
          <w:rFonts w:ascii="Palatino Linotype" w:eastAsia="Times New Roman" w:hAnsi="Palatino Linotype" w:cs="Arial"/>
          <w:b/>
          <w:i/>
          <w:sz w:val="24"/>
          <w:szCs w:val="24"/>
          <w:lang w:val="es-ES" w:eastAsia="es-ES"/>
        </w:rPr>
        <w:t>Artículo 91.</w:t>
      </w:r>
      <w:r w:rsidRPr="009052DB">
        <w:rPr>
          <w:rFonts w:ascii="Palatino Linotype" w:eastAsia="Times New Roman" w:hAnsi="Palatino Linotype" w:cs="Arial"/>
          <w:i/>
          <w:sz w:val="24"/>
          <w:szCs w:val="24"/>
          <w:lang w:val="es-ES" w:eastAsia="es-ES"/>
        </w:rPr>
        <w:t xml:space="preserve"> Al incorporar a una persona en el Registro Nacional de Población, se le asignará una clave que se denominará Clave Única de Registro de Población. Esta servirá para registrarla e identificarla en forma individual.”</w:t>
      </w:r>
    </w:p>
    <w:p w:rsidR="002E4E38" w:rsidRPr="009052DB" w:rsidRDefault="002E4E38" w:rsidP="002E4E38">
      <w:pPr>
        <w:spacing w:after="0" w:line="360" w:lineRule="auto"/>
        <w:jc w:val="both"/>
        <w:rPr>
          <w:rFonts w:ascii="Palatino Linotype" w:eastAsia="Times New Roman" w:hAnsi="Palatino Linotype" w:cs="Arial"/>
          <w:sz w:val="24"/>
          <w:szCs w:val="24"/>
          <w:lang w:val="es-ES" w:eastAsia="es-ES"/>
        </w:rPr>
      </w:pPr>
    </w:p>
    <w:p w:rsidR="002E4E38" w:rsidRPr="009052DB" w:rsidRDefault="002E4E38" w:rsidP="002E4E38">
      <w:pPr>
        <w:spacing w:after="0" w:line="360" w:lineRule="auto"/>
        <w:jc w:val="both"/>
        <w:rPr>
          <w:rFonts w:ascii="Palatino Linotype" w:eastAsia="Times New Roman" w:hAnsi="Palatino Linotype" w:cs="Arial"/>
          <w:sz w:val="24"/>
          <w:szCs w:val="24"/>
          <w:lang w:val="es-ES" w:eastAsia="es-ES"/>
        </w:rPr>
      </w:pPr>
      <w:r w:rsidRPr="009052DB">
        <w:rPr>
          <w:rFonts w:ascii="Palatino Linotype" w:eastAsia="Times New Roman" w:hAnsi="Palatino Linotype" w:cs="Arial"/>
          <w:sz w:val="24"/>
          <w:szCs w:val="24"/>
          <w:lang w:val="es-ES" w:eastAsia="es-ES"/>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rsidR="002E4E38" w:rsidRPr="009052DB" w:rsidRDefault="002E4E38" w:rsidP="002E4E38">
      <w:pPr>
        <w:spacing w:after="0" w:line="360" w:lineRule="auto"/>
        <w:jc w:val="both"/>
        <w:rPr>
          <w:rFonts w:ascii="Palatino Linotype" w:eastAsia="Times New Roman" w:hAnsi="Palatino Linotype" w:cs="Arial"/>
          <w:sz w:val="24"/>
          <w:szCs w:val="24"/>
          <w:lang w:val="es-ES" w:eastAsia="es-ES"/>
        </w:rPr>
      </w:pPr>
    </w:p>
    <w:p w:rsidR="002E4E38" w:rsidRPr="009052DB" w:rsidRDefault="002E4E38" w:rsidP="002E4E38">
      <w:pPr>
        <w:spacing w:after="0" w:line="360" w:lineRule="auto"/>
        <w:jc w:val="both"/>
        <w:rPr>
          <w:rFonts w:ascii="Palatino Linotype" w:eastAsia="Times New Roman" w:hAnsi="Palatino Linotype" w:cs="Arial"/>
          <w:sz w:val="24"/>
          <w:szCs w:val="24"/>
          <w:lang w:val="es-ES" w:eastAsia="es-ES"/>
        </w:rPr>
      </w:pPr>
      <w:r w:rsidRPr="009052DB">
        <w:rPr>
          <w:rFonts w:ascii="Palatino Linotype" w:eastAsia="Times New Roman" w:hAnsi="Palatino Linotype" w:cs="Arial"/>
          <w:sz w:val="24"/>
          <w:szCs w:val="24"/>
          <w:lang w:val="es-ES" w:eastAsia="es-ES"/>
        </w:rPr>
        <w:t>Al respecto, el entonces Instituto Nacional de Transparencia, Acceso a la Información y Protección de Datos Personales (INAI) a través del Criterio orientador 18/17, señala literalmente lo siguiente:</w:t>
      </w:r>
    </w:p>
    <w:p w:rsidR="002E4E38" w:rsidRPr="009052DB" w:rsidRDefault="002E4E38" w:rsidP="002E4E38">
      <w:pPr>
        <w:spacing w:after="0" w:line="360" w:lineRule="auto"/>
        <w:jc w:val="both"/>
        <w:rPr>
          <w:rFonts w:ascii="Palatino Linotype" w:eastAsia="Times New Roman" w:hAnsi="Palatino Linotype" w:cs="Arial"/>
          <w:sz w:val="24"/>
          <w:szCs w:val="24"/>
          <w:lang w:val="es-ES" w:eastAsia="es-ES"/>
        </w:rPr>
      </w:pPr>
    </w:p>
    <w:p w:rsidR="002E4E38" w:rsidRPr="009052DB" w:rsidRDefault="002E4E38" w:rsidP="002E4E38">
      <w:pPr>
        <w:spacing w:after="0" w:line="276" w:lineRule="auto"/>
        <w:ind w:left="567" w:right="567"/>
        <w:jc w:val="both"/>
        <w:rPr>
          <w:rFonts w:ascii="Palatino Linotype" w:eastAsia="Times New Roman" w:hAnsi="Palatino Linotype" w:cs="Arial"/>
          <w:i/>
          <w:sz w:val="24"/>
          <w:szCs w:val="24"/>
          <w:lang w:val="es-ES" w:eastAsia="es-ES"/>
        </w:rPr>
      </w:pPr>
      <w:r w:rsidRPr="009052DB">
        <w:rPr>
          <w:rFonts w:ascii="Palatino Linotype" w:eastAsia="Times New Roman" w:hAnsi="Palatino Linotype" w:cs="Arial"/>
          <w:b/>
          <w:i/>
          <w:sz w:val="24"/>
          <w:szCs w:val="24"/>
          <w:lang w:val="es-ES" w:eastAsia="es-ES"/>
        </w:rPr>
        <w:t>Clave Única de Registro de Población (CURP).</w:t>
      </w:r>
      <w:r w:rsidRPr="009052DB">
        <w:rPr>
          <w:rFonts w:ascii="Palatino Linotype" w:eastAsia="Times New Roman" w:hAnsi="Palatino Linotype" w:cs="Arial"/>
          <w:i/>
          <w:sz w:val="24"/>
          <w:szCs w:val="24"/>
          <w:lang w:val="es-ES" w:eastAsia="es-ES"/>
        </w:rPr>
        <w:t xml:space="preserve">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2E4E38" w:rsidRPr="009052DB" w:rsidRDefault="002E4E38" w:rsidP="002E4E38">
      <w:pPr>
        <w:spacing w:after="0" w:line="276" w:lineRule="auto"/>
        <w:jc w:val="both"/>
        <w:rPr>
          <w:rFonts w:ascii="Palatino Linotype" w:eastAsia="Times New Roman" w:hAnsi="Palatino Linotype" w:cs="Arial"/>
          <w:sz w:val="24"/>
          <w:szCs w:val="24"/>
          <w:lang w:val="es-ES" w:eastAsia="es-ES"/>
        </w:rPr>
      </w:pPr>
    </w:p>
    <w:p w:rsidR="002E4E38" w:rsidRPr="009052DB" w:rsidRDefault="002E4E38" w:rsidP="002E4E38">
      <w:pPr>
        <w:spacing w:after="0" w:line="360" w:lineRule="auto"/>
        <w:jc w:val="both"/>
        <w:rPr>
          <w:rFonts w:ascii="Palatino Linotype" w:eastAsia="Times New Roman" w:hAnsi="Palatino Linotype" w:cs="Arial"/>
          <w:sz w:val="24"/>
          <w:szCs w:val="24"/>
          <w:lang w:val="es-ES" w:eastAsia="es-ES"/>
        </w:rPr>
      </w:pPr>
      <w:r w:rsidRPr="009052DB">
        <w:rPr>
          <w:rFonts w:ascii="Palatino Linotype" w:eastAsia="Times New Roman" w:hAnsi="Palatino Linotype" w:cs="Arial"/>
          <w:sz w:val="24"/>
          <w:szCs w:val="24"/>
          <w:lang w:val="es-ES" w:eastAsia="es-ES"/>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2E4E38" w:rsidRPr="009052DB" w:rsidRDefault="002E4E38" w:rsidP="002E4E38">
      <w:pPr>
        <w:spacing w:after="0" w:line="360" w:lineRule="auto"/>
        <w:ind w:right="51"/>
        <w:jc w:val="both"/>
        <w:rPr>
          <w:rFonts w:ascii="Palatino Linotype" w:hAnsi="Palatino Linotype" w:cs="Arial"/>
          <w:sz w:val="24"/>
          <w:szCs w:val="24"/>
          <w:lang w:val="es-ES_tradnl"/>
        </w:rPr>
      </w:pPr>
    </w:p>
    <w:p w:rsidR="002E4E38" w:rsidRPr="009052DB" w:rsidRDefault="002E4E38" w:rsidP="002E4E38">
      <w:pPr>
        <w:spacing w:after="0" w:line="360" w:lineRule="auto"/>
        <w:ind w:right="51"/>
        <w:jc w:val="both"/>
        <w:rPr>
          <w:rFonts w:ascii="Palatino Linotype" w:eastAsia="Arial Unicode MS" w:hAnsi="Palatino Linotype" w:cs="Arial"/>
          <w:sz w:val="24"/>
          <w:szCs w:val="24"/>
          <w:lang w:val="es-ES_tradnl"/>
        </w:rPr>
      </w:pPr>
      <w:r w:rsidRPr="009052DB">
        <w:rPr>
          <w:rFonts w:ascii="Palatino Linotype" w:hAnsi="Palatino Linotype" w:cs="Arial"/>
          <w:sz w:val="24"/>
          <w:szCs w:val="24"/>
          <w:lang w:val="es-ES_tradnl"/>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w:t>
      </w:r>
      <w:r w:rsidRPr="009052DB">
        <w:rPr>
          <w:rFonts w:ascii="Palatino Linotype" w:hAnsi="Palatino Linotype" w:cs="Arial"/>
          <w:sz w:val="24"/>
          <w:szCs w:val="24"/>
          <w:lang w:val="es-ES_tradnl"/>
        </w:rPr>
        <w:lastRenderedPageBreak/>
        <w:t xml:space="preserve">así como los numerales aplicables de los </w:t>
      </w:r>
      <w:r w:rsidRPr="009052DB">
        <w:rPr>
          <w:rFonts w:ascii="Palatino Linotype" w:hAnsi="Palatino Linotype" w:cs="Arial"/>
          <w:b/>
          <w:sz w:val="24"/>
          <w:szCs w:val="24"/>
          <w:lang w:val="es-ES_tradnl"/>
        </w:rPr>
        <w:t>LINEAMIENTOS GENERALES EN MATERIA DE CLASIFICACIÓN Y DESCLASIFICACIÓN DE LA INFORMACIÓN, ASÍ COMO PARA LA ELABORACIÓN DE VERSIONES PÚBLICAS,</w:t>
      </w:r>
      <w:r w:rsidRPr="009052DB">
        <w:rPr>
          <w:rFonts w:ascii="Palatino Linotype" w:hAnsi="Palatino Linotype" w:cs="Arial"/>
          <w:sz w:val="24"/>
          <w:szCs w:val="24"/>
          <w:lang w:val="es-ES_tradnl"/>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2E4E38" w:rsidRPr="009052DB" w:rsidRDefault="002E4E38" w:rsidP="002E4E38">
      <w:pPr>
        <w:spacing w:after="0" w:line="360" w:lineRule="auto"/>
        <w:jc w:val="both"/>
        <w:rPr>
          <w:rFonts w:ascii="Palatino Linotype" w:eastAsia="Palatino Linotype" w:hAnsi="Palatino Linotype" w:cs="Palatino Linotype"/>
          <w:sz w:val="24"/>
          <w:szCs w:val="24"/>
          <w:lang w:eastAsia="en-US"/>
        </w:rPr>
      </w:pPr>
    </w:p>
    <w:p w:rsidR="002E4E38" w:rsidRPr="009052DB" w:rsidRDefault="002E4E38" w:rsidP="002E4E38">
      <w:pPr>
        <w:numPr>
          <w:ilvl w:val="0"/>
          <w:numId w:val="3"/>
        </w:numPr>
        <w:tabs>
          <w:tab w:val="left" w:pos="7938"/>
        </w:tabs>
        <w:spacing w:after="0" w:line="360" w:lineRule="auto"/>
        <w:ind w:left="426"/>
        <w:jc w:val="both"/>
        <w:rPr>
          <w:rFonts w:asciiTheme="minorHAnsi" w:eastAsiaTheme="minorHAnsi" w:hAnsiTheme="minorHAnsi" w:cstheme="minorBidi"/>
          <w:b/>
          <w:sz w:val="28"/>
          <w:szCs w:val="28"/>
          <w:lang w:eastAsia="en-US"/>
        </w:rPr>
      </w:pPr>
      <w:r w:rsidRPr="009052DB">
        <w:rPr>
          <w:rFonts w:ascii="Palatino Linotype" w:eastAsia="Palatino Linotype" w:hAnsi="Palatino Linotype" w:cs="Palatino Linotype"/>
          <w:b/>
          <w:sz w:val="28"/>
          <w:szCs w:val="28"/>
          <w:lang w:eastAsia="en-US"/>
        </w:rPr>
        <w:t>De la vista a los órganos de control interno competentes.</w:t>
      </w:r>
    </w:p>
    <w:p w:rsidR="002E4E38" w:rsidRPr="009052DB" w:rsidRDefault="002E4E38" w:rsidP="002E4E38">
      <w:pPr>
        <w:spacing w:line="360" w:lineRule="auto"/>
        <w:ind w:right="49"/>
        <w:jc w:val="both"/>
        <w:rPr>
          <w:rFonts w:ascii="Palatino Linotype" w:eastAsia="Palatino Linotype" w:hAnsi="Palatino Linotype" w:cs="Palatino Linotype"/>
          <w:sz w:val="24"/>
          <w:szCs w:val="24"/>
          <w:lang w:eastAsia="en-US"/>
        </w:rPr>
      </w:pPr>
      <w:r w:rsidRPr="009052DB">
        <w:rPr>
          <w:rFonts w:ascii="Palatino Linotype" w:eastAsia="Palatino Linotype" w:hAnsi="Palatino Linotype" w:cs="Palatino Linotype"/>
          <w:sz w:val="24"/>
          <w:szCs w:val="24"/>
          <w:lang w:eastAsia="en-US"/>
        </w:rPr>
        <w:t>Como ya se mencionó el</w:t>
      </w:r>
      <w:r w:rsidRPr="009052DB">
        <w:rPr>
          <w:rFonts w:ascii="Palatino Linotype" w:eastAsia="Palatino Linotype" w:hAnsi="Palatino Linotype" w:cs="Palatino Linotype"/>
          <w:b/>
          <w:sz w:val="24"/>
          <w:szCs w:val="24"/>
          <w:lang w:eastAsia="en-US"/>
        </w:rPr>
        <w:t xml:space="preserve"> Sujeto Obligado</w:t>
      </w:r>
      <w:r w:rsidRPr="009052DB">
        <w:rPr>
          <w:rFonts w:ascii="Palatino Linotype" w:eastAsia="Palatino Linotype" w:hAnsi="Palatino Linotype" w:cs="Palatino Linotype"/>
          <w:sz w:val="24"/>
          <w:szCs w:val="24"/>
          <w:lang w:eastAsia="en-US"/>
        </w:rPr>
        <w:t>, no proporcionó respuesta a la solicitud de acceso a la información pública, en el término previsto en el artículo 163 de la Ley de Transparencia y Acceso a la Información Pública por lo que ordena dar vista</w:t>
      </w:r>
      <w:r w:rsidRPr="009052DB">
        <w:rPr>
          <w:rFonts w:ascii="Palatino Linotype" w:eastAsia="Palatino Linotype" w:hAnsi="Palatino Linotype" w:cs="Palatino Linotype"/>
          <w:b/>
          <w:sz w:val="24"/>
          <w:szCs w:val="24"/>
          <w:lang w:eastAsia="en-US"/>
        </w:rPr>
        <w:t xml:space="preserve"> </w:t>
      </w:r>
      <w:r w:rsidRPr="009052DB">
        <w:rPr>
          <w:rFonts w:ascii="Palatino Linotype" w:eastAsia="Palatino Linotype" w:hAnsi="Palatino Linotype" w:cs="Palatino Linotype"/>
          <w:sz w:val="24"/>
          <w:szCs w:val="24"/>
          <w:lang w:eastAsia="en-US"/>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2E4E38" w:rsidRPr="009052DB" w:rsidRDefault="002E4E38" w:rsidP="002E4E38">
      <w:pPr>
        <w:spacing w:line="360" w:lineRule="auto"/>
        <w:ind w:right="49"/>
        <w:jc w:val="both"/>
        <w:rPr>
          <w:rFonts w:ascii="Palatino Linotype" w:eastAsia="Palatino Linotype" w:hAnsi="Palatino Linotype" w:cs="Palatino Linotype"/>
          <w:sz w:val="24"/>
          <w:szCs w:val="24"/>
          <w:lang w:eastAsia="en-US"/>
        </w:rPr>
      </w:pPr>
    </w:p>
    <w:p w:rsidR="002E4E38" w:rsidRPr="009052DB" w:rsidRDefault="002E4E38" w:rsidP="002E4E38">
      <w:pPr>
        <w:spacing w:after="0" w:line="360" w:lineRule="auto"/>
        <w:jc w:val="both"/>
        <w:rPr>
          <w:rFonts w:ascii="Palatino Linotype" w:eastAsia="Palatino Linotype" w:hAnsi="Palatino Linotype" w:cs="Palatino Linotype"/>
          <w:sz w:val="24"/>
          <w:szCs w:val="24"/>
          <w:lang w:eastAsia="en-US"/>
        </w:rPr>
      </w:pPr>
      <w:r w:rsidRPr="009052DB">
        <w:rPr>
          <w:rFonts w:ascii="Palatino Linotype" w:eastAsia="Palatino Linotype" w:hAnsi="Palatino Linotype" w:cs="Palatino Linotype"/>
          <w:sz w:val="24"/>
          <w:szCs w:val="24"/>
          <w:lang w:eastAsia="en-US"/>
        </w:rPr>
        <w:t xml:space="preserve">Por lo tanto, de lo expuesto y con fundamento en la fracción IV del artículo 186, de la Ley de Transparencia y Acceso a la Información Pública del Estado de México y Municipios, se </w:t>
      </w:r>
      <w:r w:rsidRPr="009052DB">
        <w:rPr>
          <w:rFonts w:ascii="Palatino Linotype" w:eastAsia="Palatino Linotype" w:hAnsi="Palatino Linotype" w:cs="Palatino Linotype"/>
          <w:b/>
          <w:sz w:val="24"/>
          <w:szCs w:val="24"/>
          <w:lang w:eastAsia="en-US"/>
        </w:rPr>
        <w:t>ORDENA</w:t>
      </w:r>
      <w:r w:rsidRPr="009052DB">
        <w:rPr>
          <w:rFonts w:ascii="Palatino Linotype" w:eastAsia="Palatino Linotype" w:hAnsi="Palatino Linotype" w:cs="Palatino Linotype"/>
          <w:sz w:val="24"/>
          <w:szCs w:val="24"/>
          <w:lang w:eastAsia="en-US"/>
        </w:rPr>
        <w:t xml:space="preserve"> al </w:t>
      </w:r>
      <w:r w:rsidRPr="009052DB">
        <w:rPr>
          <w:rFonts w:ascii="Palatino Linotype" w:eastAsia="Palatino Linotype" w:hAnsi="Palatino Linotype" w:cs="Palatino Linotype"/>
          <w:b/>
          <w:sz w:val="24"/>
          <w:szCs w:val="24"/>
          <w:lang w:eastAsia="en-US"/>
        </w:rPr>
        <w:t>Sujeto Obligado</w:t>
      </w:r>
      <w:r w:rsidRPr="009052DB">
        <w:rPr>
          <w:rFonts w:ascii="Palatino Linotype" w:eastAsia="Palatino Linotype" w:hAnsi="Palatino Linotype" w:cs="Palatino Linotype"/>
          <w:sz w:val="24"/>
          <w:szCs w:val="24"/>
          <w:lang w:eastAsia="en-US"/>
        </w:rPr>
        <w:t xml:space="preserve">, atienda las solicitudes de información </w:t>
      </w:r>
      <w:r w:rsidR="009A63F9" w:rsidRPr="009052DB">
        <w:rPr>
          <w:rFonts w:ascii="Palatino Linotype" w:eastAsia="Palatino Linotype" w:hAnsi="Palatino Linotype" w:cs="Palatino Linotype"/>
          <w:b/>
          <w:sz w:val="24"/>
          <w:szCs w:val="24"/>
          <w:lang w:eastAsia="en-US"/>
        </w:rPr>
        <w:t>00035/TEPOTZOT/IP/2026</w:t>
      </w:r>
      <w:r w:rsidRPr="009052DB">
        <w:rPr>
          <w:rFonts w:ascii="Palatino Linotype" w:eastAsia="Palatino Linotype" w:hAnsi="Palatino Linotype" w:cs="Palatino Linotype"/>
          <w:b/>
          <w:sz w:val="24"/>
          <w:szCs w:val="24"/>
          <w:lang w:eastAsia="en-US"/>
        </w:rPr>
        <w:t xml:space="preserve">, </w:t>
      </w:r>
      <w:r w:rsidRPr="009052DB">
        <w:rPr>
          <w:rFonts w:ascii="Palatino Linotype" w:eastAsia="Palatino Linotype" w:hAnsi="Palatino Linotype" w:cs="Palatino Linotype"/>
          <w:sz w:val="24"/>
          <w:szCs w:val="24"/>
          <w:lang w:eastAsia="en-US"/>
        </w:rPr>
        <w:t>que han sido materia del presente fallo.</w:t>
      </w:r>
    </w:p>
    <w:p w:rsidR="002E4E38" w:rsidRPr="009052DB" w:rsidRDefault="002E4E38" w:rsidP="002E4E38">
      <w:pPr>
        <w:spacing w:after="0" w:line="360" w:lineRule="auto"/>
        <w:jc w:val="both"/>
        <w:rPr>
          <w:rFonts w:ascii="Palatino Linotype" w:eastAsia="Palatino Linotype" w:hAnsi="Palatino Linotype" w:cs="Palatino Linotype"/>
          <w:sz w:val="24"/>
          <w:szCs w:val="24"/>
          <w:lang w:eastAsia="en-US"/>
        </w:rPr>
      </w:pPr>
    </w:p>
    <w:p w:rsidR="002E4E38" w:rsidRPr="009052DB" w:rsidRDefault="002E4E38" w:rsidP="002E4E38">
      <w:pPr>
        <w:spacing w:after="0" w:line="360" w:lineRule="auto"/>
        <w:jc w:val="both"/>
        <w:rPr>
          <w:rFonts w:ascii="Palatino Linotype" w:eastAsia="Palatino Linotype" w:hAnsi="Palatino Linotype" w:cs="Palatino Linotype"/>
          <w:sz w:val="24"/>
          <w:szCs w:val="24"/>
          <w:lang w:eastAsia="en-US"/>
        </w:rPr>
      </w:pPr>
      <w:r w:rsidRPr="009052DB">
        <w:rPr>
          <w:rFonts w:ascii="Palatino Linotype" w:eastAsia="Palatino Linotype" w:hAnsi="Palatino Linotype" w:cs="Palatino Linotype"/>
          <w:sz w:val="24"/>
          <w:szCs w:val="24"/>
          <w:lang w:eastAsia="en-US"/>
        </w:rPr>
        <w:lastRenderedPageBreak/>
        <w:t>Por lo antes expuesto y fundado es de resolverse y,</w:t>
      </w:r>
    </w:p>
    <w:p w:rsidR="002E4E38" w:rsidRPr="009052DB" w:rsidRDefault="002E4E38" w:rsidP="002E4E38">
      <w:pPr>
        <w:spacing w:after="0" w:line="360" w:lineRule="auto"/>
        <w:jc w:val="both"/>
        <w:rPr>
          <w:rFonts w:ascii="Palatino Linotype" w:eastAsia="Palatino Linotype" w:hAnsi="Palatino Linotype" w:cs="Palatino Linotype"/>
          <w:sz w:val="24"/>
          <w:szCs w:val="24"/>
          <w:lang w:eastAsia="en-US"/>
        </w:rPr>
      </w:pPr>
    </w:p>
    <w:p w:rsidR="002E4E38" w:rsidRPr="009052DB" w:rsidRDefault="002E4E38" w:rsidP="002E4E38">
      <w:pPr>
        <w:spacing w:after="0" w:line="360" w:lineRule="auto"/>
        <w:ind w:left="426"/>
        <w:jc w:val="center"/>
        <w:rPr>
          <w:rFonts w:ascii="Palatino Linotype" w:eastAsia="Palatino Linotype" w:hAnsi="Palatino Linotype" w:cs="Palatino Linotype"/>
          <w:b/>
          <w:color w:val="000000"/>
          <w:sz w:val="28"/>
          <w:szCs w:val="28"/>
          <w:lang w:eastAsia="en-US"/>
        </w:rPr>
      </w:pPr>
      <w:r w:rsidRPr="009052DB">
        <w:rPr>
          <w:rFonts w:ascii="Palatino Linotype" w:eastAsia="Palatino Linotype" w:hAnsi="Palatino Linotype" w:cs="Palatino Linotype"/>
          <w:b/>
          <w:color w:val="000000"/>
          <w:sz w:val="28"/>
          <w:szCs w:val="28"/>
          <w:lang w:eastAsia="en-US"/>
        </w:rPr>
        <w:t>SE    RESUELVE</w:t>
      </w:r>
    </w:p>
    <w:p w:rsidR="002E4E38" w:rsidRPr="009052DB" w:rsidRDefault="002E4E38" w:rsidP="002E4E38">
      <w:pPr>
        <w:tabs>
          <w:tab w:val="left" w:pos="8647"/>
        </w:tabs>
        <w:spacing w:after="0" w:line="360" w:lineRule="auto"/>
        <w:ind w:right="51"/>
        <w:jc w:val="both"/>
        <w:rPr>
          <w:rFonts w:ascii="Palatino Linotype" w:eastAsia="Palatino Linotype" w:hAnsi="Palatino Linotype" w:cs="Palatino Linotype"/>
          <w:sz w:val="24"/>
          <w:szCs w:val="24"/>
          <w:lang w:eastAsia="en-US"/>
        </w:rPr>
      </w:pPr>
      <w:r w:rsidRPr="009052DB">
        <w:rPr>
          <w:rFonts w:ascii="Palatino Linotype" w:eastAsia="Palatino Linotype" w:hAnsi="Palatino Linotype" w:cs="Palatino Linotype"/>
          <w:b/>
          <w:sz w:val="28"/>
          <w:szCs w:val="28"/>
          <w:lang w:eastAsia="en-US"/>
        </w:rPr>
        <w:t>PRIMERO.</w:t>
      </w:r>
      <w:r w:rsidRPr="009052DB">
        <w:rPr>
          <w:rFonts w:ascii="Palatino Linotype" w:eastAsia="Palatino Linotype" w:hAnsi="Palatino Linotype" w:cs="Palatino Linotype"/>
          <w:sz w:val="24"/>
          <w:szCs w:val="24"/>
          <w:lang w:eastAsia="en-US"/>
        </w:rPr>
        <w:t xml:space="preserve"> Resultan fundadas las razones o motivos de inconformidad hechos valer por la parte </w:t>
      </w:r>
      <w:r w:rsidRPr="009052DB">
        <w:rPr>
          <w:rFonts w:ascii="Palatino Linotype" w:eastAsia="Palatino Linotype" w:hAnsi="Palatino Linotype" w:cs="Palatino Linotype"/>
          <w:b/>
          <w:sz w:val="24"/>
          <w:szCs w:val="24"/>
          <w:lang w:eastAsia="en-US"/>
        </w:rPr>
        <w:t>Recurrente,</w:t>
      </w:r>
      <w:r w:rsidRPr="009052DB">
        <w:rPr>
          <w:rFonts w:ascii="Palatino Linotype" w:eastAsia="Palatino Linotype" w:hAnsi="Palatino Linotype" w:cs="Palatino Linotype"/>
          <w:sz w:val="24"/>
          <w:szCs w:val="24"/>
          <w:lang w:eastAsia="en-US"/>
        </w:rPr>
        <w:t xml:space="preserve"> en términos del considerando </w:t>
      </w:r>
      <w:r w:rsidRPr="009052DB">
        <w:rPr>
          <w:rFonts w:ascii="Palatino Linotype" w:eastAsia="Palatino Linotype" w:hAnsi="Palatino Linotype" w:cs="Palatino Linotype"/>
          <w:b/>
          <w:sz w:val="24"/>
          <w:szCs w:val="24"/>
          <w:lang w:eastAsia="en-US"/>
        </w:rPr>
        <w:t>CUARTO</w:t>
      </w:r>
      <w:r w:rsidRPr="009052DB">
        <w:rPr>
          <w:rFonts w:ascii="Palatino Linotype" w:eastAsia="Palatino Linotype" w:hAnsi="Palatino Linotype" w:cs="Palatino Linotype"/>
          <w:sz w:val="24"/>
          <w:szCs w:val="24"/>
          <w:lang w:eastAsia="en-US"/>
        </w:rPr>
        <w:t>, de la presente resolución.</w:t>
      </w:r>
    </w:p>
    <w:p w:rsidR="002E4E38" w:rsidRPr="009052DB" w:rsidRDefault="002E4E38" w:rsidP="002E4E38">
      <w:pPr>
        <w:tabs>
          <w:tab w:val="left" w:pos="8647"/>
        </w:tabs>
        <w:spacing w:after="0" w:line="360" w:lineRule="auto"/>
        <w:ind w:right="51"/>
        <w:jc w:val="both"/>
        <w:rPr>
          <w:rFonts w:ascii="Palatino Linotype" w:eastAsia="Palatino Linotype" w:hAnsi="Palatino Linotype" w:cs="Palatino Linotype"/>
          <w:sz w:val="24"/>
          <w:szCs w:val="24"/>
          <w:lang w:eastAsia="en-US"/>
        </w:rPr>
      </w:pPr>
    </w:p>
    <w:p w:rsidR="002E4E38" w:rsidRPr="009052DB" w:rsidRDefault="002E4E38" w:rsidP="002E4E38">
      <w:pPr>
        <w:tabs>
          <w:tab w:val="left" w:pos="8647"/>
        </w:tabs>
        <w:spacing w:after="0" w:line="360" w:lineRule="auto"/>
        <w:ind w:right="51"/>
        <w:jc w:val="both"/>
        <w:rPr>
          <w:rFonts w:ascii="Palatino Linotype" w:eastAsiaTheme="minorHAnsi" w:hAnsi="Palatino Linotype" w:cstheme="minorBidi"/>
          <w:bCs/>
          <w:sz w:val="24"/>
          <w:lang w:eastAsia="en-US"/>
        </w:rPr>
      </w:pPr>
      <w:r w:rsidRPr="009052DB">
        <w:rPr>
          <w:rFonts w:ascii="Palatino Linotype" w:eastAsia="Palatino Linotype" w:hAnsi="Palatino Linotype" w:cs="Palatino Linotype"/>
          <w:b/>
          <w:sz w:val="28"/>
          <w:szCs w:val="28"/>
          <w:lang w:eastAsia="en-US"/>
        </w:rPr>
        <w:t>SEGUNDO.</w:t>
      </w:r>
      <w:r w:rsidRPr="009052DB">
        <w:rPr>
          <w:rFonts w:ascii="Palatino Linotype" w:eastAsia="Palatino Linotype" w:hAnsi="Palatino Linotype" w:cs="Palatino Linotype"/>
          <w:sz w:val="24"/>
          <w:szCs w:val="24"/>
          <w:lang w:eastAsia="en-US"/>
        </w:rPr>
        <w:t xml:space="preserve"> Se </w:t>
      </w:r>
      <w:r w:rsidRPr="009052DB">
        <w:rPr>
          <w:rFonts w:ascii="Palatino Linotype" w:eastAsia="Palatino Linotype" w:hAnsi="Palatino Linotype" w:cs="Palatino Linotype"/>
          <w:b/>
          <w:sz w:val="24"/>
          <w:szCs w:val="24"/>
          <w:lang w:eastAsia="en-US"/>
        </w:rPr>
        <w:t>ORDENA</w:t>
      </w:r>
      <w:r w:rsidRPr="009052DB">
        <w:rPr>
          <w:rFonts w:ascii="Palatino Linotype" w:eastAsia="Palatino Linotype" w:hAnsi="Palatino Linotype" w:cs="Palatino Linotype"/>
          <w:sz w:val="24"/>
          <w:szCs w:val="24"/>
          <w:lang w:eastAsia="en-US"/>
        </w:rPr>
        <w:t xml:space="preserve"> al </w:t>
      </w:r>
      <w:r w:rsidRPr="009052DB">
        <w:rPr>
          <w:rFonts w:ascii="Palatino Linotype" w:eastAsia="Palatino Linotype" w:hAnsi="Palatino Linotype" w:cs="Palatino Linotype"/>
          <w:b/>
          <w:sz w:val="24"/>
          <w:szCs w:val="24"/>
          <w:lang w:eastAsia="en-US"/>
        </w:rPr>
        <w:t>Sujeto Obligado</w:t>
      </w:r>
      <w:r w:rsidRPr="009052DB">
        <w:rPr>
          <w:rFonts w:ascii="Palatino Linotype" w:eastAsia="Palatino Linotype" w:hAnsi="Palatino Linotype" w:cs="Palatino Linotype"/>
          <w:sz w:val="24"/>
          <w:szCs w:val="24"/>
          <w:lang w:eastAsia="en-US"/>
        </w:rPr>
        <w:t xml:space="preserve"> en las solicitudes de información </w:t>
      </w:r>
      <w:r w:rsidR="009A63F9" w:rsidRPr="009052DB">
        <w:rPr>
          <w:rFonts w:ascii="Palatino Linotype" w:eastAsia="Palatino Linotype" w:hAnsi="Palatino Linotype" w:cs="Palatino Linotype"/>
          <w:b/>
          <w:sz w:val="24"/>
          <w:szCs w:val="24"/>
          <w:lang w:eastAsia="en-US"/>
        </w:rPr>
        <w:t>00035/TEPOTZOT/IP/2026</w:t>
      </w:r>
      <w:r w:rsidRPr="009052DB">
        <w:rPr>
          <w:rFonts w:ascii="Palatino Linotype" w:eastAsia="Palatino Linotype" w:hAnsi="Palatino Linotype" w:cs="Palatino Linotype"/>
          <w:b/>
          <w:sz w:val="24"/>
          <w:szCs w:val="24"/>
          <w:lang w:eastAsia="en-US"/>
        </w:rPr>
        <w:t xml:space="preserve">, </w:t>
      </w:r>
      <w:r w:rsidRPr="009052DB">
        <w:rPr>
          <w:rFonts w:ascii="Palatino Linotype" w:eastAsia="Palatino Linotype" w:hAnsi="Palatino Linotype" w:cs="Palatino Linotype"/>
          <w:sz w:val="24"/>
          <w:szCs w:val="24"/>
          <w:lang w:eastAsia="en-US"/>
        </w:rPr>
        <w:t xml:space="preserve">vía Sistema de Acceso a la Información Mexiquense (SAIMEX), </w:t>
      </w:r>
      <w:r w:rsidRPr="009052DB">
        <w:rPr>
          <w:rFonts w:ascii="Palatino Linotype" w:eastAsiaTheme="minorHAnsi" w:hAnsi="Palatino Linotype" w:cstheme="minorBidi"/>
          <w:bCs/>
        </w:rPr>
        <w:t xml:space="preserve">en </w:t>
      </w:r>
      <w:r w:rsidRPr="009052DB">
        <w:rPr>
          <w:rFonts w:ascii="Palatino Linotype" w:eastAsiaTheme="minorHAnsi" w:hAnsi="Palatino Linotype" w:cstheme="minorBidi"/>
          <w:bCs/>
          <w:sz w:val="24"/>
        </w:rPr>
        <w:t xml:space="preserve">términos del Considerando </w:t>
      </w:r>
      <w:r w:rsidRPr="009052DB">
        <w:rPr>
          <w:rFonts w:ascii="Palatino Linotype" w:eastAsiaTheme="minorHAnsi" w:hAnsi="Palatino Linotype" w:cstheme="minorBidi"/>
          <w:b/>
          <w:bCs/>
          <w:sz w:val="24"/>
        </w:rPr>
        <w:t>CUARTO</w:t>
      </w:r>
      <w:r w:rsidRPr="009052DB">
        <w:rPr>
          <w:rFonts w:ascii="Palatino Linotype" w:eastAsiaTheme="minorHAnsi" w:hAnsi="Palatino Linotype" w:cstheme="minorBidi"/>
          <w:bCs/>
          <w:sz w:val="24"/>
        </w:rPr>
        <w:t xml:space="preserve"> de esta resolución, </w:t>
      </w:r>
      <w:r w:rsidRPr="009052DB">
        <w:rPr>
          <w:rFonts w:ascii="Palatino Linotype" w:eastAsiaTheme="minorHAnsi" w:hAnsi="Palatino Linotype" w:cs="Arial"/>
          <w:sz w:val="24"/>
          <w:lang w:eastAsia="en-US"/>
        </w:rPr>
        <w:t>haga entrega en versión pública de ser procedente, lo siguiente</w:t>
      </w:r>
      <w:r w:rsidRPr="009052DB">
        <w:rPr>
          <w:rFonts w:ascii="Palatino Linotype" w:eastAsiaTheme="minorHAnsi" w:hAnsi="Palatino Linotype" w:cstheme="minorBidi"/>
          <w:bCs/>
          <w:sz w:val="24"/>
          <w:lang w:eastAsia="en-US"/>
        </w:rPr>
        <w:t>:</w:t>
      </w:r>
    </w:p>
    <w:p w:rsidR="002E4E38" w:rsidRPr="009052DB" w:rsidRDefault="007729AB" w:rsidP="007729AB">
      <w:pPr>
        <w:pStyle w:val="Prrafodelista"/>
        <w:numPr>
          <w:ilvl w:val="0"/>
          <w:numId w:val="9"/>
        </w:numPr>
        <w:tabs>
          <w:tab w:val="left" w:pos="8647"/>
        </w:tabs>
        <w:spacing w:line="360" w:lineRule="auto"/>
        <w:ind w:right="51"/>
        <w:jc w:val="both"/>
        <w:rPr>
          <w:rFonts w:ascii="Palatino Linotype" w:eastAsiaTheme="minorHAnsi" w:hAnsi="Palatino Linotype" w:cstheme="minorBidi"/>
          <w:bCs/>
          <w:lang w:eastAsia="en-US"/>
        </w:rPr>
      </w:pPr>
      <w:r w:rsidRPr="009052DB">
        <w:rPr>
          <w:rFonts w:ascii="Palatino Linotype" w:eastAsiaTheme="minorHAnsi" w:hAnsi="Palatino Linotype" w:cstheme="minorBidi"/>
          <w:bCs/>
          <w:lang w:eastAsia="en-US"/>
        </w:rPr>
        <w:t>De las 19 ampliaciones referidas en informe justificado, los documentos donde consten:</w:t>
      </w:r>
    </w:p>
    <w:p w:rsidR="002E4E38" w:rsidRPr="009052DB" w:rsidRDefault="007729AB" w:rsidP="002E4E38">
      <w:pPr>
        <w:pStyle w:val="Prrafodelista"/>
        <w:numPr>
          <w:ilvl w:val="0"/>
          <w:numId w:val="4"/>
        </w:numPr>
        <w:spacing w:line="360" w:lineRule="auto"/>
        <w:ind w:left="426"/>
        <w:jc w:val="both"/>
        <w:rPr>
          <w:rFonts w:ascii="Palatino Linotype" w:hAnsi="Palatino Linotype" w:cs="Arial"/>
        </w:rPr>
      </w:pPr>
      <w:r w:rsidRPr="009052DB">
        <w:rPr>
          <w:rFonts w:ascii="Palatino Linotype" w:hAnsi="Palatino Linotype" w:cs="Arial"/>
        </w:rPr>
        <w:t xml:space="preserve">Contratos </w:t>
      </w:r>
    </w:p>
    <w:p w:rsidR="002E4E38" w:rsidRPr="009052DB" w:rsidRDefault="007729AB" w:rsidP="002E4E38">
      <w:pPr>
        <w:pStyle w:val="Prrafodelista"/>
        <w:numPr>
          <w:ilvl w:val="0"/>
          <w:numId w:val="4"/>
        </w:numPr>
        <w:spacing w:line="360" w:lineRule="auto"/>
        <w:ind w:left="426"/>
        <w:jc w:val="both"/>
        <w:rPr>
          <w:rFonts w:ascii="Palatino Linotype" w:hAnsi="Palatino Linotype" w:cs="Arial"/>
        </w:rPr>
      </w:pPr>
      <w:r w:rsidRPr="009052DB">
        <w:rPr>
          <w:rFonts w:ascii="Palatino Linotype" w:hAnsi="Palatino Linotype" w:cs="Arial"/>
        </w:rPr>
        <w:t>Monto inicial</w:t>
      </w:r>
    </w:p>
    <w:p w:rsidR="002E4E38" w:rsidRPr="009052DB" w:rsidRDefault="007729AB" w:rsidP="002E4E38">
      <w:pPr>
        <w:pStyle w:val="Prrafodelista"/>
        <w:numPr>
          <w:ilvl w:val="0"/>
          <w:numId w:val="4"/>
        </w:numPr>
        <w:spacing w:line="360" w:lineRule="auto"/>
        <w:ind w:left="426"/>
        <w:jc w:val="both"/>
        <w:rPr>
          <w:rFonts w:ascii="Palatino Linotype" w:hAnsi="Palatino Linotype" w:cs="Arial"/>
        </w:rPr>
      </w:pPr>
      <w:r w:rsidRPr="009052DB">
        <w:rPr>
          <w:rFonts w:ascii="Palatino Linotype" w:hAnsi="Palatino Linotype" w:cs="Arial"/>
        </w:rPr>
        <w:t>Monto ampliado</w:t>
      </w:r>
    </w:p>
    <w:p w:rsidR="007729AB" w:rsidRPr="009052DB" w:rsidRDefault="007729AB" w:rsidP="002E4E38">
      <w:pPr>
        <w:pStyle w:val="Prrafodelista"/>
        <w:numPr>
          <w:ilvl w:val="0"/>
          <w:numId w:val="4"/>
        </w:numPr>
        <w:spacing w:line="360" w:lineRule="auto"/>
        <w:ind w:left="426"/>
        <w:jc w:val="both"/>
        <w:rPr>
          <w:rFonts w:ascii="Palatino Linotype" w:hAnsi="Palatino Linotype" w:cs="Arial"/>
        </w:rPr>
      </w:pPr>
      <w:r w:rsidRPr="009052DB">
        <w:rPr>
          <w:rFonts w:ascii="Palatino Linotype" w:hAnsi="Palatino Linotype" w:cs="Arial"/>
        </w:rPr>
        <w:t>Motivo de la ampliación</w:t>
      </w:r>
    </w:p>
    <w:p w:rsidR="002E4E38" w:rsidRPr="009052DB" w:rsidRDefault="002E4E38" w:rsidP="002E4E38">
      <w:pPr>
        <w:spacing w:after="0" w:line="360" w:lineRule="auto"/>
        <w:ind w:left="720" w:right="567"/>
        <w:jc w:val="both"/>
        <w:rPr>
          <w:rFonts w:ascii="Palatino Linotype" w:eastAsiaTheme="minorHAnsi" w:hAnsi="Palatino Linotype" w:cstheme="minorBidi"/>
          <w:i/>
          <w:szCs w:val="14"/>
          <w:lang w:eastAsia="en-US"/>
        </w:rPr>
      </w:pPr>
    </w:p>
    <w:p w:rsidR="002E4E38" w:rsidRPr="009052DB" w:rsidRDefault="002E4E38" w:rsidP="002E4E38">
      <w:pPr>
        <w:spacing w:after="0" w:line="360" w:lineRule="auto"/>
        <w:ind w:left="720" w:right="567"/>
        <w:jc w:val="both"/>
        <w:rPr>
          <w:rFonts w:ascii="Palatino Linotype" w:eastAsiaTheme="minorHAnsi" w:hAnsi="Palatino Linotype" w:cstheme="minorBidi"/>
          <w:i/>
          <w:szCs w:val="14"/>
          <w:lang w:eastAsia="en-US"/>
        </w:rPr>
      </w:pPr>
      <w:r w:rsidRPr="009052DB">
        <w:rPr>
          <w:rFonts w:ascii="Palatino Linotype" w:eastAsiaTheme="minorHAnsi" w:hAnsi="Palatino Linotype" w:cstheme="minorBidi"/>
          <w:i/>
          <w:szCs w:val="14"/>
          <w:lang w:eastAsia="en-US"/>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2E4E38" w:rsidRPr="009052DB" w:rsidRDefault="002E4E38" w:rsidP="002E4E38">
      <w:pPr>
        <w:spacing w:after="0" w:line="360" w:lineRule="auto"/>
        <w:ind w:left="720" w:right="567"/>
        <w:jc w:val="both"/>
        <w:rPr>
          <w:rFonts w:ascii="Palatino Linotype" w:eastAsiaTheme="minorHAnsi" w:hAnsi="Palatino Linotype" w:cstheme="minorBidi"/>
          <w:i/>
          <w:szCs w:val="14"/>
          <w:lang w:eastAsia="en-US"/>
        </w:rPr>
      </w:pPr>
    </w:p>
    <w:p w:rsidR="002E4E38" w:rsidRPr="009052DB" w:rsidRDefault="002E4E38" w:rsidP="002E4E38">
      <w:pPr>
        <w:tabs>
          <w:tab w:val="left" w:pos="8647"/>
        </w:tabs>
        <w:spacing w:after="0" w:line="360" w:lineRule="auto"/>
        <w:ind w:right="51"/>
        <w:jc w:val="both"/>
        <w:rPr>
          <w:rFonts w:ascii="Palatino Linotype" w:eastAsia="Palatino Linotype" w:hAnsi="Palatino Linotype" w:cs="Palatino Linotype"/>
          <w:sz w:val="24"/>
          <w:szCs w:val="24"/>
          <w:lang w:eastAsia="en-US"/>
        </w:rPr>
      </w:pPr>
    </w:p>
    <w:p w:rsidR="002E4E38" w:rsidRPr="009052DB" w:rsidRDefault="002E4E38" w:rsidP="002E4E38">
      <w:pPr>
        <w:tabs>
          <w:tab w:val="left" w:pos="8647"/>
        </w:tabs>
        <w:spacing w:after="0" w:line="360" w:lineRule="auto"/>
        <w:ind w:right="51"/>
        <w:jc w:val="both"/>
        <w:rPr>
          <w:rFonts w:ascii="Palatino Linotype" w:eastAsiaTheme="minorHAnsi" w:hAnsi="Palatino Linotype" w:cs="Arial"/>
          <w:sz w:val="24"/>
          <w:szCs w:val="24"/>
          <w:lang w:eastAsia="en-US"/>
        </w:rPr>
      </w:pPr>
      <w:r w:rsidRPr="009052DB">
        <w:rPr>
          <w:rFonts w:ascii="Palatino Linotype" w:eastAsiaTheme="minorHAnsi" w:hAnsi="Palatino Linotype" w:cs="Arial"/>
          <w:b/>
          <w:sz w:val="28"/>
          <w:szCs w:val="24"/>
          <w:lang w:eastAsia="en-US"/>
        </w:rPr>
        <w:t>TERCERO</w:t>
      </w:r>
      <w:r w:rsidRPr="009052DB">
        <w:rPr>
          <w:rFonts w:ascii="Palatino Linotype" w:eastAsiaTheme="minorHAnsi" w:hAnsi="Palatino Linotype" w:cs="Arial"/>
          <w:b/>
          <w:sz w:val="24"/>
          <w:szCs w:val="24"/>
          <w:lang w:eastAsia="en-US"/>
        </w:rPr>
        <w:t>.</w:t>
      </w:r>
      <w:r w:rsidRPr="009052DB">
        <w:rPr>
          <w:rFonts w:ascii="Palatino Linotype" w:eastAsiaTheme="minorHAnsi" w:hAnsi="Palatino Linotype" w:cs="Arial"/>
          <w:sz w:val="24"/>
          <w:szCs w:val="24"/>
          <w:lang w:eastAsia="en-US"/>
        </w:rPr>
        <w:t xml:space="preserve"> </w:t>
      </w:r>
      <w:r w:rsidRPr="009052DB">
        <w:rPr>
          <w:rFonts w:ascii="Palatino Linotype" w:eastAsiaTheme="minorHAnsi" w:hAnsi="Palatino Linotype" w:cs="Arial"/>
          <w:b/>
          <w:sz w:val="24"/>
          <w:szCs w:val="24"/>
          <w:lang w:eastAsia="en-US"/>
        </w:rPr>
        <w:t>Notifíquese</w:t>
      </w:r>
      <w:r w:rsidRPr="009052DB">
        <w:rPr>
          <w:rFonts w:ascii="Palatino Linotype" w:eastAsia="Times New Roman" w:hAnsi="Palatino Linotype" w:cs="Arial"/>
          <w:sz w:val="24"/>
          <w:szCs w:val="24"/>
          <w:lang w:val="es-ES" w:eastAsia="es-ES"/>
        </w:rPr>
        <w:t xml:space="preserve"> a través del SAIMEX,</w:t>
      </w:r>
      <w:r w:rsidRPr="009052DB">
        <w:rPr>
          <w:rFonts w:ascii="Palatino Linotype" w:eastAsiaTheme="minorHAnsi" w:hAnsi="Palatino Linotype" w:cs="Arial"/>
          <w:b/>
          <w:i/>
          <w:sz w:val="24"/>
          <w:szCs w:val="24"/>
          <w:lang w:eastAsia="en-US"/>
        </w:rPr>
        <w:t xml:space="preserve"> </w:t>
      </w:r>
      <w:r w:rsidRPr="009052DB">
        <w:rPr>
          <w:rFonts w:ascii="Palatino Linotype" w:eastAsiaTheme="minorHAnsi" w:hAnsi="Palatino Linotype" w:cs="Arial"/>
          <w:sz w:val="24"/>
          <w:szCs w:val="24"/>
          <w:lang w:eastAsia="en-US"/>
        </w:rPr>
        <w:t>al Titular de la Unidad de Transparencia del</w:t>
      </w:r>
      <w:r w:rsidRPr="009052DB">
        <w:rPr>
          <w:rFonts w:ascii="Palatino Linotype" w:eastAsiaTheme="minorHAnsi" w:hAnsi="Palatino Linotype" w:cs="Arial"/>
          <w:b/>
          <w:sz w:val="24"/>
          <w:szCs w:val="24"/>
          <w:lang w:eastAsia="en-US"/>
        </w:rPr>
        <w:t xml:space="preserve"> Sujeto Obligado</w:t>
      </w:r>
      <w:r w:rsidRPr="009052DB">
        <w:rPr>
          <w:rFonts w:ascii="Palatino Linotype" w:eastAsiaTheme="minorHAnsi" w:hAnsi="Palatino Linotype" w:cs="Arial"/>
          <w:sz w:val="24"/>
          <w:szCs w:val="24"/>
          <w:lang w:eastAsia="en-US"/>
        </w:rPr>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9052DB">
        <w:rPr>
          <w:rFonts w:ascii="Palatino Linotype" w:eastAsiaTheme="minorHAnsi" w:hAnsi="Palatino Linotype" w:cs="Arial"/>
          <w:b/>
          <w:sz w:val="24"/>
          <w:szCs w:val="32"/>
          <w:lang w:val="es-ES_tradnl" w:eastAsia="en-US"/>
        </w:rPr>
        <w:t>y</w:t>
      </w:r>
      <w:r w:rsidRPr="009052DB">
        <w:rPr>
          <w:rFonts w:ascii="Palatino Linotype" w:eastAsiaTheme="minorHAnsi" w:hAnsi="Palatino Linotype" w:cs="Arial"/>
          <w:sz w:val="24"/>
          <w:szCs w:val="32"/>
          <w:lang w:val="es-ES_tradnl" w:eastAsia="en-US"/>
        </w:rPr>
        <w:t xml:space="preserve"> </w:t>
      </w:r>
      <w:r w:rsidRPr="009052DB">
        <w:rPr>
          <w:rFonts w:ascii="Palatino Linotype" w:eastAsia="Palatino Linotype" w:hAnsi="Palatino Linotype" w:cs="Palatino Linotype"/>
          <w:b/>
          <w:color w:val="000000"/>
          <w:sz w:val="24"/>
          <w:lang w:val="es-ES_tradnl" w:eastAsia="en-US"/>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2E4E38" w:rsidRPr="009052DB" w:rsidRDefault="002E4E38" w:rsidP="002E4E38">
      <w:pPr>
        <w:tabs>
          <w:tab w:val="left" w:pos="8647"/>
        </w:tabs>
        <w:spacing w:after="0" w:line="360" w:lineRule="auto"/>
        <w:ind w:right="51"/>
        <w:jc w:val="both"/>
        <w:rPr>
          <w:rFonts w:ascii="Palatino Linotype" w:eastAsiaTheme="minorHAnsi" w:hAnsi="Palatino Linotype" w:cs="Arial"/>
          <w:sz w:val="24"/>
          <w:szCs w:val="24"/>
          <w:lang w:eastAsia="en-US"/>
        </w:rPr>
      </w:pPr>
    </w:p>
    <w:p w:rsidR="002E4E38" w:rsidRPr="009052DB" w:rsidRDefault="002E4E38" w:rsidP="002E4E38">
      <w:pPr>
        <w:spacing w:after="0" w:line="360" w:lineRule="auto"/>
        <w:jc w:val="both"/>
        <w:rPr>
          <w:rFonts w:ascii="Palatino Linotype" w:eastAsia="Times New Roman" w:hAnsi="Palatino Linotype" w:cs="Arial"/>
          <w:sz w:val="24"/>
          <w:szCs w:val="24"/>
          <w:lang w:val="es-ES" w:eastAsia="es-ES"/>
        </w:rPr>
      </w:pPr>
      <w:r w:rsidRPr="009052DB">
        <w:rPr>
          <w:rFonts w:ascii="Palatino Linotype" w:eastAsia="Times New Roman" w:hAnsi="Palatino Linotype" w:cs="Arial"/>
          <w:b/>
          <w:sz w:val="28"/>
          <w:szCs w:val="24"/>
          <w:lang w:val="es-ES" w:eastAsia="es-ES"/>
        </w:rPr>
        <w:t>CUARTO</w:t>
      </w:r>
      <w:r w:rsidRPr="009052DB">
        <w:rPr>
          <w:rFonts w:ascii="Palatino Linotype" w:eastAsia="Times New Roman" w:hAnsi="Palatino Linotype" w:cs="Arial"/>
          <w:b/>
          <w:sz w:val="24"/>
          <w:szCs w:val="24"/>
          <w:lang w:val="es-ES" w:eastAsia="es-ES"/>
        </w:rPr>
        <w:t>. Notifíquese</w:t>
      </w:r>
      <w:r w:rsidRPr="009052DB">
        <w:rPr>
          <w:rFonts w:ascii="Palatino Linotype" w:eastAsia="Times New Roman" w:hAnsi="Palatino Linotype" w:cs="Arial"/>
          <w:sz w:val="24"/>
          <w:szCs w:val="24"/>
          <w:lang w:val="es-ES" w:eastAsia="es-ES"/>
        </w:rPr>
        <w:t xml:space="preserve"> </w:t>
      </w:r>
      <w:r w:rsidRPr="009052DB">
        <w:rPr>
          <w:rFonts w:ascii="Palatino Linotype" w:eastAsia="Times New Roman" w:hAnsi="Palatino Linotype" w:cs="Arial"/>
          <w:b/>
          <w:sz w:val="24"/>
          <w:szCs w:val="24"/>
          <w:lang w:val="es-ES" w:eastAsia="es-ES"/>
        </w:rPr>
        <w:t>a la Recurrente</w:t>
      </w:r>
      <w:r w:rsidRPr="009052DB">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rsidR="002E4E38" w:rsidRPr="009052DB" w:rsidRDefault="002E4E38" w:rsidP="002E4E38">
      <w:pPr>
        <w:spacing w:after="0" w:line="360" w:lineRule="auto"/>
        <w:jc w:val="both"/>
        <w:rPr>
          <w:rFonts w:ascii="Palatino Linotype" w:eastAsiaTheme="minorHAnsi" w:hAnsi="Palatino Linotype" w:cstheme="minorBidi"/>
          <w:sz w:val="24"/>
          <w:szCs w:val="24"/>
          <w:lang w:eastAsia="es-ES_tradnl"/>
        </w:rPr>
      </w:pPr>
    </w:p>
    <w:p w:rsidR="002E4E38" w:rsidRPr="009052DB" w:rsidRDefault="002E4E38" w:rsidP="002E4E38">
      <w:pPr>
        <w:spacing w:after="0" w:line="360" w:lineRule="auto"/>
        <w:jc w:val="both"/>
        <w:rPr>
          <w:rFonts w:ascii="Palatino Linotype" w:eastAsiaTheme="minorHAnsi" w:hAnsi="Palatino Linotype" w:cs="Times New Roman"/>
          <w:sz w:val="24"/>
          <w:szCs w:val="24"/>
          <w:lang w:eastAsia="es-ES_tradnl"/>
        </w:rPr>
      </w:pPr>
      <w:r w:rsidRPr="009052DB">
        <w:rPr>
          <w:rFonts w:ascii="Palatino Linotype" w:eastAsiaTheme="minorHAnsi" w:hAnsi="Palatino Linotype" w:cs="Times New Roman"/>
          <w:b/>
          <w:sz w:val="28"/>
          <w:szCs w:val="24"/>
          <w:lang w:eastAsia="es-ES_tradnl"/>
        </w:rPr>
        <w:t>QUINTO</w:t>
      </w:r>
      <w:r w:rsidRPr="009052DB">
        <w:rPr>
          <w:rFonts w:ascii="Palatino Linotype" w:eastAsiaTheme="minorHAnsi" w:hAnsi="Palatino Linotype" w:cs="Times New Roman"/>
          <w:b/>
          <w:sz w:val="24"/>
          <w:szCs w:val="24"/>
          <w:lang w:eastAsia="es-ES_tradnl"/>
        </w:rPr>
        <w:t>.</w:t>
      </w:r>
      <w:r w:rsidRPr="009052DB">
        <w:rPr>
          <w:rFonts w:ascii="Palatino Linotype" w:eastAsiaTheme="minorHAnsi" w:hAnsi="Palatino Linotype" w:cs="Times New Roman"/>
          <w:sz w:val="24"/>
          <w:szCs w:val="24"/>
          <w:lang w:eastAsia="es-ES_tradnl"/>
        </w:rPr>
        <w:t xml:space="preserve"> </w:t>
      </w:r>
      <w:r w:rsidRPr="009052DB">
        <w:rPr>
          <w:rFonts w:ascii="Palatino Linotype" w:eastAsiaTheme="minorHAnsi" w:hAnsi="Palatino Linotype" w:cs="Times New Roman"/>
          <w:b/>
          <w:sz w:val="24"/>
          <w:szCs w:val="24"/>
          <w:lang w:eastAsia="es-ES_tradnl"/>
        </w:rPr>
        <w:t>Notifíquese</w:t>
      </w:r>
      <w:r w:rsidRPr="009052DB">
        <w:rPr>
          <w:rFonts w:ascii="Palatino Linotype" w:eastAsiaTheme="minorHAnsi" w:hAnsi="Palatino Linotype" w:cs="Times New Roman"/>
          <w:sz w:val="24"/>
          <w:szCs w:val="24"/>
          <w:lang w:eastAsia="es-ES_tradnl"/>
        </w:rPr>
        <w:t xml:space="preserve"> al </w:t>
      </w:r>
      <w:r w:rsidRPr="009052DB">
        <w:rPr>
          <w:rFonts w:ascii="Palatino Linotype" w:eastAsiaTheme="minorHAnsi" w:hAnsi="Palatino Linotype" w:cs="Times New Roman"/>
          <w:b/>
          <w:sz w:val="24"/>
          <w:szCs w:val="24"/>
          <w:lang w:eastAsia="es-ES_tradnl"/>
        </w:rPr>
        <w:t>Recurrente</w:t>
      </w:r>
      <w:r w:rsidRPr="009052DB">
        <w:rPr>
          <w:rFonts w:ascii="Palatino Linotype" w:eastAsiaTheme="minorHAnsi"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9052DB">
        <w:rPr>
          <w:rFonts w:ascii="Palatino Linotype" w:eastAsiaTheme="minorHAnsi" w:hAnsi="Palatino Linotype" w:cs="Times New Roman"/>
          <w:b/>
          <w:sz w:val="24"/>
          <w:szCs w:val="24"/>
          <w:lang w:eastAsia="es-ES_tradnl"/>
        </w:rPr>
        <w:t>Sujeto Obligado</w:t>
      </w:r>
      <w:r w:rsidRPr="009052DB">
        <w:rPr>
          <w:rFonts w:ascii="Palatino Linotype" w:eastAsiaTheme="minorHAnsi" w:hAnsi="Palatino Linotype" w:cs="Times New Roman"/>
          <w:sz w:val="24"/>
          <w:szCs w:val="24"/>
          <w:lang w:eastAsia="es-ES_tradnl"/>
        </w:rPr>
        <w:t>, en cumplimiento a esta Resolución.</w:t>
      </w:r>
    </w:p>
    <w:p w:rsidR="002E4E38" w:rsidRPr="009052DB" w:rsidRDefault="002E4E38" w:rsidP="002E4E38">
      <w:pPr>
        <w:spacing w:after="0" w:line="360" w:lineRule="auto"/>
        <w:jc w:val="both"/>
        <w:rPr>
          <w:rFonts w:ascii="Palatino Linotype" w:eastAsiaTheme="minorHAnsi" w:hAnsi="Palatino Linotype" w:cs="Times New Roman"/>
          <w:sz w:val="24"/>
          <w:szCs w:val="24"/>
          <w:lang w:eastAsia="es-ES_tradnl"/>
        </w:rPr>
      </w:pPr>
    </w:p>
    <w:p w:rsidR="002E4E38" w:rsidRPr="009052DB" w:rsidRDefault="002E4E38" w:rsidP="002E4E38">
      <w:pPr>
        <w:spacing w:after="0" w:line="360" w:lineRule="auto"/>
        <w:jc w:val="both"/>
        <w:rPr>
          <w:rFonts w:ascii="Palatino Linotype" w:eastAsiaTheme="minorHAnsi" w:hAnsi="Palatino Linotype" w:cstheme="minorBidi"/>
          <w:sz w:val="24"/>
          <w:szCs w:val="24"/>
          <w:lang w:eastAsia="es-ES_tradnl"/>
        </w:rPr>
      </w:pPr>
      <w:r w:rsidRPr="009052DB">
        <w:rPr>
          <w:rFonts w:ascii="Palatino Linotype" w:eastAsiaTheme="minorHAnsi" w:hAnsi="Palatino Linotype" w:cs="Times New Roman"/>
          <w:b/>
          <w:sz w:val="28"/>
          <w:szCs w:val="24"/>
          <w:lang w:eastAsia="es-ES_tradnl"/>
        </w:rPr>
        <w:t>SEXTO</w:t>
      </w:r>
      <w:r w:rsidRPr="009052DB">
        <w:rPr>
          <w:rFonts w:ascii="Palatino Linotype" w:eastAsiaTheme="minorHAnsi" w:hAnsi="Palatino Linotype" w:cs="Times New Roman"/>
          <w:b/>
          <w:sz w:val="24"/>
          <w:szCs w:val="24"/>
          <w:lang w:eastAsia="es-ES_tradnl"/>
        </w:rPr>
        <w:t xml:space="preserve">. - </w:t>
      </w:r>
      <w:r w:rsidRPr="009052DB">
        <w:rPr>
          <w:rFonts w:ascii="Palatino Linotype" w:eastAsiaTheme="minorHAnsi" w:hAnsi="Palatino Linotype" w:cstheme="minorBidi"/>
          <w:b/>
          <w:sz w:val="24"/>
          <w:szCs w:val="24"/>
          <w:lang w:eastAsia="es-ES_tradnl"/>
        </w:rPr>
        <w:t xml:space="preserve">Gírese </w:t>
      </w:r>
      <w:r w:rsidRPr="009052DB">
        <w:rPr>
          <w:rFonts w:ascii="Palatino Linotype" w:eastAsiaTheme="minorHAnsi" w:hAnsi="Palatino Linotype" w:cstheme="minorBidi"/>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9052DB">
        <w:rPr>
          <w:rFonts w:ascii="Palatino Linotype" w:eastAsiaTheme="minorHAnsi" w:hAnsi="Palatino Linotype" w:cstheme="minorBidi"/>
          <w:b/>
          <w:bCs/>
          <w:sz w:val="24"/>
          <w:szCs w:val="24"/>
          <w:lang w:eastAsia="es-ES_tradnl"/>
        </w:rPr>
        <w:t>CUARTO</w:t>
      </w:r>
      <w:r w:rsidRPr="009052DB">
        <w:rPr>
          <w:rFonts w:ascii="Palatino Linotype" w:eastAsiaTheme="minorHAnsi" w:hAnsi="Palatino Linotype" w:cstheme="minorBidi"/>
          <w:sz w:val="24"/>
          <w:szCs w:val="24"/>
          <w:lang w:eastAsia="es-ES_tradnl"/>
        </w:rPr>
        <w:t xml:space="preserve"> de la presente resolución.</w:t>
      </w:r>
    </w:p>
    <w:p w:rsidR="002E4E38" w:rsidRPr="009052DB" w:rsidRDefault="002E4E38" w:rsidP="002E4E38">
      <w:pPr>
        <w:spacing w:after="0" w:line="360" w:lineRule="auto"/>
        <w:jc w:val="both"/>
        <w:rPr>
          <w:rFonts w:ascii="Palatino Linotype" w:eastAsia="Palatino Linotype" w:hAnsi="Palatino Linotype" w:cs="Palatino Linotype"/>
          <w:sz w:val="24"/>
          <w:szCs w:val="24"/>
        </w:rPr>
      </w:pPr>
    </w:p>
    <w:p w:rsidR="002E4E38" w:rsidRPr="009052DB" w:rsidRDefault="002E4E38" w:rsidP="002E4E38">
      <w:pPr>
        <w:spacing w:after="0" w:line="360" w:lineRule="auto"/>
        <w:jc w:val="both"/>
        <w:rPr>
          <w:rFonts w:ascii="Palatino Linotype" w:eastAsia="Palatino Linotype" w:hAnsi="Palatino Linotype" w:cs="Palatino Linotype"/>
          <w:sz w:val="24"/>
          <w:szCs w:val="24"/>
        </w:rPr>
      </w:pPr>
    </w:p>
    <w:p w:rsidR="002E4E38" w:rsidRPr="009052DB" w:rsidRDefault="009052DB" w:rsidP="002E4E38">
      <w:pPr>
        <w:spacing w:after="0" w:line="360" w:lineRule="auto"/>
        <w:jc w:val="both"/>
        <w:rPr>
          <w:rFonts w:ascii="Palatino Linotype" w:eastAsia="Palatino Linotype" w:hAnsi="Palatino Linotype" w:cs="Palatino Linotype"/>
          <w:sz w:val="24"/>
          <w:szCs w:val="24"/>
        </w:rPr>
      </w:pPr>
      <w:r w:rsidRPr="009052DB">
        <w:rPr>
          <w:rFonts w:ascii="Palatino Linotype" w:eastAsia="Palatino Linotype" w:hAnsi="Palatino Linotype" w:cs="Palatino Linotype"/>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2E4E38" w:rsidRPr="009052DB">
        <w:rPr>
          <w:rFonts w:ascii="Palatino Linotype" w:eastAsia="Palatino Linotype" w:hAnsi="Palatino Linotype" w:cs="Palatino Linotype"/>
          <w:sz w:val="24"/>
          <w:szCs w:val="24"/>
        </w:rPr>
        <w:t>. ------------------------------------------------------------------------------------------------------------------------------------------------------------------------------------------------------------------------------------------------------------------------------------------------------------------------------------</w:t>
      </w:r>
    </w:p>
    <w:p w:rsidR="002E4E38" w:rsidRPr="00D2150D" w:rsidRDefault="002E4E38" w:rsidP="002E4E38">
      <w:pPr>
        <w:spacing w:after="0" w:line="360" w:lineRule="auto"/>
        <w:jc w:val="both"/>
        <w:rPr>
          <w:rFonts w:ascii="Palatino Linotype" w:eastAsia="Palatino Linotype" w:hAnsi="Palatino Linotype" w:cs="Palatino Linotype"/>
          <w:sz w:val="16"/>
          <w:szCs w:val="20"/>
        </w:rPr>
      </w:pPr>
      <w:r w:rsidRPr="009052DB">
        <w:rPr>
          <w:rFonts w:ascii="Palatino Linotype" w:eastAsia="Palatino Linotype" w:hAnsi="Palatino Linotype" w:cs="Palatino Linotype"/>
          <w:sz w:val="16"/>
          <w:szCs w:val="20"/>
        </w:rPr>
        <w:t>JMV/CCR/LMST</w:t>
      </w:r>
    </w:p>
    <w:p w:rsidR="002E4E38" w:rsidRDefault="002E4E38" w:rsidP="002E4E38">
      <w:pPr>
        <w:spacing w:after="0" w:line="360" w:lineRule="auto"/>
        <w:jc w:val="both"/>
        <w:rPr>
          <w:rFonts w:ascii="Palatino Linotype" w:eastAsia="Palatino Linotype" w:hAnsi="Palatino Linotype" w:cs="Palatino Linotype"/>
          <w:sz w:val="24"/>
          <w:szCs w:val="24"/>
        </w:rPr>
      </w:pPr>
    </w:p>
    <w:p w:rsidR="002E4E38" w:rsidRDefault="002E4E38" w:rsidP="002E4E38">
      <w:pPr>
        <w:spacing w:after="0" w:line="360" w:lineRule="auto"/>
        <w:jc w:val="both"/>
        <w:rPr>
          <w:rFonts w:ascii="Palatino Linotype" w:eastAsia="Palatino Linotype" w:hAnsi="Palatino Linotype" w:cs="Palatino Linotype"/>
          <w:sz w:val="24"/>
          <w:szCs w:val="24"/>
        </w:rPr>
      </w:pPr>
    </w:p>
    <w:p w:rsidR="002E4E38" w:rsidRDefault="002E4E38" w:rsidP="002E4E38">
      <w:pPr>
        <w:spacing w:after="0" w:line="360" w:lineRule="auto"/>
        <w:jc w:val="both"/>
        <w:rPr>
          <w:rFonts w:ascii="Palatino Linotype" w:eastAsia="Palatino Linotype" w:hAnsi="Palatino Linotype" w:cs="Palatino Linotype"/>
          <w:sz w:val="24"/>
          <w:szCs w:val="24"/>
        </w:rPr>
      </w:pPr>
    </w:p>
    <w:p w:rsidR="002E4E38" w:rsidRDefault="002E4E38" w:rsidP="002E4E38">
      <w:pPr>
        <w:spacing w:after="0"/>
        <w:rPr>
          <w:rFonts w:ascii="Palatino Linotype" w:eastAsia="Palatino Linotype" w:hAnsi="Palatino Linotype" w:cs="Palatino Linotype"/>
        </w:rPr>
      </w:pPr>
    </w:p>
    <w:p w:rsidR="002E4E38" w:rsidRDefault="002E4E38" w:rsidP="002E4E38">
      <w:pPr>
        <w:spacing w:after="0"/>
        <w:rPr>
          <w:rFonts w:ascii="Palatino Linotype" w:eastAsia="Palatino Linotype" w:hAnsi="Palatino Linotype" w:cs="Palatino Linotype"/>
        </w:rPr>
      </w:pPr>
    </w:p>
    <w:p w:rsidR="002E4E38" w:rsidRDefault="002E4E38" w:rsidP="002E4E38">
      <w:pPr>
        <w:spacing w:after="0"/>
        <w:rPr>
          <w:rFonts w:ascii="Palatino Linotype" w:eastAsia="Palatino Linotype" w:hAnsi="Palatino Linotype" w:cs="Palatino Linotype"/>
        </w:rPr>
      </w:pPr>
    </w:p>
    <w:p w:rsidR="002E4E38" w:rsidRDefault="002E4E38" w:rsidP="002E4E38">
      <w:pPr>
        <w:spacing w:after="0"/>
        <w:rPr>
          <w:rFonts w:ascii="Palatino Linotype" w:eastAsia="Palatino Linotype" w:hAnsi="Palatino Linotype" w:cs="Palatino Linotype"/>
        </w:rPr>
      </w:pPr>
    </w:p>
    <w:p w:rsidR="002E4E38" w:rsidRDefault="002E4E38" w:rsidP="002E4E38">
      <w:pPr>
        <w:spacing w:after="0"/>
        <w:rPr>
          <w:rFonts w:ascii="Palatino Linotype" w:eastAsia="Palatino Linotype" w:hAnsi="Palatino Linotype" w:cs="Palatino Linotype"/>
        </w:rPr>
      </w:pPr>
    </w:p>
    <w:p w:rsidR="002E4E38" w:rsidRDefault="002E4E38" w:rsidP="002E4E38">
      <w:pPr>
        <w:spacing w:after="0"/>
        <w:rPr>
          <w:rFonts w:ascii="Palatino Linotype" w:eastAsia="Palatino Linotype" w:hAnsi="Palatino Linotype" w:cs="Palatino Linotype"/>
        </w:rPr>
      </w:pPr>
    </w:p>
    <w:p w:rsidR="002E4E38" w:rsidRDefault="002E4E38" w:rsidP="002E4E38">
      <w:pPr>
        <w:spacing w:after="0"/>
        <w:rPr>
          <w:rFonts w:ascii="Palatino Linotype" w:eastAsia="Palatino Linotype" w:hAnsi="Palatino Linotype" w:cs="Palatino Linotype"/>
        </w:rPr>
      </w:pPr>
    </w:p>
    <w:p w:rsidR="002E4E38" w:rsidRDefault="002E4E38" w:rsidP="002E4E38">
      <w:pPr>
        <w:spacing w:after="0"/>
        <w:rPr>
          <w:rFonts w:ascii="Palatino Linotype" w:eastAsia="Palatino Linotype" w:hAnsi="Palatino Linotype" w:cs="Palatino Linotype"/>
        </w:rPr>
      </w:pPr>
    </w:p>
    <w:p w:rsidR="002E4E38" w:rsidRDefault="002E4E38" w:rsidP="002E4E38">
      <w:pPr>
        <w:spacing w:after="0"/>
        <w:rPr>
          <w:rFonts w:ascii="Palatino Linotype" w:eastAsia="Palatino Linotype" w:hAnsi="Palatino Linotype" w:cs="Palatino Linotype"/>
        </w:rPr>
      </w:pPr>
    </w:p>
    <w:p w:rsidR="002E4E38" w:rsidRDefault="002E4E38" w:rsidP="002E4E38">
      <w:pPr>
        <w:spacing w:after="0"/>
        <w:rPr>
          <w:rFonts w:ascii="Palatino Linotype" w:eastAsia="Palatino Linotype" w:hAnsi="Palatino Linotype" w:cs="Palatino Linotype"/>
        </w:rPr>
      </w:pPr>
    </w:p>
    <w:p w:rsidR="002E4E38" w:rsidRDefault="002E4E38" w:rsidP="002E4E38">
      <w:pPr>
        <w:spacing w:after="0"/>
      </w:pPr>
    </w:p>
    <w:p w:rsidR="002E4E38" w:rsidRDefault="002E4E38" w:rsidP="002E4E38"/>
    <w:p w:rsidR="002E4E38" w:rsidRDefault="002E4E38" w:rsidP="002E4E38"/>
    <w:p w:rsidR="002E4E38" w:rsidRDefault="002E4E38" w:rsidP="002E4E38"/>
    <w:p w:rsidR="002E4E38" w:rsidRDefault="002E4E38" w:rsidP="002E4E38"/>
    <w:p w:rsidR="002E4E38" w:rsidRDefault="002E4E38" w:rsidP="002E4E38"/>
    <w:p w:rsidR="002E4E38" w:rsidRDefault="002E4E38" w:rsidP="002E4E38"/>
    <w:p w:rsidR="002E4E38" w:rsidRDefault="002E4E38" w:rsidP="002E4E38"/>
    <w:p w:rsidR="002E4E38" w:rsidRDefault="002E4E38" w:rsidP="002E4E38"/>
    <w:p w:rsidR="002E4E38" w:rsidRDefault="002E4E38" w:rsidP="002E4E38"/>
    <w:p w:rsidR="002E4E38" w:rsidRDefault="002E4E38" w:rsidP="002E4E38"/>
    <w:p w:rsidR="002E4E38" w:rsidRDefault="002E4E38" w:rsidP="002E4E38"/>
    <w:p w:rsidR="002E4E38" w:rsidRDefault="002E4E38" w:rsidP="002E4E38"/>
    <w:p w:rsidR="002E4E38" w:rsidRDefault="002E4E38" w:rsidP="002E4E38"/>
    <w:p w:rsidR="002E4E38" w:rsidRDefault="002E4E38" w:rsidP="002E4E38"/>
    <w:p w:rsidR="002E4E38" w:rsidRDefault="002E4E38" w:rsidP="002E4E38"/>
    <w:p w:rsidR="002E4E38" w:rsidRDefault="002E4E38" w:rsidP="002E4E38"/>
    <w:p w:rsidR="00423C9F" w:rsidRDefault="00423C9F"/>
    <w:sectPr w:rsidR="00423C9F">
      <w:headerReference w:type="default" r:id="rId7"/>
      <w:footerReference w:type="default" r:id="rId8"/>
      <w:headerReference w:type="first" r:id="rId9"/>
      <w:footerReference w:type="first" r:id="rId10"/>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6131" w:rsidRDefault="00256131" w:rsidP="002E4E38">
      <w:pPr>
        <w:spacing w:after="0" w:line="240" w:lineRule="auto"/>
      </w:pPr>
      <w:r>
        <w:separator/>
      </w:r>
    </w:p>
  </w:endnote>
  <w:endnote w:type="continuationSeparator" w:id="0">
    <w:p w:rsidR="00256131" w:rsidRDefault="00256131" w:rsidP="002E4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FC9" w:rsidRDefault="002D6FC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F07D3C">
      <w:rPr>
        <w:rFonts w:ascii="Palatino Linotype" w:eastAsia="Palatino Linotype" w:hAnsi="Palatino Linotype" w:cs="Palatino Linotype"/>
        <w:noProof/>
        <w:color w:val="000000"/>
        <w:sz w:val="20"/>
        <w:szCs w:val="20"/>
      </w:rPr>
      <w:t>21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F07D3C">
      <w:rPr>
        <w:rFonts w:ascii="Palatino Linotype" w:eastAsia="Palatino Linotype" w:hAnsi="Palatino Linotype" w:cs="Palatino Linotype"/>
        <w:noProof/>
        <w:color w:val="000000"/>
        <w:sz w:val="20"/>
        <w:szCs w:val="20"/>
      </w:rPr>
      <w:t>34</w:t>
    </w:r>
    <w:r>
      <w:rPr>
        <w:rFonts w:ascii="Palatino Linotype" w:eastAsia="Palatino Linotype" w:hAnsi="Palatino Linotype" w:cs="Palatino Linotype"/>
        <w:color w:val="000000"/>
        <w:sz w:val="20"/>
        <w:szCs w:val="20"/>
      </w:rPr>
      <w:fldChar w:fldCharType="end"/>
    </w:r>
  </w:p>
  <w:p w:rsidR="002D6FC9" w:rsidRDefault="002D6FC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FC9" w:rsidRDefault="002D6FC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F07D3C">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F07D3C">
      <w:rPr>
        <w:rFonts w:ascii="Palatino Linotype" w:eastAsia="Palatino Linotype" w:hAnsi="Palatino Linotype" w:cs="Palatino Linotype"/>
        <w:noProof/>
        <w:color w:val="000000"/>
        <w:sz w:val="20"/>
        <w:szCs w:val="20"/>
      </w:rPr>
      <w:t>34</w:t>
    </w:r>
    <w:r>
      <w:rPr>
        <w:rFonts w:ascii="Palatino Linotype" w:eastAsia="Palatino Linotype" w:hAnsi="Palatino Linotype" w:cs="Palatino Linotype"/>
        <w:color w:val="000000"/>
        <w:sz w:val="20"/>
        <w:szCs w:val="20"/>
      </w:rPr>
      <w:fldChar w:fldCharType="end"/>
    </w:r>
  </w:p>
  <w:p w:rsidR="002D6FC9" w:rsidRDefault="002D6FC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6131" w:rsidRDefault="00256131" w:rsidP="002E4E38">
      <w:pPr>
        <w:spacing w:after="0" w:line="240" w:lineRule="auto"/>
      </w:pPr>
      <w:r>
        <w:separator/>
      </w:r>
    </w:p>
  </w:footnote>
  <w:footnote w:type="continuationSeparator" w:id="0">
    <w:p w:rsidR="00256131" w:rsidRDefault="00256131" w:rsidP="002E4E38">
      <w:pPr>
        <w:spacing w:after="0" w:line="240" w:lineRule="auto"/>
      </w:pPr>
      <w:r>
        <w:continuationSeparator/>
      </w:r>
    </w:p>
  </w:footnote>
  <w:footnote w:id="1">
    <w:p w:rsidR="002D6FC9" w:rsidRPr="00946E1F" w:rsidRDefault="002D6FC9" w:rsidP="002E4E38">
      <w:pPr>
        <w:spacing w:line="240" w:lineRule="auto"/>
        <w:jc w:val="both"/>
        <w:rPr>
          <w:rFonts w:ascii="Palatino Linotype" w:hAnsi="Palatino Linotype"/>
          <w:i/>
          <w:sz w:val="20"/>
          <w:szCs w:val="20"/>
        </w:rPr>
      </w:pPr>
      <w:r>
        <w:rPr>
          <w:rStyle w:val="Refdenotaalpie"/>
          <w:rFonts w:eastAsiaTheme="minorEastAsia"/>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r>
        <w:rPr>
          <w:rFonts w:ascii="Palatino Linotype" w:hAnsi="Palatino Linotype"/>
          <w:b/>
          <w:bCs/>
          <w:i/>
          <w:sz w:val="20"/>
          <w:szCs w:val="20"/>
        </w:rPr>
        <w:t xml:space="preserve"> </w:t>
      </w:r>
      <w:r w:rsidRPr="00946E1F">
        <w:rPr>
          <w:rFonts w:ascii="Palatino Linotype" w:hAnsi="Palatino Linotype"/>
          <w:i/>
          <w:sz w:val="20"/>
          <w:szCs w:val="20"/>
        </w:rPr>
        <w:t>Del examen de compatibilidad de los artículos</w:t>
      </w:r>
      <w:r>
        <w:rPr>
          <w:rFonts w:ascii="Palatino Linotype" w:hAnsi="Palatino Linotype"/>
          <w:i/>
          <w:sz w:val="20"/>
          <w:szCs w:val="20"/>
        </w:rPr>
        <w:t xml:space="preserve"> </w:t>
      </w:r>
      <w:hyperlink r:id="rId1" w:history="1">
        <w:r w:rsidRPr="00946E1F">
          <w:rPr>
            <w:rStyle w:val="Hipervnculo"/>
            <w:rFonts w:ascii="Palatino Linotype" w:hAnsi="Palatino Linotype"/>
            <w:i/>
            <w:sz w:val="20"/>
            <w:szCs w:val="20"/>
          </w:rPr>
          <w:t>73 y 74 de la Ley de Amparo</w:t>
        </w:r>
      </w:hyperlink>
      <w:r>
        <w:rPr>
          <w:rStyle w:val="apple-converted-space"/>
          <w:rFonts w:ascii="Palatino Linotype" w:hAnsi="Palatino Linotype"/>
          <w:i/>
        </w:rPr>
        <w:t xml:space="preserve"> </w:t>
      </w:r>
      <w:r w:rsidRPr="00946E1F">
        <w:rPr>
          <w:rFonts w:ascii="Palatino Linotype" w:hAnsi="Palatino Linotype"/>
          <w:i/>
          <w:sz w:val="20"/>
          <w:szCs w:val="20"/>
        </w:rPr>
        <w:t>con el artículo</w:t>
      </w:r>
      <w:r>
        <w:rPr>
          <w:rFonts w:ascii="Palatino Linotype" w:hAnsi="Palatino Linotype"/>
          <w:i/>
          <w:sz w:val="20"/>
          <w:szCs w:val="20"/>
        </w:rPr>
        <w:t xml:space="preserve"> </w:t>
      </w:r>
      <w:hyperlink r:id="rId2" w:history="1">
        <w:r w:rsidRPr="00946E1F">
          <w:rPr>
            <w:rStyle w:val="Hipervnculo"/>
            <w:rFonts w:ascii="Palatino Linotype" w:hAnsi="Palatino Linotype"/>
            <w:i/>
            <w:sz w:val="20"/>
            <w:szCs w:val="20"/>
          </w:rPr>
          <w:t>25.1 de la Convención Americana sobre Derechos Humanos</w:t>
        </w:r>
      </w:hyperlink>
      <w:r>
        <w:rPr>
          <w:rStyle w:val="apple-converted-space"/>
          <w:rFonts w:ascii="Palatino Linotype" w:hAnsi="Palatino Linotype"/>
          <w:i/>
        </w:rPr>
        <w:t xml:space="preserve">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FC9" w:rsidRDefault="002D6FC9">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2D6FC9">
      <w:trPr>
        <w:trHeight w:val="227"/>
      </w:trPr>
      <w:tc>
        <w:tcPr>
          <w:tcW w:w="5246" w:type="dxa"/>
        </w:tcPr>
        <w:p w:rsidR="002D6FC9" w:rsidRDefault="002D6FC9">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Recurso de Revisión N°:</w:t>
          </w:r>
        </w:p>
      </w:tc>
      <w:tc>
        <w:tcPr>
          <w:tcW w:w="4819" w:type="dxa"/>
        </w:tcPr>
        <w:p w:rsidR="002D6FC9" w:rsidRDefault="002D6FC9" w:rsidP="002E4E38">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02015/INFOEM/IP/RR/2026</w:t>
          </w:r>
        </w:p>
      </w:tc>
    </w:tr>
    <w:tr w:rsidR="002D6FC9">
      <w:trPr>
        <w:trHeight w:val="242"/>
      </w:trPr>
      <w:tc>
        <w:tcPr>
          <w:tcW w:w="5246" w:type="dxa"/>
        </w:tcPr>
        <w:p w:rsidR="002D6FC9" w:rsidRDefault="002D6FC9">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2D6FC9" w:rsidRDefault="002D6FC9">
          <w:pPr>
            <w:spacing w:after="120" w:line="256" w:lineRule="auto"/>
            <w:ind w:left="-486" w:right="214" w:firstLine="284"/>
            <w:jc w:val="right"/>
            <w:rPr>
              <w:rFonts w:ascii="Palatino Linotype" w:eastAsia="Palatino Linotype" w:hAnsi="Palatino Linotype" w:cs="Palatino Linotype"/>
              <w:b/>
              <w:sz w:val="24"/>
              <w:szCs w:val="24"/>
            </w:rPr>
          </w:pPr>
          <w:r w:rsidRPr="00353F93">
            <w:rPr>
              <w:rFonts w:ascii="Palatino Linotype" w:eastAsia="Palatino Linotype" w:hAnsi="Palatino Linotype" w:cs="Palatino Linotype"/>
              <w:b/>
              <w:color w:val="000000"/>
              <w:sz w:val="24"/>
              <w:szCs w:val="24"/>
            </w:rPr>
            <w:t>Ayuntamiento de Tepotzotlán</w:t>
          </w:r>
        </w:p>
      </w:tc>
    </w:tr>
    <w:tr w:rsidR="002D6FC9">
      <w:trPr>
        <w:trHeight w:val="342"/>
      </w:trPr>
      <w:tc>
        <w:tcPr>
          <w:tcW w:w="5246" w:type="dxa"/>
        </w:tcPr>
        <w:p w:rsidR="002D6FC9" w:rsidRDefault="002D6FC9">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2D6FC9" w:rsidRDefault="002D6FC9">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2D6FC9" w:rsidRDefault="002D6FC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638338F8" wp14:editId="3C2D6753">
          <wp:simplePos x="0" y="0"/>
          <wp:positionH relativeFrom="page">
            <wp:align>center</wp:align>
          </wp:positionH>
          <wp:positionV relativeFrom="margin">
            <wp:posOffset>-1379219</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FC9" w:rsidRDefault="002D6FC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p>
  <w:tbl>
    <w:tblPr>
      <w:tblW w:w="9923" w:type="dxa"/>
      <w:tblInd w:w="-851" w:type="dxa"/>
      <w:tblLayout w:type="fixed"/>
      <w:tblLook w:val="0400" w:firstRow="0" w:lastRow="0" w:firstColumn="0" w:lastColumn="0" w:noHBand="0" w:noVBand="1"/>
    </w:tblPr>
    <w:tblGrid>
      <w:gridCol w:w="5104"/>
      <w:gridCol w:w="4819"/>
    </w:tblGrid>
    <w:tr w:rsidR="002D6FC9">
      <w:trPr>
        <w:trHeight w:val="227"/>
      </w:trPr>
      <w:tc>
        <w:tcPr>
          <w:tcW w:w="5104" w:type="dxa"/>
        </w:tcPr>
        <w:p w:rsidR="002D6FC9" w:rsidRDefault="002D6FC9">
          <w:pPr>
            <w:spacing w:after="120" w:line="256" w:lineRule="auto"/>
            <w:ind w:right="204"/>
            <w:jc w:val="right"/>
            <w:rPr>
              <w:rFonts w:ascii="Palatino Linotype" w:eastAsia="Palatino Linotype" w:hAnsi="Palatino Linotype" w:cs="Palatino Linotype"/>
            </w:rPr>
          </w:pPr>
          <w:bookmarkStart w:id="1" w:name="_30j0zll" w:colFirst="0" w:colLast="0"/>
          <w:bookmarkEnd w:id="1"/>
          <w:r>
            <w:rPr>
              <w:rFonts w:ascii="Palatino Linotype" w:eastAsia="Palatino Linotype" w:hAnsi="Palatino Linotype" w:cs="Palatino Linotype"/>
            </w:rPr>
            <w:t>Recurso de Revisión N°:</w:t>
          </w:r>
        </w:p>
      </w:tc>
      <w:tc>
        <w:tcPr>
          <w:tcW w:w="4819" w:type="dxa"/>
        </w:tcPr>
        <w:p w:rsidR="002D6FC9" w:rsidRDefault="002D6FC9" w:rsidP="002E4E38">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02015/INFOEM/IP/RR/2026</w:t>
          </w:r>
        </w:p>
      </w:tc>
    </w:tr>
    <w:tr w:rsidR="002D6FC9">
      <w:trPr>
        <w:trHeight w:val="242"/>
      </w:trPr>
      <w:tc>
        <w:tcPr>
          <w:tcW w:w="5104" w:type="dxa"/>
        </w:tcPr>
        <w:p w:rsidR="002D6FC9" w:rsidRDefault="002D6FC9">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2D6FC9" w:rsidRDefault="002D6FC9">
          <w:pPr>
            <w:spacing w:after="120" w:line="256" w:lineRule="auto"/>
            <w:ind w:left="-486" w:right="214" w:firstLine="284"/>
            <w:jc w:val="right"/>
            <w:rPr>
              <w:rFonts w:ascii="Palatino Linotype" w:eastAsia="Palatino Linotype" w:hAnsi="Palatino Linotype" w:cs="Palatino Linotype"/>
              <w:b/>
            </w:rPr>
          </w:pPr>
          <w:r w:rsidRPr="00353F93">
            <w:rPr>
              <w:rFonts w:ascii="Palatino Linotype" w:eastAsia="Palatino Linotype" w:hAnsi="Palatino Linotype" w:cs="Palatino Linotype"/>
              <w:b/>
              <w:color w:val="000000"/>
              <w:sz w:val="24"/>
              <w:szCs w:val="24"/>
            </w:rPr>
            <w:t>Ayuntamiento de Tepotzotlán</w:t>
          </w:r>
        </w:p>
      </w:tc>
    </w:tr>
    <w:tr w:rsidR="002D6FC9">
      <w:trPr>
        <w:trHeight w:val="342"/>
      </w:trPr>
      <w:tc>
        <w:tcPr>
          <w:tcW w:w="5104" w:type="dxa"/>
        </w:tcPr>
        <w:p w:rsidR="002D6FC9" w:rsidRDefault="002D6FC9">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rsidR="002D6FC9" w:rsidRDefault="00F07D3C" w:rsidP="002D6FC9">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XXXXXXXXXXXXXXXXXX</w:t>
          </w:r>
          <w:r w:rsidR="002D6FC9">
            <w:rPr>
              <w:rFonts w:ascii="Palatino Linotype" w:eastAsia="Palatino Linotype" w:hAnsi="Palatino Linotype" w:cs="Palatino Linotype"/>
              <w:b/>
            </w:rPr>
            <w:t xml:space="preserve"> </w:t>
          </w:r>
          <w:r w:rsidR="002D6FC9">
            <w:rPr>
              <w:noProof/>
            </w:rPr>
            <w:drawing>
              <wp:anchor distT="0" distB="0" distL="0" distR="0" simplePos="0" relativeHeight="251660288" behindDoc="1" locked="0" layoutInCell="1" hidden="0" allowOverlap="1" wp14:anchorId="34E19DD7" wp14:editId="4E710DE8">
                <wp:simplePos x="0" y="0"/>
                <wp:positionH relativeFrom="column">
                  <wp:posOffset>-3769994</wp:posOffset>
                </wp:positionH>
                <wp:positionV relativeFrom="paragraph">
                  <wp:posOffset>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c>
    </w:tr>
    <w:tr w:rsidR="002D6FC9">
      <w:trPr>
        <w:trHeight w:val="342"/>
      </w:trPr>
      <w:tc>
        <w:tcPr>
          <w:tcW w:w="5104" w:type="dxa"/>
        </w:tcPr>
        <w:p w:rsidR="002D6FC9" w:rsidRDefault="002D6FC9">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2D6FC9" w:rsidRDefault="002D6FC9">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2D6FC9" w:rsidRDefault="002D6FC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0CF2C4D"/>
    <w:multiLevelType w:val="hybridMultilevel"/>
    <w:tmpl w:val="8834BD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3BDF0BF0"/>
    <w:multiLevelType w:val="hybridMultilevel"/>
    <w:tmpl w:val="F3B4ED1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6FF6BCB"/>
    <w:multiLevelType w:val="hybridMultilevel"/>
    <w:tmpl w:val="F3C0990A"/>
    <w:lvl w:ilvl="0" w:tplc="DE8E9CC6">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53AF2C43"/>
    <w:multiLevelType w:val="hybridMultilevel"/>
    <w:tmpl w:val="09E03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24F33FE"/>
    <w:multiLevelType w:val="hybridMultilevel"/>
    <w:tmpl w:val="B554C4C8"/>
    <w:lvl w:ilvl="0" w:tplc="080A000F">
      <w:start w:val="1"/>
      <w:numFmt w:val="decimal"/>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6"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69B058C8"/>
    <w:multiLevelType w:val="hybridMultilevel"/>
    <w:tmpl w:val="687003B8"/>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num w:numId="1">
    <w:abstractNumId w:val="4"/>
  </w:num>
  <w:num w:numId="2">
    <w:abstractNumId w:val="0"/>
  </w:num>
  <w:num w:numId="3">
    <w:abstractNumId w:val="6"/>
  </w:num>
  <w:num w:numId="4">
    <w:abstractNumId w:val="5"/>
  </w:num>
  <w:num w:numId="5">
    <w:abstractNumId w:val="7"/>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E38"/>
    <w:rsid w:val="001B304A"/>
    <w:rsid w:val="001B7F33"/>
    <w:rsid w:val="00256131"/>
    <w:rsid w:val="002D6FC9"/>
    <w:rsid w:val="002E4E38"/>
    <w:rsid w:val="00423C9F"/>
    <w:rsid w:val="007633C9"/>
    <w:rsid w:val="007729AB"/>
    <w:rsid w:val="00785C5E"/>
    <w:rsid w:val="007E57D3"/>
    <w:rsid w:val="009052DB"/>
    <w:rsid w:val="009166D3"/>
    <w:rsid w:val="009A63F9"/>
    <w:rsid w:val="009C1BBC"/>
    <w:rsid w:val="00B760C3"/>
    <w:rsid w:val="00BB158A"/>
    <w:rsid w:val="00BD71FC"/>
    <w:rsid w:val="00DE3D59"/>
    <w:rsid w:val="00F07D3C"/>
    <w:rsid w:val="00F54F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044FCD-9DF8-4BC2-8F11-833401084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E4E38"/>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2E4E38"/>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2E4E38"/>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E4E38"/>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2E4E38"/>
  </w:style>
  <w:style w:type="character" w:styleId="Hipervnculo">
    <w:name w:val="Hyperlink"/>
    <w:aliases w:val="Hipervínculo1,Hipervínculo11,Hipervínculo12,Hipervínculo13,Hipervínculo14,Hipervínculo15"/>
    <w:basedOn w:val="Fuentedeprrafopredeter"/>
    <w:uiPriority w:val="99"/>
    <w:unhideWhenUsed/>
    <w:rsid w:val="002E4E38"/>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rsid w:val="002E4E38"/>
    <w:rPr>
      <w:vertAlign w:val="superscript"/>
    </w:rPr>
  </w:style>
  <w:style w:type="table" w:customStyle="1" w:styleId="Tablaconcuadrcula1">
    <w:name w:val="Tabla con cuadrícula1"/>
    <w:basedOn w:val="Tablanormal"/>
    <w:next w:val="Tablaconcuadrcula"/>
    <w:uiPriority w:val="39"/>
    <w:rsid w:val="002E4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2E4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E4E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E4E38"/>
    <w:rPr>
      <w:rFonts w:ascii="Calibri" w:eastAsia="Calibri" w:hAnsi="Calibri" w:cs="Calibri"/>
      <w:lang w:eastAsia="es-MX"/>
    </w:rPr>
  </w:style>
  <w:style w:type="paragraph" w:styleId="Piedepgina">
    <w:name w:val="footer"/>
    <w:basedOn w:val="Normal"/>
    <w:link w:val="PiedepginaCar"/>
    <w:uiPriority w:val="99"/>
    <w:unhideWhenUsed/>
    <w:rsid w:val="002E4E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E4E38"/>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34</Pages>
  <Words>7684</Words>
  <Characters>42268</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49853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10</cp:revision>
  <cp:lastPrinted>2026-04-23T16:03:00Z</cp:lastPrinted>
  <dcterms:created xsi:type="dcterms:W3CDTF">2026-04-08T22:02:00Z</dcterms:created>
  <dcterms:modified xsi:type="dcterms:W3CDTF">2026-04-28T17:31:00Z</dcterms:modified>
</cp:coreProperties>
</file>