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474" w:rsidRPr="004D5032" w:rsidRDefault="00EA46D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0" w:name="_GoBack"/>
      <w:bookmarkEnd w:id="0"/>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w:t>
      </w:r>
      <w:r w:rsidR="004D5032">
        <w:rPr>
          <w:rFonts w:ascii="Palatino Linotype" w:eastAsia="Palatino Linotype" w:hAnsi="Palatino Linotype" w:cs="Palatino Linotype"/>
          <w:color w:val="000000"/>
        </w:rPr>
        <w:t xml:space="preserve">n Metepec, Estado de México; </w:t>
      </w:r>
      <w:r w:rsidR="004D5032" w:rsidRPr="004D5032">
        <w:rPr>
          <w:rFonts w:ascii="Palatino Linotype" w:eastAsia="Palatino Linotype" w:hAnsi="Palatino Linotype" w:cs="Palatino Linotype"/>
          <w:b/>
          <w:color w:val="000000"/>
        </w:rPr>
        <w:t>de fecha</w:t>
      </w:r>
      <w:r w:rsidRPr="004D5032">
        <w:rPr>
          <w:rFonts w:ascii="Palatino Linotype" w:eastAsia="Palatino Linotype" w:hAnsi="Palatino Linotype" w:cs="Palatino Linotype"/>
          <w:b/>
          <w:color w:val="000000"/>
        </w:rPr>
        <w:t xml:space="preserve"> </w:t>
      </w:r>
      <w:r w:rsidR="00DC5E6F" w:rsidRPr="004D5032">
        <w:rPr>
          <w:rFonts w:ascii="Palatino Linotype" w:eastAsia="Palatino Linotype" w:hAnsi="Palatino Linotype" w:cs="Palatino Linotype"/>
          <w:b/>
          <w:color w:val="000000"/>
        </w:rPr>
        <w:t xml:space="preserve">cinco </w:t>
      </w:r>
      <w:r w:rsidR="004D5032" w:rsidRPr="004D5032">
        <w:rPr>
          <w:rFonts w:ascii="Palatino Linotype" w:eastAsia="Palatino Linotype" w:hAnsi="Palatino Linotype" w:cs="Palatino Linotype"/>
          <w:b/>
          <w:color w:val="000000"/>
        </w:rPr>
        <w:t xml:space="preserve">(05) </w:t>
      </w:r>
      <w:r w:rsidR="00DC5E6F" w:rsidRPr="004D5032">
        <w:rPr>
          <w:rFonts w:ascii="Palatino Linotype" w:eastAsia="Palatino Linotype" w:hAnsi="Palatino Linotype" w:cs="Palatino Linotype"/>
          <w:b/>
          <w:color w:val="000000"/>
        </w:rPr>
        <w:t>de febrero de dos mil veintiséis</w:t>
      </w:r>
      <w:r w:rsidRPr="004D5032">
        <w:rPr>
          <w:rFonts w:ascii="Palatino Linotype" w:eastAsia="Palatino Linotype" w:hAnsi="Palatino Linotype" w:cs="Palatino Linotype"/>
          <w:b/>
          <w:color w:val="000000"/>
        </w:rPr>
        <w:t xml:space="preserve">. </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6wn8qh3qjxhg" w:colFirst="0" w:colLast="0"/>
      <w:bookmarkEnd w:id="1"/>
      <w:r w:rsidRPr="004D5032">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 </w:t>
      </w:r>
      <w:r>
        <w:rPr>
          <w:rFonts w:ascii="Palatino Linotype" w:eastAsia="Palatino Linotype" w:hAnsi="Palatino Linotype" w:cs="Palatino Linotype"/>
          <w:b/>
          <w:bCs/>
          <w:color w:val="000000"/>
        </w:rPr>
        <w:t>10128/INFOEM/IP/RR/2025</w:t>
      </w:r>
      <w:r>
        <w:rPr>
          <w:rFonts w:ascii="Palatino Linotype" w:eastAsia="Palatino Linotype" w:hAnsi="Palatino Linotype" w:cs="Palatino Linotype"/>
          <w:color w:val="000000"/>
        </w:rPr>
        <w:t xml:space="preserve">, promovido por </w:t>
      </w:r>
      <w:r w:rsidR="00654B47">
        <w:rPr>
          <w:rFonts w:ascii="Palatino Linotype" w:eastAsia="Palatino Linotype" w:hAnsi="Palatino Linotype" w:cs="Palatino Linotype"/>
          <w:b/>
          <w:bCs/>
          <w:color w:val="000000"/>
        </w:rPr>
        <w:t>XXXX</w:t>
      </w:r>
      <w:r>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en contra de la respuesta del </w:t>
      </w:r>
      <w:r>
        <w:rPr>
          <w:rFonts w:ascii="Palatino Linotype" w:eastAsia="Palatino Linotype" w:hAnsi="Palatino Linotype" w:cs="Palatino Linotype"/>
          <w:b/>
          <w:bCs/>
          <w:color w:val="000000"/>
        </w:rPr>
        <w:t>Ayuntamiento de Huehuetoca</w:t>
      </w:r>
      <w:r>
        <w:rPr>
          <w:rFonts w:ascii="Palatino Linotype" w:eastAsia="Palatino Linotype" w:hAnsi="Palatino Linotype" w:cs="Palatino Linotype"/>
          <w:color w:val="000000"/>
        </w:rPr>
        <w:t xml:space="preserve">, </w:t>
      </w:r>
      <w:r w:rsidR="004D5032">
        <w:rPr>
          <w:rFonts w:ascii="Palatino Linotype" w:eastAsia="Palatino Linotype" w:hAnsi="Palatino Linotype" w:cs="Palatino Linotype"/>
          <w:color w:val="000000"/>
        </w:rPr>
        <w:t>en adelante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EL SUJETO OBLIGADO</w:t>
      </w:r>
      <w:r>
        <w:rPr>
          <w:rFonts w:ascii="Palatino Linotype" w:eastAsia="Palatino Linotype" w:hAnsi="Palatino Linotype" w:cs="Palatino Linotype"/>
          <w:color w:val="000000"/>
        </w:rPr>
        <w:t>, se procede a dictar la presente resolución, con base en los siguientes:</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 N T E C E D E N T E S</w:t>
      </w:r>
    </w:p>
    <w:p w:rsidR="00CB3474" w:rsidRDefault="00CB3474">
      <w:pPr>
        <w:spacing w:line="360" w:lineRule="auto"/>
        <w:rPr>
          <w:rFonts w:ascii="Palatino Linotype" w:eastAsia="Palatino Linotype" w:hAnsi="Palatino Linotype" w:cs="Palatino Linotype"/>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cinco de julio de dos mil veinticinco,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vía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la solicitud de información pública registrada con el número</w:t>
      </w:r>
      <w:r>
        <w:rPr>
          <w:rFonts w:ascii="Palatino Linotype" w:eastAsia="Palatino Linotype" w:hAnsi="Palatino Linotype" w:cs="Palatino Linotype"/>
          <w:b/>
          <w:bCs/>
          <w:color w:val="000000"/>
        </w:rPr>
        <w:t xml:space="preserve"> 00296/HUEHUETO/IP/2025, </w:t>
      </w:r>
      <w:r w:rsidR="004D5032">
        <w:rPr>
          <w:rFonts w:ascii="Palatino Linotype" w:eastAsia="Palatino Linotype" w:hAnsi="Palatino Linotype" w:cs="Palatino Linotype"/>
          <w:color w:val="000000"/>
        </w:rPr>
        <w:t>en la que</w:t>
      </w:r>
      <w:r>
        <w:rPr>
          <w:rFonts w:ascii="Palatino Linotype" w:eastAsia="Palatino Linotype" w:hAnsi="Palatino Linotype" w:cs="Palatino Linotype"/>
          <w:color w:val="000000"/>
        </w:rPr>
        <w:t xml:space="preserve"> se solicitó la siguiente información:</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strike/>
          <w:color w:val="000000"/>
        </w:rPr>
      </w:pPr>
    </w:p>
    <w:p w:rsidR="00CB3474" w:rsidRDefault="00EA46DE">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“Buen día, con fundamento al.art 53 de la Ley de transparencia solicito a esta Unidad de Transparencia la sig inf , solicito detalladamente la inf de que empresa llevó acabo la modificación de las ruedas de metal ruedas de tren que permanecían en la.av Juarez , monto gastado ,facturas y empresa que lo realizo quien autorizó esa empresa ya que su director de Obras asegura que el presidente se auto entregó esa obra a su empresa. Gracias espero contar la inf requerida.”. (Sic.)</w:t>
      </w:r>
    </w:p>
    <w:p w:rsidR="004D5032" w:rsidRDefault="004D5032">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CB3474" w:rsidRDefault="00EA46DE" w:rsidP="004D5032">
      <w:pPr>
        <w:numPr>
          <w:ilvl w:val="0"/>
          <w:numId w:val="1"/>
        </w:numPr>
        <w:pBdr>
          <w:top w:val="nil"/>
          <w:left w:val="nil"/>
          <w:bottom w:val="nil"/>
          <w:right w:val="nil"/>
          <w:between w:val="nil"/>
        </w:pBdr>
        <w:spacing w:line="360" w:lineRule="auto"/>
        <w:ind w:left="0" w:right="474"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Modalidad de entrega</w:t>
      </w:r>
      <w:r>
        <w:rPr>
          <w:rFonts w:ascii="Palatino Linotype" w:eastAsia="Palatino Linotype" w:hAnsi="Palatino Linotype" w:cs="Palatino Linotype"/>
          <w:color w:val="000000"/>
        </w:rPr>
        <w:t>: Vía SAIMEX.</w:t>
      </w: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 xml:space="preserve">catorce de julio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realizó los requerimientos correspondientes a las Unidades Administrativas del Ayuntamiento.</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diecinueve de agosto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dio respuesta, en los siguientes términos:</w:t>
      </w:r>
    </w:p>
    <w:p w:rsidR="00CB3474" w:rsidRDefault="00EA46DE">
      <w:pPr>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B3474" w:rsidRDefault="00CB3474">
      <w:pPr>
        <w:ind w:left="567" w:right="567"/>
        <w:jc w:val="both"/>
        <w:rPr>
          <w:rFonts w:ascii="Palatino Linotype" w:eastAsia="Palatino Linotype" w:hAnsi="Palatino Linotype" w:cs="Palatino Linotype"/>
          <w:i/>
          <w:iCs/>
        </w:rPr>
      </w:pPr>
    </w:p>
    <w:p w:rsidR="00CB3474" w:rsidRDefault="00EA46DE">
      <w:pPr>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ADJUNTAMOS LA RESPUESTA DE SU SOLICITUD. ESTAMOS PENDIENTES PARA CUALQUIER DUDA O ACLARACIÒN” (Sic)</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Cabe precisar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omitió adjuntar la respuesta a la que hace alusión. </w:t>
      </w:r>
    </w:p>
    <w:p w:rsidR="00CB3474" w:rsidRDefault="00CB3474">
      <w:p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veintiocho de agosto de dos mil veinticinco</w:t>
      </w:r>
      <w:r>
        <w:rPr>
          <w:rFonts w:ascii="Palatino Linotype" w:eastAsia="Palatino Linotype" w:hAnsi="Palatino Linotype" w:cs="Palatino Linotype"/>
          <w:color w:val="000000"/>
        </w:rPr>
        <w:t xml:space="preserve">, el Solicitante interpuso </w:t>
      </w:r>
      <w:r>
        <w:rPr>
          <w:rFonts w:ascii="Palatino Linotype" w:eastAsia="Palatino Linotype" w:hAnsi="Palatino Linotype" w:cs="Palatino Linotype"/>
          <w:b/>
          <w:bCs/>
          <w:color w:val="000000"/>
        </w:rPr>
        <w:t xml:space="preserve">RECURSO DE REVISIÓN 10128/INFOEM/IP/RR/2025, </w:t>
      </w:r>
      <w:r>
        <w:rPr>
          <w:rFonts w:ascii="Palatino Linotype" w:eastAsia="Palatino Linotype" w:hAnsi="Palatino Linotype" w:cs="Palatino Linotype"/>
          <w:color w:val="000000"/>
        </w:rPr>
        <w:t xml:space="preserve">en contra de la respuesta emitida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señalando las siguientes razones o motivos de inconformidad:</w:t>
      </w:r>
    </w:p>
    <w:p w:rsidR="004D5032" w:rsidRDefault="004D5032">
      <w:pPr>
        <w:pBdr>
          <w:top w:val="nil"/>
          <w:left w:val="nil"/>
          <w:bottom w:val="nil"/>
          <w:right w:val="nil"/>
          <w:between w:val="nil"/>
        </w:pBdr>
        <w:spacing w:line="360" w:lineRule="auto"/>
        <w:ind w:left="567" w:right="567"/>
        <w:jc w:val="both"/>
        <w:rPr>
          <w:rFonts w:ascii="Palatino Linotype" w:eastAsia="Palatino Linotype" w:hAnsi="Palatino Linotype" w:cs="Palatino Linotype"/>
          <w:b/>
          <w:bCs/>
          <w:color w:val="000000"/>
        </w:rPr>
      </w:pPr>
    </w:p>
    <w:p w:rsidR="00CB3474" w:rsidRPr="004D5032" w:rsidRDefault="004D5032" w:rsidP="004D5032">
      <w:pPr>
        <w:pStyle w:val="Prrafodelista"/>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sz w:val="24"/>
        </w:rPr>
      </w:pPr>
      <w:r w:rsidRPr="004D5032">
        <w:rPr>
          <w:rFonts w:ascii="Palatino Linotype" w:eastAsia="Palatino Linotype" w:hAnsi="Palatino Linotype" w:cs="Palatino Linotype"/>
          <w:b/>
          <w:bCs/>
          <w:color w:val="000000"/>
          <w:sz w:val="24"/>
        </w:rPr>
        <w:t>ACTO IMPUGNADO</w:t>
      </w:r>
    </w:p>
    <w:p w:rsidR="00CB3474" w:rsidRDefault="00EA46DE" w:rsidP="004D5032">
      <w:pPr>
        <w:pBdr>
          <w:top w:val="nil"/>
          <w:left w:val="nil"/>
          <w:bottom w:val="nil"/>
          <w:right w:val="nil"/>
          <w:between w:val="nil"/>
        </w:pBdr>
        <w:spacing w:line="360" w:lineRule="auto"/>
        <w:ind w:right="567" w:firstLine="36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“No da la inf solicitada violan los derechos de acceso a la información” (Sic.)</w:t>
      </w:r>
    </w:p>
    <w:p w:rsidR="00CB3474" w:rsidRDefault="00CB3474" w:rsidP="004D5032">
      <w:p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p>
    <w:p w:rsidR="00CB3474" w:rsidRPr="004D5032" w:rsidRDefault="004D5032" w:rsidP="004D5032">
      <w:pPr>
        <w:pStyle w:val="Prrafodelista"/>
        <w:numPr>
          <w:ilvl w:val="0"/>
          <w:numId w:val="9"/>
        </w:num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rPr>
      </w:pPr>
      <w:r w:rsidRPr="004D5032">
        <w:rPr>
          <w:rFonts w:ascii="Palatino Linotype" w:eastAsia="Palatino Linotype" w:hAnsi="Palatino Linotype" w:cs="Palatino Linotype"/>
          <w:b/>
          <w:bCs/>
          <w:color w:val="000000"/>
        </w:rPr>
        <w:t>RAZONES O MOTIVOS DE LA INCONFORMIDAD</w:t>
      </w:r>
    </w:p>
    <w:p w:rsidR="00CB3474" w:rsidRDefault="00EA46DE" w:rsidP="004D5032">
      <w:pPr>
        <w:pBdr>
          <w:top w:val="nil"/>
          <w:left w:val="nil"/>
          <w:bottom w:val="nil"/>
          <w:right w:val="nil"/>
          <w:between w:val="nil"/>
        </w:pBdr>
        <w:spacing w:line="360" w:lineRule="auto"/>
        <w:ind w:right="567" w:firstLine="36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“No se entrega la inf solicitada” (Sic.)</w:t>
      </w:r>
    </w:p>
    <w:p w:rsidR="00CB3474" w:rsidRDefault="00CB3474">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Consecutivamente</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el recurso de referencia, fue turnado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 la Comisionada </w:t>
      </w:r>
      <w:r>
        <w:rPr>
          <w:rFonts w:ascii="Palatino Linotype" w:eastAsia="Palatino Linotype" w:hAnsi="Palatino Linotype" w:cs="Palatino Linotype"/>
          <w:b/>
          <w:bCs/>
          <w:color w:val="000000"/>
        </w:rPr>
        <w:t>María del Rosario Mejía Ayala,</w:t>
      </w:r>
      <w:r>
        <w:rPr>
          <w:rFonts w:ascii="Palatino Linotype" w:eastAsia="Palatino Linotype" w:hAnsi="Palatino Linotype" w:cs="Palatino Linotype"/>
          <w:color w:val="000000"/>
        </w:rPr>
        <w:t xml:space="preserve"> </w:t>
      </w:r>
      <w:r w:rsidR="00654B47">
        <w:rPr>
          <w:rFonts w:ascii="Palatino Linotype" w:eastAsia="Palatino Linotype" w:hAnsi="Palatino Linotype" w:cs="Palatino Linotype"/>
          <w:color w:val="000000"/>
        </w:rPr>
        <w:t>para</w:t>
      </w:r>
      <w:r>
        <w:rPr>
          <w:rFonts w:ascii="Palatino Linotype" w:eastAsia="Palatino Linotype" w:hAnsi="Palatino Linotype" w:cs="Palatino Linotype"/>
          <w:color w:val="000000"/>
        </w:rPr>
        <w:t xml:space="preserve"> su análisis.</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4D5032">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EA46DE">
        <w:rPr>
          <w:rFonts w:ascii="Palatino Linotype" w:eastAsia="Palatino Linotype" w:hAnsi="Palatino Linotype" w:cs="Palatino Linotype"/>
          <w:color w:val="000000"/>
        </w:rPr>
        <w:t xml:space="preserve">onente con fundamento en lo dispuesto por el artículo 185 fracción II de la ley de la materia, a través del </w:t>
      </w:r>
      <w:r w:rsidR="00EA46DE">
        <w:rPr>
          <w:rFonts w:ascii="Palatino Linotype" w:eastAsia="Palatino Linotype" w:hAnsi="Palatino Linotype" w:cs="Palatino Linotype"/>
          <w:b/>
          <w:bCs/>
          <w:color w:val="000000"/>
        </w:rPr>
        <w:t xml:space="preserve">acuerdo de admisión </w:t>
      </w:r>
      <w:r w:rsidR="00EA46DE">
        <w:rPr>
          <w:rFonts w:ascii="Palatino Linotype" w:eastAsia="Palatino Linotype" w:hAnsi="Palatino Linotype" w:cs="Palatino Linotype"/>
          <w:color w:val="000000"/>
        </w:rPr>
        <w:t xml:space="preserve">de fecha </w:t>
      </w:r>
      <w:r w:rsidR="00EA46DE">
        <w:rPr>
          <w:rFonts w:ascii="Palatino Linotype" w:eastAsia="Palatino Linotype" w:hAnsi="Palatino Linotype" w:cs="Palatino Linotype"/>
          <w:b/>
          <w:bCs/>
          <w:color w:val="000000"/>
        </w:rPr>
        <w:t>veintiocho de agosto de dos mil veinticinco</w:t>
      </w:r>
      <w:r w:rsidR="00EA46DE">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00EA46DE">
        <w:rPr>
          <w:rFonts w:ascii="Palatino Linotype" w:eastAsia="Palatino Linotype" w:hAnsi="Palatino Linotype" w:cs="Palatino Linotype"/>
          <w:b/>
          <w:bCs/>
          <w:color w:val="000000"/>
        </w:rPr>
        <w:t xml:space="preserve">SUJETO OBLIGADO </w:t>
      </w:r>
      <w:r w:rsidR="00EA46DE">
        <w:rPr>
          <w:rFonts w:ascii="Palatino Linotype" w:eastAsia="Palatino Linotype" w:hAnsi="Palatino Linotype" w:cs="Palatino Linotype"/>
          <w:color w:val="000000"/>
        </w:rPr>
        <w:t>presentara el Informe Justificado procedente.</w:t>
      </w:r>
    </w:p>
    <w:p w:rsidR="00CB3474" w:rsidRDefault="00CB3474">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2" w:name="_heading=h.3znysh7" w:colFirst="0" w:colLast="0"/>
      <w:bookmarkEnd w:id="2"/>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diez de septiembre y seis de noviembre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rindió los </w:t>
      </w:r>
      <w:r>
        <w:rPr>
          <w:rFonts w:ascii="Palatino Linotype" w:eastAsia="Palatino Linotype" w:hAnsi="Palatino Linotype" w:cs="Palatino Linotype"/>
          <w:b/>
          <w:bCs/>
          <w:color w:val="000000"/>
        </w:rPr>
        <w:t>informes justificados</w:t>
      </w:r>
      <w:r>
        <w:rPr>
          <w:rFonts w:ascii="Palatino Linotype" w:eastAsia="Palatino Linotype" w:hAnsi="Palatino Linotype" w:cs="Palatino Linotype"/>
          <w:color w:val="000000"/>
        </w:rPr>
        <w:t xml:space="preserve"> correspondientes, por medio de los archivos electrónicos denominados</w:t>
      </w:r>
      <w:r>
        <w:rPr>
          <w:rFonts w:ascii="Palatino Linotype" w:eastAsia="Palatino Linotype" w:hAnsi="Palatino Linotype" w:cs="Palatino Linotype"/>
          <w:b/>
          <w:bCs/>
          <w:color w:val="000000"/>
        </w:rPr>
        <w:t xml:space="preserve"> REC.REV.  10128.pdf, </w:t>
      </w:r>
      <w:r>
        <w:rPr>
          <w:rFonts w:ascii="Palatino Linotype" w:eastAsia="Palatino Linotype" w:hAnsi="Palatino Linotype" w:cs="Palatino Linotype"/>
          <w:color w:val="000000"/>
        </w:rPr>
        <w:t>a través de los cuales remite factura en versión pública</w:t>
      </w:r>
    </w:p>
    <w:p w:rsidR="00CB3474" w:rsidRDefault="00CB3474">
      <w:pPr>
        <w:pBdr>
          <w:top w:val="nil"/>
          <w:left w:val="nil"/>
          <w:bottom w:val="nil"/>
          <w:right w:val="nil"/>
          <w:between w:val="nil"/>
        </w:pBdr>
        <w:ind w:left="708"/>
        <w:rPr>
          <w:rFonts w:ascii="Palatino Linotype" w:eastAsia="Palatino Linotype" w:hAnsi="Palatino Linotype" w:cs="Palatino Linotype"/>
          <w:b/>
          <w:bCs/>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bCs/>
          <w:color w:val="000000"/>
        </w:rPr>
        <w:t xml:space="preserve">RECURRENTE no </w:t>
      </w:r>
      <w:r>
        <w:rPr>
          <w:rFonts w:ascii="Palatino Linotype" w:eastAsia="Palatino Linotype" w:hAnsi="Palatino Linotype" w:cs="Palatino Linotype"/>
          <w:color w:val="000000"/>
        </w:rPr>
        <w:t>realizó manifestaciones que a su derecho conviniera.</w:t>
      </w:r>
    </w:p>
    <w:p w:rsidR="00CB3474" w:rsidRDefault="00EA46DE">
      <w:pPr>
        <w:numPr>
          <w:ilvl w:val="0"/>
          <w:numId w:val="5"/>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veintidós de enero de dos mil veintiséis</w:t>
      </w:r>
      <w:r>
        <w:rPr>
          <w:rFonts w:ascii="Palatino Linotype" w:eastAsia="Palatino Linotype" w:hAnsi="Palatino Linotype" w:cs="Palatino Linotype"/>
          <w:color w:val="000000"/>
        </w:rPr>
        <w:t>, se notificó el acuerdo mediante el cual se amplió el plazo para emitir resolución por un término de 15 días adicionales.</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3" w:name="_heading=h.h662ru3bupnt" w:colFirst="0" w:colLast="0"/>
      <w:bookmarkEnd w:id="3"/>
      <w:r>
        <w:rPr>
          <w:rFonts w:ascii="Palatino Linotype" w:eastAsia="Palatino Linotype" w:hAnsi="Palatino Linotype" w:cs="Palatino Linotype"/>
          <w:color w:val="000000"/>
        </w:rPr>
        <w:t xml:space="preserve">La Comisionada Ponente mediante acuerdo del </w:t>
      </w:r>
      <w:r>
        <w:rPr>
          <w:rFonts w:ascii="Palatino Linotype" w:eastAsia="Palatino Linotype" w:hAnsi="Palatino Linotype" w:cs="Palatino Linotype"/>
          <w:b/>
          <w:bCs/>
          <w:color w:val="000000"/>
        </w:rPr>
        <w:t>veintiocho de enero de dos mil veintiséis</w:t>
      </w:r>
      <w:r>
        <w:rPr>
          <w:rFonts w:ascii="Palatino Linotype" w:eastAsia="Palatino Linotype" w:hAnsi="Palatino Linotype" w:cs="Palatino Linotype"/>
          <w:color w:val="000000"/>
        </w:rPr>
        <w:t>, decretó el cierre de instrucción del expediente, por lo que no habiendo más que hacer constar, y --------------------------------------------------------------------------------------------------</w:t>
      </w:r>
      <w:r w:rsidR="004D5032">
        <w:rPr>
          <w:rFonts w:ascii="Palatino Linotype" w:eastAsia="Palatino Linotype" w:hAnsi="Palatino Linotype" w:cs="Palatino Linotype"/>
          <w:color w:val="000000"/>
        </w:rPr>
        <w:t>---</w:t>
      </w:r>
    </w:p>
    <w:p w:rsidR="00CB3474" w:rsidRDefault="00EA46DE">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C</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O</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N</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S</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I</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D</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E</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R</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A</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N</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D</w:t>
      </w:r>
      <w:r w:rsidR="004D5032">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O</w:t>
      </w:r>
      <w:r w:rsidR="004D5032">
        <w:rPr>
          <w:rFonts w:ascii="Palatino Linotype" w:eastAsia="Palatino Linotype" w:hAnsi="Palatino Linotype" w:cs="Palatino Linotype"/>
          <w:b/>
          <w:bCs/>
          <w:color w:val="000000"/>
        </w:rPr>
        <w:t xml:space="preserve"> </w:t>
      </w:r>
    </w:p>
    <w:p w:rsidR="004D5032" w:rsidRDefault="004D5032">
      <w:pPr>
        <w:pStyle w:val="Ttulo2"/>
        <w:spacing w:before="0" w:line="360" w:lineRule="auto"/>
        <w:rPr>
          <w:rFonts w:ascii="Palatino Linotype" w:eastAsia="Palatino Linotype" w:hAnsi="Palatino Linotype" w:cs="Palatino Linotype"/>
          <w:b/>
          <w:bCs/>
          <w:color w:val="000000"/>
          <w:sz w:val="24"/>
          <w:szCs w:val="24"/>
        </w:rPr>
      </w:pPr>
      <w:bookmarkStart w:id="4" w:name="_heading=h.btsa1tjiz21l" w:colFirst="0" w:colLast="0"/>
      <w:bookmarkEnd w:id="4"/>
    </w:p>
    <w:p w:rsidR="00CB3474" w:rsidRDefault="00EA46DE">
      <w:pPr>
        <w:pStyle w:val="Ttulo2"/>
        <w:spacing w:before="0" w:line="360" w:lineRule="auto"/>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PRIMERO. De la competencia</w:t>
      </w: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bCs/>
          <w:color w:val="000000"/>
        </w:rPr>
        <w:t>Constitución Política de los Estados Unidos Mexicanos</w:t>
      </w:r>
      <w:r>
        <w:rPr>
          <w:rFonts w:ascii="Palatino Linotype" w:eastAsia="Palatino Linotype" w:hAnsi="Palatino Linotype" w:cs="Palatino Linotype"/>
          <w:color w:val="000000"/>
        </w:rPr>
        <w:t>; 5, párrafos trigésimo segundo, trigésimo tercero y trigésimo cuarto fracciones IV y V de la </w:t>
      </w:r>
      <w:r>
        <w:rPr>
          <w:rFonts w:ascii="Palatino Linotype" w:eastAsia="Palatino Linotype" w:hAnsi="Palatino Linotype" w:cs="Palatino Linotype"/>
          <w:b/>
          <w:bCs/>
          <w:color w:val="000000"/>
        </w:rPr>
        <w:t>Constitución Política del Estado Libre y Soberano de México</w:t>
      </w:r>
      <w:r>
        <w:rPr>
          <w:rFonts w:ascii="Palatino Linotype" w:eastAsia="Palatino Linotype" w:hAnsi="Palatino Linotype" w:cs="Palatino Linotype"/>
          <w:color w:val="000000"/>
        </w:rPr>
        <w:t>; artículos 1, 2 fracción II, 13, 29, 36 fracciones I y II, 176, 178, 179, 181 párrafo tercero y 185 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 y 7, 9 fracciones I y XXIII, y 11 del </w:t>
      </w:r>
      <w:r>
        <w:rPr>
          <w:rFonts w:ascii="Palatino Linotype" w:eastAsia="Palatino Linotype" w:hAnsi="Palatino Linotype" w:cs="Palatino Linotype"/>
          <w:b/>
          <w:bCs/>
          <w:color w:val="000000"/>
        </w:rPr>
        <w:t>Reglamento Interior del Instituto de Transparencia, Acceso a la Información Pública y Protección de Datos Personales del Estado de México y Municipios</w:t>
      </w:r>
    </w:p>
    <w:p w:rsidR="00CB3474" w:rsidRDefault="00CB347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5" w:name="_heading=h.rgnir2b3gwx4" w:colFirst="0" w:colLast="0"/>
      <w:bookmarkEnd w:id="5"/>
    </w:p>
    <w:p w:rsidR="00CB3474" w:rsidRDefault="00EA46D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6" w:name="_heading=h.nsi3dv3g87iz" w:colFirst="0" w:colLast="0"/>
      <w:bookmarkEnd w:id="6"/>
      <w:r>
        <w:rPr>
          <w:rFonts w:ascii="Palatino Linotype" w:eastAsia="Palatino Linotype" w:hAnsi="Palatino Linotype" w:cs="Palatino Linotype"/>
          <w:b/>
          <w:bCs/>
          <w:color w:val="000000"/>
        </w:rPr>
        <w:t>SEGUNDO. De la oportunidad y procedencia.</w:t>
      </w: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7" w:name="_heading=h.lngcki8yq7ws" w:colFirst="0" w:colLast="0"/>
      <w:bookmarkEnd w:id="7"/>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bCs/>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bCs/>
          <w:color w:val="000000"/>
        </w:rPr>
        <w:t xml:space="preserve">diecinueve de agosto de dos mil veinticinco, </w:t>
      </w:r>
      <w:r>
        <w:rPr>
          <w:rFonts w:ascii="Palatino Linotype" w:eastAsia="Palatino Linotype" w:hAnsi="Palatino Linotype" w:cs="Palatino Linotype"/>
          <w:color w:val="000000"/>
        </w:rPr>
        <w:t xml:space="preserve">de tal forma que el plazo para interponer el recurso de revisión transcurrió del día </w:t>
      </w:r>
      <w:r>
        <w:rPr>
          <w:rFonts w:ascii="Palatino Linotype" w:eastAsia="Palatino Linotype" w:hAnsi="Palatino Linotype" w:cs="Palatino Linotype"/>
          <w:b/>
          <w:bCs/>
          <w:color w:val="000000"/>
        </w:rPr>
        <w:t>veinte de agosto al nueve de septiembre de dos mil veinticinco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presentó su inconformidad el </w:t>
      </w:r>
      <w:r>
        <w:rPr>
          <w:rFonts w:ascii="Palatino Linotype" w:eastAsia="Palatino Linotype" w:hAnsi="Palatino Linotype" w:cs="Palatino Linotype"/>
          <w:b/>
          <w:bCs/>
          <w:color w:val="000000"/>
        </w:rPr>
        <w:t>veintiocho de agosto de dos mil veinticinco,</w:t>
      </w:r>
      <w:r>
        <w:rPr>
          <w:rFonts w:ascii="Palatino Linotype" w:eastAsia="Palatino Linotype" w:hAnsi="Palatino Linotype" w:cs="Palatino Linotype"/>
          <w:color w:val="000000"/>
        </w:rPr>
        <w:t xml:space="preserve"> es decir dentro del lapso legalmente establecido para tal efecto.</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rPr>
        <w:lastRenderedPageBreak/>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B3474" w:rsidRDefault="00CB3474">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rsidR="00CB3474" w:rsidRDefault="00EA46DE">
      <w:pPr>
        <w:pStyle w:val="Ttulo1"/>
        <w:spacing w:before="0" w:line="360" w:lineRule="auto"/>
        <w:rPr>
          <w:rFonts w:ascii="Palatino Linotype" w:eastAsia="Palatino Linotype" w:hAnsi="Palatino Linotype" w:cs="Palatino Linotype"/>
          <w:b/>
          <w:bCs/>
          <w:color w:val="000000"/>
          <w:sz w:val="24"/>
          <w:szCs w:val="24"/>
        </w:rPr>
      </w:pPr>
      <w:bookmarkStart w:id="8" w:name="_heading=h.newmghrq6js6" w:colFirst="0" w:colLast="0"/>
      <w:bookmarkEnd w:id="8"/>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r>
        <w:rPr>
          <w:rFonts w:ascii="Palatino Linotype" w:eastAsia="Palatino Linotype" w:hAnsi="Palatino Linotype" w:cs="Palatino Linotype"/>
          <w:b/>
          <w:bCs/>
          <w:color w:val="000000"/>
          <w:sz w:val="24"/>
          <w:szCs w:val="24"/>
        </w:rPr>
        <w:t>.</w:t>
      </w: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solicitó de la modificación de las ruedas de metal del tren que permanecía en la Avenida Juárez lo siguiente:</w:t>
      </w:r>
    </w:p>
    <w:p w:rsidR="00CB3474" w:rsidRDefault="00EA46D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Monto Gastado</w:t>
      </w:r>
    </w:p>
    <w:p w:rsidR="00CB3474" w:rsidRDefault="00EA46D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Facturas</w:t>
      </w:r>
    </w:p>
    <w:p w:rsidR="00CB3474" w:rsidRDefault="00EA46D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Empresa que la realizó</w:t>
      </w:r>
    </w:p>
    <w:p w:rsidR="00CB3474" w:rsidRDefault="00EA46D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Autoridad que autorizó a la empresa</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refiere proporcionar respuesta al requerimiento; sin embargo omitió adjuntar el documento de respuesta, situación de la que se duele el impetrante. </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lo anterior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se inconformó por </w:t>
      </w:r>
      <w:r>
        <w:rPr>
          <w:rFonts w:ascii="Palatino Linotype" w:eastAsia="Palatino Linotype" w:hAnsi="Palatino Linotype" w:cs="Palatino Linotype"/>
          <w:b/>
          <w:bCs/>
          <w:color w:val="000000"/>
        </w:rPr>
        <w:t>la negativa a la información solicitada</w:t>
      </w:r>
      <w:r>
        <w:rPr>
          <w:rFonts w:ascii="Palatino Linotype" w:eastAsia="Palatino Linotype" w:hAnsi="Palatino Linotype" w:cs="Palatino Linotype"/>
          <w:color w:val="000000"/>
        </w:rPr>
        <w:t xml:space="preserve">, en los siguientes términos: </w:t>
      </w:r>
      <w:r>
        <w:rPr>
          <w:rFonts w:ascii="Palatino Linotype" w:eastAsia="Palatino Linotype" w:hAnsi="Palatino Linotype" w:cs="Palatino Linotype"/>
          <w:i/>
          <w:iCs/>
          <w:color w:val="000000"/>
        </w:rPr>
        <w:t>“No se entrega la inf solicitada.” (Sic)</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dichas condiciones, la </w:t>
      </w:r>
      <w:r>
        <w:rPr>
          <w:rFonts w:ascii="Palatino Linotype" w:eastAsia="Palatino Linotype" w:hAnsi="Palatino Linotype" w:cs="Palatino Linotype"/>
          <w:i/>
          <w:iCs/>
          <w:color w:val="000000"/>
        </w:rPr>
        <w:t>Litis</w:t>
      </w:r>
      <w:r>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Pr>
          <w:rFonts w:ascii="Palatino Linotype" w:eastAsia="Palatino Linotype" w:hAnsi="Palatino Linotype" w:cs="Palatino Linotype"/>
          <w:b/>
          <w:bCs/>
          <w:color w:val="000000"/>
        </w:rPr>
        <w:t xml:space="preserve">fracción I </w:t>
      </w:r>
      <w:r>
        <w:rPr>
          <w:rFonts w:ascii="Palatino Linotype" w:eastAsia="Palatino Linotype" w:hAnsi="Palatino Linotype" w:cs="Palatino Linotype"/>
          <w:color w:val="000000"/>
        </w:rPr>
        <w:t>de la Ley</w:t>
      </w:r>
      <w:r>
        <w:rPr>
          <w:rFonts w:ascii="Palatino Linotype" w:eastAsia="Palatino Linotype" w:hAnsi="Palatino Linotype" w:cs="Palatino Linotype"/>
          <w:b/>
          <w:bCs/>
          <w:color w:val="000000"/>
        </w:rPr>
        <w:t xml:space="preserve"> de Transparencia y Acceso a la Información Pública del Estado de </w:t>
      </w:r>
      <w:r>
        <w:rPr>
          <w:rFonts w:ascii="Palatino Linotype" w:eastAsia="Palatino Linotype" w:hAnsi="Palatino Linotype" w:cs="Palatino Linotype"/>
          <w:color w:val="000000"/>
        </w:rPr>
        <w:t>México</w:t>
      </w:r>
      <w:r>
        <w:rPr>
          <w:rFonts w:ascii="Palatino Linotype" w:eastAsia="Palatino Linotype" w:hAnsi="Palatino Linotype" w:cs="Palatino Linotype"/>
          <w:b/>
          <w:bCs/>
          <w:color w:val="000000"/>
        </w:rPr>
        <w:t xml:space="preserve"> y Municipios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lastRenderedPageBreak/>
        <w:t xml:space="preserve">fracción que determina la hipótesis jurídica relativa a </w:t>
      </w:r>
      <w:r>
        <w:rPr>
          <w:rFonts w:ascii="Palatino Linotype" w:eastAsia="Palatino Linotype" w:hAnsi="Palatino Linotype" w:cs="Palatino Linotype"/>
          <w:b/>
          <w:bCs/>
          <w:color w:val="000000"/>
        </w:rPr>
        <w:t xml:space="preserve">la negativa a la información solicitada </w:t>
      </w:r>
      <w:r>
        <w:rPr>
          <w:rFonts w:ascii="Palatino Linotype" w:eastAsia="Palatino Linotype" w:hAnsi="Palatino Linotype" w:cs="Palatino Linotype"/>
          <w:color w:val="000000"/>
        </w:rPr>
        <w:t xml:space="preserve">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contexto del cual se dolió </w:t>
      </w:r>
      <w:r>
        <w:rPr>
          <w:rFonts w:ascii="Palatino Linotype" w:eastAsia="Palatino Linotype" w:hAnsi="Palatino Linotype" w:cs="Palatino Linotype"/>
          <w:b/>
          <w:bCs/>
          <w:color w:val="000000"/>
        </w:rPr>
        <w:t xml:space="preserve">EL RECURRENTE </w:t>
      </w:r>
      <w:r>
        <w:rPr>
          <w:rFonts w:ascii="Palatino Linotype" w:eastAsia="Palatino Linotype" w:hAnsi="Palatino Linotype" w:cs="Palatino Linotype"/>
          <w:color w:val="000000"/>
        </w:rPr>
        <w:t>al momento de interponer su inconformidad.</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modo tal que el recurso de revisión se abocara en determinar si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B3474" w:rsidRDefault="00CB3474">
      <w:pPr>
        <w:spacing w:line="360" w:lineRule="auto"/>
        <w:jc w:val="both"/>
        <w:rPr>
          <w:rFonts w:ascii="Palatino Linotype" w:eastAsia="Palatino Linotype" w:hAnsi="Palatino Linotype" w:cs="Palatino Linotype"/>
        </w:rPr>
      </w:pPr>
    </w:p>
    <w:p w:rsidR="00CB3474" w:rsidRDefault="00EA46DE">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CUARTO. Del estudio y resolución del asunto</w:t>
      </w:r>
    </w:p>
    <w:p w:rsidR="00CB3474" w:rsidRDefault="00EA46DE">
      <w:pPr>
        <w:keepNext/>
        <w:keepLines/>
        <w:numPr>
          <w:ilvl w:val="0"/>
          <w:numId w:val="8"/>
        </w:numPr>
        <w:spacing w:after="240" w:line="360" w:lineRule="auto"/>
        <w:ind w:left="786"/>
        <w:rPr>
          <w:rFonts w:ascii="Palatino Linotype" w:eastAsia="Palatino Linotype" w:hAnsi="Palatino Linotype" w:cs="Palatino Linotype"/>
          <w:b/>
          <w:bCs/>
        </w:rPr>
      </w:pPr>
      <w:bookmarkStart w:id="9" w:name="_heading=h.1t3h5sf" w:colFirst="0" w:colLast="0"/>
      <w:bookmarkEnd w:id="9"/>
      <w:r>
        <w:rPr>
          <w:rFonts w:ascii="Palatino Linotype" w:eastAsia="Palatino Linotype" w:hAnsi="Palatino Linotype" w:cs="Palatino Linotype"/>
          <w:b/>
          <w:bCs/>
        </w:rPr>
        <w:t>Del derecho de acceso a la información.</w:t>
      </w: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B3474" w:rsidRDefault="00CB3474">
      <w:pPr>
        <w:spacing w:line="360" w:lineRule="auto"/>
        <w:ind w:right="48"/>
        <w:jc w:val="both"/>
        <w:rPr>
          <w:rFonts w:ascii="Palatino Linotype" w:eastAsia="Palatino Linotype" w:hAnsi="Palatino Linotype" w:cs="Palatino Linotype"/>
        </w:rPr>
      </w:pPr>
    </w:p>
    <w:p w:rsidR="00CB3474" w:rsidRDefault="00EA46DE">
      <w:pPr>
        <w:numPr>
          <w:ilvl w:val="0"/>
          <w:numId w:val="5"/>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iCs/>
        </w:rPr>
        <w:t>La igualdad de oportunidades para recibir, buscar e impartir información</w:t>
      </w:r>
      <w:r>
        <w:rPr>
          <w:rFonts w:ascii="Palatino Linotype" w:eastAsia="Palatino Linotype" w:hAnsi="Palatino Linotype" w:cs="Palatino Linotype"/>
          <w:i/>
          <w:iCs/>
          <w:vertAlign w:val="superscript"/>
        </w:rPr>
        <w:footnoteReference w:id="1"/>
      </w:r>
      <w:r>
        <w:rPr>
          <w:rFonts w:ascii="Palatino Linotype" w:eastAsia="Palatino Linotype" w:hAnsi="Palatino Linotype" w:cs="Palatino Linotype"/>
          <w:i/>
          <w:iCs/>
        </w:rPr>
        <w:t xml:space="preserve">en posesión de cualquier autoridad, entidad, órgano y organismo de los poderes Ejecutivo, Legislativo y Judicial, órganos autónomos, partidos </w:t>
      </w:r>
      <w:r>
        <w:rPr>
          <w:rFonts w:ascii="Palatino Linotype" w:eastAsia="Palatino Linotype" w:hAnsi="Palatino Linotype" w:cs="Palatino Linotype"/>
          <w:i/>
          <w:iCs/>
        </w:rPr>
        <w:lastRenderedPageBreak/>
        <w:t>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iCs/>
          <w:vertAlign w:val="superscript"/>
        </w:rPr>
        <w:footnoteReference w:id="2"/>
      </w:r>
      <w:r>
        <w:rPr>
          <w:rFonts w:ascii="Palatino Linotype" w:eastAsia="Palatino Linotype" w:hAnsi="Palatino Linotype" w:cs="Palatino Linotype"/>
        </w:rPr>
        <w:t>que se constituye como una herramienta fundamental para ejercer</w:t>
      </w:r>
      <w:r>
        <w:rPr>
          <w:rFonts w:ascii="Palatino Linotype" w:eastAsia="Palatino Linotype" w:hAnsi="Palatino Linotype" w:cs="Palatino Linotype"/>
          <w:i/>
          <w:iCs/>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vertAlign w:val="superscript"/>
        </w:rPr>
        <w:footnoteReference w:id="3"/>
      </w:r>
      <w:r>
        <w:rPr>
          <w:rFonts w:ascii="Palatino Linotype" w:eastAsia="Palatino Linotype" w:hAnsi="Palatino Linotype" w:cs="Palatino Linotype"/>
        </w:rPr>
        <w:t>fomentando</w:t>
      </w:r>
      <w:r>
        <w:rPr>
          <w:rFonts w:ascii="Palatino Linotype" w:eastAsia="Palatino Linotype" w:hAnsi="Palatino Linotype" w:cs="Palatino Linotype"/>
          <w:i/>
          <w:iCs/>
        </w:rPr>
        <w:t xml:space="preserve"> la transparencia de las actividades estatales y </w:t>
      </w:r>
      <w:r>
        <w:rPr>
          <w:rFonts w:ascii="Palatino Linotype" w:eastAsia="Palatino Linotype" w:hAnsi="Palatino Linotype" w:cs="Palatino Linotype"/>
        </w:rPr>
        <w:t>promoviendo</w:t>
      </w:r>
      <w:r>
        <w:rPr>
          <w:rFonts w:ascii="Palatino Linotype" w:eastAsia="Palatino Linotype" w:hAnsi="Palatino Linotype" w:cs="Palatino Linotype"/>
          <w:i/>
          <w:iCs/>
        </w:rPr>
        <w:t xml:space="preserve"> la responsabilidad de los funcionarios sobre su gestión pública,</w:t>
      </w:r>
      <w:r>
        <w:rPr>
          <w:rFonts w:ascii="Palatino Linotype" w:eastAsia="Palatino Linotype" w:hAnsi="Palatino Linotype" w:cs="Palatino Linotype"/>
          <w:i/>
          <w:iCs/>
          <w:vertAlign w:val="superscript"/>
        </w:rPr>
        <w:footnoteReference w:id="4"/>
      </w:r>
      <w:r>
        <w:rPr>
          <w:rFonts w:ascii="Palatino Linotype" w:eastAsia="Palatino Linotype" w:hAnsi="Palatino Linotype" w:cs="Palatino Linotype"/>
        </w:rPr>
        <w:t>que permite</w:t>
      </w:r>
      <w:r>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p>
    <w:p w:rsidR="00CB3474" w:rsidRDefault="00CB3474">
      <w:pPr>
        <w:spacing w:line="360" w:lineRule="auto"/>
        <w:ind w:right="49"/>
        <w:jc w:val="both"/>
        <w:rPr>
          <w:rFonts w:ascii="Palatino Linotype" w:eastAsia="Palatino Linotype" w:hAnsi="Palatino Linotype" w:cs="Palatino Linotype"/>
        </w:rPr>
      </w:pPr>
    </w:p>
    <w:p w:rsidR="00CB3474" w:rsidRDefault="00EA46DE">
      <w:pPr>
        <w:numPr>
          <w:ilvl w:val="0"/>
          <w:numId w:val="5"/>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CB3474" w:rsidRDefault="00EA46DE">
      <w:pPr>
        <w:tabs>
          <w:tab w:val="left" w:pos="7655"/>
        </w:tabs>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w:t>
      </w:r>
      <w:r>
        <w:rPr>
          <w:rFonts w:ascii="Palatino Linotype" w:eastAsia="Palatino Linotype" w:hAnsi="Palatino Linotype" w:cs="Palatino Linotype"/>
          <w:i/>
          <w:iCs/>
        </w:rPr>
        <w:t xml:space="preserve"> </w:t>
      </w:r>
    </w:p>
    <w:p w:rsidR="00CB3474" w:rsidRDefault="00EA46DE">
      <w:pPr>
        <w:tabs>
          <w:tab w:val="left" w:pos="7655"/>
        </w:tabs>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CB3474" w:rsidRDefault="00EA46DE">
      <w:pPr>
        <w:tabs>
          <w:tab w:val="left" w:pos="7655"/>
        </w:tabs>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Todas las</w:t>
      </w:r>
      <w:r>
        <w:rPr>
          <w:rFonts w:ascii="Palatino Linotype" w:eastAsia="Palatino Linotype" w:hAnsi="Palatino Linotype" w:cs="Palatino Linotype"/>
        </w:rPr>
        <w:t xml:space="preserve"> </w:t>
      </w:r>
      <w:r>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B3474" w:rsidRDefault="00EA46DE">
      <w:pPr>
        <w:tabs>
          <w:tab w:val="left" w:pos="7655"/>
        </w:tabs>
        <w:ind w:left="567" w:right="567"/>
        <w:jc w:val="both"/>
        <w:rPr>
          <w:rFonts w:ascii="Palatino Linotype" w:eastAsia="Palatino Linotype" w:hAnsi="Palatino Linotype" w:cs="Palatino Linotype"/>
        </w:rPr>
      </w:pPr>
      <w:r>
        <w:rPr>
          <w:rFonts w:ascii="Palatino Linotype" w:eastAsia="Palatino Linotype" w:hAnsi="Palatino Linotype" w:cs="Palatino Linotype"/>
          <w:i/>
          <w:iCs/>
        </w:rPr>
        <w:t>(…)</w:t>
      </w:r>
      <w:r>
        <w:rPr>
          <w:rFonts w:ascii="Palatino Linotype" w:eastAsia="Palatino Linotype" w:hAnsi="Palatino Linotype" w:cs="Palatino Linotype"/>
        </w:rPr>
        <w:t>”.</w:t>
      </w:r>
    </w:p>
    <w:p w:rsidR="00CB3474" w:rsidRDefault="00CB3474">
      <w:pPr>
        <w:spacing w:line="360" w:lineRule="auto"/>
        <w:ind w:right="900"/>
        <w:jc w:val="both"/>
        <w:rPr>
          <w:rFonts w:ascii="Palatino Linotype" w:eastAsia="Palatino Linotype" w:hAnsi="Palatino Linotype" w:cs="Palatino Linotype"/>
          <w:b/>
          <w:bCs/>
        </w:rPr>
      </w:pPr>
    </w:p>
    <w:p w:rsidR="00CB3474" w:rsidRDefault="00EA46DE">
      <w:pPr>
        <w:numPr>
          <w:ilvl w:val="0"/>
          <w:numId w:val="5"/>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deduce que el Derecho de Acceso a la Información Pública es un Derecho Humano de Fuente Internacional y Constitucionalmente reconocido. Además del </w:t>
      </w:r>
      <w:r>
        <w:rPr>
          <w:rFonts w:ascii="Palatino Linotype" w:eastAsia="Palatino Linotype" w:hAnsi="Palatino Linotype" w:cs="Palatino Linotype"/>
        </w:rPr>
        <w:lastRenderedPageBreak/>
        <w:t>derecho, también se reconocen garantías para su protección, lo que vincula con el mandato del párrafo tercero del mismo artículo.</w:t>
      </w:r>
    </w:p>
    <w:p w:rsidR="00CB3474" w:rsidRDefault="00CB3474">
      <w:pPr>
        <w:spacing w:line="360" w:lineRule="auto"/>
        <w:ind w:right="49"/>
        <w:jc w:val="both"/>
        <w:rPr>
          <w:rFonts w:ascii="Palatino Linotype" w:eastAsia="Palatino Linotype" w:hAnsi="Palatino Linotype" w:cs="Palatino Linotype"/>
        </w:rPr>
      </w:pPr>
    </w:p>
    <w:p w:rsidR="00CB3474" w:rsidRDefault="00EA46DE">
      <w:pPr>
        <w:numPr>
          <w:ilvl w:val="0"/>
          <w:numId w:val="5"/>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B3474" w:rsidRDefault="00EA46DE">
      <w:pPr>
        <w:spacing w:after="240"/>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Constitución Política de los Estados Unidos Mexicanos</w:t>
      </w:r>
    </w:p>
    <w:p w:rsidR="00CB3474" w:rsidRDefault="00EA46DE">
      <w:pPr>
        <w:spacing w:before="240" w:after="240"/>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“Artículo 6.</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Para efectos de lo dispuesto en el presente artículo se observará lo siguiente:</w:t>
      </w:r>
    </w:p>
    <w:p w:rsidR="00CB3474" w:rsidRDefault="00EA46DE">
      <w:pPr>
        <w:spacing w:before="240" w:after="240"/>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Para el ejercicio del derecho de acceso a la información</w:t>
      </w:r>
      <w:r>
        <w:rPr>
          <w:rFonts w:ascii="Palatino Linotype" w:eastAsia="Palatino Linotype" w:hAnsi="Palatino Linotype" w:cs="Palatino Linotype"/>
          <w:i/>
          <w:iCs/>
        </w:rPr>
        <w:t xml:space="preserve">, la Federación y </w:t>
      </w:r>
      <w:r>
        <w:rPr>
          <w:rFonts w:ascii="Palatino Linotype" w:eastAsia="Palatino Linotype" w:hAnsi="Palatino Linotype" w:cs="Palatino Linotype"/>
          <w:b/>
          <w:bCs/>
          <w:i/>
          <w:iCs/>
        </w:rPr>
        <w:t>las entidades federativas, en el ámbito de sus respectivas competencias, se regirán por los siguientes principios y bases:</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I. Toda la información en posesión de cualquier</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autoridad</w:t>
      </w:r>
      <w:r>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rPr>
        <w:t>municipal</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es pública</w:t>
      </w:r>
      <w:r>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rPr>
        <w:t>, la ley determinará los supuestos específicos bajo los cuales procederá la declaración de inexistencia de la información.”</w:t>
      </w:r>
    </w:p>
    <w:p w:rsidR="00CB3474" w:rsidRDefault="00CB3474">
      <w:pPr>
        <w:tabs>
          <w:tab w:val="left" w:pos="567"/>
        </w:tabs>
        <w:spacing w:before="240"/>
        <w:ind w:left="567" w:right="567"/>
        <w:jc w:val="both"/>
        <w:rPr>
          <w:rFonts w:ascii="Palatino Linotype" w:eastAsia="Palatino Linotype" w:hAnsi="Palatino Linotype" w:cs="Palatino Linotype"/>
          <w:b/>
          <w:bCs/>
          <w:i/>
          <w:iCs/>
        </w:rPr>
      </w:pPr>
    </w:p>
    <w:p w:rsidR="00CB3474" w:rsidRDefault="00EA46DE">
      <w:pPr>
        <w:spacing w:after="240"/>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Constitución Política del Estado Libre y Soberano de México</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“Artículo 5</w:t>
      </w:r>
      <w:r>
        <w:rPr>
          <w:rFonts w:ascii="Palatino Linotype" w:eastAsia="Palatino Linotype" w:hAnsi="Palatino Linotype" w:cs="Palatino Linotype"/>
          <w:i/>
          <w:iCs/>
        </w:rPr>
        <w:t xml:space="preserve">.- </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rPr>
        <w:t>.</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Este derecho se regirá por los principios y bases siguientes</w:t>
      </w:r>
      <w:r>
        <w:rPr>
          <w:rFonts w:ascii="Palatino Linotype" w:eastAsia="Palatino Linotype" w:hAnsi="Palatino Linotype" w:cs="Palatino Linotype"/>
          <w:i/>
          <w:iCs/>
        </w:rPr>
        <w:t>:</w:t>
      </w:r>
    </w:p>
    <w:p w:rsidR="00CB3474" w:rsidRDefault="00EA46DE">
      <w:pPr>
        <w:spacing w:before="240" w:after="24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I. Toda la información en posesión de cualquier autoridad, entidad, órgano y organismos de los</w:t>
      </w:r>
      <w:r>
        <w:rPr>
          <w:rFonts w:ascii="Palatino Linotype" w:eastAsia="Palatino Linotype" w:hAnsi="Palatino Linotype" w:cs="Palatino Linotype"/>
          <w:i/>
          <w:iCs/>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rPr>
        <w:t>municipales</w:t>
      </w:r>
      <w:r>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rPr>
        <w:t>es pública</w:t>
      </w:r>
      <w:r>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rPr>
        <w:t>En la interpretación de este derecho deberá prevalecer el principio de máxima publicidad</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Los sujetos obligados deberán documentar todo acto que derive del ejercicio de sus facultades, competencias o funciones</w:t>
      </w:r>
      <w:r>
        <w:rPr>
          <w:rFonts w:ascii="Palatino Linotype" w:eastAsia="Palatino Linotype" w:hAnsi="Palatino Linotype" w:cs="Palatino Linotype"/>
          <w:i/>
          <w:iCs/>
        </w:rPr>
        <w:t>, la ley determinará los supuestos específicos bajo los cuales procederá la declaración de inexistencia de la información.”</w:t>
      </w:r>
    </w:p>
    <w:p w:rsidR="00CB3474" w:rsidRDefault="00CB3474">
      <w:pPr>
        <w:tabs>
          <w:tab w:val="left" w:pos="567"/>
        </w:tabs>
        <w:spacing w:before="240" w:after="240" w:line="360" w:lineRule="auto"/>
        <w:ind w:right="567"/>
        <w:jc w:val="both"/>
        <w:rPr>
          <w:rFonts w:ascii="Palatino Linotype" w:eastAsia="Palatino Linotype" w:hAnsi="Palatino Linotype" w:cs="Palatino Linotype"/>
          <w:b/>
          <w:bCs/>
          <w:i/>
          <w:iCs/>
        </w:rPr>
      </w:pPr>
    </w:p>
    <w:p w:rsidR="00CB3474" w:rsidRDefault="00EA46DE">
      <w:pPr>
        <w:numPr>
          <w:ilvl w:val="0"/>
          <w:numId w:val="5"/>
        </w:numPr>
        <w:spacing w:before="24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rsidR="00CB3474" w:rsidRDefault="00CB3474">
      <w:pPr>
        <w:spacing w:line="360" w:lineRule="auto"/>
        <w:ind w:right="49"/>
        <w:jc w:val="both"/>
        <w:rPr>
          <w:rFonts w:ascii="Palatino Linotype" w:eastAsia="Palatino Linotype" w:hAnsi="Palatino Linotype" w:cs="Palatino Linotype"/>
        </w:rPr>
      </w:pPr>
    </w:p>
    <w:p w:rsidR="00CB3474" w:rsidRDefault="00EA46DE">
      <w:pPr>
        <w:numPr>
          <w:ilvl w:val="0"/>
          <w:numId w:val="5"/>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Derecho de Acceso a la Información se garantiza y respeta oportunamente, y según lo que dispone la Ley, las </w:t>
      </w:r>
      <w:r>
        <w:rPr>
          <w:rFonts w:ascii="Palatino Linotype" w:eastAsia="Palatino Linotype" w:hAnsi="Palatino Linotype" w:cs="Palatino Linotype"/>
          <w:i/>
          <w:iCs/>
        </w:rPr>
        <w:t>solicitudes de acceso a la información</w:t>
      </w:r>
      <w:r>
        <w:rPr>
          <w:rFonts w:ascii="Palatino Linotype" w:eastAsia="Palatino Linotype" w:hAnsi="Palatino Linotype" w:cs="Palatino Linotype"/>
        </w:rPr>
        <w:t>.</w:t>
      </w:r>
    </w:p>
    <w:p w:rsidR="00CB3474" w:rsidRDefault="00CB3474">
      <w:pPr>
        <w:spacing w:line="360" w:lineRule="auto"/>
        <w:ind w:right="49"/>
        <w:jc w:val="both"/>
        <w:rPr>
          <w:rFonts w:ascii="Palatino Linotype" w:eastAsia="Palatino Linotype" w:hAnsi="Palatino Linotype" w:cs="Palatino Linotype"/>
        </w:rPr>
      </w:pPr>
    </w:p>
    <w:p w:rsidR="00CB3474" w:rsidRDefault="00EA46DE">
      <w:pPr>
        <w:numPr>
          <w:ilvl w:val="0"/>
          <w:numId w:val="5"/>
        </w:numPr>
        <w:spacing w:line="360" w:lineRule="auto"/>
        <w:ind w:left="0" w:right="49" w:firstLine="0"/>
        <w:jc w:val="both"/>
        <w:rPr>
          <w:rFonts w:ascii="Palatino Linotype" w:eastAsia="Palatino Linotype" w:hAnsi="Palatino Linotype" w:cs="Palatino Linotype"/>
        </w:rPr>
      </w:pPr>
      <w:bookmarkStart w:id="10" w:name="_heading=h.4d34og8" w:colFirst="0" w:colLast="0"/>
      <w:bookmarkEnd w:id="10"/>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B3474" w:rsidRDefault="00CB3474">
      <w:pPr>
        <w:spacing w:line="360" w:lineRule="auto"/>
        <w:ind w:right="49"/>
        <w:jc w:val="both"/>
        <w:rPr>
          <w:rFonts w:ascii="Palatino Linotype" w:eastAsia="Palatino Linotype" w:hAnsi="Palatino Linotype" w:cs="Palatino Linotype"/>
        </w:rPr>
      </w:pPr>
    </w:p>
    <w:p w:rsidR="00CB3474" w:rsidRDefault="00EA46DE">
      <w:pPr>
        <w:keepNext/>
        <w:keepLines/>
        <w:spacing w:after="240" w:line="360" w:lineRule="auto"/>
        <w:rPr>
          <w:rFonts w:ascii="Palatino Linotype" w:eastAsia="Palatino Linotype" w:hAnsi="Palatino Linotype" w:cs="Palatino Linotype"/>
          <w:b/>
          <w:bCs/>
        </w:rPr>
      </w:pPr>
      <w:bookmarkStart w:id="11" w:name="_heading=h.2s8eyo1" w:colFirst="0" w:colLast="0"/>
      <w:bookmarkEnd w:id="11"/>
      <w:r>
        <w:rPr>
          <w:rFonts w:ascii="Palatino Linotype" w:eastAsia="Palatino Linotype" w:hAnsi="Palatino Linotype" w:cs="Palatino Linotype"/>
          <w:b/>
          <w:bCs/>
        </w:rPr>
        <w:t>II. De la información solicitada y la respuesta del SUJETO OBLIGADO</w:t>
      </w:r>
    </w:p>
    <w:p w:rsidR="00CB3474" w:rsidRDefault="00EA46DE">
      <w:pPr>
        <w:numPr>
          <w:ilvl w:val="0"/>
          <w:numId w:val="5"/>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procede al análisis del requerimiento planteado por la persona solicitante y la respuesta proporcionada por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CB3474" w:rsidRDefault="00CB347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CB3474" w:rsidRDefault="00EA46DE">
      <w:pPr>
        <w:numPr>
          <w:ilvl w:val="0"/>
          <w:numId w:val="5"/>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recapitulando las constancias que integran el expediente electrónico en que se actúa, se tiene que el particular solicitó de la modificación de las ruedas de metal del tren que permanecía en la Avenida Juárez, lo siguiente:</w:t>
      </w:r>
    </w:p>
    <w:p w:rsidR="00CB3474" w:rsidRDefault="00EA46DE">
      <w:pPr>
        <w:numPr>
          <w:ilvl w:val="0"/>
          <w:numId w:val="3"/>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Monto gastado</w:t>
      </w:r>
    </w:p>
    <w:p w:rsidR="00CB3474" w:rsidRDefault="00EA46DE">
      <w:pPr>
        <w:numPr>
          <w:ilvl w:val="0"/>
          <w:numId w:val="3"/>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Facturas </w:t>
      </w:r>
    </w:p>
    <w:p w:rsidR="00CB3474" w:rsidRDefault="00EA46DE">
      <w:pPr>
        <w:numPr>
          <w:ilvl w:val="0"/>
          <w:numId w:val="3"/>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Empresa que realizó la obra</w:t>
      </w:r>
    </w:p>
    <w:p w:rsidR="00CB3474" w:rsidRDefault="00EA46DE">
      <w:pPr>
        <w:numPr>
          <w:ilvl w:val="0"/>
          <w:numId w:val="3"/>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Autoridad que autorizó a la empresa</w:t>
      </w:r>
    </w:p>
    <w:p w:rsidR="00CB3474" w:rsidRDefault="00CB3474">
      <w:pPr>
        <w:pBdr>
          <w:top w:val="nil"/>
          <w:left w:val="nil"/>
          <w:bottom w:val="nil"/>
          <w:right w:val="nil"/>
          <w:between w:val="nil"/>
        </w:pBdr>
        <w:ind w:left="708"/>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color w:val="000000"/>
        </w:rPr>
        <w:t>refiere proporcionar respuesta al requerimiento; sin embargo omitió adjuntar el documento de respuesta, situación de la que se duele el impetrante, no obstante mediante un acto jurídico posterior como lo es el informe justificado, remite la factura 2858, emitido por una persona física con régimen fiscal de Personas Físicas con Actividades Empresariales y Profesionales, por el concepto de Fabricación de Banca Doble con Techumbre de Metal y Adaptación a ruedas de Ferrocarril, Pintadas en Negro Mate y Café, con un importe total de $224, 112.00 (Doscientos veinticuatro mil ciento doce pesos , 00/100 MXN), documento que fue remitido en incorrecta versión pública, toda vez que se tetaron datos de manera excesiva.</w:t>
      </w:r>
    </w:p>
    <w:p w:rsidR="00CB3474" w:rsidRDefault="00CB3474">
      <w:pPr>
        <w:spacing w:line="360" w:lineRule="auto"/>
        <w:jc w:val="both"/>
        <w:rPr>
          <w:rFonts w:ascii="Palatino Linotype" w:eastAsia="Palatino Linotype" w:hAnsi="Palatino Linotype" w:cs="Palatino Linotype"/>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Descrito lo anterior, resulta necesario referir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asume de manera expresa que genera, posee y administra lo solicitado, tan es así que remite una factura que podría satisfacer la solicitud de información requerida por el particular, toda vez que de tal documento se advierte el nombre de la empresa, importe total de lo adquirido; sin embargo no colma la totalidad de </w:t>
      </w:r>
      <w:r>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requerimientos, debido a la incorrecta versión pública; además de la omisión del pronunciamiento respecto a la autoridad que </w:t>
      </w:r>
      <w:r>
        <w:rPr>
          <w:rFonts w:ascii="Palatino Linotype" w:eastAsia="Palatino Linotype" w:hAnsi="Palatino Linotype" w:cs="Palatino Linotype"/>
        </w:rPr>
        <w:t>autorizó</w:t>
      </w:r>
      <w:r>
        <w:rPr>
          <w:rFonts w:ascii="Palatino Linotype" w:eastAsia="Palatino Linotype" w:hAnsi="Palatino Linotype" w:cs="Palatino Linotype"/>
          <w:color w:val="000000"/>
        </w:rPr>
        <w:t xml:space="preserve"> a la empresa. </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Aclarado lo anterior, un segundo aspecto que resulta importante establecer, es que debido a que el mismo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las solicitudes, pues al remitir la factura, este reconoce contar con la misma.</w:t>
      </w:r>
    </w:p>
    <w:p w:rsidR="00CB3474" w:rsidRDefault="00CB3474">
      <w:pPr>
        <w:pBdr>
          <w:top w:val="nil"/>
          <w:left w:val="nil"/>
          <w:bottom w:val="nil"/>
          <w:right w:val="nil"/>
          <w:between w:val="nil"/>
        </w:pBdr>
        <w:ind w:left="708"/>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Al respecto es de suma importancia precisar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4</w:t>
      </w:r>
      <w:r>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B3474" w:rsidRDefault="00EA46DE">
      <w:pPr>
        <w:spacing w:before="240" w:after="240"/>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vigente a la fecha de la solicitud,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solicitantes.”(Sic)</w:t>
      </w:r>
    </w:p>
    <w:p w:rsidR="004D5032" w:rsidRDefault="004D5032">
      <w:pPr>
        <w:spacing w:before="240" w:after="240"/>
        <w:ind w:left="567" w:right="539"/>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12</w:t>
      </w:r>
      <w:r>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D5032" w:rsidRDefault="004D5032">
      <w:pPr>
        <w:spacing w:before="240" w:after="240"/>
        <w:ind w:left="567" w:right="539"/>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iCs/>
          <w:color w:val="000000"/>
        </w:rPr>
        <w:t>ad hoc</w:t>
      </w:r>
      <w:r>
        <w:rPr>
          <w:rFonts w:ascii="Palatino Linotype" w:eastAsia="Palatino Linotype" w:hAnsi="Palatino Linotype" w:cs="Palatino Linotype"/>
          <w:color w:val="000000"/>
        </w:rPr>
        <w:t>, para satisfacer el derecho de acceso a la información pública, como así lo establece</w:t>
      </w:r>
      <w:r>
        <w:rPr>
          <w:rFonts w:ascii="Palatino Linotype" w:eastAsia="Palatino Linotype" w:hAnsi="Palatino Linotype" w:cs="Palatino Linotype"/>
          <w:strike/>
          <w:color w:val="FF0000"/>
        </w:rPr>
        <w:t xml:space="preserve"> </w:t>
      </w:r>
      <w:r>
        <w:rPr>
          <w:rFonts w:ascii="Palatino Linotype" w:eastAsia="Palatino Linotype" w:hAnsi="Palatino Linotype" w:cs="Palatino Linotype"/>
          <w:color w:val="000000"/>
        </w:rPr>
        <w:t>el criterio 03/17 emitido por el Instituto Nacional de Transparencia, Acceso a la Información Pública y Protección de Datos Personales, los cuales señalan lo siguiente:</w:t>
      </w:r>
    </w:p>
    <w:p w:rsidR="00CB3474" w:rsidRDefault="00EA46DE">
      <w:pPr>
        <w:spacing w:before="240" w:after="240"/>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03/17</w:t>
      </w:r>
    </w:p>
    <w:p w:rsidR="00CB3474" w:rsidRDefault="00EA46DE">
      <w:pPr>
        <w:spacing w:before="240" w:after="240"/>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“NO EXISTE OBLIGACIÓN DE ELABORAR DOCUMENTOS AD HOC PARA ATENDER LAS SOLICITUDES DE ACCESO A LA INFORMACIÓN.</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Los artículos 129 de la Ley General de Transparencia y Acceso a la Información Pública y 130, párrafo cuarto, vigente a la fecha de la solicitud,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4D5032" w:rsidRDefault="004D5032">
      <w:pPr>
        <w:spacing w:before="240" w:after="240"/>
        <w:ind w:left="567" w:right="539"/>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B3474" w:rsidRDefault="00CB3474">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B3474" w:rsidRDefault="00CB3474">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w:t>
      </w:r>
      <w:r>
        <w:rPr>
          <w:rFonts w:ascii="Palatino Linotype" w:eastAsia="Palatino Linotype" w:hAnsi="Palatino Linotype" w:cs="Palatino Linotype"/>
          <w:b/>
          <w:bCs/>
          <w:color w:val="000000"/>
          <w:u w:val="single"/>
        </w:rPr>
        <w:t>oficios</w:t>
      </w:r>
      <w:r>
        <w:rPr>
          <w:rFonts w:ascii="Palatino Linotype" w:eastAsia="Palatino Linotype" w:hAnsi="Palatino Linotype" w:cs="Palatino Linotype"/>
          <w:color w:val="000000"/>
        </w:rPr>
        <w:t xml:space="preserve">, correspondencia, acuerdos, </w:t>
      </w:r>
      <w:r>
        <w:rPr>
          <w:rFonts w:ascii="Palatino Linotype" w:eastAsia="Palatino Linotype" w:hAnsi="Palatino Linotype" w:cs="Palatino Linotype"/>
          <w:color w:val="000000"/>
        </w:rPr>
        <w:lastRenderedPageBreak/>
        <w:t xml:space="preserve">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 xml:space="preserve">Artículo 3. </w:t>
      </w:r>
      <w:r>
        <w:rPr>
          <w:rFonts w:ascii="Palatino Linotype" w:eastAsia="Palatino Linotype" w:hAnsi="Palatino Linotype" w:cs="Palatino Linotype"/>
          <w:i/>
          <w:iCs/>
        </w:rPr>
        <w:t>Para los efectos de la presente Ley se entenderá por:</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XI. Documento:</w:t>
      </w:r>
      <w:r>
        <w:rPr>
          <w:rFonts w:ascii="Palatino Linotype" w:eastAsia="Palatino Linotype" w:hAnsi="Palatino Linotype" w:cs="Palatino Linotype"/>
          <w:i/>
          <w:iCs/>
        </w:rPr>
        <w:t xml:space="preserve"> Los expedientes, reportes, estudios, </w:t>
      </w:r>
      <w:r>
        <w:rPr>
          <w:rFonts w:ascii="Palatino Linotype" w:eastAsia="Palatino Linotype" w:hAnsi="Palatino Linotype" w:cs="Palatino Linotype"/>
          <w:b/>
          <w:bCs/>
          <w:i/>
          <w:iCs/>
        </w:rPr>
        <w:t>actas,</w:t>
      </w:r>
      <w:r>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bCs/>
          <w:i/>
          <w:iCs/>
        </w:rPr>
        <w:t>…</w:t>
      </w:r>
      <w:r>
        <w:rPr>
          <w:rFonts w:ascii="Palatino Linotype" w:eastAsia="Palatino Linotype" w:hAnsi="Palatino Linotype" w:cs="Palatino Linotype"/>
          <w:i/>
          <w:iCs/>
        </w:rPr>
        <w:t>” (Sic)</w:t>
      </w:r>
    </w:p>
    <w:p w:rsidR="004D5032" w:rsidRDefault="004D5032">
      <w:pPr>
        <w:spacing w:before="240" w:after="240"/>
        <w:ind w:left="567" w:right="539"/>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B3474" w:rsidRDefault="00EA46DE">
      <w:pPr>
        <w:spacing w:before="240" w:after="240"/>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rPr>
        <w:t>“</w:t>
      </w:r>
      <w:r>
        <w:rPr>
          <w:rFonts w:ascii="Palatino Linotype" w:eastAsia="Palatino Linotype" w:hAnsi="Palatino Linotype" w:cs="Palatino Linotype"/>
          <w:b/>
          <w:bCs/>
          <w:i/>
          <w:iCs/>
        </w:rPr>
        <w:t>CRITERIO 0002-11</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w:t>
      </w:r>
      <w:r>
        <w:rPr>
          <w:rFonts w:ascii="Palatino Linotype" w:eastAsia="Palatino Linotype" w:hAnsi="Palatino Linotype" w:cs="Palatino Linotype"/>
          <w:i/>
          <w:iCs/>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B3474" w:rsidRDefault="00EA46DE">
      <w:p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CB3474" w:rsidRDefault="00EA46DE">
      <w:pPr>
        <w:numPr>
          <w:ilvl w:val="0"/>
          <w:numId w:val="4"/>
        </w:numPr>
        <w:spacing w:before="240" w:after="240"/>
        <w:ind w:left="567" w:right="539"/>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Que se trate de información registrada en cualquier soporte documental, que en ejercicio de las atribuciones conferidas, sea generada por los Sujetos Obligados;</w:t>
      </w:r>
    </w:p>
    <w:p w:rsidR="00CB3474" w:rsidRDefault="00EA46DE">
      <w:pPr>
        <w:numPr>
          <w:ilvl w:val="0"/>
          <w:numId w:val="4"/>
        </w:numPr>
        <w:spacing w:before="240" w:after="240"/>
        <w:ind w:left="567" w:right="539"/>
        <w:jc w:val="both"/>
        <w:rPr>
          <w:rFonts w:ascii="Palatino Linotype" w:eastAsia="Palatino Linotype" w:hAnsi="Palatino Linotype" w:cs="Palatino Linotype"/>
          <w:i/>
          <w:iCs/>
        </w:rPr>
      </w:pPr>
      <w:r>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CB3474" w:rsidRDefault="00EA46DE">
      <w:pPr>
        <w:spacing w:before="240" w:after="240"/>
        <w:ind w:left="567" w:right="539" w:hanging="284"/>
        <w:jc w:val="both"/>
        <w:rPr>
          <w:rFonts w:ascii="Palatino Linotype" w:eastAsia="Palatino Linotype" w:hAnsi="Palatino Linotype" w:cs="Palatino Linotype"/>
          <w:i/>
          <w:iCs/>
        </w:rPr>
      </w:pPr>
      <w:r>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 (Sic)</w:t>
      </w:r>
    </w:p>
    <w:p w:rsidR="004D5032" w:rsidRDefault="004D5032">
      <w:pPr>
        <w:spacing w:before="240" w:after="240"/>
        <w:ind w:left="567" w:right="539" w:hanging="284"/>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w:t>
      </w:r>
      <w:r>
        <w:rPr>
          <w:rFonts w:ascii="Palatino Linotype" w:eastAsia="Palatino Linotype" w:hAnsi="Palatino Linotype" w:cs="Palatino Linotype"/>
          <w:b/>
          <w:bCs/>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seguimiento, como ya se ha establecido en líneas anteriores, de la información remitida se desprende que fue enviada en incorrecta versión pública, toda vez que se testaron datos en exceso como el </w:t>
      </w:r>
      <w:r>
        <w:rPr>
          <w:rFonts w:ascii="Palatino Linotype" w:eastAsia="Palatino Linotype" w:hAnsi="Palatino Linotype" w:cs="Palatino Linotype"/>
          <w:b/>
          <w:bCs/>
          <w:color w:val="000000"/>
        </w:rPr>
        <w:t>RFC y teléfono de la empresa, Folio Fiscal, Número de serie del certificado del SAT, Sello Digital del CFDI y el Código QR</w:t>
      </w:r>
      <w:r>
        <w:rPr>
          <w:rFonts w:ascii="Palatino Linotype" w:eastAsia="Palatino Linotype" w:hAnsi="Palatino Linotype" w:cs="Palatino Linotype"/>
          <w:color w:val="000000"/>
        </w:rPr>
        <w:t>, por lo que resulta necesario analizar la publicidad de estos datos.</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de acuerdo a la naturaleza de la información que se solicita por el particular, conviene señalar que los datos de los proveedores como </w:t>
      </w:r>
      <w:r>
        <w:rPr>
          <w:rFonts w:ascii="Palatino Linotype" w:eastAsia="Palatino Linotype" w:hAnsi="Palatino Linotype" w:cs="Palatino Linotype"/>
        </w:rPr>
        <w:t>el nombre o razón social de personas físicas o morales; ubicación, o dirección de los que se advierte que es su domicilio fiscal; el RFC es de carácter público, toda vez que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rsidR="00CB3474" w:rsidRDefault="00EA46DE">
      <w:pPr>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24.</w:t>
      </w:r>
      <w:r>
        <w:rPr>
          <w:rFonts w:ascii="Palatino Linotype" w:eastAsia="Palatino Linotype" w:hAnsi="Palatino Linotype" w:cs="Palatino Linotype"/>
          <w:i/>
          <w:iCs/>
        </w:rPr>
        <w:t xml:space="preserve"> Para el cumplimiento de los objetivos de esta Ley, los sujetos obligados deberán cumplir con las siguientes obligaciones, según corresponda, de acuerdo a su naturaleza: </w:t>
      </w:r>
    </w:p>
    <w:p w:rsidR="00CB3474" w:rsidRDefault="00EA46DE">
      <w:pPr>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CB3474" w:rsidRDefault="00EA46DE">
      <w:pPr>
        <w:spacing w:before="280" w:after="280"/>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XVIII. Hacer pública toda aquella información relativa a los montos y las personas a quienes entreguen, por cualquier motivo, recursos públicos, así como </w:t>
      </w:r>
      <w:r>
        <w:rPr>
          <w:rFonts w:ascii="Palatino Linotype" w:eastAsia="Palatino Linotype" w:hAnsi="Palatino Linotype" w:cs="Palatino Linotype"/>
          <w:b/>
          <w:bCs/>
          <w:i/>
          <w:iCs/>
        </w:rPr>
        <w:lastRenderedPageBreak/>
        <w:t>los informes que dichas personas les entreguen sobre el uso y destino de dichos recursos;</w:t>
      </w:r>
    </w:p>
    <w:p w:rsidR="00CB3474" w:rsidRDefault="00EA46DE">
      <w:pPr>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w:t>
      </w:r>
      <w:r>
        <w:rPr>
          <w:rFonts w:ascii="Palatino Linotype" w:eastAsia="Palatino Linotype" w:hAnsi="Palatino Linotype" w:cs="Palatino Linotype"/>
          <w:i/>
          <w:iCs/>
        </w:rPr>
        <w:t>”</w:t>
      </w:r>
    </w:p>
    <w:p w:rsidR="00CB3474" w:rsidRDefault="00EA46DE">
      <w:pPr>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(énfasis añadido)</w:t>
      </w: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respecta a los RFC de personas físicas o morales proveedores, de acuerdo al criterio SO/004/2021, emitido por el entonces Instituto Nacional de Transparencia, Acceso a la Información y Protección de Datos Personales, que establece lo siguiente:</w:t>
      </w:r>
    </w:p>
    <w:p w:rsidR="00CB3474" w:rsidRDefault="00EA46DE">
      <w:pPr>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Registro Federal de Contribuyentes (RFC) de personas físicas proveedores o contratistas</w:t>
      </w:r>
      <w:r>
        <w:rPr>
          <w:rFonts w:ascii="Palatino Linotype" w:eastAsia="Palatino Linotype" w:hAnsi="Palatino Linotype" w:cs="Palatino Linotype"/>
          <w:b/>
          <w:bCs/>
          <w:i/>
          <w:iCs/>
          <w:u w:val="single"/>
        </w:rPr>
        <w:t>.</w:t>
      </w:r>
      <w:r>
        <w:rPr>
          <w:rFonts w:ascii="Palatino Linotype" w:eastAsia="Palatino Linotype" w:hAnsi="Palatino Linotype" w:cs="Palatino Linotype"/>
          <w:i/>
          <w:iCs/>
          <w:u w:val="single"/>
        </w:rPr>
        <w:t xml:space="preserve"> </w:t>
      </w:r>
      <w:r>
        <w:rPr>
          <w:rFonts w:ascii="Palatino Linotype" w:eastAsia="Palatino Linotype" w:hAnsi="Palatino Linotype" w:cs="Palatino Linotype"/>
          <w:b/>
          <w:bCs/>
          <w:i/>
          <w:iCs/>
          <w:u w:val="single"/>
        </w:rPr>
        <w:t>El RFC de contratistas o proveedores de sujetos obligados debe ser público</w:t>
      </w:r>
      <w:r>
        <w:rPr>
          <w:rFonts w:ascii="Palatino Linotype" w:eastAsia="Palatino Linotype" w:hAnsi="Palatino Linotype" w:cs="Palatino Linotype"/>
          <w:b/>
          <w:bCs/>
          <w:i/>
          <w:iCs/>
        </w:rPr>
        <w:t>,</w:t>
      </w:r>
      <w:r>
        <w:rPr>
          <w:rFonts w:ascii="Palatino Linotype" w:eastAsia="Palatino Linotype" w:hAnsi="Palatino Linotype" w:cs="Palatino Linotype"/>
          <w:i/>
          <w:iCs/>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rsidR="00CB3474" w:rsidRDefault="00EA46DE">
      <w:pPr>
        <w:widowControl w:val="0"/>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toda vez que su publicidad abona a la transparencia y a la rendición de cuentas.</w:t>
      </w:r>
    </w:p>
    <w:p w:rsidR="00CB3474" w:rsidRDefault="00CB3474">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B3474" w:rsidRDefault="00EA46DE">
      <w:pPr>
        <w:widowControl w:val="0"/>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es importante precisar que de acuerdo al </w:t>
      </w:r>
      <w:r>
        <w:rPr>
          <w:rFonts w:ascii="Palatino Linotype" w:eastAsia="Palatino Linotype" w:hAnsi="Palatino Linotype" w:cs="Palatino Linotype"/>
          <w:b/>
          <w:bCs/>
          <w:color w:val="000000"/>
        </w:rPr>
        <w:t>criterio 11/17</w:t>
      </w:r>
      <w:r>
        <w:rPr>
          <w:rFonts w:ascii="Palatino Linotype" w:eastAsia="Palatino Linotype" w:hAnsi="Palatino Linotype" w:cs="Palatino Linotype"/>
          <w:color w:val="000000"/>
        </w:rPr>
        <w:t xml:space="preserve"> emitido por el entonces INAI, las cuentas bancarias y/o clave interbancaria de los Sujetos Obligados es información de carácter público. </w:t>
      </w:r>
    </w:p>
    <w:p w:rsidR="00CB3474" w:rsidRDefault="00EA46DE">
      <w:pPr>
        <w:tabs>
          <w:tab w:val="left" w:pos="8222"/>
        </w:tabs>
        <w:spacing w:before="280"/>
        <w:ind w:left="567" w:right="567"/>
        <w:jc w:val="center"/>
        <w:rPr>
          <w:rFonts w:ascii="Palatino Linotype" w:eastAsia="Palatino Linotype" w:hAnsi="Palatino Linotype" w:cs="Palatino Linotype"/>
          <w:b/>
          <w:bCs/>
        </w:rPr>
      </w:pPr>
      <w:r>
        <w:rPr>
          <w:rFonts w:ascii="Palatino Linotype" w:eastAsia="Palatino Linotype" w:hAnsi="Palatino Linotype" w:cs="Palatino Linotype"/>
        </w:rPr>
        <w:t>“</w:t>
      </w:r>
      <w:r>
        <w:rPr>
          <w:rFonts w:ascii="Palatino Linotype" w:eastAsia="Palatino Linotype" w:hAnsi="Palatino Linotype" w:cs="Palatino Linotype"/>
          <w:b/>
          <w:bCs/>
        </w:rPr>
        <w:t>Criterio 11/17</w:t>
      </w:r>
    </w:p>
    <w:p w:rsidR="00CB3474" w:rsidRDefault="00EA46DE">
      <w:pPr>
        <w:tabs>
          <w:tab w:val="left" w:pos="8222"/>
        </w:tabs>
        <w:spacing w:line="276"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Cuentas bancarias y/o CLABE interbancaria de sujetos obligados que reciben y/o transfieren recursos públicos, son información pública.</w:t>
      </w:r>
      <w:r>
        <w:rPr>
          <w:rFonts w:ascii="Palatino Linotype" w:eastAsia="Palatino Linotype" w:hAnsi="Palatino Linotype" w:cs="Palatino Linotype"/>
          <w:i/>
          <w:iCs/>
        </w:rPr>
        <w:t xml:space="preserve"> La difusión de las cuentas </w:t>
      </w:r>
      <w:r>
        <w:rPr>
          <w:rFonts w:ascii="Palatino Linotype" w:eastAsia="Palatino Linotype" w:hAnsi="Palatino Linotype" w:cs="Palatino Linotype"/>
          <w:i/>
          <w:iCs/>
        </w:rPr>
        <w:lastRenderedPageBreak/>
        <w:t xml:space="preserve">bancarias y claves interbancarias pertenecientes a un sujeto obligado favorece la rendición de cuentas al transparentar la forma en que se administran los recursos públicos, razón por la cual no pueden considerarse como información clasificada. </w:t>
      </w:r>
    </w:p>
    <w:p w:rsidR="00CB3474" w:rsidRDefault="00CB3474">
      <w:pPr>
        <w:tabs>
          <w:tab w:val="left" w:pos="8222"/>
        </w:tabs>
        <w:spacing w:after="280"/>
        <w:ind w:left="851" w:right="902"/>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before="280" w:after="28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Caso contrario a los particulares, como lo refiere el </w:t>
      </w:r>
      <w:r>
        <w:rPr>
          <w:rFonts w:ascii="Palatino Linotype" w:eastAsia="Palatino Linotype" w:hAnsi="Palatino Linotype" w:cs="Palatino Linotype"/>
          <w:b/>
          <w:bCs/>
          <w:color w:val="000000"/>
        </w:rPr>
        <w:t>criterio 10/17</w:t>
      </w:r>
      <w:r>
        <w:rPr>
          <w:rFonts w:ascii="Palatino Linotype" w:eastAsia="Palatino Linotype" w:hAnsi="Palatino Linotype" w:cs="Palatino Linotype"/>
          <w:color w:val="000000"/>
        </w:rPr>
        <w:t xml:space="preserve"> emitido por el INAI, que es del tenor literal siguiente:</w:t>
      </w:r>
    </w:p>
    <w:p w:rsidR="00CB3474" w:rsidRDefault="00EA46DE">
      <w:pPr>
        <w:spacing w:line="276"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Cuentas bancarias y/o CLABE interbancaria de personas físicas y morales privadas. El número de cuenta bancaria y/o CLABE interbancaria de particulares es información confidencial</w:t>
      </w:r>
      <w:r>
        <w:rPr>
          <w:rFonts w:ascii="Palatino Linotype" w:eastAsia="Palatino Linotype" w:hAnsi="Palatino Linotype" w:cs="Palatino Linotype"/>
          <w:i/>
          <w:iCs/>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CB3474" w:rsidRDefault="00CB3474">
      <w:pPr>
        <w:spacing w:after="280"/>
        <w:ind w:left="851" w:right="902"/>
        <w:jc w:val="both"/>
        <w:rPr>
          <w:rFonts w:ascii="Palatino Linotype" w:eastAsia="Palatino Linotype" w:hAnsi="Palatino Linotype" w:cs="Palatino Linotype"/>
          <w:i/>
          <w:iCs/>
        </w:rPr>
      </w:pP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referente al QR, </w:t>
      </w:r>
      <w:r>
        <w:rPr>
          <w:rFonts w:ascii="Palatino Linotype" w:eastAsia="Palatino Linotype" w:hAnsi="Palatino Linotype" w:cs="Palatino Linotype"/>
          <w:b/>
          <w:bCs/>
          <w:color w:val="000000"/>
        </w:rPr>
        <w:t xml:space="preserve">folio fiscal, número de serie del certificado del emisor, sello digital Comprobante Fiscal Digital por Internet (CFDI), sello digital del SAT, Cadena Original del SAT, número de serie del certificado del SAT, </w:t>
      </w:r>
      <w:r>
        <w:rPr>
          <w:rFonts w:ascii="Palatino Linotype" w:eastAsia="Palatino Linotype" w:hAnsi="Palatino Linotype" w:cs="Palatino Linotype"/>
          <w:color w:val="000000"/>
        </w:rPr>
        <w:t xml:space="preserve">es preciso señlar que si de la secuencia de números y letras, se advierte el Registro Federal de Contribuyentes o una Clave Única de Registro de Población, que pueda hacer identificable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w:t>
      </w:r>
      <w:r>
        <w:rPr>
          <w:rFonts w:ascii="Palatino Linotype" w:eastAsia="Palatino Linotype" w:hAnsi="Palatino Linotype" w:cs="Palatino Linotype"/>
          <w:color w:val="000000"/>
        </w:rPr>
        <w:lastRenderedPageBreak/>
        <w:t>son de utilidad de manera directa a la Secretaría de Hacienda y Crédito Público y si bien, en un momento dichas cadenas derivan información personal de los contribuyentes, esta se encuentra encriptada como se verá a continuación.</w:t>
      </w:r>
    </w:p>
    <w:p w:rsidR="00CB3474" w:rsidRDefault="00EA46D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Código Bidimensional o QR. </w:t>
      </w:r>
    </w:p>
    <w:p w:rsidR="004D5032" w:rsidRDefault="00EA46DE" w:rsidP="004D5032">
      <w:pPr>
        <w:numPr>
          <w:ilvl w:val="0"/>
          <w:numId w:val="5"/>
        </w:numPr>
        <w:pBdr>
          <w:top w:val="nil"/>
          <w:left w:val="nil"/>
          <w:bottom w:val="nil"/>
          <w:right w:val="nil"/>
          <w:between w:val="nil"/>
        </w:pBdr>
        <w:spacing w:before="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8">
        <w:r>
          <w:rPr>
            <w:rFonts w:ascii="Palatino Linotype" w:eastAsia="Palatino Linotype" w:hAnsi="Palatino Linotype" w:cs="Palatino Linotype"/>
            <w:color w:val="0563C1"/>
            <w:u w:val="single"/>
          </w:rPr>
          <w:t>http://dof.gob.mx/nota_detalle.php?codigo=5492254&amp;fecha=28/07/2017</w:t>
        </w:r>
      </w:hyperlink>
      <w:r>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del proveedor, persona física o moral.</w:t>
      </w:r>
    </w:p>
    <w:p w:rsidR="00CB3474" w:rsidRPr="004D5032" w:rsidRDefault="00EA46DE" w:rsidP="004D5032">
      <w:p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sidRPr="004D5032">
        <w:rPr>
          <w:rFonts w:ascii="Palatino Linotype" w:eastAsia="Palatino Linotype" w:hAnsi="Palatino Linotype" w:cs="Palatino Linotype"/>
          <w:color w:val="000000"/>
        </w:rPr>
        <w:t xml:space="preserve"> </w:t>
      </w:r>
    </w:p>
    <w:p w:rsidR="00CB3474" w:rsidRDefault="00EA46DE">
      <w:pPr>
        <w:numPr>
          <w:ilvl w:val="0"/>
          <w:numId w:val="5"/>
        </w:numPr>
        <w:pBdr>
          <w:top w:val="nil"/>
          <w:left w:val="nil"/>
          <w:bottom w:val="nil"/>
          <w:right w:val="nil"/>
          <w:between w:val="nil"/>
        </w:pBdr>
        <w:spacing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4D5032" w:rsidRDefault="004D5032" w:rsidP="004D5032">
      <w:pPr>
        <w:spacing w:before="280"/>
        <w:ind w:left="720" w:right="-91"/>
        <w:jc w:val="both"/>
        <w:rPr>
          <w:rFonts w:ascii="Palatino Linotype" w:eastAsia="Palatino Linotype" w:hAnsi="Palatino Linotype" w:cs="Palatino Linotype"/>
          <w:b/>
          <w:bCs/>
        </w:rPr>
      </w:pPr>
    </w:p>
    <w:p w:rsidR="004D5032" w:rsidRDefault="004D5032" w:rsidP="004D5032">
      <w:pPr>
        <w:spacing w:before="280"/>
        <w:ind w:left="720" w:right="-91"/>
        <w:jc w:val="both"/>
        <w:rPr>
          <w:rFonts w:ascii="Palatino Linotype" w:eastAsia="Palatino Linotype" w:hAnsi="Palatino Linotype" w:cs="Palatino Linotype"/>
          <w:b/>
          <w:bCs/>
        </w:rPr>
      </w:pPr>
    </w:p>
    <w:p w:rsidR="00CB3474" w:rsidRDefault="00EA46DE" w:rsidP="004D5032">
      <w:pPr>
        <w:numPr>
          <w:ilvl w:val="0"/>
          <w:numId w:val="6"/>
        </w:numPr>
        <w:spacing w:before="280"/>
        <w:ind w:left="0" w:right="-91" w:firstLine="0"/>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Folio Fiscal</w:t>
      </w: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CB3474" w:rsidRDefault="00EA46DE">
      <w:pPr>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667250" cy="13335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32787"/>
                    <a:stretch>
                      <a:fillRect/>
                    </a:stretch>
                  </pic:blipFill>
                  <pic:spPr>
                    <a:xfrm>
                      <a:off x="0" y="0"/>
                      <a:ext cx="4667250" cy="1333500"/>
                    </a:xfrm>
                    <a:prstGeom prst="rect">
                      <a:avLst/>
                    </a:prstGeom>
                    <a:ln/>
                  </pic:spPr>
                </pic:pic>
              </a:graphicData>
            </a:graphic>
          </wp:inline>
        </w:drawing>
      </w: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Pr>
          <w:rFonts w:ascii="Palatino Linotype" w:eastAsia="Palatino Linotype" w:hAnsi="Palatino Linotype" w:cs="Palatino Linotype"/>
          <w:b/>
          <w:bCs/>
          <w:color w:val="000000"/>
        </w:rPr>
        <w:t>no se actualiza la clasificación</w:t>
      </w:r>
      <w:r>
        <w:rPr>
          <w:rFonts w:ascii="Palatino Linotype" w:eastAsia="Palatino Linotype" w:hAnsi="Palatino Linotype" w:cs="Palatino Linotype"/>
          <w:color w:val="000000"/>
        </w:rPr>
        <w:t>, en términos del artículo 143, fracción I de la Ley de la materia.</w:t>
      </w:r>
    </w:p>
    <w:p w:rsidR="004D5032" w:rsidRDefault="004D5032" w:rsidP="001D6E18">
      <w:pPr>
        <w:spacing w:before="280"/>
        <w:ind w:left="720" w:right="-91"/>
        <w:jc w:val="both"/>
        <w:rPr>
          <w:rFonts w:ascii="Palatino Linotype" w:eastAsia="Palatino Linotype" w:hAnsi="Palatino Linotype" w:cs="Palatino Linotype"/>
          <w:b/>
          <w:bCs/>
        </w:rPr>
      </w:pPr>
    </w:p>
    <w:p w:rsidR="004D5032" w:rsidRDefault="004D5032" w:rsidP="001D6E18">
      <w:pPr>
        <w:spacing w:before="280"/>
        <w:ind w:left="720" w:right="-91"/>
        <w:jc w:val="both"/>
        <w:rPr>
          <w:rFonts w:ascii="Palatino Linotype" w:eastAsia="Palatino Linotype" w:hAnsi="Palatino Linotype" w:cs="Palatino Linotype"/>
          <w:b/>
          <w:bCs/>
        </w:rPr>
      </w:pPr>
    </w:p>
    <w:p w:rsidR="00CB3474" w:rsidRDefault="001D6E18" w:rsidP="001D6E18">
      <w:pPr>
        <w:numPr>
          <w:ilvl w:val="0"/>
          <w:numId w:val="6"/>
        </w:numPr>
        <w:spacing w:before="280"/>
        <w:ind w:left="0" w:right="-91" w:firstLine="0"/>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C</w:t>
      </w:r>
      <w:r w:rsidR="00EA46DE">
        <w:rPr>
          <w:rFonts w:ascii="Palatino Linotype" w:eastAsia="Palatino Linotype" w:hAnsi="Palatino Linotype" w:cs="Palatino Linotype"/>
          <w:b/>
          <w:bCs/>
        </w:rPr>
        <w:t>adenas originales y sellos.</w:t>
      </w: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Las cadenas originales y sellos</w:t>
      </w:r>
      <w:r>
        <w:rPr>
          <w:rFonts w:ascii="Palatino Linotype" w:eastAsia="Palatino Linotype" w:hAnsi="Palatino Linotype" w:cs="Palatino Linotype"/>
          <w:color w:val="000000"/>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bookmarkStart w:id="12" w:name="_heading=h.qi9gigjfzx7t" w:colFirst="0" w:colLast="0"/>
      <w:bookmarkEnd w:id="12"/>
      <w:r>
        <w:rPr>
          <w:rFonts w:ascii="Palatino Linotype" w:eastAsia="Palatino Linotype" w:hAnsi="Palatino Linotype" w:cs="Palatino Linotype"/>
          <w:i/>
          <w:iCs/>
        </w:rPr>
        <w:t>“Elementos utilizados en la generación de Sellos Digitales:</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i/>
          <w:iCs/>
        </w:rPr>
        <w:tab/>
        <w:t>Cadena Original, el elemento a sellar, en este caso de un comprobante fiscal digital a través de Internet.</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i/>
          <w:iCs/>
        </w:rPr>
        <w:tab/>
        <w:t>Certificado de Sello Digital y su correspondiente clave privada.</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i/>
          <w:iCs/>
        </w:rPr>
        <w:tab/>
        <w:t>Algoritmos de criptografía de clave pública para firma electrónica avanzada.</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i/>
          <w:iCs/>
        </w:rPr>
        <w:tab/>
        <w:t>Especificaciones de conversión de la firma electrónica avanzada a Base 64.</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Para la generación de sellos digitales se utiliza criptografía de clave pública aplicada a una cadena original.</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Criptografía de la Clave Pública</w:t>
      </w:r>
    </w:p>
    <w:p w:rsidR="00CB3474" w:rsidRDefault="00EA46DE">
      <w:pPr>
        <w:tabs>
          <w:tab w:val="left" w:pos="7513"/>
        </w:tabs>
        <w:spacing w:before="280" w:after="280"/>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w:t>
      </w:r>
      <w:r>
        <w:rPr>
          <w:rFonts w:ascii="Palatino Linotype" w:eastAsia="Palatino Linotype" w:hAnsi="Palatino Linotype" w:cs="Palatino Linotype"/>
          <w:i/>
          <w:iCs/>
        </w:rPr>
        <w:lastRenderedPageBreak/>
        <w:t>la operación de desencripción correspondiente tomando como clave de desencripción al otro número de la pareja.”</w:t>
      </w: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por sí solos las cadenas originales y los sellos originales no contienen datos personales confidenciales, por lo que se considera que </w:t>
      </w:r>
      <w:r>
        <w:rPr>
          <w:rFonts w:ascii="Palatino Linotype" w:eastAsia="Palatino Linotype" w:hAnsi="Palatino Linotype" w:cs="Palatino Linotype"/>
          <w:b/>
          <w:bCs/>
          <w:color w:val="000000"/>
        </w:rPr>
        <w:t>no actualizan en supuesto de confidencialidad</w:t>
      </w:r>
      <w:r>
        <w:rPr>
          <w:rFonts w:ascii="Palatino Linotype" w:eastAsia="Palatino Linotype" w:hAnsi="Palatino Linotype" w:cs="Palatino Linotype"/>
          <w:color w:val="000000"/>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CB3474" w:rsidRDefault="00EA46DE">
      <w:pPr>
        <w:numPr>
          <w:ilvl w:val="0"/>
          <w:numId w:val="6"/>
        </w:numPr>
        <w:spacing w:before="280"/>
        <w:jc w:val="both"/>
        <w:rPr>
          <w:rFonts w:ascii="Palatino Linotype" w:eastAsia="Palatino Linotype" w:hAnsi="Palatino Linotype" w:cs="Palatino Linotype"/>
          <w:b/>
          <w:bCs/>
        </w:rPr>
      </w:pPr>
      <w:r>
        <w:rPr>
          <w:rFonts w:ascii="Palatino Linotype" w:eastAsia="Palatino Linotype" w:hAnsi="Palatino Linotype" w:cs="Palatino Linotype"/>
          <w:b/>
          <w:bCs/>
        </w:rPr>
        <w:t>Número de serie del emisor y/o CSD y número de certificado del SAT</w:t>
      </w:r>
    </w:p>
    <w:p w:rsidR="00CB3474" w:rsidRDefault="00CB3474">
      <w:pPr>
        <w:spacing w:after="280"/>
        <w:ind w:left="720"/>
        <w:jc w:val="both"/>
        <w:rPr>
          <w:rFonts w:ascii="Palatino Linotype" w:eastAsia="Palatino Linotype" w:hAnsi="Palatino Linotype" w:cs="Palatino Linotype"/>
          <w:b/>
          <w:bCs/>
        </w:rPr>
      </w:pPr>
    </w:p>
    <w:p w:rsidR="00CB3474" w:rsidRDefault="00EA46DE">
      <w:pPr>
        <w:numPr>
          <w:ilvl w:val="0"/>
          <w:numId w:val="5"/>
        </w:numPr>
        <w:pBdr>
          <w:top w:val="nil"/>
          <w:left w:val="nil"/>
          <w:bottom w:val="nil"/>
          <w:right w:val="nil"/>
          <w:between w:val="nil"/>
        </w:pBdr>
        <w:spacing w:before="280" w:after="28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por lo que hace </w:t>
      </w:r>
      <w:r>
        <w:rPr>
          <w:rFonts w:ascii="Palatino Linotype" w:eastAsia="Palatino Linotype" w:hAnsi="Palatino Linotype" w:cs="Palatino Linotype"/>
          <w:b/>
          <w:bCs/>
          <w:color w:val="000000"/>
        </w:rPr>
        <w:t>al número de serie de los certificados de Sello Digitales del emisor y del Servicio de Administración Tributaria,</w:t>
      </w:r>
      <w:r>
        <w:rPr>
          <w:rFonts w:ascii="Palatino Linotype" w:eastAsia="Palatino Linotype" w:hAnsi="Palatino Linotype" w:cs="Palatino Linotype"/>
          <w:color w:val="000000"/>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10">
        <w:r>
          <w:rPr>
            <w:rFonts w:ascii="Palatino Linotype" w:eastAsia="Palatino Linotype" w:hAnsi="Palatino Linotype" w:cs="Palatino Linotype"/>
            <w:color w:val="000000"/>
          </w:rPr>
          <w:t>https://portalanterior.ine.mx/archivos2/tutoriales/sistemas/ApoyoInstitucional/SIF/docs/candidatos/folioFiscalFactura.pdf</w:t>
        </w:r>
      </w:hyperlink>
      <w:r>
        <w:rPr>
          <w:rFonts w:ascii="Palatino Linotype" w:eastAsia="Palatino Linotype" w:hAnsi="Palatino Linotype" w:cs="Palatino Linotype"/>
          <w:color w:val="000000"/>
        </w:rPr>
        <w:t>, en la cual se advierte que únicamente se encuentra conformado por números, se muestra a continuación:</w:t>
      </w:r>
    </w:p>
    <w:p w:rsidR="00CB3474" w:rsidRDefault="001D6E18">
      <w:pPr>
        <w:spacing w:before="280" w:after="280" w:line="360" w:lineRule="auto"/>
        <w:jc w:val="center"/>
        <w:rPr>
          <w:rFonts w:ascii="Palatino Linotype" w:eastAsia="Palatino Linotype" w:hAnsi="Palatino Linotype" w:cs="Palatino Linotype"/>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594288</wp:posOffset>
                </wp:positionH>
                <wp:positionV relativeFrom="paragraph">
                  <wp:posOffset>805707</wp:posOffset>
                </wp:positionV>
                <wp:extent cx="3486150" cy="247650"/>
                <wp:effectExtent l="0" t="0" r="0" b="0"/>
                <wp:wrapNone/>
                <wp:docPr id="37" name="Rectángulo 37"/>
                <wp:cNvGraphicFramePr/>
                <a:graphic xmlns:a="http://schemas.openxmlformats.org/drawingml/2006/main">
                  <a:graphicData uri="http://schemas.microsoft.com/office/word/2010/wordprocessingShape">
                    <wps:wsp>
                      <wps:cNvSpPr/>
                      <wps:spPr>
                        <a:xfrm>
                          <a:off x="0" y="0"/>
                          <a:ext cx="3486150" cy="247650"/>
                        </a:xfrm>
                        <a:prstGeom prst="rect">
                          <a:avLst/>
                        </a:prstGeom>
                        <a:noFill/>
                        <a:ln w="28575" cap="flat" cmpd="sng">
                          <a:solidFill>
                            <a:srgbClr val="000000"/>
                          </a:solidFill>
                          <a:prstDash val="solid"/>
                          <a:round/>
                          <a:headEnd type="none" w="sm" len="sm"/>
                          <a:tailEnd type="none" w="sm" len="sm"/>
                        </a:ln>
                      </wps:spPr>
                      <wps:txbx>
                        <w:txbxContent>
                          <w:p w:rsidR="00CB3474" w:rsidRDefault="00CB3474">
                            <w:pPr>
                              <w:textDirection w:val="btLr"/>
                            </w:pPr>
                          </w:p>
                        </w:txbxContent>
                      </wps:txbx>
                      <wps:bodyPr spcFirstLastPara="1" wrap="square" lIns="91425" tIns="91425" rIns="91425" bIns="91425" anchor="ctr" anchorCtr="0">
                        <a:noAutofit/>
                      </wps:bodyPr>
                    </wps:wsp>
                  </a:graphicData>
                </a:graphic>
              </wp:anchor>
            </w:drawing>
          </mc:Choice>
          <mc:Fallback>
            <w:pict>
              <v:rect id="Rectángulo 37" o:spid="_x0000_s1026" style="position:absolute;left:0;text-align:left;margin-left:46.8pt;margin-top:63.45pt;width:274.5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" filled="f" strokeweight="2.25pt">
                <v:stroke startarrowwidth="narrow" startarrowlength="short" endarrowwidth="narrow" endarrowlength="short" joinstyle="round"/>
                <v:textbox inset="2.53958mm,2.53958mm,2.53958mm,2.53958mm">
                  <w:txbxContent>
                    <w:p w:rsidR="00CB3474" w:rsidRDefault="00CB3474">
                      <w:pPr>
                        <w:textDirection w:val="btLr"/>
                      </w:pPr>
                    </w:p>
                  </w:txbxContent>
                </v:textbox>
              </v:rect>
            </w:pict>
          </mc:Fallback>
        </mc:AlternateContent>
      </w:r>
      <w:r w:rsidR="00EA46DE">
        <w:rPr>
          <w:rFonts w:ascii="Palatino Linotype" w:eastAsia="Palatino Linotype" w:hAnsi="Palatino Linotype" w:cs="Palatino Linotype"/>
          <w:noProof/>
        </w:rPr>
        <w:drawing>
          <wp:inline distT="0" distB="0" distL="0" distR="0">
            <wp:extent cx="5191125" cy="100965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191125" cy="1009650"/>
                    </a:xfrm>
                    <a:prstGeom prst="rect">
                      <a:avLst/>
                    </a:prstGeom>
                    <a:ln/>
                  </pic:spPr>
                </pic:pic>
              </a:graphicData>
            </a:graphic>
          </wp:inline>
        </w:drawing>
      </w: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lastRenderedPageBreak/>
        <w:t xml:space="preserve">Como se logra observar, los números de serie del certificado de sello digital no contiene datos personales y con dichos dígitos tampoco se puede obtener información de carácter confidencial, por lo que, </w:t>
      </w:r>
      <w:r>
        <w:rPr>
          <w:rFonts w:ascii="Palatino Linotype" w:eastAsia="Palatino Linotype" w:hAnsi="Palatino Linotype" w:cs="Palatino Linotype"/>
          <w:b/>
          <w:bCs/>
          <w:color w:val="000000"/>
        </w:rPr>
        <w:t>tampoco actualizan la causal de clasificación</w:t>
      </w:r>
      <w:r>
        <w:rPr>
          <w:rFonts w:ascii="Palatino Linotype" w:eastAsia="Palatino Linotype" w:hAnsi="Palatino Linotype" w:cs="Palatino Linotype"/>
          <w:color w:val="000000"/>
        </w:rPr>
        <w:t xml:space="preserve">, establecida en el artículo 143, fracción I, de la Ley de Transparencia y Acceso a la Información Pública del Estado de México y Municipios. </w:t>
      </w:r>
      <w:r>
        <w:rPr>
          <w:rFonts w:ascii="Palatino Linotype" w:eastAsia="Palatino Linotype" w:hAnsi="Palatino Linotype" w:cs="Palatino Linotype"/>
          <w:b/>
          <w:bCs/>
          <w:color w:val="000000"/>
        </w:rPr>
        <w:t>Máxime que permite corroborar la legitimidad a los CDFI, pues amparan la utilización de los certificados de sellos digitales válidos.</w:t>
      </w:r>
    </w:p>
    <w:p w:rsidR="00CB3474" w:rsidRDefault="00CB347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CB3474" w:rsidRDefault="00EA46D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3" w:name="_heading=h.lnxbz9" w:colFirst="0" w:colLast="0"/>
      <w:bookmarkEnd w:id="13"/>
      <w:r>
        <w:rPr>
          <w:rFonts w:ascii="Palatino Linotype" w:eastAsia="Palatino Linotype" w:hAnsi="Palatino Linotype" w:cs="Palatino Linotype"/>
          <w:color w:val="000000"/>
        </w:rPr>
        <w:t>Por lo anteriormente expuesto, este Órgano Garante considera fundadas las razones o motivos de inconformidad que plantea el</w:t>
      </w:r>
      <w:r>
        <w:rPr>
          <w:rFonts w:ascii="Palatino Linotype" w:eastAsia="Palatino Linotype" w:hAnsi="Palatino Linotype" w:cs="Palatino Linotype"/>
          <w:b/>
          <w:bCs/>
          <w:color w:val="000000"/>
        </w:rPr>
        <w:t xml:space="preserve"> RECURRENTE</w:t>
      </w:r>
      <w:r>
        <w:rPr>
          <w:rFonts w:ascii="Palatino Linotype" w:eastAsia="Palatino Linotype" w:hAnsi="Palatino Linotype" w:cs="Palatino Linotype"/>
          <w:color w:val="000000"/>
        </w:rPr>
        <w:t xml:space="preserve">, determinando </w:t>
      </w:r>
      <w:r w:rsidR="00CE3BF3" w:rsidRPr="00F20C0B">
        <w:rPr>
          <w:rFonts w:ascii="Palatino Linotype" w:eastAsia="Palatino Linotype" w:hAnsi="Palatino Linotype" w:cs="Palatino Linotype"/>
          <w:b/>
          <w:bCs/>
        </w:rPr>
        <w:t>REVOCA</w:t>
      </w:r>
      <w:r w:rsidRPr="00F20C0B">
        <w:rPr>
          <w:rFonts w:ascii="Palatino Linotype" w:eastAsia="Palatino Linotype" w:hAnsi="Palatino Linotype" w:cs="Palatino Linotype"/>
          <w:b/>
          <w:bCs/>
          <w:color w:val="000000"/>
        </w:rPr>
        <w:t xml:space="preserve"> </w:t>
      </w:r>
      <w:r w:rsidRPr="00F20C0B">
        <w:rPr>
          <w:rFonts w:ascii="Palatino Linotype" w:eastAsia="Palatino Linotype" w:hAnsi="Palatino Linotype" w:cs="Palatino Linotype"/>
          <w:color w:val="000000"/>
        </w:rPr>
        <w:t xml:space="preserve">la respuesta del </w:t>
      </w:r>
      <w:r w:rsidRPr="00F20C0B">
        <w:rPr>
          <w:rFonts w:ascii="Palatino Linotype" w:eastAsia="Palatino Linotype" w:hAnsi="Palatino Linotype" w:cs="Palatino Linotype"/>
          <w:b/>
          <w:bCs/>
          <w:color w:val="000000"/>
        </w:rPr>
        <w:t>SUJETO OBLIGADO</w:t>
      </w:r>
      <w:r w:rsidRPr="00F20C0B">
        <w:rPr>
          <w:rFonts w:ascii="Palatino Linotype" w:eastAsia="Palatino Linotype" w:hAnsi="Palatino Linotype" w:cs="Palatino Linotype"/>
          <w:color w:val="000000"/>
        </w:rPr>
        <w:t>, por lo que con fundamento en lo</w:t>
      </w:r>
      <w:r>
        <w:rPr>
          <w:rFonts w:ascii="Palatino Linotype" w:eastAsia="Palatino Linotype" w:hAnsi="Palatino Linotype" w:cs="Palatino Linotype"/>
          <w:color w:val="000000"/>
        </w:rPr>
        <w:t xml:space="preserve">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Pr>
          <w:rFonts w:ascii="Palatino Linotype" w:eastAsia="Palatino Linotype" w:hAnsi="Palatino Linotype" w:cs="Palatino Linotype"/>
          <w:b/>
          <w:bCs/>
          <w:color w:val="000000"/>
        </w:rPr>
        <w:t>ÓRGANO GARANTE</w:t>
      </w:r>
      <w:r>
        <w:rPr>
          <w:rFonts w:ascii="Palatino Linotype" w:eastAsia="Palatino Linotype" w:hAnsi="Palatino Linotype" w:cs="Palatino Linotype"/>
          <w:color w:val="000000"/>
        </w:rPr>
        <w:t xml:space="preserve"> emite los siguientes:</w:t>
      </w:r>
    </w:p>
    <w:p w:rsidR="00CB3474" w:rsidRDefault="00CB3474">
      <w:pPr>
        <w:pBdr>
          <w:top w:val="nil"/>
          <w:left w:val="nil"/>
          <w:bottom w:val="nil"/>
          <w:right w:val="nil"/>
          <w:between w:val="nil"/>
        </w:pBdr>
        <w:ind w:left="708"/>
        <w:rPr>
          <w:rFonts w:ascii="Palatino Linotype" w:eastAsia="Palatino Linotype" w:hAnsi="Palatino Linotype" w:cs="Palatino Linotype"/>
          <w:color w:val="000000"/>
        </w:rPr>
      </w:pPr>
    </w:p>
    <w:p w:rsidR="001D6E18" w:rsidRDefault="001D6E18">
      <w:pPr>
        <w:pBdr>
          <w:top w:val="nil"/>
          <w:left w:val="nil"/>
          <w:bottom w:val="nil"/>
          <w:right w:val="nil"/>
          <w:between w:val="nil"/>
        </w:pBdr>
        <w:ind w:left="708"/>
        <w:rPr>
          <w:rFonts w:ascii="Palatino Linotype" w:eastAsia="Palatino Linotype" w:hAnsi="Palatino Linotype" w:cs="Palatino Linotype"/>
          <w:color w:val="000000"/>
        </w:rPr>
      </w:pPr>
    </w:p>
    <w:p w:rsidR="00CB3474" w:rsidRDefault="00EA46DE">
      <w:pPr>
        <w:keepNext/>
        <w:keepLines/>
        <w:spacing w:line="360" w:lineRule="auto"/>
        <w:jc w:val="center"/>
        <w:rPr>
          <w:rFonts w:ascii="Palatino Linotype" w:eastAsia="Palatino Linotype" w:hAnsi="Palatino Linotype" w:cs="Palatino Linotype"/>
          <w:b/>
          <w:bCs/>
        </w:rPr>
      </w:pPr>
      <w:bookmarkStart w:id="14" w:name="_heading=h.35nkun2" w:colFirst="0" w:colLast="0"/>
      <w:bookmarkEnd w:id="14"/>
      <w:r>
        <w:rPr>
          <w:rFonts w:ascii="Palatino Linotype" w:eastAsia="Palatino Linotype" w:hAnsi="Palatino Linotype" w:cs="Palatino Linotype"/>
          <w:b/>
          <w:bCs/>
        </w:rPr>
        <w:t xml:space="preserve">R E S O L U T I V O S </w:t>
      </w:r>
    </w:p>
    <w:p w:rsidR="00CB3474" w:rsidRDefault="00CB3474">
      <w:pPr>
        <w:spacing w:line="360" w:lineRule="auto"/>
        <w:rPr>
          <w:rFonts w:ascii="Palatino Linotype" w:eastAsia="Palatino Linotype" w:hAnsi="Palatino Linotype" w:cs="Palatino Linotype"/>
        </w:rPr>
      </w:pPr>
    </w:p>
    <w:p w:rsidR="00CB3474" w:rsidRDefault="00EA46DE">
      <w:pPr>
        <w:spacing w:line="360" w:lineRule="auto"/>
        <w:jc w:val="both"/>
        <w:rPr>
          <w:rFonts w:ascii="Palatino Linotype" w:eastAsia="Palatino Linotype" w:hAnsi="Palatino Linotype" w:cs="Palatino Linotype"/>
        </w:rPr>
      </w:pPr>
      <w:bookmarkStart w:id="15" w:name="_heading=h.1ksv4uv" w:colFirst="0" w:colLast="0"/>
      <w:bookmarkEnd w:id="15"/>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bCs/>
        </w:rPr>
        <w:t>10128/INFOEM/IP/RR/2025</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de la presente resolución.</w:t>
      </w:r>
    </w:p>
    <w:p w:rsidR="00CB3474" w:rsidRDefault="00CB3474">
      <w:pPr>
        <w:spacing w:line="360" w:lineRule="auto"/>
        <w:jc w:val="both"/>
        <w:rPr>
          <w:rFonts w:ascii="Palatino Linotype" w:eastAsia="Palatino Linotype" w:hAnsi="Palatino Linotype" w:cs="Palatino Linotype"/>
          <w:b/>
          <w:bCs/>
        </w:rPr>
      </w:pPr>
    </w:p>
    <w:p w:rsidR="00CB3474" w:rsidRPr="00F20C0B" w:rsidRDefault="00EA46DE">
      <w:pPr>
        <w:spacing w:line="360" w:lineRule="auto"/>
        <w:jc w:val="both"/>
        <w:rPr>
          <w:rFonts w:ascii="Palatino Linotype" w:eastAsia="Palatino Linotype" w:hAnsi="Palatino Linotype" w:cs="Palatino Linotype"/>
          <w:b/>
          <w:bCs/>
        </w:rPr>
      </w:pPr>
      <w:r w:rsidRPr="00F20C0B">
        <w:rPr>
          <w:rFonts w:ascii="Palatino Linotype" w:eastAsia="Palatino Linotype" w:hAnsi="Palatino Linotype" w:cs="Palatino Linotype"/>
          <w:b/>
          <w:bCs/>
        </w:rPr>
        <w:lastRenderedPageBreak/>
        <w:t xml:space="preserve">SEGUNDO. </w:t>
      </w:r>
      <w:r w:rsidRPr="00F20C0B">
        <w:rPr>
          <w:rFonts w:ascii="Palatino Linotype" w:eastAsia="Palatino Linotype" w:hAnsi="Palatino Linotype" w:cs="Palatino Linotype"/>
        </w:rPr>
        <w:t xml:space="preserve">Se </w:t>
      </w:r>
      <w:r w:rsidR="00CE3BF3" w:rsidRPr="00F20C0B">
        <w:rPr>
          <w:rFonts w:ascii="Palatino Linotype" w:eastAsia="Palatino Linotype" w:hAnsi="Palatino Linotype" w:cs="Palatino Linotype"/>
          <w:b/>
          <w:bCs/>
        </w:rPr>
        <w:t>REVOCA</w:t>
      </w:r>
      <w:r w:rsidRPr="00F20C0B">
        <w:rPr>
          <w:rFonts w:ascii="Palatino Linotype" w:eastAsia="Palatino Linotype" w:hAnsi="Palatino Linotype" w:cs="Palatino Linotype"/>
          <w:b/>
          <w:bCs/>
        </w:rPr>
        <w:t xml:space="preserve"> </w:t>
      </w:r>
      <w:r w:rsidRPr="00F20C0B">
        <w:rPr>
          <w:rFonts w:ascii="Palatino Linotype" w:eastAsia="Palatino Linotype" w:hAnsi="Palatino Linotype" w:cs="Palatino Linotype"/>
        </w:rPr>
        <w:t xml:space="preserve">la respuesta del </w:t>
      </w:r>
      <w:r w:rsidR="006F5C67" w:rsidRPr="00F20C0B">
        <w:rPr>
          <w:rFonts w:ascii="Palatino Linotype" w:eastAsia="Palatino Linotype" w:hAnsi="Palatino Linotype" w:cs="Palatino Linotype"/>
          <w:b/>
          <w:bCs/>
        </w:rPr>
        <w:t>Ayuntamiento de Huehuetoca</w:t>
      </w:r>
      <w:r w:rsidRPr="00F20C0B">
        <w:rPr>
          <w:rFonts w:ascii="Palatino Linotype" w:eastAsia="Palatino Linotype" w:hAnsi="Palatino Linotype" w:cs="Palatino Linotype"/>
        </w:rPr>
        <w:t>, a la solicitud de información</w:t>
      </w:r>
      <w:r w:rsidRPr="00F20C0B">
        <w:rPr>
          <w:rFonts w:ascii="Palatino Linotype" w:eastAsia="Palatino Linotype" w:hAnsi="Palatino Linotype" w:cs="Palatino Linotype"/>
          <w:b/>
          <w:bCs/>
        </w:rPr>
        <w:t xml:space="preserve"> 00296/HUEHUETO/IP/2025 </w:t>
      </w:r>
      <w:r w:rsidRPr="00F20C0B">
        <w:rPr>
          <w:rFonts w:ascii="Palatino Linotype" w:eastAsia="Palatino Linotype" w:hAnsi="Palatino Linotype" w:cs="Palatino Linotype"/>
        </w:rPr>
        <w:t>y</w:t>
      </w:r>
      <w:r w:rsidRPr="00F20C0B">
        <w:rPr>
          <w:rFonts w:ascii="Palatino Linotype" w:eastAsia="Palatino Linotype" w:hAnsi="Palatino Linotype" w:cs="Palatino Linotype"/>
          <w:b/>
          <w:bCs/>
        </w:rPr>
        <w:t xml:space="preserve"> </w:t>
      </w:r>
      <w:r w:rsidRPr="00F20C0B">
        <w:rPr>
          <w:rFonts w:ascii="Palatino Linotype" w:eastAsia="Palatino Linotype" w:hAnsi="Palatino Linotype" w:cs="Palatino Linotype"/>
        </w:rPr>
        <w:t xml:space="preserve">se </w:t>
      </w:r>
      <w:r w:rsidRPr="00F20C0B">
        <w:rPr>
          <w:rFonts w:ascii="Palatino Linotype" w:eastAsia="Palatino Linotype" w:hAnsi="Palatino Linotype" w:cs="Palatino Linotype"/>
          <w:b/>
          <w:bCs/>
        </w:rPr>
        <w:t>ORDENA</w:t>
      </w:r>
      <w:r w:rsidRPr="00F20C0B">
        <w:rPr>
          <w:rFonts w:ascii="Palatino Linotype" w:eastAsia="Palatino Linotype" w:hAnsi="Palatino Linotype" w:cs="Palatino Linotype"/>
        </w:rPr>
        <w:t xml:space="preserve"> entregar vía Sistema de Acceso a la Información Mexiquense </w:t>
      </w:r>
      <w:r w:rsidRPr="00F20C0B">
        <w:rPr>
          <w:rFonts w:ascii="Palatino Linotype" w:eastAsia="Palatino Linotype" w:hAnsi="Palatino Linotype" w:cs="Palatino Linotype"/>
          <w:b/>
          <w:bCs/>
        </w:rPr>
        <w:t>(SAIMEX)</w:t>
      </w:r>
      <w:r w:rsidRPr="00F20C0B">
        <w:rPr>
          <w:rFonts w:ascii="Palatino Linotype" w:eastAsia="Palatino Linotype" w:hAnsi="Palatino Linotype" w:cs="Palatino Linotype"/>
        </w:rPr>
        <w:t xml:space="preserve"> la siguiente información:</w:t>
      </w:r>
    </w:p>
    <w:p w:rsidR="00CB3474" w:rsidRPr="00F20C0B" w:rsidRDefault="00CB3474">
      <w:pPr>
        <w:spacing w:line="360" w:lineRule="auto"/>
        <w:jc w:val="both"/>
        <w:rPr>
          <w:rFonts w:ascii="Palatino Linotype" w:eastAsia="Palatino Linotype" w:hAnsi="Palatino Linotype" w:cs="Palatino Linotype"/>
        </w:rPr>
      </w:pPr>
    </w:p>
    <w:p w:rsidR="00CB3474" w:rsidRPr="00F20C0B" w:rsidRDefault="00EA46DE">
      <w:pPr>
        <w:numPr>
          <w:ilvl w:val="0"/>
          <w:numId w:val="7"/>
        </w:numPr>
        <w:pBdr>
          <w:top w:val="nil"/>
          <w:left w:val="nil"/>
          <w:bottom w:val="nil"/>
          <w:right w:val="nil"/>
          <w:between w:val="nil"/>
        </w:pBdr>
        <w:spacing w:line="360" w:lineRule="auto"/>
        <w:ind w:left="567" w:right="567" w:firstLine="0"/>
        <w:jc w:val="both"/>
        <w:rPr>
          <w:rFonts w:ascii="Palatino Linotype" w:eastAsia="Palatino Linotype" w:hAnsi="Palatino Linotype" w:cs="Palatino Linotype"/>
          <w:b/>
          <w:bCs/>
          <w:color w:val="000000"/>
        </w:rPr>
      </w:pPr>
      <w:r w:rsidRPr="00F20C0B">
        <w:rPr>
          <w:rFonts w:ascii="Palatino Linotype" w:eastAsia="Palatino Linotype" w:hAnsi="Palatino Linotype" w:cs="Palatino Linotype"/>
          <w:b/>
          <w:bCs/>
          <w:color w:val="000000"/>
        </w:rPr>
        <w:t>Factura 2858, por concepto de Fabricación de Banca  doble con techumbre de metal y adaptación a ruedas de ferrocarril, pintadas en negro mate y café, remitido en informe justificado de manera íntegra.</w:t>
      </w:r>
    </w:p>
    <w:p w:rsidR="00CB3474" w:rsidRPr="00F20C0B" w:rsidRDefault="00EA46DE">
      <w:pPr>
        <w:numPr>
          <w:ilvl w:val="0"/>
          <w:numId w:val="7"/>
        </w:numPr>
        <w:pBdr>
          <w:top w:val="nil"/>
          <w:left w:val="nil"/>
          <w:bottom w:val="nil"/>
          <w:right w:val="nil"/>
          <w:between w:val="nil"/>
        </w:pBdr>
        <w:spacing w:line="360" w:lineRule="auto"/>
        <w:ind w:left="567" w:right="567" w:firstLine="0"/>
        <w:jc w:val="both"/>
        <w:rPr>
          <w:rFonts w:ascii="Palatino Linotype" w:eastAsia="Palatino Linotype" w:hAnsi="Palatino Linotype" w:cs="Palatino Linotype"/>
          <w:b/>
          <w:bCs/>
          <w:color w:val="000000"/>
        </w:rPr>
      </w:pPr>
      <w:r w:rsidRPr="00F20C0B">
        <w:rPr>
          <w:rFonts w:ascii="Palatino Linotype" w:eastAsia="Palatino Linotype" w:hAnsi="Palatino Linotype" w:cs="Palatino Linotype"/>
          <w:b/>
          <w:bCs/>
          <w:color w:val="000000"/>
        </w:rPr>
        <w:t>Personal que autorizó a la empresa realizar la modificación de las ruedas de metal</w:t>
      </w:r>
      <w:r w:rsidR="006F5C67" w:rsidRPr="00F20C0B">
        <w:rPr>
          <w:rFonts w:ascii="Palatino Linotype" w:eastAsia="Palatino Linotype" w:hAnsi="Palatino Linotype" w:cs="Palatino Linotype"/>
          <w:b/>
          <w:bCs/>
          <w:color w:val="000000"/>
        </w:rPr>
        <w:t xml:space="preserve"> del ferrocarril, r</w:t>
      </w:r>
      <w:r w:rsidR="00C04C7B" w:rsidRPr="00F20C0B">
        <w:rPr>
          <w:rFonts w:ascii="Palatino Linotype" w:eastAsia="Palatino Linotype" w:hAnsi="Palatino Linotype" w:cs="Palatino Linotype"/>
          <w:b/>
          <w:bCs/>
          <w:color w:val="000000"/>
        </w:rPr>
        <w:t>e</w:t>
      </w:r>
      <w:r w:rsidR="006F5C67" w:rsidRPr="00F20C0B">
        <w:rPr>
          <w:rFonts w:ascii="Palatino Linotype" w:eastAsia="Palatino Linotype" w:hAnsi="Palatino Linotype" w:cs="Palatino Linotype"/>
          <w:b/>
          <w:bCs/>
          <w:color w:val="000000"/>
        </w:rPr>
        <w:t>lacionado con la</w:t>
      </w:r>
      <w:r w:rsidR="00C04C7B" w:rsidRPr="00F20C0B">
        <w:rPr>
          <w:rFonts w:ascii="Palatino Linotype" w:eastAsia="Palatino Linotype" w:hAnsi="Palatino Linotype" w:cs="Palatino Linotype"/>
          <w:b/>
          <w:bCs/>
          <w:color w:val="000000"/>
        </w:rPr>
        <w:t xml:space="preserve"> </w:t>
      </w:r>
      <w:r w:rsidR="002E0C7B" w:rsidRPr="00F20C0B">
        <w:rPr>
          <w:rFonts w:ascii="Palatino Linotype" w:eastAsia="Palatino Linotype" w:hAnsi="Palatino Linotype" w:cs="Palatino Linotype"/>
          <w:b/>
          <w:bCs/>
          <w:color w:val="000000"/>
        </w:rPr>
        <w:t>factura referida en el inciso que antecede</w:t>
      </w:r>
      <w:r w:rsidRPr="00F20C0B">
        <w:rPr>
          <w:rFonts w:ascii="Palatino Linotype" w:eastAsia="Palatino Linotype" w:hAnsi="Palatino Linotype" w:cs="Palatino Linotype"/>
          <w:b/>
          <w:bCs/>
          <w:color w:val="000000"/>
        </w:rPr>
        <w:t>.</w:t>
      </w:r>
    </w:p>
    <w:p w:rsidR="00CB3474" w:rsidRDefault="00CB3474">
      <w:pPr>
        <w:pBdr>
          <w:top w:val="nil"/>
          <w:left w:val="nil"/>
          <w:bottom w:val="nil"/>
          <w:right w:val="nil"/>
          <w:between w:val="nil"/>
        </w:pBdr>
        <w:spacing w:line="360" w:lineRule="auto"/>
        <w:ind w:left="1287"/>
        <w:jc w:val="both"/>
        <w:rPr>
          <w:rFonts w:ascii="Palatino Linotype" w:eastAsia="Palatino Linotype" w:hAnsi="Palatino Linotype" w:cs="Palatino Linotype"/>
          <w:b/>
          <w:bCs/>
          <w:color w:val="000000"/>
        </w:rPr>
      </w:pPr>
    </w:p>
    <w:p w:rsidR="00CB3474" w:rsidRDefault="00EA46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TERCERO. </w:t>
      </w:r>
      <w:r>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rPr>
        <w:t xml:space="preserve">dé cumplimiento a lo ordenado dentro del plazo de diez días hábiles, </w:t>
      </w:r>
      <w:r>
        <w:rPr>
          <w:rFonts w:ascii="Palatino Linotype" w:eastAsia="Palatino Linotype" w:hAnsi="Palatino Linotype" w:cs="Palatino Linotype"/>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CB3474" w:rsidRDefault="00CB3474">
      <w:pPr>
        <w:tabs>
          <w:tab w:val="left" w:pos="284"/>
          <w:tab w:val="left" w:pos="8080"/>
        </w:tabs>
        <w:spacing w:line="360" w:lineRule="auto"/>
        <w:ind w:right="49"/>
        <w:jc w:val="both"/>
        <w:rPr>
          <w:rFonts w:ascii="Palatino Linotype" w:eastAsia="Palatino Linotype" w:hAnsi="Palatino Linotype" w:cs="Palatino Linotype"/>
          <w:b/>
          <w:bCs/>
        </w:rPr>
      </w:pPr>
    </w:p>
    <w:p w:rsidR="00CB3474" w:rsidRDefault="00EA46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rPr>
        <w:lastRenderedPageBreak/>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CB3474" w:rsidRDefault="00CB3474">
      <w:pPr>
        <w:shd w:val="clear" w:color="auto" w:fill="FFFFFF"/>
        <w:tabs>
          <w:tab w:val="left" w:pos="284"/>
        </w:tabs>
        <w:spacing w:line="360" w:lineRule="auto"/>
        <w:jc w:val="both"/>
        <w:rPr>
          <w:rFonts w:ascii="Palatino Linotype" w:eastAsia="Palatino Linotype" w:hAnsi="Palatino Linotype" w:cs="Palatino Linotype"/>
          <w:b/>
          <w:bCs/>
        </w:rPr>
      </w:pPr>
    </w:p>
    <w:p w:rsidR="00CB3474" w:rsidRDefault="00EA46DE">
      <w:pPr>
        <w:shd w:val="clear" w:color="auto" w:fill="FFFFFF"/>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QUINTO. Notifíquese </w:t>
      </w:r>
      <w:r>
        <w:rPr>
          <w:rFonts w:ascii="Palatino Linotype" w:eastAsia="Palatino Linotype" w:hAnsi="Palatino Linotype" w:cs="Palatino Linotype"/>
        </w:rPr>
        <w:t xml:space="preserve">al </w:t>
      </w:r>
      <w:r>
        <w:rPr>
          <w:rFonts w:ascii="Palatino Linotype" w:eastAsia="Palatino Linotype" w:hAnsi="Palatino Linotype" w:cs="Palatino Linotype"/>
          <w:b/>
          <w:bCs/>
        </w:rPr>
        <w:t xml:space="preserve">RECURRENTE </w:t>
      </w:r>
      <w:r>
        <w:rPr>
          <w:rFonts w:ascii="Palatino Linotype" w:eastAsia="Palatino Linotype" w:hAnsi="Palatino Linotype" w:cs="Palatino Linotype"/>
        </w:rPr>
        <w:t>la presente resolución a través del Sistema de Acceso a la Información Mexiquense (SAIMEX).</w:t>
      </w:r>
    </w:p>
    <w:p w:rsidR="00CB3474" w:rsidRDefault="00CB3474">
      <w:pPr>
        <w:shd w:val="clear" w:color="auto" w:fill="FFFFFF"/>
        <w:tabs>
          <w:tab w:val="left" w:pos="284"/>
        </w:tabs>
        <w:spacing w:line="360" w:lineRule="auto"/>
        <w:jc w:val="both"/>
        <w:rPr>
          <w:rFonts w:ascii="Palatino Linotype" w:eastAsia="Palatino Linotype" w:hAnsi="Palatino Linotype" w:cs="Palatino Linotype"/>
        </w:rPr>
      </w:pPr>
    </w:p>
    <w:p w:rsidR="00CB3474" w:rsidRDefault="00EA46DE">
      <w:pPr>
        <w:shd w:val="clear" w:color="auto" w:fill="FFFFFF"/>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SEXTO. </w:t>
      </w:r>
      <w:r>
        <w:rPr>
          <w:rFonts w:ascii="Palatino Linotype" w:eastAsia="Palatino Linotype" w:hAnsi="Palatino Linotype" w:cs="Palatino Linotype"/>
        </w:rPr>
        <w:t xml:space="preserve"> Se hace del conocimiento del</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B3474" w:rsidRDefault="00CB3474">
      <w:pPr>
        <w:shd w:val="clear" w:color="auto" w:fill="FFFFFF"/>
        <w:tabs>
          <w:tab w:val="left" w:pos="284"/>
        </w:tabs>
        <w:spacing w:line="360" w:lineRule="auto"/>
        <w:jc w:val="both"/>
        <w:rPr>
          <w:rFonts w:ascii="Palatino Linotype" w:eastAsia="Palatino Linotype" w:hAnsi="Palatino Linotype" w:cs="Palatino Linotype"/>
        </w:rPr>
      </w:pPr>
    </w:p>
    <w:p w:rsidR="00DC5E6F" w:rsidRDefault="00DC5E6F" w:rsidP="00DC5E6F">
      <w:pPr>
        <w:spacing w:before="240" w:after="240" w:line="360" w:lineRule="auto"/>
        <w:ind w:firstLine="1"/>
        <w:jc w:val="both"/>
        <w:rPr>
          <w:rFonts w:ascii="Palatino Linotype" w:hAnsi="Palatino Linotype"/>
        </w:rPr>
      </w:pPr>
      <w:bookmarkStart w:id="16" w:name="_Hlk99014733"/>
      <w:r>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8304B6">
        <w:rPr>
          <w:rFonts w:ascii="Palatino Linotype" w:hAnsi="Palatino Linotype" w:cs="Palatino Linotype"/>
          <w:color w:val="000000" w:themeColor="text1"/>
        </w:rPr>
        <w:t>ALEXIS TAPIA RAMÍREZ.</w:t>
      </w:r>
    </w:p>
    <w:bookmarkEnd w:id="16"/>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p w:rsidR="00CB3474" w:rsidRDefault="00CB3474">
      <w:pPr>
        <w:spacing w:line="360" w:lineRule="auto"/>
        <w:rPr>
          <w:rFonts w:ascii="Palatino Linotype" w:eastAsia="Palatino Linotype" w:hAnsi="Palatino Linotype" w:cs="Palatino Linotype"/>
        </w:rPr>
      </w:pPr>
    </w:p>
    <w:sectPr w:rsidR="00CB3474" w:rsidSect="004D5032">
      <w:headerReference w:type="default" r:id="rId12"/>
      <w:footerReference w:type="default" r:id="rId13"/>
      <w:headerReference w:type="first" r:id="rId14"/>
      <w:footerReference w:type="first" r:id="rId15"/>
      <w:pgSz w:w="12240" w:h="15840"/>
      <w:pgMar w:top="5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CCC" w:rsidRDefault="00326CCC">
      <w:r>
        <w:separator/>
      </w:r>
    </w:p>
  </w:endnote>
  <w:endnote w:type="continuationSeparator" w:id="0">
    <w:p w:rsidR="00326CCC" w:rsidRDefault="00326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2A41CAF-597C-439C-BD1C-B864F839771E}"/>
    <w:embedBold r:id="rId2" w:fontKey="{F4E69180-142D-410F-BBA8-5B61D578A8FF}"/>
    <w:embedItalic r:id="rId3" w:fontKey="{358A1245-E78F-4242-A1F7-438AF96375D4}"/>
    <w:embedBoldItalic r:id="rId4" w:fontKey="{4D4A46EE-41B9-4995-AC03-3C98B05224F5}"/>
  </w:font>
  <w:font w:name="Noto Sans Symbols">
    <w:altName w:val="Times New Roman"/>
    <w:charset w:val="00"/>
    <w:family w:val="auto"/>
    <w:pitch w:val="default"/>
    <w:embedRegular r:id="rId5" w:fontKey="{B3B07DA4-9EB9-4D14-9EA4-8FE142A5E23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7E66DC20-DF22-49B8-A383-0756F5B3B241}"/>
  </w:font>
  <w:font w:name="Calibri Light">
    <w:panose1 w:val="020F0302020204030204"/>
    <w:charset w:val="00"/>
    <w:family w:val="swiss"/>
    <w:pitch w:val="variable"/>
    <w:sig w:usb0="E4002EFF" w:usb1="C200247B" w:usb2="00000009" w:usb3="00000000" w:csb0="000001FF" w:csb1="00000000"/>
    <w:embedRegular r:id="rId7" w:fontKey="{45ECEA72-DEEA-430F-8236-592DFCC1E349}"/>
  </w:font>
  <w:font w:name="Segoe UI">
    <w:panose1 w:val="020B0502040204020203"/>
    <w:charset w:val="00"/>
    <w:family w:val="swiss"/>
    <w:pitch w:val="variable"/>
    <w:sig w:usb0="E4002EFF" w:usb1="C000E47F" w:usb2="00000009" w:usb3="00000000" w:csb0="000001FF" w:csb1="00000000"/>
    <w:embedRegular r:id="rId8" w:fontKey="{5895C8BB-926B-4B5E-83A7-68930A7358B5}"/>
  </w:font>
  <w:font w:name="Georgia">
    <w:panose1 w:val="02040502050405020303"/>
    <w:charset w:val="00"/>
    <w:family w:val="roman"/>
    <w:pitch w:val="variable"/>
    <w:sig w:usb0="00000287" w:usb1="00000000" w:usb2="00000000" w:usb3="00000000" w:csb0="0000009F" w:csb1="00000000"/>
    <w:embedItalic r:id="rId9" w:fontKey="{B1A3B8BE-FD39-46C4-8F4A-6DEABD217BDF}"/>
  </w:font>
  <w:font w:name="Cambria">
    <w:panose1 w:val="02040503050406030204"/>
    <w:charset w:val="00"/>
    <w:family w:val="roman"/>
    <w:pitch w:val="variable"/>
    <w:sig w:usb0="E00006FF" w:usb1="420024FF" w:usb2="02000000" w:usb3="00000000" w:csb0="0000019F" w:csb1="00000000"/>
    <w:embedRegular r:id="rId10" w:fontKey="{087A72EF-4C21-4DF1-BC94-2AEDF8EF16E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474" w:rsidRPr="004D5032" w:rsidRDefault="00EA46DE">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4D5032">
      <w:rPr>
        <w:rFonts w:ascii="Palatino Linotype" w:eastAsia="Arial" w:hAnsi="Palatino Linotype" w:cs="Arial"/>
        <w:b/>
        <w:bCs/>
        <w:color w:val="000000"/>
        <w:sz w:val="22"/>
        <w:szCs w:val="20"/>
      </w:rPr>
      <w:t xml:space="preserve">Página </w:t>
    </w:r>
    <w:r w:rsidRPr="004D5032">
      <w:rPr>
        <w:rFonts w:ascii="Palatino Linotype" w:eastAsia="Arial" w:hAnsi="Palatino Linotype" w:cs="Arial"/>
        <w:b/>
        <w:bCs/>
        <w:color w:val="000000"/>
        <w:sz w:val="22"/>
        <w:szCs w:val="20"/>
      </w:rPr>
      <w:fldChar w:fldCharType="begin"/>
    </w:r>
    <w:r w:rsidRPr="004D5032">
      <w:rPr>
        <w:rFonts w:ascii="Palatino Linotype" w:eastAsia="Arial" w:hAnsi="Palatino Linotype" w:cs="Arial"/>
        <w:b/>
        <w:bCs/>
        <w:color w:val="000000"/>
        <w:sz w:val="22"/>
        <w:szCs w:val="20"/>
      </w:rPr>
      <w:instrText>PAGE</w:instrText>
    </w:r>
    <w:r w:rsidRPr="004D5032">
      <w:rPr>
        <w:rFonts w:ascii="Palatino Linotype" w:eastAsia="Arial" w:hAnsi="Palatino Linotype" w:cs="Arial"/>
        <w:b/>
        <w:bCs/>
        <w:color w:val="000000"/>
        <w:sz w:val="22"/>
        <w:szCs w:val="20"/>
      </w:rPr>
      <w:fldChar w:fldCharType="separate"/>
    </w:r>
    <w:r w:rsidR="00654B47">
      <w:rPr>
        <w:rFonts w:ascii="Palatino Linotype" w:eastAsia="Arial" w:hAnsi="Palatino Linotype" w:cs="Arial"/>
        <w:b/>
        <w:bCs/>
        <w:noProof/>
        <w:color w:val="000000"/>
        <w:sz w:val="22"/>
        <w:szCs w:val="20"/>
      </w:rPr>
      <w:t>21</w:t>
    </w:r>
    <w:r w:rsidRPr="004D5032">
      <w:rPr>
        <w:rFonts w:ascii="Palatino Linotype" w:eastAsia="Arial" w:hAnsi="Palatino Linotype" w:cs="Arial"/>
        <w:b/>
        <w:bCs/>
        <w:color w:val="000000"/>
        <w:sz w:val="22"/>
        <w:szCs w:val="20"/>
      </w:rPr>
      <w:fldChar w:fldCharType="end"/>
    </w:r>
    <w:r w:rsidRPr="004D5032">
      <w:rPr>
        <w:rFonts w:ascii="Palatino Linotype" w:eastAsia="Arial" w:hAnsi="Palatino Linotype" w:cs="Arial"/>
        <w:b/>
        <w:color w:val="000000"/>
        <w:sz w:val="22"/>
        <w:szCs w:val="20"/>
      </w:rPr>
      <w:t xml:space="preserve"> de </w:t>
    </w:r>
    <w:r w:rsidRPr="004D5032">
      <w:rPr>
        <w:rFonts w:ascii="Palatino Linotype" w:eastAsia="Arial" w:hAnsi="Palatino Linotype" w:cs="Arial"/>
        <w:b/>
        <w:bCs/>
        <w:color w:val="000000"/>
        <w:sz w:val="22"/>
        <w:szCs w:val="20"/>
      </w:rPr>
      <w:fldChar w:fldCharType="begin"/>
    </w:r>
    <w:r w:rsidRPr="004D5032">
      <w:rPr>
        <w:rFonts w:ascii="Palatino Linotype" w:eastAsia="Arial" w:hAnsi="Palatino Linotype" w:cs="Arial"/>
        <w:b/>
        <w:bCs/>
        <w:color w:val="000000"/>
        <w:sz w:val="22"/>
        <w:szCs w:val="20"/>
      </w:rPr>
      <w:instrText>NUMPAGES</w:instrText>
    </w:r>
    <w:r w:rsidRPr="004D5032">
      <w:rPr>
        <w:rFonts w:ascii="Palatino Linotype" w:eastAsia="Arial" w:hAnsi="Palatino Linotype" w:cs="Arial"/>
        <w:b/>
        <w:bCs/>
        <w:color w:val="000000"/>
        <w:sz w:val="22"/>
        <w:szCs w:val="20"/>
      </w:rPr>
      <w:fldChar w:fldCharType="separate"/>
    </w:r>
    <w:r w:rsidR="00654B47">
      <w:rPr>
        <w:rFonts w:ascii="Palatino Linotype" w:eastAsia="Arial" w:hAnsi="Palatino Linotype" w:cs="Arial"/>
        <w:b/>
        <w:bCs/>
        <w:noProof/>
        <w:color w:val="000000"/>
        <w:sz w:val="22"/>
        <w:szCs w:val="20"/>
      </w:rPr>
      <w:t>27</w:t>
    </w:r>
    <w:r w:rsidRPr="004D5032">
      <w:rPr>
        <w:rFonts w:ascii="Palatino Linotype" w:eastAsia="Arial" w:hAnsi="Palatino Linotype" w:cs="Arial"/>
        <w:b/>
        <w:bCs/>
        <w:color w:val="000000"/>
        <w:sz w:val="22"/>
        <w:szCs w:val="20"/>
      </w:rPr>
      <w:fldChar w:fldCharType="end"/>
    </w:r>
  </w:p>
  <w:p w:rsidR="00CB3474" w:rsidRDefault="00CB3474">
    <w:pPr>
      <w:pBdr>
        <w:top w:val="nil"/>
        <w:left w:val="nil"/>
        <w:bottom w:val="nil"/>
        <w:right w:val="nil"/>
        <w:between w:val="nil"/>
      </w:pBdr>
      <w:tabs>
        <w:tab w:val="center" w:pos="4252"/>
        <w:tab w:val="right" w:pos="8504"/>
      </w:tabs>
      <w:rPr>
        <w:color w:val="000000"/>
      </w:rPr>
    </w:pPr>
  </w:p>
  <w:p w:rsidR="00CB3474" w:rsidRDefault="00CB347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474" w:rsidRPr="004D5032" w:rsidRDefault="00EA46DE">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4D5032">
      <w:rPr>
        <w:rFonts w:ascii="Palatino Linotype" w:eastAsia="Arial" w:hAnsi="Palatino Linotype" w:cs="Arial"/>
        <w:b/>
        <w:bCs/>
        <w:color w:val="000000"/>
        <w:sz w:val="22"/>
        <w:szCs w:val="20"/>
      </w:rPr>
      <w:t xml:space="preserve">Página </w:t>
    </w:r>
    <w:r w:rsidRPr="004D5032">
      <w:rPr>
        <w:rFonts w:ascii="Palatino Linotype" w:eastAsia="Arial" w:hAnsi="Palatino Linotype" w:cs="Arial"/>
        <w:b/>
        <w:bCs/>
        <w:color w:val="000000"/>
        <w:sz w:val="22"/>
        <w:szCs w:val="20"/>
      </w:rPr>
      <w:fldChar w:fldCharType="begin"/>
    </w:r>
    <w:r w:rsidRPr="004D5032">
      <w:rPr>
        <w:rFonts w:ascii="Palatino Linotype" w:eastAsia="Arial" w:hAnsi="Palatino Linotype" w:cs="Arial"/>
        <w:b/>
        <w:bCs/>
        <w:color w:val="000000"/>
        <w:sz w:val="22"/>
        <w:szCs w:val="20"/>
      </w:rPr>
      <w:instrText>PAGE</w:instrText>
    </w:r>
    <w:r w:rsidRPr="004D5032">
      <w:rPr>
        <w:rFonts w:ascii="Palatino Linotype" w:eastAsia="Arial" w:hAnsi="Palatino Linotype" w:cs="Arial"/>
        <w:b/>
        <w:bCs/>
        <w:color w:val="000000"/>
        <w:sz w:val="22"/>
        <w:szCs w:val="20"/>
      </w:rPr>
      <w:fldChar w:fldCharType="separate"/>
    </w:r>
    <w:r w:rsidR="00654B47">
      <w:rPr>
        <w:rFonts w:ascii="Palatino Linotype" w:eastAsia="Arial" w:hAnsi="Palatino Linotype" w:cs="Arial"/>
        <w:b/>
        <w:bCs/>
        <w:noProof/>
        <w:color w:val="000000"/>
        <w:sz w:val="22"/>
        <w:szCs w:val="20"/>
      </w:rPr>
      <w:t>1</w:t>
    </w:r>
    <w:r w:rsidRPr="004D5032">
      <w:rPr>
        <w:rFonts w:ascii="Palatino Linotype" w:eastAsia="Arial" w:hAnsi="Palatino Linotype" w:cs="Arial"/>
        <w:b/>
        <w:bCs/>
        <w:color w:val="000000"/>
        <w:sz w:val="22"/>
        <w:szCs w:val="20"/>
      </w:rPr>
      <w:fldChar w:fldCharType="end"/>
    </w:r>
    <w:r w:rsidRPr="004D5032">
      <w:rPr>
        <w:rFonts w:ascii="Palatino Linotype" w:eastAsia="Arial" w:hAnsi="Palatino Linotype" w:cs="Arial"/>
        <w:b/>
        <w:color w:val="000000"/>
        <w:sz w:val="22"/>
        <w:szCs w:val="20"/>
      </w:rPr>
      <w:t xml:space="preserve"> de </w:t>
    </w:r>
    <w:r w:rsidRPr="004D5032">
      <w:rPr>
        <w:rFonts w:ascii="Palatino Linotype" w:eastAsia="Arial" w:hAnsi="Palatino Linotype" w:cs="Arial"/>
        <w:b/>
        <w:bCs/>
        <w:color w:val="000000"/>
        <w:sz w:val="22"/>
        <w:szCs w:val="20"/>
      </w:rPr>
      <w:fldChar w:fldCharType="begin"/>
    </w:r>
    <w:r w:rsidRPr="004D5032">
      <w:rPr>
        <w:rFonts w:ascii="Palatino Linotype" w:eastAsia="Arial" w:hAnsi="Palatino Linotype" w:cs="Arial"/>
        <w:b/>
        <w:bCs/>
        <w:color w:val="000000"/>
        <w:sz w:val="22"/>
        <w:szCs w:val="20"/>
      </w:rPr>
      <w:instrText>NUMPAGES</w:instrText>
    </w:r>
    <w:r w:rsidRPr="004D5032">
      <w:rPr>
        <w:rFonts w:ascii="Palatino Linotype" w:eastAsia="Arial" w:hAnsi="Palatino Linotype" w:cs="Arial"/>
        <w:b/>
        <w:bCs/>
        <w:color w:val="000000"/>
        <w:sz w:val="22"/>
        <w:szCs w:val="20"/>
      </w:rPr>
      <w:fldChar w:fldCharType="separate"/>
    </w:r>
    <w:r w:rsidR="00654B47">
      <w:rPr>
        <w:rFonts w:ascii="Palatino Linotype" w:eastAsia="Arial" w:hAnsi="Palatino Linotype" w:cs="Arial"/>
        <w:b/>
        <w:bCs/>
        <w:noProof/>
        <w:color w:val="000000"/>
        <w:sz w:val="22"/>
        <w:szCs w:val="20"/>
      </w:rPr>
      <w:t>27</w:t>
    </w:r>
    <w:r w:rsidRPr="004D5032">
      <w:rPr>
        <w:rFonts w:ascii="Palatino Linotype" w:eastAsia="Arial" w:hAnsi="Palatino Linotype" w:cs="Arial"/>
        <w:b/>
        <w:bCs/>
        <w:color w:val="000000"/>
        <w:sz w:val="22"/>
        <w:szCs w:val="20"/>
      </w:rPr>
      <w:fldChar w:fldCharType="end"/>
    </w:r>
  </w:p>
  <w:p w:rsidR="00CB3474" w:rsidRDefault="00CB347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CCC" w:rsidRDefault="00326CCC">
      <w:r>
        <w:separator/>
      </w:r>
    </w:p>
  </w:footnote>
  <w:footnote w:type="continuationSeparator" w:id="0">
    <w:p w:rsidR="00326CCC" w:rsidRDefault="00326CCC">
      <w:r>
        <w:continuationSeparator/>
      </w:r>
    </w:p>
  </w:footnote>
  <w:footnote w:id="1">
    <w:p w:rsidR="00CB3474" w:rsidRDefault="00EA46D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CB3474" w:rsidRDefault="00EA46D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CB3474" w:rsidRDefault="00EA46D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CB3474" w:rsidRDefault="00EA46DE">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CB3474" w:rsidRDefault="00EA46DE">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6">
    <w:p w:rsidR="00CB3474" w:rsidRDefault="00EA46D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520" w:type="dxa"/>
      <w:tblInd w:w="3261" w:type="dxa"/>
      <w:tblLayout w:type="fixed"/>
      <w:tblLook w:val="0400" w:firstRow="0" w:lastRow="0" w:firstColumn="0" w:lastColumn="0" w:noHBand="0" w:noVBand="1"/>
    </w:tblPr>
    <w:tblGrid>
      <w:gridCol w:w="2977"/>
      <w:gridCol w:w="3543"/>
    </w:tblGrid>
    <w:tr w:rsidR="00CB3474" w:rsidTr="004D5032">
      <w:tc>
        <w:tcPr>
          <w:tcW w:w="2977" w:type="dxa"/>
          <w:vAlign w:val="center"/>
        </w:tcPr>
        <w:p w:rsidR="00CB3474" w:rsidRPr="004D5032" w:rsidRDefault="00EA46DE">
          <w:pPr>
            <w:rPr>
              <w:rFonts w:ascii="Palatino Linotype" w:eastAsia="Palatino Linotype" w:hAnsi="Palatino Linotype" w:cs="Palatino Linotype"/>
              <w:b/>
              <w:bCs/>
            </w:rPr>
          </w:pPr>
          <w:r w:rsidRPr="004D5032">
            <w:rPr>
              <w:rFonts w:ascii="Palatino Linotype" w:eastAsia="Palatino Linotype" w:hAnsi="Palatino Linotype" w:cs="Palatino Linotype"/>
              <w:b/>
              <w:bCs/>
            </w:rPr>
            <w:t>Recurso de Revisión:</w:t>
          </w:r>
        </w:p>
      </w:tc>
      <w:tc>
        <w:tcPr>
          <w:tcW w:w="3543" w:type="dxa"/>
          <w:vAlign w:val="center"/>
        </w:tcPr>
        <w:p w:rsidR="00CB3474" w:rsidRPr="004D5032" w:rsidRDefault="00EA46DE">
          <w:pPr>
            <w:jc w:val="both"/>
            <w:rPr>
              <w:rFonts w:ascii="Palatino Linotype" w:eastAsia="Palatino Linotype" w:hAnsi="Palatino Linotype" w:cs="Palatino Linotype"/>
              <w:bCs/>
            </w:rPr>
          </w:pPr>
          <w:r w:rsidRPr="004D5032">
            <w:rPr>
              <w:rFonts w:ascii="Palatino Linotype" w:eastAsia="Palatino Linotype" w:hAnsi="Palatino Linotype" w:cs="Palatino Linotype"/>
              <w:bCs/>
            </w:rPr>
            <w:t>10128/INFOEM/IP/RR/2025</w:t>
          </w:r>
        </w:p>
      </w:tc>
    </w:tr>
    <w:tr w:rsidR="00CB3474" w:rsidTr="004D5032">
      <w:trPr>
        <w:trHeight w:val="228"/>
      </w:trPr>
      <w:tc>
        <w:tcPr>
          <w:tcW w:w="2977" w:type="dxa"/>
          <w:vAlign w:val="center"/>
        </w:tcPr>
        <w:p w:rsidR="00CB3474" w:rsidRPr="004D5032" w:rsidRDefault="00EA46DE">
          <w:pPr>
            <w:rPr>
              <w:rFonts w:ascii="Palatino Linotype" w:eastAsia="Palatino Linotype" w:hAnsi="Palatino Linotype" w:cs="Palatino Linotype"/>
              <w:b/>
              <w:bCs/>
            </w:rPr>
          </w:pPr>
          <w:r w:rsidRPr="004D5032">
            <w:rPr>
              <w:rFonts w:ascii="Palatino Linotype" w:eastAsia="Palatino Linotype" w:hAnsi="Palatino Linotype" w:cs="Palatino Linotype"/>
              <w:b/>
              <w:bCs/>
            </w:rPr>
            <w:t>Sujeto Obligado:</w:t>
          </w:r>
        </w:p>
      </w:tc>
      <w:tc>
        <w:tcPr>
          <w:tcW w:w="3543" w:type="dxa"/>
          <w:vAlign w:val="center"/>
        </w:tcPr>
        <w:p w:rsidR="00CB3474" w:rsidRPr="004D5032" w:rsidRDefault="00EA46DE">
          <w:pPr>
            <w:rPr>
              <w:rFonts w:ascii="Palatino Linotype" w:eastAsia="Palatino Linotype" w:hAnsi="Palatino Linotype" w:cs="Palatino Linotype"/>
              <w:bCs/>
            </w:rPr>
          </w:pPr>
          <w:r w:rsidRPr="004D5032">
            <w:rPr>
              <w:rFonts w:ascii="Palatino Linotype" w:eastAsia="Palatino Linotype" w:hAnsi="Palatino Linotype" w:cs="Palatino Linotype"/>
              <w:bCs/>
              <w:color w:val="000000"/>
            </w:rPr>
            <w:t>Ayuntamiento de Huehuetoca</w:t>
          </w:r>
        </w:p>
      </w:tc>
    </w:tr>
    <w:tr w:rsidR="00CB3474" w:rsidTr="004D5032">
      <w:tc>
        <w:tcPr>
          <w:tcW w:w="2977" w:type="dxa"/>
          <w:vAlign w:val="center"/>
        </w:tcPr>
        <w:p w:rsidR="00CB3474" w:rsidRPr="004D5032" w:rsidRDefault="00EA46DE">
          <w:pPr>
            <w:rPr>
              <w:rFonts w:ascii="Palatino Linotype" w:eastAsia="Palatino Linotype" w:hAnsi="Palatino Linotype" w:cs="Palatino Linotype"/>
              <w:b/>
              <w:bCs/>
            </w:rPr>
          </w:pPr>
          <w:r w:rsidRPr="004D5032">
            <w:rPr>
              <w:rFonts w:ascii="Palatino Linotype" w:eastAsia="Palatino Linotype" w:hAnsi="Palatino Linotype" w:cs="Palatino Linotype"/>
              <w:b/>
              <w:bCs/>
            </w:rPr>
            <w:t>Comisionada Ponente:</w:t>
          </w:r>
        </w:p>
      </w:tc>
      <w:tc>
        <w:tcPr>
          <w:tcW w:w="3543" w:type="dxa"/>
          <w:vAlign w:val="center"/>
        </w:tcPr>
        <w:p w:rsidR="00CB3474" w:rsidRPr="004D5032" w:rsidRDefault="00EA46DE">
          <w:pPr>
            <w:ind w:right="-533"/>
            <w:jc w:val="both"/>
            <w:rPr>
              <w:rFonts w:ascii="Palatino Linotype" w:eastAsia="Palatino Linotype" w:hAnsi="Palatino Linotype" w:cs="Palatino Linotype"/>
              <w:bCs/>
            </w:rPr>
          </w:pPr>
          <w:r w:rsidRPr="004D5032">
            <w:rPr>
              <w:rFonts w:ascii="Palatino Linotype" w:eastAsia="Palatino Linotype" w:hAnsi="Palatino Linotype" w:cs="Palatino Linotype"/>
              <w:bCs/>
            </w:rPr>
            <w:t>María del Rosario Mejía Ayala</w:t>
          </w:r>
        </w:p>
      </w:tc>
    </w:tr>
  </w:tbl>
  <w:p w:rsidR="004D5032" w:rsidRDefault="004D503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sidRPr="004D5032">
      <w:rPr>
        <w:noProof/>
      </w:rPr>
      <w:drawing>
        <wp:anchor distT="0" distB="0" distL="0" distR="0" simplePos="0" relativeHeight="251660288" behindDoc="1" locked="0" layoutInCell="1" hidden="0" allowOverlap="1" wp14:anchorId="7C1A1CEE" wp14:editId="10D4C535">
          <wp:simplePos x="0" y="0"/>
          <wp:positionH relativeFrom="column">
            <wp:posOffset>-959330</wp:posOffset>
          </wp:positionH>
          <wp:positionV relativeFrom="paragraph">
            <wp:posOffset>-1001059</wp:posOffset>
          </wp:positionV>
          <wp:extent cx="7813040" cy="1016952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40" cy="10169525"/>
                  </a:xfrm>
                  <a:prstGeom prst="rect">
                    <a:avLst/>
                  </a:prstGeom>
                  <a:ln/>
                </pic:spPr>
              </pic:pic>
            </a:graphicData>
          </a:graphic>
        </wp:anchor>
      </w:drawing>
    </w:r>
    <w:r w:rsidR="00EA46DE">
      <w:rPr>
        <w:rFonts w:ascii="Calibri" w:eastAsia="Calibri" w:hAnsi="Calibri" w:cs="Calibri"/>
        <w:color w:val="000000"/>
      </w:rPr>
      <w:tab/>
    </w:r>
  </w:p>
  <w:p w:rsidR="00CB3474" w:rsidRDefault="00CB3474" w:rsidP="004D5032">
    <w:pPr>
      <w:pBdr>
        <w:top w:val="nil"/>
        <w:left w:val="nil"/>
        <w:bottom w:val="nil"/>
        <w:right w:val="nil"/>
        <w:between w:val="nil"/>
      </w:pBdr>
      <w:tabs>
        <w:tab w:val="center" w:pos="4252"/>
        <w:tab w:val="right" w:pos="8504"/>
        <w:tab w:val="left" w:pos="2326"/>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379" w:type="dxa"/>
      <w:tblInd w:w="3686" w:type="dxa"/>
      <w:tblLayout w:type="fixed"/>
      <w:tblLook w:val="0400" w:firstRow="0" w:lastRow="0" w:firstColumn="0" w:lastColumn="0" w:noHBand="0" w:noVBand="1"/>
    </w:tblPr>
    <w:tblGrid>
      <w:gridCol w:w="2835"/>
      <w:gridCol w:w="3544"/>
    </w:tblGrid>
    <w:tr w:rsidR="00CB3474" w:rsidTr="004D5032">
      <w:tc>
        <w:tcPr>
          <w:tcW w:w="2835" w:type="dxa"/>
          <w:vAlign w:val="center"/>
        </w:tcPr>
        <w:p w:rsidR="00CB3474" w:rsidRPr="004D5032" w:rsidRDefault="00EA46DE">
          <w:pPr>
            <w:rPr>
              <w:rFonts w:ascii="Palatino Linotype" w:eastAsia="Palatino Linotype" w:hAnsi="Palatino Linotype" w:cs="Palatino Linotype"/>
              <w:b/>
              <w:bCs/>
              <w:szCs w:val="21"/>
            </w:rPr>
          </w:pPr>
          <w:r w:rsidRPr="004D5032">
            <w:rPr>
              <w:rFonts w:ascii="Palatino Linotype" w:eastAsia="Palatino Linotype" w:hAnsi="Palatino Linotype" w:cs="Palatino Linotype"/>
              <w:b/>
              <w:bCs/>
              <w:szCs w:val="21"/>
            </w:rPr>
            <w:t>Recurso de Revisión:</w:t>
          </w:r>
        </w:p>
      </w:tc>
      <w:tc>
        <w:tcPr>
          <w:tcW w:w="3544" w:type="dxa"/>
          <w:vAlign w:val="center"/>
        </w:tcPr>
        <w:p w:rsidR="00CB3474" w:rsidRPr="004D5032" w:rsidRDefault="00EA46DE" w:rsidP="004D5032">
          <w:pPr>
            <w:rPr>
              <w:rFonts w:ascii="Palatino Linotype" w:eastAsia="Palatino Linotype" w:hAnsi="Palatino Linotype" w:cs="Palatino Linotype"/>
              <w:bCs/>
              <w:szCs w:val="21"/>
            </w:rPr>
          </w:pPr>
          <w:r w:rsidRPr="004D5032">
            <w:rPr>
              <w:rFonts w:ascii="Palatino Linotype" w:eastAsia="Palatino Linotype" w:hAnsi="Palatino Linotype" w:cs="Palatino Linotype"/>
              <w:bCs/>
              <w:szCs w:val="21"/>
            </w:rPr>
            <w:t xml:space="preserve">10128/INFOEM/IP/RR/2025 </w:t>
          </w:r>
        </w:p>
      </w:tc>
    </w:tr>
    <w:tr w:rsidR="00CB3474" w:rsidTr="004D5032">
      <w:tc>
        <w:tcPr>
          <w:tcW w:w="2835" w:type="dxa"/>
          <w:vAlign w:val="center"/>
        </w:tcPr>
        <w:p w:rsidR="00CB3474" w:rsidRPr="004D5032" w:rsidRDefault="00EA46DE">
          <w:pPr>
            <w:ind w:left="35" w:hanging="35"/>
            <w:rPr>
              <w:rFonts w:ascii="Palatino Linotype" w:eastAsia="Palatino Linotype" w:hAnsi="Palatino Linotype" w:cs="Palatino Linotype"/>
              <w:b/>
              <w:bCs/>
              <w:szCs w:val="21"/>
            </w:rPr>
          </w:pPr>
          <w:r w:rsidRPr="004D5032">
            <w:rPr>
              <w:rFonts w:ascii="Palatino Linotype" w:eastAsia="Palatino Linotype" w:hAnsi="Palatino Linotype" w:cs="Palatino Linotype"/>
              <w:b/>
              <w:bCs/>
              <w:szCs w:val="21"/>
            </w:rPr>
            <w:t>Recurrente:</w:t>
          </w:r>
        </w:p>
      </w:tc>
      <w:tc>
        <w:tcPr>
          <w:tcW w:w="3544" w:type="dxa"/>
          <w:vAlign w:val="center"/>
        </w:tcPr>
        <w:p w:rsidR="00CB3474" w:rsidRPr="004D5032" w:rsidRDefault="00654B47" w:rsidP="004D5032">
          <w:pPr>
            <w:rPr>
              <w:rFonts w:ascii="Palatino Linotype" w:eastAsia="Palatino Linotype" w:hAnsi="Palatino Linotype" w:cs="Palatino Linotype"/>
              <w:bCs/>
              <w:szCs w:val="21"/>
            </w:rPr>
          </w:pPr>
          <w:r>
            <w:rPr>
              <w:rFonts w:ascii="Palatino Linotype" w:eastAsia="Palatino Linotype" w:hAnsi="Palatino Linotype" w:cs="Palatino Linotype"/>
              <w:bCs/>
              <w:szCs w:val="21"/>
            </w:rPr>
            <w:t>XXXX</w:t>
          </w:r>
        </w:p>
      </w:tc>
    </w:tr>
    <w:tr w:rsidR="00CB3474" w:rsidTr="004D5032">
      <w:trPr>
        <w:trHeight w:val="228"/>
      </w:trPr>
      <w:tc>
        <w:tcPr>
          <w:tcW w:w="2835" w:type="dxa"/>
          <w:vAlign w:val="center"/>
        </w:tcPr>
        <w:p w:rsidR="00CB3474" w:rsidRPr="004D5032" w:rsidRDefault="00EA46DE">
          <w:pPr>
            <w:rPr>
              <w:rFonts w:ascii="Palatino Linotype" w:eastAsia="Palatino Linotype" w:hAnsi="Palatino Linotype" w:cs="Palatino Linotype"/>
              <w:b/>
              <w:bCs/>
              <w:szCs w:val="21"/>
            </w:rPr>
          </w:pPr>
          <w:r w:rsidRPr="004D5032">
            <w:rPr>
              <w:rFonts w:ascii="Palatino Linotype" w:eastAsia="Palatino Linotype" w:hAnsi="Palatino Linotype" w:cs="Palatino Linotype"/>
              <w:b/>
              <w:bCs/>
              <w:szCs w:val="21"/>
            </w:rPr>
            <w:t>Sujeto Obligado:</w:t>
          </w:r>
        </w:p>
      </w:tc>
      <w:tc>
        <w:tcPr>
          <w:tcW w:w="3544" w:type="dxa"/>
          <w:vAlign w:val="center"/>
        </w:tcPr>
        <w:p w:rsidR="00CB3474" w:rsidRPr="004D5032" w:rsidRDefault="00EA46DE" w:rsidP="004D5032">
          <w:pPr>
            <w:ind w:left="35" w:hanging="35"/>
            <w:rPr>
              <w:rFonts w:ascii="Palatino Linotype" w:eastAsia="Palatino Linotype" w:hAnsi="Palatino Linotype" w:cs="Palatino Linotype"/>
              <w:szCs w:val="21"/>
            </w:rPr>
          </w:pPr>
          <w:r w:rsidRPr="004D5032">
            <w:rPr>
              <w:rFonts w:ascii="Palatino Linotype" w:eastAsia="Palatino Linotype" w:hAnsi="Palatino Linotype" w:cs="Palatino Linotype"/>
              <w:bCs/>
              <w:color w:val="000000"/>
              <w:szCs w:val="22"/>
            </w:rPr>
            <w:t>Ayuntamiento de Huehuetoca</w:t>
          </w:r>
        </w:p>
      </w:tc>
    </w:tr>
    <w:tr w:rsidR="00CB3474" w:rsidTr="004D5032">
      <w:tc>
        <w:tcPr>
          <w:tcW w:w="2835" w:type="dxa"/>
          <w:vAlign w:val="center"/>
        </w:tcPr>
        <w:p w:rsidR="00CB3474" w:rsidRPr="004D5032" w:rsidRDefault="00EA46DE">
          <w:pPr>
            <w:rPr>
              <w:rFonts w:ascii="Palatino Linotype" w:eastAsia="Palatino Linotype" w:hAnsi="Palatino Linotype" w:cs="Palatino Linotype"/>
              <w:b/>
              <w:bCs/>
              <w:szCs w:val="21"/>
            </w:rPr>
          </w:pPr>
          <w:r w:rsidRPr="004D5032">
            <w:rPr>
              <w:rFonts w:ascii="Palatino Linotype" w:eastAsia="Palatino Linotype" w:hAnsi="Palatino Linotype" w:cs="Palatino Linotype"/>
              <w:b/>
              <w:bCs/>
              <w:szCs w:val="21"/>
            </w:rPr>
            <w:t>Comisionada Ponente:</w:t>
          </w:r>
        </w:p>
      </w:tc>
      <w:tc>
        <w:tcPr>
          <w:tcW w:w="3544" w:type="dxa"/>
          <w:vAlign w:val="center"/>
        </w:tcPr>
        <w:p w:rsidR="00CB3474" w:rsidRPr="004D5032" w:rsidRDefault="00EA46DE" w:rsidP="004D5032">
          <w:pPr>
            <w:ind w:right="-533"/>
            <w:rPr>
              <w:rFonts w:ascii="Palatino Linotype" w:eastAsia="Palatino Linotype" w:hAnsi="Palatino Linotype" w:cs="Palatino Linotype"/>
              <w:bCs/>
              <w:szCs w:val="21"/>
            </w:rPr>
          </w:pPr>
          <w:r w:rsidRPr="004D5032">
            <w:rPr>
              <w:rFonts w:ascii="Palatino Linotype" w:eastAsia="Palatino Linotype" w:hAnsi="Palatino Linotype" w:cs="Palatino Linotype"/>
              <w:bCs/>
              <w:szCs w:val="21"/>
            </w:rPr>
            <w:t>María del Rosario Mejía Ayala</w:t>
          </w:r>
        </w:p>
      </w:tc>
    </w:tr>
  </w:tbl>
  <w:p w:rsidR="00CB3474" w:rsidRDefault="004D5032">
    <w:pPr>
      <w:pBdr>
        <w:top w:val="nil"/>
        <w:left w:val="nil"/>
        <w:bottom w:val="nil"/>
        <w:right w:val="nil"/>
        <w:between w:val="nil"/>
      </w:pBdr>
      <w:tabs>
        <w:tab w:val="center" w:pos="4252"/>
        <w:tab w:val="right" w:pos="8504"/>
      </w:tabs>
      <w:rPr>
        <w:rFonts w:ascii="Calibri" w:eastAsia="Calibri" w:hAnsi="Calibri" w:cs="Calibri"/>
        <w:color w:val="000000"/>
      </w:rPr>
    </w:pPr>
    <w:r w:rsidRPr="004D5032">
      <w:rPr>
        <w:noProof/>
      </w:rPr>
      <w:drawing>
        <wp:anchor distT="0" distB="0" distL="0" distR="0" simplePos="0" relativeHeight="251658240" behindDoc="1" locked="0" layoutInCell="1" hidden="0" allowOverlap="1">
          <wp:simplePos x="0" y="0"/>
          <wp:positionH relativeFrom="column">
            <wp:posOffset>-907463</wp:posOffset>
          </wp:positionH>
          <wp:positionV relativeFrom="paragraph">
            <wp:posOffset>-1224544</wp:posOffset>
          </wp:positionV>
          <wp:extent cx="7813085" cy="10170000"/>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A1A53"/>
    <w:multiLevelType w:val="multilevel"/>
    <w:tmpl w:val="448ADA2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19E764F0"/>
    <w:multiLevelType w:val="multilevel"/>
    <w:tmpl w:val="24E6F788"/>
    <w:lvl w:ilvl="0">
      <w:start w:val="1"/>
      <w:numFmt w:val="decimal"/>
      <w:lvlText w:val="%1."/>
      <w:lvlJc w:val="left"/>
      <w:pPr>
        <w:ind w:left="1211" w:hanging="360"/>
      </w:pPr>
      <w:rPr>
        <w:b/>
        <w:bCs/>
        <w:i w:val="0"/>
        <w:iCs w:val="0"/>
        <w:color w:val="000000"/>
        <w:sz w:val="24"/>
        <w:szCs w:val="24"/>
      </w:rPr>
    </w:lvl>
    <w:lvl w:ilvl="1">
      <w:start w:val="1"/>
      <w:numFmt w:val="lowerLetter"/>
      <w:lvlText w:val="%2."/>
      <w:lvlJc w:val="left"/>
      <w:pPr>
        <w:ind w:left="1440" w:hanging="360"/>
      </w:pPr>
    </w:lvl>
    <w:lvl w:ilvl="2">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F06374"/>
    <w:multiLevelType w:val="multilevel"/>
    <w:tmpl w:val="28164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396A1F"/>
    <w:multiLevelType w:val="multilevel"/>
    <w:tmpl w:val="E8D02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BB0C7E"/>
    <w:multiLevelType w:val="hybridMultilevel"/>
    <w:tmpl w:val="B5FE6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DF6CCC"/>
    <w:multiLevelType w:val="multilevel"/>
    <w:tmpl w:val="15A82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7E4B27"/>
    <w:multiLevelType w:val="multilevel"/>
    <w:tmpl w:val="D53AC94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7B22234E"/>
    <w:multiLevelType w:val="multilevel"/>
    <w:tmpl w:val="42D67F9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7DDB083A"/>
    <w:multiLevelType w:val="multilevel"/>
    <w:tmpl w:val="8D7A009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6"/>
  </w:num>
  <w:num w:numId="2">
    <w:abstractNumId w:val="2"/>
  </w:num>
  <w:num w:numId="3">
    <w:abstractNumId w:val="3"/>
  </w:num>
  <w:num w:numId="4">
    <w:abstractNumId w:val="8"/>
  </w:num>
  <w:num w:numId="5">
    <w:abstractNumId w:val="1"/>
  </w:num>
  <w:num w:numId="6">
    <w:abstractNumId w:val="5"/>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474"/>
    <w:rsid w:val="00147201"/>
    <w:rsid w:val="001D6E18"/>
    <w:rsid w:val="002E0C7B"/>
    <w:rsid w:val="00326CCC"/>
    <w:rsid w:val="004D5032"/>
    <w:rsid w:val="00654B47"/>
    <w:rsid w:val="006636A8"/>
    <w:rsid w:val="006F5C67"/>
    <w:rsid w:val="009901F6"/>
    <w:rsid w:val="00A468DB"/>
    <w:rsid w:val="00C04C7B"/>
    <w:rsid w:val="00CB3474"/>
    <w:rsid w:val="00CE3BF3"/>
    <w:rsid w:val="00D978BE"/>
    <w:rsid w:val="00DC2F8C"/>
    <w:rsid w:val="00DC5E6F"/>
    <w:rsid w:val="00EA46DE"/>
    <w:rsid w:val="00F20C0B"/>
    <w:rsid w:val="00FE48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80AEC5-30D9-4387-B56F-B8C3F6A9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uiPriority w:val="9"/>
    <w:rsid w:val="00813849"/>
    <w:rPr>
      <w:rFonts w:asciiTheme="majorHAnsi" w:eastAsiaTheme="majorEastAsia" w:hAnsiTheme="majorHAnsi" w:cstheme="majorBidi"/>
      <w:color w:val="1F4D78" w:themeColor="accent1" w:themeShade="7F"/>
      <w:sz w:val="24"/>
      <w:szCs w:val="24"/>
      <w:lang w:val="es-ES_tradnl" w:eastAsia="es-ES"/>
    </w:rPr>
  </w:style>
  <w:style w:type="character" w:customStyle="1" w:styleId="normaltextrun">
    <w:name w:val="normaltextrun"/>
    <w:basedOn w:val="Fuentedeprrafopredeter"/>
    <w:rsid w:val="004E7676"/>
  </w:style>
  <w:style w:type="character" w:customStyle="1" w:styleId="eop">
    <w:name w:val="eop"/>
    <w:basedOn w:val="Fuentedeprrafopredeter"/>
    <w:rsid w:val="004E7676"/>
  </w:style>
  <w:style w:type="table" w:styleId="Tabladecuadrcula6concolores">
    <w:name w:val="Grid Table 6 Colorful"/>
    <w:basedOn w:val="Tablanormal"/>
    <w:uiPriority w:val="51"/>
    <w:rsid w:val="008A54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TableNormal0"/>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f.gob.mx/nota_detalle.php?codigo=5492254&amp;fecha=28/07/201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ortalanterior.ine.mx/archivos2/tutoriales/sistemas/ApoyoInstitucional/SIF/docs/candidatos/folioFiscalFactura.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Zp17TCdXLqcP12KNARBt6+99Xw==">CgMxLjAyDmguNnduOHFoM3FqeGhnMgloLjN6bnlzaDcyDmguaDY2MnJ1M2J1cG50Mg5oLmJ0c2ExdGppejIxbDIOaC5yZ25pcjJiM2d3eDQyDmgubnNpM2R2M2c4N2l6Mg5oLmxuZ2NraTh5cTd3czIOaC5uZXdtZ2hycTZqczYyCWguMXQzaDVzZjIJaC40ZDM0b2c4MgloLjJzOGV5bzEyDmgucWk5Z2lnamZ6eDd0MghoLmxueGJ6OTIJaC4zNW5rdW4yMgloLjFrc3Y0dXY4AHIhMW51V1IyTEZqdnVkdFJLUlVCUWRJVHVTVjllY0JtWG55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Pages>
  <Words>6255</Words>
  <Characters>34404</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13</cp:revision>
  <cp:lastPrinted>2026-02-09T17:40:00Z</cp:lastPrinted>
  <dcterms:created xsi:type="dcterms:W3CDTF">2026-01-22T03:19:00Z</dcterms:created>
  <dcterms:modified xsi:type="dcterms:W3CDTF">2026-02-16T23:36:00Z</dcterms:modified>
</cp:coreProperties>
</file>