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46B" w:rsidRPr="00DC3F7E" w:rsidRDefault="00E6346B" w:rsidP="00E6346B">
      <w:pPr>
        <w:spacing w:line="360" w:lineRule="auto"/>
        <w:jc w:val="both"/>
        <w:rPr>
          <w:rFonts w:ascii="Palatino Linotype" w:eastAsia="Palatino Linotype" w:hAnsi="Palatino Linotype" w:cs="Palatino Linotype"/>
        </w:rPr>
      </w:pPr>
      <w:bookmarkStart w:id="0" w:name="_heading=h.3dy6vkm" w:colFirst="0" w:colLast="0"/>
      <w:bookmarkStart w:id="1" w:name="_GoBack"/>
      <w:bookmarkEnd w:id="0"/>
      <w:bookmarkEnd w:id="1"/>
      <w:r w:rsidRPr="00DC3F7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Pr="00DC3F7E">
        <w:rPr>
          <w:rFonts w:ascii="Palatino Linotype" w:eastAsia="Palatino Linotype" w:hAnsi="Palatino Linotype" w:cs="Palatino Linotype"/>
          <w:b/>
        </w:rPr>
        <w:t>cinco</w:t>
      </w:r>
      <w:r w:rsidR="00DC3F7E">
        <w:rPr>
          <w:rFonts w:ascii="Palatino Linotype" w:eastAsia="Palatino Linotype" w:hAnsi="Palatino Linotype" w:cs="Palatino Linotype"/>
          <w:b/>
        </w:rPr>
        <w:t xml:space="preserve"> (05) </w:t>
      </w:r>
      <w:r w:rsidRPr="00DC3F7E">
        <w:rPr>
          <w:rFonts w:ascii="Palatino Linotype" w:eastAsia="Palatino Linotype" w:hAnsi="Palatino Linotype" w:cs="Palatino Linotype"/>
          <w:b/>
        </w:rPr>
        <w:t>de marzo de dos mil veintiséis</w:t>
      </w:r>
      <w:r w:rsidRPr="00DC3F7E">
        <w:rPr>
          <w:rFonts w:ascii="Palatino Linotype" w:eastAsia="Palatino Linotype" w:hAnsi="Palatino Linotype" w:cs="Palatino Linotype"/>
        </w:rPr>
        <w:t>.</w:t>
      </w:r>
    </w:p>
    <w:p w:rsidR="00E6346B" w:rsidRPr="00DC3F7E" w:rsidRDefault="00E6346B" w:rsidP="00E6346B">
      <w:pPr>
        <w:spacing w:line="360" w:lineRule="auto"/>
        <w:jc w:val="both"/>
        <w:rPr>
          <w:rFonts w:ascii="Palatino Linotype" w:eastAsia="Palatino Linotype" w:hAnsi="Palatino Linotype" w:cs="Palatino Linotype"/>
        </w:rPr>
      </w:pPr>
    </w:p>
    <w:p w:rsidR="00E6346B" w:rsidRPr="00DC3F7E" w:rsidRDefault="00E6346B" w:rsidP="00E6346B">
      <w:pPr>
        <w:spacing w:line="360" w:lineRule="auto"/>
        <w:jc w:val="both"/>
        <w:rPr>
          <w:rFonts w:ascii="Palatino Linotype" w:eastAsia="Palatino Linotype" w:hAnsi="Palatino Linotype" w:cs="Palatino Linotype"/>
        </w:rPr>
      </w:pPr>
      <w:r w:rsidRPr="00DC3F7E">
        <w:rPr>
          <w:rFonts w:ascii="Palatino Linotype" w:eastAsia="Palatino Linotype" w:hAnsi="Palatino Linotype" w:cs="Palatino Linotype"/>
          <w:b/>
        </w:rPr>
        <w:t>VISTO</w:t>
      </w:r>
      <w:r w:rsidRPr="00DC3F7E">
        <w:rPr>
          <w:rFonts w:ascii="Palatino Linotype" w:eastAsia="Palatino Linotype" w:hAnsi="Palatino Linotype" w:cs="Palatino Linotype"/>
        </w:rPr>
        <w:t xml:space="preserve"> el expediente electrónico formado con motivo del recurso de revisión </w:t>
      </w:r>
      <w:r w:rsidRPr="00DC3F7E">
        <w:rPr>
          <w:rFonts w:ascii="Palatino Linotype" w:eastAsia="Palatino Linotype" w:hAnsi="Palatino Linotype" w:cs="Palatino Linotype"/>
          <w:b/>
        </w:rPr>
        <w:t xml:space="preserve">10063/INFOEM/IP/RR/2025, </w:t>
      </w:r>
      <w:r w:rsidRPr="00DC3F7E">
        <w:rPr>
          <w:rFonts w:ascii="Palatino Linotype" w:eastAsia="Palatino Linotype" w:hAnsi="Palatino Linotype" w:cs="Palatino Linotype"/>
        </w:rPr>
        <w:t>promovido por</w:t>
      </w:r>
      <w:r w:rsidRPr="00DC3F7E">
        <w:rPr>
          <w:rFonts w:ascii="Palatino Linotype" w:eastAsia="Palatino Linotype" w:hAnsi="Palatino Linotype" w:cs="Palatino Linotype"/>
          <w:b/>
          <w:bCs/>
          <w:color w:val="000000"/>
        </w:rPr>
        <w:t xml:space="preserve"> </w:t>
      </w:r>
      <w:r w:rsidR="00FA131C">
        <w:rPr>
          <w:rFonts w:ascii="Palatino Linotype" w:eastAsia="Palatino Linotype" w:hAnsi="Palatino Linotype" w:cs="Palatino Linotype"/>
          <w:b/>
          <w:bCs/>
          <w:color w:val="000000"/>
        </w:rPr>
        <w:t>XXXX</w:t>
      </w:r>
      <w:r w:rsidRPr="00DC3F7E">
        <w:rPr>
          <w:rFonts w:ascii="Palatino Linotype" w:eastAsia="Palatino Linotype" w:hAnsi="Palatino Linotype" w:cs="Palatino Linotype"/>
        </w:rPr>
        <w:t xml:space="preserve">, a quien en lo sucesivo se le identificará como </w:t>
      </w:r>
      <w:r w:rsidRPr="00DC3F7E">
        <w:rPr>
          <w:rFonts w:ascii="Palatino Linotype" w:eastAsia="Palatino Linotype" w:hAnsi="Palatino Linotype" w:cs="Palatino Linotype"/>
          <w:b/>
        </w:rPr>
        <w:t>el RECURRENTE</w:t>
      </w:r>
      <w:r w:rsidRPr="00DC3F7E">
        <w:rPr>
          <w:rFonts w:ascii="Palatino Linotype" w:eastAsia="Palatino Linotype" w:hAnsi="Palatino Linotype" w:cs="Palatino Linotype"/>
        </w:rPr>
        <w:t xml:space="preserve">, en contra de la respuesta del  </w:t>
      </w:r>
      <w:r w:rsidRPr="00DC3F7E">
        <w:rPr>
          <w:rFonts w:ascii="Palatino Linotype" w:eastAsia="Palatino Linotype" w:hAnsi="Palatino Linotype" w:cs="Palatino Linotype"/>
          <w:b/>
        </w:rPr>
        <w:t xml:space="preserve">Ayuntamiento de Mexicaltzingo, </w:t>
      </w:r>
      <w:r w:rsidRPr="00DC3F7E">
        <w:rPr>
          <w:rFonts w:ascii="Palatino Linotype" w:eastAsia="Palatino Linotype" w:hAnsi="Palatino Linotype" w:cs="Palatino Linotype"/>
        </w:rPr>
        <w:t>en adelante el</w:t>
      </w:r>
      <w:r w:rsidRPr="00DC3F7E">
        <w:rPr>
          <w:rFonts w:ascii="Palatino Linotype" w:eastAsia="Palatino Linotype" w:hAnsi="Palatino Linotype" w:cs="Palatino Linotype"/>
          <w:b/>
        </w:rPr>
        <w:t xml:space="preserve"> SUJETO OBLIGADO</w:t>
      </w:r>
      <w:r w:rsidRPr="00DC3F7E">
        <w:rPr>
          <w:rFonts w:ascii="Palatino Linotype" w:eastAsia="Palatino Linotype" w:hAnsi="Palatino Linotype" w:cs="Palatino Linotype"/>
        </w:rPr>
        <w:t>, se procede a dictar la presente resolución, con base en los siguientes:</w:t>
      </w:r>
    </w:p>
    <w:p w:rsidR="00E6346B" w:rsidRPr="00DC3F7E" w:rsidRDefault="00E6346B" w:rsidP="00E6346B">
      <w:pPr>
        <w:spacing w:line="360" w:lineRule="auto"/>
        <w:jc w:val="both"/>
        <w:rPr>
          <w:rFonts w:ascii="Palatino Linotype" w:eastAsia="Palatino Linotype" w:hAnsi="Palatino Linotype" w:cs="Palatino Linotype"/>
          <w:b/>
        </w:rPr>
      </w:pPr>
    </w:p>
    <w:p w:rsidR="00E6346B" w:rsidRPr="00DC3F7E" w:rsidRDefault="00E6346B" w:rsidP="00E6346B">
      <w:pPr>
        <w:pStyle w:val="Ttulo1"/>
        <w:spacing w:before="0" w:line="360" w:lineRule="auto"/>
        <w:jc w:val="center"/>
        <w:rPr>
          <w:rFonts w:ascii="Palatino Linotype" w:eastAsia="Palatino Linotype" w:hAnsi="Palatino Linotype" w:cs="Palatino Linotype"/>
          <w:b/>
          <w:color w:val="000000"/>
          <w:sz w:val="24"/>
          <w:szCs w:val="24"/>
        </w:rPr>
      </w:pPr>
      <w:bookmarkStart w:id="2" w:name="_heading=h.gjdgxs" w:colFirst="0" w:colLast="0"/>
      <w:bookmarkEnd w:id="2"/>
      <w:r w:rsidRPr="00DC3F7E">
        <w:rPr>
          <w:rFonts w:ascii="Palatino Linotype" w:eastAsia="Palatino Linotype" w:hAnsi="Palatino Linotype" w:cs="Palatino Linotype"/>
          <w:b/>
          <w:color w:val="000000"/>
          <w:sz w:val="24"/>
          <w:szCs w:val="24"/>
        </w:rPr>
        <w:t>A N T E C E D E N T E S</w:t>
      </w:r>
    </w:p>
    <w:p w:rsidR="00E6346B" w:rsidRPr="00DC3F7E" w:rsidRDefault="00E6346B" w:rsidP="00E6346B">
      <w:pPr>
        <w:rPr>
          <w:rFonts w:ascii="Palatino Linotype" w:hAnsi="Palatino Linotype"/>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DC3F7E">
        <w:rPr>
          <w:rFonts w:ascii="Palatino Linotype" w:eastAsia="Palatino Linotype" w:hAnsi="Palatino Linotype" w:cs="Palatino Linotype"/>
          <w:color w:val="000000"/>
        </w:rPr>
        <w:t>El día</w:t>
      </w:r>
      <w:r w:rsidRPr="00DC3F7E">
        <w:rPr>
          <w:rFonts w:ascii="Palatino Linotype" w:eastAsia="Palatino Linotype" w:hAnsi="Palatino Linotype" w:cs="Palatino Linotype"/>
          <w:b/>
          <w:color w:val="000000"/>
        </w:rPr>
        <w:t xml:space="preserve"> dieciocho de julio de dos mil veinticinco, </w:t>
      </w:r>
      <w:r w:rsidRPr="00DC3F7E">
        <w:rPr>
          <w:rFonts w:ascii="Palatino Linotype" w:eastAsia="Palatino Linotype" w:hAnsi="Palatino Linotype" w:cs="Palatino Linotype"/>
          <w:color w:val="000000"/>
        </w:rPr>
        <w:t xml:space="preserve">se presentó ante el </w:t>
      </w:r>
      <w:r w:rsidRPr="00DC3F7E">
        <w:rPr>
          <w:rFonts w:ascii="Palatino Linotype" w:eastAsia="Palatino Linotype" w:hAnsi="Palatino Linotype" w:cs="Palatino Linotype"/>
          <w:b/>
          <w:color w:val="000000"/>
        </w:rPr>
        <w:t>SUJETO OBLIGADO</w:t>
      </w:r>
      <w:r w:rsidRPr="00DC3F7E">
        <w:rPr>
          <w:rFonts w:ascii="Palatino Linotype" w:eastAsia="Palatino Linotype" w:hAnsi="Palatino Linotype" w:cs="Palatino Linotype"/>
          <w:color w:val="000000"/>
        </w:rPr>
        <w:t xml:space="preserve"> vía Sistema de Acceso a la Información, la solicitud de información pública registrada con el número</w:t>
      </w:r>
      <w:r w:rsidRPr="00DC3F7E">
        <w:rPr>
          <w:rFonts w:ascii="Palatino Linotype" w:eastAsia="Palatino Linotype" w:hAnsi="Palatino Linotype" w:cs="Palatino Linotype"/>
          <w:b/>
          <w:color w:val="000000"/>
        </w:rPr>
        <w:t xml:space="preserve"> 00442/MEXICAL/IP/2025;</w:t>
      </w:r>
      <w:r w:rsidRPr="00DC3F7E">
        <w:rPr>
          <w:rFonts w:ascii="Palatino Linotype" w:eastAsia="Palatino Linotype" w:hAnsi="Palatino Linotype" w:cs="Palatino Linotype"/>
          <w:color w:val="000000"/>
        </w:rPr>
        <w:t xml:space="preserve"> </w:t>
      </w:r>
      <w:r w:rsidRPr="00DC3F7E">
        <w:rPr>
          <w:rFonts w:ascii="Palatino Linotype" w:eastAsia="Palatino Linotype" w:hAnsi="Palatino Linotype" w:cs="Palatino Linotype"/>
        </w:rPr>
        <w:t xml:space="preserve">la solicitud de información consistió en obtener la siguiente </w:t>
      </w:r>
      <w:r w:rsidRPr="00DC3F7E">
        <w:rPr>
          <w:rFonts w:ascii="Palatino Linotype" w:eastAsia="Palatino Linotype" w:hAnsi="Palatino Linotype" w:cs="Palatino Linotype"/>
          <w:color w:val="000000"/>
        </w:rPr>
        <w:t>información:</w:t>
      </w:r>
    </w:p>
    <w:p w:rsidR="00E6346B" w:rsidRPr="00DC3F7E" w:rsidRDefault="00E6346B" w:rsidP="00E6346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346B" w:rsidRPr="00DC3F7E" w:rsidRDefault="00E6346B" w:rsidP="00E6346B">
      <w:pPr>
        <w:pBdr>
          <w:top w:val="nil"/>
          <w:left w:val="nil"/>
          <w:bottom w:val="nil"/>
          <w:right w:val="nil"/>
          <w:between w:val="nil"/>
        </w:pBdr>
        <w:ind w:left="1134" w:right="900"/>
        <w:jc w:val="both"/>
        <w:rPr>
          <w:rFonts w:ascii="Palatino Linotype" w:eastAsia="Palatino Linotype" w:hAnsi="Palatino Linotype" w:cs="Palatino Linotype"/>
          <w:color w:val="000000"/>
        </w:rPr>
      </w:pPr>
      <w:r w:rsidRPr="00DC3F7E">
        <w:rPr>
          <w:rFonts w:ascii="Palatino Linotype" w:eastAsia="Palatino Linotype" w:hAnsi="Palatino Linotype" w:cs="Palatino Linotype"/>
          <w:i/>
          <w:color w:val="000000"/>
        </w:rPr>
        <w:t>“</w:t>
      </w:r>
      <w:r w:rsidR="00B96D5D" w:rsidRPr="00DC3F7E">
        <w:rPr>
          <w:rFonts w:ascii="Palatino Linotype" w:eastAsia="Palatino Linotype" w:hAnsi="Palatino Linotype" w:cs="Palatino Linotype"/>
          <w:i/>
          <w:color w:val="000000"/>
        </w:rPr>
        <w:t>Listado de la maquinaria adquirida de 2022 a 2025 y costo Si compro vehículos quiero saber cuales fueron y su valor monetario</w:t>
      </w:r>
      <w:r w:rsidRPr="00DC3F7E">
        <w:rPr>
          <w:rFonts w:ascii="Palatino Linotype" w:eastAsia="Palatino Linotype" w:hAnsi="Palatino Linotype" w:cs="Palatino Linotype"/>
          <w:i/>
          <w:color w:val="000000"/>
        </w:rPr>
        <w:t>.”</w:t>
      </w:r>
    </w:p>
    <w:p w:rsidR="00E6346B" w:rsidRDefault="00E6346B" w:rsidP="00E6346B">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rsidR="00DC3F7E" w:rsidRPr="00DC3F7E" w:rsidRDefault="00DC3F7E" w:rsidP="00E6346B">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rsidR="00E6346B" w:rsidRPr="00DC3F7E" w:rsidRDefault="00E6346B" w:rsidP="00DC3F7E">
      <w:pPr>
        <w:numPr>
          <w:ilvl w:val="0"/>
          <w:numId w:val="2"/>
        </w:numPr>
        <w:pBdr>
          <w:top w:val="nil"/>
          <w:left w:val="nil"/>
          <w:bottom w:val="nil"/>
          <w:right w:val="nil"/>
          <w:between w:val="nil"/>
        </w:pBdr>
        <w:spacing w:line="360" w:lineRule="auto"/>
        <w:ind w:left="284" w:right="474"/>
        <w:jc w:val="both"/>
        <w:rPr>
          <w:rFonts w:ascii="Palatino Linotype" w:eastAsia="Palatino Linotype" w:hAnsi="Palatino Linotype" w:cs="Palatino Linotype"/>
          <w:color w:val="000000"/>
        </w:rPr>
      </w:pPr>
      <w:r w:rsidRPr="00DC3F7E">
        <w:rPr>
          <w:rFonts w:ascii="Palatino Linotype" w:eastAsia="Palatino Linotype" w:hAnsi="Palatino Linotype" w:cs="Palatino Linotype"/>
          <w:b/>
          <w:color w:val="000000"/>
        </w:rPr>
        <w:t>Se eligió como modalidad de entrega de la información</w:t>
      </w:r>
      <w:r w:rsidRPr="00DC3F7E">
        <w:rPr>
          <w:rFonts w:ascii="Palatino Linotype" w:eastAsia="Palatino Linotype" w:hAnsi="Palatino Linotype" w:cs="Palatino Linotype"/>
          <w:color w:val="000000"/>
        </w:rPr>
        <w:t>: el  Sistema de Acceso a la Información</w:t>
      </w:r>
      <w:r w:rsidRPr="00DC3F7E">
        <w:rPr>
          <w:rFonts w:ascii="Palatino Linotype" w:eastAsia="Palatino Linotype" w:hAnsi="Palatino Linotype" w:cs="Palatino Linotype"/>
          <w:b/>
          <w:color w:val="000000"/>
        </w:rPr>
        <w:t>.</w:t>
      </w:r>
    </w:p>
    <w:p w:rsidR="00E6346B" w:rsidRPr="00DC3F7E" w:rsidRDefault="00E6346B" w:rsidP="00E6346B">
      <w:pPr>
        <w:rPr>
          <w:rFonts w:ascii="Palatino Linotype" w:eastAsia="Palatino Linotype" w:hAnsi="Palatino Linotype" w:cs="Palatino Linotype"/>
          <w:color w:val="000000"/>
        </w:rPr>
      </w:pPr>
    </w:p>
    <w:p w:rsidR="00B96D5D" w:rsidRPr="00DC3F7E" w:rsidRDefault="00B96D5D"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DC3F7E">
        <w:rPr>
          <w:rFonts w:ascii="Palatino Linotype" w:hAnsi="Palatino Linotype"/>
          <w:color w:val="000000"/>
        </w:rPr>
        <w:lastRenderedPageBreak/>
        <w:t xml:space="preserve">El </w:t>
      </w:r>
      <w:r w:rsidRPr="00DC3F7E">
        <w:rPr>
          <w:rFonts w:ascii="Palatino Linotype" w:hAnsi="Palatino Linotype"/>
          <w:b/>
          <w:color w:val="000000"/>
        </w:rPr>
        <w:t xml:space="preserve">cuatro de agosto de dos mil veinticinco, </w:t>
      </w:r>
      <w:r w:rsidRPr="00DC3F7E">
        <w:rPr>
          <w:rFonts w:ascii="Palatino Linotype" w:hAnsi="Palatino Linotype"/>
          <w:color w:val="000000"/>
        </w:rPr>
        <w:t xml:space="preserve">el </w:t>
      </w:r>
      <w:r w:rsidRPr="00DC3F7E">
        <w:rPr>
          <w:rFonts w:ascii="Palatino Linotype" w:hAnsi="Palatino Linotype"/>
          <w:b/>
          <w:color w:val="000000"/>
        </w:rPr>
        <w:t xml:space="preserve">SUJETO OBLIGADO </w:t>
      </w:r>
      <w:r w:rsidRPr="00DC3F7E">
        <w:rPr>
          <w:rFonts w:ascii="Palatino Linotype" w:hAnsi="Palatino Linotype"/>
          <w:color w:val="000000"/>
        </w:rPr>
        <w:t xml:space="preserve">giro los requerimientos para que fuera atendida la solicitud de información </w:t>
      </w:r>
      <w:r w:rsidRPr="00DC3F7E">
        <w:rPr>
          <w:rFonts w:ascii="Palatino Linotype" w:eastAsia="Palatino Linotype" w:hAnsi="Palatino Linotype" w:cs="Palatino Linotype"/>
          <w:b/>
          <w:color w:val="000000"/>
        </w:rPr>
        <w:t xml:space="preserve">00442/MEXICAL/IP/2025. </w:t>
      </w:r>
    </w:p>
    <w:p w:rsidR="00DC3F7E" w:rsidRPr="00DC3F7E" w:rsidRDefault="00DC3F7E" w:rsidP="00DC3F7E">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DC3F7E">
        <w:rPr>
          <w:rFonts w:ascii="Palatino Linotype" w:eastAsia="Palatino Linotype" w:hAnsi="Palatino Linotype" w:cs="Palatino Linotype"/>
          <w:color w:val="000000"/>
        </w:rPr>
        <w:t xml:space="preserve">El </w:t>
      </w:r>
      <w:r w:rsidR="00BE1761" w:rsidRPr="00DC3F7E">
        <w:rPr>
          <w:rFonts w:ascii="Palatino Linotype" w:eastAsia="Palatino Linotype" w:hAnsi="Palatino Linotype" w:cs="Palatino Linotype"/>
          <w:b/>
          <w:color w:val="000000"/>
        </w:rPr>
        <w:t xml:space="preserve">veintidós </w:t>
      </w:r>
      <w:r w:rsidRPr="00DC3F7E">
        <w:rPr>
          <w:rFonts w:ascii="Palatino Linotype" w:eastAsia="Palatino Linotype" w:hAnsi="Palatino Linotype" w:cs="Palatino Linotype"/>
          <w:b/>
          <w:color w:val="000000"/>
        </w:rPr>
        <w:t>de agosto de dos mil veinticinco</w:t>
      </w:r>
      <w:r w:rsidRPr="00DC3F7E">
        <w:rPr>
          <w:rFonts w:ascii="Palatino Linotype" w:eastAsia="Palatino Linotype" w:hAnsi="Palatino Linotype" w:cs="Palatino Linotype"/>
          <w:color w:val="000000"/>
        </w:rPr>
        <w:t xml:space="preserve">, el </w:t>
      </w:r>
      <w:r w:rsidRPr="00DC3F7E">
        <w:rPr>
          <w:rFonts w:ascii="Palatino Linotype" w:eastAsia="Palatino Linotype" w:hAnsi="Palatino Linotype" w:cs="Palatino Linotype"/>
          <w:b/>
          <w:color w:val="000000"/>
        </w:rPr>
        <w:t>SUJETO OBLIGADO,</w:t>
      </w:r>
      <w:r w:rsidRPr="00DC3F7E">
        <w:rPr>
          <w:rFonts w:ascii="Palatino Linotype" w:eastAsia="Palatino Linotype" w:hAnsi="Palatino Linotype" w:cs="Palatino Linotype"/>
          <w:color w:val="000000"/>
        </w:rPr>
        <w:t xml:space="preserve"> dio respuesta mediante </w:t>
      </w:r>
      <w:r w:rsidR="00BE1761" w:rsidRPr="00DC3F7E">
        <w:rPr>
          <w:rFonts w:ascii="Palatino Linotype" w:eastAsia="Palatino Linotype" w:hAnsi="Palatino Linotype" w:cs="Palatino Linotype"/>
          <w:color w:val="000000"/>
        </w:rPr>
        <w:t>el Sistema SAIMEX</w:t>
      </w:r>
      <w:r w:rsidRPr="00DC3F7E">
        <w:rPr>
          <w:rFonts w:ascii="Palatino Linotype" w:eastAsia="Palatino Linotype" w:hAnsi="Palatino Linotype" w:cs="Palatino Linotype"/>
          <w:color w:val="000000"/>
        </w:rPr>
        <w:t xml:space="preserve">, </w:t>
      </w:r>
      <w:r w:rsidR="00BE1761" w:rsidRPr="00DC3F7E">
        <w:rPr>
          <w:rFonts w:ascii="Palatino Linotype" w:eastAsia="Palatino Linotype" w:hAnsi="Palatino Linotype" w:cs="Palatino Linotype"/>
          <w:color w:val="000000"/>
        </w:rPr>
        <w:t xml:space="preserve">de lo cual informo lo siguiente. </w:t>
      </w:r>
    </w:p>
    <w:p w:rsidR="00E6346B" w:rsidRPr="00DC3F7E" w:rsidRDefault="00E6346B" w:rsidP="00E6346B">
      <w:pPr>
        <w:pStyle w:val="Prrafodelista"/>
        <w:ind w:left="1134" w:right="900"/>
        <w:rPr>
          <w:rFonts w:ascii="Palatino Linotype" w:hAnsi="Palatino Linotype"/>
          <w:color w:val="000000"/>
        </w:rPr>
      </w:pPr>
    </w:p>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BE1761" w:rsidRPr="00DC3F7E" w:rsidTr="00BE1761">
        <w:trPr>
          <w:trHeight w:val="300"/>
          <w:tblCellSpacing w:w="0" w:type="dxa"/>
          <w:jc w:val="center"/>
        </w:trPr>
        <w:tc>
          <w:tcPr>
            <w:tcW w:w="0" w:type="auto"/>
            <w:vAlign w:val="center"/>
            <w:hideMark/>
          </w:tcPr>
          <w:p w:rsidR="00BE1761" w:rsidRPr="00DC3F7E" w:rsidRDefault="00BE1761" w:rsidP="00BE1761">
            <w:pPr>
              <w:jc w:val="right"/>
              <w:rPr>
                <w:rFonts w:ascii="Palatino Linotype" w:eastAsia="Times New Roman" w:hAnsi="Palatino Linotype" w:cs="Times New Roman"/>
                <w:i/>
                <w:lang w:val="es-MX" w:eastAsia="es-MX"/>
              </w:rPr>
            </w:pPr>
            <w:bookmarkStart w:id="3" w:name="_heading=h.9pf8vy1dgkhd" w:colFirst="0" w:colLast="0"/>
            <w:bookmarkEnd w:id="3"/>
            <w:r w:rsidRPr="00DC3F7E">
              <w:rPr>
                <w:rFonts w:ascii="Palatino Linotype" w:eastAsia="Times New Roman" w:hAnsi="Palatino Linotype" w:cs="Times New Roman"/>
                <w:i/>
                <w:lang w:val="es-MX" w:eastAsia="es-MX"/>
              </w:rPr>
              <w:t>Mexicaltzingo, México a 22 de Agosto de 2025</w:t>
            </w:r>
          </w:p>
        </w:tc>
      </w:tr>
      <w:tr w:rsidR="00BE1761" w:rsidRPr="00DC3F7E" w:rsidTr="00BE1761">
        <w:trPr>
          <w:trHeight w:val="300"/>
          <w:tblCellSpacing w:w="0" w:type="dxa"/>
          <w:jc w:val="center"/>
        </w:trPr>
        <w:tc>
          <w:tcPr>
            <w:tcW w:w="0" w:type="auto"/>
            <w:vAlign w:val="center"/>
            <w:hideMark/>
          </w:tcPr>
          <w:p w:rsidR="00BE1761" w:rsidRPr="00DC3F7E" w:rsidRDefault="00BE1761" w:rsidP="00BE1761">
            <w:pPr>
              <w:jc w:val="right"/>
              <w:rPr>
                <w:rFonts w:ascii="Palatino Linotype" w:eastAsia="Times New Roman" w:hAnsi="Palatino Linotype" w:cs="Times New Roman"/>
                <w:i/>
                <w:lang w:val="es-MX" w:eastAsia="es-MX"/>
              </w:rPr>
            </w:pPr>
            <w:r w:rsidRPr="00DC3F7E">
              <w:rPr>
                <w:rFonts w:ascii="Palatino Linotype" w:eastAsia="Times New Roman" w:hAnsi="Palatino Linotype" w:cs="Times New Roman"/>
                <w:i/>
                <w:lang w:val="es-MX" w:eastAsia="es-MX"/>
              </w:rPr>
              <w:t>Nombre del solicitante: C. Solicitante</w:t>
            </w:r>
          </w:p>
        </w:tc>
      </w:tr>
      <w:tr w:rsidR="00BE1761" w:rsidRPr="00DC3F7E" w:rsidTr="00BE1761">
        <w:trPr>
          <w:trHeight w:val="300"/>
          <w:tblCellSpacing w:w="0" w:type="dxa"/>
          <w:jc w:val="center"/>
        </w:trPr>
        <w:tc>
          <w:tcPr>
            <w:tcW w:w="0" w:type="auto"/>
            <w:vAlign w:val="center"/>
            <w:hideMark/>
          </w:tcPr>
          <w:p w:rsidR="00BE1761" w:rsidRPr="00DC3F7E" w:rsidRDefault="00BE1761" w:rsidP="00BE1761">
            <w:pPr>
              <w:jc w:val="right"/>
              <w:rPr>
                <w:rFonts w:ascii="Palatino Linotype" w:eastAsia="Times New Roman" w:hAnsi="Palatino Linotype" w:cs="Times New Roman"/>
                <w:i/>
                <w:lang w:val="es-MX" w:eastAsia="es-MX"/>
              </w:rPr>
            </w:pPr>
            <w:r w:rsidRPr="00DC3F7E">
              <w:rPr>
                <w:rFonts w:ascii="Palatino Linotype" w:eastAsia="Times New Roman" w:hAnsi="Palatino Linotype" w:cs="Times New Roman"/>
                <w:i/>
                <w:lang w:val="es-MX" w:eastAsia="es-MX"/>
              </w:rPr>
              <w:t>Folio de la solicitud: 00442/MEXICAL/IP/2025</w:t>
            </w:r>
          </w:p>
        </w:tc>
      </w:tr>
      <w:tr w:rsidR="00BE1761" w:rsidRPr="00DC3F7E" w:rsidTr="00BE1761">
        <w:trPr>
          <w:trHeight w:val="450"/>
          <w:tblCellSpacing w:w="0" w:type="dxa"/>
          <w:jc w:val="center"/>
        </w:trPr>
        <w:tc>
          <w:tcPr>
            <w:tcW w:w="0" w:type="auto"/>
            <w:vAlign w:val="center"/>
            <w:hideMark/>
          </w:tcPr>
          <w:p w:rsidR="00BE1761" w:rsidRPr="00DC3F7E" w:rsidRDefault="00BE1761" w:rsidP="00BE1761">
            <w:pPr>
              <w:jc w:val="right"/>
              <w:rPr>
                <w:rFonts w:ascii="Palatino Linotype" w:eastAsia="Times New Roman" w:hAnsi="Palatino Linotype" w:cs="Times New Roman"/>
                <w:i/>
                <w:lang w:val="es-MX" w:eastAsia="es-MX"/>
              </w:rPr>
            </w:pPr>
          </w:p>
        </w:tc>
      </w:tr>
      <w:tr w:rsidR="00BE1761" w:rsidRPr="00DC3F7E" w:rsidTr="00BE1761">
        <w:trPr>
          <w:trHeight w:val="150"/>
          <w:tblCellSpacing w:w="0" w:type="dxa"/>
          <w:jc w:val="center"/>
        </w:trPr>
        <w:tc>
          <w:tcPr>
            <w:tcW w:w="0" w:type="auto"/>
            <w:vAlign w:val="center"/>
            <w:hideMark/>
          </w:tcPr>
          <w:p w:rsidR="00BE1761" w:rsidRPr="00DC3F7E" w:rsidRDefault="00BE1761" w:rsidP="00BE1761">
            <w:pPr>
              <w:rPr>
                <w:rFonts w:ascii="Palatino Linotype" w:eastAsia="Times New Roman" w:hAnsi="Palatino Linotype" w:cs="Times New Roman"/>
                <w:i/>
                <w:lang w:val="es-MX" w:eastAsia="es-MX"/>
              </w:rPr>
            </w:pPr>
            <w:r w:rsidRPr="00DC3F7E">
              <w:rPr>
                <w:rFonts w:ascii="Palatino Linotype" w:eastAsia="Times New Roman" w:hAnsi="Palatino Linotype" w:cs="Times New Roman"/>
                <w:i/>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BE1761" w:rsidRPr="00DC3F7E" w:rsidTr="00BE1761">
        <w:trPr>
          <w:trHeight w:val="375"/>
          <w:tblCellSpacing w:w="0" w:type="dxa"/>
          <w:jc w:val="center"/>
        </w:trPr>
        <w:tc>
          <w:tcPr>
            <w:tcW w:w="0" w:type="auto"/>
            <w:vAlign w:val="center"/>
            <w:hideMark/>
          </w:tcPr>
          <w:p w:rsidR="00BE1761" w:rsidRPr="00DC3F7E" w:rsidRDefault="00BE1761" w:rsidP="00BE1761">
            <w:pPr>
              <w:rPr>
                <w:rFonts w:ascii="Palatino Linotype" w:eastAsia="Times New Roman" w:hAnsi="Palatino Linotype" w:cs="Times New Roman"/>
                <w:i/>
                <w:lang w:val="es-MX" w:eastAsia="es-MX"/>
              </w:rPr>
            </w:pPr>
          </w:p>
        </w:tc>
      </w:tr>
      <w:tr w:rsidR="00BE1761" w:rsidRPr="00DC3F7E" w:rsidTr="00BE1761">
        <w:trPr>
          <w:trHeight w:val="150"/>
          <w:tblCellSpacing w:w="0" w:type="dxa"/>
          <w:jc w:val="center"/>
        </w:trPr>
        <w:tc>
          <w:tcPr>
            <w:tcW w:w="0" w:type="auto"/>
            <w:vAlign w:val="center"/>
            <w:hideMark/>
          </w:tcPr>
          <w:p w:rsidR="00BE1761" w:rsidRPr="00DC3F7E" w:rsidRDefault="00BE1761" w:rsidP="00BE1761">
            <w:pPr>
              <w:rPr>
                <w:rFonts w:ascii="Palatino Linotype" w:eastAsia="Times New Roman" w:hAnsi="Palatino Linotype" w:cs="Times New Roman"/>
                <w:i/>
                <w:lang w:val="es-MX" w:eastAsia="es-MX"/>
              </w:rPr>
            </w:pPr>
            <w:r w:rsidRPr="00DC3F7E">
              <w:rPr>
                <w:rFonts w:ascii="Palatino Linotype" w:eastAsia="Times New Roman" w:hAnsi="Palatino Linotype" w:cs="Times New Roman"/>
                <w:i/>
                <w:lang w:val="es-MX" w:eastAsia="es-MX"/>
              </w:rPr>
              <w:t xml:space="preserve">Me permito compartir el Link donde puede consultarse la información solicitada. https://ipomex.org.mx/ipomex/#/info-fraccion/52/147/1 Respuesta realizada por la </w:t>
            </w:r>
            <w:r w:rsidRPr="00DC3F7E">
              <w:rPr>
                <w:rFonts w:ascii="Palatino Linotype" w:eastAsia="Times New Roman" w:hAnsi="Palatino Linotype" w:cs="Times New Roman"/>
                <w:b/>
                <w:i/>
                <w:lang w:val="es-MX" w:eastAsia="es-MX"/>
              </w:rPr>
              <w:t>Jefatura de Control Patrimonial y Operador de la Junta Municipal de Reclutamiento</w:t>
            </w:r>
            <w:r w:rsidRPr="00DC3F7E">
              <w:rPr>
                <w:rFonts w:ascii="Palatino Linotype" w:eastAsia="Times New Roman" w:hAnsi="Palatino Linotype" w:cs="Times New Roman"/>
                <w:i/>
                <w:lang w:val="es-MX" w:eastAsia="es-MX"/>
              </w:rPr>
              <w:t xml:space="preserve">. Conforme a lo solicitado informo que, durante el ejercicio fiscal 2022 al 2025 se adquirió lo siguiente: </w:t>
            </w:r>
            <w:r w:rsidRPr="00DC3F7E">
              <w:rPr>
                <w:rFonts w:ascii="Palatino Linotype" w:eastAsia="Times New Roman" w:hAnsi="Palatino Linotype" w:cs="Times New Roman"/>
                <w:b/>
                <w:i/>
                <w:lang w:val="es-MX" w:eastAsia="es-MX"/>
              </w:rPr>
              <w:t>Vehículo de uso para drenaje (vactor) $1,102,000.00 Camión rabón tipo pipa $1,160,000.00 Retroexcavadora $121,000.00 Ambulancia $1,102,000.00 Respuesta realizada por la Tesorería Municipal</w:t>
            </w:r>
          </w:p>
        </w:tc>
      </w:tr>
      <w:tr w:rsidR="00BE1761" w:rsidRPr="00DC3F7E" w:rsidTr="00BE1761">
        <w:trPr>
          <w:trHeight w:val="375"/>
          <w:tblCellSpacing w:w="0" w:type="dxa"/>
          <w:jc w:val="center"/>
        </w:trPr>
        <w:tc>
          <w:tcPr>
            <w:tcW w:w="0" w:type="auto"/>
            <w:vAlign w:val="center"/>
            <w:hideMark/>
          </w:tcPr>
          <w:p w:rsidR="00BE1761" w:rsidRPr="00DC3F7E" w:rsidRDefault="00BE1761" w:rsidP="00BE1761">
            <w:pPr>
              <w:rPr>
                <w:rFonts w:ascii="Palatino Linotype" w:eastAsia="Times New Roman" w:hAnsi="Palatino Linotype" w:cs="Times New Roman"/>
                <w:i/>
                <w:lang w:val="es-MX" w:eastAsia="es-MX"/>
              </w:rPr>
            </w:pPr>
          </w:p>
        </w:tc>
      </w:tr>
      <w:tr w:rsidR="00BE1761" w:rsidRPr="00DC3F7E" w:rsidTr="00BE1761">
        <w:trPr>
          <w:trHeight w:val="150"/>
          <w:tblCellSpacing w:w="0" w:type="dxa"/>
          <w:jc w:val="center"/>
        </w:trPr>
        <w:tc>
          <w:tcPr>
            <w:tcW w:w="0" w:type="auto"/>
            <w:vAlign w:val="center"/>
            <w:hideMark/>
          </w:tcPr>
          <w:p w:rsidR="00BE1761" w:rsidRPr="00DC3F7E" w:rsidRDefault="00BE1761" w:rsidP="00BE1761">
            <w:pPr>
              <w:jc w:val="center"/>
              <w:rPr>
                <w:rFonts w:ascii="Palatino Linotype" w:eastAsia="Times New Roman" w:hAnsi="Palatino Linotype" w:cs="Times New Roman"/>
                <w:i/>
                <w:lang w:val="es-MX" w:eastAsia="es-MX"/>
              </w:rPr>
            </w:pPr>
          </w:p>
        </w:tc>
      </w:tr>
      <w:tr w:rsidR="00BE1761" w:rsidRPr="00DC3F7E" w:rsidTr="00BE1761">
        <w:trPr>
          <w:trHeight w:val="150"/>
          <w:tblCellSpacing w:w="0" w:type="dxa"/>
          <w:jc w:val="center"/>
        </w:trPr>
        <w:tc>
          <w:tcPr>
            <w:tcW w:w="0" w:type="auto"/>
            <w:vAlign w:val="center"/>
            <w:hideMark/>
          </w:tcPr>
          <w:p w:rsidR="00BE1761" w:rsidRPr="00DC3F7E" w:rsidRDefault="00BE1761" w:rsidP="00BE1761">
            <w:pPr>
              <w:rPr>
                <w:rFonts w:ascii="Palatino Linotype" w:eastAsia="Times New Roman" w:hAnsi="Palatino Linotype" w:cs="Times New Roman"/>
                <w:i/>
                <w:lang w:val="es-MX" w:eastAsia="es-MX"/>
              </w:rPr>
            </w:pPr>
          </w:p>
        </w:tc>
      </w:tr>
      <w:tr w:rsidR="00BE1761" w:rsidRPr="00DC3F7E" w:rsidTr="00BE1761">
        <w:trPr>
          <w:trHeight w:val="150"/>
          <w:tblCellSpacing w:w="0" w:type="dxa"/>
          <w:jc w:val="center"/>
        </w:trPr>
        <w:tc>
          <w:tcPr>
            <w:tcW w:w="0" w:type="auto"/>
            <w:vAlign w:val="center"/>
            <w:hideMark/>
          </w:tcPr>
          <w:p w:rsidR="00BE1761" w:rsidRPr="00DC3F7E" w:rsidRDefault="00BE1761" w:rsidP="00BE1761">
            <w:pPr>
              <w:rPr>
                <w:rFonts w:ascii="Palatino Linotype" w:eastAsia="Times New Roman" w:hAnsi="Palatino Linotype" w:cs="Times New Roman"/>
                <w:i/>
                <w:lang w:val="es-MX" w:eastAsia="es-MX"/>
              </w:rPr>
            </w:pPr>
            <w:r w:rsidRPr="00DC3F7E">
              <w:rPr>
                <w:rFonts w:ascii="Palatino Linotype" w:eastAsia="Times New Roman" w:hAnsi="Palatino Linotype" w:cs="Times New Roman"/>
                <w:i/>
                <w:lang w:val="es-MX" w:eastAsia="es-MX"/>
              </w:rPr>
              <w:t>ATENTAMENTE</w:t>
            </w:r>
          </w:p>
        </w:tc>
      </w:tr>
      <w:tr w:rsidR="00BE1761" w:rsidRPr="00DC3F7E" w:rsidTr="00BE1761">
        <w:trPr>
          <w:trHeight w:val="225"/>
          <w:tblCellSpacing w:w="0" w:type="dxa"/>
          <w:jc w:val="center"/>
        </w:trPr>
        <w:tc>
          <w:tcPr>
            <w:tcW w:w="0" w:type="auto"/>
            <w:vAlign w:val="center"/>
            <w:hideMark/>
          </w:tcPr>
          <w:p w:rsidR="00BE1761" w:rsidRPr="00DC3F7E" w:rsidRDefault="00BE1761" w:rsidP="00BE1761">
            <w:pPr>
              <w:rPr>
                <w:rFonts w:ascii="Palatino Linotype" w:eastAsia="Times New Roman" w:hAnsi="Palatino Linotype" w:cs="Times New Roman"/>
                <w:i/>
                <w:lang w:val="es-MX" w:eastAsia="es-MX"/>
              </w:rPr>
            </w:pPr>
          </w:p>
        </w:tc>
      </w:tr>
      <w:tr w:rsidR="00BE1761" w:rsidRPr="00DC3F7E" w:rsidTr="00BE1761">
        <w:trPr>
          <w:trHeight w:val="150"/>
          <w:tblCellSpacing w:w="0" w:type="dxa"/>
          <w:jc w:val="center"/>
        </w:trPr>
        <w:tc>
          <w:tcPr>
            <w:tcW w:w="0" w:type="auto"/>
            <w:vAlign w:val="center"/>
            <w:hideMark/>
          </w:tcPr>
          <w:p w:rsidR="00BE1761" w:rsidRPr="00DC3F7E" w:rsidRDefault="00BE1761" w:rsidP="00BE1761">
            <w:pPr>
              <w:rPr>
                <w:rFonts w:ascii="Palatino Linotype" w:eastAsia="Times New Roman" w:hAnsi="Palatino Linotype" w:cs="Times New Roman"/>
                <w:i/>
                <w:lang w:val="es-MX" w:eastAsia="es-MX"/>
              </w:rPr>
            </w:pPr>
            <w:r w:rsidRPr="00DC3F7E">
              <w:rPr>
                <w:rFonts w:ascii="Palatino Linotype" w:eastAsia="Times New Roman" w:hAnsi="Palatino Linotype" w:cs="Times New Roman"/>
                <w:i/>
                <w:lang w:val="es-MX" w:eastAsia="es-MX"/>
              </w:rPr>
              <w:t>BERTHA LOPEZ SANCHEZ</w:t>
            </w:r>
          </w:p>
        </w:tc>
      </w:tr>
    </w:tbl>
    <w:p w:rsidR="00BE1761" w:rsidRDefault="00BE1761" w:rsidP="00BE176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rPr>
      </w:pPr>
    </w:p>
    <w:p w:rsidR="00DC3F7E" w:rsidRPr="00DC3F7E" w:rsidRDefault="00DC3F7E" w:rsidP="00BE176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color w:val="000000"/>
        </w:rPr>
        <w:t>El</w:t>
      </w:r>
      <w:r w:rsidRPr="00DC3F7E">
        <w:rPr>
          <w:rFonts w:ascii="Palatino Linotype" w:eastAsia="Palatino Linotype" w:hAnsi="Palatino Linotype" w:cs="Palatino Linotype"/>
          <w:b/>
          <w:color w:val="000000"/>
        </w:rPr>
        <w:t xml:space="preserve"> </w:t>
      </w:r>
      <w:r w:rsidR="00BE1761" w:rsidRPr="00DC3F7E">
        <w:rPr>
          <w:rFonts w:ascii="Palatino Linotype" w:eastAsia="Palatino Linotype" w:hAnsi="Palatino Linotype" w:cs="Palatino Linotype"/>
          <w:b/>
          <w:color w:val="000000"/>
        </w:rPr>
        <w:t>veintiséis</w:t>
      </w:r>
      <w:r w:rsidRPr="00DC3F7E">
        <w:rPr>
          <w:rFonts w:ascii="Palatino Linotype" w:eastAsia="Palatino Linotype" w:hAnsi="Palatino Linotype" w:cs="Palatino Linotype"/>
          <w:b/>
          <w:color w:val="000000"/>
        </w:rPr>
        <w:t xml:space="preserve"> de agosto de dos mil veinticinco</w:t>
      </w:r>
      <w:r w:rsidRPr="00DC3F7E">
        <w:rPr>
          <w:rFonts w:ascii="Palatino Linotype" w:eastAsia="Palatino Linotype" w:hAnsi="Palatino Linotype" w:cs="Palatino Linotype"/>
          <w:color w:val="000000"/>
        </w:rPr>
        <w:t>, el particular interpuso el recurso de revisión en contra de la respuesta, manifestando las siguientes razones o motivos de inconformidad:</w:t>
      </w:r>
    </w:p>
    <w:p w:rsidR="00E6346B" w:rsidRPr="00DC3F7E" w:rsidRDefault="00DC3F7E" w:rsidP="00DC3F7E">
      <w:pPr>
        <w:numPr>
          <w:ilvl w:val="0"/>
          <w:numId w:val="3"/>
        </w:numPr>
        <w:pBdr>
          <w:top w:val="nil"/>
          <w:left w:val="nil"/>
          <w:bottom w:val="nil"/>
          <w:right w:val="nil"/>
          <w:between w:val="nil"/>
        </w:pBdr>
        <w:ind w:left="993" w:right="900" w:hanging="426"/>
        <w:jc w:val="both"/>
        <w:rPr>
          <w:rFonts w:ascii="Palatino Linotype" w:eastAsia="Palatino Linotype" w:hAnsi="Palatino Linotype" w:cs="Palatino Linotype"/>
          <w:i/>
          <w:color w:val="000000"/>
        </w:rPr>
      </w:pPr>
      <w:bookmarkStart w:id="4" w:name="_heading=h.bu48n3507cx8" w:colFirst="0" w:colLast="0"/>
      <w:bookmarkEnd w:id="4"/>
      <w:r w:rsidRPr="00DC3F7E">
        <w:rPr>
          <w:rFonts w:ascii="Palatino Linotype" w:eastAsia="Palatino Linotype" w:hAnsi="Palatino Linotype" w:cs="Palatino Linotype"/>
          <w:b/>
          <w:color w:val="000000"/>
        </w:rPr>
        <w:lastRenderedPageBreak/>
        <w:t>ACTO IMPUGNADO</w:t>
      </w:r>
      <w:r w:rsidR="00E6346B" w:rsidRPr="00DC3F7E">
        <w:rPr>
          <w:rFonts w:ascii="Palatino Linotype" w:eastAsia="Palatino Linotype" w:hAnsi="Palatino Linotype" w:cs="Palatino Linotype"/>
          <w:b/>
          <w:color w:val="000000"/>
        </w:rPr>
        <w:t xml:space="preserve">: </w:t>
      </w:r>
      <w:r w:rsidR="00E6346B" w:rsidRPr="00DC3F7E">
        <w:rPr>
          <w:rFonts w:ascii="Palatino Linotype" w:eastAsia="Palatino Linotype" w:hAnsi="Palatino Linotype" w:cs="Palatino Linotype"/>
          <w:i/>
          <w:color w:val="000000"/>
        </w:rPr>
        <w:t>“</w:t>
      </w:r>
      <w:r w:rsidR="00BE1761" w:rsidRPr="00DC3F7E">
        <w:rPr>
          <w:rFonts w:ascii="Palatino Linotype" w:eastAsia="Palatino Linotype" w:hAnsi="Palatino Linotype" w:cs="Palatino Linotype"/>
          <w:i/>
          <w:color w:val="000000"/>
        </w:rPr>
        <w:t>Se niega a entregar lo so ilucitado</w:t>
      </w:r>
      <w:r w:rsidR="00E6346B" w:rsidRPr="00DC3F7E">
        <w:rPr>
          <w:rFonts w:ascii="Palatino Linotype" w:eastAsia="Palatino Linotype" w:hAnsi="Palatino Linotype" w:cs="Palatino Linotype"/>
          <w:i/>
          <w:color w:val="000000"/>
        </w:rPr>
        <w:t>”</w:t>
      </w:r>
    </w:p>
    <w:p w:rsidR="00E6346B" w:rsidRPr="00DC3F7E" w:rsidRDefault="00E6346B" w:rsidP="00DC3F7E">
      <w:pPr>
        <w:pBdr>
          <w:top w:val="nil"/>
          <w:left w:val="nil"/>
          <w:bottom w:val="nil"/>
          <w:right w:val="nil"/>
          <w:between w:val="nil"/>
        </w:pBdr>
        <w:tabs>
          <w:tab w:val="left" w:pos="7020"/>
        </w:tabs>
        <w:ind w:left="993" w:right="900" w:hanging="426"/>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i/>
          <w:color w:val="000000"/>
        </w:rPr>
        <w:tab/>
      </w:r>
    </w:p>
    <w:p w:rsidR="00E6346B" w:rsidRPr="00DC3F7E" w:rsidRDefault="00DC3F7E" w:rsidP="00DC3F7E">
      <w:pPr>
        <w:numPr>
          <w:ilvl w:val="0"/>
          <w:numId w:val="3"/>
        </w:numPr>
        <w:pBdr>
          <w:top w:val="nil"/>
          <w:left w:val="nil"/>
          <w:bottom w:val="nil"/>
          <w:right w:val="nil"/>
          <w:between w:val="nil"/>
        </w:pBdr>
        <w:ind w:left="993" w:right="900" w:hanging="426"/>
        <w:jc w:val="both"/>
        <w:rPr>
          <w:rFonts w:ascii="Palatino Linotype" w:eastAsia="Palatino Linotype" w:hAnsi="Palatino Linotype" w:cs="Palatino Linotype"/>
          <w:b/>
          <w:i/>
          <w:color w:val="000000"/>
        </w:rPr>
      </w:pPr>
      <w:bookmarkStart w:id="5" w:name="_heading=h.966ghff0b3fn" w:colFirst="0" w:colLast="0"/>
      <w:bookmarkEnd w:id="5"/>
      <w:r w:rsidRPr="00DC3F7E">
        <w:rPr>
          <w:rFonts w:ascii="Palatino Linotype" w:eastAsia="Palatino Linotype" w:hAnsi="Palatino Linotype" w:cs="Palatino Linotype"/>
          <w:b/>
          <w:color w:val="000000"/>
        </w:rPr>
        <w:t>RAZONES O MOTIVOS DE INCONFORMIDAD</w:t>
      </w:r>
      <w:r w:rsidR="00E6346B" w:rsidRPr="00DC3F7E">
        <w:rPr>
          <w:rFonts w:ascii="Palatino Linotype" w:eastAsia="Palatino Linotype" w:hAnsi="Palatino Linotype" w:cs="Palatino Linotype"/>
          <w:b/>
          <w:color w:val="000000"/>
        </w:rPr>
        <w:t xml:space="preserve">: </w:t>
      </w:r>
      <w:r w:rsidR="00E6346B" w:rsidRPr="00DC3F7E">
        <w:rPr>
          <w:rFonts w:ascii="Palatino Linotype" w:eastAsia="Palatino Linotype" w:hAnsi="Palatino Linotype" w:cs="Palatino Linotype"/>
          <w:i/>
          <w:color w:val="000000"/>
        </w:rPr>
        <w:t>“</w:t>
      </w:r>
      <w:r w:rsidR="00BE1761" w:rsidRPr="00DC3F7E">
        <w:rPr>
          <w:rFonts w:ascii="Palatino Linotype" w:eastAsia="Palatino Linotype" w:hAnsi="Palatino Linotype" w:cs="Palatino Linotype"/>
          <w:i/>
          <w:color w:val="000000"/>
        </w:rPr>
        <w:t>Negativa del área</w:t>
      </w:r>
      <w:r w:rsidR="00E6346B" w:rsidRPr="00DC3F7E">
        <w:rPr>
          <w:rFonts w:ascii="Palatino Linotype" w:eastAsia="Palatino Linotype" w:hAnsi="Palatino Linotype" w:cs="Palatino Linotype"/>
          <w:i/>
          <w:color w:val="000000"/>
        </w:rPr>
        <w:t>.”</w:t>
      </w:r>
    </w:p>
    <w:p w:rsidR="00E6346B" w:rsidRPr="00DC3F7E" w:rsidRDefault="00E6346B" w:rsidP="00E6346B">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E6346B" w:rsidRPr="00DC3F7E" w:rsidRDefault="00DC3F7E"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Pr>
          <w:rFonts w:ascii="Palatino Linotype" w:eastAsia="Palatino Linotype" w:hAnsi="Palatino Linotype" w:cs="Palatino Linotype"/>
          <w:color w:val="000000"/>
        </w:rPr>
        <w:t>La Comisionada p</w:t>
      </w:r>
      <w:r w:rsidR="00E6346B" w:rsidRPr="00DC3F7E">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fecha </w:t>
      </w:r>
      <w:r w:rsidR="00BE1761" w:rsidRPr="00DC3F7E">
        <w:rPr>
          <w:rFonts w:ascii="Palatino Linotype" w:eastAsia="Palatino Linotype" w:hAnsi="Palatino Linotype" w:cs="Palatino Linotype"/>
          <w:b/>
          <w:color w:val="000000"/>
        </w:rPr>
        <w:t xml:space="preserve">uno de septiembre </w:t>
      </w:r>
      <w:r w:rsidR="00E6346B" w:rsidRPr="00DC3F7E">
        <w:rPr>
          <w:rFonts w:ascii="Palatino Linotype" w:eastAsia="Palatino Linotype" w:hAnsi="Palatino Linotype" w:cs="Palatino Linotype"/>
          <w:b/>
          <w:color w:val="000000"/>
        </w:rPr>
        <w:t>de dos mil veinticinco</w:t>
      </w:r>
      <w:r w:rsidR="00E6346B" w:rsidRPr="00DC3F7E">
        <w:rPr>
          <w:rFonts w:ascii="Palatino Linotype" w:eastAsia="Palatino Linotype" w:hAnsi="Palatino Linotype" w:cs="Palatino Linotype"/>
          <w:color w:val="000000"/>
        </w:rPr>
        <w:t xml:space="preserve">, puso a disposición de las partes el expediente electrónico vía </w:t>
      </w:r>
      <w:r w:rsidR="00E6346B" w:rsidRPr="00DC3F7E">
        <w:rPr>
          <w:rFonts w:ascii="Palatino Linotype" w:eastAsia="Palatino Linotype" w:hAnsi="Palatino Linotype" w:cs="Palatino Linotype"/>
          <w:b/>
          <w:color w:val="000000"/>
        </w:rPr>
        <w:t xml:space="preserve">SAIMEX </w:t>
      </w:r>
      <w:r w:rsidR="00E6346B" w:rsidRPr="00DC3F7E">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sidR="00E6346B" w:rsidRPr="00DC3F7E">
        <w:rPr>
          <w:rFonts w:ascii="Palatino Linotype" w:eastAsia="Palatino Linotype" w:hAnsi="Palatino Linotype" w:cs="Palatino Linotype"/>
          <w:b/>
          <w:color w:val="000000"/>
        </w:rPr>
        <w:t>SUJETO OBLIGADO</w:t>
      </w:r>
      <w:r w:rsidR="00E6346B" w:rsidRPr="00DC3F7E">
        <w:rPr>
          <w:rFonts w:ascii="Palatino Linotype" w:eastAsia="Palatino Linotype" w:hAnsi="Palatino Linotype" w:cs="Palatino Linotype"/>
          <w:color w:val="000000"/>
        </w:rPr>
        <w:t xml:space="preserve"> presentará el Informe Justificado procedente.</w:t>
      </w:r>
    </w:p>
    <w:p w:rsidR="00E6346B" w:rsidRPr="00DC3F7E" w:rsidRDefault="00E6346B" w:rsidP="00E6346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color w:val="000000"/>
        </w:rPr>
        <w:t xml:space="preserve">De lo anterior, tal y como se observa en el expediente electrónico el </w:t>
      </w:r>
      <w:r w:rsidR="00191A82" w:rsidRPr="00DC3F7E">
        <w:rPr>
          <w:rFonts w:ascii="Palatino Linotype" w:eastAsia="Palatino Linotype" w:hAnsi="Palatino Linotype" w:cs="Palatino Linotype"/>
          <w:b/>
          <w:color w:val="000000"/>
        </w:rPr>
        <w:t xml:space="preserve">nueve de septiembre </w:t>
      </w:r>
      <w:r w:rsidRPr="00DC3F7E">
        <w:rPr>
          <w:rFonts w:ascii="Palatino Linotype" w:eastAsia="Palatino Linotype" w:hAnsi="Palatino Linotype" w:cs="Palatino Linotype"/>
          <w:b/>
          <w:color w:val="000000"/>
        </w:rPr>
        <w:t>de dos mil veinticinco, el</w:t>
      </w:r>
      <w:r w:rsidRPr="00DC3F7E">
        <w:rPr>
          <w:rFonts w:ascii="Palatino Linotype" w:eastAsia="Palatino Linotype" w:hAnsi="Palatino Linotype" w:cs="Palatino Linotype"/>
          <w:color w:val="000000"/>
        </w:rPr>
        <w:t xml:space="preserve"> </w:t>
      </w:r>
      <w:r w:rsidRPr="00DC3F7E">
        <w:rPr>
          <w:rFonts w:ascii="Palatino Linotype" w:eastAsia="Palatino Linotype" w:hAnsi="Palatino Linotype" w:cs="Palatino Linotype"/>
          <w:b/>
          <w:color w:val="000000"/>
        </w:rPr>
        <w:t xml:space="preserve">SUJETO OBLIGADO </w:t>
      </w:r>
      <w:r w:rsidRPr="00DC3F7E">
        <w:rPr>
          <w:rFonts w:ascii="Palatino Linotype" w:eastAsia="Palatino Linotype" w:hAnsi="Palatino Linotype" w:cs="Palatino Linotype"/>
          <w:color w:val="000000"/>
        </w:rPr>
        <w:t xml:space="preserve">entrego un archivo electrónico en formato pdf, cuyo contenido grosso modo es el siguiente. </w:t>
      </w:r>
    </w:p>
    <w:p w:rsidR="00E6346B" w:rsidRPr="00DC3F7E" w:rsidRDefault="00191A82" w:rsidP="00E6346B">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b/>
          <w:i/>
          <w:color w:val="000000"/>
        </w:rPr>
        <w:t>MANIFESTACIONES 10063 SOL. 442.pdf</w:t>
      </w:r>
      <w:r w:rsidRPr="00DC3F7E">
        <w:rPr>
          <w:rFonts w:ascii="Palatino Linotype" w:eastAsia="Palatino Linotype" w:hAnsi="Palatino Linotype" w:cs="Palatino Linotype"/>
          <w:i/>
          <w:color w:val="000000"/>
        </w:rPr>
        <w:t xml:space="preserve">: oficio del Jefe de Departamento de Control Patrimonial y Operador de la Junta Municipal de Reclutamiento, mediante el cual anexa una tabla de la cual refiere que </w:t>
      </w:r>
      <w:r w:rsidR="00CB1A46" w:rsidRPr="00DC3F7E">
        <w:rPr>
          <w:rFonts w:ascii="Palatino Linotype" w:eastAsia="Palatino Linotype" w:hAnsi="Palatino Linotype" w:cs="Palatino Linotype"/>
          <w:i/>
          <w:color w:val="000000"/>
        </w:rPr>
        <w:t xml:space="preserve">la maquinaria y los vehículos adquiridos fueron dieciséis, la tabla contiene el costo de adquisición y la fecha de alta de los bienes. </w:t>
      </w:r>
    </w:p>
    <w:p w:rsidR="00E6346B" w:rsidRDefault="00E6346B" w:rsidP="00E6346B">
      <w:pPr>
        <w:pBdr>
          <w:top w:val="nil"/>
          <w:left w:val="nil"/>
          <w:bottom w:val="nil"/>
          <w:right w:val="nil"/>
          <w:between w:val="nil"/>
        </w:pBdr>
        <w:ind w:left="1134" w:right="900"/>
        <w:jc w:val="both"/>
        <w:rPr>
          <w:rFonts w:ascii="Palatino Linotype" w:eastAsia="Palatino Linotype" w:hAnsi="Palatino Linotype" w:cs="Palatino Linotype"/>
          <w:i/>
          <w:color w:val="000000"/>
        </w:rPr>
      </w:pPr>
    </w:p>
    <w:p w:rsidR="00DC3F7E" w:rsidRPr="00DC3F7E" w:rsidRDefault="00DC3F7E" w:rsidP="00E6346B">
      <w:pPr>
        <w:pBdr>
          <w:top w:val="nil"/>
          <w:left w:val="nil"/>
          <w:bottom w:val="nil"/>
          <w:right w:val="nil"/>
          <w:between w:val="nil"/>
        </w:pBdr>
        <w:ind w:left="1134" w:right="900"/>
        <w:jc w:val="both"/>
        <w:rPr>
          <w:rFonts w:ascii="Palatino Linotype" w:eastAsia="Palatino Linotype" w:hAnsi="Palatino Linotype" w:cs="Palatino Linotype"/>
          <w:i/>
          <w:color w:val="000000"/>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color w:val="000000"/>
        </w:rPr>
        <w:t xml:space="preserve">Por su parte el </w:t>
      </w:r>
      <w:r w:rsidRPr="00DC3F7E">
        <w:rPr>
          <w:rFonts w:ascii="Palatino Linotype" w:eastAsia="Palatino Linotype" w:hAnsi="Palatino Linotype" w:cs="Palatino Linotype"/>
          <w:b/>
          <w:color w:val="000000"/>
        </w:rPr>
        <w:t xml:space="preserve">RECURRENTE </w:t>
      </w:r>
      <w:r w:rsidRPr="00DC3F7E">
        <w:rPr>
          <w:rFonts w:ascii="Palatino Linotype" w:eastAsia="Palatino Linotype" w:hAnsi="Palatino Linotype" w:cs="Palatino Linotype"/>
          <w:color w:val="000000"/>
        </w:rPr>
        <w:t xml:space="preserve">fue omiso en manifestar lo que a su derecho conviniera y asistiera. </w:t>
      </w:r>
    </w:p>
    <w:p w:rsidR="00E6346B" w:rsidRPr="00DC3F7E" w:rsidRDefault="00E6346B" w:rsidP="00E6346B">
      <w:pPr>
        <w:pBdr>
          <w:top w:val="nil"/>
          <w:left w:val="nil"/>
          <w:bottom w:val="nil"/>
          <w:right w:val="nil"/>
          <w:between w:val="nil"/>
        </w:pBdr>
        <w:tabs>
          <w:tab w:val="left" w:pos="0"/>
        </w:tabs>
        <w:spacing w:line="360" w:lineRule="auto"/>
        <w:ind w:right="49"/>
        <w:rPr>
          <w:rFonts w:ascii="Palatino Linotype" w:eastAsia="Palatino Linotype" w:hAnsi="Palatino Linotype" w:cs="Palatino Linotype"/>
          <w:i/>
          <w:color w:val="000000"/>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bookmarkStart w:id="6" w:name="_heading=h.l3xxakc7t6i0" w:colFirst="0" w:colLast="0"/>
      <w:bookmarkEnd w:id="6"/>
      <w:r w:rsidRPr="00DC3F7E">
        <w:rPr>
          <w:rFonts w:ascii="Palatino Linotype" w:eastAsia="Palatino Linotype" w:hAnsi="Palatino Linotype" w:cs="Palatino Linotype"/>
          <w:color w:val="000000"/>
        </w:rPr>
        <w:t xml:space="preserve">El </w:t>
      </w:r>
      <w:r w:rsidR="00AF207B" w:rsidRPr="00DC3F7E">
        <w:rPr>
          <w:rFonts w:ascii="Palatino Linotype" w:eastAsia="Palatino Linotype" w:hAnsi="Palatino Linotype" w:cs="Palatino Linotype"/>
          <w:b/>
          <w:color w:val="000000"/>
        </w:rPr>
        <w:t>veintiséis de febrero</w:t>
      </w:r>
      <w:r w:rsidRPr="00DC3F7E">
        <w:rPr>
          <w:rFonts w:ascii="Palatino Linotype" w:eastAsia="Palatino Linotype" w:hAnsi="Palatino Linotype" w:cs="Palatino Linotype"/>
          <w:b/>
          <w:color w:val="000000"/>
        </w:rPr>
        <w:t xml:space="preserve"> de dos mil veintiséis</w:t>
      </w:r>
      <w:r w:rsidRPr="00DC3F7E">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sidR="00DC3F7E">
        <w:rPr>
          <w:rFonts w:ascii="Palatino Linotype" w:eastAsia="Palatino Linotype" w:hAnsi="Palatino Linotype" w:cs="Palatino Linotype"/>
          <w:color w:val="000000"/>
        </w:rPr>
        <w:t>.</w:t>
      </w:r>
      <w:r w:rsidRPr="00DC3F7E">
        <w:rPr>
          <w:rFonts w:ascii="Palatino Linotype" w:eastAsia="Palatino Linotype" w:hAnsi="Palatino Linotype" w:cs="Palatino Linotype"/>
          <w:color w:val="000000"/>
        </w:rPr>
        <w:t xml:space="preserve"> </w:t>
      </w:r>
    </w:p>
    <w:p w:rsidR="00E6346B" w:rsidRPr="00DC3F7E" w:rsidRDefault="00DC3F7E"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Finalmente, la Comisionada p</w:t>
      </w:r>
      <w:r w:rsidR="00E6346B" w:rsidRPr="00DC3F7E">
        <w:rPr>
          <w:rFonts w:ascii="Palatino Linotype" w:eastAsia="Palatino Linotype" w:hAnsi="Palatino Linotype" w:cs="Palatino Linotype"/>
          <w:color w:val="000000"/>
        </w:rPr>
        <w:t>onente mediante acuerdo de fecha</w:t>
      </w:r>
      <w:r w:rsidR="00E6346B" w:rsidRPr="00DC3F7E">
        <w:rPr>
          <w:rFonts w:ascii="Palatino Linotype" w:eastAsia="Palatino Linotype" w:hAnsi="Palatino Linotype" w:cs="Palatino Linotype"/>
          <w:b/>
          <w:color w:val="000000"/>
        </w:rPr>
        <w:t xml:space="preserve"> </w:t>
      </w:r>
      <w:r w:rsidR="00AF207B" w:rsidRPr="00DC3F7E">
        <w:rPr>
          <w:rFonts w:ascii="Palatino Linotype" w:eastAsia="Palatino Linotype" w:hAnsi="Palatino Linotype" w:cs="Palatino Linotype"/>
          <w:b/>
          <w:color w:val="000000"/>
        </w:rPr>
        <w:t xml:space="preserve">cinco de marzo </w:t>
      </w:r>
      <w:r w:rsidR="00E6346B" w:rsidRPr="00DC3F7E">
        <w:rPr>
          <w:rFonts w:ascii="Palatino Linotype" w:eastAsia="Palatino Linotype" w:hAnsi="Palatino Linotype" w:cs="Palatino Linotype"/>
          <w:b/>
          <w:color w:val="000000"/>
        </w:rPr>
        <w:t>de dos mil veintiséis</w:t>
      </w:r>
      <w:r w:rsidR="00E6346B" w:rsidRPr="00DC3F7E">
        <w:rPr>
          <w:rFonts w:ascii="Palatino Linotype" w:eastAsia="Palatino Linotype" w:hAnsi="Palatino Linotype" w:cs="Palatino Linotype"/>
          <w:color w:val="000000"/>
        </w:rPr>
        <w:t>, decretó el cierre de instrucción de los expedientes, por lo que no habiendo más que hacer constar, y</w:t>
      </w:r>
    </w:p>
    <w:p w:rsidR="00E6346B" w:rsidRPr="00DC3F7E" w:rsidRDefault="00E6346B" w:rsidP="00E6346B">
      <w:pPr>
        <w:rPr>
          <w:rFonts w:ascii="Palatino Linotype" w:eastAsia="Palatino Linotype" w:hAnsi="Palatino Linotype" w:cs="Palatino Linotype"/>
          <w:b/>
          <w:color w:val="000000"/>
        </w:rPr>
      </w:pPr>
    </w:p>
    <w:p w:rsidR="00E6346B" w:rsidRPr="00DC3F7E" w:rsidRDefault="00E6346B" w:rsidP="00E6346B">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DC3F7E">
        <w:rPr>
          <w:rFonts w:ascii="Palatino Linotype" w:eastAsia="Palatino Linotype" w:hAnsi="Palatino Linotype" w:cs="Palatino Linotype"/>
          <w:b/>
          <w:color w:val="000000"/>
        </w:rPr>
        <w:t>C</w:t>
      </w:r>
      <w:r w:rsid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b/>
          <w:color w:val="000000"/>
        </w:rPr>
        <w:t>O</w:t>
      </w:r>
      <w:r w:rsid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b/>
          <w:color w:val="000000"/>
        </w:rPr>
        <w:t>N</w:t>
      </w:r>
      <w:r w:rsid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b/>
          <w:color w:val="000000"/>
        </w:rPr>
        <w:t>S</w:t>
      </w:r>
      <w:r w:rsid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b/>
          <w:color w:val="000000"/>
        </w:rPr>
        <w:t>I</w:t>
      </w:r>
      <w:r w:rsid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b/>
          <w:color w:val="000000"/>
        </w:rPr>
        <w:t>D</w:t>
      </w:r>
      <w:r w:rsid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b/>
          <w:color w:val="000000"/>
        </w:rPr>
        <w:t>E</w:t>
      </w:r>
      <w:r w:rsid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b/>
          <w:color w:val="000000"/>
        </w:rPr>
        <w:t>R</w:t>
      </w:r>
      <w:r w:rsid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b/>
          <w:color w:val="000000"/>
        </w:rPr>
        <w:t>A</w:t>
      </w:r>
      <w:r w:rsid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b/>
          <w:color w:val="000000"/>
        </w:rPr>
        <w:t>N</w:t>
      </w:r>
      <w:r w:rsid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b/>
          <w:color w:val="000000"/>
        </w:rPr>
        <w:t>D</w:t>
      </w:r>
      <w:r w:rsidR="00DC3F7E">
        <w:rPr>
          <w:rFonts w:ascii="Palatino Linotype" w:eastAsia="Palatino Linotype" w:hAnsi="Palatino Linotype" w:cs="Palatino Linotype"/>
          <w:b/>
          <w:color w:val="000000"/>
        </w:rPr>
        <w:t xml:space="preserve"> </w:t>
      </w:r>
      <w:r w:rsidRPr="00DC3F7E">
        <w:rPr>
          <w:rFonts w:ascii="Palatino Linotype" w:eastAsia="Palatino Linotype" w:hAnsi="Palatino Linotype" w:cs="Palatino Linotype"/>
          <w:b/>
          <w:color w:val="000000"/>
        </w:rPr>
        <w:t>O</w:t>
      </w:r>
    </w:p>
    <w:p w:rsidR="00E6346B" w:rsidRPr="00DC3F7E" w:rsidRDefault="00E6346B" w:rsidP="00E6346B">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rsidR="00E6346B" w:rsidRPr="00DC3F7E" w:rsidRDefault="00E6346B" w:rsidP="00E6346B">
      <w:pPr>
        <w:pStyle w:val="Ttulo2"/>
        <w:spacing w:before="0" w:line="360" w:lineRule="auto"/>
        <w:rPr>
          <w:rFonts w:ascii="Palatino Linotype" w:eastAsia="Palatino Linotype" w:hAnsi="Palatino Linotype" w:cs="Palatino Linotype"/>
          <w:b/>
          <w:color w:val="000000"/>
          <w:sz w:val="24"/>
          <w:szCs w:val="24"/>
        </w:rPr>
      </w:pPr>
      <w:bookmarkStart w:id="7" w:name="_heading=h.tgyb9poxpo9e" w:colFirst="0" w:colLast="0"/>
      <w:bookmarkEnd w:id="7"/>
      <w:r w:rsidRPr="00DC3F7E">
        <w:rPr>
          <w:rFonts w:ascii="Palatino Linotype" w:eastAsia="Palatino Linotype" w:hAnsi="Palatino Linotype" w:cs="Palatino Linotype"/>
          <w:b/>
          <w:color w:val="000000"/>
          <w:sz w:val="24"/>
          <w:szCs w:val="24"/>
        </w:rPr>
        <w:t>PRIMERO. De la competencia</w:t>
      </w: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color w:val="000000"/>
        </w:rPr>
      </w:pPr>
      <w:bookmarkStart w:id="8" w:name="_heading=h.8vqc9jp1uzo6" w:colFirst="0" w:colLast="0"/>
      <w:bookmarkEnd w:id="8"/>
      <w:r w:rsidRPr="00DC3F7E">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r w:rsidRPr="00DC3F7E">
        <w:rPr>
          <w:rFonts w:ascii="Palatino Linotype" w:eastAsia="Palatino Linotype" w:hAnsi="Palatino Linotype" w:cs="Palatino Linotype"/>
          <w:b/>
          <w:color w:val="000000"/>
        </w:rPr>
        <w:t>.</w:t>
      </w:r>
    </w:p>
    <w:p w:rsidR="00E6346B" w:rsidRPr="00DC3F7E" w:rsidRDefault="00E6346B" w:rsidP="00E6346B">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E6346B" w:rsidRPr="00DC3F7E" w:rsidRDefault="00E6346B" w:rsidP="00E6346B">
      <w:pPr>
        <w:spacing w:line="360" w:lineRule="auto"/>
        <w:rPr>
          <w:rFonts w:ascii="Palatino Linotype" w:eastAsia="Palatino Linotype" w:hAnsi="Palatino Linotype" w:cs="Palatino Linotype"/>
          <w:b/>
          <w:color w:val="000000"/>
        </w:rPr>
      </w:pPr>
      <w:r w:rsidRPr="00DC3F7E">
        <w:rPr>
          <w:rFonts w:ascii="Palatino Linotype" w:eastAsia="Palatino Linotype" w:hAnsi="Palatino Linotype" w:cs="Palatino Linotype"/>
          <w:b/>
          <w:color w:val="000000"/>
        </w:rPr>
        <w:t>SEGUNDO. De la oportunidad y procedencia.</w:t>
      </w: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C3F7E">
        <w:rPr>
          <w:rFonts w:ascii="Palatino Linotype" w:eastAsia="Palatino Linotype" w:hAnsi="Palatino Linotype" w:cs="Palatino Linotype"/>
          <w:color w:val="000000"/>
        </w:rPr>
        <w:t xml:space="preserve">El medio de impugnación fue presentado a través del </w:t>
      </w:r>
      <w:r w:rsidRPr="00DC3F7E">
        <w:rPr>
          <w:rFonts w:ascii="Palatino Linotype" w:eastAsia="Palatino Linotype" w:hAnsi="Palatino Linotype" w:cs="Palatino Linotype"/>
          <w:b/>
          <w:color w:val="000000"/>
        </w:rPr>
        <w:t>SAIMEX,</w:t>
      </w:r>
      <w:r w:rsidRPr="00DC3F7E">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DC3F7E">
        <w:rPr>
          <w:rFonts w:ascii="Palatino Linotype" w:eastAsia="Palatino Linotype" w:hAnsi="Palatino Linotype" w:cs="Palatino Linotype"/>
          <w:b/>
          <w:color w:val="000000"/>
        </w:rPr>
        <w:t>SUJETO OBLIGADO</w:t>
      </w:r>
      <w:r w:rsidRPr="00DC3F7E">
        <w:rPr>
          <w:rFonts w:ascii="Palatino Linotype" w:eastAsia="Palatino Linotype" w:hAnsi="Palatino Linotype" w:cs="Palatino Linotype"/>
          <w:color w:val="000000"/>
        </w:rPr>
        <w:t xml:space="preserve"> entregó su respuesta el </w:t>
      </w:r>
      <w:r w:rsidR="00AF207B" w:rsidRPr="00DC3F7E">
        <w:rPr>
          <w:rFonts w:ascii="Palatino Linotype" w:eastAsia="Palatino Linotype" w:hAnsi="Palatino Linotype" w:cs="Palatino Linotype"/>
          <w:b/>
          <w:color w:val="000000"/>
        </w:rPr>
        <w:t xml:space="preserve">veintidós </w:t>
      </w:r>
      <w:r w:rsidRPr="00DC3F7E">
        <w:rPr>
          <w:rFonts w:ascii="Palatino Linotype" w:eastAsia="Palatino Linotype" w:hAnsi="Palatino Linotype" w:cs="Palatino Linotype"/>
          <w:b/>
          <w:color w:val="000000"/>
        </w:rPr>
        <w:t>de agosto de dos mil veinticinco</w:t>
      </w:r>
      <w:r w:rsidRPr="00DC3F7E">
        <w:rPr>
          <w:rFonts w:ascii="Palatino Linotype" w:eastAsia="Palatino Linotype" w:hAnsi="Palatino Linotype" w:cs="Palatino Linotype"/>
          <w:color w:val="000000"/>
        </w:rPr>
        <w:t xml:space="preserve">, de tal forma que el plazo para interponer el recurso de revisión transcurrió del </w:t>
      </w:r>
      <w:r w:rsidR="00AF207B" w:rsidRPr="00DC3F7E">
        <w:rPr>
          <w:rFonts w:ascii="Palatino Linotype" w:eastAsia="Palatino Linotype" w:hAnsi="Palatino Linotype" w:cs="Palatino Linotype"/>
          <w:b/>
          <w:color w:val="000000"/>
        </w:rPr>
        <w:t>veinticinco de</w:t>
      </w:r>
      <w:r w:rsidRPr="00DC3F7E">
        <w:rPr>
          <w:rFonts w:ascii="Palatino Linotype" w:eastAsia="Palatino Linotype" w:hAnsi="Palatino Linotype" w:cs="Palatino Linotype"/>
          <w:b/>
          <w:color w:val="000000"/>
        </w:rPr>
        <w:t xml:space="preserve"> agosto</w:t>
      </w:r>
      <w:r w:rsidR="00AF207B" w:rsidRPr="00DC3F7E">
        <w:rPr>
          <w:rFonts w:ascii="Palatino Linotype" w:eastAsia="Palatino Linotype" w:hAnsi="Palatino Linotype" w:cs="Palatino Linotype"/>
          <w:b/>
          <w:color w:val="000000"/>
        </w:rPr>
        <w:t xml:space="preserve"> al doce de septiembre</w:t>
      </w:r>
      <w:r w:rsidRPr="00DC3F7E">
        <w:rPr>
          <w:rFonts w:ascii="Palatino Linotype" w:eastAsia="Palatino Linotype" w:hAnsi="Palatino Linotype" w:cs="Palatino Linotype"/>
          <w:b/>
          <w:color w:val="000000"/>
        </w:rPr>
        <w:t xml:space="preserve"> de dos mil veinticinco</w:t>
      </w:r>
      <w:r w:rsidRPr="00DC3F7E">
        <w:rPr>
          <w:rFonts w:ascii="Palatino Linotype" w:eastAsia="Palatino Linotype" w:hAnsi="Palatino Linotype" w:cs="Palatino Linotype"/>
          <w:color w:val="000000"/>
        </w:rPr>
        <w:t xml:space="preserve">; en consecuencia, el ahora </w:t>
      </w:r>
      <w:r w:rsidRPr="00DC3F7E">
        <w:rPr>
          <w:rFonts w:ascii="Palatino Linotype" w:eastAsia="Palatino Linotype" w:hAnsi="Palatino Linotype" w:cs="Palatino Linotype"/>
          <w:b/>
          <w:color w:val="000000"/>
        </w:rPr>
        <w:t>RECURRENTE</w:t>
      </w:r>
      <w:r w:rsidRPr="00DC3F7E">
        <w:rPr>
          <w:rFonts w:ascii="Palatino Linotype" w:eastAsia="Palatino Linotype" w:hAnsi="Palatino Linotype" w:cs="Palatino Linotype"/>
          <w:color w:val="000000"/>
        </w:rPr>
        <w:t xml:space="preserve"> presentó su inconformidad </w:t>
      </w:r>
      <w:r w:rsidRPr="00DC3F7E">
        <w:rPr>
          <w:rFonts w:ascii="Palatino Linotype" w:eastAsia="Palatino Linotype" w:hAnsi="Palatino Linotype" w:cs="Palatino Linotype"/>
          <w:color w:val="000000"/>
        </w:rPr>
        <w:lastRenderedPageBreak/>
        <w:t xml:space="preserve">el día </w:t>
      </w:r>
      <w:r w:rsidR="00AF207B" w:rsidRPr="00DC3F7E">
        <w:rPr>
          <w:rFonts w:ascii="Palatino Linotype" w:eastAsia="Palatino Linotype" w:hAnsi="Palatino Linotype" w:cs="Palatino Linotype"/>
          <w:b/>
          <w:color w:val="000000"/>
        </w:rPr>
        <w:t>veintiséis</w:t>
      </w:r>
      <w:r w:rsidRPr="00DC3F7E">
        <w:rPr>
          <w:rFonts w:ascii="Palatino Linotype" w:eastAsia="Palatino Linotype" w:hAnsi="Palatino Linotype" w:cs="Palatino Linotype"/>
          <w:b/>
          <w:color w:val="000000"/>
        </w:rPr>
        <w:t xml:space="preserve"> de agosto de dos mil veinticinco</w:t>
      </w:r>
      <w:r w:rsidRPr="00DC3F7E">
        <w:rPr>
          <w:rFonts w:ascii="Palatino Linotype" w:eastAsia="Palatino Linotype" w:hAnsi="Palatino Linotype" w:cs="Palatino Linotype"/>
          <w:color w:val="000000"/>
        </w:rPr>
        <w:t>; por lo que se estima que la inconformidad se presentó dentro del lapso legalmente establecido para tal efecto.</w:t>
      </w:r>
    </w:p>
    <w:p w:rsidR="00E6346B" w:rsidRPr="00DC3F7E" w:rsidRDefault="00E6346B" w:rsidP="00E6346B">
      <w:pPr>
        <w:rPr>
          <w:rFonts w:ascii="Palatino Linotype" w:eastAsia="Calibri" w:hAnsi="Palatino Linotype" w:cs="Arial"/>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libri" w:hAnsi="Palatino Linotype" w:cs="Arial"/>
        </w:rPr>
      </w:pPr>
      <w:r w:rsidRPr="00DC3F7E">
        <w:rPr>
          <w:rFonts w:ascii="Palatino Linotype" w:eastAsia="Calibri" w:hAnsi="Palatino Linotype" w:cs="Arial"/>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w:t>
      </w:r>
      <w:r w:rsidRPr="00DC3F7E">
        <w:rPr>
          <w:rFonts w:ascii="Palatino Linotype" w:eastAsia="Palatino Linotype" w:hAnsi="Palatino Linotype" w:cs="Palatino Linotype"/>
          <w:b/>
          <w:i/>
          <w:lang w:val="es-MX" w:eastAsia="es-MX"/>
        </w:rPr>
        <w:t>Las solicitudes anónimas</w:t>
      </w:r>
      <w:r w:rsidRPr="00DC3F7E">
        <w:rPr>
          <w:rFonts w:ascii="Palatino Linotype" w:eastAsia="Palatino Linotype" w:hAnsi="Palatino Linotype" w:cs="Palatino Linotype"/>
          <w:i/>
          <w:lang w:val="es-MX" w:eastAsia="es-MX"/>
        </w:rPr>
        <w:t xml:space="preserve">, con nombre incompleto o seudónimo </w:t>
      </w:r>
      <w:r w:rsidRPr="00DC3F7E">
        <w:rPr>
          <w:rFonts w:ascii="Palatino Linotype" w:eastAsia="Palatino Linotype" w:hAnsi="Palatino Linotype" w:cs="Palatino Linotype"/>
          <w:b/>
          <w:i/>
          <w:lang w:val="es-MX" w:eastAsia="es-MX"/>
        </w:rPr>
        <w:t>serán procedentes para su trámite por parte del sujeto obligado ante quien se presente</w:t>
      </w:r>
      <w:r w:rsidRPr="00DC3F7E">
        <w:rPr>
          <w:rFonts w:ascii="Palatino Linotype" w:eastAsia="Palatino Linotype" w:hAnsi="Palatino Linotype" w:cs="Palatino Linotype"/>
          <w:i/>
          <w:lang w:val="es-MX" w:eastAsia="es-MX"/>
        </w:rPr>
        <w:t>. No podrá requerirse información adicional con motivo del nombre proporcionado por el solicitante."</w:t>
      </w:r>
    </w:p>
    <w:p w:rsidR="00E6346B" w:rsidRPr="00DC3F7E" w:rsidRDefault="00E6346B" w:rsidP="00E6346B">
      <w:pPr>
        <w:spacing w:line="360" w:lineRule="auto"/>
        <w:jc w:val="both"/>
        <w:rPr>
          <w:rFonts w:ascii="Palatino Linotype" w:eastAsia="Palatino Linotype" w:hAnsi="Palatino Linotype" w:cs="Palatino Linotype"/>
          <w:lang w:val="es-MX" w:eastAsia="es-MX"/>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libri" w:hAnsi="Palatino Linotype" w:cs="Arial"/>
        </w:rPr>
      </w:pPr>
      <w:r w:rsidRPr="00DC3F7E">
        <w:rPr>
          <w:rFonts w:ascii="Palatino Linotype" w:eastAsia="Palatino Linotype" w:hAnsi="Palatino Linotype" w:cs="Palatino Linotype"/>
          <w:color w:val="000000"/>
        </w:rPr>
        <w:t>Robusteciendo</w:t>
      </w:r>
      <w:r w:rsidRPr="00DC3F7E">
        <w:rPr>
          <w:rFonts w:ascii="Palatino Linotype" w:eastAsia="Calibri" w:hAnsi="Palatino Linotype" w:cs="Arial"/>
        </w:rPr>
        <w:t xml:space="preserve"> lo anterior se encuentra lo dispuesto en el artículo 6, Apartado A, fracciones III de la Constitución Política de los Estados Unidos Mexicanos que establece:</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w:t>
      </w:r>
      <w:r w:rsidRPr="00DC3F7E">
        <w:rPr>
          <w:rFonts w:ascii="Palatino Linotype" w:eastAsia="Palatino Linotype" w:hAnsi="Palatino Linotype" w:cs="Palatino Linotype"/>
          <w:b/>
          <w:i/>
          <w:lang w:val="es-MX" w:eastAsia="es-MX"/>
        </w:rPr>
        <w:t>Artículo 6.-</w:t>
      </w:r>
      <w:r w:rsidRPr="00DC3F7E">
        <w:rPr>
          <w:rFonts w:ascii="Palatino Linotype" w:eastAsia="Palatino Linotype" w:hAnsi="Palatino Linotype" w:cs="Palatino Linotype"/>
          <w:i/>
          <w:lang w:val="es-MX" w:eastAsia="es-MX"/>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Para efectos de lo dispuesto en el presente artículo se observará lo siguiente:</w:t>
      </w:r>
    </w:p>
    <w:p w:rsidR="00E6346B" w:rsidRPr="00DC3F7E" w:rsidRDefault="00E6346B" w:rsidP="00E6346B">
      <w:pPr>
        <w:ind w:left="1134" w:right="900"/>
        <w:jc w:val="both"/>
        <w:rPr>
          <w:rFonts w:ascii="Palatino Linotype" w:eastAsia="Palatino Linotype" w:hAnsi="Palatino Linotype" w:cs="Palatino Linotype"/>
          <w:i/>
          <w:lang w:val="es-MX" w:eastAsia="es-MX"/>
        </w:rPr>
      </w:pP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A. Para el ejercicio del derecho de acceso a la información, la Federación, los Estados y el Distrito Federal, en el ámbito de sus respectivas competencias, se regirán por los siguientes principios y bases:</w:t>
      </w:r>
    </w:p>
    <w:p w:rsidR="00E6346B" w:rsidRPr="00DC3F7E" w:rsidRDefault="00E6346B" w:rsidP="00E6346B">
      <w:pPr>
        <w:ind w:left="1134" w:right="900"/>
        <w:jc w:val="both"/>
        <w:rPr>
          <w:rFonts w:ascii="Palatino Linotype" w:eastAsia="Palatino Linotype" w:hAnsi="Palatino Linotype" w:cs="Palatino Linotype"/>
          <w:i/>
          <w:lang w:val="es-MX" w:eastAsia="es-MX"/>
        </w:rPr>
      </w:pP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 xml:space="preserve">III. Toda persona, sin necesidad de acreditar interés alguno o justificar su utilización, tendrá acceso gratuito a la información pública, a sus datos personales o a la rectificación de éstos.” </w:t>
      </w:r>
      <w:r w:rsidRPr="00DC3F7E">
        <w:rPr>
          <w:rFonts w:ascii="Palatino Linotype" w:eastAsia="Palatino Linotype" w:hAnsi="Palatino Linotype" w:cs="Palatino Linotype"/>
          <w:lang w:val="es-MX" w:eastAsia="es-MX"/>
        </w:rPr>
        <w:t>(Sic)</w:t>
      </w:r>
    </w:p>
    <w:p w:rsidR="00E6346B" w:rsidRPr="00DC3F7E" w:rsidRDefault="00E6346B" w:rsidP="00E6346B">
      <w:pPr>
        <w:ind w:left="1134" w:right="900"/>
        <w:jc w:val="both"/>
        <w:rPr>
          <w:rFonts w:ascii="Palatino Linotype" w:eastAsia="Palatino Linotype" w:hAnsi="Palatino Linotype" w:cs="Palatino Linotype"/>
          <w:i/>
          <w:lang w:val="es-MX" w:eastAsia="es-MX"/>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libri" w:hAnsi="Palatino Linotype" w:cs="Arial"/>
        </w:rPr>
      </w:pPr>
      <w:r w:rsidRPr="00DC3F7E">
        <w:rPr>
          <w:rFonts w:ascii="Palatino Linotype" w:eastAsia="Calibri" w:hAnsi="Palatino Linotype" w:cs="Arial"/>
        </w:rPr>
        <w:lastRenderedPageBreak/>
        <w:t xml:space="preserve">Así </w:t>
      </w:r>
      <w:r w:rsidRPr="00DC3F7E">
        <w:rPr>
          <w:rFonts w:ascii="Palatino Linotype" w:eastAsia="Palatino Linotype" w:hAnsi="Palatino Linotype" w:cs="Palatino Linotype"/>
          <w:color w:val="000000"/>
        </w:rPr>
        <w:t>como</w:t>
      </w:r>
      <w:r w:rsidRPr="00DC3F7E">
        <w:rPr>
          <w:rFonts w:ascii="Palatino Linotype" w:eastAsia="Calibri" w:hAnsi="Palatino Linotype" w:cs="Arial"/>
        </w:rPr>
        <w:t xml:space="preserve"> el artículo 5 fracción III, párrafo vigésimo noveno, trigésimo y trigésimo primero, de la Constitución Política del Estado Libre y Soberano de México, que determina lo siguiente:</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w:t>
      </w:r>
      <w:r w:rsidRPr="00DC3F7E">
        <w:rPr>
          <w:rFonts w:ascii="Palatino Linotype" w:eastAsia="Palatino Linotype" w:hAnsi="Palatino Linotype" w:cs="Palatino Linotype"/>
          <w:b/>
          <w:i/>
          <w:lang w:val="es-MX" w:eastAsia="es-MX"/>
        </w:rPr>
        <w:t>Artículo 5.-</w:t>
      </w:r>
      <w:r w:rsidRPr="00DC3F7E">
        <w:rPr>
          <w:rFonts w:ascii="Palatino Linotype" w:eastAsia="Palatino Linotype" w:hAnsi="Palatino Linotype" w:cs="Palatino Linotype"/>
          <w:i/>
          <w:lang w:val="es-MX" w:eastAsia="es-MX"/>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Toda persona en el Estado de México, tiene derecho al libre acceso a la información plural y oportuna, así como a buscar recibir y difundir información e ideas de toda índole por cualquier medio de expresión.</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El derecho a la información será garantizado por el Estado. La ley establecerá las previsiones que permitan asegurar la protección, el respeto y la difusión de este derecho.</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III. Toda persona, sin necesidad de acreditar interés alguno o justificar su utilización, tendrá acceso gratuito a la información pública, a sus datos personales o a la rectificación de éstos;</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DC3F7E">
        <w:rPr>
          <w:rFonts w:ascii="Palatino Linotype" w:eastAsia="Palatino Linotype" w:hAnsi="Palatino Linotype" w:cs="Palatino Linotype"/>
          <w:lang w:val="es-MX" w:eastAsia="es-MX"/>
        </w:rPr>
        <w:t>(Sic)</w:t>
      </w:r>
    </w:p>
    <w:p w:rsidR="00E6346B" w:rsidRPr="00DC3F7E" w:rsidRDefault="00E6346B" w:rsidP="00E6346B">
      <w:pPr>
        <w:spacing w:line="360" w:lineRule="auto"/>
        <w:ind w:left="426" w:right="476"/>
        <w:jc w:val="both"/>
        <w:rPr>
          <w:rFonts w:ascii="Palatino Linotype" w:eastAsia="Palatino Linotype" w:hAnsi="Palatino Linotype" w:cs="Palatino Linotype"/>
          <w:i/>
          <w:lang w:val="es-MX" w:eastAsia="es-MX"/>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libri" w:hAnsi="Palatino Linotype" w:cs="Arial"/>
        </w:rPr>
      </w:pPr>
      <w:r w:rsidRPr="00DC3F7E">
        <w:rPr>
          <w:rFonts w:ascii="Palatino Linotype" w:eastAsia="Calibri" w:hAnsi="Palatino Linotype" w:cs="Arial"/>
        </w:rPr>
        <w:lastRenderedPageBreak/>
        <w:t xml:space="preserve">Por otra parte, del contenido del artículo 1 de la Constitución Política de los Estados Unidos </w:t>
      </w:r>
      <w:r w:rsidRPr="00DC3F7E">
        <w:rPr>
          <w:rFonts w:ascii="Palatino Linotype" w:eastAsia="Palatino Linotype" w:hAnsi="Palatino Linotype" w:cs="Palatino Linotype"/>
          <w:color w:val="000000"/>
        </w:rPr>
        <w:t>mexicanos</w:t>
      </w:r>
      <w:r w:rsidRPr="00DC3F7E">
        <w:rPr>
          <w:rFonts w:ascii="Palatino Linotype" w:eastAsia="Calibri" w:hAnsi="Palatino Linotype" w:cs="Arial"/>
        </w:rPr>
        <w:t>, se destaca lo siguiente:</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w:t>
      </w:r>
      <w:r w:rsidRPr="00DC3F7E">
        <w:rPr>
          <w:rFonts w:ascii="Palatino Linotype" w:eastAsia="Palatino Linotype" w:hAnsi="Palatino Linotype" w:cs="Palatino Linotype"/>
          <w:b/>
          <w:i/>
          <w:lang w:val="es-MX" w:eastAsia="es-MX"/>
        </w:rPr>
        <w:t>Artículo 1</w:t>
      </w:r>
      <w:r w:rsidRPr="00DC3F7E">
        <w:rPr>
          <w:rFonts w:ascii="Palatino Linotype" w:eastAsia="Palatino Linotype" w:hAnsi="Palatino Linotype" w:cs="Palatino Linotype"/>
          <w:i/>
          <w:lang w:val="es-MX" w:eastAsia="es-MX"/>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Las normas relativas a los derechos humanos se interpretarán de conformidad con esta Constitución y con los tratados internacionales de la materia favoreciendo en todo tiempo a las personas la protección más amplia.</w:t>
      </w:r>
    </w:p>
    <w:p w:rsidR="00E6346B" w:rsidRPr="00DC3F7E" w:rsidRDefault="00E6346B" w:rsidP="00E6346B">
      <w:pPr>
        <w:ind w:left="1134" w:right="900"/>
        <w:jc w:val="both"/>
        <w:rPr>
          <w:rFonts w:ascii="Palatino Linotype" w:eastAsia="Palatino Linotype" w:hAnsi="Palatino Linotype" w:cs="Palatino Linotype"/>
          <w:i/>
          <w:lang w:val="es-MX" w:eastAsia="es-MX"/>
        </w:rPr>
      </w:pPr>
      <w:r w:rsidRPr="00DC3F7E">
        <w:rPr>
          <w:rFonts w:ascii="Palatino Linotype" w:eastAsia="Palatino Linotype" w:hAnsi="Palatino Linotype" w:cs="Palatino Linotype"/>
          <w:i/>
          <w:lang w:val="es-MX"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E6346B" w:rsidRPr="00DC3F7E" w:rsidRDefault="00E6346B" w:rsidP="00E6346B">
      <w:pPr>
        <w:spacing w:line="360" w:lineRule="auto"/>
        <w:ind w:left="426" w:right="474"/>
        <w:jc w:val="both"/>
        <w:rPr>
          <w:rFonts w:ascii="Palatino Linotype" w:eastAsia="Palatino Linotype" w:hAnsi="Palatino Linotype" w:cs="Palatino Linotype"/>
          <w:i/>
          <w:lang w:val="es-MX" w:eastAsia="es-MX"/>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libri" w:hAnsi="Palatino Linotype" w:cs="Arial"/>
        </w:rPr>
      </w:pPr>
      <w:r w:rsidRPr="00DC3F7E">
        <w:rPr>
          <w:rFonts w:ascii="Palatino Linotype" w:eastAsia="Calibri" w:hAnsi="Palatino Linotype" w:cs="Arial"/>
        </w:rPr>
        <w:t xml:space="preserve">Esto es, que el derecho humano de acceso a la información pública, se aprecia que toda persona, </w:t>
      </w:r>
      <w:r w:rsidRPr="00DC3F7E">
        <w:rPr>
          <w:rFonts w:ascii="Palatino Linotype" w:eastAsia="Palatino Linotype" w:hAnsi="Palatino Linotype" w:cs="Palatino Linotype"/>
          <w:color w:val="000000"/>
        </w:rPr>
        <w:t>sin</w:t>
      </w:r>
      <w:r w:rsidRPr="00DC3F7E">
        <w:rPr>
          <w:rFonts w:ascii="Palatino Linotype" w:eastAsia="Calibri" w:hAnsi="Palatino Linotype" w:cs="Arial"/>
        </w:rPr>
        <w:t xml:space="preserve"> necesidad de acreditar interés alguno o justificar su interposición, deberá tener acceso a la información pública, es decir, dicho</w:t>
      </w:r>
      <w:r w:rsidRPr="00DC3F7E">
        <w:rPr>
          <w:rFonts w:ascii="Palatino Linotype" w:eastAsia="Palatino Linotype" w:hAnsi="Palatino Linotype" w:cs="Palatino Linotype"/>
          <w:lang w:val="es-ES" w:eastAsia="en-US"/>
        </w:rPr>
        <w:t xml:space="preserve"> </w:t>
      </w:r>
      <w:r w:rsidRPr="00DC3F7E">
        <w:rPr>
          <w:rFonts w:ascii="Palatino Linotype" w:eastAsia="Palatino Linotype" w:hAnsi="Palatino Linotype" w:cs="Palatino Linotype"/>
          <w:i/>
          <w:lang w:val="es-ES" w:eastAsia="en-US"/>
        </w:rPr>
        <w:t>derecho fundamental exime a quien lo ejerce</w:t>
      </w:r>
      <w:r w:rsidRPr="00DC3F7E">
        <w:rPr>
          <w:rFonts w:ascii="Palatino Linotype" w:eastAsia="Palatino Linotype" w:hAnsi="Palatino Linotype" w:cs="Palatino Linotype"/>
          <w:lang w:val="es-ES" w:eastAsia="en-US"/>
        </w:rPr>
        <w:t xml:space="preserve">, </w:t>
      </w:r>
      <w:r w:rsidRPr="00DC3F7E">
        <w:rPr>
          <w:rFonts w:ascii="Palatino Linotype" w:eastAsia="Calibri" w:hAnsi="Palatino Linotype" w:cs="Arial"/>
        </w:rPr>
        <w:t>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E6346B" w:rsidRPr="00DC3F7E" w:rsidRDefault="00E6346B" w:rsidP="00E6346B">
      <w:pPr>
        <w:spacing w:line="360" w:lineRule="auto"/>
        <w:jc w:val="both"/>
        <w:rPr>
          <w:rFonts w:ascii="Palatino Linotype" w:eastAsia="Calibri" w:hAnsi="Palatino Linotype" w:cs="Arial"/>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libri" w:hAnsi="Palatino Linotype" w:cs="Arial"/>
        </w:rPr>
      </w:pPr>
      <w:r w:rsidRPr="00DC3F7E">
        <w:rPr>
          <w:rFonts w:ascii="Palatino Linotype" w:eastAsia="Calibri" w:hAnsi="Palatino Linotype" w:cs="Arial"/>
        </w:rPr>
        <w:t xml:space="preserve">En consecuencia, dado lo expuesto y fundado con anterioridad, se estima que el requisito relativo al nombre del </w:t>
      </w:r>
      <w:r w:rsidRPr="00DC3F7E">
        <w:rPr>
          <w:rFonts w:ascii="Palatino Linotype" w:eastAsia="Calibri" w:hAnsi="Palatino Linotype" w:cs="Arial"/>
          <w:b/>
        </w:rPr>
        <w:t>RECURRENTE</w:t>
      </w:r>
      <w:r w:rsidRPr="00DC3F7E">
        <w:rPr>
          <w:rFonts w:ascii="Palatino Linotype" w:eastAsia="Calibri" w:hAnsi="Palatino Linotype" w:cs="Arial"/>
        </w:rPr>
        <w:t xml:space="preserve"> no constituye un presupuesto indispensable de procedencia del Recurso de Revisión, en términos de los artículos 25 de la </w:t>
      </w:r>
      <w:r w:rsidRPr="00DC3F7E">
        <w:rPr>
          <w:rFonts w:ascii="Palatino Linotype" w:eastAsia="Palatino Linotype" w:hAnsi="Palatino Linotype" w:cs="Palatino Linotype"/>
          <w:color w:val="000000"/>
        </w:rPr>
        <w:t>Convención</w:t>
      </w:r>
      <w:r w:rsidRPr="00DC3F7E">
        <w:rPr>
          <w:rFonts w:ascii="Palatino Linotype" w:eastAsia="Calibri" w:hAnsi="Palatino Linotype" w:cs="Arial"/>
        </w:rPr>
        <w:t xml:space="preserve"> Americana de Derechos Humanos, 1, párrafos segundo y tercero, 6 apartado A fracción III de la Constitución Política de los Estados Unidos Mexicanos y 5 párrafo vigésimo noveno, </w:t>
      </w:r>
      <w:r w:rsidRPr="00DC3F7E">
        <w:rPr>
          <w:rFonts w:ascii="Palatino Linotype" w:eastAsia="Calibri" w:hAnsi="Palatino Linotype" w:cs="Arial"/>
        </w:rPr>
        <w:lastRenderedPageBreak/>
        <w:t>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E6346B" w:rsidRPr="00DC3F7E" w:rsidRDefault="00E6346B" w:rsidP="00E6346B">
      <w:pPr>
        <w:pStyle w:val="Prrafodelista"/>
        <w:rPr>
          <w:rFonts w:ascii="Palatino Linotype" w:eastAsia="Palatino Linotype" w:hAnsi="Palatino Linotype" w:cs="Palatino Linotype"/>
        </w:rPr>
      </w:pPr>
    </w:p>
    <w:p w:rsidR="00E6346B" w:rsidRPr="00DC3F7E" w:rsidRDefault="00E6346B" w:rsidP="00E6346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DC3F7E">
        <w:rPr>
          <w:rFonts w:ascii="Palatino Linotype" w:eastAsia="Palatino Linotype" w:hAnsi="Palatino Linotype" w:cs="Palatino Linotype"/>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6346B" w:rsidRPr="00DC3F7E" w:rsidRDefault="00E6346B" w:rsidP="00E6346B">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E6346B" w:rsidRPr="00DC3F7E" w:rsidRDefault="00E6346B" w:rsidP="00E6346B">
      <w:pPr>
        <w:keepNext/>
        <w:keepLines/>
        <w:spacing w:line="360" w:lineRule="auto"/>
        <w:rPr>
          <w:rFonts w:ascii="Palatino Linotype" w:eastAsia="Palatino Linotype" w:hAnsi="Palatino Linotype" w:cs="Palatino Linotype"/>
          <w:b/>
          <w:color w:val="000000"/>
        </w:rPr>
      </w:pPr>
      <w:r w:rsidRPr="00DC3F7E">
        <w:rPr>
          <w:rFonts w:ascii="Palatino Linotype" w:eastAsia="Palatino Linotype" w:hAnsi="Palatino Linotype" w:cs="Palatino Linotype"/>
          <w:b/>
          <w:color w:val="000000"/>
        </w:rPr>
        <w:t>TERCERO. De las causales de sobreseimiento.</w:t>
      </w:r>
    </w:p>
    <w:p w:rsidR="00E6346B" w:rsidRPr="00DC3F7E" w:rsidRDefault="00E6346B" w:rsidP="00E6346B">
      <w:pPr>
        <w:numPr>
          <w:ilvl w:val="0"/>
          <w:numId w:val="1"/>
        </w:numPr>
        <w:spacing w:line="360" w:lineRule="auto"/>
        <w:ind w:left="0" w:firstLine="0"/>
        <w:jc w:val="both"/>
        <w:rPr>
          <w:rFonts w:ascii="Palatino Linotype" w:hAnsi="Palatino Linotype"/>
        </w:rPr>
      </w:pPr>
      <w:r w:rsidRPr="00DC3F7E">
        <w:rPr>
          <w:rFonts w:ascii="Palatino Linotype" w:eastAsia="Palatino Linotype" w:hAnsi="Palatino Linotype" w:cs="Palatino Linotype"/>
        </w:rPr>
        <w:t>El artículo 192 de la Ley Transparencia y Acceso a la Información Pública del Estado de México y Municipios, señala las causales por las cuales se puede sobreseer en todo o en parte el Recurso de Revisión; por lo que hace a la hipótesis prevista en la fracción III, señala que una vez admitido el Recurso de Revisión, el sujeto obligado responsable del acto lo modifique o revoque de tal manera que el recurso de revisión quede sin materia, resulta necesario traer a colación el artículo 191, fracción III, de dicho ordenamiento jurídico, que establece que el Recurso de Revisión será desechado por improcedente, cuando dicho medio no actualice alguno de los supuestos previstos en el diverso 179 de la presente Ley. En ese orden de ideas, dicho artículo prevé lo siguiente:</w:t>
      </w:r>
    </w:p>
    <w:p w:rsidR="00E6346B" w:rsidRPr="00DC3F7E" w:rsidRDefault="00E6346B" w:rsidP="00E6346B">
      <w:pPr>
        <w:spacing w:line="360" w:lineRule="auto"/>
        <w:jc w:val="both"/>
        <w:rPr>
          <w:rFonts w:ascii="Palatino Linotype" w:hAnsi="Palatino Linotype"/>
        </w:rPr>
      </w:pP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b/>
          <w:i/>
        </w:rPr>
        <w:lastRenderedPageBreak/>
        <w:t xml:space="preserve">“Artículo 179. </w:t>
      </w:r>
      <w:r w:rsidRPr="00DC3F7E">
        <w:rPr>
          <w:rFonts w:ascii="Palatino Linotype" w:eastAsia="Palatino Linotype" w:hAnsi="Palatino Linotype" w:cs="Palatino Linotype"/>
          <w:i/>
        </w:rPr>
        <w:t xml:space="preserve">El recurso de revisión es un medio de protección que la Ley otorga a los particulares, para hacer valer su derecho de acceso a la información pública, y procederá en contra de las siguientes causas: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I. La negativa a la información solicitada;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II. La clasificación de la información;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III. La declaración de inexistencia de la información;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IV. La declaración de incompetencia por el sujeto obligado;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V. La entrega de información incompleta;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VI. La entrega de información que no corresponda con lo solicitado;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VII. La falta de respuesta a una solicitud de acceso a la información;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VIII. La notificación, entrega o puesta a disposición de información en una modalidad o formato distinto al solicitado;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IX. La entrega o puesta a disposición de información en un formato incomprensible y/o no accesible para el solicitante;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X. Los costos o tiempos de entrega de la información;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XI. La falta de trámite a una solicitud;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XII. La negativa a permitir la consulta directa de la información;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XIII. La falta, deficiencia o insuficiencia de la fundamentación y/o motivación en la respuesta; y </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XIV. La orientación a un trámite específico.</w:t>
      </w:r>
    </w:p>
    <w:p w:rsidR="00E6346B" w:rsidRPr="00DC3F7E" w:rsidRDefault="00E6346B" w:rsidP="00E6346B">
      <w:pPr>
        <w:ind w:left="1134" w:right="900"/>
        <w:jc w:val="both"/>
        <w:rPr>
          <w:rFonts w:ascii="Palatino Linotype" w:eastAsia="Palatino Linotype" w:hAnsi="Palatino Linotype" w:cs="Palatino Linotype"/>
          <w:i/>
        </w:rPr>
      </w:pPr>
      <w:r w:rsidRPr="00DC3F7E">
        <w:rPr>
          <w:rFonts w:ascii="Palatino Linotype" w:eastAsia="Palatino Linotype" w:hAnsi="Palatino Linotype" w:cs="Palatino Linotype"/>
          <w:i/>
        </w:rPr>
        <w:t>...”</w:t>
      </w:r>
    </w:p>
    <w:p w:rsidR="00E6346B" w:rsidRPr="00DC3F7E" w:rsidRDefault="00E6346B" w:rsidP="00E6346B">
      <w:pPr>
        <w:ind w:left="1134" w:right="900"/>
        <w:jc w:val="both"/>
        <w:rPr>
          <w:rFonts w:ascii="Palatino Linotype" w:eastAsia="Palatino Linotype" w:hAnsi="Palatino Linotype" w:cs="Palatino Linotype"/>
          <w:i/>
        </w:rPr>
      </w:pPr>
    </w:p>
    <w:p w:rsidR="00E6346B" w:rsidRPr="00DC3F7E" w:rsidRDefault="00E6346B" w:rsidP="00E6346B">
      <w:pPr>
        <w:numPr>
          <w:ilvl w:val="0"/>
          <w:numId w:val="1"/>
        </w:numPr>
        <w:spacing w:line="360" w:lineRule="auto"/>
        <w:ind w:left="0" w:firstLine="0"/>
        <w:jc w:val="both"/>
        <w:rPr>
          <w:rFonts w:ascii="Palatino Linotype" w:hAnsi="Palatino Linotype"/>
        </w:rPr>
      </w:pPr>
      <w:r w:rsidRPr="00DC3F7E">
        <w:rPr>
          <w:rFonts w:ascii="Palatino Linotype" w:eastAsia="Palatino Linotype" w:hAnsi="Palatino Linotype" w:cs="Palatino Linotype"/>
        </w:rPr>
        <w:t>Ahora bien, el artículo 176 de la Ley de Transparencia y Acceso a la Información Pública del Estado de México y Municipios, establece que el Recurso de Revisión, es la garantía secundaria mediante la cual se pretende reparar cualquier afectación al derecho de acceso a la información pública.</w:t>
      </w:r>
    </w:p>
    <w:p w:rsidR="00E6346B" w:rsidRPr="00DC3F7E" w:rsidRDefault="00E6346B" w:rsidP="00E6346B">
      <w:pPr>
        <w:tabs>
          <w:tab w:val="left" w:pos="4962"/>
        </w:tabs>
        <w:spacing w:line="360" w:lineRule="auto"/>
        <w:jc w:val="both"/>
        <w:rPr>
          <w:rFonts w:ascii="Palatino Linotype" w:eastAsia="Palatino Linotype" w:hAnsi="Palatino Linotype" w:cs="Palatino Linotype"/>
        </w:rPr>
      </w:pPr>
    </w:p>
    <w:p w:rsidR="00E6346B" w:rsidRPr="00DC3F7E" w:rsidRDefault="00E6346B" w:rsidP="00E6346B">
      <w:pPr>
        <w:numPr>
          <w:ilvl w:val="0"/>
          <w:numId w:val="1"/>
        </w:numPr>
        <w:spacing w:line="360" w:lineRule="auto"/>
        <w:ind w:left="0" w:firstLine="0"/>
        <w:jc w:val="both"/>
        <w:rPr>
          <w:rFonts w:ascii="Palatino Linotype" w:hAnsi="Palatino Linotype"/>
        </w:rPr>
      </w:pPr>
      <w:r w:rsidRPr="00DC3F7E">
        <w:rPr>
          <w:rFonts w:ascii="Palatino Linotype" w:eastAsia="Palatino Linotype" w:hAnsi="Palatino Linotype" w:cs="Palatino Linotype"/>
        </w:rPr>
        <w:t>Además, conforme al Diccionario de Transparencia y Acceso a la Información Pública y la página oficial de este Instituto (</w:t>
      </w:r>
      <w:hyperlink r:id="rId7" w:anchor="queEsRRdeIP">
        <w:r w:rsidRPr="00DC3F7E">
          <w:rPr>
            <w:rFonts w:ascii="Palatino Linotype" w:eastAsia="Palatino Linotype" w:hAnsi="Palatino Linotype" w:cs="Palatino Linotype"/>
          </w:rPr>
          <w:t>https://www.infoem.org.mx/es/content/informacion-publica#queEsRRdeIP</w:t>
        </w:r>
      </w:hyperlink>
      <w:r w:rsidRPr="00DC3F7E">
        <w:rPr>
          <w:rFonts w:ascii="Palatino Linotype" w:eastAsia="Palatino Linotype" w:hAnsi="Palatino Linotype" w:cs="Palatino Linotype"/>
        </w:rPr>
        <w:t xml:space="preserve">), el Recurso de Revisión constituye un medio reconocido en la Ley de Transparencia y Acceso a la Información Pública del Estado de México y Municipios, a través </w:t>
      </w:r>
      <w:r w:rsidRPr="00DC3F7E">
        <w:rPr>
          <w:rFonts w:ascii="Palatino Linotype" w:eastAsia="Palatino Linotype" w:hAnsi="Palatino Linotype" w:cs="Palatino Linotype"/>
        </w:rPr>
        <w:lastRenderedPageBreak/>
        <w:t>del cual los Solicitantes pueden manifestar su inconformidad ante la respuesta otorgada por el Sujeto Obligado a una solicitud de información pública.</w:t>
      </w:r>
    </w:p>
    <w:p w:rsidR="00E6346B" w:rsidRPr="00DC3F7E" w:rsidRDefault="00E6346B" w:rsidP="00E6346B">
      <w:pPr>
        <w:spacing w:line="360" w:lineRule="auto"/>
        <w:jc w:val="both"/>
        <w:rPr>
          <w:rFonts w:ascii="Palatino Linotype" w:eastAsia="Palatino Linotype" w:hAnsi="Palatino Linotype" w:cs="Palatino Linotype"/>
        </w:rPr>
      </w:pPr>
    </w:p>
    <w:p w:rsidR="00E6346B" w:rsidRPr="00DC3F7E" w:rsidRDefault="00E6346B" w:rsidP="00E6346B">
      <w:pPr>
        <w:numPr>
          <w:ilvl w:val="0"/>
          <w:numId w:val="1"/>
        </w:numPr>
        <w:spacing w:line="360" w:lineRule="auto"/>
        <w:ind w:left="0" w:firstLine="0"/>
        <w:jc w:val="both"/>
        <w:rPr>
          <w:rFonts w:ascii="Palatino Linotype" w:eastAsia="Palatino Linotype" w:hAnsi="Palatino Linotype" w:cs="Palatino Linotype"/>
          <w:b/>
        </w:rPr>
      </w:pPr>
      <w:r w:rsidRPr="00DC3F7E">
        <w:rPr>
          <w:rFonts w:ascii="Palatino Linotype" w:eastAsia="Palatino Linotype" w:hAnsi="Palatino Linotype" w:cs="Palatino Linotype"/>
        </w:rPr>
        <w:t xml:space="preserve">Así, se logra vislumbrar que el Recurso de Revisión es una garantía secundaría al Derecho de Acceso a la Información Pública, por lo que, es procedente cuando los Particulares se inconforman con la falta de respuesta o trámite, o bien, de alguna circunstancia </w:t>
      </w:r>
      <w:r w:rsidRPr="00DC3F7E">
        <w:rPr>
          <w:rFonts w:ascii="Palatino Linotype" w:eastAsia="Palatino Linotype" w:hAnsi="Palatino Linotype" w:cs="Palatino Linotype"/>
          <w:b/>
          <w:i/>
          <w:u w:val="single"/>
        </w:rPr>
        <w:t>de la contestación realizada por los Sujetos Obligados a una solicitud de información específica.</w:t>
      </w:r>
    </w:p>
    <w:p w:rsidR="00E6346B" w:rsidRPr="00DC3F7E" w:rsidRDefault="00E6346B" w:rsidP="00E6346B">
      <w:pPr>
        <w:spacing w:line="360" w:lineRule="auto"/>
        <w:jc w:val="both"/>
        <w:rPr>
          <w:rFonts w:ascii="Palatino Linotype" w:eastAsia="Palatino Linotype" w:hAnsi="Palatino Linotype" w:cs="Palatino Linotype"/>
        </w:rPr>
      </w:pPr>
    </w:p>
    <w:p w:rsidR="00E6346B" w:rsidRPr="00DC3F7E" w:rsidRDefault="00E6346B" w:rsidP="00E6346B">
      <w:pPr>
        <w:numPr>
          <w:ilvl w:val="0"/>
          <w:numId w:val="1"/>
        </w:numPr>
        <w:spacing w:line="360" w:lineRule="auto"/>
        <w:ind w:left="0" w:firstLine="0"/>
        <w:jc w:val="both"/>
        <w:rPr>
          <w:rFonts w:ascii="Palatino Linotype" w:hAnsi="Palatino Linotype"/>
        </w:rPr>
      </w:pPr>
      <w:r w:rsidRPr="00DC3F7E">
        <w:rPr>
          <w:rFonts w:ascii="Palatino Linotype" w:eastAsia="Palatino Linotype" w:hAnsi="Palatino Linotype" w:cs="Palatino Linotype"/>
        </w:rPr>
        <w:t>De manera preliminar en el caso concreto conviene analizar si se actualiza alguna de las causales de sobreseimiento del recurso de revisión.</w:t>
      </w:r>
    </w:p>
    <w:p w:rsidR="00E6346B" w:rsidRPr="00DC3F7E" w:rsidRDefault="00E6346B" w:rsidP="00E6346B">
      <w:pPr>
        <w:pBdr>
          <w:top w:val="nil"/>
          <w:left w:val="nil"/>
          <w:bottom w:val="nil"/>
          <w:right w:val="nil"/>
          <w:between w:val="nil"/>
        </w:pBdr>
        <w:ind w:left="720"/>
        <w:rPr>
          <w:rFonts w:ascii="Palatino Linotype" w:eastAsia="Palatino Linotype" w:hAnsi="Palatino Linotype" w:cs="Palatino Linotype"/>
          <w:color w:val="000000"/>
        </w:rPr>
      </w:pPr>
    </w:p>
    <w:p w:rsidR="00E6346B" w:rsidRPr="00DC3F7E" w:rsidRDefault="00E6346B" w:rsidP="00E6346B">
      <w:pPr>
        <w:numPr>
          <w:ilvl w:val="0"/>
          <w:numId w:val="1"/>
        </w:numPr>
        <w:spacing w:line="360" w:lineRule="auto"/>
        <w:ind w:left="0" w:firstLine="0"/>
        <w:jc w:val="both"/>
        <w:rPr>
          <w:rFonts w:ascii="Palatino Linotype" w:hAnsi="Palatino Linotype"/>
        </w:rPr>
      </w:pPr>
      <w:r w:rsidRPr="00DC3F7E">
        <w:rPr>
          <w:rFonts w:ascii="Palatino Linotype" w:eastAsia="Palatino Linotype" w:hAnsi="Palatino Linotype" w:cs="Palatino Linotype"/>
        </w:rPr>
        <w:t xml:space="preserve">En esa línea, se debe de analizar la información solicitada y las respuestas proporcionadas por el </w:t>
      </w:r>
      <w:r w:rsidRPr="00DC3F7E">
        <w:rPr>
          <w:rFonts w:ascii="Palatino Linotype" w:eastAsia="Palatino Linotype" w:hAnsi="Palatino Linotype" w:cs="Palatino Linotype"/>
          <w:b/>
        </w:rPr>
        <w:t xml:space="preserve">SUJETO OBLIGADO </w:t>
      </w:r>
      <w:r w:rsidRPr="00DC3F7E">
        <w:rPr>
          <w:rFonts w:ascii="Palatino Linotype" w:eastAsia="Palatino Linotype" w:hAnsi="Palatino Linotype" w:cs="Palatino Linotype"/>
        </w:rPr>
        <w:t xml:space="preserve">mediante el siguiente cuadro. </w:t>
      </w:r>
    </w:p>
    <w:p w:rsidR="00E6346B" w:rsidRPr="00DC3F7E" w:rsidRDefault="00E6346B" w:rsidP="00E6346B">
      <w:pPr>
        <w:spacing w:line="360" w:lineRule="auto"/>
        <w:jc w:val="both"/>
        <w:rPr>
          <w:rFonts w:ascii="Palatino Linotype" w:eastAsia="Palatino Linotype" w:hAnsi="Palatino Linotype" w:cs="Palatino Linotype"/>
          <w:i/>
        </w:rPr>
      </w:pPr>
      <w:r w:rsidRPr="00DC3F7E">
        <w:rPr>
          <w:rFonts w:ascii="Palatino Linotype" w:eastAsia="Palatino Linotype" w:hAnsi="Palatino Linotype" w:cs="Palatino Linotype"/>
          <w:i/>
        </w:rPr>
        <w:t xml:space="preserve"> </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552"/>
        <w:gridCol w:w="2551"/>
        <w:gridCol w:w="2268"/>
      </w:tblGrid>
      <w:tr w:rsidR="00E6346B" w:rsidRPr="00DC3F7E" w:rsidTr="00DC3F7E">
        <w:trPr>
          <w:jc w:val="center"/>
        </w:trPr>
        <w:tc>
          <w:tcPr>
            <w:tcW w:w="2263" w:type="dxa"/>
          </w:tcPr>
          <w:p w:rsidR="00E6346B" w:rsidRPr="00DC3F7E" w:rsidRDefault="00E6346B" w:rsidP="00DC3F7E">
            <w:pPr>
              <w:pBdr>
                <w:top w:val="nil"/>
                <w:left w:val="nil"/>
                <w:bottom w:val="nil"/>
                <w:right w:val="nil"/>
                <w:between w:val="nil"/>
              </w:pBdr>
              <w:jc w:val="center"/>
              <w:rPr>
                <w:rFonts w:ascii="Palatino Linotype" w:eastAsia="Palatino Linotype" w:hAnsi="Palatino Linotype" w:cs="Palatino Linotype"/>
                <w:b/>
                <w:i/>
                <w:color w:val="000000"/>
              </w:rPr>
            </w:pPr>
            <w:r w:rsidRPr="00DC3F7E">
              <w:rPr>
                <w:rFonts w:ascii="Palatino Linotype" w:eastAsia="Palatino Linotype" w:hAnsi="Palatino Linotype" w:cs="Palatino Linotype"/>
                <w:b/>
                <w:i/>
                <w:color w:val="000000"/>
              </w:rPr>
              <w:t>Información Solicitada</w:t>
            </w:r>
          </w:p>
        </w:tc>
        <w:tc>
          <w:tcPr>
            <w:tcW w:w="2552" w:type="dxa"/>
          </w:tcPr>
          <w:p w:rsidR="00E6346B" w:rsidRPr="00DC3F7E" w:rsidRDefault="00E6346B" w:rsidP="00DC3F7E">
            <w:pPr>
              <w:pBdr>
                <w:top w:val="nil"/>
                <w:left w:val="nil"/>
                <w:bottom w:val="nil"/>
                <w:right w:val="nil"/>
                <w:between w:val="nil"/>
              </w:pBdr>
              <w:jc w:val="center"/>
              <w:rPr>
                <w:rFonts w:ascii="Palatino Linotype" w:eastAsia="Palatino Linotype" w:hAnsi="Palatino Linotype" w:cs="Palatino Linotype"/>
                <w:b/>
                <w:i/>
                <w:color w:val="000000"/>
              </w:rPr>
            </w:pPr>
            <w:r w:rsidRPr="00DC3F7E">
              <w:rPr>
                <w:rFonts w:ascii="Palatino Linotype" w:eastAsia="Palatino Linotype" w:hAnsi="Palatino Linotype" w:cs="Palatino Linotype"/>
                <w:b/>
                <w:i/>
                <w:color w:val="000000"/>
              </w:rPr>
              <w:t>Respuesta Inicial</w:t>
            </w:r>
          </w:p>
        </w:tc>
        <w:tc>
          <w:tcPr>
            <w:tcW w:w="2551" w:type="dxa"/>
          </w:tcPr>
          <w:p w:rsidR="00E6346B" w:rsidRPr="00DC3F7E" w:rsidRDefault="00E6346B" w:rsidP="00DC3F7E">
            <w:pPr>
              <w:pBdr>
                <w:top w:val="nil"/>
                <w:left w:val="nil"/>
                <w:bottom w:val="nil"/>
                <w:right w:val="nil"/>
                <w:between w:val="nil"/>
              </w:pBdr>
              <w:jc w:val="center"/>
              <w:rPr>
                <w:rFonts w:ascii="Palatino Linotype" w:eastAsia="Palatino Linotype" w:hAnsi="Palatino Linotype" w:cs="Palatino Linotype"/>
                <w:b/>
                <w:i/>
                <w:color w:val="000000"/>
              </w:rPr>
            </w:pPr>
            <w:r w:rsidRPr="00DC3F7E">
              <w:rPr>
                <w:rFonts w:ascii="Palatino Linotype" w:eastAsia="Palatino Linotype" w:hAnsi="Palatino Linotype" w:cs="Palatino Linotype"/>
                <w:b/>
                <w:i/>
                <w:color w:val="000000"/>
              </w:rPr>
              <w:t>Manifestaciones</w:t>
            </w:r>
          </w:p>
        </w:tc>
        <w:tc>
          <w:tcPr>
            <w:tcW w:w="2268" w:type="dxa"/>
          </w:tcPr>
          <w:p w:rsidR="00E6346B" w:rsidRPr="00DC3F7E" w:rsidRDefault="00E6346B" w:rsidP="00DC3F7E">
            <w:pPr>
              <w:pBdr>
                <w:top w:val="nil"/>
                <w:left w:val="nil"/>
                <w:bottom w:val="nil"/>
                <w:right w:val="nil"/>
                <w:between w:val="nil"/>
              </w:pBdr>
              <w:jc w:val="center"/>
              <w:rPr>
                <w:rFonts w:ascii="Palatino Linotype" w:eastAsia="Palatino Linotype" w:hAnsi="Palatino Linotype" w:cs="Palatino Linotype"/>
                <w:b/>
                <w:i/>
                <w:color w:val="000000"/>
              </w:rPr>
            </w:pPr>
            <w:r w:rsidRPr="00DC3F7E">
              <w:rPr>
                <w:rFonts w:ascii="Palatino Linotype" w:eastAsia="Palatino Linotype" w:hAnsi="Palatino Linotype" w:cs="Palatino Linotype"/>
                <w:b/>
                <w:i/>
                <w:color w:val="000000"/>
              </w:rPr>
              <w:t>Colma</w:t>
            </w:r>
          </w:p>
        </w:tc>
      </w:tr>
      <w:tr w:rsidR="00E6346B" w:rsidRPr="00DC3F7E" w:rsidTr="00DC3F7E">
        <w:trPr>
          <w:jc w:val="center"/>
        </w:trPr>
        <w:tc>
          <w:tcPr>
            <w:tcW w:w="2263" w:type="dxa"/>
          </w:tcPr>
          <w:p w:rsidR="00E6346B" w:rsidRPr="00DC3F7E" w:rsidRDefault="00C01ADE" w:rsidP="00F926EB">
            <w:pPr>
              <w:pBdr>
                <w:top w:val="nil"/>
                <w:left w:val="nil"/>
                <w:bottom w:val="nil"/>
                <w:right w:val="nil"/>
                <w:between w:val="nil"/>
              </w:pBdr>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i/>
                <w:color w:val="000000"/>
              </w:rPr>
              <w:t xml:space="preserve">Listado de la maquinaria y vehículos adquiridos de 2022 a 2025 y </w:t>
            </w:r>
            <w:r w:rsidR="00F926EB" w:rsidRPr="00DC3F7E">
              <w:rPr>
                <w:rFonts w:ascii="Palatino Linotype" w:eastAsia="Palatino Linotype" w:hAnsi="Palatino Linotype" w:cs="Palatino Linotype"/>
                <w:i/>
                <w:color w:val="000000"/>
              </w:rPr>
              <w:t xml:space="preserve">su </w:t>
            </w:r>
            <w:r w:rsidRPr="00DC3F7E">
              <w:rPr>
                <w:rFonts w:ascii="Palatino Linotype" w:eastAsia="Palatino Linotype" w:hAnsi="Palatino Linotype" w:cs="Palatino Linotype"/>
                <w:i/>
                <w:color w:val="000000"/>
              </w:rPr>
              <w:t xml:space="preserve">costo </w:t>
            </w:r>
          </w:p>
        </w:tc>
        <w:tc>
          <w:tcPr>
            <w:tcW w:w="2552" w:type="dxa"/>
          </w:tcPr>
          <w:p w:rsidR="0041640D" w:rsidRPr="00DC3F7E" w:rsidRDefault="0041640D" w:rsidP="0041640D">
            <w:pPr>
              <w:pBdr>
                <w:top w:val="nil"/>
                <w:left w:val="nil"/>
                <w:bottom w:val="nil"/>
                <w:right w:val="nil"/>
                <w:between w:val="nil"/>
              </w:pBdr>
              <w:jc w:val="both"/>
              <w:rPr>
                <w:rFonts w:ascii="Palatino Linotype" w:eastAsia="Palatino Linotype" w:hAnsi="Palatino Linotype" w:cs="Palatino Linotype"/>
                <w:i/>
                <w:color w:val="000000"/>
                <w:lang w:val="es-MX"/>
              </w:rPr>
            </w:pPr>
            <w:r w:rsidRPr="00DC3F7E">
              <w:rPr>
                <w:rFonts w:ascii="Palatino Linotype" w:eastAsia="Palatino Linotype" w:hAnsi="Palatino Linotype" w:cs="Palatino Linotype"/>
                <w:i/>
                <w:color w:val="000000"/>
                <w:lang w:val="es-MX"/>
              </w:rPr>
              <w:t xml:space="preserve">Respuesta vía SAMEX, mediante la cual la </w:t>
            </w:r>
            <w:r w:rsidRPr="00DC3F7E">
              <w:rPr>
                <w:rFonts w:ascii="Palatino Linotype" w:eastAsia="Palatino Linotype" w:hAnsi="Palatino Linotype" w:cs="Palatino Linotype"/>
                <w:b/>
                <w:i/>
                <w:color w:val="000000"/>
                <w:lang w:val="es-MX"/>
              </w:rPr>
              <w:t>Jefatura de Control Patrimonial y Operador de la Junta Municipal de Reclutamiento</w:t>
            </w:r>
            <w:r w:rsidRPr="00DC3F7E">
              <w:rPr>
                <w:rFonts w:ascii="Palatino Linotype" w:eastAsia="Palatino Linotype" w:hAnsi="Palatino Linotype" w:cs="Palatino Linotype"/>
                <w:i/>
                <w:color w:val="000000"/>
                <w:lang w:val="es-MX"/>
              </w:rPr>
              <w:t xml:space="preserve">, informa que durante el ejercicio fiscal 2022 al 2025 se adquirió el </w:t>
            </w:r>
            <w:r w:rsidRPr="00DC3F7E">
              <w:rPr>
                <w:rFonts w:ascii="Palatino Linotype" w:eastAsia="Palatino Linotype" w:hAnsi="Palatino Linotype" w:cs="Palatino Linotype"/>
                <w:b/>
                <w:i/>
                <w:color w:val="000000"/>
                <w:lang w:val="es-MX"/>
              </w:rPr>
              <w:t xml:space="preserve">Vehículo de uso para drenaje (vactor) con un costo de $1,102,000.00, el </w:t>
            </w:r>
            <w:r w:rsidRPr="00DC3F7E">
              <w:rPr>
                <w:rFonts w:ascii="Palatino Linotype" w:eastAsia="Palatino Linotype" w:hAnsi="Palatino Linotype" w:cs="Palatino Linotype"/>
                <w:b/>
                <w:i/>
                <w:color w:val="000000"/>
                <w:lang w:val="es-MX"/>
              </w:rPr>
              <w:lastRenderedPageBreak/>
              <w:t xml:space="preserve">Camión rabón tipo pipa con un costo de $1,160,000.00, una  Retroexcavadora con un costo de $121,000.00 y una Ambulancia con un costo de $1,102,000.00 </w:t>
            </w:r>
          </w:p>
          <w:p w:rsidR="00E6346B" w:rsidRPr="00DC3F7E" w:rsidRDefault="00E6346B" w:rsidP="00191A82">
            <w:pPr>
              <w:pBdr>
                <w:top w:val="nil"/>
                <w:left w:val="nil"/>
                <w:bottom w:val="nil"/>
                <w:right w:val="nil"/>
                <w:between w:val="nil"/>
              </w:pBdr>
              <w:jc w:val="both"/>
              <w:rPr>
                <w:rFonts w:ascii="Palatino Linotype" w:eastAsia="Palatino Linotype" w:hAnsi="Palatino Linotype" w:cs="Palatino Linotype"/>
                <w:i/>
                <w:color w:val="000000"/>
              </w:rPr>
            </w:pPr>
          </w:p>
        </w:tc>
        <w:tc>
          <w:tcPr>
            <w:tcW w:w="2551" w:type="dxa"/>
          </w:tcPr>
          <w:p w:rsidR="0041640D" w:rsidRPr="00DC3F7E" w:rsidRDefault="0041640D" w:rsidP="0041640D">
            <w:pPr>
              <w:pBdr>
                <w:left w:val="nil"/>
                <w:bottom w:val="nil"/>
                <w:right w:val="nil"/>
                <w:between w:val="nil"/>
              </w:pBdr>
              <w:jc w:val="both"/>
              <w:rPr>
                <w:rFonts w:ascii="Palatino Linotype" w:eastAsia="Palatino Linotype" w:hAnsi="Palatino Linotype" w:cs="Palatino Linotype"/>
                <w:i/>
                <w:color w:val="000000"/>
                <w:lang w:val="es-MX"/>
              </w:rPr>
            </w:pPr>
            <w:r w:rsidRPr="00DC3F7E">
              <w:rPr>
                <w:rFonts w:ascii="Palatino Linotype" w:eastAsia="Palatino Linotype" w:hAnsi="Palatino Linotype" w:cs="Palatino Linotype"/>
                <w:b/>
                <w:i/>
                <w:color w:val="000000"/>
                <w:lang w:val="es-MX"/>
              </w:rPr>
              <w:lastRenderedPageBreak/>
              <w:t>MANIFESTACIONES 10063 SOL. 442.pdf</w:t>
            </w:r>
            <w:r w:rsidRPr="00DC3F7E">
              <w:rPr>
                <w:rFonts w:ascii="Palatino Linotype" w:eastAsia="Palatino Linotype" w:hAnsi="Palatino Linotype" w:cs="Palatino Linotype"/>
                <w:i/>
                <w:color w:val="000000"/>
                <w:lang w:val="es-MX"/>
              </w:rPr>
              <w:t xml:space="preserve">: oficio del Jefe de Departamento de Control Patrimonial y Operador de la Junta Municipal de Reclutamiento, mediante el cual anexa una tabla de la cual refiere que la maquinaria y los vehículos adquiridos fueron dieciséis, la tabla </w:t>
            </w:r>
            <w:r w:rsidRPr="00DC3F7E">
              <w:rPr>
                <w:rFonts w:ascii="Palatino Linotype" w:eastAsia="Palatino Linotype" w:hAnsi="Palatino Linotype" w:cs="Palatino Linotype"/>
                <w:i/>
                <w:color w:val="000000"/>
                <w:lang w:val="es-MX"/>
              </w:rPr>
              <w:lastRenderedPageBreak/>
              <w:t xml:space="preserve">contiene el costo de adquisición y la fecha de alta de los bienes. </w:t>
            </w:r>
          </w:p>
          <w:p w:rsidR="00E6346B" w:rsidRPr="00DC3F7E" w:rsidRDefault="00E6346B" w:rsidP="00C01ADE">
            <w:pPr>
              <w:pBdr>
                <w:left w:val="nil"/>
                <w:bottom w:val="nil"/>
                <w:right w:val="nil"/>
                <w:between w:val="nil"/>
              </w:pBdr>
              <w:jc w:val="both"/>
              <w:rPr>
                <w:rFonts w:ascii="Palatino Linotype" w:eastAsia="Palatino Linotype" w:hAnsi="Palatino Linotype" w:cs="Palatino Linotype"/>
                <w:i/>
                <w:color w:val="000000"/>
              </w:rPr>
            </w:pPr>
          </w:p>
        </w:tc>
        <w:tc>
          <w:tcPr>
            <w:tcW w:w="2268" w:type="dxa"/>
          </w:tcPr>
          <w:p w:rsidR="00E6346B" w:rsidRPr="00DC3F7E" w:rsidRDefault="0041640D" w:rsidP="00191A82">
            <w:pPr>
              <w:pBdr>
                <w:left w:val="nil"/>
                <w:bottom w:val="nil"/>
                <w:right w:val="nil"/>
                <w:between w:val="nil"/>
              </w:pBdr>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i/>
                <w:color w:val="000000"/>
              </w:rPr>
              <w:lastRenderedPageBreak/>
              <w:t>Colma, toda vez que en la etapa de manifestaciones se informa de dieciséis bienes, de los cuales se observan vehículos de maquinaria y vehículos que no tienen relación con maquinaria.</w:t>
            </w:r>
          </w:p>
          <w:p w:rsidR="00831FA0" w:rsidRPr="00DC3F7E" w:rsidRDefault="00831FA0" w:rsidP="00191A82">
            <w:pPr>
              <w:pBdr>
                <w:left w:val="nil"/>
                <w:bottom w:val="nil"/>
                <w:right w:val="nil"/>
                <w:between w:val="nil"/>
              </w:pBdr>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i/>
                <w:color w:val="000000"/>
              </w:rPr>
              <w:t xml:space="preserve">De dichos vehículos y maquinarias se informa el costo y la fecha de alta en los </w:t>
            </w:r>
            <w:r w:rsidRPr="00DC3F7E">
              <w:rPr>
                <w:rFonts w:ascii="Palatino Linotype" w:eastAsia="Palatino Linotype" w:hAnsi="Palatino Linotype" w:cs="Palatino Linotype"/>
                <w:i/>
                <w:color w:val="000000"/>
              </w:rPr>
              <w:lastRenderedPageBreak/>
              <w:t xml:space="preserve">bienes del Ayuntamiento. </w:t>
            </w:r>
          </w:p>
          <w:p w:rsidR="0041640D" w:rsidRPr="00DC3F7E" w:rsidRDefault="0041640D" w:rsidP="00191A82">
            <w:pPr>
              <w:pBdr>
                <w:left w:val="nil"/>
                <w:bottom w:val="nil"/>
                <w:right w:val="nil"/>
                <w:between w:val="nil"/>
              </w:pBdr>
              <w:jc w:val="both"/>
              <w:rPr>
                <w:rFonts w:ascii="Palatino Linotype" w:eastAsia="Palatino Linotype" w:hAnsi="Palatino Linotype" w:cs="Palatino Linotype"/>
                <w:i/>
                <w:color w:val="000000"/>
              </w:rPr>
            </w:pPr>
          </w:p>
        </w:tc>
      </w:tr>
    </w:tbl>
    <w:p w:rsidR="00E6346B" w:rsidRPr="00DC3F7E" w:rsidRDefault="00E6346B" w:rsidP="00E6346B">
      <w:pPr>
        <w:spacing w:line="360" w:lineRule="auto"/>
        <w:jc w:val="both"/>
        <w:rPr>
          <w:rFonts w:ascii="Palatino Linotype" w:eastAsia="MS Mincho" w:hAnsi="Palatino Linotype" w:cs="Arial"/>
        </w:rPr>
      </w:pPr>
    </w:p>
    <w:p w:rsidR="00B75ED8" w:rsidRPr="00DC3F7E" w:rsidRDefault="00B75ED8" w:rsidP="00E6346B">
      <w:pPr>
        <w:numPr>
          <w:ilvl w:val="0"/>
          <w:numId w:val="1"/>
        </w:numPr>
        <w:spacing w:line="360" w:lineRule="auto"/>
        <w:ind w:left="0" w:firstLine="0"/>
        <w:jc w:val="both"/>
        <w:rPr>
          <w:rFonts w:ascii="Palatino Linotype" w:eastAsia="MS Mincho" w:hAnsi="Palatino Linotype" w:cs="Arial"/>
        </w:rPr>
      </w:pPr>
      <w:r w:rsidRPr="00DC3F7E">
        <w:rPr>
          <w:rFonts w:ascii="Palatino Linotype" w:eastAsia="MS Mincho" w:hAnsi="Palatino Linotype" w:cs="Arial"/>
        </w:rPr>
        <w:t xml:space="preserve">En esa línea, se tiene que el </w:t>
      </w:r>
      <w:r w:rsidRPr="00DC3F7E">
        <w:rPr>
          <w:rFonts w:ascii="Palatino Linotype" w:eastAsia="MS Mincho" w:hAnsi="Palatino Linotype" w:cs="Arial"/>
          <w:b/>
        </w:rPr>
        <w:t xml:space="preserve">SUJETO OBLIGADO </w:t>
      </w:r>
      <w:r w:rsidRPr="00DC3F7E">
        <w:rPr>
          <w:rFonts w:ascii="Palatino Linotype" w:eastAsia="MS Mincho" w:hAnsi="Palatino Linotype" w:cs="Arial"/>
        </w:rPr>
        <w:t xml:space="preserve">colmo el derecho de acceso a la información del </w:t>
      </w:r>
      <w:r w:rsidRPr="00DC3F7E">
        <w:rPr>
          <w:rFonts w:ascii="Palatino Linotype" w:eastAsia="MS Mincho" w:hAnsi="Palatino Linotype" w:cs="Arial"/>
          <w:b/>
        </w:rPr>
        <w:t xml:space="preserve">RECURRENTE, </w:t>
      </w:r>
      <w:r w:rsidRPr="00DC3F7E">
        <w:rPr>
          <w:rFonts w:ascii="Palatino Linotype" w:eastAsia="MS Mincho" w:hAnsi="Palatino Linotype" w:cs="Arial"/>
        </w:rPr>
        <w:t>toda  vez que en la etapa de manifestaciones</w:t>
      </w:r>
      <w:r w:rsidR="002765A1" w:rsidRPr="00DC3F7E">
        <w:rPr>
          <w:rFonts w:ascii="Palatino Linotype" w:eastAsia="MS Mincho" w:hAnsi="Palatino Linotype" w:cs="Arial"/>
        </w:rPr>
        <w:t xml:space="preserve"> modifico su respuesta e informo sobre los bienes de maquinaria y vehículos adquiridos del dos mil veintidós al dieciocho de julio de dos mil veinticinco, tal y como se observa en la siguiente captura de pantalla. </w:t>
      </w:r>
    </w:p>
    <w:p w:rsidR="002765A1" w:rsidRPr="00DC3F7E" w:rsidRDefault="002765A1" w:rsidP="002765A1">
      <w:pPr>
        <w:spacing w:line="360" w:lineRule="auto"/>
        <w:jc w:val="center"/>
        <w:rPr>
          <w:rFonts w:ascii="Palatino Linotype" w:eastAsia="MS Mincho" w:hAnsi="Palatino Linotype" w:cs="Arial"/>
        </w:rPr>
      </w:pPr>
      <w:r w:rsidRPr="00DC3F7E">
        <w:rPr>
          <w:rFonts w:ascii="Palatino Linotype" w:eastAsia="MS Mincho" w:hAnsi="Palatino Linotype" w:cs="Arial"/>
          <w:noProof/>
          <w:lang w:val="es-MX" w:eastAsia="es-MX"/>
        </w:rPr>
        <w:drawing>
          <wp:inline distT="0" distB="0" distL="0" distR="0" wp14:anchorId="66B9E191" wp14:editId="2B7EF9AB">
            <wp:extent cx="4340431" cy="1904525"/>
            <wp:effectExtent l="152400" t="152400" r="365125" b="3625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48433" cy="1908036"/>
                    </a:xfrm>
                    <a:prstGeom prst="rect">
                      <a:avLst/>
                    </a:prstGeom>
                    <a:ln>
                      <a:noFill/>
                    </a:ln>
                    <a:effectLst>
                      <a:outerShdw blurRad="292100" dist="139700" dir="2700000" algn="tl" rotWithShape="0">
                        <a:srgbClr val="333333">
                          <a:alpha val="65000"/>
                        </a:srgbClr>
                      </a:outerShdw>
                    </a:effectLst>
                  </pic:spPr>
                </pic:pic>
              </a:graphicData>
            </a:graphic>
          </wp:inline>
        </w:drawing>
      </w:r>
    </w:p>
    <w:p w:rsidR="002765A1" w:rsidRPr="00DC3F7E" w:rsidRDefault="002765A1" w:rsidP="00E6346B">
      <w:pPr>
        <w:numPr>
          <w:ilvl w:val="0"/>
          <w:numId w:val="1"/>
        </w:numPr>
        <w:spacing w:line="360" w:lineRule="auto"/>
        <w:ind w:left="0" w:firstLine="0"/>
        <w:jc w:val="both"/>
        <w:rPr>
          <w:rFonts w:ascii="Palatino Linotype" w:eastAsia="MS Mincho" w:hAnsi="Palatino Linotype" w:cs="Arial"/>
        </w:rPr>
      </w:pPr>
      <w:r w:rsidRPr="00DC3F7E">
        <w:rPr>
          <w:rFonts w:ascii="Palatino Linotype" w:eastAsia="MS Mincho" w:hAnsi="Palatino Linotype" w:cs="Arial"/>
        </w:rPr>
        <w:t xml:space="preserve">En esa línea, se debe de analizar que dio respuesta a la solicitud de información el Jefe de Departamento de Control Patrimonial y  Operador de la Junta Municipal de Reclutamiento, quien de acuerdo con el Manual General de Organización de la Administración Pública Municipal 2025-2027, tiene las siguientes funciones. </w:t>
      </w:r>
    </w:p>
    <w:p w:rsidR="002765A1" w:rsidRPr="00DC3F7E" w:rsidRDefault="002765A1" w:rsidP="002765A1">
      <w:pPr>
        <w:ind w:left="1134" w:right="900"/>
        <w:jc w:val="both"/>
        <w:rPr>
          <w:rFonts w:ascii="Palatino Linotype" w:eastAsia="MS Mincho" w:hAnsi="Palatino Linotype" w:cs="Arial"/>
          <w:b/>
          <w:i/>
        </w:rPr>
      </w:pPr>
      <w:r w:rsidRPr="00DC3F7E">
        <w:rPr>
          <w:rFonts w:ascii="Palatino Linotype" w:eastAsia="MS Mincho" w:hAnsi="Palatino Linotype" w:cs="Arial"/>
          <w:b/>
          <w:i/>
        </w:rPr>
        <w:lastRenderedPageBreak/>
        <w:t xml:space="preserve">D00114 JEFATURA DE DEPARTAMENTO DE CONTROL PATRIMONIAL Y JUNTA DE RECLUTAMIENTO </w:t>
      </w:r>
    </w:p>
    <w:p w:rsidR="002765A1" w:rsidRPr="00DC3F7E" w:rsidRDefault="002765A1" w:rsidP="002765A1">
      <w:pPr>
        <w:ind w:left="1134" w:right="900"/>
        <w:jc w:val="both"/>
        <w:rPr>
          <w:rFonts w:ascii="Palatino Linotype" w:eastAsia="MS Mincho" w:hAnsi="Palatino Linotype" w:cs="Arial"/>
          <w:b/>
          <w:i/>
        </w:rPr>
      </w:pPr>
      <w:r w:rsidRPr="00DC3F7E">
        <w:rPr>
          <w:rFonts w:ascii="Palatino Linotype" w:eastAsia="MS Mincho" w:hAnsi="Palatino Linotype" w:cs="Arial"/>
          <w:b/>
          <w:i/>
        </w:rPr>
        <w:t xml:space="preserve">OBJETIVO </w:t>
      </w:r>
    </w:p>
    <w:p w:rsidR="002765A1" w:rsidRPr="00DC3F7E" w:rsidRDefault="002765A1" w:rsidP="002765A1">
      <w:pPr>
        <w:ind w:left="1134" w:right="900"/>
        <w:jc w:val="both"/>
        <w:rPr>
          <w:rFonts w:ascii="Palatino Linotype" w:eastAsia="MS Mincho" w:hAnsi="Palatino Linotype" w:cs="Arial"/>
          <w:i/>
        </w:rPr>
      </w:pPr>
      <w:r w:rsidRPr="00DC3F7E">
        <w:rPr>
          <w:rFonts w:ascii="Palatino Linotype" w:eastAsia="MS Mincho" w:hAnsi="Palatino Linotype" w:cs="Arial"/>
          <w:i/>
        </w:rPr>
        <w:t xml:space="preserve">Dar seguimiento a las peticiones o requisiciones de bienes o servicios ya sea de adquisiciones, enajenaciones, arrendamientos y contratación, observando la normatividad aplicable en la materia; así como, elaborar y actualizar los inventarios de los bienes muebles patrimonio de la Administración Pública Municipal. Reclutar a los jóvenes que se encuentren en la edad para enlistarlos previamente a la prestación del servicio militar nacional, así como llevar el control administrativo y operativo de la junta. </w:t>
      </w:r>
    </w:p>
    <w:p w:rsidR="002765A1" w:rsidRPr="00DC3F7E" w:rsidRDefault="002765A1" w:rsidP="002765A1">
      <w:pPr>
        <w:ind w:left="1134" w:right="900"/>
        <w:jc w:val="both"/>
        <w:rPr>
          <w:rFonts w:ascii="Palatino Linotype" w:eastAsia="MS Mincho" w:hAnsi="Palatino Linotype" w:cs="Arial"/>
          <w:b/>
          <w:i/>
        </w:rPr>
      </w:pPr>
      <w:r w:rsidRPr="00DC3F7E">
        <w:rPr>
          <w:rFonts w:ascii="Palatino Linotype" w:eastAsia="MS Mincho" w:hAnsi="Palatino Linotype" w:cs="Arial"/>
          <w:b/>
          <w:i/>
        </w:rPr>
        <w:t xml:space="preserve">FUNCIONES: </w:t>
      </w:r>
    </w:p>
    <w:p w:rsidR="002765A1" w:rsidRPr="00DC3F7E" w:rsidRDefault="002765A1" w:rsidP="002765A1">
      <w:pPr>
        <w:ind w:left="1134" w:right="900"/>
        <w:jc w:val="both"/>
        <w:rPr>
          <w:rFonts w:ascii="Palatino Linotype" w:eastAsia="MS Mincho" w:hAnsi="Palatino Linotype" w:cs="Arial"/>
          <w:b/>
          <w:i/>
        </w:rPr>
      </w:pPr>
      <w:r w:rsidRPr="00DC3F7E">
        <w:rPr>
          <w:rFonts w:ascii="Palatino Linotype" w:eastAsia="MS Mincho" w:hAnsi="Palatino Linotype" w:cs="Arial"/>
          <w:b/>
          <w:i/>
        </w:rPr>
        <w:t xml:space="preserve">1. Elaborar el programa adquisiciones y servicios de la Administración Pública Municipal, así como identificar y determinar las necesidades en caso de arrendamiento o adquisiciones de inmuebles para la prestación de los servicios públicos a la población. </w:t>
      </w:r>
    </w:p>
    <w:p w:rsidR="002765A1" w:rsidRPr="00DC3F7E" w:rsidRDefault="002765A1" w:rsidP="002765A1">
      <w:pPr>
        <w:ind w:left="1134" w:right="900"/>
        <w:jc w:val="both"/>
        <w:rPr>
          <w:rFonts w:ascii="Palatino Linotype" w:eastAsia="MS Mincho" w:hAnsi="Palatino Linotype" w:cs="Arial"/>
          <w:b/>
          <w:i/>
        </w:rPr>
      </w:pPr>
      <w:r w:rsidRPr="00DC3F7E">
        <w:rPr>
          <w:rFonts w:ascii="Palatino Linotype" w:eastAsia="MS Mincho" w:hAnsi="Palatino Linotype" w:cs="Arial"/>
          <w:b/>
          <w:i/>
        </w:rPr>
        <w:t xml:space="preserve">2. Intervenir en las acciones inherentes a la cotización de adquisiciones, arrendamientos y/o contratación de bienes y/o servicios. </w:t>
      </w:r>
    </w:p>
    <w:p w:rsidR="002765A1" w:rsidRPr="00DC3F7E" w:rsidRDefault="002765A1" w:rsidP="002765A1">
      <w:pPr>
        <w:ind w:left="1134" w:right="900"/>
        <w:jc w:val="both"/>
        <w:rPr>
          <w:rFonts w:ascii="Palatino Linotype" w:eastAsia="MS Mincho" w:hAnsi="Palatino Linotype" w:cs="Arial"/>
          <w:b/>
          <w:i/>
        </w:rPr>
      </w:pPr>
      <w:r w:rsidRPr="00DC3F7E">
        <w:rPr>
          <w:rFonts w:ascii="Palatino Linotype" w:eastAsia="MS Mincho" w:hAnsi="Palatino Linotype" w:cs="Arial"/>
          <w:b/>
          <w:i/>
        </w:rPr>
        <w:t xml:space="preserve">3. Dar seguimiento y tramite al pago de facturas derivadas de la adquisición de bienes y/o contratación de servicios, verificando que los conceptos y montos facturados correspondan a las características y condiciones de los bienes adquiridos o servicios prestados, así como a las especificaciones contratadas, obteniendo la validación correspondiente por parte de las unidades administrativas solicitantes. </w:t>
      </w:r>
    </w:p>
    <w:p w:rsidR="002765A1" w:rsidRPr="00DC3F7E" w:rsidRDefault="002765A1" w:rsidP="002765A1">
      <w:pPr>
        <w:ind w:left="1134" w:right="900"/>
        <w:jc w:val="both"/>
        <w:rPr>
          <w:rFonts w:ascii="Palatino Linotype" w:eastAsia="MS Mincho" w:hAnsi="Palatino Linotype" w:cs="Arial"/>
          <w:i/>
        </w:rPr>
      </w:pPr>
      <w:r w:rsidRPr="00DC3F7E">
        <w:rPr>
          <w:rFonts w:ascii="Palatino Linotype" w:eastAsia="MS Mincho" w:hAnsi="Palatino Linotype" w:cs="Arial"/>
          <w:i/>
        </w:rPr>
        <w:t xml:space="preserve">4. Mantener el abasto suficiente de los artículos y productos recurrentes, refacciones, muebles y enceres, verificando la exactitud del registro de los bienes y la integración de los datos que forman el catálogo de productos que maneja el almacén. </w:t>
      </w:r>
    </w:p>
    <w:p w:rsidR="002765A1" w:rsidRPr="00DC3F7E" w:rsidRDefault="002765A1" w:rsidP="002765A1">
      <w:pPr>
        <w:ind w:left="1134" w:right="900"/>
        <w:jc w:val="both"/>
        <w:rPr>
          <w:rFonts w:ascii="Palatino Linotype" w:eastAsia="MS Mincho" w:hAnsi="Palatino Linotype" w:cs="Arial"/>
          <w:i/>
        </w:rPr>
      </w:pPr>
      <w:r w:rsidRPr="00DC3F7E">
        <w:rPr>
          <w:rFonts w:ascii="Palatino Linotype" w:eastAsia="MS Mincho" w:hAnsi="Palatino Linotype" w:cs="Arial"/>
          <w:i/>
        </w:rPr>
        <w:t xml:space="preserve">5. Previa autorización, determinar la baja de bienes muebles del patrimonio de la administración pública municipal, ya sea por mal estado o término de la vida útil de los bienes. </w:t>
      </w:r>
    </w:p>
    <w:p w:rsidR="002765A1" w:rsidRPr="00DC3F7E" w:rsidRDefault="002765A1" w:rsidP="002765A1">
      <w:pPr>
        <w:ind w:left="1134" w:right="900"/>
        <w:jc w:val="both"/>
        <w:rPr>
          <w:rFonts w:ascii="Palatino Linotype" w:eastAsia="MS Mincho" w:hAnsi="Palatino Linotype" w:cs="Arial"/>
          <w:i/>
        </w:rPr>
      </w:pPr>
      <w:r w:rsidRPr="00DC3F7E">
        <w:rPr>
          <w:rFonts w:ascii="Palatino Linotype" w:eastAsia="MS Mincho" w:hAnsi="Palatino Linotype" w:cs="Arial"/>
          <w:i/>
        </w:rPr>
        <w:t xml:space="preserve">6. Informar sobre las pérdidas o daños ocasionados a los bienes muebles asignados a los servidores públicos. </w:t>
      </w:r>
    </w:p>
    <w:p w:rsidR="002765A1" w:rsidRPr="00DC3F7E" w:rsidRDefault="002765A1" w:rsidP="002765A1">
      <w:pPr>
        <w:ind w:left="1134" w:right="900"/>
        <w:jc w:val="both"/>
        <w:rPr>
          <w:rFonts w:ascii="Palatino Linotype" w:eastAsia="MS Mincho" w:hAnsi="Palatino Linotype" w:cs="Arial"/>
          <w:i/>
        </w:rPr>
      </w:pPr>
      <w:r w:rsidRPr="00DC3F7E">
        <w:rPr>
          <w:rFonts w:ascii="Palatino Linotype" w:eastAsia="MS Mincho" w:hAnsi="Palatino Linotype" w:cs="Arial"/>
          <w:i/>
        </w:rPr>
        <w:t xml:space="preserve">7. Desarrollar las demás funciones inherentes al área de su competencia. </w:t>
      </w:r>
    </w:p>
    <w:p w:rsidR="002765A1" w:rsidRPr="00DC3F7E" w:rsidRDefault="002765A1" w:rsidP="002765A1">
      <w:pPr>
        <w:ind w:left="1134" w:right="900"/>
        <w:jc w:val="both"/>
        <w:rPr>
          <w:rFonts w:ascii="Palatino Linotype" w:eastAsia="MS Mincho" w:hAnsi="Palatino Linotype" w:cs="Arial"/>
          <w:i/>
        </w:rPr>
      </w:pPr>
      <w:r w:rsidRPr="00DC3F7E">
        <w:rPr>
          <w:rFonts w:ascii="Palatino Linotype" w:eastAsia="MS Mincho" w:hAnsi="Palatino Linotype" w:cs="Arial"/>
          <w:i/>
        </w:rPr>
        <w:t xml:space="preserve">8. Brindar asesoraría a todos los interesados en la prestación del servicio militar. </w:t>
      </w:r>
    </w:p>
    <w:p w:rsidR="002765A1" w:rsidRPr="00DC3F7E" w:rsidRDefault="002765A1" w:rsidP="002765A1">
      <w:pPr>
        <w:ind w:left="1134" w:right="900"/>
        <w:jc w:val="both"/>
        <w:rPr>
          <w:rFonts w:ascii="Palatino Linotype" w:eastAsia="MS Mincho" w:hAnsi="Palatino Linotype" w:cs="Arial"/>
          <w:i/>
        </w:rPr>
      </w:pPr>
      <w:r w:rsidRPr="00DC3F7E">
        <w:rPr>
          <w:rFonts w:ascii="Palatino Linotype" w:eastAsia="MS Mincho" w:hAnsi="Palatino Linotype" w:cs="Arial"/>
          <w:i/>
        </w:rPr>
        <w:t xml:space="preserve">9. Llevar un control sobre todos los reclutas. </w:t>
      </w:r>
    </w:p>
    <w:p w:rsidR="002765A1" w:rsidRPr="00DC3F7E" w:rsidRDefault="002765A1" w:rsidP="002765A1">
      <w:pPr>
        <w:ind w:left="1134" w:right="900"/>
        <w:jc w:val="both"/>
        <w:rPr>
          <w:rFonts w:ascii="Palatino Linotype" w:eastAsia="MS Mincho" w:hAnsi="Palatino Linotype" w:cs="Arial"/>
          <w:i/>
        </w:rPr>
      </w:pPr>
      <w:r w:rsidRPr="00DC3F7E">
        <w:rPr>
          <w:rFonts w:ascii="Palatino Linotype" w:eastAsia="MS Mincho" w:hAnsi="Palatino Linotype" w:cs="Arial"/>
          <w:i/>
        </w:rPr>
        <w:lastRenderedPageBreak/>
        <w:t xml:space="preserve">10. Deberá tener un estricto control, organización y custodia de los registros realizados con motivo de la prestación del servicio militar. </w:t>
      </w:r>
    </w:p>
    <w:p w:rsidR="002765A1" w:rsidRPr="00DC3F7E" w:rsidRDefault="002765A1" w:rsidP="002765A1">
      <w:pPr>
        <w:ind w:left="1134" w:right="900"/>
        <w:jc w:val="both"/>
        <w:rPr>
          <w:rFonts w:ascii="Palatino Linotype" w:eastAsia="MS Mincho" w:hAnsi="Palatino Linotype" w:cs="Arial"/>
          <w:i/>
        </w:rPr>
      </w:pPr>
      <w:r w:rsidRPr="00DC3F7E">
        <w:rPr>
          <w:rFonts w:ascii="Palatino Linotype" w:eastAsia="MS Mincho" w:hAnsi="Palatino Linotype" w:cs="Arial"/>
          <w:i/>
        </w:rPr>
        <w:t xml:space="preserve">11. Para la elaboración de cartillas, deberá supervisar que todas se realicen sin error o alteración alguna. </w:t>
      </w:r>
    </w:p>
    <w:p w:rsidR="002765A1" w:rsidRPr="00DC3F7E" w:rsidRDefault="002765A1" w:rsidP="002765A1">
      <w:pPr>
        <w:ind w:left="1134" w:right="900"/>
        <w:jc w:val="both"/>
        <w:rPr>
          <w:rFonts w:ascii="Palatino Linotype" w:eastAsia="MS Mincho" w:hAnsi="Palatino Linotype" w:cs="Arial"/>
          <w:i/>
        </w:rPr>
      </w:pPr>
      <w:r w:rsidRPr="00DC3F7E">
        <w:rPr>
          <w:rFonts w:ascii="Palatino Linotype" w:eastAsia="MS Mincho" w:hAnsi="Palatino Linotype" w:cs="Arial"/>
          <w:i/>
        </w:rPr>
        <w:t>12. Desarrollar todas las tareas y actividades que se tienen asignadas de acuerdo con el área.</w:t>
      </w:r>
    </w:p>
    <w:p w:rsidR="00BF6DC0" w:rsidRPr="00DC3F7E" w:rsidRDefault="00BF6DC0" w:rsidP="002765A1">
      <w:pPr>
        <w:ind w:left="1134" w:right="900"/>
        <w:jc w:val="both"/>
        <w:rPr>
          <w:rFonts w:ascii="Palatino Linotype" w:eastAsia="MS Mincho" w:hAnsi="Palatino Linotype" w:cs="Arial"/>
          <w:i/>
        </w:rPr>
      </w:pPr>
    </w:p>
    <w:p w:rsidR="00BF6DC0" w:rsidRPr="00DC3F7E" w:rsidRDefault="00BF6DC0" w:rsidP="00A541E6">
      <w:pPr>
        <w:numPr>
          <w:ilvl w:val="0"/>
          <w:numId w:val="1"/>
        </w:numPr>
        <w:spacing w:line="360" w:lineRule="auto"/>
        <w:ind w:left="0" w:firstLine="0"/>
        <w:jc w:val="both"/>
        <w:rPr>
          <w:rFonts w:ascii="Palatino Linotype" w:eastAsia="MS Mincho" w:hAnsi="Palatino Linotype" w:cs="Arial"/>
        </w:rPr>
      </w:pPr>
      <w:r w:rsidRPr="00DC3F7E">
        <w:rPr>
          <w:rFonts w:ascii="Palatino Linotype" w:eastAsia="MS Mincho" w:hAnsi="Palatino Linotype" w:cs="Arial"/>
        </w:rPr>
        <w:t xml:space="preserve">De lo anterior, se tiene que el </w:t>
      </w:r>
      <w:r w:rsidRPr="00DC3F7E">
        <w:rPr>
          <w:rFonts w:ascii="Palatino Linotype" w:eastAsia="MS Mincho" w:hAnsi="Palatino Linotype" w:cs="Arial"/>
          <w:b/>
        </w:rPr>
        <w:t xml:space="preserve">Departamento de Control Patrimonial y  Operador de la Junta Municipal, </w:t>
      </w:r>
      <w:r w:rsidRPr="00DC3F7E">
        <w:rPr>
          <w:rFonts w:ascii="Palatino Linotype" w:eastAsia="MS Mincho" w:hAnsi="Palatino Linotype" w:cs="Arial"/>
        </w:rPr>
        <w:t xml:space="preserve">es el área encargada del Ayuntamiento de Mexicaltzingo </w:t>
      </w:r>
      <w:r w:rsidR="00A541E6" w:rsidRPr="00DC3F7E">
        <w:rPr>
          <w:rFonts w:ascii="Palatino Linotype" w:eastAsia="MS Mincho" w:hAnsi="Palatino Linotype" w:cs="Arial"/>
        </w:rPr>
        <w:t xml:space="preserve">para atender la solicitud de información, toda vez que dentro de sus funciones está el Intervenir en las acciones inherentes a la cotización de adquisiciones, arrendamientos y/o contratación de bienes y/o servicios, así como dar seguimiento y tramite al pago de facturas derivadas de la adquisición de bienes y/o contratación de servicios, verificando que los conceptos y montos facturados correspondan a las características y condiciones de los bienes adquiridos o servicios prestados, así como a las especificaciones contratadas, obteniendo la validación correspondiente por parte de las unidades administrativas solicitantes. </w:t>
      </w:r>
    </w:p>
    <w:p w:rsidR="00E6346B" w:rsidRPr="00DC3F7E" w:rsidRDefault="00E6346B" w:rsidP="00E6346B">
      <w:pPr>
        <w:rPr>
          <w:rFonts w:ascii="Palatino Linotype" w:eastAsia="MS Mincho" w:hAnsi="Palatino Linotype" w:cs="Arial"/>
        </w:rPr>
      </w:pPr>
    </w:p>
    <w:p w:rsidR="00E6346B" w:rsidRPr="00DC3F7E" w:rsidRDefault="00E6346B" w:rsidP="00E6346B">
      <w:pPr>
        <w:rPr>
          <w:rFonts w:ascii="Palatino Linotype" w:eastAsia="Palatino Linotype" w:hAnsi="Palatino Linotype" w:cs="Palatino Linotype"/>
        </w:rPr>
      </w:pPr>
    </w:p>
    <w:p w:rsidR="00A541E6" w:rsidRPr="00DC3F7E" w:rsidRDefault="00A541E6" w:rsidP="00E6346B">
      <w:pPr>
        <w:numPr>
          <w:ilvl w:val="0"/>
          <w:numId w:val="1"/>
        </w:numPr>
        <w:spacing w:line="360" w:lineRule="auto"/>
        <w:ind w:left="0" w:firstLine="0"/>
        <w:jc w:val="both"/>
        <w:rPr>
          <w:rFonts w:ascii="Palatino Linotype" w:hAnsi="Palatino Linotype"/>
        </w:rPr>
      </w:pPr>
      <w:r w:rsidRPr="00DC3F7E">
        <w:rPr>
          <w:rFonts w:ascii="Palatino Linotype" w:hAnsi="Palatino Linotype"/>
        </w:rPr>
        <w:t xml:space="preserve">Finalmente, se debe de precisar que el </w:t>
      </w:r>
      <w:r w:rsidRPr="00DC3F7E">
        <w:rPr>
          <w:rFonts w:ascii="Palatino Linotype" w:hAnsi="Palatino Linotype"/>
          <w:b/>
        </w:rPr>
        <w:t xml:space="preserve">RECURRENTE </w:t>
      </w:r>
      <w:r w:rsidRPr="00DC3F7E">
        <w:rPr>
          <w:rFonts w:ascii="Palatino Linotype" w:hAnsi="Palatino Linotype"/>
        </w:rPr>
        <w:t xml:space="preserve">solicita información del año 2025, sin embargo la información posterior al </w:t>
      </w:r>
      <w:r w:rsidRPr="00DC3F7E">
        <w:rPr>
          <w:rFonts w:ascii="Palatino Linotype" w:hAnsi="Palatino Linotype"/>
          <w:b/>
        </w:rPr>
        <w:t xml:space="preserve">dieciocho de julio de dos mil veinticinco, </w:t>
      </w:r>
      <w:r w:rsidRPr="00DC3F7E">
        <w:rPr>
          <w:rFonts w:ascii="Palatino Linotype" w:hAnsi="Palatino Linotype"/>
        </w:rPr>
        <w:t xml:space="preserve">no puede ser entregada, toda vez que del </w:t>
      </w:r>
      <w:r w:rsidRPr="00DC3F7E">
        <w:rPr>
          <w:rFonts w:ascii="Palatino Linotype" w:hAnsi="Palatino Linotype"/>
          <w:b/>
        </w:rPr>
        <w:t xml:space="preserve">diecinueve de julio al treinta y uno de diciembre de dos mil veinticinco, </w:t>
      </w:r>
      <w:r w:rsidRPr="00DC3F7E">
        <w:rPr>
          <w:rFonts w:ascii="Palatino Linotype" w:hAnsi="Palatino Linotype"/>
        </w:rPr>
        <w:t xml:space="preserve">se consideran hechos futuros, de acuerdo con lo siguiente. </w:t>
      </w:r>
    </w:p>
    <w:p w:rsidR="00A541E6" w:rsidRPr="00DC3F7E" w:rsidRDefault="00A541E6" w:rsidP="00A541E6">
      <w:pPr>
        <w:spacing w:line="360" w:lineRule="auto"/>
        <w:jc w:val="both"/>
        <w:rPr>
          <w:rFonts w:ascii="Palatino Linotype" w:hAnsi="Palatino Linotype"/>
        </w:rPr>
      </w:pPr>
    </w:p>
    <w:p w:rsidR="001913A7" w:rsidRPr="00DC3F7E" w:rsidRDefault="001913A7" w:rsidP="001913A7">
      <w:pPr>
        <w:numPr>
          <w:ilvl w:val="0"/>
          <w:numId w:val="1"/>
        </w:numPr>
        <w:spacing w:line="360" w:lineRule="auto"/>
        <w:ind w:left="0" w:firstLine="0"/>
        <w:jc w:val="both"/>
        <w:rPr>
          <w:rFonts w:ascii="Palatino Linotype" w:eastAsia="Palatino Linotype" w:hAnsi="Palatino Linotype" w:cs="Palatino Linotype"/>
          <w:color w:val="000000"/>
        </w:rPr>
      </w:pPr>
      <w:r w:rsidRPr="00DC3F7E">
        <w:rPr>
          <w:rFonts w:ascii="Palatino Linotype" w:eastAsia="Palatino Linotype" w:hAnsi="Palatino Linotype" w:cs="Palatino Linotype"/>
        </w:rPr>
        <w:t>Sirve</w:t>
      </w:r>
      <w:r w:rsidRPr="00DC3F7E">
        <w:rPr>
          <w:rFonts w:ascii="Palatino Linotype" w:eastAsia="Palatino Linotype" w:hAnsi="Palatino Linotype" w:cs="Palatino Linotype"/>
          <w:color w:val="000000"/>
        </w:rPr>
        <w:t xml:space="preserve"> como referencia la Jurisprudencia emitida por la Suprema Corte de Justicia de la Nación, que es del texto y rubro siguiente:</w:t>
      </w:r>
    </w:p>
    <w:p w:rsidR="001913A7" w:rsidRPr="00DC3F7E" w:rsidRDefault="001913A7" w:rsidP="001913A7">
      <w:pPr>
        <w:pBdr>
          <w:top w:val="nil"/>
          <w:left w:val="nil"/>
          <w:bottom w:val="nil"/>
          <w:right w:val="nil"/>
          <w:between w:val="nil"/>
        </w:pBdr>
        <w:ind w:left="1134" w:right="992"/>
        <w:jc w:val="both"/>
        <w:rPr>
          <w:rFonts w:ascii="Palatino Linotype" w:eastAsia="Palatino Linotype" w:hAnsi="Palatino Linotype" w:cs="Palatino Linotype"/>
          <w:color w:val="000000"/>
        </w:rPr>
      </w:pPr>
      <w:r w:rsidRPr="00DC3F7E">
        <w:rPr>
          <w:rFonts w:ascii="Palatino Linotype" w:eastAsia="Palatino Linotype" w:hAnsi="Palatino Linotype" w:cs="Palatino Linotype"/>
          <w:b/>
          <w:bCs/>
          <w:i/>
          <w:iCs/>
          <w:color w:val="000000"/>
        </w:rPr>
        <w:t xml:space="preserve">“DEMANDA DE AMPARO. LA RECLAMACIÓN DE UN ACTO FUTURO O INCIERTO, DEL CUAL NO PUEDA SABERSE CON EXACTITUD SI ES INMINENTE O SI LLEGARÁ O NO A </w:t>
      </w:r>
      <w:r w:rsidRPr="00DC3F7E">
        <w:rPr>
          <w:rFonts w:ascii="Palatino Linotype" w:eastAsia="Palatino Linotype" w:hAnsi="Palatino Linotype" w:cs="Palatino Linotype"/>
          <w:b/>
          <w:bCs/>
          <w:i/>
          <w:iCs/>
          <w:color w:val="000000"/>
        </w:rPr>
        <w:lastRenderedPageBreak/>
        <w:t>MATERIALIZARSE, NO CONSTITUYE UN MOTIVO MANIFIESTO E INDUDABLE DE IMPROCEDENCIA, POR LO QUE EL JUEZ DE DISTRITO DEBE ADMITIRLA A TRÁMITE.</w:t>
      </w:r>
      <w:r w:rsidRPr="00DC3F7E">
        <w:rPr>
          <w:rFonts w:ascii="Palatino Linotype" w:eastAsia="Palatino Linotype" w:hAnsi="Palatino Linotype" w:cs="Palatino Linotype"/>
          <w:i/>
          <w:iCs/>
          <w:color w:val="000000"/>
        </w:rPr>
        <w:t xml:space="preserve"> El artículo 145 de la Ley de Amparo faculta al Juez de Distrito para desechar la demanda de amparo indirecto cuando al examinarla aparezca un motivo manifiesto e indudable de improcedencia; sin embargo, esa potestad del Juez no es ilimitada, ni depende de un criterio puramente subjetivo, pues tal motivo debe estar plenamente demostrado, y advertirse en forma patente y absolutamente clara de la lectura del escrito de demanda, de los escritos aclaratorios o de los documentos que se anexen a esas promociones. De ahí que cuando se reclame un acto futuro e incierto y no pueda saberse con exactitud si es inminente, o bien, si llegará o no a materializarse, sino que es necesario contar con elementos de prueba que permitan una correcta conclusión, no debe considerarse que existe un motivo manifiesto e indudable de improcedencia que amerite aplicar el indicado artículo 145 para desechar de plano la demanda, por lo que el Juez de Distrito deberá admitirla a trámite. Lo anterior obedece a que para que el juzgador se encuentre en condiciones de saber si el acto reclamado, considerado como futuro, se realizará por parte de la autoridad, debe analizar los elementos probatorios existentes, y si estimara racionalmente que la responsable ya ordenó la realización del acto reclamado o que está a punto de hacerlo, deberá admitir la demanda, sin perjuicio de que durante la sustanciación del juicio quede plenamente probado que efectivamente se trata de un acto de ese tipo, o se tenga la certeza de la existencia de alguna otra causa de improcedencia regulada en el artículo 73 de la citada ley, u otra prevista en diverso precepto legal relacionado con la fracción XVIII de este numeral.No obstante, en términos del artículo 6 de la Constitución Política de los Estados Unidos Mexicanos, toda persona sin necesidad de acreditar interés alguno, tendrá acceso gratuito a la información pública </w:t>
      </w:r>
      <w:r w:rsidRPr="00DC3F7E">
        <w:rPr>
          <w:rFonts w:ascii="Palatino Linotype" w:eastAsia="Palatino Linotype" w:hAnsi="Palatino Linotype" w:cs="Palatino Linotype"/>
          <w:b/>
          <w:bCs/>
          <w:i/>
          <w:iCs/>
          <w:color w:val="000000"/>
        </w:rPr>
        <w:t>en posesión</w:t>
      </w:r>
      <w:r w:rsidRPr="00DC3F7E">
        <w:rPr>
          <w:rFonts w:ascii="Palatino Linotype" w:eastAsia="Palatino Linotype" w:hAnsi="Palatino Linotype" w:cs="Palatino Linotype"/>
          <w:i/>
          <w:iCs/>
          <w:color w:val="000000"/>
        </w:rPr>
        <w:t xml:space="preserve"> de cualquier autoridad, entidad, órgano y organismo federal, estatal y municipal, la cual sólo podrá ser reservada temporalmente por razones de interés público en los términos que fijen las leyes, debiendo prevalecer en la interpretación del derecho el principio de máxima publicidad, de ahí que los sujetos obligados deban conservar sus documentos en archivos administrados actualizados.”</w:t>
      </w:r>
    </w:p>
    <w:p w:rsidR="001913A7" w:rsidRPr="00DC3F7E" w:rsidRDefault="001913A7" w:rsidP="001913A7">
      <w:pPr>
        <w:rPr>
          <w:rFonts w:ascii="Palatino Linotype" w:eastAsia="Palatino Linotype" w:hAnsi="Palatino Linotype" w:cs="Palatino Linotype"/>
          <w:highlight w:val="yellow"/>
        </w:rPr>
      </w:pPr>
    </w:p>
    <w:p w:rsidR="00060EBD" w:rsidRPr="00DC3F7E" w:rsidRDefault="001913A7" w:rsidP="001913A7">
      <w:pPr>
        <w:numPr>
          <w:ilvl w:val="0"/>
          <w:numId w:val="1"/>
        </w:numPr>
        <w:spacing w:line="360" w:lineRule="auto"/>
        <w:ind w:left="0" w:firstLine="0"/>
        <w:jc w:val="both"/>
        <w:rPr>
          <w:rFonts w:ascii="Palatino Linotype" w:eastAsia="Palatino Linotype" w:hAnsi="Palatino Linotype" w:cs="Palatino Linotype"/>
        </w:rPr>
      </w:pPr>
      <w:r w:rsidRPr="00DC3F7E">
        <w:rPr>
          <w:rFonts w:ascii="Palatino Linotype" w:eastAsia="Palatino Linotype" w:hAnsi="Palatino Linotype" w:cs="Palatino Linotype"/>
        </w:rPr>
        <w:t xml:space="preserve">En esa línea, se tiene que no se puede entregar información de un periodo que no ha </w:t>
      </w:r>
      <w:r w:rsidRPr="00DC3F7E">
        <w:rPr>
          <w:rFonts w:ascii="Palatino Linotype" w:eastAsia="Palatino Linotype" w:hAnsi="Palatino Linotype" w:cs="Palatino Linotype"/>
          <w:color w:val="000000"/>
        </w:rPr>
        <w:t>transcurrido</w:t>
      </w:r>
      <w:r w:rsidRPr="00DC3F7E">
        <w:rPr>
          <w:rFonts w:ascii="Palatino Linotype" w:eastAsia="Palatino Linotype" w:hAnsi="Palatino Linotype" w:cs="Palatino Linotype"/>
        </w:rPr>
        <w:t>.</w:t>
      </w:r>
    </w:p>
    <w:p w:rsidR="00E6346B" w:rsidRPr="00DC3F7E" w:rsidRDefault="00E6346B" w:rsidP="00E6346B">
      <w:pPr>
        <w:numPr>
          <w:ilvl w:val="0"/>
          <w:numId w:val="1"/>
        </w:numPr>
        <w:spacing w:line="360" w:lineRule="auto"/>
        <w:ind w:left="0" w:firstLine="0"/>
        <w:jc w:val="both"/>
        <w:rPr>
          <w:rFonts w:ascii="Palatino Linotype" w:hAnsi="Palatino Linotype"/>
        </w:rPr>
      </w:pPr>
      <w:r w:rsidRPr="00DC3F7E">
        <w:rPr>
          <w:rFonts w:ascii="Palatino Linotype" w:eastAsia="Palatino Linotype" w:hAnsi="Palatino Linotype" w:cs="Palatino Linotype"/>
        </w:rPr>
        <w:lastRenderedPageBreak/>
        <w:t xml:space="preserve">Por lo tanto, en virtud de  los argumentos expuestos con anterioridad así como del análisis realizado a las constancias que obran en el expediente electrónico, toda vez el </w:t>
      </w:r>
      <w:r w:rsidRPr="00DC3F7E">
        <w:rPr>
          <w:rFonts w:ascii="Palatino Linotype" w:eastAsia="Palatino Linotype" w:hAnsi="Palatino Linotype" w:cs="Palatino Linotype"/>
          <w:b/>
        </w:rPr>
        <w:t xml:space="preserve">SUJETO OBLIGADO </w:t>
      </w:r>
      <w:r w:rsidRPr="00DC3F7E">
        <w:rPr>
          <w:rFonts w:ascii="Palatino Linotype" w:eastAsia="Palatino Linotype" w:hAnsi="Palatino Linotype" w:cs="Palatino Linotype"/>
        </w:rPr>
        <w:t>modificó su respuesta inicial, se determina sobreseer el presente recurso de revisión por actualizarse la causal de sobreseimiento prevista en la fracción III del artículo 192 de la Ley de Transparencia y Acceso a la Información Pública del Estado de México y Municipios, el que se transcribe a continuación, para un mejor entendimiento:</w:t>
      </w:r>
    </w:p>
    <w:p w:rsidR="00E6346B" w:rsidRPr="00DC3F7E" w:rsidRDefault="00E6346B" w:rsidP="00E6346B">
      <w:pPr>
        <w:pBdr>
          <w:top w:val="nil"/>
          <w:left w:val="nil"/>
          <w:bottom w:val="nil"/>
          <w:right w:val="nil"/>
          <w:between w:val="nil"/>
        </w:pBdr>
        <w:tabs>
          <w:tab w:val="left" w:pos="7938"/>
        </w:tabs>
        <w:ind w:left="1134" w:right="900"/>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b/>
          <w:i/>
          <w:color w:val="000000"/>
        </w:rPr>
        <w:t>Artículo 192.</w:t>
      </w:r>
      <w:r w:rsidRPr="00DC3F7E">
        <w:rPr>
          <w:rFonts w:ascii="Palatino Linotype" w:eastAsia="Palatino Linotype" w:hAnsi="Palatino Linotype" w:cs="Palatino Linotype"/>
          <w:i/>
          <w:color w:val="000000"/>
        </w:rPr>
        <w:t xml:space="preserve"> El recurso será sobreseído, en todo o en parte, cuando una vez admitido, se actualicen alguno de los siguientes supuestos:</w:t>
      </w:r>
    </w:p>
    <w:p w:rsidR="00E6346B" w:rsidRPr="00DC3F7E" w:rsidRDefault="00E6346B" w:rsidP="00E6346B">
      <w:pPr>
        <w:pBdr>
          <w:top w:val="nil"/>
          <w:left w:val="nil"/>
          <w:bottom w:val="nil"/>
          <w:right w:val="nil"/>
          <w:between w:val="nil"/>
        </w:pBdr>
        <w:tabs>
          <w:tab w:val="left" w:pos="7938"/>
        </w:tabs>
        <w:ind w:left="1134" w:right="900"/>
        <w:jc w:val="both"/>
        <w:rPr>
          <w:rFonts w:ascii="Palatino Linotype" w:eastAsia="Palatino Linotype" w:hAnsi="Palatino Linotype" w:cs="Palatino Linotype"/>
          <w:i/>
          <w:color w:val="000000"/>
        </w:rPr>
      </w:pPr>
    </w:p>
    <w:p w:rsidR="00E6346B" w:rsidRPr="00DC3F7E" w:rsidRDefault="00E6346B" w:rsidP="00E6346B">
      <w:pPr>
        <w:pBdr>
          <w:top w:val="nil"/>
          <w:left w:val="nil"/>
          <w:bottom w:val="nil"/>
          <w:right w:val="nil"/>
          <w:between w:val="nil"/>
        </w:pBdr>
        <w:tabs>
          <w:tab w:val="left" w:pos="7938"/>
        </w:tabs>
        <w:spacing w:after="120"/>
        <w:ind w:left="1134" w:right="900"/>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b/>
          <w:i/>
          <w:color w:val="000000"/>
        </w:rPr>
        <w:t xml:space="preserve">III. </w:t>
      </w:r>
      <w:r w:rsidRPr="00DC3F7E">
        <w:rPr>
          <w:rFonts w:ascii="Palatino Linotype" w:eastAsia="Palatino Linotype" w:hAnsi="Palatino Linotype" w:cs="Palatino Linotype"/>
          <w:i/>
          <w:color w:val="000000"/>
        </w:rPr>
        <w:t xml:space="preserve">El sujeto obligado responsable del acto lo </w:t>
      </w:r>
      <w:r w:rsidRPr="00DC3F7E">
        <w:rPr>
          <w:rFonts w:ascii="Palatino Linotype" w:eastAsia="Palatino Linotype" w:hAnsi="Palatino Linotype" w:cs="Palatino Linotype"/>
          <w:b/>
          <w:i/>
          <w:color w:val="000000"/>
        </w:rPr>
        <w:t>modifique</w:t>
      </w:r>
      <w:r w:rsidRPr="00DC3F7E">
        <w:rPr>
          <w:rFonts w:ascii="Palatino Linotype" w:eastAsia="Palatino Linotype" w:hAnsi="Palatino Linotype" w:cs="Palatino Linotype"/>
          <w:i/>
          <w:color w:val="000000"/>
        </w:rPr>
        <w:t xml:space="preserve"> o </w:t>
      </w:r>
      <w:r w:rsidRPr="00DC3F7E">
        <w:rPr>
          <w:rFonts w:ascii="Palatino Linotype" w:eastAsia="Palatino Linotype" w:hAnsi="Palatino Linotype" w:cs="Palatino Linotype"/>
          <w:b/>
          <w:i/>
          <w:color w:val="000000"/>
        </w:rPr>
        <w:t>revoque</w:t>
      </w:r>
      <w:r w:rsidRPr="00DC3F7E">
        <w:rPr>
          <w:rFonts w:ascii="Palatino Linotype" w:eastAsia="Palatino Linotype" w:hAnsi="Palatino Linotype" w:cs="Palatino Linotype"/>
          <w:i/>
          <w:color w:val="000000"/>
        </w:rPr>
        <w:t xml:space="preserve"> de tal manera que el recurso de revisión quede sin materia; “</w:t>
      </w:r>
    </w:p>
    <w:p w:rsidR="00E6346B" w:rsidRPr="00DC3F7E" w:rsidRDefault="00E6346B" w:rsidP="00E6346B">
      <w:pPr>
        <w:pBdr>
          <w:top w:val="nil"/>
          <w:left w:val="nil"/>
          <w:bottom w:val="nil"/>
          <w:right w:val="nil"/>
          <w:between w:val="nil"/>
        </w:pBdr>
        <w:tabs>
          <w:tab w:val="left" w:pos="7938"/>
        </w:tabs>
        <w:spacing w:before="120" w:after="120"/>
        <w:ind w:right="902"/>
        <w:jc w:val="both"/>
        <w:rPr>
          <w:rFonts w:ascii="Palatino Linotype" w:eastAsia="Palatino Linotype" w:hAnsi="Palatino Linotype" w:cs="Palatino Linotype"/>
          <w:i/>
        </w:rPr>
      </w:pPr>
    </w:p>
    <w:p w:rsidR="00E6346B" w:rsidRPr="00DC3F7E" w:rsidRDefault="00E6346B" w:rsidP="00E6346B">
      <w:pPr>
        <w:numPr>
          <w:ilvl w:val="0"/>
          <w:numId w:val="1"/>
        </w:numPr>
        <w:spacing w:line="360" w:lineRule="auto"/>
        <w:ind w:left="0" w:firstLine="0"/>
        <w:jc w:val="both"/>
        <w:rPr>
          <w:rFonts w:ascii="Palatino Linotype" w:hAnsi="Palatino Linotype"/>
        </w:rPr>
      </w:pPr>
      <w:r w:rsidRPr="00DC3F7E">
        <w:rPr>
          <w:rFonts w:ascii="Palatino Linotype" w:eastAsia="Palatino Linotype" w:hAnsi="Palatino Linotype" w:cs="Palatino Linotype"/>
        </w:rPr>
        <w:t xml:space="preserve">Siendo el </w:t>
      </w:r>
      <w:r w:rsidRPr="00DC3F7E">
        <w:rPr>
          <w:rFonts w:ascii="Palatino Linotype" w:eastAsia="Palatino Linotype" w:hAnsi="Palatino Linotype" w:cs="Palatino Linotype"/>
          <w:i/>
        </w:rPr>
        <w:t>sobreseimiento</w:t>
      </w:r>
      <w:r w:rsidRPr="00DC3F7E">
        <w:rPr>
          <w:rFonts w:ascii="Palatino Linotype" w:eastAsia="Palatino Linotype" w:hAnsi="Palatino Linotype" w:cs="Palatino Linotype"/>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rsidR="00E6346B" w:rsidRPr="00DC3F7E" w:rsidRDefault="00E6346B" w:rsidP="00E6346B">
      <w:pPr>
        <w:pBdr>
          <w:top w:val="nil"/>
          <w:left w:val="nil"/>
          <w:bottom w:val="nil"/>
          <w:right w:val="nil"/>
          <w:between w:val="nil"/>
        </w:pBdr>
        <w:ind w:left="1134" w:right="902"/>
        <w:jc w:val="both"/>
        <w:rPr>
          <w:rFonts w:ascii="Palatino Linotype" w:eastAsia="Palatino Linotype" w:hAnsi="Palatino Linotype" w:cs="Palatino Linotype"/>
          <w:b/>
          <w:i/>
          <w:color w:val="000000"/>
        </w:rPr>
      </w:pPr>
      <w:r w:rsidRPr="00DC3F7E">
        <w:rPr>
          <w:rFonts w:ascii="Palatino Linotype" w:eastAsia="Palatino Linotype" w:hAnsi="Palatino Linotype" w:cs="Palatino Linotype"/>
          <w:i/>
          <w:color w:val="000000"/>
        </w:rPr>
        <w:t>“</w:t>
      </w:r>
      <w:r w:rsidRPr="00DC3F7E">
        <w:rPr>
          <w:rFonts w:ascii="Palatino Linotype" w:eastAsia="Palatino Linotype" w:hAnsi="Palatino Linotype" w:cs="Palatino Linotype"/>
          <w:b/>
          <w:i/>
          <w:color w:val="000000"/>
        </w:rPr>
        <w:t>SOBRESEIMIENTO, NO PERMITE ENTRAR AL ESTUDIO DE LAS CUESTIONES DE FONDO</w:t>
      </w:r>
    </w:p>
    <w:p w:rsidR="00E6346B" w:rsidRPr="00DC3F7E" w:rsidRDefault="00E6346B" w:rsidP="00E6346B">
      <w:pPr>
        <w:pBdr>
          <w:top w:val="nil"/>
          <w:left w:val="nil"/>
          <w:bottom w:val="nil"/>
          <w:right w:val="nil"/>
          <w:between w:val="nil"/>
        </w:pBdr>
        <w:ind w:left="1134" w:right="902"/>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i/>
          <w:color w:val="000000"/>
        </w:rPr>
        <w:t>Localización: 213609. II.2o.183 K. Tribunales Colegiados de Circuito. Octava Época. Semanario Judicial de la Federación. Tomo XIII, Febrero de 1994, Pág. 420</w:t>
      </w:r>
    </w:p>
    <w:p w:rsidR="00E6346B" w:rsidRPr="00DC3F7E" w:rsidRDefault="00E6346B" w:rsidP="00E6346B">
      <w:pPr>
        <w:pBdr>
          <w:top w:val="nil"/>
          <w:left w:val="nil"/>
          <w:bottom w:val="nil"/>
          <w:right w:val="nil"/>
          <w:between w:val="nil"/>
        </w:pBdr>
        <w:ind w:left="1134" w:right="902"/>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i/>
          <w:color w:val="000000"/>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rsidR="00E6346B" w:rsidRPr="00DC3F7E" w:rsidRDefault="00E6346B" w:rsidP="00E6346B">
      <w:pPr>
        <w:pBdr>
          <w:top w:val="nil"/>
          <w:left w:val="nil"/>
          <w:bottom w:val="nil"/>
          <w:right w:val="nil"/>
          <w:between w:val="nil"/>
        </w:pBdr>
        <w:spacing w:after="120"/>
        <w:ind w:left="360" w:right="902"/>
        <w:jc w:val="both"/>
        <w:rPr>
          <w:rFonts w:ascii="Palatino Linotype" w:eastAsia="Palatino Linotype" w:hAnsi="Palatino Linotype" w:cs="Palatino Linotype"/>
          <w:i/>
          <w:color w:val="000000"/>
        </w:rPr>
      </w:pPr>
    </w:p>
    <w:p w:rsidR="00E6346B" w:rsidRPr="00DC3F7E" w:rsidRDefault="00E6346B" w:rsidP="00E6346B">
      <w:pPr>
        <w:numPr>
          <w:ilvl w:val="0"/>
          <w:numId w:val="1"/>
        </w:numPr>
        <w:spacing w:line="360" w:lineRule="auto"/>
        <w:ind w:left="0" w:firstLine="0"/>
        <w:jc w:val="both"/>
        <w:rPr>
          <w:rFonts w:ascii="Palatino Linotype" w:hAnsi="Palatino Linotype"/>
        </w:rPr>
      </w:pPr>
      <w:r w:rsidRPr="00DC3F7E">
        <w:rPr>
          <w:rFonts w:ascii="Palatino Linotype" w:eastAsia="Palatino Linotype" w:hAnsi="Palatino Linotype" w:cs="Palatino Linotype"/>
        </w:rPr>
        <w:lastRenderedPageBreak/>
        <w:t>Cabe destacar que la decisión de este Organismo Colegiado de sobreseer el recurso de revisión no implica una limitación o negación a la justicia, según lo ha establecido el Poder Judicial Federal, en el criterio que es aplicable por analogía, con rubro:</w:t>
      </w:r>
    </w:p>
    <w:p w:rsidR="00E6346B" w:rsidRPr="00DC3F7E" w:rsidRDefault="00E6346B" w:rsidP="00E6346B">
      <w:pPr>
        <w:pBdr>
          <w:top w:val="nil"/>
          <w:left w:val="nil"/>
          <w:bottom w:val="nil"/>
          <w:right w:val="nil"/>
          <w:between w:val="nil"/>
        </w:pBdr>
        <w:spacing w:before="120"/>
        <w:ind w:left="1134" w:right="902"/>
        <w:jc w:val="both"/>
        <w:rPr>
          <w:rFonts w:ascii="Palatino Linotype" w:eastAsia="Palatino Linotype" w:hAnsi="Palatino Linotype" w:cs="Palatino Linotype"/>
          <w:b/>
          <w:i/>
          <w:color w:val="000000"/>
        </w:rPr>
      </w:pPr>
      <w:r w:rsidRPr="00DC3F7E">
        <w:rPr>
          <w:rFonts w:ascii="Palatino Linotype" w:eastAsia="Palatino Linotype" w:hAnsi="Palatino Linotype" w:cs="Palatino Linotype"/>
          <w:b/>
          <w:i/>
          <w:color w:val="000000"/>
        </w:rPr>
        <w:t>“DESECHAMIENTO O SOBRESEIMIENTO EN EL JUICIO DE AMPARO. NO IMPLICA DENEGACIÓN DE JUSTICIA NI GENERA INSEGURIDAD JURÍDICA”</w:t>
      </w:r>
    </w:p>
    <w:p w:rsidR="00E6346B" w:rsidRPr="00DC3F7E" w:rsidRDefault="00E6346B" w:rsidP="00E6346B">
      <w:pPr>
        <w:pBdr>
          <w:top w:val="nil"/>
          <w:left w:val="nil"/>
          <w:bottom w:val="nil"/>
          <w:right w:val="nil"/>
          <w:between w:val="nil"/>
        </w:pBdr>
        <w:ind w:left="1134" w:right="902"/>
        <w:jc w:val="both"/>
        <w:rPr>
          <w:rFonts w:ascii="Palatino Linotype" w:eastAsia="Palatino Linotype" w:hAnsi="Palatino Linotype" w:cs="Palatino Linotype"/>
          <w:i/>
          <w:color w:val="000000"/>
        </w:rPr>
      </w:pPr>
      <w:r w:rsidRPr="00DC3F7E">
        <w:rPr>
          <w:rFonts w:ascii="Palatino Linotype" w:eastAsia="Palatino Linotype" w:hAnsi="Palatino Linotype" w:cs="Palatino Linotype"/>
          <w:i/>
          <w:color w:val="000000"/>
        </w:rPr>
        <w:t>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r w:rsidRPr="00DC3F7E">
        <w:rPr>
          <w:rFonts w:ascii="Palatino Linotype" w:eastAsia="Palatino Linotype" w:hAnsi="Palatino Linotype" w:cs="Palatino Linotype"/>
          <w:color w:val="000000"/>
        </w:rPr>
        <w:tab/>
      </w:r>
    </w:p>
    <w:p w:rsidR="00E6346B" w:rsidRPr="00DC3F7E" w:rsidRDefault="00E6346B" w:rsidP="00E6346B">
      <w:pPr>
        <w:spacing w:line="360" w:lineRule="auto"/>
        <w:jc w:val="both"/>
        <w:rPr>
          <w:rFonts w:ascii="Palatino Linotype" w:eastAsia="Palatino Linotype" w:hAnsi="Palatino Linotype" w:cs="Palatino Linotype"/>
        </w:rPr>
      </w:pPr>
      <w:bookmarkStart w:id="9" w:name="_heading=h.17dp8vu" w:colFirst="0" w:colLast="0"/>
      <w:bookmarkEnd w:id="9"/>
    </w:p>
    <w:p w:rsidR="00E6346B" w:rsidRPr="00DC3F7E" w:rsidRDefault="00E6346B" w:rsidP="00E6346B">
      <w:pPr>
        <w:numPr>
          <w:ilvl w:val="0"/>
          <w:numId w:val="1"/>
        </w:numPr>
        <w:spacing w:line="360" w:lineRule="auto"/>
        <w:ind w:left="0" w:firstLine="0"/>
        <w:jc w:val="both"/>
        <w:rPr>
          <w:rFonts w:ascii="Palatino Linotype" w:hAnsi="Palatino Linotype"/>
        </w:rPr>
      </w:pPr>
      <w:r w:rsidRPr="00DC3F7E">
        <w:rPr>
          <w:rFonts w:ascii="Palatino Linotype" w:eastAsia="Palatino Linotype" w:hAnsi="Palatino Linotype" w:cs="Palatino Linotype"/>
        </w:rPr>
        <w:t xml:space="preserve">Bajo ese tenor con fundamento en la segunda hipótesis de la fracción I del artículo 186, de la Ley de Transparencia y Acceso a la Información Pública del Estado de México y Municipios, se Sobresee el recurso de revisión </w:t>
      </w:r>
      <w:r w:rsidRPr="00DC3F7E">
        <w:rPr>
          <w:rFonts w:ascii="Palatino Linotype" w:eastAsia="Palatino Linotype" w:hAnsi="Palatino Linotype" w:cs="Palatino Linotype"/>
          <w:b/>
        </w:rPr>
        <w:t>10063/INFOEM/IP/RR/2025</w:t>
      </w:r>
      <w:r w:rsidRPr="00DC3F7E">
        <w:rPr>
          <w:rFonts w:ascii="Palatino Linotype" w:eastAsia="Palatino Linotype" w:hAnsi="Palatino Linotype" w:cs="Palatino Linotype"/>
        </w:rPr>
        <w:t>, que ha sido materia del presente fallo.</w:t>
      </w:r>
    </w:p>
    <w:p w:rsidR="00E6346B" w:rsidRPr="00DC3F7E" w:rsidRDefault="00E6346B" w:rsidP="00E6346B">
      <w:pPr>
        <w:pBdr>
          <w:top w:val="nil"/>
          <w:left w:val="nil"/>
          <w:bottom w:val="nil"/>
          <w:right w:val="nil"/>
          <w:between w:val="nil"/>
        </w:pBdr>
        <w:ind w:left="720"/>
        <w:rPr>
          <w:rFonts w:ascii="Palatino Linotype" w:eastAsia="Palatino Linotype" w:hAnsi="Palatino Linotype" w:cs="Palatino Linotype"/>
          <w:color w:val="000000"/>
        </w:rPr>
      </w:pPr>
    </w:p>
    <w:p w:rsidR="00E6346B" w:rsidRPr="00DC3F7E" w:rsidRDefault="00E6346B" w:rsidP="00E6346B">
      <w:pPr>
        <w:numPr>
          <w:ilvl w:val="0"/>
          <w:numId w:val="1"/>
        </w:numPr>
        <w:spacing w:line="360" w:lineRule="auto"/>
        <w:ind w:left="0" w:firstLine="0"/>
        <w:jc w:val="both"/>
        <w:rPr>
          <w:rFonts w:ascii="Palatino Linotype" w:hAnsi="Palatino Linotype"/>
        </w:rPr>
      </w:pPr>
      <w:r w:rsidRPr="00DC3F7E">
        <w:rPr>
          <w:rFonts w:ascii="Palatino Linotype" w:eastAsia="Palatino Linotype" w:hAnsi="Palatino Linotype" w:cs="Palatino Linotype"/>
        </w:rPr>
        <w:t xml:space="preserve">Así, con fundamento en lo prescrito en los artículos 5 párrafos trigésimo, trigésimo primero y trigésimo segundo de la Constitución Política del Estado Libre y Soberano de México; 2, fracción II; 29, 36 fracciones I y II; 176, 178, 181, 185 y 186 fracción II de la Ley de </w:t>
      </w:r>
      <w:r w:rsidRPr="00DC3F7E">
        <w:rPr>
          <w:rFonts w:ascii="Palatino Linotype" w:eastAsia="Palatino Linotype" w:hAnsi="Palatino Linotype" w:cs="Palatino Linotype"/>
        </w:rPr>
        <w:lastRenderedPageBreak/>
        <w:t>Transparencia y Acceso a la Información Pública del Estado de México y Municipios, este Pleno:</w:t>
      </w:r>
    </w:p>
    <w:p w:rsidR="00E6346B" w:rsidRPr="00DC3F7E" w:rsidRDefault="00E6346B" w:rsidP="00E6346B">
      <w:pPr>
        <w:pBdr>
          <w:top w:val="nil"/>
          <w:left w:val="nil"/>
          <w:bottom w:val="nil"/>
          <w:right w:val="nil"/>
          <w:between w:val="nil"/>
        </w:pBdr>
        <w:ind w:left="720"/>
        <w:rPr>
          <w:rFonts w:ascii="Palatino Linotype" w:eastAsia="Palatino Linotype" w:hAnsi="Palatino Linotype" w:cs="Palatino Linotype"/>
          <w:color w:val="000000"/>
        </w:rPr>
      </w:pPr>
    </w:p>
    <w:p w:rsidR="00E6346B" w:rsidRPr="00DC3F7E" w:rsidRDefault="00E6346B" w:rsidP="00E6346B">
      <w:pPr>
        <w:keepNext/>
        <w:keepLines/>
        <w:spacing w:line="360" w:lineRule="auto"/>
        <w:jc w:val="center"/>
        <w:rPr>
          <w:rFonts w:ascii="Palatino Linotype" w:eastAsia="Palatino Linotype" w:hAnsi="Palatino Linotype" w:cs="Palatino Linotype"/>
          <w:b/>
          <w:color w:val="000000"/>
        </w:rPr>
      </w:pPr>
      <w:bookmarkStart w:id="10" w:name="_heading=h.3rdcrjn" w:colFirst="0" w:colLast="0"/>
      <w:bookmarkEnd w:id="10"/>
      <w:r w:rsidRPr="00DC3F7E">
        <w:rPr>
          <w:rFonts w:ascii="Palatino Linotype" w:eastAsia="Palatino Linotype" w:hAnsi="Palatino Linotype" w:cs="Palatino Linotype"/>
          <w:b/>
          <w:color w:val="000000"/>
        </w:rPr>
        <w:t>R E S O L U T I V O S</w:t>
      </w:r>
    </w:p>
    <w:p w:rsidR="00E6346B" w:rsidRPr="00DC3F7E" w:rsidRDefault="00E6346B" w:rsidP="00E6346B">
      <w:pPr>
        <w:rPr>
          <w:rFonts w:ascii="Palatino Linotype" w:eastAsia="Palatino Linotype" w:hAnsi="Palatino Linotype" w:cs="Palatino Linotype"/>
          <w:color w:val="000000"/>
        </w:rPr>
      </w:pPr>
    </w:p>
    <w:p w:rsidR="00E6346B" w:rsidRPr="00DC3F7E" w:rsidRDefault="00E6346B" w:rsidP="00E6346B">
      <w:pPr>
        <w:pBdr>
          <w:top w:val="nil"/>
          <w:left w:val="nil"/>
          <w:bottom w:val="nil"/>
          <w:right w:val="nil"/>
          <w:between w:val="nil"/>
        </w:pBdr>
        <w:tabs>
          <w:tab w:val="left" w:pos="7936"/>
        </w:tabs>
        <w:spacing w:before="240" w:after="240" w:line="360" w:lineRule="auto"/>
        <w:jc w:val="both"/>
        <w:rPr>
          <w:rFonts w:ascii="Palatino Linotype" w:eastAsia="Palatino Linotype" w:hAnsi="Palatino Linotype" w:cs="Palatino Linotype"/>
          <w:b/>
        </w:rPr>
      </w:pPr>
      <w:r w:rsidRPr="00DC3F7E">
        <w:rPr>
          <w:rFonts w:ascii="Palatino Linotype" w:eastAsia="Palatino Linotype" w:hAnsi="Palatino Linotype" w:cs="Palatino Linotype"/>
          <w:b/>
        </w:rPr>
        <w:t xml:space="preserve">PRIMERO. </w:t>
      </w:r>
      <w:r w:rsidRPr="00DC3F7E">
        <w:rPr>
          <w:rFonts w:ascii="Palatino Linotype" w:eastAsia="Palatino Linotype" w:hAnsi="Palatino Linotype" w:cs="Palatino Linotype"/>
        </w:rPr>
        <w:t xml:space="preserve">Se </w:t>
      </w:r>
      <w:r w:rsidRPr="00DC3F7E">
        <w:rPr>
          <w:rFonts w:ascii="Palatino Linotype" w:eastAsia="Palatino Linotype" w:hAnsi="Palatino Linotype" w:cs="Palatino Linotype"/>
          <w:b/>
        </w:rPr>
        <w:t>SOBRESEE</w:t>
      </w:r>
      <w:r w:rsidRPr="00DC3F7E">
        <w:rPr>
          <w:rFonts w:ascii="Palatino Linotype" w:eastAsia="Palatino Linotype" w:hAnsi="Palatino Linotype" w:cs="Palatino Linotype"/>
        </w:rPr>
        <w:t xml:space="preserve"> el recurso de revisión número </w:t>
      </w:r>
      <w:r w:rsidRPr="00DC3F7E">
        <w:rPr>
          <w:rFonts w:ascii="Palatino Linotype" w:eastAsia="Palatino Linotype" w:hAnsi="Palatino Linotype" w:cs="Palatino Linotype"/>
          <w:b/>
        </w:rPr>
        <w:t>10063/INFOEM/IP/RR/2025,</w:t>
      </w:r>
      <w:r w:rsidRPr="00DC3F7E">
        <w:rPr>
          <w:rFonts w:ascii="Palatino Linotype" w:eastAsia="Palatino Linotype" w:hAnsi="Palatino Linotype" w:cs="Palatino Linotype"/>
        </w:rPr>
        <w:t xml:space="preserve"> porque al modificar la respuesta a través del informe justificado, el recurso de revisión quedó sin materia, conforme a la fracción III</w:t>
      </w:r>
      <w:r w:rsidR="002D08C8" w:rsidRPr="00DC3F7E">
        <w:rPr>
          <w:rFonts w:ascii="Palatino Linotype" w:eastAsia="Palatino Linotype" w:hAnsi="Palatino Linotype" w:cs="Palatino Linotype"/>
        </w:rPr>
        <w:t>,</w:t>
      </w:r>
      <w:r w:rsidRPr="00DC3F7E">
        <w:rPr>
          <w:rFonts w:ascii="Palatino Linotype" w:eastAsia="Palatino Linotype" w:hAnsi="Palatino Linotype" w:cs="Palatino Linotype"/>
        </w:rPr>
        <w:t xml:space="preserve"> del artículo 192</w:t>
      </w:r>
      <w:r w:rsidR="002D08C8" w:rsidRPr="00DC3F7E">
        <w:rPr>
          <w:rFonts w:ascii="Palatino Linotype" w:eastAsia="Palatino Linotype" w:hAnsi="Palatino Linotype" w:cs="Palatino Linotype"/>
        </w:rPr>
        <w:t>,</w:t>
      </w:r>
      <w:r w:rsidRPr="00DC3F7E">
        <w:rPr>
          <w:rFonts w:ascii="Palatino Linotype" w:eastAsia="Palatino Linotype" w:hAnsi="Palatino Linotype" w:cs="Palatino Linotype"/>
        </w:rPr>
        <w:t xml:space="preserve"> de la Ley de Transparencia y Acceso a la Información Pública del Estado de México y Municipios, en términos del Considerando </w:t>
      </w:r>
      <w:r w:rsidRPr="00DC3F7E">
        <w:rPr>
          <w:rFonts w:ascii="Palatino Linotype" w:eastAsia="Palatino Linotype" w:hAnsi="Palatino Linotype" w:cs="Palatino Linotype"/>
          <w:b/>
        </w:rPr>
        <w:t>TERCERO</w:t>
      </w:r>
      <w:r w:rsidRPr="00DC3F7E">
        <w:rPr>
          <w:rFonts w:ascii="Palatino Linotype" w:eastAsia="Palatino Linotype" w:hAnsi="Palatino Linotype" w:cs="Palatino Linotype"/>
        </w:rPr>
        <w:t xml:space="preserve"> de la presente resolución.</w:t>
      </w:r>
    </w:p>
    <w:p w:rsidR="00E6346B" w:rsidRPr="00DC3F7E" w:rsidRDefault="00E6346B" w:rsidP="00E6346B">
      <w:pPr>
        <w:pBdr>
          <w:top w:val="nil"/>
          <w:left w:val="nil"/>
          <w:bottom w:val="nil"/>
          <w:right w:val="nil"/>
          <w:between w:val="nil"/>
        </w:pBdr>
        <w:tabs>
          <w:tab w:val="left" w:pos="7936"/>
        </w:tabs>
        <w:spacing w:before="240" w:after="240" w:line="360" w:lineRule="auto"/>
        <w:jc w:val="both"/>
        <w:rPr>
          <w:rFonts w:ascii="Palatino Linotype" w:eastAsia="Palatino Linotype" w:hAnsi="Palatino Linotype" w:cs="Palatino Linotype"/>
        </w:rPr>
      </w:pPr>
      <w:r w:rsidRPr="00DC3F7E">
        <w:rPr>
          <w:rFonts w:ascii="Palatino Linotype" w:eastAsia="Palatino Linotype" w:hAnsi="Palatino Linotype" w:cs="Palatino Linotype"/>
          <w:b/>
        </w:rPr>
        <w:t xml:space="preserve">SEGUNDO. Notifíquese, </w:t>
      </w:r>
      <w:r w:rsidRPr="00DC3F7E">
        <w:rPr>
          <w:rFonts w:ascii="Palatino Linotype" w:eastAsia="Palatino Linotype" w:hAnsi="Palatino Linotype" w:cs="Palatino Linotype"/>
        </w:rPr>
        <w:t>vía</w:t>
      </w:r>
      <w:r w:rsidRPr="00DC3F7E">
        <w:rPr>
          <w:rFonts w:ascii="Palatino Linotype" w:eastAsia="Palatino Linotype" w:hAnsi="Palatino Linotype" w:cs="Palatino Linotype"/>
          <w:b/>
        </w:rPr>
        <w:t xml:space="preserve"> SAIMEX,</w:t>
      </w:r>
      <w:r w:rsidRPr="00DC3F7E">
        <w:rPr>
          <w:rFonts w:ascii="Palatino Linotype" w:eastAsia="Palatino Linotype" w:hAnsi="Palatino Linotype" w:cs="Palatino Linotype"/>
        </w:rPr>
        <w:t xml:space="preserve"> al Responsable de la Unidad de Transparencia del </w:t>
      </w:r>
      <w:r w:rsidRPr="00DC3F7E">
        <w:rPr>
          <w:rFonts w:ascii="Palatino Linotype" w:eastAsia="Palatino Linotype" w:hAnsi="Palatino Linotype" w:cs="Palatino Linotype"/>
          <w:b/>
        </w:rPr>
        <w:t>Sujeto Obligado</w:t>
      </w:r>
      <w:r w:rsidRPr="00DC3F7E">
        <w:rPr>
          <w:rFonts w:ascii="Palatino Linotype" w:eastAsia="Palatino Linotype" w:hAnsi="Palatino Linotype" w:cs="Palatino Linotype"/>
        </w:rPr>
        <w:t xml:space="preserve"> la presente resolución, para su conocimiento.</w:t>
      </w:r>
    </w:p>
    <w:p w:rsidR="002D08C8" w:rsidRPr="00DC3F7E" w:rsidRDefault="002D08C8" w:rsidP="00E6346B">
      <w:pPr>
        <w:pBdr>
          <w:top w:val="nil"/>
          <w:left w:val="nil"/>
          <w:bottom w:val="nil"/>
          <w:right w:val="nil"/>
          <w:between w:val="nil"/>
        </w:pBdr>
        <w:tabs>
          <w:tab w:val="left" w:pos="7936"/>
        </w:tabs>
        <w:spacing w:before="240" w:after="240" w:line="360" w:lineRule="auto"/>
        <w:jc w:val="both"/>
        <w:rPr>
          <w:rFonts w:ascii="Palatino Linotype" w:eastAsia="Palatino Linotype" w:hAnsi="Palatino Linotype" w:cs="Palatino Linotype"/>
        </w:rPr>
      </w:pPr>
    </w:p>
    <w:p w:rsidR="00E6346B" w:rsidRPr="00DC3F7E" w:rsidRDefault="00E6346B" w:rsidP="00E6346B">
      <w:pPr>
        <w:widowControl w:val="0"/>
        <w:pBdr>
          <w:top w:val="nil"/>
          <w:left w:val="nil"/>
          <w:bottom w:val="nil"/>
          <w:right w:val="nil"/>
          <w:between w:val="nil"/>
        </w:pBdr>
        <w:tabs>
          <w:tab w:val="left" w:pos="1701"/>
        </w:tabs>
        <w:spacing w:before="240" w:line="360" w:lineRule="auto"/>
        <w:jc w:val="both"/>
        <w:rPr>
          <w:rFonts w:ascii="Palatino Linotype" w:eastAsia="Palatino Linotype" w:hAnsi="Palatino Linotype" w:cs="Palatino Linotype"/>
          <w:color w:val="222222"/>
        </w:rPr>
      </w:pPr>
      <w:r w:rsidRPr="00DC3F7E">
        <w:rPr>
          <w:rFonts w:ascii="Palatino Linotype" w:eastAsia="Palatino Linotype" w:hAnsi="Palatino Linotype" w:cs="Palatino Linotype"/>
          <w:b/>
          <w:color w:val="000000"/>
        </w:rPr>
        <w:t>TERCERO</w:t>
      </w:r>
      <w:r w:rsidRPr="00DC3F7E">
        <w:rPr>
          <w:rFonts w:ascii="Palatino Linotype" w:eastAsia="Palatino Linotype" w:hAnsi="Palatino Linotype" w:cs="Palatino Linotype"/>
          <w:b/>
          <w:color w:val="222222"/>
        </w:rPr>
        <w:t xml:space="preserve">. Notifíquese </w:t>
      </w:r>
      <w:r w:rsidRPr="00DC3F7E">
        <w:rPr>
          <w:rFonts w:ascii="Palatino Linotype" w:eastAsia="Palatino Linotype" w:hAnsi="Palatino Linotype" w:cs="Palatino Linotype"/>
          <w:color w:val="222222"/>
        </w:rPr>
        <w:t>a</w:t>
      </w:r>
      <w:r w:rsidRPr="00DC3F7E">
        <w:rPr>
          <w:rFonts w:ascii="Palatino Linotype" w:eastAsia="Palatino Linotype" w:hAnsi="Palatino Linotype" w:cs="Palatino Linotype"/>
          <w:b/>
          <w:color w:val="222222"/>
        </w:rPr>
        <w:t xml:space="preserve"> </w:t>
      </w:r>
      <w:r w:rsidRPr="00DC3F7E">
        <w:rPr>
          <w:rFonts w:ascii="Palatino Linotype" w:eastAsia="Palatino Linotype" w:hAnsi="Palatino Linotype" w:cs="Palatino Linotype"/>
          <w:b/>
          <w:color w:val="000000"/>
        </w:rPr>
        <w:t>EL RECURRENTE</w:t>
      </w:r>
      <w:r w:rsidRPr="00DC3F7E">
        <w:rPr>
          <w:rFonts w:ascii="Palatino Linotype" w:eastAsia="Palatino Linotype" w:hAnsi="Palatino Linotype" w:cs="Palatino Linotype"/>
          <w:color w:val="222222"/>
        </w:rPr>
        <w:t xml:space="preserve"> la presente resolución, vía </w:t>
      </w:r>
      <w:r w:rsidR="002D08C8" w:rsidRPr="00DC3F7E">
        <w:rPr>
          <w:rFonts w:ascii="Palatino Linotype" w:eastAsia="Palatino Linotype" w:hAnsi="Palatino Linotype" w:cs="Palatino Linotype"/>
          <w:b/>
          <w:color w:val="222222"/>
        </w:rPr>
        <w:t>SAIMEX.</w:t>
      </w:r>
    </w:p>
    <w:p w:rsidR="00E6346B" w:rsidRPr="00DC3F7E" w:rsidRDefault="00E6346B" w:rsidP="00E6346B">
      <w:pPr>
        <w:widowControl w:val="0"/>
        <w:pBdr>
          <w:top w:val="nil"/>
          <w:left w:val="nil"/>
          <w:bottom w:val="nil"/>
          <w:right w:val="nil"/>
          <w:between w:val="nil"/>
        </w:pBdr>
        <w:tabs>
          <w:tab w:val="left" w:pos="1701"/>
        </w:tabs>
        <w:spacing w:after="240" w:line="360" w:lineRule="auto"/>
        <w:jc w:val="both"/>
        <w:rPr>
          <w:rFonts w:ascii="Palatino Linotype" w:eastAsia="Palatino Linotype" w:hAnsi="Palatino Linotype" w:cs="Palatino Linotype"/>
          <w:color w:val="222222"/>
        </w:rPr>
      </w:pPr>
    </w:p>
    <w:p w:rsidR="00E6346B" w:rsidRPr="00DC3F7E" w:rsidRDefault="00E6346B" w:rsidP="00E6346B">
      <w:pPr>
        <w:pBdr>
          <w:top w:val="nil"/>
          <w:left w:val="nil"/>
          <w:bottom w:val="nil"/>
          <w:right w:val="nil"/>
          <w:between w:val="nil"/>
        </w:pBdr>
        <w:tabs>
          <w:tab w:val="left" w:pos="7936"/>
        </w:tabs>
        <w:spacing w:before="240" w:after="240" w:line="360" w:lineRule="auto"/>
        <w:jc w:val="both"/>
        <w:rPr>
          <w:rFonts w:ascii="Palatino Linotype" w:eastAsia="Palatino Linotype" w:hAnsi="Palatino Linotype" w:cs="Palatino Linotype"/>
        </w:rPr>
      </w:pPr>
      <w:r w:rsidRPr="00DC3F7E">
        <w:rPr>
          <w:rFonts w:ascii="Palatino Linotype" w:eastAsia="Palatino Linotype" w:hAnsi="Palatino Linotype" w:cs="Palatino Linotype"/>
          <w:b/>
        </w:rPr>
        <w:t xml:space="preserve">CUARTO. </w:t>
      </w:r>
      <w:r w:rsidRPr="00DC3F7E">
        <w:rPr>
          <w:rFonts w:ascii="Palatino Linotype" w:eastAsia="Palatino Linotype" w:hAnsi="Palatino Linotype" w:cs="Palatino Linotype"/>
        </w:rPr>
        <w:t xml:space="preserve">Se hace del conocimiento de </w:t>
      </w:r>
      <w:r w:rsidRPr="00DC3F7E">
        <w:rPr>
          <w:rFonts w:ascii="Palatino Linotype" w:eastAsia="Palatino Linotype" w:hAnsi="Palatino Linotype" w:cs="Palatino Linotype"/>
          <w:b/>
        </w:rPr>
        <w:t>EL RECURRENTE</w:t>
      </w:r>
      <w:r w:rsidRPr="00DC3F7E">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w:t>
      </w:r>
    </w:p>
    <w:p w:rsidR="00E6346B" w:rsidRPr="00DC3F7E" w:rsidRDefault="00E6346B" w:rsidP="00E6346B">
      <w:pPr>
        <w:widowControl w:val="0"/>
        <w:pBdr>
          <w:top w:val="nil"/>
          <w:left w:val="nil"/>
          <w:bottom w:val="nil"/>
          <w:right w:val="nil"/>
          <w:between w:val="nil"/>
        </w:pBdr>
        <w:tabs>
          <w:tab w:val="left" w:pos="1701"/>
        </w:tabs>
        <w:spacing w:line="360" w:lineRule="auto"/>
        <w:jc w:val="both"/>
        <w:rPr>
          <w:rFonts w:ascii="Palatino Linotype" w:eastAsia="Palatino Linotype" w:hAnsi="Palatino Linotype" w:cs="Palatino Linotype"/>
          <w:color w:val="222222"/>
        </w:rPr>
      </w:pPr>
    </w:p>
    <w:p w:rsidR="002D08C8" w:rsidRPr="00DC3F7E" w:rsidRDefault="002D08C8" w:rsidP="002D08C8">
      <w:pPr>
        <w:spacing w:before="240" w:after="240" w:line="360" w:lineRule="auto"/>
        <w:ind w:firstLine="1"/>
        <w:jc w:val="both"/>
        <w:rPr>
          <w:rFonts w:ascii="Palatino Linotype" w:hAnsi="Palatino Linotype"/>
        </w:rPr>
      </w:pPr>
      <w:bookmarkStart w:id="11" w:name="_heading=h.x9yucfu72zyz" w:colFirst="0" w:colLast="0"/>
      <w:bookmarkStart w:id="12" w:name="_Hlk99014733"/>
      <w:bookmarkEnd w:id="11"/>
      <w:r w:rsidRPr="00DC3F7E">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DC3F7E">
        <w:rPr>
          <w:rFonts w:ascii="Palatino Linotype" w:hAnsi="Palatino Linotype" w:cs="Palatino Linotype"/>
          <w:color w:val="000000" w:themeColor="text1"/>
        </w:rPr>
        <w:t>ALEXIS TAPIA RAMÍREZ.</w:t>
      </w:r>
    </w:p>
    <w:bookmarkEnd w:id="12"/>
    <w:p w:rsidR="00E6346B" w:rsidRPr="00DC3F7E" w:rsidRDefault="00E6346B" w:rsidP="00E6346B">
      <w:pPr>
        <w:spacing w:line="360" w:lineRule="auto"/>
        <w:jc w:val="both"/>
        <w:rPr>
          <w:rFonts w:ascii="Palatino Linotype" w:eastAsia="Palatino Linotype" w:hAnsi="Palatino Linotype" w:cs="Palatino Linotype"/>
        </w:rPr>
      </w:pPr>
    </w:p>
    <w:p w:rsidR="00E6346B" w:rsidRPr="00DC3F7E" w:rsidRDefault="00E6346B" w:rsidP="00E6346B">
      <w:pPr>
        <w:spacing w:line="360" w:lineRule="auto"/>
        <w:jc w:val="both"/>
        <w:rPr>
          <w:rFonts w:ascii="Palatino Linotype" w:eastAsia="Palatino Linotype" w:hAnsi="Palatino Linotype" w:cs="Palatino Linotype"/>
        </w:rPr>
      </w:pPr>
    </w:p>
    <w:p w:rsidR="00E6346B" w:rsidRPr="00DC3F7E" w:rsidRDefault="00E6346B" w:rsidP="00E6346B">
      <w:pPr>
        <w:spacing w:line="360" w:lineRule="auto"/>
        <w:jc w:val="both"/>
        <w:rPr>
          <w:rFonts w:ascii="Palatino Linotype" w:eastAsia="Palatino Linotype" w:hAnsi="Palatino Linotype" w:cs="Palatino Linotype"/>
        </w:rPr>
      </w:pPr>
    </w:p>
    <w:p w:rsidR="00E6346B" w:rsidRPr="00DC3F7E" w:rsidRDefault="00E6346B" w:rsidP="00E6346B">
      <w:pPr>
        <w:spacing w:line="360" w:lineRule="auto"/>
        <w:jc w:val="both"/>
        <w:rPr>
          <w:rFonts w:ascii="Palatino Linotype" w:eastAsia="Palatino Linotype" w:hAnsi="Palatino Linotype" w:cs="Palatino Linotype"/>
        </w:rPr>
      </w:pPr>
    </w:p>
    <w:p w:rsidR="00E6346B" w:rsidRPr="00DC3F7E" w:rsidRDefault="00E6346B" w:rsidP="00E6346B">
      <w:pPr>
        <w:spacing w:line="360" w:lineRule="auto"/>
        <w:jc w:val="both"/>
        <w:rPr>
          <w:rFonts w:ascii="Palatino Linotype" w:eastAsia="Palatino Linotype" w:hAnsi="Palatino Linotype" w:cs="Palatino Linotype"/>
        </w:rPr>
      </w:pPr>
    </w:p>
    <w:p w:rsidR="00E6346B" w:rsidRPr="00DC3F7E" w:rsidRDefault="00E6346B" w:rsidP="00E6346B">
      <w:pPr>
        <w:rPr>
          <w:rFonts w:ascii="Palatino Linotype" w:hAnsi="Palatino Linotype"/>
        </w:rPr>
      </w:pPr>
    </w:p>
    <w:p w:rsidR="00E6346B" w:rsidRPr="00DC3F7E" w:rsidRDefault="00E6346B" w:rsidP="00E6346B">
      <w:pPr>
        <w:rPr>
          <w:rFonts w:ascii="Palatino Linotype" w:hAnsi="Palatino Linotype"/>
        </w:rPr>
      </w:pPr>
    </w:p>
    <w:p w:rsidR="00E6346B" w:rsidRPr="00DC3F7E" w:rsidRDefault="00E6346B" w:rsidP="00E6346B">
      <w:pPr>
        <w:rPr>
          <w:rFonts w:ascii="Palatino Linotype" w:hAnsi="Palatino Linotype"/>
        </w:rPr>
      </w:pPr>
    </w:p>
    <w:p w:rsidR="00E6346B" w:rsidRPr="00DC3F7E" w:rsidRDefault="00E6346B" w:rsidP="00E6346B"/>
    <w:p w:rsidR="00E6346B" w:rsidRDefault="00E6346B" w:rsidP="00E6346B"/>
    <w:p w:rsidR="00DC3F7E" w:rsidRDefault="00DC3F7E" w:rsidP="00E6346B"/>
    <w:p w:rsidR="00DC3F7E" w:rsidRDefault="00DC3F7E" w:rsidP="00E6346B"/>
    <w:p w:rsidR="00DC3F7E" w:rsidRDefault="00DC3F7E" w:rsidP="00E6346B"/>
    <w:p w:rsidR="00DC3F7E" w:rsidRDefault="00DC3F7E" w:rsidP="00E6346B"/>
    <w:p w:rsidR="00DC3F7E" w:rsidRDefault="00DC3F7E" w:rsidP="00E6346B"/>
    <w:p w:rsidR="00DC3F7E" w:rsidRDefault="00DC3F7E" w:rsidP="00E6346B"/>
    <w:p w:rsidR="00DC3F7E" w:rsidRDefault="00DC3F7E" w:rsidP="00E6346B"/>
    <w:p w:rsidR="00DC3F7E" w:rsidRDefault="00DC3F7E" w:rsidP="00E6346B"/>
    <w:p w:rsidR="00DC3F7E" w:rsidRDefault="00DC3F7E" w:rsidP="00E6346B"/>
    <w:p w:rsidR="00DC3F7E" w:rsidRPr="00DC3F7E" w:rsidRDefault="00DC3F7E" w:rsidP="00E6346B"/>
    <w:p w:rsidR="00E6346B" w:rsidRPr="00DC3F7E" w:rsidRDefault="00E6346B" w:rsidP="00E6346B"/>
    <w:p w:rsidR="00E6346B" w:rsidRPr="00DC3F7E" w:rsidRDefault="00E6346B" w:rsidP="00E6346B"/>
    <w:p w:rsidR="00E6346B" w:rsidRPr="00DC3F7E" w:rsidRDefault="00E6346B" w:rsidP="00E6346B"/>
    <w:p w:rsidR="00E6346B" w:rsidRPr="00DC3F7E" w:rsidRDefault="00E6346B" w:rsidP="00E6346B"/>
    <w:p w:rsidR="00156504" w:rsidRPr="00DC3F7E" w:rsidRDefault="00156504"/>
    <w:sectPr w:rsidR="00156504" w:rsidRPr="00DC3F7E" w:rsidSect="00DC3F7E">
      <w:headerReference w:type="even" r:id="rId9"/>
      <w:headerReference w:type="default" r:id="rId10"/>
      <w:footerReference w:type="default" r:id="rId11"/>
      <w:headerReference w:type="first" r:id="rId12"/>
      <w:footerReference w:type="first" r:id="rId13"/>
      <w:pgSz w:w="12240" w:h="15840"/>
      <w:pgMar w:top="2268" w:right="758"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02D" w:rsidRDefault="001E202D" w:rsidP="00E6346B">
      <w:r>
        <w:separator/>
      </w:r>
    </w:p>
  </w:endnote>
  <w:endnote w:type="continuationSeparator" w:id="0">
    <w:p w:rsidR="001E202D" w:rsidRDefault="001E202D" w:rsidP="00E63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DC0" w:rsidRPr="00DC3F7E" w:rsidRDefault="00BF6DC0">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C3F7E">
      <w:rPr>
        <w:rFonts w:ascii="Palatino Linotype" w:eastAsia="Palatino Linotype" w:hAnsi="Palatino Linotype" w:cs="Palatino Linotype"/>
        <w:b/>
        <w:color w:val="000000"/>
        <w:sz w:val="22"/>
        <w:szCs w:val="20"/>
      </w:rPr>
      <w:t xml:space="preserve">Página </w:t>
    </w:r>
    <w:r w:rsidRPr="00DC3F7E">
      <w:rPr>
        <w:rFonts w:ascii="Palatino Linotype" w:eastAsia="Palatino Linotype" w:hAnsi="Palatino Linotype" w:cs="Palatino Linotype"/>
        <w:b/>
        <w:color w:val="000000"/>
        <w:sz w:val="22"/>
        <w:szCs w:val="20"/>
      </w:rPr>
      <w:fldChar w:fldCharType="begin"/>
    </w:r>
    <w:r w:rsidRPr="00DC3F7E">
      <w:rPr>
        <w:rFonts w:ascii="Palatino Linotype" w:eastAsia="Palatino Linotype" w:hAnsi="Palatino Linotype" w:cs="Palatino Linotype"/>
        <w:b/>
        <w:color w:val="000000"/>
        <w:sz w:val="22"/>
        <w:szCs w:val="20"/>
      </w:rPr>
      <w:instrText>PAGE</w:instrText>
    </w:r>
    <w:r w:rsidRPr="00DC3F7E">
      <w:rPr>
        <w:rFonts w:ascii="Palatino Linotype" w:eastAsia="Palatino Linotype" w:hAnsi="Palatino Linotype" w:cs="Palatino Linotype"/>
        <w:b/>
        <w:color w:val="000000"/>
        <w:sz w:val="22"/>
        <w:szCs w:val="20"/>
      </w:rPr>
      <w:fldChar w:fldCharType="separate"/>
    </w:r>
    <w:r w:rsidR="00FA131C">
      <w:rPr>
        <w:rFonts w:ascii="Palatino Linotype" w:eastAsia="Palatino Linotype" w:hAnsi="Palatino Linotype" w:cs="Palatino Linotype"/>
        <w:b/>
        <w:noProof/>
        <w:color w:val="000000"/>
        <w:sz w:val="22"/>
        <w:szCs w:val="20"/>
      </w:rPr>
      <w:t>19</w:t>
    </w:r>
    <w:r w:rsidRPr="00DC3F7E">
      <w:rPr>
        <w:rFonts w:ascii="Palatino Linotype" w:eastAsia="Palatino Linotype" w:hAnsi="Palatino Linotype" w:cs="Palatino Linotype"/>
        <w:b/>
        <w:color w:val="000000"/>
        <w:sz w:val="22"/>
        <w:szCs w:val="20"/>
      </w:rPr>
      <w:fldChar w:fldCharType="end"/>
    </w:r>
    <w:r w:rsidRPr="00DC3F7E">
      <w:rPr>
        <w:rFonts w:ascii="Palatino Linotype" w:eastAsia="Palatino Linotype" w:hAnsi="Palatino Linotype" w:cs="Palatino Linotype"/>
        <w:b/>
        <w:color w:val="000000"/>
        <w:sz w:val="22"/>
        <w:szCs w:val="20"/>
      </w:rPr>
      <w:t xml:space="preserve"> de </w:t>
    </w:r>
    <w:r w:rsidRPr="00DC3F7E">
      <w:rPr>
        <w:rFonts w:ascii="Palatino Linotype" w:eastAsia="Palatino Linotype" w:hAnsi="Palatino Linotype" w:cs="Palatino Linotype"/>
        <w:b/>
        <w:color w:val="000000"/>
        <w:sz w:val="22"/>
        <w:szCs w:val="20"/>
      </w:rPr>
      <w:fldChar w:fldCharType="begin"/>
    </w:r>
    <w:r w:rsidRPr="00DC3F7E">
      <w:rPr>
        <w:rFonts w:ascii="Palatino Linotype" w:eastAsia="Palatino Linotype" w:hAnsi="Palatino Linotype" w:cs="Palatino Linotype"/>
        <w:b/>
        <w:color w:val="000000"/>
        <w:sz w:val="22"/>
        <w:szCs w:val="20"/>
      </w:rPr>
      <w:instrText>NUMPAGES</w:instrText>
    </w:r>
    <w:r w:rsidRPr="00DC3F7E">
      <w:rPr>
        <w:rFonts w:ascii="Palatino Linotype" w:eastAsia="Palatino Linotype" w:hAnsi="Palatino Linotype" w:cs="Palatino Linotype"/>
        <w:b/>
        <w:color w:val="000000"/>
        <w:sz w:val="22"/>
        <w:szCs w:val="20"/>
      </w:rPr>
      <w:fldChar w:fldCharType="separate"/>
    </w:r>
    <w:r w:rsidR="00FA131C">
      <w:rPr>
        <w:rFonts w:ascii="Palatino Linotype" w:eastAsia="Palatino Linotype" w:hAnsi="Palatino Linotype" w:cs="Palatino Linotype"/>
        <w:b/>
        <w:noProof/>
        <w:color w:val="000000"/>
        <w:sz w:val="22"/>
        <w:szCs w:val="20"/>
      </w:rPr>
      <w:t>19</w:t>
    </w:r>
    <w:r w:rsidRPr="00DC3F7E">
      <w:rPr>
        <w:rFonts w:ascii="Palatino Linotype" w:eastAsia="Palatino Linotype" w:hAnsi="Palatino Linotype" w:cs="Palatino Linotype"/>
        <w:b/>
        <w:color w:val="000000"/>
        <w:sz w:val="22"/>
        <w:szCs w:val="20"/>
      </w:rPr>
      <w:fldChar w:fldCharType="end"/>
    </w:r>
  </w:p>
  <w:p w:rsidR="00BF6DC0" w:rsidRDefault="00BF6DC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DC0" w:rsidRPr="00DC3F7E" w:rsidRDefault="00BF6DC0">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C3F7E">
      <w:rPr>
        <w:rFonts w:ascii="Palatino Linotype" w:eastAsia="Palatino Linotype" w:hAnsi="Palatino Linotype" w:cs="Palatino Linotype"/>
        <w:b/>
        <w:color w:val="000000"/>
        <w:sz w:val="22"/>
        <w:szCs w:val="20"/>
      </w:rPr>
      <w:t xml:space="preserve">Página </w:t>
    </w:r>
    <w:r w:rsidRPr="00DC3F7E">
      <w:rPr>
        <w:rFonts w:ascii="Palatino Linotype" w:eastAsia="Palatino Linotype" w:hAnsi="Palatino Linotype" w:cs="Palatino Linotype"/>
        <w:b/>
        <w:color w:val="000000"/>
        <w:sz w:val="22"/>
        <w:szCs w:val="20"/>
      </w:rPr>
      <w:fldChar w:fldCharType="begin"/>
    </w:r>
    <w:r w:rsidRPr="00DC3F7E">
      <w:rPr>
        <w:rFonts w:ascii="Palatino Linotype" w:eastAsia="Palatino Linotype" w:hAnsi="Palatino Linotype" w:cs="Palatino Linotype"/>
        <w:b/>
        <w:color w:val="000000"/>
        <w:sz w:val="22"/>
        <w:szCs w:val="20"/>
      </w:rPr>
      <w:instrText>PAGE</w:instrText>
    </w:r>
    <w:r w:rsidRPr="00DC3F7E">
      <w:rPr>
        <w:rFonts w:ascii="Palatino Linotype" w:eastAsia="Palatino Linotype" w:hAnsi="Palatino Linotype" w:cs="Palatino Linotype"/>
        <w:b/>
        <w:color w:val="000000"/>
        <w:sz w:val="22"/>
        <w:szCs w:val="20"/>
      </w:rPr>
      <w:fldChar w:fldCharType="separate"/>
    </w:r>
    <w:r w:rsidR="00FA131C">
      <w:rPr>
        <w:rFonts w:ascii="Palatino Linotype" w:eastAsia="Palatino Linotype" w:hAnsi="Palatino Linotype" w:cs="Palatino Linotype"/>
        <w:b/>
        <w:noProof/>
        <w:color w:val="000000"/>
        <w:sz w:val="22"/>
        <w:szCs w:val="20"/>
      </w:rPr>
      <w:t>1</w:t>
    </w:r>
    <w:r w:rsidRPr="00DC3F7E">
      <w:rPr>
        <w:rFonts w:ascii="Palatino Linotype" w:eastAsia="Palatino Linotype" w:hAnsi="Palatino Linotype" w:cs="Palatino Linotype"/>
        <w:b/>
        <w:color w:val="000000"/>
        <w:sz w:val="22"/>
        <w:szCs w:val="20"/>
      </w:rPr>
      <w:fldChar w:fldCharType="end"/>
    </w:r>
    <w:r w:rsidRPr="00DC3F7E">
      <w:rPr>
        <w:rFonts w:ascii="Palatino Linotype" w:eastAsia="Palatino Linotype" w:hAnsi="Palatino Linotype" w:cs="Palatino Linotype"/>
        <w:b/>
        <w:color w:val="000000"/>
        <w:sz w:val="22"/>
        <w:szCs w:val="20"/>
      </w:rPr>
      <w:t xml:space="preserve"> de </w:t>
    </w:r>
    <w:r w:rsidRPr="00DC3F7E">
      <w:rPr>
        <w:rFonts w:ascii="Palatino Linotype" w:eastAsia="Palatino Linotype" w:hAnsi="Palatino Linotype" w:cs="Palatino Linotype"/>
        <w:b/>
        <w:color w:val="000000"/>
        <w:sz w:val="22"/>
        <w:szCs w:val="20"/>
      </w:rPr>
      <w:fldChar w:fldCharType="begin"/>
    </w:r>
    <w:r w:rsidRPr="00DC3F7E">
      <w:rPr>
        <w:rFonts w:ascii="Palatino Linotype" w:eastAsia="Palatino Linotype" w:hAnsi="Palatino Linotype" w:cs="Palatino Linotype"/>
        <w:b/>
        <w:color w:val="000000"/>
        <w:sz w:val="22"/>
        <w:szCs w:val="20"/>
      </w:rPr>
      <w:instrText>NUMPAGES</w:instrText>
    </w:r>
    <w:r w:rsidRPr="00DC3F7E">
      <w:rPr>
        <w:rFonts w:ascii="Palatino Linotype" w:eastAsia="Palatino Linotype" w:hAnsi="Palatino Linotype" w:cs="Palatino Linotype"/>
        <w:b/>
        <w:color w:val="000000"/>
        <w:sz w:val="22"/>
        <w:szCs w:val="20"/>
      </w:rPr>
      <w:fldChar w:fldCharType="separate"/>
    </w:r>
    <w:r w:rsidR="00FA131C">
      <w:rPr>
        <w:rFonts w:ascii="Palatino Linotype" w:eastAsia="Palatino Linotype" w:hAnsi="Palatino Linotype" w:cs="Palatino Linotype"/>
        <w:b/>
        <w:noProof/>
        <w:color w:val="000000"/>
        <w:sz w:val="22"/>
        <w:szCs w:val="20"/>
      </w:rPr>
      <w:t>19</w:t>
    </w:r>
    <w:r w:rsidRPr="00DC3F7E">
      <w:rPr>
        <w:rFonts w:ascii="Palatino Linotype" w:eastAsia="Palatino Linotype" w:hAnsi="Palatino Linotype" w:cs="Palatino Linotype"/>
        <w:b/>
        <w:color w:val="000000"/>
        <w:sz w:val="22"/>
        <w:szCs w:val="20"/>
      </w:rPr>
      <w:fldChar w:fldCharType="end"/>
    </w:r>
  </w:p>
  <w:p w:rsidR="00BF6DC0" w:rsidRDefault="00BF6DC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02D" w:rsidRDefault="001E202D" w:rsidP="00E6346B">
      <w:r>
        <w:separator/>
      </w:r>
    </w:p>
  </w:footnote>
  <w:footnote w:type="continuationSeparator" w:id="0">
    <w:p w:rsidR="001E202D" w:rsidRDefault="001E202D" w:rsidP="00E634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DC0" w:rsidRDefault="001E202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21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16" w:type="dxa"/>
      <w:tblInd w:w="3261" w:type="dxa"/>
      <w:tblLayout w:type="fixed"/>
      <w:tblLook w:val="0400" w:firstRow="0" w:lastRow="0" w:firstColumn="0" w:lastColumn="0" w:noHBand="0" w:noVBand="1"/>
    </w:tblPr>
    <w:tblGrid>
      <w:gridCol w:w="2976"/>
      <w:gridCol w:w="4340"/>
    </w:tblGrid>
    <w:tr w:rsidR="00BF6DC0" w:rsidRPr="00DC3F7E" w:rsidTr="00DC3F7E">
      <w:trPr>
        <w:trHeight w:val="227"/>
      </w:trPr>
      <w:tc>
        <w:tcPr>
          <w:tcW w:w="2976" w:type="dxa"/>
          <w:vAlign w:val="center"/>
        </w:tcPr>
        <w:p w:rsidR="00BF6DC0" w:rsidRPr="00DC3F7E" w:rsidRDefault="00BF6DC0">
          <w:pPr>
            <w:ind w:right="34"/>
            <w:jc w:val="right"/>
            <w:rPr>
              <w:rFonts w:ascii="Palatino Linotype" w:eastAsia="Palatino Linotype" w:hAnsi="Palatino Linotype" w:cs="Palatino Linotype"/>
              <w:b/>
              <w:szCs w:val="22"/>
            </w:rPr>
          </w:pPr>
          <w:r w:rsidRPr="00DC3F7E">
            <w:rPr>
              <w:rFonts w:ascii="Palatino Linotype" w:eastAsia="Palatino Linotype" w:hAnsi="Palatino Linotype" w:cs="Palatino Linotype"/>
              <w:b/>
              <w:szCs w:val="22"/>
            </w:rPr>
            <w:t>Recurso de Revisión:</w:t>
          </w:r>
        </w:p>
      </w:tc>
      <w:tc>
        <w:tcPr>
          <w:tcW w:w="4340" w:type="dxa"/>
          <w:vAlign w:val="center"/>
        </w:tcPr>
        <w:p w:rsidR="00BF6DC0" w:rsidRPr="00DC3F7E" w:rsidRDefault="00BF6DC0" w:rsidP="00DC3F7E">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DC3F7E">
            <w:rPr>
              <w:rFonts w:ascii="Palatino Linotype" w:eastAsia="Palatino Linotype" w:hAnsi="Palatino Linotype" w:cs="Palatino Linotype"/>
              <w:color w:val="000000"/>
              <w:szCs w:val="22"/>
            </w:rPr>
            <w:t>10063/INFOEM/IP/RR/2025</w:t>
          </w:r>
        </w:p>
      </w:tc>
    </w:tr>
    <w:tr w:rsidR="00BF6DC0" w:rsidRPr="00DC3F7E" w:rsidTr="00DC3F7E">
      <w:trPr>
        <w:trHeight w:val="242"/>
      </w:trPr>
      <w:tc>
        <w:tcPr>
          <w:tcW w:w="2976" w:type="dxa"/>
          <w:vAlign w:val="center"/>
        </w:tcPr>
        <w:p w:rsidR="00BF6DC0" w:rsidRPr="00DC3F7E" w:rsidRDefault="00BF6DC0">
          <w:pPr>
            <w:ind w:right="34"/>
            <w:jc w:val="right"/>
            <w:rPr>
              <w:rFonts w:ascii="Palatino Linotype" w:eastAsia="Palatino Linotype" w:hAnsi="Palatino Linotype" w:cs="Palatino Linotype"/>
              <w:b/>
              <w:szCs w:val="22"/>
            </w:rPr>
          </w:pPr>
          <w:r w:rsidRPr="00DC3F7E">
            <w:rPr>
              <w:rFonts w:ascii="Palatino Linotype" w:eastAsia="Palatino Linotype" w:hAnsi="Palatino Linotype" w:cs="Palatino Linotype"/>
              <w:b/>
              <w:szCs w:val="22"/>
            </w:rPr>
            <w:t>Sujeto Obligado:</w:t>
          </w:r>
        </w:p>
      </w:tc>
      <w:tc>
        <w:tcPr>
          <w:tcW w:w="4340" w:type="dxa"/>
          <w:vAlign w:val="center"/>
        </w:tcPr>
        <w:p w:rsidR="00BF6DC0" w:rsidRPr="00DC3F7E" w:rsidRDefault="00BF6DC0" w:rsidP="00DC3F7E">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DC3F7E">
            <w:rPr>
              <w:rFonts w:ascii="Palatino Linotype" w:eastAsia="Palatino Linotype" w:hAnsi="Palatino Linotype" w:cs="Palatino Linotype"/>
              <w:bCs/>
              <w:color w:val="000000"/>
              <w:szCs w:val="22"/>
            </w:rPr>
            <w:t>Ayuntamiento de Mexicaltzingo</w:t>
          </w:r>
        </w:p>
      </w:tc>
    </w:tr>
    <w:tr w:rsidR="00BF6DC0" w:rsidRPr="00DC3F7E" w:rsidTr="00DC3F7E">
      <w:trPr>
        <w:trHeight w:val="342"/>
      </w:trPr>
      <w:tc>
        <w:tcPr>
          <w:tcW w:w="2976" w:type="dxa"/>
          <w:vAlign w:val="center"/>
        </w:tcPr>
        <w:p w:rsidR="00BF6DC0" w:rsidRPr="00DC3F7E" w:rsidRDefault="00BF6DC0">
          <w:pPr>
            <w:ind w:right="34"/>
            <w:jc w:val="right"/>
            <w:rPr>
              <w:rFonts w:ascii="Palatino Linotype" w:eastAsia="Palatino Linotype" w:hAnsi="Palatino Linotype" w:cs="Palatino Linotype"/>
              <w:b/>
              <w:szCs w:val="22"/>
            </w:rPr>
          </w:pPr>
          <w:r w:rsidRPr="00DC3F7E">
            <w:rPr>
              <w:rFonts w:ascii="Palatino Linotype" w:eastAsia="Palatino Linotype" w:hAnsi="Palatino Linotype" w:cs="Palatino Linotype"/>
              <w:b/>
              <w:szCs w:val="22"/>
            </w:rPr>
            <w:t>Comisionada Ponente:</w:t>
          </w:r>
        </w:p>
      </w:tc>
      <w:tc>
        <w:tcPr>
          <w:tcW w:w="4340" w:type="dxa"/>
          <w:vAlign w:val="center"/>
        </w:tcPr>
        <w:p w:rsidR="00BF6DC0" w:rsidRPr="00DC3F7E" w:rsidRDefault="00BF6DC0" w:rsidP="00DC3F7E">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DC3F7E">
            <w:rPr>
              <w:rFonts w:ascii="Palatino Linotype" w:eastAsia="Palatino Linotype" w:hAnsi="Palatino Linotype" w:cs="Palatino Linotype"/>
              <w:color w:val="000000"/>
              <w:szCs w:val="22"/>
            </w:rPr>
            <w:t>María del Rosario Mejía Ayala</w:t>
          </w:r>
        </w:p>
      </w:tc>
    </w:tr>
  </w:tbl>
  <w:p w:rsidR="00BF6DC0" w:rsidRDefault="001E202D">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2.3pt;margin-top:-122.95pt;width:609.4pt;height:793.75pt;z-index:-25165619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83" w:type="dxa"/>
      <w:tblInd w:w="3207" w:type="dxa"/>
      <w:tblLayout w:type="fixed"/>
      <w:tblLook w:val="0400" w:firstRow="0" w:lastRow="0" w:firstColumn="0" w:lastColumn="0" w:noHBand="0" w:noVBand="1"/>
    </w:tblPr>
    <w:tblGrid>
      <w:gridCol w:w="2977"/>
      <w:gridCol w:w="4306"/>
    </w:tblGrid>
    <w:tr w:rsidR="00BF6DC0" w:rsidTr="00DC3F7E">
      <w:trPr>
        <w:trHeight w:val="227"/>
      </w:trPr>
      <w:tc>
        <w:tcPr>
          <w:tcW w:w="2977" w:type="dxa"/>
          <w:vAlign w:val="center"/>
        </w:tcPr>
        <w:p w:rsidR="00BF6DC0" w:rsidRPr="00DC3F7E" w:rsidRDefault="00BF6DC0">
          <w:pPr>
            <w:jc w:val="right"/>
            <w:rPr>
              <w:rFonts w:ascii="Palatino Linotype" w:eastAsia="Palatino Linotype" w:hAnsi="Palatino Linotype" w:cs="Palatino Linotype"/>
              <w:b/>
              <w:szCs w:val="22"/>
            </w:rPr>
          </w:pPr>
          <w:r w:rsidRPr="00DC3F7E">
            <w:rPr>
              <w:rFonts w:ascii="Palatino Linotype" w:eastAsia="Palatino Linotype" w:hAnsi="Palatino Linotype" w:cs="Palatino Linotype"/>
              <w:b/>
              <w:szCs w:val="22"/>
            </w:rPr>
            <w:t>Recurso de Revisión:</w:t>
          </w:r>
        </w:p>
      </w:tc>
      <w:tc>
        <w:tcPr>
          <w:tcW w:w="4306" w:type="dxa"/>
          <w:vAlign w:val="center"/>
        </w:tcPr>
        <w:p w:rsidR="00BF6DC0" w:rsidRPr="00DC3F7E" w:rsidRDefault="00BF6DC0" w:rsidP="00DC3F7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C3F7E">
            <w:rPr>
              <w:rFonts w:ascii="Palatino Linotype" w:eastAsia="Palatino Linotype" w:hAnsi="Palatino Linotype" w:cs="Palatino Linotype"/>
              <w:color w:val="000000"/>
              <w:szCs w:val="22"/>
            </w:rPr>
            <w:t>10063/INFOEM/IP/RR/2025</w:t>
          </w:r>
        </w:p>
      </w:tc>
    </w:tr>
    <w:tr w:rsidR="00BF6DC0" w:rsidTr="00DC3F7E">
      <w:trPr>
        <w:trHeight w:val="242"/>
      </w:trPr>
      <w:tc>
        <w:tcPr>
          <w:tcW w:w="2977" w:type="dxa"/>
          <w:vAlign w:val="center"/>
        </w:tcPr>
        <w:p w:rsidR="00BF6DC0" w:rsidRPr="00DC3F7E" w:rsidRDefault="00BF6DC0">
          <w:pPr>
            <w:jc w:val="right"/>
            <w:rPr>
              <w:rFonts w:ascii="Palatino Linotype" w:eastAsia="Palatino Linotype" w:hAnsi="Palatino Linotype" w:cs="Palatino Linotype"/>
              <w:b/>
              <w:szCs w:val="22"/>
            </w:rPr>
          </w:pPr>
          <w:r w:rsidRPr="00DC3F7E">
            <w:rPr>
              <w:rFonts w:ascii="Palatino Linotype" w:eastAsia="Palatino Linotype" w:hAnsi="Palatino Linotype" w:cs="Palatino Linotype"/>
              <w:b/>
              <w:szCs w:val="22"/>
            </w:rPr>
            <w:t>Recurrente:</w:t>
          </w:r>
        </w:p>
      </w:tc>
      <w:tc>
        <w:tcPr>
          <w:tcW w:w="4306" w:type="dxa"/>
        </w:tcPr>
        <w:p w:rsidR="00BF6DC0" w:rsidRPr="00DC3F7E" w:rsidRDefault="00FA131C" w:rsidP="00DC3F7E">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bCs/>
              <w:color w:val="000000"/>
              <w:szCs w:val="22"/>
            </w:rPr>
            <w:t>XXXX</w:t>
          </w:r>
        </w:p>
      </w:tc>
    </w:tr>
    <w:tr w:rsidR="00BF6DC0" w:rsidTr="00DC3F7E">
      <w:trPr>
        <w:trHeight w:val="342"/>
      </w:trPr>
      <w:tc>
        <w:tcPr>
          <w:tcW w:w="2977" w:type="dxa"/>
          <w:vAlign w:val="center"/>
        </w:tcPr>
        <w:p w:rsidR="00BF6DC0" w:rsidRPr="00DC3F7E" w:rsidRDefault="00BF6DC0">
          <w:pPr>
            <w:jc w:val="right"/>
            <w:rPr>
              <w:rFonts w:ascii="Palatino Linotype" w:eastAsia="Palatino Linotype" w:hAnsi="Palatino Linotype" w:cs="Palatino Linotype"/>
              <w:b/>
              <w:szCs w:val="22"/>
            </w:rPr>
          </w:pPr>
          <w:r w:rsidRPr="00DC3F7E">
            <w:rPr>
              <w:rFonts w:ascii="Palatino Linotype" w:eastAsia="Palatino Linotype" w:hAnsi="Palatino Linotype" w:cs="Palatino Linotype"/>
              <w:b/>
              <w:szCs w:val="22"/>
            </w:rPr>
            <w:t>Sujeto Obligado:</w:t>
          </w:r>
        </w:p>
      </w:tc>
      <w:tc>
        <w:tcPr>
          <w:tcW w:w="4306" w:type="dxa"/>
          <w:vAlign w:val="center"/>
        </w:tcPr>
        <w:p w:rsidR="00BF6DC0" w:rsidRPr="00DC3F7E" w:rsidRDefault="00BF6DC0" w:rsidP="00DC3F7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C3F7E">
            <w:rPr>
              <w:rFonts w:ascii="Palatino Linotype" w:eastAsia="Palatino Linotype" w:hAnsi="Palatino Linotype" w:cs="Palatino Linotype"/>
              <w:bCs/>
              <w:color w:val="000000"/>
              <w:szCs w:val="22"/>
            </w:rPr>
            <w:t>Ayuntamiento de Mexicaltzingo</w:t>
          </w:r>
        </w:p>
      </w:tc>
    </w:tr>
    <w:tr w:rsidR="00BF6DC0" w:rsidTr="00DC3F7E">
      <w:trPr>
        <w:trHeight w:val="342"/>
      </w:trPr>
      <w:tc>
        <w:tcPr>
          <w:tcW w:w="2977" w:type="dxa"/>
          <w:vAlign w:val="center"/>
        </w:tcPr>
        <w:p w:rsidR="00BF6DC0" w:rsidRPr="00DC3F7E" w:rsidRDefault="00BF6DC0">
          <w:pPr>
            <w:jc w:val="right"/>
            <w:rPr>
              <w:rFonts w:ascii="Palatino Linotype" w:eastAsia="Palatino Linotype" w:hAnsi="Palatino Linotype" w:cs="Palatino Linotype"/>
              <w:b/>
              <w:szCs w:val="22"/>
            </w:rPr>
          </w:pPr>
          <w:r w:rsidRPr="00DC3F7E">
            <w:rPr>
              <w:rFonts w:ascii="Palatino Linotype" w:eastAsia="Palatino Linotype" w:hAnsi="Palatino Linotype" w:cs="Palatino Linotype"/>
              <w:b/>
              <w:szCs w:val="22"/>
            </w:rPr>
            <w:t>Comisionada Ponente:</w:t>
          </w:r>
        </w:p>
      </w:tc>
      <w:tc>
        <w:tcPr>
          <w:tcW w:w="4306" w:type="dxa"/>
          <w:vAlign w:val="center"/>
        </w:tcPr>
        <w:p w:rsidR="00BF6DC0" w:rsidRPr="00DC3F7E" w:rsidRDefault="00BF6DC0" w:rsidP="00DC3F7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DC3F7E">
            <w:rPr>
              <w:rFonts w:ascii="Palatino Linotype" w:eastAsia="Palatino Linotype" w:hAnsi="Palatino Linotype" w:cs="Palatino Linotype"/>
              <w:color w:val="000000"/>
              <w:szCs w:val="22"/>
            </w:rPr>
            <w:t>María del Rosario Mejía Ayala</w:t>
          </w:r>
        </w:p>
      </w:tc>
    </w:tr>
  </w:tbl>
  <w:p w:rsidR="00BF6DC0" w:rsidRDefault="001E202D">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4.55pt;margin-top:-123.4pt;width:609.4pt;height:793.75pt;z-index:-25165516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E1AF8"/>
    <w:multiLevelType w:val="hybridMultilevel"/>
    <w:tmpl w:val="CA12C5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4E6C9B"/>
    <w:multiLevelType w:val="multilevel"/>
    <w:tmpl w:val="991EBFD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5855A1F"/>
    <w:multiLevelType w:val="multilevel"/>
    <w:tmpl w:val="2D3CB25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3" w15:restartNumberingAfterBreak="0">
    <w:nsid w:val="6D256874"/>
    <w:multiLevelType w:val="multilevel"/>
    <w:tmpl w:val="CD98EE5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D8848E2"/>
    <w:multiLevelType w:val="multilevel"/>
    <w:tmpl w:val="953C8FE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6B"/>
    <w:rsid w:val="00060EBD"/>
    <w:rsid w:val="00156504"/>
    <w:rsid w:val="001913A7"/>
    <w:rsid w:val="00191A82"/>
    <w:rsid w:val="001E202D"/>
    <w:rsid w:val="002718EA"/>
    <w:rsid w:val="002765A1"/>
    <w:rsid w:val="002D08C8"/>
    <w:rsid w:val="0041640D"/>
    <w:rsid w:val="0070589E"/>
    <w:rsid w:val="00746380"/>
    <w:rsid w:val="00770D49"/>
    <w:rsid w:val="00831FA0"/>
    <w:rsid w:val="00946B82"/>
    <w:rsid w:val="00A541E6"/>
    <w:rsid w:val="00AF207B"/>
    <w:rsid w:val="00B75ED8"/>
    <w:rsid w:val="00B96D5D"/>
    <w:rsid w:val="00BC2CF2"/>
    <w:rsid w:val="00BE0465"/>
    <w:rsid w:val="00BE1761"/>
    <w:rsid w:val="00BF6DC0"/>
    <w:rsid w:val="00C01ADE"/>
    <w:rsid w:val="00CB1A46"/>
    <w:rsid w:val="00DC3F7E"/>
    <w:rsid w:val="00E6346B"/>
    <w:rsid w:val="00F926EB"/>
    <w:rsid w:val="00FA13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33D81DD-65A5-4D88-A4E9-65BDB43A3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46B"/>
    <w:pPr>
      <w:spacing w:after="0" w:line="240" w:lineRule="auto"/>
    </w:pPr>
    <w:rPr>
      <w:rFonts w:ascii="Calibri" w:eastAsiaTheme="minorEastAsia" w:hAnsi="Calibri" w:cs="Calibri"/>
      <w:sz w:val="24"/>
      <w:szCs w:val="24"/>
      <w:lang w:val="es-ES_tradnl" w:eastAsia="es-ES"/>
    </w:rPr>
  </w:style>
  <w:style w:type="paragraph" w:styleId="Ttulo1">
    <w:name w:val="heading 1"/>
    <w:basedOn w:val="Normal"/>
    <w:next w:val="Normal"/>
    <w:link w:val="Ttulo1Car"/>
    <w:uiPriority w:val="9"/>
    <w:qFormat/>
    <w:rsid w:val="00E634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E634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6346B"/>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E6346B"/>
    <w:rPr>
      <w:rFonts w:asciiTheme="majorHAnsi" w:eastAsiaTheme="majorEastAsia" w:hAnsiTheme="majorHAnsi" w:cstheme="majorBidi"/>
      <w:color w:val="2E74B5" w:themeColor="accent1" w:themeShade="BF"/>
      <w:sz w:val="26"/>
      <w:szCs w:val="26"/>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6346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6346B"/>
    <w:rPr>
      <w:rFonts w:ascii="Calibri" w:eastAsiaTheme="minorEastAsia" w:hAnsi="Calibri" w:cs="Calibri"/>
      <w:sz w:val="24"/>
      <w:szCs w:val="24"/>
      <w:lang w:val="es-ES_tradnl" w:eastAsia="es-ES"/>
    </w:rPr>
  </w:style>
  <w:style w:type="paragraph" w:styleId="Piedepgina">
    <w:name w:val="footer"/>
    <w:basedOn w:val="Normal"/>
    <w:link w:val="PiedepginaCar"/>
    <w:uiPriority w:val="99"/>
    <w:unhideWhenUsed/>
    <w:rsid w:val="00E6346B"/>
    <w:pPr>
      <w:tabs>
        <w:tab w:val="center" w:pos="4419"/>
        <w:tab w:val="right" w:pos="8838"/>
      </w:tabs>
    </w:pPr>
  </w:style>
  <w:style w:type="character" w:customStyle="1" w:styleId="PiedepginaCar">
    <w:name w:val="Pie de página Car"/>
    <w:basedOn w:val="Fuentedeprrafopredeter"/>
    <w:link w:val="Piedepgina"/>
    <w:uiPriority w:val="99"/>
    <w:rsid w:val="00E6346B"/>
    <w:rPr>
      <w:rFonts w:ascii="Calibri" w:eastAsiaTheme="minorEastAsia" w:hAnsi="Calibri" w:cs="Calibri"/>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79895">
      <w:bodyDiv w:val="1"/>
      <w:marLeft w:val="0"/>
      <w:marRight w:val="0"/>
      <w:marTop w:val="0"/>
      <w:marBottom w:val="0"/>
      <w:divBdr>
        <w:top w:val="none" w:sz="0" w:space="0" w:color="auto"/>
        <w:left w:val="none" w:sz="0" w:space="0" w:color="auto"/>
        <w:bottom w:val="none" w:sz="0" w:space="0" w:color="auto"/>
        <w:right w:val="none" w:sz="0" w:space="0" w:color="auto"/>
      </w:divBdr>
    </w:div>
    <w:div w:id="79360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infoem.org.mx/es/content/informacion-publi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4649</Words>
  <Characters>25571</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7</cp:revision>
  <cp:lastPrinted>2026-03-06T19:29:00Z</cp:lastPrinted>
  <dcterms:created xsi:type="dcterms:W3CDTF">2026-02-26T20:07:00Z</dcterms:created>
  <dcterms:modified xsi:type="dcterms:W3CDTF">2026-03-13T20:21:00Z</dcterms:modified>
</cp:coreProperties>
</file>