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D0E" w:rsidRDefault="00714D0E">
      <w:pPr>
        <w:widowControl w:val="0"/>
        <w:pBdr>
          <w:top w:val="nil"/>
          <w:left w:val="nil"/>
          <w:bottom w:val="nil"/>
          <w:right w:val="nil"/>
          <w:between w:val="nil"/>
        </w:pBdr>
        <w:spacing w:after="0" w:line="276" w:lineRule="auto"/>
        <w:jc w:val="left"/>
      </w:pPr>
    </w:p>
    <w:p w:rsidR="00714D0E" w:rsidRDefault="00714D0E">
      <w:pPr>
        <w:tabs>
          <w:tab w:val="left" w:pos="8931"/>
        </w:tabs>
        <w:spacing w:after="0" w:line="360" w:lineRule="auto"/>
      </w:pPr>
    </w:p>
    <w:p w:rsidR="00714D0E" w:rsidRDefault="000B2917">
      <w:pPr>
        <w:keepNext/>
        <w:keepLines/>
        <w:pBdr>
          <w:top w:val="nil"/>
          <w:left w:val="nil"/>
          <w:bottom w:val="nil"/>
          <w:right w:val="nil"/>
          <w:between w:val="nil"/>
        </w:pBdr>
        <w:spacing w:after="0" w:line="360" w:lineRule="auto"/>
        <w:jc w:val="center"/>
        <w:rPr>
          <w:color w:val="000000"/>
        </w:rPr>
      </w:pPr>
      <w:r>
        <w:rPr>
          <w:color w:val="000000"/>
        </w:rPr>
        <w:t>RESOLUCIÓN DEL RECURSO DE REVISIÓN 11991/INFOEM/IP/RR/2025</w:t>
      </w:r>
    </w:p>
    <w:p w:rsidR="00714D0E" w:rsidRDefault="00714D0E">
      <w:pPr>
        <w:spacing w:after="0" w:line="360" w:lineRule="auto"/>
      </w:pPr>
    </w:p>
    <w:sdt>
      <w:sdtPr>
        <w:rPr>
          <w:rFonts w:ascii="Palatino Linotype" w:eastAsia="Palatino Linotype" w:hAnsi="Palatino Linotype" w:cs="Palatino Linotype"/>
          <w:color w:val="auto"/>
          <w:sz w:val="22"/>
          <w:szCs w:val="22"/>
          <w:lang w:val="es-ES"/>
        </w:rPr>
        <w:id w:val="1681626788"/>
        <w:docPartObj>
          <w:docPartGallery w:val="Table of Contents"/>
          <w:docPartUnique/>
        </w:docPartObj>
      </w:sdtPr>
      <w:sdtEndPr>
        <w:rPr>
          <w:b/>
          <w:bCs/>
        </w:rPr>
      </w:sdtEndPr>
      <w:sdtContent>
        <w:p w:rsidR="00136294" w:rsidRDefault="00136294">
          <w:pPr>
            <w:pStyle w:val="TtulodeTDC"/>
          </w:pPr>
        </w:p>
        <w:p w:rsidR="00B36FD2" w:rsidRDefault="00136294">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391375" w:history="1">
            <w:r w:rsidR="00B36FD2" w:rsidRPr="00FE1D7F">
              <w:rPr>
                <w:rStyle w:val="Hipervnculo"/>
                <w:noProof/>
              </w:rPr>
              <w:t>A N T E C E D E N T E S</w:t>
            </w:r>
            <w:r w:rsidR="00B36FD2">
              <w:rPr>
                <w:noProof/>
                <w:webHidden/>
              </w:rPr>
              <w:tab/>
            </w:r>
            <w:r w:rsidR="00B36FD2">
              <w:rPr>
                <w:noProof/>
                <w:webHidden/>
              </w:rPr>
              <w:fldChar w:fldCharType="begin"/>
            </w:r>
            <w:r w:rsidR="00B36FD2">
              <w:rPr>
                <w:noProof/>
                <w:webHidden/>
              </w:rPr>
              <w:instrText xml:space="preserve"> PAGEREF _Toc219391375 \h </w:instrText>
            </w:r>
            <w:r w:rsidR="00B36FD2">
              <w:rPr>
                <w:noProof/>
                <w:webHidden/>
              </w:rPr>
            </w:r>
            <w:r w:rsidR="00B36FD2">
              <w:rPr>
                <w:noProof/>
                <w:webHidden/>
              </w:rPr>
              <w:fldChar w:fldCharType="separate"/>
            </w:r>
            <w:r w:rsidR="000E494C">
              <w:rPr>
                <w:noProof/>
                <w:webHidden/>
              </w:rPr>
              <w:t>2</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76" w:history="1">
            <w:r w:rsidR="00B36FD2" w:rsidRPr="00FE1D7F">
              <w:rPr>
                <w:rStyle w:val="Hipervnculo"/>
                <w:noProof/>
              </w:rPr>
              <w:t>I. Presentación de la solicitud de información</w:t>
            </w:r>
            <w:r w:rsidR="00B36FD2">
              <w:rPr>
                <w:noProof/>
                <w:webHidden/>
              </w:rPr>
              <w:tab/>
            </w:r>
            <w:r w:rsidR="00B36FD2">
              <w:rPr>
                <w:noProof/>
                <w:webHidden/>
              </w:rPr>
              <w:fldChar w:fldCharType="begin"/>
            </w:r>
            <w:r w:rsidR="00B36FD2">
              <w:rPr>
                <w:noProof/>
                <w:webHidden/>
              </w:rPr>
              <w:instrText xml:space="preserve"> PAGEREF _Toc219391376 \h </w:instrText>
            </w:r>
            <w:r w:rsidR="00B36FD2">
              <w:rPr>
                <w:noProof/>
                <w:webHidden/>
              </w:rPr>
            </w:r>
            <w:r w:rsidR="00B36FD2">
              <w:rPr>
                <w:noProof/>
                <w:webHidden/>
              </w:rPr>
              <w:fldChar w:fldCharType="separate"/>
            </w:r>
            <w:r w:rsidR="000E494C">
              <w:rPr>
                <w:noProof/>
                <w:webHidden/>
              </w:rPr>
              <w:t>2</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77" w:history="1">
            <w:r w:rsidR="00B36FD2" w:rsidRPr="00FE1D7F">
              <w:rPr>
                <w:rStyle w:val="Hipervnculo"/>
                <w:noProof/>
              </w:rPr>
              <w:t>II. Respuesta del Sujeto Obligado</w:t>
            </w:r>
            <w:r w:rsidR="00B36FD2">
              <w:rPr>
                <w:noProof/>
                <w:webHidden/>
              </w:rPr>
              <w:tab/>
            </w:r>
            <w:r w:rsidR="00B36FD2">
              <w:rPr>
                <w:noProof/>
                <w:webHidden/>
              </w:rPr>
              <w:fldChar w:fldCharType="begin"/>
            </w:r>
            <w:r w:rsidR="00B36FD2">
              <w:rPr>
                <w:noProof/>
                <w:webHidden/>
              </w:rPr>
              <w:instrText xml:space="preserve"> PAGEREF _Toc219391377 \h </w:instrText>
            </w:r>
            <w:r w:rsidR="00B36FD2">
              <w:rPr>
                <w:noProof/>
                <w:webHidden/>
              </w:rPr>
            </w:r>
            <w:r w:rsidR="00B36FD2">
              <w:rPr>
                <w:noProof/>
                <w:webHidden/>
              </w:rPr>
              <w:fldChar w:fldCharType="separate"/>
            </w:r>
            <w:r w:rsidR="000E494C">
              <w:rPr>
                <w:noProof/>
                <w:webHidden/>
              </w:rPr>
              <w:t>3</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78" w:history="1">
            <w:r w:rsidR="00B36FD2" w:rsidRPr="00FE1D7F">
              <w:rPr>
                <w:rStyle w:val="Hipervnculo"/>
                <w:noProof/>
              </w:rPr>
              <w:t>III. Interposición del Recurso de Revisión</w:t>
            </w:r>
            <w:r w:rsidR="00B36FD2">
              <w:rPr>
                <w:noProof/>
                <w:webHidden/>
              </w:rPr>
              <w:tab/>
            </w:r>
            <w:r w:rsidR="00B36FD2">
              <w:rPr>
                <w:noProof/>
                <w:webHidden/>
              </w:rPr>
              <w:fldChar w:fldCharType="begin"/>
            </w:r>
            <w:r w:rsidR="00B36FD2">
              <w:rPr>
                <w:noProof/>
                <w:webHidden/>
              </w:rPr>
              <w:instrText xml:space="preserve"> PAGEREF _Toc219391378 \h </w:instrText>
            </w:r>
            <w:r w:rsidR="00B36FD2">
              <w:rPr>
                <w:noProof/>
                <w:webHidden/>
              </w:rPr>
            </w:r>
            <w:r w:rsidR="00B36FD2">
              <w:rPr>
                <w:noProof/>
                <w:webHidden/>
              </w:rPr>
              <w:fldChar w:fldCharType="separate"/>
            </w:r>
            <w:r w:rsidR="000E494C">
              <w:rPr>
                <w:noProof/>
                <w:webHidden/>
              </w:rPr>
              <w:t>3</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79" w:history="1">
            <w:r w:rsidR="00B36FD2" w:rsidRPr="00FE1D7F">
              <w:rPr>
                <w:rStyle w:val="Hipervnculo"/>
                <w:noProof/>
              </w:rPr>
              <w:t>IV. Trámite del Recurso de Revisión ante este Instituto</w:t>
            </w:r>
            <w:r w:rsidR="00B36FD2">
              <w:rPr>
                <w:noProof/>
                <w:webHidden/>
              </w:rPr>
              <w:tab/>
            </w:r>
            <w:r w:rsidR="00B36FD2">
              <w:rPr>
                <w:noProof/>
                <w:webHidden/>
              </w:rPr>
              <w:fldChar w:fldCharType="begin"/>
            </w:r>
            <w:r w:rsidR="00B36FD2">
              <w:rPr>
                <w:noProof/>
                <w:webHidden/>
              </w:rPr>
              <w:instrText xml:space="preserve"> PAGEREF _Toc219391379 \h </w:instrText>
            </w:r>
            <w:r w:rsidR="00B36FD2">
              <w:rPr>
                <w:noProof/>
                <w:webHidden/>
              </w:rPr>
            </w:r>
            <w:r w:rsidR="00B36FD2">
              <w:rPr>
                <w:noProof/>
                <w:webHidden/>
              </w:rPr>
              <w:fldChar w:fldCharType="separate"/>
            </w:r>
            <w:r w:rsidR="000E494C">
              <w:rPr>
                <w:noProof/>
                <w:webHidden/>
              </w:rPr>
              <w:t>4</w:t>
            </w:r>
            <w:r w:rsidR="00B36FD2">
              <w:rPr>
                <w:noProof/>
                <w:webHidden/>
              </w:rPr>
              <w:fldChar w:fldCharType="end"/>
            </w:r>
          </w:hyperlink>
        </w:p>
        <w:p w:rsidR="00B36FD2" w:rsidRDefault="00E90C93">
          <w:pPr>
            <w:pStyle w:val="TDC1"/>
            <w:tabs>
              <w:tab w:val="right" w:leader="dot" w:pos="8921"/>
            </w:tabs>
            <w:rPr>
              <w:rFonts w:asciiTheme="minorHAnsi" w:eastAsiaTheme="minorEastAsia" w:hAnsiTheme="minorHAnsi" w:cstheme="minorBidi"/>
              <w:noProof/>
            </w:rPr>
          </w:pPr>
          <w:hyperlink w:anchor="_Toc219391380" w:history="1">
            <w:r w:rsidR="00B36FD2" w:rsidRPr="00FE1D7F">
              <w:rPr>
                <w:rStyle w:val="Hipervnculo"/>
                <w:noProof/>
              </w:rPr>
              <w:t>C O N S I D E R A N D O S</w:t>
            </w:r>
            <w:r w:rsidR="00B36FD2">
              <w:rPr>
                <w:noProof/>
                <w:webHidden/>
              </w:rPr>
              <w:tab/>
            </w:r>
            <w:r w:rsidR="00B36FD2">
              <w:rPr>
                <w:noProof/>
                <w:webHidden/>
              </w:rPr>
              <w:fldChar w:fldCharType="begin"/>
            </w:r>
            <w:r w:rsidR="00B36FD2">
              <w:rPr>
                <w:noProof/>
                <w:webHidden/>
              </w:rPr>
              <w:instrText xml:space="preserve"> PAGEREF _Toc219391380 \h </w:instrText>
            </w:r>
            <w:r w:rsidR="00B36FD2">
              <w:rPr>
                <w:noProof/>
                <w:webHidden/>
              </w:rPr>
            </w:r>
            <w:r w:rsidR="00B36FD2">
              <w:rPr>
                <w:noProof/>
                <w:webHidden/>
              </w:rPr>
              <w:fldChar w:fldCharType="separate"/>
            </w:r>
            <w:r w:rsidR="000E494C">
              <w:rPr>
                <w:noProof/>
                <w:webHidden/>
              </w:rPr>
              <w:t>6</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1" w:history="1">
            <w:r w:rsidR="00B36FD2" w:rsidRPr="00FE1D7F">
              <w:rPr>
                <w:rStyle w:val="Hipervnculo"/>
                <w:noProof/>
              </w:rPr>
              <w:t>PRIMERO. Competencia</w:t>
            </w:r>
            <w:r w:rsidR="00B36FD2">
              <w:rPr>
                <w:noProof/>
                <w:webHidden/>
              </w:rPr>
              <w:tab/>
            </w:r>
            <w:r w:rsidR="00B36FD2">
              <w:rPr>
                <w:noProof/>
                <w:webHidden/>
              </w:rPr>
              <w:fldChar w:fldCharType="begin"/>
            </w:r>
            <w:r w:rsidR="00B36FD2">
              <w:rPr>
                <w:noProof/>
                <w:webHidden/>
              </w:rPr>
              <w:instrText xml:space="preserve"> PAGEREF _Toc219391381 \h </w:instrText>
            </w:r>
            <w:r w:rsidR="00B36FD2">
              <w:rPr>
                <w:noProof/>
                <w:webHidden/>
              </w:rPr>
            </w:r>
            <w:r w:rsidR="00B36FD2">
              <w:rPr>
                <w:noProof/>
                <w:webHidden/>
              </w:rPr>
              <w:fldChar w:fldCharType="separate"/>
            </w:r>
            <w:r w:rsidR="000E494C">
              <w:rPr>
                <w:noProof/>
                <w:webHidden/>
              </w:rPr>
              <w:t>6</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2" w:history="1">
            <w:r w:rsidR="00B36FD2" w:rsidRPr="00FE1D7F">
              <w:rPr>
                <w:rStyle w:val="Hipervnculo"/>
                <w:noProof/>
              </w:rPr>
              <w:t>SEGUNDO. Causales de improcedencia y sobreseimiento</w:t>
            </w:r>
            <w:r w:rsidR="00B36FD2">
              <w:rPr>
                <w:noProof/>
                <w:webHidden/>
              </w:rPr>
              <w:tab/>
            </w:r>
            <w:r w:rsidR="00B36FD2">
              <w:rPr>
                <w:noProof/>
                <w:webHidden/>
              </w:rPr>
              <w:fldChar w:fldCharType="begin"/>
            </w:r>
            <w:r w:rsidR="00B36FD2">
              <w:rPr>
                <w:noProof/>
                <w:webHidden/>
              </w:rPr>
              <w:instrText xml:space="preserve"> PAGEREF _Toc219391382 \h </w:instrText>
            </w:r>
            <w:r w:rsidR="00B36FD2">
              <w:rPr>
                <w:noProof/>
                <w:webHidden/>
              </w:rPr>
            </w:r>
            <w:r w:rsidR="00B36FD2">
              <w:rPr>
                <w:noProof/>
                <w:webHidden/>
              </w:rPr>
              <w:fldChar w:fldCharType="separate"/>
            </w:r>
            <w:r w:rsidR="000E494C">
              <w:rPr>
                <w:noProof/>
                <w:webHidden/>
              </w:rPr>
              <w:t>7</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3" w:history="1">
            <w:r w:rsidR="00B36FD2" w:rsidRPr="00FE1D7F">
              <w:rPr>
                <w:rStyle w:val="Hipervnculo"/>
                <w:noProof/>
              </w:rPr>
              <w:t>TERCERO. Determinación de la Controversia</w:t>
            </w:r>
            <w:r w:rsidR="00B36FD2">
              <w:rPr>
                <w:noProof/>
                <w:webHidden/>
              </w:rPr>
              <w:tab/>
            </w:r>
            <w:r w:rsidR="00B36FD2">
              <w:rPr>
                <w:noProof/>
                <w:webHidden/>
              </w:rPr>
              <w:fldChar w:fldCharType="begin"/>
            </w:r>
            <w:r w:rsidR="00B36FD2">
              <w:rPr>
                <w:noProof/>
                <w:webHidden/>
              </w:rPr>
              <w:instrText xml:space="preserve"> PAGEREF _Toc219391383 \h </w:instrText>
            </w:r>
            <w:r w:rsidR="00B36FD2">
              <w:rPr>
                <w:noProof/>
                <w:webHidden/>
              </w:rPr>
            </w:r>
            <w:r w:rsidR="00B36FD2">
              <w:rPr>
                <w:noProof/>
                <w:webHidden/>
              </w:rPr>
              <w:fldChar w:fldCharType="separate"/>
            </w:r>
            <w:r w:rsidR="000E494C">
              <w:rPr>
                <w:noProof/>
                <w:webHidden/>
              </w:rPr>
              <w:t>8</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4" w:history="1">
            <w:r w:rsidR="00B36FD2" w:rsidRPr="00FE1D7F">
              <w:rPr>
                <w:rStyle w:val="Hipervnculo"/>
                <w:noProof/>
              </w:rPr>
              <w:t>CUARTO. Marco normativo aplicable en materia de transparencia y acceso a la información pública</w:t>
            </w:r>
            <w:r w:rsidR="00B36FD2">
              <w:rPr>
                <w:noProof/>
                <w:webHidden/>
              </w:rPr>
              <w:tab/>
            </w:r>
            <w:r w:rsidR="00B36FD2">
              <w:rPr>
                <w:noProof/>
                <w:webHidden/>
              </w:rPr>
              <w:fldChar w:fldCharType="begin"/>
            </w:r>
            <w:r w:rsidR="00B36FD2">
              <w:rPr>
                <w:noProof/>
                <w:webHidden/>
              </w:rPr>
              <w:instrText xml:space="preserve"> PAGEREF _Toc219391384 \h </w:instrText>
            </w:r>
            <w:r w:rsidR="00B36FD2">
              <w:rPr>
                <w:noProof/>
                <w:webHidden/>
              </w:rPr>
            </w:r>
            <w:r w:rsidR="00B36FD2">
              <w:rPr>
                <w:noProof/>
                <w:webHidden/>
              </w:rPr>
              <w:fldChar w:fldCharType="separate"/>
            </w:r>
            <w:r w:rsidR="000E494C">
              <w:rPr>
                <w:noProof/>
                <w:webHidden/>
              </w:rPr>
              <w:t>11</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5" w:history="1">
            <w:r w:rsidR="00B36FD2" w:rsidRPr="00FE1D7F">
              <w:rPr>
                <w:rStyle w:val="Hipervnculo"/>
                <w:noProof/>
              </w:rPr>
              <w:t>QUINTO. Estudio de Fondo</w:t>
            </w:r>
            <w:r w:rsidR="00B36FD2">
              <w:rPr>
                <w:noProof/>
                <w:webHidden/>
              </w:rPr>
              <w:tab/>
            </w:r>
            <w:r w:rsidR="00B36FD2">
              <w:rPr>
                <w:noProof/>
                <w:webHidden/>
              </w:rPr>
              <w:fldChar w:fldCharType="begin"/>
            </w:r>
            <w:r w:rsidR="00B36FD2">
              <w:rPr>
                <w:noProof/>
                <w:webHidden/>
              </w:rPr>
              <w:instrText xml:space="preserve"> PAGEREF _Toc219391385 \h </w:instrText>
            </w:r>
            <w:r w:rsidR="00B36FD2">
              <w:rPr>
                <w:noProof/>
                <w:webHidden/>
              </w:rPr>
            </w:r>
            <w:r w:rsidR="00B36FD2">
              <w:rPr>
                <w:noProof/>
                <w:webHidden/>
              </w:rPr>
              <w:fldChar w:fldCharType="separate"/>
            </w:r>
            <w:r w:rsidR="000E494C">
              <w:rPr>
                <w:noProof/>
                <w:webHidden/>
              </w:rPr>
              <w:t>12</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6" w:history="1">
            <w:r w:rsidR="00B36FD2" w:rsidRPr="00FE1D7F">
              <w:rPr>
                <w:rStyle w:val="Hipervnculo"/>
                <w:noProof/>
              </w:rPr>
              <w:t>SEXTO. Decisión</w:t>
            </w:r>
            <w:r w:rsidR="00B36FD2">
              <w:rPr>
                <w:noProof/>
                <w:webHidden/>
              </w:rPr>
              <w:tab/>
            </w:r>
            <w:r w:rsidR="00B36FD2">
              <w:rPr>
                <w:noProof/>
                <w:webHidden/>
              </w:rPr>
              <w:fldChar w:fldCharType="begin"/>
            </w:r>
            <w:r w:rsidR="00B36FD2">
              <w:rPr>
                <w:noProof/>
                <w:webHidden/>
              </w:rPr>
              <w:instrText xml:space="preserve"> PAGEREF _Toc219391386 \h </w:instrText>
            </w:r>
            <w:r w:rsidR="00B36FD2">
              <w:rPr>
                <w:noProof/>
                <w:webHidden/>
              </w:rPr>
            </w:r>
            <w:r w:rsidR="00B36FD2">
              <w:rPr>
                <w:noProof/>
                <w:webHidden/>
              </w:rPr>
              <w:fldChar w:fldCharType="separate"/>
            </w:r>
            <w:r w:rsidR="000E494C">
              <w:rPr>
                <w:noProof/>
                <w:webHidden/>
              </w:rPr>
              <w:t>21</w:t>
            </w:r>
            <w:r w:rsidR="00B36FD2">
              <w:rPr>
                <w:noProof/>
                <w:webHidden/>
              </w:rPr>
              <w:fldChar w:fldCharType="end"/>
            </w:r>
          </w:hyperlink>
        </w:p>
        <w:p w:rsidR="00B36FD2" w:rsidRDefault="00E90C93">
          <w:pPr>
            <w:pStyle w:val="TDC2"/>
            <w:tabs>
              <w:tab w:val="right" w:leader="dot" w:pos="8921"/>
            </w:tabs>
            <w:rPr>
              <w:rFonts w:asciiTheme="minorHAnsi" w:eastAsiaTheme="minorEastAsia" w:hAnsiTheme="minorHAnsi" w:cstheme="minorBidi"/>
              <w:noProof/>
            </w:rPr>
          </w:pPr>
          <w:hyperlink w:anchor="_Toc219391387" w:history="1">
            <w:r w:rsidR="00B36FD2" w:rsidRPr="00FE1D7F">
              <w:rPr>
                <w:rStyle w:val="Hipervnculo"/>
                <w:noProof/>
              </w:rPr>
              <w:t>SÉPTIMO. Vista la Dirección General de Protección de Datos Personales</w:t>
            </w:r>
            <w:r w:rsidR="00B36FD2">
              <w:rPr>
                <w:noProof/>
                <w:webHidden/>
              </w:rPr>
              <w:tab/>
            </w:r>
            <w:r w:rsidR="00B36FD2">
              <w:rPr>
                <w:noProof/>
                <w:webHidden/>
              </w:rPr>
              <w:fldChar w:fldCharType="begin"/>
            </w:r>
            <w:r w:rsidR="00B36FD2">
              <w:rPr>
                <w:noProof/>
                <w:webHidden/>
              </w:rPr>
              <w:instrText xml:space="preserve"> PAGEREF _Toc219391387 \h </w:instrText>
            </w:r>
            <w:r w:rsidR="00B36FD2">
              <w:rPr>
                <w:noProof/>
                <w:webHidden/>
              </w:rPr>
            </w:r>
            <w:r w:rsidR="00B36FD2">
              <w:rPr>
                <w:noProof/>
                <w:webHidden/>
              </w:rPr>
              <w:fldChar w:fldCharType="separate"/>
            </w:r>
            <w:r w:rsidR="000E494C">
              <w:rPr>
                <w:noProof/>
                <w:webHidden/>
              </w:rPr>
              <w:t>21</w:t>
            </w:r>
            <w:r w:rsidR="00B36FD2">
              <w:rPr>
                <w:noProof/>
                <w:webHidden/>
              </w:rPr>
              <w:fldChar w:fldCharType="end"/>
            </w:r>
          </w:hyperlink>
        </w:p>
        <w:p w:rsidR="00B36FD2" w:rsidRDefault="00E90C93">
          <w:pPr>
            <w:pStyle w:val="TDC1"/>
            <w:tabs>
              <w:tab w:val="right" w:leader="dot" w:pos="8921"/>
            </w:tabs>
            <w:rPr>
              <w:rFonts w:asciiTheme="minorHAnsi" w:eastAsiaTheme="minorEastAsia" w:hAnsiTheme="minorHAnsi" w:cstheme="minorBidi"/>
              <w:noProof/>
            </w:rPr>
          </w:pPr>
          <w:hyperlink w:anchor="_Toc219391388" w:history="1">
            <w:r w:rsidR="00B36FD2" w:rsidRPr="00FE1D7F">
              <w:rPr>
                <w:rStyle w:val="Hipervnculo"/>
                <w:noProof/>
              </w:rPr>
              <w:t>R E S U E L V E</w:t>
            </w:r>
            <w:r w:rsidR="00B36FD2">
              <w:rPr>
                <w:noProof/>
                <w:webHidden/>
              </w:rPr>
              <w:tab/>
            </w:r>
            <w:r w:rsidR="00B36FD2">
              <w:rPr>
                <w:noProof/>
                <w:webHidden/>
              </w:rPr>
              <w:fldChar w:fldCharType="begin"/>
            </w:r>
            <w:r w:rsidR="00B36FD2">
              <w:rPr>
                <w:noProof/>
                <w:webHidden/>
              </w:rPr>
              <w:instrText xml:space="preserve"> PAGEREF _Toc219391388 \h </w:instrText>
            </w:r>
            <w:r w:rsidR="00B36FD2">
              <w:rPr>
                <w:noProof/>
                <w:webHidden/>
              </w:rPr>
            </w:r>
            <w:r w:rsidR="00B36FD2">
              <w:rPr>
                <w:noProof/>
                <w:webHidden/>
              </w:rPr>
              <w:fldChar w:fldCharType="separate"/>
            </w:r>
            <w:r w:rsidR="000E494C">
              <w:rPr>
                <w:noProof/>
                <w:webHidden/>
              </w:rPr>
              <w:t>22</w:t>
            </w:r>
            <w:r w:rsidR="00B36FD2">
              <w:rPr>
                <w:noProof/>
                <w:webHidden/>
              </w:rPr>
              <w:fldChar w:fldCharType="end"/>
            </w:r>
          </w:hyperlink>
        </w:p>
        <w:p w:rsidR="00136294" w:rsidRDefault="00136294">
          <w:r>
            <w:rPr>
              <w:b/>
              <w:bCs/>
              <w:lang w:val="es-ES"/>
            </w:rPr>
            <w:fldChar w:fldCharType="end"/>
          </w:r>
        </w:p>
      </w:sdtContent>
    </w:sdt>
    <w:p w:rsidR="00714D0E" w:rsidRDefault="00714D0E">
      <w:pPr>
        <w:tabs>
          <w:tab w:val="left" w:pos="8931"/>
        </w:tabs>
        <w:spacing w:after="0" w:line="360" w:lineRule="auto"/>
      </w:pPr>
    </w:p>
    <w:p w:rsidR="00136294" w:rsidRDefault="00136294">
      <w:pPr>
        <w:tabs>
          <w:tab w:val="left" w:pos="8931"/>
        </w:tabs>
        <w:spacing w:after="0" w:line="360" w:lineRule="auto"/>
      </w:pPr>
    </w:p>
    <w:p w:rsidR="00136294" w:rsidRDefault="00136294">
      <w:pPr>
        <w:tabs>
          <w:tab w:val="left" w:pos="8931"/>
        </w:tabs>
        <w:spacing w:after="0" w:line="360" w:lineRule="auto"/>
      </w:pPr>
    </w:p>
    <w:p w:rsidR="00136294" w:rsidRDefault="00136294">
      <w:pPr>
        <w:tabs>
          <w:tab w:val="left" w:pos="8931"/>
        </w:tabs>
        <w:spacing w:after="0" w:line="360" w:lineRule="auto"/>
      </w:pPr>
    </w:p>
    <w:p w:rsidR="00136294" w:rsidRDefault="00136294">
      <w:pPr>
        <w:tabs>
          <w:tab w:val="left" w:pos="8931"/>
        </w:tabs>
        <w:spacing w:after="0" w:line="360" w:lineRule="auto"/>
      </w:pPr>
    </w:p>
    <w:p w:rsidR="00136294" w:rsidRDefault="00136294">
      <w:pPr>
        <w:tabs>
          <w:tab w:val="left" w:pos="8931"/>
        </w:tabs>
        <w:spacing w:after="0" w:line="360" w:lineRule="auto"/>
      </w:pPr>
    </w:p>
    <w:p w:rsidR="00714D0E" w:rsidRDefault="00714D0E">
      <w:pPr>
        <w:tabs>
          <w:tab w:val="left" w:pos="8931"/>
        </w:tabs>
        <w:spacing w:after="0" w:line="360" w:lineRule="auto"/>
      </w:pPr>
    </w:p>
    <w:p w:rsidR="00714D0E" w:rsidRDefault="000B2917">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catorce de enero de dos mil veintiséis. </w:t>
      </w:r>
    </w:p>
    <w:p w:rsidR="00714D0E" w:rsidRDefault="00714D0E">
      <w:pPr>
        <w:spacing w:after="0" w:line="360" w:lineRule="auto"/>
        <w:rPr>
          <w:b/>
          <w:bCs/>
        </w:rPr>
      </w:pPr>
    </w:p>
    <w:p w:rsidR="00714D0E" w:rsidRDefault="000B2917">
      <w:pPr>
        <w:spacing w:after="0" w:line="360" w:lineRule="auto"/>
        <w:rPr>
          <w:color w:val="0D0D0D"/>
        </w:rPr>
      </w:pPr>
      <w:r>
        <w:rPr>
          <w:b/>
          <w:bCs/>
        </w:rPr>
        <w:t xml:space="preserve">VISTO </w:t>
      </w:r>
      <w:r>
        <w:t xml:space="preserve">el expediente electrónico conformado con motivo del Recurso de Revisión </w:t>
      </w:r>
      <w:r w:rsidRPr="00F24A6E">
        <w:rPr>
          <w:b/>
        </w:rPr>
        <w:t>11991/INFOEM/IP/RR/2025</w:t>
      </w:r>
      <w:r>
        <w:t xml:space="preserve">, interpuesto por </w:t>
      </w:r>
      <w:r w:rsidR="00422C16" w:rsidRPr="00422C16">
        <w:rPr>
          <w:highlight w:val="black"/>
        </w:rPr>
        <w:t>XXXXXXXXXXXXX</w:t>
      </w:r>
      <w:r>
        <w:t xml:space="preserve">, quien será la persona </w:t>
      </w:r>
      <w:r>
        <w:rPr>
          <w:color w:val="0D0D0D"/>
        </w:rPr>
        <w:t xml:space="preserve">Recurrente o Particular, en contra de la respuesta del Sujeto Obligado, </w:t>
      </w:r>
      <w:r w:rsidRPr="00F24A6E">
        <w:rPr>
          <w:b/>
        </w:rPr>
        <w:t>Ayuntamiento de Zinacantepec,</w:t>
      </w:r>
      <w:r>
        <w:rPr>
          <w:color w:val="0D0D0D"/>
        </w:rPr>
        <w:t xml:space="preserve"> a la solicitud de acceso a la información pública </w:t>
      </w:r>
      <w:r>
        <w:t>00636/ZINACANT/IP/2025</w:t>
      </w:r>
      <w:r>
        <w:rPr>
          <w:color w:val="000000"/>
        </w:rPr>
        <w:t xml:space="preserve">, </w:t>
      </w:r>
      <w:r>
        <w:rPr>
          <w:color w:val="0D0D0D"/>
        </w:rPr>
        <w:t>se emite la presente Resolución, con base en los Antecedentes y Considerandos que se exponen a continuación:</w:t>
      </w:r>
      <w:bookmarkStart w:id="0" w:name="_GoBack"/>
      <w:bookmarkEnd w:id="0"/>
    </w:p>
    <w:p w:rsidR="00714D0E" w:rsidRDefault="00714D0E">
      <w:pPr>
        <w:spacing w:after="0" w:line="360" w:lineRule="auto"/>
        <w:rPr>
          <w:b/>
          <w:bCs/>
        </w:rPr>
      </w:pPr>
    </w:p>
    <w:p w:rsidR="00714D0E" w:rsidRDefault="000B2917">
      <w:pPr>
        <w:pStyle w:val="Ttulo1"/>
        <w:spacing w:before="0" w:after="0" w:line="360" w:lineRule="auto"/>
        <w:jc w:val="center"/>
        <w:rPr>
          <w:sz w:val="22"/>
          <w:szCs w:val="22"/>
        </w:rPr>
      </w:pPr>
      <w:bookmarkStart w:id="1" w:name="_heading=h.47v2wgi9dhe8" w:colFirst="0" w:colLast="0"/>
      <w:bookmarkStart w:id="2" w:name="_Toc219391375"/>
      <w:bookmarkEnd w:id="1"/>
      <w:r>
        <w:rPr>
          <w:sz w:val="22"/>
          <w:szCs w:val="22"/>
        </w:rPr>
        <w:t>A N T E C E D E N T E S</w:t>
      </w:r>
      <w:bookmarkEnd w:id="2"/>
    </w:p>
    <w:p w:rsidR="00714D0E" w:rsidRDefault="00714D0E">
      <w:pPr>
        <w:spacing w:after="0" w:line="360" w:lineRule="auto"/>
        <w:jc w:val="center"/>
        <w:rPr>
          <w:b/>
          <w:bCs/>
        </w:rPr>
      </w:pPr>
    </w:p>
    <w:p w:rsidR="00714D0E" w:rsidRDefault="000B2917">
      <w:pPr>
        <w:pStyle w:val="Ttulo2"/>
        <w:spacing w:before="0" w:after="0" w:line="360" w:lineRule="auto"/>
        <w:rPr>
          <w:sz w:val="22"/>
          <w:szCs w:val="22"/>
        </w:rPr>
      </w:pPr>
      <w:bookmarkStart w:id="3" w:name="_heading=h.da94dk8g19n2" w:colFirst="0" w:colLast="0"/>
      <w:bookmarkStart w:id="4" w:name="_Toc219391376"/>
      <w:bookmarkEnd w:id="3"/>
      <w:r>
        <w:rPr>
          <w:sz w:val="22"/>
          <w:szCs w:val="22"/>
        </w:rPr>
        <w:t>I. Presentación de la solicitud de información</w:t>
      </w:r>
      <w:bookmarkEnd w:id="4"/>
    </w:p>
    <w:p w:rsidR="00714D0E" w:rsidRDefault="00714D0E">
      <w:pPr>
        <w:tabs>
          <w:tab w:val="left" w:pos="567"/>
        </w:tabs>
        <w:spacing w:after="0" w:line="360" w:lineRule="auto"/>
      </w:pPr>
    </w:p>
    <w:p w:rsidR="00714D0E" w:rsidRDefault="000B2917">
      <w:pPr>
        <w:spacing w:after="0" w:line="360" w:lineRule="auto"/>
      </w:pPr>
      <w:r>
        <w:t>El veinticuatro de septiembre de dos mil veinticinco, el Particular presentó una solicitud de acceso a la información pública, a través del Sistema de Acceso a la Información Mexiquense (SAIMEX), ante el Ayuntamiento de Zinacantepec</w:t>
      </w:r>
      <w:r>
        <w:rPr>
          <w:color w:val="000000"/>
        </w:rPr>
        <w:t>,</w:t>
      </w:r>
      <w:r>
        <w:t xml:space="preserve"> en los siguientes términos: </w:t>
      </w:r>
    </w:p>
    <w:p w:rsidR="00714D0E" w:rsidRDefault="00714D0E">
      <w:pPr>
        <w:spacing w:after="0" w:line="360" w:lineRule="auto"/>
      </w:pPr>
    </w:p>
    <w:p w:rsidR="00714D0E" w:rsidRDefault="000B2917">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714D0E" w:rsidRDefault="000B2917">
      <w:pPr>
        <w:tabs>
          <w:tab w:val="left" w:pos="4667"/>
        </w:tabs>
        <w:spacing w:after="0" w:line="360" w:lineRule="auto"/>
        <w:ind w:left="567" w:right="567"/>
        <w:rPr>
          <w:i/>
          <w:iCs/>
          <w:sz w:val="20"/>
          <w:szCs w:val="20"/>
        </w:rPr>
      </w:pPr>
      <w:proofErr w:type="spellStart"/>
      <w:r>
        <w:rPr>
          <w:i/>
          <w:iCs/>
          <w:sz w:val="20"/>
          <w:szCs w:val="20"/>
        </w:rPr>
        <w:t>Titulo</w:t>
      </w:r>
      <w:proofErr w:type="spellEnd"/>
      <w:r>
        <w:rPr>
          <w:i/>
          <w:iCs/>
          <w:sz w:val="20"/>
          <w:szCs w:val="20"/>
        </w:rPr>
        <w:t>, cédula profesional y certificaciones con las que cuente el Director de Obras Públicas” (Sic.)</w:t>
      </w:r>
    </w:p>
    <w:p w:rsidR="00714D0E" w:rsidRDefault="00714D0E">
      <w:pPr>
        <w:tabs>
          <w:tab w:val="left" w:pos="4667"/>
        </w:tabs>
        <w:spacing w:after="0" w:line="360" w:lineRule="auto"/>
        <w:ind w:left="567" w:right="567"/>
        <w:rPr>
          <w:b/>
          <w:bCs/>
          <w:i/>
          <w:iCs/>
          <w:sz w:val="20"/>
          <w:szCs w:val="20"/>
        </w:rPr>
      </w:pPr>
    </w:p>
    <w:p w:rsidR="00714D0E" w:rsidRDefault="000B2917">
      <w:pPr>
        <w:tabs>
          <w:tab w:val="left" w:pos="4667"/>
        </w:tabs>
        <w:spacing w:after="0" w:line="360" w:lineRule="auto"/>
        <w:ind w:left="567" w:right="567"/>
        <w:rPr>
          <w:b/>
          <w:bCs/>
          <w:i/>
          <w:iCs/>
          <w:sz w:val="20"/>
          <w:szCs w:val="20"/>
        </w:rPr>
      </w:pPr>
      <w:r>
        <w:rPr>
          <w:b/>
          <w:bCs/>
          <w:i/>
          <w:iCs/>
          <w:sz w:val="20"/>
          <w:szCs w:val="20"/>
        </w:rPr>
        <w:t>“MODALIDAD DE ENTREGA</w:t>
      </w:r>
    </w:p>
    <w:p w:rsidR="00714D0E" w:rsidRDefault="000B2917">
      <w:pPr>
        <w:tabs>
          <w:tab w:val="left" w:pos="4667"/>
        </w:tabs>
        <w:spacing w:after="0" w:line="360" w:lineRule="auto"/>
        <w:ind w:left="567" w:right="567"/>
        <w:rPr>
          <w:b/>
          <w:bCs/>
          <w:i/>
          <w:iCs/>
          <w:sz w:val="20"/>
          <w:szCs w:val="20"/>
        </w:rPr>
      </w:pPr>
      <w:r>
        <w:rPr>
          <w:i/>
          <w:iCs/>
          <w:sz w:val="20"/>
          <w:szCs w:val="20"/>
        </w:rPr>
        <w:t>A través del SAIMEX”</w:t>
      </w:r>
    </w:p>
    <w:p w:rsidR="00714D0E" w:rsidRDefault="00714D0E">
      <w:pPr>
        <w:spacing w:after="0" w:line="360" w:lineRule="auto"/>
        <w:ind w:right="567"/>
        <w:rPr>
          <w:i/>
          <w:iCs/>
          <w:sz w:val="20"/>
          <w:szCs w:val="20"/>
        </w:rPr>
      </w:pPr>
    </w:p>
    <w:p w:rsidR="00714D0E" w:rsidRDefault="00714D0E">
      <w:pPr>
        <w:spacing w:after="0" w:line="360" w:lineRule="auto"/>
        <w:ind w:right="567"/>
        <w:rPr>
          <w:i/>
          <w:iCs/>
          <w:sz w:val="20"/>
          <w:szCs w:val="20"/>
        </w:rPr>
      </w:pPr>
    </w:p>
    <w:p w:rsidR="00714D0E" w:rsidRDefault="000B2917">
      <w:pPr>
        <w:pStyle w:val="Ttulo2"/>
        <w:spacing w:before="0" w:after="0" w:line="360" w:lineRule="auto"/>
        <w:rPr>
          <w:sz w:val="22"/>
          <w:szCs w:val="22"/>
        </w:rPr>
      </w:pPr>
      <w:bookmarkStart w:id="5" w:name="_heading=h.edpa8ebzwx3j" w:colFirst="0" w:colLast="0"/>
      <w:bookmarkStart w:id="6" w:name="_Toc219391377"/>
      <w:bookmarkEnd w:id="5"/>
      <w:r>
        <w:rPr>
          <w:sz w:val="22"/>
          <w:szCs w:val="22"/>
        </w:rPr>
        <w:lastRenderedPageBreak/>
        <w:t>II. Respuesta del Sujeto Obligado</w:t>
      </w:r>
      <w:bookmarkEnd w:id="6"/>
    </w:p>
    <w:p w:rsidR="00714D0E" w:rsidRDefault="00714D0E">
      <w:pPr>
        <w:spacing w:after="0" w:line="360" w:lineRule="auto"/>
        <w:rPr>
          <w:b/>
          <w:bCs/>
        </w:rPr>
      </w:pPr>
    </w:p>
    <w:p w:rsidR="00714D0E" w:rsidRDefault="000B2917">
      <w:pPr>
        <w:spacing w:after="0" w:line="360" w:lineRule="auto"/>
      </w:pPr>
      <w:r>
        <w:t>El quince de octubre de dos mil veinticinco, el Sujeto Obligado notificó, a través del Sistema de Acceso a la Información Mexiquense (SAIMEX), la respuesta a la solicitud de acceso a la información pública, donde mencionó lo siguiente:</w:t>
      </w:r>
    </w:p>
    <w:p w:rsidR="00714D0E" w:rsidRDefault="00714D0E">
      <w:pPr>
        <w:spacing w:after="0" w:line="360" w:lineRule="auto"/>
      </w:pPr>
    </w:p>
    <w:p w:rsidR="00714D0E" w:rsidRDefault="000B2917">
      <w:pPr>
        <w:numPr>
          <w:ilvl w:val="0"/>
          <w:numId w:val="6"/>
        </w:numPr>
        <w:pBdr>
          <w:top w:val="nil"/>
          <w:left w:val="nil"/>
          <w:bottom w:val="nil"/>
          <w:right w:val="nil"/>
          <w:between w:val="nil"/>
        </w:pBdr>
        <w:spacing w:after="0" w:line="360" w:lineRule="auto"/>
        <w:rPr>
          <w:color w:val="000000"/>
        </w:rPr>
      </w:pPr>
      <w:r>
        <w:rPr>
          <w:color w:val="000000"/>
        </w:rPr>
        <w:t xml:space="preserve">Oficio número ZIN/DA/SRH/265/2025,  de fecha veintiséis de septiembre de dos mil veinticinco, suscrito por el Subdirector de Recursos Humanos y dirigido al Titular de la Unidad de Transparencia donde </w:t>
      </w:r>
      <w:r>
        <w:rPr>
          <w:b/>
          <w:bCs/>
          <w:color w:val="000000"/>
          <w:u w:val="single"/>
        </w:rPr>
        <w:t xml:space="preserve">refiere adjuntar lo solicitado del Director de Obras Publicas de nombre Peña Vilchis Aldo Octavio y anexa un Cuadro de Clasificación del </w:t>
      </w:r>
      <w:proofErr w:type="spellStart"/>
      <w:r>
        <w:rPr>
          <w:b/>
          <w:bCs/>
          <w:color w:val="000000"/>
          <w:u w:val="single"/>
        </w:rPr>
        <w:t>Titulo</w:t>
      </w:r>
      <w:proofErr w:type="spellEnd"/>
      <w:r>
        <w:rPr>
          <w:b/>
          <w:bCs/>
          <w:color w:val="000000"/>
          <w:u w:val="single"/>
        </w:rPr>
        <w:t xml:space="preserve"> y Cédula Profesional donde se clasifica como confidencial la CURP, como dato personal de conformidad con el </w:t>
      </w:r>
      <w:proofErr w:type="spellStart"/>
      <w:r>
        <w:rPr>
          <w:b/>
          <w:bCs/>
          <w:color w:val="000000"/>
          <w:u w:val="single"/>
        </w:rPr>
        <w:t>articulo</w:t>
      </w:r>
      <w:proofErr w:type="spellEnd"/>
      <w:r>
        <w:rPr>
          <w:b/>
          <w:bCs/>
          <w:color w:val="000000"/>
          <w:u w:val="single"/>
        </w:rPr>
        <w:t xml:space="preserve"> 143 fracción I</w:t>
      </w:r>
      <w:r>
        <w:rPr>
          <w:color w:val="000000"/>
        </w:rPr>
        <w:t xml:space="preserve"> de la Ley de Transparencia y Acceso a la Información </w:t>
      </w:r>
      <w:proofErr w:type="spellStart"/>
      <w:r>
        <w:rPr>
          <w:color w:val="000000"/>
        </w:rPr>
        <w:t>Publica</w:t>
      </w:r>
      <w:proofErr w:type="spellEnd"/>
      <w:r>
        <w:rPr>
          <w:color w:val="000000"/>
        </w:rPr>
        <w:t xml:space="preserve"> del Estado de México y Municipios.</w:t>
      </w:r>
    </w:p>
    <w:p w:rsidR="00714D0E" w:rsidRDefault="00714D0E">
      <w:pPr>
        <w:pBdr>
          <w:top w:val="nil"/>
          <w:left w:val="nil"/>
          <w:bottom w:val="nil"/>
          <w:right w:val="nil"/>
          <w:between w:val="nil"/>
        </w:pBdr>
        <w:spacing w:after="0" w:line="360" w:lineRule="auto"/>
        <w:ind w:left="720"/>
        <w:rPr>
          <w:rFonts w:ascii="Calibri" w:eastAsia="Calibri" w:hAnsi="Calibri" w:cs="Calibri"/>
          <w:color w:val="000000"/>
          <w:sz w:val="28"/>
          <w:szCs w:val="28"/>
        </w:rPr>
      </w:pPr>
    </w:p>
    <w:p w:rsidR="00714D0E" w:rsidRDefault="000B2917">
      <w:pPr>
        <w:numPr>
          <w:ilvl w:val="0"/>
          <w:numId w:val="6"/>
        </w:numPr>
        <w:pBdr>
          <w:top w:val="nil"/>
          <w:left w:val="nil"/>
          <w:bottom w:val="nil"/>
          <w:right w:val="nil"/>
          <w:between w:val="nil"/>
        </w:pBdr>
        <w:spacing w:after="0" w:line="360" w:lineRule="auto"/>
        <w:rPr>
          <w:color w:val="000000"/>
        </w:rPr>
      </w:pPr>
      <w:r>
        <w:rPr>
          <w:color w:val="000000"/>
        </w:rPr>
        <w:t>Cedula Profesional del Director de Obras Publicas en versión pública testando la CURP.</w:t>
      </w:r>
    </w:p>
    <w:p w:rsidR="00714D0E" w:rsidRDefault="000B2917">
      <w:pPr>
        <w:numPr>
          <w:ilvl w:val="0"/>
          <w:numId w:val="6"/>
        </w:numPr>
        <w:pBdr>
          <w:top w:val="nil"/>
          <w:left w:val="nil"/>
          <w:bottom w:val="nil"/>
          <w:right w:val="nil"/>
          <w:between w:val="nil"/>
        </w:pBdr>
        <w:spacing w:after="0" w:line="360" w:lineRule="auto"/>
        <w:rPr>
          <w:color w:val="000000"/>
        </w:rPr>
      </w:pPr>
      <w:r>
        <w:rPr>
          <w:color w:val="000000"/>
        </w:rPr>
        <w:t>Título Universitario del Director de Obras públicas en versión íntegra.</w:t>
      </w:r>
    </w:p>
    <w:p w:rsidR="00714D0E" w:rsidRDefault="000B2917">
      <w:pPr>
        <w:numPr>
          <w:ilvl w:val="0"/>
          <w:numId w:val="6"/>
        </w:numPr>
        <w:pBdr>
          <w:top w:val="nil"/>
          <w:left w:val="nil"/>
          <w:bottom w:val="nil"/>
          <w:right w:val="nil"/>
          <w:between w:val="nil"/>
        </w:pBdr>
        <w:spacing w:after="0" w:line="360" w:lineRule="auto"/>
        <w:rPr>
          <w:color w:val="000000"/>
        </w:rPr>
      </w:pPr>
      <w:r>
        <w:rPr>
          <w:color w:val="000000"/>
        </w:rPr>
        <w:t>Constancia de Certificado de Competencia Laboral del Director de Obras Publicas en versión íntegra.</w:t>
      </w:r>
    </w:p>
    <w:p w:rsidR="00714D0E" w:rsidRDefault="00714D0E">
      <w:pPr>
        <w:spacing w:after="0" w:line="360" w:lineRule="auto"/>
      </w:pPr>
    </w:p>
    <w:p w:rsidR="00714D0E" w:rsidRDefault="000B2917">
      <w:pPr>
        <w:pStyle w:val="Ttulo2"/>
        <w:spacing w:before="0" w:after="0" w:line="360" w:lineRule="auto"/>
        <w:rPr>
          <w:sz w:val="22"/>
          <w:szCs w:val="22"/>
        </w:rPr>
      </w:pPr>
      <w:bookmarkStart w:id="7" w:name="_heading=h.2wdk4tomftwh" w:colFirst="0" w:colLast="0"/>
      <w:bookmarkStart w:id="8" w:name="_Toc219391378"/>
      <w:bookmarkEnd w:id="7"/>
      <w:r>
        <w:rPr>
          <w:sz w:val="22"/>
          <w:szCs w:val="22"/>
        </w:rPr>
        <w:t>III. Interposición del Recurso de Revisión</w:t>
      </w:r>
      <w:bookmarkEnd w:id="8"/>
    </w:p>
    <w:p w:rsidR="00714D0E" w:rsidRDefault="00714D0E">
      <w:pPr>
        <w:spacing w:after="0" w:line="360" w:lineRule="auto"/>
        <w:rPr>
          <w:b/>
          <w:bCs/>
        </w:rPr>
      </w:pPr>
    </w:p>
    <w:p w:rsidR="00714D0E" w:rsidRDefault="000B2917">
      <w:pPr>
        <w:spacing w:after="0" w:line="360" w:lineRule="auto"/>
      </w:pPr>
      <w:r>
        <w:t xml:space="preserve">El dieciséis de octubre de dos mil veinticinco, se recibió en este Instituto, a través del Sistema de Acceso a la Información Mexiquense (SAIMEX), el Recurso de Revisión interpuesto por </w:t>
      </w:r>
      <w:r>
        <w:lastRenderedPageBreak/>
        <w:t>la persona Recurrente, en contra de la respuesta por el Sujeto Obligado, a la solicitud de información, en los siguientes términos:</w:t>
      </w:r>
    </w:p>
    <w:p w:rsidR="00714D0E" w:rsidRDefault="00714D0E">
      <w:pPr>
        <w:spacing w:after="0" w:line="360" w:lineRule="auto"/>
        <w:ind w:left="567" w:right="567"/>
        <w:rPr>
          <w:b/>
          <w:bCs/>
          <w:i/>
          <w:iCs/>
          <w:sz w:val="20"/>
          <w:szCs w:val="20"/>
        </w:rPr>
      </w:pPr>
    </w:p>
    <w:p w:rsidR="00714D0E" w:rsidRDefault="000B2917">
      <w:pPr>
        <w:spacing w:after="0" w:line="360" w:lineRule="auto"/>
        <w:ind w:left="567" w:right="567"/>
        <w:rPr>
          <w:i/>
          <w:iCs/>
          <w:sz w:val="20"/>
          <w:szCs w:val="20"/>
        </w:rPr>
      </w:pPr>
      <w:r>
        <w:rPr>
          <w:b/>
          <w:bCs/>
          <w:i/>
          <w:iCs/>
          <w:sz w:val="20"/>
          <w:szCs w:val="20"/>
        </w:rPr>
        <w:t>‘’ACTO IMPUGNADO</w:t>
      </w:r>
    </w:p>
    <w:p w:rsidR="00714D0E" w:rsidRDefault="000B2917">
      <w:pPr>
        <w:spacing w:after="0" w:line="360" w:lineRule="auto"/>
        <w:ind w:left="567" w:right="567"/>
        <w:rPr>
          <w:i/>
          <w:iCs/>
          <w:sz w:val="20"/>
          <w:szCs w:val="20"/>
        </w:rPr>
      </w:pPr>
      <w:r>
        <w:rPr>
          <w:i/>
          <w:iCs/>
          <w:sz w:val="20"/>
          <w:szCs w:val="20"/>
        </w:rPr>
        <w:t>No presentan acta mediante la cual se aprueba la clasificación de la información confidencial” (Sic.)</w:t>
      </w:r>
    </w:p>
    <w:p w:rsidR="00714D0E" w:rsidRDefault="00714D0E">
      <w:pPr>
        <w:spacing w:after="0" w:line="360" w:lineRule="auto"/>
        <w:ind w:left="567" w:right="567"/>
        <w:rPr>
          <w:i/>
          <w:iCs/>
          <w:sz w:val="20"/>
          <w:szCs w:val="20"/>
        </w:rPr>
      </w:pPr>
    </w:p>
    <w:p w:rsidR="00714D0E" w:rsidRDefault="000B2917">
      <w:pPr>
        <w:spacing w:after="0" w:line="360" w:lineRule="auto"/>
        <w:ind w:left="567" w:right="567"/>
        <w:rPr>
          <w:b/>
          <w:bCs/>
          <w:i/>
          <w:iCs/>
          <w:sz w:val="20"/>
          <w:szCs w:val="20"/>
        </w:rPr>
      </w:pPr>
      <w:r>
        <w:rPr>
          <w:b/>
          <w:bCs/>
          <w:i/>
          <w:iCs/>
          <w:sz w:val="20"/>
          <w:szCs w:val="20"/>
        </w:rPr>
        <w:t>‘’RAZONES O MOTIVOS DE LA INCONFORMIDAD</w:t>
      </w:r>
    </w:p>
    <w:p w:rsidR="00714D0E" w:rsidRDefault="000B2917">
      <w:pPr>
        <w:spacing w:after="0" w:line="360" w:lineRule="auto"/>
        <w:ind w:left="567" w:right="567"/>
        <w:rPr>
          <w:i/>
          <w:iCs/>
          <w:sz w:val="20"/>
          <w:szCs w:val="20"/>
        </w:rPr>
      </w:pPr>
      <w:r>
        <w:rPr>
          <w:i/>
          <w:iCs/>
          <w:sz w:val="20"/>
          <w:szCs w:val="20"/>
        </w:rPr>
        <w:t>No presentan acta mediante la cual se aprueba la clasificación de la información confidencial” (Sic.)</w:t>
      </w:r>
    </w:p>
    <w:p w:rsidR="00714D0E" w:rsidRDefault="00714D0E">
      <w:pPr>
        <w:spacing w:after="0" w:line="360" w:lineRule="auto"/>
        <w:ind w:right="567"/>
      </w:pPr>
    </w:p>
    <w:p w:rsidR="00714D0E" w:rsidRDefault="000B2917">
      <w:pPr>
        <w:pStyle w:val="Ttulo2"/>
        <w:spacing w:before="0" w:after="0" w:line="360" w:lineRule="auto"/>
        <w:rPr>
          <w:sz w:val="22"/>
          <w:szCs w:val="22"/>
        </w:rPr>
      </w:pPr>
      <w:bookmarkStart w:id="9" w:name="_heading=h.frkuzvw3qc7h" w:colFirst="0" w:colLast="0"/>
      <w:bookmarkStart w:id="10" w:name="_Toc219391379"/>
      <w:bookmarkEnd w:id="9"/>
      <w:r>
        <w:rPr>
          <w:sz w:val="22"/>
          <w:szCs w:val="22"/>
        </w:rPr>
        <w:t>IV. Trámite del Recurso de Revisión ante este Instituto</w:t>
      </w:r>
      <w:bookmarkEnd w:id="10"/>
    </w:p>
    <w:p w:rsidR="00714D0E" w:rsidRDefault="00714D0E">
      <w:pPr>
        <w:spacing w:after="0" w:line="360" w:lineRule="auto"/>
        <w:rPr>
          <w:b/>
          <w:bCs/>
        </w:rPr>
      </w:pPr>
    </w:p>
    <w:p w:rsidR="00714D0E" w:rsidRDefault="000B2917">
      <w:pPr>
        <w:spacing w:after="0" w:line="360" w:lineRule="auto"/>
      </w:pPr>
      <w:r>
        <w:rPr>
          <w:b/>
          <w:bCs/>
        </w:rPr>
        <w:t>a) Turno del Medio de Impugnación.</w:t>
      </w:r>
      <w:r>
        <w:t xml:space="preserve"> El dieciséis de octubre de dos mil veinticinco, el Sistema de Acceso a la Información Mexiquense (SAIMEX), asignó el número de expediente </w:t>
      </w:r>
      <w:r>
        <w:rPr>
          <w:b/>
          <w:bCs/>
        </w:rPr>
        <w:t>11991/INFOEM/IP/RR/2025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714D0E" w:rsidRDefault="00714D0E">
      <w:pPr>
        <w:spacing w:after="0" w:line="360" w:lineRule="auto"/>
        <w:rPr>
          <w:b/>
          <w:bCs/>
        </w:rPr>
      </w:pPr>
    </w:p>
    <w:p w:rsidR="00714D0E" w:rsidRDefault="000B2917">
      <w:pPr>
        <w:spacing w:after="0" w:line="360" w:lineRule="auto"/>
      </w:pPr>
      <w:r>
        <w:rPr>
          <w:b/>
          <w:bCs/>
        </w:rPr>
        <w:t xml:space="preserve">b) Admisión del Recurso de Revisión. </w:t>
      </w:r>
      <w:r>
        <w:t>El veintiuno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714D0E" w:rsidRDefault="000B2917">
      <w:pPr>
        <w:spacing w:after="0" w:line="360" w:lineRule="auto"/>
      </w:pPr>
      <w:r>
        <w:rPr>
          <w:b/>
          <w:bCs/>
        </w:rPr>
        <w:lastRenderedPageBreak/>
        <w:t xml:space="preserve">c) Informe Justificado. </w:t>
      </w:r>
      <w:r>
        <w:t>El veintiocho de octubre de dos mil veinticinco, se recibió, a través del Sistema de Acceso a la Información Mexiquense (SAIMEX), el Informe Justificado del Sujeto Obligado, donde ratifica su respuesta inicial y solicita se sobresea el recurso, aunado a que refiere lo siguiente:</w:t>
      </w:r>
    </w:p>
    <w:p w:rsidR="00714D0E" w:rsidRDefault="00714D0E">
      <w:pPr>
        <w:spacing w:after="0" w:line="360" w:lineRule="auto"/>
      </w:pPr>
    </w:p>
    <w:p w:rsidR="00714D0E" w:rsidRDefault="000B2917">
      <w:pPr>
        <w:spacing w:after="0" w:line="360" w:lineRule="auto"/>
        <w:ind w:left="720"/>
        <w:rPr>
          <w:i/>
          <w:iCs/>
          <w:sz w:val="20"/>
          <w:szCs w:val="20"/>
        </w:rPr>
      </w:pPr>
      <w:r>
        <w:rPr>
          <w:i/>
          <w:iCs/>
          <w:sz w:val="20"/>
          <w:szCs w:val="20"/>
        </w:rPr>
        <w:t>“…Se considera oportuno y con el objetivo de acreditar la búsqueda exhaustiva anexar el Certificado de Competencia laboral del director de obras públicas, y al tratarse de información personal, le informo que la versión publica fue aprobada mediante acuerdo CT/S18/EXT/AC03/2025.</w:t>
      </w:r>
    </w:p>
    <w:p w:rsidR="00714D0E" w:rsidRDefault="000B2917">
      <w:pPr>
        <w:spacing w:after="0" w:line="360" w:lineRule="auto"/>
        <w:ind w:left="720"/>
        <w:rPr>
          <w:i/>
          <w:iCs/>
          <w:sz w:val="20"/>
          <w:szCs w:val="20"/>
        </w:rPr>
      </w:pPr>
      <w:r>
        <w:rPr>
          <w:i/>
          <w:iCs/>
          <w:sz w:val="20"/>
          <w:szCs w:val="20"/>
        </w:rPr>
        <w:t>…”</w:t>
      </w:r>
    </w:p>
    <w:p w:rsidR="00714D0E" w:rsidRDefault="00714D0E">
      <w:pPr>
        <w:spacing w:after="0" w:line="360" w:lineRule="auto"/>
      </w:pPr>
    </w:p>
    <w:p w:rsidR="00714D0E" w:rsidRDefault="000B2917">
      <w:pPr>
        <w:spacing w:after="0" w:line="360" w:lineRule="auto"/>
        <w:rPr>
          <w:i/>
          <w:iCs/>
          <w:sz w:val="20"/>
          <w:szCs w:val="20"/>
        </w:rPr>
      </w:pPr>
      <w:r>
        <w:t>Asimismo, el Sujeto Obligado adjuntó la digitalización del</w:t>
      </w:r>
      <w:r>
        <w:rPr>
          <w:sz w:val="28"/>
          <w:szCs w:val="28"/>
        </w:rPr>
        <w:t xml:space="preserve"> </w:t>
      </w:r>
      <w:r>
        <w:t>Certificado de Competencia Laboral del Director de Obras Publicas en versión íntegra.</w:t>
      </w:r>
    </w:p>
    <w:p w:rsidR="00714D0E" w:rsidRDefault="00714D0E">
      <w:pPr>
        <w:spacing w:after="0" w:line="360" w:lineRule="auto"/>
      </w:pPr>
    </w:p>
    <w:p w:rsidR="00714D0E" w:rsidRDefault="000B2917">
      <w:pPr>
        <w:spacing w:after="0" w:line="360" w:lineRule="auto"/>
      </w:pPr>
      <w:r>
        <w:rPr>
          <w:b/>
          <w:bCs/>
        </w:rPr>
        <w:t>d) Vista del Informe Justificado.</w:t>
      </w:r>
      <w:r>
        <w:t xml:space="preserve"> El diecisiete de diciembre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rsidR="00714D0E" w:rsidRDefault="00714D0E">
      <w:pPr>
        <w:spacing w:after="0" w:line="360" w:lineRule="auto"/>
      </w:pPr>
    </w:p>
    <w:p w:rsidR="00714D0E" w:rsidRDefault="000B2917">
      <w:pPr>
        <w:spacing w:after="0" w:line="360" w:lineRule="auto"/>
      </w:pPr>
      <w:r>
        <w:rPr>
          <w:b/>
          <w:bCs/>
        </w:rPr>
        <w:t>e) Ampliación de plazo para resolver.</w:t>
      </w:r>
      <w:r>
        <w:t xml:space="preserve"> El quince de enero de dos mil veintiséis, el Comisionado Ponente, con fundamento en lo dispuesto por el artículo 181, párrafo tercero, de la Ley de Transparencia y Acceso a la Información Pública del Estado de México y Municipios, acordó ampliar por un </w:t>
      </w:r>
      <w:r>
        <w:rPr>
          <w:b/>
          <w:bCs/>
        </w:rPr>
        <w:t>periodo razonable</w:t>
      </w:r>
      <w:r>
        <w:t>, el plazo para resolver el Recurso de Revisión que nos ocupa; acto que fue notificado a las partes el mismo día, mediante el Sistema de Acceso a la Información Mexiquense (SAIMEX).</w:t>
      </w:r>
    </w:p>
    <w:p w:rsidR="00714D0E" w:rsidRDefault="00714D0E">
      <w:pPr>
        <w:spacing w:after="0" w:line="360" w:lineRule="auto"/>
        <w:rPr>
          <w:b/>
          <w:bCs/>
          <w:color w:val="000000"/>
        </w:rPr>
      </w:pPr>
      <w:bookmarkStart w:id="11" w:name="_heading=h.obh9ctciperx" w:colFirst="0" w:colLast="0"/>
      <w:bookmarkEnd w:id="11"/>
    </w:p>
    <w:p w:rsidR="00714D0E" w:rsidRDefault="000B2917">
      <w:pPr>
        <w:spacing w:after="0" w:line="360" w:lineRule="auto"/>
      </w:pPr>
      <w:r>
        <w:rPr>
          <w:b/>
          <w:bCs/>
        </w:rPr>
        <w:lastRenderedPageBreak/>
        <w:t>f) Cierre de instrucción.</w:t>
      </w:r>
      <w:r>
        <w:t xml:space="preserve"> El quince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714D0E" w:rsidRDefault="00714D0E">
      <w:pPr>
        <w:spacing w:after="0" w:line="360" w:lineRule="auto"/>
        <w:rPr>
          <w:b/>
          <w:bCs/>
        </w:rPr>
      </w:pPr>
    </w:p>
    <w:p w:rsidR="00714D0E" w:rsidRDefault="000B2917">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714D0E" w:rsidRDefault="00714D0E">
      <w:pPr>
        <w:spacing w:after="0" w:line="360" w:lineRule="auto"/>
        <w:rPr>
          <w:color w:val="000000"/>
        </w:rPr>
      </w:pPr>
    </w:p>
    <w:p w:rsidR="00714D0E" w:rsidRDefault="000B2917">
      <w:pPr>
        <w:pStyle w:val="Ttulo1"/>
        <w:spacing w:before="0" w:after="0" w:line="360" w:lineRule="auto"/>
        <w:jc w:val="center"/>
        <w:rPr>
          <w:sz w:val="22"/>
          <w:szCs w:val="22"/>
        </w:rPr>
      </w:pPr>
      <w:bookmarkStart w:id="12" w:name="_heading=h.d9mc4c7td75v" w:colFirst="0" w:colLast="0"/>
      <w:bookmarkStart w:id="13" w:name="_Toc219391380"/>
      <w:bookmarkEnd w:id="12"/>
      <w:r>
        <w:rPr>
          <w:sz w:val="22"/>
          <w:szCs w:val="22"/>
        </w:rPr>
        <w:t>C O N S I D E R A N D O S</w:t>
      </w:r>
      <w:bookmarkEnd w:id="13"/>
    </w:p>
    <w:p w:rsidR="00714D0E" w:rsidRDefault="00714D0E">
      <w:pPr>
        <w:spacing w:after="0" w:line="360" w:lineRule="auto"/>
        <w:jc w:val="center"/>
        <w:rPr>
          <w:b/>
          <w:bCs/>
          <w:color w:val="000000"/>
        </w:rPr>
      </w:pPr>
    </w:p>
    <w:p w:rsidR="00714D0E" w:rsidRDefault="000B2917">
      <w:pPr>
        <w:pStyle w:val="Ttulo2"/>
        <w:spacing w:before="0" w:after="0" w:line="360" w:lineRule="auto"/>
        <w:rPr>
          <w:sz w:val="22"/>
          <w:szCs w:val="22"/>
        </w:rPr>
      </w:pPr>
      <w:bookmarkStart w:id="14" w:name="_heading=h.90qfdau7z78k" w:colFirst="0" w:colLast="0"/>
      <w:bookmarkStart w:id="15" w:name="_Toc219391381"/>
      <w:bookmarkEnd w:id="14"/>
      <w:r>
        <w:rPr>
          <w:sz w:val="22"/>
          <w:szCs w:val="22"/>
        </w:rPr>
        <w:t>PRIMERO. Competencia</w:t>
      </w:r>
      <w:bookmarkEnd w:id="15"/>
    </w:p>
    <w:p w:rsidR="00714D0E" w:rsidRDefault="00714D0E">
      <w:pPr>
        <w:spacing w:after="0" w:line="360" w:lineRule="auto"/>
      </w:pPr>
      <w:bookmarkStart w:id="16" w:name="_heading=h.30j0zll" w:colFirst="0" w:colLast="0"/>
      <w:bookmarkEnd w:id="16"/>
    </w:p>
    <w:p w:rsidR="00714D0E" w:rsidRDefault="000B2917">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14D0E" w:rsidRDefault="00714D0E">
      <w:pPr>
        <w:spacing w:after="0" w:line="360" w:lineRule="auto"/>
      </w:pPr>
    </w:p>
    <w:p w:rsidR="00714D0E" w:rsidRDefault="000B2917">
      <w:pPr>
        <w:pStyle w:val="Ttulo2"/>
        <w:spacing w:before="0" w:after="0" w:line="360" w:lineRule="auto"/>
        <w:rPr>
          <w:sz w:val="22"/>
          <w:szCs w:val="22"/>
        </w:rPr>
      </w:pPr>
      <w:bookmarkStart w:id="17" w:name="_heading=h.krxc6njcte16" w:colFirst="0" w:colLast="0"/>
      <w:bookmarkStart w:id="18" w:name="_Toc219391382"/>
      <w:bookmarkEnd w:id="17"/>
      <w:r>
        <w:rPr>
          <w:sz w:val="22"/>
          <w:szCs w:val="22"/>
        </w:rPr>
        <w:lastRenderedPageBreak/>
        <w:t>SEGUNDO. Causales de improcedencia y sobreseimiento</w:t>
      </w:r>
      <w:bookmarkEnd w:id="18"/>
    </w:p>
    <w:p w:rsidR="00714D0E" w:rsidRDefault="00714D0E">
      <w:pPr>
        <w:spacing w:after="0" w:line="360" w:lineRule="auto"/>
        <w:rPr>
          <w:color w:val="000000"/>
        </w:rPr>
      </w:pPr>
    </w:p>
    <w:p w:rsidR="00714D0E" w:rsidRDefault="000B2917">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714D0E" w:rsidRDefault="00714D0E">
      <w:pPr>
        <w:spacing w:after="0" w:line="360" w:lineRule="auto"/>
        <w:rPr>
          <w:color w:val="000000"/>
        </w:rPr>
      </w:pPr>
    </w:p>
    <w:p w:rsidR="00714D0E" w:rsidRDefault="000B2917">
      <w:pPr>
        <w:spacing w:after="0" w:line="360" w:lineRule="auto"/>
        <w:rPr>
          <w:b/>
          <w:bCs/>
        </w:rPr>
      </w:pPr>
      <w:r>
        <w:rPr>
          <w:b/>
          <w:bCs/>
        </w:rPr>
        <w:t>Causales de improcedencia</w:t>
      </w:r>
    </w:p>
    <w:p w:rsidR="00714D0E" w:rsidRDefault="00714D0E">
      <w:pPr>
        <w:spacing w:after="0" w:line="360" w:lineRule="auto"/>
        <w:rPr>
          <w:b/>
          <w:bCs/>
        </w:rPr>
      </w:pPr>
    </w:p>
    <w:p w:rsidR="00714D0E" w:rsidRDefault="000B2917">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14D0E" w:rsidRDefault="00714D0E">
      <w:pPr>
        <w:spacing w:after="0" w:line="360" w:lineRule="auto"/>
        <w:rPr>
          <w:color w:val="000000"/>
        </w:rPr>
      </w:pPr>
    </w:p>
    <w:p w:rsidR="00714D0E" w:rsidRDefault="000B2917">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714D0E" w:rsidRDefault="00714D0E">
      <w:pPr>
        <w:spacing w:after="0" w:line="360" w:lineRule="auto"/>
        <w:rPr>
          <w:color w:val="000000"/>
        </w:rPr>
      </w:pPr>
    </w:p>
    <w:p w:rsidR="00714D0E" w:rsidRDefault="000B2917">
      <w:pPr>
        <w:spacing w:after="0" w:line="360" w:lineRule="auto"/>
      </w:pPr>
      <w:r>
        <w:t>Por lo cual, se actualiza la causal de procedencia del Recurso de Revisión señalada en el artículo 179, fracción II, de la Ley en cita, pues la persona Recurrente se inconformó de la clasificación de la información.</w:t>
      </w:r>
    </w:p>
    <w:p w:rsidR="00714D0E" w:rsidRDefault="00714D0E">
      <w:pPr>
        <w:spacing w:after="0" w:line="360" w:lineRule="auto"/>
      </w:pPr>
    </w:p>
    <w:p w:rsidR="00714D0E" w:rsidRDefault="000B2917">
      <w:pPr>
        <w:spacing w:after="0" w:line="360" w:lineRule="auto"/>
        <w:rPr>
          <w:color w:val="0D0D0D"/>
        </w:rPr>
      </w:pPr>
      <w:r>
        <w:rPr>
          <w:b/>
          <w:bCs/>
          <w:color w:val="0D0D0D"/>
        </w:rPr>
        <w:t>Causales de sobreseimiento</w:t>
      </w:r>
    </w:p>
    <w:p w:rsidR="00714D0E" w:rsidRDefault="00714D0E">
      <w:pPr>
        <w:spacing w:after="0" w:line="360" w:lineRule="auto"/>
        <w:rPr>
          <w:color w:val="0D0D0D"/>
        </w:rPr>
      </w:pPr>
    </w:p>
    <w:p w:rsidR="00714D0E" w:rsidRDefault="000B2917">
      <w:pPr>
        <w:spacing w:after="0" w:line="360" w:lineRule="auto"/>
        <w:rPr>
          <w:color w:val="0D0D0D"/>
        </w:rPr>
      </w:pPr>
      <w:r>
        <w:rPr>
          <w:color w:val="0D0D0D"/>
        </w:rPr>
        <w:t>Por ser de previo y especial pronunciamiento, este Instituto analiza si se actualiza alguna causal de sobreseimiento.</w:t>
      </w:r>
    </w:p>
    <w:p w:rsidR="00714D0E" w:rsidRDefault="00714D0E">
      <w:pPr>
        <w:spacing w:after="0" w:line="360" w:lineRule="auto"/>
        <w:rPr>
          <w:color w:val="0D0D0D"/>
        </w:rPr>
      </w:pPr>
    </w:p>
    <w:p w:rsidR="00714D0E" w:rsidRDefault="000B2917">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714D0E" w:rsidRDefault="00714D0E">
      <w:pPr>
        <w:spacing w:after="0" w:line="360" w:lineRule="auto"/>
        <w:rPr>
          <w:color w:val="000000"/>
        </w:rPr>
      </w:pPr>
    </w:p>
    <w:p w:rsidR="00714D0E" w:rsidRDefault="000B2917">
      <w:pPr>
        <w:spacing w:after="0" w:line="360" w:lineRule="auto"/>
        <w:rPr>
          <w:color w:val="0D0D0D"/>
        </w:rPr>
      </w:pPr>
      <w:r>
        <w:rPr>
          <w:color w:val="0D0D0D"/>
        </w:rPr>
        <w:t>Por tales motivos, se considera procedente entrar al fondo del presente asunto.</w:t>
      </w:r>
    </w:p>
    <w:p w:rsidR="00714D0E" w:rsidRDefault="00714D0E">
      <w:pPr>
        <w:spacing w:after="0" w:line="360" w:lineRule="auto"/>
        <w:rPr>
          <w:b/>
          <w:bCs/>
          <w:color w:val="000000"/>
        </w:rPr>
      </w:pPr>
    </w:p>
    <w:p w:rsidR="00714D0E" w:rsidRDefault="000B2917">
      <w:pPr>
        <w:pStyle w:val="Ttulo2"/>
        <w:spacing w:before="0" w:after="0" w:line="360" w:lineRule="auto"/>
        <w:rPr>
          <w:sz w:val="22"/>
          <w:szCs w:val="22"/>
        </w:rPr>
      </w:pPr>
      <w:bookmarkStart w:id="19" w:name="_heading=h.rrsap8ba7ufh" w:colFirst="0" w:colLast="0"/>
      <w:bookmarkStart w:id="20" w:name="_Toc219391383"/>
      <w:bookmarkEnd w:id="19"/>
      <w:r>
        <w:rPr>
          <w:sz w:val="22"/>
          <w:szCs w:val="22"/>
        </w:rPr>
        <w:t>TERCERO. Determinación de la Controversia</w:t>
      </w:r>
      <w:bookmarkEnd w:id="20"/>
    </w:p>
    <w:p w:rsidR="00714D0E" w:rsidRDefault="00714D0E">
      <w:pPr>
        <w:spacing w:after="0" w:line="360" w:lineRule="auto"/>
        <w:rPr>
          <w:b/>
          <w:bCs/>
          <w:color w:val="000000"/>
        </w:rPr>
      </w:pPr>
    </w:p>
    <w:p w:rsidR="00714D0E" w:rsidRDefault="000B2917">
      <w:pPr>
        <w:spacing w:after="0" w:line="360" w:lineRule="auto"/>
      </w:pPr>
      <w:r>
        <w:t>Con el objetivo de ilustrar la controversia planteada, resulta conveniente precisar, que una vez realizado el estudio de las constancias que integran el expediente en el que se actúa, se desprende que el Particular requirió, del Director de Obras Publicas en funciones al veinticuatro de septiembre de dos mil veinticinco, lo siguiente:</w:t>
      </w:r>
    </w:p>
    <w:p w:rsidR="00714D0E" w:rsidRDefault="000B2917">
      <w:pPr>
        <w:numPr>
          <w:ilvl w:val="0"/>
          <w:numId w:val="1"/>
        </w:numPr>
        <w:pBdr>
          <w:top w:val="nil"/>
          <w:left w:val="nil"/>
          <w:bottom w:val="nil"/>
          <w:right w:val="nil"/>
          <w:between w:val="nil"/>
        </w:pBdr>
        <w:spacing w:after="0" w:line="360" w:lineRule="auto"/>
        <w:rPr>
          <w:color w:val="000000"/>
        </w:rPr>
      </w:pPr>
      <w:r>
        <w:rPr>
          <w:color w:val="000000"/>
        </w:rPr>
        <w:t>Título Profesional;</w:t>
      </w:r>
    </w:p>
    <w:p w:rsidR="00714D0E" w:rsidRDefault="000B2917">
      <w:pPr>
        <w:numPr>
          <w:ilvl w:val="0"/>
          <w:numId w:val="1"/>
        </w:numPr>
        <w:pBdr>
          <w:top w:val="nil"/>
          <w:left w:val="nil"/>
          <w:bottom w:val="nil"/>
          <w:right w:val="nil"/>
          <w:between w:val="nil"/>
        </w:pBdr>
        <w:spacing w:after="0" w:line="360" w:lineRule="auto"/>
        <w:rPr>
          <w:color w:val="000000"/>
        </w:rPr>
      </w:pPr>
      <w:r>
        <w:rPr>
          <w:color w:val="000000"/>
        </w:rPr>
        <w:t>Cédula Profesional, y</w:t>
      </w:r>
    </w:p>
    <w:p w:rsidR="00714D0E" w:rsidRDefault="000B2917">
      <w:pPr>
        <w:numPr>
          <w:ilvl w:val="0"/>
          <w:numId w:val="1"/>
        </w:numPr>
        <w:pBdr>
          <w:top w:val="nil"/>
          <w:left w:val="nil"/>
          <w:bottom w:val="nil"/>
          <w:right w:val="nil"/>
          <w:between w:val="nil"/>
        </w:pBdr>
        <w:spacing w:after="0" w:line="360" w:lineRule="auto"/>
        <w:rPr>
          <w:color w:val="000000"/>
        </w:rPr>
      </w:pPr>
      <w:r>
        <w:rPr>
          <w:color w:val="000000"/>
        </w:rPr>
        <w:t>Certificado de Competencia Laboral.</w:t>
      </w:r>
    </w:p>
    <w:p w:rsidR="00714D0E" w:rsidRDefault="00714D0E">
      <w:pPr>
        <w:spacing w:after="0" w:line="360" w:lineRule="auto"/>
      </w:pPr>
    </w:p>
    <w:p w:rsidR="00714D0E" w:rsidRDefault="000B2917">
      <w:pPr>
        <w:spacing w:after="0" w:line="360" w:lineRule="auto"/>
      </w:pPr>
      <w:r>
        <w:rPr>
          <w:color w:val="000000"/>
        </w:rPr>
        <w:lastRenderedPageBreak/>
        <w:t xml:space="preserve">En respuesta, el Sujeto Obligado, través </w:t>
      </w:r>
      <w:r>
        <w:t xml:space="preserve">de la Subdirección de Recursos Humanos, adjuntó la Cédula y </w:t>
      </w:r>
      <w:proofErr w:type="spellStart"/>
      <w:r>
        <w:t>Titulo</w:t>
      </w:r>
      <w:proofErr w:type="spellEnd"/>
      <w:r>
        <w:t xml:space="preserve"> profesional, así como, la Constancia de Certificación de Competencia del Servidor Público, al igual que un cuadro de clasificación</w:t>
      </w:r>
      <w:r>
        <w:rPr>
          <w:color w:val="000000"/>
        </w:rPr>
        <w:t xml:space="preserve">; </w:t>
      </w:r>
      <w:r>
        <w:t xml:space="preserve">ante dicha circunstancia, el Particular se inconformó de la clasificación de la información, al mencionar </w:t>
      </w:r>
      <w:r>
        <w:rPr>
          <w:color w:val="000000"/>
        </w:rPr>
        <w:t>que no se le había entregado el Acuerdo de  clasificación</w:t>
      </w:r>
      <w:r>
        <w:t>, lo cual actualiza la causal de procedencia prevista en la fracción II, del artículo 179 de la Ley de Transparencia y Acceso a la Información Pública del Estado de México y Municipios</w:t>
      </w:r>
      <w:r>
        <w:rPr>
          <w:color w:val="0D0D0D"/>
        </w:rPr>
        <w:t xml:space="preserve">. </w:t>
      </w:r>
    </w:p>
    <w:p w:rsidR="00714D0E" w:rsidRDefault="00714D0E">
      <w:pPr>
        <w:spacing w:after="0" w:line="360" w:lineRule="auto"/>
        <w:rPr>
          <w:color w:val="000000"/>
        </w:rPr>
      </w:pPr>
    </w:p>
    <w:p w:rsidR="00714D0E" w:rsidRDefault="000B2917">
      <w:pPr>
        <w:spacing w:after="0" w:line="360" w:lineRule="auto"/>
        <w:rPr>
          <w:color w:val="000000"/>
        </w:rPr>
      </w:pPr>
      <w:r>
        <w:rPr>
          <w:color w:val="000000"/>
        </w:rPr>
        <w:t xml:space="preserve">Conforme a lo anterior, se logra vislumbrar que </w:t>
      </w:r>
      <w:r>
        <w:t>la persona</w:t>
      </w:r>
      <w:r>
        <w:rPr>
          <w:color w:val="000000"/>
        </w:rPr>
        <w:t xml:space="preserve"> Recurrente no se agravió de la Constancia de Certificación de Competencia Laboral, Titulo y Cedula Profesional, entregado en respuesta, sino de la versión pública entregada; por lo que, no se hará pronunciamiento alguno, respecto a la información entregada,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w:t>
      </w:r>
      <w:r>
        <w:rPr>
          <w:b/>
          <w:bCs/>
          <w:color w:val="000000"/>
        </w:rPr>
        <w:t>los actos que se hayan consentido tácitamente,</w:t>
      </w:r>
      <w:r>
        <w:rPr>
          <w:color w:val="000000"/>
        </w:rPr>
        <w:t> entendiéndose por estos cuando el agravio no se haya promovido en el plazo señalado para el efecto.</w:t>
      </w:r>
    </w:p>
    <w:p w:rsidR="00714D0E" w:rsidRDefault="000B2917">
      <w:pPr>
        <w:spacing w:after="0" w:line="360" w:lineRule="auto"/>
        <w:rPr>
          <w:color w:val="000000"/>
        </w:rPr>
      </w:pPr>
      <w:r>
        <w:rPr>
          <w:color w:val="000000"/>
        </w:rPr>
        <w:t> </w:t>
      </w:r>
    </w:p>
    <w:p w:rsidR="00714D0E" w:rsidRDefault="000B2917">
      <w:pPr>
        <w:spacing w:after="0" w:line="360" w:lineRule="auto"/>
        <w:rPr>
          <w:color w:val="000000"/>
        </w:rPr>
      </w:pPr>
      <w:r>
        <w:rPr>
          <w:color w:val="000000"/>
        </w:rPr>
        <w:t>De la misma manera resulta aplicable el criterio sostenido por el Poder Judicial de la Federación de rubro </w:t>
      </w:r>
      <w:r>
        <w:rPr>
          <w:b/>
          <w:bCs/>
          <w:color w:val="000000"/>
        </w:rPr>
        <w:t>ACTOS CONSENTIDOS TÁCITAMENTE</w:t>
      </w:r>
      <w:r>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714D0E" w:rsidRDefault="000B2917">
      <w:pPr>
        <w:spacing w:after="0" w:line="360" w:lineRule="auto"/>
        <w:rPr>
          <w:color w:val="000000"/>
        </w:rPr>
      </w:pPr>
      <w:r>
        <w:rPr>
          <w:color w:val="000000"/>
        </w:rPr>
        <w:t> </w:t>
      </w:r>
    </w:p>
    <w:p w:rsidR="00714D0E" w:rsidRDefault="000B2917">
      <w:pPr>
        <w:spacing w:after="0" w:line="360" w:lineRule="auto"/>
        <w:rPr>
          <w:color w:val="000000"/>
        </w:rPr>
      </w:pPr>
      <w:r>
        <w:rPr>
          <w:color w:val="000000"/>
        </w:rPr>
        <w:lastRenderedPageBreak/>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rsidR="00714D0E" w:rsidRDefault="00714D0E">
      <w:pPr>
        <w:spacing w:after="0" w:line="360" w:lineRule="auto"/>
        <w:rPr>
          <w:color w:val="000000"/>
        </w:rPr>
      </w:pPr>
    </w:p>
    <w:p w:rsidR="00714D0E" w:rsidRDefault="000B2917">
      <w:pPr>
        <w:spacing w:after="0" w:line="360" w:lineRule="auto"/>
      </w:pPr>
      <w:r>
        <w:rPr>
          <w:color w:val="000000"/>
        </w:rPr>
        <w:t xml:space="preserve"> Asimismo, resulta relevante traer a colación el Criterio Orientador, de la Segunda Época, con número de registro SO/001/2020, emitido por el entonces Instituto Nacional de Transparencia, Acceso a la Información y Protección de Datos Personales vigente a la fecha de la solicitud, el cual establece que es improcedente entrar al análisis de las partes de la respuesta del Sujeto Obligado que no fueron impugnadas por </w:t>
      </w:r>
      <w:r>
        <w:t>la persona</w:t>
      </w:r>
      <w:r>
        <w:rPr>
          <w:color w:val="000000"/>
        </w:rPr>
        <w:t xml:space="preserve"> Recurrente; por lo que, en el presente caso, se tienen por consentida Constancia de Certificación de Competencia Laboral, Titulo y Cedula Profesional y se entrará al análisis de lo faltante. </w:t>
      </w:r>
      <w:r>
        <w:t>Así, las cosas, una vez admitido y notificado el Recurso de Revisión a las partes, el Sujeto Obligado adjuntó el Certificado de Competencia Laboral y refirió remitir dicha acta al mencionar que se aprobaron las versiones públicas mediante acuerdo CT/S18/EXT/AC03/2025.</w:t>
      </w:r>
    </w:p>
    <w:p w:rsidR="00714D0E" w:rsidRDefault="00714D0E">
      <w:pPr>
        <w:spacing w:after="0" w:line="360" w:lineRule="auto"/>
        <w:rPr>
          <w:color w:val="000000"/>
        </w:rPr>
      </w:pPr>
    </w:p>
    <w:p w:rsidR="00714D0E" w:rsidRDefault="000B2917">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entregada,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714D0E" w:rsidRDefault="00714D0E">
      <w:pPr>
        <w:spacing w:after="0" w:line="360" w:lineRule="auto"/>
      </w:pPr>
    </w:p>
    <w:p w:rsidR="00714D0E" w:rsidRDefault="000B2917">
      <w:pPr>
        <w:pStyle w:val="Ttulo2"/>
        <w:spacing w:before="0" w:after="0" w:line="360" w:lineRule="auto"/>
        <w:rPr>
          <w:sz w:val="22"/>
          <w:szCs w:val="22"/>
        </w:rPr>
      </w:pPr>
      <w:bookmarkStart w:id="21" w:name="_heading=h.uj0aix2vrdz" w:colFirst="0" w:colLast="0"/>
      <w:bookmarkStart w:id="22" w:name="_Toc219391384"/>
      <w:bookmarkEnd w:id="21"/>
      <w:r>
        <w:rPr>
          <w:sz w:val="22"/>
          <w:szCs w:val="22"/>
        </w:rPr>
        <w:lastRenderedPageBreak/>
        <w:t>CUARTO. Marco normativo aplicable en materia de transparencia y acceso a la información pública</w:t>
      </w:r>
      <w:bookmarkEnd w:id="22"/>
    </w:p>
    <w:p w:rsidR="00714D0E" w:rsidRDefault="00714D0E">
      <w:pPr>
        <w:spacing w:after="0" w:line="360" w:lineRule="auto"/>
        <w:rPr>
          <w:color w:val="000000"/>
        </w:rPr>
      </w:pPr>
    </w:p>
    <w:p w:rsidR="00714D0E" w:rsidRDefault="000B2917">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714D0E" w:rsidRDefault="00714D0E">
      <w:pPr>
        <w:spacing w:after="0" w:line="360" w:lineRule="auto"/>
        <w:rPr>
          <w:color w:val="000000"/>
        </w:rPr>
      </w:pPr>
    </w:p>
    <w:p w:rsidR="00714D0E" w:rsidRDefault="000B2917">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14D0E" w:rsidRDefault="00714D0E">
      <w:pPr>
        <w:spacing w:after="0" w:line="360" w:lineRule="auto"/>
        <w:rPr>
          <w:color w:val="000000"/>
        </w:rPr>
      </w:pPr>
    </w:p>
    <w:p w:rsidR="00714D0E" w:rsidRDefault="000B2917">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714D0E" w:rsidRDefault="00714D0E">
      <w:pPr>
        <w:spacing w:after="0" w:line="360" w:lineRule="auto"/>
        <w:rPr>
          <w:color w:val="000000"/>
        </w:rPr>
      </w:pPr>
    </w:p>
    <w:p w:rsidR="00714D0E" w:rsidRDefault="000B2917">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714D0E" w:rsidRDefault="00714D0E">
      <w:pPr>
        <w:spacing w:after="0" w:line="360" w:lineRule="auto"/>
        <w:rPr>
          <w:color w:val="000000"/>
        </w:rPr>
      </w:pPr>
    </w:p>
    <w:p w:rsidR="00714D0E" w:rsidRDefault="000B2917">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714D0E" w:rsidRDefault="00714D0E">
      <w:pPr>
        <w:widowControl w:val="0"/>
        <w:spacing w:after="0" w:line="360" w:lineRule="auto"/>
        <w:rPr>
          <w:color w:val="000000"/>
        </w:rPr>
      </w:pPr>
    </w:p>
    <w:p w:rsidR="00714D0E" w:rsidRDefault="000B2917">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14D0E" w:rsidRDefault="00714D0E">
      <w:pPr>
        <w:spacing w:after="0" w:line="360" w:lineRule="auto"/>
      </w:pPr>
    </w:p>
    <w:p w:rsidR="00714D0E" w:rsidRDefault="000B2917">
      <w:pPr>
        <w:pStyle w:val="Ttulo2"/>
        <w:spacing w:before="0" w:after="0" w:line="360" w:lineRule="auto"/>
        <w:rPr>
          <w:sz w:val="22"/>
          <w:szCs w:val="22"/>
        </w:rPr>
      </w:pPr>
      <w:bookmarkStart w:id="23" w:name="_heading=h.bnnlj2qzfcxu" w:colFirst="0" w:colLast="0"/>
      <w:bookmarkStart w:id="24" w:name="_Toc219391385"/>
      <w:bookmarkEnd w:id="23"/>
      <w:r>
        <w:rPr>
          <w:sz w:val="22"/>
          <w:szCs w:val="22"/>
        </w:rPr>
        <w:t>QUINTO. Estudio de Fondo</w:t>
      </w:r>
      <w:bookmarkEnd w:id="24"/>
    </w:p>
    <w:p w:rsidR="00714D0E" w:rsidRDefault="00714D0E">
      <w:pPr>
        <w:spacing w:after="0" w:line="360" w:lineRule="auto"/>
        <w:rPr>
          <w:b/>
          <w:bCs/>
          <w:color w:val="000000"/>
        </w:rPr>
      </w:pPr>
    </w:p>
    <w:p w:rsidR="00714D0E" w:rsidRDefault="000B2917">
      <w:pPr>
        <w:spacing w:after="0" w:line="360" w:lineRule="auto"/>
        <w:rPr>
          <w:color w:val="000000"/>
        </w:rPr>
      </w:pPr>
      <w:r>
        <w:rPr>
          <w:color w:val="0D0D0D"/>
        </w:rPr>
        <w:t>Una vez establecido lo anterior, se procede analizar el agravio hecho valer por el ahora Recurrente, referente a la falta de del Acuerdo de Clasificación de los datos testados en los documentos entregados en respuesta</w:t>
      </w:r>
      <w:r>
        <w:rPr>
          <w:color w:val="000000"/>
        </w:rPr>
        <w:t>.</w:t>
      </w:r>
    </w:p>
    <w:p w:rsidR="00714D0E" w:rsidRDefault="00714D0E">
      <w:pPr>
        <w:spacing w:after="0" w:line="360" w:lineRule="auto"/>
        <w:rPr>
          <w:color w:val="000000"/>
        </w:rPr>
      </w:pPr>
    </w:p>
    <w:p w:rsidR="00714D0E" w:rsidRDefault="000B2917">
      <w:pPr>
        <w:spacing w:after="0" w:line="360" w:lineRule="auto"/>
        <w:rPr>
          <w:b/>
          <w:bCs/>
          <w:color w:val="0D0D0D"/>
        </w:rPr>
      </w:pPr>
      <w:r>
        <w:rPr>
          <w:color w:val="0D0D0D"/>
        </w:rPr>
        <w:t xml:space="preserve">Al respecto, cabe precisar, que conforme al artículo 20 de la Ley de Transparencia y Acceso a la Información Pública del Estado de México y Municipios, </w:t>
      </w:r>
      <w:r>
        <w:rPr>
          <w:b/>
          <w:bCs/>
          <w:color w:val="0D0D0D"/>
        </w:rPr>
        <w:t>ante la negativa de acceso a la información o su inexistencia, el sujeto obligado deberá demostrar que encuentra en alguna de las excepciones establecidas en la normatividad aplicable.</w:t>
      </w:r>
    </w:p>
    <w:p w:rsidR="00714D0E" w:rsidRDefault="00714D0E">
      <w:pPr>
        <w:spacing w:after="0" w:line="360" w:lineRule="auto"/>
        <w:rPr>
          <w:color w:val="0D0D0D"/>
        </w:rPr>
      </w:pPr>
    </w:p>
    <w:p w:rsidR="00714D0E" w:rsidRDefault="000B2917">
      <w:pPr>
        <w:spacing w:after="0" w:line="360" w:lineRule="auto"/>
        <w:rPr>
          <w:color w:val="0D0D0D"/>
        </w:rPr>
      </w:pPr>
      <w:r>
        <w:rPr>
          <w:color w:val="0D0D0D"/>
        </w:rPr>
        <w:t xml:space="preserve">En ese sentido, según Trujillo, Humberto (2019), en el “Diccionario de Transparencia y Acceso a la Información Pública” (p. 201), </w:t>
      </w:r>
      <w:r>
        <w:rPr>
          <w:b/>
          <w:bCs/>
          <w:color w:val="0D0D0D"/>
        </w:rPr>
        <w:t xml:space="preserve">la negativa de acceso a la información </w:t>
      </w:r>
      <w:r>
        <w:rPr>
          <w:color w:val="0D0D0D"/>
        </w:rPr>
        <w:t xml:space="preserve">ocurre cuanto de manera fundada y motivada, una autoridad la niega o la limita, por alguna de las siguientes razones: </w:t>
      </w:r>
    </w:p>
    <w:p w:rsidR="00714D0E" w:rsidRDefault="00714D0E">
      <w:pPr>
        <w:spacing w:after="0" w:line="360" w:lineRule="auto"/>
        <w:rPr>
          <w:color w:val="0D0D0D"/>
          <w:highlight w:val="yellow"/>
        </w:rPr>
      </w:pPr>
    </w:p>
    <w:p w:rsidR="00714D0E" w:rsidRDefault="000B2917">
      <w:pPr>
        <w:numPr>
          <w:ilvl w:val="0"/>
          <w:numId w:val="2"/>
        </w:numPr>
        <w:pBdr>
          <w:top w:val="nil"/>
          <w:left w:val="nil"/>
          <w:bottom w:val="nil"/>
          <w:right w:val="nil"/>
          <w:between w:val="nil"/>
        </w:pBdr>
        <w:spacing w:after="0" w:line="360" w:lineRule="auto"/>
        <w:rPr>
          <w:b/>
          <w:bCs/>
          <w:color w:val="0D0D0D"/>
        </w:rPr>
      </w:pPr>
      <w:r>
        <w:rPr>
          <w:b/>
          <w:bCs/>
          <w:color w:val="0D0D0D"/>
        </w:rPr>
        <w:t xml:space="preserve">La inexistencia de la información (p. 171): </w:t>
      </w:r>
      <w:r>
        <w:rPr>
          <w:color w:val="0D0D0D"/>
        </w:rPr>
        <w:t>Sucede cuando la información solicitada no se encuentra en los archivos públicos o clasificados de los entes sujetos a las Leyes de Transparencia.</w:t>
      </w:r>
    </w:p>
    <w:p w:rsidR="00714D0E" w:rsidRDefault="00714D0E">
      <w:pPr>
        <w:pBdr>
          <w:top w:val="nil"/>
          <w:left w:val="nil"/>
          <w:bottom w:val="nil"/>
          <w:right w:val="nil"/>
          <w:between w:val="nil"/>
        </w:pBdr>
        <w:spacing w:after="0" w:line="360" w:lineRule="auto"/>
        <w:ind w:left="720"/>
        <w:rPr>
          <w:b/>
          <w:bCs/>
          <w:color w:val="0D0D0D"/>
        </w:rPr>
      </w:pPr>
    </w:p>
    <w:p w:rsidR="00714D0E" w:rsidRDefault="000B2917">
      <w:pPr>
        <w:numPr>
          <w:ilvl w:val="0"/>
          <w:numId w:val="2"/>
        </w:numPr>
        <w:pBdr>
          <w:top w:val="nil"/>
          <w:left w:val="nil"/>
          <w:bottom w:val="nil"/>
          <w:right w:val="nil"/>
          <w:between w:val="nil"/>
        </w:pBdr>
        <w:spacing w:after="0" w:line="360" w:lineRule="auto"/>
        <w:rPr>
          <w:b/>
          <w:bCs/>
          <w:color w:val="0D0D0D"/>
        </w:rPr>
      </w:pPr>
      <w:r>
        <w:rPr>
          <w:b/>
          <w:bCs/>
          <w:color w:val="0D0D0D"/>
        </w:rPr>
        <w:t xml:space="preserve">La incompetencia del Sujeto Obligado (p. 171): </w:t>
      </w:r>
      <w:r>
        <w:rPr>
          <w:color w:val="0D0D0D"/>
        </w:rPr>
        <w:t>Ocurre cuando el Sujeto Obligado carece de atribuciones para poseer la información peticionada.</w:t>
      </w:r>
    </w:p>
    <w:p w:rsidR="00714D0E" w:rsidRDefault="00714D0E">
      <w:pPr>
        <w:pBdr>
          <w:top w:val="nil"/>
          <w:left w:val="nil"/>
          <w:bottom w:val="nil"/>
          <w:right w:val="nil"/>
          <w:between w:val="nil"/>
        </w:pBdr>
        <w:spacing w:after="0" w:line="360" w:lineRule="auto"/>
        <w:ind w:left="720"/>
        <w:rPr>
          <w:b/>
          <w:bCs/>
          <w:color w:val="0D0D0D"/>
        </w:rPr>
      </w:pPr>
    </w:p>
    <w:p w:rsidR="00714D0E" w:rsidRDefault="000B2917">
      <w:pPr>
        <w:numPr>
          <w:ilvl w:val="0"/>
          <w:numId w:val="2"/>
        </w:numPr>
        <w:pBdr>
          <w:top w:val="nil"/>
          <w:left w:val="nil"/>
          <w:bottom w:val="nil"/>
          <w:right w:val="nil"/>
          <w:between w:val="nil"/>
        </w:pBdr>
        <w:spacing w:after="0" w:line="360" w:lineRule="auto"/>
        <w:rPr>
          <w:b/>
          <w:bCs/>
          <w:color w:val="0D0D0D"/>
        </w:rPr>
      </w:pPr>
      <w:r>
        <w:rPr>
          <w:b/>
          <w:bCs/>
          <w:color w:val="0D0D0D"/>
        </w:rPr>
        <w:t xml:space="preserve">La clasificación de la información (p. 70): </w:t>
      </w:r>
      <w:r>
        <w:rPr>
          <w:color w:val="0D0D0D"/>
        </w:rPr>
        <w:t xml:space="preserve">Es el proceso o conjunto de acciones que realizan los sujetos obligados para establecer que determinada información se </w:t>
      </w:r>
      <w:r>
        <w:rPr>
          <w:color w:val="0D0D0D"/>
        </w:rPr>
        <w:lastRenderedPageBreak/>
        <w:t>encuentra en alguno de los supuestos de reserva o confidencialidad establecidos en la legislación en materia de transparencia.</w:t>
      </w:r>
    </w:p>
    <w:p w:rsidR="00714D0E" w:rsidRDefault="00714D0E">
      <w:pPr>
        <w:spacing w:after="0" w:line="360" w:lineRule="auto"/>
        <w:rPr>
          <w:color w:val="0D0D0D"/>
          <w:highlight w:val="yellow"/>
        </w:rPr>
      </w:pPr>
    </w:p>
    <w:p w:rsidR="00714D0E" w:rsidRDefault="000B2917">
      <w:pPr>
        <w:spacing w:after="0" w:line="360" w:lineRule="auto"/>
        <w:rPr>
          <w:b/>
          <w:bCs/>
          <w:color w:val="0D0D0D"/>
        </w:rPr>
      </w:pPr>
      <w:r>
        <w:rPr>
          <w:color w:val="0D0D0D"/>
        </w:rPr>
        <w:t xml:space="preserve">En ese orden de ideas y en atención a lo anterior, es de señalar que las excepciones al derecho de acceso a la información, consisten en que la documentación sea inexistente, </w:t>
      </w:r>
      <w:r>
        <w:rPr>
          <w:b/>
          <w:bCs/>
          <w:color w:val="0D0D0D"/>
        </w:rPr>
        <w:t>se encuentre clasificada</w:t>
      </w:r>
      <w:r>
        <w:rPr>
          <w:color w:val="0D0D0D"/>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Pr>
          <w:b/>
          <w:bCs/>
          <w:color w:val="0D0D0D"/>
        </w:rPr>
        <w:t>confidenciales o reservados.</w:t>
      </w:r>
    </w:p>
    <w:p w:rsidR="00714D0E" w:rsidRDefault="00714D0E">
      <w:pPr>
        <w:spacing w:after="0" w:line="360" w:lineRule="auto"/>
        <w:rPr>
          <w:color w:val="0D0D0D"/>
          <w:highlight w:val="yellow"/>
        </w:rPr>
      </w:pPr>
    </w:p>
    <w:p w:rsidR="00714D0E" w:rsidRDefault="000B2917">
      <w:pPr>
        <w:spacing w:after="0" w:line="360" w:lineRule="auto"/>
        <w:rPr>
          <w:color w:val="0D0D0D"/>
        </w:rPr>
      </w:pPr>
      <w:r>
        <w:rPr>
          <w:color w:val="0D0D0D"/>
        </w:rPr>
        <w:t xml:space="preserve">Así, en los artículos 122, 128 y 130 de la Ley Transparencia y Acceso a la Información Pública del Estado de México y Municipios, se prevé que </w:t>
      </w:r>
      <w:r>
        <w:rPr>
          <w:b/>
          <w:bCs/>
          <w:color w:val="0D0D0D"/>
        </w:rPr>
        <w:t xml:space="preserve">la clasificación </w:t>
      </w:r>
      <w:r>
        <w:rPr>
          <w:color w:val="0D0D0D"/>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714D0E" w:rsidRDefault="00714D0E">
      <w:pPr>
        <w:spacing w:after="0" w:line="360" w:lineRule="auto"/>
        <w:rPr>
          <w:color w:val="0D0D0D"/>
          <w:highlight w:val="yellow"/>
        </w:rPr>
      </w:pPr>
    </w:p>
    <w:p w:rsidR="00714D0E" w:rsidRDefault="000B2917">
      <w:pPr>
        <w:spacing w:after="0" w:line="360" w:lineRule="auto"/>
        <w:rPr>
          <w:color w:val="0D0D0D"/>
        </w:rPr>
      </w:pPr>
      <w:r>
        <w:rPr>
          <w:color w:val="0D0D0D"/>
        </w:rPr>
        <w:t xml:space="preserve">Por lo cual, en los casos en que se niegue el acceso a la información, por actualizarse alguno de los supuestos de clasificación, </w:t>
      </w:r>
      <w:r>
        <w:rPr>
          <w:b/>
          <w:bCs/>
          <w:color w:val="0D0D0D"/>
        </w:rPr>
        <w:t xml:space="preserve">el Comité de Transparencia deberá confirmar, modificar o revocar la decisión; </w:t>
      </w:r>
      <w:r>
        <w:rPr>
          <w:color w:val="0D0D0D"/>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714D0E" w:rsidRDefault="00714D0E">
      <w:pPr>
        <w:spacing w:after="0" w:line="360" w:lineRule="auto"/>
        <w:rPr>
          <w:color w:val="0D0D0D"/>
        </w:rPr>
      </w:pPr>
    </w:p>
    <w:p w:rsidR="00714D0E" w:rsidRDefault="000B2917">
      <w:pPr>
        <w:spacing w:after="0" w:line="360" w:lineRule="auto"/>
        <w:rPr>
          <w:b/>
          <w:bCs/>
          <w:color w:val="0D0D0D"/>
        </w:rPr>
      </w:pPr>
      <w:r>
        <w:rPr>
          <w:color w:val="0D0D0D"/>
        </w:rPr>
        <w:t xml:space="preserve">Por su parte, según </w:t>
      </w:r>
      <w:proofErr w:type="spellStart"/>
      <w:r>
        <w:rPr>
          <w:color w:val="0D0D0D"/>
        </w:rPr>
        <w:t>Bonifaz</w:t>
      </w:r>
      <w:proofErr w:type="spellEnd"/>
      <w:r>
        <w:rPr>
          <w:color w:val="0D0D0D"/>
        </w:rPr>
        <w:t xml:space="preserve">, Leticia (2016), en la “Ley General de Transparencia y Acceso a la Información Pública Comentada” (p. 342), la </w:t>
      </w:r>
      <w:r>
        <w:rPr>
          <w:b/>
          <w:bCs/>
          <w:color w:val="0D0D0D"/>
        </w:rPr>
        <w:t>clasificación de la información</w:t>
      </w:r>
      <w:r>
        <w:rPr>
          <w:color w:val="0D0D0D"/>
        </w:rPr>
        <w:t xml:space="preserve">, ocurre cuando la autoridad niega el acceso a esta, por ser confidencial o reservada, para lo cual, los </w:t>
      </w:r>
      <w:r>
        <w:rPr>
          <w:color w:val="0D0D0D"/>
        </w:rPr>
        <w:lastRenderedPageBreak/>
        <w:t xml:space="preserve">sujetos obligados, deberán realizar el proceso de clasificación, a la luz de los principios y disposiciones establecidas en las Leyes de Transparencia, fundando y motivando, </w:t>
      </w:r>
      <w:r>
        <w:rPr>
          <w:b/>
          <w:bCs/>
          <w:color w:val="0D0D0D"/>
        </w:rPr>
        <w:t>de manera adecuada la negativa de información.</w:t>
      </w:r>
    </w:p>
    <w:p w:rsidR="00714D0E" w:rsidRDefault="00714D0E">
      <w:pPr>
        <w:spacing w:after="0" w:line="360" w:lineRule="auto"/>
        <w:rPr>
          <w:color w:val="0D0D0D"/>
        </w:rPr>
      </w:pPr>
    </w:p>
    <w:p w:rsidR="00714D0E" w:rsidRDefault="000B2917">
      <w:pPr>
        <w:spacing w:after="0" w:line="360" w:lineRule="auto"/>
        <w:rPr>
          <w:color w:val="0D0D0D"/>
        </w:rPr>
      </w:pPr>
      <w:r>
        <w:rPr>
          <w:color w:val="0D0D0D"/>
        </w:rPr>
        <w:t>Al respecto, el Criterio de Interpretación, con clave de control SO/029/2010, de la Primera Época, emitido por el Pleno del entonces Instituto Federal de Acceso a la Información y Protección de Datos, precisa lo siguiente:</w:t>
      </w:r>
    </w:p>
    <w:p w:rsidR="00714D0E" w:rsidRDefault="00714D0E">
      <w:pPr>
        <w:spacing w:after="0" w:line="360" w:lineRule="auto"/>
        <w:rPr>
          <w:color w:val="0D0D0D"/>
        </w:rPr>
      </w:pPr>
    </w:p>
    <w:p w:rsidR="00714D0E" w:rsidRDefault="000B2917">
      <w:pPr>
        <w:spacing w:after="0" w:line="360" w:lineRule="auto"/>
        <w:ind w:left="567" w:right="567"/>
        <w:rPr>
          <w:i/>
          <w:iCs/>
          <w:color w:val="0D0D0D"/>
          <w:sz w:val="21"/>
          <w:szCs w:val="21"/>
        </w:rPr>
      </w:pPr>
      <w:r>
        <w:rPr>
          <w:b/>
          <w:bCs/>
          <w:i/>
          <w:iCs/>
          <w:color w:val="0D0D0D"/>
          <w:sz w:val="21"/>
          <w:szCs w:val="21"/>
        </w:rPr>
        <w:t>“La clasificación y la inexistencia de información son conceptos que no pueden coexistir.</w:t>
      </w:r>
      <w:r>
        <w:rPr>
          <w:i/>
          <w:iCs/>
          <w:color w:val="0D0D0D"/>
          <w:sz w:val="21"/>
          <w:szCs w:val="21"/>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00714D0E" w:rsidRDefault="000B2917">
      <w:pPr>
        <w:spacing w:after="0" w:line="360" w:lineRule="auto"/>
        <w:rPr>
          <w:color w:val="0D0D0D"/>
        </w:rPr>
      </w:pPr>
      <w:r>
        <w:rPr>
          <w:color w:val="0D0D0D"/>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rsidR="00714D0E" w:rsidRDefault="00714D0E">
      <w:pPr>
        <w:spacing w:after="0" w:line="360" w:lineRule="auto"/>
        <w:rPr>
          <w:color w:val="0D0D0D"/>
        </w:rPr>
      </w:pPr>
    </w:p>
    <w:p w:rsidR="00714D0E" w:rsidRDefault="000B2917">
      <w:pPr>
        <w:spacing w:after="0" w:line="360" w:lineRule="auto"/>
        <w:rPr>
          <w:b/>
          <w:bCs/>
          <w:color w:val="0D0D0D"/>
        </w:rPr>
      </w:pPr>
      <w:r>
        <w:rPr>
          <w:color w:val="0D0D0D"/>
        </w:rPr>
        <w:lastRenderedPageBreak/>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Pr>
          <w:b/>
          <w:bCs/>
          <w:color w:val="0D0D0D"/>
        </w:rPr>
        <w:t>análisis caso por caso.</w:t>
      </w:r>
    </w:p>
    <w:p w:rsidR="00714D0E" w:rsidRDefault="00714D0E">
      <w:pPr>
        <w:spacing w:after="0" w:line="360" w:lineRule="auto"/>
        <w:rPr>
          <w:b/>
          <w:bCs/>
          <w:color w:val="0D0D0D"/>
        </w:rPr>
      </w:pPr>
    </w:p>
    <w:p w:rsidR="00714D0E" w:rsidRDefault="000B2917">
      <w:pPr>
        <w:spacing w:after="0" w:line="360" w:lineRule="auto"/>
        <w:rPr>
          <w:color w:val="0D0D0D"/>
        </w:rPr>
      </w:pPr>
      <w:r>
        <w:rPr>
          <w:color w:val="0D0D0D"/>
        </w:rPr>
        <w:t xml:space="preserve">Además, el artículo 131 de la Ley referida, así como el Quinto de los Lineamientos Generales, establecen que </w:t>
      </w:r>
      <w:r>
        <w:rPr>
          <w:color w:val="0D0D0D"/>
          <w:u w:val="single"/>
        </w:rPr>
        <w:t xml:space="preserve">los sujetos obligados </w:t>
      </w:r>
      <w:r>
        <w:rPr>
          <w:b/>
          <w:bCs/>
          <w:color w:val="0D0D0D"/>
          <w:u w:val="single"/>
        </w:rPr>
        <w:t>deberán fundar y motivar</w:t>
      </w:r>
      <w:r>
        <w:rPr>
          <w:color w:val="0D0D0D"/>
        </w:rPr>
        <w:t xml:space="preserve"> debidamente la clasificación de la información.</w:t>
      </w:r>
    </w:p>
    <w:p w:rsidR="00714D0E" w:rsidRDefault="00714D0E">
      <w:pPr>
        <w:spacing w:after="0" w:line="360" w:lineRule="auto"/>
        <w:rPr>
          <w:b/>
          <w:bCs/>
          <w:color w:val="0D0D0D"/>
        </w:rPr>
      </w:pPr>
    </w:p>
    <w:p w:rsidR="00714D0E" w:rsidRDefault="000B2917">
      <w:pPr>
        <w:spacing w:after="0" w:line="360" w:lineRule="auto"/>
        <w:rPr>
          <w:color w:val="0D0D0D"/>
        </w:rPr>
      </w:pPr>
      <w:r>
        <w:rPr>
          <w:color w:val="0D0D0D"/>
        </w:rPr>
        <w:t>Al respecto, el Octavo de los Lineamientos Generales, precisa lo siguiente:</w:t>
      </w:r>
    </w:p>
    <w:p w:rsidR="00714D0E" w:rsidRDefault="00714D0E">
      <w:pPr>
        <w:spacing w:after="0" w:line="360" w:lineRule="auto"/>
        <w:rPr>
          <w:color w:val="0D0D0D"/>
        </w:rPr>
      </w:pPr>
    </w:p>
    <w:p w:rsidR="00714D0E" w:rsidRDefault="000B2917">
      <w:pPr>
        <w:numPr>
          <w:ilvl w:val="0"/>
          <w:numId w:val="8"/>
        </w:numPr>
        <w:spacing w:after="0" w:line="360" w:lineRule="auto"/>
        <w:rPr>
          <w:color w:val="0D0D0D"/>
        </w:rPr>
      </w:pPr>
      <w:r>
        <w:rPr>
          <w:b/>
          <w:bCs/>
          <w:color w:val="0D0D0D"/>
        </w:rPr>
        <w:t>Para fundar la clasificación</w:t>
      </w:r>
      <w:r>
        <w:rPr>
          <w:color w:val="0D0D0D"/>
        </w:rPr>
        <w:t xml:space="preserve"> de la información se deberán señalar el artículo, fracción, inciso, párrafo o numeral de la Ley aplicable;</w:t>
      </w:r>
    </w:p>
    <w:p w:rsidR="00714D0E" w:rsidRDefault="00714D0E">
      <w:pPr>
        <w:spacing w:after="0" w:line="360" w:lineRule="auto"/>
        <w:rPr>
          <w:color w:val="0D0D0D"/>
        </w:rPr>
      </w:pPr>
    </w:p>
    <w:p w:rsidR="00714D0E" w:rsidRDefault="000B2917">
      <w:pPr>
        <w:numPr>
          <w:ilvl w:val="0"/>
          <w:numId w:val="8"/>
        </w:numPr>
        <w:spacing w:after="0" w:line="360" w:lineRule="auto"/>
        <w:rPr>
          <w:color w:val="0D0D0D"/>
        </w:rPr>
      </w:pPr>
      <w:r>
        <w:rPr>
          <w:b/>
          <w:bCs/>
          <w:color w:val="0D0D0D"/>
        </w:rPr>
        <w:t>Para motivar la clasificación</w:t>
      </w:r>
      <w:r>
        <w:rPr>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714D0E" w:rsidRDefault="000B2917">
      <w:pPr>
        <w:spacing w:after="0" w:line="360" w:lineRule="auto"/>
        <w:rPr>
          <w:color w:val="0D0D0D"/>
        </w:rPr>
      </w:pPr>
      <w:r>
        <w:rPr>
          <w:color w:val="0D0D0D"/>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w:t>
      </w:r>
      <w:r>
        <w:rPr>
          <w:color w:val="0D0D0D"/>
        </w:rPr>
        <w:lastRenderedPageBreak/>
        <w:t>Época, publicada en el Semanario Judicial de la Federación, Tomo XIV, noviembre de mil novecientos noventa y cuatro, (p. 450), que establece lo siguiente:</w:t>
      </w:r>
    </w:p>
    <w:p w:rsidR="00714D0E" w:rsidRDefault="00714D0E">
      <w:pPr>
        <w:spacing w:after="0" w:line="360" w:lineRule="auto"/>
        <w:rPr>
          <w:color w:val="0D0D0D"/>
        </w:rPr>
      </w:pPr>
    </w:p>
    <w:p w:rsidR="00714D0E" w:rsidRDefault="000B2917">
      <w:pPr>
        <w:spacing w:after="0" w:line="360" w:lineRule="auto"/>
        <w:ind w:left="567" w:right="567"/>
        <w:rPr>
          <w:i/>
          <w:iCs/>
          <w:color w:val="0D0D0D"/>
          <w:sz w:val="20"/>
          <w:szCs w:val="20"/>
        </w:rPr>
      </w:pPr>
      <w:r>
        <w:rPr>
          <w:b/>
          <w:bCs/>
          <w:i/>
          <w:iCs/>
          <w:color w:val="0D0D0D"/>
          <w:sz w:val="20"/>
          <w:szCs w:val="20"/>
        </w:rPr>
        <w:t xml:space="preserve">“FUNDAMENTACION Y MOTIVACION, CONCEPTO DE. </w:t>
      </w:r>
      <w:r>
        <w:rPr>
          <w:i/>
          <w:iCs/>
          <w:color w:val="0D0D0D"/>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714D0E" w:rsidRDefault="00714D0E">
      <w:pPr>
        <w:spacing w:after="0" w:line="360" w:lineRule="auto"/>
        <w:rPr>
          <w:color w:val="0D0D0D"/>
        </w:rPr>
      </w:pPr>
    </w:p>
    <w:p w:rsidR="00714D0E" w:rsidRDefault="000B2917">
      <w:pPr>
        <w:spacing w:after="0" w:line="360" w:lineRule="auto"/>
        <w:rPr>
          <w:color w:val="0D0D0D"/>
        </w:rPr>
      </w:pPr>
      <w:r>
        <w:rPr>
          <w:color w:val="0D0D0D"/>
        </w:rPr>
        <w:t>Conforme a lo anterior, se advierte lo siguiente:</w:t>
      </w:r>
    </w:p>
    <w:p w:rsidR="00714D0E" w:rsidRDefault="00714D0E">
      <w:pPr>
        <w:spacing w:after="0" w:line="360" w:lineRule="auto"/>
        <w:rPr>
          <w:color w:val="0D0D0D"/>
        </w:rPr>
      </w:pPr>
    </w:p>
    <w:p w:rsidR="00714D0E" w:rsidRDefault="000B2917">
      <w:pPr>
        <w:numPr>
          <w:ilvl w:val="0"/>
          <w:numId w:val="9"/>
        </w:numPr>
        <w:spacing w:after="0" w:line="360" w:lineRule="auto"/>
        <w:rPr>
          <w:b/>
          <w:bCs/>
          <w:color w:val="0D0D0D"/>
        </w:rPr>
      </w:pPr>
      <w:r>
        <w:rPr>
          <w:b/>
          <w:bCs/>
          <w:color w:val="0D0D0D"/>
        </w:rPr>
        <w:t xml:space="preserve">Fundamentación: </w:t>
      </w:r>
      <w:r>
        <w:rPr>
          <w:color w:val="0D0D0D"/>
        </w:rPr>
        <w:t>Obligación de la autoridad que emite un acto, para citar los preceptos legales, sustantivos y adjetivos, en que se apoye para la determinación tomada.</w:t>
      </w:r>
    </w:p>
    <w:p w:rsidR="00714D0E" w:rsidRDefault="00714D0E">
      <w:pPr>
        <w:spacing w:after="0" w:line="360" w:lineRule="auto"/>
        <w:ind w:left="720"/>
        <w:rPr>
          <w:b/>
          <w:bCs/>
          <w:color w:val="0D0D0D"/>
        </w:rPr>
      </w:pPr>
    </w:p>
    <w:p w:rsidR="00714D0E" w:rsidRDefault="000B2917">
      <w:pPr>
        <w:numPr>
          <w:ilvl w:val="0"/>
          <w:numId w:val="9"/>
        </w:numPr>
        <w:spacing w:after="0" w:line="360" w:lineRule="auto"/>
        <w:rPr>
          <w:b/>
          <w:bCs/>
          <w:color w:val="0D0D0D"/>
        </w:rPr>
      </w:pPr>
      <w:r>
        <w:rPr>
          <w:b/>
          <w:bCs/>
          <w:color w:val="0D0D0D"/>
        </w:rPr>
        <w:t xml:space="preserve">Motivación: </w:t>
      </w:r>
      <w:r>
        <w:rPr>
          <w:color w:val="0D0D0D"/>
        </w:rPr>
        <w:t>Razonamientos lógico-jurídicos sobre porque se consideró en el caso en concreto, que se ajusta a la hipótesis normativa.</w:t>
      </w:r>
    </w:p>
    <w:p w:rsidR="00714D0E" w:rsidRDefault="00714D0E">
      <w:pPr>
        <w:spacing w:after="0" w:line="360" w:lineRule="auto"/>
        <w:rPr>
          <w:color w:val="0D0D0D"/>
        </w:rPr>
      </w:pPr>
    </w:p>
    <w:p w:rsidR="00714D0E" w:rsidRDefault="000B2917">
      <w:pPr>
        <w:spacing w:after="0" w:line="360" w:lineRule="auto"/>
      </w:pPr>
      <w: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rsidR="00714D0E" w:rsidRDefault="00714D0E">
      <w:pPr>
        <w:spacing w:after="0" w:line="360" w:lineRule="auto"/>
        <w:rPr>
          <w:color w:val="0D0D0D"/>
        </w:rPr>
      </w:pPr>
    </w:p>
    <w:p w:rsidR="00714D0E" w:rsidRDefault="000B2917">
      <w:pPr>
        <w:spacing w:after="0" w:line="360" w:lineRule="auto"/>
        <w:rPr>
          <w:color w:val="0D0D0D"/>
        </w:rPr>
      </w:pPr>
      <w:r>
        <w:rPr>
          <w:color w:val="0D0D0D"/>
        </w:rPr>
        <w:t xml:space="preserve">Conforme a lo anterior, se logra vislumbrar que el Sujeto Obligado no fundamentó, ni motivó la clasificación de los datos testados en la cédula profesional, al no proporcionar el Acuerdo </w:t>
      </w:r>
      <w:r>
        <w:rPr>
          <w:color w:val="0D0D0D"/>
        </w:rPr>
        <w:lastRenderedPageBreak/>
        <w:t xml:space="preserve">emitido por el Comité de Transparencia, en donde confirmará la clasificación de la información, lo cual da como resultado que el agravio sea </w:t>
      </w:r>
      <w:r>
        <w:rPr>
          <w:b/>
          <w:bCs/>
          <w:color w:val="0D0D0D"/>
        </w:rPr>
        <w:t xml:space="preserve">FUNDADO </w:t>
      </w:r>
      <w:r>
        <w:rPr>
          <w:color w:val="0D0D0D"/>
        </w:rPr>
        <w:t>y por tal circunstancia, es necesario analizar si el datos testado, a saber, la Clave Única de Registro de Población es de índole pública o privada.</w:t>
      </w:r>
    </w:p>
    <w:p w:rsidR="00714D0E" w:rsidRDefault="00714D0E">
      <w:pPr>
        <w:spacing w:after="0" w:line="360" w:lineRule="auto"/>
        <w:rPr>
          <w:color w:val="0D0D0D"/>
        </w:rPr>
      </w:pPr>
    </w:p>
    <w:p w:rsidR="00714D0E" w:rsidRDefault="000B2917">
      <w:pPr>
        <w:spacing w:after="0" w:line="360" w:lineRule="auto"/>
      </w:pPr>
      <w:r>
        <w:t>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rsidR="00714D0E" w:rsidRDefault="00714D0E">
      <w:pPr>
        <w:spacing w:after="0" w:line="360" w:lineRule="auto"/>
      </w:pPr>
    </w:p>
    <w:p w:rsidR="00714D0E" w:rsidRDefault="000B2917">
      <w:pPr>
        <w:spacing w:after="0" w:line="360" w:lineRule="auto"/>
      </w:pPr>
      <w:r>
        <w:t>Asimismo, el artículo 145 de la Ley referida,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714D0E" w:rsidRDefault="00714D0E">
      <w:pPr>
        <w:spacing w:after="0" w:line="360" w:lineRule="auto"/>
      </w:pPr>
    </w:p>
    <w:p w:rsidR="00714D0E" w:rsidRDefault="000B2917">
      <w:pPr>
        <w:spacing w:after="0" w:line="360" w:lineRule="auto"/>
      </w:pPr>
      <w:r>
        <w:t>En términos de lo expuesto, la documentación y aquellos datos que se consideren confidenciales, serán una limitante del derecho de acceso a la información, siempre y cuando:</w:t>
      </w:r>
    </w:p>
    <w:p w:rsidR="00714D0E" w:rsidRDefault="00714D0E">
      <w:pPr>
        <w:spacing w:after="0" w:line="360" w:lineRule="auto"/>
      </w:pPr>
    </w:p>
    <w:p w:rsidR="00714D0E" w:rsidRDefault="000B2917">
      <w:pPr>
        <w:numPr>
          <w:ilvl w:val="0"/>
          <w:numId w:val="3"/>
        </w:numPr>
        <w:spacing w:after="0" w:line="360" w:lineRule="auto"/>
      </w:pPr>
      <w:r>
        <w:t xml:space="preserve">Se trate de datos personales o información privada; esto es, información concerniente a una persona física o jurídico colectiva y que esta sea identificada o identificable. </w:t>
      </w:r>
    </w:p>
    <w:p w:rsidR="00714D0E" w:rsidRDefault="00714D0E">
      <w:pPr>
        <w:spacing w:after="0" w:line="360" w:lineRule="auto"/>
      </w:pPr>
    </w:p>
    <w:p w:rsidR="00714D0E" w:rsidRDefault="000B2917">
      <w:pPr>
        <w:numPr>
          <w:ilvl w:val="0"/>
          <w:numId w:val="3"/>
        </w:numPr>
        <w:spacing w:after="0" w:line="360" w:lineRule="auto"/>
      </w:pPr>
      <w:r>
        <w:t xml:space="preserve">Para la difusión de los datos, se requiera el consentimiento del titular. </w:t>
      </w:r>
    </w:p>
    <w:p w:rsidR="00714D0E" w:rsidRDefault="00714D0E">
      <w:pPr>
        <w:spacing w:after="0" w:line="360" w:lineRule="auto"/>
      </w:pPr>
    </w:p>
    <w:p w:rsidR="00714D0E" w:rsidRDefault="000B2917">
      <w:pPr>
        <w:spacing w:after="0" w:line="360" w:lineRule="auto"/>
      </w:pPr>
      <w: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714D0E" w:rsidRDefault="00714D0E">
      <w:pPr>
        <w:spacing w:after="0" w:line="360" w:lineRule="auto"/>
      </w:pPr>
    </w:p>
    <w:p w:rsidR="00714D0E" w:rsidRDefault="000B2917">
      <w:pPr>
        <w:spacing w:after="0" w:line="360" w:lineRule="auto"/>
      </w:pPr>
      <w: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bajo esta óptica se procede analizar el dato testado.</w:t>
      </w:r>
    </w:p>
    <w:p w:rsidR="00714D0E" w:rsidRDefault="00714D0E">
      <w:pPr>
        <w:spacing w:after="0" w:line="360" w:lineRule="auto"/>
        <w:rPr>
          <w:color w:val="000000"/>
        </w:rPr>
      </w:pPr>
    </w:p>
    <w:p w:rsidR="00714D0E" w:rsidRDefault="000B2917">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714D0E" w:rsidRDefault="000B2917">
      <w:pPr>
        <w:spacing w:after="0" w:line="360" w:lineRule="auto"/>
        <w:rPr>
          <w:color w:val="000000"/>
        </w:rPr>
      </w:pPr>
      <w:r>
        <w:rPr>
          <w:color w:val="000000"/>
        </w:rPr>
        <w:t xml:space="preserve"> </w:t>
      </w:r>
    </w:p>
    <w:p w:rsidR="00714D0E" w:rsidRDefault="000B2917">
      <w:pPr>
        <w:spacing w:after="0" w:line="360" w:lineRule="auto"/>
        <w:rPr>
          <w:color w:val="000000"/>
        </w:rPr>
      </w:pPr>
      <w:r>
        <w:rPr>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w:t>
      </w:r>
      <w:r>
        <w:rPr>
          <w:color w:val="000000"/>
        </w:rPr>
        <w:lastRenderedPageBreak/>
        <w:t>de Población a todas las personas residentes en el país, así como a los mexicanos que residan en el extranjero.</w:t>
      </w:r>
    </w:p>
    <w:p w:rsidR="00714D0E" w:rsidRDefault="000B2917">
      <w:pPr>
        <w:spacing w:after="0" w:line="360" w:lineRule="auto"/>
        <w:rPr>
          <w:color w:val="000000"/>
        </w:rPr>
      </w:pPr>
      <w:r>
        <w:rPr>
          <w:color w:val="000000"/>
        </w:rPr>
        <w:t xml:space="preserve"> </w:t>
      </w:r>
    </w:p>
    <w:p w:rsidR="00714D0E" w:rsidRDefault="000B2917">
      <w:pPr>
        <w:spacing w:after="0" w:line="360" w:lineRule="auto"/>
        <w:rPr>
          <w:color w:val="000000"/>
        </w:rPr>
      </w:pPr>
      <w:r>
        <w:rPr>
          <w:color w:val="000000"/>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color w:val="000000"/>
        </w:rPr>
        <w:t>se generan a partir de los datos contenidos en el documento probatorio de la identidad del interesado</w:t>
      </w:r>
      <w:r>
        <w:rPr>
          <w:color w:val="000000"/>
        </w:rPr>
        <w:t xml:space="preserve"> (acta de nacimiento, carta de naturalización o documento migratorio) de la siguiente forma:</w:t>
      </w:r>
    </w:p>
    <w:p w:rsidR="00714D0E" w:rsidRDefault="000B2917">
      <w:pPr>
        <w:spacing w:after="0" w:line="360" w:lineRule="auto"/>
        <w:rPr>
          <w:color w:val="000000"/>
        </w:rPr>
      </w:pPr>
      <w:r>
        <w:rPr>
          <w:color w:val="000000"/>
        </w:rPr>
        <w:t xml:space="preserve"> </w:t>
      </w:r>
    </w:p>
    <w:p w:rsidR="00714D0E" w:rsidRDefault="000B2917">
      <w:pPr>
        <w:numPr>
          <w:ilvl w:val="0"/>
          <w:numId w:val="5"/>
        </w:numPr>
        <w:spacing w:after="0" w:line="360" w:lineRule="auto"/>
        <w:jc w:val="left"/>
        <w:rPr>
          <w:color w:val="000000"/>
        </w:rPr>
      </w:pPr>
      <w:r>
        <w:rPr>
          <w:color w:val="000000"/>
        </w:rPr>
        <w:t>El primero y segundo apellidos, así como al nombre de pila;</w:t>
      </w:r>
    </w:p>
    <w:p w:rsidR="00714D0E" w:rsidRDefault="000B2917">
      <w:pPr>
        <w:numPr>
          <w:ilvl w:val="0"/>
          <w:numId w:val="5"/>
        </w:numPr>
        <w:spacing w:after="0" w:line="360" w:lineRule="auto"/>
        <w:jc w:val="left"/>
        <w:rPr>
          <w:color w:val="000000"/>
        </w:rPr>
      </w:pPr>
      <w:r>
        <w:rPr>
          <w:color w:val="000000"/>
        </w:rPr>
        <w:t>La fecha de nacimiento;</w:t>
      </w:r>
    </w:p>
    <w:p w:rsidR="00714D0E" w:rsidRDefault="000B2917">
      <w:pPr>
        <w:numPr>
          <w:ilvl w:val="0"/>
          <w:numId w:val="5"/>
        </w:numPr>
        <w:spacing w:after="0" w:line="360" w:lineRule="auto"/>
        <w:jc w:val="left"/>
        <w:rPr>
          <w:color w:val="000000"/>
        </w:rPr>
      </w:pPr>
      <w:r>
        <w:rPr>
          <w:color w:val="000000"/>
        </w:rPr>
        <w:t>El sexo, y</w:t>
      </w:r>
    </w:p>
    <w:p w:rsidR="00714D0E" w:rsidRDefault="000B2917">
      <w:pPr>
        <w:numPr>
          <w:ilvl w:val="0"/>
          <w:numId w:val="5"/>
        </w:numPr>
        <w:spacing w:after="0" w:line="360" w:lineRule="auto"/>
        <w:jc w:val="left"/>
        <w:rPr>
          <w:color w:val="000000"/>
        </w:rPr>
      </w:pPr>
      <w:r>
        <w:rPr>
          <w:color w:val="000000"/>
        </w:rPr>
        <w:t>La entidad federativa de nacimiento.</w:t>
      </w:r>
    </w:p>
    <w:p w:rsidR="00714D0E" w:rsidRDefault="000B2917">
      <w:pPr>
        <w:spacing w:after="0" w:line="360" w:lineRule="auto"/>
        <w:rPr>
          <w:color w:val="000000"/>
        </w:rPr>
      </w:pPr>
      <w:r>
        <w:rPr>
          <w:color w:val="000000"/>
        </w:rPr>
        <w:t xml:space="preserve"> </w:t>
      </w:r>
    </w:p>
    <w:p w:rsidR="00714D0E" w:rsidRDefault="000B2917">
      <w:pPr>
        <w:spacing w:after="0" w:line="360" w:lineRule="auto"/>
        <w:rPr>
          <w:color w:val="000000"/>
        </w:rPr>
      </w:pPr>
      <w:r>
        <w:rPr>
          <w:color w:val="000000"/>
        </w:rPr>
        <w:t>Los dos últimos elementos de la Clave Única de Registro de Población evitan la duplicidad de la Clave y garantizan su correcta integración.</w:t>
      </w:r>
    </w:p>
    <w:p w:rsidR="00714D0E" w:rsidRDefault="000B2917">
      <w:pPr>
        <w:spacing w:after="0" w:line="360" w:lineRule="auto"/>
        <w:rPr>
          <w:color w:val="000000"/>
        </w:rPr>
      </w:pPr>
      <w:r>
        <w:rPr>
          <w:color w:val="000000"/>
        </w:rPr>
        <w:t xml:space="preserve"> </w:t>
      </w:r>
    </w:p>
    <w:p w:rsidR="00714D0E" w:rsidRDefault="000B2917">
      <w:pPr>
        <w:spacing w:after="0" w:line="360" w:lineRule="auto"/>
        <w:rPr>
          <w:color w:val="000000"/>
        </w:rPr>
      </w:pPr>
      <w:r>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714D0E" w:rsidRDefault="000B2917">
      <w:pPr>
        <w:spacing w:after="0" w:line="360" w:lineRule="auto"/>
        <w:rPr>
          <w:color w:val="000000"/>
        </w:rPr>
      </w:pPr>
      <w:r>
        <w:rPr>
          <w:color w:val="000000"/>
        </w:rPr>
        <w:t xml:space="preserve"> </w:t>
      </w:r>
    </w:p>
    <w:p w:rsidR="00714D0E" w:rsidRDefault="000B2917">
      <w:pPr>
        <w:spacing w:after="0" w:line="360" w:lineRule="auto"/>
        <w:rPr>
          <w:color w:val="000000"/>
        </w:rPr>
      </w:pPr>
      <w:r>
        <w:rPr>
          <w:color w:val="000000"/>
        </w:rPr>
        <w:lastRenderedPageBreak/>
        <w:t>Situación que se robustece, con el Criterio Orientador, de la Segunda Época, con número de registro SO/018/2017, emitido por el entonces Instituto Nacional de Transparencia, Acceso a la Información y Protección de Datos Personales, que establece lo siguiente:</w:t>
      </w:r>
    </w:p>
    <w:p w:rsidR="00714D0E" w:rsidRDefault="000B2917">
      <w:pPr>
        <w:spacing w:after="0" w:line="360" w:lineRule="auto"/>
        <w:rPr>
          <w:color w:val="000000"/>
        </w:rPr>
      </w:pPr>
      <w:r>
        <w:rPr>
          <w:color w:val="000000"/>
        </w:rPr>
        <w:t xml:space="preserve"> </w:t>
      </w:r>
    </w:p>
    <w:p w:rsidR="00714D0E" w:rsidRDefault="000B2917">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714D0E" w:rsidRDefault="000B2917">
      <w:pPr>
        <w:spacing w:after="0" w:line="360" w:lineRule="auto"/>
        <w:rPr>
          <w:i/>
          <w:iCs/>
          <w:color w:val="000000"/>
        </w:rPr>
      </w:pPr>
      <w:r>
        <w:rPr>
          <w:i/>
          <w:iCs/>
          <w:color w:val="000000"/>
        </w:rPr>
        <w:t xml:space="preserve"> </w:t>
      </w:r>
    </w:p>
    <w:p w:rsidR="00714D0E" w:rsidRDefault="000B2917">
      <w:pPr>
        <w:spacing w:after="0" w:line="360" w:lineRule="auto"/>
        <w:rPr>
          <w:color w:val="000000"/>
        </w:rPr>
      </w:pPr>
      <w:r>
        <w:rPr>
          <w:color w:val="000000"/>
        </w:rPr>
        <w:t xml:space="preserve">De acuerdo con lo anterior, resulta procedente la clasificación de </w:t>
      </w:r>
      <w:r>
        <w:rPr>
          <w:b/>
          <w:bCs/>
          <w:color w:val="000000"/>
        </w:rPr>
        <w:t>la Clave Única de Registro de Población</w:t>
      </w:r>
      <w:r>
        <w:rPr>
          <w:color w:val="000000"/>
        </w:rPr>
        <w:t xml:space="preserve">, por tratarse de un dato personal confidencial, en términos del artículo 143, fracción I, de la Ley de Transparencia y Acceso a la Información Pública del Estado de México y Municipios. </w:t>
      </w:r>
    </w:p>
    <w:p w:rsidR="00714D0E" w:rsidRDefault="00714D0E">
      <w:pPr>
        <w:spacing w:after="0" w:line="360" w:lineRule="auto"/>
        <w:rPr>
          <w:color w:val="000000"/>
        </w:rPr>
      </w:pPr>
    </w:p>
    <w:p w:rsidR="00714D0E" w:rsidRDefault="000B2917">
      <w:pPr>
        <w:spacing w:after="0" w:line="360" w:lineRule="auto"/>
      </w:pPr>
      <w:r>
        <w:t>Conforme a lo anterior, se logra vislumbrar que el Sujeto Obligado remitió la cédula profesional en versión pública, en donde testó la Clave Única de Registro de Población, pero dejó visible dicho dato en la cadena original, lo cual lo vuelve un hecho de imposible reparación; aunado a que no proporcionó el Acuerdo de Clasificación.</w:t>
      </w:r>
    </w:p>
    <w:p w:rsidR="00714D0E" w:rsidRDefault="00714D0E">
      <w:pPr>
        <w:spacing w:after="0" w:line="360" w:lineRule="auto"/>
      </w:pPr>
    </w:p>
    <w:p w:rsidR="00714D0E" w:rsidRDefault="000B2917">
      <w:pPr>
        <w:tabs>
          <w:tab w:val="left" w:pos="3962"/>
        </w:tabs>
        <w:spacing w:after="0" w:line="360" w:lineRule="auto"/>
      </w:pPr>
      <w:r>
        <w:t>En ese contexto, toda vez que resultó procedente la clasificación del dato, debe traerse a colación lo dispuesto en el artículo 168 de la Ley de Transparencia y Acceso a la Información Pública del Estado de México y Municipios, que precisa que</w:t>
      </w:r>
      <w:r>
        <w:rPr>
          <w:rFonts w:ascii="Arial" w:eastAsia="Arial" w:hAnsi="Arial" w:cs="Arial"/>
          <w:sz w:val="24"/>
          <w:szCs w:val="24"/>
        </w:rPr>
        <w:t xml:space="preserve"> </w:t>
      </w:r>
      <w: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rsidR="00714D0E" w:rsidRDefault="00714D0E">
      <w:pPr>
        <w:tabs>
          <w:tab w:val="left" w:pos="3962"/>
        </w:tabs>
        <w:spacing w:after="0" w:line="360" w:lineRule="auto"/>
      </w:pPr>
    </w:p>
    <w:p w:rsidR="00714D0E" w:rsidRDefault="000B2917">
      <w:pPr>
        <w:numPr>
          <w:ilvl w:val="0"/>
          <w:numId w:val="4"/>
        </w:numPr>
        <w:tabs>
          <w:tab w:val="left" w:pos="3962"/>
        </w:tabs>
        <w:spacing w:after="0" w:line="360" w:lineRule="auto"/>
      </w:pPr>
      <w:r>
        <w:lastRenderedPageBreak/>
        <w:t>Confirmar la clasificación;</w:t>
      </w:r>
    </w:p>
    <w:p w:rsidR="00714D0E" w:rsidRDefault="00714D0E">
      <w:pPr>
        <w:tabs>
          <w:tab w:val="left" w:pos="3962"/>
        </w:tabs>
        <w:spacing w:after="0" w:line="360" w:lineRule="auto"/>
      </w:pPr>
    </w:p>
    <w:p w:rsidR="00714D0E" w:rsidRDefault="000B2917">
      <w:pPr>
        <w:numPr>
          <w:ilvl w:val="0"/>
          <w:numId w:val="4"/>
        </w:numPr>
        <w:tabs>
          <w:tab w:val="left" w:pos="3962"/>
        </w:tabs>
        <w:spacing w:after="0" w:line="360" w:lineRule="auto"/>
      </w:pPr>
      <w:r>
        <w:t>Modificar la clasificación y, otorgar total o parcialmente el acceso a la información, o</w:t>
      </w:r>
    </w:p>
    <w:p w:rsidR="00714D0E" w:rsidRDefault="00714D0E">
      <w:pPr>
        <w:tabs>
          <w:tab w:val="left" w:pos="3962"/>
        </w:tabs>
        <w:spacing w:after="0" w:line="360" w:lineRule="auto"/>
      </w:pPr>
    </w:p>
    <w:p w:rsidR="00714D0E" w:rsidRDefault="000B2917">
      <w:pPr>
        <w:numPr>
          <w:ilvl w:val="0"/>
          <w:numId w:val="4"/>
        </w:numPr>
        <w:tabs>
          <w:tab w:val="left" w:pos="3962"/>
        </w:tabs>
        <w:spacing w:after="0" w:line="360" w:lineRule="auto"/>
      </w:pPr>
      <w:r>
        <w:t>Revocar la clasificación y conceder el acceso a la información.</w:t>
      </w:r>
    </w:p>
    <w:p w:rsidR="00714D0E" w:rsidRDefault="00714D0E">
      <w:pPr>
        <w:tabs>
          <w:tab w:val="left" w:pos="3962"/>
        </w:tabs>
        <w:spacing w:after="0" w:line="360" w:lineRule="auto"/>
      </w:pPr>
    </w:p>
    <w:p w:rsidR="00714D0E" w:rsidRDefault="000B2917">
      <w:pPr>
        <w:tabs>
          <w:tab w:val="left" w:pos="3962"/>
        </w:tabs>
        <w:spacing w:after="0" w:line="360" w:lineRule="auto"/>
      </w:pPr>
      <w: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no sucedió, pues si bien en respuesta se indicó que la versión pública había sido validada por el Comité de Transparencia, se omitió entregar el Acuerdo de Clasificación respectivo y si bien el Sujeto Obligado señaló que lo proporcionaba durante la sustanciación, omitió proporcionarlo, lo cual da como resultado que el agravio sea </w:t>
      </w:r>
      <w:r>
        <w:rPr>
          <w:b/>
          <w:bCs/>
        </w:rPr>
        <w:t>FUNDADO</w:t>
      </w:r>
      <w:r>
        <w:t>.</w:t>
      </w:r>
    </w:p>
    <w:p w:rsidR="00714D0E" w:rsidRDefault="00714D0E">
      <w:pPr>
        <w:spacing w:after="0" w:line="360" w:lineRule="auto"/>
        <w:rPr>
          <w:color w:val="000000"/>
        </w:rPr>
      </w:pPr>
    </w:p>
    <w:p w:rsidR="00714D0E" w:rsidRDefault="000B2917">
      <w:pPr>
        <w:pStyle w:val="Ttulo2"/>
        <w:spacing w:before="0" w:after="0" w:line="360" w:lineRule="auto"/>
        <w:rPr>
          <w:sz w:val="22"/>
          <w:szCs w:val="22"/>
        </w:rPr>
      </w:pPr>
      <w:bookmarkStart w:id="25" w:name="_heading=h.35x1iotx8hna" w:colFirst="0" w:colLast="0"/>
      <w:bookmarkStart w:id="26" w:name="_Toc219391386"/>
      <w:bookmarkEnd w:id="25"/>
      <w:r>
        <w:rPr>
          <w:sz w:val="22"/>
          <w:szCs w:val="22"/>
        </w:rPr>
        <w:t>SEXTO. Decisión</w:t>
      </w:r>
      <w:bookmarkEnd w:id="26"/>
    </w:p>
    <w:p w:rsidR="00714D0E" w:rsidRDefault="00714D0E">
      <w:pPr>
        <w:spacing w:after="0" w:line="360" w:lineRule="auto"/>
        <w:rPr>
          <w:b/>
          <w:bCs/>
        </w:rPr>
      </w:pPr>
    </w:p>
    <w:p w:rsidR="00714D0E" w:rsidRDefault="000B2917">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Ayuntamiento de Zinacantepec</w:t>
      </w:r>
      <w:r>
        <w:rPr>
          <w:b/>
          <w:bCs/>
        </w:rPr>
        <w:t xml:space="preserve">, </w:t>
      </w:r>
      <w:r>
        <w:t xml:space="preserve">a efecto de que entregue el Acuerdo referido en Informe </w:t>
      </w:r>
      <w:proofErr w:type="spellStart"/>
      <w:r>
        <w:t>Justificasdo</w:t>
      </w:r>
      <w:proofErr w:type="spellEnd"/>
      <w:r>
        <w:t>.</w:t>
      </w:r>
    </w:p>
    <w:p w:rsidR="00714D0E" w:rsidRDefault="000B2917">
      <w:pPr>
        <w:pStyle w:val="Ttulo2"/>
        <w:spacing w:before="0" w:after="0" w:line="360" w:lineRule="auto"/>
        <w:rPr>
          <w:sz w:val="22"/>
          <w:szCs w:val="22"/>
        </w:rPr>
      </w:pPr>
      <w:bookmarkStart w:id="27" w:name="_heading=h.yx2o7rf354t" w:colFirst="0" w:colLast="0"/>
      <w:bookmarkStart w:id="28" w:name="_Toc219391387"/>
      <w:bookmarkEnd w:id="27"/>
      <w:r>
        <w:rPr>
          <w:sz w:val="22"/>
          <w:szCs w:val="22"/>
        </w:rPr>
        <w:t>SÉPTIMO. Vista la Dirección General de Protección de Datos Personales</w:t>
      </w:r>
      <w:bookmarkEnd w:id="28"/>
    </w:p>
    <w:p w:rsidR="00714D0E" w:rsidRDefault="00714D0E">
      <w:pPr>
        <w:spacing w:after="0" w:line="360" w:lineRule="auto"/>
      </w:pPr>
    </w:p>
    <w:p w:rsidR="00714D0E" w:rsidRDefault="000B2917">
      <w:pPr>
        <w:spacing w:after="0" w:line="360" w:lineRule="auto"/>
      </w:pPr>
      <w:r>
        <w:t xml:space="preserve">Ahora bien, de la revisión de la Cédula Profesional remitida en respuesta, se colige, que la versión pública del mismo se realizó de manera incorrecta pues de dejo visible la Clave Única de Registro de Población,  en la cadena digital,  por lo que se da vista a la Dirección General de Protección de Datos Personales en términos de lo previsto en el artículo 143, fracción I, de </w:t>
      </w:r>
      <w:r>
        <w:lastRenderedPageBreak/>
        <w:t>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rsidR="00714D0E" w:rsidRDefault="00714D0E">
      <w:pPr>
        <w:spacing w:after="0" w:line="360" w:lineRule="auto"/>
      </w:pPr>
    </w:p>
    <w:p w:rsidR="00714D0E" w:rsidRDefault="000B2917">
      <w:pPr>
        <w:spacing w:after="0" w:line="360" w:lineRule="auto"/>
        <w:rPr>
          <w:b/>
          <w:bCs/>
        </w:rPr>
      </w:pPr>
      <w:r>
        <w:rPr>
          <w:b/>
          <w:bCs/>
        </w:rPr>
        <w:t>Términos de la Resolución para conocimiento del Particular</w:t>
      </w:r>
    </w:p>
    <w:p w:rsidR="00714D0E" w:rsidRDefault="00714D0E">
      <w:pPr>
        <w:spacing w:after="0" w:line="360" w:lineRule="auto"/>
        <w:rPr>
          <w:b/>
          <w:bCs/>
        </w:rPr>
      </w:pPr>
    </w:p>
    <w:p w:rsidR="00714D0E" w:rsidRDefault="000B2917">
      <w:pPr>
        <w:spacing w:after="0" w:line="360" w:lineRule="auto"/>
      </w:pPr>
      <w:r>
        <w:t>Se le hace del conocimiento a la persona Recurrente que, en el presente asunto, se le da la razón, pues si bien el Sujeto Obligado, en respuesta como en Informe Justificado, entregó la información solicitada, es cierto que omitió entregar el Acuerdo emitido por el Comité de Transparencia, en donde de manera fundada y motivada, acredita la clasificación de la Clave Única de Registro de Publicación del servidor público.</w:t>
      </w:r>
    </w:p>
    <w:p w:rsidR="00714D0E" w:rsidRDefault="00714D0E">
      <w:pPr>
        <w:spacing w:after="0" w:line="360" w:lineRule="auto"/>
      </w:pPr>
    </w:p>
    <w:p w:rsidR="00714D0E" w:rsidRDefault="000B2917">
      <w:pPr>
        <w:spacing w:after="0" w:line="360" w:lineRule="auto"/>
      </w:pPr>
      <w:r>
        <w:t>L</w:t>
      </w:r>
      <w:r>
        <w:rPr>
          <w:color w:val="000000"/>
        </w:rPr>
        <w:t>a labor del Instituto, es apoyar a la población a acceder a la información pública y garantizar la protección de sus datos personales.</w:t>
      </w:r>
    </w:p>
    <w:p w:rsidR="00714D0E" w:rsidRDefault="00714D0E">
      <w:pPr>
        <w:spacing w:after="0" w:line="360" w:lineRule="auto"/>
      </w:pPr>
    </w:p>
    <w:p w:rsidR="00714D0E" w:rsidRDefault="000B2917">
      <w:pPr>
        <w:spacing w:after="0" w:line="360" w:lineRule="auto"/>
      </w:pPr>
      <w:r>
        <w:t>Por lo expuesto y fundado, este Pleno:</w:t>
      </w:r>
    </w:p>
    <w:p w:rsidR="00714D0E" w:rsidRDefault="00714D0E">
      <w:pPr>
        <w:spacing w:after="0" w:line="360" w:lineRule="auto"/>
      </w:pPr>
    </w:p>
    <w:p w:rsidR="00714D0E" w:rsidRDefault="000B2917">
      <w:pPr>
        <w:pStyle w:val="Ttulo1"/>
        <w:spacing w:before="0" w:after="0" w:line="360" w:lineRule="auto"/>
        <w:jc w:val="center"/>
        <w:rPr>
          <w:sz w:val="22"/>
          <w:szCs w:val="22"/>
        </w:rPr>
      </w:pPr>
      <w:bookmarkStart w:id="29" w:name="_heading=h.u66un5cca4l9" w:colFirst="0" w:colLast="0"/>
      <w:bookmarkStart w:id="30" w:name="_Toc219391388"/>
      <w:bookmarkEnd w:id="29"/>
      <w:r>
        <w:rPr>
          <w:sz w:val="22"/>
          <w:szCs w:val="22"/>
        </w:rPr>
        <w:t>R E S U E L V E</w:t>
      </w:r>
      <w:bookmarkEnd w:id="30"/>
    </w:p>
    <w:p w:rsidR="00714D0E" w:rsidRDefault="00714D0E">
      <w:pPr>
        <w:spacing w:after="0" w:line="360" w:lineRule="auto"/>
        <w:rPr>
          <w:b/>
          <w:bCs/>
        </w:rPr>
      </w:pPr>
    </w:p>
    <w:p w:rsidR="00714D0E" w:rsidRDefault="000B2917">
      <w:pPr>
        <w:spacing w:after="0" w:line="360" w:lineRule="auto"/>
      </w:pPr>
      <w:r>
        <w:rPr>
          <w:b/>
          <w:bCs/>
        </w:rPr>
        <w:t xml:space="preserve">PRIMERO. </w:t>
      </w:r>
      <w:r>
        <w:t xml:space="preserve">Se </w:t>
      </w:r>
      <w:r>
        <w:rPr>
          <w:b/>
          <w:bCs/>
        </w:rPr>
        <w:t xml:space="preserve">MODIFICA </w:t>
      </w:r>
      <w:r>
        <w:t xml:space="preserve">la respuesta entregada por el Ayuntamiento de Zinacantepec, a la solicitud de información 00636/ZINACANT/IP/2025, por resultar </w:t>
      </w:r>
      <w:r>
        <w:rPr>
          <w:b/>
          <w:bCs/>
        </w:rPr>
        <w:t xml:space="preserve">FUNDADAS </w:t>
      </w:r>
      <w:r>
        <w:t>las razones o motivos de inconformidad hechos valer por el Recurrente, en términos de los considerandos QUINTO y SEXTO de la presente Resolución.</w:t>
      </w:r>
    </w:p>
    <w:p w:rsidR="00714D0E" w:rsidRDefault="00714D0E">
      <w:pPr>
        <w:spacing w:after="0" w:line="360" w:lineRule="auto"/>
      </w:pPr>
    </w:p>
    <w:p w:rsidR="00714D0E" w:rsidRDefault="000B2917">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entregue, a través del Sistema de Acceso a la Información Mexiquense (SAIMEX), lo siguiente:</w:t>
      </w:r>
    </w:p>
    <w:p w:rsidR="00714D0E" w:rsidRDefault="00714D0E">
      <w:pPr>
        <w:spacing w:after="0" w:line="360" w:lineRule="auto"/>
      </w:pPr>
    </w:p>
    <w:p w:rsidR="00714D0E" w:rsidRDefault="000B2917">
      <w:pPr>
        <w:numPr>
          <w:ilvl w:val="0"/>
          <w:numId w:val="7"/>
        </w:numPr>
        <w:pBdr>
          <w:top w:val="nil"/>
          <w:left w:val="nil"/>
          <w:bottom w:val="nil"/>
          <w:right w:val="nil"/>
          <w:between w:val="nil"/>
        </w:pBdr>
        <w:spacing w:after="0" w:line="360" w:lineRule="auto"/>
        <w:rPr>
          <w:color w:val="000000"/>
        </w:rPr>
      </w:pPr>
      <w:r>
        <w:rPr>
          <w:color w:val="000000"/>
        </w:rPr>
        <w:t>El Acuerdo emitido por el Comité de Transparencia referido en Informe Justificado, por medio del cual validó la versión pública de la cédula profesional entregada en respuesta.</w:t>
      </w:r>
    </w:p>
    <w:p w:rsidR="00714D0E" w:rsidRDefault="00714D0E">
      <w:pPr>
        <w:spacing w:after="0" w:line="360" w:lineRule="auto"/>
      </w:pPr>
    </w:p>
    <w:p w:rsidR="00714D0E" w:rsidRDefault="000B2917">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rsidR="00714D0E" w:rsidRDefault="00714D0E">
      <w:pPr>
        <w:spacing w:after="0" w:line="360" w:lineRule="auto"/>
        <w:rPr>
          <w:color w:val="000000"/>
        </w:rPr>
      </w:pPr>
    </w:p>
    <w:p w:rsidR="00714D0E" w:rsidRDefault="000B2917">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14D0E" w:rsidRDefault="00714D0E">
      <w:pPr>
        <w:spacing w:after="0" w:line="360" w:lineRule="auto"/>
      </w:pPr>
    </w:p>
    <w:p w:rsidR="00714D0E" w:rsidRDefault="000B2917">
      <w:pPr>
        <w:spacing w:after="0" w:line="360" w:lineRule="auto"/>
      </w:pPr>
      <w:r>
        <w:rPr>
          <w:b/>
          <w:bCs/>
        </w:rPr>
        <w:t>QUINTO.</w:t>
      </w:r>
      <w:r>
        <w:t xml:space="preserve"> Con fundamento en lo dispuesto en el artículo 24, fracciones XI, XII y XIII del Reglamento Interior del Instituto de Transparencia, Acceso a la Información Pública y Protección de Datos Personales del Estado de México y Municipios, gírese oficio a la </w:t>
      </w:r>
      <w:r>
        <w:lastRenderedPageBreak/>
        <w:t>Dirección General de Protección de Datos Personales de este Instituto, en términos de lo dispuesto en el Considerando QUINTO de la presente Resolución.</w:t>
      </w:r>
    </w:p>
    <w:p w:rsidR="00714D0E" w:rsidRDefault="00714D0E">
      <w:pPr>
        <w:spacing w:after="0" w:line="360" w:lineRule="auto"/>
        <w:rPr>
          <w:b/>
          <w:bCs/>
        </w:rPr>
      </w:pPr>
    </w:p>
    <w:p w:rsidR="00714D0E" w:rsidRDefault="000B2917">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w:t>
      </w:r>
      <w:r w:rsidR="00F24A6E">
        <w:t>,</w:t>
      </w:r>
      <w:r>
        <w:t xml:space="preserve"> ANTE EL SECRETARIO TÉCNICO DEL PLENO, ALEXIS TAPIA RAMÍREZ.</w:t>
      </w:r>
    </w:p>
    <w:p w:rsidR="00714D0E" w:rsidRDefault="00714D0E">
      <w:pPr>
        <w:spacing w:after="0" w:line="360" w:lineRule="auto"/>
        <w:ind w:right="-28"/>
        <w:rPr>
          <w:color w:val="000000"/>
        </w:rPr>
      </w:pPr>
    </w:p>
    <w:p w:rsidR="00714D0E" w:rsidRDefault="00714D0E">
      <w:pPr>
        <w:spacing w:after="0" w:line="360" w:lineRule="auto"/>
        <w:rPr>
          <w:b/>
          <w:bCs/>
        </w:rPr>
      </w:pPr>
    </w:p>
    <w:p w:rsidR="00714D0E" w:rsidRDefault="00714D0E">
      <w:pPr>
        <w:spacing w:after="0" w:line="360" w:lineRule="auto"/>
        <w:rPr>
          <w:b/>
          <w:bCs/>
        </w:rPr>
      </w:pPr>
    </w:p>
    <w:p w:rsidR="00714D0E" w:rsidRDefault="00714D0E">
      <w:pPr>
        <w:spacing w:after="0" w:line="360" w:lineRule="auto"/>
        <w:rPr>
          <w:color w:val="000000"/>
        </w:rPr>
      </w:pPr>
    </w:p>
    <w:p w:rsidR="00714D0E" w:rsidRDefault="00714D0E">
      <w:pPr>
        <w:spacing w:after="0" w:line="360" w:lineRule="auto"/>
        <w:rPr>
          <w:color w:val="000000"/>
        </w:rPr>
      </w:pPr>
    </w:p>
    <w:p w:rsidR="00714D0E" w:rsidRDefault="00714D0E">
      <w:pPr>
        <w:spacing w:after="0" w:line="360" w:lineRule="auto"/>
      </w:pPr>
    </w:p>
    <w:p w:rsidR="00714D0E" w:rsidRDefault="00714D0E">
      <w:pPr>
        <w:spacing w:after="0" w:line="360" w:lineRule="auto"/>
      </w:pPr>
    </w:p>
    <w:p w:rsidR="00714D0E" w:rsidRDefault="00714D0E">
      <w:pPr>
        <w:spacing w:after="0" w:line="360" w:lineRule="auto"/>
        <w:rPr>
          <w:color w:val="000000"/>
        </w:rPr>
      </w:pPr>
    </w:p>
    <w:p w:rsidR="00714D0E" w:rsidRDefault="00714D0E">
      <w:pPr>
        <w:spacing w:after="0" w:line="360" w:lineRule="auto"/>
        <w:rPr>
          <w:color w:val="000000"/>
        </w:rPr>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tabs>
          <w:tab w:val="right" w:pos="8931"/>
        </w:tabs>
        <w:spacing w:after="0" w:line="360" w:lineRule="auto"/>
      </w:pPr>
    </w:p>
    <w:p w:rsidR="00714D0E" w:rsidRDefault="00714D0E">
      <w:pPr>
        <w:spacing w:after="0" w:line="360" w:lineRule="auto"/>
      </w:pPr>
    </w:p>
    <w:p w:rsidR="00714D0E" w:rsidRDefault="00714D0E">
      <w:pPr>
        <w:spacing w:after="0" w:line="360" w:lineRule="auto"/>
      </w:pPr>
    </w:p>
    <w:sectPr w:rsidR="00714D0E">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C93" w:rsidRDefault="00E90C93">
      <w:pPr>
        <w:spacing w:after="0" w:line="240" w:lineRule="auto"/>
      </w:pPr>
      <w:r>
        <w:separator/>
      </w:r>
    </w:p>
  </w:endnote>
  <w:endnote w:type="continuationSeparator" w:id="0">
    <w:p w:rsidR="00E90C93" w:rsidRDefault="00E90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8FAAA516-C68B-48BD-90DA-E71DFF70E06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CBAED29-CB62-4DDA-B16B-21364BD28A75}"/>
    <w:embedBold r:id="rId3" w:fontKey="{0603BDA3-39AF-48EB-9738-0BD99DDCB6F5}"/>
    <w:embedItalic r:id="rId4" w:fontKey="{7F2E6BE1-7782-4CA4-A97B-4FC2C7EFED97}"/>
    <w:embedBoldItalic r:id="rId5" w:fontKey="{5EB8F65F-1462-4DC6-9087-7EB665F1AF8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2031F36-11D0-4C3F-899E-A8D1312C07AE}"/>
  </w:font>
  <w:font w:name="Calibri Light">
    <w:panose1 w:val="020F0302020204030204"/>
    <w:charset w:val="00"/>
    <w:family w:val="swiss"/>
    <w:pitch w:val="variable"/>
    <w:sig w:usb0="E4002EFF" w:usb1="C200247B" w:usb2="00000009" w:usb3="00000000" w:csb0="000001FF" w:csb1="00000000"/>
    <w:embedRegular r:id="rId7" w:fontKey="{529FA2F0-975D-4437-840A-6CCD2E0BF9F8}"/>
  </w:font>
  <w:font w:name="Georgia">
    <w:panose1 w:val="02040502050405020303"/>
    <w:charset w:val="00"/>
    <w:family w:val="roman"/>
    <w:pitch w:val="variable"/>
    <w:sig w:usb0="00000287" w:usb1="00000000" w:usb2="00000000" w:usb3="00000000" w:csb0="0000009F" w:csb1="00000000"/>
    <w:embedItalic r:id="rId8" w:fontKey="{100DD048-3BC2-459C-A346-336EDA7A9A5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0E" w:rsidRDefault="000B29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E494C">
      <w:rPr>
        <w:b/>
        <w:bCs/>
        <w:noProof/>
        <w:color w:val="000000"/>
        <w:sz w:val="24"/>
        <w:szCs w:val="24"/>
      </w:rPr>
      <w:t>25</w:t>
    </w:r>
    <w:r>
      <w:rPr>
        <w:b/>
        <w:bCs/>
        <w:color w:val="000000"/>
        <w:sz w:val="24"/>
        <w:szCs w:val="24"/>
      </w:rPr>
      <w:fldChar w:fldCharType="end"/>
    </w:r>
  </w:p>
  <w:p w:rsidR="00714D0E" w:rsidRDefault="00714D0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0E" w:rsidRDefault="000B29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22C16">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22C16">
      <w:rPr>
        <w:b/>
        <w:bCs/>
        <w:noProof/>
        <w:color w:val="000000"/>
        <w:sz w:val="24"/>
        <w:szCs w:val="24"/>
      </w:rPr>
      <w:t>25</w:t>
    </w:r>
    <w:r>
      <w:rPr>
        <w:b/>
        <w:bCs/>
        <w:color w:val="000000"/>
        <w:sz w:val="24"/>
        <w:szCs w:val="24"/>
      </w:rPr>
      <w:fldChar w:fldCharType="end"/>
    </w:r>
  </w:p>
  <w:p w:rsidR="00714D0E" w:rsidRDefault="00714D0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0E" w:rsidRDefault="000B291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22C1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22C16">
      <w:rPr>
        <w:b/>
        <w:bCs/>
        <w:noProof/>
        <w:color w:val="000000"/>
        <w:sz w:val="24"/>
        <w:szCs w:val="24"/>
      </w:rPr>
      <w:t>25</w:t>
    </w:r>
    <w:r>
      <w:rPr>
        <w:b/>
        <w:bCs/>
        <w:color w:val="000000"/>
        <w:sz w:val="24"/>
        <w:szCs w:val="24"/>
      </w:rPr>
      <w:fldChar w:fldCharType="end"/>
    </w:r>
  </w:p>
  <w:p w:rsidR="00714D0E" w:rsidRDefault="00714D0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C93" w:rsidRDefault="00E90C93">
      <w:pPr>
        <w:spacing w:after="0" w:line="240" w:lineRule="auto"/>
      </w:pPr>
      <w:r>
        <w:separator/>
      </w:r>
    </w:p>
  </w:footnote>
  <w:footnote w:type="continuationSeparator" w:id="0">
    <w:p w:rsidR="00E90C93" w:rsidRDefault="00E90C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0E" w:rsidRDefault="00714D0E">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14D0E">
      <w:trPr>
        <w:trHeight w:val="132"/>
      </w:trPr>
      <w:tc>
        <w:tcPr>
          <w:tcW w:w="0" w:type="auto"/>
        </w:tcPr>
        <w:p w:rsidR="00714D0E" w:rsidRDefault="000B2917">
          <w:pPr>
            <w:tabs>
              <w:tab w:val="right" w:pos="8838"/>
            </w:tabs>
            <w:ind w:right="-105"/>
            <w:rPr>
              <w:b/>
              <w:bCs/>
            </w:rPr>
          </w:pPr>
          <w:r>
            <w:rPr>
              <w:b/>
              <w:bCs/>
            </w:rPr>
            <w:t>Recurso de Revisión:</w:t>
          </w:r>
        </w:p>
      </w:tc>
      <w:tc>
        <w:tcPr>
          <w:tcW w:w="0" w:type="auto"/>
        </w:tcPr>
        <w:p w:rsidR="00714D0E" w:rsidRDefault="000B2917">
          <w:pPr>
            <w:tabs>
              <w:tab w:val="right" w:pos="8838"/>
            </w:tabs>
            <w:ind w:left="-28" w:right="-32"/>
          </w:pPr>
          <w:r>
            <w:t>03846/INFOEM/IP/RR/2020</w:t>
          </w:r>
        </w:p>
      </w:tc>
    </w:tr>
    <w:tr w:rsidR="00714D0E">
      <w:trPr>
        <w:trHeight w:val="261"/>
      </w:trPr>
      <w:tc>
        <w:tcPr>
          <w:tcW w:w="0" w:type="auto"/>
        </w:tcPr>
        <w:p w:rsidR="00714D0E" w:rsidRDefault="000B2917">
          <w:pPr>
            <w:tabs>
              <w:tab w:val="right" w:pos="8838"/>
            </w:tabs>
            <w:ind w:right="-105"/>
            <w:rPr>
              <w:b/>
              <w:bCs/>
            </w:rPr>
          </w:pPr>
          <w:r>
            <w:rPr>
              <w:b/>
              <w:bCs/>
            </w:rPr>
            <w:t>Sujeto Obligado:</w:t>
          </w:r>
        </w:p>
      </w:tc>
      <w:tc>
        <w:tcPr>
          <w:tcW w:w="0" w:type="auto"/>
        </w:tcPr>
        <w:p w:rsidR="00714D0E" w:rsidRDefault="000B2917">
          <w:pPr>
            <w:tabs>
              <w:tab w:val="right" w:pos="8838"/>
            </w:tabs>
            <w:ind w:right="-32"/>
          </w:pPr>
          <w:r>
            <w:t xml:space="preserve">Ayuntamiento de </w:t>
          </w:r>
          <w:proofErr w:type="spellStart"/>
          <w:r>
            <w:t>Temascalcingo</w:t>
          </w:r>
          <w:proofErr w:type="spellEnd"/>
        </w:p>
      </w:tc>
    </w:tr>
    <w:tr w:rsidR="00714D0E">
      <w:trPr>
        <w:trHeight w:val="261"/>
      </w:trPr>
      <w:tc>
        <w:tcPr>
          <w:tcW w:w="0" w:type="auto"/>
        </w:tcPr>
        <w:p w:rsidR="00714D0E" w:rsidRDefault="000B2917">
          <w:pPr>
            <w:tabs>
              <w:tab w:val="right" w:pos="8838"/>
            </w:tabs>
            <w:ind w:right="-105"/>
            <w:rPr>
              <w:b/>
              <w:bCs/>
            </w:rPr>
          </w:pPr>
          <w:r>
            <w:rPr>
              <w:b/>
              <w:bCs/>
            </w:rPr>
            <w:t>Comisionado Ponente:</w:t>
          </w:r>
        </w:p>
      </w:tc>
      <w:tc>
        <w:tcPr>
          <w:tcW w:w="0" w:type="auto"/>
        </w:tcPr>
        <w:p w:rsidR="00714D0E" w:rsidRDefault="000B2917">
          <w:pPr>
            <w:tabs>
              <w:tab w:val="right" w:pos="8838"/>
            </w:tabs>
            <w:ind w:right="-32"/>
            <w:rPr>
              <w:b/>
              <w:bCs/>
            </w:rPr>
          </w:pPr>
          <w:r>
            <w:t>Luis Gustavo Parra Noriega</w:t>
          </w:r>
        </w:p>
      </w:tc>
    </w:tr>
  </w:tbl>
  <w:p w:rsidR="00714D0E" w:rsidRDefault="00E90C93">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0E" w:rsidRDefault="00E90C93">
    <w:pPr>
      <w:widowControl w:val="0"/>
      <w:pBdr>
        <w:top w:val="nil"/>
        <w:left w:val="nil"/>
        <w:bottom w:val="nil"/>
        <w:right w:val="nil"/>
        <w:between w:val="nil"/>
      </w:pBdr>
      <w:spacing w:after="0" w:line="276" w:lineRule="auto"/>
      <w:jc w:val="left"/>
    </w:pPr>
    <w:r>
      <w:rPr>
        <w:color w:val="000000"/>
      </w:rPr>
      <w:pict w14:anchorId="21876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4.3pt;margin-top:-138.7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714D0E">
      <w:trPr>
        <w:trHeight w:val="138"/>
      </w:trPr>
      <w:tc>
        <w:tcPr>
          <w:tcW w:w="2693" w:type="dxa"/>
          <w:vAlign w:val="center"/>
        </w:tcPr>
        <w:p w:rsidR="00714D0E" w:rsidRDefault="00714D0E">
          <w:pPr>
            <w:tabs>
              <w:tab w:val="right" w:pos="8838"/>
            </w:tabs>
            <w:ind w:left="-108" w:right="-105"/>
            <w:jc w:val="left"/>
            <w:rPr>
              <w:b/>
              <w:bCs/>
            </w:rPr>
          </w:pPr>
        </w:p>
        <w:p w:rsidR="00714D0E" w:rsidRDefault="000B2917">
          <w:pPr>
            <w:tabs>
              <w:tab w:val="right" w:pos="8838"/>
            </w:tabs>
            <w:ind w:left="-108" w:right="-105"/>
            <w:jc w:val="left"/>
            <w:rPr>
              <w:b/>
              <w:bCs/>
            </w:rPr>
          </w:pPr>
          <w:r>
            <w:rPr>
              <w:b/>
              <w:bCs/>
            </w:rPr>
            <w:t>Recurso de Revisión:</w:t>
          </w:r>
        </w:p>
      </w:tc>
      <w:tc>
        <w:tcPr>
          <w:tcW w:w="3969" w:type="dxa"/>
        </w:tcPr>
        <w:p w:rsidR="00714D0E" w:rsidRDefault="00714D0E">
          <w:pPr>
            <w:tabs>
              <w:tab w:val="right" w:pos="8838"/>
            </w:tabs>
            <w:ind w:right="57"/>
          </w:pPr>
        </w:p>
        <w:p w:rsidR="00714D0E" w:rsidRDefault="000B2917">
          <w:pPr>
            <w:tabs>
              <w:tab w:val="right" w:pos="8838"/>
            </w:tabs>
            <w:ind w:right="57"/>
          </w:pPr>
          <w:r>
            <w:t>11991/INFOEM/IP/RR/2025</w:t>
          </w:r>
        </w:p>
      </w:tc>
    </w:tr>
    <w:tr w:rsidR="00714D0E">
      <w:trPr>
        <w:trHeight w:val="273"/>
      </w:trPr>
      <w:tc>
        <w:tcPr>
          <w:tcW w:w="2693" w:type="dxa"/>
        </w:tcPr>
        <w:p w:rsidR="00714D0E" w:rsidRDefault="000B2917">
          <w:pPr>
            <w:tabs>
              <w:tab w:val="right" w:pos="8838"/>
            </w:tabs>
            <w:ind w:left="-108" w:right="-105"/>
            <w:rPr>
              <w:b/>
              <w:bCs/>
            </w:rPr>
          </w:pPr>
          <w:r>
            <w:rPr>
              <w:b/>
              <w:bCs/>
            </w:rPr>
            <w:t>Sujeto Obligado:</w:t>
          </w:r>
        </w:p>
      </w:tc>
      <w:tc>
        <w:tcPr>
          <w:tcW w:w="3969" w:type="dxa"/>
        </w:tcPr>
        <w:p w:rsidR="00714D0E" w:rsidRDefault="000B2917">
          <w:pPr>
            <w:tabs>
              <w:tab w:val="right" w:pos="8838"/>
            </w:tabs>
            <w:ind w:right="180"/>
          </w:pPr>
          <w:r>
            <w:t>Ayuntamiento de Zinacantepec</w:t>
          </w:r>
        </w:p>
      </w:tc>
    </w:tr>
    <w:tr w:rsidR="00714D0E">
      <w:trPr>
        <w:trHeight w:val="273"/>
      </w:trPr>
      <w:tc>
        <w:tcPr>
          <w:tcW w:w="2693" w:type="dxa"/>
        </w:tcPr>
        <w:p w:rsidR="00714D0E" w:rsidRDefault="000B2917">
          <w:pPr>
            <w:tabs>
              <w:tab w:val="right" w:pos="8838"/>
            </w:tabs>
            <w:ind w:left="-108" w:right="-105"/>
            <w:rPr>
              <w:b/>
              <w:bCs/>
            </w:rPr>
          </w:pPr>
          <w:r>
            <w:rPr>
              <w:b/>
              <w:bCs/>
            </w:rPr>
            <w:t>Comisionado Ponente:</w:t>
          </w:r>
        </w:p>
      </w:tc>
      <w:tc>
        <w:tcPr>
          <w:tcW w:w="3969" w:type="dxa"/>
        </w:tcPr>
        <w:p w:rsidR="00714D0E" w:rsidRDefault="000B2917">
          <w:pPr>
            <w:tabs>
              <w:tab w:val="right" w:pos="8838"/>
            </w:tabs>
            <w:ind w:right="-170"/>
          </w:pPr>
          <w:r>
            <w:t>Luis Gustavo Parra Noriega</w:t>
          </w:r>
        </w:p>
        <w:p w:rsidR="00714D0E" w:rsidRDefault="00714D0E">
          <w:pPr>
            <w:tabs>
              <w:tab w:val="right" w:pos="8838"/>
            </w:tabs>
            <w:ind w:right="-170"/>
            <w:rPr>
              <w:b/>
              <w:bCs/>
            </w:rPr>
          </w:pPr>
        </w:p>
      </w:tc>
    </w:tr>
  </w:tbl>
  <w:p w:rsidR="00714D0E" w:rsidRDefault="00714D0E">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D0E" w:rsidRDefault="00714D0E">
    <w:pPr>
      <w:widowControl w:val="0"/>
      <w:pBdr>
        <w:top w:val="nil"/>
        <w:left w:val="nil"/>
        <w:bottom w:val="nil"/>
        <w:right w:val="nil"/>
        <w:between w:val="nil"/>
      </w:pBdr>
      <w:spacing w:after="0" w:line="276" w:lineRule="auto"/>
      <w:jc w:val="left"/>
      <w:rPr>
        <w:color w:val="000000"/>
      </w:rPr>
    </w:pPr>
  </w:p>
  <w:tbl>
    <w:tblPr>
      <w:tblStyle w:val="a1"/>
      <w:tblW w:w="6804"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714D0E">
      <w:trPr>
        <w:trHeight w:val="132"/>
      </w:trPr>
      <w:tc>
        <w:tcPr>
          <w:tcW w:w="2551" w:type="dxa"/>
        </w:tcPr>
        <w:p w:rsidR="00714D0E" w:rsidRDefault="000B2917">
          <w:pPr>
            <w:tabs>
              <w:tab w:val="right" w:pos="8838"/>
            </w:tabs>
            <w:ind w:right="-105"/>
            <w:rPr>
              <w:b/>
              <w:bCs/>
            </w:rPr>
          </w:pPr>
          <w:r>
            <w:rPr>
              <w:b/>
              <w:bCs/>
            </w:rPr>
            <w:t>Recurso de Revisión:</w:t>
          </w:r>
        </w:p>
      </w:tc>
      <w:tc>
        <w:tcPr>
          <w:tcW w:w="4253" w:type="dxa"/>
        </w:tcPr>
        <w:p w:rsidR="00714D0E" w:rsidRDefault="000B2917">
          <w:r>
            <w:t>11991/INFOEM/IP/RR/2025</w:t>
          </w:r>
        </w:p>
      </w:tc>
    </w:tr>
    <w:tr w:rsidR="00714D0E">
      <w:trPr>
        <w:trHeight w:val="132"/>
      </w:trPr>
      <w:tc>
        <w:tcPr>
          <w:tcW w:w="2551" w:type="dxa"/>
        </w:tcPr>
        <w:p w:rsidR="00714D0E" w:rsidRDefault="000B2917">
          <w:pPr>
            <w:tabs>
              <w:tab w:val="left" w:pos="1875"/>
            </w:tabs>
            <w:ind w:right="-105"/>
            <w:rPr>
              <w:b/>
              <w:bCs/>
            </w:rPr>
          </w:pPr>
          <w:r>
            <w:rPr>
              <w:b/>
              <w:bCs/>
            </w:rPr>
            <w:t>Recurrente:</w:t>
          </w:r>
          <w:r>
            <w:rPr>
              <w:b/>
              <w:bCs/>
            </w:rPr>
            <w:tab/>
          </w:r>
        </w:p>
      </w:tc>
      <w:tc>
        <w:tcPr>
          <w:tcW w:w="4253" w:type="dxa"/>
        </w:tcPr>
        <w:p w:rsidR="00714D0E" w:rsidRDefault="00422C16">
          <w:pPr>
            <w:tabs>
              <w:tab w:val="right" w:pos="8838"/>
            </w:tabs>
            <w:ind w:right="-250"/>
          </w:pPr>
          <w:r w:rsidRPr="00422C16">
            <w:rPr>
              <w:highlight w:val="black"/>
            </w:rPr>
            <w:t>XXXXXXXXXXXXXX</w:t>
          </w:r>
        </w:p>
      </w:tc>
    </w:tr>
    <w:tr w:rsidR="00714D0E">
      <w:trPr>
        <w:trHeight w:val="261"/>
      </w:trPr>
      <w:tc>
        <w:tcPr>
          <w:tcW w:w="2551" w:type="dxa"/>
        </w:tcPr>
        <w:p w:rsidR="00714D0E" w:rsidRDefault="000B2917">
          <w:pPr>
            <w:tabs>
              <w:tab w:val="right" w:pos="8838"/>
            </w:tabs>
            <w:ind w:right="-105"/>
            <w:rPr>
              <w:b/>
              <w:bCs/>
            </w:rPr>
          </w:pPr>
          <w:r>
            <w:rPr>
              <w:b/>
              <w:bCs/>
            </w:rPr>
            <w:t>Sujeto Obligado:</w:t>
          </w:r>
        </w:p>
      </w:tc>
      <w:tc>
        <w:tcPr>
          <w:tcW w:w="4253" w:type="dxa"/>
        </w:tcPr>
        <w:p w:rsidR="00714D0E" w:rsidRDefault="000B2917">
          <w:pPr>
            <w:ind w:right="459"/>
          </w:pPr>
          <w:r>
            <w:t>Ayuntamiento de Zinacantepec</w:t>
          </w:r>
        </w:p>
      </w:tc>
    </w:tr>
    <w:tr w:rsidR="00714D0E">
      <w:trPr>
        <w:trHeight w:val="261"/>
      </w:trPr>
      <w:tc>
        <w:tcPr>
          <w:tcW w:w="2551" w:type="dxa"/>
        </w:tcPr>
        <w:p w:rsidR="00714D0E" w:rsidRDefault="000B2917">
          <w:pPr>
            <w:tabs>
              <w:tab w:val="right" w:pos="8838"/>
            </w:tabs>
            <w:ind w:right="-105"/>
            <w:rPr>
              <w:b/>
              <w:bCs/>
            </w:rPr>
          </w:pPr>
          <w:r>
            <w:rPr>
              <w:b/>
              <w:bCs/>
            </w:rPr>
            <w:t>Comisionado Ponente:</w:t>
          </w:r>
        </w:p>
      </w:tc>
      <w:tc>
        <w:tcPr>
          <w:tcW w:w="4253" w:type="dxa"/>
        </w:tcPr>
        <w:p w:rsidR="00714D0E" w:rsidRDefault="000B2917">
          <w:pPr>
            <w:tabs>
              <w:tab w:val="right" w:pos="8838"/>
            </w:tabs>
            <w:ind w:right="-32"/>
            <w:rPr>
              <w:b/>
              <w:bCs/>
            </w:rPr>
          </w:pPr>
          <w:r>
            <w:t>Luis Gustavo Parra Noriega</w:t>
          </w:r>
        </w:p>
      </w:tc>
    </w:tr>
  </w:tbl>
  <w:p w:rsidR="00714D0E" w:rsidRDefault="00E90C93">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33B9D"/>
    <w:multiLevelType w:val="multilevel"/>
    <w:tmpl w:val="6EBA3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B02728"/>
    <w:multiLevelType w:val="multilevel"/>
    <w:tmpl w:val="B89E2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DC730D"/>
    <w:multiLevelType w:val="multilevel"/>
    <w:tmpl w:val="FDA07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FE2973"/>
    <w:multiLevelType w:val="multilevel"/>
    <w:tmpl w:val="9B2EBD2E"/>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477684"/>
    <w:multiLevelType w:val="multilevel"/>
    <w:tmpl w:val="0AA489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E94B45"/>
    <w:multiLevelType w:val="multilevel"/>
    <w:tmpl w:val="8F842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776D57"/>
    <w:multiLevelType w:val="multilevel"/>
    <w:tmpl w:val="D0B66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CC6035"/>
    <w:multiLevelType w:val="multilevel"/>
    <w:tmpl w:val="2B70D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A449C4"/>
    <w:multiLevelType w:val="multilevel"/>
    <w:tmpl w:val="56E03D20"/>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4"/>
  </w:num>
  <w:num w:numId="4">
    <w:abstractNumId w:val="8"/>
  </w:num>
  <w:num w:numId="5">
    <w:abstractNumId w:val="2"/>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D0E"/>
    <w:rsid w:val="000B2917"/>
    <w:rsid w:val="000E494C"/>
    <w:rsid w:val="00136294"/>
    <w:rsid w:val="00257C6F"/>
    <w:rsid w:val="00422C16"/>
    <w:rsid w:val="006906FE"/>
    <w:rsid w:val="00714D0E"/>
    <w:rsid w:val="00B36FD2"/>
    <w:rsid w:val="00E90C93"/>
    <w:rsid w:val="00F24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04DBEF9-0A46-4395-8974-AD2B4AFD4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E66685"/>
    <w:rPr>
      <w:rFonts w:ascii="Palatino Linotype" w:eastAsia="Palatino Linotype" w:hAnsi="Palatino Linotype" w:cs="Palatino Linotype"/>
      <w:b/>
      <w:color w:val="000000" w:themeColor="text1"/>
      <w:sz w:val="48"/>
      <w:szCs w:val="48"/>
      <w:lang w:eastAsia="es-MX"/>
    </w:rPr>
  </w:style>
  <w:style w:type="character" w:customStyle="1" w:styleId="Ttulo2Car">
    <w:name w:val="Título 2 Car"/>
    <w:basedOn w:val="Fuentedeprrafopredeter"/>
    <w:uiPriority w:val="9"/>
    <w:rsid w:val="00E66685"/>
    <w:rPr>
      <w:rFonts w:ascii="Palatino Linotype" w:eastAsia="Palatino Linotype" w:hAnsi="Palatino Linotype" w:cs="Palatino Linotype"/>
      <w:b/>
      <w:color w:val="000000" w:themeColor="text1"/>
      <w:sz w:val="36"/>
      <w:szCs w:val="36"/>
      <w:lang w:eastAsia="es-MX"/>
    </w:rPr>
  </w:style>
  <w:style w:type="table" w:customStyle="1" w:styleId="3">
    <w:name w:val="3"/>
    <w:basedOn w:val="Tablanormal"/>
    <w:rsid w:val="00E66685"/>
    <w:pPr>
      <w:spacing w:after="0" w:line="240" w:lineRule="auto"/>
    </w:pPr>
    <w:tblPr>
      <w:tblStyleRowBandSize w:val="1"/>
      <w:tblStyleColBandSize w:val="1"/>
      <w:tblInd w:w="0" w:type="nil"/>
    </w:tblPr>
  </w:style>
  <w:style w:type="table" w:customStyle="1" w:styleId="2">
    <w:name w:val="2"/>
    <w:basedOn w:val="Tablanormal"/>
    <w:rsid w:val="00E66685"/>
    <w:pPr>
      <w:spacing w:after="0" w:line="240" w:lineRule="auto"/>
    </w:pPr>
    <w:tblPr>
      <w:tblStyleRowBandSize w:val="1"/>
      <w:tblStyleColBandSize w:val="1"/>
      <w:tblInd w:w="0" w:type="nil"/>
    </w:tblPr>
  </w:style>
  <w:style w:type="table" w:customStyle="1" w:styleId="1">
    <w:name w:val="1"/>
    <w:basedOn w:val="Tablanormal"/>
    <w:rsid w:val="00E66685"/>
    <w:pPr>
      <w:spacing w:after="0" w:line="240" w:lineRule="auto"/>
    </w:pPr>
    <w:tblPr>
      <w:tblStyleRowBandSize w:val="1"/>
      <w:tblStyleColBandSize w:val="1"/>
      <w:tblInd w:w="0" w:type="nil"/>
    </w:tblPr>
  </w:style>
  <w:style w:type="character" w:styleId="Hipervnculo">
    <w:name w:val="Hyperlink"/>
    <w:aliases w:val="Hipervínculo1,Hipervínculo11,Hipervínculo12,Hipervínculo13,Hipervínculo14,Hipervínculo15"/>
    <w:basedOn w:val="Fuentedeprrafopredeter"/>
    <w:uiPriority w:val="99"/>
    <w:unhideWhenUsed/>
    <w:qFormat/>
    <w:rsid w:val="00E66685"/>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E6668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6685"/>
    <w:pPr>
      <w:spacing w:after="0" w:line="240" w:lineRule="auto"/>
      <w:ind w:left="720"/>
      <w:contextualSpacing/>
    </w:pPr>
    <w:rPr>
      <w:rFonts w:asciiTheme="minorHAnsi" w:eastAsia="Times New Roman" w:hAnsiTheme="minorHAnsi" w:cs="Times New Roman"/>
      <w:szCs w:val="24"/>
      <w:lang w:eastAsia="es-ES"/>
    </w:rPr>
  </w:style>
  <w:style w:type="paragraph" w:styleId="TtulodeTDC">
    <w:name w:val="TOC Heading"/>
    <w:next w:val="Normal"/>
    <w:uiPriority w:val="39"/>
    <w:unhideWhenUsed/>
    <w:qFormat/>
    <w:rsid w:val="00E66685"/>
    <w:pPr>
      <w:spacing w:before="240" w:after="0" w:line="259" w:lineRule="auto"/>
      <w:jc w:val="left"/>
    </w:pPr>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E66685"/>
    <w:pPr>
      <w:spacing w:after="100"/>
    </w:pPr>
  </w:style>
  <w:style w:type="paragraph" w:styleId="TDC2">
    <w:name w:val="toc 2"/>
    <w:basedOn w:val="Normal"/>
    <w:next w:val="Normal"/>
    <w:autoRedefine/>
    <w:uiPriority w:val="39"/>
    <w:unhideWhenUsed/>
    <w:rsid w:val="00E66685"/>
    <w:pPr>
      <w:spacing w:after="100"/>
      <w:ind w:left="220"/>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0cE2I+2jDGcQ8+WK8GqxwSKiw==">CgMxLjAyDmguNDd2MndnaTlkaGU4Mg5oLmRhOTRkazhnMTluMjIOaC5lZHBhOGViend4M2oyDmguMndkazR0b21mdHdoMg5oLmZya3V6dnczcWM3aDIOaC5vYmg5Y3RjaXBlcngyDmguZDltYzRjN3RkNzV2Mg5oLjkwcWZkYXU3ejc4azIJaC4zMGowemxsMg5oLmtyeGM2bmpjdGUxNjIOaC5ycnNhcDhiYTd1ZmgyDWgudWowYWl4MnZyZHoyDmguYm5ubGoycXpmY3h1Mg5oLjM1eDFpb3R4OGhuYTINaC55eDJvN3JmMzU0dDIOaC51NjZ1bjVjY2E0bDk4AHIhMXJ5N3lmZmxMQjZ1dHRObmlfejBuSUFhMVk3Z180TW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A52E54-0478-4EDE-8DD2-77D06BE44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5930</Words>
  <Characters>32619</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2026-01-16T16:41:00Z</cp:lastPrinted>
  <dcterms:created xsi:type="dcterms:W3CDTF">2026-01-16T16:41:00Z</dcterms:created>
  <dcterms:modified xsi:type="dcterms:W3CDTF">2026-03-12T23:00:00Z</dcterms:modified>
</cp:coreProperties>
</file>