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AD6" w:rsidRPr="00900C89" w:rsidRDefault="00CE3B78">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900C8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900C89">
        <w:rPr>
          <w:rFonts w:ascii="Palatino Linotype" w:eastAsia="Palatino Linotype" w:hAnsi="Palatino Linotype" w:cs="Palatino Linotype"/>
          <w:b/>
        </w:rPr>
        <w:t>de fecha veinticinco (25) de febrero de dos mil veintiséis</w:t>
      </w:r>
      <w:r w:rsidRPr="00900C89">
        <w:rPr>
          <w:rFonts w:ascii="Palatino Linotype" w:eastAsia="Palatino Linotype" w:hAnsi="Palatino Linotype" w:cs="Palatino Linotype"/>
        </w:rPr>
        <w:t>.</w:t>
      </w:r>
    </w:p>
    <w:p w:rsidR="00950AD6" w:rsidRPr="00900C89" w:rsidRDefault="00950AD6">
      <w:pPr>
        <w:tabs>
          <w:tab w:val="left" w:pos="3465"/>
        </w:tabs>
        <w:spacing w:line="360" w:lineRule="auto"/>
        <w:ind w:right="-787"/>
        <w:jc w:val="both"/>
        <w:rPr>
          <w:rFonts w:ascii="Palatino Linotype" w:eastAsia="Palatino Linotype" w:hAnsi="Palatino Linotype" w:cs="Palatino Linotype"/>
        </w:rPr>
      </w:pPr>
    </w:p>
    <w:p w:rsidR="00950AD6" w:rsidRPr="00900C89" w:rsidRDefault="00CE3B78">
      <w:pPr>
        <w:spacing w:line="360" w:lineRule="auto"/>
        <w:ind w:right="-787"/>
        <w:jc w:val="both"/>
        <w:rPr>
          <w:rFonts w:ascii="Palatino Linotype" w:eastAsia="Palatino Linotype" w:hAnsi="Palatino Linotype" w:cs="Palatino Linotype"/>
        </w:rPr>
      </w:pPr>
      <w:r w:rsidRPr="00900C89">
        <w:rPr>
          <w:rFonts w:ascii="Palatino Linotype" w:eastAsia="Palatino Linotype" w:hAnsi="Palatino Linotype" w:cs="Palatino Linotype"/>
          <w:b/>
          <w:bCs/>
        </w:rPr>
        <w:t xml:space="preserve">VISTAS </w:t>
      </w:r>
      <w:r w:rsidRPr="00900C89">
        <w:rPr>
          <w:rFonts w:ascii="Palatino Linotype" w:eastAsia="Palatino Linotype" w:hAnsi="Palatino Linotype" w:cs="Palatino Linotype"/>
        </w:rPr>
        <w:t xml:space="preserve">las constancias para resolver </w:t>
      </w:r>
      <w:r w:rsidRPr="00900C89">
        <w:rPr>
          <w:rFonts w:ascii="Palatino Linotype" w:eastAsia="Palatino Linotype" w:hAnsi="Palatino Linotype" w:cs="Palatino Linotype"/>
          <w:color w:val="000000"/>
        </w:rPr>
        <w:t xml:space="preserve">el Recurso de Revisión </w:t>
      </w:r>
      <w:r w:rsidRPr="00900C89">
        <w:rPr>
          <w:rFonts w:ascii="Palatino Linotype" w:eastAsia="Palatino Linotype" w:hAnsi="Palatino Linotype" w:cs="Palatino Linotype"/>
          <w:b/>
          <w:bCs/>
          <w:color w:val="000000"/>
        </w:rPr>
        <w:t>10098/INFOEM/IP/RR/2025</w:t>
      </w:r>
      <w:r w:rsidRPr="00900C89">
        <w:rPr>
          <w:rFonts w:ascii="Palatino Linotype" w:eastAsia="Palatino Linotype" w:hAnsi="Palatino Linotype" w:cs="Palatino Linotype"/>
          <w:color w:val="000000"/>
        </w:rPr>
        <w:t xml:space="preserve">, promovido </w:t>
      </w:r>
      <w:r w:rsidRPr="00900C89">
        <w:rPr>
          <w:rFonts w:ascii="Palatino Linotype" w:eastAsia="Palatino Linotype" w:hAnsi="Palatino Linotype" w:cs="Palatino Linotype"/>
        </w:rPr>
        <w:t>por</w:t>
      </w:r>
      <w:r w:rsidRPr="00900C89">
        <w:rPr>
          <w:rFonts w:ascii="Palatino Linotype" w:eastAsia="Palatino Linotype" w:hAnsi="Palatino Linotype" w:cs="Palatino Linotype"/>
          <w:b/>
          <w:bCs/>
        </w:rPr>
        <w:t xml:space="preserve"> </w:t>
      </w:r>
      <w:r w:rsidR="00B8701A">
        <w:rPr>
          <w:rFonts w:ascii="Palatino Linotype" w:eastAsia="Palatino Linotype" w:hAnsi="Palatino Linotype" w:cs="Palatino Linotype"/>
          <w:b/>
          <w:bCs/>
        </w:rPr>
        <w:t>XXXX</w:t>
      </w:r>
      <w:r w:rsidRPr="00900C89">
        <w:rPr>
          <w:rFonts w:ascii="Palatino Linotype" w:eastAsia="Palatino Linotype" w:hAnsi="Palatino Linotype" w:cs="Palatino Linotype"/>
          <w:color w:val="000000"/>
        </w:rPr>
        <w:t>,</w:t>
      </w:r>
      <w:r w:rsidRPr="00900C89">
        <w:rPr>
          <w:rFonts w:ascii="Palatino Linotype" w:eastAsia="Palatino Linotype" w:hAnsi="Palatino Linotype" w:cs="Palatino Linotype"/>
          <w:b/>
          <w:bCs/>
        </w:rPr>
        <w:t xml:space="preserve"> </w:t>
      </w:r>
      <w:r w:rsidRPr="00900C89">
        <w:rPr>
          <w:rFonts w:ascii="Palatino Linotype" w:eastAsia="Palatino Linotype" w:hAnsi="Palatino Linotype" w:cs="Palatino Linotype"/>
        </w:rPr>
        <w:t xml:space="preserve">a quien en lo sucesivo se denominará  </w:t>
      </w:r>
      <w:r w:rsidRPr="00900C89">
        <w:rPr>
          <w:rFonts w:ascii="Palatino Linotype" w:eastAsia="Palatino Linotype" w:hAnsi="Palatino Linotype" w:cs="Palatino Linotype"/>
          <w:b/>
          <w:bCs/>
        </w:rPr>
        <w:t>EL RECURRENTE</w:t>
      </w:r>
      <w:r w:rsidRPr="00900C89">
        <w:rPr>
          <w:rFonts w:ascii="Palatino Linotype" w:eastAsia="Palatino Linotype" w:hAnsi="Palatino Linotype" w:cs="Palatino Linotype"/>
        </w:rPr>
        <w:t xml:space="preserve">, en contra de la respuesta otorgada a la solicitud de información </w:t>
      </w:r>
      <w:r w:rsidRPr="00900C89">
        <w:rPr>
          <w:rFonts w:ascii="Palatino Linotype" w:eastAsia="Palatino Linotype" w:hAnsi="Palatino Linotype" w:cs="Palatino Linotype"/>
          <w:b/>
          <w:bCs/>
        </w:rPr>
        <w:t>00401/CALIMAYA/IP/2025</w:t>
      </w:r>
      <w:r w:rsidRPr="00900C89">
        <w:rPr>
          <w:rFonts w:ascii="Palatino Linotype" w:eastAsia="Palatino Linotype" w:hAnsi="Palatino Linotype" w:cs="Palatino Linotype"/>
        </w:rPr>
        <w:t xml:space="preserve">, por parte del </w:t>
      </w:r>
      <w:r w:rsidRPr="00900C89">
        <w:rPr>
          <w:rFonts w:ascii="Palatino Linotype" w:eastAsia="Palatino Linotype" w:hAnsi="Palatino Linotype" w:cs="Palatino Linotype"/>
          <w:b/>
          <w:bCs/>
        </w:rPr>
        <w:t xml:space="preserve">Ayuntamiento de Calimaya, </w:t>
      </w:r>
      <w:r w:rsidRPr="00900C89">
        <w:rPr>
          <w:rFonts w:ascii="Palatino Linotype" w:eastAsia="Palatino Linotype" w:hAnsi="Palatino Linotype" w:cs="Palatino Linotype"/>
        </w:rPr>
        <w:t xml:space="preserve">en adelante el </w:t>
      </w:r>
      <w:r w:rsidRPr="00900C89">
        <w:rPr>
          <w:rFonts w:ascii="Palatino Linotype" w:eastAsia="Palatino Linotype" w:hAnsi="Palatino Linotype" w:cs="Palatino Linotype"/>
          <w:b/>
          <w:bCs/>
        </w:rPr>
        <w:t>SUJETO OBLIGADO,</w:t>
      </w:r>
      <w:r w:rsidRPr="00900C89">
        <w:rPr>
          <w:rFonts w:ascii="Palatino Linotype" w:eastAsia="Palatino Linotype" w:hAnsi="Palatino Linotype" w:cs="Palatino Linotype"/>
        </w:rPr>
        <w:t xml:space="preserve"> se emite la presente resolución con base en los siguientes:</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900C89">
        <w:rPr>
          <w:rFonts w:ascii="Palatino Linotype" w:eastAsia="Palatino Linotype" w:hAnsi="Palatino Linotype" w:cs="Palatino Linotype"/>
          <w:b/>
          <w:bCs/>
          <w:color w:val="000000"/>
          <w:sz w:val="24"/>
          <w:szCs w:val="24"/>
        </w:rPr>
        <w:t>A N T E C E D E N T E S</w:t>
      </w:r>
    </w:p>
    <w:p w:rsidR="00950AD6" w:rsidRPr="00900C89" w:rsidRDefault="00950AD6">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950AD6" w:rsidRPr="00900C89" w:rsidRDefault="00CE3B7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900C89">
        <w:rPr>
          <w:rFonts w:ascii="Palatino Linotype" w:eastAsia="Palatino Linotype" w:hAnsi="Palatino Linotype" w:cs="Palatino Linotype"/>
          <w:color w:val="000000"/>
        </w:rPr>
        <w:t xml:space="preserve">El </w:t>
      </w:r>
      <w:r w:rsidRPr="00900C89">
        <w:rPr>
          <w:rFonts w:ascii="Palatino Linotype" w:eastAsia="Palatino Linotype" w:hAnsi="Palatino Linotype" w:cs="Palatino Linotype"/>
          <w:b/>
          <w:bCs/>
          <w:color w:val="000000"/>
        </w:rPr>
        <w:t>trece de agosto de dos mil veinticinco</w:t>
      </w:r>
      <w:r w:rsidRPr="00900C89">
        <w:rPr>
          <w:rFonts w:ascii="Palatino Linotype" w:eastAsia="Palatino Linotype" w:hAnsi="Palatino Linotype" w:cs="Palatino Linotype"/>
          <w:color w:val="000000"/>
        </w:rPr>
        <w:t>,</w:t>
      </w:r>
      <w:r w:rsidRPr="00900C89">
        <w:rPr>
          <w:rFonts w:ascii="Palatino Linotype" w:eastAsia="Palatino Linotype" w:hAnsi="Palatino Linotype" w:cs="Palatino Linotype"/>
          <w:b/>
          <w:bCs/>
          <w:color w:val="000000"/>
        </w:rPr>
        <w:t xml:space="preserve"> </w:t>
      </w:r>
      <w:r w:rsidRPr="00900C89">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950AD6" w:rsidRPr="00900C89" w:rsidRDefault="00950AD6">
      <w:pPr>
        <w:pBdr>
          <w:top w:val="nil"/>
          <w:left w:val="nil"/>
          <w:bottom w:val="nil"/>
          <w:right w:val="nil"/>
          <w:between w:val="nil"/>
        </w:pBdr>
        <w:ind w:right="-787"/>
        <w:jc w:val="both"/>
        <w:rPr>
          <w:rFonts w:ascii="Palatino Linotype" w:eastAsia="Palatino Linotype" w:hAnsi="Palatino Linotype" w:cs="Palatino Linotype"/>
          <w:color w:val="000000"/>
        </w:rPr>
      </w:pPr>
    </w:p>
    <w:p w:rsidR="00950AD6" w:rsidRPr="00900C89" w:rsidRDefault="00CE3B78">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“se solicita recibo de nómina de la primera y segunda quincena del mes de julio de 2025, curriculum vitae, grado máximo de estudios y comprobante de estudios, que funciones realiza y cargo de JOSE MANUEL PIÑA GOMORA dentro de la administración de calimaya 2025-2027.” (Sic)</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rsidP="00900C89">
      <w:pPr>
        <w:numPr>
          <w:ilvl w:val="0"/>
          <w:numId w:val="7"/>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Se eligió como modalidad de entrega de la información: A través del </w:t>
      </w:r>
      <w:r w:rsidRPr="00900C89">
        <w:rPr>
          <w:rFonts w:ascii="Palatino Linotype" w:eastAsia="Palatino Linotype" w:hAnsi="Palatino Linotype" w:cs="Palatino Linotype"/>
          <w:b/>
          <w:bCs/>
          <w:color w:val="000000"/>
        </w:rPr>
        <w:t>SAIMEX.</w:t>
      </w:r>
    </w:p>
    <w:p w:rsidR="00950AD6" w:rsidRPr="00900C89" w:rsidRDefault="00950AD6">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950AD6" w:rsidRPr="00900C89" w:rsidRDefault="00CE3B78">
      <w:pPr>
        <w:numPr>
          <w:ilvl w:val="0"/>
          <w:numId w:val="1"/>
        </w:numPr>
        <w:pBdr>
          <w:top w:val="nil"/>
          <w:left w:val="nil"/>
          <w:bottom w:val="nil"/>
          <w:right w:val="nil"/>
          <w:between w:val="nil"/>
        </w:pBdr>
        <w:tabs>
          <w:tab w:val="left" w:pos="0"/>
        </w:tabs>
        <w:spacing w:line="360" w:lineRule="auto"/>
        <w:ind w:left="0" w:right="-788" w:firstLine="0"/>
        <w:jc w:val="both"/>
        <w:rPr>
          <w:color w:val="000000"/>
        </w:rPr>
      </w:pPr>
      <w:r w:rsidRPr="00900C89">
        <w:rPr>
          <w:rFonts w:ascii="Palatino Linotype" w:eastAsia="Palatino Linotype" w:hAnsi="Palatino Linotype" w:cs="Palatino Linotype"/>
          <w:color w:val="000000"/>
        </w:rPr>
        <w:t>El</w:t>
      </w:r>
      <w:r w:rsidRPr="00900C89">
        <w:rPr>
          <w:rFonts w:ascii="Palatino Linotype" w:eastAsia="Palatino Linotype" w:hAnsi="Palatino Linotype" w:cs="Palatino Linotype"/>
          <w:b/>
          <w:bCs/>
          <w:color w:val="000000"/>
        </w:rPr>
        <w:t xml:space="preserve"> veinte de agosto de dos mil veinticinco</w:t>
      </w:r>
      <w:r w:rsidRPr="00900C89">
        <w:rPr>
          <w:rFonts w:ascii="Palatino Linotype" w:eastAsia="Palatino Linotype" w:hAnsi="Palatino Linotype" w:cs="Palatino Linotype"/>
          <w:color w:val="000000"/>
        </w:rPr>
        <w:t>, el Sujeto Obligado</w:t>
      </w:r>
      <w:r w:rsidRPr="00900C89">
        <w:rPr>
          <w:rFonts w:ascii="Palatino Linotype" w:eastAsia="Palatino Linotype" w:hAnsi="Palatino Linotype" w:cs="Palatino Linotype"/>
          <w:b/>
          <w:bCs/>
          <w:color w:val="000000"/>
        </w:rPr>
        <w:t>,</w:t>
      </w:r>
      <w:r w:rsidRPr="00900C89">
        <w:rPr>
          <w:rFonts w:ascii="Palatino Linotype" w:eastAsia="Palatino Linotype" w:hAnsi="Palatino Linotype" w:cs="Palatino Linotype"/>
          <w:color w:val="000000"/>
        </w:rPr>
        <w:t xml:space="preserve"> dio </w:t>
      </w:r>
      <w:r w:rsidRPr="00900C89">
        <w:rPr>
          <w:rFonts w:ascii="Palatino Linotype" w:eastAsia="Palatino Linotype" w:hAnsi="Palatino Linotype" w:cs="Palatino Linotype"/>
          <w:b/>
          <w:bCs/>
          <w:color w:val="000000"/>
        </w:rPr>
        <w:t>respuesta</w:t>
      </w:r>
      <w:r w:rsidRPr="00900C89">
        <w:rPr>
          <w:rFonts w:ascii="Palatino Linotype" w:eastAsia="Palatino Linotype" w:hAnsi="Palatino Linotype" w:cs="Palatino Linotype"/>
          <w:color w:val="000000"/>
        </w:rPr>
        <w:t xml:space="preserve"> a través de los archivos digitales siguientes:</w:t>
      </w:r>
    </w:p>
    <w:p w:rsidR="00950AD6" w:rsidRPr="00900C89" w:rsidRDefault="00950AD6">
      <w:pPr>
        <w:pBdr>
          <w:top w:val="nil"/>
          <w:left w:val="nil"/>
          <w:bottom w:val="nil"/>
          <w:right w:val="nil"/>
          <w:between w:val="nil"/>
        </w:pBdr>
        <w:tabs>
          <w:tab w:val="left" w:pos="0"/>
        </w:tabs>
        <w:spacing w:line="360" w:lineRule="auto"/>
        <w:ind w:right="-788"/>
        <w:jc w:val="both"/>
        <w:rPr>
          <w:color w:val="000000"/>
        </w:rPr>
      </w:pPr>
    </w:p>
    <w:p w:rsidR="00950AD6" w:rsidRPr="00900C89" w:rsidRDefault="00CE3B78">
      <w:pPr>
        <w:pBdr>
          <w:top w:val="nil"/>
          <w:left w:val="nil"/>
          <w:bottom w:val="nil"/>
          <w:right w:val="nil"/>
          <w:between w:val="nil"/>
        </w:pBdr>
        <w:tabs>
          <w:tab w:val="left" w:pos="567"/>
        </w:tabs>
        <w:ind w:left="426" w:right="-788"/>
        <w:jc w:val="both"/>
        <w:rPr>
          <w:rFonts w:ascii="Palatino Linotype" w:eastAsia="Palatino Linotype" w:hAnsi="Palatino Linotype" w:cs="Palatino Linotype"/>
          <w:b/>
          <w:bCs/>
          <w:i/>
          <w:iCs/>
          <w:color w:val="000000"/>
        </w:rPr>
      </w:pPr>
      <w:r w:rsidRPr="00900C89">
        <w:rPr>
          <w:rFonts w:ascii="Palatino Linotype" w:eastAsia="Palatino Linotype" w:hAnsi="Palatino Linotype" w:cs="Palatino Linotype"/>
          <w:b/>
          <w:bCs/>
          <w:i/>
          <w:iCs/>
          <w:color w:val="000000"/>
        </w:rPr>
        <w:lastRenderedPageBreak/>
        <w:t>401.pdf</w:t>
      </w:r>
    </w:p>
    <w:p w:rsidR="00950AD6" w:rsidRPr="00900C89" w:rsidRDefault="00CE3B78">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Oficio: PMC/TM/0641/2025 de fecha 15 de agosto de 2025, firmado por el Tesorero Municipal, a través del cual refiere:</w:t>
      </w:r>
    </w:p>
    <w:p w:rsidR="00950AD6" w:rsidRPr="00900C89" w:rsidRDefault="00950AD6">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p>
    <w:p w:rsidR="00950AD6" w:rsidRPr="00900C89" w:rsidRDefault="00CE3B78">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 xml:space="preserve">“se anexa en versión pública los </w:t>
      </w:r>
      <w:r w:rsidRPr="00900C89">
        <w:rPr>
          <w:rFonts w:ascii="Palatino Linotype" w:eastAsia="Palatino Linotype" w:hAnsi="Palatino Linotype" w:cs="Palatino Linotype"/>
          <w:b/>
          <w:bCs/>
          <w:i/>
          <w:iCs/>
          <w:color w:val="000000"/>
        </w:rPr>
        <w:t>recibos de nomina</w:t>
      </w:r>
      <w:r w:rsidRPr="00900C89">
        <w:rPr>
          <w:rFonts w:ascii="Palatino Linotype" w:eastAsia="Palatino Linotype" w:hAnsi="Palatino Linotype" w:cs="Palatino Linotype"/>
          <w:i/>
          <w:iCs/>
          <w:color w:val="000000"/>
        </w:rPr>
        <w:t xml:space="preserve"> referente a la fecha de solicitud, así mismo se integra el </w:t>
      </w:r>
      <w:r w:rsidRPr="00900C89">
        <w:rPr>
          <w:rFonts w:ascii="Palatino Linotype" w:eastAsia="Palatino Linotype" w:hAnsi="Palatino Linotype" w:cs="Palatino Linotype"/>
          <w:b/>
          <w:bCs/>
          <w:i/>
          <w:iCs/>
          <w:color w:val="000000"/>
        </w:rPr>
        <w:t>C.V</w:t>
      </w:r>
      <w:r w:rsidRPr="00900C89">
        <w:rPr>
          <w:rFonts w:ascii="Palatino Linotype" w:eastAsia="Palatino Linotype" w:hAnsi="Palatino Linotype" w:cs="Palatino Linotype"/>
          <w:i/>
          <w:iCs/>
          <w:color w:val="000000"/>
        </w:rPr>
        <w:t xml:space="preserve">. en versión pública y su </w:t>
      </w:r>
      <w:r w:rsidRPr="00900C89">
        <w:rPr>
          <w:rFonts w:ascii="Palatino Linotype" w:eastAsia="Palatino Linotype" w:hAnsi="Palatino Linotype" w:cs="Palatino Linotype"/>
          <w:b/>
          <w:bCs/>
          <w:i/>
          <w:iCs/>
          <w:color w:val="000000"/>
        </w:rPr>
        <w:t>ultimo grado de estudio</w:t>
      </w:r>
      <w:r w:rsidRPr="00900C89">
        <w:rPr>
          <w:rFonts w:ascii="Palatino Linotype" w:eastAsia="Palatino Linotype" w:hAnsi="Palatino Linotype" w:cs="Palatino Linotype"/>
          <w:i/>
          <w:iCs/>
          <w:color w:val="000000"/>
        </w:rPr>
        <w:t>, cabe señalar que la información de las funciones no son atribuciones de la Tesorería Municipal…” (Sic)</w:t>
      </w:r>
    </w:p>
    <w:p w:rsidR="00950AD6" w:rsidRPr="00900C89" w:rsidRDefault="00950AD6">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p>
    <w:p w:rsidR="00950AD6" w:rsidRPr="00900C89" w:rsidRDefault="00CE3B78">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Ficha curricular</w:t>
      </w:r>
    </w:p>
    <w:p w:rsidR="00950AD6" w:rsidRPr="00900C89" w:rsidRDefault="00CE3B78">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w:t>
      </w:r>
      <w:r w:rsidR="00B01E4C" w:rsidRPr="00900C89">
        <w:rPr>
          <w:rFonts w:ascii="Palatino Linotype" w:eastAsia="Palatino Linotype" w:hAnsi="Palatino Linotype" w:cs="Palatino Linotype"/>
        </w:rPr>
        <w:t xml:space="preserve"> </w:t>
      </w:r>
      <w:r w:rsidR="00B01E4C" w:rsidRPr="00900C89">
        <w:rPr>
          <w:rFonts w:ascii="Palatino Linotype" w:eastAsia="Palatino Linotype" w:hAnsi="Palatino Linotype" w:cs="Palatino Linotype"/>
          <w:color w:val="000000"/>
        </w:rPr>
        <w:t>Boleta de calificaciones de la licenciatura en Administración de empresas, del primer cuatrimestre, de fecha 16 de febrero de 2013</w:t>
      </w:r>
    </w:p>
    <w:p w:rsidR="00950AD6" w:rsidRPr="00900C89" w:rsidRDefault="00CE3B78">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Recibo de nómina de la primera y segunda quincena de julio</w:t>
      </w:r>
    </w:p>
    <w:p w:rsidR="00950AD6" w:rsidRPr="00900C89" w:rsidRDefault="00950AD6">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p>
    <w:p w:rsidR="00950AD6" w:rsidRPr="00900C89" w:rsidRDefault="00950AD6">
      <w:pPr>
        <w:pBdr>
          <w:top w:val="nil"/>
          <w:left w:val="nil"/>
          <w:bottom w:val="nil"/>
          <w:right w:val="nil"/>
          <w:between w:val="nil"/>
        </w:pBdr>
        <w:tabs>
          <w:tab w:val="left" w:pos="567"/>
        </w:tabs>
        <w:ind w:left="426" w:right="-788"/>
        <w:jc w:val="both"/>
        <w:rPr>
          <w:rFonts w:ascii="Palatino Linotype" w:eastAsia="Palatino Linotype" w:hAnsi="Palatino Linotype" w:cs="Palatino Linotype"/>
          <w:b/>
          <w:bCs/>
          <w:i/>
          <w:iCs/>
          <w:color w:val="000000"/>
        </w:rPr>
      </w:pPr>
    </w:p>
    <w:p w:rsidR="00950AD6" w:rsidRPr="00900C89" w:rsidRDefault="00CE3B78">
      <w:pPr>
        <w:pBdr>
          <w:top w:val="nil"/>
          <w:left w:val="nil"/>
          <w:bottom w:val="nil"/>
          <w:right w:val="nil"/>
          <w:between w:val="nil"/>
        </w:pBdr>
        <w:tabs>
          <w:tab w:val="left" w:pos="567"/>
        </w:tabs>
        <w:ind w:left="426" w:right="-788"/>
        <w:jc w:val="both"/>
        <w:rPr>
          <w:rFonts w:ascii="Palatino Linotype" w:eastAsia="Palatino Linotype" w:hAnsi="Palatino Linotype" w:cs="Palatino Linotype"/>
          <w:b/>
          <w:bCs/>
          <w:i/>
          <w:iCs/>
          <w:color w:val="000000"/>
        </w:rPr>
      </w:pPr>
      <w:r w:rsidRPr="00900C89">
        <w:rPr>
          <w:rFonts w:ascii="Palatino Linotype" w:eastAsia="Palatino Linotype" w:hAnsi="Palatino Linotype" w:cs="Palatino Linotype"/>
          <w:b/>
          <w:bCs/>
          <w:i/>
          <w:iCs/>
          <w:color w:val="000000"/>
        </w:rPr>
        <w:t>SÉPTIMA SESIÓN EXTRAORDINARIA (1).pdf</w:t>
      </w:r>
    </w:p>
    <w:p w:rsidR="00950AD6" w:rsidRPr="00900C89" w:rsidRDefault="00CE3B78">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Acta de la séptima sesión extraordinaria del Comité de Transparencia, a través de la cual se dicta el acuerdo CALIMAYA/CT/07EXT/0039/2025, en cuyo punto primero. Se aprueba la versión pública de los recibos de nómina y grados de estudios, para dar cumplimiento a la solicitud de información número 00401/CALIMAYA/IP/2025.</w:t>
      </w:r>
    </w:p>
    <w:p w:rsidR="00950AD6" w:rsidRPr="00900C89" w:rsidRDefault="00950AD6">
      <w:pPr>
        <w:pBdr>
          <w:top w:val="nil"/>
          <w:left w:val="nil"/>
          <w:bottom w:val="nil"/>
          <w:right w:val="nil"/>
          <w:between w:val="nil"/>
        </w:pBdr>
        <w:tabs>
          <w:tab w:val="left" w:pos="567"/>
        </w:tabs>
        <w:ind w:right="-787"/>
        <w:jc w:val="both"/>
        <w:rPr>
          <w:rFonts w:ascii="Palatino Linotype" w:eastAsia="Palatino Linotype" w:hAnsi="Palatino Linotype" w:cs="Palatino Linotype"/>
          <w:b/>
          <w:bCs/>
          <w:color w:val="000000"/>
        </w:rPr>
      </w:pPr>
    </w:p>
    <w:p w:rsidR="00950AD6" w:rsidRPr="00900C89" w:rsidRDefault="00CE3B78">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900C89">
        <w:rPr>
          <w:rFonts w:ascii="Palatino Linotype" w:eastAsia="Palatino Linotype" w:hAnsi="Palatino Linotype" w:cs="Palatino Linotype"/>
          <w:color w:val="000000"/>
        </w:rPr>
        <w:t>El</w:t>
      </w:r>
      <w:r w:rsidRPr="00900C89">
        <w:rPr>
          <w:rFonts w:ascii="Palatino Linotype" w:eastAsia="Palatino Linotype" w:hAnsi="Palatino Linotype" w:cs="Palatino Linotype"/>
          <w:b/>
          <w:bCs/>
          <w:color w:val="000000"/>
        </w:rPr>
        <w:t xml:space="preserve"> veintisiete de agosto de dos mil veinticinco</w:t>
      </w:r>
      <w:r w:rsidRPr="00900C89">
        <w:rPr>
          <w:rFonts w:ascii="Palatino Linotype" w:eastAsia="Palatino Linotype" w:hAnsi="Palatino Linotype" w:cs="Palatino Linotype"/>
          <w:color w:val="000000"/>
        </w:rPr>
        <w:t xml:space="preserve">, el particular interpuso el </w:t>
      </w:r>
      <w:r w:rsidRPr="00900C89">
        <w:rPr>
          <w:rFonts w:ascii="Palatino Linotype" w:eastAsia="Palatino Linotype" w:hAnsi="Palatino Linotype" w:cs="Palatino Linotype"/>
          <w:b/>
          <w:bCs/>
          <w:color w:val="000000"/>
        </w:rPr>
        <w:t>recurso de revisión</w:t>
      </w:r>
      <w:r w:rsidRPr="00900C89">
        <w:rPr>
          <w:rFonts w:ascii="Palatino Linotype" w:eastAsia="Palatino Linotype" w:hAnsi="Palatino Linotype" w:cs="Palatino Linotype"/>
          <w:color w:val="000000"/>
        </w:rPr>
        <w:t xml:space="preserve"> en contra de la respuesta otorgada por el Sujeto Obligado, realizando las siguientes manifestaciones:</w:t>
      </w:r>
    </w:p>
    <w:p w:rsidR="00900C89" w:rsidRDefault="00900C89" w:rsidP="00900C89">
      <w:pPr>
        <w:pBdr>
          <w:top w:val="nil"/>
          <w:left w:val="nil"/>
          <w:bottom w:val="nil"/>
          <w:right w:val="nil"/>
          <w:between w:val="nil"/>
        </w:pBdr>
        <w:ind w:right="-518"/>
        <w:jc w:val="both"/>
        <w:rPr>
          <w:rFonts w:ascii="Palatino Linotype" w:eastAsia="Palatino Linotype" w:hAnsi="Palatino Linotype" w:cs="Palatino Linotype"/>
          <w:b/>
          <w:bCs/>
          <w:color w:val="000000"/>
        </w:rPr>
      </w:pPr>
      <w:bookmarkStart w:id="2" w:name="_heading=h.30j0zll" w:colFirst="0" w:colLast="0"/>
      <w:bookmarkEnd w:id="2"/>
    </w:p>
    <w:p w:rsidR="00950AD6" w:rsidRPr="00900C89" w:rsidRDefault="00900C89" w:rsidP="00900C89">
      <w:pPr>
        <w:pStyle w:val="Prrafodelista"/>
        <w:numPr>
          <w:ilvl w:val="0"/>
          <w:numId w:val="10"/>
        </w:numPr>
        <w:pBdr>
          <w:top w:val="nil"/>
          <w:left w:val="nil"/>
          <w:bottom w:val="nil"/>
          <w:right w:val="nil"/>
          <w:between w:val="nil"/>
        </w:pBdr>
        <w:ind w:right="-518"/>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b/>
          <w:bCs/>
          <w:color w:val="000000"/>
        </w:rPr>
        <w:t xml:space="preserve">ACTO IMPUGNADO: </w:t>
      </w:r>
    </w:p>
    <w:p w:rsidR="00950AD6" w:rsidRPr="00900C89" w:rsidRDefault="00CE3B78" w:rsidP="00900C89">
      <w:pPr>
        <w:pBdr>
          <w:top w:val="nil"/>
          <w:left w:val="nil"/>
          <w:bottom w:val="nil"/>
          <w:right w:val="nil"/>
          <w:between w:val="nil"/>
        </w:pBdr>
        <w:ind w:right="-518"/>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“INFORMACIÓN INCOMPLETA, NO MENCIONA QUE FUNCIONES REALIZA, ADEMÁS DE QUE DA INFORMACIÓN FALSA AL DECIR QUE SU GRADO MÁXIMO DE ESTUDIOS ES EL BACHILLERATO CUANDO NO LO COMPRUEBA CON EL DOCUMENTO CORRESPONDIENTE.” (Sic)</w:t>
      </w:r>
    </w:p>
    <w:p w:rsidR="00950AD6" w:rsidRPr="00900C89" w:rsidRDefault="00950AD6" w:rsidP="00900C89">
      <w:pPr>
        <w:pBdr>
          <w:top w:val="nil"/>
          <w:left w:val="nil"/>
          <w:bottom w:val="nil"/>
          <w:right w:val="nil"/>
          <w:between w:val="nil"/>
        </w:pBdr>
        <w:ind w:right="-518"/>
        <w:jc w:val="both"/>
        <w:rPr>
          <w:rFonts w:ascii="Palatino Linotype" w:eastAsia="Palatino Linotype" w:hAnsi="Palatino Linotype" w:cs="Palatino Linotype"/>
          <w:i/>
          <w:iCs/>
          <w:color w:val="000000"/>
        </w:rPr>
      </w:pPr>
    </w:p>
    <w:p w:rsidR="00950AD6" w:rsidRPr="00900C89" w:rsidRDefault="00900C89" w:rsidP="00900C89">
      <w:pPr>
        <w:pStyle w:val="Prrafodelista"/>
        <w:numPr>
          <w:ilvl w:val="0"/>
          <w:numId w:val="10"/>
        </w:numPr>
        <w:pBdr>
          <w:top w:val="nil"/>
          <w:left w:val="nil"/>
          <w:bottom w:val="nil"/>
          <w:right w:val="nil"/>
          <w:between w:val="nil"/>
        </w:pBdr>
        <w:ind w:right="-518"/>
        <w:jc w:val="both"/>
        <w:rPr>
          <w:rFonts w:ascii="Palatino Linotype" w:eastAsia="Palatino Linotype" w:hAnsi="Palatino Linotype" w:cs="Palatino Linotype"/>
          <w:i/>
          <w:iCs/>
          <w:color w:val="000000"/>
        </w:rPr>
      </w:pPr>
      <w:bookmarkStart w:id="3" w:name="_heading=h.1fob9te" w:colFirst="0" w:colLast="0"/>
      <w:bookmarkEnd w:id="3"/>
      <w:r w:rsidRPr="00900C89">
        <w:rPr>
          <w:rFonts w:ascii="Palatino Linotype" w:eastAsia="Palatino Linotype" w:hAnsi="Palatino Linotype" w:cs="Palatino Linotype"/>
          <w:b/>
          <w:bCs/>
          <w:color w:val="000000"/>
        </w:rPr>
        <w:t>RAZONES O MOTIVOS DE INCONFORMIDAD:</w:t>
      </w:r>
    </w:p>
    <w:p w:rsidR="00950AD6" w:rsidRPr="00900C89" w:rsidRDefault="00CE3B78" w:rsidP="00900C89">
      <w:pPr>
        <w:pBdr>
          <w:top w:val="nil"/>
          <w:left w:val="nil"/>
          <w:bottom w:val="nil"/>
          <w:right w:val="nil"/>
          <w:between w:val="nil"/>
        </w:pBdr>
        <w:ind w:right="-518"/>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“INFORMACIÓN INCOMPLETA, NO MENCIONA QUE FUNCIONES REALIZA, ADEMÁS DE QUE DA INFORMACIÓN FALSA AL DECIR QUE SU GRADO MÁXIMO DE ESTUDIOS ES EL BACHILLERATO CUANDO NO LO COMPRUEBA CON EL DOCUMENTO CORRESPONDIENTE.” (Sic)</w:t>
      </w:r>
    </w:p>
    <w:p w:rsidR="00950AD6" w:rsidRPr="00900C89" w:rsidRDefault="00CE3B78" w:rsidP="00900C89">
      <w:pPr>
        <w:pStyle w:val="Prrafodelista"/>
        <w:numPr>
          <w:ilvl w:val="0"/>
          <w:numId w:val="1"/>
        </w:numPr>
        <w:pBdr>
          <w:top w:val="nil"/>
          <w:left w:val="nil"/>
          <w:bottom w:val="nil"/>
          <w:right w:val="nil"/>
          <w:between w:val="nil"/>
        </w:pBdr>
        <w:ind w:right="-518"/>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lastRenderedPageBreak/>
        <w:t>El recurrente adjuntó los archivos entregados en respuesta por el Sujeto Obligado.</w:t>
      </w:r>
    </w:p>
    <w:p w:rsidR="00950AD6" w:rsidRPr="00900C89" w:rsidRDefault="00950AD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950AD6" w:rsidRPr="00900C89" w:rsidRDefault="00900C89">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La Comisionada p</w:t>
      </w:r>
      <w:r w:rsidR="00CE3B78" w:rsidRPr="00900C89">
        <w:rPr>
          <w:rFonts w:ascii="Palatino Linotype" w:eastAsia="Palatino Linotype" w:hAnsi="Palatino Linotype" w:cs="Palatino Linotype"/>
          <w:color w:val="000000"/>
        </w:rPr>
        <w:t xml:space="preserve">onente con fundamento en lo dispuesto por el artículo 185, fracción II, de la ley de la materia, a través del </w:t>
      </w:r>
      <w:r w:rsidR="00CE3B78" w:rsidRPr="00900C89">
        <w:rPr>
          <w:rFonts w:ascii="Palatino Linotype" w:eastAsia="Palatino Linotype" w:hAnsi="Palatino Linotype" w:cs="Palatino Linotype"/>
          <w:b/>
          <w:bCs/>
          <w:color w:val="000000"/>
        </w:rPr>
        <w:t xml:space="preserve">acuerdo de admisión </w:t>
      </w:r>
      <w:r w:rsidR="00CE3B78" w:rsidRPr="00900C89">
        <w:rPr>
          <w:rFonts w:ascii="Palatino Linotype" w:eastAsia="Palatino Linotype" w:hAnsi="Palatino Linotype" w:cs="Palatino Linotype"/>
          <w:color w:val="000000"/>
        </w:rPr>
        <w:t xml:space="preserve">de fecha </w:t>
      </w:r>
      <w:r w:rsidR="00CE3B78" w:rsidRPr="00900C89">
        <w:rPr>
          <w:rFonts w:ascii="Palatino Linotype" w:eastAsia="Palatino Linotype" w:hAnsi="Palatino Linotype" w:cs="Palatino Linotype"/>
          <w:b/>
          <w:bCs/>
          <w:color w:val="000000"/>
        </w:rPr>
        <w:t xml:space="preserve">veintiocho de agosto de dos mil veinticinco, </w:t>
      </w:r>
      <w:r w:rsidR="00CE3B78" w:rsidRPr="00900C89">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CE3B78" w:rsidRPr="00900C89">
        <w:rPr>
          <w:rFonts w:ascii="Palatino Linotype" w:eastAsia="Palatino Linotype" w:hAnsi="Palatino Linotype" w:cs="Palatino Linotype"/>
        </w:rPr>
        <w:t>manifestara</w:t>
      </w:r>
      <w:r w:rsidR="00CE3B78" w:rsidRPr="00900C89">
        <w:rPr>
          <w:rFonts w:ascii="Palatino Linotype" w:eastAsia="Palatino Linotype" w:hAnsi="Palatino Linotype" w:cs="Palatino Linotype"/>
          <w:color w:val="000000"/>
        </w:rPr>
        <w:t xml:space="preserve"> lo que a su derecho conviniera, </w:t>
      </w:r>
      <w:r w:rsidR="00CE3B78" w:rsidRPr="00900C89">
        <w:rPr>
          <w:rFonts w:ascii="Palatino Linotype" w:eastAsia="Palatino Linotype" w:hAnsi="Palatino Linotype" w:cs="Palatino Linotype"/>
        </w:rPr>
        <w:t>ofreciera</w:t>
      </w:r>
      <w:r w:rsidR="00CE3B78" w:rsidRPr="00900C89">
        <w:rPr>
          <w:rFonts w:ascii="Palatino Linotype" w:eastAsia="Palatino Linotype" w:hAnsi="Palatino Linotype" w:cs="Palatino Linotype"/>
          <w:color w:val="000000"/>
        </w:rPr>
        <w:t xml:space="preserve"> pruebas y alegatos según corresponda al caso concreto, de esta forma para que el </w:t>
      </w:r>
      <w:r w:rsidR="00CE3B78" w:rsidRPr="00900C89">
        <w:rPr>
          <w:rFonts w:ascii="Palatino Linotype" w:eastAsia="Palatino Linotype" w:hAnsi="Palatino Linotype" w:cs="Palatino Linotype"/>
          <w:b/>
          <w:bCs/>
          <w:color w:val="000000"/>
        </w:rPr>
        <w:t xml:space="preserve">SUJETO OBLIGADO </w:t>
      </w:r>
      <w:r w:rsidR="00CE3B78" w:rsidRPr="00900C89">
        <w:rPr>
          <w:rFonts w:ascii="Palatino Linotype" w:eastAsia="Palatino Linotype" w:hAnsi="Palatino Linotype" w:cs="Palatino Linotype"/>
        </w:rPr>
        <w:t>presentará</w:t>
      </w:r>
      <w:r w:rsidR="00CE3B78" w:rsidRPr="00900C89">
        <w:rPr>
          <w:rFonts w:ascii="Palatino Linotype" w:eastAsia="Palatino Linotype" w:hAnsi="Palatino Linotype" w:cs="Palatino Linotype"/>
          <w:color w:val="000000"/>
        </w:rPr>
        <w:t xml:space="preserve"> el Informe Justificado procedente.</w:t>
      </w:r>
    </w:p>
    <w:p w:rsidR="00950AD6" w:rsidRPr="00900C89" w:rsidRDefault="00950AD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color w:val="000000"/>
        </w:rPr>
        <w:t>El Recurrente</w:t>
      </w:r>
      <w:r w:rsidRPr="00900C89">
        <w:rPr>
          <w:rFonts w:ascii="Palatino Linotype" w:eastAsia="Palatino Linotype" w:hAnsi="Palatino Linotype" w:cs="Palatino Linotype"/>
          <w:b/>
          <w:bCs/>
          <w:color w:val="000000"/>
        </w:rPr>
        <w:t xml:space="preserve"> </w:t>
      </w:r>
      <w:r w:rsidRPr="00900C89">
        <w:rPr>
          <w:rFonts w:ascii="Palatino Linotype" w:eastAsia="Palatino Linotype" w:hAnsi="Palatino Linotype" w:cs="Palatino Linotype"/>
          <w:color w:val="000000"/>
        </w:rPr>
        <w:t>dejó de realizar manifestaciones que a su derecho conviniera y asistiera. Por su parte, el Sujeto Obligado,</w:t>
      </w:r>
      <w:r w:rsidRPr="00900C89">
        <w:rPr>
          <w:rFonts w:ascii="Palatino Linotype" w:eastAsia="Palatino Linotype" w:hAnsi="Palatino Linotype" w:cs="Palatino Linotype"/>
          <w:b/>
          <w:bCs/>
          <w:color w:val="000000"/>
        </w:rPr>
        <w:t xml:space="preserve"> </w:t>
      </w:r>
      <w:r w:rsidRPr="00900C89">
        <w:rPr>
          <w:rFonts w:ascii="Palatino Linotype" w:eastAsia="Palatino Linotype" w:hAnsi="Palatino Linotype" w:cs="Palatino Linotype"/>
          <w:color w:val="000000"/>
        </w:rPr>
        <w:t>no</w:t>
      </w:r>
      <w:r w:rsidRPr="00900C89">
        <w:rPr>
          <w:rFonts w:ascii="Palatino Linotype" w:eastAsia="Palatino Linotype" w:hAnsi="Palatino Linotype" w:cs="Palatino Linotype"/>
          <w:b/>
          <w:bCs/>
          <w:color w:val="000000"/>
        </w:rPr>
        <w:t xml:space="preserve"> </w:t>
      </w:r>
      <w:r w:rsidRPr="00900C89">
        <w:rPr>
          <w:rFonts w:ascii="Palatino Linotype" w:eastAsia="Palatino Linotype" w:hAnsi="Palatino Linotype" w:cs="Palatino Linotype"/>
          <w:color w:val="000000"/>
        </w:rPr>
        <w:t>presentó informe justificado, tal como se muestra en la imagen siguiente:</w:t>
      </w:r>
    </w:p>
    <w:p w:rsidR="00950AD6" w:rsidRPr="00900C89" w:rsidRDefault="00950AD6">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950AD6" w:rsidRPr="00900C89" w:rsidRDefault="00CE3B78">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b/>
          <w:bCs/>
          <w:i/>
          <w:iCs/>
          <w:noProof/>
          <w:color w:val="000000"/>
          <w:lang w:val="es-MX"/>
        </w:rPr>
        <w:drawing>
          <wp:inline distT="0" distB="0" distL="0" distR="0">
            <wp:extent cx="5612130" cy="929005"/>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929005"/>
                    </a:xfrm>
                    <a:prstGeom prst="rect">
                      <a:avLst/>
                    </a:prstGeom>
                    <a:ln/>
                  </pic:spPr>
                </pic:pic>
              </a:graphicData>
            </a:graphic>
          </wp:inline>
        </w:drawing>
      </w:r>
    </w:p>
    <w:p w:rsidR="00950AD6" w:rsidRPr="00900C89" w:rsidRDefault="00950AD6">
      <w:pPr>
        <w:pBdr>
          <w:top w:val="nil"/>
          <w:left w:val="nil"/>
          <w:bottom w:val="nil"/>
          <w:right w:val="nil"/>
          <w:between w:val="nil"/>
        </w:pBdr>
        <w:spacing w:line="360" w:lineRule="auto"/>
        <w:ind w:right="-788"/>
        <w:jc w:val="both"/>
        <w:rPr>
          <w:rFonts w:ascii="Palatino Linotype" w:eastAsia="Palatino Linotype" w:hAnsi="Palatino Linotype" w:cs="Palatino Linotype"/>
          <w:b/>
          <w:bCs/>
          <w:i/>
          <w:iCs/>
          <w:color w:val="000000"/>
        </w:rPr>
      </w:pP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color w:val="000000"/>
        </w:rPr>
        <w:t>En fecha</w:t>
      </w:r>
      <w:r w:rsidRPr="00900C89">
        <w:rPr>
          <w:rFonts w:ascii="Palatino Linotype" w:eastAsia="Palatino Linotype" w:hAnsi="Palatino Linotype" w:cs="Palatino Linotype"/>
          <w:b/>
          <w:bCs/>
          <w:color w:val="000000"/>
        </w:rPr>
        <w:t xml:space="preserve"> trece de octubre de dos mil veinticinco</w:t>
      </w:r>
      <w:r w:rsidRPr="00900C89">
        <w:rPr>
          <w:rFonts w:ascii="Palatino Linotype" w:eastAsia="Palatino Linotype" w:hAnsi="Palatino Linotype" w:cs="Palatino Linotype"/>
          <w:color w:val="000000"/>
        </w:rPr>
        <w:t xml:space="preserve">, se acordó ampliar el </w:t>
      </w:r>
      <w:r w:rsidRPr="00900C89">
        <w:rPr>
          <w:rFonts w:ascii="Palatino Linotype" w:eastAsia="Palatino Linotype" w:hAnsi="Palatino Linotype" w:cs="Palatino Linotype"/>
        </w:rPr>
        <w:t>plazo</w:t>
      </w:r>
      <w:r w:rsidRPr="00900C89">
        <w:rPr>
          <w:rFonts w:ascii="Palatino Linotype" w:eastAsia="Palatino Linotype" w:hAnsi="Palatino Linotype" w:cs="Palatino Linotype"/>
          <w:color w:val="000000"/>
        </w:rPr>
        <w:t xml:space="preserve"> para resolver el presente Recurso de Revisión.</w:t>
      </w:r>
    </w:p>
    <w:p w:rsidR="00950AD6" w:rsidRPr="00900C89" w:rsidRDefault="00950AD6">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color w:val="000000"/>
        </w:rPr>
        <w:t xml:space="preserve">Seguidamente, en fecha </w:t>
      </w:r>
      <w:r w:rsidRPr="00900C89">
        <w:rPr>
          <w:rFonts w:ascii="Palatino Linotype" w:eastAsia="Palatino Linotype" w:hAnsi="Palatino Linotype" w:cs="Palatino Linotype"/>
          <w:b/>
          <w:bCs/>
          <w:color w:val="000000"/>
        </w:rPr>
        <w:t>diecisiete de febrero de dos mil veintiséis</w:t>
      </w:r>
      <w:r w:rsidRPr="00900C89">
        <w:rPr>
          <w:rFonts w:ascii="Palatino Linotype" w:eastAsia="Palatino Linotype" w:hAnsi="Palatino Linotype" w:cs="Palatino Linotype"/>
          <w:color w:val="000000"/>
        </w:rPr>
        <w:t xml:space="preserve">, la Comisionada Ponente dictó el </w:t>
      </w:r>
      <w:r w:rsidRPr="00900C89">
        <w:rPr>
          <w:rFonts w:ascii="Palatino Linotype" w:eastAsia="Palatino Linotype" w:hAnsi="Palatino Linotype" w:cs="Palatino Linotype"/>
          <w:b/>
          <w:bCs/>
          <w:color w:val="000000"/>
        </w:rPr>
        <w:t>cierre del periodo de instrucción</w:t>
      </w:r>
      <w:r w:rsidRPr="00900C89">
        <w:rPr>
          <w:rFonts w:ascii="Palatino Linotype" w:eastAsia="Palatino Linotype" w:hAnsi="Palatino Linotype" w:cs="Palatino Linotype"/>
          <w:color w:val="000000"/>
        </w:rPr>
        <w:t xml:space="preserve"> y, ordenó la resolución que conforme a Derecho proceda:</w:t>
      </w:r>
      <w:r w:rsidR="00900C89">
        <w:rPr>
          <w:rFonts w:ascii="Palatino Linotype" w:eastAsia="Palatino Linotype" w:hAnsi="Palatino Linotype" w:cs="Palatino Linotype"/>
          <w:color w:val="000000"/>
        </w:rPr>
        <w:t xml:space="preserve"> ------------------------------------------------------------------------------------------------</w:t>
      </w:r>
    </w:p>
    <w:p w:rsidR="00950AD6" w:rsidRPr="00900C89" w:rsidRDefault="00950AD6">
      <w:pPr>
        <w:pBdr>
          <w:top w:val="nil"/>
          <w:left w:val="nil"/>
          <w:bottom w:val="nil"/>
          <w:right w:val="nil"/>
          <w:between w:val="nil"/>
        </w:pBdr>
        <w:ind w:left="720" w:right="-787"/>
        <w:rPr>
          <w:rFonts w:ascii="Palatino Linotype" w:eastAsia="Palatino Linotype" w:hAnsi="Palatino Linotype" w:cs="Palatino Linotype"/>
          <w:b/>
          <w:bCs/>
          <w:color w:val="000000"/>
        </w:rPr>
      </w:pPr>
    </w:p>
    <w:p w:rsidR="00950AD6" w:rsidRPr="00900C89" w:rsidRDefault="00CE3B78">
      <w:pPr>
        <w:keepNext/>
        <w:keepLines/>
        <w:spacing w:line="360" w:lineRule="auto"/>
        <w:jc w:val="center"/>
        <w:rPr>
          <w:rFonts w:ascii="Palatino Linotype" w:eastAsia="Palatino Linotype" w:hAnsi="Palatino Linotype" w:cs="Palatino Linotype"/>
          <w:b/>
          <w:bCs/>
        </w:rPr>
      </w:pPr>
      <w:r w:rsidRPr="00900C89">
        <w:rPr>
          <w:rFonts w:ascii="Palatino Linotype" w:eastAsia="Palatino Linotype" w:hAnsi="Palatino Linotype" w:cs="Palatino Linotype"/>
          <w:b/>
          <w:bCs/>
        </w:rPr>
        <w:lastRenderedPageBreak/>
        <w:t xml:space="preserve">C O N S I D E R A N D O </w:t>
      </w:r>
    </w:p>
    <w:p w:rsidR="00950AD6" w:rsidRPr="00900C89" w:rsidRDefault="00950AD6">
      <w:pPr>
        <w:spacing w:line="360" w:lineRule="auto"/>
        <w:rPr>
          <w:rFonts w:ascii="Palatino Linotype" w:eastAsia="Palatino Linotype" w:hAnsi="Palatino Linotype" w:cs="Palatino Linotype"/>
        </w:rPr>
      </w:pPr>
    </w:p>
    <w:p w:rsidR="00950AD6" w:rsidRPr="00900C89" w:rsidRDefault="00CE3B78">
      <w:pPr>
        <w:keepNext/>
        <w:keepLines/>
        <w:spacing w:line="360" w:lineRule="auto"/>
        <w:rPr>
          <w:rFonts w:ascii="Palatino Linotype" w:eastAsia="Palatino Linotype" w:hAnsi="Palatino Linotype" w:cs="Palatino Linotype"/>
          <w:b/>
          <w:bCs/>
        </w:rPr>
      </w:pPr>
      <w:r w:rsidRPr="00900C89">
        <w:rPr>
          <w:rFonts w:ascii="Palatino Linotype" w:eastAsia="Palatino Linotype" w:hAnsi="Palatino Linotype" w:cs="Palatino Linotype"/>
          <w:b/>
          <w:bCs/>
        </w:rPr>
        <w:t>PRIMERO. De la competencia</w:t>
      </w: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950AD6" w:rsidRPr="00900C89" w:rsidRDefault="00950AD6">
      <w:pPr>
        <w:tabs>
          <w:tab w:val="left" w:pos="426"/>
        </w:tabs>
        <w:spacing w:line="360" w:lineRule="auto"/>
        <w:jc w:val="both"/>
        <w:rPr>
          <w:rFonts w:ascii="Palatino Linotype" w:eastAsia="Palatino Linotype" w:hAnsi="Palatino Linotype" w:cs="Palatino Linotype"/>
          <w:color w:val="000000"/>
        </w:rPr>
      </w:pPr>
    </w:p>
    <w:p w:rsidR="00950AD6" w:rsidRPr="00900C89" w:rsidRDefault="00CE3B78">
      <w:pPr>
        <w:keepNext/>
        <w:keepLines/>
        <w:spacing w:line="360" w:lineRule="auto"/>
        <w:rPr>
          <w:rFonts w:ascii="Palatino Linotype" w:eastAsia="Palatino Linotype" w:hAnsi="Palatino Linotype" w:cs="Palatino Linotype"/>
          <w:b/>
          <w:bCs/>
        </w:rPr>
      </w:pPr>
      <w:r w:rsidRPr="00900C89">
        <w:rPr>
          <w:rFonts w:ascii="Palatino Linotype" w:eastAsia="Palatino Linotype" w:hAnsi="Palatino Linotype" w:cs="Palatino Linotype"/>
          <w:b/>
          <w:bCs/>
        </w:rPr>
        <w:t>SEGUNDO. De la oportunidad y procedencia.</w:t>
      </w: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El </w:t>
      </w:r>
      <w:r w:rsidRPr="00900C89">
        <w:rPr>
          <w:rFonts w:ascii="Palatino Linotype" w:eastAsia="Palatino Linotype" w:hAnsi="Palatino Linotype" w:cs="Palatino Linotype"/>
          <w:color w:val="000000"/>
        </w:rPr>
        <w:t>medio</w:t>
      </w:r>
      <w:r w:rsidRPr="00900C89">
        <w:rPr>
          <w:rFonts w:ascii="Palatino Linotype" w:eastAsia="Palatino Linotype" w:hAnsi="Palatino Linotype" w:cs="Palatino Linotype"/>
        </w:rPr>
        <w:t xml:space="preserve"> de impugnación fue presentado a través del </w:t>
      </w:r>
      <w:r w:rsidRPr="00900C89">
        <w:rPr>
          <w:rFonts w:ascii="Palatino Linotype" w:eastAsia="Palatino Linotype" w:hAnsi="Palatino Linotype" w:cs="Palatino Linotype"/>
          <w:b/>
          <w:bCs/>
        </w:rPr>
        <w:t>SAIMEX,</w:t>
      </w:r>
      <w:r w:rsidRPr="00900C89">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900C89">
        <w:rPr>
          <w:rFonts w:ascii="Palatino Linotype" w:eastAsia="Palatino Linotype" w:hAnsi="Palatino Linotype" w:cs="Palatino Linotype"/>
          <w:b/>
          <w:bCs/>
        </w:rPr>
        <w:t>SUJETO OBLIGADO</w:t>
      </w:r>
      <w:r w:rsidRPr="00900C89">
        <w:rPr>
          <w:rFonts w:ascii="Palatino Linotype" w:eastAsia="Palatino Linotype" w:hAnsi="Palatino Linotype" w:cs="Palatino Linotype"/>
        </w:rPr>
        <w:t xml:space="preserve"> entregó respuesta el </w:t>
      </w:r>
      <w:r w:rsidRPr="00900C89">
        <w:rPr>
          <w:rFonts w:ascii="Palatino Linotype" w:eastAsia="Palatino Linotype" w:hAnsi="Palatino Linotype" w:cs="Palatino Linotype"/>
          <w:b/>
          <w:bCs/>
        </w:rPr>
        <w:t>veinte de agosto de dos mil veinticinco</w:t>
      </w:r>
      <w:r w:rsidRPr="00900C89">
        <w:rPr>
          <w:rFonts w:ascii="Palatino Linotype" w:eastAsia="Palatino Linotype" w:hAnsi="Palatino Linotype" w:cs="Palatino Linotype"/>
        </w:rPr>
        <w:t xml:space="preserve">, de tal forma que el plazo para interponer el recurso transcurrió del </w:t>
      </w:r>
      <w:r w:rsidRPr="00900C89">
        <w:rPr>
          <w:rFonts w:ascii="Palatino Linotype" w:eastAsia="Palatino Linotype" w:hAnsi="Palatino Linotype" w:cs="Palatino Linotype"/>
          <w:b/>
          <w:bCs/>
        </w:rPr>
        <w:t xml:space="preserve">veintiuno de agosto al diez de septiembre de dos mil veinticinco, </w:t>
      </w:r>
      <w:r w:rsidRPr="00900C89">
        <w:rPr>
          <w:rFonts w:ascii="Palatino Linotype" w:eastAsia="Palatino Linotype" w:hAnsi="Palatino Linotype" w:cs="Palatino Linotype"/>
        </w:rPr>
        <w:t xml:space="preserve">en consecuencia, si el </w:t>
      </w:r>
      <w:r w:rsidRPr="00900C89">
        <w:rPr>
          <w:rFonts w:ascii="Palatino Linotype" w:eastAsia="Palatino Linotype" w:hAnsi="Palatino Linotype" w:cs="Palatino Linotype"/>
          <w:b/>
          <w:bCs/>
        </w:rPr>
        <w:t>PARTICULAR</w:t>
      </w:r>
      <w:r w:rsidRPr="00900C89">
        <w:rPr>
          <w:rFonts w:ascii="Palatino Linotype" w:eastAsia="Palatino Linotype" w:hAnsi="Palatino Linotype" w:cs="Palatino Linotype"/>
        </w:rPr>
        <w:t xml:space="preserve"> presentó su inconformidad el </w:t>
      </w:r>
      <w:r w:rsidRPr="00900C89">
        <w:rPr>
          <w:rFonts w:ascii="Palatino Linotype" w:eastAsia="Palatino Linotype" w:hAnsi="Palatino Linotype" w:cs="Palatino Linotype"/>
          <w:b/>
          <w:bCs/>
        </w:rPr>
        <w:t>veintisiete de agosto de dos mil veinticinco</w:t>
      </w:r>
      <w:r w:rsidRPr="00900C89">
        <w:rPr>
          <w:rFonts w:ascii="Palatino Linotype" w:eastAsia="Palatino Linotype" w:hAnsi="Palatino Linotype" w:cs="Palatino Linotype"/>
        </w:rPr>
        <w:t xml:space="preserve">, este  se encuentra dentro de los márgenes temporales previstos en el </w:t>
      </w:r>
      <w:r w:rsidRPr="00900C89">
        <w:rPr>
          <w:rFonts w:ascii="Palatino Linotype" w:eastAsia="Palatino Linotype" w:hAnsi="Palatino Linotype" w:cs="Palatino Linotype"/>
          <w:b/>
          <w:bCs/>
        </w:rPr>
        <w:t>artículo 178</w:t>
      </w:r>
      <w:r w:rsidRPr="00900C89">
        <w:rPr>
          <w:rFonts w:ascii="Palatino Linotype" w:eastAsia="Palatino Linotype" w:hAnsi="Palatino Linotype" w:cs="Palatino Linotype"/>
        </w:rPr>
        <w:t xml:space="preserve"> de la </w:t>
      </w:r>
      <w:r w:rsidRPr="00900C89">
        <w:rPr>
          <w:rFonts w:ascii="Palatino Linotype" w:eastAsia="Palatino Linotype" w:hAnsi="Palatino Linotype" w:cs="Palatino Linotype"/>
          <w:b/>
          <w:bCs/>
        </w:rPr>
        <w:t xml:space="preserve">Ley de Transparencia y Acceso a la Información Pública del Estado de México y Municipios </w:t>
      </w:r>
      <w:r w:rsidRPr="00900C89">
        <w:rPr>
          <w:rFonts w:ascii="Palatino Linotype" w:eastAsia="Palatino Linotype" w:hAnsi="Palatino Linotype" w:cs="Palatino Linotype"/>
        </w:rPr>
        <w:t xml:space="preserve">vigente.  </w:t>
      </w:r>
    </w:p>
    <w:p w:rsidR="00950AD6" w:rsidRPr="00900C89" w:rsidRDefault="00CE3B78">
      <w:pPr>
        <w:pStyle w:val="Ttulo2"/>
        <w:rPr>
          <w:rFonts w:ascii="Palatino Linotype" w:eastAsia="Palatino Linotype" w:hAnsi="Palatino Linotype" w:cs="Palatino Linotype"/>
          <w:b/>
          <w:bCs/>
          <w:i/>
          <w:iCs/>
          <w:color w:val="000000"/>
          <w:sz w:val="24"/>
          <w:szCs w:val="24"/>
        </w:rPr>
      </w:pPr>
      <w:bookmarkStart w:id="4" w:name="_heading=h.2et92p0" w:colFirst="0" w:colLast="0"/>
      <w:bookmarkEnd w:id="4"/>
      <w:r w:rsidRPr="00900C89">
        <w:rPr>
          <w:rFonts w:ascii="Palatino Linotype" w:eastAsia="Palatino Linotype" w:hAnsi="Palatino Linotype" w:cs="Palatino Linotype"/>
          <w:b/>
          <w:bCs/>
          <w:color w:val="000000"/>
          <w:sz w:val="24"/>
          <w:szCs w:val="24"/>
        </w:rPr>
        <w:lastRenderedPageBreak/>
        <w:t xml:space="preserve">TERCERO. Del planteamiento de la </w:t>
      </w:r>
      <w:r w:rsidRPr="00900C89">
        <w:rPr>
          <w:rFonts w:ascii="Palatino Linotype" w:eastAsia="Palatino Linotype" w:hAnsi="Palatino Linotype" w:cs="Palatino Linotype"/>
          <w:b/>
          <w:bCs/>
          <w:i/>
          <w:iCs/>
          <w:color w:val="000000"/>
          <w:sz w:val="24"/>
          <w:szCs w:val="24"/>
        </w:rPr>
        <w:t>Litis.</w:t>
      </w: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Se </w:t>
      </w:r>
      <w:r w:rsidRPr="00900C89">
        <w:rPr>
          <w:rFonts w:ascii="Palatino Linotype" w:eastAsia="Palatino Linotype" w:hAnsi="Palatino Linotype" w:cs="Palatino Linotype"/>
        </w:rPr>
        <w:t>solicitó</w:t>
      </w:r>
      <w:r w:rsidRPr="00900C89">
        <w:rPr>
          <w:rFonts w:ascii="Palatino Linotype" w:eastAsia="Palatino Linotype" w:hAnsi="Palatino Linotype" w:cs="Palatino Linotype"/>
          <w:color w:val="000000"/>
        </w:rPr>
        <w:t xml:space="preserve"> tener acceso, a la información que a continuación se simplifica:</w:t>
      </w:r>
    </w:p>
    <w:p w:rsidR="00950AD6" w:rsidRPr="00900C89" w:rsidRDefault="00CE3B78">
      <w:pPr>
        <w:numPr>
          <w:ilvl w:val="0"/>
          <w:numId w:val="3"/>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De Jose Manuel Piña Gomora, de la actual administración 2025-202:</w:t>
      </w:r>
    </w:p>
    <w:p w:rsidR="00950AD6" w:rsidRPr="00900C89" w:rsidRDefault="00CE3B78">
      <w:pPr>
        <w:numPr>
          <w:ilvl w:val="0"/>
          <w:numId w:val="2"/>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Recibos de nómina de la primera y segunda quincena de julio de 2025</w:t>
      </w:r>
    </w:p>
    <w:p w:rsidR="00950AD6" w:rsidRPr="00900C89" w:rsidRDefault="00CE3B78">
      <w:pPr>
        <w:numPr>
          <w:ilvl w:val="0"/>
          <w:numId w:val="2"/>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Currículum vitae</w:t>
      </w:r>
    </w:p>
    <w:p w:rsidR="00950AD6" w:rsidRPr="00900C89" w:rsidRDefault="00CE3B78">
      <w:pPr>
        <w:numPr>
          <w:ilvl w:val="0"/>
          <w:numId w:val="2"/>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Grado máximo de estudios</w:t>
      </w:r>
    </w:p>
    <w:p w:rsidR="00950AD6" w:rsidRPr="00900C89" w:rsidRDefault="00CE3B78">
      <w:pPr>
        <w:numPr>
          <w:ilvl w:val="0"/>
          <w:numId w:val="2"/>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Comprobante de estudios</w:t>
      </w:r>
    </w:p>
    <w:p w:rsidR="00950AD6" w:rsidRPr="00900C89" w:rsidRDefault="00CE3B78">
      <w:pPr>
        <w:numPr>
          <w:ilvl w:val="0"/>
          <w:numId w:val="2"/>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 xml:space="preserve">Funciones </w:t>
      </w:r>
    </w:p>
    <w:p w:rsidR="00950AD6" w:rsidRPr="00900C89" w:rsidRDefault="00950AD6">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950AD6" w:rsidRPr="00900C89" w:rsidRDefault="00950AD6">
      <w:pPr>
        <w:pBdr>
          <w:top w:val="nil"/>
          <w:left w:val="nil"/>
          <w:bottom w:val="nil"/>
          <w:right w:val="nil"/>
          <w:between w:val="nil"/>
        </w:pBdr>
        <w:ind w:left="851" w:right="-788"/>
        <w:jc w:val="both"/>
        <w:rPr>
          <w:rFonts w:ascii="Palatino Linotype" w:eastAsia="Palatino Linotype" w:hAnsi="Palatino Linotype" w:cs="Palatino Linotype"/>
          <w:color w:val="000000"/>
        </w:rPr>
      </w:pP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rPr>
        <w:t>En respuesta, el Sujeto Obligado</w:t>
      </w:r>
      <w:r w:rsidRPr="00900C89">
        <w:rPr>
          <w:rFonts w:ascii="Palatino Linotype" w:eastAsia="Palatino Linotype" w:hAnsi="Palatino Linotype" w:cs="Palatino Linotype"/>
          <w:b/>
          <w:bCs/>
        </w:rPr>
        <w:t xml:space="preserve"> </w:t>
      </w:r>
      <w:r w:rsidRPr="00900C89">
        <w:rPr>
          <w:rFonts w:ascii="Palatino Linotype" w:eastAsia="Palatino Linotype" w:hAnsi="Palatino Linotype" w:cs="Palatino Linotype"/>
        </w:rPr>
        <w:t>remitió el archivo ya descrito en el anterior párrafo 2, inconforme con la respuesta, se interpuso recurso de revisión argumentando sustancialmente por no entregar información y la entrega de información incompleta.</w:t>
      </w:r>
    </w:p>
    <w:p w:rsidR="00950AD6" w:rsidRPr="00900C89" w:rsidRDefault="00950AD6">
      <w:pPr>
        <w:ind w:left="720" w:right="-788"/>
        <w:jc w:val="both"/>
        <w:rPr>
          <w:rFonts w:ascii="Palatino Linotype" w:eastAsia="Palatino Linotype" w:hAnsi="Palatino Linotype" w:cs="Palatino Linotype"/>
          <w:i/>
          <w:iCs/>
          <w:color w:val="000000"/>
        </w:rPr>
      </w:pP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900C89">
        <w:rPr>
          <w:rFonts w:ascii="Palatino Linotype" w:eastAsia="Palatino Linotype" w:hAnsi="Palatino Linotype" w:cs="Palatino Linotype"/>
          <w:b/>
          <w:bCs/>
        </w:rPr>
        <w:t>artículo 179, fracción V, de la Ley de Transparencia y Acceso a la Información Pública del Estado de México y Municipios</w:t>
      </w:r>
      <w:r w:rsidRPr="00900C89">
        <w:rPr>
          <w:rFonts w:ascii="Palatino Linotype" w:eastAsia="Palatino Linotype" w:hAnsi="Palatino Linotype" w:cs="Palatino Linotype"/>
        </w:rPr>
        <w:t xml:space="preserve">; </w:t>
      </w:r>
      <w:r w:rsidRPr="00900C89">
        <w:rPr>
          <w:rFonts w:ascii="Palatino Linotype" w:eastAsia="Palatino Linotype" w:hAnsi="Palatino Linotype" w:cs="Palatino Linotype"/>
          <w:color w:val="000000"/>
        </w:rPr>
        <w:t xml:space="preserve">fracción que determina las hipótesis relativa a </w:t>
      </w:r>
      <w:r w:rsidRPr="00900C89">
        <w:rPr>
          <w:rFonts w:ascii="Palatino Linotype" w:eastAsia="Palatino Linotype" w:hAnsi="Palatino Linotype" w:cs="Palatino Linotype"/>
          <w:b/>
          <w:bCs/>
          <w:color w:val="000000"/>
        </w:rPr>
        <w:t>la entrega de información incompleta</w:t>
      </w:r>
      <w:r w:rsidRPr="00900C89">
        <w:rPr>
          <w:rFonts w:ascii="Palatino Linotype" w:eastAsia="Palatino Linotype" w:hAnsi="Palatino Linotype" w:cs="Palatino Linotype"/>
          <w:color w:val="000000"/>
        </w:rPr>
        <w:t xml:space="preserve">; </w:t>
      </w:r>
      <w:r w:rsidRPr="00900C89">
        <w:rPr>
          <w:rFonts w:ascii="Palatino Linotype" w:eastAsia="Palatino Linotype" w:hAnsi="Palatino Linotype" w:cs="Palatino Linotype"/>
        </w:rPr>
        <w:t>contexto del cual se dolió el Recurrente al momento de interponer su inconformidad.</w:t>
      </w:r>
      <w:r w:rsidRPr="00900C89">
        <w:rPr>
          <w:rFonts w:ascii="Palatino Linotype" w:eastAsia="Palatino Linotype" w:hAnsi="Palatino Linotype" w:cs="Palatino Linotype"/>
          <w:color w:val="000000"/>
        </w:rPr>
        <w:t xml:space="preserve"> De modo tal que el presente recurso de revisión se </w:t>
      </w:r>
      <w:r w:rsidRPr="00900C89">
        <w:rPr>
          <w:rFonts w:ascii="Palatino Linotype" w:eastAsia="Palatino Linotype" w:hAnsi="Palatino Linotype" w:cs="Palatino Linotype"/>
        </w:rPr>
        <w:t>abocará</w:t>
      </w:r>
      <w:r w:rsidRPr="00900C89">
        <w:rPr>
          <w:rFonts w:ascii="Palatino Linotype" w:eastAsia="Palatino Linotype" w:hAnsi="Palatino Linotype" w:cs="Palatino Linotype"/>
          <w:color w:val="000000"/>
        </w:rPr>
        <w:t xml:space="preserve"> en determinar si el Sujeto Obligado con su respuesta ciertamente actualiza la causal de procedencia</w:t>
      </w:r>
      <w:r w:rsidRPr="00900C89">
        <w:rPr>
          <w:rFonts w:ascii="Palatino Linotype" w:eastAsia="Palatino Linotype" w:hAnsi="Palatino Linotype" w:cs="Palatino Linotype"/>
          <w:b/>
          <w:bCs/>
          <w:color w:val="000000"/>
        </w:rPr>
        <w:t xml:space="preserve"> </w:t>
      </w:r>
      <w:r w:rsidRPr="00900C89">
        <w:rPr>
          <w:rFonts w:ascii="Palatino Linotype" w:eastAsia="Palatino Linotype" w:hAnsi="Palatino Linotype" w:cs="Palatino Linotype"/>
          <w:color w:val="000000"/>
        </w:rPr>
        <w:t>señalada.</w:t>
      </w:r>
    </w:p>
    <w:p w:rsidR="00950AD6" w:rsidRPr="00900C89" w:rsidRDefault="00950AD6">
      <w:pPr>
        <w:spacing w:line="360" w:lineRule="auto"/>
        <w:ind w:right="-787"/>
        <w:rPr>
          <w:rFonts w:ascii="Palatino Linotype" w:eastAsia="Palatino Linotype" w:hAnsi="Palatino Linotype" w:cs="Palatino Linotype"/>
        </w:rPr>
      </w:pPr>
    </w:p>
    <w:p w:rsidR="00950AD6" w:rsidRPr="00900C89" w:rsidRDefault="00CE3B78">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sidRPr="00900C89">
        <w:rPr>
          <w:rFonts w:ascii="Palatino Linotype" w:eastAsia="Palatino Linotype" w:hAnsi="Palatino Linotype" w:cs="Palatino Linotype"/>
          <w:b/>
          <w:bCs/>
          <w:color w:val="000000"/>
          <w:sz w:val="24"/>
          <w:szCs w:val="24"/>
        </w:rPr>
        <w:t>CUARTO. Del estudio y resolución del asunto.</w:t>
      </w: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w:t>
      </w:r>
      <w:r w:rsidRPr="00900C89">
        <w:rPr>
          <w:rFonts w:ascii="Palatino Linotype" w:eastAsia="Palatino Linotype" w:hAnsi="Palatino Linotype" w:cs="Palatino Linotype"/>
        </w:rPr>
        <w:lastRenderedPageBreak/>
        <w:t>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50AD6" w:rsidRPr="00900C89" w:rsidRDefault="00950AD6">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950AD6" w:rsidRPr="00900C89" w:rsidRDefault="00CE3B7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950AD6" w:rsidRDefault="00950AD6">
      <w:pPr>
        <w:spacing w:line="360" w:lineRule="auto"/>
        <w:ind w:right="-787"/>
        <w:jc w:val="both"/>
        <w:rPr>
          <w:rFonts w:ascii="Palatino Linotype" w:eastAsia="Palatino Linotype" w:hAnsi="Palatino Linotype" w:cs="Palatino Linotype"/>
        </w:rPr>
      </w:pPr>
    </w:p>
    <w:p w:rsidR="00900C89" w:rsidRPr="00900C89" w:rsidRDefault="00900C89">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lastRenderedPageBreak/>
        <w:t>Del Sujeto Obligado.</w:t>
      </w: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Para el despacho de los asuntos de la Administración Pública Municipal, el Ayuntamiento contará con Dependencias Administrativas Centralizadas, Organismos Públicos Descentralizados y Organismos Autónomos que se consideren necesarios. El Presidente Municipal para el ejercicio de sus atribuciones y funcionamiento de la Administración Pública Municipal, se auxiliará de diversas Dependencias, Unidades y Organismos, establecidas en el artículo 56, del Bando Municipal 2025:</w:t>
      </w:r>
    </w:p>
    <w:p w:rsidR="00950AD6" w:rsidRPr="00900C89" w:rsidRDefault="00CE3B78">
      <w:pPr>
        <w:ind w:left="567" w:right="-220"/>
        <w:jc w:val="center"/>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Bando Municipal 2025</w:t>
      </w:r>
    </w:p>
    <w:p w:rsidR="00950AD6" w:rsidRPr="00900C89" w:rsidRDefault="00950AD6">
      <w:pPr>
        <w:ind w:left="567" w:right="-788"/>
        <w:jc w:val="both"/>
        <w:rPr>
          <w:rFonts w:ascii="Palatino Linotype" w:eastAsia="Palatino Linotype" w:hAnsi="Palatino Linotype" w:cs="Palatino Linotype"/>
          <w:i/>
          <w:iCs/>
        </w:rPr>
      </w:pP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b/>
          <w:bCs/>
          <w:i/>
          <w:iCs/>
        </w:rPr>
        <w:t xml:space="preserve">Artículo 56. </w:t>
      </w:r>
      <w:r w:rsidRPr="00900C89">
        <w:rPr>
          <w:rFonts w:ascii="Palatino Linotype" w:eastAsia="Palatino Linotype" w:hAnsi="Palatino Linotype" w:cs="Palatino Linotype"/>
          <w:i/>
          <w:iCs/>
        </w:rPr>
        <w:t>Para el despacho de los asuntos de la Administración Pública Municipal, el Ayuntamiento contará con Dependencias Administrativas Centralizadas, Organismos Públicos Descentralizados y Organismos Autónomos que se consideren necesarios. El Presidente Municipal para el ejercicio de sus atribuciones y funcionamiento de la Administración Pública Municipal, se auxiliará de las Dependencias, Unidades y Organismos siguientes:</w:t>
      </w:r>
    </w:p>
    <w:p w:rsidR="00950AD6" w:rsidRPr="00900C89" w:rsidRDefault="00950AD6">
      <w:pPr>
        <w:ind w:left="567" w:right="-788"/>
        <w:jc w:val="both"/>
        <w:rPr>
          <w:rFonts w:ascii="Palatino Linotype" w:eastAsia="Palatino Linotype" w:hAnsi="Palatino Linotype" w:cs="Palatino Linotype"/>
          <w:i/>
          <w:iCs/>
        </w:rPr>
      </w:pP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A) DEPENDENCIAS: </w:t>
      </w:r>
    </w:p>
    <w:p w:rsidR="00950AD6" w:rsidRPr="00900C89" w:rsidRDefault="00950AD6">
      <w:pPr>
        <w:ind w:left="567" w:right="-788"/>
        <w:jc w:val="both"/>
        <w:rPr>
          <w:rFonts w:ascii="Palatino Linotype" w:eastAsia="Palatino Linotype" w:hAnsi="Palatino Linotype" w:cs="Palatino Linotype"/>
          <w:i/>
          <w:iCs/>
        </w:rPr>
      </w:pP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I. Secretaría del Ayuntamiento; </w:t>
      </w:r>
    </w:p>
    <w:p w:rsidR="00950AD6" w:rsidRPr="00900C89" w:rsidRDefault="00CE3B78">
      <w:pPr>
        <w:ind w:left="567" w:right="-788"/>
        <w:jc w:val="both"/>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 xml:space="preserve">II. Tesorería Municipal;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III. Dirección de Administración;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IV. Dirección de Bienestar Social;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V. Dirección de Campo;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VI. Dirección de Comunicación Social y Gobierno Digital;</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VII. Dirección de Cultura y Turismo;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VIII. Dirección de Desarrollo Económico;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IX. Dirección de Desarrollo Urbano;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X. Dirección de Ecología y Desarrollo Sostenible;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XI. Dirección de Educación:</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XII. Dirección de Gobierno;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XIII. Dirección de Movilidad;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XIV. Dirección de Obras Públicas;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lastRenderedPageBreak/>
        <w:t xml:space="preserve">XV. Dirección de Salud;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XVI. Dirección de Seguridad Pública Municipal;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XVII. Dirección de Servicios Públicos;</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XVIII. Dirección de la Mujer, Igualdad de Género e Inclusión;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XIX. Coordinación Municipal de Protección Civil </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XX. Órgano Interno de Control;</w:t>
      </w:r>
    </w:p>
    <w:p w:rsidR="00950AD6" w:rsidRPr="00900C89" w:rsidRDefault="00CE3B78">
      <w:pPr>
        <w:ind w:left="567" w:right="-78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w:t>
      </w:r>
    </w:p>
    <w:p w:rsidR="00950AD6" w:rsidRPr="00900C89" w:rsidRDefault="00950AD6">
      <w:pPr>
        <w:spacing w:line="360" w:lineRule="auto"/>
        <w:ind w:right="-787"/>
        <w:jc w:val="both"/>
      </w:pPr>
    </w:p>
    <w:p w:rsidR="00950AD6" w:rsidRPr="00900C89" w:rsidRDefault="00CE3B78">
      <w:pPr>
        <w:numPr>
          <w:ilvl w:val="0"/>
          <w:numId w:val="1"/>
        </w:numPr>
        <w:spacing w:line="360" w:lineRule="auto"/>
        <w:ind w:left="0" w:right="-787" w:firstLine="0"/>
        <w:jc w:val="both"/>
      </w:pPr>
      <w:r w:rsidRPr="00900C89">
        <w:rPr>
          <w:rFonts w:ascii="Palatino Linotype" w:eastAsia="Palatino Linotype" w:hAnsi="Palatino Linotype" w:cs="Palatino Linotype"/>
        </w:rPr>
        <w:t xml:space="preserve">La </w:t>
      </w:r>
      <w:r w:rsidRPr="00900C89">
        <w:rPr>
          <w:rFonts w:ascii="Palatino Linotype" w:eastAsia="Palatino Linotype" w:hAnsi="Palatino Linotype" w:cs="Palatino Linotype"/>
          <w:b/>
          <w:bCs/>
        </w:rPr>
        <w:t>Tesorería Municipal</w:t>
      </w:r>
      <w:r w:rsidRPr="00900C89">
        <w:rPr>
          <w:rFonts w:ascii="Palatino Linotype" w:eastAsia="Palatino Linotype" w:hAnsi="Palatino Linotype" w:cs="Palatino Linotype"/>
        </w:rPr>
        <w:t xml:space="preserve"> es el órgano encargado de la recaudación de los ingresos municipales y responsable de realizar las erogaciones que haga el Ayuntamiento; estará a cargo de un Tesorero Municipal, el cual al tomar posesión de su cargo, recibirá la Hacienda Pública de acuerdo con las previsiones a que se refiere el artículo 19 de la Ley Orgánica Municipal y remitirá un ejemplar de dicha documentación al Ayuntamiento, al Órgano Superior de Fiscalización del Estado de México y al Archivo de la Tesorería. El Tesorero Municipal tendrá las atribuciones que le confiere la Ley Orgánica Municipal, en su artículo 95 y demás disposiciones aplicables, de conformidad con el artículo 63, del Bando Municipal 2025.</w:t>
      </w:r>
    </w:p>
    <w:p w:rsidR="00950AD6" w:rsidRPr="00900C89" w:rsidRDefault="00950AD6">
      <w:pPr>
        <w:spacing w:line="360" w:lineRule="auto"/>
        <w:ind w:right="-787"/>
        <w:jc w:val="both"/>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La </w:t>
      </w:r>
      <w:r w:rsidRPr="00900C89">
        <w:rPr>
          <w:rFonts w:ascii="Palatino Linotype" w:eastAsia="Palatino Linotype" w:hAnsi="Palatino Linotype" w:cs="Palatino Linotype"/>
          <w:b/>
          <w:bCs/>
        </w:rPr>
        <w:t xml:space="preserve">Tesorería Municipal </w:t>
      </w:r>
      <w:r w:rsidRPr="00900C89">
        <w:rPr>
          <w:rFonts w:ascii="Palatino Linotype" w:eastAsia="Palatino Linotype" w:hAnsi="Palatino Linotype" w:cs="Palatino Linotype"/>
        </w:rPr>
        <w:t xml:space="preserve">para el desarrollo de sus funciones se integrará por diversas unidades administrativas que componen su estructura orgánica, entre las cuales se encuentra la </w:t>
      </w:r>
      <w:r w:rsidRPr="00900C89">
        <w:rPr>
          <w:rFonts w:ascii="Palatino Linotype" w:eastAsia="Palatino Linotype" w:hAnsi="Palatino Linotype" w:cs="Palatino Linotype"/>
          <w:b/>
          <w:bCs/>
        </w:rPr>
        <w:t>Coordinación de Recursos Humanos</w:t>
      </w:r>
      <w:r w:rsidRPr="00900C89">
        <w:rPr>
          <w:rFonts w:ascii="Palatino Linotype" w:eastAsia="Palatino Linotype" w:hAnsi="Palatino Linotype" w:cs="Palatino Linotype"/>
        </w:rPr>
        <w:t>, misma que tiene como objetivo Proponer, implantar y operar políticas, lineamientos y normatividad en materia de administración y desarrollo de personal; a efecto de gestionar y controlar los trámites relacionados con recursos humanos del personal del Ayuntamiento de Calimaya, de conformidad con el Manual de Organización de la Tesorería Municipal.</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pPr>
      <w:r w:rsidRPr="00900C89">
        <w:rPr>
          <w:rFonts w:ascii="Palatino Linotype" w:eastAsia="Palatino Linotype" w:hAnsi="Palatino Linotype" w:cs="Palatino Linotype"/>
        </w:rPr>
        <w:lastRenderedPageBreak/>
        <w:t>De lo expuesto es de precisar que la respuesta fue emitida por la</w:t>
      </w:r>
      <w:r w:rsidRPr="00900C89">
        <w:rPr>
          <w:rFonts w:ascii="Palatino Linotype" w:eastAsia="Palatino Linotype" w:hAnsi="Palatino Linotype" w:cs="Palatino Linotype"/>
          <w:b/>
          <w:bCs/>
        </w:rPr>
        <w:t xml:space="preserve"> Tesorería Municipal</w:t>
      </w:r>
      <w:r w:rsidRPr="00900C89">
        <w:rPr>
          <w:rFonts w:ascii="Palatino Linotype" w:eastAsia="Palatino Linotype" w:hAnsi="Palatino Linotype" w:cs="Palatino Linotype"/>
        </w:rPr>
        <w:t xml:space="preserve">, por lo que podemos advertir que </w:t>
      </w:r>
      <w:r w:rsidRPr="00900C89">
        <w:rPr>
          <w:rFonts w:ascii="Palatino Linotype" w:eastAsia="Palatino Linotype" w:hAnsi="Palatino Linotype" w:cs="Palatino Linotype"/>
          <w:b/>
          <w:bCs/>
        </w:rPr>
        <w:t xml:space="preserve">EL SUJETO OBLIGADO </w:t>
      </w:r>
      <w:r w:rsidRPr="00900C89">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950AD6" w:rsidRPr="00900C89" w:rsidRDefault="00CE3B78">
      <w:pPr>
        <w:ind w:left="708" w:right="62"/>
        <w:jc w:val="both"/>
        <w:rPr>
          <w:rFonts w:ascii="Palatino Linotype" w:eastAsia="Palatino Linotype" w:hAnsi="Palatino Linotype" w:cs="Palatino Linotype"/>
          <w:i/>
          <w:iCs/>
        </w:rPr>
      </w:pPr>
      <w:r w:rsidRPr="00900C89">
        <w:rPr>
          <w:rFonts w:ascii="Palatino Linotype" w:eastAsia="Palatino Linotype" w:hAnsi="Palatino Linotype" w:cs="Palatino Linotype"/>
          <w:b/>
          <w:bCs/>
          <w:i/>
          <w:iCs/>
        </w:rPr>
        <w:t>XXXIX.</w:t>
      </w:r>
      <w:r w:rsidRPr="00900C89">
        <w:rPr>
          <w:rFonts w:ascii="Palatino Linotype" w:eastAsia="Palatino Linotype" w:hAnsi="Palatino Linotype" w:cs="Palatino Linotype"/>
          <w:i/>
          <w:iCs/>
        </w:rPr>
        <w:t xml:space="preserve"> </w:t>
      </w:r>
      <w:r w:rsidRPr="00900C89">
        <w:rPr>
          <w:rFonts w:ascii="Palatino Linotype" w:eastAsia="Palatino Linotype" w:hAnsi="Palatino Linotype" w:cs="Palatino Linotype"/>
          <w:b/>
          <w:bCs/>
          <w:i/>
          <w:iCs/>
        </w:rPr>
        <w:t>Servidor público habilitado</w:t>
      </w:r>
      <w:r w:rsidRPr="00900C89">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950AD6" w:rsidRPr="00900C89" w:rsidRDefault="00950AD6">
      <w:pPr>
        <w:spacing w:line="360" w:lineRule="auto"/>
        <w:ind w:left="708" w:right="62"/>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pPr>
      <w:r w:rsidRPr="00900C89">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950AD6" w:rsidRPr="00900C89" w:rsidRDefault="00CE3B78">
      <w:pPr>
        <w:ind w:left="425"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w:t>
      </w:r>
      <w:r w:rsidRPr="00900C89">
        <w:rPr>
          <w:rFonts w:ascii="Palatino Linotype" w:eastAsia="Palatino Linotype" w:hAnsi="Palatino Linotype" w:cs="Palatino Linotype"/>
          <w:b/>
          <w:bCs/>
          <w:i/>
          <w:iCs/>
        </w:rPr>
        <w:t>Artículo 162.</w:t>
      </w:r>
      <w:r w:rsidRPr="00900C89">
        <w:rPr>
          <w:rFonts w:ascii="Palatino Linotype" w:eastAsia="Palatino Linotype" w:hAnsi="Palatino Linotype" w:cs="Palatino Linotype"/>
          <w:i/>
          <w:iCs/>
        </w:rPr>
        <w:t xml:space="preserve"> Las unidades de transparencia deberán garantizar que las solicitudes se turnen a </w:t>
      </w:r>
      <w:r w:rsidRPr="00900C89">
        <w:rPr>
          <w:rFonts w:ascii="Palatino Linotype" w:eastAsia="Palatino Linotype" w:hAnsi="Palatino Linotype" w:cs="Palatino Linotype"/>
          <w:b/>
          <w:bCs/>
          <w:i/>
          <w:iCs/>
        </w:rPr>
        <w:t>todas las Áreas competentes</w:t>
      </w:r>
      <w:r w:rsidRPr="00900C89">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950AD6" w:rsidRPr="00900C89" w:rsidRDefault="00950AD6">
      <w:pPr>
        <w:spacing w:line="360" w:lineRule="auto"/>
        <w:ind w:right="-787"/>
        <w:jc w:val="both"/>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color w:val="000000"/>
        </w:rPr>
      </w:pPr>
      <w:r w:rsidRPr="00900C89">
        <w:rPr>
          <w:rFonts w:ascii="Palatino Linotype" w:eastAsia="Palatino Linotype" w:hAnsi="Palatino Linotype" w:cs="Palatino Linotype"/>
        </w:rPr>
        <w:t>Es</w:t>
      </w:r>
      <w:r w:rsidRPr="00900C89">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w:t>
      </w:r>
      <w:r w:rsidRPr="00900C89">
        <w:rPr>
          <w:rFonts w:ascii="Palatino Linotype" w:eastAsia="Palatino Linotype" w:hAnsi="Palatino Linotype" w:cs="Palatino Linotype"/>
        </w:rPr>
        <w:t>directrices</w:t>
      </w:r>
      <w:r w:rsidRPr="00900C89">
        <w:rPr>
          <w:rFonts w:ascii="Palatino Linotype" w:eastAsia="Palatino Linotype" w:hAnsi="Palatino Linotype" w:cs="Palatino Linotype"/>
          <w:color w:val="000000"/>
        </w:rPr>
        <w:t xml:space="preserve">, circulares, contratos, convenios, instructivos, notas, memorandos, estadísticas o bien, cualquier otro registro que documente el ejercicio de las </w:t>
      </w:r>
      <w:r w:rsidRPr="00900C89">
        <w:rPr>
          <w:rFonts w:ascii="Palatino Linotype" w:eastAsia="Palatino Linotype" w:hAnsi="Palatino Linotype" w:cs="Palatino Linotype"/>
          <w:color w:val="000000"/>
        </w:rPr>
        <w:lastRenderedPageBreak/>
        <w:t xml:space="preserve">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950AD6" w:rsidRPr="00900C89" w:rsidRDefault="00CE3B78">
      <w:pPr>
        <w:ind w:left="1134" w:right="-220"/>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w:t>
      </w:r>
      <w:r w:rsidRPr="00900C89">
        <w:rPr>
          <w:rFonts w:ascii="Palatino Linotype" w:eastAsia="Palatino Linotype" w:hAnsi="Palatino Linotype" w:cs="Palatino Linotype"/>
          <w:b/>
          <w:bCs/>
          <w:i/>
          <w:iCs/>
          <w:color w:val="000000"/>
        </w:rPr>
        <w:t xml:space="preserve">Artículo 3. </w:t>
      </w:r>
      <w:r w:rsidRPr="00900C89">
        <w:rPr>
          <w:rFonts w:ascii="Palatino Linotype" w:eastAsia="Palatino Linotype" w:hAnsi="Palatino Linotype" w:cs="Palatino Linotype"/>
          <w:i/>
          <w:iCs/>
          <w:color w:val="000000"/>
        </w:rPr>
        <w:t>Para los efectos de la presente Ley se entenderá por:</w:t>
      </w:r>
    </w:p>
    <w:p w:rsidR="00950AD6" w:rsidRPr="00900C89" w:rsidRDefault="00CE3B78">
      <w:pPr>
        <w:ind w:left="1134" w:right="-220"/>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w:t>
      </w:r>
    </w:p>
    <w:p w:rsidR="00950AD6" w:rsidRPr="00900C89" w:rsidRDefault="00CE3B78">
      <w:pPr>
        <w:ind w:left="1134" w:right="-220"/>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b/>
          <w:bCs/>
          <w:i/>
          <w:iCs/>
          <w:color w:val="000000"/>
        </w:rPr>
        <w:t>XI. Documento:</w:t>
      </w:r>
      <w:r w:rsidRPr="00900C89">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950AD6" w:rsidRPr="00900C89" w:rsidRDefault="00CE3B78">
      <w:pPr>
        <w:spacing w:line="360" w:lineRule="auto"/>
        <w:ind w:left="1134" w:right="-220"/>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w:t>
      </w:r>
    </w:p>
    <w:p w:rsidR="00950AD6" w:rsidRPr="00900C89" w:rsidRDefault="00950AD6">
      <w:pPr>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color w:val="000000"/>
        </w:rPr>
      </w:pPr>
      <w:r w:rsidRPr="00900C89">
        <w:rPr>
          <w:rFonts w:ascii="Palatino Linotype" w:eastAsia="Palatino Linotype" w:hAnsi="Palatino Linotype" w:cs="Palatino Linotype"/>
          <w:color w:val="000000"/>
        </w:rPr>
        <w:t xml:space="preserve">Siendo </w:t>
      </w:r>
      <w:r w:rsidRPr="00900C89">
        <w:rPr>
          <w:rFonts w:ascii="Palatino Linotype" w:eastAsia="Palatino Linotype" w:hAnsi="Palatino Linotype" w:cs="Palatino Linotype"/>
        </w:rPr>
        <w:t>aplicable</w:t>
      </w:r>
      <w:r w:rsidRPr="00900C89">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950AD6" w:rsidRPr="00900C89" w:rsidRDefault="00CE3B78">
      <w:pPr>
        <w:ind w:left="850" w:right="-220"/>
        <w:jc w:val="both"/>
        <w:rPr>
          <w:rFonts w:ascii="Palatino Linotype" w:eastAsia="Palatino Linotype" w:hAnsi="Palatino Linotype" w:cs="Palatino Linotype"/>
          <w:b/>
          <w:bCs/>
          <w:i/>
          <w:iCs/>
        </w:rPr>
      </w:pPr>
      <w:r w:rsidRPr="00900C89">
        <w:rPr>
          <w:rFonts w:ascii="Palatino Linotype" w:eastAsia="Palatino Linotype" w:hAnsi="Palatino Linotype" w:cs="Palatino Linotype"/>
          <w:b/>
          <w:bCs/>
        </w:rPr>
        <w:t>“</w:t>
      </w:r>
      <w:r w:rsidRPr="00900C89">
        <w:rPr>
          <w:rFonts w:ascii="Palatino Linotype" w:eastAsia="Palatino Linotype" w:hAnsi="Palatino Linotype" w:cs="Palatino Linotype"/>
          <w:b/>
          <w:bCs/>
          <w:i/>
          <w:iCs/>
        </w:rPr>
        <w:t>CRITERIO 0002-11</w:t>
      </w:r>
    </w:p>
    <w:p w:rsidR="00950AD6" w:rsidRPr="00900C89" w:rsidRDefault="00CE3B78">
      <w:pPr>
        <w:ind w:left="850"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900C89">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50AD6" w:rsidRPr="00900C89" w:rsidRDefault="00CE3B78">
      <w:pPr>
        <w:ind w:left="850"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En consecuencia el acceso a la información se refiere a que se cumplan cualquiera de los siguientes tres supuestos:</w:t>
      </w:r>
    </w:p>
    <w:p w:rsidR="00950AD6" w:rsidRPr="00900C89" w:rsidRDefault="00CE3B78">
      <w:pPr>
        <w:ind w:left="850" w:right="-220"/>
        <w:jc w:val="both"/>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lastRenderedPageBreak/>
        <w:t xml:space="preserve">1) </w:t>
      </w:r>
      <w:r w:rsidRPr="00900C89">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950AD6" w:rsidRPr="00900C89" w:rsidRDefault="00CE3B78">
      <w:pPr>
        <w:ind w:left="850"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950AD6" w:rsidRPr="00900C89" w:rsidRDefault="00CE3B78">
      <w:pPr>
        <w:ind w:left="850"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950AD6" w:rsidRPr="00900C89" w:rsidRDefault="00CE3B78">
      <w:pPr>
        <w:tabs>
          <w:tab w:val="left" w:pos="851"/>
        </w:tabs>
        <w:spacing w:line="360" w:lineRule="auto"/>
        <w:ind w:left="850" w:right="-220"/>
        <w:rPr>
          <w:rFonts w:ascii="Palatino Linotype" w:eastAsia="Palatino Linotype" w:hAnsi="Palatino Linotype" w:cs="Palatino Linotype"/>
        </w:rPr>
      </w:pPr>
      <w:r w:rsidRPr="00900C89">
        <w:rPr>
          <w:rFonts w:ascii="Palatino Linotype" w:eastAsia="Palatino Linotype" w:hAnsi="Palatino Linotype" w:cs="Palatino Linotype"/>
        </w:rPr>
        <w:t>(Énfasis Añadido)</w:t>
      </w:r>
    </w:p>
    <w:p w:rsidR="00950AD6" w:rsidRPr="00900C89" w:rsidRDefault="00950AD6">
      <w:pPr>
        <w:pBdr>
          <w:top w:val="nil"/>
          <w:left w:val="nil"/>
          <w:bottom w:val="nil"/>
          <w:right w:val="nil"/>
          <w:between w:val="nil"/>
        </w:pBdr>
        <w:ind w:right="-787"/>
        <w:jc w:val="both"/>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color w:val="000000"/>
        </w:rPr>
      </w:pPr>
      <w:r w:rsidRPr="00900C89">
        <w:rPr>
          <w:rFonts w:ascii="Palatino Linotype" w:eastAsia="Palatino Linotype" w:hAnsi="Palatino Linotype" w:cs="Palatino Linotype"/>
          <w:color w:val="000000"/>
        </w:rPr>
        <w:t>Por su parte los artículos 160 y 166, de la Ley local en la materia, que se reproduce de la siguiente forma:</w:t>
      </w:r>
    </w:p>
    <w:p w:rsidR="00950AD6" w:rsidRPr="00900C89" w:rsidRDefault="00CE3B78">
      <w:pPr>
        <w:ind w:left="566"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w:t>
      </w:r>
      <w:r w:rsidRPr="00900C89">
        <w:rPr>
          <w:rFonts w:ascii="Palatino Linotype" w:eastAsia="Palatino Linotype" w:hAnsi="Palatino Linotype" w:cs="Palatino Linotype"/>
          <w:b/>
          <w:bCs/>
          <w:i/>
          <w:iCs/>
        </w:rPr>
        <w:t>Artículo 160.</w:t>
      </w:r>
      <w:r w:rsidRPr="00900C89">
        <w:rPr>
          <w:rFonts w:ascii="Palatino Linotype" w:eastAsia="Palatino Linotype" w:hAnsi="Palatino Linotype" w:cs="Palatino Linotype"/>
          <w:i/>
          <w:iCs/>
        </w:rPr>
        <w:t xml:space="preserve"> </w:t>
      </w:r>
      <w:r w:rsidRPr="00900C89">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900C89">
        <w:rPr>
          <w:rFonts w:ascii="Palatino Linotype" w:eastAsia="Palatino Linotype" w:hAnsi="Palatino Linotype" w:cs="Palatino Linotype"/>
          <w:i/>
          <w:iCs/>
        </w:rPr>
        <w:t>.</w:t>
      </w:r>
    </w:p>
    <w:p w:rsidR="00950AD6" w:rsidRPr="00900C89" w:rsidRDefault="00950AD6">
      <w:pPr>
        <w:ind w:left="566" w:right="-220"/>
        <w:jc w:val="both"/>
        <w:rPr>
          <w:rFonts w:ascii="Palatino Linotype" w:eastAsia="Palatino Linotype" w:hAnsi="Palatino Linotype" w:cs="Palatino Linotype"/>
          <w:i/>
          <w:iCs/>
        </w:rPr>
      </w:pPr>
    </w:p>
    <w:p w:rsidR="00950AD6" w:rsidRPr="00900C89" w:rsidRDefault="00CE3B78">
      <w:pPr>
        <w:ind w:left="566"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En caso que la información solicitada consista en bases de datos se deberá privilegiar la entrega de la misma en formatos abiertos.</w:t>
      </w:r>
    </w:p>
    <w:p w:rsidR="00950AD6" w:rsidRPr="00900C89" w:rsidRDefault="00CE3B78">
      <w:pPr>
        <w:ind w:left="566" w:right="-220"/>
        <w:jc w:val="both"/>
        <w:rPr>
          <w:rFonts w:ascii="Palatino Linotype" w:eastAsia="Palatino Linotype" w:hAnsi="Palatino Linotype" w:cs="Palatino Linotype"/>
          <w:i/>
          <w:iCs/>
          <w:u w:val="single"/>
        </w:rPr>
      </w:pPr>
      <w:r w:rsidRPr="00900C89">
        <w:rPr>
          <w:rFonts w:ascii="Palatino Linotype" w:eastAsia="Palatino Linotype" w:hAnsi="Palatino Linotype" w:cs="Palatino Linotype"/>
          <w:b/>
          <w:bCs/>
          <w:i/>
          <w:iCs/>
        </w:rPr>
        <w:t>Artículo 166.</w:t>
      </w:r>
      <w:r w:rsidRPr="00900C89">
        <w:rPr>
          <w:rFonts w:ascii="Palatino Linotype" w:eastAsia="Palatino Linotype" w:hAnsi="Palatino Linotype" w:cs="Palatino Linotype"/>
          <w:i/>
          <w:iCs/>
        </w:rPr>
        <w:t xml:space="preserve"> </w:t>
      </w:r>
      <w:r w:rsidRPr="00900C89">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950AD6" w:rsidRPr="00900C89" w:rsidRDefault="00CE3B78">
      <w:pPr>
        <w:spacing w:line="360" w:lineRule="auto"/>
        <w:ind w:left="566" w:right="-220"/>
        <w:jc w:val="both"/>
        <w:rPr>
          <w:rFonts w:ascii="Palatino Linotype" w:eastAsia="Palatino Linotype" w:hAnsi="Palatino Linotype" w:cs="Palatino Linotype"/>
        </w:rPr>
      </w:pPr>
      <w:r w:rsidRPr="00900C89">
        <w:rPr>
          <w:rFonts w:ascii="Palatino Linotype" w:eastAsia="Palatino Linotype" w:hAnsi="Palatino Linotype" w:cs="Palatino Linotype"/>
        </w:rPr>
        <w:t>(Énfasis añadido)</w:t>
      </w:r>
    </w:p>
    <w:p w:rsidR="00950AD6" w:rsidRPr="00900C89" w:rsidRDefault="00950AD6">
      <w:pPr>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color w:val="000000"/>
        </w:rPr>
      </w:pPr>
      <w:r w:rsidRPr="00900C89">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950AD6" w:rsidRDefault="00950AD6">
      <w:pPr>
        <w:spacing w:line="360" w:lineRule="auto"/>
        <w:ind w:right="-787"/>
        <w:jc w:val="both"/>
        <w:rPr>
          <w:color w:val="000000"/>
        </w:rPr>
      </w:pPr>
    </w:p>
    <w:p w:rsidR="00900C89" w:rsidRPr="00900C89" w:rsidRDefault="00900C89">
      <w:pPr>
        <w:spacing w:line="360" w:lineRule="auto"/>
        <w:ind w:right="-787"/>
        <w:jc w:val="both"/>
        <w:rPr>
          <w:color w:val="000000"/>
        </w:rPr>
      </w:pPr>
    </w:p>
    <w:p w:rsidR="00950AD6" w:rsidRPr="00900C89" w:rsidRDefault="00CE3B78">
      <w:pPr>
        <w:numPr>
          <w:ilvl w:val="0"/>
          <w:numId w:val="8"/>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b/>
          <w:bCs/>
          <w:color w:val="000000"/>
        </w:rPr>
        <w:lastRenderedPageBreak/>
        <w:t xml:space="preserve">De la naturaleza de la información solicitada. </w:t>
      </w: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Se </w:t>
      </w:r>
      <w:r w:rsidRPr="00900C89">
        <w:rPr>
          <w:rFonts w:ascii="Palatino Linotype" w:eastAsia="Palatino Linotype" w:hAnsi="Palatino Linotype" w:cs="Palatino Linotype"/>
          <w:color w:val="000000"/>
        </w:rPr>
        <w:t>precisa</w:t>
      </w:r>
      <w:r w:rsidRPr="00900C89">
        <w:rPr>
          <w:rFonts w:ascii="Palatino Linotype" w:eastAsia="Palatino Linotype" w:hAnsi="Palatino Linotype" w:cs="Palatino Linotype"/>
        </w:rPr>
        <w:t xml:space="preserve"> </w:t>
      </w:r>
      <w:r w:rsidRPr="00900C89">
        <w:rPr>
          <w:rFonts w:ascii="Palatino Linotype" w:eastAsia="Palatino Linotype" w:hAnsi="Palatino Linotype" w:cs="Palatino Linotype"/>
          <w:color w:val="000000"/>
        </w:rPr>
        <w:t>que</w:t>
      </w:r>
      <w:r w:rsidRPr="00900C89">
        <w:rPr>
          <w:rFonts w:ascii="Palatino Linotype" w:eastAsia="Palatino Linotype" w:hAnsi="Palatino Linotype" w:cs="Palatino Linotype"/>
        </w:rPr>
        <w:t xml:space="preserve"> se obvia el análisis de la competencia por parte del </w:t>
      </w:r>
      <w:r w:rsidRPr="00900C89">
        <w:rPr>
          <w:rFonts w:ascii="Palatino Linotype" w:eastAsia="Palatino Linotype" w:hAnsi="Palatino Linotype" w:cs="Palatino Linotype"/>
          <w:b/>
          <w:bCs/>
        </w:rPr>
        <w:t>SUJETO OBLIGADO</w:t>
      </w:r>
      <w:r w:rsidRPr="00900C89">
        <w:rPr>
          <w:rFonts w:ascii="Palatino Linotype" w:eastAsia="Palatino Linotype" w:hAnsi="Palatino Linotype" w:cs="Palatino Linotype"/>
        </w:rPr>
        <w:t>, para generar, administrar o poseer la información solicitada, dado que éste ha asumido la misma, en razón que en respuesta admitió contar con dicha información, tan es así que remitió diversas documentales requeridas como lo son recibos de nómina, ficha curricular y comprobante de grado de estudios.</w:t>
      </w:r>
    </w:p>
    <w:p w:rsidR="00950AD6" w:rsidRPr="00900C89" w:rsidRDefault="00950AD6">
      <w:pPr>
        <w:tabs>
          <w:tab w:val="left" w:pos="0"/>
          <w:tab w:val="left" w:pos="567"/>
        </w:tabs>
        <w:spacing w:line="360" w:lineRule="auto"/>
        <w:ind w:left="-566"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pPr>
      <w:bookmarkStart w:id="6" w:name="_heading=h.2s8eyo1" w:colFirst="0" w:colLast="0"/>
      <w:bookmarkEnd w:id="6"/>
      <w:r w:rsidRPr="00900C89">
        <w:rPr>
          <w:rFonts w:ascii="Palatino Linotype" w:eastAsia="Palatino Linotype" w:hAnsi="Palatino Linotype" w:cs="Palatino Linotype"/>
        </w:rPr>
        <w:t xml:space="preserve">En efecto, el </w:t>
      </w:r>
      <w:r w:rsidRPr="00900C89">
        <w:rPr>
          <w:rFonts w:ascii="Palatino Linotype" w:eastAsia="Palatino Linotype" w:hAnsi="Palatino Linotype" w:cs="Palatino Linotype"/>
          <w:color w:val="000000"/>
        </w:rPr>
        <w:t>hecho</w:t>
      </w:r>
      <w:r w:rsidRPr="00900C89">
        <w:rPr>
          <w:rFonts w:ascii="Palatino Linotype" w:eastAsia="Palatino Linotype" w:hAnsi="Palatino Linotype" w:cs="Palatino Linotype"/>
        </w:rPr>
        <w:t xml:space="preserve"> de que </w:t>
      </w:r>
      <w:r w:rsidRPr="00900C89">
        <w:rPr>
          <w:rFonts w:ascii="Palatino Linotype" w:eastAsia="Palatino Linotype" w:hAnsi="Palatino Linotype" w:cs="Palatino Linotype"/>
          <w:b/>
          <w:bCs/>
        </w:rPr>
        <w:t>EL SUJETO OBLIGADO</w:t>
      </w:r>
      <w:r w:rsidRPr="00900C89">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950AD6" w:rsidRPr="00900C89" w:rsidRDefault="00CE3B78">
      <w:pPr>
        <w:tabs>
          <w:tab w:val="left" w:pos="8505"/>
        </w:tabs>
        <w:ind w:left="709" w:right="-85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w:t>
      </w:r>
      <w:r w:rsidRPr="00900C89">
        <w:rPr>
          <w:rFonts w:ascii="Palatino Linotype" w:eastAsia="Palatino Linotype" w:hAnsi="Palatino Linotype" w:cs="Palatino Linotype"/>
          <w:b/>
          <w:bCs/>
          <w:i/>
          <w:iCs/>
        </w:rPr>
        <w:t>Artículo 12.</w:t>
      </w:r>
      <w:r w:rsidRPr="00900C89">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950AD6" w:rsidRPr="00900C89" w:rsidRDefault="00950AD6">
      <w:pPr>
        <w:tabs>
          <w:tab w:val="left" w:pos="8505"/>
        </w:tabs>
        <w:ind w:left="709" w:right="-858"/>
        <w:jc w:val="both"/>
        <w:rPr>
          <w:rFonts w:ascii="Palatino Linotype" w:eastAsia="Palatino Linotype" w:hAnsi="Palatino Linotype" w:cs="Palatino Linotype"/>
          <w:i/>
          <w:iCs/>
        </w:rPr>
      </w:pPr>
    </w:p>
    <w:p w:rsidR="00950AD6" w:rsidRPr="00900C89" w:rsidRDefault="00CE3B78">
      <w:pPr>
        <w:tabs>
          <w:tab w:val="left" w:pos="8505"/>
        </w:tabs>
        <w:ind w:left="709" w:right="-858"/>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50AD6" w:rsidRPr="00900C89" w:rsidRDefault="00950AD6">
      <w:pPr>
        <w:tabs>
          <w:tab w:val="left" w:pos="8505"/>
        </w:tabs>
        <w:ind w:left="709" w:right="-858"/>
        <w:jc w:val="both"/>
        <w:rPr>
          <w:rFonts w:ascii="Palatino Linotype" w:eastAsia="Palatino Linotype" w:hAnsi="Palatino Linotype" w:cs="Palatino Linotype"/>
          <w:i/>
          <w:iCs/>
        </w:rPr>
      </w:pPr>
    </w:p>
    <w:p w:rsidR="00950AD6" w:rsidRPr="00900C89" w:rsidRDefault="00950AD6">
      <w:pPr>
        <w:pBdr>
          <w:top w:val="nil"/>
          <w:left w:val="nil"/>
          <w:bottom w:val="nil"/>
          <w:right w:val="nil"/>
          <w:between w:val="nil"/>
        </w:pBdr>
        <w:ind w:left="-566" w:right="-787"/>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color w:val="000000"/>
        </w:rPr>
      </w:pPr>
      <w:r w:rsidRPr="00900C89">
        <w:rPr>
          <w:rFonts w:ascii="Palatino Linotype" w:eastAsia="Palatino Linotype" w:hAnsi="Palatino Linotype" w:cs="Palatino Linotype"/>
        </w:rPr>
        <w:t xml:space="preserve">Así, el estudio de </w:t>
      </w:r>
      <w:r w:rsidRPr="00900C89">
        <w:rPr>
          <w:rFonts w:ascii="Palatino Linotype" w:eastAsia="Palatino Linotype" w:hAnsi="Palatino Linotype" w:cs="Palatino Linotype"/>
          <w:color w:val="000000"/>
        </w:rPr>
        <w:t>la</w:t>
      </w:r>
      <w:r w:rsidRPr="00900C89">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900C89">
        <w:rPr>
          <w:rFonts w:ascii="Palatino Linotype" w:eastAsia="Palatino Linotype" w:hAnsi="Palatino Linotype" w:cs="Palatino Linotype"/>
          <w:b/>
          <w:bCs/>
        </w:rPr>
        <w:t>EL SUJETO OBLIGADO</w:t>
      </w:r>
      <w:r w:rsidRPr="00900C89">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administra, en ejercicio de sus funciones de derecho público, motivo por el cual, se </w:t>
      </w:r>
      <w:r w:rsidRPr="00900C89">
        <w:rPr>
          <w:rFonts w:ascii="Palatino Linotype" w:eastAsia="Palatino Linotype" w:hAnsi="Palatino Linotype" w:cs="Palatino Linotype"/>
        </w:rPr>
        <w:lastRenderedPageBreak/>
        <w:t>actualiza el supuesto jurídico, previsto en el artículo 12 de la Ley de la materia, anteriormente referido.</w:t>
      </w:r>
    </w:p>
    <w:p w:rsidR="00950AD6" w:rsidRPr="00900C89" w:rsidRDefault="00950AD6">
      <w:pPr>
        <w:spacing w:line="360" w:lineRule="auto"/>
        <w:ind w:right="-787"/>
        <w:jc w:val="both"/>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i/>
          <w:iCs/>
          <w:color w:val="000000"/>
          <w:u w:val="single"/>
        </w:rPr>
      </w:pPr>
      <w:r w:rsidRPr="00900C89">
        <w:rPr>
          <w:rFonts w:ascii="Palatino Linotype" w:eastAsia="Palatino Linotype" w:hAnsi="Palatino Linotype" w:cs="Palatino Linotype"/>
          <w:color w:val="000000"/>
        </w:rPr>
        <w:t>Ahora</w:t>
      </w:r>
      <w:r w:rsidRPr="00900C89">
        <w:rPr>
          <w:rFonts w:ascii="Palatino Linotype" w:eastAsia="Palatino Linotype" w:hAnsi="Palatino Linotype" w:cs="Palatino Linotype"/>
        </w:rPr>
        <w:t xml:space="preserve"> bien, es de precisar que el particular requirió </w:t>
      </w:r>
      <w:r w:rsidRPr="00900C89">
        <w:rPr>
          <w:rFonts w:ascii="Palatino Linotype" w:eastAsia="Palatino Linotype" w:hAnsi="Palatino Linotype" w:cs="Palatino Linotype"/>
          <w:color w:val="000000"/>
        </w:rPr>
        <w:t xml:space="preserve">tener acceso, a la siguiente información: </w:t>
      </w:r>
      <w:r w:rsidRPr="00900C89">
        <w:rPr>
          <w:rFonts w:ascii="Palatino Linotype" w:eastAsia="Palatino Linotype" w:hAnsi="Palatino Linotype" w:cs="Palatino Linotype"/>
          <w:i/>
          <w:iCs/>
          <w:color w:val="000000"/>
          <w:u w:val="single"/>
        </w:rPr>
        <w:t>Del servidor público referido en la solicitud de información: Recibos de nómina de la primera y segunda quincena de julio de 2025, Currículum vitae, Grado máximo de estudios, Comprobante de estudios, Funciones,</w:t>
      </w:r>
      <w:r w:rsidRPr="00900C89">
        <w:rPr>
          <w:rFonts w:ascii="Palatino Linotype" w:eastAsia="Palatino Linotype" w:hAnsi="Palatino Linotype" w:cs="Palatino Linotype"/>
          <w:i/>
          <w:iCs/>
          <w:color w:val="000000"/>
        </w:rPr>
        <w:t xml:space="preserve"> </w:t>
      </w:r>
      <w:r w:rsidRPr="00900C89">
        <w:rPr>
          <w:rFonts w:ascii="Palatino Linotype" w:eastAsia="Palatino Linotype" w:hAnsi="Palatino Linotype" w:cs="Palatino Linotype"/>
          <w:color w:val="000000"/>
        </w:rPr>
        <w:t xml:space="preserve">en respuesta el Sujeto Obligado a través de la Tesorería Municipal remitió </w:t>
      </w:r>
      <w:r w:rsidRPr="00900C89">
        <w:rPr>
          <w:rFonts w:ascii="Palatino Linotype" w:eastAsia="Palatino Linotype" w:hAnsi="Palatino Linotype" w:cs="Palatino Linotype"/>
        </w:rPr>
        <w:t>recibos de nómina, ficha curricular y comprobante de estudios, del servidor público referido en la solicitud de información</w:t>
      </w:r>
      <w:r w:rsidRPr="00900C89">
        <w:rPr>
          <w:rFonts w:ascii="Palatino Linotype" w:eastAsia="Palatino Linotype" w:hAnsi="Palatino Linotype" w:cs="Palatino Linotype"/>
          <w:color w:val="000000"/>
        </w:rPr>
        <w:t>; circunstancia de la cual se dolió el recurrente al señalar que la información se entregó de manera incompleta, posteriormente las partes fueron omisas en realizar manifestaciones.</w:t>
      </w:r>
    </w:p>
    <w:p w:rsidR="00950AD6" w:rsidRPr="00900C89" w:rsidRDefault="00950AD6">
      <w:pPr>
        <w:spacing w:line="360" w:lineRule="auto"/>
        <w:ind w:right="-787"/>
        <w:jc w:val="both"/>
        <w:rPr>
          <w:rFonts w:ascii="Palatino Linotype" w:eastAsia="Palatino Linotype" w:hAnsi="Palatino Linotype" w:cs="Palatino Linotype"/>
          <w:i/>
          <w:iCs/>
          <w:color w:val="000000"/>
          <w:u w:val="singl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color w:val="000000"/>
        </w:rPr>
        <w:t xml:space="preserve">De lo anterior en primer momento es de apreciar que los motivos de inconformidad referidos por el particular son los siguientes </w:t>
      </w:r>
      <w:r w:rsidRPr="00900C89">
        <w:rPr>
          <w:rFonts w:ascii="Palatino Linotype" w:eastAsia="Palatino Linotype" w:hAnsi="Palatino Linotype" w:cs="Palatino Linotype"/>
          <w:i/>
          <w:iCs/>
          <w:color w:val="000000"/>
        </w:rPr>
        <w:t>“INFORMACIÓN INCOMPLETA, NO MENCIONA QUE FUNCIONES REALIZA, ADEMÁS DE QUE DA INFORMACIÓN FALSA AL DECIR QUE SU GRADO MÁXIMO DE ESTUDIOS ES EL BACHILLERATO CUANDO NO LO COMPRUEBA CON EL DOCUMENTO CORRESPONDIENTE.” (Sic)</w:t>
      </w:r>
      <w:r w:rsidRPr="00900C89">
        <w:rPr>
          <w:rFonts w:ascii="Palatino Linotype" w:eastAsia="Palatino Linotype" w:hAnsi="Palatino Linotype" w:cs="Palatino Linotype"/>
          <w:color w:val="000000"/>
        </w:rPr>
        <w:t xml:space="preserve">, es decir que el particular se está doliendo al considerar que la información entregada se realizó de manera parcial, ya que no se mencionan las funciones del servidor público y el comprobante de estudios no corresponde con el grado máximo de estudios señalado en la ficha curricular, por lo que la parte de la solicitud que no fue combatida se debe tener como </w:t>
      </w:r>
      <w:r w:rsidRPr="00900C89">
        <w:rPr>
          <w:rFonts w:ascii="Palatino Linotype" w:eastAsia="Palatino Linotype" w:hAnsi="Palatino Linotype" w:cs="Palatino Linotype"/>
          <w:b/>
          <w:bCs/>
          <w:color w:val="000000"/>
        </w:rPr>
        <w:t>actos consentidos</w:t>
      </w:r>
      <w:r w:rsidRPr="00900C89">
        <w:rPr>
          <w:rFonts w:ascii="Palatino Linotype" w:eastAsia="Palatino Linotype" w:hAnsi="Palatino Linotype" w:cs="Palatino Linotype"/>
          <w:color w:val="000000"/>
        </w:rPr>
        <w:t>, por no haber pronunciamiento de impugnación.</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lastRenderedPageBreak/>
        <w:t xml:space="preserve">Luego </w:t>
      </w:r>
      <w:r w:rsidRPr="00900C89">
        <w:rPr>
          <w:rFonts w:ascii="Palatino Linotype" w:eastAsia="Palatino Linotype" w:hAnsi="Palatino Linotype" w:cs="Palatino Linotype"/>
          <w:color w:val="000000"/>
        </w:rPr>
        <w:t>entonces</w:t>
      </w:r>
      <w:r w:rsidRPr="00900C89">
        <w:rPr>
          <w:rFonts w:ascii="Palatino Linotype" w:eastAsia="Palatino Linotype" w:hAnsi="Palatino Linotype" w:cs="Palatino Linotype"/>
        </w:rPr>
        <w:t xml:space="preserve">, al no existir inconformidad, la información se tiene por </w:t>
      </w:r>
      <w:r w:rsidRPr="00900C89">
        <w:rPr>
          <w:rFonts w:ascii="Palatino Linotype" w:eastAsia="Palatino Linotype" w:hAnsi="Palatino Linotype" w:cs="Palatino Linotype"/>
          <w:color w:val="000000"/>
        </w:rPr>
        <w:t>consentida</w:t>
      </w:r>
      <w:r w:rsidRPr="00900C89">
        <w:rPr>
          <w:rFonts w:ascii="Palatino Linotype" w:eastAsia="Palatino Linotype" w:hAnsi="Palatino Linotype" w:cs="Palatino Linotype"/>
        </w:rPr>
        <w:t>, ya</w:t>
      </w:r>
      <w:r w:rsidRPr="00900C89">
        <w:rPr>
          <w:rFonts w:ascii="Palatino Linotype" w:eastAsia="Palatino Linotype" w:hAnsi="Palatino Linotype" w:cs="Palatino Linotype"/>
          <w:b/>
          <w:bCs/>
        </w:rPr>
        <w:t xml:space="preserve"> </w:t>
      </w:r>
      <w:r w:rsidRPr="00900C89">
        <w:rPr>
          <w:rFonts w:ascii="Palatino Linotype" w:eastAsia="Palatino Linotype" w:hAnsi="Palatino Linotype" w:cs="Palatino Linotype"/>
        </w:rPr>
        <w:t xml:space="preserve">que la falta de impugnación respecto de los requerimientos que no fueron manifestados en el recurso de revisión, debe entenderse como </w:t>
      </w:r>
      <w:r w:rsidRPr="00900C89">
        <w:rPr>
          <w:rFonts w:ascii="Palatino Linotype" w:eastAsia="Palatino Linotype" w:hAnsi="Palatino Linotype" w:cs="Palatino Linotype"/>
          <w:b/>
          <w:bCs/>
        </w:rPr>
        <w:t>actos consentidos</w:t>
      </w:r>
      <w:r w:rsidRPr="00900C89">
        <w:rPr>
          <w:rFonts w:ascii="Palatino Linotype" w:eastAsia="Palatino Linotype" w:hAnsi="Palatino Linotype" w:cs="Palatino Linotype"/>
        </w:rPr>
        <w:t>.</w:t>
      </w:r>
    </w:p>
    <w:p w:rsidR="00950AD6" w:rsidRPr="00900C89" w:rsidRDefault="00950AD6">
      <w:pPr>
        <w:pBdr>
          <w:top w:val="nil"/>
          <w:left w:val="nil"/>
          <w:bottom w:val="nil"/>
          <w:right w:val="nil"/>
          <w:between w:val="nil"/>
        </w:pBdr>
        <w:spacing w:line="360" w:lineRule="auto"/>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Esto es así, debido a que cuando el recurrente impugna la respuesta del sujeto obligado y éste no expresa razón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950AD6" w:rsidRPr="00900C89" w:rsidRDefault="00CE3B78">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b/>
          <w:bCs/>
          <w:i/>
          <w:iCs/>
          <w:color w:val="000000"/>
        </w:rPr>
        <w:t>“REVISIÓN EN AMPARO. LOS RESOLUTIVOS NO COMBATIDOS DEBEN DECLARARSE FIRMES. </w:t>
      </w:r>
      <w:r w:rsidRPr="00900C89">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900C89">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900C89">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900C89">
        <w:rPr>
          <w:rFonts w:ascii="Palatino Linotype" w:eastAsia="Palatino Linotype" w:hAnsi="Palatino Linotype" w:cs="Palatino Linotype"/>
          <w:i/>
          <w:iCs/>
          <w:color w:val="000000"/>
        </w:rPr>
        <w:t>.”</w:t>
      </w:r>
    </w:p>
    <w:p w:rsidR="00950AD6" w:rsidRPr="00900C89" w:rsidRDefault="00950AD6">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Consecutivamente, </w:t>
      </w:r>
      <w:r w:rsidRPr="00900C89">
        <w:rPr>
          <w:rFonts w:ascii="Palatino Linotype" w:eastAsia="Palatino Linotype" w:hAnsi="Palatino Linotype" w:cs="Palatino Linotype"/>
          <w:b/>
          <w:bCs/>
        </w:rPr>
        <w:t xml:space="preserve">la parte de la respuesta que no fue impugnada debe declararse consentida por el recurrente, toda vez que no realizó </w:t>
      </w:r>
      <w:r w:rsidRPr="00900C89">
        <w:rPr>
          <w:rFonts w:ascii="Palatino Linotype" w:eastAsia="Palatino Linotype" w:hAnsi="Palatino Linotype" w:cs="Palatino Linotype"/>
        </w:rPr>
        <w:t>manifestaciones</w:t>
      </w:r>
      <w:r w:rsidRPr="00900C89">
        <w:rPr>
          <w:rFonts w:ascii="Palatino Linotype" w:eastAsia="Palatino Linotype" w:hAnsi="Palatino Linotype" w:cs="Palatino Linotype"/>
          <w:b/>
          <w:bCs/>
        </w:rPr>
        <w:t xml:space="preserve"> </w:t>
      </w:r>
      <w:r w:rsidRPr="00900C89">
        <w:rPr>
          <w:rFonts w:ascii="Palatino Linotype" w:eastAsia="Palatino Linotype" w:hAnsi="Palatino Linotype" w:cs="Palatino Linotype"/>
        </w:rPr>
        <w:t>de</w:t>
      </w:r>
      <w:r w:rsidRPr="00900C89">
        <w:rPr>
          <w:rFonts w:ascii="Palatino Linotype" w:eastAsia="Palatino Linotype" w:hAnsi="Palatino Linotype" w:cs="Palatino Linotype"/>
          <w:b/>
          <w:bCs/>
        </w:rPr>
        <w:t xml:space="preserve"> inconformidad</w:t>
      </w:r>
      <w:r w:rsidRPr="00900C89">
        <w:rPr>
          <w:rFonts w:ascii="Palatino Linotype" w:eastAsia="Palatino Linotype" w:hAnsi="Palatino Linotype" w:cs="Palatino Linotype"/>
        </w:rPr>
        <w:t xml:space="preserve">; por lo que, no pueden producirse efectos jurídicos tendentes a revocar, confirmar o modificar el acto reclamado ya que </w:t>
      </w:r>
      <w:r w:rsidRPr="00900C89">
        <w:rPr>
          <w:rFonts w:ascii="Palatino Linotype" w:eastAsia="Palatino Linotype" w:hAnsi="Palatino Linotype" w:cs="Palatino Linotype"/>
          <w:b/>
          <w:bCs/>
        </w:rPr>
        <w:t>se infiere su consentimiento</w:t>
      </w:r>
      <w:r w:rsidRPr="00900C89">
        <w:rPr>
          <w:rFonts w:ascii="Palatino Linotype" w:eastAsia="Palatino Linotype" w:hAnsi="Palatino Linotype" w:cs="Palatino Linotype"/>
        </w:rPr>
        <w:t xml:space="preserve"> </w:t>
      </w:r>
      <w:r w:rsidRPr="00900C89">
        <w:rPr>
          <w:rFonts w:ascii="Palatino Linotype" w:eastAsia="Palatino Linotype" w:hAnsi="Palatino Linotype" w:cs="Palatino Linotype"/>
          <w:b/>
          <w:bCs/>
        </w:rPr>
        <w:t xml:space="preserve">ante la falta de impugnación </w:t>
      </w:r>
      <w:r w:rsidRPr="00900C89">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950AD6" w:rsidRPr="00900C89" w:rsidRDefault="00950AD6">
      <w:pPr>
        <w:spacing w:line="360" w:lineRule="auto"/>
        <w:ind w:left="360"/>
        <w:jc w:val="both"/>
        <w:rPr>
          <w:rFonts w:ascii="Palatino Linotype" w:eastAsia="Palatino Linotype" w:hAnsi="Palatino Linotype" w:cs="Palatino Linotype"/>
        </w:rPr>
      </w:pPr>
    </w:p>
    <w:p w:rsidR="00950AD6" w:rsidRPr="00900C89" w:rsidRDefault="00CE3B78">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b/>
          <w:bCs/>
          <w:i/>
          <w:iCs/>
          <w:color w:val="000000"/>
        </w:rPr>
        <w:lastRenderedPageBreak/>
        <w:t>“ACTOS CONSENTIDOS. SON LOS QUE NO SE IMPUGNAN MEDIANTE EL RECURSO IDÓNEO. </w:t>
      </w:r>
      <w:r w:rsidRPr="00900C89">
        <w:rPr>
          <w:rFonts w:ascii="Palatino Linotype" w:eastAsia="Palatino Linotype" w:hAnsi="Palatino Linotype" w:cs="Palatino Linotype"/>
          <w:i/>
          <w:iCs/>
          <w:color w:val="000000"/>
          <w:u w:val="single"/>
        </w:rPr>
        <w:t>Debe reputarse como consentido el acto que no se impugnó por el medio establecido por la ley</w:t>
      </w:r>
      <w:r w:rsidRPr="00900C89">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950AD6" w:rsidRPr="00900C89" w:rsidRDefault="00950AD6">
      <w:pPr>
        <w:spacing w:line="360" w:lineRule="auto"/>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rPr>
        <w:t xml:space="preserve">Luego entonces, respecto de los puntos combatidos en relación al </w:t>
      </w:r>
      <w:r w:rsidRPr="00900C89">
        <w:rPr>
          <w:rFonts w:ascii="Palatino Linotype" w:eastAsia="Palatino Linotype" w:hAnsi="Palatino Linotype" w:cs="Palatino Linotype"/>
          <w:i/>
          <w:iCs/>
          <w:u w:val="single"/>
        </w:rPr>
        <w:t>comprobante de estudios</w:t>
      </w:r>
      <w:r w:rsidRPr="00900C89">
        <w:rPr>
          <w:rFonts w:ascii="Palatino Linotype" w:eastAsia="Palatino Linotype" w:hAnsi="Palatino Linotype" w:cs="Palatino Linotype"/>
        </w:rPr>
        <w:t>, es de referir que el Sujeto Obligado remitió una boleta de calificaciones de la licenciatura en Administración de empresas, del primer cuatrimestre, de fecha 16 de febrero de 2013, por lo que resulta necesario referir lo establecido en el artículo 47 de la Ley de Trabajo de los Servidores Públicos del Estado de México y Municipios, el cual refiere que toda persona que requiera ingresar al servicio público debe cumplir con el mínimo de requisitos, los cuales son los siguientes:</w:t>
      </w:r>
    </w:p>
    <w:p w:rsidR="00950AD6" w:rsidRPr="00900C89" w:rsidRDefault="00CE3B78">
      <w:pPr>
        <w:pStyle w:val="Puesto"/>
        <w:spacing w:before="0" w:after="0"/>
        <w:ind w:left="567" w:right="-716"/>
        <w:rPr>
          <w:rFonts w:ascii="Palatino Linotype" w:eastAsia="Palatino Linotype" w:hAnsi="Palatino Linotype" w:cs="Palatino Linotype"/>
          <w:i/>
          <w:iCs/>
          <w:sz w:val="24"/>
          <w:szCs w:val="24"/>
        </w:rPr>
      </w:pPr>
      <w:r w:rsidRPr="00900C89">
        <w:rPr>
          <w:rFonts w:ascii="Palatino Linotype" w:eastAsia="Palatino Linotype" w:hAnsi="Palatino Linotype" w:cs="Palatino Linotype"/>
          <w:i/>
          <w:iCs/>
          <w:sz w:val="24"/>
          <w:szCs w:val="24"/>
        </w:rPr>
        <w:lastRenderedPageBreak/>
        <w:t xml:space="preserve">“Artículo 47. Para ingresar al servicio público se requiere: </w:t>
      </w:r>
    </w:p>
    <w:p w:rsidR="00950AD6" w:rsidRPr="00900C89" w:rsidRDefault="00950AD6">
      <w:pPr>
        <w:pStyle w:val="Puesto"/>
        <w:spacing w:before="0" w:after="0"/>
        <w:ind w:left="567" w:right="-716"/>
        <w:rPr>
          <w:rFonts w:ascii="Palatino Linotype" w:eastAsia="Palatino Linotype" w:hAnsi="Palatino Linotype" w:cs="Palatino Linotype"/>
          <w:b w:val="0"/>
          <w:bCs w:val="0"/>
          <w:i/>
          <w:iCs/>
          <w:sz w:val="24"/>
          <w:szCs w:val="24"/>
        </w:rPr>
      </w:pP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I. Presentar una solicitud utilizando la forma oficial que se autorice por la institución pública o dependencia correspondiente;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II. Ser de nacionalidad mexicana, con la excepción prevista en el artículo 17 de la presente ley;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III. Estar en pleno ejercicio de sus derechos civiles y políticos, en su caso;</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IV. Acreditar, cuando proceda, el cumplimiento de la Ley del Servicio Militar Nacional;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V. Derogada.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VI. No haber sido separado anteriormente del servicio por las causas previstas en el artículo 93 de la presente ley;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VII. Tener buena salud, lo que se comprobará con los certificados médicos correspondientes, en la forma en que se establezca en cada institución pública;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VIII. Cumplir con los requisitos que se establezcan para los diferentes puestos;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IX. Acreditar por medio de los exámenes correspondientes los conocimientos y aptitudes necesarios para el desempeño del puesto; y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X. No estar inhabilitado para el ejercicio del servicio público. </w:t>
      </w: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 xml:space="preserve">XI. Presentar certificado expedido por la Unidad del Registro de Deudores Alimentarios Morosos en el que conste, si se encuentra inscrito o no en el mismo. </w:t>
      </w:r>
    </w:p>
    <w:p w:rsidR="00950AD6" w:rsidRPr="00900C89" w:rsidRDefault="00950AD6">
      <w:pPr>
        <w:pStyle w:val="Puesto"/>
        <w:spacing w:before="0" w:after="0"/>
        <w:ind w:left="567" w:right="-716"/>
        <w:rPr>
          <w:rFonts w:ascii="Palatino Linotype" w:eastAsia="Palatino Linotype" w:hAnsi="Palatino Linotype" w:cs="Palatino Linotype"/>
          <w:b w:val="0"/>
          <w:bCs w:val="0"/>
          <w:i/>
          <w:iCs/>
          <w:sz w:val="24"/>
          <w:szCs w:val="24"/>
        </w:rPr>
      </w:pPr>
    </w:p>
    <w:p w:rsidR="00950AD6" w:rsidRPr="00900C89" w:rsidRDefault="00CE3B78">
      <w:pPr>
        <w:pStyle w:val="Puesto"/>
        <w:spacing w:before="0" w:after="0"/>
        <w:ind w:left="567" w:right="-716"/>
        <w:rPr>
          <w:rFonts w:ascii="Palatino Linotype" w:eastAsia="Palatino Linotype" w:hAnsi="Palatino Linotype" w:cs="Palatino Linotype"/>
          <w:b w:val="0"/>
          <w:bCs w:val="0"/>
          <w:i/>
          <w:iCs/>
          <w:sz w:val="24"/>
          <w:szCs w:val="24"/>
        </w:rPr>
      </w:pPr>
      <w:r w:rsidRPr="00900C89">
        <w:rPr>
          <w:rFonts w:ascii="Palatino Linotype" w:eastAsia="Palatino Linotype" w:hAnsi="Palatino Linotype" w:cs="Palatino Linotype"/>
          <w:b w:val="0"/>
          <w:bCs w:val="0"/>
          <w:i/>
          <w:iCs/>
          <w:sz w:val="24"/>
          <w:szCs w:val="24"/>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rsidR="00950AD6" w:rsidRPr="00900C89" w:rsidRDefault="00950AD6">
      <w:pPr>
        <w:spacing w:line="360" w:lineRule="auto"/>
        <w:ind w:right="-787"/>
        <w:jc w:val="both"/>
        <w:rPr>
          <w:rFonts w:ascii="Palatino Linotype" w:eastAsia="Palatino Linotype" w:hAnsi="Palatino Linotype" w:cs="Palatino Linotype"/>
          <w:i/>
          <w:iCs/>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color w:val="000000"/>
        </w:rPr>
        <w:t xml:space="preserve">En </w:t>
      </w:r>
      <w:r w:rsidRPr="00900C89">
        <w:rPr>
          <w:rFonts w:ascii="Palatino Linotype" w:eastAsia="Palatino Linotype" w:hAnsi="Palatino Linotype" w:cs="Palatino Linotype"/>
        </w:rPr>
        <w:t>este</w:t>
      </w:r>
      <w:r w:rsidRPr="00900C89">
        <w:rPr>
          <w:rFonts w:ascii="Palatino Linotype" w:eastAsia="Palatino Linotype" w:hAnsi="Palatino Linotype" w:cs="Palatino Linotype"/>
          <w:color w:val="000000"/>
        </w:rPr>
        <w:t xml:space="preserve"> sentido respecto del </w:t>
      </w:r>
      <w:r w:rsidRPr="00900C89">
        <w:rPr>
          <w:rFonts w:ascii="Palatino Linotype" w:eastAsia="Palatino Linotype" w:hAnsi="Palatino Linotype" w:cs="Palatino Linotype"/>
          <w:b/>
          <w:bCs/>
          <w:color w:val="000000"/>
        </w:rPr>
        <w:t xml:space="preserve">comprobante de grado máximo de estudios, </w:t>
      </w:r>
      <w:r w:rsidRPr="00900C89">
        <w:rPr>
          <w:rFonts w:ascii="Palatino Linotype" w:eastAsia="Palatino Linotype" w:hAnsi="Palatino Linotype" w:cs="Palatino Linotype"/>
          <w:color w:val="000000"/>
        </w:rPr>
        <w:t xml:space="preserve">debe tenerse en cuenta lo dispuesto en los artículos 60 de la Ley General de </w:t>
      </w:r>
      <w:r w:rsidRPr="00900C89">
        <w:rPr>
          <w:rFonts w:ascii="Palatino Linotype" w:eastAsia="Palatino Linotype" w:hAnsi="Palatino Linotype" w:cs="Palatino Linotype"/>
        </w:rPr>
        <w:t>Educación</w:t>
      </w:r>
      <w:r w:rsidRPr="00900C89">
        <w:rPr>
          <w:rFonts w:ascii="Palatino Linotype" w:eastAsia="Palatino Linotype" w:hAnsi="Palatino Linotype" w:cs="Palatino Linotype"/>
          <w:color w:val="000000"/>
        </w:rPr>
        <w:t>, 3.27 fracción IV, 3.28, 3.29 y 3.31 segundo párrafo del Código Administrativo del Estado de México, que prevén:</w:t>
      </w:r>
    </w:p>
    <w:p w:rsidR="00950AD6" w:rsidRPr="00900C89" w:rsidRDefault="00CE3B78">
      <w:pPr>
        <w:ind w:left="851" w:right="-433"/>
        <w:jc w:val="both"/>
        <w:rPr>
          <w:rFonts w:ascii="Palatino Linotype" w:eastAsia="Palatino Linotype" w:hAnsi="Palatino Linotype" w:cs="Palatino Linotype"/>
        </w:rPr>
      </w:pPr>
      <w:r w:rsidRPr="00900C89">
        <w:rPr>
          <w:rFonts w:ascii="Palatino Linotype" w:eastAsia="Palatino Linotype" w:hAnsi="Palatino Linotype" w:cs="Palatino Linotype"/>
          <w:b/>
          <w:bCs/>
          <w:i/>
          <w:iCs/>
          <w:color w:val="000000"/>
        </w:rPr>
        <w:t>“ARTÍCULO 60.-</w:t>
      </w:r>
      <w:r w:rsidRPr="00900C89">
        <w:rPr>
          <w:rFonts w:ascii="Palatino Linotype" w:eastAsia="Palatino Linotype" w:hAnsi="Palatino Linotype" w:cs="Palatino Linotype"/>
          <w:i/>
          <w:iCs/>
          <w:color w:val="000000"/>
        </w:rPr>
        <w:t xml:space="preserve"> Los estudios realizados dentro del sistema educativo nacional tendrán validez en toda la República.</w:t>
      </w:r>
    </w:p>
    <w:p w:rsidR="00950AD6" w:rsidRPr="00900C89" w:rsidRDefault="00CE3B78">
      <w:pPr>
        <w:ind w:left="851" w:right="-433"/>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 xml:space="preserve">Las instituciones del sistema educativo nacional expedirán certificados y otorgarán constancias, diplomas, títulos o grados académicos a las personas que hayan concluido estudios de conformidad con los requisitos establecidos en los planes y programas de </w:t>
      </w:r>
      <w:r w:rsidRPr="00900C89">
        <w:rPr>
          <w:rFonts w:ascii="Palatino Linotype" w:eastAsia="Palatino Linotype" w:hAnsi="Palatino Linotype" w:cs="Palatino Linotype"/>
          <w:i/>
          <w:iCs/>
          <w:color w:val="000000"/>
        </w:rPr>
        <w:lastRenderedPageBreak/>
        <w:t>estudio correspondientes. Dichos certificados, constancias, diplomas, títulos y grados deberán registrarse en el Sistema de Información y Gestión Educativa y tendrán validez en toda la República.”</w:t>
      </w:r>
    </w:p>
    <w:p w:rsidR="00950AD6" w:rsidRPr="00900C89" w:rsidRDefault="00950AD6">
      <w:pPr>
        <w:spacing w:before="240" w:after="240" w:line="276" w:lineRule="auto"/>
        <w:ind w:left="851" w:right="902"/>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color w:val="000000"/>
        </w:rPr>
        <w:t xml:space="preserve">De lo </w:t>
      </w:r>
      <w:r w:rsidRPr="00900C89">
        <w:rPr>
          <w:rFonts w:ascii="Palatino Linotype" w:eastAsia="Palatino Linotype" w:hAnsi="Palatino Linotype" w:cs="Palatino Linotype"/>
        </w:rPr>
        <w:t>dispuesto</w:t>
      </w:r>
      <w:r w:rsidRPr="00900C89">
        <w:rPr>
          <w:rFonts w:ascii="Palatino Linotype" w:eastAsia="Palatino Linotype" w:hAnsi="Palatino Linotype" w:cs="Palatino Linotype"/>
          <w:color w:val="000000"/>
        </w:rPr>
        <w:t xml:space="preserve"> en el preceptos legales en cita, se obtiene que en materia de educación, es aplicable en la entidad lo dispuesto en la Ley General de Educación, por lo que en términos de dicha ley, el estudio educativo realizado dentro del sistema educativo nacional tiene validez en toda la República; siendo una obligación de las instituciones educativas expedir certificados y otorgar constancias, diplomas, títulos o grados académicos a las personas que hayan concluido estudios de conformidad con los requisitos establecidos en los planes y programas de estudio correspondientes.</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Ante los argumentos planteados, se puede concluir que constituyen documentos probatorios de estudios; </w:t>
      </w:r>
      <w:r w:rsidRPr="00900C89">
        <w:rPr>
          <w:rFonts w:ascii="Palatino Linotype" w:eastAsia="Palatino Linotype" w:hAnsi="Palatino Linotype" w:cs="Palatino Linotype"/>
          <w:b/>
          <w:bCs/>
          <w:color w:val="000000"/>
          <w:u w:val="single"/>
        </w:rPr>
        <w:t>los certificados, constancias, diplomas, títulos y/o cédula profesional</w:t>
      </w:r>
      <w:r w:rsidRPr="00900C89">
        <w:rPr>
          <w:rFonts w:ascii="Palatino Linotype" w:eastAsia="Palatino Linotype" w:hAnsi="Palatino Linotype" w:cs="Palatino Linotype"/>
          <w:b/>
          <w:bCs/>
          <w:color w:val="000000"/>
        </w:rPr>
        <w:t>,</w:t>
      </w:r>
      <w:r w:rsidRPr="00900C89">
        <w:rPr>
          <w:rFonts w:ascii="Palatino Linotype" w:eastAsia="Palatino Linotype" w:hAnsi="Palatino Linotype" w:cs="Palatino Linotype"/>
          <w:color w:val="000000"/>
        </w:rPr>
        <w:t xml:space="preserve"> por tratarse de la expresión documental que permite acreditar el grado de estudios de los servidores públicos.</w:t>
      </w:r>
    </w:p>
    <w:p w:rsidR="00950AD6" w:rsidRPr="00900C89" w:rsidRDefault="00950AD6">
      <w:pPr>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En ese </w:t>
      </w:r>
      <w:r w:rsidRPr="00900C89">
        <w:rPr>
          <w:rFonts w:ascii="Palatino Linotype" w:eastAsia="Palatino Linotype" w:hAnsi="Palatino Linotype" w:cs="Palatino Linotype"/>
          <w:color w:val="000000"/>
        </w:rPr>
        <w:t>contexto</w:t>
      </w:r>
      <w:r w:rsidRPr="00900C89">
        <w:rPr>
          <w:rFonts w:ascii="Palatino Linotype" w:eastAsia="Palatino Linotype" w:hAnsi="Palatino Linotype" w:cs="Palatino Linotype"/>
        </w:rPr>
        <w:t xml:space="preserve">, los </w:t>
      </w:r>
      <w:r w:rsidRPr="00900C89">
        <w:rPr>
          <w:rFonts w:ascii="Palatino Linotype" w:eastAsia="Palatino Linotype" w:hAnsi="Palatino Linotype" w:cs="Palatino Linotype"/>
          <w:color w:val="000000"/>
        </w:rPr>
        <w:t>documentos antes citados</w:t>
      </w:r>
      <w:r w:rsidRPr="00900C89">
        <w:rPr>
          <w:rFonts w:ascii="Palatino Linotype" w:eastAsia="Palatino Linotype" w:hAnsi="Palatino Linotype" w:cs="Palatino Linotype"/>
        </w:rPr>
        <w:t xml:space="preserve"> da cuenta de la preparación y sirve como medios de</w:t>
      </w:r>
      <w:r w:rsidRPr="00900C89">
        <w:rPr>
          <w:rFonts w:ascii="Palatino Linotype" w:eastAsia="Palatino Linotype" w:hAnsi="Palatino Linotype" w:cs="Palatino Linotype"/>
          <w:color w:val="000000"/>
        </w:rPr>
        <w:t xml:space="preserve"> </w:t>
      </w:r>
      <w:r w:rsidRPr="00900C89">
        <w:rPr>
          <w:rFonts w:ascii="Palatino Linotype" w:eastAsia="Palatino Linotype" w:hAnsi="Palatino Linotype" w:cs="Palatino Linotype"/>
        </w:rPr>
        <w:t>identificación, para que su titular lo relacionen con el nivel de estudios con que cuenta, por lo que, se trata de un documento de naturaleza pública; además, que puede dar el grado máximo de estudios de la persona en cuestión.</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En este contexto, </w:t>
      </w:r>
      <w:r w:rsidRPr="00900C89">
        <w:rPr>
          <w:rFonts w:ascii="Palatino Linotype" w:eastAsia="Palatino Linotype" w:hAnsi="Palatino Linotype" w:cs="Palatino Linotype"/>
          <w:u w:val="single"/>
        </w:rPr>
        <w:t>la documental entregada por el Sujeto Obligado como documento que acredite el grado de estudios de los servidores públicos</w:t>
      </w:r>
      <w:r w:rsidRPr="00900C89">
        <w:rPr>
          <w:rFonts w:ascii="Palatino Linotype" w:eastAsia="Palatino Linotype" w:hAnsi="Palatino Linotype" w:cs="Palatino Linotype"/>
        </w:rPr>
        <w:t xml:space="preserve"> </w:t>
      </w:r>
      <w:r w:rsidRPr="00900C89">
        <w:rPr>
          <w:rFonts w:ascii="Palatino Linotype" w:eastAsia="Palatino Linotype" w:hAnsi="Palatino Linotype" w:cs="Palatino Linotype"/>
          <w:b/>
          <w:bCs/>
        </w:rPr>
        <w:t>no puede tenerse por colmado</w:t>
      </w:r>
      <w:r w:rsidRPr="00900C89">
        <w:rPr>
          <w:rFonts w:ascii="Palatino Linotype" w:eastAsia="Palatino Linotype" w:hAnsi="Palatino Linotype" w:cs="Palatino Linotype"/>
        </w:rPr>
        <w:t xml:space="preserve">, al no corresponder a un documento </w:t>
      </w:r>
      <w:r w:rsidRPr="00900C89">
        <w:rPr>
          <w:rFonts w:ascii="Palatino Linotype" w:eastAsia="Palatino Linotype" w:hAnsi="Palatino Linotype" w:cs="Palatino Linotype"/>
          <w:color w:val="000000"/>
        </w:rPr>
        <w:t xml:space="preserve">académico emitido a una persona que haya concluido </w:t>
      </w:r>
      <w:r w:rsidRPr="00900C89">
        <w:rPr>
          <w:rFonts w:ascii="Palatino Linotype" w:eastAsia="Palatino Linotype" w:hAnsi="Palatino Linotype" w:cs="Palatino Linotype"/>
          <w:color w:val="000000"/>
        </w:rPr>
        <w:lastRenderedPageBreak/>
        <w:t xml:space="preserve">estudios de conformidad con los requisitos establecidos en los planes y programas de estudio correspondientes. </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color w:val="000000"/>
        </w:rPr>
        <w:t>Ahora bien, es de referir que el servidor público señalado en la solicitud de información, de los documentos entregados en respuesta por el Sujeto Obligado, se advierte que ostenta el cargo de Coordinador de Comunicación Social, unidad administrativa dependiente de la Dirección de Comunicación Social y Gobierno Digital; sin embargo, para ocupar dicho cargo, no se localizó obligación normativa que lo constriña a tener cierto grado de estudios.</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Asimismo, es que </w:t>
      </w:r>
      <w:r w:rsidRPr="00900C89">
        <w:rPr>
          <w:rFonts w:ascii="Palatino Linotype" w:eastAsia="Palatino Linotype" w:hAnsi="Palatino Linotype" w:cs="Palatino Linotype"/>
          <w:color w:val="000000"/>
        </w:rPr>
        <w:t>resulta</w:t>
      </w:r>
      <w:r w:rsidRPr="00900C89">
        <w:rPr>
          <w:rFonts w:ascii="Palatino Linotype" w:eastAsia="Palatino Linotype" w:hAnsi="Palatino Linotype" w:cs="Palatino Linotype"/>
        </w:rPr>
        <w:t xml:space="preserve"> oportuno traer a contexto el contenido del artículo 98 fracción XVII, de la Ley de Trabajo de los Servidores Públicos del Estado de México y Municipios, refiere que son obligaciones de las instituciones públicas, el </w:t>
      </w:r>
      <w:r w:rsidRPr="00900C89">
        <w:rPr>
          <w:rFonts w:ascii="Palatino Linotype" w:eastAsia="Palatino Linotype" w:hAnsi="Palatino Linotype" w:cs="Palatino Linotype"/>
          <w:b/>
          <w:bCs/>
          <w:u w:val="single"/>
        </w:rPr>
        <w:t>integrar los expedientes de los servidores públicos</w:t>
      </w:r>
      <w:r w:rsidRPr="00900C89">
        <w:rPr>
          <w:rFonts w:ascii="Palatino Linotype" w:eastAsia="Palatino Linotype" w:hAnsi="Palatino Linotype" w:cs="Palatino Linotype"/>
        </w:rPr>
        <w:t xml:space="preserve"> y proporcionar las constancias que éstos soliciten para el trámite de los asuntos de su interés en los términos que señalen los ordenamientos respectivos, se inserta su contenido íntegro:</w:t>
      </w:r>
    </w:p>
    <w:p w:rsidR="00950AD6" w:rsidRPr="00900C89" w:rsidRDefault="00CE3B78">
      <w:pPr>
        <w:pBdr>
          <w:top w:val="nil"/>
          <w:left w:val="nil"/>
          <w:bottom w:val="nil"/>
          <w:right w:val="nil"/>
          <w:between w:val="nil"/>
        </w:pBdr>
        <w:ind w:left="851" w:right="-433"/>
        <w:jc w:val="center"/>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TITULO CUARTO</w:t>
      </w:r>
    </w:p>
    <w:p w:rsidR="00950AD6" w:rsidRPr="00900C89" w:rsidRDefault="00CE3B78">
      <w:pPr>
        <w:pBdr>
          <w:top w:val="nil"/>
          <w:left w:val="nil"/>
          <w:bottom w:val="nil"/>
          <w:right w:val="nil"/>
          <w:between w:val="nil"/>
        </w:pBdr>
        <w:ind w:left="851" w:right="-433"/>
        <w:jc w:val="center"/>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De las Obligaciones de las Instituciones Públicas</w:t>
      </w:r>
    </w:p>
    <w:p w:rsidR="00950AD6" w:rsidRPr="00900C89" w:rsidRDefault="00CE3B78">
      <w:pPr>
        <w:pBdr>
          <w:top w:val="nil"/>
          <w:left w:val="nil"/>
          <w:bottom w:val="nil"/>
          <w:right w:val="nil"/>
          <w:between w:val="nil"/>
        </w:pBdr>
        <w:ind w:left="851" w:right="-433"/>
        <w:jc w:val="center"/>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CAPITULO I</w:t>
      </w:r>
    </w:p>
    <w:p w:rsidR="00950AD6" w:rsidRPr="00900C89" w:rsidRDefault="00CE3B78">
      <w:pPr>
        <w:pBdr>
          <w:top w:val="nil"/>
          <w:left w:val="nil"/>
          <w:bottom w:val="nil"/>
          <w:right w:val="nil"/>
          <w:between w:val="nil"/>
        </w:pBdr>
        <w:ind w:left="851" w:right="-433"/>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De las Obligaciones en General</w:t>
      </w:r>
    </w:p>
    <w:p w:rsidR="00950AD6" w:rsidRPr="00900C89" w:rsidRDefault="00CE3B78">
      <w:pPr>
        <w:pBdr>
          <w:top w:val="nil"/>
          <w:left w:val="nil"/>
          <w:bottom w:val="nil"/>
          <w:right w:val="nil"/>
          <w:between w:val="nil"/>
        </w:pBdr>
        <w:ind w:left="851" w:right="-433"/>
        <w:rPr>
          <w:rFonts w:ascii="Palatino Linotype" w:eastAsia="Palatino Linotype" w:hAnsi="Palatino Linotype" w:cs="Palatino Linotype"/>
          <w:i/>
          <w:iCs/>
        </w:rPr>
      </w:pPr>
      <w:r w:rsidRPr="00900C89">
        <w:rPr>
          <w:rFonts w:ascii="Palatino Linotype" w:eastAsia="Palatino Linotype" w:hAnsi="Palatino Linotype" w:cs="Palatino Linotype"/>
          <w:i/>
          <w:iCs/>
        </w:rPr>
        <w:t>ARTÍCULO 98. Son obligaciones de las instituciones públicas:</w:t>
      </w:r>
    </w:p>
    <w:p w:rsidR="00950AD6" w:rsidRPr="00900C89" w:rsidRDefault="00CE3B78">
      <w:pPr>
        <w:pBdr>
          <w:top w:val="nil"/>
          <w:left w:val="nil"/>
          <w:bottom w:val="nil"/>
          <w:right w:val="nil"/>
          <w:between w:val="nil"/>
        </w:pBdr>
        <w:ind w:left="851" w:right="-433"/>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w:t>
      </w:r>
    </w:p>
    <w:p w:rsidR="00950AD6" w:rsidRPr="00900C89" w:rsidRDefault="00CE3B78">
      <w:pPr>
        <w:pBdr>
          <w:top w:val="nil"/>
          <w:left w:val="nil"/>
          <w:bottom w:val="nil"/>
          <w:right w:val="nil"/>
          <w:between w:val="nil"/>
        </w:pBdr>
        <w:ind w:left="851" w:right="-433"/>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 xml:space="preserve">XVII. Integrar los expedientes de los servidores públicos </w:t>
      </w:r>
      <w:r w:rsidRPr="00900C89">
        <w:rPr>
          <w:rFonts w:ascii="Palatino Linotype" w:eastAsia="Palatino Linotype" w:hAnsi="Palatino Linotype" w:cs="Palatino Linotype"/>
          <w:i/>
          <w:iCs/>
        </w:rPr>
        <w:t>y proporcionar las constancias que éstos soliciten para el trámite de los asuntos de su interés en los términos que señalen los ordenamientos respectivos.</w:t>
      </w:r>
    </w:p>
    <w:p w:rsidR="00950AD6" w:rsidRPr="00900C89" w:rsidRDefault="00CE3B78">
      <w:pPr>
        <w:pBdr>
          <w:top w:val="nil"/>
          <w:left w:val="nil"/>
          <w:bottom w:val="nil"/>
          <w:right w:val="nil"/>
          <w:between w:val="nil"/>
        </w:pBdr>
        <w:ind w:left="851" w:right="-433"/>
        <w:rPr>
          <w:rFonts w:ascii="Palatino Linotype" w:eastAsia="Palatino Linotype" w:hAnsi="Palatino Linotype" w:cs="Palatino Linotype"/>
          <w:i/>
          <w:iCs/>
        </w:rPr>
      </w:pPr>
      <w:r w:rsidRPr="00900C89">
        <w:rPr>
          <w:rFonts w:ascii="Palatino Linotype" w:eastAsia="Palatino Linotype" w:hAnsi="Palatino Linotype" w:cs="Palatino Linotype"/>
          <w:i/>
          <w:iCs/>
        </w:rPr>
        <w:t>…</w:t>
      </w:r>
    </w:p>
    <w:p w:rsidR="00950AD6" w:rsidRPr="00900C89" w:rsidRDefault="00950AD6">
      <w:pPr>
        <w:pBdr>
          <w:top w:val="nil"/>
          <w:left w:val="nil"/>
          <w:bottom w:val="nil"/>
          <w:right w:val="nil"/>
          <w:between w:val="nil"/>
        </w:pBdr>
        <w:tabs>
          <w:tab w:val="left" w:pos="567"/>
        </w:tabs>
        <w:rPr>
          <w:rFonts w:ascii="Palatino Linotype" w:eastAsia="Palatino Linotype" w:hAnsi="Palatino Linotype" w:cs="Palatino Linotype"/>
          <w:i/>
          <w:i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color w:val="000000"/>
        </w:rPr>
        <w:lastRenderedPageBreak/>
        <w:t>Con</w:t>
      </w:r>
      <w:r w:rsidRPr="00900C89">
        <w:rPr>
          <w:rFonts w:ascii="Palatino Linotype" w:eastAsia="Palatino Linotype" w:hAnsi="Palatino Linotype" w:cs="Palatino Linotype"/>
        </w:rPr>
        <w:t xml:space="preserve"> lo expuesto hasta este punto, se tiene la obligación de integral el expediente de personal, donde </w:t>
      </w:r>
      <w:r w:rsidRPr="00900C89">
        <w:rPr>
          <w:rFonts w:ascii="Palatino Linotype" w:eastAsia="Palatino Linotype" w:hAnsi="Palatino Linotype" w:cs="Palatino Linotype"/>
          <w:color w:val="000000"/>
        </w:rPr>
        <w:t>obran</w:t>
      </w:r>
      <w:r w:rsidRPr="00900C89">
        <w:rPr>
          <w:rFonts w:ascii="Palatino Linotype" w:eastAsia="Palatino Linotype" w:hAnsi="Palatino Linotype" w:cs="Palatino Linotype"/>
        </w:rPr>
        <w:t xml:space="preserve"> todos aquellos documentos que se relacionan con cada uno de los servidores públicos, así como los documentos que amparen que se cumplieron los requisitos para ocupar el cargo, así como los que establece el artículo 47 de la Ley en Materia.</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En razón de lo </w:t>
      </w:r>
      <w:r w:rsidRPr="00900C89">
        <w:rPr>
          <w:rFonts w:ascii="Palatino Linotype" w:eastAsia="Palatino Linotype" w:hAnsi="Palatino Linotype" w:cs="Palatino Linotype"/>
        </w:rPr>
        <w:t>expuesto</w:t>
      </w:r>
      <w:r w:rsidRPr="00900C89">
        <w:rPr>
          <w:rFonts w:ascii="Palatino Linotype" w:eastAsia="Palatino Linotype" w:hAnsi="Palatino Linotype" w:cs="Palatino Linotype"/>
          <w:color w:val="000000"/>
        </w:rPr>
        <w:t xml:space="preserve"> y toda vez que a través de la ficha curricular se señala como nivel académico bachillerato, lo dable es </w:t>
      </w:r>
      <w:r w:rsidRPr="00900C89">
        <w:rPr>
          <w:rFonts w:ascii="Palatino Linotype" w:eastAsia="Palatino Linotype" w:hAnsi="Palatino Linotype" w:cs="Palatino Linotype"/>
          <w:b/>
          <w:bCs/>
          <w:color w:val="000000"/>
        </w:rPr>
        <w:t>ORDENAR</w:t>
      </w:r>
      <w:r w:rsidRPr="00900C89">
        <w:rPr>
          <w:rFonts w:ascii="Palatino Linotype" w:eastAsia="Palatino Linotype" w:hAnsi="Palatino Linotype" w:cs="Palatino Linotype"/>
          <w:color w:val="000000"/>
        </w:rPr>
        <w:t xml:space="preserve"> el </w:t>
      </w:r>
      <w:r w:rsidRPr="00900C89">
        <w:rPr>
          <w:rFonts w:ascii="Palatino Linotype" w:eastAsia="Palatino Linotype" w:hAnsi="Palatino Linotype" w:cs="Palatino Linotype"/>
          <w:b/>
          <w:bCs/>
          <w:color w:val="000000"/>
        </w:rPr>
        <w:t>documento en el que conste o se advierta el grado de estudios del servidor público referido en la solicitud de información</w:t>
      </w:r>
      <w:r w:rsidRPr="00900C89">
        <w:rPr>
          <w:rFonts w:ascii="Palatino Linotype" w:eastAsia="Palatino Linotype" w:hAnsi="Palatino Linotype" w:cs="Palatino Linotype"/>
          <w:color w:val="000000"/>
        </w:rPr>
        <w:t xml:space="preserve">, </w:t>
      </w:r>
      <w:r w:rsidRPr="00900C89">
        <w:rPr>
          <w:rFonts w:ascii="Palatino Linotype" w:eastAsia="Palatino Linotype" w:hAnsi="Palatino Linotype" w:cs="Palatino Linotype"/>
          <w:b/>
          <w:bCs/>
          <w:color w:val="000000"/>
        </w:rPr>
        <w:t xml:space="preserve">al 13 de agosto de 2025, de ser procedente en versión pública. </w:t>
      </w:r>
      <w:r w:rsidRPr="00900C89">
        <w:rPr>
          <w:rFonts w:ascii="Palatino Linotype" w:eastAsia="Palatino Linotype" w:hAnsi="Palatino Linotype" w:cs="Palatino Linotype"/>
        </w:rPr>
        <w:t>Para el caso de que el SUJETO OBLIGADO, luego de la búsqueda exhaustiva y razonable no cuente con la información ordenada</w:t>
      </w:r>
      <w:r w:rsidRPr="00900C89">
        <w:rPr>
          <w:rFonts w:ascii="Palatino Linotype" w:eastAsia="Palatino Linotype" w:hAnsi="Palatino Linotype" w:cs="Palatino Linotype"/>
          <w:color w:val="000000"/>
        </w:rPr>
        <w:t xml:space="preserve"> </w:t>
      </w:r>
      <w:r w:rsidRPr="00900C89">
        <w:rPr>
          <w:rFonts w:ascii="Palatino Linotype" w:eastAsia="Palatino Linotype" w:hAnsi="Palatino Linotype" w:cs="Palatino Linotype"/>
        </w:rPr>
        <w:t>por no ser una obligación normativa</w:t>
      </w:r>
      <w:r w:rsidRPr="00900C89">
        <w:rPr>
          <w:rFonts w:ascii="Palatino Linotype" w:eastAsia="Palatino Linotype" w:hAnsi="Palatino Linotype" w:cs="Palatino Linotype"/>
          <w:color w:val="000000"/>
        </w:rPr>
        <w:t xml:space="preserve">, </w:t>
      </w:r>
      <w:r w:rsidRPr="00900C89">
        <w:rPr>
          <w:rFonts w:ascii="Palatino Linotype" w:eastAsia="Palatino Linotype" w:hAnsi="Palatino Linotype" w:cs="Palatino Linotype"/>
        </w:rPr>
        <w:t>bastará que lo haga del conocimiento del RECURRENTE al momento de dar cumplimiento a la presente Resolución, en términos del artículo 19, párrafo segundo, de la Ley de Transparencia y Acceso a la Información Pública del Estado de México y Municipios.</w:t>
      </w:r>
    </w:p>
    <w:p w:rsidR="00950AD6" w:rsidRPr="00900C89" w:rsidRDefault="00950AD6">
      <w:pPr>
        <w:spacing w:line="360" w:lineRule="auto"/>
        <w:ind w:right="-787"/>
        <w:jc w:val="both"/>
        <w:rPr>
          <w:rFonts w:ascii="Palatino Linotype" w:eastAsia="Palatino Linotype" w:hAnsi="Palatino Linotype" w:cs="Palatino Linotype"/>
          <w:b/>
          <w:bCs/>
          <w:color w:val="000000"/>
        </w:rPr>
      </w:pPr>
    </w:p>
    <w:p w:rsidR="00950AD6" w:rsidRPr="00900C89" w:rsidRDefault="00CE3B78">
      <w:pPr>
        <w:spacing w:line="360" w:lineRule="auto"/>
        <w:ind w:right="1"/>
        <w:jc w:val="both"/>
        <w:rPr>
          <w:rFonts w:ascii="Palatino Linotype" w:eastAsia="Palatino Linotype" w:hAnsi="Palatino Linotype" w:cs="Palatino Linotype"/>
          <w:b/>
          <w:bCs/>
        </w:rPr>
      </w:pPr>
      <w:r w:rsidRPr="00900C89">
        <w:rPr>
          <w:rFonts w:ascii="Palatino Linotype" w:eastAsia="Palatino Linotype" w:hAnsi="Palatino Linotype" w:cs="Palatino Linotype"/>
          <w:b/>
          <w:bCs/>
        </w:rPr>
        <w:t>De la fotografía y firma de Servidores Públicos en comprobantes de estudios.</w:t>
      </w:r>
    </w:p>
    <w:p w:rsidR="00950AD6" w:rsidRPr="00900C89" w:rsidRDefault="00CE3B78">
      <w:pPr>
        <w:numPr>
          <w:ilvl w:val="0"/>
          <w:numId w:val="5"/>
        </w:num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 xml:space="preserve">Fotografía </w:t>
      </w: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 xml:space="preserve">Se </w:t>
      </w:r>
      <w:r w:rsidRPr="00900C89">
        <w:rPr>
          <w:rFonts w:ascii="Palatino Linotype" w:eastAsia="Palatino Linotype" w:hAnsi="Palatino Linotype" w:cs="Palatino Linotype"/>
          <w:color w:val="000000"/>
        </w:rPr>
        <w:t>precisa</w:t>
      </w:r>
      <w:r w:rsidRPr="00900C89">
        <w:rPr>
          <w:rFonts w:ascii="Palatino Linotype" w:eastAsia="Palatino Linotype" w:hAnsi="Palatino Linotype" w:cs="Palatino Linotype"/>
        </w:rPr>
        <w:t xml:space="preserve"> que, los </w:t>
      </w:r>
      <w:r w:rsidRPr="00900C89">
        <w:rPr>
          <w:rFonts w:ascii="Palatino Linotype" w:eastAsia="Palatino Linotype" w:hAnsi="Palatino Linotype" w:cs="Palatino Linotype"/>
          <w:b/>
          <w:bCs/>
        </w:rPr>
        <w:t>comprobantes de estudios</w:t>
      </w:r>
      <w:r w:rsidRPr="00900C89">
        <w:rPr>
          <w:rFonts w:ascii="Palatino Linotype" w:eastAsia="Palatino Linotype" w:hAnsi="Palatino Linotype" w:cs="Palatino Linotype"/>
        </w:rPr>
        <w:t xml:space="preserve"> podrían contener </w:t>
      </w:r>
      <w:r w:rsidRPr="00900C89">
        <w:rPr>
          <w:rFonts w:ascii="Palatino Linotype" w:eastAsia="Palatino Linotype" w:hAnsi="Palatino Linotype" w:cs="Palatino Linotype"/>
          <w:b/>
          <w:bCs/>
        </w:rPr>
        <w:t>fotografías de Servidores Públicos</w:t>
      </w:r>
      <w:r w:rsidRPr="00900C89">
        <w:rPr>
          <w:rFonts w:ascii="Palatino Linotype" w:eastAsia="Palatino Linotype" w:hAnsi="Palatino Linotype" w:cs="Palatino Linotype"/>
        </w:rPr>
        <w:t xml:space="preserve"> que ostentan cargos de mandos medios y superiores.</w:t>
      </w:r>
    </w:p>
    <w:p w:rsidR="00950AD6" w:rsidRPr="00900C89" w:rsidRDefault="00950AD6">
      <w:pPr>
        <w:spacing w:line="360" w:lineRule="auto"/>
        <w:ind w:right="1"/>
        <w:jc w:val="both"/>
        <w:rPr>
          <w:rFonts w:ascii="Palatino Linotype" w:eastAsia="Palatino Linotype" w:hAnsi="Palatino Linotype" w:cs="Palatino Linotype"/>
          <w:b/>
          <w:b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 xml:space="preserve">Al </w:t>
      </w:r>
      <w:r w:rsidRPr="00900C89">
        <w:rPr>
          <w:rFonts w:ascii="Palatino Linotype" w:eastAsia="Palatino Linotype" w:hAnsi="Palatino Linotype" w:cs="Palatino Linotype"/>
          <w:color w:val="000000"/>
        </w:rPr>
        <w:t>respecto</w:t>
      </w:r>
      <w:r w:rsidRPr="00900C89">
        <w:rPr>
          <w:rFonts w:ascii="Palatino Linotype" w:eastAsia="Palatino Linotype" w:hAnsi="Palatino Linotype" w:cs="Palatino Linotype"/>
        </w:rPr>
        <w:t xml:space="preserve">, es de señalar que estas fotografías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w:t>
      </w:r>
      <w:r w:rsidRPr="00900C89">
        <w:rPr>
          <w:rFonts w:ascii="Palatino Linotype" w:eastAsia="Palatino Linotype" w:hAnsi="Palatino Linotype" w:cs="Palatino Linotype"/>
        </w:rPr>
        <w:lastRenderedPageBreak/>
        <w:t>medios, desde volantes impresos de la forma más rudimentaria, hasta filmaciones y fotografías transmitidas por televisión cine, video, correo electrónico o Internet.</w:t>
      </w:r>
    </w:p>
    <w:p w:rsidR="00950AD6" w:rsidRPr="00900C89" w:rsidRDefault="00950AD6">
      <w:pPr>
        <w:spacing w:line="360" w:lineRule="auto"/>
        <w:ind w:right="1"/>
        <w:jc w:val="both"/>
        <w:rPr>
          <w:rFonts w:ascii="Palatino Linotype" w:eastAsia="Palatino Linotype" w:hAnsi="Palatino Linotype" w:cs="Palatino Linotype"/>
          <w:b/>
          <w:b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950AD6" w:rsidRPr="00900C89" w:rsidRDefault="00950AD6">
      <w:pPr>
        <w:spacing w:line="360" w:lineRule="auto"/>
        <w:ind w:right="1"/>
        <w:jc w:val="both"/>
        <w:rPr>
          <w:rFonts w:ascii="Palatino Linotype" w:eastAsia="Palatino Linotype" w:hAnsi="Palatino Linotype" w:cs="Palatino Linotype"/>
          <w:b/>
          <w:b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Por lo anterior, cuando las fotografías de los servidores públicos obran en documentos que dan cuenta del cumplimiento de funciones, requisitos legales o los acredita como servidores públicos,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950AD6" w:rsidRPr="00900C89" w:rsidRDefault="00950AD6">
      <w:pPr>
        <w:spacing w:line="360" w:lineRule="auto"/>
        <w:ind w:right="1"/>
        <w:jc w:val="both"/>
        <w:rPr>
          <w:rFonts w:ascii="Palatino Linotype" w:eastAsia="Palatino Linotype" w:hAnsi="Palatino Linotype" w:cs="Palatino Linotype"/>
          <w:b/>
          <w:b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 xml:space="preserve">En este sentido, las fotografías de servidores públicos sin importar el nivel o rango guardan la naturaleza de públicas (con excepción del personal operativo en materia de seguridad) y no procede su clasificación, en términos del artículo 143, fracción I, de la Ley </w:t>
      </w:r>
      <w:r w:rsidRPr="00900C89">
        <w:rPr>
          <w:rFonts w:ascii="Palatino Linotype" w:eastAsia="Palatino Linotype" w:hAnsi="Palatino Linotype" w:cs="Palatino Linotype"/>
        </w:rPr>
        <w:lastRenderedPageBreak/>
        <w:t>de Transparencia y Acceso a la Información Pública del Estado de México y Municipios, por lo que en las versiones públicas que se ordenen, no podrá clasificarse esa información.</w:t>
      </w:r>
    </w:p>
    <w:p w:rsidR="00950AD6" w:rsidRPr="00900C89" w:rsidRDefault="00950AD6">
      <w:pPr>
        <w:pBdr>
          <w:top w:val="nil"/>
          <w:left w:val="nil"/>
          <w:bottom w:val="nil"/>
          <w:right w:val="nil"/>
          <w:between w:val="nil"/>
        </w:pBdr>
        <w:ind w:left="720"/>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 xml:space="preserve">En consecuencia, </w:t>
      </w:r>
      <w:r w:rsidRPr="00900C89">
        <w:rPr>
          <w:rFonts w:ascii="Palatino Linotype" w:eastAsia="Palatino Linotype" w:hAnsi="Palatino Linotype" w:cs="Palatino Linotype"/>
          <w:b/>
          <w:bCs/>
        </w:rPr>
        <w:t>la fotografía de los servidores públicos, es de acceso público y no procede su clasificación como información confidencial</w:t>
      </w:r>
      <w:r w:rsidRPr="00900C89">
        <w:rPr>
          <w:rFonts w:ascii="Palatino Linotype" w:eastAsia="Palatino Linotype" w:hAnsi="Palatino Linotype" w:cs="Palatino Linotype"/>
        </w:rPr>
        <w:t>, aún y cuando corresponde a un dato personal.</w:t>
      </w:r>
    </w:p>
    <w:p w:rsidR="00950AD6" w:rsidRPr="00900C89" w:rsidRDefault="00950AD6">
      <w:pPr>
        <w:ind w:right="1"/>
        <w:jc w:val="both"/>
        <w:rPr>
          <w:rFonts w:ascii="Palatino Linotype" w:eastAsia="Palatino Linotype" w:hAnsi="Palatino Linotype" w:cs="Palatino Linotype"/>
          <w:b/>
          <w:bCs/>
        </w:rPr>
      </w:pPr>
    </w:p>
    <w:p w:rsidR="00950AD6" w:rsidRPr="00900C89" w:rsidRDefault="00900C89">
      <w:pPr>
        <w:numPr>
          <w:ilvl w:val="0"/>
          <w:numId w:val="5"/>
        </w:num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Firma</w:t>
      </w: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 xml:space="preserve">Ahora bien, cabe precisar que, en el caso de servidores públicos en calidad de particular, es de señalar que la </w:t>
      </w:r>
      <w:r w:rsidRPr="00900C89">
        <w:rPr>
          <w:rFonts w:ascii="Palatino Linotype" w:eastAsia="Palatino Linotype" w:hAnsi="Palatino Linotype" w:cs="Palatino Linotype"/>
          <w:b/>
          <w:bCs/>
        </w:rPr>
        <w:t xml:space="preserve">firma </w:t>
      </w:r>
      <w:r w:rsidRPr="00900C89">
        <w:rPr>
          <w:rFonts w:ascii="Palatino Linotype" w:eastAsia="Palatino Linotype" w:hAnsi="Palatino Linotype" w:cs="Palatino Linotype"/>
        </w:rPr>
        <w:t>es un dato personal confidencial y únicamente será público dicho dato cuando sirva para la emisión de un acto de autoridad, en ejercicio de sus funciones.</w:t>
      </w:r>
    </w:p>
    <w:p w:rsidR="00950AD6" w:rsidRPr="00900C89" w:rsidRDefault="00950AD6">
      <w:pPr>
        <w:pBdr>
          <w:top w:val="nil"/>
          <w:left w:val="nil"/>
          <w:bottom w:val="nil"/>
          <w:right w:val="nil"/>
          <w:between w:val="nil"/>
        </w:pBdr>
        <w:ind w:left="720"/>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Lo anterior, es así, toda vez que la firma de servidores públicos, vinculada al ejercicio de la función pública es información de naturaleza pública, pues documenta y rinde cuentas sobre el debido ejercicio de sus atribuciones. No siendo así, cuando se estampa la firma en documentos que acreditan el grado de estudios.</w:t>
      </w:r>
    </w:p>
    <w:p w:rsidR="00950AD6" w:rsidRPr="00900C89" w:rsidRDefault="00950AD6">
      <w:pPr>
        <w:spacing w:line="360" w:lineRule="auto"/>
        <w:ind w:right="1"/>
        <w:jc w:val="both"/>
        <w:rPr>
          <w:rFonts w:ascii="Palatino Linotype" w:eastAsia="Palatino Linotype" w:hAnsi="Palatino Linotype" w:cs="Palatino Linotype"/>
          <w:b/>
          <w:b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La publicidad de dichos datos, se robustece, con el </w:t>
      </w:r>
      <w:r w:rsidRPr="00900C89">
        <w:rPr>
          <w:rFonts w:ascii="Palatino Linotype" w:eastAsia="Palatino Linotype" w:hAnsi="Palatino Linotype" w:cs="Palatino Linotype"/>
          <w:color w:val="000000"/>
        </w:rPr>
        <w:t>Criterio orientador SO/002/2019</w:t>
      </w:r>
      <w:r w:rsidRPr="00900C89">
        <w:rPr>
          <w:rFonts w:ascii="Palatino Linotype" w:eastAsia="Palatino Linotype" w:hAnsi="Palatino Linotype" w:cs="Palatino Linotype"/>
        </w:rPr>
        <w:t>, emitido por el Instituto Nacional de Transparencia, Acceso a la Información y Protección de Datos Personales, que establece lo siguiente:</w:t>
      </w:r>
    </w:p>
    <w:p w:rsidR="00950AD6" w:rsidRPr="00900C89" w:rsidRDefault="00CE3B78">
      <w:pPr>
        <w:ind w:left="567" w:right="53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b/>
          <w:bCs/>
          <w:i/>
          <w:iCs/>
        </w:rPr>
        <w:t>“Firma y rúbrica de servidores públicos.</w:t>
      </w:r>
      <w:r w:rsidRPr="00900C89">
        <w:rPr>
          <w:rFonts w:ascii="Palatino Linotype" w:eastAsia="Palatino Linotype" w:hAnsi="Palatino Linotype" w:cs="Palatino Linotype"/>
          <w:i/>
          <w:iCs/>
        </w:rPr>
        <w:t> Si bien la firma y la rúbrica son datos personales confidenciales, cuando un servidor público emite un acto como autoridad, en ejercicio de las funciones que tiene conferidas, la firma o rúbrica mediante la cual se valida dicho acto es pública.”</w:t>
      </w:r>
    </w:p>
    <w:p w:rsidR="00950AD6" w:rsidRPr="00900C89" w:rsidRDefault="00950AD6">
      <w:pPr>
        <w:spacing w:line="360" w:lineRule="auto"/>
        <w:ind w:right="1"/>
        <w:jc w:val="both"/>
        <w:rPr>
          <w:rFonts w:ascii="Palatino Linotype" w:eastAsia="Palatino Linotype" w:hAnsi="Palatino Linotype" w:cs="Palatino Linotype"/>
          <w:b/>
          <w:b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lastRenderedPageBreak/>
        <w:t>Conforme a lo expuesto, el Sujeto Obligado deberá hacer la ponderación si la firma se estampa en ejercicio de funciones como servidor público o como particular, a fin de determinar la procedencia de  la clasificación, en términos del artículo 143, fracción I de la Ley de Transparencia y Acceso a la Información Pública del Estado de México y Municipios.</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Ahora bien, respecto del punto de solicitud relacionado con las </w:t>
      </w:r>
      <w:r w:rsidRPr="00900C89">
        <w:rPr>
          <w:rFonts w:ascii="Palatino Linotype" w:eastAsia="Palatino Linotype" w:hAnsi="Palatino Linotype" w:cs="Palatino Linotype"/>
          <w:i/>
          <w:iCs/>
          <w:u w:val="single"/>
        </w:rPr>
        <w:t>funciones</w:t>
      </w:r>
      <w:r w:rsidRPr="00900C89">
        <w:rPr>
          <w:rFonts w:ascii="Palatino Linotype" w:eastAsia="Palatino Linotype" w:hAnsi="Palatino Linotype" w:cs="Palatino Linotype"/>
        </w:rPr>
        <w:t xml:space="preserve"> en primer lugar es de referir que el Sujeto Obligado a través de la Tesorería Municipal mencionó </w:t>
      </w:r>
      <w:r w:rsidRPr="00900C89">
        <w:rPr>
          <w:rFonts w:ascii="Palatino Linotype" w:eastAsia="Palatino Linotype" w:hAnsi="Palatino Linotype" w:cs="Palatino Linotype"/>
          <w:i/>
          <w:iCs/>
        </w:rPr>
        <w:t>“…cabe señalar que la información de las funciones no son atribuciones de la Tesorería Municipal, por lo cual no me permite integrar esa información” (Sic)</w:t>
      </w:r>
      <w:r w:rsidRPr="00900C89">
        <w:rPr>
          <w:rFonts w:ascii="Palatino Linotype" w:eastAsia="Palatino Linotype" w:hAnsi="Palatino Linotype" w:cs="Palatino Linotype"/>
        </w:rPr>
        <w:t>; no obstante, es de recordar que dentro de las unidades administrativas que conforman a la Tesorería Municipal se encuentra la Coordinación de Recursos Humanos, tal como lo muestra su estructura orgánica:</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spacing w:line="360" w:lineRule="auto"/>
        <w:ind w:right="-787"/>
        <w:jc w:val="both"/>
        <w:rPr>
          <w:rFonts w:ascii="Palatino Linotype" w:eastAsia="Palatino Linotype" w:hAnsi="Palatino Linotype" w:cs="Palatino Linotype"/>
        </w:rPr>
      </w:pPr>
      <w:r w:rsidRPr="00900C89">
        <w:rPr>
          <w:rFonts w:ascii="Palatino Linotype" w:eastAsia="Palatino Linotype" w:hAnsi="Palatino Linotype" w:cs="Palatino Linotype"/>
          <w:noProof/>
          <w:lang w:val="es-MX"/>
        </w:rPr>
        <w:drawing>
          <wp:inline distT="0" distB="0" distL="0" distR="0">
            <wp:extent cx="5612130" cy="235585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t="20557"/>
                    <a:stretch>
                      <a:fillRect/>
                    </a:stretch>
                  </pic:blipFill>
                  <pic:spPr>
                    <a:xfrm>
                      <a:off x="0" y="0"/>
                      <a:ext cx="5612130" cy="2355850"/>
                    </a:xfrm>
                    <a:prstGeom prst="rect">
                      <a:avLst/>
                    </a:prstGeom>
                    <a:ln/>
                  </pic:spPr>
                </pic:pic>
              </a:graphicData>
            </a:graphic>
          </wp:inline>
        </w:drawing>
      </w: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 xml:space="preserve">La </w:t>
      </w:r>
      <w:r w:rsidRPr="00900C89">
        <w:rPr>
          <w:rFonts w:ascii="Palatino Linotype" w:eastAsia="Palatino Linotype" w:hAnsi="Palatino Linotype" w:cs="Palatino Linotype"/>
          <w:b/>
          <w:bCs/>
        </w:rPr>
        <w:t>Coordinación de Recursos Humanos</w:t>
      </w:r>
      <w:r w:rsidRPr="00900C89">
        <w:rPr>
          <w:rFonts w:ascii="Palatino Linotype" w:eastAsia="Palatino Linotype" w:hAnsi="Palatino Linotype" w:cs="Palatino Linotype"/>
        </w:rPr>
        <w:t xml:space="preserve"> tiene como objetivo el de Proponer, implantar y operar políticas, lineamientos y normatividad en materia de administración y desarrollo de personal; a efecto de gestionar y controlar los trámites relacionados con </w:t>
      </w:r>
      <w:r w:rsidRPr="00900C89">
        <w:rPr>
          <w:rFonts w:ascii="Palatino Linotype" w:eastAsia="Palatino Linotype" w:hAnsi="Palatino Linotype" w:cs="Palatino Linotype"/>
        </w:rPr>
        <w:lastRenderedPageBreak/>
        <w:t>recursos humanos del personal del Ayuntamiento de Calimay</w:t>
      </w:r>
      <w:r w:rsidR="00B01E4C" w:rsidRPr="00900C89">
        <w:rPr>
          <w:rFonts w:ascii="Palatino Linotype" w:eastAsia="Palatino Linotype" w:hAnsi="Palatino Linotype" w:cs="Palatino Linotype"/>
        </w:rPr>
        <w:t>a</w:t>
      </w:r>
      <w:r w:rsidRPr="00900C89">
        <w:rPr>
          <w:rFonts w:ascii="Palatino Linotype" w:eastAsia="Palatino Linotype" w:hAnsi="Palatino Linotype" w:cs="Palatino Linotype"/>
        </w:rPr>
        <w:t>, tiene dentro de sus funciones las señaladas en el Manual de Organización de la Tesorería Municipal:</w:t>
      </w:r>
    </w:p>
    <w:p w:rsidR="00950AD6" w:rsidRPr="00900C89" w:rsidRDefault="00CE3B78">
      <w:pPr>
        <w:ind w:left="567" w:right="539"/>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 xml:space="preserve">Funciones: </w:t>
      </w:r>
    </w:p>
    <w:p w:rsidR="00950AD6" w:rsidRPr="00900C89" w:rsidRDefault="00950AD6">
      <w:pPr>
        <w:ind w:left="567" w:right="539"/>
        <w:jc w:val="both"/>
        <w:rPr>
          <w:rFonts w:ascii="Palatino Linotype" w:eastAsia="Palatino Linotype" w:hAnsi="Palatino Linotype" w:cs="Palatino Linotype"/>
          <w:i/>
          <w:iCs/>
        </w:rPr>
      </w:pPr>
    </w:p>
    <w:p w:rsidR="00950AD6" w:rsidRPr="00900C89" w:rsidRDefault="00CE3B78">
      <w:pPr>
        <w:ind w:left="567" w:right="539"/>
        <w:jc w:val="both"/>
        <w:rPr>
          <w:rFonts w:ascii="Palatino Linotype" w:eastAsia="Palatino Linotype" w:hAnsi="Palatino Linotype" w:cs="Palatino Linotype"/>
          <w:i/>
          <w:iCs/>
        </w:rPr>
      </w:pPr>
      <w:r w:rsidRPr="00900C89">
        <w:rPr>
          <w:rFonts w:ascii="Symbol" w:eastAsia="Symbol" w:hAnsi="Symbol" w:cs="Symbol"/>
          <w:i/>
          <w:iCs/>
        </w:rPr>
        <w:t>∙</w:t>
      </w:r>
      <w:r w:rsidRPr="00900C89">
        <w:rPr>
          <w:rFonts w:ascii="Palatino Linotype" w:eastAsia="Palatino Linotype" w:hAnsi="Palatino Linotype" w:cs="Palatino Linotype"/>
          <w:i/>
          <w:iCs/>
        </w:rPr>
        <w:t xml:space="preserve"> Presentar al Tesorero Municipal las propuestas en materias de políticas, lineamientos y normatividad del desarrollo de personal.</w:t>
      </w:r>
    </w:p>
    <w:p w:rsidR="00950AD6" w:rsidRPr="00900C89" w:rsidRDefault="00CE3B78">
      <w:pPr>
        <w:ind w:left="567" w:right="539"/>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w:t>
      </w:r>
    </w:p>
    <w:p w:rsidR="00950AD6" w:rsidRPr="00900C89" w:rsidRDefault="00CE3B78">
      <w:pPr>
        <w:ind w:left="567" w:right="539"/>
        <w:jc w:val="both"/>
        <w:rPr>
          <w:rFonts w:ascii="Palatino Linotype" w:eastAsia="Palatino Linotype" w:hAnsi="Palatino Linotype" w:cs="Palatino Linotype"/>
          <w:i/>
          <w:iCs/>
        </w:rPr>
      </w:pPr>
      <w:r w:rsidRPr="00900C89">
        <w:rPr>
          <w:rFonts w:ascii="Symbol" w:eastAsia="Symbol" w:hAnsi="Symbol" w:cs="Symbol"/>
          <w:i/>
          <w:iCs/>
        </w:rPr>
        <w:t>∙</w:t>
      </w:r>
      <w:r w:rsidRPr="00900C89">
        <w:rPr>
          <w:rFonts w:ascii="Palatino Linotype" w:eastAsia="Palatino Linotype" w:hAnsi="Palatino Linotype" w:cs="Palatino Linotype"/>
          <w:i/>
          <w:iCs/>
        </w:rPr>
        <w:t xml:space="preserve"> Proponer al Tesorero Municipal sistemas y procedimientos en materia de selección, contratación, nombramientos, inducción, evaluación, remuneraciones, prestaciones y servicios sociales.</w:t>
      </w:r>
    </w:p>
    <w:p w:rsidR="00950AD6" w:rsidRPr="00900C89" w:rsidRDefault="00CE3B78">
      <w:pPr>
        <w:ind w:left="567" w:right="539"/>
        <w:jc w:val="both"/>
        <w:rPr>
          <w:rFonts w:ascii="Palatino Linotype" w:eastAsia="Palatino Linotype" w:hAnsi="Palatino Linotype" w:cs="Palatino Linotype"/>
          <w:i/>
          <w:iCs/>
        </w:rPr>
      </w:pPr>
      <w:r w:rsidRPr="00900C89">
        <w:rPr>
          <w:rFonts w:ascii="Symbol" w:eastAsia="Symbol" w:hAnsi="Symbol" w:cs="Symbol"/>
          <w:i/>
          <w:iCs/>
        </w:rPr>
        <w:t>∙</w:t>
      </w:r>
      <w:r w:rsidRPr="00900C89">
        <w:rPr>
          <w:rFonts w:ascii="Palatino Linotype" w:eastAsia="Palatino Linotype" w:hAnsi="Palatino Linotype" w:cs="Palatino Linotype"/>
          <w:i/>
          <w:iCs/>
        </w:rPr>
        <w:t xml:space="preserve"> Proponer al Tesorero Municipal la motivación, capacitación, actualización y movimientos del personal, así como de medios y formas de identificación de las labores de los servidores públicos al interior de ayuntamiento.</w:t>
      </w:r>
    </w:p>
    <w:p w:rsidR="00950AD6" w:rsidRPr="00900C89" w:rsidRDefault="00CE3B78">
      <w:pPr>
        <w:ind w:left="567" w:right="539"/>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w:t>
      </w:r>
    </w:p>
    <w:p w:rsidR="00950AD6" w:rsidRPr="00900C89" w:rsidRDefault="00CE3B78">
      <w:pPr>
        <w:ind w:left="567" w:right="539"/>
        <w:jc w:val="both"/>
        <w:rPr>
          <w:rFonts w:ascii="Palatino Linotype" w:eastAsia="Palatino Linotype" w:hAnsi="Palatino Linotype" w:cs="Palatino Linotype"/>
          <w:i/>
          <w:iCs/>
        </w:rPr>
      </w:pPr>
      <w:r w:rsidRPr="00900C89">
        <w:rPr>
          <w:rFonts w:ascii="Symbol" w:eastAsia="Symbol" w:hAnsi="Symbol" w:cs="Symbol"/>
          <w:i/>
          <w:iCs/>
        </w:rPr>
        <w:t>∙</w:t>
      </w:r>
      <w:r w:rsidRPr="00900C89">
        <w:rPr>
          <w:rFonts w:ascii="Palatino Linotype" w:eastAsia="Palatino Linotype" w:hAnsi="Palatino Linotype" w:cs="Palatino Linotype"/>
          <w:i/>
          <w:iCs/>
        </w:rPr>
        <w:t xml:space="preserve"> Integrar, controlar y mantener actualizados los expedientes que contengan los documentos personales y administrativos de los servidores públicos del Ayuntamiento.</w:t>
      </w:r>
    </w:p>
    <w:p w:rsidR="00950AD6" w:rsidRPr="00900C89" w:rsidRDefault="00CE3B78">
      <w:pPr>
        <w:ind w:left="567" w:right="539"/>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w:t>
      </w:r>
    </w:p>
    <w:p w:rsidR="00950AD6" w:rsidRPr="00900C89" w:rsidRDefault="00950AD6">
      <w:pPr>
        <w:ind w:left="567" w:right="539"/>
        <w:jc w:val="both"/>
        <w:rPr>
          <w:rFonts w:ascii="Palatino Linotype" w:eastAsia="Palatino Linotype" w:hAnsi="Palatino Linotype" w:cs="Palatino Linotype"/>
          <w:i/>
          <w:i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rPr>
      </w:pPr>
      <w:r w:rsidRPr="00900C89">
        <w:rPr>
          <w:rFonts w:ascii="Palatino Linotype" w:eastAsia="Palatino Linotype" w:hAnsi="Palatino Linotype" w:cs="Palatino Linotype"/>
        </w:rPr>
        <w:t>Del análisis de la normatividad señalada, la Coordinación de Recursos Humanos, es la unidad administrativa dependiente de la Tesorería Municipal que tiene dentro de sus funciones las relativas a la selección y contratación de personal, movimientos identificación de labores y actualización de expedientes de los servidores públicos; por lo que, contrario a lo señalado en respuesta inicial, se presume que la información debe existir al referirse a facultades, competencias y funciones que los ordenamientos jurídicos aplicables otorgan a los sujetos obligados, como ha sucedido en el caso concreto.</w:t>
      </w:r>
    </w:p>
    <w:p w:rsidR="00950AD6" w:rsidRPr="00900C89" w:rsidRDefault="00950AD6">
      <w:pPr>
        <w:spacing w:line="360" w:lineRule="auto"/>
        <w:ind w:right="-787"/>
        <w:jc w:val="both"/>
        <w:rPr>
          <w:rFonts w:ascii="Palatino Linotype" w:eastAsia="Palatino Linotype" w:hAnsi="Palatino Linotype" w:cs="Palatino Linotype"/>
          <w:b/>
          <w:b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Ahora bien, el documento que puede colmar con la información de las </w:t>
      </w:r>
      <w:r w:rsidRPr="00900C89">
        <w:rPr>
          <w:rFonts w:ascii="Palatino Linotype" w:eastAsia="Palatino Linotype" w:hAnsi="Palatino Linotype" w:cs="Palatino Linotype"/>
          <w:b/>
          <w:bCs/>
        </w:rPr>
        <w:t>funciones</w:t>
      </w:r>
      <w:r w:rsidRPr="00900C89">
        <w:rPr>
          <w:rFonts w:ascii="Palatino Linotype" w:eastAsia="Palatino Linotype" w:hAnsi="Palatino Linotype" w:cs="Palatino Linotype"/>
        </w:rPr>
        <w:t xml:space="preserve"> que debe desempeñar un servidor público es el </w:t>
      </w:r>
      <w:r w:rsidRPr="00900C89">
        <w:rPr>
          <w:rFonts w:ascii="Palatino Linotype" w:eastAsia="Palatino Linotype" w:hAnsi="Palatino Linotype" w:cs="Palatino Linotype"/>
          <w:b/>
          <w:bCs/>
          <w:u w:val="single"/>
        </w:rPr>
        <w:t>catálogo de puestos</w:t>
      </w:r>
      <w:r w:rsidRPr="00900C89">
        <w:rPr>
          <w:rFonts w:ascii="Palatino Linotype" w:eastAsia="Palatino Linotype" w:hAnsi="Palatino Linotype" w:cs="Palatino Linotype"/>
        </w:rPr>
        <w:t xml:space="preserve">. En principio es de precisar que el perfil de puestos, grosso modo, es un documento en el que se describen las </w:t>
      </w:r>
      <w:r w:rsidRPr="00900C89">
        <w:rPr>
          <w:rFonts w:ascii="Palatino Linotype" w:eastAsia="Palatino Linotype" w:hAnsi="Palatino Linotype" w:cs="Palatino Linotype"/>
        </w:rPr>
        <w:lastRenderedPageBreak/>
        <w:t xml:space="preserve">características, tareas y responsabilidades de los distintos cargos que se tienen dentro de una administración y el cual tiene como objetivo principal, el facilitar la identificación y los procesos de reclutamiento, operación capacitación y planeación de aquellos candidatos que desean prestar sus servicios dentro de la misma. </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Ahora bien, de conformidad con lo establecido en la Ley de Trabajo de los Servidores Públicos del Estado de México y Municipios, en sus artículos 99 y 100, fracción I, se establece que: </w:t>
      </w:r>
    </w:p>
    <w:p w:rsidR="00950AD6" w:rsidRPr="00900C89" w:rsidRDefault="00CE3B78">
      <w:pPr>
        <w:pBdr>
          <w:top w:val="nil"/>
          <w:left w:val="nil"/>
          <w:bottom w:val="nil"/>
          <w:right w:val="nil"/>
          <w:between w:val="nil"/>
        </w:pBdr>
        <w:ind w:left="1134" w:right="-220"/>
        <w:jc w:val="center"/>
        <w:rPr>
          <w:rFonts w:ascii="Palatino Linotype" w:eastAsia="Palatino Linotype" w:hAnsi="Palatino Linotype" w:cs="Palatino Linotype"/>
          <w:b/>
          <w:bCs/>
          <w:i/>
          <w:iCs/>
          <w:color w:val="000000"/>
        </w:rPr>
      </w:pPr>
      <w:r w:rsidRPr="00900C89">
        <w:rPr>
          <w:rFonts w:ascii="Palatino Linotype" w:eastAsia="Palatino Linotype" w:hAnsi="Palatino Linotype" w:cs="Palatino Linotype"/>
          <w:b/>
          <w:bCs/>
          <w:i/>
          <w:iCs/>
          <w:color w:val="000000"/>
        </w:rPr>
        <w:t>Ley de Trabajo de los Servidores Públicos del Estado de México y Municipios</w:t>
      </w:r>
    </w:p>
    <w:p w:rsidR="00950AD6" w:rsidRPr="00900C89" w:rsidRDefault="00950AD6">
      <w:pPr>
        <w:pBdr>
          <w:top w:val="nil"/>
          <w:left w:val="nil"/>
          <w:bottom w:val="nil"/>
          <w:right w:val="nil"/>
          <w:between w:val="nil"/>
        </w:pBdr>
        <w:ind w:left="1134" w:right="-220"/>
        <w:jc w:val="center"/>
        <w:rPr>
          <w:rFonts w:ascii="Palatino Linotype" w:eastAsia="Palatino Linotype" w:hAnsi="Palatino Linotype" w:cs="Palatino Linotype"/>
          <w:b/>
          <w:bCs/>
          <w:i/>
          <w:iCs/>
          <w:color w:val="000000"/>
        </w:rPr>
      </w:pPr>
    </w:p>
    <w:p w:rsidR="00950AD6" w:rsidRPr="00900C89" w:rsidRDefault="00CE3B78">
      <w:pPr>
        <w:pBdr>
          <w:top w:val="nil"/>
          <w:left w:val="nil"/>
          <w:bottom w:val="nil"/>
          <w:right w:val="nil"/>
          <w:between w:val="nil"/>
        </w:pBdr>
        <w:ind w:left="1134" w:right="-220"/>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b/>
          <w:bCs/>
          <w:i/>
          <w:iCs/>
          <w:color w:val="000000"/>
        </w:rPr>
        <w:t xml:space="preserve"> ARTÍCULO 99</w:t>
      </w:r>
      <w:r w:rsidRPr="00900C89">
        <w:rPr>
          <w:rFonts w:ascii="Palatino Linotype" w:eastAsia="Palatino Linotype" w:hAnsi="Palatino Linotype" w:cs="Palatino Linotype"/>
          <w:i/>
          <w:iCs/>
          <w:color w:val="000000"/>
        </w:rPr>
        <w:t>. Las instituciones públicas establecerán un sistema de profesionalización que permita el ingreso al servicio a los aspirantes más calificados, y garantice la estabilidad y movilidad laborales de los servidores públicos conforme a su desarrollo profesional y a sus méritos en el servicio.</w:t>
      </w:r>
    </w:p>
    <w:p w:rsidR="00950AD6" w:rsidRPr="00900C89" w:rsidRDefault="00950AD6">
      <w:pPr>
        <w:pBdr>
          <w:top w:val="nil"/>
          <w:left w:val="nil"/>
          <w:bottom w:val="nil"/>
          <w:right w:val="nil"/>
          <w:between w:val="nil"/>
        </w:pBdr>
        <w:ind w:left="1134" w:right="-220"/>
        <w:jc w:val="both"/>
        <w:rPr>
          <w:rFonts w:ascii="Palatino Linotype" w:eastAsia="Palatino Linotype" w:hAnsi="Palatino Linotype" w:cs="Palatino Linotype"/>
          <w:i/>
          <w:iCs/>
          <w:color w:val="000000"/>
        </w:rPr>
      </w:pPr>
    </w:p>
    <w:p w:rsidR="00950AD6" w:rsidRPr="00900C89" w:rsidRDefault="00CE3B78">
      <w:pPr>
        <w:pBdr>
          <w:top w:val="nil"/>
          <w:left w:val="nil"/>
          <w:bottom w:val="nil"/>
          <w:right w:val="nil"/>
          <w:between w:val="nil"/>
        </w:pBdr>
        <w:ind w:left="1134" w:right="-220"/>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b/>
          <w:bCs/>
          <w:i/>
          <w:iCs/>
          <w:color w:val="000000"/>
        </w:rPr>
        <w:t>ARTÍCULO 100</w:t>
      </w:r>
      <w:r w:rsidRPr="00900C89">
        <w:rPr>
          <w:rFonts w:ascii="Palatino Linotype" w:eastAsia="Palatino Linotype" w:hAnsi="Palatino Linotype" w:cs="Palatino Linotype"/>
          <w:i/>
          <w:iCs/>
          <w:color w:val="000000"/>
        </w:rPr>
        <w:t xml:space="preserve">. Los sistemas de profesionalización que establezcan las instituciones públicas deberán conformarse a partir de las siguientes bases: </w:t>
      </w:r>
    </w:p>
    <w:p w:rsidR="00950AD6" w:rsidRPr="00900C89" w:rsidRDefault="00950AD6">
      <w:pPr>
        <w:pBdr>
          <w:top w:val="nil"/>
          <w:left w:val="nil"/>
          <w:bottom w:val="nil"/>
          <w:right w:val="nil"/>
          <w:between w:val="nil"/>
        </w:pBdr>
        <w:ind w:left="1134" w:right="-220"/>
        <w:jc w:val="both"/>
        <w:rPr>
          <w:rFonts w:ascii="Palatino Linotype" w:eastAsia="Palatino Linotype" w:hAnsi="Palatino Linotype" w:cs="Palatino Linotype"/>
          <w:i/>
          <w:iCs/>
          <w:color w:val="000000"/>
        </w:rPr>
      </w:pPr>
    </w:p>
    <w:p w:rsidR="00950AD6" w:rsidRPr="00900C89" w:rsidRDefault="00CE3B78">
      <w:pPr>
        <w:pBdr>
          <w:top w:val="nil"/>
          <w:left w:val="nil"/>
          <w:bottom w:val="nil"/>
          <w:right w:val="nil"/>
          <w:between w:val="nil"/>
        </w:pBdr>
        <w:ind w:left="1134" w:right="-220"/>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b/>
          <w:bCs/>
          <w:i/>
          <w:iCs/>
          <w:color w:val="000000"/>
        </w:rPr>
        <w:t>I</w:t>
      </w:r>
      <w:r w:rsidRPr="00900C89">
        <w:rPr>
          <w:rFonts w:ascii="Palatino Linotype" w:eastAsia="Palatino Linotype" w:hAnsi="Palatino Linotype" w:cs="Palatino Linotype"/>
          <w:i/>
          <w:iCs/>
          <w:color w:val="000000"/>
        </w:rPr>
        <w:t xml:space="preserve">. Definición de </w:t>
      </w:r>
      <w:r w:rsidRPr="00900C89">
        <w:rPr>
          <w:rFonts w:ascii="Palatino Linotype" w:eastAsia="Palatino Linotype" w:hAnsi="Palatino Linotype" w:cs="Palatino Linotype"/>
          <w:b/>
          <w:bCs/>
          <w:i/>
          <w:iCs/>
          <w:color w:val="000000"/>
        </w:rPr>
        <w:t>un catálogo de puestos</w:t>
      </w:r>
      <w:r w:rsidRPr="00900C89">
        <w:rPr>
          <w:rFonts w:ascii="Palatino Linotype" w:eastAsia="Palatino Linotype" w:hAnsi="Palatino Linotype" w:cs="Palatino Linotype"/>
          <w:i/>
          <w:iCs/>
          <w:color w:val="000000"/>
        </w:rPr>
        <w:t xml:space="preserve"> por institución pública o dependencia que </w:t>
      </w:r>
      <w:r w:rsidRPr="00900C89">
        <w:rPr>
          <w:rFonts w:ascii="Palatino Linotype" w:eastAsia="Palatino Linotype" w:hAnsi="Palatino Linotype" w:cs="Palatino Linotype"/>
          <w:b/>
          <w:bCs/>
          <w:i/>
          <w:iCs/>
          <w:color w:val="000000"/>
          <w:u w:val="single"/>
        </w:rPr>
        <w:t>deberá contener el perfil de cada uno de los existentes, los requisitos necesarios para desempeñarlos</w:t>
      </w:r>
      <w:r w:rsidRPr="00900C89">
        <w:rPr>
          <w:rFonts w:ascii="Palatino Linotype" w:eastAsia="Palatino Linotype" w:hAnsi="Palatino Linotype" w:cs="Palatino Linotype"/>
          <w:i/>
          <w:iCs/>
          <w:color w:val="000000"/>
        </w:rPr>
        <w:t xml:space="preserve"> y el nivel salarial y escalafonario que les corresponde;</w:t>
      </w:r>
    </w:p>
    <w:p w:rsidR="00950AD6" w:rsidRPr="00900C89" w:rsidRDefault="00CE3B78">
      <w:pPr>
        <w:pBdr>
          <w:top w:val="nil"/>
          <w:left w:val="nil"/>
          <w:bottom w:val="nil"/>
          <w:right w:val="nil"/>
          <w:between w:val="nil"/>
        </w:pBdr>
        <w:ind w:left="1134" w:right="-220"/>
        <w:jc w:val="both"/>
        <w:rPr>
          <w:rFonts w:ascii="Palatino Linotype" w:eastAsia="Palatino Linotype" w:hAnsi="Palatino Linotype" w:cs="Palatino Linotype"/>
          <w:i/>
          <w:iCs/>
          <w:color w:val="000000"/>
        </w:rPr>
      </w:pPr>
      <w:r w:rsidRPr="00900C89">
        <w:rPr>
          <w:rFonts w:ascii="Palatino Linotype" w:eastAsia="Palatino Linotype" w:hAnsi="Palatino Linotype" w:cs="Palatino Linotype"/>
          <w:i/>
          <w:iCs/>
          <w:color w:val="000000"/>
        </w:rPr>
        <w:t>…</w:t>
      </w:r>
    </w:p>
    <w:p w:rsidR="00950AD6" w:rsidRPr="00900C89" w:rsidRDefault="00950AD6">
      <w:pPr>
        <w:tabs>
          <w:tab w:val="left" w:pos="993"/>
        </w:tabs>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Así mismo, la Ley de Transparencia local en su artículo 92, fracción XII, establece como obligaciones de transparencia común la relacionada al perfil de puestos:</w:t>
      </w:r>
    </w:p>
    <w:p w:rsidR="00950AD6" w:rsidRPr="00900C89" w:rsidRDefault="00CE3B78">
      <w:pPr>
        <w:pBdr>
          <w:top w:val="nil"/>
          <w:left w:val="nil"/>
          <w:bottom w:val="nil"/>
          <w:right w:val="nil"/>
          <w:between w:val="nil"/>
        </w:pBdr>
        <w:tabs>
          <w:tab w:val="left" w:pos="142"/>
        </w:tabs>
        <w:ind w:left="1134" w:right="-220"/>
        <w:jc w:val="center"/>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LEY DE TRANSPARENCIA Y ACCESO A LA INFORMACIÓN</w:t>
      </w:r>
    </w:p>
    <w:p w:rsidR="00950AD6" w:rsidRPr="00900C89" w:rsidRDefault="00CE3B78">
      <w:pPr>
        <w:pBdr>
          <w:top w:val="nil"/>
          <w:left w:val="nil"/>
          <w:bottom w:val="nil"/>
          <w:right w:val="nil"/>
          <w:between w:val="nil"/>
        </w:pBdr>
        <w:tabs>
          <w:tab w:val="left" w:pos="142"/>
        </w:tabs>
        <w:ind w:left="1134" w:right="-220"/>
        <w:jc w:val="center"/>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PÚBLICA DEL ESTADO DE MÉXICO Y MUNICIPIOS</w:t>
      </w:r>
    </w:p>
    <w:p w:rsidR="00950AD6" w:rsidRPr="00900C89" w:rsidRDefault="00950AD6">
      <w:pPr>
        <w:pBdr>
          <w:top w:val="nil"/>
          <w:left w:val="nil"/>
          <w:bottom w:val="nil"/>
          <w:right w:val="nil"/>
          <w:between w:val="nil"/>
        </w:pBdr>
        <w:tabs>
          <w:tab w:val="left" w:pos="142"/>
        </w:tabs>
        <w:ind w:left="1134" w:right="-220"/>
        <w:jc w:val="center"/>
        <w:rPr>
          <w:rFonts w:ascii="Palatino Linotype" w:eastAsia="Palatino Linotype" w:hAnsi="Palatino Linotype" w:cs="Palatino Linotype"/>
          <w:b/>
          <w:bCs/>
          <w:i/>
          <w:iCs/>
        </w:rPr>
      </w:pPr>
    </w:p>
    <w:p w:rsidR="00950AD6" w:rsidRPr="00900C89" w:rsidRDefault="00CE3B78">
      <w:pPr>
        <w:pBdr>
          <w:top w:val="nil"/>
          <w:left w:val="nil"/>
          <w:bottom w:val="nil"/>
          <w:right w:val="nil"/>
          <w:between w:val="nil"/>
        </w:pBdr>
        <w:tabs>
          <w:tab w:val="left" w:pos="142"/>
        </w:tabs>
        <w:ind w:left="1134"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lastRenderedPageBreak/>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950AD6" w:rsidRPr="00900C89" w:rsidRDefault="00CE3B78">
      <w:pPr>
        <w:pBdr>
          <w:top w:val="nil"/>
          <w:left w:val="nil"/>
          <w:bottom w:val="nil"/>
          <w:right w:val="nil"/>
          <w:between w:val="nil"/>
        </w:pBdr>
        <w:tabs>
          <w:tab w:val="left" w:pos="142"/>
        </w:tabs>
        <w:ind w:left="1134" w:right="-220"/>
        <w:jc w:val="both"/>
        <w:rPr>
          <w:rFonts w:ascii="Palatino Linotype" w:eastAsia="Palatino Linotype" w:hAnsi="Palatino Linotype" w:cs="Palatino Linotype"/>
          <w:i/>
          <w:iCs/>
        </w:rPr>
      </w:pPr>
      <w:r w:rsidRPr="00900C89">
        <w:rPr>
          <w:rFonts w:ascii="Palatino Linotype" w:eastAsia="Palatino Linotype" w:hAnsi="Palatino Linotype" w:cs="Palatino Linotype"/>
          <w:i/>
          <w:iCs/>
        </w:rPr>
        <w:t>…</w:t>
      </w:r>
    </w:p>
    <w:p w:rsidR="00950AD6" w:rsidRPr="00900C89" w:rsidRDefault="00CE3B78">
      <w:pPr>
        <w:pBdr>
          <w:top w:val="nil"/>
          <w:left w:val="nil"/>
          <w:bottom w:val="nil"/>
          <w:right w:val="nil"/>
          <w:between w:val="nil"/>
        </w:pBdr>
        <w:tabs>
          <w:tab w:val="left" w:pos="142"/>
        </w:tabs>
        <w:ind w:left="1134" w:right="-220"/>
        <w:jc w:val="both"/>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XII. El perfil de los puestos de los servidores públicos a su servicio en los casos que aplique;</w:t>
      </w:r>
    </w:p>
    <w:p w:rsidR="00950AD6" w:rsidRPr="00900C89" w:rsidRDefault="00CE3B78">
      <w:pPr>
        <w:pBdr>
          <w:top w:val="nil"/>
          <w:left w:val="nil"/>
          <w:bottom w:val="nil"/>
          <w:right w:val="nil"/>
          <w:between w:val="nil"/>
        </w:pBdr>
        <w:tabs>
          <w:tab w:val="left" w:pos="142"/>
        </w:tabs>
        <w:ind w:left="1134" w:right="-220"/>
        <w:jc w:val="both"/>
        <w:rPr>
          <w:rFonts w:ascii="Palatino Linotype" w:eastAsia="Palatino Linotype" w:hAnsi="Palatino Linotype" w:cs="Palatino Linotype"/>
          <w:b/>
          <w:bCs/>
          <w:i/>
          <w:iCs/>
        </w:rPr>
      </w:pPr>
      <w:r w:rsidRPr="00900C89">
        <w:rPr>
          <w:rFonts w:ascii="Palatino Linotype" w:eastAsia="Palatino Linotype" w:hAnsi="Palatino Linotype" w:cs="Palatino Linotype"/>
          <w:b/>
          <w:bCs/>
          <w:i/>
          <w:iCs/>
        </w:rPr>
        <w:t>…</w:t>
      </w:r>
    </w:p>
    <w:p w:rsidR="00950AD6" w:rsidRPr="00900C89" w:rsidRDefault="00950AD6">
      <w:p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De tal forma que de lo anterior se colige que cada dependencia o institución pública, deberá general un </w:t>
      </w:r>
      <w:r w:rsidRPr="00900C89">
        <w:rPr>
          <w:rFonts w:ascii="Palatino Linotype" w:eastAsia="Palatino Linotype" w:hAnsi="Palatino Linotype" w:cs="Palatino Linotype"/>
          <w:b/>
          <w:bCs/>
        </w:rPr>
        <w:t>catálogo de puestos</w:t>
      </w:r>
      <w:r w:rsidRPr="00900C89">
        <w:rPr>
          <w:rFonts w:ascii="Palatino Linotype" w:eastAsia="Palatino Linotype" w:hAnsi="Palatino Linotype" w:cs="Palatino Linotype"/>
        </w:rPr>
        <w:t xml:space="preserve">, en el cual se deberá señalar de manera actualizada los requisitos que deben observarse para ocupar un cierto cargo, asimismo, de conformidad con lo que establece la sección III, fracción XII de Los Lineamientos Técnicos para la publicación, homologación y estandarización de la información establecida en el Título Quinto, Capítulos II, III y IV, y el Título Noveno de la Ley de Transparencia y Acceso a la Información Pública del Estado de México y Municipios; adicional de aquella contemplada en el Título Quinto de la Ley General de Transparencia y Acceso a la Información Pública (consultables en la liga electrónica </w:t>
      </w:r>
      <w:hyperlink r:id="rId10">
        <w:r w:rsidRPr="00900C89">
          <w:rPr>
            <w:rFonts w:ascii="Palatino Linotype" w:eastAsia="Palatino Linotype" w:hAnsi="Palatino Linotype" w:cs="Palatino Linotype"/>
            <w:color w:val="0563C1"/>
            <w:u w:val="single"/>
          </w:rPr>
          <w:t>https://www.infoem.org.mx/sites/default/files/normatividad/jun143.pdf</w:t>
        </w:r>
      </w:hyperlink>
      <w:r w:rsidRPr="00900C89">
        <w:rPr>
          <w:rFonts w:ascii="Palatino Linotype" w:eastAsia="Palatino Linotype" w:hAnsi="Palatino Linotype" w:cs="Palatino Linotype"/>
        </w:rPr>
        <w:t xml:space="preserve">); las Instituciones públicas establecerán un sistema de profesionalización que permita el ingreso al servicio a los aspirantes más calificados y garantice la estabilidad y movilidad laborales de los servidores públicos. </w:t>
      </w:r>
    </w:p>
    <w:p w:rsidR="00950AD6" w:rsidRPr="00900C89" w:rsidRDefault="00950AD6">
      <w:pPr>
        <w:tabs>
          <w:tab w:val="left" w:pos="993"/>
        </w:tabs>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En el mismo orden de ideas, los Lineamientos en cita, establecen que de acuerdo con el Manual de Procedimientos de la Subdirección de Escalafón de la Secretaría de Finanzas del Poder Ejecutivo del Estado de México, </w:t>
      </w:r>
      <w:r w:rsidRPr="00900C89">
        <w:rPr>
          <w:rFonts w:ascii="Palatino Linotype" w:eastAsia="Palatino Linotype" w:hAnsi="Palatino Linotype" w:cs="Palatino Linotype"/>
          <w:b/>
          <w:bCs/>
        </w:rPr>
        <w:t>el “</w:t>
      </w:r>
      <w:r w:rsidRPr="00900C89">
        <w:rPr>
          <w:rFonts w:ascii="Palatino Linotype" w:eastAsia="Palatino Linotype" w:hAnsi="Palatino Linotype" w:cs="Palatino Linotype"/>
          <w:b/>
          <w:bCs/>
          <w:u w:val="single"/>
        </w:rPr>
        <w:t>Perfil de Puesto</w:t>
      </w:r>
      <w:r w:rsidRPr="00900C89">
        <w:rPr>
          <w:rFonts w:ascii="Palatino Linotype" w:eastAsia="Palatino Linotype" w:hAnsi="Palatino Linotype" w:cs="Palatino Linotype"/>
          <w:b/>
          <w:bCs/>
        </w:rPr>
        <w:t xml:space="preserve">” es la herramienta que contiene las características que la o el ocupante de un puesto debe tener para poder </w:t>
      </w:r>
      <w:r w:rsidRPr="00900C89">
        <w:rPr>
          <w:rFonts w:ascii="Palatino Linotype" w:eastAsia="Palatino Linotype" w:hAnsi="Palatino Linotype" w:cs="Palatino Linotype"/>
          <w:b/>
          <w:bCs/>
        </w:rPr>
        <w:lastRenderedPageBreak/>
        <w:t>cumplir con las funciones de este, tales como preparación académica, competencias, experiencia, así como las condiciones de trabajo.</w:t>
      </w:r>
      <w:r w:rsidRPr="00900C89">
        <w:rPr>
          <w:rFonts w:ascii="Palatino Linotype" w:eastAsia="Palatino Linotype" w:hAnsi="Palatino Linotype" w:cs="Palatino Linotype"/>
        </w:rPr>
        <w:t xml:space="preserve"> </w:t>
      </w:r>
    </w:p>
    <w:p w:rsidR="00950AD6" w:rsidRPr="00900C89" w:rsidRDefault="00950AD6">
      <w:pPr>
        <w:pBdr>
          <w:top w:val="nil"/>
          <w:left w:val="nil"/>
          <w:bottom w:val="nil"/>
          <w:right w:val="nil"/>
          <w:between w:val="nil"/>
        </w:pBdr>
        <w:tabs>
          <w:tab w:val="left" w:pos="142"/>
        </w:tabs>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Asimismo, en el dispositivo legal de referencia, se señala que el catálogo de puestos deberá contener el perfil de cada uno de los existentes, los requisitos necesarios para desempeñarlos y el nivel salarial y escalafonario que les corresponde y deberá observar lo siguiente: </w:t>
      </w:r>
    </w:p>
    <w:p w:rsidR="00950AD6" w:rsidRPr="00900C89" w:rsidRDefault="00CE3B78">
      <w:pPr>
        <w:tabs>
          <w:tab w:val="left" w:pos="993"/>
        </w:tabs>
        <w:spacing w:line="360" w:lineRule="auto"/>
        <w:ind w:right="-787"/>
        <w:jc w:val="center"/>
        <w:rPr>
          <w:rFonts w:ascii="Palatino Linotype" w:eastAsia="Palatino Linotype" w:hAnsi="Palatino Linotype" w:cs="Palatino Linotype"/>
        </w:rPr>
      </w:pPr>
      <w:r w:rsidRPr="00900C89">
        <w:rPr>
          <w:rFonts w:ascii="Palatino Linotype" w:eastAsia="Palatino Linotype" w:hAnsi="Palatino Linotype" w:cs="Palatino Linotype"/>
          <w:noProof/>
          <w:lang w:val="es-MX"/>
        </w:rPr>
        <w:drawing>
          <wp:inline distT="0" distB="0" distL="0" distR="0">
            <wp:extent cx="4760330" cy="3130126"/>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760330" cy="3130126"/>
                    </a:xfrm>
                    <a:prstGeom prst="rect">
                      <a:avLst/>
                    </a:prstGeom>
                    <a:ln/>
                  </pic:spPr>
                </pic:pic>
              </a:graphicData>
            </a:graphic>
          </wp:inline>
        </w:drawing>
      </w:r>
    </w:p>
    <w:p w:rsidR="00950AD6" w:rsidRPr="00900C89" w:rsidRDefault="00CE3B78">
      <w:pPr>
        <w:tabs>
          <w:tab w:val="left" w:pos="993"/>
        </w:tabs>
        <w:spacing w:line="360" w:lineRule="auto"/>
        <w:ind w:right="-787"/>
        <w:jc w:val="center"/>
        <w:rPr>
          <w:rFonts w:ascii="Palatino Linotype" w:eastAsia="Palatino Linotype" w:hAnsi="Palatino Linotype" w:cs="Palatino Linotype"/>
        </w:rPr>
      </w:pPr>
      <w:r w:rsidRPr="00900C89">
        <w:rPr>
          <w:rFonts w:ascii="Palatino Linotype" w:eastAsia="Palatino Linotype" w:hAnsi="Palatino Linotype" w:cs="Palatino Linotype"/>
          <w:noProof/>
          <w:lang w:val="es-MX"/>
        </w:rPr>
        <w:drawing>
          <wp:inline distT="0" distB="0" distL="0" distR="0">
            <wp:extent cx="4717326" cy="134363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717326" cy="1343635"/>
                    </a:xfrm>
                    <a:prstGeom prst="rect">
                      <a:avLst/>
                    </a:prstGeom>
                    <a:ln/>
                  </pic:spPr>
                </pic:pic>
              </a:graphicData>
            </a:graphic>
          </wp:inline>
        </w:drawing>
      </w:r>
    </w:p>
    <w:p w:rsidR="00950AD6" w:rsidRPr="00900C89" w:rsidRDefault="00950AD6">
      <w:pPr>
        <w:tabs>
          <w:tab w:val="left" w:pos="993"/>
        </w:tabs>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lastRenderedPageBreak/>
        <w:t>En resumen, tal como se ha señalado en párrafos anteriores, el perfil de puestos deberá precisar diversa información que los aspirantes a ocupar un cargo deberán conocer y cumplir para obtener acceso al mismo, esta información a modo de ejemplo, puede estar compuesta por los siguientes campos:</w:t>
      </w:r>
    </w:p>
    <w:p w:rsidR="00950AD6" w:rsidRPr="00900C89" w:rsidRDefault="00CE3B7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Puesto</w:t>
      </w:r>
    </w:p>
    <w:p w:rsidR="00950AD6" w:rsidRPr="00900C89" w:rsidRDefault="00CE3B7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Perfil (grado de estudios, idiomas, años de experiencia, formación, habilidades, aptitudes, competencias)</w:t>
      </w:r>
    </w:p>
    <w:p w:rsidR="00950AD6" w:rsidRPr="00900C89" w:rsidRDefault="00CE3B7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Objetivo del puesto</w:t>
      </w:r>
    </w:p>
    <w:p w:rsidR="00950AD6" w:rsidRPr="00900C89" w:rsidRDefault="00CE3B7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Funciones del puesto</w:t>
      </w:r>
    </w:p>
    <w:p w:rsidR="00950AD6" w:rsidRPr="00900C89" w:rsidRDefault="00CE3B78">
      <w:pPr>
        <w:numPr>
          <w:ilvl w:val="1"/>
          <w:numId w:val="6"/>
        </w:numPr>
        <w:pBdr>
          <w:top w:val="nil"/>
          <w:left w:val="nil"/>
          <w:bottom w:val="nil"/>
          <w:right w:val="nil"/>
          <w:between w:val="nil"/>
        </w:pBdr>
        <w:tabs>
          <w:tab w:val="left" w:pos="142"/>
        </w:tabs>
        <w:spacing w:line="360" w:lineRule="auto"/>
        <w:ind w:right="-22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Requerimientos del puesto (herramientas, etc)</w:t>
      </w:r>
    </w:p>
    <w:p w:rsidR="00950AD6" w:rsidRPr="00900C89" w:rsidRDefault="00950AD6">
      <w:pPr>
        <w:tabs>
          <w:tab w:val="left" w:pos="993"/>
        </w:tabs>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bookmarkStart w:id="7" w:name="_heading=h.rn4cph48w0a0" w:colFirst="0" w:colLast="0"/>
      <w:bookmarkEnd w:id="7"/>
      <w:r w:rsidRPr="00900C89">
        <w:rPr>
          <w:rFonts w:ascii="Palatino Linotype" w:eastAsia="Palatino Linotype" w:hAnsi="Palatino Linotype" w:cs="Palatino Linotype"/>
        </w:rPr>
        <w:t xml:space="preserve">Es decir, un perfil de puestos ya contiene precisada de manera puntual y específica las características que debe tener el perfil profesional para ocupar un puesto determinado y poder cumplir con las </w:t>
      </w:r>
      <w:r w:rsidRPr="00900C89">
        <w:rPr>
          <w:rFonts w:ascii="Palatino Linotype" w:eastAsia="Palatino Linotype" w:hAnsi="Palatino Linotype" w:cs="Palatino Linotype"/>
          <w:b/>
          <w:bCs/>
        </w:rPr>
        <w:t>funciones</w:t>
      </w:r>
      <w:r w:rsidRPr="00900C89">
        <w:rPr>
          <w:rFonts w:ascii="Palatino Linotype" w:eastAsia="Palatino Linotype" w:hAnsi="Palatino Linotype" w:cs="Palatino Linotype"/>
        </w:rPr>
        <w:t xml:space="preserve"> que este requiere.</w:t>
      </w:r>
    </w:p>
    <w:p w:rsidR="00950AD6" w:rsidRPr="00900C89" w:rsidRDefault="00950AD6">
      <w:pPr>
        <w:pBdr>
          <w:top w:val="nil"/>
          <w:left w:val="nil"/>
          <w:bottom w:val="nil"/>
          <w:right w:val="nil"/>
          <w:between w:val="nil"/>
        </w:pBdr>
        <w:tabs>
          <w:tab w:val="left" w:pos="142"/>
        </w:tabs>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En ese sentido, se considera que un documento que puede colmar con </w:t>
      </w:r>
      <w:r w:rsidRPr="00900C89">
        <w:rPr>
          <w:rFonts w:ascii="Palatino Linotype" w:eastAsia="Palatino Linotype" w:hAnsi="Palatino Linotype" w:cs="Palatino Linotype"/>
          <w:b/>
          <w:bCs/>
          <w:u w:val="single"/>
        </w:rPr>
        <w:t>las funciones</w:t>
      </w:r>
      <w:r w:rsidRPr="00900C89">
        <w:rPr>
          <w:rFonts w:ascii="Palatino Linotype" w:eastAsia="Palatino Linotype" w:hAnsi="Palatino Linotype" w:cs="Palatino Linotype"/>
        </w:rPr>
        <w:t xml:space="preserve"> que desarrolla un servidor público es el </w:t>
      </w:r>
      <w:r w:rsidRPr="00900C89">
        <w:rPr>
          <w:rFonts w:ascii="Palatino Linotype" w:eastAsia="Palatino Linotype" w:hAnsi="Palatino Linotype" w:cs="Palatino Linotype"/>
          <w:b/>
          <w:bCs/>
        </w:rPr>
        <w:t>perfil de puestos.</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Asimismo, dentro de los Manuales de Organización por dependencia establecen dentro de su contenido la estructura orgánica, el objetivo de cada unidad administrativa y sus funciones, por lo que el Manual de Organización de la dependencia correspondiente eventualmente puede colmar con </w:t>
      </w:r>
      <w:r w:rsidRPr="00900C89">
        <w:rPr>
          <w:rFonts w:ascii="Palatino Linotype" w:eastAsia="Palatino Linotype" w:hAnsi="Palatino Linotype" w:cs="Palatino Linotype"/>
          <w:b/>
          <w:bCs/>
          <w:u w:val="single"/>
        </w:rPr>
        <w:t>las funciones</w:t>
      </w:r>
      <w:r w:rsidRPr="00900C89">
        <w:rPr>
          <w:rFonts w:ascii="Palatino Linotype" w:eastAsia="Palatino Linotype" w:hAnsi="Palatino Linotype" w:cs="Palatino Linotype"/>
        </w:rPr>
        <w:t xml:space="preserve"> que desarrolla un servidor público.</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rPr>
        <w:lastRenderedPageBreak/>
        <w:t>Bajo</w:t>
      </w:r>
      <w:r w:rsidRPr="00900C89">
        <w:rPr>
          <w:rFonts w:ascii="Palatino Linotype" w:eastAsia="Palatino Linotype" w:hAnsi="Palatino Linotype" w:cs="Palatino Linotype"/>
          <w:color w:val="000000"/>
        </w:rPr>
        <w:t xml:space="preserve"> ese </w:t>
      </w:r>
      <w:r w:rsidRPr="00900C89">
        <w:rPr>
          <w:rFonts w:ascii="Palatino Linotype" w:eastAsia="Palatino Linotype" w:hAnsi="Palatino Linotype" w:cs="Palatino Linotype"/>
        </w:rPr>
        <w:t>contexto</w:t>
      </w:r>
      <w:r w:rsidRPr="00900C89">
        <w:rPr>
          <w:rFonts w:ascii="Palatino Linotype" w:eastAsia="Palatino Linotype" w:hAnsi="Palatino Linotype" w:cs="Palatino Linotype"/>
          <w:color w:val="000000"/>
        </w:rPr>
        <w:t xml:space="preserve">, se considera que, el Sujeto Obligado deberá hacer una </w:t>
      </w:r>
      <w:r w:rsidRPr="00900C89">
        <w:rPr>
          <w:rFonts w:ascii="Palatino Linotype" w:eastAsia="Palatino Linotype" w:hAnsi="Palatino Linotype" w:cs="Palatino Linotype"/>
          <w:b/>
          <w:bCs/>
          <w:color w:val="000000"/>
        </w:rPr>
        <w:t>nueva búsqueda exhaustiva</w:t>
      </w:r>
      <w:r w:rsidRPr="00900C89">
        <w:rPr>
          <w:rFonts w:ascii="Palatino Linotype" w:eastAsia="Palatino Linotype" w:hAnsi="Palatino Linotype" w:cs="Palatino Linotype"/>
          <w:color w:val="000000"/>
        </w:rPr>
        <w:t xml:space="preserve"> de la información en las unidades administrativas competentes</w:t>
      </w:r>
      <w:r w:rsidRPr="00900C89">
        <w:rPr>
          <w:rFonts w:ascii="Palatino Linotype" w:eastAsia="Palatino Linotype" w:hAnsi="Palatino Linotype" w:cs="Palatino Linotype"/>
          <w:b/>
          <w:bCs/>
          <w:color w:val="000000"/>
        </w:rPr>
        <w:t xml:space="preserve">, </w:t>
      </w:r>
      <w:r w:rsidRPr="00900C89">
        <w:rPr>
          <w:rFonts w:ascii="Palatino Linotype" w:eastAsia="Palatino Linotype" w:hAnsi="Palatino Linotype" w:cs="Palatino Linotype"/>
          <w:color w:val="000000"/>
        </w:rPr>
        <w:t xml:space="preserve">pues se presume que la información debe existir ya que se refiere a facultades, competencias y funciones que los ordenamientos jurídicos aplicables otorgan al Sujeto Obligado; por lo tanto </w:t>
      </w:r>
      <w:r w:rsidRPr="00900C89">
        <w:rPr>
          <w:rFonts w:ascii="Palatino Linotype" w:eastAsia="Palatino Linotype" w:hAnsi="Palatino Linotype" w:cs="Palatino Linotype"/>
          <w:b/>
          <w:bCs/>
          <w:color w:val="000000"/>
        </w:rPr>
        <w:t>deberá realizar una nueva búsqueda con la finalidad de entregar la información que resulta de interés para</w:t>
      </w:r>
      <w:r w:rsidRPr="00900C89">
        <w:rPr>
          <w:rFonts w:ascii="Palatino Linotype" w:eastAsia="Palatino Linotype" w:hAnsi="Palatino Linotype" w:cs="Palatino Linotype"/>
          <w:color w:val="000000"/>
        </w:rPr>
        <w:t xml:space="preserve"> </w:t>
      </w:r>
      <w:r w:rsidRPr="00900C89">
        <w:rPr>
          <w:rFonts w:ascii="Palatino Linotype" w:eastAsia="Palatino Linotype" w:hAnsi="Palatino Linotype" w:cs="Palatino Linotype"/>
          <w:b/>
          <w:bCs/>
          <w:color w:val="000000"/>
        </w:rPr>
        <w:t>EL RECURRENTE</w:t>
      </w:r>
      <w:r w:rsidRPr="00900C89">
        <w:rPr>
          <w:rFonts w:ascii="Palatino Linotype" w:eastAsia="Palatino Linotype" w:hAnsi="Palatino Linotype" w:cs="Palatino Linotype"/>
          <w:color w:val="000000"/>
        </w:rPr>
        <w:t>, con la finalidad de dar certeza que se realizó una correcta búsqueda de la información requerida.</w:t>
      </w:r>
    </w:p>
    <w:p w:rsidR="00950AD6" w:rsidRPr="00900C89" w:rsidRDefault="00950AD6">
      <w:pPr>
        <w:spacing w:line="360" w:lineRule="auto"/>
        <w:ind w:right="-787"/>
        <w:jc w:val="both"/>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rsidR="00950AD6" w:rsidRPr="00900C89" w:rsidRDefault="00CE3B78">
      <w:pPr>
        <w:pBdr>
          <w:top w:val="nil"/>
          <w:left w:val="nil"/>
          <w:bottom w:val="nil"/>
          <w:right w:val="nil"/>
          <w:between w:val="nil"/>
        </w:pBdr>
        <w:ind w:left="851" w:right="-433"/>
        <w:jc w:val="both"/>
        <w:rPr>
          <w:rFonts w:ascii="Palatino Linotype" w:eastAsia="Palatino Linotype" w:hAnsi="Palatino Linotype" w:cs="Palatino Linotype"/>
          <w:i/>
          <w:iCs/>
        </w:rPr>
      </w:pPr>
      <w:r w:rsidRPr="00900C89">
        <w:rPr>
          <w:rFonts w:ascii="Palatino Linotype" w:eastAsia="Palatino Linotype" w:hAnsi="Palatino Linotype" w:cs="Palatino Linotype"/>
          <w:b/>
          <w:bCs/>
          <w:i/>
          <w:iCs/>
        </w:rPr>
        <w:t xml:space="preserve"> “Congruencia y exhaustividad. Sus alcances para garantizar el derecho de acceso a la información. </w:t>
      </w:r>
      <w:r w:rsidRPr="00900C89">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900C89">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sidRPr="00900C89">
        <w:rPr>
          <w:rFonts w:ascii="Palatino Linotype" w:eastAsia="Palatino Linotype" w:hAnsi="Palatino Linotype" w:cs="Palatino Linotype"/>
          <w:i/>
          <w:iCs/>
        </w:rPr>
        <w:t xml:space="preserve">; mientras que </w:t>
      </w:r>
      <w:r w:rsidRPr="00900C89">
        <w:rPr>
          <w:rFonts w:ascii="Palatino Linotype" w:eastAsia="Palatino Linotype" w:hAnsi="Palatino Linotype" w:cs="Palatino Linotype"/>
          <w:b/>
          <w:bCs/>
          <w:i/>
          <w:iCs/>
        </w:rPr>
        <w:t>la exhaustividad significa que dicha respuesta se refiera expresamente a cada uno de los puntos solicitados</w:t>
      </w:r>
      <w:r w:rsidRPr="00900C89">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950AD6" w:rsidRPr="00900C89" w:rsidRDefault="00950AD6">
      <w:pPr>
        <w:pBdr>
          <w:top w:val="nil"/>
          <w:left w:val="nil"/>
          <w:bottom w:val="nil"/>
          <w:right w:val="nil"/>
          <w:between w:val="nil"/>
        </w:pBdr>
        <w:ind w:right="-433"/>
        <w:jc w:val="both"/>
        <w:rPr>
          <w:rFonts w:ascii="Palatino Linotype" w:eastAsia="Palatino Linotype" w:hAnsi="Palatino Linotype" w:cs="Palatino Linotype"/>
          <w:i/>
          <w:iCs/>
        </w:rPr>
      </w:pPr>
    </w:p>
    <w:p w:rsidR="00950AD6" w:rsidRPr="00900C89" w:rsidRDefault="00950AD6">
      <w:pPr>
        <w:pBdr>
          <w:top w:val="nil"/>
          <w:left w:val="nil"/>
          <w:bottom w:val="nil"/>
          <w:right w:val="nil"/>
          <w:between w:val="nil"/>
        </w:pBdr>
        <w:ind w:right="-433"/>
        <w:jc w:val="both"/>
        <w:rPr>
          <w:rFonts w:ascii="Palatino Linotype" w:eastAsia="Palatino Linotype" w:hAnsi="Palatino Linotype" w:cs="Palatino Linotype"/>
          <w:i/>
          <w:iCs/>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color w:val="000000"/>
        </w:rPr>
        <w:t xml:space="preserve">Por lo anterior, este Organismo Garante, con la finalidad de garantizar el derecho humano de acceso a la información de la parte Recurrente, y a fin de reparar el agravio causado ante la omisión en que incurriera el Sujeto Obligado, ya que, como se señaló, su </w:t>
      </w:r>
      <w:r w:rsidRPr="00900C89">
        <w:rPr>
          <w:rFonts w:ascii="Palatino Linotype" w:eastAsia="Palatino Linotype" w:hAnsi="Palatino Linotype" w:cs="Palatino Linotype"/>
          <w:color w:val="000000"/>
        </w:rPr>
        <w:lastRenderedPageBreak/>
        <w:t xml:space="preserve">respuesta careció de los principios de congruencia y exhaustividad, por las consideraciones ya expuestas, se estima procedente </w:t>
      </w:r>
      <w:r w:rsidRPr="00900C89">
        <w:rPr>
          <w:rFonts w:ascii="Palatino Linotype" w:eastAsia="Palatino Linotype" w:hAnsi="Palatino Linotype" w:cs="Palatino Linotype"/>
          <w:b/>
          <w:bCs/>
          <w:color w:val="000000"/>
        </w:rPr>
        <w:t>ORDENAR</w:t>
      </w:r>
      <w:r w:rsidRPr="00900C89">
        <w:rPr>
          <w:rFonts w:ascii="Palatino Linotype" w:eastAsia="Palatino Linotype" w:hAnsi="Palatino Linotype" w:cs="Palatino Linotype"/>
          <w:color w:val="000000"/>
        </w:rPr>
        <w:t xml:space="preserve"> que, previa búsqueda exhaustiva y razonable, haga entrega del</w:t>
      </w:r>
      <w:r w:rsidRPr="00900C89">
        <w:rPr>
          <w:rFonts w:ascii="Palatino Linotype" w:eastAsia="Palatino Linotype" w:hAnsi="Palatino Linotype" w:cs="Palatino Linotype"/>
          <w:b/>
          <w:bCs/>
          <w:color w:val="000000"/>
        </w:rPr>
        <w:t xml:space="preserve"> documento en el que conste o se adviertan las funciones del servidor público referido en la solicitud de información, al 13 de agosto de 2025.</w:t>
      </w:r>
    </w:p>
    <w:p w:rsidR="00950AD6" w:rsidRPr="00900C89" w:rsidRDefault="00950AD6">
      <w:pPr>
        <w:spacing w:line="360" w:lineRule="auto"/>
        <w:ind w:right="-787"/>
        <w:jc w:val="both"/>
        <w:rPr>
          <w:rFonts w:ascii="Palatino Linotype" w:eastAsia="Palatino Linotype" w:hAnsi="Palatino Linotype" w:cs="Palatino Linotype"/>
          <w:b/>
          <w:bCs/>
        </w:rPr>
      </w:pPr>
    </w:p>
    <w:p w:rsidR="00950AD6" w:rsidRPr="00900C89" w:rsidRDefault="00CE3B78">
      <w:pPr>
        <w:numPr>
          <w:ilvl w:val="0"/>
          <w:numId w:val="1"/>
        </w:numPr>
        <w:spacing w:line="360" w:lineRule="auto"/>
        <w:ind w:left="0" w:right="-787" w:firstLine="0"/>
        <w:jc w:val="both"/>
        <w:rPr>
          <w:b/>
          <w:bCs/>
          <w:color w:val="000000"/>
        </w:rPr>
      </w:pPr>
      <w:r w:rsidRPr="00900C89">
        <w:rPr>
          <w:rFonts w:ascii="Palatino Linotype" w:eastAsia="Palatino Linotype" w:hAnsi="Palatino Linotype" w:cs="Palatino Linotype"/>
        </w:rPr>
        <w:t xml:space="preserve">Por lo </w:t>
      </w:r>
      <w:r w:rsidRPr="00900C89">
        <w:rPr>
          <w:rFonts w:ascii="Palatino Linotype" w:eastAsia="Palatino Linotype" w:hAnsi="Palatino Linotype" w:cs="Palatino Linotype"/>
          <w:color w:val="000000"/>
        </w:rPr>
        <w:t>anteriormente</w:t>
      </w:r>
      <w:r w:rsidRPr="00900C89">
        <w:rPr>
          <w:rFonts w:ascii="Palatino Linotype" w:eastAsia="Palatino Linotype" w:hAnsi="Palatino Linotype" w:cs="Palatino Linotype"/>
        </w:rPr>
        <w:t xml:space="preserve"> expuesto, este Órgano Garante considera </w:t>
      </w:r>
      <w:r w:rsidRPr="00900C89">
        <w:rPr>
          <w:rFonts w:ascii="Palatino Linotype" w:eastAsia="Palatino Linotype" w:hAnsi="Palatino Linotype" w:cs="Palatino Linotype"/>
          <w:b/>
          <w:bCs/>
        </w:rPr>
        <w:t>PARCIALMENTE</w:t>
      </w:r>
      <w:r w:rsidRPr="00900C89">
        <w:rPr>
          <w:rFonts w:ascii="Palatino Linotype" w:eastAsia="Palatino Linotype" w:hAnsi="Palatino Linotype" w:cs="Palatino Linotype"/>
        </w:rPr>
        <w:t xml:space="preserve"> </w:t>
      </w:r>
      <w:r w:rsidRPr="00900C89">
        <w:rPr>
          <w:rFonts w:ascii="Palatino Linotype" w:eastAsia="Palatino Linotype" w:hAnsi="Palatino Linotype" w:cs="Palatino Linotype"/>
          <w:b/>
          <w:bCs/>
        </w:rPr>
        <w:t>FUNDADAS</w:t>
      </w:r>
      <w:r w:rsidRPr="00900C89">
        <w:rPr>
          <w:rFonts w:ascii="Palatino Linotype" w:eastAsia="Palatino Linotype" w:hAnsi="Palatino Linotype" w:cs="Palatino Linotype"/>
        </w:rPr>
        <w:t xml:space="preserve"> las razones o motivos de inconformidad que plantea el</w:t>
      </w:r>
      <w:r w:rsidRPr="00900C89">
        <w:rPr>
          <w:rFonts w:ascii="Palatino Linotype" w:eastAsia="Palatino Linotype" w:hAnsi="Palatino Linotype" w:cs="Palatino Linotype"/>
          <w:b/>
          <w:bCs/>
        </w:rPr>
        <w:t xml:space="preserve"> RECURRENTE </w:t>
      </w:r>
      <w:r w:rsidRPr="00900C89">
        <w:rPr>
          <w:rFonts w:ascii="Palatino Linotype" w:eastAsia="Palatino Linotype" w:hAnsi="Palatino Linotype" w:cs="Palatino Linotype"/>
        </w:rPr>
        <w:t xml:space="preserve">en el Recurso de Revisión </w:t>
      </w:r>
      <w:r w:rsidRPr="00900C89">
        <w:rPr>
          <w:rFonts w:ascii="Palatino Linotype" w:eastAsia="Palatino Linotype" w:hAnsi="Palatino Linotype" w:cs="Palatino Linotype"/>
          <w:b/>
          <w:bCs/>
          <w:color w:val="000000"/>
        </w:rPr>
        <w:t>10098/INFOEM/IP/RR/2025</w:t>
      </w:r>
      <w:r w:rsidRPr="00900C89">
        <w:rPr>
          <w:rFonts w:ascii="Palatino Linotype" w:eastAsia="Palatino Linotype" w:hAnsi="Palatino Linotype" w:cs="Palatino Linotype"/>
        </w:rPr>
        <w:t xml:space="preserve">, determinando </w:t>
      </w:r>
      <w:r w:rsidRPr="00900C89">
        <w:rPr>
          <w:rFonts w:ascii="Palatino Linotype" w:eastAsia="Palatino Linotype" w:hAnsi="Palatino Linotype" w:cs="Palatino Linotype"/>
          <w:b/>
          <w:bCs/>
          <w:smallCaps/>
        </w:rPr>
        <w:t>MODIFICAR</w:t>
      </w:r>
      <w:r w:rsidRPr="00900C89">
        <w:rPr>
          <w:rFonts w:ascii="Palatino Linotype" w:eastAsia="Palatino Linotype" w:hAnsi="Palatino Linotype" w:cs="Palatino Linotype"/>
          <w:b/>
          <w:bCs/>
        </w:rPr>
        <w:t xml:space="preserve"> </w:t>
      </w:r>
      <w:r w:rsidRPr="00900C89">
        <w:rPr>
          <w:rFonts w:ascii="Palatino Linotype" w:eastAsia="Palatino Linotype" w:hAnsi="Palatino Linotype" w:cs="Palatino Linotype"/>
        </w:rPr>
        <w:t xml:space="preserve">la respuesta del </w:t>
      </w:r>
      <w:r w:rsidRPr="00900C89">
        <w:rPr>
          <w:rFonts w:ascii="Palatino Linotype" w:eastAsia="Palatino Linotype" w:hAnsi="Palatino Linotype" w:cs="Palatino Linotype"/>
          <w:b/>
          <w:bCs/>
        </w:rPr>
        <w:t>SUJETO OBLIGADO</w:t>
      </w:r>
      <w:r w:rsidRPr="00900C89">
        <w:rPr>
          <w:rFonts w:ascii="Palatino Linotype" w:eastAsia="Palatino Linotype" w:hAnsi="Palatino Linotype" w:cs="Palatino Linotype"/>
        </w:rPr>
        <w:t xml:space="preserve"> y se ordena la entrega, previa búsqueda exhaustiva y razonable, de ser procedente en versión pública,</w:t>
      </w:r>
      <w:r w:rsidRPr="00900C89">
        <w:rPr>
          <w:rFonts w:ascii="Palatino Linotype" w:eastAsia="Palatino Linotype" w:hAnsi="Palatino Linotype" w:cs="Palatino Linotype"/>
          <w:b/>
          <w:bCs/>
        </w:rPr>
        <w:t xml:space="preserve"> del documento en el que conste o se advierta, del servidor público referido en la solicitud de información, al 13 de agosto de 2025: el grado de estudios y las funciones.</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color w:val="000000"/>
        </w:rPr>
      </w:pPr>
      <w:r w:rsidRPr="00900C89">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sidRPr="00900C89">
        <w:rPr>
          <w:rFonts w:ascii="Palatino Linotype" w:eastAsia="Palatino Linotype" w:hAnsi="Palatino Linotype" w:cs="Palatino Linotype"/>
          <w:b/>
          <w:bCs/>
          <w:color w:val="000000"/>
        </w:rPr>
        <w:t>SUJETO OBLIGADO</w:t>
      </w:r>
      <w:r w:rsidRPr="00900C89">
        <w:rPr>
          <w:rFonts w:ascii="Palatino Linotype" w:eastAsia="Palatino Linotype" w:hAnsi="Palatino Linotype" w:cs="Palatino Linotype"/>
          <w:color w:val="000000"/>
        </w:rPr>
        <w:t xml:space="preserve"> deberá atender al siguiente Considerando.</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keepNext/>
        <w:keepLines/>
        <w:spacing w:after="160" w:line="360" w:lineRule="auto"/>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QUINTO. De la versión pública.</w:t>
      </w:r>
    </w:p>
    <w:p w:rsidR="00950AD6" w:rsidRPr="00900C89" w:rsidRDefault="00CE3B78">
      <w:pPr>
        <w:keepNext/>
        <w:keepLines/>
        <w:numPr>
          <w:ilvl w:val="0"/>
          <w:numId w:val="9"/>
        </w:numPr>
        <w:tabs>
          <w:tab w:val="left" w:pos="284"/>
        </w:tabs>
        <w:spacing w:after="160" w:line="360" w:lineRule="auto"/>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 xml:space="preserve">Nociones generales. </w:t>
      </w: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color w:val="000000"/>
        </w:rPr>
        <w:t>Debido</w:t>
      </w:r>
      <w:r w:rsidRPr="00900C89">
        <w:rPr>
          <w:rFonts w:ascii="Palatino Linotype" w:eastAsia="Palatino Linotype" w:hAnsi="Palatino Linotype" w:cs="Palatino Linotype"/>
        </w:rPr>
        <w:t xml:space="preserve"> a la información solicitada por el </w:t>
      </w:r>
      <w:r w:rsidRPr="00900C89">
        <w:rPr>
          <w:rFonts w:ascii="Palatino Linotype" w:eastAsia="Palatino Linotype" w:hAnsi="Palatino Linotype" w:cs="Palatino Linotype"/>
          <w:b/>
          <w:bCs/>
        </w:rPr>
        <w:t>RECURRENTE</w:t>
      </w:r>
      <w:r w:rsidRPr="00900C89">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900C89">
        <w:rPr>
          <w:rFonts w:ascii="Palatino Linotype" w:eastAsia="Palatino Linotype" w:hAnsi="Palatino Linotype" w:cs="Palatino Linotype"/>
          <w:b/>
          <w:bCs/>
        </w:rPr>
        <w:t xml:space="preserve">SUJETO OBLIGADO </w:t>
      </w:r>
      <w:r w:rsidRPr="00900C89">
        <w:rPr>
          <w:rFonts w:ascii="Palatino Linotype" w:eastAsia="Palatino Linotype" w:hAnsi="Palatino Linotype" w:cs="Palatino Linotype"/>
        </w:rPr>
        <w:t xml:space="preserve">deberá de hacer la adecuada versión pública, protegiendo los datos que no son susceptibles de ser proporcionados. </w:t>
      </w:r>
    </w:p>
    <w:p w:rsidR="00950AD6" w:rsidRPr="00900C89" w:rsidRDefault="00950AD6">
      <w:pPr>
        <w:tabs>
          <w:tab w:val="left" w:pos="0"/>
          <w:tab w:val="left" w:pos="284"/>
        </w:tabs>
        <w:spacing w:line="360" w:lineRule="auto"/>
        <w:ind w:right="49"/>
        <w:jc w:val="both"/>
        <w:rPr>
          <w:rFonts w:ascii="Palatino Linotype" w:eastAsia="Palatino Linotype" w:hAnsi="Palatino Linotype" w:cs="Palatino Linotype"/>
          <w:highlight w:val="yellow"/>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lastRenderedPageBreak/>
        <w:t>No pasa desapercibido para este Órgano Garante que los sujetos obligados</w:t>
      </w:r>
      <w:r w:rsidRPr="00900C89">
        <w:rPr>
          <w:rFonts w:ascii="Palatino Linotype" w:eastAsia="Palatino Linotype" w:hAnsi="Palatino Linotype" w:cs="Palatino Linotype"/>
          <w:b/>
          <w:bCs/>
          <w:color w:val="000000"/>
        </w:rPr>
        <w:t xml:space="preserve"> </w:t>
      </w:r>
      <w:r w:rsidRPr="00900C89">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50AD6" w:rsidRPr="00900C89" w:rsidRDefault="00950AD6">
      <w:pPr>
        <w:tabs>
          <w:tab w:val="left" w:pos="284"/>
        </w:tabs>
        <w:spacing w:after="160" w:line="360" w:lineRule="auto"/>
        <w:ind w:right="49"/>
        <w:jc w:val="both"/>
        <w:rPr>
          <w:rFonts w:ascii="Palatino Linotype" w:eastAsia="Palatino Linotype" w:hAnsi="Palatino Linotype" w:cs="Palatino Linotype"/>
          <w:color w:val="000000"/>
        </w:rPr>
      </w:pPr>
    </w:p>
    <w:tbl>
      <w:tblPr>
        <w:tblStyle w:val="ac"/>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950AD6" w:rsidRPr="00900C89" w:rsidTr="002B5F5B">
        <w:tc>
          <w:tcPr>
            <w:tcW w:w="2689" w:type="dxa"/>
          </w:tcPr>
          <w:p w:rsidR="00950AD6" w:rsidRPr="00900C89" w:rsidRDefault="00CE3B78">
            <w:pPr>
              <w:tabs>
                <w:tab w:val="left" w:pos="284"/>
              </w:tabs>
              <w:spacing w:line="360" w:lineRule="auto"/>
              <w:rPr>
                <w:rFonts w:ascii="Palatino Linotype" w:eastAsia="Palatino Linotype" w:hAnsi="Palatino Linotype" w:cs="Palatino Linotype"/>
                <w:b/>
                <w:bCs/>
              </w:rPr>
            </w:pPr>
            <w:r w:rsidRPr="00900C89">
              <w:rPr>
                <w:rFonts w:ascii="Palatino Linotype" w:eastAsia="Palatino Linotype" w:hAnsi="Palatino Linotype" w:cs="Palatino Linotype"/>
                <w:b/>
                <w:bCs/>
              </w:rPr>
              <w:t>a) Requisitos previos.</w:t>
            </w:r>
          </w:p>
        </w:tc>
        <w:tc>
          <w:tcPr>
            <w:tcW w:w="7229" w:type="dxa"/>
          </w:tcPr>
          <w:p w:rsidR="00950AD6" w:rsidRPr="00900C89" w:rsidRDefault="00CE3B78">
            <w:pPr>
              <w:tabs>
                <w:tab w:val="left" w:pos="284"/>
              </w:tabs>
              <w:spacing w:line="360" w:lineRule="auto"/>
              <w:ind w:right="49"/>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950AD6" w:rsidRPr="00900C89" w:rsidRDefault="00CE3B78">
            <w:pPr>
              <w:tabs>
                <w:tab w:val="left" w:pos="284"/>
              </w:tabs>
              <w:spacing w:line="360" w:lineRule="auto"/>
              <w:ind w:right="49"/>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Al hacerlo tienen que precisar de qué información se trata, señalando el supuesto de clasificación (confidencialidad o reserva).</w:t>
            </w:r>
          </w:p>
          <w:p w:rsidR="00950AD6" w:rsidRPr="00900C89" w:rsidRDefault="00CE3B78">
            <w:pPr>
              <w:tabs>
                <w:tab w:val="left" w:pos="284"/>
              </w:tabs>
              <w:spacing w:line="360" w:lineRule="auto"/>
              <w:ind w:right="49"/>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Además, se debe señalar el procedimiento, de los tres que establecen los artículos 132 y 106 de la Ley Estatal y General, respectivamente.</w:t>
            </w:r>
          </w:p>
          <w:p w:rsidR="00950AD6" w:rsidRPr="00900C89" w:rsidRDefault="00CE3B78">
            <w:pPr>
              <w:tabs>
                <w:tab w:val="left" w:pos="284"/>
              </w:tabs>
              <w:spacing w:line="360" w:lineRule="auto"/>
              <w:jc w:val="both"/>
              <w:rPr>
                <w:rFonts w:ascii="Palatino Linotype" w:eastAsia="Palatino Linotype" w:hAnsi="Palatino Linotype" w:cs="Palatino Linotype"/>
                <w:b/>
                <w:bCs/>
              </w:rPr>
            </w:pPr>
            <w:r w:rsidRPr="00900C89">
              <w:rPr>
                <w:rFonts w:ascii="Palatino Linotype" w:eastAsia="Palatino Linotype" w:hAnsi="Palatino Linotype" w:cs="Palatino Linotype"/>
                <w:b/>
                <w:bCs/>
                <w:color w:val="000000"/>
              </w:rPr>
              <w:t xml:space="preserve">El último de estos requisitos previos consiste en que no se pueden emitir acuerdos de carácter general ni particular, esto es, </w:t>
            </w:r>
            <w:r w:rsidRPr="00900C89">
              <w:rPr>
                <w:rFonts w:ascii="Palatino Linotype" w:eastAsia="Palatino Linotype" w:hAnsi="Palatino Linotype" w:cs="Palatino Linotype"/>
                <w:b/>
                <w:bCs/>
                <w:color w:val="000000"/>
                <w:u w:val="single"/>
              </w:rPr>
              <w:t>no se puede hacer un acuerdo para clasificar de manera general todos los documentos de un expediente o área, sin</w:t>
            </w:r>
            <w:r w:rsidRPr="00900C89">
              <w:rPr>
                <w:rFonts w:ascii="Palatino Linotype" w:eastAsia="Palatino Linotype" w:hAnsi="Palatino Linotype" w:cs="Palatino Linotype"/>
                <w:b/>
                <w:bCs/>
                <w:color w:val="000000"/>
              </w:rPr>
              <w:t xml:space="preserve"> individualizar su análisis y tampoco se puede hacer un acuerdo por cada dato </w:t>
            </w:r>
            <w:r w:rsidRPr="00900C89">
              <w:rPr>
                <w:rFonts w:ascii="Palatino Linotype" w:eastAsia="Palatino Linotype" w:hAnsi="Palatino Linotype" w:cs="Palatino Linotype"/>
                <w:b/>
                <w:bCs/>
                <w:color w:val="000000"/>
              </w:rPr>
              <w:lastRenderedPageBreak/>
              <w:t>que se vaya a clasificar dentro de un documento con diez datos, por ejemplo, susceptibles de ser clasificados.</w:t>
            </w:r>
          </w:p>
        </w:tc>
      </w:tr>
      <w:tr w:rsidR="00950AD6" w:rsidRPr="00900C89" w:rsidTr="002B5F5B">
        <w:tc>
          <w:tcPr>
            <w:tcW w:w="2689" w:type="dxa"/>
          </w:tcPr>
          <w:p w:rsidR="00950AD6" w:rsidRPr="00900C89" w:rsidRDefault="00CE3B78">
            <w:pPr>
              <w:tabs>
                <w:tab w:val="left" w:pos="284"/>
              </w:tabs>
              <w:spacing w:line="360" w:lineRule="auto"/>
              <w:rPr>
                <w:rFonts w:ascii="Palatino Linotype" w:eastAsia="Palatino Linotype" w:hAnsi="Palatino Linotype" w:cs="Palatino Linotype"/>
                <w:b/>
                <w:bCs/>
              </w:rPr>
            </w:pPr>
            <w:r w:rsidRPr="00900C89">
              <w:rPr>
                <w:rFonts w:ascii="Palatino Linotype" w:eastAsia="Palatino Linotype" w:hAnsi="Palatino Linotype" w:cs="Palatino Linotype"/>
                <w:b/>
                <w:bCs/>
              </w:rPr>
              <w:lastRenderedPageBreak/>
              <w:t>b) Supuestos de clasificación.</w:t>
            </w:r>
          </w:p>
        </w:tc>
        <w:tc>
          <w:tcPr>
            <w:tcW w:w="7229" w:type="dxa"/>
          </w:tcPr>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50AD6" w:rsidRPr="00900C89" w:rsidRDefault="00CE3B78">
            <w:pPr>
              <w:tabs>
                <w:tab w:val="left" w:pos="284"/>
              </w:tabs>
              <w:spacing w:line="360" w:lineRule="auto"/>
              <w:jc w:val="both"/>
              <w:rPr>
                <w:rFonts w:ascii="Palatino Linotype" w:eastAsia="Palatino Linotype" w:hAnsi="Palatino Linotype" w:cs="Palatino Linotype"/>
              </w:rPr>
            </w:pPr>
            <w:r w:rsidRPr="00900C89">
              <w:rPr>
                <w:rFonts w:ascii="Palatino Linotype" w:eastAsia="Palatino Linotype" w:hAnsi="Palatino Linotype" w:cs="Palatino Linotype"/>
                <w:color w:val="000000"/>
              </w:rPr>
              <w:t xml:space="preserve">El </w:t>
            </w:r>
            <w:r w:rsidRPr="00900C89">
              <w:rPr>
                <w:rFonts w:ascii="Palatino Linotype" w:eastAsia="Palatino Linotype" w:hAnsi="Palatino Linotype" w:cs="Palatino Linotype"/>
                <w:b/>
                <w:bCs/>
                <w:color w:val="000000"/>
              </w:rPr>
              <w:t>Sujeto Obligado</w:t>
            </w:r>
            <w:r w:rsidRPr="00900C8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50AD6" w:rsidRPr="00900C89" w:rsidTr="002B5F5B">
        <w:tc>
          <w:tcPr>
            <w:tcW w:w="2689" w:type="dxa"/>
          </w:tcPr>
          <w:p w:rsidR="00950AD6" w:rsidRPr="00900C89" w:rsidRDefault="00CE3B78">
            <w:pPr>
              <w:tabs>
                <w:tab w:val="left" w:pos="284"/>
              </w:tabs>
              <w:spacing w:line="360" w:lineRule="auto"/>
              <w:rPr>
                <w:rFonts w:ascii="Palatino Linotype" w:eastAsia="Palatino Linotype" w:hAnsi="Palatino Linotype" w:cs="Palatino Linotype"/>
                <w:b/>
                <w:bCs/>
              </w:rPr>
            </w:pPr>
            <w:r w:rsidRPr="00900C89">
              <w:rPr>
                <w:rFonts w:ascii="Palatino Linotype" w:eastAsia="Palatino Linotype" w:hAnsi="Palatino Linotype" w:cs="Palatino Linotype"/>
                <w:b/>
                <w:bCs/>
              </w:rPr>
              <w:t>c) Formalidades para emitir el acuerdo de clasificación.</w:t>
            </w:r>
          </w:p>
        </w:tc>
        <w:tc>
          <w:tcPr>
            <w:tcW w:w="7229" w:type="dxa"/>
          </w:tcPr>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lastRenderedPageBreak/>
              <w:t xml:space="preserve">Es necesario que </w:t>
            </w:r>
            <w:r w:rsidRPr="00900C89">
              <w:rPr>
                <w:rFonts w:ascii="Palatino Linotype" w:eastAsia="Palatino Linotype" w:hAnsi="Palatino Linotype" w:cs="Palatino Linotype"/>
                <w:b/>
                <w:bCs/>
                <w:color w:val="000000"/>
                <w:u w:val="single"/>
              </w:rPr>
              <w:t>el acto reúna con los requisitos elementales</w:t>
            </w:r>
            <w:r w:rsidRPr="00900C89">
              <w:rPr>
                <w:rFonts w:ascii="Palatino Linotype" w:eastAsia="Palatino Linotype" w:hAnsi="Palatino Linotype" w:cs="Palatino Linotype"/>
                <w:color w:val="000000"/>
              </w:rPr>
              <w:t>, entre ellos, que la autoridad que va a emitir el acto de autoridad sea la legalmente facultada para ello.</w:t>
            </w:r>
          </w:p>
          <w:p w:rsidR="00950AD6" w:rsidRPr="00900C89" w:rsidRDefault="00CE3B78">
            <w:pPr>
              <w:tabs>
                <w:tab w:val="left" w:pos="284"/>
              </w:tabs>
              <w:spacing w:line="360" w:lineRule="auto"/>
              <w:jc w:val="both"/>
              <w:rPr>
                <w:rFonts w:ascii="Palatino Linotype" w:eastAsia="Palatino Linotype" w:hAnsi="Palatino Linotype" w:cs="Palatino Linotype"/>
              </w:rPr>
            </w:pPr>
            <w:r w:rsidRPr="00900C89">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50AD6" w:rsidRPr="00900C89" w:rsidTr="002B5F5B">
        <w:tc>
          <w:tcPr>
            <w:tcW w:w="2689" w:type="dxa"/>
          </w:tcPr>
          <w:p w:rsidR="00950AD6" w:rsidRPr="00900C89" w:rsidRDefault="00950AD6">
            <w:pPr>
              <w:tabs>
                <w:tab w:val="left" w:pos="284"/>
              </w:tabs>
              <w:spacing w:line="360" w:lineRule="auto"/>
              <w:rPr>
                <w:rFonts w:ascii="Palatino Linotype" w:eastAsia="Palatino Linotype" w:hAnsi="Palatino Linotype" w:cs="Palatino Linotype"/>
                <w:b/>
                <w:bCs/>
              </w:rPr>
            </w:pPr>
          </w:p>
          <w:p w:rsidR="00950AD6" w:rsidRPr="00900C89" w:rsidRDefault="00CE3B78">
            <w:pPr>
              <w:tabs>
                <w:tab w:val="left" w:pos="284"/>
              </w:tabs>
              <w:spacing w:line="360" w:lineRule="auto"/>
              <w:jc w:val="both"/>
              <w:rPr>
                <w:rFonts w:ascii="Palatino Linotype" w:eastAsia="Palatino Linotype" w:hAnsi="Palatino Linotype" w:cs="Palatino Linotype"/>
                <w:b/>
                <w:bCs/>
              </w:rPr>
            </w:pPr>
            <w:r w:rsidRPr="00900C89">
              <w:rPr>
                <w:rFonts w:ascii="Palatino Linotype" w:eastAsia="Palatino Linotype" w:hAnsi="Palatino Linotype" w:cs="Palatino Linotype"/>
                <w:b/>
                <w:bCs/>
                <w:color w:val="000000"/>
              </w:rPr>
              <w:t xml:space="preserve">d) Requisitos de fondo del acuerdo de clasificación. </w:t>
            </w:r>
          </w:p>
        </w:tc>
        <w:tc>
          <w:tcPr>
            <w:tcW w:w="7229" w:type="dxa"/>
          </w:tcPr>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00C89">
              <w:rPr>
                <w:rFonts w:ascii="Palatino Linotype" w:eastAsia="Palatino Linotype" w:hAnsi="Palatino Linotype" w:cs="Palatino Linotype"/>
                <w:b/>
                <w:bCs/>
                <w:color w:val="000000"/>
              </w:rPr>
              <w:t>Sujetos Obligados</w:t>
            </w:r>
            <w:r w:rsidRPr="00900C89">
              <w:rPr>
                <w:rFonts w:ascii="Palatino Linotype" w:eastAsia="Palatino Linotype" w:hAnsi="Palatino Linotype" w:cs="Palatino Linotype"/>
                <w:color w:val="000000"/>
              </w:rPr>
              <w:t xml:space="preserve">, por lo que deberán fundar y motivar debidamente la clasificación. </w:t>
            </w:r>
          </w:p>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De lo anterior, se desprende que para una correcta </w:t>
            </w:r>
            <w:r w:rsidRPr="00900C89">
              <w:rPr>
                <w:rFonts w:ascii="Palatino Linotype" w:eastAsia="Palatino Linotype" w:hAnsi="Palatino Linotype" w:cs="Palatino Linotype"/>
                <w:b/>
                <w:bCs/>
                <w:color w:val="000000"/>
              </w:rPr>
              <w:t>clasificación total o parcial</w:t>
            </w:r>
            <w:r w:rsidRPr="00900C89">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900C89">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Ahora bien, </w:t>
            </w:r>
            <w:r w:rsidRPr="00900C89">
              <w:rPr>
                <w:rFonts w:ascii="Palatino Linotype" w:eastAsia="Palatino Linotype" w:hAnsi="Palatino Linotype" w:cs="Palatino Linotype"/>
                <w:b/>
                <w:bCs/>
                <w:color w:val="000000"/>
                <w:u w:val="single"/>
              </w:rPr>
              <w:t>para cada caso además de fundar y motivar</w:t>
            </w:r>
            <w:r w:rsidRPr="00900C89">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50AD6" w:rsidRPr="00900C89" w:rsidTr="002B5F5B">
        <w:tc>
          <w:tcPr>
            <w:tcW w:w="2689" w:type="dxa"/>
          </w:tcPr>
          <w:p w:rsidR="00950AD6" w:rsidRPr="00900C89" w:rsidRDefault="00CE3B78">
            <w:pPr>
              <w:tabs>
                <w:tab w:val="left" w:pos="284"/>
              </w:tabs>
              <w:spacing w:line="360" w:lineRule="auto"/>
              <w:ind w:right="49"/>
              <w:jc w:val="both"/>
              <w:rPr>
                <w:rFonts w:ascii="Palatino Linotype" w:eastAsia="Palatino Linotype" w:hAnsi="Palatino Linotype" w:cs="Palatino Linotype"/>
                <w:b/>
                <w:bCs/>
              </w:rPr>
            </w:pPr>
            <w:r w:rsidRPr="00900C89">
              <w:rPr>
                <w:rFonts w:ascii="Palatino Linotype" w:eastAsia="Palatino Linotype" w:hAnsi="Palatino Linotype" w:cs="Palatino Linotype"/>
                <w:b/>
                <w:bCs/>
              </w:rPr>
              <w:lastRenderedPageBreak/>
              <w:t xml:space="preserve">e) Condiciones especiales de la clasificación de la </w:t>
            </w:r>
            <w:r w:rsidRPr="00900C89">
              <w:rPr>
                <w:rFonts w:ascii="Palatino Linotype" w:eastAsia="Palatino Linotype" w:hAnsi="Palatino Linotype" w:cs="Palatino Linotype"/>
                <w:b/>
                <w:bCs/>
              </w:rPr>
              <w:lastRenderedPageBreak/>
              <w:t xml:space="preserve">información como confidencial. </w:t>
            </w:r>
          </w:p>
        </w:tc>
        <w:tc>
          <w:tcPr>
            <w:tcW w:w="7229" w:type="dxa"/>
          </w:tcPr>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respectivamente, </w:t>
            </w:r>
            <w:r w:rsidRPr="00900C89">
              <w:rPr>
                <w:rFonts w:ascii="Palatino Linotype" w:eastAsia="Palatino Linotype" w:hAnsi="Palatino Linotype" w:cs="Palatino Linotype"/>
                <w:color w:val="000000"/>
              </w:rPr>
              <w:lastRenderedPageBreak/>
              <w:t xml:space="preserve">establecen que aun tratándose de datos personales, se podrán proporcionar, incluso sin solicitar el consentimiento de su titular. </w:t>
            </w:r>
          </w:p>
          <w:p w:rsidR="00950AD6" w:rsidRPr="00900C89" w:rsidRDefault="00CE3B78">
            <w:pPr>
              <w:tabs>
                <w:tab w:val="left" w:pos="284"/>
              </w:tabs>
              <w:spacing w:line="360" w:lineRule="auto"/>
              <w:ind w:right="49"/>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50AD6" w:rsidRPr="00900C89" w:rsidRDefault="00CE3B78">
            <w:pPr>
              <w:tabs>
                <w:tab w:val="left" w:pos="284"/>
              </w:tabs>
              <w:spacing w:line="360" w:lineRule="auto"/>
              <w:rPr>
                <w:rFonts w:ascii="Palatino Linotype" w:eastAsia="Palatino Linotype" w:hAnsi="Palatino Linotype" w:cs="Palatino Linotype"/>
              </w:rPr>
            </w:pPr>
            <w:r w:rsidRPr="00900C8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50AD6" w:rsidRPr="00900C89" w:rsidRDefault="00950AD6">
      <w:pPr>
        <w:tabs>
          <w:tab w:val="left" w:pos="284"/>
        </w:tabs>
        <w:spacing w:line="360" w:lineRule="auto"/>
        <w:rPr>
          <w:rFonts w:ascii="Palatino Linotype" w:eastAsia="Palatino Linotype" w:hAnsi="Palatino Linotype" w:cs="Palatino Linotype"/>
          <w:color w:val="000000"/>
        </w:rPr>
      </w:pPr>
    </w:p>
    <w:p w:rsidR="00950AD6" w:rsidRPr="00900C89" w:rsidRDefault="00950AD6">
      <w:pPr>
        <w:rPr>
          <w:rFonts w:ascii="Palatino Linotype" w:eastAsia="Palatino Linotype" w:hAnsi="Palatino Linotype" w:cs="Palatino Linotype"/>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En ese </w:t>
      </w:r>
      <w:r w:rsidRPr="00900C89">
        <w:rPr>
          <w:rFonts w:ascii="Palatino Linotype" w:eastAsia="Palatino Linotype" w:hAnsi="Palatino Linotype" w:cs="Palatino Linotype"/>
          <w:color w:val="000000"/>
        </w:rPr>
        <w:t>sentido</w:t>
      </w:r>
      <w:r w:rsidRPr="00900C89">
        <w:rPr>
          <w:rFonts w:ascii="Palatino Linotype" w:eastAsia="Palatino Linotype" w:hAnsi="Palatino Linotype" w:cs="Palatino Linotype"/>
        </w:rPr>
        <w:t xml:space="preserve">, el </w:t>
      </w:r>
      <w:r w:rsidRPr="00900C89">
        <w:rPr>
          <w:rFonts w:ascii="Palatino Linotype" w:eastAsia="Palatino Linotype" w:hAnsi="Palatino Linotype" w:cs="Palatino Linotype"/>
          <w:b/>
          <w:bCs/>
        </w:rPr>
        <w:t>SUJETO OBLIGADO</w:t>
      </w:r>
      <w:r w:rsidRPr="00900C89">
        <w:rPr>
          <w:rFonts w:ascii="Palatino Linotype" w:eastAsia="Palatino Linotype" w:hAnsi="Palatino Linotype" w:cs="Palatino Linotype"/>
        </w:rPr>
        <w:t xml:space="preserve"> deberá de emitir el Acuerdo del Comité de Transparencia, </w:t>
      </w:r>
      <w:r w:rsidRPr="00900C89">
        <w:rPr>
          <w:rFonts w:ascii="Palatino Linotype" w:eastAsia="Palatino Linotype" w:hAnsi="Palatino Linotype" w:cs="Palatino Linotype"/>
          <w:color w:val="000000"/>
        </w:rPr>
        <w:t>mediante</w:t>
      </w:r>
      <w:r w:rsidRPr="00900C89">
        <w:rPr>
          <w:rFonts w:ascii="Palatino Linotype" w:eastAsia="Palatino Linotype" w:hAnsi="Palatino Linotype" w:cs="Palatino Linotype"/>
        </w:rPr>
        <w:t xml:space="preserve"> el cual de manera fundada y motivada establezca las razones que llevaron al Sujeto </w:t>
      </w:r>
      <w:r w:rsidRPr="00900C89">
        <w:rPr>
          <w:rFonts w:ascii="Palatino Linotype" w:eastAsia="Palatino Linotype" w:hAnsi="Palatino Linotype" w:cs="Palatino Linotype"/>
          <w:color w:val="000000"/>
        </w:rPr>
        <w:t>Obligado</w:t>
      </w:r>
      <w:r w:rsidRPr="00900C89">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950AD6" w:rsidRPr="00900C89" w:rsidRDefault="00950AD6">
      <w:pPr>
        <w:tabs>
          <w:tab w:val="left" w:pos="284"/>
        </w:tabs>
        <w:spacing w:line="360" w:lineRule="auto"/>
        <w:ind w:right="276"/>
        <w:jc w:val="both"/>
        <w:rPr>
          <w:rFonts w:ascii="Palatino Linotype" w:eastAsia="Palatino Linotype" w:hAnsi="Palatino Linotype" w:cs="Palatino Linotype"/>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rPr>
        <w:t xml:space="preserve">Derivado de lo establecido en párrafos anteriores, si el </w:t>
      </w:r>
      <w:r w:rsidRPr="00900C89">
        <w:rPr>
          <w:rFonts w:ascii="Palatino Linotype" w:eastAsia="Palatino Linotype" w:hAnsi="Palatino Linotype" w:cs="Palatino Linotype"/>
          <w:b/>
          <w:bCs/>
        </w:rPr>
        <w:t>SUJETO OBLIGADO</w:t>
      </w:r>
      <w:r w:rsidRPr="00900C89">
        <w:rPr>
          <w:rFonts w:ascii="Palatino Linotype" w:eastAsia="Palatino Linotype" w:hAnsi="Palatino Linotype" w:cs="Palatino Linotype"/>
        </w:rPr>
        <w:t xml:space="preserve"> incumple con estas formalidades y entrega la información sin proteger los datos personales </w:t>
      </w:r>
      <w:r w:rsidRPr="00900C89">
        <w:rPr>
          <w:rFonts w:ascii="Palatino Linotype" w:eastAsia="Palatino Linotype" w:hAnsi="Palatino Linotype" w:cs="Palatino Linotype"/>
        </w:rPr>
        <w:lastRenderedPageBreak/>
        <w:t xml:space="preserve">o testando </w:t>
      </w:r>
      <w:r w:rsidRPr="00900C89">
        <w:rPr>
          <w:rFonts w:ascii="Palatino Linotype" w:eastAsia="Palatino Linotype" w:hAnsi="Palatino Linotype" w:cs="Palatino Linotype"/>
          <w:color w:val="000000"/>
        </w:rPr>
        <w:t>datos</w:t>
      </w:r>
      <w:r w:rsidRPr="00900C89">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950AD6" w:rsidRPr="00900C89" w:rsidRDefault="00950AD6">
      <w:pPr>
        <w:spacing w:line="360" w:lineRule="auto"/>
        <w:jc w:val="both"/>
        <w:rPr>
          <w:color w:val="000000"/>
        </w:rPr>
      </w:pPr>
    </w:p>
    <w:p w:rsidR="00950AD6" w:rsidRPr="00900C89" w:rsidRDefault="00CE3B78">
      <w:pPr>
        <w:numPr>
          <w:ilvl w:val="0"/>
          <w:numId w:val="1"/>
        </w:numPr>
        <w:spacing w:line="360" w:lineRule="auto"/>
        <w:ind w:left="0" w:right="-787" w:firstLine="0"/>
        <w:jc w:val="both"/>
        <w:rPr>
          <w:rFonts w:ascii="Palatino Linotype" w:eastAsia="Palatino Linotype" w:hAnsi="Palatino Linotype" w:cs="Palatino Linotype"/>
        </w:rPr>
      </w:pPr>
      <w:r w:rsidRPr="00900C89">
        <w:rPr>
          <w:rFonts w:ascii="Palatino Linotype" w:eastAsia="Palatino Linotype" w:hAnsi="Palatino Linotype" w:cs="Palatino Linotype"/>
        </w:rPr>
        <w:t xml:space="preserve">Por lo </w:t>
      </w:r>
      <w:r w:rsidRPr="00900C89">
        <w:rPr>
          <w:rFonts w:ascii="Palatino Linotype" w:eastAsia="Palatino Linotype" w:hAnsi="Palatino Linotype" w:cs="Palatino Linotype"/>
          <w:color w:val="000000"/>
        </w:rPr>
        <w:t>expuesto</w:t>
      </w:r>
      <w:r w:rsidRPr="00900C89">
        <w:rPr>
          <w:rFonts w:ascii="Palatino Linotype" w:eastAsia="Palatino Linotype" w:hAnsi="Palatino Linotype" w:cs="Palatino Linotype"/>
        </w:rPr>
        <w:t xml:space="preserve">, y con fundamento en lo prescrito en los artículos </w:t>
      </w:r>
      <w:r w:rsidRPr="00900C89">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900C89">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950AD6" w:rsidRPr="00900C89" w:rsidRDefault="00950AD6">
      <w:pPr>
        <w:ind w:right="278"/>
        <w:rPr>
          <w:rFonts w:ascii="Palatino Linotype" w:eastAsia="Palatino Linotype" w:hAnsi="Palatino Linotype" w:cs="Palatino Linotype"/>
        </w:rPr>
      </w:pPr>
    </w:p>
    <w:p w:rsidR="00950AD6" w:rsidRPr="00900C89" w:rsidRDefault="00CE3B78">
      <w:pPr>
        <w:spacing w:line="360" w:lineRule="auto"/>
        <w:ind w:right="-858"/>
        <w:jc w:val="center"/>
        <w:rPr>
          <w:rFonts w:ascii="Palatino Linotype" w:eastAsia="Palatino Linotype" w:hAnsi="Palatino Linotype" w:cs="Palatino Linotype"/>
          <w:b/>
          <w:bCs/>
        </w:rPr>
      </w:pPr>
      <w:r w:rsidRPr="00900C89">
        <w:rPr>
          <w:rFonts w:ascii="Palatino Linotype" w:eastAsia="Palatino Linotype" w:hAnsi="Palatino Linotype" w:cs="Palatino Linotype"/>
          <w:b/>
          <w:bCs/>
        </w:rPr>
        <w:t>R E S U E L V E</w:t>
      </w:r>
    </w:p>
    <w:p w:rsidR="00950AD6" w:rsidRPr="00900C89" w:rsidRDefault="00950AD6">
      <w:pPr>
        <w:spacing w:line="360" w:lineRule="auto"/>
        <w:ind w:right="-787"/>
        <w:jc w:val="center"/>
        <w:rPr>
          <w:rFonts w:ascii="Palatino Linotype" w:eastAsia="Palatino Linotype" w:hAnsi="Palatino Linotype" w:cs="Palatino Linotype"/>
          <w:b/>
          <w:bCs/>
        </w:rPr>
      </w:pPr>
    </w:p>
    <w:p w:rsidR="00950AD6" w:rsidRPr="00900C89" w:rsidRDefault="00CE3B78">
      <w:pPr>
        <w:spacing w:line="360" w:lineRule="auto"/>
        <w:ind w:right="-787"/>
        <w:jc w:val="both"/>
        <w:rPr>
          <w:rFonts w:ascii="Palatino Linotype" w:eastAsia="Palatino Linotype" w:hAnsi="Palatino Linotype" w:cs="Palatino Linotype"/>
          <w:b/>
          <w:bCs/>
        </w:rPr>
      </w:pPr>
      <w:r w:rsidRPr="00900C89">
        <w:rPr>
          <w:rFonts w:ascii="Palatino Linotype" w:eastAsia="Palatino Linotype" w:hAnsi="Palatino Linotype" w:cs="Palatino Linotype"/>
          <w:b/>
          <w:bCs/>
        </w:rPr>
        <w:t>PRIMERO</w:t>
      </w:r>
      <w:r w:rsidRPr="00900C89">
        <w:rPr>
          <w:rFonts w:ascii="Palatino Linotype" w:eastAsia="Palatino Linotype" w:hAnsi="Palatino Linotype" w:cs="Palatino Linotype"/>
        </w:rPr>
        <w:t xml:space="preserve">. Resultan </w:t>
      </w:r>
      <w:r w:rsidRPr="00900C89">
        <w:rPr>
          <w:rFonts w:ascii="Palatino Linotype" w:eastAsia="Palatino Linotype" w:hAnsi="Palatino Linotype" w:cs="Palatino Linotype"/>
          <w:b/>
          <w:bCs/>
        </w:rPr>
        <w:t>PARCIALMENTE</w:t>
      </w:r>
      <w:r w:rsidRPr="00900C89">
        <w:rPr>
          <w:rFonts w:ascii="Palatino Linotype" w:eastAsia="Palatino Linotype" w:hAnsi="Palatino Linotype" w:cs="Palatino Linotype"/>
        </w:rPr>
        <w:t xml:space="preserve"> </w:t>
      </w:r>
      <w:r w:rsidRPr="00900C89">
        <w:rPr>
          <w:rFonts w:ascii="Palatino Linotype" w:eastAsia="Palatino Linotype" w:hAnsi="Palatino Linotype" w:cs="Palatino Linotype"/>
          <w:b/>
          <w:bCs/>
        </w:rPr>
        <w:t>FUNDADAS</w:t>
      </w:r>
      <w:r w:rsidRPr="00900C89">
        <w:rPr>
          <w:rFonts w:ascii="Palatino Linotype" w:eastAsia="Palatino Linotype" w:hAnsi="Palatino Linotype" w:cs="Palatino Linotype"/>
        </w:rPr>
        <w:t xml:space="preserve"> las razones o motivos de inconformidad hechos valer en el recurso de revisión </w:t>
      </w:r>
      <w:r w:rsidRPr="00900C89">
        <w:rPr>
          <w:rFonts w:ascii="Palatino Linotype" w:eastAsia="Palatino Linotype" w:hAnsi="Palatino Linotype" w:cs="Palatino Linotype"/>
          <w:b/>
          <w:bCs/>
          <w:color w:val="000000"/>
        </w:rPr>
        <w:t>10098/INFOEM/IP/RR/2025</w:t>
      </w:r>
      <w:r w:rsidRPr="00900C89">
        <w:rPr>
          <w:rFonts w:ascii="Palatino Linotype" w:eastAsia="Palatino Linotype" w:hAnsi="Palatino Linotype" w:cs="Palatino Linotype"/>
        </w:rPr>
        <w:t>,</w:t>
      </w:r>
      <w:r w:rsidRPr="00900C89">
        <w:rPr>
          <w:rFonts w:ascii="Palatino Linotype" w:eastAsia="Palatino Linotype" w:hAnsi="Palatino Linotype" w:cs="Palatino Linotype"/>
          <w:b/>
          <w:bCs/>
        </w:rPr>
        <w:t xml:space="preserve"> </w:t>
      </w:r>
      <w:r w:rsidRPr="00900C89">
        <w:rPr>
          <w:rFonts w:ascii="Palatino Linotype" w:eastAsia="Palatino Linotype" w:hAnsi="Palatino Linotype" w:cs="Palatino Linotype"/>
        </w:rPr>
        <w:t xml:space="preserve">en términos del </w:t>
      </w:r>
      <w:r w:rsidRPr="00900C89">
        <w:rPr>
          <w:rFonts w:ascii="Palatino Linotype" w:eastAsia="Palatino Linotype" w:hAnsi="Palatino Linotype" w:cs="Palatino Linotype"/>
          <w:b/>
          <w:bCs/>
        </w:rPr>
        <w:t xml:space="preserve">Considerando CUARTO </w:t>
      </w:r>
      <w:r w:rsidRPr="00900C89">
        <w:rPr>
          <w:rFonts w:ascii="Palatino Linotype" w:eastAsia="Palatino Linotype" w:hAnsi="Palatino Linotype" w:cs="Palatino Linotype"/>
        </w:rPr>
        <w:t>de la presente resolución</w:t>
      </w:r>
      <w:r w:rsidRPr="00900C89">
        <w:rPr>
          <w:rFonts w:ascii="Palatino Linotype" w:eastAsia="Palatino Linotype" w:hAnsi="Palatino Linotype" w:cs="Palatino Linotype"/>
          <w:b/>
          <w:bCs/>
        </w:rPr>
        <w:t>.</w:t>
      </w:r>
    </w:p>
    <w:p w:rsidR="00950AD6" w:rsidRPr="00900C89" w:rsidRDefault="00950AD6">
      <w:pPr>
        <w:spacing w:line="360" w:lineRule="auto"/>
        <w:ind w:right="276"/>
        <w:jc w:val="both"/>
        <w:rPr>
          <w:rFonts w:ascii="Palatino Linotype" w:eastAsia="Palatino Linotype" w:hAnsi="Palatino Linotype" w:cs="Palatino Linotype"/>
          <w:b/>
          <w:bCs/>
        </w:rPr>
      </w:pPr>
    </w:p>
    <w:p w:rsidR="00950AD6" w:rsidRPr="00900C89" w:rsidRDefault="00CE3B78">
      <w:pPr>
        <w:spacing w:line="360" w:lineRule="auto"/>
        <w:ind w:right="-787"/>
        <w:jc w:val="both"/>
        <w:rPr>
          <w:rFonts w:ascii="Palatino Linotype" w:eastAsia="Palatino Linotype" w:hAnsi="Palatino Linotype" w:cs="Palatino Linotype"/>
        </w:rPr>
      </w:pPr>
      <w:bookmarkStart w:id="8" w:name="_heading=h.1ksv4uv" w:colFirst="0" w:colLast="0"/>
      <w:bookmarkEnd w:id="8"/>
      <w:r w:rsidRPr="00900C89">
        <w:rPr>
          <w:rFonts w:ascii="Palatino Linotype" w:eastAsia="Palatino Linotype" w:hAnsi="Palatino Linotype" w:cs="Palatino Linotype"/>
          <w:b/>
          <w:bCs/>
        </w:rPr>
        <w:t>SEGUNDO.</w:t>
      </w:r>
      <w:r w:rsidRPr="00900C89">
        <w:rPr>
          <w:rFonts w:ascii="Palatino Linotype" w:eastAsia="Palatino Linotype" w:hAnsi="Palatino Linotype" w:cs="Palatino Linotype"/>
          <w:color w:val="2F5496"/>
        </w:rPr>
        <w:t xml:space="preserve"> </w:t>
      </w:r>
      <w:r w:rsidRPr="00900C89">
        <w:rPr>
          <w:rFonts w:ascii="Palatino Linotype" w:eastAsia="Palatino Linotype" w:hAnsi="Palatino Linotype" w:cs="Palatino Linotype"/>
          <w:color w:val="000000"/>
        </w:rPr>
        <w:t xml:space="preserve">Se </w:t>
      </w:r>
      <w:r w:rsidRPr="00900C89">
        <w:rPr>
          <w:rFonts w:ascii="Palatino Linotype" w:eastAsia="Palatino Linotype" w:hAnsi="Palatino Linotype" w:cs="Palatino Linotype"/>
          <w:b/>
          <w:bCs/>
          <w:color w:val="000000"/>
        </w:rPr>
        <w:t xml:space="preserve">MODIFICA </w:t>
      </w:r>
      <w:r w:rsidRPr="00900C89">
        <w:rPr>
          <w:rFonts w:ascii="Palatino Linotype" w:eastAsia="Palatino Linotype" w:hAnsi="Palatino Linotype" w:cs="Palatino Linotype"/>
          <w:color w:val="000000"/>
        </w:rPr>
        <w:t xml:space="preserve">la respuesta emitida por el </w:t>
      </w:r>
      <w:r w:rsidRPr="00900C89">
        <w:rPr>
          <w:rFonts w:ascii="Palatino Linotype" w:eastAsia="Palatino Linotype" w:hAnsi="Palatino Linotype" w:cs="Palatino Linotype"/>
          <w:b/>
          <w:bCs/>
        </w:rPr>
        <w:t xml:space="preserve">Ayuntamiento de Calimaya </w:t>
      </w:r>
      <w:r w:rsidRPr="00900C89">
        <w:rPr>
          <w:rFonts w:ascii="Palatino Linotype" w:eastAsia="Palatino Linotype" w:hAnsi="Palatino Linotype" w:cs="Palatino Linotype"/>
          <w:color w:val="000000"/>
        </w:rPr>
        <w:t xml:space="preserve">y se </w:t>
      </w:r>
      <w:r w:rsidRPr="00900C89">
        <w:rPr>
          <w:rFonts w:ascii="Palatino Linotype" w:eastAsia="Palatino Linotype" w:hAnsi="Palatino Linotype" w:cs="Palatino Linotype"/>
          <w:b/>
          <w:bCs/>
          <w:color w:val="000000"/>
        </w:rPr>
        <w:t>ORDENA</w:t>
      </w:r>
      <w:r w:rsidRPr="00900C89">
        <w:rPr>
          <w:rFonts w:ascii="Palatino Linotype" w:eastAsia="Palatino Linotype" w:hAnsi="Palatino Linotype" w:cs="Palatino Linotype"/>
          <w:color w:val="000000"/>
        </w:rPr>
        <w:t xml:space="preserve"> entregar, vía Sistema de Acceso a la Información Mexiquense </w:t>
      </w:r>
      <w:r w:rsidRPr="00900C89">
        <w:rPr>
          <w:rFonts w:ascii="Palatino Linotype" w:eastAsia="Palatino Linotype" w:hAnsi="Palatino Linotype" w:cs="Palatino Linotype"/>
          <w:b/>
          <w:bCs/>
          <w:color w:val="000000"/>
        </w:rPr>
        <w:t>(SAIMEX),</w:t>
      </w:r>
      <w:r w:rsidRPr="00900C89">
        <w:rPr>
          <w:rFonts w:ascii="Palatino Linotype" w:eastAsia="Palatino Linotype" w:hAnsi="Palatino Linotype" w:cs="Palatino Linotype"/>
        </w:rPr>
        <w:t xml:space="preserve"> previa búsqueda exhaustiva y razonable, de ser procedente en versión pública, la siguiente información:</w:t>
      </w:r>
    </w:p>
    <w:p w:rsidR="00950AD6" w:rsidRPr="00900C89" w:rsidRDefault="00950AD6">
      <w:pPr>
        <w:spacing w:line="360" w:lineRule="auto"/>
        <w:ind w:right="-787"/>
        <w:jc w:val="both"/>
        <w:rPr>
          <w:rFonts w:ascii="Palatino Linotype" w:eastAsia="Palatino Linotype" w:hAnsi="Palatino Linotype" w:cs="Palatino Linotype"/>
        </w:rPr>
      </w:pPr>
    </w:p>
    <w:p w:rsidR="00950AD6" w:rsidRPr="00900C89" w:rsidRDefault="00CE3B78">
      <w:pPr>
        <w:numPr>
          <w:ilvl w:val="0"/>
          <w:numId w:val="3"/>
        </w:num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 xml:space="preserve">Del servidor público referido en la solicitud de información, al 13 de agosto de 2025: </w:t>
      </w:r>
    </w:p>
    <w:p w:rsidR="00950AD6" w:rsidRPr="00900C89" w:rsidRDefault="00CE3B78">
      <w:pPr>
        <w:numPr>
          <w:ilvl w:val="1"/>
          <w:numId w:val="3"/>
        </w:num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t>Comprobante de grado de estudios.</w:t>
      </w:r>
    </w:p>
    <w:p w:rsidR="00950AD6" w:rsidRPr="00900C89" w:rsidRDefault="00CE3B78">
      <w:pPr>
        <w:numPr>
          <w:ilvl w:val="1"/>
          <w:numId w:val="3"/>
        </w:num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b/>
          <w:bCs/>
          <w:color w:val="000000"/>
        </w:rPr>
        <w:lastRenderedPageBreak/>
        <w:t>Documento en el que conste o se adviertan las funciones que desempeña.</w:t>
      </w:r>
    </w:p>
    <w:p w:rsidR="00950AD6" w:rsidRPr="00900C89" w:rsidRDefault="00950AD6">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p>
    <w:p w:rsidR="00950AD6" w:rsidRPr="00900C89" w:rsidRDefault="00CE3B78">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900C89">
        <w:rPr>
          <w:rFonts w:ascii="Palatino Linotype" w:eastAsia="Palatino Linotype" w:hAnsi="Palatino Linotype" w:cs="Palatino Linotype"/>
          <w:b/>
          <w:bCs/>
          <w:color w:val="000000"/>
        </w:rPr>
        <w:t>RECURRENTE.</w:t>
      </w:r>
    </w:p>
    <w:p w:rsidR="00950AD6" w:rsidRPr="00900C89" w:rsidRDefault="00950AD6">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bCs/>
          <w:color w:val="000000"/>
        </w:rPr>
      </w:pPr>
    </w:p>
    <w:p w:rsidR="00950AD6" w:rsidRPr="00900C89" w:rsidRDefault="00CE3B78">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bCs/>
          <w:color w:val="000000"/>
        </w:rPr>
      </w:pPr>
      <w:r w:rsidRPr="00900C89">
        <w:rPr>
          <w:rFonts w:ascii="Palatino Linotype" w:eastAsia="Palatino Linotype" w:hAnsi="Palatino Linotype" w:cs="Palatino Linotype"/>
        </w:rPr>
        <w:t xml:space="preserve">Para el caso de que el </w:t>
      </w:r>
      <w:r w:rsidRPr="00900C89">
        <w:rPr>
          <w:rFonts w:ascii="Palatino Linotype" w:eastAsia="Palatino Linotype" w:hAnsi="Palatino Linotype" w:cs="Palatino Linotype"/>
          <w:b/>
          <w:bCs/>
        </w:rPr>
        <w:t>SUJETO OBLIGADO</w:t>
      </w:r>
      <w:r w:rsidRPr="00900C89">
        <w:rPr>
          <w:rFonts w:ascii="Palatino Linotype" w:eastAsia="Palatino Linotype" w:hAnsi="Palatino Linotype" w:cs="Palatino Linotype"/>
        </w:rPr>
        <w:t>, luego de la búsqueda exhaustiva y razonable no cuente con la información ordenada en el inciso 1),</w:t>
      </w:r>
      <w:r w:rsidRPr="00900C89">
        <w:rPr>
          <w:rFonts w:ascii="Palatino Linotype" w:eastAsia="Palatino Linotype" w:hAnsi="Palatino Linotype" w:cs="Palatino Linotype"/>
          <w:color w:val="000000"/>
        </w:rPr>
        <w:t xml:space="preserve"> </w:t>
      </w:r>
      <w:r w:rsidRPr="00900C89">
        <w:rPr>
          <w:rFonts w:ascii="Palatino Linotype" w:eastAsia="Palatino Linotype" w:hAnsi="Palatino Linotype" w:cs="Palatino Linotype"/>
        </w:rPr>
        <w:t>por no ser una obligación normativa</w:t>
      </w:r>
      <w:r w:rsidRPr="00900C89">
        <w:rPr>
          <w:rFonts w:ascii="Palatino Linotype" w:eastAsia="Palatino Linotype" w:hAnsi="Palatino Linotype" w:cs="Palatino Linotype"/>
          <w:color w:val="000000"/>
        </w:rPr>
        <w:t xml:space="preserve">, </w:t>
      </w:r>
      <w:r w:rsidRPr="00900C89">
        <w:rPr>
          <w:rFonts w:ascii="Palatino Linotype" w:eastAsia="Palatino Linotype" w:hAnsi="Palatino Linotype" w:cs="Palatino Linotype"/>
        </w:rPr>
        <w:t>bastará que lo haga del conocimiento del RECURRENTE al momento de dar cumplimiento a la presente Resolución, en términos del artículo 19, párrafo segundo, de la Ley de Transparencia y Acceso a la Información Pública del Estado de México y Municipios</w:t>
      </w:r>
    </w:p>
    <w:p w:rsidR="00950AD6" w:rsidRPr="00900C89" w:rsidRDefault="00950AD6">
      <w:pPr>
        <w:spacing w:line="360" w:lineRule="auto"/>
        <w:jc w:val="both"/>
        <w:rPr>
          <w:rFonts w:ascii="Palatino Linotype" w:eastAsia="Palatino Linotype" w:hAnsi="Palatino Linotype" w:cs="Palatino Linotype"/>
          <w:b/>
          <w:bCs/>
        </w:rPr>
      </w:pPr>
    </w:p>
    <w:p w:rsidR="00950AD6" w:rsidRPr="00900C89" w:rsidRDefault="00CE3B78">
      <w:pPr>
        <w:spacing w:line="360" w:lineRule="auto"/>
        <w:ind w:right="-787"/>
        <w:jc w:val="both"/>
        <w:rPr>
          <w:rFonts w:ascii="Palatino Linotype" w:eastAsia="Palatino Linotype" w:hAnsi="Palatino Linotype" w:cs="Palatino Linotype"/>
          <w:color w:val="000000"/>
          <w:highlight w:val="white"/>
        </w:rPr>
      </w:pPr>
      <w:r w:rsidRPr="00900C89">
        <w:rPr>
          <w:rFonts w:ascii="Palatino Linotype" w:eastAsia="Palatino Linotype" w:hAnsi="Palatino Linotype" w:cs="Palatino Linotype"/>
          <w:b/>
          <w:bCs/>
        </w:rPr>
        <w:t xml:space="preserve">TERCERO. </w:t>
      </w:r>
      <w:r w:rsidRPr="00900C89">
        <w:rPr>
          <w:rFonts w:ascii="Palatino Linotype" w:eastAsia="Palatino Linotype" w:hAnsi="Palatino Linotype" w:cs="Palatino Linotype"/>
          <w:b/>
          <w:bCs/>
          <w:color w:val="222222"/>
        </w:rPr>
        <w:t>NOTIFÍQUESE</w:t>
      </w:r>
      <w:r w:rsidRPr="00900C89">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900C89">
        <w:rPr>
          <w:rFonts w:ascii="Palatino Linotype" w:eastAsia="Palatino Linotype" w:hAnsi="Palatino Linotype" w:cs="Palatino Linotype"/>
          <w:b/>
          <w:bCs/>
          <w:color w:val="222222"/>
        </w:rPr>
        <w:t xml:space="preserve">dé cumplimiento a lo ordenado dentro del plazo </w:t>
      </w:r>
      <w:r w:rsidRPr="00900C89">
        <w:rPr>
          <w:rFonts w:ascii="Palatino Linotype" w:eastAsia="Palatino Linotype" w:hAnsi="Palatino Linotype" w:cs="Palatino Linotype"/>
        </w:rPr>
        <w:t>de</w:t>
      </w:r>
      <w:r w:rsidRPr="00900C89">
        <w:rPr>
          <w:rFonts w:ascii="Palatino Linotype" w:eastAsia="Palatino Linotype" w:hAnsi="Palatino Linotype" w:cs="Palatino Linotype"/>
          <w:b/>
          <w:bCs/>
          <w:color w:val="222222"/>
        </w:rPr>
        <w:t xml:space="preserve"> diez días hábiles, </w:t>
      </w:r>
      <w:r w:rsidRPr="00900C89">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w:t>
      </w:r>
      <w:r w:rsidRPr="00900C89">
        <w:rPr>
          <w:rFonts w:ascii="Palatino Linotype" w:eastAsia="Palatino Linotype" w:hAnsi="Palatino Linotype" w:cs="Palatino Linotype"/>
          <w:color w:val="222222"/>
        </w:rPr>
        <w:lastRenderedPageBreak/>
        <w:t>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50AD6" w:rsidRPr="00900C89" w:rsidRDefault="00950AD6">
      <w:pPr>
        <w:spacing w:line="360" w:lineRule="auto"/>
        <w:jc w:val="both"/>
        <w:rPr>
          <w:rFonts w:ascii="Palatino Linotype" w:eastAsia="Palatino Linotype" w:hAnsi="Palatino Linotype" w:cs="Palatino Linotype"/>
        </w:rPr>
      </w:pPr>
    </w:p>
    <w:p w:rsidR="00950AD6" w:rsidRPr="00900C89" w:rsidRDefault="00CE3B78">
      <w:pPr>
        <w:spacing w:line="360" w:lineRule="auto"/>
        <w:ind w:right="-787"/>
        <w:jc w:val="both"/>
        <w:rPr>
          <w:rFonts w:ascii="Palatino Linotype" w:eastAsia="Palatino Linotype" w:hAnsi="Palatino Linotype" w:cs="Palatino Linotype"/>
        </w:rPr>
      </w:pPr>
      <w:bookmarkStart w:id="9" w:name="_heading=h.3rdcrjn" w:colFirst="0" w:colLast="0"/>
      <w:bookmarkEnd w:id="9"/>
      <w:r w:rsidRPr="00900C89">
        <w:rPr>
          <w:rFonts w:ascii="Palatino Linotype" w:eastAsia="Palatino Linotype" w:hAnsi="Palatino Linotype" w:cs="Palatino Linotype"/>
          <w:b/>
          <w:bCs/>
        </w:rPr>
        <w:t xml:space="preserve">CUARTO. </w:t>
      </w:r>
      <w:r w:rsidRPr="00900C8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900C89">
        <w:rPr>
          <w:rFonts w:ascii="Palatino Linotype" w:eastAsia="Palatino Linotype" w:hAnsi="Palatino Linotype" w:cs="Palatino Linotype"/>
          <w:b/>
          <w:bCs/>
        </w:rPr>
        <w:t>SUJETO OBLIGADO</w:t>
      </w:r>
      <w:r w:rsidRPr="00900C89">
        <w:rPr>
          <w:rFonts w:ascii="Palatino Linotype" w:eastAsia="Palatino Linotype" w:hAnsi="Palatino Linotype" w:cs="Palatino Linotype"/>
        </w:rPr>
        <w:t xml:space="preserve"> de manera fundada y motivada, podrá solicitar una ampliación de plazo para el cumplimiento de la presente resolución.</w:t>
      </w:r>
    </w:p>
    <w:p w:rsidR="00950AD6" w:rsidRPr="00900C89" w:rsidRDefault="00950AD6">
      <w:pPr>
        <w:spacing w:line="360" w:lineRule="auto"/>
        <w:ind w:right="276"/>
        <w:jc w:val="both"/>
        <w:rPr>
          <w:rFonts w:ascii="Palatino Linotype" w:eastAsia="Palatino Linotype" w:hAnsi="Palatino Linotype" w:cs="Palatino Linotype"/>
        </w:rPr>
      </w:pPr>
    </w:p>
    <w:p w:rsidR="00950AD6" w:rsidRPr="00900C89" w:rsidRDefault="00CE3B78">
      <w:pPr>
        <w:spacing w:line="360" w:lineRule="auto"/>
        <w:ind w:right="-787"/>
        <w:jc w:val="both"/>
        <w:rPr>
          <w:rFonts w:ascii="Palatino Linotype" w:eastAsia="Palatino Linotype" w:hAnsi="Palatino Linotype" w:cs="Palatino Linotype"/>
        </w:rPr>
      </w:pPr>
      <w:r w:rsidRPr="00900C89">
        <w:rPr>
          <w:rFonts w:ascii="Palatino Linotype" w:eastAsia="Palatino Linotype" w:hAnsi="Palatino Linotype" w:cs="Palatino Linotype"/>
          <w:b/>
          <w:bCs/>
        </w:rPr>
        <w:t xml:space="preserve">QUINTO. </w:t>
      </w:r>
      <w:r w:rsidRPr="00900C89">
        <w:rPr>
          <w:rFonts w:ascii="Palatino Linotype" w:eastAsia="Palatino Linotype" w:hAnsi="Palatino Linotype" w:cs="Palatino Linotype"/>
        </w:rPr>
        <w:t>Notifíquese</w:t>
      </w:r>
      <w:r w:rsidRPr="00900C89">
        <w:rPr>
          <w:rFonts w:ascii="Palatino Linotype" w:eastAsia="Palatino Linotype" w:hAnsi="Palatino Linotype" w:cs="Palatino Linotype"/>
          <w:b/>
          <w:bCs/>
          <w:color w:val="222222"/>
        </w:rPr>
        <w:t xml:space="preserve"> </w:t>
      </w:r>
      <w:r w:rsidRPr="00900C89">
        <w:rPr>
          <w:rFonts w:ascii="Palatino Linotype" w:eastAsia="Palatino Linotype" w:hAnsi="Palatino Linotype" w:cs="Palatino Linotype"/>
          <w:color w:val="222222"/>
        </w:rPr>
        <w:t xml:space="preserve">a </w:t>
      </w:r>
      <w:r w:rsidRPr="00900C89">
        <w:rPr>
          <w:rFonts w:ascii="Palatino Linotype" w:eastAsia="Palatino Linotype" w:hAnsi="Palatino Linotype" w:cs="Palatino Linotype"/>
          <w:b/>
          <w:bCs/>
          <w:color w:val="222222"/>
        </w:rPr>
        <w:t>EL RECURRENTE</w:t>
      </w:r>
      <w:r w:rsidRPr="00900C89">
        <w:rPr>
          <w:rFonts w:ascii="Palatino Linotype" w:eastAsia="Palatino Linotype" w:hAnsi="Palatino Linotype" w:cs="Palatino Linotype"/>
          <w:color w:val="222222"/>
        </w:rPr>
        <w:t xml:space="preserve"> la presente resolución vía SAIMEX</w:t>
      </w:r>
      <w:r w:rsidRPr="00900C89">
        <w:rPr>
          <w:rFonts w:ascii="Palatino Linotype" w:eastAsia="Palatino Linotype" w:hAnsi="Palatino Linotype" w:cs="Palatino Linotype"/>
        </w:rPr>
        <w:t>.</w:t>
      </w:r>
    </w:p>
    <w:p w:rsidR="00950AD6" w:rsidRPr="00900C89" w:rsidRDefault="00950AD6">
      <w:pPr>
        <w:tabs>
          <w:tab w:val="left" w:pos="8080"/>
        </w:tabs>
        <w:spacing w:line="360" w:lineRule="auto"/>
        <w:jc w:val="both"/>
        <w:rPr>
          <w:rFonts w:ascii="Palatino Linotype" w:eastAsia="Palatino Linotype" w:hAnsi="Palatino Linotype" w:cs="Palatino Linotype"/>
        </w:rPr>
      </w:pPr>
    </w:p>
    <w:p w:rsidR="00950AD6" w:rsidRPr="00900C89" w:rsidRDefault="00CE3B78">
      <w:pPr>
        <w:spacing w:line="360" w:lineRule="auto"/>
        <w:ind w:right="-787"/>
        <w:jc w:val="both"/>
        <w:rPr>
          <w:rFonts w:ascii="Palatino Linotype" w:eastAsia="Palatino Linotype" w:hAnsi="Palatino Linotype" w:cs="Palatino Linotype"/>
          <w:color w:val="000000"/>
        </w:rPr>
      </w:pPr>
      <w:r w:rsidRPr="00900C89">
        <w:rPr>
          <w:rFonts w:ascii="Palatino Linotype" w:eastAsia="Palatino Linotype" w:hAnsi="Palatino Linotype" w:cs="Palatino Linotype"/>
          <w:b/>
          <w:bCs/>
        </w:rPr>
        <w:t xml:space="preserve">SEXTO. </w:t>
      </w:r>
      <w:r w:rsidRPr="00900C89">
        <w:rPr>
          <w:rFonts w:ascii="Palatino Linotype" w:eastAsia="Palatino Linotype" w:hAnsi="Palatino Linotype" w:cs="Palatino Linotype"/>
          <w:color w:val="000000"/>
        </w:rPr>
        <w:t xml:space="preserve">Se hace del conocimiento de </w:t>
      </w:r>
      <w:r w:rsidRPr="00900C89">
        <w:rPr>
          <w:rFonts w:ascii="Palatino Linotype" w:eastAsia="Palatino Linotype" w:hAnsi="Palatino Linotype" w:cs="Palatino Linotype"/>
          <w:b/>
          <w:bCs/>
          <w:color w:val="000000"/>
        </w:rPr>
        <w:t>EL RECURRENTE</w:t>
      </w:r>
      <w:r w:rsidRPr="00900C89">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900C89">
        <w:rPr>
          <w:rFonts w:ascii="Palatino Linotype" w:eastAsia="Palatino Linotype" w:hAnsi="Palatino Linotype" w:cs="Palatino Linotype"/>
        </w:rPr>
        <w:t>México</w:t>
      </w:r>
      <w:r w:rsidRPr="00900C89">
        <w:rPr>
          <w:rFonts w:ascii="Palatino Linotype" w:eastAsia="Palatino Linotype" w:hAnsi="Palatino Linotype" w:cs="Palatino Linotype"/>
          <w:color w:val="000000"/>
        </w:rPr>
        <w:t xml:space="preserve"> y Municipios, en caso de que considere que la resolución le cause algún perjuicio podrá </w:t>
      </w:r>
      <w:r w:rsidRPr="00900C89">
        <w:rPr>
          <w:rFonts w:ascii="Palatino Linotype" w:eastAsia="Palatino Linotype" w:hAnsi="Palatino Linotype" w:cs="Palatino Linotype"/>
        </w:rPr>
        <w:t>impugnar vía</w:t>
      </w:r>
      <w:r w:rsidRPr="00900C89">
        <w:rPr>
          <w:rFonts w:ascii="Palatino Linotype" w:eastAsia="Palatino Linotype" w:hAnsi="Palatino Linotype" w:cs="Palatino Linotype"/>
          <w:color w:val="000000"/>
        </w:rPr>
        <w:t xml:space="preserve"> Juicio de Amparo en los términos de las leyes aplicables.</w:t>
      </w:r>
    </w:p>
    <w:p w:rsidR="00950AD6" w:rsidRPr="00900C89" w:rsidRDefault="00950AD6">
      <w:pPr>
        <w:spacing w:line="360" w:lineRule="auto"/>
        <w:ind w:right="-787"/>
        <w:jc w:val="both"/>
        <w:rPr>
          <w:rFonts w:ascii="Palatino Linotype" w:eastAsia="Palatino Linotype" w:hAnsi="Palatino Linotype" w:cs="Palatino Linotype"/>
          <w:b/>
          <w:bCs/>
        </w:rPr>
      </w:pPr>
    </w:p>
    <w:p w:rsidR="000A2F84" w:rsidRPr="00900C89" w:rsidRDefault="000A2F84" w:rsidP="000A2F84">
      <w:pPr>
        <w:spacing w:before="240" w:after="240" w:line="360" w:lineRule="auto"/>
        <w:ind w:right="-801" w:firstLine="1"/>
        <w:jc w:val="both"/>
        <w:rPr>
          <w:rFonts w:ascii="Palatino Linotype" w:hAnsi="Palatino Linotype"/>
        </w:rPr>
      </w:pPr>
      <w:bookmarkStart w:id="10" w:name="_Hlk99014733"/>
      <w:r w:rsidRPr="00900C89">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sidR="00F41A2F" w:rsidRPr="00900C89">
        <w:rPr>
          <w:rFonts w:ascii="Palatino Linotype" w:hAnsi="Palatino Linotype" w:cs="Palatino Linotype"/>
        </w:rPr>
        <w:t xml:space="preserve"> </w:t>
      </w:r>
      <w:r w:rsidR="00F41A2F" w:rsidRPr="00900C89">
        <w:rPr>
          <w:rFonts w:ascii="Palatino Linotype" w:hAnsi="Palatino Linotype"/>
        </w:rPr>
        <w:t>EMITIENDO VOTO PARTICULAR</w:t>
      </w:r>
      <w:r w:rsidRPr="00900C89">
        <w:rPr>
          <w:rFonts w:ascii="Palatino Linotype" w:hAnsi="Palatino Linotype" w:cs="Palatino Linotype"/>
        </w:rPr>
        <w:t>, MARÍA DEL ROSARIO MEJÍA AYALA</w:t>
      </w:r>
      <w:r w:rsidR="00F41A2F" w:rsidRPr="00900C89">
        <w:rPr>
          <w:rFonts w:ascii="Palatino Linotype" w:hAnsi="Palatino Linotype" w:cs="Palatino Linotype"/>
        </w:rPr>
        <w:t xml:space="preserve"> </w:t>
      </w:r>
      <w:r w:rsidR="00F41A2F" w:rsidRPr="00900C89">
        <w:rPr>
          <w:rFonts w:ascii="Palatino Linotype" w:hAnsi="Palatino Linotype"/>
        </w:rPr>
        <w:t>EMITIENDO VOTO PARTICULAR</w:t>
      </w:r>
      <w:r w:rsidRPr="00900C89">
        <w:rPr>
          <w:rFonts w:ascii="Palatino Linotype" w:hAnsi="Palatino Linotype" w:cs="Palatino Linotype"/>
        </w:rPr>
        <w:t>, SHARON CRISTINA MORALES MARTÍNEZ, LUIS GUSTAVO PARRA NORIEGA</w:t>
      </w:r>
      <w:r w:rsidR="00F41A2F" w:rsidRPr="00900C89">
        <w:rPr>
          <w:rFonts w:ascii="Palatino Linotype" w:hAnsi="Palatino Linotype" w:cs="Palatino Linotype"/>
        </w:rPr>
        <w:t xml:space="preserve"> </w:t>
      </w:r>
      <w:r w:rsidR="00F41A2F" w:rsidRPr="00900C89">
        <w:rPr>
          <w:rFonts w:ascii="Palatino Linotype" w:hAnsi="Palatino Linotype"/>
        </w:rPr>
        <w:t>EMITIENDO VOTO PARTICULAR</w:t>
      </w:r>
      <w:r w:rsidRPr="00900C89">
        <w:rPr>
          <w:rFonts w:ascii="Palatino Linotype" w:hAnsi="Palatino Linotype" w:cs="Palatino Linotype"/>
        </w:rPr>
        <w:t xml:space="preserve"> Y GUADALUPE RAMÍREZ PEÑA</w:t>
      </w:r>
      <w:r w:rsidR="00F41A2F" w:rsidRPr="00900C89">
        <w:rPr>
          <w:rFonts w:ascii="Palatino Linotype" w:hAnsi="Palatino Linotype" w:cs="Palatino Linotype"/>
        </w:rPr>
        <w:t xml:space="preserve"> </w:t>
      </w:r>
      <w:r w:rsidR="00F41A2F" w:rsidRPr="00900C89">
        <w:rPr>
          <w:rFonts w:ascii="Palatino Linotype" w:hAnsi="Palatino Linotype"/>
        </w:rPr>
        <w:t xml:space="preserve">EMITIENDO VOTO </w:t>
      </w:r>
      <w:r w:rsidR="00F41A2F" w:rsidRPr="00900C89">
        <w:rPr>
          <w:rFonts w:ascii="Palatino Linotype" w:hAnsi="Palatino Linotype"/>
        </w:rPr>
        <w:lastRenderedPageBreak/>
        <w:t>PARTICULAR</w:t>
      </w:r>
      <w:r w:rsidRPr="00900C89">
        <w:rPr>
          <w:rFonts w:ascii="Palatino Linotype" w:hAnsi="Palatino Linotype" w:cs="Palatino Linotype"/>
        </w:rPr>
        <w:t xml:space="preserve">; EN LA SÉPTIMA SESIÓN ORDINARIA, CELEBRADA EL VEINTICINCO (25) DE FEBRERO DE DOS MIL VEINTISÉIS, ANTE EL SECRETARIO TÉCNICO DEL PLENO </w:t>
      </w:r>
      <w:r w:rsidRPr="00900C89">
        <w:rPr>
          <w:rFonts w:ascii="Palatino Linotype" w:hAnsi="Palatino Linotype" w:cs="Palatino Linotype"/>
          <w:color w:val="000000" w:themeColor="text1"/>
        </w:rPr>
        <w:t>ALEXIS TAPIA RAMÍREZ.</w:t>
      </w:r>
    </w:p>
    <w:bookmarkEnd w:id="10"/>
    <w:p w:rsidR="00950AD6" w:rsidRPr="00900C89" w:rsidRDefault="00950AD6" w:rsidP="000A2F84">
      <w:pPr>
        <w:spacing w:line="360" w:lineRule="auto"/>
        <w:ind w:right="-801"/>
        <w:jc w:val="both"/>
        <w:rPr>
          <w:rFonts w:ascii="Palatino Linotype" w:eastAsia="Palatino Linotype" w:hAnsi="Palatino Linotype" w:cs="Palatino Linotype"/>
        </w:rPr>
      </w:pPr>
    </w:p>
    <w:p w:rsidR="00950AD6" w:rsidRDefault="00950AD6">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Default="002B5F5B">
      <w:pPr>
        <w:rPr>
          <w:rFonts w:ascii="Palatino Linotype" w:eastAsia="Palatino Linotype" w:hAnsi="Palatino Linotype" w:cs="Palatino Linotype"/>
        </w:rPr>
      </w:pPr>
    </w:p>
    <w:p w:rsidR="002B5F5B" w:rsidRPr="00900C89" w:rsidRDefault="002B5F5B">
      <w:pPr>
        <w:rPr>
          <w:rFonts w:ascii="Palatino Linotype" w:eastAsia="Palatino Linotype" w:hAnsi="Palatino Linotype" w:cs="Palatino Linotype"/>
        </w:rPr>
      </w:pPr>
    </w:p>
    <w:p w:rsidR="00950AD6" w:rsidRPr="00900C89" w:rsidRDefault="00950AD6">
      <w:pPr>
        <w:tabs>
          <w:tab w:val="left" w:pos="3374"/>
        </w:tabs>
        <w:spacing w:line="360" w:lineRule="auto"/>
        <w:ind w:right="-787"/>
        <w:rPr>
          <w:rFonts w:ascii="Palatino Linotype" w:eastAsia="Palatino Linotype" w:hAnsi="Palatino Linotype" w:cs="Palatino Linotype"/>
        </w:rPr>
      </w:pPr>
    </w:p>
    <w:p w:rsidR="009E48F8" w:rsidRPr="00900C89" w:rsidRDefault="009E48F8">
      <w:pPr>
        <w:tabs>
          <w:tab w:val="left" w:pos="3374"/>
        </w:tabs>
        <w:spacing w:line="360" w:lineRule="auto"/>
        <w:ind w:right="-787"/>
        <w:rPr>
          <w:rFonts w:ascii="Palatino Linotype" w:eastAsia="Palatino Linotype" w:hAnsi="Palatino Linotype" w:cs="Palatino Linotype"/>
        </w:rPr>
      </w:pPr>
    </w:p>
    <w:p w:rsidR="009E48F8" w:rsidRPr="00900C89" w:rsidRDefault="009E48F8">
      <w:pPr>
        <w:tabs>
          <w:tab w:val="left" w:pos="3374"/>
        </w:tabs>
        <w:spacing w:line="360" w:lineRule="auto"/>
        <w:ind w:right="-787"/>
        <w:rPr>
          <w:rFonts w:ascii="Palatino Linotype" w:eastAsia="Palatino Linotype" w:hAnsi="Palatino Linotype" w:cs="Palatino Linotype"/>
        </w:rPr>
      </w:pPr>
    </w:p>
    <w:p w:rsidR="009E48F8" w:rsidRPr="00900C89" w:rsidRDefault="009E48F8">
      <w:pPr>
        <w:tabs>
          <w:tab w:val="left" w:pos="3374"/>
        </w:tabs>
        <w:spacing w:line="360" w:lineRule="auto"/>
        <w:ind w:right="-787"/>
        <w:rPr>
          <w:rFonts w:ascii="Palatino Linotype" w:eastAsia="Palatino Linotype" w:hAnsi="Palatino Linotype" w:cs="Palatino Linotype"/>
        </w:rPr>
      </w:pPr>
    </w:p>
    <w:p w:rsidR="009E48F8" w:rsidRPr="00900C89" w:rsidRDefault="009E48F8">
      <w:pPr>
        <w:tabs>
          <w:tab w:val="left" w:pos="3374"/>
        </w:tabs>
        <w:spacing w:line="360" w:lineRule="auto"/>
        <w:ind w:right="-787"/>
        <w:rPr>
          <w:rFonts w:ascii="Palatino Linotype" w:eastAsia="Palatino Linotype" w:hAnsi="Palatino Linotype" w:cs="Palatino Linotype"/>
        </w:rPr>
      </w:pPr>
    </w:p>
    <w:sectPr w:rsidR="009E48F8" w:rsidRPr="00900C89">
      <w:headerReference w:type="even" r:id="rId13"/>
      <w:headerReference w:type="default" r:id="rId14"/>
      <w:footerReference w:type="default" r:id="rId15"/>
      <w:headerReference w:type="first" r:id="rId16"/>
      <w:footerReference w:type="first" r:id="rId17"/>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2F9" w:rsidRDefault="005272F9">
      <w:r>
        <w:separator/>
      </w:r>
    </w:p>
  </w:endnote>
  <w:endnote w:type="continuationSeparator" w:id="0">
    <w:p w:rsidR="005272F9" w:rsidRDefault="0052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B629AE05-10A7-44A1-9B32-5944DA64DD3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7A53A890-AE00-4F57-91A4-A511ED045056}"/>
    <w:embedBold r:id="rId3" w:fontKey="{25EF1496-0CA0-4817-9FED-CA8FC3EBB067}"/>
    <w:embedItalic r:id="rId4" w:fontKey="{567A5623-4C8D-4A5E-B157-A4F2E01C74B6}"/>
    <w:embedBoldItalic r:id="rId5" w:fontKey="{A705DAA2-7A12-4A6B-AFB4-1E52D6438180}"/>
  </w:font>
  <w:font w:name="Calibri">
    <w:panose1 w:val="020F0502020204030204"/>
    <w:charset w:val="00"/>
    <w:family w:val="swiss"/>
    <w:pitch w:val="variable"/>
    <w:sig w:usb0="E4002EFF" w:usb1="C200247B" w:usb2="00000009" w:usb3="00000000" w:csb0="000001FF" w:csb1="00000000"/>
    <w:embedRegular r:id="rId6" w:fontKey="{52FA0B52-27DC-42E8-B3D6-75A0DF0F7DB0}"/>
    <w:embedBold r:id="rId7" w:fontKey="{4E3CC388-CEA5-4EDF-90BD-90D6F59157F3}"/>
  </w:font>
  <w:font w:name="Calibri Light">
    <w:panose1 w:val="020F0302020204030204"/>
    <w:charset w:val="00"/>
    <w:family w:val="swiss"/>
    <w:pitch w:val="variable"/>
    <w:sig w:usb0="E4002EFF" w:usb1="C200247B" w:usb2="00000009" w:usb3="00000000" w:csb0="000001FF" w:csb1="00000000"/>
    <w:embedRegular r:id="rId8" w:fontKey="{D2DCE954-A770-43EE-9B7D-138624D9F6B8}"/>
  </w:font>
  <w:font w:name="Georgia">
    <w:panose1 w:val="02040502050405020303"/>
    <w:charset w:val="00"/>
    <w:family w:val="roman"/>
    <w:pitch w:val="variable"/>
    <w:sig w:usb0="00000287" w:usb1="00000000" w:usb2="00000000" w:usb3="00000000" w:csb0="0000009F" w:csb1="00000000"/>
    <w:embedItalic r:id="rId9" w:fontKey="{C39E4EE9-F5E2-4CA6-BB43-06651F69AD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AD6" w:rsidRPr="00900C89" w:rsidRDefault="00CE3B7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900C89">
      <w:rPr>
        <w:rFonts w:ascii="Palatino Linotype" w:eastAsia="Palatino Linotype" w:hAnsi="Palatino Linotype" w:cs="Palatino Linotype"/>
        <w:b/>
        <w:color w:val="000000"/>
        <w:sz w:val="22"/>
        <w:szCs w:val="20"/>
      </w:rPr>
      <w:t xml:space="preserve">Página </w:t>
    </w:r>
    <w:r w:rsidRPr="00900C89">
      <w:rPr>
        <w:rFonts w:ascii="Palatino Linotype" w:eastAsia="Palatino Linotype" w:hAnsi="Palatino Linotype" w:cs="Palatino Linotype"/>
        <w:b/>
        <w:color w:val="000000"/>
        <w:sz w:val="22"/>
        <w:szCs w:val="20"/>
      </w:rPr>
      <w:fldChar w:fldCharType="begin"/>
    </w:r>
    <w:r w:rsidRPr="00900C89">
      <w:rPr>
        <w:rFonts w:ascii="Palatino Linotype" w:eastAsia="Palatino Linotype" w:hAnsi="Palatino Linotype" w:cs="Palatino Linotype"/>
        <w:b/>
        <w:color w:val="000000"/>
        <w:sz w:val="22"/>
        <w:szCs w:val="20"/>
      </w:rPr>
      <w:instrText>PAGE</w:instrText>
    </w:r>
    <w:r w:rsidRPr="00900C89">
      <w:rPr>
        <w:rFonts w:ascii="Palatino Linotype" w:eastAsia="Palatino Linotype" w:hAnsi="Palatino Linotype" w:cs="Palatino Linotype"/>
        <w:b/>
        <w:color w:val="000000"/>
        <w:sz w:val="22"/>
        <w:szCs w:val="20"/>
      </w:rPr>
      <w:fldChar w:fldCharType="separate"/>
    </w:r>
    <w:r w:rsidR="00B8701A">
      <w:rPr>
        <w:rFonts w:ascii="Palatino Linotype" w:eastAsia="Palatino Linotype" w:hAnsi="Palatino Linotype" w:cs="Palatino Linotype"/>
        <w:b/>
        <w:noProof/>
        <w:color w:val="000000"/>
        <w:sz w:val="22"/>
        <w:szCs w:val="20"/>
      </w:rPr>
      <w:t>21</w:t>
    </w:r>
    <w:r w:rsidRPr="00900C89">
      <w:rPr>
        <w:rFonts w:ascii="Palatino Linotype" w:eastAsia="Palatino Linotype" w:hAnsi="Palatino Linotype" w:cs="Palatino Linotype"/>
        <w:b/>
        <w:color w:val="000000"/>
        <w:sz w:val="22"/>
        <w:szCs w:val="20"/>
      </w:rPr>
      <w:fldChar w:fldCharType="end"/>
    </w:r>
    <w:r w:rsidRPr="00900C89">
      <w:rPr>
        <w:rFonts w:ascii="Palatino Linotype" w:eastAsia="Palatino Linotype" w:hAnsi="Palatino Linotype" w:cs="Palatino Linotype"/>
        <w:b/>
        <w:color w:val="000000"/>
        <w:sz w:val="22"/>
        <w:szCs w:val="20"/>
      </w:rPr>
      <w:t xml:space="preserve"> de </w:t>
    </w:r>
    <w:r w:rsidRPr="00900C89">
      <w:rPr>
        <w:rFonts w:ascii="Palatino Linotype" w:eastAsia="Palatino Linotype" w:hAnsi="Palatino Linotype" w:cs="Palatino Linotype"/>
        <w:b/>
        <w:color w:val="000000"/>
        <w:sz w:val="22"/>
        <w:szCs w:val="20"/>
      </w:rPr>
      <w:fldChar w:fldCharType="begin"/>
    </w:r>
    <w:r w:rsidRPr="00900C89">
      <w:rPr>
        <w:rFonts w:ascii="Palatino Linotype" w:eastAsia="Palatino Linotype" w:hAnsi="Palatino Linotype" w:cs="Palatino Linotype"/>
        <w:b/>
        <w:color w:val="000000"/>
        <w:sz w:val="22"/>
        <w:szCs w:val="20"/>
      </w:rPr>
      <w:instrText>NUMPAGES</w:instrText>
    </w:r>
    <w:r w:rsidRPr="00900C89">
      <w:rPr>
        <w:rFonts w:ascii="Palatino Linotype" w:eastAsia="Palatino Linotype" w:hAnsi="Palatino Linotype" w:cs="Palatino Linotype"/>
        <w:b/>
        <w:color w:val="000000"/>
        <w:sz w:val="22"/>
        <w:szCs w:val="20"/>
      </w:rPr>
      <w:fldChar w:fldCharType="separate"/>
    </w:r>
    <w:r w:rsidR="00B8701A">
      <w:rPr>
        <w:rFonts w:ascii="Palatino Linotype" w:eastAsia="Palatino Linotype" w:hAnsi="Palatino Linotype" w:cs="Palatino Linotype"/>
        <w:b/>
        <w:noProof/>
        <w:color w:val="000000"/>
        <w:sz w:val="22"/>
        <w:szCs w:val="20"/>
      </w:rPr>
      <w:t>39</w:t>
    </w:r>
    <w:r w:rsidRPr="00900C89">
      <w:rPr>
        <w:rFonts w:ascii="Palatino Linotype" w:eastAsia="Palatino Linotype" w:hAnsi="Palatino Linotype" w:cs="Palatino Linotype"/>
        <w:b/>
        <w:color w:val="000000"/>
        <w:sz w:val="22"/>
        <w:szCs w:val="20"/>
      </w:rPr>
      <w:fldChar w:fldCharType="end"/>
    </w:r>
  </w:p>
  <w:p w:rsidR="00950AD6" w:rsidRDefault="00950AD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AD6" w:rsidRPr="00900C89" w:rsidRDefault="00CE3B7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0"/>
        <w:szCs w:val="20"/>
      </w:rPr>
    </w:pPr>
    <w:r w:rsidRPr="00900C89">
      <w:rPr>
        <w:rFonts w:ascii="Palatino Linotype" w:eastAsia="Palatino Linotype" w:hAnsi="Palatino Linotype" w:cs="Palatino Linotype"/>
        <w:b/>
        <w:color w:val="000000"/>
        <w:sz w:val="22"/>
        <w:szCs w:val="20"/>
      </w:rPr>
      <w:t xml:space="preserve">Página </w:t>
    </w:r>
    <w:r w:rsidRPr="00900C89">
      <w:rPr>
        <w:rFonts w:ascii="Palatino Linotype" w:eastAsia="Palatino Linotype" w:hAnsi="Palatino Linotype" w:cs="Palatino Linotype"/>
        <w:b/>
        <w:color w:val="000000"/>
        <w:sz w:val="22"/>
        <w:szCs w:val="20"/>
      </w:rPr>
      <w:fldChar w:fldCharType="begin"/>
    </w:r>
    <w:r w:rsidRPr="00900C89">
      <w:rPr>
        <w:rFonts w:ascii="Palatino Linotype" w:eastAsia="Palatino Linotype" w:hAnsi="Palatino Linotype" w:cs="Palatino Linotype"/>
        <w:b/>
        <w:color w:val="000000"/>
        <w:sz w:val="22"/>
        <w:szCs w:val="20"/>
      </w:rPr>
      <w:instrText>PAGE</w:instrText>
    </w:r>
    <w:r w:rsidRPr="00900C89">
      <w:rPr>
        <w:rFonts w:ascii="Palatino Linotype" w:eastAsia="Palatino Linotype" w:hAnsi="Palatino Linotype" w:cs="Palatino Linotype"/>
        <w:b/>
        <w:color w:val="000000"/>
        <w:sz w:val="22"/>
        <w:szCs w:val="20"/>
      </w:rPr>
      <w:fldChar w:fldCharType="separate"/>
    </w:r>
    <w:r w:rsidR="00B8701A">
      <w:rPr>
        <w:rFonts w:ascii="Palatino Linotype" w:eastAsia="Palatino Linotype" w:hAnsi="Palatino Linotype" w:cs="Palatino Linotype"/>
        <w:b/>
        <w:noProof/>
        <w:color w:val="000000"/>
        <w:sz w:val="22"/>
        <w:szCs w:val="20"/>
      </w:rPr>
      <w:t>1</w:t>
    </w:r>
    <w:r w:rsidRPr="00900C89">
      <w:rPr>
        <w:rFonts w:ascii="Palatino Linotype" w:eastAsia="Palatino Linotype" w:hAnsi="Palatino Linotype" w:cs="Palatino Linotype"/>
        <w:b/>
        <w:color w:val="000000"/>
        <w:sz w:val="22"/>
        <w:szCs w:val="20"/>
      </w:rPr>
      <w:fldChar w:fldCharType="end"/>
    </w:r>
    <w:r w:rsidRPr="00900C89">
      <w:rPr>
        <w:rFonts w:ascii="Palatino Linotype" w:eastAsia="Palatino Linotype" w:hAnsi="Palatino Linotype" w:cs="Palatino Linotype"/>
        <w:b/>
        <w:color w:val="000000"/>
        <w:sz w:val="22"/>
        <w:szCs w:val="20"/>
      </w:rPr>
      <w:t xml:space="preserve"> de </w:t>
    </w:r>
    <w:r w:rsidRPr="00900C89">
      <w:rPr>
        <w:rFonts w:ascii="Palatino Linotype" w:eastAsia="Palatino Linotype" w:hAnsi="Palatino Linotype" w:cs="Palatino Linotype"/>
        <w:b/>
        <w:color w:val="000000"/>
        <w:sz w:val="22"/>
        <w:szCs w:val="20"/>
      </w:rPr>
      <w:fldChar w:fldCharType="begin"/>
    </w:r>
    <w:r w:rsidRPr="00900C89">
      <w:rPr>
        <w:rFonts w:ascii="Palatino Linotype" w:eastAsia="Palatino Linotype" w:hAnsi="Palatino Linotype" w:cs="Palatino Linotype"/>
        <w:b/>
        <w:color w:val="000000"/>
        <w:sz w:val="22"/>
        <w:szCs w:val="20"/>
      </w:rPr>
      <w:instrText>NUMPAGES</w:instrText>
    </w:r>
    <w:r w:rsidRPr="00900C89">
      <w:rPr>
        <w:rFonts w:ascii="Palatino Linotype" w:eastAsia="Palatino Linotype" w:hAnsi="Palatino Linotype" w:cs="Palatino Linotype"/>
        <w:b/>
        <w:color w:val="000000"/>
        <w:sz w:val="22"/>
        <w:szCs w:val="20"/>
      </w:rPr>
      <w:fldChar w:fldCharType="separate"/>
    </w:r>
    <w:r w:rsidR="00B8701A">
      <w:rPr>
        <w:rFonts w:ascii="Palatino Linotype" w:eastAsia="Palatino Linotype" w:hAnsi="Palatino Linotype" w:cs="Palatino Linotype"/>
        <w:b/>
        <w:noProof/>
        <w:color w:val="000000"/>
        <w:sz w:val="22"/>
        <w:szCs w:val="20"/>
      </w:rPr>
      <w:t>39</w:t>
    </w:r>
    <w:r w:rsidRPr="00900C89">
      <w:rPr>
        <w:rFonts w:ascii="Palatino Linotype" w:eastAsia="Palatino Linotype" w:hAnsi="Palatino Linotype" w:cs="Palatino Linotype"/>
        <w:b/>
        <w:color w:val="000000"/>
        <w:sz w:val="22"/>
        <w:szCs w:val="20"/>
      </w:rPr>
      <w:fldChar w:fldCharType="end"/>
    </w:r>
  </w:p>
  <w:p w:rsidR="00950AD6" w:rsidRDefault="00950AD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2F9" w:rsidRDefault="005272F9">
      <w:r>
        <w:separator/>
      </w:r>
    </w:p>
  </w:footnote>
  <w:footnote w:type="continuationSeparator" w:id="0">
    <w:p w:rsidR="005272F9" w:rsidRDefault="00527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AD6" w:rsidRDefault="005272F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d"/>
      <w:tblW w:w="7890" w:type="dxa"/>
      <w:tblInd w:w="2552" w:type="dxa"/>
      <w:tblLayout w:type="fixed"/>
      <w:tblLook w:val="0400" w:firstRow="0" w:lastRow="0" w:firstColumn="0" w:lastColumn="0" w:noHBand="0" w:noVBand="1"/>
    </w:tblPr>
    <w:tblGrid>
      <w:gridCol w:w="3744"/>
      <w:gridCol w:w="4146"/>
    </w:tblGrid>
    <w:tr w:rsidR="00950AD6">
      <w:trPr>
        <w:trHeight w:val="281"/>
      </w:trPr>
      <w:tc>
        <w:tcPr>
          <w:tcW w:w="3744" w:type="dxa"/>
          <w:vAlign w:val="center"/>
        </w:tcPr>
        <w:p w:rsidR="00950AD6" w:rsidRPr="00900C89" w:rsidRDefault="00CE3B78">
          <w:pPr>
            <w:ind w:left="850"/>
            <w:jc w:val="right"/>
            <w:rPr>
              <w:rFonts w:ascii="Palatino Linotype" w:eastAsia="Palatino Linotype" w:hAnsi="Palatino Linotype" w:cs="Palatino Linotype"/>
              <w:b/>
              <w:bCs/>
              <w:szCs w:val="22"/>
            </w:rPr>
          </w:pPr>
          <w:r w:rsidRPr="00900C89">
            <w:rPr>
              <w:rFonts w:ascii="Palatino Linotype" w:eastAsia="Palatino Linotype" w:hAnsi="Palatino Linotype" w:cs="Palatino Linotype"/>
              <w:b/>
              <w:bCs/>
              <w:szCs w:val="22"/>
            </w:rPr>
            <w:t>Recurso de Revisión:</w:t>
          </w:r>
        </w:p>
      </w:tc>
      <w:tc>
        <w:tcPr>
          <w:tcW w:w="4146" w:type="dxa"/>
          <w:vAlign w:val="center"/>
        </w:tcPr>
        <w:p w:rsidR="00950AD6" w:rsidRPr="00900C89" w:rsidRDefault="00CE3B7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900C89">
            <w:rPr>
              <w:rFonts w:ascii="Palatino Linotype" w:eastAsia="Palatino Linotype" w:hAnsi="Palatino Linotype" w:cs="Palatino Linotype"/>
              <w:color w:val="000000"/>
              <w:szCs w:val="22"/>
            </w:rPr>
            <w:t>10098/INFOEM/IP/RR/2025</w:t>
          </w:r>
        </w:p>
      </w:tc>
    </w:tr>
    <w:tr w:rsidR="00950AD6">
      <w:trPr>
        <w:trHeight w:val="342"/>
      </w:trPr>
      <w:tc>
        <w:tcPr>
          <w:tcW w:w="3744" w:type="dxa"/>
        </w:tcPr>
        <w:p w:rsidR="00950AD6" w:rsidRPr="00900C89" w:rsidRDefault="00CE3B78">
          <w:pPr>
            <w:ind w:left="850"/>
            <w:jc w:val="right"/>
            <w:rPr>
              <w:rFonts w:ascii="Palatino Linotype" w:eastAsia="Palatino Linotype" w:hAnsi="Palatino Linotype" w:cs="Palatino Linotype"/>
              <w:b/>
              <w:bCs/>
              <w:szCs w:val="22"/>
            </w:rPr>
          </w:pPr>
          <w:r w:rsidRPr="00900C89">
            <w:rPr>
              <w:rFonts w:ascii="Palatino Linotype" w:eastAsia="Palatino Linotype" w:hAnsi="Palatino Linotype" w:cs="Palatino Linotype"/>
              <w:b/>
              <w:bCs/>
              <w:szCs w:val="22"/>
            </w:rPr>
            <w:t>Sujeto Obligado:</w:t>
          </w:r>
        </w:p>
      </w:tc>
      <w:tc>
        <w:tcPr>
          <w:tcW w:w="4146" w:type="dxa"/>
          <w:vAlign w:val="center"/>
        </w:tcPr>
        <w:p w:rsidR="00950AD6" w:rsidRPr="00900C89" w:rsidRDefault="00CE3B7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900C89">
            <w:rPr>
              <w:rFonts w:ascii="Palatino Linotype" w:eastAsia="Palatino Linotype" w:hAnsi="Palatino Linotype" w:cs="Palatino Linotype"/>
              <w:color w:val="000000"/>
              <w:szCs w:val="22"/>
            </w:rPr>
            <w:t>Ayuntamiento de Calimaya</w:t>
          </w:r>
        </w:p>
      </w:tc>
    </w:tr>
    <w:tr w:rsidR="00950AD6">
      <w:trPr>
        <w:trHeight w:val="342"/>
      </w:trPr>
      <w:tc>
        <w:tcPr>
          <w:tcW w:w="3744" w:type="dxa"/>
          <w:vAlign w:val="center"/>
        </w:tcPr>
        <w:p w:rsidR="00950AD6" w:rsidRPr="00900C89" w:rsidRDefault="00CE3B78">
          <w:pPr>
            <w:ind w:left="850"/>
            <w:jc w:val="right"/>
            <w:rPr>
              <w:rFonts w:ascii="Palatino Linotype" w:eastAsia="Palatino Linotype" w:hAnsi="Palatino Linotype" w:cs="Palatino Linotype"/>
              <w:b/>
              <w:bCs/>
              <w:szCs w:val="22"/>
            </w:rPr>
          </w:pPr>
          <w:r w:rsidRPr="00900C89">
            <w:rPr>
              <w:rFonts w:ascii="Palatino Linotype" w:eastAsia="Palatino Linotype" w:hAnsi="Palatino Linotype" w:cs="Palatino Linotype"/>
              <w:b/>
              <w:bCs/>
              <w:szCs w:val="22"/>
            </w:rPr>
            <w:t>Comisionada Ponente:</w:t>
          </w:r>
        </w:p>
      </w:tc>
      <w:tc>
        <w:tcPr>
          <w:tcW w:w="4146" w:type="dxa"/>
          <w:vAlign w:val="center"/>
        </w:tcPr>
        <w:p w:rsidR="00950AD6" w:rsidRPr="00900C89" w:rsidRDefault="00CE3B7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900C89">
            <w:rPr>
              <w:rFonts w:ascii="Palatino Linotype" w:eastAsia="Palatino Linotype" w:hAnsi="Palatino Linotype" w:cs="Palatino Linotype"/>
              <w:color w:val="000000"/>
              <w:szCs w:val="22"/>
            </w:rPr>
            <w:t>María del Rosario Mejía Ayala</w:t>
          </w:r>
        </w:p>
      </w:tc>
    </w:tr>
  </w:tbl>
  <w:p w:rsidR="00950AD6" w:rsidRDefault="005272F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7890" w:type="dxa"/>
      <w:tblInd w:w="2552" w:type="dxa"/>
      <w:tblLayout w:type="fixed"/>
      <w:tblLook w:val="0400" w:firstRow="0" w:lastRow="0" w:firstColumn="0" w:lastColumn="0" w:noHBand="0" w:noVBand="1"/>
    </w:tblPr>
    <w:tblGrid>
      <w:gridCol w:w="3744"/>
      <w:gridCol w:w="4146"/>
    </w:tblGrid>
    <w:tr w:rsidR="00950AD6">
      <w:trPr>
        <w:trHeight w:val="281"/>
      </w:trPr>
      <w:tc>
        <w:tcPr>
          <w:tcW w:w="3744" w:type="dxa"/>
          <w:vAlign w:val="center"/>
        </w:tcPr>
        <w:p w:rsidR="00950AD6" w:rsidRPr="00900C89" w:rsidRDefault="00CE3B78">
          <w:pPr>
            <w:ind w:left="850"/>
            <w:jc w:val="right"/>
            <w:rPr>
              <w:rFonts w:ascii="Palatino Linotype" w:eastAsia="Palatino Linotype" w:hAnsi="Palatino Linotype" w:cs="Palatino Linotype"/>
              <w:b/>
              <w:bCs/>
              <w:szCs w:val="22"/>
            </w:rPr>
          </w:pPr>
          <w:r w:rsidRPr="00900C89">
            <w:rPr>
              <w:rFonts w:ascii="Palatino Linotype" w:eastAsia="Palatino Linotype" w:hAnsi="Palatino Linotype" w:cs="Palatino Linotype"/>
              <w:b/>
              <w:bCs/>
              <w:szCs w:val="22"/>
            </w:rPr>
            <w:t>Recurso de Revisión:</w:t>
          </w:r>
        </w:p>
      </w:tc>
      <w:tc>
        <w:tcPr>
          <w:tcW w:w="4146" w:type="dxa"/>
          <w:vAlign w:val="center"/>
        </w:tcPr>
        <w:p w:rsidR="00950AD6" w:rsidRPr="00900C89" w:rsidRDefault="00CE3B7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900C89">
            <w:rPr>
              <w:rFonts w:ascii="Palatino Linotype" w:eastAsia="Palatino Linotype" w:hAnsi="Palatino Linotype" w:cs="Palatino Linotype"/>
              <w:color w:val="000000"/>
              <w:szCs w:val="22"/>
            </w:rPr>
            <w:t>10098/INFOEM/IP/RR/2025</w:t>
          </w:r>
        </w:p>
      </w:tc>
    </w:tr>
    <w:tr w:rsidR="00950AD6">
      <w:trPr>
        <w:trHeight w:val="242"/>
      </w:trPr>
      <w:tc>
        <w:tcPr>
          <w:tcW w:w="3744" w:type="dxa"/>
          <w:vAlign w:val="center"/>
        </w:tcPr>
        <w:p w:rsidR="00950AD6" w:rsidRPr="00900C89" w:rsidRDefault="00CE3B78">
          <w:pPr>
            <w:ind w:left="850"/>
            <w:jc w:val="right"/>
            <w:rPr>
              <w:rFonts w:ascii="Palatino Linotype" w:eastAsia="Palatino Linotype" w:hAnsi="Palatino Linotype" w:cs="Palatino Linotype"/>
              <w:b/>
              <w:bCs/>
              <w:szCs w:val="22"/>
            </w:rPr>
          </w:pPr>
          <w:r w:rsidRPr="00900C89">
            <w:rPr>
              <w:rFonts w:ascii="Palatino Linotype" w:eastAsia="Palatino Linotype" w:hAnsi="Palatino Linotype" w:cs="Palatino Linotype"/>
              <w:b/>
              <w:bCs/>
              <w:szCs w:val="22"/>
            </w:rPr>
            <w:t>Recurrente:</w:t>
          </w:r>
        </w:p>
      </w:tc>
      <w:tc>
        <w:tcPr>
          <w:tcW w:w="4146" w:type="dxa"/>
        </w:tcPr>
        <w:p w:rsidR="00950AD6" w:rsidRPr="00900C89" w:rsidRDefault="00B8701A">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Cs w:val="22"/>
            </w:rPr>
          </w:pPr>
          <w:r>
            <w:rPr>
              <w:rFonts w:ascii="Palatino Linotype" w:eastAsia="Palatino Linotype" w:hAnsi="Palatino Linotype" w:cs="Palatino Linotype"/>
              <w:color w:val="000000"/>
              <w:szCs w:val="22"/>
            </w:rPr>
            <w:t>XXXX</w:t>
          </w:r>
        </w:p>
      </w:tc>
    </w:tr>
    <w:tr w:rsidR="00950AD6">
      <w:trPr>
        <w:trHeight w:val="342"/>
      </w:trPr>
      <w:tc>
        <w:tcPr>
          <w:tcW w:w="3744" w:type="dxa"/>
        </w:tcPr>
        <w:p w:rsidR="00950AD6" w:rsidRPr="00900C89" w:rsidRDefault="00CE3B78">
          <w:pPr>
            <w:ind w:left="850"/>
            <w:jc w:val="right"/>
            <w:rPr>
              <w:rFonts w:ascii="Palatino Linotype" w:eastAsia="Palatino Linotype" w:hAnsi="Palatino Linotype" w:cs="Palatino Linotype"/>
              <w:b/>
              <w:bCs/>
              <w:szCs w:val="22"/>
            </w:rPr>
          </w:pPr>
          <w:r w:rsidRPr="00900C89">
            <w:rPr>
              <w:rFonts w:ascii="Palatino Linotype" w:eastAsia="Palatino Linotype" w:hAnsi="Palatino Linotype" w:cs="Palatino Linotype"/>
              <w:b/>
              <w:bCs/>
              <w:szCs w:val="22"/>
            </w:rPr>
            <w:t>Sujeto Obligado:</w:t>
          </w:r>
        </w:p>
      </w:tc>
      <w:tc>
        <w:tcPr>
          <w:tcW w:w="4146" w:type="dxa"/>
          <w:vAlign w:val="center"/>
        </w:tcPr>
        <w:p w:rsidR="00950AD6" w:rsidRPr="00900C89" w:rsidRDefault="00CE3B7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900C89">
            <w:rPr>
              <w:rFonts w:ascii="Palatino Linotype" w:eastAsia="Palatino Linotype" w:hAnsi="Palatino Linotype" w:cs="Palatino Linotype"/>
              <w:color w:val="000000"/>
              <w:szCs w:val="22"/>
            </w:rPr>
            <w:t>Ayuntamiento de Calimaya</w:t>
          </w:r>
        </w:p>
      </w:tc>
    </w:tr>
    <w:tr w:rsidR="00950AD6">
      <w:trPr>
        <w:trHeight w:val="342"/>
      </w:trPr>
      <w:tc>
        <w:tcPr>
          <w:tcW w:w="3744" w:type="dxa"/>
          <w:vAlign w:val="center"/>
        </w:tcPr>
        <w:p w:rsidR="00950AD6" w:rsidRPr="00900C89" w:rsidRDefault="00CE3B78">
          <w:pPr>
            <w:ind w:left="850"/>
            <w:jc w:val="right"/>
            <w:rPr>
              <w:rFonts w:ascii="Palatino Linotype" w:eastAsia="Palatino Linotype" w:hAnsi="Palatino Linotype" w:cs="Palatino Linotype"/>
              <w:b/>
              <w:bCs/>
              <w:szCs w:val="22"/>
            </w:rPr>
          </w:pPr>
          <w:r w:rsidRPr="00900C89">
            <w:rPr>
              <w:rFonts w:ascii="Palatino Linotype" w:eastAsia="Palatino Linotype" w:hAnsi="Palatino Linotype" w:cs="Palatino Linotype"/>
              <w:b/>
              <w:bCs/>
              <w:szCs w:val="22"/>
            </w:rPr>
            <w:t>Comisionada Ponente:</w:t>
          </w:r>
        </w:p>
      </w:tc>
      <w:tc>
        <w:tcPr>
          <w:tcW w:w="4146" w:type="dxa"/>
          <w:vAlign w:val="center"/>
        </w:tcPr>
        <w:p w:rsidR="00950AD6" w:rsidRPr="00900C89" w:rsidRDefault="00CE3B7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900C89">
            <w:rPr>
              <w:rFonts w:ascii="Palatino Linotype" w:eastAsia="Palatino Linotype" w:hAnsi="Palatino Linotype" w:cs="Palatino Linotype"/>
              <w:color w:val="000000"/>
              <w:szCs w:val="22"/>
            </w:rPr>
            <w:t>María del Rosario Mejía Ayala</w:t>
          </w:r>
        </w:p>
      </w:tc>
    </w:tr>
  </w:tbl>
  <w:p w:rsidR="00950AD6" w:rsidRDefault="005272F9">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19.95pt;width:609.4pt;height:793.75pt;z-index:-251658752;mso-position-horizontal-relative:margin;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54E6"/>
    <w:multiLevelType w:val="multilevel"/>
    <w:tmpl w:val="6E564668"/>
    <w:lvl w:ilvl="0">
      <w:start w:val="1"/>
      <w:numFmt w:val="bullet"/>
      <w:lvlText w:val="●"/>
      <w:lvlJc w:val="left"/>
      <w:pPr>
        <w:ind w:left="1287" w:hanging="360"/>
      </w:pPr>
      <w:rPr>
        <w:rFonts w:ascii="Noto Sans Symbols" w:eastAsia="Noto Sans Symbols" w:hAnsi="Noto Sans Symbols" w:cs="Noto Sans Symbols"/>
      </w:r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252D699E"/>
    <w:multiLevelType w:val="hybridMultilevel"/>
    <w:tmpl w:val="F9B409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145704D"/>
    <w:multiLevelType w:val="multilevel"/>
    <w:tmpl w:val="15E66606"/>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4B574D"/>
    <w:multiLevelType w:val="multilevel"/>
    <w:tmpl w:val="EF30BFC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3A6D31F4"/>
    <w:multiLevelType w:val="multilevel"/>
    <w:tmpl w:val="5010066A"/>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FD49A1"/>
    <w:multiLevelType w:val="multilevel"/>
    <w:tmpl w:val="CC0A519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6" w15:restartNumberingAfterBreak="0">
    <w:nsid w:val="47E84AA5"/>
    <w:multiLevelType w:val="multilevel"/>
    <w:tmpl w:val="A61C063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4A6AB6"/>
    <w:multiLevelType w:val="multilevel"/>
    <w:tmpl w:val="117C3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9523AED"/>
    <w:multiLevelType w:val="multilevel"/>
    <w:tmpl w:val="C3E6FC54"/>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FC5A25"/>
    <w:multiLevelType w:val="multilevel"/>
    <w:tmpl w:val="F038266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8"/>
  </w:num>
  <w:num w:numId="2">
    <w:abstractNumId w:val="9"/>
  </w:num>
  <w:num w:numId="3">
    <w:abstractNumId w:val="0"/>
  </w:num>
  <w:num w:numId="4">
    <w:abstractNumId w:val="5"/>
  </w:num>
  <w:num w:numId="5">
    <w:abstractNumId w:val="2"/>
  </w:num>
  <w:num w:numId="6">
    <w:abstractNumId w:val="4"/>
  </w:num>
  <w:num w:numId="7">
    <w:abstractNumId w:val="3"/>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D6"/>
    <w:rsid w:val="000A2F84"/>
    <w:rsid w:val="001978FA"/>
    <w:rsid w:val="001C155F"/>
    <w:rsid w:val="002B5F5B"/>
    <w:rsid w:val="002D7C71"/>
    <w:rsid w:val="005272F9"/>
    <w:rsid w:val="005871C5"/>
    <w:rsid w:val="008D0C4F"/>
    <w:rsid w:val="00900C89"/>
    <w:rsid w:val="00943208"/>
    <w:rsid w:val="00950AD6"/>
    <w:rsid w:val="009E48F8"/>
    <w:rsid w:val="00B01E4C"/>
    <w:rsid w:val="00B8701A"/>
    <w:rsid w:val="00C43CDA"/>
    <w:rsid w:val="00CE3B78"/>
    <w:rsid w:val="00F1680A"/>
    <w:rsid w:val="00F41A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51D22F9-1A14-40BF-BCB4-9B13882E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70" w:type="dxa"/>
        <w:right w:w="70"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3"/>
    <w:tblPr>
      <w:tblStyleRowBandSize w:val="1"/>
      <w:tblStyleColBandSize w:val="1"/>
      <w:tblCellMar>
        <w:left w:w="70" w:type="dxa"/>
        <w:right w:w="70" w:type="dxa"/>
      </w:tblCellMar>
    </w:tblPr>
  </w:style>
  <w:style w:type="table" w:customStyle="1" w:styleId="a4">
    <w:basedOn w:val="TableNormal3"/>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TableNormal4">
    <w:name w:val="TableNormal"/>
    <w:rsid w:val="00AF3C15"/>
    <w:tblPr>
      <w:tblCellMar>
        <w:top w:w="100" w:type="dxa"/>
        <w:left w:w="100" w:type="dxa"/>
        <w:bottom w:w="100" w:type="dxa"/>
        <w:right w:w="100" w:type="dxa"/>
      </w:tblCellMar>
    </w:tblPr>
  </w:style>
  <w:style w:type="paragraph" w:styleId="Listaconvietas2">
    <w:name w:val="List Bullet 2"/>
    <w:basedOn w:val="Normal"/>
    <w:uiPriority w:val="99"/>
    <w:unhideWhenUsed/>
    <w:qFormat/>
    <w:rsid w:val="00585423"/>
    <w:pPr>
      <w:numPr>
        <w:numId w:val="5"/>
      </w:numPr>
      <w:contextualSpacing/>
    </w:pPr>
    <w:rPr>
      <w:rFonts w:ascii="Times New Roman" w:eastAsia="Times New Roman" w:hAnsi="Times New Roman" w:cs="Times New Roman"/>
      <w:sz w:val="20"/>
      <w:szCs w:val="20"/>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nfoem.org.mx/sites/default/files/normatividad/jun143.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C8WPSArXcYtF8Zu/inF9LcATFw==">CgMxLjAyCGguZ2pkZ3hzMgloLjMwajB6bGwyCWguMWZvYjl0ZTIJaC4yZXQ5MnAwMgloLjF0M2g1c2YyCWguMnM4ZXlvMTIOaC5ybjRjcGg0OHcwYTAyCWguMWtzdjR1djIJaC4zcmRjcmpuOAByITE2WHdJcGRGOUJwZ2dxdzMtYXg1eW45cjRrSGp4Qkh5bA==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39</Pages>
  <Words>8868</Words>
  <Characters>48774</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10</cp:revision>
  <cp:lastPrinted>2026-02-27T16:15:00Z</cp:lastPrinted>
  <dcterms:created xsi:type="dcterms:W3CDTF">2026-02-23T17:49:00Z</dcterms:created>
  <dcterms:modified xsi:type="dcterms:W3CDTF">2026-03-06T19:18:00Z</dcterms:modified>
</cp:coreProperties>
</file>