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C67BCD"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C67BCD">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C67BCD">
        <w:rPr>
          <w:rFonts w:ascii="Palatino Linotype" w:eastAsia="Palatino Linotype" w:hAnsi="Palatino Linotype" w:cs="Palatino Linotype"/>
          <w:sz w:val="22"/>
          <w:szCs w:val="22"/>
        </w:rPr>
        <w:t>diecisiete</w:t>
      </w:r>
      <w:r w:rsidR="00032509" w:rsidRPr="00C67BCD">
        <w:rPr>
          <w:rFonts w:ascii="Palatino Linotype" w:eastAsia="Palatino Linotype" w:hAnsi="Palatino Linotype" w:cs="Palatino Linotype"/>
          <w:sz w:val="22"/>
          <w:szCs w:val="22"/>
        </w:rPr>
        <w:t xml:space="preserve"> de septiembre</w:t>
      </w:r>
      <w:r w:rsidR="00E55CFA" w:rsidRPr="00C67BCD">
        <w:rPr>
          <w:rFonts w:ascii="Palatino Linotype" w:eastAsia="Palatino Linotype" w:hAnsi="Palatino Linotype" w:cs="Palatino Linotype"/>
          <w:sz w:val="22"/>
          <w:szCs w:val="22"/>
        </w:rPr>
        <w:t xml:space="preserve"> de dos mil veintiséis</w:t>
      </w:r>
      <w:r w:rsidRPr="00C67BCD">
        <w:rPr>
          <w:rFonts w:ascii="Palatino Linotype" w:eastAsia="Palatino Linotype" w:hAnsi="Palatino Linotype" w:cs="Palatino Linotype"/>
          <w:sz w:val="22"/>
          <w:szCs w:val="22"/>
        </w:rPr>
        <w:t xml:space="preserve">. </w:t>
      </w:r>
    </w:p>
    <w:p w14:paraId="13FC4B2B" w14:textId="77777777" w:rsidR="00532AE4" w:rsidRPr="00C67BCD" w:rsidRDefault="00532AE4">
      <w:pPr>
        <w:spacing w:line="360" w:lineRule="auto"/>
        <w:jc w:val="both"/>
        <w:rPr>
          <w:rFonts w:ascii="Palatino Linotype" w:eastAsia="Palatino Linotype" w:hAnsi="Palatino Linotype" w:cs="Palatino Linotype"/>
          <w:b/>
          <w:sz w:val="22"/>
          <w:szCs w:val="22"/>
        </w:rPr>
      </w:pPr>
    </w:p>
    <w:p w14:paraId="50DC799A" w14:textId="4C276A11"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Visto </w:t>
      </w:r>
      <w:r w:rsidRPr="00C67BCD">
        <w:rPr>
          <w:rFonts w:ascii="Palatino Linotype" w:eastAsia="Palatino Linotype" w:hAnsi="Palatino Linotype" w:cs="Palatino Linotype"/>
          <w:sz w:val="22"/>
          <w:szCs w:val="22"/>
        </w:rPr>
        <w:t xml:space="preserve">el expediente relativo al recurso de revisión </w:t>
      </w:r>
      <w:r w:rsidR="008C1E2D" w:rsidRPr="00C67BCD">
        <w:rPr>
          <w:rFonts w:ascii="Palatino Linotype" w:eastAsia="Palatino Linotype" w:hAnsi="Palatino Linotype" w:cs="Palatino Linotype"/>
          <w:b/>
          <w:sz w:val="22"/>
          <w:szCs w:val="22"/>
        </w:rPr>
        <w:t>0</w:t>
      </w:r>
      <w:r w:rsidR="00AC2BDE" w:rsidRPr="00C67BCD">
        <w:rPr>
          <w:rFonts w:ascii="Palatino Linotype" w:eastAsia="Palatino Linotype" w:hAnsi="Palatino Linotype" w:cs="Palatino Linotype"/>
          <w:b/>
          <w:sz w:val="22"/>
          <w:szCs w:val="22"/>
        </w:rPr>
        <w:t>827</w:t>
      </w:r>
      <w:r w:rsidR="00284DAE" w:rsidRPr="00C67BCD">
        <w:rPr>
          <w:rFonts w:ascii="Palatino Linotype" w:eastAsia="Palatino Linotype" w:hAnsi="Palatino Linotype" w:cs="Palatino Linotype"/>
          <w:b/>
          <w:sz w:val="22"/>
          <w:szCs w:val="22"/>
        </w:rPr>
        <w:t>6</w:t>
      </w:r>
      <w:r w:rsidR="000C05BE" w:rsidRPr="00C67BCD">
        <w:rPr>
          <w:rFonts w:ascii="Palatino Linotype" w:eastAsia="Palatino Linotype" w:hAnsi="Palatino Linotype" w:cs="Palatino Linotype"/>
          <w:b/>
          <w:sz w:val="22"/>
          <w:szCs w:val="22"/>
        </w:rPr>
        <w:t>/INFOEM/IP/RR/2026</w:t>
      </w:r>
      <w:r w:rsidRPr="00C67BCD">
        <w:rPr>
          <w:rFonts w:ascii="Palatino Linotype" w:eastAsia="Palatino Linotype" w:hAnsi="Palatino Linotype" w:cs="Palatino Linotype"/>
          <w:sz w:val="22"/>
          <w:szCs w:val="22"/>
        </w:rPr>
        <w:t xml:space="preserve">, interpuesto </w:t>
      </w:r>
      <w:r w:rsidR="0061438F" w:rsidRPr="00C67BCD">
        <w:rPr>
          <w:rFonts w:ascii="Palatino Linotype" w:eastAsia="Palatino Linotype" w:hAnsi="Palatino Linotype" w:cs="Palatino Linotype"/>
          <w:sz w:val="22"/>
          <w:szCs w:val="22"/>
        </w:rPr>
        <w:t xml:space="preserve">por </w:t>
      </w:r>
      <w:r w:rsidR="004241F6">
        <w:rPr>
          <w:rFonts w:ascii="Palatino Linotype" w:eastAsia="Palatino Linotype" w:hAnsi="Palatino Linotype" w:cs="Palatino Linotype"/>
          <w:b/>
          <w:sz w:val="21"/>
          <w:szCs w:val="21"/>
        </w:rPr>
        <w:t>XXXXXX XXXXX XXXXXXX XX XXX</w:t>
      </w:r>
      <w:r w:rsidR="004241F6" w:rsidRPr="00C67BCD">
        <w:rPr>
          <w:rFonts w:ascii="Palatino Linotype" w:eastAsia="Palatino Linotype" w:hAnsi="Palatino Linotype" w:cs="Palatino Linotype"/>
          <w:sz w:val="22"/>
          <w:szCs w:val="22"/>
        </w:rPr>
        <w:t xml:space="preserve"> </w:t>
      </w:r>
      <w:r w:rsidRPr="00C67BCD">
        <w:rPr>
          <w:rFonts w:ascii="Palatino Linotype" w:eastAsia="Palatino Linotype" w:hAnsi="Palatino Linotype" w:cs="Palatino Linotype"/>
          <w:sz w:val="22"/>
          <w:szCs w:val="22"/>
        </w:rPr>
        <w:t xml:space="preserve">en lo sucesivo la parte </w:t>
      </w:r>
      <w:r w:rsidRPr="00C67BCD">
        <w:rPr>
          <w:rFonts w:ascii="Palatino Linotype" w:eastAsia="Palatino Linotype" w:hAnsi="Palatino Linotype" w:cs="Palatino Linotype"/>
          <w:b/>
          <w:sz w:val="22"/>
          <w:szCs w:val="22"/>
        </w:rPr>
        <w:t xml:space="preserve">RECURRENTE, </w:t>
      </w:r>
      <w:r w:rsidRPr="00C67BCD">
        <w:rPr>
          <w:rFonts w:ascii="Palatino Linotype" w:eastAsia="Palatino Linotype" w:hAnsi="Palatino Linotype" w:cs="Palatino Linotype"/>
          <w:sz w:val="22"/>
          <w:szCs w:val="22"/>
        </w:rPr>
        <w:t>en contra de la falta de respuesta a la solicitud de acceso a la información con número de folio</w:t>
      </w:r>
      <w:r w:rsidRPr="00C67BCD">
        <w:rPr>
          <w:rFonts w:ascii="Verdana" w:eastAsia="Verdana" w:hAnsi="Verdana" w:cs="Verdana"/>
          <w:b/>
          <w:sz w:val="22"/>
          <w:szCs w:val="22"/>
        </w:rPr>
        <w:t> </w:t>
      </w:r>
      <w:r w:rsidR="00284DAE" w:rsidRPr="00C67BCD">
        <w:rPr>
          <w:rFonts w:ascii="Palatino Linotype" w:eastAsia="Palatino Linotype" w:hAnsi="Palatino Linotype" w:cs="Palatino Linotype"/>
          <w:b/>
          <w:sz w:val="22"/>
          <w:szCs w:val="22"/>
        </w:rPr>
        <w:t>00013/IDEMEX/IP/2026</w:t>
      </w:r>
      <w:r w:rsidR="00EF743D" w:rsidRPr="00C67BCD">
        <w:rPr>
          <w:rFonts w:ascii="Palatino Linotype" w:eastAsia="Palatino Linotype" w:hAnsi="Palatino Linotype" w:cs="Palatino Linotype"/>
          <w:b/>
          <w:sz w:val="22"/>
          <w:szCs w:val="22"/>
        </w:rPr>
        <w:t xml:space="preserve">, </w:t>
      </w:r>
      <w:r w:rsidRPr="00C67BCD">
        <w:rPr>
          <w:rFonts w:ascii="Palatino Linotype" w:eastAsia="Palatino Linotype" w:hAnsi="Palatino Linotype" w:cs="Palatino Linotype"/>
          <w:sz w:val="22"/>
          <w:szCs w:val="22"/>
        </w:rPr>
        <w:t xml:space="preserve">por parte del </w:t>
      </w:r>
      <w:r w:rsidR="00AC2BDE" w:rsidRPr="00C67BCD">
        <w:rPr>
          <w:rFonts w:ascii="Palatino Linotype" w:eastAsia="Palatino Linotype" w:hAnsi="Palatino Linotype" w:cs="Palatino Linotype"/>
          <w:b/>
          <w:sz w:val="22"/>
          <w:szCs w:val="22"/>
        </w:rPr>
        <w:t>Instituto del Deporte del Estado de México</w:t>
      </w:r>
      <w:r w:rsidR="00390FDA" w:rsidRPr="00C67BCD">
        <w:rPr>
          <w:rFonts w:ascii="Palatino Linotype" w:eastAsia="Palatino Linotype" w:hAnsi="Palatino Linotype" w:cs="Palatino Linotype"/>
          <w:b/>
          <w:sz w:val="22"/>
          <w:szCs w:val="22"/>
        </w:rPr>
        <w:t>,</w:t>
      </w:r>
      <w:r w:rsidRPr="00C67BCD">
        <w:rPr>
          <w:rFonts w:ascii="Palatino Linotype" w:eastAsia="Palatino Linotype" w:hAnsi="Palatino Linotype" w:cs="Palatino Linotype"/>
          <w:sz w:val="22"/>
          <w:szCs w:val="22"/>
        </w:rPr>
        <w:t xml:space="preserve"> en lo sucesivo el </w:t>
      </w:r>
      <w:r w:rsidRPr="00C67BCD">
        <w:rPr>
          <w:rFonts w:ascii="Palatino Linotype" w:eastAsia="Palatino Linotype" w:hAnsi="Palatino Linotype" w:cs="Palatino Linotype"/>
          <w:b/>
          <w:sz w:val="22"/>
          <w:szCs w:val="22"/>
        </w:rPr>
        <w:t xml:space="preserve">SUJETO OBLIGADO; </w:t>
      </w:r>
      <w:r w:rsidRPr="00C67BCD">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C67BCD"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A N T E C E D E N T E S:</w:t>
      </w:r>
    </w:p>
    <w:p w14:paraId="77D7A248" w14:textId="77777777" w:rsidR="00532AE4" w:rsidRPr="00C67BCD"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24BF8D11"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1. Solicitud de acceso a la información. </w:t>
      </w:r>
      <w:r w:rsidR="00EE5E30" w:rsidRPr="00C67BCD">
        <w:rPr>
          <w:rFonts w:ascii="Palatino Linotype" w:eastAsia="Palatino Linotype" w:hAnsi="Palatino Linotype" w:cs="Palatino Linotype"/>
          <w:sz w:val="22"/>
          <w:szCs w:val="22"/>
        </w:rPr>
        <w:t xml:space="preserve">Con fecha </w:t>
      </w:r>
      <w:r w:rsidR="00AC2BDE" w:rsidRPr="00C67BCD">
        <w:rPr>
          <w:rFonts w:ascii="Palatino Linotype" w:eastAsia="Palatino Linotype" w:hAnsi="Palatino Linotype" w:cs="Palatino Linotype"/>
          <w:b/>
          <w:sz w:val="22"/>
          <w:szCs w:val="22"/>
        </w:rPr>
        <w:t>nueve</w:t>
      </w:r>
      <w:r w:rsidR="00150206" w:rsidRPr="00C67BCD">
        <w:rPr>
          <w:rFonts w:ascii="Palatino Linotype" w:eastAsia="Palatino Linotype" w:hAnsi="Palatino Linotype" w:cs="Palatino Linotype"/>
          <w:b/>
          <w:sz w:val="22"/>
          <w:szCs w:val="22"/>
        </w:rPr>
        <w:t xml:space="preserve"> de julio</w:t>
      </w:r>
      <w:r w:rsidR="0084271D" w:rsidRPr="00C67BCD">
        <w:rPr>
          <w:rFonts w:ascii="Palatino Linotype" w:eastAsia="Palatino Linotype" w:hAnsi="Palatino Linotype" w:cs="Palatino Linotype"/>
          <w:b/>
          <w:sz w:val="22"/>
          <w:szCs w:val="22"/>
        </w:rPr>
        <w:t xml:space="preserve"> de dos mil veintiséis</w:t>
      </w:r>
      <w:r w:rsidRPr="00C67BCD">
        <w:rPr>
          <w:rFonts w:ascii="Palatino Linotype" w:eastAsia="Palatino Linotype" w:hAnsi="Palatino Linotype" w:cs="Palatino Linotype"/>
          <w:sz w:val="22"/>
          <w:szCs w:val="22"/>
        </w:rPr>
        <w:t xml:space="preserve">, la parte </w:t>
      </w:r>
      <w:r w:rsidRPr="00C67BCD">
        <w:rPr>
          <w:rFonts w:ascii="Palatino Linotype" w:eastAsia="Palatino Linotype" w:hAnsi="Palatino Linotype" w:cs="Palatino Linotype"/>
          <w:b/>
          <w:sz w:val="22"/>
          <w:szCs w:val="22"/>
        </w:rPr>
        <w:t xml:space="preserve">RECURRENTE </w:t>
      </w:r>
      <w:r w:rsidRPr="00C67BCD">
        <w:rPr>
          <w:rFonts w:ascii="Palatino Linotype" w:eastAsia="Palatino Linotype" w:hAnsi="Palatino Linotype" w:cs="Palatino Linotype"/>
          <w:sz w:val="22"/>
          <w:szCs w:val="22"/>
        </w:rPr>
        <w:t xml:space="preserve">formuló a través del Sistema de Acceso a la Información Mexiquense, en adelante </w:t>
      </w:r>
      <w:r w:rsidRPr="00C67BCD">
        <w:rPr>
          <w:rFonts w:ascii="Palatino Linotype" w:eastAsia="Palatino Linotype" w:hAnsi="Palatino Linotype" w:cs="Palatino Linotype"/>
          <w:b/>
          <w:sz w:val="22"/>
          <w:szCs w:val="22"/>
        </w:rPr>
        <w:t>SAIMEX,</w:t>
      </w:r>
      <w:r w:rsidRPr="00C67BCD">
        <w:rPr>
          <w:rFonts w:ascii="Palatino Linotype" w:eastAsia="Palatino Linotype" w:hAnsi="Palatino Linotype" w:cs="Palatino Linotype"/>
          <w:sz w:val="22"/>
          <w:szCs w:val="22"/>
        </w:rPr>
        <w:t xml:space="preserve"> solicitud de información al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requiriéndole lo siguiente:</w:t>
      </w:r>
    </w:p>
    <w:p w14:paraId="59CC0872" w14:textId="68200746" w:rsidR="009B6117" w:rsidRPr="00C67BCD" w:rsidRDefault="009B6117" w:rsidP="00724155">
      <w:pPr>
        <w:ind w:right="616"/>
        <w:jc w:val="both"/>
        <w:rPr>
          <w:rFonts w:ascii="Palatino Linotype" w:eastAsia="Palatino Linotype" w:hAnsi="Palatino Linotype" w:cs="Palatino Linotype"/>
          <w:i/>
          <w:sz w:val="22"/>
          <w:szCs w:val="22"/>
        </w:rPr>
      </w:pPr>
    </w:p>
    <w:p w14:paraId="0F87CB2C" w14:textId="54336171" w:rsidR="00532AE4" w:rsidRPr="00C67BCD" w:rsidRDefault="0004402A" w:rsidP="00CF4355">
      <w:pPr>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w:t>
      </w:r>
      <w:r w:rsidR="00284DAE" w:rsidRPr="00C67BCD">
        <w:rPr>
          <w:rFonts w:ascii="Palatino Linotype" w:eastAsia="Palatino Linotype" w:hAnsi="Palatino Linotype" w:cs="Palatino Linotype"/>
          <w:i/>
          <w:sz w:val="22"/>
          <w:szCs w:val="22"/>
        </w:rPr>
        <w:t xml:space="preserve">Impulsar el desarrollo profesional en los ámbitos de la docencia, investigación y promoción de la cultura física, el deporte y el alto rendimiento deportivo, a través de la planificación, coordinación y supervisión de programas académicos especializados en formación y capacitación científica. en base a </w:t>
      </w:r>
      <w:proofErr w:type="spellStart"/>
      <w:r w:rsidR="00284DAE" w:rsidRPr="00C67BCD">
        <w:rPr>
          <w:rFonts w:ascii="Palatino Linotype" w:eastAsia="Palatino Linotype" w:hAnsi="Palatino Linotype" w:cs="Palatino Linotype"/>
          <w:i/>
          <w:sz w:val="22"/>
          <w:szCs w:val="22"/>
        </w:rPr>
        <w:t>esste</w:t>
      </w:r>
      <w:proofErr w:type="spellEnd"/>
      <w:r w:rsidR="00284DAE" w:rsidRPr="00C67BCD">
        <w:rPr>
          <w:rFonts w:ascii="Palatino Linotype" w:eastAsia="Palatino Linotype" w:hAnsi="Palatino Linotype" w:cs="Palatino Linotype"/>
          <w:i/>
          <w:sz w:val="22"/>
          <w:szCs w:val="22"/>
        </w:rPr>
        <w:t xml:space="preserve"> </w:t>
      </w:r>
      <w:proofErr w:type="spellStart"/>
      <w:r w:rsidR="00284DAE" w:rsidRPr="00C67BCD">
        <w:rPr>
          <w:rFonts w:ascii="Palatino Linotype" w:eastAsia="Palatino Linotype" w:hAnsi="Palatino Linotype" w:cs="Palatino Linotype"/>
          <w:i/>
          <w:sz w:val="22"/>
          <w:szCs w:val="22"/>
        </w:rPr>
        <w:t>bjetivo</w:t>
      </w:r>
      <w:proofErr w:type="spellEnd"/>
      <w:r w:rsidR="00284DAE" w:rsidRPr="00C67BCD">
        <w:rPr>
          <w:rFonts w:ascii="Palatino Linotype" w:eastAsia="Palatino Linotype" w:hAnsi="Palatino Linotype" w:cs="Palatino Linotype"/>
          <w:i/>
          <w:sz w:val="22"/>
          <w:szCs w:val="22"/>
        </w:rPr>
        <w:t xml:space="preserve"> </w:t>
      </w:r>
      <w:proofErr w:type="spellStart"/>
      <w:r w:rsidR="00284DAE" w:rsidRPr="00C67BCD">
        <w:rPr>
          <w:rFonts w:ascii="Palatino Linotype" w:eastAsia="Palatino Linotype" w:hAnsi="Palatino Linotype" w:cs="Palatino Linotype"/>
          <w:i/>
          <w:sz w:val="22"/>
          <w:szCs w:val="22"/>
        </w:rPr>
        <w:t>ssolicito</w:t>
      </w:r>
      <w:proofErr w:type="spellEnd"/>
      <w:r w:rsidR="00284DAE" w:rsidRPr="00C67BCD">
        <w:rPr>
          <w:rFonts w:ascii="Palatino Linotype" w:eastAsia="Palatino Linotype" w:hAnsi="Palatino Linotype" w:cs="Palatino Linotype"/>
          <w:i/>
          <w:sz w:val="22"/>
          <w:szCs w:val="22"/>
        </w:rPr>
        <w:t xml:space="preserve"> la siguiente </w:t>
      </w:r>
      <w:proofErr w:type="spellStart"/>
      <w:r w:rsidR="00284DAE" w:rsidRPr="00C67BCD">
        <w:rPr>
          <w:rFonts w:ascii="Palatino Linotype" w:eastAsia="Palatino Linotype" w:hAnsi="Palatino Linotype" w:cs="Palatino Linotype"/>
          <w:i/>
          <w:sz w:val="22"/>
          <w:szCs w:val="22"/>
        </w:rPr>
        <w:t>informcion</w:t>
      </w:r>
      <w:proofErr w:type="spellEnd"/>
      <w:r w:rsidR="00284DAE" w:rsidRPr="00C67BCD">
        <w:rPr>
          <w:rFonts w:ascii="Palatino Linotype" w:eastAsia="Palatino Linotype" w:hAnsi="Palatino Linotype" w:cs="Palatino Linotype"/>
          <w:i/>
          <w:sz w:val="22"/>
          <w:szCs w:val="22"/>
        </w:rPr>
        <w:t xml:space="preserve"> a </w:t>
      </w:r>
      <w:proofErr w:type="spellStart"/>
      <w:r w:rsidR="00284DAE" w:rsidRPr="00C67BCD">
        <w:rPr>
          <w:rFonts w:ascii="Palatino Linotype" w:eastAsia="Palatino Linotype" w:hAnsi="Palatino Linotype" w:cs="Palatino Linotype"/>
          <w:i/>
          <w:sz w:val="22"/>
          <w:szCs w:val="22"/>
        </w:rPr>
        <w:t>ravez</w:t>
      </w:r>
      <w:proofErr w:type="spellEnd"/>
      <w:r w:rsidR="00284DAE" w:rsidRPr="00C67BCD">
        <w:rPr>
          <w:rFonts w:ascii="Palatino Linotype" w:eastAsia="Palatino Linotype" w:hAnsi="Palatino Linotype" w:cs="Palatino Linotype"/>
          <w:i/>
          <w:sz w:val="22"/>
          <w:szCs w:val="22"/>
        </w:rPr>
        <w:t xml:space="preserve"> del SICOSIEM en </w:t>
      </w:r>
      <w:proofErr w:type="spellStart"/>
      <w:r w:rsidR="00284DAE" w:rsidRPr="00C67BCD">
        <w:rPr>
          <w:rFonts w:ascii="Palatino Linotype" w:eastAsia="Palatino Linotype" w:hAnsi="Palatino Linotype" w:cs="Palatino Linotype"/>
          <w:i/>
          <w:sz w:val="22"/>
          <w:szCs w:val="22"/>
        </w:rPr>
        <w:t>verion</w:t>
      </w:r>
      <w:proofErr w:type="spellEnd"/>
      <w:r w:rsidR="00284DAE" w:rsidRPr="00C67BCD">
        <w:rPr>
          <w:rFonts w:ascii="Palatino Linotype" w:eastAsia="Palatino Linotype" w:hAnsi="Palatino Linotype" w:cs="Palatino Linotype"/>
          <w:i/>
          <w:sz w:val="22"/>
          <w:szCs w:val="22"/>
        </w:rPr>
        <w:t xml:space="preserve"> </w:t>
      </w:r>
      <w:proofErr w:type="spellStart"/>
      <w:r w:rsidR="00284DAE" w:rsidRPr="00C67BCD">
        <w:rPr>
          <w:rFonts w:ascii="Palatino Linotype" w:eastAsia="Palatino Linotype" w:hAnsi="Palatino Linotype" w:cs="Palatino Linotype"/>
          <w:i/>
          <w:sz w:val="22"/>
          <w:szCs w:val="22"/>
        </w:rPr>
        <w:t>Publica:Con</w:t>
      </w:r>
      <w:proofErr w:type="spellEnd"/>
      <w:r w:rsidR="00284DAE" w:rsidRPr="00C67BCD">
        <w:rPr>
          <w:rFonts w:ascii="Palatino Linotype" w:eastAsia="Palatino Linotype" w:hAnsi="Palatino Linotype" w:cs="Palatino Linotype"/>
          <w:i/>
          <w:sz w:val="22"/>
          <w:szCs w:val="22"/>
        </w:rPr>
        <w:t xml:space="preserve"> relación a los programas académicos especializados en formación y capacitación científica deportiva que coordina esta institución, solicito la siguiente información estadística y documental en formato electrónico (omitiendo datos personales clasificados como confidenciales): Número total de programas académicos (cursos, talleres, diplomados o certificaciones) impartidos durante el año inmediato anterior y el año en curso, desglosados por modalidad (presencial, virtual o híbrida). Padrón estadístico de beneficiarios o participantes registrados y egresados en dichos programas, desglosado por perfil (docentes, investigadores, entrenadores, atletas de alto rendimiento o público en general). </w:t>
      </w:r>
      <w:r w:rsidR="00284DAE" w:rsidRPr="00C67BCD">
        <w:rPr>
          <w:rFonts w:ascii="Palatino Linotype" w:eastAsia="Palatino Linotype" w:hAnsi="Palatino Linotype" w:cs="Palatino Linotype"/>
          <w:i/>
          <w:sz w:val="22"/>
          <w:szCs w:val="22"/>
        </w:rPr>
        <w:lastRenderedPageBreak/>
        <w:t xml:space="preserve">Copia de las evaluaciones, minutas o informes de supervisión realizados para medir la calidad y el impacto de dichos programas </w:t>
      </w:r>
      <w:proofErr w:type="spellStart"/>
      <w:r w:rsidR="00284DAE" w:rsidRPr="00C67BCD">
        <w:rPr>
          <w:rFonts w:ascii="Palatino Linotype" w:eastAsia="Palatino Linotype" w:hAnsi="Palatino Linotype" w:cs="Palatino Linotype"/>
          <w:i/>
          <w:sz w:val="22"/>
          <w:szCs w:val="22"/>
        </w:rPr>
        <w:t>académicos.Con</w:t>
      </w:r>
      <w:proofErr w:type="spellEnd"/>
      <w:r w:rsidR="00284DAE" w:rsidRPr="00C67BCD">
        <w:rPr>
          <w:rFonts w:ascii="Palatino Linotype" w:eastAsia="Palatino Linotype" w:hAnsi="Palatino Linotype" w:cs="Palatino Linotype"/>
          <w:i/>
          <w:sz w:val="22"/>
          <w:szCs w:val="22"/>
        </w:rPr>
        <w:t xml:space="preserve"> relación a los programas académicos especializados en formación y capacitación científica deportiva que coordina esta institución, solicito la siguiente información estadística y documental en formato electrónico (omitiendo datos personales clasificados como confidenciales): Número total de programas académicos (cursos, talleres, diplomados o certificaciones) impartidos durante el año inmediato anterior y el año en curso, desglosados por modalidad (presencial, virtual o híbrida). Padrón estadístico de beneficiarios o participantes registrados y egresados en dichos programas, desglosado por perfil (docentes, investigadores, entrenadores, atletas de alto rendimiento o público en general). Copia de las evaluaciones, minutas o informes de supervisión realizados para medir la calidad y el impacto de dichos programas académicos.</w:t>
      </w:r>
      <w:r w:rsidR="00137E5A" w:rsidRPr="00C67BCD">
        <w:rPr>
          <w:rFonts w:ascii="Palatino Linotype" w:eastAsia="Palatino Linotype" w:hAnsi="Palatino Linotype" w:cs="Palatino Linotype"/>
          <w:i/>
          <w:sz w:val="22"/>
          <w:szCs w:val="22"/>
        </w:rPr>
        <w:t xml:space="preserve">” </w:t>
      </w:r>
      <w:r w:rsidR="00A76F12" w:rsidRPr="00C67BCD">
        <w:rPr>
          <w:rFonts w:ascii="Palatino Linotype" w:eastAsia="Palatino Linotype" w:hAnsi="Palatino Linotype" w:cs="Palatino Linotype"/>
          <w:i/>
          <w:sz w:val="22"/>
          <w:szCs w:val="22"/>
        </w:rPr>
        <w:t>(Sic)</w:t>
      </w:r>
      <w:r w:rsidR="00CE1553" w:rsidRPr="00C67BCD">
        <w:rPr>
          <w:rFonts w:ascii="Palatino Linotype" w:eastAsia="Palatino Linotype" w:hAnsi="Palatino Linotype" w:cs="Palatino Linotype"/>
          <w:b/>
          <w:sz w:val="22"/>
          <w:szCs w:val="22"/>
        </w:rPr>
        <w:tab/>
      </w:r>
    </w:p>
    <w:p w14:paraId="6697AE7A" w14:textId="77777777" w:rsidR="00147A44" w:rsidRPr="00C67BCD"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C67BCD" w:rsidRDefault="00A76F12" w:rsidP="00FD5905">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Modalidad elegida para la entrega de la información: </w:t>
      </w:r>
      <w:r w:rsidRPr="00C67BCD">
        <w:rPr>
          <w:rFonts w:ascii="Palatino Linotype" w:eastAsia="Palatino Linotype" w:hAnsi="Palatino Linotype" w:cs="Palatino Linotype"/>
          <w:sz w:val="22"/>
          <w:szCs w:val="22"/>
        </w:rPr>
        <w:t>a través del SAIMEX.</w:t>
      </w:r>
    </w:p>
    <w:p w14:paraId="1227E94F" w14:textId="77777777" w:rsidR="00D60C04" w:rsidRPr="00C67BCD"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C67BCD" w:rsidRDefault="00FD5905">
      <w:pPr>
        <w:spacing w:line="360" w:lineRule="auto"/>
        <w:jc w:val="both"/>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2</w:t>
      </w:r>
      <w:r w:rsidR="00D763D8" w:rsidRPr="00C67BCD">
        <w:rPr>
          <w:rFonts w:ascii="Palatino Linotype" w:eastAsia="Palatino Linotype" w:hAnsi="Palatino Linotype" w:cs="Palatino Linotype"/>
          <w:b/>
          <w:sz w:val="22"/>
          <w:szCs w:val="22"/>
        </w:rPr>
        <w:t xml:space="preserve">. </w:t>
      </w:r>
      <w:r w:rsidR="00A76F12" w:rsidRPr="00C67BCD">
        <w:rPr>
          <w:rFonts w:ascii="Palatino Linotype" w:eastAsia="Palatino Linotype" w:hAnsi="Palatino Linotype" w:cs="Palatino Linotype"/>
          <w:b/>
          <w:sz w:val="22"/>
          <w:szCs w:val="22"/>
        </w:rPr>
        <w:t xml:space="preserve">Respuesta. </w:t>
      </w:r>
      <w:r w:rsidR="00A76F12" w:rsidRPr="00C67BCD">
        <w:rPr>
          <w:rFonts w:ascii="Palatino Linotype" w:eastAsia="Palatino Linotype" w:hAnsi="Palatino Linotype" w:cs="Palatino Linotype"/>
          <w:sz w:val="22"/>
          <w:szCs w:val="22"/>
        </w:rPr>
        <w:t xml:space="preserve">El </w:t>
      </w:r>
      <w:r w:rsidR="00A76F12" w:rsidRPr="00C67BCD">
        <w:rPr>
          <w:rFonts w:ascii="Palatino Linotype" w:eastAsia="Palatino Linotype" w:hAnsi="Palatino Linotype" w:cs="Palatino Linotype"/>
          <w:b/>
          <w:sz w:val="22"/>
          <w:szCs w:val="22"/>
        </w:rPr>
        <w:t xml:space="preserve">SUJETO OBLIGADO </w:t>
      </w:r>
      <w:r w:rsidR="00A76F12" w:rsidRPr="00C67BCD">
        <w:rPr>
          <w:rFonts w:ascii="Palatino Linotype" w:eastAsia="Palatino Linotype" w:hAnsi="Palatino Linotype" w:cs="Palatino Linotype"/>
          <w:sz w:val="22"/>
          <w:szCs w:val="22"/>
        </w:rPr>
        <w:t xml:space="preserve">fue omiso en proporcionar respuesta. </w:t>
      </w:r>
    </w:p>
    <w:p w14:paraId="66730054"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64E077EC" w14:textId="52F4245B" w:rsidR="00532AE4" w:rsidRPr="00C67BCD" w:rsidRDefault="00FD5905">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3</w:t>
      </w:r>
      <w:r w:rsidR="00A01FAB" w:rsidRPr="00C67BCD">
        <w:rPr>
          <w:rFonts w:ascii="Palatino Linotype" w:eastAsia="Palatino Linotype" w:hAnsi="Palatino Linotype" w:cs="Palatino Linotype"/>
          <w:b/>
          <w:sz w:val="22"/>
          <w:szCs w:val="22"/>
        </w:rPr>
        <w:t>.</w:t>
      </w:r>
      <w:r w:rsidR="00A76F12" w:rsidRPr="00C67BCD">
        <w:rPr>
          <w:rFonts w:ascii="Palatino Linotype" w:eastAsia="Palatino Linotype" w:hAnsi="Palatino Linotype" w:cs="Palatino Linotype"/>
          <w:b/>
          <w:sz w:val="22"/>
          <w:szCs w:val="22"/>
        </w:rPr>
        <w:t xml:space="preserve">Interposición del recurso de revisión. </w:t>
      </w:r>
      <w:r w:rsidR="00A76F12" w:rsidRPr="00C67BCD">
        <w:rPr>
          <w:rFonts w:ascii="Palatino Linotype" w:eastAsia="Palatino Linotype" w:hAnsi="Palatino Linotype" w:cs="Palatino Linotype"/>
          <w:sz w:val="22"/>
          <w:szCs w:val="22"/>
        </w:rPr>
        <w:t xml:space="preserve">Inconforme la parte solicitante con la falta de respuesta del </w:t>
      </w:r>
      <w:r w:rsidR="00A76F12" w:rsidRPr="00C67BCD">
        <w:rPr>
          <w:rFonts w:ascii="Palatino Linotype" w:eastAsia="Palatino Linotype" w:hAnsi="Palatino Linotype" w:cs="Palatino Linotype"/>
          <w:b/>
          <w:sz w:val="22"/>
          <w:szCs w:val="22"/>
        </w:rPr>
        <w:t>SUJETO OBLIGADO</w:t>
      </w:r>
      <w:r w:rsidR="00A76F12" w:rsidRPr="00C67BCD">
        <w:rPr>
          <w:rFonts w:ascii="Palatino Linotype" w:eastAsia="Palatino Linotype" w:hAnsi="Palatino Linotype" w:cs="Palatino Linotype"/>
          <w:sz w:val="22"/>
          <w:szCs w:val="22"/>
        </w:rPr>
        <w:t xml:space="preserve">, interpuso recurso de revisión a través del SAIMEX en fecha </w:t>
      </w:r>
      <w:r w:rsidR="0042141B" w:rsidRPr="00C67BCD">
        <w:rPr>
          <w:rFonts w:ascii="Palatino Linotype" w:eastAsia="Palatino Linotype" w:hAnsi="Palatino Linotype" w:cs="Palatino Linotype"/>
          <w:b/>
          <w:sz w:val="22"/>
          <w:szCs w:val="22"/>
        </w:rPr>
        <w:t>treinta y uno</w:t>
      </w:r>
      <w:r w:rsidR="00326E2A" w:rsidRPr="00C67BCD">
        <w:rPr>
          <w:rFonts w:ascii="Palatino Linotype" w:eastAsia="Palatino Linotype" w:hAnsi="Palatino Linotype" w:cs="Palatino Linotype"/>
          <w:b/>
          <w:sz w:val="22"/>
          <w:szCs w:val="22"/>
        </w:rPr>
        <w:t xml:space="preserve"> de agosto</w:t>
      </w:r>
      <w:r w:rsidR="00401731" w:rsidRPr="00C67BCD">
        <w:rPr>
          <w:rFonts w:ascii="Palatino Linotype" w:eastAsia="Palatino Linotype" w:hAnsi="Palatino Linotype" w:cs="Palatino Linotype"/>
          <w:b/>
          <w:sz w:val="22"/>
          <w:szCs w:val="22"/>
        </w:rPr>
        <w:t xml:space="preserve"> de dos mil veintiséis</w:t>
      </w:r>
      <w:r w:rsidR="00A76F12" w:rsidRPr="00C67BCD">
        <w:rPr>
          <w:rFonts w:ascii="Palatino Linotype" w:eastAsia="Palatino Linotype" w:hAnsi="Palatino Linotype" w:cs="Palatino Linotype"/>
          <w:sz w:val="22"/>
          <w:szCs w:val="22"/>
        </w:rPr>
        <w:t>, expresando lo siguiente:</w:t>
      </w:r>
    </w:p>
    <w:p w14:paraId="126577AC"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59ACBA47" w14:textId="57725FA8" w:rsidR="00532AE4" w:rsidRPr="00C67BCD" w:rsidRDefault="00A76F12" w:rsidP="00E21CB0">
      <w:pPr>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sz w:val="22"/>
          <w:szCs w:val="22"/>
        </w:rPr>
        <w:t>a) Acto impugnado</w:t>
      </w:r>
      <w:r w:rsidRPr="00C67BCD">
        <w:rPr>
          <w:rFonts w:ascii="Palatino Linotype" w:eastAsia="Palatino Linotype" w:hAnsi="Palatino Linotype" w:cs="Palatino Linotype"/>
          <w:b/>
          <w:i/>
          <w:sz w:val="22"/>
          <w:szCs w:val="22"/>
        </w:rPr>
        <w:t xml:space="preserve">. </w:t>
      </w:r>
      <w:r w:rsidR="00EB74FD" w:rsidRPr="00C67BCD">
        <w:rPr>
          <w:rFonts w:ascii="Palatino Linotype" w:eastAsia="Palatino Linotype" w:hAnsi="Palatino Linotype" w:cs="Palatino Linotype"/>
          <w:i/>
          <w:sz w:val="22"/>
          <w:szCs w:val="22"/>
        </w:rPr>
        <w:t>“</w:t>
      </w:r>
      <w:r w:rsidR="00FE1811" w:rsidRPr="00C67BCD">
        <w:rPr>
          <w:rFonts w:ascii="Palatino Linotype" w:eastAsia="Palatino Linotype" w:hAnsi="Palatino Linotype" w:cs="Palatino Linotype"/>
          <w:i/>
          <w:sz w:val="22"/>
          <w:szCs w:val="22"/>
        </w:rPr>
        <w:t>ACTO QUE SE IMPUGNA: La omisión total de respuesta por parte del Sujeto Obligado (Instituto del Deporte del Estado de México) dentro del plazo estrictamente establecido por la ley.</w:t>
      </w:r>
      <w:r w:rsidR="009B6117" w:rsidRPr="00C67BCD">
        <w:rPr>
          <w:rFonts w:ascii="Palatino Linotype" w:eastAsia="Palatino Linotype" w:hAnsi="Palatino Linotype" w:cs="Palatino Linotype"/>
          <w:i/>
          <w:sz w:val="22"/>
          <w:szCs w:val="22"/>
        </w:rPr>
        <w:t xml:space="preserve">” </w:t>
      </w:r>
      <w:r w:rsidRPr="00C67BCD">
        <w:rPr>
          <w:rFonts w:ascii="Palatino Linotype" w:eastAsia="Palatino Linotype" w:hAnsi="Palatino Linotype" w:cs="Palatino Linotype"/>
          <w:i/>
          <w:sz w:val="22"/>
          <w:szCs w:val="22"/>
        </w:rPr>
        <w:t>(Sic)</w:t>
      </w:r>
    </w:p>
    <w:p w14:paraId="527329DB" w14:textId="77777777" w:rsidR="00532AE4" w:rsidRPr="00C67BCD" w:rsidRDefault="00532AE4" w:rsidP="00E21CB0">
      <w:pPr>
        <w:spacing w:line="276" w:lineRule="auto"/>
        <w:ind w:left="567" w:right="616"/>
        <w:rPr>
          <w:rFonts w:ascii="Palatino Linotype" w:eastAsia="Palatino Linotype" w:hAnsi="Palatino Linotype" w:cs="Palatino Linotype"/>
          <w:b/>
          <w:sz w:val="22"/>
          <w:szCs w:val="22"/>
        </w:rPr>
      </w:pPr>
    </w:p>
    <w:p w14:paraId="27199E43" w14:textId="41DD6342" w:rsidR="00532AE4" w:rsidRPr="00C67BCD" w:rsidRDefault="00A76F12" w:rsidP="00E21CB0">
      <w:pPr>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sz w:val="22"/>
          <w:szCs w:val="22"/>
        </w:rPr>
        <w:t xml:space="preserve">b) Motivos de inconformidad. </w:t>
      </w:r>
      <w:r w:rsidRPr="00C67BCD">
        <w:rPr>
          <w:rFonts w:ascii="Palatino Linotype" w:eastAsia="Palatino Linotype" w:hAnsi="Palatino Linotype" w:cs="Palatino Linotype"/>
          <w:i/>
          <w:sz w:val="22"/>
          <w:szCs w:val="22"/>
        </w:rPr>
        <w:t>“</w:t>
      </w:r>
      <w:r w:rsidR="00FE1811" w:rsidRPr="00C67BCD">
        <w:rPr>
          <w:rFonts w:ascii="Palatino Linotype" w:eastAsia="Palatino Linotype" w:hAnsi="Palatino Linotype" w:cs="Palatino Linotype"/>
          <w:i/>
          <w:sz w:val="22"/>
          <w:szCs w:val="22"/>
        </w:rPr>
        <w:t xml:space="preserve">MOTIVO DE LA </w:t>
      </w:r>
      <w:proofErr w:type="spellStart"/>
      <w:r w:rsidR="00FE1811" w:rsidRPr="00C67BCD">
        <w:rPr>
          <w:rFonts w:ascii="Palatino Linotype" w:eastAsia="Palatino Linotype" w:hAnsi="Palatino Linotype" w:cs="Palatino Linotype"/>
          <w:i/>
          <w:sz w:val="22"/>
          <w:szCs w:val="22"/>
        </w:rPr>
        <w:t>INCONFORMIDAD:Con</w:t>
      </w:r>
      <w:proofErr w:type="spellEnd"/>
      <w:r w:rsidR="00FE1811" w:rsidRPr="00C67BCD">
        <w:rPr>
          <w:rFonts w:ascii="Palatino Linotype" w:eastAsia="Palatino Linotype" w:hAnsi="Palatino Linotype" w:cs="Palatino Linotype"/>
          <w:i/>
          <w:sz w:val="22"/>
          <w:szCs w:val="22"/>
        </w:rPr>
        <w:t xml:space="preserve"> fundamento en los artículos 179 y 182 de la Ley de Transparencia y Acceso a la Información Pública del Estado de México y Municipios, interpongo el presente Recurso de Revisión en virtud de que el Sujeto Obligado ha dejado vencer en exceso el plazo legal de quince días hábiles para dar respuesta a mi solicitud de información, sin que medie notificación de prórroga alguna ni respuesta de ningún tipo en el sistema </w:t>
      </w:r>
      <w:proofErr w:type="spellStart"/>
      <w:r w:rsidR="00FE1811" w:rsidRPr="00C67BCD">
        <w:rPr>
          <w:rFonts w:ascii="Palatino Linotype" w:eastAsia="Palatino Linotype" w:hAnsi="Palatino Linotype" w:cs="Palatino Linotype"/>
          <w:i/>
          <w:sz w:val="22"/>
          <w:szCs w:val="22"/>
        </w:rPr>
        <w:t>SAIMEX.El</w:t>
      </w:r>
      <w:proofErr w:type="spellEnd"/>
      <w:r w:rsidR="00FE1811" w:rsidRPr="00C67BCD">
        <w:rPr>
          <w:rFonts w:ascii="Palatino Linotype" w:eastAsia="Palatino Linotype" w:hAnsi="Palatino Linotype" w:cs="Palatino Linotype"/>
          <w:i/>
          <w:sz w:val="22"/>
          <w:szCs w:val="22"/>
        </w:rPr>
        <w:t xml:space="preserve"> Sujeto Obligado vulnera de manera flagrante mi derecho constitucional de acceso a la información pública, incurriendo en una falta de transparencia absoluta y en una omisión reiterada de sus obligaciones legales en la </w:t>
      </w:r>
      <w:proofErr w:type="spellStart"/>
      <w:r w:rsidR="00FE1811" w:rsidRPr="00C67BCD">
        <w:rPr>
          <w:rFonts w:ascii="Palatino Linotype" w:eastAsia="Palatino Linotype" w:hAnsi="Palatino Linotype" w:cs="Palatino Linotype"/>
          <w:i/>
          <w:sz w:val="22"/>
          <w:szCs w:val="22"/>
        </w:rPr>
        <w:t>materia.Por</w:t>
      </w:r>
      <w:proofErr w:type="spellEnd"/>
      <w:r w:rsidR="00FE1811" w:rsidRPr="00C67BCD">
        <w:rPr>
          <w:rFonts w:ascii="Palatino Linotype" w:eastAsia="Palatino Linotype" w:hAnsi="Palatino Linotype" w:cs="Palatino Linotype"/>
          <w:i/>
          <w:sz w:val="22"/>
          <w:szCs w:val="22"/>
        </w:rPr>
        <w:t xml:space="preserve"> lo anterior, solicito </w:t>
      </w:r>
      <w:r w:rsidR="00FE1811" w:rsidRPr="00C67BCD">
        <w:rPr>
          <w:rFonts w:ascii="Palatino Linotype" w:eastAsia="Palatino Linotype" w:hAnsi="Palatino Linotype" w:cs="Palatino Linotype"/>
          <w:i/>
          <w:sz w:val="22"/>
          <w:szCs w:val="22"/>
        </w:rPr>
        <w:lastRenderedPageBreak/>
        <w:t xml:space="preserve">formalmente al Pleno de este Instituto (INFOEM):ADMITIR el presente recurso de revisión por resultar totalmente procedente ante la falta de respuesta del Sujeto </w:t>
      </w:r>
      <w:proofErr w:type="spellStart"/>
      <w:r w:rsidR="00FE1811" w:rsidRPr="00C67BCD">
        <w:rPr>
          <w:rFonts w:ascii="Palatino Linotype" w:eastAsia="Palatino Linotype" w:hAnsi="Palatino Linotype" w:cs="Palatino Linotype"/>
          <w:i/>
          <w:sz w:val="22"/>
          <w:szCs w:val="22"/>
        </w:rPr>
        <w:t>Obligado.ORDENAR</w:t>
      </w:r>
      <w:proofErr w:type="spellEnd"/>
      <w:r w:rsidR="00FE1811" w:rsidRPr="00C67BCD">
        <w:rPr>
          <w:rFonts w:ascii="Palatino Linotype" w:eastAsia="Palatino Linotype" w:hAnsi="Palatino Linotype" w:cs="Palatino Linotype"/>
          <w:i/>
          <w:sz w:val="22"/>
          <w:szCs w:val="22"/>
        </w:rPr>
        <w:t xml:space="preserve"> al Instituto del Deporte del Estado de México la entrega inmediata, incondicional y gratuita de la información pública </w:t>
      </w:r>
      <w:proofErr w:type="spellStart"/>
      <w:r w:rsidR="00FE1811" w:rsidRPr="00C67BCD">
        <w:rPr>
          <w:rFonts w:ascii="Palatino Linotype" w:eastAsia="Palatino Linotype" w:hAnsi="Palatino Linotype" w:cs="Palatino Linotype"/>
          <w:i/>
          <w:sz w:val="22"/>
          <w:szCs w:val="22"/>
        </w:rPr>
        <w:t>solicitada.INICIAR</w:t>
      </w:r>
      <w:proofErr w:type="spellEnd"/>
      <w:r w:rsidR="00FE1811" w:rsidRPr="00C67BCD">
        <w:rPr>
          <w:rFonts w:ascii="Palatino Linotype" w:eastAsia="Palatino Linotype" w:hAnsi="Palatino Linotype" w:cs="Palatino Linotype"/>
          <w:i/>
          <w:sz w:val="22"/>
          <w:szCs w:val="22"/>
        </w:rPr>
        <w:t xml:space="preserve"> EL PROCEDIMIENTO SANCIONADOR correspondiente en contra del titular de la Unidad de Transparencia y/o de los servidores públicos responsables del Instituto del Deporte del Estado de México, de conformidad con el Título Décimo Primero de la Ley de Transparencia local, imponiendo las medidas de apremio y sanciones administrativas y económicas aplicables por la gravedad de la omisión y el desacato deliberado a los plazos </w:t>
      </w:r>
      <w:proofErr w:type="spellStart"/>
      <w:r w:rsidR="00FE1811" w:rsidRPr="00C67BCD">
        <w:rPr>
          <w:rFonts w:ascii="Palatino Linotype" w:eastAsia="Palatino Linotype" w:hAnsi="Palatino Linotype" w:cs="Palatino Linotype"/>
          <w:i/>
          <w:sz w:val="22"/>
          <w:szCs w:val="22"/>
        </w:rPr>
        <w:t>legales.Justicia</w:t>
      </w:r>
      <w:proofErr w:type="spellEnd"/>
      <w:r w:rsidR="00FE1811" w:rsidRPr="00C67BCD">
        <w:rPr>
          <w:rFonts w:ascii="Palatino Linotype" w:eastAsia="Palatino Linotype" w:hAnsi="Palatino Linotype" w:cs="Palatino Linotype"/>
          <w:i/>
          <w:sz w:val="22"/>
          <w:szCs w:val="22"/>
        </w:rPr>
        <w:t xml:space="preserve"> y Transparencia.</w:t>
      </w:r>
      <w:r w:rsidR="002D134E" w:rsidRPr="00C67BCD">
        <w:rPr>
          <w:rFonts w:ascii="Palatino Linotype" w:eastAsia="Palatino Linotype" w:hAnsi="Palatino Linotype" w:cs="Palatino Linotype"/>
          <w:i/>
          <w:sz w:val="22"/>
          <w:szCs w:val="22"/>
        </w:rPr>
        <w:t>”</w:t>
      </w:r>
      <w:r w:rsidRPr="00C67BCD">
        <w:rPr>
          <w:rFonts w:ascii="Palatino Linotype" w:eastAsia="Palatino Linotype" w:hAnsi="Palatino Linotype" w:cs="Palatino Linotype"/>
          <w:i/>
          <w:sz w:val="22"/>
          <w:szCs w:val="22"/>
        </w:rPr>
        <w:t>(Sic)</w:t>
      </w:r>
    </w:p>
    <w:p w14:paraId="1CD932CE" w14:textId="0DD1EB9D" w:rsidR="00532AE4" w:rsidRPr="00C67BCD" w:rsidRDefault="00532AE4" w:rsidP="00E21CB0">
      <w:pPr>
        <w:spacing w:line="276" w:lineRule="auto"/>
        <w:jc w:val="both"/>
        <w:rPr>
          <w:rFonts w:ascii="Palatino Linotype" w:eastAsia="Palatino Linotype" w:hAnsi="Palatino Linotype" w:cs="Palatino Linotype"/>
          <w:i/>
          <w:sz w:val="22"/>
          <w:szCs w:val="22"/>
        </w:rPr>
      </w:pPr>
    </w:p>
    <w:p w14:paraId="537EC0BB" w14:textId="6FABF595" w:rsidR="00532AE4" w:rsidRPr="00C67BCD" w:rsidRDefault="00A01FAB">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4</w:t>
      </w:r>
      <w:r w:rsidR="00A76F12" w:rsidRPr="00C67BCD">
        <w:rPr>
          <w:rFonts w:ascii="Palatino Linotype" w:eastAsia="Palatino Linotype" w:hAnsi="Palatino Linotype" w:cs="Palatino Linotype"/>
          <w:b/>
          <w:sz w:val="22"/>
          <w:szCs w:val="22"/>
        </w:rPr>
        <w:t xml:space="preserve">. Turno. </w:t>
      </w:r>
      <w:r w:rsidR="00A76F12" w:rsidRPr="00C67BCD">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C67BCD">
        <w:rPr>
          <w:rFonts w:ascii="Palatino Linotype" w:eastAsia="Palatino Linotype" w:hAnsi="Palatino Linotype" w:cs="Palatino Linotype"/>
          <w:b/>
          <w:sz w:val="22"/>
          <w:szCs w:val="22"/>
        </w:rPr>
        <w:t>Guadalupe Ramírez Peña</w:t>
      </w:r>
      <w:r w:rsidR="00A76F12" w:rsidRPr="00C67BCD">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C67BCD" w:rsidRDefault="00285CBA">
      <w:pPr>
        <w:spacing w:line="360" w:lineRule="auto"/>
        <w:jc w:val="both"/>
        <w:rPr>
          <w:rFonts w:ascii="Palatino Linotype" w:eastAsia="Palatino Linotype" w:hAnsi="Palatino Linotype" w:cs="Palatino Linotype"/>
          <w:sz w:val="22"/>
          <w:szCs w:val="22"/>
        </w:rPr>
      </w:pPr>
    </w:p>
    <w:p w14:paraId="6F47DF3C" w14:textId="65B43C0F" w:rsidR="00532AE4" w:rsidRPr="00C67BCD" w:rsidRDefault="00417D9F">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5</w:t>
      </w:r>
      <w:r w:rsidR="00A76F12" w:rsidRPr="00C67BCD">
        <w:rPr>
          <w:rFonts w:ascii="Palatino Linotype" w:eastAsia="Palatino Linotype" w:hAnsi="Palatino Linotype" w:cs="Palatino Linotype"/>
          <w:b/>
          <w:sz w:val="22"/>
          <w:szCs w:val="22"/>
        </w:rPr>
        <w:t xml:space="preserve">. Admisión. </w:t>
      </w:r>
      <w:r w:rsidR="003E2501" w:rsidRPr="00C67BCD">
        <w:rPr>
          <w:rFonts w:ascii="Palatino Linotype" w:eastAsia="Palatino Linotype" w:hAnsi="Palatino Linotype" w:cs="Palatino Linotype"/>
          <w:sz w:val="22"/>
          <w:szCs w:val="22"/>
        </w:rPr>
        <w:t>En</w:t>
      </w:r>
      <w:r w:rsidR="000F363F" w:rsidRPr="00C67BCD">
        <w:rPr>
          <w:rFonts w:ascii="Palatino Linotype" w:eastAsia="Palatino Linotype" w:hAnsi="Palatino Linotype" w:cs="Palatino Linotype"/>
          <w:sz w:val="22"/>
          <w:szCs w:val="22"/>
        </w:rPr>
        <w:t xml:space="preserve"> </w:t>
      </w:r>
      <w:r w:rsidR="00A8506B" w:rsidRPr="00C67BCD">
        <w:rPr>
          <w:rFonts w:ascii="Palatino Linotype" w:eastAsia="Palatino Linotype" w:hAnsi="Palatino Linotype" w:cs="Palatino Linotype"/>
          <w:sz w:val="22"/>
          <w:szCs w:val="22"/>
        </w:rPr>
        <w:t xml:space="preserve">fecha </w:t>
      </w:r>
      <w:r w:rsidR="009749F0" w:rsidRPr="00C67BCD">
        <w:rPr>
          <w:rFonts w:ascii="Palatino Linotype" w:eastAsia="Palatino Linotype" w:hAnsi="Palatino Linotype" w:cs="Palatino Linotype"/>
          <w:b/>
          <w:sz w:val="22"/>
          <w:szCs w:val="22"/>
        </w:rPr>
        <w:t>uno de septiembre</w:t>
      </w:r>
      <w:r w:rsidR="003E2501" w:rsidRPr="00C67BCD">
        <w:rPr>
          <w:rFonts w:ascii="Palatino Linotype" w:eastAsia="Palatino Linotype" w:hAnsi="Palatino Linotype" w:cs="Palatino Linotype"/>
          <w:b/>
          <w:sz w:val="22"/>
          <w:szCs w:val="22"/>
        </w:rPr>
        <w:t xml:space="preserve"> de dos mil veintiséis</w:t>
      </w:r>
      <w:r w:rsidR="00044D36" w:rsidRPr="00C67BCD">
        <w:rPr>
          <w:rFonts w:ascii="Palatino Linotype" w:eastAsia="Palatino Linotype" w:hAnsi="Palatino Linotype" w:cs="Palatino Linotype"/>
          <w:sz w:val="22"/>
          <w:szCs w:val="22"/>
        </w:rPr>
        <w:t xml:space="preserve">, </w:t>
      </w:r>
      <w:r w:rsidR="00A76F12" w:rsidRPr="00C67BCD">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C67BCD" w:rsidRDefault="00417D9F">
      <w:pPr>
        <w:widowControl w:val="0"/>
        <w:spacing w:line="360" w:lineRule="auto"/>
        <w:ind w:right="49"/>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6</w:t>
      </w:r>
      <w:r w:rsidR="00A76F12" w:rsidRPr="00C67BCD">
        <w:rPr>
          <w:rFonts w:ascii="Palatino Linotype" w:eastAsia="Palatino Linotype" w:hAnsi="Palatino Linotype" w:cs="Palatino Linotype"/>
          <w:b/>
          <w:sz w:val="22"/>
          <w:szCs w:val="22"/>
        </w:rPr>
        <w:t>. Manifestaciones</w:t>
      </w:r>
      <w:r w:rsidR="008B25A4" w:rsidRPr="00C67BCD">
        <w:rPr>
          <w:rFonts w:ascii="Palatino Linotype" w:eastAsia="Palatino Linotype" w:hAnsi="Palatino Linotype" w:cs="Palatino Linotype"/>
          <w:sz w:val="22"/>
          <w:szCs w:val="22"/>
        </w:rPr>
        <w:t xml:space="preserve">. </w:t>
      </w:r>
      <w:r w:rsidR="006614E2" w:rsidRPr="00C67BCD">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2868EB16" w:rsidR="006614E2" w:rsidRPr="00C67BCD" w:rsidRDefault="00FE1811">
      <w:pPr>
        <w:spacing w:line="360" w:lineRule="auto"/>
        <w:jc w:val="both"/>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noProof/>
          <w:sz w:val="22"/>
          <w:szCs w:val="22"/>
          <w:lang w:val="es-MX"/>
        </w:rPr>
        <w:lastRenderedPageBreak/>
        <w:drawing>
          <wp:inline distT="0" distB="0" distL="0" distR="0" wp14:anchorId="5C0F82A8" wp14:editId="44590DE4">
            <wp:extent cx="5612130" cy="167767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677670"/>
                    </a:xfrm>
                    <a:prstGeom prst="rect">
                      <a:avLst/>
                    </a:prstGeom>
                  </pic:spPr>
                </pic:pic>
              </a:graphicData>
            </a:graphic>
          </wp:inline>
        </w:drawing>
      </w:r>
    </w:p>
    <w:p w14:paraId="59D90F90" w14:textId="77777777" w:rsidR="006614E2" w:rsidRPr="00C67BCD" w:rsidRDefault="006614E2">
      <w:pPr>
        <w:spacing w:line="360" w:lineRule="auto"/>
        <w:jc w:val="both"/>
        <w:rPr>
          <w:rFonts w:ascii="Palatino Linotype" w:eastAsia="Palatino Linotype" w:hAnsi="Palatino Linotype" w:cs="Palatino Linotype"/>
          <w:b/>
          <w:sz w:val="22"/>
          <w:szCs w:val="22"/>
        </w:rPr>
      </w:pPr>
    </w:p>
    <w:p w14:paraId="2DD31F10" w14:textId="56997830" w:rsidR="00532AE4" w:rsidRPr="00C67BCD" w:rsidRDefault="00417D9F">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7</w:t>
      </w:r>
      <w:r w:rsidR="00A76F12" w:rsidRPr="00C67BCD">
        <w:rPr>
          <w:rFonts w:ascii="Palatino Linotype" w:eastAsia="Palatino Linotype" w:hAnsi="Palatino Linotype" w:cs="Palatino Linotype"/>
          <w:b/>
          <w:sz w:val="22"/>
          <w:szCs w:val="22"/>
        </w:rPr>
        <w:t xml:space="preserve">. Cierre de instrucción. </w:t>
      </w:r>
      <w:r w:rsidR="00A76F12" w:rsidRPr="00C67BCD">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726B4A" w:rsidRPr="00C67BCD">
        <w:rPr>
          <w:rFonts w:ascii="Palatino Linotype" w:eastAsia="Palatino Linotype" w:hAnsi="Palatino Linotype" w:cs="Palatino Linotype"/>
          <w:b/>
          <w:sz w:val="22"/>
          <w:szCs w:val="22"/>
        </w:rPr>
        <w:t xml:space="preserve">once </w:t>
      </w:r>
      <w:r w:rsidR="008E5D58" w:rsidRPr="00C67BCD">
        <w:rPr>
          <w:rFonts w:ascii="Palatino Linotype" w:eastAsia="Palatino Linotype" w:hAnsi="Palatino Linotype" w:cs="Palatino Linotype"/>
          <w:b/>
          <w:sz w:val="22"/>
          <w:szCs w:val="22"/>
        </w:rPr>
        <w:t>de septiembre</w:t>
      </w:r>
      <w:r w:rsidR="007E7839" w:rsidRPr="00C67BCD">
        <w:rPr>
          <w:rFonts w:ascii="Palatino Linotype" w:eastAsia="Palatino Linotype" w:hAnsi="Palatino Linotype" w:cs="Palatino Linotype"/>
          <w:b/>
          <w:sz w:val="22"/>
          <w:szCs w:val="22"/>
        </w:rPr>
        <w:t xml:space="preserve"> de dos mil veintiséis</w:t>
      </w:r>
      <w:r w:rsidR="00A76F12" w:rsidRPr="00C67BCD">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C67BCD" w:rsidRDefault="00A76F12">
      <w:pPr>
        <w:widowControl w:val="0"/>
        <w:spacing w:line="360" w:lineRule="auto"/>
        <w:jc w:val="center"/>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II. C O N S I D E R A N D O S</w:t>
      </w:r>
    </w:p>
    <w:p w14:paraId="04E1DD04" w14:textId="77777777" w:rsidR="00532AE4" w:rsidRPr="00C67BCD"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C67BCD" w:rsidRDefault="00A76F12" w:rsidP="005231DC">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Primero. Competencia.</w:t>
      </w:r>
      <w:r w:rsidRPr="00C67BCD">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C67BCD">
        <w:rPr>
          <w:rFonts w:ascii="Palatino Linotype" w:eastAsia="Palatino Linotype" w:hAnsi="Palatino Linotype" w:cs="Palatino Linotype"/>
          <w:sz w:val="22"/>
          <w:szCs w:val="22"/>
        </w:rPr>
        <w:t xml:space="preserve">5 párrafos cuadragésimo cuarto, cuadragésimo quinto y cuadragésimo sexto, fracciones IV y V de la Constitución Política del Estado Libre y Soberano de México; transitorio Cuarto del Decreto número 198 de la “LXII” Legislatura del </w:t>
      </w:r>
      <w:r w:rsidR="009100C5" w:rsidRPr="00C67BCD">
        <w:rPr>
          <w:rFonts w:ascii="Palatino Linotype" w:eastAsia="Palatino Linotype" w:hAnsi="Palatino Linotype" w:cs="Palatino Linotype"/>
          <w:sz w:val="22"/>
          <w:szCs w:val="22"/>
        </w:rPr>
        <w:lastRenderedPageBreak/>
        <w:t>Estado de México</w:t>
      </w:r>
      <w:r w:rsidRPr="00C67BCD">
        <w:rPr>
          <w:rFonts w:ascii="Palatino Linotype" w:eastAsia="Palatino Linotype" w:hAnsi="Palatino Linotype" w:cs="Palatino Linotype"/>
          <w:sz w:val="22"/>
          <w:szCs w:val="22"/>
        </w:rPr>
        <w:t>;</w:t>
      </w:r>
      <w:r w:rsidR="005231DC" w:rsidRPr="00C67BCD">
        <w:rPr>
          <w:rFonts w:ascii="Palatino Linotype" w:eastAsia="Palatino Linotype" w:hAnsi="Palatino Linotype" w:cs="Palatino Linotype"/>
          <w:sz w:val="22"/>
          <w:szCs w:val="22"/>
        </w:rPr>
        <w:t xml:space="preserve"> </w:t>
      </w:r>
      <w:r w:rsidRPr="00C67BCD">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Segundo. Oportunidad y Procedibilidad del Recurso de Revisión. </w:t>
      </w:r>
      <w:r w:rsidRPr="00C67BCD">
        <w:rPr>
          <w:rFonts w:ascii="Palatino Linotype" w:eastAsia="Palatino Linotype" w:hAnsi="Palatino Linotype" w:cs="Palatino Linotype"/>
          <w:sz w:val="22"/>
          <w:szCs w:val="22"/>
        </w:rPr>
        <w:t>Por cuanto hace a la oportunidad del recurso de revisión</w:t>
      </w:r>
      <w:r w:rsidRPr="00C67BCD">
        <w:rPr>
          <w:rFonts w:ascii="Palatino Linotype" w:eastAsia="Palatino Linotype" w:hAnsi="Palatino Linotype" w:cs="Palatino Linotype"/>
          <w:b/>
          <w:sz w:val="22"/>
          <w:szCs w:val="22"/>
        </w:rPr>
        <w:t xml:space="preserve"> </w:t>
      </w:r>
      <w:r w:rsidRPr="00C67BCD">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Derivado de lo anterior, se constituye la figura jurídica de la </w:t>
      </w:r>
      <w:r w:rsidRPr="00C67BCD">
        <w:rPr>
          <w:rFonts w:ascii="Palatino Linotype" w:eastAsia="Palatino Linotype" w:hAnsi="Palatino Linotype" w:cs="Palatino Linotype"/>
          <w:b/>
          <w:sz w:val="22"/>
          <w:szCs w:val="22"/>
        </w:rPr>
        <w:t>NEGATIVA FICTA</w:t>
      </w:r>
      <w:r w:rsidRPr="00C67BCD">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De tal manera, en el presente recurso de revisión se actualizó la negativa ficta por parte del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al no haber respondido a la parte </w:t>
      </w:r>
      <w:r w:rsidRPr="00C67BCD">
        <w:rPr>
          <w:rFonts w:ascii="Palatino Linotype" w:eastAsia="Palatino Linotype" w:hAnsi="Palatino Linotype" w:cs="Palatino Linotype"/>
          <w:b/>
          <w:sz w:val="22"/>
          <w:szCs w:val="22"/>
        </w:rPr>
        <w:t>RECURRENTE</w:t>
      </w:r>
      <w:r w:rsidRPr="00C67BCD">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w:t>
      </w:r>
      <w:r w:rsidRPr="00C67BCD">
        <w:rPr>
          <w:rFonts w:ascii="Palatino Linotype" w:eastAsia="Palatino Linotype" w:hAnsi="Palatino Linotype" w:cs="Palatino Linotype"/>
          <w:sz w:val="22"/>
          <w:szCs w:val="22"/>
        </w:rPr>
        <w:lastRenderedPageBreak/>
        <w:t>pero que el hecho simple de no responder apareja una forma por omisión de negar el acceso a la información.</w:t>
      </w:r>
    </w:p>
    <w:p w14:paraId="22DC742F"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Si a ello se le suma lo previsto en el párrafo segundo del artículo 178, párrafo segundo</w:t>
      </w:r>
      <w:r w:rsidRPr="00C67BCD">
        <w:rPr>
          <w:rFonts w:ascii="Palatino Linotype" w:eastAsia="Palatino Linotype" w:hAnsi="Palatino Linotype" w:cs="Palatino Linotype"/>
          <w:sz w:val="22"/>
          <w:szCs w:val="22"/>
          <w:vertAlign w:val="superscript"/>
        </w:rPr>
        <w:footnoteReference w:id="1"/>
      </w:r>
      <w:r w:rsidRPr="00C67BCD">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C67BCD" w:rsidRDefault="00532AE4">
      <w:pPr>
        <w:spacing w:line="360" w:lineRule="auto"/>
        <w:jc w:val="both"/>
        <w:rPr>
          <w:i/>
          <w:sz w:val="22"/>
          <w:szCs w:val="22"/>
        </w:rPr>
      </w:pPr>
    </w:p>
    <w:p w14:paraId="4BB01BE0" w14:textId="77777777" w:rsidR="00532AE4" w:rsidRPr="00C67BCD" w:rsidRDefault="00A76F12">
      <w:pPr>
        <w:ind w:left="567" w:right="616"/>
        <w:jc w:val="both"/>
        <w:rPr>
          <w:rFonts w:ascii="Palatino Linotype" w:eastAsia="Palatino Linotype" w:hAnsi="Palatino Linotype" w:cs="Palatino Linotype"/>
          <w:b/>
          <w:i/>
          <w:sz w:val="22"/>
          <w:szCs w:val="22"/>
        </w:rPr>
      </w:pPr>
      <w:r w:rsidRPr="00C67BCD">
        <w:rPr>
          <w:rFonts w:ascii="Palatino Linotype" w:eastAsia="Palatino Linotype" w:hAnsi="Palatino Linotype" w:cs="Palatino Linotype"/>
          <w:i/>
          <w:sz w:val="22"/>
          <w:szCs w:val="22"/>
        </w:rPr>
        <w:t>“</w:t>
      </w:r>
      <w:r w:rsidRPr="00C67BCD">
        <w:rPr>
          <w:rFonts w:ascii="Palatino Linotype" w:eastAsia="Palatino Linotype" w:hAnsi="Palatino Linotype" w:cs="Palatino Linotype"/>
          <w:b/>
          <w:i/>
          <w:sz w:val="22"/>
          <w:szCs w:val="22"/>
        </w:rPr>
        <w:t>CRITERIO 0001-15 NEGATIVA FICTA. PLAZO PARA INTERPONER EL RECURSO DE REVISIÓN TRATÁNDOSE DE</w:t>
      </w:r>
      <w:r w:rsidRPr="00C67BCD">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C67BCD" w:rsidRDefault="00532AE4">
      <w:pPr>
        <w:ind w:left="567" w:right="851"/>
        <w:jc w:val="both"/>
        <w:rPr>
          <w:rFonts w:ascii="Palatino Linotype" w:eastAsia="Palatino Linotype" w:hAnsi="Palatino Linotype" w:cs="Palatino Linotype"/>
          <w:i/>
          <w:sz w:val="22"/>
          <w:szCs w:val="22"/>
        </w:rPr>
      </w:pPr>
    </w:p>
    <w:p w14:paraId="76E26C4F" w14:textId="169CE5C8" w:rsidR="00532AE4" w:rsidRPr="00C67BCD"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C67BCD">
        <w:rPr>
          <w:rFonts w:ascii="Palatino Linotype" w:eastAsia="Palatino Linotype" w:hAnsi="Palatino Linotype" w:cs="Palatino Linotype"/>
          <w:b/>
          <w:sz w:val="22"/>
          <w:szCs w:val="22"/>
        </w:rPr>
        <w:t>EL</w:t>
      </w:r>
      <w:r w:rsidRPr="00C67BCD">
        <w:rPr>
          <w:rFonts w:ascii="Palatino Linotype" w:eastAsia="Palatino Linotype" w:hAnsi="Palatino Linotype" w:cs="Palatino Linotype"/>
          <w:sz w:val="22"/>
          <w:szCs w:val="22"/>
        </w:rPr>
        <w:t xml:space="preserve"> </w:t>
      </w:r>
      <w:r w:rsidRPr="00C67BCD">
        <w:rPr>
          <w:rFonts w:ascii="Palatino Linotype" w:eastAsia="Palatino Linotype" w:hAnsi="Palatino Linotype" w:cs="Palatino Linotype"/>
          <w:b/>
          <w:sz w:val="22"/>
          <w:szCs w:val="22"/>
        </w:rPr>
        <w:t>SAIMEX</w:t>
      </w:r>
      <w:r w:rsidRPr="00C67BCD">
        <w:rPr>
          <w:rFonts w:ascii="Palatino Linotype" w:eastAsia="Palatino Linotype" w:hAnsi="Palatino Linotype" w:cs="Palatino Linotype"/>
          <w:sz w:val="22"/>
          <w:szCs w:val="22"/>
        </w:rPr>
        <w:t>.</w:t>
      </w:r>
    </w:p>
    <w:p w14:paraId="1C27DB56" w14:textId="40163621" w:rsidR="00B503D1" w:rsidRPr="00C67BCD"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C67BCD">
        <w:rPr>
          <w:rFonts w:ascii="Palatino Linotype" w:eastAsia="Palatino Linotype" w:hAnsi="Palatino Linotype" w:cs="Palatino Linotype"/>
          <w:b/>
          <w:sz w:val="22"/>
          <w:szCs w:val="22"/>
        </w:rPr>
        <w:t>RECURRENTE</w:t>
      </w:r>
      <w:r w:rsidRPr="00C67BCD">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C67BCD" w:rsidRDefault="00A76F12">
      <w:pPr>
        <w:ind w:left="567" w:right="616"/>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i/>
          <w:sz w:val="22"/>
          <w:szCs w:val="22"/>
        </w:rPr>
        <w:t>“</w:t>
      </w:r>
      <w:r w:rsidRPr="00C67BCD">
        <w:rPr>
          <w:rFonts w:ascii="Palatino Linotype" w:eastAsia="Palatino Linotype" w:hAnsi="Palatino Linotype" w:cs="Palatino Linotype"/>
          <w:b/>
          <w:sz w:val="22"/>
          <w:szCs w:val="22"/>
        </w:rPr>
        <w:t>Artículo 179.</w:t>
      </w:r>
      <w:r w:rsidRPr="00C67BCD">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C67BCD">
        <w:rPr>
          <w:rFonts w:ascii="Palatino Linotype" w:eastAsia="Palatino Linotype" w:hAnsi="Palatino Linotype" w:cs="Palatino Linotype"/>
          <w:sz w:val="22"/>
          <w:szCs w:val="22"/>
        </w:rPr>
        <w:t> </w:t>
      </w:r>
    </w:p>
    <w:p w14:paraId="7ACAE181" w14:textId="77777777" w:rsidR="00532AE4" w:rsidRPr="00C67BCD" w:rsidRDefault="00A76F12">
      <w:pPr>
        <w:ind w:left="567" w:right="616"/>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w:t>
      </w:r>
    </w:p>
    <w:p w14:paraId="543A0FF7" w14:textId="77777777" w:rsidR="00532AE4" w:rsidRPr="00C67BCD" w:rsidRDefault="00A76F12">
      <w:pPr>
        <w:numPr>
          <w:ilvl w:val="0"/>
          <w:numId w:val="4"/>
        </w:numPr>
        <w:ind w:left="567" w:right="616" w:firstLine="0"/>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C67BCD"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C67BCD" w:rsidRDefault="00A76F12">
      <w:pPr>
        <w:tabs>
          <w:tab w:val="left" w:pos="8647"/>
        </w:tabs>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Tercero. Materia de la revisión. </w:t>
      </w:r>
      <w:r w:rsidRPr="00C67BCD">
        <w:rPr>
          <w:rFonts w:ascii="Palatino Linotype" w:eastAsia="Palatino Linotype" w:hAnsi="Palatino Linotype" w:cs="Palatino Linotype"/>
          <w:sz w:val="22"/>
          <w:szCs w:val="22"/>
        </w:rPr>
        <w:t xml:space="preserve">Este Organismo Garante procede del análisis de los agravios hechos valer por la parte </w:t>
      </w:r>
      <w:r w:rsidRPr="00C67BCD">
        <w:rPr>
          <w:rFonts w:ascii="Palatino Linotype" w:eastAsia="Palatino Linotype" w:hAnsi="Palatino Linotype" w:cs="Palatino Linotype"/>
          <w:b/>
          <w:sz w:val="22"/>
          <w:szCs w:val="22"/>
        </w:rPr>
        <w:t>Recurrente</w:t>
      </w:r>
      <w:r w:rsidRPr="00C67BCD">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C67BCD"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Cuarto. Estudio del asunto. </w:t>
      </w:r>
      <w:r w:rsidRPr="00C67BCD">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C67BCD">
        <w:rPr>
          <w:rFonts w:ascii="Palatino Linotype" w:eastAsia="Palatino Linotype" w:hAnsi="Palatino Linotype" w:cs="Palatino Linotype"/>
          <w:b/>
          <w:sz w:val="22"/>
          <w:szCs w:val="22"/>
        </w:rPr>
        <w:t xml:space="preserve">Sujeto Obligado </w:t>
      </w:r>
      <w:r w:rsidRPr="00C67BCD">
        <w:rPr>
          <w:rFonts w:ascii="Palatino Linotype" w:eastAsia="Palatino Linotype" w:hAnsi="Palatino Linotype" w:cs="Palatino Linotype"/>
          <w:sz w:val="22"/>
          <w:szCs w:val="22"/>
        </w:rPr>
        <w:t xml:space="preserve">no dio respuesta a la solicitud de información planteada por la parte </w:t>
      </w:r>
      <w:r w:rsidRPr="00C67BCD">
        <w:rPr>
          <w:rFonts w:ascii="Palatino Linotype" w:eastAsia="Palatino Linotype" w:hAnsi="Palatino Linotype" w:cs="Palatino Linotype"/>
          <w:b/>
          <w:sz w:val="22"/>
          <w:szCs w:val="22"/>
        </w:rPr>
        <w:t>Recurrente</w:t>
      </w:r>
      <w:r w:rsidRPr="00C67BCD">
        <w:rPr>
          <w:rFonts w:ascii="Palatino Linotype" w:eastAsia="Palatino Linotype" w:hAnsi="Palatino Linotype" w:cs="Palatino Linotype"/>
          <w:sz w:val="22"/>
          <w:szCs w:val="22"/>
        </w:rPr>
        <w:t xml:space="preserve">, lo que se traduce como la configuración de la </w:t>
      </w:r>
      <w:r w:rsidRPr="00C67BCD">
        <w:rPr>
          <w:rFonts w:ascii="Palatino Linotype" w:eastAsia="Palatino Linotype" w:hAnsi="Palatino Linotype" w:cs="Palatino Linotype"/>
          <w:b/>
          <w:sz w:val="22"/>
          <w:szCs w:val="22"/>
        </w:rPr>
        <w:t>negativa ficta</w:t>
      </w:r>
      <w:r w:rsidRPr="00C67BCD">
        <w:rPr>
          <w:rFonts w:ascii="Palatino Linotype" w:eastAsia="Palatino Linotype" w:hAnsi="Palatino Linotype" w:cs="Palatino Linotype"/>
          <w:sz w:val="22"/>
          <w:szCs w:val="22"/>
        </w:rPr>
        <w:t xml:space="preserve">, situación que demuestra la existencia del acto impugnado y procedencia del motivo </w:t>
      </w:r>
      <w:r w:rsidRPr="00C67BCD">
        <w:rPr>
          <w:rFonts w:ascii="Palatino Linotype" w:eastAsia="Palatino Linotype" w:hAnsi="Palatino Linotype" w:cs="Palatino Linotype"/>
          <w:sz w:val="22"/>
          <w:szCs w:val="22"/>
        </w:rPr>
        <w:lastRenderedPageBreak/>
        <w:t xml:space="preserve">de inconformidad, que en términos generales consistente en que 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C67BCD">
        <w:rPr>
          <w:rFonts w:ascii="Palatino Linotype" w:eastAsia="Palatino Linotype" w:hAnsi="Palatino Linotype" w:cs="Palatino Linotype"/>
          <w:b/>
          <w:sz w:val="22"/>
          <w:szCs w:val="22"/>
        </w:rPr>
        <w:t>Recurrente</w:t>
      </w:r>
      <w:r w:rsidRPr="00C67BCD">
        <w:rPr>
          <w:rFonts w:ascii="Palatino Linotype" w:eastAsia="Palatino Linotype" w:hAnsi="Palatino Linotype" w:cs="Palatino Linotype"/>
          <w:sz w:val="22"/>
          <w:szCs w:val="22"/>
        </w:rPr>
        <w:t xml:space="preserve">, se advierte que requirió al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le proporcionara, información consistente en lo siguiente:</w:t>
      </w:r>
    </w:p>
    <w:p w14:paraId="35279DFB" w14:textId="0EAE1C44" w:rsidR="00532AE4" w:rsidRPr="00C67BCD" w:rsidRDefault="00B82C51" w:rsidP="007276F5">
      <w:pPr>
        <w:jc w:val="both"/>
        <w:rPr>
          <w:rFonts w:ascii="Palatino Linotype" w:eastAsia="Palatino Linotype" w:hAnsi="Palatino Linotype"/>
          <w:i/>
          <w:sz w:val="22"/>
          <w:szCs w:val="22"/>
        </w:rPr>
      </w:pPr>
      <w:r w:rsidRPr="00C67BCD">
        <w:rPr>
          <w:rFonts w:ascii="Palatino Linotype" w:eastAsia="Palatino Linotype" w:hAnsi="Palatino Linotype"/>
          <w:i/>
          <w:sz w:val="22"/>
          <w:szCs w:val="22"/>
        </w:rPr>
        <w:t>“</w:t>
      </w:r>
      <w:r w:rsidR="00AC5442" w:rsidRPr="00C67BCD">
        <w:rPr>
          <w:rFonts w:ascii="Palatino Linotype" w:eastAsia="Palatino Linotype" w:hAnsi="Palatino Linotype"/>
          <w:i/>
          <w:sz w:val="22"/>
          <w:szCs w:val="22"/>
        </w:rPr>
        <w:t xml:space="preserve">Impulsar el desarrollo profesional en los ámbitos de la docencia, investigación y promoción de la cultura física, el deporte y el alto rendimiento deportivo, a través de la planificación, coordinación y supervisión de programas académicos especializados en formación y capacitación científica. en base a </w:t>
      </w:r>
      <w:proofErr w:type="spellStart"/>
      <w:r w:rsidR="00AC5442" w:rsidRPr="00C67BCD">
        <w:rPr>
          <w:rFonts w:ascii="Palatino Linotype" w:eastAsia="Palatino Linotype" w:hAnsi="Palatino Linotype"/>
          <w:i/>
          <w:sz w:val="22"/>
          <w:szCs w:val="22"/>
        </w:rPr>
        <w:t>esste</w:t>
      </w:r>
      <w:proofErr w:type="spellEnd"/>
      <w:r w:rsidR="00AC5442" w:rsidRPr="00C67BCD">
        <w:rPr>
          <w:rFonts w:ascii="Palatino Linotype" w:eastAsia="Palatino Linotype" w:hAnsi="Palatino Linotype"/>
          <w:i/>
          <w:sz w:val="22"/>
          <w:szCs w:val="22"/>
        </w:rPr>
        <w:t xml:space="preserve"> </w:t>
      </w:r>
      <w:proofErr w:type="spellStart"/>
      <w:r w:rsidR="00AC5442" w:rsidRPr="00C67BCD">
        <w:rPr>
          <w:rFonts w:ascii="Palatino Linotype" w:eastAsia="Palatino Linotype" w:hAnsi="Palatino Linotype"/>
          <w:i/>
          <w:sz w:val="22"/>
          <w:szCs w:val="22"/>
        </w:rPr>
        <w:t>bjetivo</w:t>
      </w:r>
      <w:proofErr w:type="spellEnd"/>
      <w:r w:rsidR="00AC5442" w:rsidRPr="00C67BCD">
        <w:rPr>
          <w:rFonts w:ascii="Palatino Linotype" w:eastAsia="Palatino Linotype" w:hAnsi="Palatino Linotype"/>
          <w:i/>
          <w:sz w:val="22"/>
          <w:szCs w:val="22"/>
        </w:rPr>
        <w:t xml:space="preserve"> </w:t>
      </w:r>
      <w:proofErr w:type="spellStart"/>
      <w:r w:rsidR="00AC5442" w:rsidRPr="00C67BCD">
        <w:rPr>
          <w:rFonts w:ascii="Palatino Linotype" w:eastAsia="Palatino Linotype" w:hAnsi="Palatino Linotype"/>
          <w:i/>
          <w:sz w:val="22"/>
          <w:szCs w:val="22"/>
        </w:rPr>
        <w:t>ssolicito</w:t>
      </w:r>
      <w:proofErr w:type="spellEnd"/>
      <w:r w:rsidR="00AC5442" w:rsidRPr="00C67BCD">
        <w:rPr>
          <w:rFonts w:ascii="Palatino Linotype" w:eastAsia="Palatino Linotype" w:hAnsi="Palatino Linotype"/>
          <w:i/>
          <w:sz w:val="22"/>
          <w:szCs w:val="22"/>
        </w:rPr>
        <w:t xml:space="preserve"> la siguiente </w:t>
      </w:r>
      <w:proofErr w:type="spellStart"/>
      <w:r w:rsidR="00AC5442" w:rsidRPr="00C67BCD">
        <w:rPr>
          <w:rFonts w:ascii="Palatino Linotype" w:eastAsia="Palatino Linotype" w:hAnsi="Palatino Linotype"/>
          <w:i/>
          <w:sz w:val="22"/>
          <w:szCs w:val="22"/>
        </w:rPr>
        <w:t>informcion</w:t>
      </w:r>
      <w:proofErr w:type="spellEnd"/>
      <w:r w:rsidR="00AC5442" w:rsidRPr="00C67BCD">
        <w:rPr>
          <w:rFonts w:ascii="Palatino Linotype" w:eastAsia="Palatino Linotype" w:hAnsi="Palatino Linotype"/>
          <w:i/>
          <w:sz w:val="22"/>
          <w:szCs w:val="22"/>
        </w:rPr>
        <w:t xml:space="preserve"> a </w:t>
      </w:r>
      <w:proofErr w:type="spellStart"/>
      <w:r w:rsidR="00AC5442" w:rsidRPr="00C67BCD">
        <w:rPr>
          <w:rFonts w:ascii="Palatino Linotype" w:eastAsia="Palatino Linotype" w:hAnsi="Palatino Linotype"/>
          <w:i/>
          <w:sz w:val="22"/>
          <w:szCs w:val="22"/>
        </w:rPr>
        <w:t>ravez</w:t>
      </w:r>
      <w:proofErr w:type="spellEnd"/>
      <w:r w:rsidR="00AC5442" w:rsidRPr="00C67BCD">
        <w:rPr>
          <w:rFonts w:ascii="Palatino Linotype" w:eastAsia="Palatino Linotype" w:hAnsi="Palatino Linotype"/>
          <w:i/>
          <w:sz w:val="22"/>
          <w:szCs w:val="22"/>
        </w:rPr>
        <w:t xml:space="preserve"> del SICOSIEM en </w:t>
      </w:r>
      <w:proofErr w:type="spellStart"/>
      <w:r w:rsidR="00AC5442" w:rsidRPr="00C67BCD">
        <w:rPr>
          <w:rFonts w:ascii="Palatino Linotype" w:eastAsia="Palatino Linotype" w:hAnsi="Palatino Linotype"/>
          <w:i/>
          <w:sz w:val="22"/>
          <w:szCs w:val="22"/>
        </w:rPr>
        <w:t>verion</w:t>
      </w:r>
      <w:proofErr w:type="spellEnd"/>
      <w:r w:rsidR="00AC5442" w:rsidRPr="00C67BCD">
        <w:rPr>
          <w:rFonts w:ascii="Palatino Linotype" w:eastAsia="Palatino Linotype" w:hAnsi="Palatino Linotype"/>
          <w:i/>
          <w:sz w:val="22"/>
          <w:szCs w:val="22"/>
        </w:rPr>
        <w:t xml:space="preserve"> </w:t>
      </w:r>
      <w:proofErr w:type="spellStart"/>
      <w:r w:rsidR="00AC5442" w:rsidRPr="00C67BCD">
        <w:rPr>
          <w:rFonts w:ascii="Palatino Linotype" w:eastAsia="Palatino Linotype" w:hAnsi="Palatino Linotype"/>
          <w:i/>
          <w:sz w:val="22"/>
          <w:szCs w:val="22"/>
        </w:rPr>
        <w:t>Publica:Con</w:t>
      </w:r>
      <w:proofErr w:type="spellEnd"/>
      <w:r w:rsidR="00AC5442" w:rsidRPr="00C67BCD">
        <w:rPr>
          <w:rFonts w:ascii="Palatino Linotype" w:eastAsia="Palatino Linotype" w:hAnsi="Palatino Linotype"/>
          <w:i/>
          <w:sz w:val="22"/>
          <w:szCs w:val="22"/>
        </w:rPr>
        <w:t xml:space="preserve"> relación a los programas académicos especializados en formación y capacitación científica deportiva que coordina esta institución, solicito la siguiente información estadística y documental en formato electrónico (omitiendo datos personales clasificados como confidenciales): Número total de programas académicos (cursos, talleres, diplomados o certificaciones) impartidos durante el año inmediato anterior y el año en curso, desglosados por modalidad (presencial, virtual o híbrida). Padrón estadístico de beneficiarios o participantes registrados y egresados en dichos programas, desglosado por perfil (docentes, investigadores, entrenadores, atletas de alto rendimiento o público en general). Copia de las evaluaciones, minutas o informes de supervisión realizados para medir la calidad y el impacto de dichos programas </w:t>
      </w:r>
      <w:proofErr w:type="spellStart"/>
      <w:r w:rsidR="00AC5442" w:rsidRPr="00C67BCD">
        <w:rPr>
          <w:rFonts w:ascii="Palatino Linotype" w:eastAsia="Palatino Linotype" w:hAnsi="Palatino Linotype"/>
          <w:i/>
          <w:sz w:val="22"/>
          <w:szCs w:val="22"/>
        </w:rPr>
        <w:t>académicos.Con</w:t>
      </w:r>
      <w:proofErr w:type="spellEnd"/>
      <w:r w:rsidR="00AC5442" w:rsidRPr="00C67BCD">
        <w:rPr>
          <w:rFonts w:ascii="Palatino Linotype" w:eastAsia="Palatino Linotype" w:hAnsi="Palatino Linotype"/>
          <w:i/>
          <w:sz w:val="22"/>
          <w:szCs w:val="22"/>
        </w:rPr>
        <w:t xml:space="preserve"> relación a los programas académicos especializados en formación y capacitación científica deportiva que coordina esta institución, solicito la siguiente información estadística y documental en formato electrónico (omitiendo datos personales clasificados como confidenciales): Número total de programas académicos (cursos, talleres, diplomados o certificaciones) impartidos durante el año inmediato anterior y el año en curso, desglosados por modalidad (presencial, virtual o híbrida). Padrón estadístico de beneficiarios o participantes registrados y egresados en dichos programas, desglosado por perfil (docentes, investigadores, entrenadores, atletas de alto rendimiento o público en general). Copia de las evaluaciones, minutas o informes de supervisión realizados para medir la calidad y el impacto de dichos programas académicos.</w:t>
      </w:r>
      <w:r w:rsidR="009C3B23" w:rsidRPr="00C67BCD">
        <w:rPr>
          <w:rFonts w:ascii="Palatino Linotype" w:eastAsia="Palatino Linotype" w:hAnsi="Palatino Linotype"/>
          <w:i/>
          <w:sz w:val="22"/>
          <w:szCs w:val="22"/>
        </w:rPr>
        <w:t>”</w:t>
      </w:r>
      <w:r w:rsidR="00223CD6" w:rsidRPr="00C67BCD">
        <w:rPr>
          <w:rFonts w:ascii="Palatino Linotype" w:eastAsia="Palatino Linotype" w:hAnsi="Palatino Linotype"/>
          <w:i/>
          <w:sz w:val="22"/>
          <w:szCs w:val="22"/>
        </w:rPr>
        <w:t xml:space="preserve"> (</w:t>
      </w:r>
      <w:r w:rsidR="00A76F12" w:rsidRPr="00C67BCD">
        <w:rPr>
          <w:rFonts w:ascii="Palatino Linotype" w:eastAsia="Palatino Linotype" w:hAnsi="Palatino Linotype"/>
          <w:i/>
          <w:sz w:val="22"/>
          <w:szCs w:val="22"/>
        </w:rPr>
        <w:t>Sic)</w:t>
      </w:r>
    </w:p>
    <w:p w14:paraId="4BE46D97" w14:textId="77777777" w:rsidR="00532AE4" w:rsidRPr="00C67BC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Precisado lo anterior, se procede al análisis del presente recurso, así como al contenido íntegro de las actuaciones que obran en el expediente electrónico, para así estar en posibilidad este Organismo Garante de dictar el fallo correspondiente conforme a derecho, </w:t>
      </w:r>
      <w:r w:rsidRPr="00C67BCD">
        <w:rPr>
          <w:rFonts w:ascii="Palatino Linotype" w:eastAsia="Palatino Linotype" w:hAnsi="Palatino Linotype" w:cs="Palatino Linotype"/>
          <w:sz w:val="22"/>
          <w:szCs w:val="22"/>
        </w:rPr>
        <w:lastRenderedPageBreak/>
        <w:t>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C67BCD" w:rsidRDefault="00A76F12">
      <w:pPr>
        <w:tabs>
          <w:tab w:val="left" w:pos="709"/>
        </w:tabs>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C67BCD"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C67BC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C67BCD">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C67BCD"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C67BCD">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C67BC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C67BCD">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C67BC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w:t>
      </w:r>
    </w:p>
    <w:p w14:paraId="54E0C206" w14:textId="77777777" w:rsidR="00532AE4" w:rsidRPr="00C67BCD" w:rsidRDefault="00A76F12">
      <w:pPr>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“Artículo 6o.</w:t>
      </w:r>
    </w:p>
    <w:p w14:paraId="4D803AB1" w14:textId="77777777" w:rsidR="00532AE4" w:rsidRPr="00C67BCD" w:rsidRDefault="00A76F12">
      <w:pPr>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lastRenderedPageBreak/>
        <w:t>[...]</w:t>
      </w:r>
    </w:p>
    <w:p w14:paraId="4B588253" w14:textId="77777777" w:rsidR="00532AE4" w:rsidRPr="00C67BCD" w:rsidRDefault="00A76F12">
      <w:pPr>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A. Para el ejercicio del derecho de acceso a la información, la Federación y </w:t>
      </w:r>
      <w:r w:rsidRPr="00C67BCD">
        <w:rPr>
          <w:rFonts w:ascii="Palatino Linotype" w:eastAsia="Palatino Linotype" w:hAnsi="Palatino Linotype" w:cs="Palatino Linotype"/>
          <w:b/>
          <w:i/>
          <w:sz w:val="22"/>
          <w:szCs w:val="22"/>
          <w:u w:val="single"/>
        </w:rPr>
        <w:t>las entidades federativas</w:t>
      </w:r>
      <w:r w:rsidRPr="00C67BCD">
        <w:rPr>
          <w:rFonts w:ascii="Palatino Linotype" w:eastAsia="Palatino Linotype" w:hAnsi="Palatino Linotype" w:cs="Palatino Linotype"/>
          <w:b/>
          <w:i/>
          <w:sz w:val="22"/>
          <w:szCs w:val="22"/>
        </w:rPr>
        <w:t>,</w:t>
      </w:r>
      <w:r w:rsidRPr="00C67BCD">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C67BCD" w:rsidRDefault="00A76F12">
      <w:pPr>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 </w:t>
      </w:r>
      <w:r w:rsidRPr="00C67BCD">
        <w:rPr>
          <w:rFonts w:ascii="Palatino Linotype" w:eastAsia="Palatino Linotype" w:hAnsi="Palatino Linotype" w:cs="Palatino Linotype"/>
          <w:b/>
          <w:i/>
          <w:sz w:val="22"/>
          <w:szCs w:val="22"/>
          <w:u w:val="single"/>
        </w:rPr>
        <w:t>Toda la información en posesión de cualquier autoridad, entidad, órgano y organismo de los Poderes</w:t>
      </w:r>
      <w:r w:rsidRPr="00C67BCD">
        <w:rPr>
          <w:rFonts w:ascii="Palatino Linotype" w:eastAsia="Palatino Linotype" w:hAnsi="Palatino Linotype" w:cs="Palatino Linotype"/>
          <w:i/>
          <w:sz w:val="22"/>
          <w:szCs w:val="22"/>
        </w:rPr>
        <w:t xml:space="preserve"> Ejecutivo, Legislativo </w:t>
      </w:r>
      <w:r w:rsidRPr="00C67BCD">
        <w:rPr>
          <w:rFonts w:ascii="Palatino Linotype" w:eastAsia="Palatino Linotype" w:hAnsi="Palatino Linotype" w:cs="Palatino Linotype"/>
          <w:b/>
          <w:i/>
          <w:sz w:val="22"/>
          <w:szCs w:val="22"/>
          <w:u w:val="single"/>
        </w:rPr>
        <w:t>y Judicial</w:t>
      </w:r>
      <w:r w:rsidRPr="00C67BCD">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C67BCD">
        <w:rPr>
          <w:rFonts w:ascii="Palatino Linotype" w:eastAsia="Palatino Linotype" w:hAnsi="Palatino Linotype" w:cs="Palatino Linotype"/>
          <w:b/>
          <w:i/>
          <w:sz w:val="22"/>
          <w:szCs w:val="22"/>
        </w:rPr>
        <w:t>es pública y sólo podrá ser reservada temporalmente por razones de interés público y seguridad nacional,</w:t>
      </w:r>
      <w:r w:rsidRPr="00C67BCD">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C67BCD" w:rsidRDefault="00A76F12">
      <w:pPr>
        <w:spacing w:line="276" w:lineRule="auto"/>
        <w:ind w:left="567" w:right="851"/>
        <w:jc w:val="both"/>
        <w:rPr>
          <w:rFonts w:ascii="Palatino Linotype" w:eastAsia="Palatino Linotype" w:hAnsi="Palatino Linotype" w:cs="Palatino Linotype"/>
          <w:b/>
          <w:i/>
          <w:sz w:val="22"/>
          <w:szCs w:val="22"/>
        </w:rPr>
      </w:pPr>
      <w:r w:rsidRPr="00C67BCD">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C67BCD" w:rsidRDefault="00A76F12">
      <w:pPr>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III. </w:t>
      </w:r>
      <w:r w:rsidRPr="00C67BCD">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C67BCD">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C67BCD" w:rsidRDefault="00A76F12">
      <w:pPr>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IV.</w:t>
      </w:r>
      <w:r w:rsidRPr="00C67BCD">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C67BCD" w:rsidRDefault="00A76F12">
      <w:pPr>
        <w:spacing w:line="276" w:lineRule="auto"/>
        <w:ind w:left="567" w:right="851"/>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V. </w:t>
      </w:r>
      <w:r w:rsidRPr="00C67BCD">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C67BCD"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C67BCD"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C67BCD" w:rsidRDefault="00A76F12">
      <w:pPr>
        <w:tabs>
          <w:tab w:val="left" w:pos="709"/>
        </w:tabs>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Así, de la interpretación sistémica de los numerales inmersos en el instrumento legal nacional, el derecho de acceso a la información es un derecho del cual goza toda persona sin discriminación alguna, el cual se ejerce ante los Poderes del Estado, entidades, dependencias </w:t>
      </w:r>
      <w:r w:rsidRPr="00C67BCD">
        <w:rPr>
          <w:rFonts w:ascii="Palatino Linotype" w:eastAsia="Palatino Linotype" w:hAnsi="Palatino Linotype" w:cs="Palatino Linotype"/>
          <w:sz w:val="22"/>
          <w:szCs w:val="22"/>
        </w:rPr>
        <w:lastRenderedPageBreak/>
        <w:t>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C67BCD"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w:t>
      </w:r>
      <w:r w:rsidRPr="00C67BCD">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C67BCD">
        <w:rPr>
          <w:rFonts w:ascii="Palatino Linotype" w:eastAsia="Palatino Linotype" w:hAnsi="Palatino Linotype" w:cs="Palatino Linotype"/>
          <w:i/>
          <w:sz w:val="22"/>
          <w:szCs w:val="22"/>
        </w:rPr>
        <w:t>:</w:t>
      </w:r>
    </w:p>
    <w:p w14:paraId="275F2B94"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C67BCD">
        <w:rPr>
          <w:rFonts w:ascii="Palatino Linotype" w:eastAsia="Palatino Linotype" w:hAnsi="Palatino Linotype" w:cs="Palatino Linotype"/>
          <w:b/>
          <w:i/>
          <w:sz w:val="22"/>
          <w:szCs w:val="22"/>
        </w:rPr>
        <w:t>I.</w:t>
      </w:r>
      <w:r w:rsidRPr="00C67BCD">
        <w:rPr>
          <w:rFonts w:ascii="Palatino Linotype" w:eastAsia="Palatino Linotype" w:hAnsi="Palatino Linotype" w:cs="Palatino Linotype"/>
          <w:i/>
          <w:sz w:val="22"/>
          <w:szCs w:val="22"/>
        </w:rPr>
        <w:t xml:space="preserve"> El Poder Ejecutivo del Estado de México, las dependencias, organismos auxiliares,</w:t>
      </w:r>
      <w:r w:rsidRPr="00C67BCD">
        <w:rPr>
          <w:rFonts w:ascii="Palatino Linotype" w:eastAsia="Palatino Linotype" w:hAnsi="Palatino Linotype" w:cs="Palatino Linotype"/>
          <w:b/>
          <w:i/>
          <w:sz w:val="22"/>
          <w:szCs w:val="22"/>
        </w:rPr>
        <w:t xml:space="preserve"> </w:t>
      </w:r>
      <w:r w:rsidRPr="00C67BCD">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II.</w:t>
      </w:r>
      <w:r w:rsidRPr="00C67BCD">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III.</w:t>
      </w:r>
      <w:r w:rsidRPr="00C67BCD">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C67BCD">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V.</w:t>
      </w:r>
      <w:r w:rsidRPr="00C67BCD">
        <w:rPr>
          <w:rFonts w:ascii="Palatino Linotype" w:eastAsia="Palatino Linotype" w:hAnsi="Palatino Linotype" w:cs="Palatino Linotype"/>
          <w:i/>
          <w:sz w:val="22"/>
          <w:szCs w:val="22"/>
        </w:rPr>
        <w:t xml:space="preserve"> Los órganos autónomos;</w:t>
      </w:r>
    </w:p>
    <w:p w14:paraId="47FBCC3D"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VI.</w:t>
      </w:r>
      <w:r w:rsidRPr="00C67BCD">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VII.</w:t>
      </w:r>
      <w:r w:rsidRPr="00C67BCD">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VIII.</w:t>
      </w:r>
      <w:r w:rsidRPr="00C67BCD">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IX.</w:t>
      </w:r>
      <w:r w:rsidRPr="00C67BCD">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X.</w:t>
      </w:r>
      <w:r w:rsidRPr="00C67BCD">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XI.</w:t>
      </w:r>
      <w:r w:rsidRPr="00C67BCD">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 xml:space="preserve">Los sujetos obligados deberán hacer pública toda aquella información relativa a los montos y las personas a quienes entreguen, por cualquier motivo, recursos públicos, así </w:t>
      </w:r>
      <w:r w:rsidRPr="00C67BCD">
        <w:rPr>
          <w:rFonts w:ascii="Palatino Linotype" w:eastAsia="Palatino Linotype" w:hAnsi="Palatino Linotype" w:cs="Palatino Linotype"/>
          <w:i/>
          <w:sz w:val="22"/>
          <w:szCs w:val="22"/>
        </w:rPr>
        <w:lastRenderedPageBreak/>
        <w:t>como los informes que dichas personas les entreguen sobre el uso y destino de dichos recursos.</w:t>
      </w:r>
    </w:p>
    <w:p w14:paraId="3C92E68E" w14:textId="77777777" w:rsidR="00532AE4" w:rsidRPr="00C67BC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C67BCD">
        <w:rPr>
          <w:rFonts w:ascii="Palatino Linotype" w:eastAsia="Palatino Linotype" w:hAnsi="Palatino Linotype" w:cs="Palatino Linotype"/>
          <w:i/>
          <w:sz w:val="22"/>
          <w:szCs w:val="22"/>
        </w:rPr>
        <w:t>.”</w:t>
      </w:r>
    </w:p>
    <w:p w14:paraId="6AA3AC33"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C67BC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C67BCD"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C67BC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C67BC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C67BCD"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Sirve de sustento a lo anterior, el precepto legal en cita:</w:t>
      </w:r>
    </w:p>
    <w:p w14:paraId="0E6F8D37"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C67BCD" w:rsidRDefault="00A76F12">
      <w:pPr>
        <w:spacing w:line="276" w:lineRule="auto"/>
        <w:ind w:left="567" w:right="902"/>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w:t>
      </w:r>
      <w:r w:rsidRPr="00C67BCD">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C67BCD">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C67BCD" w:rsidRDefault="00A76F12">
      <w:pPr>
        <w:spacing w:line="276" w:lineRule="auto"/>
        <w:ind w:left="567" w:right="902"/>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lastRenderedPageBreak/>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C67BCD"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En mérito de lo expuesto, es claro que en este caso 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C67BCD">
        <w:rPr>
          <w:rFonts w:ascii="Palatino Linotype" w:eastAsia="Palatino Linotype" w:hAnsi="Palatino Linotype" w:cs="Palatino Linotype"/>
          <w:b/>
          <w:sz w:val="22"/>
          <w:szCs w:val="22"/>
        </w:rPr>
        <w:t>el Sujeto Obligado</w:t>
      </w:r>
      <w:r w:rsidRPr="00C67BCD">
        <w:rPr>
          <w:rFonts w:ascii="Palatino Linotype" w:eastAsia="Palatino Linotype" w:hAnsi="Palatino Linotype" w:cs="Palatino Linotype"/>
          <w:sz w:val="22"/>
          <w:szCs w:val="22"/>
        </w:rPr>
        <w:t>; por lo que, en caso de no atender de manera positiva</w:t>
      </w:r>
      <w:r w:rsidRPr="00C67BCD">
        <w:rPr>
          <w:rFonts w:ascii="Palatino Linotype" w:eastAsia="Palatino Linotype" w:hAnsi="Palatino Linotype" w:cs="Palatino Linotype"/>
          <w:sz w:val="22"/>
          <w:szCs w:val="22"/>
          <w:vertAlign w:val="superscript"/>
        </w:rPr>
        <w:footnoteReference w:id="2"/>
      </w:r>
      <w:r w:rsidRPr="00C67BCD">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C67BCD"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De la clasificación de la información.</w:t>
      </w:r>
    </w:p>
    <w:p w14:paraId="7CB72775" w14:textId="77777777" w:rsidR="00532AE4" w:rsidRPr="00C67BC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C67BCD" w:rsidRDefault="00A76F12">
      <w:pPr>
        <w:spacing w:line="360" w:lineRule="auto"/>
        <w:ind w:right="5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C67BCD"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C67BCD" w:rsidRDefault="00A76F12">
      <w:pPr>
        <w:spacing w:line="276" w:lineRule="auto"/>
        <w:ind w:left="851" w:right="900"/>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“Artículo 91. </w:t>
      </w:r>
      <w:r w:rsidRPr="00C67BCD">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C67BCD"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C67BCD"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“Artículo 140. </w:t>
      </w:r>
      <w:r w:rsidRPr="00C67BCD">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lastRenderedPageBreak/>
        <w:t xml:space="preserve">I. </w:t>
      </w:r>
      <w:r w:rsidRPr="00C67BCD">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II. </w:t>
      </w:r>
      <w:r w:rsidRPr="00C67BCD">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III. </w:t>
      </w:r>
      <w:r w:rsidRPr="00C67BCD">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IV. </w:t>
      </w:r>
      <w:r w:rsidRPr="00C67BCD">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V. </w:t>
      </w:r>
      <w:r w:rsidRPr="00C67BCD">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1. </w:t>
      </w:r>
      <w:r w:rsidRPr="00C67BCD">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2. </w:t>
      </w:r>
      <w:r w:rsidRPr="00C67BCD">
        <w:rPr>
          <w:rFonts w:ascii="Palatino Linotype" w:eastAsia="Palatino Linotype" w:hAnsi="Palatino Linotype" w:cs="Palatino Linotype"/>
          <w:i/>
          <w:sz w:val="22"/>
          <w:szCs w:val="22"/>
        </w:rPr>
        <w:t>La recaudación de las contribuciones.</w:t>
      </w:r>
    </w:p>
    <w:p w14:paraId="4CD54AA9"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VI. </w:t>
      </w:r>
      <w:r w:rsidRPr="00C67BCD">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VII. </w:t>
      </w:r>
      <w:r w:rsidRPr="00C67BCD">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VIII</w:t>
      </w:r>
      <w:r w:rsidRPr="00C67BCD">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C67BCD">
        <w:rPr>
          <w:rFonts w:ascii="Palatino Linotype" w:eastAsia="Palatino Linotype" w:hAnsi="Palatino Linotype" w:cs="Palatino Linotype"/>
          <w:b/>
          <w:i/>
          <w:sz w:val="22"/>
          <w:szCs w:val="22"/>
        </w:rPr>
        <w:t>;</w:t>
      </w:r>
    </w:p>
    <w:p w14:paraId="20A105A2"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IX. </w:t>
      </w:r>
      <w:r w:rsidRPr="00C67BCD">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X. </w:t>
      </w:r>
      <w:r w:rsidRPr="00C67BCD">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lastRenderedPageBreak/>
        <w:t xml:space="preserve">XI. </w:t>
      </w:r>
      <w:r w:rsidRPr="00C67BCD">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w:t>
      </w:r>
    </w:p>
    <w:p w14:paraId="7E7180B7"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Artículo 143. </w:t>
      </w:r>
      <w:r w:rsidRPr="00C67BCD">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 </w:t>
      </w:r>
      <w:r w:rsidRPr="00C67BCD">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II. </w:t>
      </w:r>
      <w:r w:rsidRPr="00C67BCD">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III. </w:t>
      </w:r>
      <w:r w:rsidRPr="00C67BCD">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C67BC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C67BCD"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C67BC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Se reciba una solicitud de acceso a la información;</w:t>
      </w:r>
    </w:p>
    <w:p w14:paraId="54E32C40" w14:textId="77777777" w:rsidR="00532AE4" w:rsidRPr="00C67BC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Se determine mediante resolución de autoridad competente; y/o</w:t>
      </w:r>
    </w:p>
    <w:p w14:paraId="2A2574F5" w14:textId="77777777" w:rsidR="00532AE4" w:rsidRPr="00C67BC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C67BCD"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C67BCD" w:rsidRDefault="00A76F12">
      <w:pPr>
        <w:spacing w:line="360" w:lineRule="auto"/>
        <w:ind w:right="5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lastRenderedPageBreak/>
        <w:t xml:space="preserve">En ese sentido, es de precisar que la clasificación de la información no se da por el simple mandato de la Ley, sino que es necesario que 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C67BCD">
        <w:rPr>
          <w:rFonts w:ascii="Palatino Linotype" w:eastAsia="Palatino Linotype" w:hAnsi="Palatino Linotype" w:cs="Palatino Linotype"/>
          <w:sz w:val="22"/>
          <w:szCs w:val="22"/>
          <w:vertAlign w:val="superscript"/>
        </w:rPr>
        <w:footnoteReference w:id="3"/>
      </w:r>
      <w:r w:rsidRPr="00C67BCD">
        <w:rPr>
          <w:rFonts w:ascii="Palatino Linotype" w:eastAsia="Palatino Linotype" w:hAnsi="Palatino Linotype" w:cs="Palatino Linotype"/>
          <w:sz w:val="22"/>
          <w:szCs w:val="22"/>
        </w:rPr>
        <w:t>, 53 fracción X</w:t>
      </w:r>
      <w:r w:rsidRPr="00C67BCD">
        <w:rPr>
          <w:rFonts w:ascii="Palatino Linotype" w:eastAsia="Palatino Linotype" w:hAnsi="Palatino Linotype" w:cs="Palatino Linotype"/>
          <w:sz w:val="22"/>
          <w:szCs w:val="22"/>
          <w:vertAlign w:val="superscript"/>
        </w:rPr>
        <w:footnoteReference w:id="4"/>
      </w:r>
      <w:r w:rsidRPr="00C67BCD">
        <w:rPr>
          <w:rFonts w:ascii="Palatino Linotype" w:eastAsia="Palatino Linotype" w:hAnsi="Palatino Linotype" w:cs="Palatino Linotype"/>
          <w:sz w:val="22"/>
          <w:szCs w:val="22"/>
        </w:rPr>
        <w:t>, y 49 fracciones II y VIII</w:t>
      </w:r>
      <w:r w:rsidRPr="00C67BCD">
        <w:rPr>
          <w:rFonts w:ascii="Palatino Linotype" w:eastAsia="Palatino Linotype" w:hAnsi="Palatino Linotype" w:cs="Palatino Linotype"/>
          <w:sz w:val="22"/>
          <w:szCs w:val="22"/>
          <w:vertAlign w:val="superscript"/>
        </w:rPr>
        <w:footnoteReference w:id="5"/>
      </w:r>
      <w:r w:rsidRPr="00C67BCD">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C67BCD"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Bajo tales consideraciones, este Organismo Garante no omite señalar que, si 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advierte que la información solicitada contiene </w:t>
      </w:r>
      <w:r w:rsidRPr="00C67BCD">
        <w:rPr>
          <w:rFonts w:ascii="Palatino Linotype" w:eastAsia="Palatino Linotype" w:hAnsi="Palatino Linotype" w:cs="Palatino Linotype"/>
          <w:b/>
          <w:sz w:val="22"/>
          <w:szCs w:val="22"/>
        </w:rPr>
        <w:t>datos personales</w:t>
      </w:r>
      <w:r w:rsidRPr="00C67BCD">
        <w:rPr>
          <w:rFonts w:ascii="Palatino Linotype" w:eastAsia="Palatino Linotype" w:hAnsi="Palatino Linotype" w:cs="Palatino Linotype"/>
          <w:sz w:val="22"/>
          <w:szCs w:val="22"/>
        </w:rPr>
        <w:t xml:space="preserve"> que sean susceptibles de ser </w:t>
      </w:r>
      <w:r w:rsidRPr="00C67BCD">
        <w:rPr>
          <w:rFonts w:ascii="Palatino Linotype" w:eastAsia="Palatino Linotype" w:hAnsi="Palatino Linotype" w:cs="Palatino Linotype"/>
          <w:b/>
          <w:sz w:val="22"/>
          <w:szCs w:val="22"/>
        </w:rPr>
        <w:t xml:space="preserve">clasificados como confidenciales, </w:t>
      </w:r>
      <w:r w:rsidRPr="00C67BCD">
        <w:rPr>
          <w:rFonts w:ascii="Palatino Linotype" w:eastAsia="Palatino Linotype" w:hAnsi="Palatino Linotype" w:cs="Palatino Linotype"/>
          <w:sz w:val="22"/>
          <w:szCs w:val="22"/>
        </w:rPr>
        <w:t>o, si por otro lado</w:t>
      </w:r>
      <w:r w:rsidRPr="00C67BCD">
        <w:rPr>
          <w:rFonts w:ascii="Palatino Linotype" w:eastAsia="Palatino Linotype" w:hAnsi="Palatino Linotype" w:cs="Palatino Linotype"/>
          <w:b/>
          <w:sz w:val="22"/>
          <w:szCs w:val="22"/>
        </w:rPr>
        <w:t>, por su propia y especial naturaleza,</w:t>
      </w:r>
      <w:r w:rsidRPr="00C67BCD">
        <w:rPr>
          <w:rFonts w:ascii="Palatino Linotype" w:eastAsia="Palatino Linotype" w:hAnsi="Palatino Linotype" w:cs="Palatino Linotype"/>
          <w:sz w:val="22"/>
          <w:szCs w:val="22"/>
        </w:rPr>
        <w:t xml:space="preserve"> encuadra en alguno de los </w:t>
      </w:r>
      <w:r w:rsidRPr="00C67BCD">
        <w:rPr>
          <w:rFonts w:ascii="Palatino Linotype" w:eastAsia="Palatino Linotype" w:hAnsi="Palatino Linotype" w:cs="Palatino Linotype"/>
          <w:b/>
          <w:sz w:val="22"/>
          <w:szCs w:val="22"/>
        </w:rPr>
        <w:t>supuestos de reserva o de confidencialidad en su totalidad</w:t>
      </w:r>
      <w:r w:rsidRPr="00C67BCD">
        <w:rPr>
          <w:rFonts w:ascii="Palatino Linotype" w:eastAsia="Palatino Linotype" w:hAnsi="Palatino Linotype" w:cs="Palatino Linotype"/>
          <w:sz w:val="22"/>
          <w:szCs w:val="22"/>
        </w:rPr>
        <w:t>, deberá emitir, un</w:t>
      </w:r>
      <w:r w:rsidRPr="00C67BCD">
        <w:rPr>
          <w:rFonts w:ascii="Palatino Linotype" w:eastAsia="Palatino Linotype" w:hAnsi="Palatino Linotype" w:cs="Palatino Linotype"/>
          <w:b/>
          <w:sz w:val="22"/>
          <w:szCs w:val="22"/>
        </w:rPr>
        <w:t xml:space="preserve"> Acuerdo de Clasificación </w:t>
      </w:r>
      <w:r w:rsidRPr="00C67BCD">
        <w:rPr>
          <w:rFonts w:ascii="Palatino Linotype" w:eastAsia="Palatino Linotype" w:hAnsi="Palatino Linotype" w:cs="Palatino Linotype"/>
          <w:sz w:val="22"/>
          <w:szCs w:val="22"/>
        </w:rPr>
        <w:t>debidamente fundado y motivado que</w:t>
      </w:r>
      <w:r w:rsidRPr="00C67BCD">
        <w:rPr>
          <w:rFonts w:ascii="Palatino Linotype" w:eastAsia="Palatino Linotype" w:hAnsi="Palatino Linotype" w:cs="Palatino Linotype"/>
          <w:b/>
          <w:sz w:val="22"/>
          <w:szCs w:val="22"/>
        </w:rPr>
        <w:t xml:space="preserve"> sustente la clasificación parcial, a través de la versión pública que emita,</w:t>
      </w:r>
      <w:r w:rsidRPr="00C67BCD">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C67BCD"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De la clasificación parcial de la información.</w:t>
      </w:r>
    </w:p>
    <w:p w14:paraId="6CDBD4F4" w14:textId="77777777" w:rsidR="00532AE4" w:rsidRPr="00C67BC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C67BCD"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De la clasificación de información como reservada.</w:t>
      </w:r>
    </w:p>
    <w:p w14:paraId="2F50165E" w14:textId="77777777" w:rsidR="00532AE4" w:rsidRPr="00C67BCD"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C67BCD" w:rsidRDefault="00A76F12">
      <w:pPr>
        <w:spacing w:line="360" w:lineRule="auto"/>
        <w:ind w:right="5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C67BCD"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lastRenderedPageBreak/>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C67BC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La divulgación de la información representa un </w:t>
      </w:r>
      <w:r w:rsidRPr="00C67BCD">
        <w:rPr>
          <w:rFonts w:ascii="Palatino Linotype" w:eastAsia="Palatino Linotype" w:hAnsi="Palatino Linotype" w:cs="Palatino Linotype"/>
          <w:b/>
          <w:sz w:val="22"/>
          <w:szCs w:val="22"/>
        </w:rPr>
        <w:t>riesgo real, demostrable e identificable del perjuicio significativo al interés público o a la seguridad pública</w:t>
      </w:r>
      <w:r w:rsidRPr="00C67BCD">
        <w:rPr>
          <w:rFonts w:ascii="Palatino Linotype" w:eastAsia="Palatino Linotype" w:hAnsi="Palatino Linotype" w:cs="Palatino Linotype"/>
          <w:sz w:val="22"/>
          <w:szCs w:val="22"/>
        </w:rPr>
        <w:t>;</w:t>
      </w:r>
    </w:p>
    <w:p w14:paraId="4FC20933" w14:textId="77777777" w:rsidR="00532AE4" w:rsidRPr="00C67BC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C67BC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C67BCD"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Siendo pertinente aclarar que, la información que se clasifica bajo la premisa de reservada, </w:t>
      </w:r>
      <w:r w:rsidRPr="00C67BCD">
        <w:rPr>
          <w:rFonts w:ascii="Palatino Linotype" w:eastAsia="Palatino Linotype" w:hAnsi="Palatino Linotype" w:cs="Palatino Linotype"/>
          <w:b/>
          <w:sz w:val="22"/>
          <w:szCs w:val="22"/>
        </w:rPr>
        <w:t>no pierde el carácter de pública</w:t>
      </w:r>
      <w:r w:rsidRPr="00C67BCD">
        <w:rPr>
          <w:rFonts w:ascii="Palatino Linotype" w:eastAsia="Palatino Linotype" w:hAnsi="Palatino Linotype" w:cs="Palatino Linotype"/>
          <w:sz w:val="22"/>
          <w:szCs w:val="22"/>
        </w:rPr>
        <w:t xml:space="preserve">, sino que </w:t>
      </w:r>
      <w:r w:rsidRPr="00C67BCD">
        <w:rPr>
          <w:rFonts w:ascii="Palatino Linotype" w:eastAsia="Palatino Linotype" w:hAnsi="Palatino Linotype" w:cs="Palatino Linotype"/>
          <w:b/>
          <w:sz w:val="22"/>
          <w:szCs w:val="22"/>
        </w:rPr>
        <w:t>se reserva temporalmente</w:t>
      </w:r>
      <w:r w:rsidRPr="00C67BCD">
        <w:rPr>
          <w:rFonts w:ascii="Palatino Linotype" w:eastAsia="Palatino Linotype" w:hAnsi="Palatino Linotype" w:cs="Palatino Linotype"/>
          <w:sz w:val="22"/>
          <w:szCs w:val="22"/>
        </w:rPr>
        <w:t xml:space="preserve"> </w:t>
      </w:r>
      <w:r w:rsidRPr="00C67BCD">
        <w:rPr>
          <w:rFonts w:ascii="Palatino Linotype" w:eastAsia="Palatino Linotype" w:hAnsi="Palatino Linotype" w:cs="Palatino Linotype"/>
          <w:b/>
          <w:sz w:val="22"/>
          <w:szCs w:val="22"/>
        </w:rPr>
        <w:t>del conocimiento público</w:t>
      </w:r>
      <w:r w:rsidRPr="00C67BCD">
        <w:rPr>
          <w:rFonts w:ascii="Palatino Linotype" w:eastAsia="Palatino Linotype" w:hAnsi="Palatino Linotype" w:cs="Palatino Linotype"/>
          <w:sz w:val="22"/>
          <w:szCs w:val="22"/>
        </w:rPr>
        <w:t xml:space="preserve">, es decir, que, </w:t>
      </w:r>
      <w:r w:rsidRPr="00C67BCD">
        <w:rPr>
          <w:rFonts w:ascii="Palatino Linotype" w:eastAsia="Palatino Linotype" w:hAnsi="Palatino Linotype" w:cs="Palatino Linotype"/>
          <w:b/>
          <w:sz w:val="22"/>
          <w:szCs w:val="22"/>
        </w:rPr>
        <w:t>por un tiempo determinado</w:t>
      </w:r>
      <w:r w:rsidRPr="00C67BCD">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C67BCD"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C67BCD"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C67BCD" w:rsidRDefault="00A76F12">
      <w:pPr>
        <w:tabs>
          <w:tab w:val="left" w:pos="709"/>
        </w:tabs>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lastRenderedPageBreak/>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C67BCD"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C67BCD" w:rsidRDefault="00A76F12">
      <w:pPr>
        <w:spacing w:line="360" w:lineRule="auto"/>
        <w:ind w:right="5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C67BCD">
        <w:rPr>
          <w:rFonts w:ascii="Palatino Linotype" w:eastAsia="Palatino Linotype" w:hAnsi="Palatino Linotype" w:cs="Palatino Linotype"/>
          <w:sz w:val="22"/>
          <w:szCs w:val="22"/>
          <w:vertAlign w:val="superscript"/>
        </w:rPr>
        <w:footnoteReference w:id="6"/>
      </w:r>
      <w:r w:rsidRPr="00C67BCD">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C67BCD"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C67BCD"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De la declaratoria de inexistencia de la información</w:t>
      </w:r>
      <w:r w:rsidRPr="00C67BCD">
        <w:rPr>
          <w:rFonts w:ascii="Palatino Linotype" w:eastAsia="Palatino Linotype" w:hAnsi="Palatino Linotype" w:cs="Palatino Linotype"/>
          <w:sz w:val="22"/>
          <w:szCs w:val="22"/>
        </w:rPr>
        <w:t>.</w:t>
      </w:r>
    </w:p>
    <w:p w14:paraId="2CE06287" w14:textId="77777777" w:rsidR="00532AE4" w:rsidRPr="00C67BCD"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Por otro lado, estima prudente señalar al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C67BCD" w:rsidRDefault="00A76F12">
      <w:pPr>
        <w:spacing w:line="276" w:lineRule="auto"/>
        <w:ind w:left="567" w:right="902"/>
        <w:jc w:val="both"/>
        <w:rPr>
          <w:rFonts w:ascii="Palatino Linotype" w:eastAsia="Palatino Linotype" w:hAnsi="Palatino Linotype" w:cs="Palatino Linotype"/>
          <w:i/>
          <w:sz w:val="22"/>
          <w:szCs w:val="22"/>
        </w:rPr>
      </w:pPr>
      <w:r w:rsidRPr="00C67BCD">
        <w:rPr>
          <w:rFonts w:ascii="Palatino Linotype" w:eastAsia="Palatino Linotype" w:hAnsi="Palatino Linotype" w:cs="Palatino Linotype"/>
          <w:b/>
          <w:i/>
          <w:sz w:val="22"/>
          <w:szCs w:val="22"/>
        </w:rPr>
        <w:t xml:space="preserve">“INEXISTENCIA DE LA INFORMACIÓN. SUPUESTOS PARA EMITIR LA RESOLUCIÓN DE LA. </w:t>
      </w:r>
      <w:r w:rsidRPr="00C67BCD">
        <w:rPr>
          <w:rFonts w:ascii="Palatino Linotype" w:eastAsia="Palatino Linotype" w:hAnsi="Palatino Linotype" w:cs="Palatino Linotype"/>
          <w:i/>
          <w:sz w:val="22"/>
          <w:szCs w:val="22"/>
        </w:rPr>
        <w:t xml:space="preserve">De conformidad con los artículos 19, párrafo tercero y 170 de la Ley de Transparencia y Acceso a la Información Pública del Estado de México y Municipios, el Comité de Transparencia deberá emitir un acuerdo de inexistencia </w:t>
      </w:r>
      <w:r w:rsidRPr="00C67BCD">
        <w:rPr>
          <w:rFonts w:ascii="Palatino Linotype" w:eastAsia="Palatino Linotype" w:hAnsi="Palatino Linotype" w:cs="Palatino Linotype"/>
          <w:i/>
          <w:sz w:val="22"/>
          <w:szCs w:val="22"/>
        </w:rPr>
        <w:lastRenderedPageBreak/>
        <w:t>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C67BCD"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 xml:space="preserve">En mérito de todo lo expuesto, ante lo </w:t>
      </w:r>
      <w:r w:rsidRPr="00C67BCD">
        <w:rPr>
          <w:rFonts w:ascii="Palatino Linotype" w:eastAsia="Palatino Linotype" w:hAnsi="Palatino Linotype" w:cs="Palatino Linotype"/>
          <w:b/>
          <w:sz w:val="22"/>
          <w:szCs w:val="22"/>
        </w:rPr>
        <w:t>FUNDADO</w:t>
      </w:r>
      <w:r w:rsidRPr="00C67BCD">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C67BCD">
        <w:rPr>
          <w:rFonts w:ascii="Palatino Linotype" w:eastAsia="Palatino Linotype" w:hAnsi="Palatino Linotype" w:cs="Palatino Linotype"/>
          <w:b/>
          <w:sz w:val="22"/>
          <w:szCs w:val="22"/>
        </w:rPr>
        <w:t>ORDENAR</w:t>
      </w:r>
      <w:r w:rsidRPr="00C67BCD">
        <w:rPr>
          <w:rFonts w:ascii="Palatino Linotype" w:eastAsia="Palatino Linotype" w:hAnsi="Palatino Linotype" w:cs="Palatino Linotype"/>
          <w:sz w:val="22"/>
          <w:szCs w:val="22"/>
        </w:rPr>
        <w:t xml:space="preserve"> al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C67BCD" w:rsidRDefault="00A76F12">
      <w:pPr>
        <w:spacing w:line="360" w:lineRule="auto"/>
        <w:ind w:right="49"/>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sz w:val="22"/>
          <w:szCs w:val="22"/>
        </w:rPr>
        <w:t>Finalmente, es de señalar que, como ya se mencionó el</w:t>
      </w:r>
      <w:r w:rsidRPr="00C67BCD">
        <w:rPr>
          <w:rFonts w:ascii="Palatino Linotype" w:eastAsia="Palatino Linotype" w:hAnsi="Palatino Linotype" w:cs="Palatino Linotype"/>
          <w:b/>
          <w:sz w:val="22"/>
          <w:szCs w:val="22"/>
        </w:rPr>
        <w:t xml:space="preserve"> Sujeto Obligado</w:t>
      </w:r>
      <w:r w:rsidRPr="00C67BCD">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C67BCD">
        <w:rPr>
          <w:rFonts w:ascii="Palatino Linotype" w:eastAsia="Palatino Linotype" w:hAnsi="Palatino Linotype" w:cs="Palatino Linotype"/>
          <w:b/>
          <w:sz w:val="22"/>
          <w:szCs w:val="22"/>
        </w:rPr>
        <w:t xml:space="preserve"> </w:t>
      </w:r>
      <w:r w:rsidRPr="00C67BCD">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C67BCD"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C67BCD"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C67BCD">
        <w:rPr>
          <w:rFonts w:ascii="Palatino Linotype" w:eastAsia="Palatino Linotype" w:hAnsi="Palatino Linotype" w:cs="Palatino Linotype"/>
          <w:sz w:val="22"/>
          <w:szCs w:val="22"/>
        </w:rPr>
        <w:t xml:space="preserve">Así, con fundamento en lo prescrito en los artículos </w:t>
      </w:r>
      <w:r w:rsidR="009100C5" w:rsidRPr="00C67BCD">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C67BCD">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C67BCD"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C67BCD"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III. R E S U E L V E</w:t>
      </w:r>
    </w:p>
    <w:p w14:paraId="170B47A5" w14:textId="77777777" w:rsidR="00532AE4" w:rsidRPr="00C67BCD"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C67BCD" w:rsidRDefault="00A76F12">
      <w:pPr>
        <w:spacing w:line="360" w:lineRule="auto"/>
        <w:ind w:right="49"/>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Primero. </w:t>
      </w:r>
      <w:r w:rsidRPr="00C67BCD">
        <w:rPr>
          <w:rFonts w:ascii="Palatino Linotype" w:eastAsia="Palatino Linotype" w:hAnsi="Palatino Linotype" w:cs="Palatino Linotype"/>
          <w:sz w:val="22"/>
          <w:szCs w:val="22"/>
        </w:rPr>
        <w:t xml:space="preserve">Resultan </w:t>
      </w:r>
      <w:r w:rsidRPr="00C67BCD">
        <w:rPr>
          <w:rFonts w:ascii="Palatino Linotype" w:eastAsia="Palatino Linotype" w:hAnsi="Palatino Linotype" w:cs="Palatino Linotype"/>
          <w:b/>
          <w:sz w:val="22"/>
          <w:szCs w:val="22"/>
        </w:rPr>
        <w:t>FUNDADOS</w:t>
      </w:r>
      <w:r w:rsidRPr="00C67BCD">
        <w:rPr>
          <w:rFonts w:ascii="Palatino Linotype" w:eastAsia="Palatino Linotype" w:hAnsi="Palatino Linotype" w:cs="Palatino Linotype"/>
          <w:sz w:val="22"/>
          <w:szCs w:val="22"/>
        </w:rPr>
        <w:t xml:space="preserve"> los motivos de inconformidad de la parte </w:t>
      </w:r>
      <w:r w:rsidRPr="00C67BCD">
        <w:rPr>
          <w:rFonts w:ascii="Palatino Linotype" w:eastAsia="Palatino Linotype" w:hAnsi="Palatino Linotype" w:cs="Palatino Linotype"/>
          <w:b/>
          <w:sz w:val="22"/>
          <w:szCs w:val="22"/>
        </w:rPr>
        <w:t>Recurrente</w:t>
      </w:r>
      <w:r w:rsidRPr="00C67BCD">
        <w:rPr>
          <w:rFonts w:ascii="Palatino Linotype" w:eastAsia="Palatino Linotype" w:hAnsi="Palatino Linotype" w:cs="Palatino Linotype"/>
          <w:sz w:val="22"/>
          <w:szCs w:val="22"/>
        </w:rPr>
        <w:t xml:space="preserve">, en términos del </w:t>
      </w:r>
      <w:r w:rsidRPr="00C67BCD">
        <w:rPr>
          <w:rFonts w:ascii="Palatino Linotype" w:eastAsia="Palatino Linotype" w:hAnsi="Palatino Linotype" w:cs="Palatino Linotype"/>
          <w:b/>
          <w:sz w:val="22"/>
          <w:szCs w:val="22"/>
        </w:rPr>
        <w:t>Considerando Cuarto</w:t>
      </w:r>
      <w:r w:rsidRPr="00C67BCD">
        <w:rPr>
          <w:rFonts w:ascii="Palatino Linotype" w:eastAsia="Palatino Linotype" w:hAnsi="Palatino Linotype" w:cs="Palatino Linotype"/>
          <w:sz w:val="22"/>
          <w:szCs w:val="22"/>
        </w:rPr>
        <w:t xml:space="preserve"> de la presente resolución.</w:t>
      </w:r>
    </w:p>
    <w:p w14:paraId="6A06B418" w14:textId="77777777" w:rsidR="00532AE4" w:rsidRPr="00C67BCD" w:rsidRDefault="00532AE4">
      <w:pPr>
        <w:spacing w:line="360" w:lineRule="auto"/>
        <w:ind w:right="49"/>
        <w:jc w:val="both"/>
        <w:rPr>
          <w:rFonts w:ascii="Palatino Linotype" w:eastAsia="Palatino Linotype" w:hAnsi="Palatino Linotype" w:cs="Palatino Linotype"/>
          <w:sz w:val="22"/>
          <w:szCs w:val="22"/>
        </w:rPr>
      </w:pPr>
    </w:p>
    <w:p w14:paraId="1E37E133" w14:textId="3F916CB8" w:rsidR="00532AE4" w:rsidRPr="00C67BCD"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C67BCD">
        <w:rPr>
          <w:rFonts w:ascii="Palatino Linotype" w:eastAsia="Palatino Linotype" w:hAnsi="Palatino Linotype" w:cs="Palatino Linotype"/>
          <w:b/>
          <w:sz w:val="22"/>
          <w:szCs w:val="22"/>
        </w:rPr>
        <w:t>Segundo.</w:t>
      </w:r>
      <w:r w:rsidRPr="00C67BCD">
        <w:rPr>
          <w:rFonts w:ascii="Palatino Linotype" w:eastAsia="Palatino Linotype" w:hAnsi="Palatino Linotype" w:cs="Palatino Linotype"/>
          <w:sz w:val="22"/>
          <w:szCs w:val="22"/>
        </w:rPr>
        <w:t xml:space="preserve"> Se</w:t>
      </w:r>
      <w:r w:rsidRPr="00C67BCD">
        <w:rPr>
          <w:rFonts w:ascii="Palatino Linotype" w:eastAsia="Palatino Linotype" w:hAnsi="Palatino Linotype" w:cs="Palatino Linotype"/>
          <w:b/>
          <w:sz w:val="22"/>
          <w:szCs w:val="22"/>
        </w:rPr>
        <w:t xml:space="preserve"> Ordena </w:t>
      </w:r>
      <w:r w:rsidRPr="00C67BCD">
        <w:rPr>
          <w:rFonts w:ascii="Palatino Linotype" w:eastAsia="Palatino Linotype" w:hAnsi="Palatino Linotype" w:cs="Palatino Linotype"/>
          <w:sz w:val="22"/>
          <w:szCs w:val="22"/>
        </w:rPr>
        <w:t xml:space="preserve">al </w:t>
      </w:r>
      <w:r w:rsidRPr="00C67BCD">
        <w:rPr>
          <w:rFonts w:ascii="Palatino Linotype" w:eastAsia="Palatino Linotype" w:hAnsi="Palatino Linotype" w:cs="Palatino Linotype"/>
          <w:b/>
          <w:sz w:val="22"/>
          <w:szCs w:val="22"/>
        </w:rPr>
        <w:t xml:space="preserve">Sujeto Obligado </w:t>
      </w:r>
      <w:r w:rsidRPr="00C67BCD">
        <w:rPr>
          <w:rFonts w:ascii="Palatino Linotype" w:eastAsia="Palatino Linotype" w:hAnsi="Palatino Linotype" w:cs="Palatino Linotype"/>
          <w:sz w:val="22"/>
          <w:szCs w:val="22"/>
        </w:rPr>
        <w:t xml:space="preserve">dé trámite, vía </w:t>
      </w:r>
      <w:r w:rsidRPr="00C67BCD">
        <w:rPr>
          <w:rFonts w:ascii="Palatino Linotype" w:eastAsia="Palatino Linotype" w:hAnsi="Palatino Linotype" w:cs="Palatino Linotype"/>
          <w:b/>
          <w:sz w:val="22"/>
          <w:szCs w:val="22"/>
        </w:rPr>
        <w:t xml:space="preserve">Sistema de Acceso a la Información Mexiquense </w:t>
      </w:r>
      <w:r w:rsidRPr="00C67BCD">
        <w:rPr>
          <w:rFonts w:ascii="Palatino Linotype" w:eastAsia="Palatino Linotype" w:hAnsi="Palatino Linotype" w:cs="Palatino Linotype"/>
          <w:sz w:val="22"/>
          <w:szCs w:val="22"/>
        </w:rPr>
        <w:t xml:space="preserve">a la solicitud de acceso a la información pública </w:t>
      </w:r>
      <w:r w:rsidR="00D144C8" w:rsidRPr="00C67BCD">
        <w:rPr>
          <w:rFonts w:ascii="Palatino Linotype" w:eastAsia="Palatino Linotype" w:hAnsi="Palatino Linotype" w:cs="Palatino Linotype"/>
          <w:b/>
          <w:sz w:val="22"/>
          <w:szCs w:val="22"/>
        </w:rPr>
        <w:t xml:space="preserve"> </w:t>
      </w:r>
      <w:r w:rsidR="005D3CA2" w:rsidRPr="00C67BCD">
        <w:rPr>
          <w:rFonts w:ascii="Palatino Linotype" w:eastAsia="Palatino Linotype" w:hAnsi="Palatino Linotype" w:cs="Palatino Linotype"/>
          <w:b/>
          <w:sz w:val="22"/>
          <w:szCs w:val="22"/>
        </w:rPr>
        <w:t xml:space="preserve"> </w:t>
      </w:r>
      <w:r w:rsidR="009D7C8B" w:rsidRPr="00C67BCD">
        <w:rPr>
          <w:rFonts w:ascii="Palatino Linotype" w:eastAsia="Palatino Linotype" w:hAnsi="Palatino Linotype" w:cs="Palatino Linotype"/>
          <w:b/>
          <w:sz w:val="22"/>
          <w:szCs w:val="22"/>
        </w:rPr>
        <w:t xml:space="preserve">00013/IDEMEX/IP/2026 </w:t>
      </w:r>
      <w:r w:rsidRPr="00C67BCD">
        <w:rPr>
          <w:rFonts w:ascii="Palatino Linotype" w:eastAsia="Palatino Linotype" w:hAnsi="Palatino Linotype" w:cs="Palatino Linotype"/>
          <w:sz w:val="22"/>
          <w:szCs w:val="22"/>
        </w:rPr>
        <w:t xml:space="preserve">que dio origen al recurso de revisión </w:t>
      </w:r>
      <w:r w:rsidR="00AE446C" w:rsidRPr="00C67BCD">
        <w:rPr>
          <w:rFonts w:ascii="Palatino Linotype" w:eastAsia="Palatino Linotype" w:hAnsi="Palatino Linotype" w:cs="Palatino Linotype"/>
          <w:b/>
          <w:sz w:val="22"/>
          <w:szCs w:val="22"/>
        </w:rPr>
        <w:t>0</w:t>
      </w:r>
      <w:r w:rsidR="00D6388C" w:rsidRPr="00C67BCD">
        <w:rPr>
          <w:rFonts w:ascii="Palatino Linotype" w:eastAsia="Palatino Linotype" w:hAnsi="Palatino Linotype" w:cs="Palatino Linotype"/>
          <w:b/>
          <w:sz w:val="22"/>
          <w:szCs w:val="22"/>
        </w:rPr>
        <w:t>827</w:t>
      </w:r>
      <w:r w:rsidR="00AC5442" w:rsidRPr="00C67BCD">
        <w:rPr>
          <w:rFonts w:ascii="Palatino Linotype" w:eastAsia="Palatino Linotype" w:hAnsi="Palatino Linotype" w:cs="Palatino Linotype"/>
          <w:b/>
          <w:sz w:val="22"/>
          <w:szCs w:val="22"/>
        </w:rPr>
        <w:t>6</w:t>
      </w:r>
      <w:r w:rsidR="000F4794" w:rsidRPr="00C67BCD">
        <w:rPr>
          <w:rFonts w:ascii="Palatino Linotype" w:eastAsia="Palatino Linotype" w:hAnsi="Palatino Linotype" w:cs="Palatino Linotype"/>
          <w:b/>
          <w:sz w:val="22"/>
          <w:szCs w:val="22"/>
        </w:rPr>
        <w:t xml:space="preserve">/INFOEM/IP/RR/2026 </w:t>
      </w:r>
      <w:r w:rsidRPr="00C67BCD">
        <w:rPr>
          <w:rFonts w:ascii="Palatino Linotype" w:eastAsia="Palatino Linotype" w:hAnsi="Palatino Linotype" w:cs="Palatino Linotype"/>
          <w:sz w:val="22"/>
          <w:szCs w:val="22"/>
        </w:rPr>
        <w:t xml:space="preserve">en términos del </w:t>
      </w:r>
      <w:r w:rsidRPr="00C67BCD">
        <w:rPr>
          <w:rFonts w:ascii="Palatino Linotype" w:eastAsia="Palatino Linotype" w:hAnsi="Palatino Linotype" w:cs="Palatino Linotype"/>
          <w:b/>
          <w:sz w:val="22"/>
          <w:szCs w:val="22"/>
        </w:rPr>
        <w:t>Considerando Cuarto</w:t>
      </w:r>
      <w:r w:rsidRPr="00C67BCD">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C67BCD"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C67BCD">
        <w:rPr>
          <w:rFonts w:ascii="Palatino Linotype" w:eastAsia="Palatino Linotype" w:hAnsi="Palatino Linotype" w:cs="Palatino Linotype"/>
          <w:b/>
          <w:sz w:val="22"/>
          <w:szCs w:val="22"/>
        </w:rPr>
        <w:t>Tercero.</w:t>
      </w:r>
      <w:r w:rsidRPr="00C67BCD">
        <w:rPr>
          <w:rFonts w:ascii="Palatino Linotype" w:eastAsia="Palatino Linotype" w:hAnsi="Palatino Linotype" w:cs="Palatino Linotype"/>
          <w:sz w:val="22"/>
          <w:szCs w:val="22"/>
        </w:rPr>
        <w:t xml:space="preserve"> </w:t>
      </w:r>
      <w:r w:rsidRPr="00C67BCD">
        <w:rPr>
          <w:rFonts w:ascii="Palatino Linotype" w:eastAsia="Palatino Linotype" w:hAnsi="Palatino Linotype" w:cs="Palatino Linotype"/>
          <w:b/>
          <w:sz w:val="22"/>
          <w:szCs w:val="22"/>
        </w:rPr>
        <w:t xml:space="preserve">Notifíquese vía Sistema de Acceso a la Información Mexiquense </w:t>
      </w:r>
      <w:r w:rsidRPr="00C67BCD">
        <w:rPr>
          <w:rFonts w:ascii="Palatino Linotype" w:eastAsia="Palatino Linotype" w:hAnsi="Palatino Linotype" w:cs="Palatino Linotype"/>
          <w:sz w:val="22"/>
          <w:szCs w:val="22"/>
        </w:rPr>
        <w:t>la presente resolución al T</w:t>
      </w:r>
      <w:r w:rsidRPr="00C67BCD">
        <w:rPr>
          <w:rFonts w:ascii="Palatino Linotype" w:eastAsia="Palatino Linotype" w:hAnsi="Palatino Linotype" w:cs="Palatino Linotype"/>
          <w:b/>
          <w:sz w:val="22"/>
          <w:szCs w:val="22"/>
        </w:rPr>
        <w:t xml:space="preserve">itular de la Unidad de Transparencia </w:t>
      </w:r>
      <w:r w:rsidRPr="00C67BCD">
        <w:rPr>
          <w:rFonts w:ascii="Palatino Linotype" w:eastAsia="Palatino Linotype" w:hAnsi="Palatino Linotype" w:cs="Palatino Linotype"/>
          <w:sz w:val="22"/>
          <w:szCs w:val="22"/>
        </w:rPr>
        <w:t xml:space="preserve">del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w:t>
      </w:r>
      <w:r w:rsidRPr="00C67BCD">
        <w:rPr>
          <w:rFonts w:ascii="Palatino Linotype" w:eastAsia="Palatino Linotype" w:hAnsi="Palatino Linotype" w:cs="Palatino Linotype"/>
          <w:sz w:val="22"/>
          <w:szCs w:val="22"/>
        </w:rPr>
        <w:lastRenderedPageBreak/>
        <w:t>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C67BCD"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Cuarto. Notifíquese</w:t>
      </w:r>
      <w:r w:rsidRPr="00C67BCD">
        <w:rPr>
          <w:rFonts w:ascii="Palatino Linotype" w:eastAsia="Palatino Linotype" w:hAnsi="Palatino Linotype" w:cs="Palatino Linotype"/>
          <w:sz w:val="22"/>
          <w:szCs w:val="22"/>
        </w:rPr>
        <w:t>,</w:t>
      </w:r>
      <w:r w:rsidRPr="00C67BCD">
        <w:rPr>
          <w:rFonts w:ascii="Palatino Linotype" w:eastAsia="Palatino Linotype" w:hAnsi="Palatino Linotype" w:cs="Palatino Linotype"/>
          <w:b/>
          <w:sz w:val="22"/>
          <w:szCs w:val="22"/>
        </w:rPr>
        <w:t xml:space="preserve"> </w:t>
      </w:r>
      <w:r w:rsidRPr="00C67BCD">
        <w:rPr>
          <w:rFonts w:ascii="Palatino Linotype" w:eastAsia="Palatino Linotype" w:hAnsi="Palatino Linotype" w:cs="Palatino Linotype"/>
          <w:sz w:val="22"/>
          <w:szCs w:val="22"/>
        </w:rPr>
        <w:t xml:space="preserve">vía </w:t>
      </w:r>
      <w:r w:rsidRPr="00C67BCD">
        <w:rPr>
          <w:rFonts w:ascii="Palatino Linotype" w:eastAsia="Palatino Linotype" w:hAnsi="Palatino Linotype" w:cs="Palatino Linotype"/>
          <w:b/>
          <w:sz w:val="22"/>
          <w:szCs w:val="22"/>
        </w:rPr>
        <w:t>Sistema de Acceso a la Información Mexiquense</w:t>
      </w:r>
      <w:r w:rsidRPr="00C67BCD">
        <w:rPr>
          <w:rFonts w:ascii="Palatino Linotype" w:eastAsia="Palatino Linotype" w:hAnsi="Palatino Linotype" w:cs="Palatino Linotype"/>
          <w:sz w:val="22"/>
          <w:szCs w:val="22"/>
        </w:rPr>
        <w:t xml:space="preserve">, a la parte </w:t>
      </w:r>
      <w:r w:rsidRPr="00C67BCD">
        <w:rPr>
          <w:rFonts w:ascii="Palatino Linotype" w:eastAsia="Palatino Linotype" w:hAnsi="Palatino Linotype" w:cs="Palatino Linotype"/>
          <w:b/>
          <w:sz w:val="22"/>
          <w:szCs w:val="22"/>
        </w:rPr>
        <w:t xml:space="preserve">Recurrente </w:t>
      </w:r>
      <w:r w:rsidRPr="00C67BCD">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C67BCD"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C67BCD" w:rsidRDefault="00A76F12">
      <w:pPr>
        <w:spacing w:line="360" w:lineRule="auto"/>
        <w:jc w:val="both"/>
        <w:rPr>
          <w:rFonts w:ascii="Palatino Linotype" w:eastAsia="Palatino Linotype" w:hAnsi="Palatino Linotype" w:cs="Palatino Linotype"/>
          <w:sz w:val="22"/>
          <w:szCs w:val="22"/>
        </w:rPr>
      </w:pPr>
      <w:r w:rsidRPr="00C67BCD">
        <w:rPr>
          <w:rFonts w:ascii="Palatino Linotype" w:eastAsia="Palatino Linotype" w:hAnsi="Palatino Linotype" w:cs="Palatino Linotype"/>
          <w:b/>
          <w:sz w:val="22"/>
          <w:szCs w:val="22"/>
        </w:rPr>
        <w:t xml:space="preserve">Quinto. Notifíquese </w:t>
      </w:r>
      <w:r w:rsidRPr="00C67BCD">
        <w:rPr>
          <w:rFonts w:ascii="Palatino Linotype" w:eastAsia="Palatino Linotype" w:hAnsi="Palatino Linotype" w:cs="Palatino Linotype"/>
          <w:sz w:val="22"/>
          <w:szCs w:val="22"/>
        </w:rPr>
        <w:t xml:space="preserve">a la parte </w:t>
      </w:r>
      <w:r w:rsidRPr="00C67BCD">
        <w:rPr>
          <w:rFonts w:ascii="Palatino Linotype" w:eastAsia="Palatino Linotype" w:hAnsi="Palatino Linotype" w:cs="Palatino Linotype"/>
          <w:b/>
          <w:sz w:val="22"/>
          <w:szCs w:val="22"/>
        </w:rPr>
        <w:t xml:space="preserve">Recurrente </w:t>
      </w:r>
      <w:r w:rsidRPr="00C67BCD">
        <w:rPr>
          <w:rFonts w:ascii="Palatino Linotype" w:eastAsia="Palatino Linotype" w:hAnsi="Palatino Linotype" w:cs="Palatino Linotype"/>
          <w:sz w:val="22"/>
          <w:szCs w:val="22"/>
        </w:rPr>
        <w:t xml:space="preserve">que la respuesta que dé el </w:t>
      </w:r>
      <w:r w:rsidRPr="00C67BCD">
        <w:rPr>
          <w:rFonts w:ascii="Palatino Linotype" w:eastAsia="Palatino Linotype" w:hAnsi="Palatino Linotype" w:cs="Palatino Linotype"/>
          <w:b/>
          <w:sz w:val="22"/>
          <w:szCs w:val="22"/>
        </w:rPr>
        <w:t>Sujeto Obligado</w:t>
      </w:r>
      <w:r w:rsidRPr="00C67BCD">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C67BCD"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C67BCD" w:rsidRDefault="00A76F12">
      <w:pPr>
        <w:spacing w:line="360" w:lineRule="auto"/>
        <w:jc w:val="both"/>
        <w:rPr>
          <w:rFonts w:ascii="Palatino Linotype" w:eastAsia="Palatino Linotype" w:hAnsi="Palatino Linotype" w:cs="Palatino Linotype"/>
          <w:b/>
          <w:sz w:val="22"/>
          <w:szCs w:val="22"/>
        </w:rPr>
      </w:pPr>
      <w:r w:rsidRPr="00C67BCD">
        <w:rPr>
          <w:rFonts w:ascii="Palatino Linotype" w:eastAsia="Palatino Linotype" w:hAnsi="Palatino Linotype" w:cs="Palatino Linotype"/>
          <w:b/>
          <w:sz w:val="22"/>
          <w:szCs w:val="22"/>
        </w:rPr>
        <w:t xml:space="preserve">Sexto. Gírese </w:t>
      </w:r>
      <w:r w:rsidRPr="00C67BCD">
        <w:rPr>
          <w:rFonts w:ascii="Palatino Linotype" w:eastAsia="Palatino Linotype" w:hAnsi="Palatino Linotype" w:cs="Palatino Linotype"/>
          <w:sz w:val="22"/>
          <w:szCs w:val="22"/>
        </w:rPr>
        <w:t xml:space="preserve">oficio a la </w:t>
      </w:r>
      <w:r w:rsidRPr="00C67BCD">
        <w:rPr>
          <w:rFonts w:ascii="Palatino Linotype" w:eastAsia="Palatino Linotype" w:hAnsi="Palatino Linotype" w:cs="Palatino Linotype"/>
          <w:b/>
          <w:sz w:val="22"/>
          <w:szCs w:val="22"/>
        </w:rPr>
        <w:t>Secretaría Técnica del Pleno</w:t>
      </w:r>
      <w:r w:rsidRPr="00C67BCD">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C67BCD">
        <w:rPr>
          <w:rFonts w:ascii="Palatino Linotype" w:eastAsia="Palatino Linotype" w:hAnsi="Palatino Linotype" w:cs="Palatino Linotype"/>
          <w:b/>
          <w:sz w:val="22"/>
          <w:szCs w:val="22"/>
        </w:rPr>
        <w:t xml:space="preserve"> </w:t>
      </w:r>
      <w:r w:rsidRPr="00C67BCD">
        <w:rPr>
          <w:rFonts w:ascii="Palatino Linotype" w:eastAsia="Palatino Linotype" w:hAnsi="Palatino Linotype" w:cs="Palatino Linotype"/>
          <w:sz w:val="22"/>
          <w:szCs w:val="22"/>
        </w:rPr>
        <w:t>de la presente resolución.</w:t>
      </w:r>
      <w:r w:rsidRPr="00C67BCD">
        <w:rPr>
          <w:rFonts w:ascii="Palatino Linotype" w:eastAsia="Palatino Linotype" w:hAnsi="Palatino Linotype" w:cs="Palatino Linotype"/>
          <w:b/>
          <w:sz w:val="22"/>
          <w:szCs w:val="22"/>
        </w:rPr>
        <w:t xml:space="preserve"> </w:t>
      </w:r>
    </w:p>
    <w:p w14:paraId="7F049394" w14:textId="77777777" w:rsidR="00532AE4" w:rsidRPr="00C67BCD"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E21CB0" w:rsidRDefault="00A76F12">
      <w:pPr>
        <w:spacing w:line="360" w:lineRule="auto"/>
        <w:ind w:right="49"/>
        <w:jc w:val="both"/>
        <w:rPr>
          <w:rFonts w:ascii="Palatino Linotype" w:eastAsia="Palatino Linotype" w:hAnsi="Palatino Linotype" w:cs="Palatino Linotype"/>
          <w:sz w:val="22"/>
          <w:szCs w:val="22"/>
        </w:rPr>
        <w:sectPr w:rsidR="00532AE4" w:rsidRPr="00E21CB0">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C67BCD">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C67BCD">
        <w:rPr>
          <w:rFonts w:ascii="Palatino Linotype" w:eastAsia="Palatino Linotype" w:hAnsi="Palatino Linotype" w:cs="Palatino Linotype"/>
          <w:sz w:val="22"/>
          <w:szCs w:val="22"/>
        </w:rPr>
        <w:t xml:space="preserve">MEJÍA </w:t>
      </w:r>
      <w:r w:rsidR="00FE33C3" w:rsidRPr="00C67BCD">
        <w:rPr>
          <w:rFonts w:ascii="Palatino Linotype" w:eastAsia="Palatino Linotype" w:hAnsi="Palatino Linotype" w:cs="Palatino Linotype"/>
          <w:sz w:val="22"/>
          <w:szCs w:val="22"/>
        </w:rPr>
        <w:lastRenderedPageBreak/>
        <w:t xml:space="preserve">AYALA </w:t>
      </w:r>
      <w:r w:rsidRPr="00C67BCD">
        <w:rPr>
          <w:rFonts w:ascii="Palatino Linotype" w:eastAsia="Palatino Linotype" w:hAnsi="Palatino Linotype" w:cs="Palatino Linotype"/>
          <w:sz w:val="22"/>
          <w:szCs w:val="22"/>
        </w:rPr>
        <w:t xml:space="preserve">Y GUADALUPE RAMÍREZ PEÑA; EN LA </w:t>
      </w:r>
      <w:r w:rsidR="00135C3B" w:rsidRPr="00C67BCD">
        <w:rPr>
          <w:rFonts w:ascii="Palatino Linotype" w:eastAsia="Palatino Linotype" w:hAnsi="Palatino Linotype" w:cs="Palatino Linotype"/>
          <w:sz w:val="22"/>
          <w:szCs w:val="22"/>
        </w:rPr>
        <w:t>TR</w:t>
      </w:r>
      <w:r w:rsidR="00C36278" w:rsidRPr="00C67BCD">
        <w:rPr>
          <w:rFonts w:ascii="Palatino Linotype" w:eastAsia="Palatino Linotype" w:hAnsi="Palatino Linotype" w:cs="Palatino Linotype"/>
          <w:sz w:val="22"/>
          <w:szCs w:val="22"/>
        </w:rPr>
        <w:t xml:space="preserve">IGÉSIMA </w:t>
      </w:r>
      <w:r w:rsidR="00AE3DD5" w:rsidRPr="00C67BCD">
        <w:rPr>
          <w:rFonts w:ascii="Palatino Linotype" w:eastAsia="Palatino Linotype" w:hAnsi="Palatino Linotype" w:cs="Palatino Linotype"/>
          <w:sz w:val="22"/>
          <w:szCs w:val="22"/>
        </w:rPr>
        <w:t>TERC</w:t>
      </w:r>
      <w:r w:rsidR="003D2CDB" w:rsidRPr="00C67BCD">
        <w:rPr>
          <w:rFonts w:ascii="Palatino Linotype" w:eastAsia="Palatino Linotype" w:hAnsi="Palatino Linotype" w:cs="Palatino Linotype"/>
          <w:sz w:val="22"/>
          <w:szCs w:val="22"/>
        </w:rPr>
        <w:t xml:space="preserve">ERA </w:t>
      </w:r>
      <w:r w:rsidRPr="00C67BCD">
        <w:rPr>
          <w:rFonts w:ascii="Palatino Linotype" w:eastAsia="Palatino Linotype" w:hAnsi="Palatino Linotype" w:cs="Palatino Linotype"/>
          <w:sz w:val="22"/>
          <w:szCs w:val="22"/>
        </w:rPr>
        <w:t xml:space="preserve">SESIÓN ORDINARIA CELEBRADA EL </w:t>
      </w:r>
      <w:r w:rsidR="00AE3DD5" w:rsidRPr="00C67BCD">
        <w:rPr>
          <w:rFonts w:ascii="Palatino Linotype" w:eastAsia="Palatino Linotype" w:hAnsi="Palatino Linotype" w:cs="Palatino Linotype"/>
          <w:sz w:val="22"/>
          <w:szCs w:val="22"/>
        </w:rPr>
        <w:t>DIECISIETE</w:t>
      </w:r>
      <w:r w:rsidR="003D2CDB" w:rsidRPr="00C67BCD">
        <w:rPr>
          <w:rFonts w:ascii="Palatino Linotype" w:eastAsia="Palatino Linotype" w:hAnsi="Palatino Linotype" w:cs="Palatino Linotype"/>
          <w:sz w:val="22"/>
          <w:szCs w:val="22"/>
        </w:rPr>
        <w:t xml:space="preserve"> DE SEPTIEMBRE</w:t>
      </w:r>
      <w:r w:rsidR="00DF5516" w:rsidRPr="00C67BCD">
        <w:rPr>
          <w:rFonts w:ascii="Palatino Linotype" w:eastAsia="Palatino Linotype" w:hAnsi="Palatino Linotype" w:cs="Palatino Linotype"/>
          <w:sz w:val="22"/>
          <w:szCs w:val="22"/>
        </w:rPr>
        <w:t xml:space="preserve"> DE DOS MIL VEINTISÉIS</w:t>
      </w:r>
      <w:r w:rsidRPr="00C67BCD">
        <w:rPr>
          <w:rFonts w:ascii="Palatino Linotype" w:eastAsia="Palatino Linotype" w:hAnsi="Palatino Linotype" w:cs="Palatino Linotype"/>
          <w:sz w:val="22"/>
          <w:szCs w:val="22"/>
        </w:rPr>
        <w:t>, ANTE EL SECRETARIO TÉCNICO DEL PLENO ALEXIS TAPIA RAMÍREZ.</w:t>
      </w:r>
      <w:r w:rsidRPr="00E21CB0">
        <w:rPr>
          <w:rFonts w:ascii="Palatino Linotype" w:eastAsia="Palatino Linotype" w:hAnsi="Palatino Linotype" w:cs="Palatino Linotype"/>
          <w:sz w:val="22"/>
          <w:szCs w:val="22"/>
        </w:rPr>
        <w:t xml:space="preserve"> </w:t>
      </w:r>
    </w:p>
    <w:p w14:paraId="74E02134" w14:textId="77777777" w:rsidR="00532AE4" w:rsidRPr="00E21CB0"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E21CB0" w:rsidRDefault="00532AE4">
      <w:pPr>
        <w:rPr>
          <w:sz w:val="22"/>
          <w:szCs w:val="22"/>
        </w:rPr>
      </w:pPr>
    </w:p>
    <w:sectPr w:rsidR="00532AE4" w:rsidRPr="00E21CB0">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6DEE7" w14:textId="77777777" w:rsidR="00EF3938" w:rsidRDefault="00EF3938">
      <w:r>
        <w:separator/>
      </w:r>
    </w:p>
  </w:endnote>
  <w:endnote w:type="continuationSeparator" w:id="0">
    <w:p w14:paraId="032BBF30" w14:textId="77777777" w:rsidR="00EF3938" w:rsidRDefault="00EF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1DB0743B"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C67BCD">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C67BCD">
      <w:rPr>
        <w:rFonts w:ascii="Arial" w:eastAsia="Arial" w:hAnsi="Arial" w:cs="Arial"/>
        <w:b/>
        <w:noProof/>
        <w:color w:val="000000"/>
        <w:sz w:val="20"/>
        <w:szCs w:val="20"/>
      </w:rPr>
      <w:t>27</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114A75EF"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C67BCD">
      <w:rPr>
        <w:rFonts w:ascii="Arial" w:eastAsia="Arial" w:hAnsi="Arial" w:cs="Arial"/>
        <w:b/>
        <w:noProof/>
        <w:color w:val="000000"/>
        <w:sz w:val="20"/>
        <w:szCs w:val="20"/>
      </w:rPr>
      <w:t>27</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C67BCD">
      <w:rPr>
        <w:rFonts w:ascii="Arial" w:eastAsia="Arial" w:hAnsi="Arial" w:cs="Arial"/>
        <w:b/>
        <w:noProof/>
        <w:color w:val="000000"/>
        <w:sz w:val="20"/>
        <w:szCs w:val="20"/>
      </w:rPr>
      <w:t>27</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C0F3E" w14:textId="77777777" w:rsidR="00EF3938" w:rsidRDefault="00EF3938">
      <w:r>
        <w:separator/>
      </w:r>
    </w:p>
  </w:footnote>
  <w:footnote w:type="continuationSeparator" w:id="0">
    <w:p w14:paraId="1FA49852" w14:textId="77777777" w:rsidR="00EF3938" w:rsidRDefault="00EF3938">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3455CE31"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AC2BDE">
            <w:rPr>
              <w:rFonts w:ascii="Palatino Linotype" w:eastAsia="Palatino Linotype" w:hAnsi="Palatino Linotype" w:cs="Palatino Linotype"/>
              <w:b/>
              <w:sz w:val="21"/>
              <w:szCs w:val="21"/>
            </w:rPr>
            <w:t>827</w:t>
          </w:r>
          <w:r w:rsidR="00284DAE">
            <w:rPr>
              <w:rFonts w:ascii="Palatino Linotype" w:eastAsia="Palatino Linotype" w:hAnsi="Palatino Linotype" w:cs="Palatino Linotype"/>
              <w:b/>
              <w:sz w:val="21"/>
              <w:szCs w:val="21"/>
            </w:rPr>
            <w:t>6</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53CE0D9B" w:rsidR="00532AE4" w:rsidRDefault="00AC2BDE" w:rsidP="00150206">
          <w:pPr>
            <w:jc w:val="both"/>
            <w:rPr>
              <w:rFonts w:ascii="Palatino Linotype" w:eastAsia="Palatino Linotype" w:hAnsi="Palatino Linotype" w:cs="Palatino Linotype"/>
              <w:b/>
              <w:sz w:val="21"/>
              <w:szCs w:val="21"/>
            </w:rPr>
          </w:pPr>
          <w:r w:rsidRPr="00AC2BDE">
            <w:rPr>
              <w:rFonts w:ascii="Palatino Linotype" w:eastAsia="Palatino Linotype" w:hAnsi="Palatino Linotype" w:cs="Palatino Linotype"/>
              <w:b/>
              <w:sz w:val="21"/>
              <w:szCs w:val="21"/>
            </w:rPr>
            <w:t>Instituto del Deporte del Estado de México</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3B5290E5"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284DAE">
            <w:rPr>
              <w:rFonts w:ascii="Palatino Linotype" w:eastAsia="Palatino Linotype" w:hAnsi="Palatino Linotype" w:cs="Palatino Linotype"/>
              <w:b/>
              <w:sz w:val="21"/>
              <w:szCs w:val="21"/>
            </w:rPr>
            <w:t>8276</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12179A81" w:rsidR="00532AE4" w:rsidRDefault="004241F6">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XXXXXX XXXXX XXXXXXX XX XXX</w:t>
          </w:r>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27800B8F" w:rsidR="00532AE4" w:rsidRDefault="00AC2BDE" w:rsidP="00150206">
          <w:pPr>
            <w:ind w:right="452"/>
            <w:jc w:val="both"/>
            <w:rPr>
              <w:rFonts w:ascii="Palatino Linotype" w:eastAsia="Palatino Linotype" w:hAnsi="Palatino Linotype" w:cs="Palatino Linotype"/>
              <w:b/>
              <w:sz w:val="21"/>
              <w:szCs w:val="21"/>
            </w:rPr>
          </w:pPr>
          <w:r w:rsidRPr="00AC2BDE">
            <w:rPr>
              <w:rFonts w:ascii="Palatino Linotype" w:eastAsia="Palatino Linotype" w:hAnsi="Palatino Linotype" w:cs="Palatino Linotype"/>
              <w:b/>
              <w:sz w:val="21"/>
              <w:szCs w:val="21"/>
            </w:rPr>
            <w:t>Instituto del Deporte del Estado de México</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8566626">
    <w:abstractNumId w:val="2"/>
  </w:num>
  <w:num w:numId="2" w16cid:durableId="955062184">
    <w:abstractNumId w:val="4"/>
  </w:num>
  <w:num w:numId="3" w16cid:durableId="1099569075">
    <w:abstractNumId w:val="0"/>
  </w:num>
  <w:num w:numId="4" w16cid:durableId="1194150819">
    <w:abstractNumId w:val="1"/>
  </w:num>
  <w:num w:numId="5" w16cid:durableId="2004776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DAE"/>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0D84"/>
    <w:rsid w:val="003B119C"/>
    <w:rsid w:val="003B606E"/>
    <w:rsid w:val="003C5888"/>
    <w:rsid w:val="003D129B"/>
    <w:rsid w:val="003D2CDB"/>
    <w:rsid w:val="003D45BC"/>
    <w:rsid w:val="003D655D"/>
    <w:rsid w:val="003E2501"/>
    <w:rsid w:val="003F4280"/>
    <w:rsid w:val="00401731"/>
    <w:rsid w:val="0041786A"/>
    <w:rsid w:val="00417D9F"/>
    <w:rsid w:val="0042141B"/>
    <w:rsid w:val="004241F6"/>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D3CA2"/>
    <w:rsid w:val="005F2D09"/>
    <w:rsid w:val="005F71E2"/>
    <w:rsid w:val="00603092"/>
    <w:rsid w:val="00607257"/>
    <w:rsid w:val="0061438F"/>
    <w:rsid w:val="00620310"/>
    <w:rsid w:val="0062466E"/>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6B4A"/>
    <w:rsid w:val="007276F5"/>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40A7"/>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4D3E"/>
    <w:rsid w:val="009B6117"/>
    <w:rsid w:val="009C1099"/>
    <w:rsid w:val="009C1EF4"/>
    <w:rsid w:val="009C3B23"/>
    <w:rsid w:val="009C43AD"/>
    <w:rsid w:val="009C5489"/>
    <w:rsid w:val="009D197C"/>
    <w:rsid w:val="009D7C8B"/>
    <w:rsid w:val="009E503C"/>
    <w:rsid w:val="00A01FAB"/>
    <w:rsid w:val="00A14A96"/>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2BDE"/>
    <w:rsid w:val="00AC5442"/>
    <w:rsid w:val="00AC6B80"/>
    <w:rsid w:val="00AD14F5"/>
    <w:rsid w:val="00AD43F4"/>
    <w:rsid w:val="00AD6661"/>
    <w:rsid w:val="00AE0B9D"/>
    <w:rsid w:val="00AE3DD5"/>
    <w:rsid w:val="00AE446C"/>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B1677"/>
    <w:rsid w:val="00BB1882"/>
    <w:rsid w:val="00BC6C53"/>
    <w:rsid w:val="00BD2189"/>
    <w:rsid w:val="00BD3609"/>
    <w:rsid w:val="00BE3596"/>
    <w:rsid w:val="00BE3FD2"/>
    <w:rsid w:val="00C112BE"/>
    <w:rsid w:val="00C1235A"/>
    <w:rsid w:val="00C13FF2"/>
    <w:rsid w:val="00C24C97"/>
    <w:rsid w:val="00C304A2"/>
    <w:rsid w:val="00C36278"/>
    <w:rsid w:val="00C43FBC"/>
    <w:rsid w:val="00C51B8C"/>
    <w:rsid w:val="00C52987"/>
    <w:rsid w:val="00C5586C"/>
    <w:rsid w:val="00C6612D"/>
    <w:rsid w:val="00C67BCD"/>
    <w:rsid w:val="00C70F4E"/>
    <w:rsid w:val="00C758DF"/>
    <w:rsid w:val="00C912B9"/>
    <w:rsid w:val="00C930A5"/>
    <w:rsid w:val="00CA5B0F"/>
    <w:rsid w:val="00CB4082"/>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1CB0"/>
    <w:rsid w:val="00E23DB9"/>
    <w:rsid w:val="00E253B2"/>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74FD"/>
    <w:rsid w:val="00EC52BA"/>
    <w:rsid w:val="00EC6905"/>
    <w:rsid w:val="00EE3D20"/>
    <w:rsid w:val="00EE5E30"/>
    <w:rsid w:val="00EF3938"/>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1811"/>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E1AF8160-F3CC-47B5-A332-2B0A85C77B6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7225</Words>
  <Characters>39739</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2026-09-18T20:54:00Z</cp:lastPrinted>
  <dcterms:created xsi:type="dcterms:W3CDTF">2026-09-22T21:45:00Z</dcterms:created>
  <dcterms:modified xsi:type="dcterms:W3CDTF">2026-09-22T21:45:00Z</dcterms:modified>
</cp:coreProperties>
</file>