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F75" w:rsidRDefault="00AC33D9">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veinte (20) de mayo de dos mil veintiséis.</w:t>
      </w:r>
    </w:p>
    <w:p w:rsidR="005B5F75" w:rsidRDefault="005B5F75">
      <w:pPr>
        <w:tabs>
          <w:tab w:val="left" w:pos="3465"/>
        </w:tabs>
        <w:spacing w:line="360" w:lineRule="auto"/>
        <w:ind w:right="-787"/>
        <w:jc w:val="both"/>
        <w:rPr>
          <w:rFonts w:ascii="Palatino Linotype" w:eastAsia="Palatino Linotype" w:hAnsi="Palatino Linotype" w:cs="Palatino Linotype"/>
        </w:rPr>
      </w:pPr>
    </w:p>
    <w:p w:rsidR="005B5F75" w:rsidRDefault="00AC33D9">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01393/INFOEM/IP/RR/2026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promovido por</w:t>
      </w:r>
      <w:r>
        <w:rPr>
          <w:rFonts w:ascii="Palatino Linotype" w:eastAsia="Palatino Linotype" w:hAnsi="Palatino Linotype" w:cs="Palatino Linotype"/>
          <w:b/>
          <w:bCs/>
        </w:rPr>
        <w:t> </w:t>
      </w:r>
      <w:r w:rsidR="00B30309">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Valle de Bravo,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w:t>
      </w:r>
      <w:bookmarkStart w:id="0" w:name="_GoBack"/>
      <w:bookmarkEnd w:id="0"/>
      <w:r>
        <w:rPr>
          <w:rFonts w:ascii="Palatino Linotype" w:eastAsia="Palatino Linotype" w:hAnsi="Palatino Linotype" w:cs="Palatino Linotype"/>
        </w:rPr>
        <w:t>de a dictar la presente resolución, con base en los siguientes:</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dawpgvculeg4" w:colFirst="0" w:colLast="0"/>
      <w:bookmarkEnd w:id="1"/>
      <w:r>
        <w:rPr>
          <w:rFonts w:ascii="Palatino Linotype" w:eastAsia="Palatino Linotype" w:hAnsi="Palatino Linotype" w:cs="Palatino Linotype"/>
          <w:b/>
          <w:bCs/>
          <w:color w:val="000000"/>
          <w:sz w:val="24"/>
          <w:szCs w:val="24"/>
        </w:rPr>
        <w:t>A N T E C E D E N T E S</w:t>
      </w:r>
    </w:p>
    <w:p w:rsidR="005B5F75" w:rsidRDefault="005B5F75">
      <w:pPr>
        <w:ind w:right="-787"/>
        <w:rPr>
          <w:rFonts w:ascii="Palatino Linotype" w:eastAsia="Palatino Linotype" w:hAnsi="Palatino Linotype" w:cs="Palatino Linotype"/>
        </w:rPr>
      </w:pP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doce de enero de dos mil veintiséis,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SAIMEX, la solicitud de información pública registrada con el número</w:t>
      </w:r>
      <w:r>
        <w:rPr>
          <w:rFonts w:ascii="Palatino Linotype" w:eastAsia="Palatino Linotype" w:hAnsi="Palatino Linotype" w:cs="Palatino Linotype"/>
          <w:b/>
          <w:bCs/>
          <w:color w:val="000000"/>
        </w:rPr>
        <w:t xml:space="preserve"> 00005/VABRAVO/IP/2026 </w:t>
      </w:r>
      <w:r>
        <w:rPr>
          <w:rFonts w:ascii="Palatino Linotype" w:eastAsia="Palatino Linotype" w:hAnsi="Palatino Linotype" w:cs="Palatino Linotype"/>
        </w:rPr>
        <w:t>en la que</w:t>
      </w:r>
      <w:r>
        <w:rPr>
          <w:rFonts w:ascii="Palatino Linotype" w:eastAsia="Palatino Linotype" w:hAnsi="Palatino Linotype" w:cs="Palatino Linotype"/>
          <w:color w:val="000000"/>
        </w:rPr>
        <w:t xml:space="preserve"> se solicitó la siguiente información:</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B5F75" w:rsidRDefault="00AC33D9">
      <w:pPr>
        <w:numPr>
          <w:ilvl w:val="0"/>
          <w:numId w:val="5"/>
        </w:numPr>
        <w:pBdr>
          <w:top w:val="nil"/>
          <w:left w:val="nil"/>
          <w:bottom w:val="nil"/>
          <w:right w:val="nil"/>
          <w:between w:val="nil"/>
        </w:pBdr>
        <w:spacing w:line="276" w:lineRule="auto"/>
        <w:ind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color w:val="000000"/>
        </w:rPr>
        <w:t>00005/VABRAVO/IP/2026</w:t>
      </w:r>
      <w:r>
        <w:rPr>
          <w:rFonts w:ascii="Palatino Linotype" w:eastAsia="Palatino Linotype" w:hAnsi="Palatino Linotype" w:cs="Palatino Linotype"/>
          <w:b/>
          <w:bCs/>
          <w:i/>
          <w:iCs/>
          <w:color w:val="000000"/>
        </w:rPr>
        <w:t xml:space="preserve"> </w:t>
      </w:r>
    </w:p>
    <w:p w:rsidR="005B5F75" w:rsidRDefault="00AC33D9">
      <w:pPr>
        <w:pBdr>
          <w:top w:val="nil"/>
          <w:left w:val="nil"/>
          <w:bottom w:val="nil"/>
          <w:right w:val="nil"/>
          <w:between w:val="nil"/>
        </w:pBdr>
        <w:spacing w:line="276" w:lineRule="auto"/>
        <w:ind w:left="426"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 xml:space="preserve">SOLICITO A LA COORDINACION DE PROTECCION CIVIL DE VALLE DE BRAVO, ESTADO DE MEXICO, LA SIGUIENTE INFORMACION: 1. ¿Cuál es el nombre completo del titular de la Coordinación de Protección Civil del Ayuntamiento de Valle de Bravo? 2. ¿Qué remuneración mensual bruta y neta percibe el titular de la Coordinación de Protección Civil? 3. ¿Cuál es el presupuesto total anual asignado a la Coordinación de Protección Civil para el ejercicio fiscal dos mil veinticinco? 4. ¿Qué porcentaje del presupuesto municipal total representa el presupuesto de Protección Civil? 5. ¿Cuál es el organigrama vigente de la Coordinación de Protección Civil? 6. ¿Cuántas plazas de base existen dentro de la Coordinación de Protección Civil? 7. ¿Cuántas plazas de confianza existen dentro de la Coordinación de Protección Civil? 8. ¿Cuántas plazas por contrato eventual están activas en la Coordinación de </w:t>
      </w:r>
      <w:r>
        <w:rPr>
          <w:rFonts w:ascii="Palatino Linotype" w:eastAsia="Palatino Linotype" w:hAnsi="Palatino Linotype" w:cs="Palatino Linotype"/>
          <w:i/>
          <w:iCs/>
          <w:color w:val="000000"/>
        </w:rPr>
        <w:lastRenderedPageBreak/>
        <w:t xml:space="preserve">Protección Civil? 9. ¿Qué perfil académico y cédula profesional tiene el titular de la Coordinación de Protección Civil? 10. ¿Cuenta el titular con certificación de competencia laboral vigente en materia de protección civil? 11. ¿Cuál es el monto destinado específicamente a la compra de combustible para vehículos de emergencia en dos mil veinticinco? 12. ¿Cuánto dinero se ha gastado en el mantenimiento preventivo y correctivo de vehículos de emergencia de enero a la fecha de esta solicitud? 13. ¿Qué convenios de colaboración financiera tiene la Coordinación con el Gobierno del Estado de México? 14. ¿Cuál es el presupuesto destinado a la adquisición de uniformes para el personal operativo en este año? 15. ¿Cuánto se ha invertido en equipo de protección personal para bomberos en el presente ejercicio fiscal? 16. ¿Qué partida presupuestal específica se utiliza para la atención inmediata de desastres naturales? 17. ¿Existe un fondo de emergencia económica específico para el municipio de Valle de Bravo y cuál es su monto? 18. ¿Cuál es el procedimiento administrativo para que la Coordinación solicite recursos extraordinarios al cabildo? 19. ¿Cuántas auditorías financieras ha tenido la Coordinación por parte de la Contraloría Municipal en los últimos dos años? 20. ¿Qué empresas son las proveedoras actuales de equipo de rescate y protección para la Coordinación? 21. ¿Cuál es el sueldo base de un bombero adscrito a esta Coordinación? 22. ¿Cuál es el sueldo base de un técnico en urgencias médicas adscrito a esta Coordinación? 23. ¿Qué bonos por concepto de riesgo de trabajo recibe el personal operativo mensualmente? 24. ¿Cuánto se ha gastado en servicios de telefonía e internet para las oficinas de protección civil este año? 25. ¿Cuál es el costo total de la póliza de seguro de vida para el personal de protección civil y bomberos? 26. ¿Cuántas bajas de personal se han registrado en la Coordinación durante el último año? 27. ¿Cuántas altas de personal nuevo se han registrado en la Coordinación en dos mil veinticinco? 28. ¿Qué gastos de representación ha ejercido el titular de la Coordinación en lo que va del año? 29. ¿Cuál es el monto asignado para viáticos en comisiones oficiales fuera del municipio? 30. ¿Qué presupuesto se tiene asignado para la compra de papelería y artículos de oficina? 31. ¿Cuál es el inventario de bienes muebles bajo resguardo de la Coordinación de Protección Civil? 32. ¿Qué vehículos oficiales están asignados exclusivamente al uso del titular de la Coordinación? 33. ¿Cuántas computadoras y equipo informático tiene asignada la oficina de la Coordinación? 34. ¿Qué software especializado en gestión de riesgos o sistemas de información geográfica posee la Coordinación? 35. ¿Cuál es el gasto mensual en electricidad de las estaciones de bomberos y oficinas administrativas? 36. ¿Cuántas personas integran el área administrativa de la Coordinación? 37. ¿Cuál es el costo de las primas de seguros de los vehículos de emergencia del </w:t>
      </w:r>
      <w:r>
        <w:rPr>
          <w:rFonts w:ascii="Palatino Linotype" w:eastAsia="Palatino Linotype" w:hAnsi="Palatino Linotype" w:cs="Palatino Linotype"/>
          <w:i/>
          <w:iCs/>
          <w:color w:val="000000"/>
        </w:rPr>
        <w:lastRenderedPageBreak/>
        <w:t xml:space="preserve">municipio? 38. ¿Qué presupuesto se destina a la alimentación del personal operativo en turnos de veinticuatro horas? 39. ¿Existen adeudos con proveedores de equipo de seguridad de ejercicios fiscales anteriores? 40. ¿Qué presupuesto se asignó para la capacitación externa del personal en dos mil veinticinco? 41. ¿Qué monto se ha destinado a la reparación de motobombas y equipo hidráulico de rescate? 42. ¿Cuál es el costo anual del arrendamiento de los locales que ocupa la Coordinación, en caso de no ser propios? 43. ¿Cuántas plazas de la Coordinación están actualmente vacantes? 44. ¿Qué criterios se utilizan para la asignación de horas extras al personal operativo? 45. ¿Cuál es el monto total pagado por concepto de horas extras en el último trimestre? 46. ¿Qué presupuesto se destinó a la compra de medicamentos e insumos para las ambulancias? 47. ¿Cuánto se ha gastado en la recarga y mantenimiento de extintores de las dependencias municipales? 48. ¿Qué monto se tiene asignado para la adquisición de herramientas forestales este año? 49. ¿Cuál es el presupuesto para el mantenimiento del sistema de radiocomunicación? 50. ¿Qué porcentaje del presupuesto de la Coordinación proviene de recursos federales? 51. ¿Cuál es la fecha de publicación oficial del Reglamento de Protección Civil vigente en Valle de Bravo? 52. ¿Se han realizado reformas al Reglamento de Protección Civil durante el presente año? 53. ¿En qué ejemplar de la Gaceta Municipal se publicó la estructura orgánica de la Coordinación? 54. ¿Qué convenios de coordinación tiene el Ayuntamiento con la Secretaría de la Defensa Nacional en materia de desastres? 55. ¿Existe un convenio firmado con la Secretaría de Marina para operaciones de rescate en el lago? 56. ¿Cómo se fundamenta legalmente la facultad de la Coordinación para realizar clausuras de establecimientos? 57. ¿Qué normas oficiales mexicanas son las que aplica la Coordinación en sus visitas de inspección? 58. ¿Cuál es el fundamento legal exacto para el cobro de derechos por el visto bueno de protección civil? 59. ¿Qué autoridad superior supervisa la legalidad de los actos administrativos de la Coordinación? 60. ¿Existe un manual de procedimientos para la atención de denuncias ciudadanas sobre riesgos? 61. ¿Cuál es el código de ética al que debe sujetarse el personal de protección civil de Valle de Bravo? 62. ¿Cómo se garantiza la protección de datos personales en los expedientes de programas internos de protección civil? 63. ¿Qué leyes estatales fundamentan el actuar operativo de la Coordinación actualmente? 64. ¿Existe un reglamento interior de trabajo específico para el cuerpo de bomberos municipal? 65. ¿Cuál es el fundamento legal para la integración de brigadas comunitarias en el municipio? 66. ¿Qué disposiciones legales rigen el uso de drones por parte de la Coordinación de Protección Civil? 67. ¿Qué normatividad aplica la Coordinación para la regulación de eventos masivos y espectáculos? 68. ¿Cuál es el </w:t>
      </w:r>
      <w:r>
        <w:rPr>
          <w:rFonts w:ascii="Palatino Linotype" w:eastAsia="Palatino Linotype" w:hAnsi="Palatino Linotype" w:cs="Palatino Linotype"/>
          <w:i/>
          <w:iCs/>
          <w:color w:val="000000"/>
        </w:rPr>
        <w:lastRenderedPageBreak/>
        <w:t xml:space="preserve">procedimiento legal para la impugnación de una multa impuesta por esta Coordinación? 69. ¿Cómo se fundamenta la participación de la Coordinación en el Comité de Obra Pública municipal? 70. ¿Qué convenios de ayuda mutua existen con municipios colindantes como Amanalco o Temascaltepec? 71. ¿Cuál es el fundamento para la emisión de dictámenes de estabilidad estructural en inmuebles dañados? 72. ¿Qué ley rige la actuación de los voluntarios que colaboran con la Coordinación? 73. ¿Existe un protocolo legal para la declaratoria de emergencia a nivel municipal? 74. ¿Cómo se fundamenta la revisión de instalaciones eléctricas y de gas en el comercio informal? 75. ¿Qué lineamientos legales existen para la disposición de residuos peligrosos generados en accidentes? 76. ¿Cuál es la base legal para exigir la contratación de seguros de responsabilidad civil a comercios? 77. ¿Qué sanciones contempla el Bando Municipal por obstruir el paso de vehículos de emergencia? 78. ¿Cómo se regula legalmente la actividad de los prestadores de servicios de turismo de aventura? 79. ¿Qué marco jurídico rige la instalación de refugios temporales en propiedades privadas o ejidales? 80. ¿Cuál es el procedimiento legal para la desincorporación de vehículos de emergencia inservibles? 81. ¿Qué leyes de transparencia obligan a la Coordinación a publicar sus planes de contingencia? 82. ¿Cómo se fundamenta la revisión de las medidas de seguridad en las gasolineras del municipio? 83. ¿Qué normatividad rige el almacenamiento de sustancias inflamables en zonas urbanas de Valle de Bravo? 84. ¿Cuál es el fundamento legal para la realización de simulacros obligatorios en el sector privado? 85. ¿Qué autoridad es la encargada de sancionar al personal de protección civil por negligencia? 86. ¿Existe un protocolo de actuación legal para el manejo de cadáveres en sitios de desastre? 87. ¿Qué convenios de colaboración existen con la Comisión Nacional del Agua para la vigilancia de la presa? 88. ¿Cómo se fundamenta la intervención de la Coordinación en zonas federales dentro del municipio? 89. ¿Qué leyes protegen a los denunciantes anónimos de riesgos de seguridad ante la Coordinación? 90. ¿Cuál es el marco legal para el uso de la fuerza o auxilio de la policía en las inspecciones? 91. ¿Qué lineamientos rigen la publicidad de los dictámenes de protección civil? 92. ¿Cómo se fundamenta la obligatoriedad del programa interno de protección civil para unidades habitacionales? 93. ¿Qué leyes de mejora regulatoria aplica la Coordinación para simplificar trámites? 94. ¿Cuál es el sustento legal de los comités de protección civil en las escuelas de nivel básico? 95. ¿Qué normatividad aplica para el traslado de pacientes en ambulancias municipales? 96. ¿Cómo se fundamenta la inspección de juegos mecánicos en ferias y fiestas patronales? 97. ¿Qué leyes de archivos obligan a la Coordinación a conservar los registros de emergencias? 98. ¿Cuál es el fundamento para la prohibición de </w:t>
      </w:r>
      <w:r>
        <w:rPr>
          <w:rFonts w:ascii="Palatino Linotype" w:eastAsia="Palatino Linotype" w:hAnsi="Palatino Linotype" w:cs="Palatino Linotype"/>
          <w:i/>
          <w:iCs/>
          <w:color w:val="000000"/>
        </w:rPr>
        <w:lastRenderedPageBreak/>
        <w:t xml:space="preserve">quemas agrícolas en periodos de estiaje? 99. ¿Qué marco jurídico regula la señalética de protección civil en el municipio? 100. ¿Cómo se garantiza el derecho a la información en los procesos de gestión de riesgos? 101. ¿En qué fecha exacta se realizó la última actualización del Atlas Municipal de Riesgos? 102. ¿Qué empresa o institución educativa fue contratada para elaborar el Atlas Municipal de Riesgos? 103. ¿Cuál fue el costo total de la elaboración del Atlas Municipal de Riesgos vigente? 104. ¿Cuáles son los cinco riesgos naturales con mayor índice de peligro en el municipio? 105. ¿Qué zonas del municipio de Valle de Bravo están catalogadas como de riesgo sísmico alto? 106. ¿Qué barrios o comunidades están identificados con riesgo de inundación por desbordamiento de ríos? 107. ¿Cuántos puntos de riesgo por deslizamiento de laderas existen en la zona de Avándaro? 108. ¿Qué medidas de prevención se han tomado para mitigar el riesgo de derrumbes en la carretera a Toluca? 109. ¿Existe una versión cartográfica digital del Atlas de Riesgos accesible para la población? 110. ¿Cómo integra la Coordinación el factor del cambio climático en la planeación de gestión de riesgos? 111. ¿Qué estudios se han realizado sobre la estabilidad de los suelos en las zonas de nueva construcción? 112. ¿Cuál es el riesgo identificado por el almacenamiento de combustibles en la zona urbana? 113. ¿Qué protocolos existen para la vigilancia constante de los niveles de la Presa Miguel Alemán? 114. ¿Cómo se coordina el monitoreo de riesgos hidrometeorológicos con la Comisión del Agua del Estado de México? 115. ¿Qué zonas del municipio son más vulnerables a incendios forestales según la estadística histórica? 116. ¿Qué planes existen para la reducción de riesgos en los mercados municipales? 117. ¿Cómo se identifican y señalizan las zonas de seguridad en el centro histórico de Valle de Bravo? 118. ¿Qué riesgos químicos se han detectado por el transporte de materiales peligrosos en las vías locales? 119. ¿Existe un padrón de edificios públicos que requieren refuerzo estructural según el Atlas de Riesgos? 120. ¿Qué estudios se han realizado sobre el riesgo de caída de árboles en zonas habitacionales? 121. ¿Cómo se mide la vulnerabilidad social frente a desastres en las comunidades más alejadas? 122. ¿Qué acciones se realizan para identificar riesgos eléctricos en el cableado público del municipio? 123. ¿Qué coordinación existe con la Comisión Federal de Electricidad para mitigar riesgos en tormentas? 124. ¿Qué monitoreo se hace de las fallas geológicas o grietas detectadas en el territorio municipal? 125. ¿Cuál es el riesgo detectado por la actividad turística masiva en el lago de Valle de Bravo? 126. ¿Qué medidas de mitigación se han aplicado en puentes vehiculares identificados con daño? 127. ¿Cómo se informa a los nuevos residentes sobre los riesgos de la zona donde adquieren propiedad? 128. ¿Qué presupuesto se destinó exclusivamente a estudios de mecánica de suelos en zonas de </w:t>
      </w:r>
      <w:r>
        <w:rPr>
          <w:rFonts w:ascii="Palatino Linotype" w:eastAsia="Palatino Linotype" w:hAnsi="Palatino Linotype" w:cs="Palatino Linotype"/>
          <w:i/>
          <w:iCs/>
          <w:color w:val="000000"/>
        </w:rPr>
        <w:lastRenderedPageBreak/>
        <w:t xml:space="preserve">riesgo? 129. ¿Qué criterios de gestión de riesgos se aplican para autorizar nuevos fraccionamientos? 130. ¿Cuántas viviendas han sido notificadas por encontrarse en zonas de riesgo inminente este año? 131. ¿Qué protocolos de evacuación existen para las comunidades ubicadas en la parte alta de la montaña? 132. ¿Cómo se monitorea el riesgo de incendios en el vertedero o basurero municipal? 133. ¿Qué acciones de limpieza de cauces y barrancas se realizaron antes de la temporada de lluvias? 134. ¿Qué impacto tienen las descargas de aguas pluviales en la estabilidad de las laderas del municipio? 135. ¿Qué riesgos socio-organizativos se tienen identificados durante las temporadas de alta afluencia turística? 136. ¿Existe un análisis de riesgo sobre la capacidad de carga de los muelles públicos y privados? 137. ¿Qué medidas de seguridad se exigen a las embarcaciones que transportan combustible en el lago? 138. ¿Qué protocolos hay para la atención de riesgos en el santuario de la mariposa monarca (zona compartida)? 139. ¿Cómo se evalúa el riesgo de colapso de muros de contención en las zonas de pendiente pronunciada? 140. ¿Qué coordinación existe con los guardabosques para la detección temprana de columnas de humo? 141. ¿Qué estudios existen sobre el impacto de las tormentas eléctricas en la infraestructura municipal? 142. ¿Cómo se integra la opinión de protección civil en los permisos de uso de suelo? 143. ¿Qué riesgos se han identificado en las instalaciones de gas de las instituciones de salud? 144. ¿Qué medidas de prevención se toman ante el riesgo de heladas y bajas temperaturas en las zonas altas? 145. ¿Cuál es el plan de contingencia para el desabasto de agua potable en caso de desastre? 146. ¿Cómo se supervisa el riesgo estructural en las iglesias y monumentos históricos del municipio? 147. ¿Qué medidas de seguridad se aplican en las zonas de despegue y aterrizaje de parapentes? 148. ¿Qué acciones se realizan para prevenir explosiones por acumulación de gas en registros subterráneos? 149. ¿Cómo se documentan las lecciones aprendidas después de cada emergencia ocurrida en el municipio? 150. ¿Qué metas de reducción de riesgos tiene la Coordinación para el final del trienio actual? 151. ¿Cuántas solicitudes de visto bueno de protección civil se han recibido en el año dos mil veinticinco? 152. ¿Cuál es el tiempo promedio de respuesta administrativa para un dictamen de protección civil? 153. ¿Qué requisitos específicos se solicitan para el programa interno de protección civil de un hotel? 154. ¿Cuántos establecimientos comerciales han sido sancionados por no contar con programa interno este año? 155. ¿Qué criterios técnicos se utilizan para determinar si un establecimiento es de riesgo alto? 156. ¿Quiénes son los terceros acreditados autorizados para elaborar programas internos de protección civil? 157. ¿Cómo verifica la Coordinación la autenticidad de las firmas de los consultores externos? 158. ¿Cuántas escuelas públicas en el municipio cuentan con un </w:t>
      </w:r>
      <w:r>
        <w:rPr>
          <w:rFonts w:ascii="Palatino Linotype" w:eastAsia="Palatino Linotype" w:hAnsi="Palatino Linotype" w:cs="Palatino Linotype"/>
          <w:i/>
          <w:iCs/>
          <w:color w:val="000000"/>
        </w:rPr>
        <w:lastRenderedPageBreak/>
        <w:t xml:space="preserve">programa interno de protección civil vigente? 159. ¿Qué inspecciones periódicas se realizan a las guarderías y estancias infantiles en el municipio? 160. ¿Cuál es el costo exacto del trámite de renovación anual del visto bueno de protección civil? 161. ¿Cuántas visitas de inspección de seguridad se han realizado de manera aleatoria este año? 162. ¿Qué porcentaje de los comercios establecidos en el centro cuentan con extintores vigentes? 163. ¿Cómo se regula la seguridad en las instalaciones de gas de los puestos de comida en la vía pública? 164. ¿Qué requisitos se exigen para la realización de eventos musicales masivos en el municipio? 165. ¿Cuántas clausuras temporales se han ejecutado por riesgo inminente en dos mil veinticinco? 166. ¿Qué procedimiento se sigue para la liberación de un inmueble clausurado por protección civil? 167. ¿Qué inspecciones se realizan a las terminales de autobuses y transporte colectivo? 168. ¿Cómo se supervisa el cumplimiento de las medidas de seguridad en las obras de construcción privada? 169. ¿Qué requisitos de protección civil deben cumplir los centros de retiro y meditación de la zona? 170. ¿Cuántas multas económicas se han recaudado por infracciones a la ley de protección civil este año? 171. ¿Cuál es el monto máximo de una multa por incumplimiento de medidas de seguridad? 172. ¿Qué criterios se usan para condonar o reducir una multa administrativa en protección civil? 173. ¿Cuántos programas internos de protección civil han sido rechazados por deficiencias técnicas este año? 174. ¿Cómo se verifica que las brigadas internas de las empresas estén realmente capacitadas? 175. ¿Qué requisitos se piden para la instalación de gas estacionario en edificios de departamentos? 176. ¿Qué inspecciones se realizan a las bodegas de almacenamiento de materiales de construcción? 177. ¿Cómo se supervisa la seguridad en las gasolineras y estaciones de carburación de gas licuado de petróleo? 178. ¿Qué medidas de protección civil se exigen para el funcionamiento de los muelles privados? 179. ¿Cuántos gimnasios y centros deportivos cuentan con dictamen de protección civil vigente? 180. ¿Cómo se realiza la inspección de seguridad en las zonas de juegos infantiles de los parques? 181. ¿Qué requisitos deben cumplir los salones de fiestas para obtener su permiso de funcionamiento? 182. ¿Cómo se supervisa el aforo máximo permitido en los establecimientos con venta de bebidas alcohólicas? 183. ¿Qué inspecciones se realizan a los sistemas contra incendios de los centros comerciales locales? 184. ¿Cuál es el procedimiento para denunciar un establecimiento que bloquea sus salidas de emergencia? 185. ¿Cuántas capacitaciones ha brindado la Coordinación a locatarios de mercados municipales? 186. ¿Qué requisitos se exigen para el uso de plantas de luz temporales en eventos públicos? 187. ¿Cómo se verifica la vigencia de las cargas de los extintores en las dependencias de gobierno? 188. ¿Qué inspecciones se realizan a los talleres mecánicos y </w:t>
      </w:r>
      <w:r>
        <w:rPr>
          <w:rFonts w:ascii="Palatino Linotype" w:eastAsia="Palatino Linotype" w:hAnsi="Palatino Linotype" w:cs="Palatino Linotype"/>
          <w:i/>
          <w:iCs/>
          <w:color w:val="000000"/>
        </w:rPr>
        <w:lastRenderedPageBreak/>
        <w:t xml:space="preserve">carpinterías del municipio? 189. ¿Cómo se regula la seguridad en el almacenamiento de fertilizantes y químicos agrícolas? 190. ¿Qué criterios se aplican para la revisión de las rutas de evacuación en hoteles de montaña? 191. ¿Qué requisitos deben cumplir los organizadores de carreras atléticas o de ciclismo de montaña? 192. ¿Cómo se supervisa la seguridad estructural de las carpas o estructuras temporales en ferias? 193. ¿Qué medidas de protección civil se exigen a los panteones municipales durante el día de muertos? 194. ¿Cuántos dictámenes de factibilidad de protección civil se han emitido para nuevos negocios? 195. ¿Qué procedimiento se sigue para la revisión de las instalaciones eléctricas en los tianguis? 196. ¿Cómo se coordina la inspección de seguridad con la dirección de desarrollo económico municipal? 197. ¿Qué registros existen de las empresas de mantenimiento de equipos contra incendio que operan aquí? 198. ¿Cómo se verifica que el personal de seguridad privada de los locales sepa actuar en emergencias? 199. ¿Qué requisitos se piden para las instalaciones de gas en las cocinas de los comedores comunitarios? 200. ¿Cuál es el fundamento para exigir dictámenes eléctricos firmados por unidades de verificación? 201. ¿Cuántos reportes de emergencia reales ha atendido la Coordinación en los últimos seis meses? 202. ¿Cuál es el tiempo promedio de llegada de una ambulancia a la zona del centro de Valle de Bravo? 203. ¿Cuál es el tiempo promedio de llegada de una unidad de bomberos a la zona de Avándaro? 204. ¿Cuántos incendios forestales han sido combatidos por la Coordinación en lo que va del año? 205. ¿Qué protocolo se sigue específicamente para el rescate acuático en el lago de Valle de Bravo? 206. ¿Con cuántas ambulancias propias y operativas cuenta actualmente la Coordinación? 207. ¿Cuántas unidades de ataque rápido contra incendios están en funcionamiento mecánico total? 208. ¿Qué equipo de rescate urbano posee la Coordinación para la atención de prensados en choques? 209. ¿Cómo se coordina operativamente la atención de emergencias con la Cruz Roja Mexicana? 210. ¿Qué tipo de retardantes o espumas químicas para el combate de incendios tienen en inventario? 211. ¿Cuántos trajes estructurales para bomberos están en condiciones óptimas de uso? 212. ¿Cuentan con equipo de respiración autónoma y cuántos tanques de reserva tienen? 213. ¿Cuál es el estado físico y mecánico de la unidad de bomberos más reciente adquirida? 214. ¿Cuántas camillas de rescate y de qué tipo (canastilla, rígida) tiene la Coordinación? 215. ¿Cuentan con desfibriladores externos automáticos en las unidades de primera respuesta? 216. ¿Qué equipo poseen para la atención de emergencias con materiales peligrosos? 217. ¿Cuántas motobombas para inundaciones y de qué capacidad tiene la Coordinación? 218. ¿Qué herramientas manuales para incendios forestales (pulaskis, mcleods) tienen en almacén? 219. ¿Cuentan con lanchas de </w:t>
      </w:r>
      <w:r>
        <w:rPr>
          <w:rFonts w:ascii="Palatino Linotype" w:eastAsia="Palatino Linotype" w:hAnsi="Palatino Linotype" w:cs="Palatino Linotype"/>
          <w:i/>
          <w:iCs/>
          <w:color w:val="000000"/>
        </w:rPr>
        <w:lastRenderedPageBreak/>
        <w:t xml:space="preserve">rescate con motor fuera de borda propias del municipio? 220. ¿Qué sistema de radiocomunicación digital o analógica utiliza el personal operativo? 221. ¿Cómo se realiza el mantenimiento de las mangueras y boquillas de combate de incendios? 222. ¿Cuál es la capacidad de almacenamiento de agua de los camiones cisterna de la Coordinación? 223. ¿Cuentan con drones equipados con cámaras térmicas para búsqueda y rescate? 224. ¿Qué equipo de iluminación portátil tienen para emergencias nocturnas? 225. ¿Cuántas motosierras y equipo de corte tienen para despeje de vías por caída de árboles? 226. ¿Cómo se abastecen de oxígeno medicinal las ambulancias de la Coordinación? 227. ¿Qué equipo de protección contra picaduras de abejas u otros animales poseen? 228. ¿Cuál es el protocolo de despacho de emergencias a través del número único novecientos once? 229. ¿Qué coordinación operativa existe con la policía estatal en accidentes de carretera? 230. ¿Cuántas veces se ha solicitado el apoyo del grupo de rescate aéreo Relámpagos este año? 231. ¿Qué equipo de rescate vertical (cuerdas, arneses, poleas) tienen disponible? 232. ¿Cómo se gestionan los residuos biológico-infecciosos generados en las ambulancias? 233. ¿Qué capacidad de respuesta tienen ante un incendio simultáneo en dos puntos del municipio? 234. ¿Cuentan con una central de radio operativa las veinticuatro horas del día? 235. ¿Qué protocolos de seguridad se siguen para el personal durante el combate de incendios? 236. ¿Cómo se verifica que el equipo de protección personal cumpla con normas internacionales? 237. ¿Qué inventario de herramientas para rescate en estructuras colapsadas poseen? 238. ¿Cuentan con detectores de gases tóxicos o explosividad para fugas de gas licuado de petróleo? 239. ¿Qué tipo de botiquines de trauma cargan las unidades de primera respuesta? 240. ¿Cuál es el procedimiento para el reabastecimiento de agua de los camiones bomberos en el municipio? 241. ¿Qué coordinación existe con las empresas de pipas de agua privadas para emergencias? 242. ¿Cómo se realiza el registro y estadística de los servicios de emergencia atendidos? 243. ¿Qué equipo de protección para incendios forestales (cascos, botas, gogles) tienen disponible? 244. ¿Cuentan con generadores eléctricos portátiles para operar en zonas sin energía? 245. ¿Qué capacidad de remolque tienen los vehículos de la Coordinación? 246. ¿Cómo se asegura la comunicación en zonas del municipio donde no hay señal de telefonía celular? 247. ¿Qué equipo para atención de partos fortuitos tienen en las ambulancias? 248. ¿Cuentan con ventiladores mecánicos o aspiradores de secreciones portátiles? 249. ¿Qué equipo de buceo o rescate subacuático tienen en la Coordinación? 250. ¿Cómo se evalúa el desempeño operativo después de un servicio de emergencia mayor? 251. ¿Cuántos cursos de primeros auxilios se han impartido a la población civil en dos mil veinticinco? 252. ¿Qué programa de capacitación existe para los delegados </w:t>
      </w:r>
      <w:r>
        <w:rPr>
          <w:rFonts w:ascii="Palatino Linotype" w:eastAsia="Palatino Linotype" w:hAnsi="Palatino Linotype" w:cs="Palatino Linotype"/>
          <w:i/>
          <w:iCs/>
          <w:color w:val="000000"/>
        </w:rPr>
        <w:lastRenderedPageBreak/>
        <w:t xml:space="preserve">municipales en materia de prevención? 253. ¿Cuántos simulacros masivos se han organizado en el municipio durante el presente año? 254. ¿Qué materiales informativos sobre riesgos se han distribuido en las comunidades rurales? 255. ¿Existe capacitación específica para el personal de los hoteles sobre evacuación de turistas? 256. ¿Cómo se promueve la cultura de la protección civil entre los niños en las escuelas? 257. ¿Cuántos comités vecinales de protección civil han sido conformados legalmente este año? 258. ¿Qué acciones se realizan para capacitar a los operadores de lanchas en el lago? 259. ¿Existe un programa de capacitación para el manejo de extintores dirigido a comerciantes? 260. ¿Cómo se informa a la población extranjera residente sobre los riesgos locales? 261. ¿Qué recomendaciones oficiales se han emitido para el turismo de aventura este año? 262. ¿Qué capacitación recibe el personal operativo sobre derechos humanos y trato al ciudadano? 263. ¿Cuántos cursos de actualización técnica ha tomado el cuerpo de bomberos este año? 264. ¿Qué coordinación existe con las universidades para realizar servicio social en protección civil? 265. ¿Cómo se difunden las alertas meteorológicas a través de los medios de comunicación locales? 266. ¿Qué acciones de prevención se realizan en los centros de salud del municipio? 267. ¿Qué capacitación se les da a las brigadas de incendios forestales de los ejidos? 268. ¿Cómo se enseña a la población a realizar un plan familiar de protección civil? 269. ¿Qué medidas de inclusión existen para capacitar a personas con discapacidad en prevención? 270. ¿Cuál es el listado actualizado de los edificios designados como refugios temporales? 271. ¿Qué capacidad total de albergue de personas tiene el municipio en caso de evacuación? 272. ¿Qué convenios existen con el sector privado para la donación de víveres en desastres? 273. ¿Cómo se garantiza el suministro de alimentos y medicinas en los refugios temporales? 274. ¿Qué protocolos hay para la protección de mascotas y animales en situaciones de emergencia? 275. ¿Cómo se coordina la seguridad en los eventos masivos del Festival de las Almas? 276. ¿Qué acciones preventivas se toman durante las festividades de Semana Santa? 277. ¿Cómo se regula y supervisa el uso de pirotecnia en las fiestas patronales del municipio? 278. ¿Qué capacitación tienen los policías municipales en materia de primeros auxilios? 279. ¿Existe un programa de voluntarios certificados por la Coordinación de Protección Civil? 280. ¿Cómo se evalúa la eficacia de los simulacros realizados en los edificios públicos? 281. ¿Qué presupuesto se destina a campañas de difusión preventiva en redes sociales? 282. ¿Cómo se atiende la salud mental del personal operativo después de atender desastres? 283. ¿Qué coordinación hay con el sector transporte para planes de evacuación masiva? 284. ¿Qué acciones de prevención de accidentes viales realiza la Coordinación en vacaciones? 285. ¿Cómo se promueve el uso de detectores de </w:t>
      </w:r>
      <w:r>
        <w:rPr>
          <w:rFonts w:ascii="Palatino Linotype" w:eastAsia="Palatino Linotype" w:hAnsi="Palatino Linotype" w:cs="Palatino Linotype"/>
          <w:i/>
          <w:iCs/>
          <w:color w:val="000000"/>
        </w:rPr>
        <w:lastRenderedPageBreak/>
        <w:t>humo y de gas en los hogares? 286. ¿Qué capacitación se da a los empleados municipales sobre evacuación de oficinas? 287. ¿Cómo se integra a la sociedad organizada en el Consejo Municipal de Protección Civil? 288. ¿Qué mecanismos de participación ciudadana existen para proponer mejoras en la seguridad? 289. ¿Cuántas sesiones ordinarias ha tenido el Consejo Municipal de Protección Civil este año? 290. ¿Qué acuerdos se han tomado para mejorar la infraestructura de bomberos recientemente? 291. ¿Cómo se supervisa la seguridad en las zonas de campamento y áreas ecoturísticas? 292. ¿Qué acciones de prevención se toman ante el riesgo de caída de rayos en el lago? 293. ¿Cómo se informa sobre el estado de los caminos y veredas en temporada de lluvias? 294. ¿Qué capacitación se ofrece a los guías de turistas sobre gestión de riesgos? 295. ¿Cómo se fomenta la donación de equipo por parte de la iniciativa privada a la Coordinación? 296. ¿Qué protocolos hay para la búsqueda de personas extraviadas en las zonas boscosas? 297. ¿Cómo se coordina la atención de emergencias mayores con el Gobierno Federal? 298. ¿Qué plan de recuperación post-desastre tiene contemplado el municipio? 299. ¿Cómo se mide el impacto de la prevención en la reducción de pérdidas económicas por desastres? 300. ¿Cuál es la visión estratégica de la Coordinación de Protección Civil para el año dos mil treinta?”</w:t>
      </w:r>
    </w:p>
    <w:p w:rsidR="005B5F75" w:rsidRDefault="005B5F75">
      <w:pPr>
        <w:pBdr>
          <w:top w:val="nil"/>
          <w:left w:val="nil"/>
          <w:bottom w:val="nil"/>
          <w:right w:val="nil"/>
          <w:between w:val="nil"/>
        </w:pBdr>
        <w:spacing w:line="276" w:lineRule="auto"/>
        <w:ind w:left="426" w:right="-787"/>
        <w:jc w:val="both"/>
        <w:rPr>
          <w:rFonts w:ascii="Palatino Linotype" w:eastAsia="Palatino Linotype" w:hAnsi="Palatino Linotype" w:cs="Palatino Linotype"/>
          <w:i/>
          <w:iCs/>
          <w:color w:val="000000"/>
        </w:rPr>
      </w:pPr>
    </w:p>
    <w:p w:rsidR="005B5F75" w:rsidRDefault="00AC33D9">
      <w:pPr>
        <w:numPr>
          <w:ilvl w:val="0"/>
          <w:numId w:val="2"/>
        </w:numPr>
        <w:pBdr>
          <w:top w:val="nil"/>
          <w:left w:val="nil"/>
          <w:bottom w:val="nil"/>
          <w:right w:val="nil"/>
          <w:between w:val="nil"/>
        </w:pBdr>
        <w:spacing w:line="360" w:lineRule="auto"/>
        <w:ind w:left="851"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5B5F75" w:rsidRDefault="005B5F75">
      <w:pPr>
        <w:pBdr>
          <w:top w:val="nil"/>
          <w:left w:val="nil"/>
          <w:bottom w:val="nil"/>
          <w:right w:val="nil"/>
          <w:between w:val="nil"/>
        </w:pBdr>
        <w:spacing w:line="276" w:lineRule="auto"/>
        <w:ind w:left="426" w:right="-787"/>
        <w:jc w:val="both"/>
        <w:rPr>
          <w:rFonts w:ascii="Palatino Linotype" w:eastAsia="Palatino Linotype" w:hAnsi="Palatino Linotype" w:cs="Palatino Linotype"/>
          <w:i/>
          <w:iCs/>
          <w:color w:val="000000"/>
        </w:rPr>
      </w:pP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tres de febrero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en el tenor siguiente:</w:t>
      </w:r>
    </w:p>
    <w:p w:rsidR="005B5F75" w:rsidRDefault="005B5F75">
      <w:pPr>
        <w:pBdr>
          <w:top w:val="nil"/>
          <w:left w:val="nil"/>
          <w:bottom w:val="nil"/>
          <w:right w:val="nil"/>
          <w:between w:val="nil"/>
        </w:pBdr>
        <w:tabs>
          <w:tab w:val="left" w:pos="0"/>
        </w:tabs>
        <w:ind w:right="-787"/>
        <w:jc w:val="both"/>
        <w:rPr>
          <w:rFonts w:ascii="Palatino Linotype" w:eastAsia="Palatino Linotype" w:hAnsi="Palatino Linotype" w:cs="Palatino Linotype"/>
          <w:color w:val="000000"/>
        </w:rPr>
      </w:pPr>
    </w:p>
    <w:p w:rsidR="005B5F75" w:rsidRDefault="00AC33D9">
      <w:pPr>
        <w:pBdr>
          <w:top w:val="nil"/>
          <w:left w:val="nil"/>
          <w:bottom w:val="nil"/>
          <w:right w:val="nil"/>
          <w:between w:val="nil"/>
        </w:pBdr>
        <w:ind w:left="720"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color w:val="000000"/>
        </w:rPr>
        <w:tab/>
        <w:t>SECRETARIA.pdf: Oficio firmado del Secretario del Ayuntamiento, por el que informo que relativo al numeral 31, remitió una relación de bienes inmuebles, de bajo costo, de control interno, con fecha de elaboración del dieciséis de enero de dos mil veintiséis.</w:t>
      </w:r>
    </w:p>
    <w:p w:rsidR="005B5F75" w:rsidRDefault="005B5F75">
      <w:pPr>
        <w:pBdr>
          <w:top w:val="nil"/>
          <w:left w:val="nil"/>
          <w:bottom w:val="nil"/>
          <w:right w:val="nil"/>
          <w:between w:val="nil"/>
        </w:pBdr>
        <w:ind w:left="720" w:right="-787"/>
        <w:jc w:val="both"/>
        <w:rPr>
          <w:rFonts w:ascii="Palatino Linotype" w:eastAsia="Palatino Linotype" w:hAnsi="Palatino Linotype" w:cs="Palatino Linotype"/>
          <w:i/>
          <w:iCs/>
          <w:color w:val="000000"/>
        </w:rPr>
      </w:pPr>
    </w:p>
    <w:p w:rsidR="005B5F75" w:rsidRDefault="00AC33D9">
      <w:pPr>
        <w:pBdr>
          <w:top w:val="nil"/>
          <w:left w:val="nil"/>
          <w:bottom w:val="nil"/>
          <w:right w:val="nil"/>
          <w:between w:val="nil"/>
        </w:pBdr>
        <w:ind w:left="720"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Respecto el numeral 33, informó que cuenta con 3.</w:t>
      </w:r>
    </w:p>
    <w:p w:rsidR="005B5F75" w:rsidRDefault="005B5F75">
      <w:pPr>
        <w:pBdr>
          <w:top w:val="nil"/>
          <w:left w:val="nil"/>
          <w:bottom w:val="nil"/>
          <w:right w:val="nil"/>
          <w:between w:val="nil"/>
        </w:pBdr>
        <w:ind w:left="720" w:right="-787"/>
        <w:jc w:val="both"/>
        <w:rPr>
          <w:rFonts w:ascii="Palatino Linotype" w:eastAsia="Palatino Linotype" w:hAnsi="Palatino Linotype" w:cs="Palatino Linotype"/>
          <w:i/>
          <w:iCs/>
          <w:color w:val="000000"/>
        </w:rPr>
      </w:pPr>
    </w:p>
    <w:p w:rsidR="005B5F75" w:rsidRDefault="00AC33D9">
      <w:pPr>
        <w:pBdr>
          <w:top w:val="nil"/>
          <w:left w:val="nil"/>
          <w:bottom w:val="nil"/>
          <w:right w:val="nil"/>
          <w:between w:val="nil"/>
        </w:pBdr>
        <w:ind w:left="720"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color w:val="000000"/>
        </w:rPr>
        <w:tab/>
        <w:t xml:space="preserve">ADMON.pdf: Oficio firmado por el Director de Administración, por el que dio respuesta a los numerales, 1, 6, 7, 8, 20, 26, 27, 30, 32, 36, 43, 44 y 80. </w:t>
      </w:r>
    </w:p>
    <w:p w:rsidR="005B5F75" w:rsidRDefault="005B5F75">
      <w:pPr>
        <w:pBdr>
          <w:top w:val="nil"/>
          <w:left w:val="nil"/>
          <w:bottom w:val="nil"/>
          <w:right w:val="nil"/>
          <w:between w:val="nil"/>
        </w:pBdr>
        <w:ind w:left="720" w:right="-787"/>
        <w:jc w:val="both"/>
        <w:rPr>
          <w:rFonts w:ascii="Palatino Linotype" w:eastAsia="Palatino Linotype" w:hAnsi="Palatino Linotype" w:cs="Palatino Linotype"/>
          <w:i/>
          <w:iCs/>
          <w:color w:val="000000"/>
        </w:rPr>
      </w:pPr>
    </w:p>
    <w:p w:rsidR="005B5F75" w:rsidRDefault="005B5F75">
      <w:pPr>
        <w:pBdr>
          <w:top w:val="nil"/>
          <w:left w:val="nil"/>
          <w:bottom w:val="nil"/>
          <w:right w:val="nil"/>
          <w:between w:val="nil"/>
        </w:pBdr>
        <w:ind w:left="720" w:right="-787"/>
        <w:jc w:val="both"/>
        <w:rPr>
          <w:rFonts w:ascii="Palatino Linotype" w:eastAsia="Palatino Linotype" w:hAnsi="Palatino Linotype" w:cs="Palatino Linotype"/>
          <w:i/>
          <w:iCs/>
          <w:color w:val="000000"/>
        </w:rPr>
      </w:pPr>
    </w:p>
    <w:p w:rsidR="005B5F75" w:rsidRDefault="00AC33D9">
      <w:pPr>
        <w:pBdr>
          <w:top w:val="nil"/>
          <w:left w:val="nil"/>
          <w:bottom w:val="nil"/>
          <w:right w:val="nil"/>
          <w:between w:val="nil"/>
        </w:pBdr>
        <w:ind w:left="720"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color w:val="000000"/>
        </w:rPr>
        <w:tab/>
        <w:t>PC.pdf: Oficio firmado por la Directora de Protección Civil, Bomberos y Ecología, por el que dio respuesta a los numerales 1,2-4,5,6-3,32,33,34,353,36,37-50,51 al 300</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cuatro de febrero de dos mil veintiséis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PARTICULAR</w:t>
      </w:r>
      <w:r>
        <w:rPr>
          <w:rFonts w:ascii="Palatino Linotype" w:eastAsia="Palatino Linotype" w:hAnsi="Palatino Linotype" w:cs="Palatino Linotype"/>
          <w:color w:val="000000"/>
        </w:rPr>
        <w:t xml:space="preserve"> interpuso el recurso de revisión en contra de la respuesta, manifestando las siguientes razones o motivos de inconformidad:</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B5F75" w:rsidRDefault="00AC33D9">
      <w:pPr>
        <w:numPr>
          <w:ilvl w:val="0"/>
          <w:numId w:val="2"/>
        </w:numPr>
        <w:pBdr>
          <w:top w:val="nil"/>
          <w:left w:val="nil"/>
          <w:bottom w:val="nil"/>
          <w:right w:val="nil"/>
          <w:between w:val="nil"/>
        </w:pBdr>
        <w:ind w:left="993"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Acto Impugnado:</w:t>
      </w:r>
      <w:r>
        <w:rPr>
          <w:rFonts w:ascii="Palatino Linotype" w:eastAsia="Palatino Linotype" w:hAnsi="Palatino Linotype" w:cs="Palatino Linotype"/>
          <w:i/>
          <w:iCs/>
          <w:color w:val="000000"/>
        </w:rPr>
        <w:t xml:space="preserve"> La respuesta otorgada por el Sujeto Obligado (Ayuntamiento de Valle de Bravo) a través de los oficios DPCBYE/014/ENERO/2026, DA/059/ENERO/2026 y C.P./001/2026.</w:t>
      </w:r>
    </w:p>
    <w:p w:rsidR="005B5F75" w:rsidRDefault="005B5F75">
      <w:pPr>
        <w:pBdr>
          <w:top w:val="nil"/>
          <w:left w:val="nil"/>
          <w:bottom w:val="nil"/>
          <w:right w:val="nil"/>
          <w:between w:val="nil"/>
        </w:pBdr>
        <w:spacing w:line="360" w:lineRule="auto"/>
        <w:ind w:left="993" w:right="-787"/>
        <w:jc w:val="both"/>
        <w:rPr>
          <w:rFonts w:ascii="Palatino Linotype" w:eastAsia="Palatino Linotype" w:hAnsi="Palatino Linotype" w:cs="Palatino Linotype"/>
          <w:i/>
          <w:iCs/>
          <w:color w:val="000000"/>
        </w:rPr>
      </w:pPr>
    </w:p>
    <w:p w:rsidR="005B5F75" w:rsidRDefault="00AC33D9">
      <w:pPr>
        <w:numPr>
          <w:ilvl w:val="0"/>
          <w:numId w:val="2"/>
        </w:numPr>
        <w:pBdr>
          <w:top w:val="nil"/>
          <w:left w:val="nil"/>
          <w:bottom w:val="nil"/>
          <w:right w:val="nil"/>
          <w:between w:val="nil"/>
        </w:pBdr>
        <w:ind w:left="993"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Razones o motivos de la inconformidad</w:t>
      </w:r>
      <w:r>
        <w:rPr>
          <w:rFonts w:ascii="Palatino Linotype" w:eastAsia="Palatino Linotype" w:hAnsi="Palatino Linotype" w:cs="Palatino Linotype"/>
          <w:i/>
          <w:iCs/>
          <w:color w:val="000000"/>
        </w:rPr>
        <w:t xml:space="preserve">: Falta de integridad y exhaustividad en la búsqueda: El Sujeto Obligado incurre en una omisión al declarar, a través de la Dirección de Protección Civil (DPCBYE), que "no cuenta con la información" relativa a las partidas presupuestales, remuneraciones y gastos de combustible (Preguntas 2, 3, 4, 11, 12, 14, 15, entre otras). Esta respuesta es inverosímil, toda vez que dicha Dirección es la unidad ejecutora del gasto y, por ley, debe poseer los registros de sus propias necesidades presupuestarias y recursos asignados para operar. Incongruencia y Contradicción entre áreas del mismo Sujeto Obligado: Existe una contradicción directa que vulnera la certeza jurídica: Sobre el equipo informático (Pregunta 33): Mientras la Secretaría del Ayuntamiento afirma la existencia de 3 computadoras, la Dirección de Protección Civil indica que solo posee 2 y que son obsoletas. Sobre los vehículos (Pregunta 32): La Dirección de Administración reporta "0" vehículos asignados al titular, pero en el Anexo 1 (Inventario) adjunto por la misma autoridad, se enlistan unidades como una Camioneta RAM 2023 y una Patrulla Mitsubishi. El Sujeto Obligado entrega información contradictoria que impide conocer la realidad del patrimonio municipal. Entrega de información que no corresponde con lo solicitado (Falta de veracidad): Respecto a la actualización del Atlas Municipal de Riesgos (Preguntas 101, 102, 103), la respuesta carece de sustento técnico y lógico. Afirmar que un instrumento de tal complejidad se actualizó el 30 de junio de 2025 "sin costo" y "sin participación de ninguna institución" equivale a una negativa de información disfrazada, ya que un Atlas de Riesgos requiere por ley estudios especializados y validación técnica que generan registros administrativos que </w:t>
      </w:r>
      <w:r>
        <w:rPr>
          <w:rFonts w:ascii="Palatino Linotype" w:eastAsia="Palatino Linotype" w:hAnsi="Palatino Linotype" w:cs="Palatino Linotype"/>
          <w:i/>
          <w:iCs/>
          <w:color w:val="000000"/>
        </w:rPr>
        <w:lastRenderedPageBreak/>
        <w:t>no fueron entregados. Negativa de información sobre facultades y obligaciones legales: A las preguntas sobre fundamentación legal de inspecciones y convenios (#55, #74, #75), la autoridad responde con un simple "NO" o "no se realiza". Esto no satisface el derecho de acceso a la información, pues la autoridad está obligada a señalar el fundamento jurídico por el cual omite sus funciones o, en su defecto, la inexistencia formal de dichos reglamentos mediante un acta de su Comité de Transparencia, lo cual no sucedió.</w:t>
      </w:r>
    </w:p>
    <w:p w:rsidR="005B5F75" w:rsidRDefault="005B5F75">
      <w:pPr>
        <w:spacing w:line="360" w:lineRule="auto"/>
        <w:ind w:right="-787"/>
        <w:rPr>
          <w:rFonts w:ascii="Palatino Linotype" w:eastAsia="Palatino Linotype" w:hAnsi="Palatino Linotype" w:cs="Palatino Linotype"/>
          <w:i/>
          <w:iCs/>
          <w:color w:val="000000"/>
        </w:rPr>
      </w:pP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notificado el </w:t>
      </w:r>
      <w:r>
        <w:rPr>
          <w:rFonts w:ascii="Palatino Linotype" w:eastAsia="Palatino Linotype" w:hAnsi="Palatino Linotype" w:cs="Palatino Linotype"/>
          <w:b/>
          <w:bCs/>
          <w:color w:val="000000"/>
        </w:rPr>
        <w:t>cinco de febrero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PARTICULAR</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dejó</w:t>
      </w:r>
      <w:r>
        <w:rPr>
          <w:rFonts w:ascii="Palatino Linotype" w:eastAsia="Palatino Linotype" w:hAnsi="Palatino Linotype" w:cs="Palatino Linotype"/>
          <w:color w:val="000000"/>
        </w:rPr>
        <w:t xml:space="preserve"> de realizar manifestaciones que a su derecho conviniera y asistiera.</w:t>
      </w:r>
    </w:p>
    <w:p w:rsidR="005B5F75" w:rsidRDefault="005B5F75">
      <w:pPr>
        <w:pBdr>
          <w:top w:val="nil"/>
          <w:left w:val="nil"/>
          <w:bottom w:val="nil"/>
          <w:right w:val="nil"/>
          <w:between w:val="nil"/>
        </w:pBdr>
        <w:ind w:left="720" w:right="-787"/>
        <w:rPr>
          <w:rFonts w:ascii="Palatino Linotype" w:eastAsia="Palatino Linotype" w:hAnsi="Palatino Linotype" w:cs="Palatino Linotype"/>
          <w:color w:val="000000"/>
        </w:rPr>
      </w:pPr>
    </w:p>
    <w:p w:rsidR="005B5F75" w:rsidRDefault="00AC33D9">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EL SUJETO OBLIGADO, </w:t>
      </w:r>
      <w:r>
        <w:rPr>
          <w:rFonts w:ascii="Palatino Linotype" w:eastAsia="Palatino Linotype" w:hAnsi="Palatino Linotype" w:cs="Palatino Linotype"/>
          <w:color w:val="000000"/>
        </w:rPr>
        <w:t>rindió el Informe Justificado correspondiente, a través de los archivos siguientes:</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5B5F75" w:rsidRDefault="00AC33D9">
      <w:pPr>
        <w:numPr>
          <w:ilvl w:val="0"/>
          <w:numId w:val="6"/>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RR 01393 PC.pdf: </w:t>
      </w:r>
      <w:r>
        <w:rPr>
          <w:rFonts w:ascii="Palatino Linotype" w:eastAsia="Palatino Linotype" w:hAnsi="Palatino Linotype" w:cs="Palatino Linotype"/>
          <w:color w:val="000000"/>
        </w:rPr>
        <w:t>Oficio firmado por la Directora de Protección Civil, Bombero y Ecología, por el que informó lo siguiente:</w:t>
      </w:r>
    </w:p>
    <w:p w:rsidR="005B5F75" w:rsidRDefault="005B5F75">
      <w:pPr>
        <w:ind w:right="-787"/>
        <w:jc w:val="both"/>
        <w:rPr>
          <w:rFonts w:ascii="Palatino Linotype" w:eastAsia="Palatino Linotype" w:hAnsi="Palatino Linotype" w:cs="Palatino Linotype"/>
        </w:rPr>
      </w:pP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t xml:space="preserve">Falta de integridad y exhaustividad en la búsqueda: El Sujeto Obligado incurre en una omisión al declarar, a través de la Dirección de Protección Civil (DPCBYE), que "no cuenta con la información" relativa a las partidas presupuestales, remuneraciones y gastos de combustible (Preguntas 2, 3, 4, 11, 12, 14, 15, entre otras). Esta respuesta es inverosímil, toda vez que dicha Dirección es la unidad ejecutora del gasto y, por </w:t>
      </w:r>
      <w:r>
        <w:rPr>
          <w:rFonts w:ascii="Palatino Linotype" w:eastAsia="Palatino Linotype" w:hAnsi="Palatino Linotype" w:cs="Palatino Linotype"/>
        </w:rPr>
        <w:lastRenderedPageBreak/>
        <w:t>ley, debe poseer los registros de sus propias necesidades presupuestarias y recursos asignados para operar.</w:t>
      </w:r>
    </w:p>
    <w:p w:rsidR="005B5F75" w:rsidRDefault="005B5F75">
      <w:pPr>
        <w:ind w:left="709" w:right="-787"/>
        <w:jc w:val="both"/>
        <w:rPr>
          <w:rFonts w:ascii="Palatino Linotype" w:eastAsia="Palatino Linotype" w:hAnsi="Palatino Linotype" w:cs="Palatino Linotype"/>
        </w:rPr>
      </w:pP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t xml:space="preserve">Informó que, en atención a lo dispuesto por el artículo 167 de la Ley de Transparencia y Acceso a la Información Pública del Estado de México y sus Municipios, </w:t>
      </w:r>
      <w:r>
        <w:rPr>
          <w:rFonts w:ascii="Palatino Linotype" w:eastAsia="Palatino Linotype" w:hAnsi="Palatino Linotype" w:cs="Palatino Linotype"/>
          <w:b/>
          <w:bCs/>
        </w:rPr>
        <w:t>“</w:t>
      </w:r>
      <w:r>
        <w:rPr>
          <w:rFonts w:ascii="Palatino Linotype" w:eastAsia="Palatino Linotype" w:hAnsi="Palatino Linotype" w:cs="Palatino Linotype"/>
          <w:b/>
          <w:bCs/>
          <w:i/>
          <w:iCs/>
        </w:rPr>
        <w:t>ESTA COORDINACIÓN MUNICIPAL DE PROTECCIÓN CIVIL SE DECLARA INCOMPETENTE”</w:t>
      </w:r>
      <w:r>
        <w:rPr>
          <w:rFonts w:ascii="Palatino Linotype" w:eastAsia="Palatino Linotype" w:hAnsi="Palatino Linotype" w:cs="Palatino Linotype"/>
          <w:i/>
          <w:iCs/>
        </w:rPr>
        <w:t xml:space="preserve"> </w:t>
      </w:r>
      <w:r>
        <w:rPr>
          <w:rFonts w:ascii="Palatino Linotype" w:eastAsia="Palatino Linotype" w:hAnsi="Palatino Linotype" w:cs="Palatino Linotype"/>
        </w:rPr>
        <w:t>ya que lo solicitado no corresponde a la Coordinación de Protección Civil.</w:t>
      </w:r>
    </w:p>
    <w:p w:rsidR="005B5F75" w:rsidRDefault="005B5F75">
      <w:pPr>
        <w:ind w:left="709" w:right="-787"/>
        <w:jc w:val="both"/>
        <w:rPr>
          <w:rFonts w:ascii="Palatino Linotype" w:eastAsia="Palatino Linotype" w:hAnsi="Palatino Linotype" w:cs="Palatino Linotype"/>
        </w:rPr>
      </w:pPr>
    </w:p>
    <w:p w:rsidR="005B5F75" w:rsidRDefault="005B5F75">
      <w:pPr>
        <w:ind w:right="-787"/>
        <w:jc w:val="both"/>
        <w:rPr>
          <w:rFonts w:ascii="Palatino Linotype" w:eastAsia="Palatino Linotype" w:hAnsi="Palatino Linotype" w:cs="Palatino Linotype"/>
        </w:rPr>
      </w:pP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Incongruencia y Contradicción entre áreas del mismo Sujeto Obligado: Existe una contradicción directa que vulnera la certeza jurídica: Sobre el equipo informático (Pregunta 33): Mientras la Secretaría del Ayuntamiento afirma la existencia de 3 computadoras, la Dirección de Protección Civil indica que solo posee 2 y que son obsoletas. </w:t>
      </w:r>
    </w:p>
    <w:p w:rsidR="005B5F75" w:rsidRDefault="005B5F75">
      <w:pPr>
        <w:ind w:left="709" w:right="-787"/>
        <w:jc w:val="both"/>
        <w:rPr>
          <w:rFonts w:ascii="Palatino Linotype" w:eastAsia="Palatino Linotype" w:hAnsi="Palatino Linotype" w:cs="Palatino Linotype"/>
        </w:rPr>
      </w:pP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t xml:space="preserve">Informo que, </w:t>
      </w:r>
      <w:r>
        <w:rPr>
          <w:rFonts w:ascii="Palatino Linotype" w:eastAsia="Palatino Linotype" w:hAnsi="Palatino Linotype" w:cs="Palatino Linotype"/>
          <w:b/>
          <w:bCs/>
          <w:i/>
          <w:iCs/>
        </w:rPr>
        <w:t>“EFECTIVAMENTE SE CUENTA CON 2 COMPUTRADORAS Y UNA LAPTOP”</w:t>
      </w:r>
      <w:r>
        <w:rPr>
          <w:rFonts w:ascii="Palatino Linotype" w:eastAsia="Palatino Linotype" w:hAnsi="Palatino Linotype" w:cs="Palatino Linotype"/>
        </w:rPr>
        <w:t xml:space="preserve"> </w:t>
      </w:r>
    </w:p>
    <w:p w:rsidR="005B5F75" w:rsidRDefault="005B5F75">
      <w:pPr>
        <w:ind w:left="709" w:right="-787"/>
        <w:jc w:val="both"/>
        <w:rPr>
          <w:rFonts w:ascii="Palatino Linotype" w:eastAsia="Palatino Linotype" w:hAnsi="Palatino Linotype" w:cs="Palatino Linotype"/>
        </w:rPr>
      </w:pP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t>Sobre los vehículos (Pregunta 32): La Dirección de Administración reporta "0" vehículos asignados al titular, pero en el Anexo 1 (Inventario) adjunto por la misma autoridad, se enlistan unidades como una Camioneta RAM 2023 y una Patrulla Mitsubishi. El Sujeto Obligado entregó información contradictoria que impide conocer la realidad del patrimonio municipal. Entrega de información que no corresponde con lo solicitado (Falta de veracidad)</w:t>
      </w: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rPr>
        <w:t xml:space="preserve">Se informó que </w:t>
      </w:r>
      <w:r>
        <w:rPr>
          <w:rFonts w:ascii="Palatino Linotype" w:eastAsia="Palatino Linotype" w:hAnsi="Palatino Linotype" w:cs="Palatino Linotype"/>
          <w:i/>
          <w:iCs/>
        </w:rPr>
        <w:t>no hay ningún vehículo asignado exclusivamente al uso de titular de la Coordinación, que como se hizo mención en la respuesta a la pregunta número 1, NO SE CUENTA CON TITULAR DE LA COORDINACION DE PROTECCIÓN CIVIL. SIN EMBARGO LA TITULAR DE LA DIRECCIÓN DE PROTECCION CIVIL, BOMBEROS Y ECOLOGIA, ACTUALMENTE SE ENCARGA A SU VEZ DE LA COORDINACIÓN DE PROTECCIÓN CIVIL, pero no tiene ningún vehículo oficial asignado exclusivamente para su uso.</w:t>
      </w: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Sin embargo la unidad camioneta RAM 2023 es un vehículo de emergencia (ambulancia y es utilizado por el personal de área prehospitalaria de la Coordinación de Protección Civil. Y a la Patrulla Mitsubishi es utilizada por los inspectores (de arbolado, riesgos, negocios y castillería)</w:t>
      </w: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Respecto a la actualización del Atlas Municipal de Riesgos (Preguntas 101, 102, 103), la respuesta carece de sustento técnico y lógico. Afirmar que un instrumento de tal complejidad se actualizó el 30 de junio de 2025 "sin costo" y "sin participación de ninguna institución" equivale a una negativa de información disfrazada, ya que un Atlas de Riesgos requiere por ley estudios especializados y validación técnica que generan registros administrativos que no fueron entregados. Negativa de información sobre facultades y obligaciones legales: </w:t>
      </w: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rPr>
        <w:t xml:space="preserve">A la 101 informó que, </w:t>
      </w:r>
      <w:r>
        <w:rPr>
          <w:rFonts w:ascii="Palatino Linotype" w:eastAsia="Palatino Linotype" w:hAnsi="Palatino Linotype" w:cs="Palatino Linotype"/>
          <w:i/>
          <w:iCs/>
        </w:rPr>
        <w:t>“30 DE JUNIO DE 2025”</w:t>
      </w: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rPr>
        <w:t>A la 102, “</w:t>
      </w:r>
      <w:r>
        <w:rPr>
          <w:rFonts w:ascii="Palatino Linotype" w:eastAsia="Palatino Linotype" w:hAnsi="Palatino Linotype" w:cs="Palatino Linotype"/>
          <w:i/>
          <w:iCs/>
        </w:rPr>
        <w:t>NO FUE CONTRATADA EMNPRESA O INSTITUCIÓN EDUCTAIVA ALGUNA, PARA LA ELABORACIÓN DE ATLAS MUNICPAL DE RIESGOS”</w:t>
      </w: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t>A la 103 “</w:t>
      </w:r>
      <w:r>
        <w:rPr>
          <w:rFonts w:ascii="Palatino Linotype" w:eastAsia="Palatino Linotype" w:hAnsi="Palatino Linotype" w:cs="Palatino Linotype"/>
          <w:i/>
          <w:iCs/>
        </w:rPr>
        <w:t>SE INFORMA QUE NO TUVO COSTO ALGUNO” “efectivamente no se realizó la contratación de ninguna institución o empresa, así como tampoco se destinó algún recurso extra, debido a que la persona encargada en su momento de realizar el Atlas de Riesgos y sus debida actualizaciones, era un trabajador del Ayuntamiento, el cual cuenta con las facultades suficientes para realizar el proyecto de Atlas de Riesgos Municipal de Valle de Bravo, el cual conto con el asesoramiento del personal de Protección Civil del Estado de México.</w:t>
      </w: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Así mismo le informo que dicha persona no fue contratada para realizar el Atlas de Riesgos, pero en base a su experiencia y conocimientos se le atribuyo la realización del proyecto.</w:t>
      </w:r>
    </w:p>
    <w:p w:rsidR="005B5F75" w:rsidRDefault="005B5F75">
      <w:pPr>
        <w:ind w:left="709" w:right="-787"/>
        <w:jc w:val="both"/>
        <w:rPr>
          <w:rFonts w:ascii="Palatino Linotype" w:eastAsia="Palatino Linotype" w:hAnsi="Palatino Linotype" w:cs="Palatino Linotype"/>
        </w:rPr>
      </w:pP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t>A las preguntas sobre fundamentación legal de inspecciones y convenios (#55, #74, #75), la autoridad responde con un simple "NO" o "no se realiza". Esto no satisface el derecho de acceso a la información, pues la autoridad está obligada a señalar el fundamento jurídico por el cual omite sus funciones o, en su defecto, la inexistencia formal de dichos reglamentos mediante un acta de su Comité de Transparencia, lo cual no sucedió.</w:t>
      </w: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rPr>
        <w:t>A la 55, informo que, “</w:t>
      </w:r>
      <w:r>
        <w:rPr>
          <w:rFonts w:ascii="Palatino Linotype" w:eastAsia="Palatino Linotype" w:hAnsi="Palatino Linotype" w:cs="Palatino Linotype"/>
          <w:i/>
          <w:iCs/>
        </w:rPr>
        <w:t>no existe ningún convenio firmado con la Secretaria de Marina para operaciones de rescate en el lago.”</w:t>
      </w:r>
    </w:p>
    <w:p w:rsidR="005B5F75" w:rsidRDefault="00AC33D9">
      <w:pPr>
        <w:ind w:left="709" w:right="-787"/>
        <w:jc w:val="both"/>
        <w:rPr>
          <w:rFonts w:ascii="Palatino Linotype" w:eastAsia="Palatino Linotype" w:hAnsi="Palatino Linotype" w:cs="Palatino Linotype"/>
          <w:b/>
          <w:bCs/>
          <w:i/>
          <w:iCs/>
        </w:rPr>
      </w:pPr>
      <w:r>
        <w:rPr>
          <w:rFonts w:ascii="Palatino Linotype" w:eastAsia="Palatino Linotype" w:hAnsi="Palatino Linotype" w:cs="Palatino Linotype"/>
        </w:rPr>
        <w:t>A la 74, “</w:t>
      </w:r>
      <w:r>
        <w:rPr>
          <w:rFonts w:ascii="Palatino Linotype" w:eastAsia="Palatino Linotype" w:hAnsi="Palatino Linotype" w:cs="Palatino Linotype"/>
          <w:i/>
          <w:iCs/>
        </w:rPr>
        <w:t xml:space="preserve">no se realiza la revisión de instalaciones eléctricas y de gas en el comercio informal, sin embargo se encuentra regulado en la </w:t>
      </w:r>
      <w:r>
        <w:rPr>
          <w:rFonts w:ascii="Palatino Linotype" w:eastAsia="Palatino Linotype" w:hAnsi="Palatino Linotype" w:cs="Palatino Linotype"/>
          <w:b/>
          <w:bCs/>
          <w:i/>
          <w:iCs/>
        </w:rPr>
        <w:t>Norma Oficial Mexicana NOM-001-SEDE-2012, Norma Oficial Mexicana NOM-001-SEDE-2004.</w:t>
      </w:r>
    </w:p>
    <w:p w:rsidR="005B5F75" w:rsidRDefault="005B5F75">
      <w:pPr>
        <w:ind w:left="709" w:right="-787"/>
        <w:jc w:val="both"/>
        <w:rPr>
          <w:rFonts w:ascii="Palatino Linotype" w:eastAsia="Palatino Linotype" w:hAnsi="Palatino Linotype" w:cs="Palatino Linotype"/>
          <w:b/>
          <w:bCs/>
          <w:i/>
          <w:iCs/>
        </w:rPr>
      </w:pPr>
    </w:p>
    <w:p w:rsidR="005B5F75" w:rsidRDefault="00AC33D9">
      <w:pPr>
        <w:ind w:left="709" w:right="-787"/>
        <w:jc w:val="both"/>
        <w:rPr>
          <w:rFonts w:ascii="Palatino Linotype" w:eastAsia="Palatino Linotype" w:hAnsi="Palatino Linotype" w:cs="Palatino Linotype"/>
          <w:b/>
          <w:bCs/>
          <w:i/>
          <w:iCs/>
        </w:rPr>
      </w:pPr>
      <w:r>
        <w:rPr>
          <w:rFonts w:ascii="Palatino Linotype" w:eastAsia="Palatino Linotype" w:hAnsi="Palatino Linotype" w:cs="Palatino Linotype"/>
        </w:rPr>
        <w:t>A la 75 que, “</w:t>
      </w:r>
      <w:r>
        <w:rPr>
          <w:rFonts w:ascii="Palatino Linotype" w:eastAsia="Palatino Linotype" w:hAnsi="Palatino Linotype" w:cs="Palatino Linotype"/>
          <w:b/>
          <w:bCs/>
          <w:i/>
          <w:iCs/>
        </w:rPr>
        <w:t xml:space="preserve">Ley General para la Prevención y Gestión Integral de los Residuos (LGPGIR), </w:t>
      </w:r>
      <w:r>
        <w:rPr>
          <w:rFonts w:ascii="Palatino Linotype" w:eastAsia="Palatino Linotype" w:hAnsi="Palatino Linotype" w:cs="Palatino Linotype"/>
          <w:i/>
          <w:iCs/>
        </w:rPr>
        <w:t xml:space="preserve">su reglamento, y diversas Normas Oficiales Mexicanas (NOM) emitidas por la Secretaria de Medio Ambiente y Recursos Naturales (SEMARNAT), las cuales son </w:t>
      </w:r>
      <w:r>
        <w:rPr>
          <w:rFonts w:ascii="Palatino Linotype" w:eastAsia="Palatino Linotype" w:hAnsi="Palatino Linotype" w:cs="Palatino Linotype"/>
          <w:b/>
          <w:bCs/>
          <w:i/>
          <w:iCs/>
        </w:rPr>
        <w:t>NOM-052-SEMARNAT-2005,NOM053-SEMARNAT-1993, NOM-054-SEMARNAT-1993, NOM-055-SEMARNAT-2003.</w:t>
      </w:r>
    </w:p>
    <w:p w:rsidR="005B5F75" w:rsidRDefault="005B5F75">
      <w:pPr>
        <w:ind w:left="709" w:right="-787"/>
        <w:jc w:val="both"/>
        <w:rPr>
          <w:rFonts w:ascii="Palatino Linotype" w:eastAsia="Palatino Linotype" w:hAnsi="Palatino Linotype" w:cs="Palatino Linotype"/>
          <w:b/>
          <w:bCs/>
        </w:rPr>
      </w:pPr>
    </w:p>
    <w:p w:rsidR="005B5F75" w:rsidRDefault="00AC33D9">
      <w:pPr>
        <w:numPr>
          <w:ilvl w:val="0"/>
          <w:numId w:val="6"/>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RR 01393 TESORERIA.pdf: </w:t>
      </w:r>
      <w:r>
        <w:rPr>
          <w:rFonts w:ascii="Palatino Linotype" w:eastAsia="Palatino Linotype" w:hAnsi="Palatino Linotype" w:cs="Palatino Linotype"/>
          <w:color w:val="000000"/>
        </w:rPr>
        <w:t>Oficio firmado por la Tesorera Municipal, por el que dio respuesta a los numerales 2,3,4,11,12,14,15,16,17,21,22,23,24,25,28,30,35,37,38,39,40,41,42,45,46,47,48,49 y 50.</w:t>
      </w:r>
    </w:p>
    <w:p w:rsidR="005B5F75" w:rsidRDefault="005B5F75">
      <w:pPr>
        <w:spacing w:line="360" w:lineRule="auto"/>
        <w:ind w:right="-787"/>
        <w:rPr>
          <w:rFonts w:ascii="Palatino Linotype" w:eastAsia="Palatino Linotype" w:hAnsi="Palatino Linotype" w:cs="Palatino Linotype"/>
          <w:b/>
          <w:bCs/>
        </w:rPr>
      </w:pP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trece de abril de dos mil veintiséis</w:t>
      </w:r>
      <w:r>
        <w:rPr>
          <w:rFonts w:ascii="Palatino Linotype" w:eastAsia="Palatino Linotype" w:hAnsi="Palatino Linotype" w:cs="Palatino Linotype"/>
          <w:color w:val="000000"/>
        </w:rPr>
        <w:t>, se notificó el acuerdo mediante el cual se amplió el plazo para notificar la resolución, por un periodo de quince días hábiles.</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doce de mayo de dos mil veintiséis,</w:t>
      </w:r>
      <w:r>
        <w:rPr>
          <w:rFonts w:ascii="Palatino Linotype" w:eastAsia="Palatino Linotype" w:hAnsi="Palatino Linotype" w:cs="Palatino Linotype"/>
          <w:color w:val="000000"/>
        </w:rPr>
        <w:t xml:space="preserve"> la Comisionada Ponente decretó el cierre de instrucción en el presente recurso y;</w:t>
      </w:r>
    </w:p>
    <w:p w:rsidR="005B5F75" w:rsidRDefault="005B5F75">
      <w:p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bookmarkStart w:id="2" w:name="_heading=h.9ubmhc1ld00r" w:colFirst="0" w:colLast="0"/>
      <w:bookmarkEnd w:id="2"/>
    </w:p>
    <w:p w:rsidR="005B5F75" w:rsidRDefault="00AC33D9">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5B5F75" w:rsidRDefault="005B5F75">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rsidR="005B5F75" w:rsidRDefault="00AC33D9">
      <w:pPr>
        <w:pStyle w:val="Ttulo2"/>
        <w:spacing w:before="0" w:line="360" w:lineRule="auto"/>
        <w:ind w:right="-787"/>
        <w:rPr>
          <w:rFonts w:ascii="Palatino Linotype" w:eastAsia="Palatino Linotype" w:hAnsi="Palatino Linotype" w:cs="Palatino Linotype"/>
          <w:b/>
          <w:bCs/>
          <w:color w:val="000000"/>
          <w:sz w:val="24"/>
          <w:szCs w:val="24"/>
        </w:rPr>
      </w:pPr>
      <w:bookmarkStart w:id="3" w:name="_heading=h.go8llahfnm7p" w:colFirst="0" w:colLast="0"/>
      <w:bookmarkEnd w:id="3"/>
      <w:r>
        <w:rPr>
          <w:rFonts w:ascii="Palatino Linotype" w:eastAsia="Palatino Linotype" w:hAnsi="Palatino Linotype" w:cs="Palatino Linotype"/>
          <w:b/>
          <w:bCs/>
          <w:color w:val="000000"/>
          <w:sz w:val="24"/>
          <w:szCs w:val="24"/>
        </w:rPr>
        <w:t>PRIMERO. De la competencia</w:t>
      </w: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5B5F75" w:rsidRDefault="00AC33D9">
      <w:pPr>
        <w:pStyle w:val="Ttulo2"/>
        <w:spacing w:before="0" w:line="360" w:lineRule="auto"/>
        <w:ind w:right="-787"/>
        <w:rPr>
          <w:rFonts w:ascii="Palatino Linotype" w:eastAsia="Palatino Linotype" w:hAnsi="Palatino Linotype" w:cs="Palatino Linotype"/>
          <w:b/>
          <w:bCs/>
          <w:color w:val="000000"/>
          <w:sz w:val="24"/>
          <w:szCs w:val="24"/>
        </w:rPr>
      </w:pPr>
      <w:bookmarkStart w:id="4" w:name="_heading=h.trpatutf0abv" w:colFirst="0" w:colLast="0"/>
      <w:bookmarkEnd w:id="4"/>
      <w:r>
        <w:rPr>
          <w:rFonts w:ascii="Palatino Linotype" w:eastAsia="Palatino Linotype" w:hAnsi="Palatino Linotype" w:cs="Palatino Linotype"/>
          <w:b/>
          <w:bCs/>
          <w:color w:val="000000"/>
          <w:sz w:val="24"/>
          <w:szCs w:val="24"/>
        </w:rPr>
        <w:lastRenderedPageBreak/>
        <w:t>SEGUNDO. De la oportunidad y procedencia.</w:t>
      </w: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ya que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dio respuesta el </w:t>
      </w:r>
      <w:r>
        <w:rPr>
          <w:rFonts w:ascii="Palatino Linotype" w:eastAsia="Palatino Linotype" w:hAnsi="Palatino Linotype" w:cs="Palatino Linotype"/>
          <w:b/>
          <w:bCs/>
          <w:color w:val="000000"/>
        </w:rPr>
        <w:t xml:space="preserve">tres de febrero de dos mil veintiséis, </w:t>
      </w:r>
      <w:r>
        <w:rPr>
          <w:rFonts w:ascii="Palatino Linotype" w:eastAsia="Palatino Linotype" w:hAnsi="Palatino Linotype" w:cs="Palatino Linotype"/>
          <w:color w:val="000000"/>
        </w:rPr>
        <w:t xml:space="preserve">por lo que el plazo para interponer el recurso transcurrió del </w:t>
      </w:r>
      <w:r>
        <w:rPr>
          <w:rFonts w:ascii="Palatino Linotype" w:eastAsia="Palatino Linotype" w:hAnsi="Palatino Linotype" w:cs="Palatino Linotype"/>
          <w:b/>
          <w:bCs/>
          <w:color w:val="000000"/>
        </w:rPr>
        <w:t xml:space="preserve">cuatro al veinticuatro de febrero de dos mil veintiséis, </w:t>
      </w:r>
      <w:r>
        <w:rPr>
          <w:rFonts w:ascii="Palatino Linotype" w:eastAsia="Palatino Linotype" w:hAnsi="Palatino Linotype" w:cs="Palatino Linotype"/>
          <w:color w:val="000000"/>
        </w:rPr>
        <w:t xml:space="preserve">en consecuencia, si el recurso de revisión se interpuso el </w:t>
      </w:r>
      <w:r>
        <w:rPr>
          <w:rFonts w:ascii="Palatino Linotype" w:eastAsia="Palatino Linotype" w:hAnsi="Palatino Linotype" w:cs="Palatino Linotype"/>
          <w:b/>
          <w:bCs/>
          <w:color w:val="000000"/>
        </w:rPr>
        <w:t xml:space="preserve">cuatro de febrero del presente año, </w:t>
      </w:r>
      <w:r>
        <w:rPr>
          <w:rFonts w:ascii="Palatino Linotype" w:eastAsia="Palatino Linotype" w:hAnsi="Palatino Linotype" w:cs="Palatino Linotype"/>
          <w:color w:val="000000"/>
        </w:rPr>
        <w:t>se advierte que este se interpuso dentro de los márgenes legales establecidos para tal efecto.</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B5F75" w:rsidRDefault="005B5F75">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5B5F75" w:rsidRDefault="00AC33D9">
      <w:pPr>
        <w:pStyle w:val="Ttulo1"/>
        <w:spacing w:before="0" w:line="360" w:lineRule="auto"/>
        <w:ind w:right="-787"/>
        <w:rPr>
          <w:rFonts w:ascii="Palatino Linotype" w:eastAsia="Palatino Linotype" w:hAnsi="Palatino Linotype" w:cs="Palatino Linotype"/>
          <w:b/>
          <w:bCs/>
          <w:color w:val="000000"/>
          <w:sz w:val="24"/>
          <w:szCs w:val="24"/>
        </w:rPr>
      </w:pPr>
      <w:bookmarkStart w:id="5" w:name="_heading=h.b9v5u8uaqfgd" w:colFirst="0" w:colLast="0"/>
      <w:bookmarkEnd w:id="5"/>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Se solicitó la información siguiente:</w:t>
      </w:r>
    </w:p>
    <w:p w:rsidR="005B5F75" w:rsidRDefault="00AC33D9">
      <w:pPr>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SOLICITO A LA COORDINACION DE PROTECCION CIVIL DE VALLE DE BRAVO, ESTADO DE MEXICO, LA SIGUIENTE INFORMACION: 1. ¿Cuál es el nombre completo del titular de la Coordinación de Protección Civil del Ayuntamiento de Valle de Bravo? 2. ¿Qué remuneración mensual bruta y neta percibe el titular de la Coordinación de Protección Civil? 3. ¿Cuál es el presupuesto total anual asignado a la Coordinación de Protección Civil para el ejercicio fiscal dos mil veinticinco? 4. ¿Qué porcentaje del presupuesto municipal total representa el presupuesto de Protección Civil? 5. ¿Cuál es el organigrama vigente de la Coordinación de Protección Civil? 6. ¿Cuántas plazas de base existen dentro de la Coordinación de Protección Civil? 7. ¿Cuántas plazas de confianza existen dentro de la Coordinación de Protección Civil? 8. ¿Cuántas plazas por contrato eventual están activas en la Coordinación de Protección Civil? 9. ¿Qué perfil académico y cédula profesional tiene el titular de la Coordinación de Protección Civil? 10. ¿Cuenta el titular con certificación de </w:t>
      </w:r>
      <w:r>
        <w:rPr>
          <w:rFonts w:ascii="Palatino Linotype" w:eastAsia="Palatino Linotype" w:hAnsi="Palatino Linotype" w:cs="Palatino Linotype"/>
        </w:rPr>
        <w:lastRenderedPageBreak/>
        <w:t xml:space="preserve">competencia laboral vigente en materia de protección civil? 11. ¿Cuál es el monto destinado específicamente a la compra de combustible para vehículos de emergencia en dos mil veinticinco? 12. ¿Cuánto dinero se ha gastado en el mantenimiento preventivo y correctivo de vehículos de emergencia de enero a la fecha de esta solicitud? 13. ¿Qué convenios de colaboración financiera tiene la Coordinación con el Gobierno del Estado de México? 14. ¿Cuál es el presupuesto destinado a la adquisición de uniformes para el personal operativo en este año? 15. ¿Cuánto se ha invertido en equipo de protección personal para bomberos en el presente ejercicio fiscal? 16. ¿Qué partida presupuestal específica se utiliza para la atención inmediata de desastres naturales? 17. ¿Existe un fondo de emergencia económica específico para el municipio de Valle de Bravo y cuál es su monto? 18. ¿Cuál es el procedimiento administrativo para que la Coordinación solicite recursos extraordinarios al cabildo? 19. ¿Cuántas auditorías financieras ha tenido la Coordinación por parte de la Contraloría Municipal en los últimos dos años? 20. ¿Qué empresas son las proveedoras actuales de equipo de rescate y protección para la Coordinación? 21. ¿Cuál es el sueldo base de un bombero adscrito a esta Coordinación? 22. ¿Cuál es el sueldo base de un técnico en urgencias médicas adscrito a esta Coordinación? 23. ¿Qué bonos por concepto de riesgo de trabajo recibe el personal operativo mensualmente? 24. ¿Cuánto se ha gastado en servicios de telefonía e internet para las oficinas de protección civil este año? 25. ¿Cuál es el costo total de la póliza de seguro de vida para el personal de protección civil y bomberos? 26. ¿Cuántas bajas de personal se han registrado en la Coordinación durante el último año? 27. ¿Cuántas altas de personal nuevo se han registrado en la Coordinación en dos mil veinticinco? 28. ¿Qué gastos de representación ha ejercido el titular de la Coordinación en lo que va del año? 29. ¿Cuál es el monto asignado para viáticos en comisiones oficiales fuera del municipio? 30. ¿Qué presupuesto se tiene asignado para la compra de papelería y artículos de oficina? 31. ¿Cuál es el inventario de bienes muebles bajo resguardo de la Coordinación de Protección Civil? 32. ¿Qué vehículos oficiales están asignados exclusivamente al uso del titular de la Coordinación? 33. ¿Cuántas computadoras y equipo informático tiene asignada la oficina de la Coordinación? 34. ¿Qué software especializado en gestión de riesgos o sistemas de información geográfica posee la Coordinación? 35. ¿Cuál es el gasto mensual en electricidad de las estaciones de bomberos y oficinas administrativas? 36. ¿Cuántas personas integran el área administrativa de la Coordinación? 37. ¿Cuál es el costo de las primas de seguros de los vehículos de emergencia del municipio? 38. ¿Qué presupuesto se destina a la alimentación del personal operativo en turnos de veinticuatro horas? 39. ¿Existen adeudos con proveedores de equipo de seguridad de ejercicios fiscales anteriores? 40. ¿Qué presupuesto se asignó para la capacitación externa del personal en dos mil veinticinco? 41. ¿Qué monto se ha destinado a la reparación de motobombas y equipo hidráulico de rescate? </w:t>
      </w:r>
      <w:r>
        <w:rPr>
          <w:rFonts w:ascii="Palatino Linotype" w:eastAsia="Palatino Linotype" w:hAnsi="Palatino Linotype" w:cs="Palatino Linotype"/>
        </w:rPr>
        <w:lastRenderedPageBreak/>
        <w:t xml:space="preserve">42. ¿Cuál es el costo anual del arrendamiento de los locales que ocupa la Coordinación, en caso de no ser propios? 43. ¿Cuántas plazas de la Coordinación están actualmente vacantes? 44. ¿Qué criterios se utilizan para la asignación de horas extras al personal operativo? 45. ¿Cuál es el monto total pagado por concepto de horas extras en el último trimestre? 46. ¿Qué presupuesto se destinó a la compra de medicamentos e insumos para las ambulancias? 47. ¿Cuánto se ha gastado en la recarga y mantenimiento de extintores de las dependencias municipales? 48. ¿Qué monto se tiene asignado para la adquisición de herramientas forestales este año? 49. ¿Cuál es el presupuesto para el mantenimiento del sistema de radiocomunicación? 50. ¿Qué porcentaje del presupuesto de la Coordinación proviene de recursos federales? 51. ¿Cuál es la fecha de publicación oficial del Reglamento de Protección Civil vigente en Valle de Bravo? 52. ¿Se han realizado reformas al Reglamento de Protección Civil durante el presente año? 53. ¿En qué ejemplar de la Gaceta Municipal se publicó la estructura orgánica de la Coordinación? 54. ¿Qué convenios de coordinación tiene el Ayuntamiento con la Secretaría de la Defensa Nacional en materia de desastres? 55. ¿Existe un convenio firmado con la Secretaría de Marina para operaciones de rescate en el lago? 56. ¿Cómo se fundamenta legalmente la facultad de la Coordinación para realizar clausuras de establecimientos? 57. ¿Qué normas oficiales mexicanas son las que aplica la Coordinación en sus visitas de inspección? 58. ¿Cuál es el fundamento legal exacto para el cobro de derechos por el visto bueno de protección civil? 59. ¿Qué autoridad superior supervisa la legalidad de los actos administrativos de la Coordinación? 60. ¿Existe un manual de procedimientos para la atención de denuncias ciudadanas sobre riesgos? 61. ¿Cuál es el código de ética al que debe sujetarse el personal de protección civil de Valle de Bravo? 62. ¿Cómo se garantiza la protección de datos personales en los expedientes de programas internos de protección civil? 63. ¿Qué leyes estatales fundamentan el actuar operativo de la Coordinación actualmente? 64. ¿Existe un reglamento interior de trabajo específico para el cuerpo de bomberos municipal? 65. ¿Cuál es el fundamento legal para la integración de brigadas comunitarias en el municipio? 66. ¿Qué disposiciones legales rigen el uso de drones por parte de la Coordinación de Protección Civil? 67. ¿Qué normatividad aplica la Coordinación para la regulación de eventos masivos y espectáculos? 68. ¿Cuál es el procedimiento legal para la impugnación de una multa impuesta por esta Coordinación? 69. ¿Cómo se fundamenta la participación de la Coordinación en el Comité de Obra Pública municipal? 70. ¿Qué convenios de ayuda mutua existen con municipios colindantes como Amanalco o Temascaltepec? 71. ¿Cuál es el fundamento para la emisión de dictámenes de estabilidad estructural en inmuebles dañados? 72. ¿Qué ley rige la actuación de los voluntarios que colaboran con la Coordinación? 73. ¿Existe un protocolo legal para la declaratoria de emergencia a nivel municipal? 74. ¿Cómo se fundamenta la revisión de </w:t>
      </w:r>
      <w:r>
        <w:rPr>
          <w:rFonts w:ascii="Palatino Linotype" w:eastAsia="Palatino Linotype" w:hAnsi="Palatino Linotype" w:cs="Palatino Linotype"/>
        </w:rPr>
        <w:lastRenderedPageBreak/>
        <w:t xml:space="preserve">instalaciones eléctricas y de gas en el comercio informal? 75. ¿Qué lineamientos legales existen para la disposición de residuos peligrosos generados en accidentes? 76. ¿Cuál es la base legal para exigir la contratación de seguros de responsabilidad civil a comercios? 77. ¿Qué sanciones contempla el Bando Municipal por obstruir el paso de vehículos de emergencia? 78. ¿Cómo se regula legalmente la actividad de los prestadores de servicios de turismo de aventura? 79. ¿Qué marco jurídico rige la instalación de refugios temporales en propiedades privadas o ejidales? 80. ¿Cuál es el procedimiento legal para la desincorporación de vehículos de emergencia inservibles? 81. ¿Qué leyes de transparencia obligan a la Coordinación a publicar sus planes de contingencia? 82. ¿Cómo se fundamenta la revisión de las medidas de seguridad en las gasolineras del municipio? 83. ¿Qué normatividad rige el almacenamiento de sustancias inflamables en zonas urbanas de Valle de Bravo? 84. ¿Cuál es el fundamento legal para la realización de simulacros obligatorios en el sector privado? 85. ¿Qué autoridad es la encargada de sancionar al personal de protección civil por negligencia? 86. ¿Existe un protocolo de actuación legal para el manejo de cadáveres en sitios de desastre? 87. ¿Qué convenios de colaboración existen con la Comisión Nacional del Agua para la vigilancia de la presa? 88. ¿Cómo se fundamenta la intervención de la Coordinación en zonas federales dentro del municipio? 89. ¿Qué leyes protegen a los denunciantes anónimos de riesgos de seguridad ante la Coordinación? 90. ¿Cuál es el marco legal para el uso de la fuerza o auxilio de la policía en las inspecciones? 91. ¿Qué lineamientos rigen la publicidad de los dictámenes de protección civil? 92. ¿Cómo se fundamenta la obligatoriedad del programa interno de protección civil para unidades habitacionales? 93. ¿Qué leyes de mejora regulatoria aplica la Coordinación para simplificar trámites? 94. ¿Cuál es el sustento legal de los comités de protección civil en las escuelas de nivel básico? 95. ¿Qué normatividad aplica para el traslado de pacientes en ambulancias municipales? 96. ¿Cómo se fundamenta la inspección de juegos mecánicos en ferias y fiestas patronales? 97. ¿Qué leyes de archivos obligan a la Coordinación a conservar los registros de emergencias? 98. ¿Cuál es el fundamento para la prohibición de quemas agrícolas en periodos de estiaje? 99. ¿Qué marco jurídico regula la señalética de protección civil en el municipio? 100. ¿Cómo se garantiza el derecho a la información en los procesos de gestión de riesgos? 101. ¿En qué fecha exacta se realizó la última actualización del Atlas Municipal de Riesgos? 102. ¿Qué empresa o institución educativa fue contratada para elaborar el Atlas Municipal de Riesgos? 103. ¿Cuál fue el costo total de la elaboración del Atlas Municipal de Riesgos vigente? 104. ¿Cuáles son los cinco riesgos naturales con mayor índice de peligro en el municipio? 105. ¿Qué zonas del municipio de Valle de Bravo están catalogadas como de riesgo sísmico alto? 106. ¿Qué barrios o comunidades están identificados con riesgo de inundación por desbordamiento de ríos? 107. ¿Cuántos puntos de riesgo por deslizamiento </w:t>
      </w:r>
      <w:r>
        <w:rPr>
          <w:rFonts w:ascii="Palatino Linotype" w:eastAsia="Palatino Linotype" w:hAnsi="Palatino Linotype" w:cs="Palatino Linotype"/>
        </w:rPr>
        <w:lastRenderedPageBreak/>
        <w:t xml:space="preserve">de laderas existen en la zona de Avándaro? 108. ¿Qué medidas de prevención se han tomado para mitigar el riesgo de derrumbes en la carretera a Toluca? 109. ¿Existe una versión cartográfica digital del Atlas de Riesgos accesible para la población? 110. ¿Cómo integra la Coordinación el factor del cambio climático en la planeación de gestión de riesgos? 111. ¿Qué estudios se han realizado sobre la estabilidad de los suelos en las zonas de nueva construcción? 112. ¿Cuál es el riesgo identificado por el almacenamiento de combustibles en la zona urbana? 113. ¿Qué protocolos existen para la vigilancia constante de los niveles de la Presa Miguel Alemán? 114. ¿Cómo se coordina el monitoreo de riesgos hidrometeorológicos con la Comisión del Agua del Estado de México? 115. ¿Qué zonas del municipio son más vulnerables a incendios forestales según la estadística histórica? 116. ¿Qué planes existen para la reducción de riesgos en los mercados municipales? 117. ¿Cómo se identifican y señalizan las zonas de seguridad en el centro histórico de Valle de Bravo? 118. ¿Qué riesgos químicos se han detectado por el transporte de materiales peligrosos en las vías locales? 119. ¿Existe un padrón de edificios públicos que requieren refuerzo estructural según el Atlas de Riesgos? 120. ¿Qué estudios se han realizado sobre el riesgo de caída de árboles en zonas habitacionales? 121. ¿Cómo se mide la vulnerabilidad social frente a desastres en las comunidades más alejadas? 122. ¿Qué acciones se realizan para identificar riesgos eléctricos en el cableado público del municipio? 123. ¿Qué coordinación existe con la Comisión Federal de Electricidad para mitigar riesgos en tormentas? 124. ¿Qué monitoreo se hace de las fallas geológicas o grietas detectadas en el territorio municipal? 125. ¿Cuál es el riesgo detectado por la actividad turística masiva en el lago de Valle de Bravo? 126. ¿Qué medidas de mitigación se han aplicado en puentes vehiculares identificados con daño? 127. ¿Cómo se informa a los nuevos residentes sobre los riesgos de la zona donde adquieren propiedad? 128. ¿Qué presupuesto se destinó exclusivamente a estudios de mecánica de suelos en zonas de riesgo? 129. ¿Qué criterios de gestión de riesgos se aplican para autorizar nuevos fraccionamientos? 130. ¿Cuántas viviendas han sido notificadas por encontrarse en zonas de riesgo inminente este año? 131. ¿Qué protocolos de evacuación existen para las comunidades ubicadas en la parte alta de la montaña? 132. ¿Cómo se monitorea el riesgo de incendios en el vertedero o basurero municipal? 133. ¿Qué acciones de limpieza de cauces y barrancas se realizaron antes de la temporada de lluvias? 134. ¿Qué impacto tienen las descargas de aguas pluviales en la estabilidad de las laderas del municipio? 135. ¿Qué riesgos socio-organizativos se tienen identificados durante las temporadas de alta afluencia turística? 136. ¿Existe un análisis de riesgo sobre la capacidad de carga de los muelles públicos y privados? 137. ¿Qué medidas de seguridad se exigen a las embarcaciones que transportan combustible en el lago? 138. ¿Qué protocolos hay para la atención de riesgos en el santuario de la mariposa monarca (zona compartida)? 139. </w:t>
      </w:r>
      <w:r>
        <w:rPr>
          <w:rFonts w:ascii="Palatino Linotype" w:eastAsia="Palatino Linotype" w:hAnsi="Palatino Linotype" w:cs="Palatino Linotype"/>
        </w:rPr>
        <w:lastRenderedPageBreak/>
        <w:t xml:space="preserve">¿Cómo se evalúa el riesgo de colapso de muros de contención en las zonas de pendiente pronunciada? 140. ¿Qué coordinación existe con los guardabosques para la detección temprana de columnas de humo? 141. ¿Qué estudios existen sobre el impacto de las tormentas eléctricas en la infraestructura municipal? 142. ¿Cómo se integra la opinión de protección civil en los permisos de uso de suelo? 143. ¿Qué riesgos se han identificado en las instalaciones de gas de las instituciones de salud? 144. ¿Qué medidas de prevención se toman ante el riesgo de heladas y bajas temperaturas en las zonas altas? 145. ¿Cuál es el plan de contingencia para el desabasto de agua potable en caso de desastre? 146. ¿Cómo se supervisa el riesgo estructural en las iglesias y monumentos históricos del municipio? 147. ¿Qué medidas de seguridad se aplican en las zonas de despegue y aterrizaje de parapentes? 148. ¿Qué acciones se realizan para prevenir explosiones por acumulación de gas en registros subterráneos? 149. ¿Cómo se documentan las lecciones aprendidas después de cada emergencia ocurrida en el municipio? 150. ¿Qué metas de reducción de riesgos tiene la Coordinación para el final del trienio actual? 151. ¿Cuántas solicitudes de visto bueno de protección civil se han recibido en el año dos mil veinticinco? 152. ¿Cuál es el tiempo promedio de respuesta administrativa para un dictamen de protección civil? 153. ¿Qué requisitos específicos se solicitan para el programa interno de protección civil de un hotel? 154. ¿Cuántos establecimientos comerciales han sido sancionados por no contar con programa interno este año? 155. ¿Qué criterios técnicos se utilizan para determinar si un establecimiento es de riesgo alto? 156. ¿Quiénes son los terceros acreditados autorizados para elaborar programas internos de protección civil? 157. ¿Cómo verifica la Coordinación la autenticidad de las firmas de los consultores externos? 158. ¿Cuántas escuelas públicas en el municipio cuentan con un programa interno de protección civil vigente? 159. ¿Qué inspecciones periódicas se realizan a las guarderías y estancias infantiles en el municipio? 160. ¿Cuál es el costo exacto del trámite de renovación anual del visto bueno de protección civil? 161. ¿Cuántas visitas de inspección de seguridad se han realizado de manera aleatoria este año? 162. ¿Qué porcentaje de los comercios establecidos en el centro cuentan con extintores vigentes? 163. ¿Cómo se regula la seguridad en las instalaciones de gas de los puestos de comida en la vía pública? 164. ¿Qué requisitos se exigen para la realización de eventos musicales masivos en el municipio? 165. ¿Cuántas clausuras temporales se han ejecutado por riesgo inminente en dos mil veinticinco? 166. ¿Qué procedimiento se sigue para la liberación de un inmueble clausurado por protección civil? 167. ¿Qué inspecciones se realizan a las terminales de autobuses y transporte colectivo? 168. ¿Cómo se supervisa el cumplimiento de las medidas de seguridad en las obras de construcción privada? 169. ¿Qué requisitos de protección civil deben cumplir los centros de retiro y meditación de la zona? 170. ¿Cuántas multas económicas se han recaudado por infracciones a la ley de protección </w:t>
      </w:r>
      <w:r>
        <w:rPr>
          <w:rFonts w:ascii="Palatino Linotype" w:eastAsia="Palatino Linotype" w:hAnsi="Palatino Linotype" w:cs="Palatino Linotype"/>
        </w:rPr>
        <w:lastRenderedPageBreak/>
        <w:t xml:space="preserve">civil este año? 171. ¿Cuál es el monto máximo de una multa por incumplimiento de medidas de seguridad? 172. ¿Qué criterios se usan para condonar o reducir una multa administrativa en protección civil? 173. ¿Cuántos programas internos de protección civil han sido rechazados por deficiencias técnicas este año? 174. ¿Cómo se verifica que las brigadas internas de las empresas estén realmente capacitadas? 175. ¿Qué requisitos se piden para la instalación de gas estacionario en edificios de departamentos? 176. ¿Qué inspecciones se realizan a las bodegas de almacenamiento de materiales de construcción? 177. ¿Cómo se supervisa la seguridad en las gasolineras y estaciones de carburación de gas licuado de petróleo? 178. ¿Qué medidas de protección civil se exigen para el funcionamiento de los muelles privados? 179. ¿Cuántos gimnasios y centros deportivos cuentan con dictamen de protección civil vigente? 180. ¿Cómo se realiza la inspección de seguridad en las zonas de juegos infantiles de los parques? 181. ¿Qué requisitos deben cumplir los salones de fiestas para obtener su permiso de funcionamiento? 182. ¿Cómo se supervisa el aforo máximo permitido en los establecimientos con venta de bebidas alcohólicas? 183. ¿Qué inspecciones se realizan a los sistemas contra incendios de los centros comerciales locales? 184. ¿Cuál es el procedimiento para denunciar un establecimiento que bloquea sus salidas de emergencia? 185. ¿Cuántas capacitaciones ha brindado la Coordinación a locatarios de mercados municipales? 186. ¿Qué requisitos se exigen para el uso de plantas de luz temporales en eventos públicos? 187. ¿Cómo se verifica la vigencia de las cargas de los extintores en las dependencias de gobierno? 188. ¿Qué inspecciones se realizan a los talleres mecánicos y carpinterías del municipio? 189. ¿Cómo se regula la seguridad en el almacenamiento de fertilizantes y químicos agrícolas? 190. ¿Qué criterios se aplican para la revisión de las rutas de evacuación en hoteles de montaña? 191. ¿Qué requisitos deben cumplir los organizadores de carreras atléticas o de ciclismo de montaña? 192. ¿Cómo se supervisa la seguridad estructural de las carpas o estructuras temporales en ferias? 193. ¿Qué medidas de protección civil se exigen a los panteones municipales durante el día de muertos? 194. ¿Cuántos dictámenes de factibilidad de protección civil se han emitido para nuevos negocios? 195. ¿Qué procedimiento se sigue para la revisión de las instalaciones eléctricas en los tianguis? 196. ¿Cómo se coordina la inspección de seguridad con la dirección de desarrollo económico municipal? 197. ¿Qué registros existen de las empresas de mantenimiento de equipos contra incendio que operan aquí? 198. ¿Cómo se verifica que el personal de seguridad privada de los locales sepa actuar en emergencias? 199. ¿Qué requisitos se piden para las instalaciones de gas en las cocinas de los comedores comunitarios? 200. ¿Cuál es el fundamento para exigir dictámenes eléctricos firmados por unidades de verificación? 201. ¿Cuántos reportes de emergencia reales ha atendido la Coordinación en los últimos seis meses? 202. ¿Cuál es el tiempo promedio de llegada de una </w:t>
      </w:r>
      <w:r>
        <w:rPr>
          <w:rFonts w:ascii="Palatino Linotype" w:eastAsia="Palatino Linotype" w:hAnsi="Palatino Linotype" w:cs="Palatino Linotype"/>
        </w:rPr>
        <w:lastRenderedPageBreak/>
        <w:t xml:space="preserve">ambulancia a la zona del centro de Valle de Bravo? 203. ¿Cuál es el tiempo promedio de llegada de una unidad de bomberos a la zona de Avándaro? 204. ¿Cuántos incendios forestales han sido combatidos por la Coordinación en lo que va del año? 205. ¿Qué protocolo se sigue específicamente para el rescate acuático en el lago de Valle de Bravo? 206. ¿Con cuántas ambulancias propias y operativas cuenta actualmente la Coordinación? 207. ¿Cuántas unidades de ataque rápido contra incendios están en funcionamiento mecánico total? 208. ¿Qué equipo de rescate urbano posee la Coordinación para la atención de prensados en choques? 209. ¿Cómo se coordina operativamente la atención de emergencias con la Cruz Roja Mexicana? 210. ¿Qué tipo de retardantes o espumas químicas para el combate de incendios tienen en inventario? 211. ¿Cuántos trajes estructurales para bomberos están en condiciones óptimas de uso? 212. ¿Cuentan con equipo de respiración autónoma y cuántos tanques de reserva tienen? 213. ¿Cuál es el estado físico y mecánico de la unidad de bomberos más reciente adquirida? 214. ¿Cuántas camillas de rescate y de qué tipo (canastilla, rígida) tiene la Coordinación? 215. ¿Cuentan con desfibriladores externos automáticos en las unidades de primera respuesta? 216. ¿Qué equipo poseen para la atención de emergencias con materiales peligrosos? 217. ¿Cuántas motobombas para inundaciones y de qué capacidad tiene la Coordinación? 218. ¿Qué herramientas manuales para incendios forestales (pulaskis, mcleods) tienen en almacén? 219. ¿Cuentan con lanchas de rescate con motor fuera de borda propias del municipio? 220. ¿Qué sistema de radiocomunicación digital o analógica utiliza el personal operativo? 221. ¿Cómo se realiza el mantenimiento de las mangueras y boquillas de combate de incendios? 222. ¿Cuál es la capacidad de almacenamiento de agua de los camiones cisterna de la Coordinación? 223. ¿Cuentan con drones equipados con cámaras térmicas para búsqueda y rescate? 224. ¿Qué equipo de iluminación portátil tienen para emergencias nocturnas? 225. ¿Cuántas motosierras y equipo de corte tienen para despeje de vías por caída de árboles? 226. ¿Cómo se abastecen de oxígeno medicinal las ambulancias de la Coordinación? 227. ¿Qué equipo de protección contra picaduras de abejas u otros animales poseen? 228. ¿Cuál es el protocolo de despacho de emergencias a través del número único novecientos once? 229. ¿Qué coordinación operativa existe con la policía estatal en accidentes de carretera? 230. ¿Cuántas veces se ha solicitado el apoyo del grupo de rescate aéreo Relámpagos este año? 231. ¿Qué equipo de rescate vertical (cuerdas, arneses, poleas) tienen disponible? 232. ¿Cómo se gestionan los residuos biológico-infecciosos generados en las ambulancias? 233. ¿Qué capacidad de respuesta tienen ante un incendio simultáneo en dos puntos del municipio? 234. ¿Cuentan con una central de radio operativa las veinticuatro horas del día? 235. ¿Qué protocolos de seguridad se siguen para el personal durante el combate de incendios? 236. ¿Cómo se verifica que el equipo de protección personal cumpla con normas internacionales? </w:t>
      </w:r>
      <w:r>
        <w:rPr>
          <w:rFonts w:ascii="Palatino Linotype" w:eastAsia="Palatino Linotype" w:hAnsi="Palatino Linotype" w:cs="Palatino Linotype"/>
        </w:rPr>
        <w:lastRenderedPageBreak/>
        <w:t xml:space="preserve">237. ¿Qué inventario de herramientas para rescate en estructuras colapsadas poseen? 238. ¿Cuentan con detectores de gases tóxicos o explosividad para fugas de gas licuado de petróleo? 239. ¿Qué tipo de botiquines de trauma cargan las unidades de primera respuesta? 240. ¿Cuál es el procedimiento para el reabastecimiento de agua de los camiones bomberos en el municipio? 241. ¿Qué coordinación existe con las empresas de pipas de agua privadas para emergencias? 242. ¿Cómo se realiza el registro y estadística de los servicios de emergencia atendidos? 243. ¿Qué equipo de protección para incendios forestales (cascos, botas, gogles) tienen disponible? 244. ¿Cuentan con generadores eléctricos portátiles para operar en zonas sin energía? 245. ¿Qué capacidad de remolque tienen los vehículos de la Coordinación? 246. ¿Cómo se asegura la comunicación en zonas del municipio donde no hay señal de telefonía celular? 247. ¿Qué equipo para atención de partos fortuitos tienen en las ambulancias? 248. ¿Cuentan con ventiladores mecánicos o aspiradores de secreciones portátiles? 249. ¿Qué equipo de buceo o rescate subacuático tienen en la Coordinación? 250. ¿Cómo se evalúa el desempeño operativo después de un servicio de emergencia mayor? 251. ¿Cuántos cursos de primeros auxilios se han impartido a la población civil en dos mil veinticinco? 252. ¿Qué programa de capacitación existe para los delegados municipales en materia de prevención? 253. ¿Cuántos simulacros masivos se han organizado en el municipio durante el presente año? 254. ¿Qué materiales informativos sobre riesgos se han distribuido en las comunidades rurales? 255. ¿Existe capacitación específica para el personal de los hoteles sobre evacuación de turistas? 256. ¿Cómo se promueve la cultura de la protección civil entre los niños en las escuelas? 257. ¿Cuántos comités vecinales de protección civil han sido conformados legalmente este año? 258. ¿Qué acciones se realizan para capacitar a los operadores de lanchas en el lago? 259. ¿Existe un programa de capacitación para el manejo de extintores dirigido a comerciantes? 260. ¿Cómo se informa a la población extranjera residente sobre los riesgos locales? 261. ¿Qué recomendaciones oficiales se han emitido para el turismo de aventura este año? 262. ¿Qué capacitación recibe el personal operativo sobre derechos humanos y trato al ciudadano? 263. ¿Cuántos cursos de actualización técnica ha tomado el cuerpo de bomberos este año? 264. ¿Qué coordinación existe con las universidades para realizar servicio social en protección civil? 265. ¿Cómo se difunden las alertas meteorológicas a través de los medios de comunicación locales? 266. ¿Qué acciones de prevención se realizan en los centros de salud del municipio? 267. ¿Qué capacitación se les da a las brigadas de incendios forestales de los ejidos? 268. ¿Cómo se enseña a la población a realizar un plan familiar de protección civil? 269. ¿Qué medidas de inclusión existen para capacitar a personas con discapacidad en prevención? 270. ¿Cuál es el listado actualizado de los edificios designados como refugios temporales? 271. ¿Qué capacidad total de albergue de personas tiene el municipio en caso de evacuación? 272. ¿Qué </w:t>
      </w:r>
      <w:r>
        <w:rPr>
          <w:rFonts w:ascii="Palatino Linotype" w:eastAsia="Palatino Linotype" w:hAnsi="Palatino Linotype" w:cs="Palatino Linotype"/>
        </w:rPr>
        <w:lastRenderedPageBreak/>
        <w:t>convenios existen con el sector privado para la donación de víveres en desastres? 273. ¿Cómo se garantiza el suministro de alimentos y medicinas en los refugios temporales? 274. ¿Qué protocolos hay para la protección de mascotas y animales en situaciones de emergencia? 275. ¿Cómo se coordina la seguridad en los eventos masivos del Festival de las Almas? 276. ¿Qué acciones preventivas se toman durante las festividades de Semana Santa? 277. ¿Cómo se regula y supervisa el uso de pirotecnia en las fiestas patronales del municipio? 278. ¿Qué capacitación tienen los policías municipales en materia de primeros auxilios? 279. ¿Existe un programa de voluntarios certificados por la Coordinación de Protección Civil? 280. ¿Cómo se evalúa la eficacia de los simulacros realizados en los edificios públicos? 281. ¿Qué presupuesto se destina a campañas de difusión preventiva en redes sociales? 282. ¿Cómo se atiende la salud mental del personal operativo después de atender desastres? 283. ¿Qué coordinación hay con el sector transporte para planes de evacuación masiva? 284. ¿Qué acciones de prevención de accidentes viales realiza la Coordinación en vacaciones? 285. ¿Cómo se promueve el uso de detectores de humo y de gas en los hogares? 286. ¿Qué capacitación se da a los empleados municipales sobre evacuación de oficinas? 287. ¿Cómo se integra a la sociedad organizada en el Consejo Municipal de Protección Civil? 288. ¿Qué mecanismos de participación ciudadana existen para proponer mejoras en la seguridad? 289. ¿Cuántas sesiones ordinarias ha tenido el Consejo Municipal de Protección Civil este año? 290. ¿Qué acuerdos se han tomado para mejorar la infraestructura de bomberos recientemente? 291. ¿Cómo se supervisa la seguridad en las zonas de campamento y áreas ecoturísticas? 292. ¿Qué acciones de prevención se toman ante el riesgo de caída de rayos en el lago? 293. ¿Cómo se informa sobre el estado de los caminos y veredas en temporada de lluvias? 294. ¿Qué capacitación se ofrece a los guías de turistas sobre gestión de riesgos? 295. ¿Cómo se fomenta la donación de equipo por parte de la iniciativa privada a la Coordinación? 296. ¿Qué protocolos hay para la búsqueda de personas extraviadas en las zonas boscosas? 297. ¿Cómo se coordina la atención de emergencias mayores con el Gobierno Federal? 298. ¿Qué plan de recuperación post-desastre tiene contemplado el municipio? 299. ¿Cómo se mide el impacto de la prevención en la reducción de pérdidas económicas por desastres? 300. ¿Cuál es la visión estratégica de la Coordinación de Protección Civil para el año dos mil treinta?</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Para tal efecto,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emitió la respuesta ya transcrita en el </w:t>
      </w:r>
      <w:r>
        <w:rPr>
          <w:rFonts w:ascii="Palatino Linotype" w:eastAsia="Palatino Linotype" w:hAnsi="Palatino Linotype" w:cs="Palatino Linotype"/>
        </w:rPr>
        <w:t>párrafo</w:t>
      </w:r>
      <w:r>
        <w:rPr>
          <w:rFonts w:ascii="Palatino Linotype" w:eastAsia="Palatino Linotype" w:hAnsi="Palatino Linotype" w:cs="Palatino Linotype"/>
          <w:color w:val="000000"/>
        </w:rPr>
        <w:t xml:space="preserve"> 2.</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B5F75" w:rsidRDefault="00AC33D9">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Inconforme con la respuesta proporcionada, se interpuso el recurso de revisión, arguyendo grosso modo, la entrega de la información de manera incompleta.</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 la causal de procedencia prevista en el artículo 179, </w:t>
      </w:r>
      <w:r>
        <w:rPr>
          <w:rFonts w:ascii="Palatino Linotype" w:eastAsia="Palatino Linotype" w:hAnsi="Palatino Linotype" w:cs="Palatino Linotype"/>
          <w:b/>
          <w:bCs/>
        </w:rPr>
        <w:t xml:space="preserve">fracción V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 xml:space="preserve">Ley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b/>
          <w:bCs/>
        </w:rPr>
        <w:t xml:space="preserve"> y </w:t>
      </w:r>
      <w:r>
        <w:rPr>
          <w:rFonts w:ascii="Palatino Linotype" w:eastAsia="Palatino Linotype" w:hAnsi="Palatino Linotype" w:cs="Palatino Linotype"/>
        </w:rPr>
        <w:t xml:space="preserve">Municipios; </w:t>
      </w:r>
      <w:r>
        <w:rPr>
          <w:rFonts w:ascii="Palatino Linotype" w:eastAsia="Palatino Linotype" w:hAnsi="Palatino Linotype" w:cs="Palatino Linotype"/>
          <w:color w:val="000000"/>
        </w:rPr>
        <w:t xml:space="preserve">fracción que determina la hipótesis jurídica relativa a la entrega de información incompleta; </w:t>
      </w:r>
      <w:r>
        <w:rPr>
          <w:rFonts w:ascii="Palatino Linotype" w:eastAsia="Palatino Linotype" w:hAnsi="Palatino Linotype" w:cs="Palatino Linotype"/>
        </w:rPr>
        <w:t xml:space="preserve">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r>
        <w:rPr>
          <w:rFonts w:ascii="Palatino Linotype" w:eastAsia="Palatino Linotype" w:hAnsi="Palatino Linotype" w:cs="Palatino Linotype"/>
          <w:color w:val="000000"/>
        </w:rPr>
        <w:t xml:space="preserve"> De modo tal que el presente recurso de revisión se abocara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w:t>
      </w:r>
    </w:p>
    <w:p w:rsidR="005B5F75" w:rsidRDefault="005B5F75">
      <w:pPr>
        <w:spacing w:line="360" w:lineRule="auto"/>
        <w:ind w:right="-787"/>
        <w:rPr>
          <w:rFonts w:ascii="Palatino Linotype" w:eastAsia="Palatino Linotype" w:hAnsi="Palatino Linotype" w:cs="Palatino Linotype"/>
        </w:rPr>
      </w:pPr>
    </w:p>
    <w:p w:rsidR="005B5F75" w:rsidRDefault="00AC33D9">
      <w:pPr>
        <w:pStyle w:val="Ttulo2"/>
        <w:spacing w:before="0" w:line="360" w:lineRule="auto"/>
        <w:ind w:right="-787"/>
        <w:rPr>
          <w:rFonts w:ascii="Palatino Linotype" w:eastAsia="Palatino Linotype" w:hAnsi="Palatino Linotype" w:cs="Palatino Linotype"/>
          <w:b/>
          <w:bCs/>
          <w:color w:val="000000"/>
          <w:sz w:val="24"/>
          <w:szCs w:val="24"/>
        </w:rPr>
      </w:pPr>
      <w:bookmarkStart w:id="6" w:name="_heading=h.vrie2bsgjo9s" w:colFirst="0" w:colLast="0"/>
      <w:bookmarkEnd w:id="6"/>
      <w:r>
        <w:rPr>
          <w:rFonts w:ascii="Palatino Linotype" w:eastAsia="Palatino Linotype" w:hAnsi="Palatino Linotype" w:cs="Palatino Linotype"/>
          <w:b/>
          <w:bCs/>
          <w:color w:val="000000"/>
          <w:sz w:val="24"/>
          <w:szCs w:val="24"/>
        </w:rPr>
        <w:t>CUARTO. Del estudio y resolución del asunto.</w:t>
      </w:r>
    </w:p>
    <w:p w:rsidR="005B5F75" w:rsidRDefault="00AC33D9">
      <w:pPr>
        <w:numPr>
          <w:ilvl w:val="0"/>
          <w:numId w:val="3"/>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Marco normativo aplicable en materia de transparencia y acceso a la información pública.</w:t>
      </w: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Acotada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del asunto de mérito, es dable puntualizar inicialmente en términos generales, que el </w:t>
      </w:r>
      <w:r>
        <w:rPr>
          <w:rFonts w:ascii="Palatino Linotype" w:eastAsia="Palatino Linotype" w:hAnsi="Palatino Linotype" w:cs="Palatino Linotype"/>
          <w:color w:val="000000"/>
        </w:rPr>
        <w:t>Derecho</w:t>
      </w:r>
      <w:r>
        <w:rPr>
          <w:rFonts w:ascii="Palatino Linotype" w:eastAsia="Palatino Linotype" w:hAnsi="Palatino Linotype" w:cs="Palatino Linotype"/>
        </w:rPr>
        <w:t xml:space="preserve">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5B5F75" w:rsidRDefault="005B5F75">
      <w:pPr>
        <w:spacing w:line="360" w:lineRule="auto"/>
        <w:ind w:right="-787"/>
        <w:jc w:val="both"/>
        <w:rPr>
          <w:rFonts w:ascii="Palatino Linotype" w:eastAsia="Palatino Linotype" w:hAnsi="Palatino Linotype" w:cs="Palatino Linotype"/>
        </w:rPr>
      </w:pPr>
    </w:p>
    <w:p w:rsidR="005B5F75" w:rsidRPr="006E3FD0" w:rsidRDefault="00AC33D9">
      <w:pPr>
        <w:numPr>
          <w:ilvl w:val="0"/>
          <w:numId w:val="1"/>
        </w:numPr>
        <w:spacing w:line="360" w:lineRule="auto"/>
        <w:ind w:left="0" w:right="-787" w:firstLine="0"/>
        <w:jc w:val="both"/>
      </w:pPr>
      <w:r>
        <w:rPr>
          <w:rFonts w:ascii="Palatino Linotype" w:eastAsia="Palatino Linotype" w:hAnsi="Palatino Linotype" w:cs="Palatino Linotype"/>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6E3FD0" w:rsidRDefault="006E3FD0" w:rsidP="006E3FD0">
      <w:pPr>
        <w:spacing w:line="360" w:lineRule="auto"/>
        <w:ind w:right="-787"/>
        <w:jc w:val="both"/>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B5F75" w:rsidRDefault="005B5F75">
      <w:pPr>
        <w:spacing w:line="360" w:lineRule="auto"/>
        <w:ind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previo al estudio de fondo, resulta necesario referir respecto los motivos de inconformidad, </w:t>
      </w:r>
      <w:r>
        <w:rPr>
          <w:rFonts w:ascii="Palatino Linotype" w:eastAsia="Palatino Linotype" w:hAnsi="Palatino Linotype" w:cs="Palatino Linotype"/>
        </w:rPr>
        <w:t>sólo impugna lo relacionado a la “</w:t>
      </w:r>
      <w:r>
        <w:rPr>
          <w:rFonts w:ascii="Palatino Linotype" w:eastAsia="Palatino Linotype" w:hAnsi="Palatino Linotype" w:cs="Palatino Linotype"/>
          <w:i/>
          <w:iCs/>
        </w:rPr>
        <w:t xml:space="preserve">Falta de integridad y exhaustividad en la búsqueda: El Sujeto Obligado incurre en una omisión al declarar, a través de la Dirección de Protección Civil (DPCBYE), que "no cuenta con la información" relativa a las partidas presupuestales, remuneraciones y gastos de combustible (Preguntas 2, 3, 4, 11, 12, 14, 15, entre otras). Esta respuesta es inverosímil, toda vez que dicha Dirección es la unidad ejecutora del gasto y, por ley, debe poseer los registros de sus propias necesidades presupuestarias y recursos asignados para operar. Incongruencia y Contradicción entre áreas del mismo Sujeto Obligado: Existe una contradicción directa que vulnera la certeza jurídica: Sobre el equipo informático (Pregunta 33): Mientras la Secretaría del Ayuntamiento afirma la existencia de 3 computadoras, la Dirección de Protección Civil indica que solo posee 2 y que son obsoletas. Sobre los vehículos (Pregunta 32): La Dirección de Administración reporta "0" vehículos asignados al titular, pero en el Anexo 1 (Inventario) adjunto por la misma autoridad, se enlistan unidades como una Camioneta RAM 2023 y una Patrulla Mitsubishi. El Sujeto Obligado entrega información contradictoria que impide conocer la realidad del patrimonio municipal. Entrega de información que no corresponde con lo solicitado (Falta de veracidad): Respecto a la actualización del Atlas Municipal de Riesgos (Preguntas 101, 102, 103), la respuesta carece de sustento técnico y lógico. Afirmar que un instrumento de tal complejidad se actualizó el 30 de junio de 2025 "sin costo" y "sin participación de ninguna institución" equivale a una negativa de información disfrazada, ya que un Atlas de Riesgos requiere por ley estudios especializados y validación técnica que generan registros administrativos que no fueron entregados. Negativa de información sobre facultades y obligaciones legales: A las preguntas sobre fundamentación legal de inspecciones y convenios (#55, #74, #75), la autoridad responde con un simple "NO" o "no se realiza". Esto no satisface el derecho de acceso a la información, pues la autoridad está obligada a señalar el fundamento jurídico por el cual omite sus funciones o, en su </w:t>
      </w:r>
      <w:r>
        <w:rPr>
          <w:rFonts w:ascii="Palatino Linotype" w:eastAsia="Palatino Linotype" w:hAnsi="Palatino Linotype" w:cs="Palatino Linotype"/>
          <w:i/>
          <w:iCs/>
        </w:rPr>
        <w:lastRenderedPageBreak/>
        <w:t>defecto, la inexistencia formal de dichos reglamentos mediante un acta de su Comité de Transparencia, lo cual no sucedió,</w:t>
      </w:r>
      <w:r>
        <w:rPr>
          <w:rFonts w:ascii="Palatino Linotype" w:eastAsia="Palatino Linotype" w:hAnsi="Palatino Linotype" w:cs="Palatino Linotype"/>
        </w:rPr>
        <w:t xml:space="preserve"> el resto de la información proporcionada por el Sujeto Obligado, se tiene como actos consentidos, 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5B5F75" w:rsidRDefault="005B5F75">
      <w:pPr>
        <w:ind w:left="720" w:right="-787"/>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5B5F75" w:rsidRDefault="00AC33D9">
      <w:pPr>
        <w:tabs>
          <w:tab w:val="left" w:pos="851"/>
        </w:tabs>
        <w:spacing w:line="360" w:lineRule="auto"/>
        <w:ind w:left="502"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“ACTOS CONSENTIDOS. SON LOS QUE NO SE IMPUGNAN MEDIANTE EL RECURSO IDÓNEO. </w:t>
      </w:r>
      <w:r>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5B5F75" w:rsidRDefault="005B5F75">
      <w:pPr>
        <w:spacing w:line="360" w:lineRule="auto"/>
        <w:ind w:left="502"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De la interpretación del criterio antes citado, se advierte que cuando el particular impugnó 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está conforme con la respuesta proporcionada por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al no contravenir la misma. </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Atento a ello, es importante traer a contexto la Tesis Jurisprudencial Número 3ª./J.7/91, Publicada en el Semanario Judicial de la Federación y su Gaceta bajo el número de registro 174,177, que establece lo siguiente:</w:t>
      </w:r>
    </w:p>
    <w:p w:rsidR="005B5F75" w:rsidRDefault="00AC33D9">
      <w:pPr>
        <w:tabs>
          <w:tab w:val="left" w:pos="7937"/>
          <w:tab w:val="left" w:pos="8222"/>
        </w:tabs>
        <w:spacing w:line="360" w:lineRule="auto"/>
        <w:ind w:left="502"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“REVISIÓN EN AMPARO. LOS RESOLUTIVOS NO COMBATIDOS DEBEN DECLARARSE FIRMES. </w:t>
      </w:r>
      <w:r>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5B5F75" w:rsidRDefault="005B5F75">
      <w:pPr>
        <w:tabs>
          <w:tab w:val="left" w:pos="7937"/>
          <w:tab w:val="left" w:pos="8222"/>
        </w:tabs>
        <w:spacing w:line="360" w:lineRule="auto"/>
        <w:ind w:left="502"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Ahora bien, respecto a los motivos de inconformidad y a la información proporcionada en Informe Justificado, se refiere lo siguiente:</w:t>
      </w:r>
    </w:p>
    <w:p w:rsidR="005B5F75" w:rsidRDefault="00AC33D9">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Falta de integridad y exhaustividad en la búsqueda: El Sujeto Obligado incurre en una omisión al declarar, a través de la Dirección de Protección Civil (DPCBYE), que "no cuenta con la información" relativa a las partidas presupuestales, remuneraciones y gastos de combustible (Preguntas 2, 3, 4, 11, 12, 14, 15, entre otras). Esta respuesta es inverosímil, toda vez que dicha Dirección es la unidad ejecutora del gasto y, por ley, debe poseer los registros de sus propias necesidades presupuestarias y recursos asignados para operar. Incongruencia y Contradicción entre áreas del mismo Sujeto Obligado: Existe una contradicción directa que vulnera la certeza jurídica: </w:t>
      </w:r>
    </w:p>
    <w:p w:rsidR="005B5F75" w:rsidRDefault="005B5F75">
      <w:pPr>
        <w:ind w:left="567" w:right="-787"/>
        <w:jc w:val="both"/>
        <w:rPr>
          <w:rFonts w:ascii="Palatino Linotype" w:eastAsia="Palatino Linotype" w:hAnsi="Palatino Linotype" w:cs="Palatino Linotype"/>
          <w:i/>
          <w:iCs/>
        </w:rPr>
      </w:pPr>
    </w:p>
    <w:p w:rsidR="005B5F75" w:rsidRDefault="005B5F75">
      <w:pPr>
        <w:ind w:left="567" w:right="-787"/>
        <w:jc w:val="both"/>
        <w:rPr>
          <w:rFonts w:ascii="Palatino Linotype" w:eastAsia="Palatino Linotype" w:hAnsi="Palatino Linotype" w:cs="Palatino Linotype"/>
          <w:i/>
          <w:iCs/>
        </w:rPr>
      </w:pPr>
    </w:p>
    <w:p w:rsidR="005B5F75" w:rsidRDefault="00AC33D9">
      <w:pPr>
        <w:ind w:left="567" w:right="-787"/>
        <w:jc w:val="both"/>
        <w:rPr>
          <w:rFonts w:ascii="Palatino Linotype" w:eastAsia="Palatino Linotype" w:hAnsi="Palatino Linotype" w:cs="Palatino Linotype"/>
        </w:rPr>
      </w:pPr>
      <w:r>
        <w:rPr>
          <w:rFonts w:ascii="Palatino Linotype" w:eastAsia="Palatino Linotype" w:hAnsi="Palatino Linotype" w:cs="Palatino Linotype"/>
        </w:rPr>
        <w:t>La Directora de Protección Civil, Bombero y Ecología, informó lo siguiente:</w:t>
      </w:r>
    </w:p>
    <w:p w:rsidR="005B5F75" w:rsidRDefault="005B5F75">
      <w:pPr>
        <w:ind w:left="567" w:right="-787"/>
        <w:jc w:val="both"/>
        <w:rPr>
          <w:rFonts w:ascii="Palatino Linotype" w:eastAsia="Palatino Linotype" w:hAnsi="Palatino Linotype" w:cs="Palatino Linotype"/>
        </w:rPr>
      </w:pPr>
    </w:p>
    <w:p w:rsidR="005B5F75" w:rsidRDefault="00AC33D9">
      <w:pPr>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Falta de integridad y exhaustividad en la búsqueda: El Sujeto Obligado incurre en una omisión al declarar, a través de la Dirección de Protección Civil (DPCBYE), que "no </w:t>
      </w:r>
      <w:r>
        <w:rPr>
          <w:rFonts w:ascii="Palatino Linotype" w:eastAsia="Palatino Linotype" w:hAnsi="Palatino Linotype" w:cs="Palatino Linotype"/>
        </w:rPr>
        <w:lastRenderedPageBreak/>
        <w:t xml:space="preserve">cuenta con la información" relativa a las partidas presupuestales, remuneraciones y gastos de combustible (Preguntas 2, 3, 4, 11, 12, 14, 15, entre otras). </w:t>
      </w:r>
    </w:p>
    <w:p w:rsidR="005B5F75" w:rsidRDefault="005B5F75">
      <w:pPr>
        <w:ind w:left="567" w:right="-787"/>
        <w:jc w:val="both"/>
        <w:rPr>
          <w:rFonts w:ascii="Palatino Linotype" w:eastAsia="Palatino Linotype" w:hAnsi="Palatino Linotype" w:cs="Palatino Linotype"/>
        </w:rPr>
      </w:pPr>
    </w:p>
    <w:p w:rsidR="005B5F75" w:rsidRDefault="00AC33D9">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rPr>
        <w:t>Esta respuesta es inverosímil, toda vez que dicha Dirección es la unidad ejecutora del gasto y, por ley, debe poseer los registros de sus propias necesidades presupuestarias y recursos asignados para operar</w:t>
      </w:r>
      <w:r>
        <w:rPr>
          <w:rFonts w:ascii="Palatino Linotype" w:eastAsia="Palatino Linotype" w:hAnsi="Palatino Linotype" w:cs="Palatino Linotype"/>
          <w:i/>
          <w:iCs/>
        </w:rPr>
        <w:t>.</w:t>
      </w:r>
    </w:p>
    <w:p w:rsidR="005B5F75" w:rsidRDefault="005B5F75">
      <w:pPr>
        <w:ind w:right="-787"/>
        <w:jc w:val="both"/>
        <w:rPr>
          <w:rFonts w:ascii="Palatino Linotype" w:eastAsia="Palatino Linotype" w:hAnsi="Palatino Linotype" w:cs="Palatino Linotype"/>
        </w:rPr>
      </w:pPr>
    </w:p>
    <w:p w:rsidR="005B5F75" w:rsidRDefault="005B5F75">
      <w:pPr>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De lo anterior, si bien es cierto, de la solicitud de información como de los motivos de inconformidad se advierte que el Particular, requiere la información directamente de la </w:t>
      </w:r>
      <w:r>
        <w:rPr>
          <w:rFonts w:ascii="Palatino Linotype" w:eastAsia="Palatino Linotype" w:hAnsi="Palatino Linotype" w:cs="Palatino Linotype"/>
          <w:i/>
          <w:iCs/>
        </w:rPr>
        <w:t xml:space="preserve">Coordinación de Protección Civil, </w:t>
      </w:r>
      <w:r>
        <w:rPr>
          <w:rFonts w:ascii="Palatino Linotype" w:eastAsia="Palatino Linotype" w:hAnsi="Palatino Linotype" w:cs="Palatino Linotype"/>
        </w:rPr>
        <w:t>también cierto es que, este no es experto en la materia, por lo que se considera que se debió de haber turnado la solicitud de información a las áreas que generaran, administraran y/o poseyeran la información, que de manera enunciativa más no limitativa, de acuerdo al Bando Municipal, es la Tesorería Municipal como lo refiere en su artículo 42.</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Ahora bien, no pasa desapercibido, que dentro de las constancias de SAIMEX, si se advierte que se turnó a diversas áreas, entre ella Tesorería, sin embargo, no se advierte que se haya pronunciado al respecto, razones suficientes para no tenerse por colmado el rubro en comento y ordenar la búsqueda exhaustiva y razonable a efecto de que dé cuenta de lo solicitado. </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Por lo que hace a la inconformidad relativa a “Sobre el equipo informático (Pregunta 33): Mientras la Secretaría del Ayuntamiento afirma la existencia de 3 computadoras, la Dirección de Protección Civil indica que solo posee 2 y que son obsoletas. </w:t>
      </w: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i/>
          <w:iCs/>
        </w:rPr>
        <w:t xml:space="preserve"> Incongruencia y Contradicción entre áreas del mismo Sujeto Obligado: Existe una contradicción directa que vulnera la certeza jurídica: Sobre el equipo informático</w:t>
      </w:r>
      <w:r>
        <w:rPr>
          <w:rFonts w:ascii="Palatino Linotype" w:eastAsia="Palatino Linotype" w:hAnsi="Palatino Linotype" w:cs="Palatino Linotype"/>
        </w:rPr>
        <w:t xml:space="preserve"> (Pregunta </w:t>
      </w:r>
      <w:r>
        <w:rPr>
          <w:rFonts w:ascii="Palatino Linotype" w:eastAsia="Palatino Linotype" w:hAnsi="Palatino Linotype" w:cs="Palatino Linotype"/>
          <w:i/>
          <w:iCs/>
        </w:rPr>
        <w:lastRenderedPageBreak/>
        <w:t>33): Mientras la Secretaría del Ayuntamiento afirma la existencia de 3 computadoras, la Dirección de Protección Civil indica que solo posee 2 y que son obsoletas.</w:t>
      </w:r>
      <w:r>
        <w:rPr>
          <w:rFonts w:ascii="Palatino Linotype" w:eastAsia="Palatino Linotype" w:hAnsi="Palatino Linotype" w:cs="Palatino Linotype"/>
        </w:rPr>
        <w:t xml:space="preserve"> </w:t>
      </w:r>
    </w:p>
    <w:p w:rsidR="005B5F75" w:rsidRDefault="005B5F75">
      <w:pPr>
        <w:ind w:left="709" w:right="-787"/>
        <w:jc w:val="both"/>
        <w:rPr>
          <w:rFonts w:ascii="Palatino Linotype" w:eastAsia="Palatino Linotype" w:hAnsi="Palatino Linotype" w:cs="Palatino Linotype"/>
        </w:rPr>
      </w:pPr>
    </w:p>
    <w:p w:rsidR="005B5F75" w:rsidRDefault="00AC33D9">
      <w:pPr>
        <w:ind w:left="709" w:right="-787"/>
        <w:jc w:val="both"/>
        <w:rPr>
          <w:rFonts w:ascii="Palatino Linotype" w:eastAsia="Palatino Linotype" w:hAnsi="Palatino Linotype" w:cs="Palatino Linotype"/>
        </w:rPr>
      </w:pPr>
      <w:r>
        <w:rPr>
          <w:rFonts w:ascii="Palatino Linotype" w:eastAsia="Palatino Linotype" w:hAnsi="Palatino Linotype" w:cs="Palatino Linotype"/>
        </w:rPr>
        <w:t xml:space="preserve">Se informó que, </w:t>
      </w:r>
      <w:r>
        <w:rPr>
          <w:rFonts w:ascii="Palatino Linotype" w:eastAsia="Palatino Linotype" w:hAnsi="Palatino Linotype" w:cs="Palatino Linotype"/>
          <w:b/>
          <w:bCs/>
          <w:i/>
          <w:iCs/>
        </w:rPr>
        <w:t>“EFECTIVAMENTE SE CUENTA CON 2 COMPUTRADORAS Y UNA LAPTOP”</w:t>
      </w:r>
      <w:r>
        <w:rPr>
          <w:rFonts w:ascii="Palatino Linotype" w:eastAsia="Palatino Linotype" w:hAnsi="Palatino Linotype" w:cs="Palatino Linotype"/>
        </w:rPr>
        <w:t xml:space="preserve"> </w:t>
      </w:r>
    </w:p>
    <w:p w:rsidR="005B5F75" w:rsidRDefault="005B5F75">
      <w:pPr>
        <w:ind w:left="709"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De lo anterior, se advierte que en respuesta se informó por parte del servidor público habilitado que se cuenta con 2 y que estas son obsoletas, sin embargo con posterioridad informó que se cuenta con 2 computadoras y una laptop, por lo que se considera que con ello, se tiene por colmado el rubro en comento.</w:t>
      </w:r>
    </w:p>
    <w:p w:rsidR="005B5F75" w:rsidRDefault="005B5F75">
      <w:pPr>
        <w:ind w:left="709" w:right="-787"/>
        <w:jc w:val="both"/>
        <w:rPr>
          <w:rFonts w:ascii="Palatino Linotype" w:eastAsia="Palatino Linotype" w:hAnsi="Palatino Linotype" w:cs="Palatino Linotype"/>
        </w:rPr>
      </w:pPr>
    </w:p>
    <w:p w:rsidR="005B5F75" w:rsidRDefault="005B5F75">
      <w:pPr>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Por lo que hace a </w:t>
      </w:r>
      <w:r>
        <w:rPr>
          <w:rFonts w:ascii="Palatino Linotype" w:eastAsia="Palatino Linotype" w:hAnsi="Palatino Linotype" w:cs="Palatino Linotype"/>
          <w:i/>
          <w:iCs/>
        </w:rPr>
        <w:t>“Sobre los vehículos (Pregunta 32): La Dirección de Administración reporta "0" vehículos asignados al titular, pero en el Anexo 1 (Inventario) adjunto por la misma autoridad, se enlistan unidades como una Camioneta RAM 2023 y una Patrulla Mitsubishi. El Sujeto Obligado entrega información contradictoria que impide conocer la realidad del patrimonio municipal. Entrega de información que no corresponde con lo solicitado (Falta de veracidad)</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Posteriormente, se informó que </w:t>
      </w:r>
      <w:r>
        <w:rPr>
          <w:rFonts w:ascii="Palatino Linotype" w:eastAsia="Palatino Linotype" w:hAnsi="Palatino Linotype" w:cs="Palatino Linotype"/>
          <w:i/>
          <w:iCs/>
        </w:rPr>
        <w:t>no hay ningún vehículo asignado exclusivamente al uso de titular de la Coordinación, que como se hizo mención en la respuesta a la pregunta número 1, NO SE CUENTA CON TITULAR DE LA COORDINACION DE PROTECCIÓN CIVIL. SIN EMBARGO LA TITULAR DE LA DIRECCIÓN DE PROTECCION CIVIL, BOMBEROS Y ECOLOGIA, ACTUALMENTE SE ENCARGA A SU VEZ DE LA COORDINACIÓN DE PROTECCIÓN CIVIL, pero no tiene ningún vehículo oficial asignado exclusivamente para su uso.</w:t>
      </w: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Sin embargo la unidad camioneta RAM 2023 es un vehículo de emergencia (ambulancia y es utilizado por el personal de área prehospitalaria de la Coordinación de Protección Civil. Y a la Patrulla Mitsubishi es utilizada por los inspectores (de arbolado, riesgos, negocios y castillería)</w:t>
      </w: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De lo anterior, se colige que con lo hecho de conocimiento en respuesta y en informe justificado, se tiene por colmado el rubro en comento, pues el servidor público habilitado fue puntual en referir que no se tiene ningún vehículo asignado exclusivamente para su uso.</w:t>
      </w:r>
    </w:p>
    <w:p w:rsidR="005B5F75" w:rsidRDefault="005B5F75">
      <w:pPr>
        <w:ind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Respecto a la actualización del Atlas Municipal de Riesgos (Preguntas 101, 102, 103), la respuesta carece de sustento técnico y lógico. Afirmar que un instrumento de tal complejidad se actualizó el 30 de junio de 2025 "sin costo" y "sin participación de ninguna institución" equivale a una negativa de información disfrazada, ya que un Atlas de Riesgos requiere por ley estudios especializados y validación técnica que generan registros administrativos que no fueron entregados. Negativa de información sobre facultades y obligaciones legales: </w:t>
      </w:r>
    </w:p>
    <w:p w:rsidR="005B5F75" w:rsidRDefault="00AC33D9">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rPr>
        <w:t xml:space="preserve">A la 101 informó que, </w:t>
      </w:r>
      <w:r>
        <w:rPr>
          <w:rFonts w:ascii="Palatino Linotype" w:eastAsia="Palatino Linotype" w:hAnsi="Palatino Linotype" w:cs="Palatino Linotype"/>
          <w:i/>
          <w:iCs/>
        </w:rPr>
        <w:t>“30 DE JUNIO DE 2025”</w:t>
      </w:r>
    </w:p>
    <w:p w:rsidR="005B5F75" w:rsidRDefault="005B5F75">
      <w:pPr>
        <w:ind w:left="567" w:right="-787"/>
        <w:jc w:val="both"/>
        <w:rPr>
          <w:rFonts w:ascii="Palatino Linotype" w:eastAsia="Palatino Linotype" w:hAnsi="Palatino Linotype" w:cs="Palatino Linotype"/>
          <w:i/>
          <w:iCs/>
        </w:rPr>
      </w:pPr>
    </w:p>
    <w:p w:rsidR="005B5F75" w:rsidRDefault="00AC33D9">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rPr>
        <w:t>A la 102, “</w:t>
      </w:r>
      <w:r>
        <w:rPr>
          <w:rFonts w:ascii="Palatino Linotype" w:eastAsia="Palatino Linotype" w:hAnsi="Palatino Linotype" w:cs="Palatino Linotype"/>
          <w:i/>
          <w:iCs/>
        </w:rPr>
        <w:t>NO FUE CONTRATADA EMNPRESA O INSTITUCIÓN EDUCTAIVA  ALGUNA, PARA LA ELABORACIÓN DE ATLAS MUNICPAL DE RIESGOS”</w:t>
      </w:r>
    </w:p>
    <w:p w:rsidR="005B5F75" w:rsidRDefault="00AC33D9">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rPr>
        <w:t>A la 103 “</w:t>
      </w:r>
      <w:r>
        <w:rPr>
          <w:rFonts w:ascii="Palatino Linotype" w:eastAsia="Palatino Linotype" w:hAnsi="Palatino Linotype" w:cs="Palatino Linotype"/>
          <w:i/>
          <w:iCs/>
        </w:rPr>
        <w:t>SE INFORMA QUE NO TUVO COSTO ALGUNO” “efectivamente no se realizó la contratación de ninguna institución o empresa, así como tampoco se destinó algún recurso extra, debido a que la persona encargada en su momento de realizar el Atlas de Riesgos y sus debida actualizaciones, era un trabajador del Ayuntamiento, el cual cuenta con las facultades suficientes para realizar el proyecto de Atlas de Riesgos Municipal de Valle de Bravo, el cual conto con el asesoramiento del personal de Protección Civil del Estado de México.</w:t>
      </w:r>
    </w:p>
    <w:p w:rsidR="005B5F75" w:rsidRDefault="005B5F75">
      <w:pPr>
        <w:ind w:left="567" w:right="-787"/>
        <w:jc w:val="both"/>
        <w:rPr>
          <w:rFonts w:ascii="Palatino Linotype" w:eastAsia="Palatino Linotype" w:hAnsi="Palatino Linotype" w:cs="Palatino Linotype"/>
          <w:i/>
          <w:iCs/>
        </w:rPr>
      </w:pPr>
    </w:p>
    <w:p w:rsidR="005B5F75" w:rsidRDefault="00AC33D9">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Así mismo le informo que dicha persona no fue contratada para realizar el Atlas de Riesgos, pero en base a su experiencia y conocimientos se le atribuyo la realización del proyecto.</w:t>
      </w:r>
    </w:p>
    <w:p w:rsidR="005B5F75" w:rsidRDefault="005B5F75">
      <w:pPr>
        <w:ind w:right="-787"/>
        <w:jc w:val="both"/>
        <w:rPr>
          <w:rFonts w:ascii="Palatino Linotype" w:eastAsia="Palatino Linotype" w:hAnsi="Palatino Linotype" w:cs="Palatino Linotype"/>
        </w:rPr>
      </w:pPr>
    </w:p>
    <w:p w:rsidR="005B5F75" w:rsidRDefault="00AC33D9">
      <w:pPr>
        <w:ind w:right="-787"/>
        <w:jc w:val="both"/>
        <w:rPr>
          <w:rFonts w:ascii="Palatino Linotype" w:eastAsia="Palatino Linotype" w:hAnsi="Palatino Linotype" w:cs="Palatino Linotype"/>
        </w:rPr>
      </w:pPr>
      <w:r>
        <w:rPr>
          <w:rFonts w:ascii="Palatino Linotype" w:eastAsia="Palatino Linotype" w:hAnsi="Palatino Linotype" w:cs="Palatino Linotype"/>
        </w:rPr>
        <w:t>A las preguntas sobre fundamentación legal de inspecciones y convenios (#55, #74, #75), la autoridad responde con un simple "NO" o "no se realiza". Esto no satisface el derecho de acceso a la información, pues la autoridad está obligada a señalar el fundamento jurídico por el cual omite sus funciones o, en su defecto, la inexistencia formal de dichos reglamentos mediante un acta de su Comité de Transparencia, lo cual no sucedió.</w:t>
      </w:r>
    </w:p>
    <w:p w:rsidR="005B5F75" w:rsidRDefault="005B5F75">
      <w:pPr>
        <w:ind w:right="-787"/>
        <w:jc w:val="both"/>
        <w:rPr>
          <w:rFonts w:ascii="Palatino Linotype" w:eastAsia="Palatino Linotype" w:hAnsi="Palatino Linotype" w:cs="Palatino Linotype"/>
        </w:rPr>
      </w:pPr>
    </w:p>
    <w:p w:rsidR="005B5F75" w:rsidRDefault="00AC33D9">
      <w:pPr>
        <w:ind w:right="-787"/>
        <w:jc w:val="both"/>
        <w:rPr>
          <w:rFonts w:ascii="Palatino Linotype" w:eastAsia="Palatino Linotype" w:hAnsi="Palatino Linotype" w:cs="Palatino Linotype"/>
          <w:i/>
          <w:iCs/>
        </w:rPr>
      </w:pPr>
      <w:r>
        <w:rPr>
          <w:rFonts w:ascii="Palatino Linotype" w:eastAsia="Palatino Linotype" w:hAnsi="Palatino Linotype" w:cs="Palatino Linotype"/>
        </w:rPr>
        <w:lastRenderedPageBreak/>
        <w:t>A la 55, informó que, “</w:t>
      </w:r>
      <w:r>
        <w:rPr>
          <w:rFonts w:ascii="Palatino Linotype" w:eastAsia="Palatino Linotype" w:hAnsi="Palatino Linotype" w:cs="Palatino Linotype"/>
          <w:i/>
          <w:iCs/>
        </w:rPr>
        <w:t>no existe ningún convenio firmado con la Secretaria de Marina para operaciones de rescate en el lago.”</w:t>
      </w:r>
    </w:p>
    <w:p w:rsidR="005B5F75" w:rsidRDefault="005B5F75">
      <w:pPr>
        <w:ind w:right="-787"/>
        <w:jc w:val="both"/>
        <w:rPr>
          <w:rFonts w:ascii="Palatino Linotype" w:eastAsia="Palatino Linotype" w:hAnsi="Palatino Linotype" w:cs="Palatino Linotype"/>
          <w:i/>
          <w:iCs/>
        </w:rPr>
      </w:pPr>
    </w:p>
    <w:p w:rsidR="005B5F75" w:rsidRDefault="00AC33D9">
      <w:pPr>
        <w:ind w:right="-787"/>
        <w:jc w:val="both"/>
        <w:rPr>
          <w:rFonts w:ascii="Palatino Linotype" w:eastAsia="Palatino Linotype" w:hAnsi="Palatino Linotype" w:cs="Palatino Linotype"/>
          <w:b/>
          <w:bCs/>
          <w:i/>
          <w:iCs/>
        </w:rPr>
      </w:pPr>
      <w:r>
        <w:rPr>
          <w:rFonts w:ascii="Palatino Linotype" w:eastAsia="Palatino Linotype" w:hAnsi="Palatino Linotype" w:cs="Palatino Linotype"/>
        </w:rPr>
        <w:t>A la 74, “</w:t>
      </w:r>
      <w:r>
        <w:rPr>
          <w:rFonts w:ascii="Palatino Linotype" w:eastAsia="Palatino Linotype" w:hAnsi="Palatino Linotype" w:cs="Palatino Linotype"/>
          <w:i/>
          <w:iCs/>
        </w:rPr>
        <w:t xml:space="preserve">no se realiza la revisión de instalaciones eléctricas y de gas en el comercio informal, sin embargo se encuentra regulado en la </w:t>
      </w:r>
      <w:r>
        <w:rPr>
          <w:rFonts w:ascii="Palatino Linotype" w:eastAsia="Palatino Linotype" w:hAnsi="Palatino Linotype" w:cs="Palatino Linotype"/>
          <w:b/>
          <w:bCs/>
          <w:i/>
          <w:iCs/>
        </w:rPr>
        <w:t>Norma Oficial Mexicana NOM-001-SEDE-2012, Norma Oficial Mexicana NOM-001-SEDE-2004.</w:t>
      </w:r>
    </w:p>
    <w:p w:rsidR="005B5F75" w:rsidRDefault="005B5F75">
      <w:pPr>
        <w:ind w:right="-787"/>
        <w:jc w:val="both"/>
        <w:rPr>
          <w:rFonts w:ascii="Palatino Linotype" w:eastAsia="Palatino Linotype" w:hAnsi="Palatino Linotype" w:cs="Palatino Linotype"/>
          <w:b/>
          <w:bCs/>
          <w:i/>
          <w:iCs/>
        </w:rPr>
      </w:pPr>
    </w:p>
    <w:p w:rsidR="005B5F75" w:rsidRDefault="00AC33D9">
      <w:pPr>
        <w:ind w:right="-787"/>
        <w:jc w:val="both"/>
        <w:rPr>
          <w:rFonts w:ascii="Palatino Linotype" w:eastAsia="Palatino Linotype" w:hAnsi="Palatino Linotype" w:cs="Palatino Linotype"/>
          <w:b/>
          <w:bCs/>
          <w:i/>
          <w:iCs/>
        </w:rPr>
      </w:pPr>
      <w:r>
        <w:rPr>
          <w:rFonts w:ascii="Palatino Linotype" w:eastAsia="Palatino Linotype" w:hAnsi="Palatino Linotype" w:cs="Palatino Linotype"/>
        </w:rPr>
        <w:t>A la 75 que, “</w:t>
      </w:r>
      <w:r>
        <w:rPr>
          <w:rFonts w:ascii="Palatino Linotype" w:eastAsia="Palatino Linotype" w:hAnsi="Palatino Linotype" w:cs="Palatino Linotype"/>
          <w:b/>
          <w:bCs/>
          <w:i/>
          <w:iCs/>
        </w:rPr>
        <w:t xml:space="preserve">Ley General para la Prevención y Gestión Integral de los Residuos (LGPGIR), </w:t>
      </w:r>
      <w:r>
        <w:rPr>
          <w:rFonts w:ascii="Palatino Linotype" w:eastAsia="Palatino Linotype" w:hAnsi="Palatino Linotype" w:cs="Palatino Linotype"/>
          <w:i/>
          <w:iCs/>
        </w:rPr>
        <w:t xml:space="preserve">su reglamento, y diversas Normas Oficiales Mexicanas (NOM) emitidas por la Secretaria de Medio Ambiente y Recursos Naturales (SEMARNAT), las cuales son </w:t>
      </w:r>
      <w:r>
        <w:rPr>
          <w:rFonts w:ascii="Palatino Linotype" w:eastAsia="Palatino Linotype" w:hAnsi="Palatino Linotype" w:cs="Palatino Linotype"/>
          <w:b/>
          <w:bCs/>
          <w:i/>
          <w:iCs/>
        </w:rPr>
        <w:t>NOM-052-SEMARNAT-2005,NOM053-SEMARNAT-1993, NOM-054-SEMARNAT-1993, NOM-055-SEMARNAT-2003.</w:t>
      </w:r>
    </w:p>
    <w:p w:rsidR="005B5F75" w:rsidRDefault="005B5F75">
      <w:pPr>
        <w:ind w:right="-787"/>
        <w:jc w:val="both"/>
        <w:rPr>
          <w:rFonts w:ascii="Palatino Linotype" w:eastAsia="Palatino Linotype" w:hAnsi="Palatino Linotype" w:cs="Palatino Linotype"/>
          <w:b/>
          <w:b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De lo anterior, se observa que el Servidor Público Habilitado fue puntual en dar respuesta puntual a cada rubro solicitado, por lo que respecto los rubros en donde refirió que no se realizan inspecciones y convenios, nos encontramos ante un hecho negativo; luego entonces, si se considera el hecho negativo, es obvio que éste no puede fácticamente obrar en los archivos del </w:t>
      </w:r>
      <w:r>
        <w:rPr>
          <w:rFonts w:ascii="Palatino Linotype" w:eastAsia="Palatino Linotype" w:hAnsi="Palatino Linotype" w:cs="Palatino Linotype"/>
          <w:b/>
          <w:bCs/>
        </w:rPr>
        <w:t>SUJETO OBLIGADO</w:t>
      </w:r>
      <w:r>
        <w:rPr>
          <w:rFonts w:ascii="Palatino Linotype" w:eastAsia="Palatino Linotype" w:hAnsi="Palatino Linotype" w:cs="Palatino Linotype"/>
        </w:rPr>
        <w:t>, ya que no puede probarse por ser lógica y materialmente imposible.</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Asimismo, no se trata de un caso por el cual la negación del hecho implique la afirmación del mismo, simplemente se está ante una notoria y evidente inexistencia fáctica de la información solicitada.</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5B5F75" w:rsidRDefault="00AC33D9">
      <w:pPr>
        <w:spacing w:line="360" w:lineRule="auto"/>
        <w:ind w:left="851"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HECHOS NEGATIVOS, NO SON SUSCEPTIBLES DE DEMOSTRACIÓN. </w:t>
      </w:r>
    </w:p>
    <w:p w:rsidR="005B5F75" w:rsidRDefault="00AC33D9">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i/>
          <w:iCs/>
        </w:rPr>
        <w:t>Tratándose de un hecho negativo, el Juez no tiene por que invocar prueba alguna de la que se desprenda, ya que es bien sabido que esta clase de hechos no son susceptibles de demostración.</w:t>
      </w:r>
    </w:p>
    <w:p w:rsidR="005B5F75" w:rsidRDefault="00AC33D9">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i/>
          <w:iCs/>
        </w:rPr>
        <w:t>Amparo en revisión 2022/61. José García Florín (Menor). 9 de octubre de 1961. Cinco votos. Ponente: José Rivera Pérez Campos.”</w:t>
      </w:r>
    </w:p>
    <w:p w:rsidR="005B5F75" w:rsidRDefault="005B5F75">
      <w:pPr>
        <w:spacing w:line="360" w:lineRule="auto"/>
        <w:ind w:left="709"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Además, y de conformidad con lo establecido en el artículo 12 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anteriormente invocado,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únicamente proporcionará la información que obra en sus archivos, lo que a</w:t>
      </w:r>
      <w:r>
        <w:rPr>
          <w:rFonts w:ascii="Palatino Linotype" w:eastAsia="Palatino Linotype" w:hAnsi="Palatino Linotype" w:cs="Palatino Linotype"/>
          <w:i/>
          <w:iCs/>
        </w:rPr>
        <w:t xml:space="preserve"> contrario sensu</w:t>
      </w:r>
      <w:r>
        <w:rPr>
          <w:rFonts w:ascii="Palatino Linotype" w:eastAsia="Palatino Linotype" w:hAnsi="Palatino Linotype" w:cs="Palatino Linotype"/>
        </w:rPr>
        <w:t xml:space="preserve"> significa que no se está obligado a proporcionar lo que no obre en sus archivos.</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En esa tesitura, se observa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mediante el informe justificado modificó la respuesta inicial, pronunciándose respecto de la información faltante como un hecho negativo.</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rPr>
          <w:color w:val="000000"/>
        </w:rPr>
      </w:pPr>
      <w:r>
        <w:rPr>
          <w:rFonts w:ascii="Palatino Linotype" w:eastAsia="Palatino Linotype" w:hAnsi="Palatino Linotype" w:cs="Palatino Linotype"/>
        </w:rPr>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Pr>
          <w:rFonts w:ascii="Palatino Linotype" w:eastAsia="Palatino Linotype" w:hAnsi="Palatino Linotype" w:cs="Palatino Linotype"/>
          <w:color w:val="000000"/>
        </w:rPr>
        <w:t>máxime que al momento que ponen a disposición ésta, la misma tiene el carácter oficial y se presume veraz, tan es así que la misma queda registrada en el Sistema de Acceso a la Información Mexiquense (SAIMEX).</w:t>
      </w:r>
    </w:p>
    <w:p w:rsidR="005B5F75" w:rsidRDefault="005B5F75">
      <w:pPr>
        <w:spacing w:line="360" w:lineRule="auto"/>
        <w:ind w:right="-787"/>
        <w:jc w:val="both"/>
        <w:rPr>
          <w:rFonts w:ascii="Palatino Linotype" w:eastAsia="Palatino Linotype" w:hAnsi="Palatino Linotype" w:cs="Palatino Linotype"/>
          <w:color w:val="000000"/>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Sirviendo de apoyo a lo anterior por analogía, el criterio 31-10 emitido por el ahora Instituto Nacional de Transparencia, Acceso a la Información y Protección de Datos Personales, que a la letra dice:</w:t>
      </w:r>
    </w:p>
    <w:p w:rsidR="005B5F75" w:rsidRDefault="00AC33D9">
      <w:pPr>
        <w:pBdr>
          <w:top w:val="nil"/>
          <w:left w:val="nil"/>
          <w:bottom w:val="nil"/>
          <w:right w:val="nil"/>
          <w:between w:val="nil"/>
        </w:pBdr>
        <w:spacing w:before="240" w:after="360" w:line="360" w:lineRule="auto"/>
        <w:ind w:left="851"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Instituto Federal de Acceso a la Información y Protección de Datos </w:t>
      </w:r>
      <w:r>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B5F75" w:rsidRDefault="00AC33D9">
      <w:pPr>
        <w:pBdr>
          <w:top w:val="nil"/>
          <w:left w:val="nil"/>
          <w:bottom w:val="nil"/>
          <w:right w:val="nil"/>
          <w:between w:val="nil"/>
        </w:pBdr>
        <w:spacing w:line="360" w:lineRule="auto"/>
        <w:ind w:left="64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5B5F75" w:rsidRDefault="005B5F75">
      <w:pPr>
        <w:spacing w:line="360" w:lineRule="auto"/>
        <w:ind w:right="-787"/>
        <w:jc w:val="both"/>
        <w:rPr>
          <w:rFonts w:ascii="Palatino Linotype" w:eastAsia="Palatino Linotype" w:hAnsi="Palatino Linotype" w:cs="Palatino Linotype"/>
          <w:b/>
          <w:bCs/>
          <w:i/>
          <w:iCs/>
        </w:rPr>
      </w:pPr>
    </w:p>
    <w:p w:rsidR="005B5F75" w:rsidRPr="006E3FD0"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apegarse en todo momento a los criterios ya expuestos, impidiendo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 </w:t>
      </w:r>
    </w:p>
    <w:p w:rsidR="006E3FD0" w:rsidRDefault="006E3FD0" w:rsidP="006E3FD0">
      <w:pPr>
        <w:spacing w:line="360" w:lineRule="auto"/>
        <w:ind w:right="-787"/>
        <w:jc w:val="both"/>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Por lo que hace al Atlas de Riesgos,</w:t>
      </w:r>
      <w:r>
        <w:rPr>
          <w:rFonts w:ascii="Palatino Linotype" w:eastAsia="Palatino Linotype" w:hAnsi="Palatino Linotype" w:cs="Palatino Linotype"/>
          <w:i/>
          <w:iCs/>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fue preciso en referir que este fue realizado por su personal y que no existió una contratación alguna, por lo que se considera que se tiene por colmado el rubro en comento, pues –se insiste- no se puede ordenar información que no fue generada, poseída y/o administrada.</w:t>
      </w:r>
    </w:p>
    <w:p w:rsidR="005B5F75" w:rsidRDefault="005B5F75">
      <w:pPr>
        <w:spacing w:line="360" w:lineRule="auto"/>
        <w:ind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Ahora bien, relativo al motivo de inconformidad relativo al numeral 2, </w:t>
      </w:r>
      <w:r>
        <w:rPr>
          <w:rFonts w:ascii="Palatino Linotype" w:eastAsia="Palatino Linotype" w:hAnsi="Palatino Linotype" w:cs="Palatino Linotype"/>
          <w:i/>
          <w:iCs/>
        </w:rPr>
        <w:t>“¿Qué remuneración mensual bruta y neta percibe el titular de la Coordinación de Protección Civil?”</w:t>
      </w:r>
      <w:r>
        <w:rPr>
          <w:rFonts w:ascii="Palatino Linotype" w:eastAsia="Palatino Linotype" w:hAnsi="Palatino Linotype" w:cs="Palatino Linotype"/>
        </w:rPr>
        <w:t xml:space="preserve">, se insiste en que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no es experto en la materia, por lo que si bien es cierto, de acuerdo al Organigrama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y de acuerdo a como lo informó en </w:t>
      </w:r>
      <w:r>
        <w:rPr>
          <w:rFonts w:ascii="Palatino Linotype" w:eastAsia="Palatino Linotype" w:hAnsi="Palatino Linotype" w:cs="Palatino Linotype"/>
        </w:rPr>
        <w:lastRenderedPageBreak/>
        <w:t>respuesta, no se cuenta con una “</w:t>
      </w:r>
      <w:r>
        <w:rPr>
          <w:rFonts w:ascii="Palatino Linotype" w:eastAsia="Palatino Linotype" w:hAnsi="Palatino Linotype" w:cs="Palatino Linotype"/>
          <w:i/>
          <w:iCs/>
        </w:rPr>
        <w:t xml:space="preserve">coordinacion”, </w:t>
      </w:r>
      <w:r>
        <w:rPr>
          <w:rFonts w:ascii="Palatino Linotype" w:eastAsia="Palatino Linotype" w:hAnsi="Palatino Linotype" w:cs="Palatino Linotype"/>
        </w:rPr>
        <w:t xml:space="preserve">sin embargo, en aras de salvaguardar el derecho al acceso a la información que le asiste al ahora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se debió remitir la información del Director, que es el equivalente, por lo que en este caso, de acuerdo al Bando Municipal, el área encargada de generar, poseer y/o administrar la información solicitada, es la Dirección de Administración.</w:t>
      </w:r>
    </w:p>
    <w:p w:rsidR="005B5F75" w:rsidRDefault="005B5F75">
      <w:pPr>
        <w:spacing w:line="360" w:lineRule="auto"/>
        <w:ind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A efecto de robustecer lo anterior, se refiere lo siguiente:</w:t>
      </w:r>
    </w:p>
    <w:p w:rsidR="005B5F75" w:rsidRDefault="005B5F75">
      <w:pPr>
        <w:spacing w:line="360" w:lineRule="auto"/>
        <w:ind w:right="-787"/>
        <w:jc w:val="both"/>
        <w:rPr>
          <w:rFonts w:ascii="Palatino Linotype" w:eastAsia="Palatino Linotype" w:hAnsi="Palatino Linotype" w:cs="Palatino Linotype"/>
          <w:i/>
          <w:iCs/>
        </w:rPr>
      </w:pPr>
    </w:p>
    <w:p w:rsidR="005B5F75" w:rsidRDefault="00AC33D9">
      <w:pPr>
        <w:spacing w:line="360" w:lineRule="auto"/>
        <w:ind w:right="-787"/>
        <w:jc w:val="both"/>
        <w:rPr>
          <w:rFonts w:ascii="Palatino Linotype" w:eastAsia="Palatino Linotype" w:hAnsi="Palatino Linotype" w:cs="Palatino Linotype"/>
          <w:i/>
          <w:iCs/>
        </w:rPr>
      </w:pPr>
      <w:r>
        <w:rPr>
          <w:rFonts w:ascii="Palatino Linotype" w:eastAsia="Palatino Linotype" w:hAnsi="Palatino Linotype" w:cs="Palatino Linotype"/>
          <w:i/>
          <w:iCs/>
          <w:noProof/>
          <w:lang w:val="es-MX"/>
        </w:rPr>
        <w:drawing>
          <wp:inline distT="0" distB="0" distL="0" distR="0">
            <wp:extent cx="5612130" cy="38271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612130" cy="3827145"/>
                    </a:xfrm>
                    <a:prstGeom prst="rect">
                      <a:avLst/>
                    </a:prstGeom>
                    <a:ln/>
                  </pic:spPr>
                </pic:pic>
              </a:graphicData>
            </a:graphic>
          </wp:inline>
        </w:drawing>
      </w: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En ese orden de ideas, de manera enunciativa más no limitativa, se refiere que el documento que pudiera dar cuenta de lo solicitado es el recibo de nómina, por lo que al respecto, se refiere lo siguiente:</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7"/>
        </w:numPr>
        <w:tabs>
          <w:tab w:val="left" w:pos="284"/>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Recibos de Nómina</w:t>
      </w: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En ese sentido, se debe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Como </w:t>
      </w:r>
      <w:r>
        <w:rPr>
          <w:rFonts w:ascii="Palatino Linotype" w:eastAsia="Palatino Linotype" w:hAnsi="Palatino Linotype" w:cs="Palatino Linotype"/>
          <w:color w:val="000000"/>
        </w:rPr>
        <w:t>ya</w:t>
      </w:r>
      <w:r>
        <w:rPr>
          <w:rFonts w:ascii="Palatino Linotype" w:eastAsia="Palatino Linotype" w:hAnsi="Palatino Linotype" w:cs="Palatino Linotype"/>
        </w:rPr>
        <w:t xml:space="preserve"> se apuntó, si bien es cierto nuestra legislación no establece la definición de “nómina”, este término es mencionado en diferentes ordenamientos legales, así el artículo 804 fracción II de la Ley Federal de Trabajo, señala lo siguiente: </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804.-</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El patrón tiene obligación de conservar y exhibir en juicio los documentos que a continuación se precisan</w:t>
      </w:r>
      <w:r>
        <w:rPr>
          <w:rFonts w:ascii="Palatino Linotype" w:eastAsia="Palatino Linotype" w:hAnsi="Palatino Linotype" w:cs="Palatino Linotype"/>
          <w:i/>
          <w:iCs/>
        </w:rPr>
        <w:t xml:space="preserve">: </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Listas de raya o </w:t>
      </w:r>
      <w:r>
        <w:rPr>
          <w:rFonts w:ascii="Palatino Linotype" w:eastAsia="Palatino Linotype" w:hAnsi="Palatino Linotype" w:cs="Palatino Linotype"/>
          <w:b/>
          <w:bCs/>
          <w:i/>
          <w:iCs/>
          <w:u w:val="single"/>
        </w:rPr>
        <w:t>nómina de personal</w:t>
      </w:r>
      <w:r>
        <w:rPr>
          <w:rFonts w:ascii="Palatino Linotype" w:eastAsia="Palatino Linotype" w:hAnsi="Palatino Linotype" w:cs="Palatino Linotype"/>
          <w:i/>
          <w:iCs/>
        </w:rPr>
        <w:t xml:space="preserve">, cuando se lleven en el centro de trabajo; o recibos de pagos de salarios; </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u w:val="single"/>
        </w:rPr>
        <w:t>Los documentos</w:t>
      </w:r>
      <w:r>
        <w:rPr>
          <w:rFonts w:ascii="Palatino Linotype" w:eastAsia="Palatino Linotype" w:hAnsi="Palatino Linotype" w:cs="Palatino Linotype"/>
          <w:i/>
          <w:iCs/>
        </w:rPr>
        <w:t xml:space="preserve"> señalados en la fracción I </w:t>
      </w:r>
      <w:r>
        <w:rPr>
          <w:rFonts w:ascii="Palatino Linotype" w:eastAsia="Palatino Linotype" w:hAnsi="Palatino Linotype" w:cs="Palatino Linotype"/>
          <w:b/>
          <w:bCs/>
          <w:i/>
          <w:iCs/>
          <w:u w:val="single"/>
        </w:rPr>
        <w:t>deberán conservarse</w:t>
      </w:r>
      <w:r>
        <w:rPr>
          <w:rFonts w:ascii="Palatino Linotype" w:eastAsia="Palatino Linotype" w:hAnsi="Palatino Linotype" w:cs="Palatino Linotype"/>
          <w:i/>
          <w:iCs/>
        </w:rPr>
        <w:t xml:space="preserve"> mientras dure la relación laboral y hasta un año después; los </w:t>
      </w:r>
      <w:r>
        <w:rPr>
          <w:rFonts w:ascii="Palatino Linotype" w:eastAsia="Palatino Linotype" w:hAnsi="Palatino Linotype" w:cs="Palatino Linotype"/>
          <w:b/>
          <w:bCs/>
          <w:i/>
          <w:iCs/>
          <w:u w:val="single"/>
        </w:rPr>
        <w:t>señalados en las fracciones II</w:t>
      </w:r>
      <w:r>
        <w:rPr>
          <w:rFonts w:ascii="Palatino Linotype" w:eastAsia="Palatino Linotype" w:hAnsi="Palatino Linotype" w:cs="Palatino Linotype"/>
          <w:i/>
          <w:iCs/>
        </w:rPr>
        <w:t xml:space="preserve">, III y IV, </w:t>
      </w:r>
      <w:r>
        <w:rPr>
          <w:rFonts w:ascii="Palatino Linotype" w:eastAsia="Palatino Linotype" w:hAnsi="Palatino Linotype" w:cs="Palatino Linotype"/>
          <w:b/>
          <w:bCs/>
          <w:i/>
          <w:iCs/>
          <w:u w:val="single"/>
        </w:rPr>
        <w:t>durante el último año y un año después de que se extinga la relación laboral</w:t>
      </w:r>
      <w:r>
        <w:rPr>
          <w:rFonts w:ascii="Palatino Linotype" w:eastAsia="Palatino Linotype" w:hAnsi="Palatino Linotype" w:cs="Palatino Linotype"/>
          <w:i/>
          <w:iCs/>
        </w:rPr>
        <w:t>; y los mencionados en la fracción V, conforme lo señalen las Leyes que los rijan.</w:t>
      </w:r>
    </w:p>
    <w:p w:rsidR="005B5F75" w:rsidRDefault="00AC33D9">
      <w:pPr>
        <w:spacing w:before="120" w:after="120"/>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 xml:space="preserve">Atento a lo transcrito, es que resulta dable señalar que la nómina es el listado de los trabajadores de una institución para realizar los pagos periódicos de los </w:t>
      </w:r>
      <w:r>
        <w:rPr>
          <w:rFonts w:ascii="Palatino Linotype" w:eastAsia="Palatino Linotype" w:hAnsi="Palatino Linotype" w:cs="Palatino Linotype"/>
          <w:color w:val="000000"/>
        </w:rPr>
        <w:t>trabajadores</w:t>
      </w:r>
      <w:r>
        <w:rPr>
          <w:rFonts w:ascii="Palatino Linotype" w:eastAsia="Palatino Linotype" w:hAnsi="Palatino Linotype" w:cs="Palatino Linotype"/>
        </w:rPr>
        <w:t>, que deberá incluir las percepciones brutas, deducciones y el neto a recibir.</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De igual forma, la Constitución Política del Estado Libre y Soberano de México </w:t>
      </w:r>
      <w:r>
        <w:rPr>
          <w:rFonts w:ascii="Palatino Linotype" w:eastAsia="Palatino Linotype" w:hAnsi="Palatino Linotype" w:cs="Palatino Linotype"/>
          <w:color w:val="000000"/>
        </w:rPr>
        <w:t>dispone</w:t>
      </w:r>
      <w:r>
        <w:rPr>
          <w:rFonts w:ascii="Palatino Linotype" w:eastAsia="Palatino Linotype" w:hAnsi="Palatino Linotype" w:cs="Palatino Linotype"/>
        </w:rPr>
        <w:t xml:space="preserve"> en lo relativo a las remuneraciones de los servidores públicos, lo </w:t>
      </w:r>
      <w:r>
        <w:rPr>
          <w:rFonts w:ascii="Palatino Linotype" w:eastAsia="Palatino Linotype" w:hAnsi="Palatino Linotype" w:cs="Palatino Linotype"/>
          <w:color w:val="000000"/>
        </w:rPr>
        <w:t>siguiente</w:t>
      </w:r>
      <w:r>
        <w:rPr>
          <w:rFonts w:ascii="Palatino Linotype" w:eastAsia="Palatino Linotype" w:hAnsi="Palatino Linotype" w:cs="Palatino Linotype"/>
        </w:rPr>
        <w:t>:</w:t>
      </w:r>
    </w:p>
    <w:p w:rsidR="005B5F75" w:rsidRDefault="00AC33D9">
      <w:pPr>
        <w:spacing w:before="120" w:after="12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147.- </w:t>
      </w:r>
      <w:r>
        <w:rPr>
          <w:rFonts w:ascii="Palatino Linotype" w:eastAsia="Palatino Linotype" w:hAnsi="Palatino Linotype" w:cs="Palatino Linotype"/>
          <w:i/>
          <w:iCs/>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municipales </w:t>
      </w:r>
      <w:r>
        <w:rPr>
          <w:rFonts w:ascii="Palatino Linotype" w:eastAsia="Palatino Linotype" w:hAnsi="Palatino Linotype" w:cs="Palatino Linotype"/>
          <w:b/>
          <w:bCs/>
          <w:i/>
          <w:iCs/>
        </w:rPr>
        <w:t>recibirán una retribución adecuada e irrenunciable por el desempeño de su empleo, cargo o comisión, que será determinada en el presupuesto de egresos que corresponda.”</w:t>
      </w:r>
    </w:p>
    <w:p w:rsidR="005B5F75" w:rsidRDefault="005B5F75">
      <w:pPr>
        <w:spacing w:before="120" w:after="120"/>
        <w:ind w:left="1134" w:right="-787"/>
        <w:jc w:val="both"/>
        <w:rPr>
          <w:rFonts w:ascii="Palatino Linotype" w:eastAsia="Palatino Linotype" w:hAnsi="Palatino Linotype" w:cs="Palatino Linotype"/>
          <w:b/>
          <w:bCs/>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color w:val="000000"/>
        </w:rPr>
        <w:t>En</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este</w:t>
      </w:r>
      <w:r>
        <w:rPr>
          <w:rFonts w:ascii="Palatino Linotype" w:eastAsia="Palatino Linotype" w:hAnsi="Palatino Linotype" w:cs="Palatino Linotype"/>
        </w:rPr>
        <w:t xml:space="preserve"> contexto, el Código Financiero del Estado de México y Municipios, establece que todos los servidores públicos tienen derecho a recibir una remuneración irrenunciable por el desempeño de su empleo, cargo o comisión, el cual será en función a las responsabilidades asumidas, esto es así, según lo previsto por el artículo 3 fracción XXXII, que es del tenor literal siguiente:</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xml:space="preserve"> Para efectos de este Código, Ley de Ingresos del Estado y del Presupuesto de Egresos se entenderá por:</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XXXII. Remuneración: </w:t>
      </w:r>
      <w:r>
        <w:rPr>
          <w:rFonts w:ascii="Palatino Linotype" w:eastAsia="Palatino Linotype" w:hAnsi="Palatino Linotype" w:cs="Palatino Linotype"/>
          <w:i/>
          <w:iCs/>
        </w:rPr>
        <w:t>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rsidR="005B5F75" w:rsidRDefault="005B5F75">
      <w:pPr>
        <w:spacing w:before="120" w:after="120"/>
        <w:ind w:left="709"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 xml:space="preserve">Al respecto, la Ley de Transparencia y Acceso a la Información Pública del Estado </w:t>
      </w: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México</w:t>
      </w:r>
      <w:r>
        <w:rPr>
          <w:rFonts w:ascii="Palatino Linotype" w:eastAsia="Palatino Linotype" w:hAnsi="Palatino Linotype" w:cs="Palatino Linotype"/>
        </w:rPr>
        <w:t xml:space="preserve"> y Municipios, dispone en su penúltimo párrafo del artículo 23, que los Sujetos Obligados deberán hacer pública toda aquella información relativa a los montos y personas a las que entreguen recursos, atento a ello es que surge la obligación de generar la información relacionada con las gratificaciones solicitadas.</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tratándose de servidores públicos de los Municipios la Ley del Trabajo de los Servidores Públicos del Estado y Municipios, en su artículo 220-K fracciones II y IV y último párrafo, establecen lo siguiente:</w:t>
      </w:r>
    </w:p>
    <w:p w:rsidR="005B5F75" w:rsidRDefault="00AC33D9">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220 K.-</w:t>
      </w:r>
      <w:r>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w:t>
      </w:r>
    </w:p>
    <w:p w:rsidR="005B5F75" w:rsidRDefault="00AC33D9">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B5F75" w:rsidRDefault="00AC33D9">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Recibos o las constancias de depósito o del medio de información magnética o electrónica que sean utilizadas para el pago de</w:t>
      </w:r>
      <w:r>
        <w:rPr>
          <w:rFonts w:ascii="Palatino Linotype" w:eastAsia="Palatino Linotype" w:hAnsi="Palatino Linotype" w:cs="Palatino Linotype"/>
          <w:i/>
          <w:iCs/>
        </w:rPr>
        <w:t xml:space="preserve"> salarios, prima vacacional,</w:t>
      </w:r>
      <w:r>
        <w:rPr>
          <w:rFonts w:ascii="Palatino Linotype" w:eastAsia="Palatino Linotype" w:hAnsi="Palatino Linotype" w:cs="Palatino Linotype"/>
          <w:b/>
          <w:bCs/>
          <w:i/>
          <w:iCs/>
          <w:u w:val="single"/>
        </w:rPr>
        <w:t xml:space="preserve"> aguinaldo y demás prestaciones</w:t>
      </w:r>
      <w:r>
        <w:rPr>
          <w:rFonts w:ascii="Palatino Linotype" w:eastAsia="Palatino Linotype" w:hAnsi="Palatino Linotype" w:cs="Palatino Linotype"/>
          <w:i/>
          <w:iCs/>
        </w:rPr>
        <w:t xml:space="preserve"> establecidas en la presente ley; y</w:t>
      </w:r>
    </w:p>
    <w:p w:rsidR="005B5F75" w:rsidRDefault="00AC33D9">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documentos señalados en la fracción I de este artículo, deberán conservarse mientras dure la relación laboral y hasta un año después; los señalados por las fracciones </w:t>
      </w:r>
      <w:r>
        <w:rPr>
          <w:rFonts w:ascii="Palatino Linotype" w:eastAsia="Palatino Linotype" w:hAnsi="Palatino Linotype" w:cs="Palatino Linotype"/>
          <w:b/>
          <w:bCs/>
          <w:i/>
          <w:iCs/>
          <w:u w:val="single"/>
        </w:rPr>
        <w:t>II, III, IV durante el último año y un año después de que se extinga la relación laboral</w:t>
      </w:r>
      <w:r>
        <w:rPr>
          <w:rFonts w:ascii="Palatino Linotype" w:eastAsia="Palatino Linotype" w:hAnsi="Palatino Linotype" w:cs="Palatino Linotype"/>
          <w:b/>
          <w:bCs/>
          <w:i/>
          <w:iCs/>
        </w:rPr>
        <w:t>,</w:t>
      </w:r>
      <w:r>
        <w:rPr>
          <w:rFonts w:ascii="Palatino Linotype" w:eastAsia="Palatino Linotype" w:hAnsi="Palatino Linotype" w:cs="Palatino Linotype"/>
          <w:i/>
          <w:iCs/>
        </w:rPr>
        <w:t xml:space="preserve"> y los mencionados en la fracción V, conforme lo señalen las leyes que los rijan.</w:t>
      </w:r>
    </w:p>
    <w:p w:rsidR="005B5F75" w:rsidRDefault="00AC33D9">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5B5F75" w:rsidRDefault="00AC33D9">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El incumplimiento por lo dispuesto por este artículo, establecerá la presunción de ser ciertos los hechos que el actor exprese en su demanda, en relación con tales documentos, salvo prueba en contrario.”</w:t>
      </w:r>
    </w:p>
    <w:p w:rsidR="005B5F75" w:rsidRDefault="00AC33D9">
      <w:pPr>
        <w:spacing w:before="160" w:after="160"/>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B5F75" w:rsidRDefault="005B5F75">
      <w:pPr>
        <w:spacing w:before="160" w:after="160"/>
        <w:ind w:left="1134"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 xml:space="preserve">De lo anterior, se advierte que toda institución pública o dependencia pública del Estado de México debe conservar los recibos o constancias de pago de salarios, prima vacacional, aguinaldo y demás prestaciones legales de acuerdo con la forma en que se haya realizado el pago, es decir, en efectivo, cheque, depósito, transferencia u otra, </w:t>
      </w:r>
      <w:r>
        <w:rPr>
          <w:rFonts w:ascii="Palatino Linotype" w:eastAsia="Palatino Linotype" w:hAnsi="Palatino Linotype" w:cs="Palatino Linotype"/>
          <w:color w:val="000000"/>
        </w:rPr>
        <w:t>debiendo</w:t>
      </w:r>
      <w:r>
        <w:rPr>
          <w:rFonts w:ascii="Palatino Linotype" w:eastAsia="Palatino Linotype" w:hAnsi="Palatino Linotype" w:cs="Palatino Linotype"/>
        </w:rPr>
        <w:t xml:space="preserve"> conservar dicha documentación durante el último año y un año después de que se extingue la relación laboral a través de los sistemas de digitalización o de información magnética o electrónica.</w:t>
      </w:r>
    </w:p>
    <w:p w:rsidR="005B5F75" w:rsidRDefault="005B5F75">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Seguidamente el Manual General de Organización del Ayuntamiento de Villa del Carbón faculta a la Dirección General de Administración para validar la elaboración y distribución de la nómina del personal que labora en la administración pública municipal con la finalidad de que devenguen el sueldo correspondiente, lo anterior conforme a la normatividad aplicable y el presupuesto autorizado.</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el artículo 350 del Código Financiero del Estado de México dispone lo que se transcribe a continuación:</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350.-</w:t>
      </w:r>
      <w:r>
        <w:rPr>
          <w:rFonts w:ascii="Palatino Linotype" w:eastAsia="Palatino Linotype" w:hAnsi="Palatino Linotype" w:cs="Palatino Linotype"/>
          <w:i/>
          <w:iCs/>
        </w:rPr>
        <w:t xml:space="preserve"> Mensualmente </w:t>
      </w:r>
      <w:r>
        <w:rPr>
          <w:rFonts w:ascii="Palatino Linotype" w:eastAsia="Palatino Linotype" w:hAnsi="Palatino Linotype" w:cs="Palatino Linotype"/>
          <w:b/>
          <w:bCs/>
          <w:i/>
          <w:iCs/>
          <w:u w:val="single"/>
        </w:rPr>
        <w:t>dentro de los primeros veinte días hábiles</w:t>
      </w:r>
      <w:r>
        <w:rPr>
          <w:rFonts w:ascii="Palatino Linotype" w:eastAsia="Palatino Linotype" w:hAnsi="Palatino Linotype" w:cs="Palatino Linotype"/>
          <w:i/>
          <w:iCs/>
        </w:rPr>
        <w:t xml:space="preserve">, la Secretaría y </w:t>
      </w:r>
      <w:r>
        <w:rPr>
          <w:rFonts w:ascii="Palatino Linotype" w:eastAsia="Palatino Linotype" w:hAnsi="Palatino Linotype" w:cs="Palatino Linotype"/>
          <w:b/>
          <w:bCs/>
          <w:i/>
          <w:iCs/>
          <w:u w:val="single"/>
        </w:rPr>
        <w:t>las Tesorerías, enviarán para su análisis y evaluación al Órgano Superior de Fiscalización del Estado de México, la siguiente información</w:t>
      </w:r>
      <w:r>
        <w:rPr>
          <w:rFonts w:ascii="Palatino Linotype" w:eastAsia="Palatino Linotype" w:hAnsi="Palatino Linotype" w:cs="Palatino Linotype"/>
          <w:i/>
          <w:iCs/>
        </w:rPr>
        <w:t xml:space="preserve">: </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B5F75" w:rsidRDefault="00AC33D9">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IV. </w:t>
      </w:r>
      <w:r>
        <w:rPr>
          <w:rFonts w:ascii="Palatino Linotype" w:eastAsia="Palatino Linotype" w:hAnsi="Palatino Linotype" w:cs="Palatino Linotype"/>
          <w:b/>
          <w:bCs/>
          <w:i/>
          <w:iCs/>
          <w:u w:val="single"/>
        </w:rPr>
        <w:t>Información de nómina</w:t>
      </w:r>
      <w:r>
        <w:rPr>
          <w:rFonts w:ascii="Palatino Linotype" w:eastAsia="Palatino Linotype" w:hAnsi="Palatino Linotype" w:cs="Palatino Linotype"/>
          <w:i/>
          <w:iCs/>
        </w:rPr>
        <w:t>.”</w:t>
      </w:r>
    </w:p>
    <w:p w:rsidR="005B5F75" w:rsidRDefault="00AC33D9">
      <w:pPr>
        <w:spacing w:before="120" w:after="120"/>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B5F75" w:rsidRDefault="005B5F75">
      <w:pPr>
        <w:spacing w:before="120" w:after="120"/>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De igual forma, las disposiciones administrativas que rigen a las Entidades </w:t>
      </w:r>
      <w:r>
        <w:rPr>
          <w:rFonts w:ascii="Palatino Linotype" w:eastAsia="Palatino Linotype" w:hAnsi="Palatino Linotype" w:cs="Palatino Linotype"/>
          <w:color w:val="000000"/>
        </w:rPr>
        <w:t>Fiscalizables</w:t>
      </w:r>
      <w:r>
        <w:rPr>
          <w:rFonts w:ascii="Palatino Linotype" w:eastAsia="Palatino Linotype" w:hAnsi="Palatino Linotype" w:cs="Palatino Linotype"/>
        </w:rPr>
        <w:t xml:space="preserve"> en el Estado de México, se encuentran los Lineamientos para la integración del </w:t>
      </w:r>
      <w:r>
        <w:rPr>
          <w:rFonts w:ascii="Palatino Linotype" w:eastAsia="Palatino Linotype" w:hAnsi="Palatino Linotype" w:cs="Palatino Linotype"/>
        </w:rPr>
        <w:lastRenderedPageBreak/>
        <w:t>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rsidR="005B5F75" w:rsidRDefault="005B5F75">
      <w:pPr>
        <w:pBdr>
          <w:top w:val="nil"/>
          <w:left w:val="nil"/>
          <w:bottom w:val="nil"/>
          <w:right w:val="nil"/>
          <w:between w:val="nil"/>
        </w:pBdr>
        <w:ind w:left="720" w:right="-787"/>
        <w:rPr>
          <w:rFonts w:ascii="Palatino Linotype" w:eastAsia="Palatino Linotype" w:hAnsi="Palatino Linotype" w:cs="Palatino Linotype"/>
          <w:color w:val="000000"/>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Así, </w:t>
      </w:r>
      <w:r>
        <w:rPr>
          <w:rFonts w:ascii="Palatino Linotype" w:eastAsia="Palatino Linotype" w:hAnsi="Palatino Linotype" w:cs="Palatino Linotype"/>
          <w:color w:val="000000"/>
        </w:rPr>
        <w:t>los</w:t>
      </w:r>
      <w:r>
        <w:rPr>
          <w:rFonts w:ascii="Palatino Linotype" w:eastAsia="Palatino Linotype" w:hAnsi="Palatino Linotype" w:cs="Palatino Linotype"/>
        </w:rPr>
        <w:t xml:space="preserve"> Lineamientos en comento sirven para definir los criterios, formatos y documentación necesaria para presentar los informes mensuales. Entre los criterios que se manejan en tales Lineamientos está aquel que se refiere a la integración de información de nómina, tal y como se muestra en la siguiente captura: </w:t>
      </w:r>
    </w:p>
    <w:p w:rsidR="005B5F75" w:rsidRDefault="00AC33D9">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4305316" cy="270577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305316" cy="2705771"/>
                    </a:xfrm>
                    <a:prstGeom prst="rect">
                      <a:avLst/>
                    </a:prstGeom>
                    <a:ln/>
                  </pic:spPr>
                </pic:pic>
              </a:graphicData>
            </a:graphic>
          </wp:inline>
        </w:drawing>
      </w:r>
    </w:p>
    <w:p w:rsidR="006E3FD0" w:rsidRDefault="006E3FD0">
      <w:pPr>
        <w:spacing w:line="360" w:lineRule="auto"/>
        <w:ind w:right="-787"/>
        <w:jc w:val="center"/>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 xml:space="preserve">De la imagen insertada, se desprende que, se puede obtener la información requerida por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puesto que resulta claro que existe la obligación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realizar los informes para que remita los reportes mensuales al Órgano Superior de Fiscalización del Estado de México de conformidad con el artículo 32 de la Ley de Fiscalización Superior del Estado de México, en los cuales se incluyen los </w:t>
      </w:r>
      <w:r>
        <w:rPr>
          <w:rFonts w:ascii="Palatino Linotype" w:eastAsia="Palatino Linotype" w:hAnsi="Palatino Linotype" w:cs="Palatino Linotype"/>
          <w:b/>
          <w:bCs/>
        </w:rPr>
        <w:t>Comprobantes Fiscales Digitales por Internet por concepto de nómina</w:t>
      </w:r>
      <w:r>
        <w:rPr>
          <w:rFonts w:ascii="Palatino Linotype" w:eastAsia="Palatino Linotype" w:hAnsi="Palatino Linotype" w:cs="Palatino Linotype"/>
        </w:rPr>
        <w:t xml:space="preserve">, que comprende la información relativa </w:t>
      </w:r>
      <w:r>
        <w:rPr>
          <w:rFonts w:ascii="Palatino Linotype" w:eastAsia="Palatino Linotype" w:hAnsi="Palatino Linotype" w:cs="Palatino Linotype"/>
          <w:b/>
          <w:bCs/>
        </w:rPr>
        <w:t>al pago de las remuneraciones de cada uno de los servidores públicos correspondiente a un periodo determinado, incluyendo el aguinaldo y las gratificaciones;</w:t>
      </w:r>
      <w:r>
        <w:rPr>
          <w:rFonts w:ascii="Palatino Linotype" w:eastAsia="Palatino Linotype" w:hAnsi="Palatino Linotype" w:cs="Palatino Linotype"/>
        </w:rPr>
        <w:t xml:space="preserve"> en consecuencia, la información solicitada puede ser colmada por el </w:t>
      </w:r>
      <w:r>
        <w:rPr>
          <w:rFonts w:ascii="Palatino Linotype" w:eastAsia="Palatino Linotype" w:hAnsi="Palatino Linotype" w:cs="Palatino Linotype"/>
          <w:b/>
          <w:bCs/>
        </w:rPr>
        <w:t xml:space="preserve">SUJETO OBLIGADO, toda vez que  los Comprobantes Fiscales Digitales por Internet se emite quincenalmente. </w:t>
      </w:r>
    </w:p>
    <w:p w:rsidR="005B5F75" w:rsidRDefault="005B5F75">
      <w:pPr>
        <w:spacing w:before="120" w:after="120"/>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Sirve </w:t>
      </w: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sustento por analogía, para justificar la publicidad sobre los datos </w:t>
      </w:r>
      <w:r>
        <w:rPr>
          <w:rFonts w:ascii="Palatino Linotype" w:eastAsia="Palatino Linotype" w:hAnsi="Palatino Linotype" w:cs="Palatino Linotype"/>
          <w:color w:val="000000"/>
        </w:rPr>
        <w:t>relativos</w:t>
      </w:r>
      <w:r>
        <w:rPr>
          <w:rFonts w:ascii="Palatino Linotype" w:eastAsia="Palatino Linotype" w:hAnsi="Palatino Linotype" w:cs="Palatino Linotype"/>
        </w:rPr>
        <w:t xml:space="preserve"> a los montos por concepto de pago de las remuneraciones, los criterios 01/2003 y 02/2003 emitidos por el Comité de Acceso a la Información Pública y Protección de Datos Personales de la Suprema Corte de Justicia de la Nación que a continuación se citan: </w:t>
      </w:r>
    </w:p>
    <w:p w:rsidR="005B5F75" w:rsidRDefault="00AC33D9">
      <w:pPr>
        <w:spacing w:before="160" w:after="20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Criterio 01/2003.</w:t>
      </w:r>
    </w:p>
    <w:p w:rsidR="005B5F75" w:rsidRDefault="00AC33D9">
      <w:pPr>
        <w:spacing w:before="160" w:after="20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Pr>
          <w:rFonts w:ascii="Palatino Linotype" w:eastAsia="Palatino Linotype" w:hAnsi="Palatino Linotype" w:cs="Palatino Linotype"/>
          <w:i/>
          <w:iC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Pr>
          <w:rFonts w:ascii="Palatino Linotype" w:eastAsia="Palatino Linotype" w:hAnsi="Palatino Linotype" w:cs="Palatino Linotype"/>
          <w:b/>
          <w:bCs/>
          <w:i/>
          <w:iCs/>
        </w:rPr>
        <w:t xml:space="preserve">deben publicarse en medios remotos o locales de comunicación </w:t>
      </w:r>
      <w:r>
        <w:rPr>
          <w:rFonts w:ascii="Palatino Linotype" w:eastAsia="Palatino Linotype" w:hAnsi="Palatino Linotype" w:cs="Palatino Linotype"/>
          <w:b/>
          <w:bCs/>
          <w:i/>
          <w:iCs/>
        </w:rPr>
        <w:lastRenderedPageBreak/>
        <w:t xml:space="preserve">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Pr>
          <w:rFonts w:ascii="Palatino Linotype" w:eastAsia="Palatino Linotype" w:hAnsi="Palatino Linotype" w:cs="Palatino Linotype"/>
          <w:i/>
          <w:iCs/>
        </w:rPr>
        <w:t>…”</w:t>
      </w:r>
    </w:p>
    <w:p w:rsidR="005B5F75" w:rsidRDefault="00AC33D9">
      <w:pPr>
        <w:spacing w:before="360" w:after="20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Criterio 02/2003.</w:t>
      </w:r>
    </w:p>
    <w:p w:rsidR="005B5F75" w:rsidRDefault="00AC33D9">
      <w:pPr>
        <w:spacing w:before="160" w:after="20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Pr>
          <w:rFonts w:ascii="Palatino Linotype" w:eastAsia="Palatino Linotype" w:hAnsi="Palatino Linotype" w:cs="Palatino Linotype"/>
          <w:i/>
          <w:iC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Pr>
          <w:rFonts w:ascii="Palatino Linotype" w:eastAsia="Palatino Linotype" w:hAnsi="Palatino Linotype" w:cs="Palatino Linotype"/>
          <w:b/>
          <w:bCs/>
          <w:i/>
          <w:iC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Pr>
          <w:rFonts w:ascii="Palatino Linotype" w:eastAsia="Palatino Linotype" w:hAnsi="Palatino Linotype" w:cs="Palatino Linotype"/>
          <w:i/>
          <w:iCs/>
        </w:rPr>
        <w:t xml:space="preserve"> el sistema de compensación …”</w:t>
      </w:r>
    </w:p>
    <w:p w:rsidR="005B5F75" w:rsidRDefault="00AC33D9">
      <w:pPr>
        <w:spacing w:before="160" w:after="200"/>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Del análisis anterior, se refuerzan las razones del porque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 de contar con la información solicitada, misma que fue remitida en la etapa de manifestaciones, no debe perderse de vista que </w:t>
      </w:r>
      <w:r>
        <w:rPr>
          <w:rFonts w:ascii="Palatino Linotype" w:eastAsia="Palatino Linotype" w:hAnsi="Palatino Linotype" w:cs="Palatino Linotype"/>
          <w:b/>
          <w:bCs/>
          <w:u w:val="single"/>
        </w:rPr>
        <w:t xml:space="preserve">las remuneraciones forman parte de las obligaciones de transparencia común. </w:t>
      </w:r>
    </w:p>
    <w:p w:rsidR="005B5F75" w:rsidRDefault="005B5F75">
      <w:pPr>
        <w:ind w:left="708" w:right="-787"/>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En el caso específico, los recibos de nómina contienen los datos personales de los servidores, que de hacerse públicos afectarían su intimidad y vida privada; es por ello que es criterio reiterado en las resoluciones de este Pleno que además de los datos especificados </w:t>
      </w:r>
      <w:r>
        <w:rPr>
          <w:rFonts w:ascii="Palatino Linotype" w:eastAsia="Palatino Linotype" w:hAnsi="Palatino Linotype" w:cs="Palatino Linotype"/>
        </w:rPr>
        <w:lastRenderedPageBreak/>
        <w:t>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al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xml:space="preserve"> de las personas </w:t>
      </w:r>
      <w:r>
        <w:rPr>
          <w:rFonts w:ascii="Palatino Linotype" w:eastAsia="Palatino Linotype" w:hAnsi="Palatino Linotype" w:cs="Palatino Linotype"/>
          <w:color w:val="000000"/>
        </w:rPr>
        <w:t>físicas</w:t>
      </w:r>
      <w:r>
        <w:rPr>
          <w:rFonts w:ascii="Palatino Linotype" w:eastAsia="Palatino Linotype" w:hAnsi="Palatino Linotype" w:cs="Palatino Linotype"/>
        </w:rPr>
        <w:t>,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Ahora bien, las personas físicas tramitan su inscripción en el registro con el </w:t>
      </w:r>
      <w:r>
        <w:rPr>
          <w:rFonts w:ascii="Palatino Linotype" w:eastAsia="Palatino Linotype" w:hAnsi="Palatino Linotype" w:cs="Palatino Linotype"/>
          <w:color w:val="000000"/>
        </w:rPr>
        <w:t>propósito</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realizar —mediante esa clave de identificación— operaciones o actividades de naturaleza fiscal, la cual, les permite hacerse identificables respecto de una situación fiscal determinada.</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Lo </w:t>
      </w:r>
      <w:r>
        <w:rPr>
          <w:rFonts w:ascii="Palatino Linotype" w:eastAsia="Palatino Linotype" w:hAnsi="Palatino Linotype" w:cs="Palatino Linotype"/>
          <w:color w:val="000000"/>
        </w:rPr>
        <w:t>anterior</w:t>
      </w:r>
      <w:r>
        <w:rPr>
          <w:rFonts w:ascii="Palatino Linotype" w:eastAsia="Palatino Linotype" w:hAnsi="Palatino Linotype" w:cs="Palatino Linotype"/>
        </w:rPr>
        <w:t xml:space="preserve"> es compartido por el entonces Instituto Federal de Acceso a 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Pública y Protección de Datos Personales (IFAI) a través del Criterio 19/17, que utilizado de manera orientadora y que a la fecha de la solicitud se encontraba vigente, el cual refiere lo siguiente:</w:t>
      </w:r>
    </w:p>
    <w:p w:rsidR="005B5F75" w:rsidRDefault="00AC33D9">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“Registro Federal de Contribuyentes (RFC) de personas físicas</w:t>
      </w:r>
      <w:r>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rsidR="005B5F75" w:rsidRDefault="005B5F75">
      <w:pPr>
        <w:ind w:left="567" w:right="-787"/>
        <w:jc w:val="both"/>
        <w:rPr>
          <w:rFonts w:ascii="Palatino Linotype" w:eastAsia="Palatino Linotype" w:hAnsi="Palatino Linotype" w:cs="Palatino Linotype"/>
          <w:i/>
          <w:iCs/>
        </w:rPr>
      </w:pPr>
    </w:p>
    <w:p w:rsidR="006E3FD0" w:rsidRDefault="006E3FD0">
      <w:pPr>
        <w:ind w:left="567"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Así, </w:t>
      </w:r>
      <w:r>
        <w:rPr>
          <w:rFonts w:ascii="Palatino Linotype" w:eastAsia="Palatino Linotype" w:hAnsi="Palatino Linotype" w:cs="Palatino Linotype"/>
          <w:color w:val="000000"/>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igual manera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color w:val="000000"/>
        </w:rPr>
        <w:t>Argumento</w:t>
      </w:r>
      <w:r>
        <w:rPr>
          <w:rFonts w:ascii="Palatino Linotype" w:eastAsia="Palatino Linotype" w:hAnsi="Palatino Linotype" w:cs="Palatino Linotype"/>
        </w:rPr>
        <w:t xml:space="preserve"> que es compartido por el Instituto Nacional de Transparencia, Acceso a la Información y Protección de Datos Personales, INAI, conforme al criterio 18/17, que utilizado de manera orientadora, </w:t>
      </w:r>
      <w:r>
        <w:rPr>
          <w:rFonts w:ascii="Palatino Linotype" w:eastAsia="Palatino Linotype" w:hAnsi="Palatino Linotype" w:cs="Palatino Linotype"/>
          <w:b/>
          <w:bCs/>
        </w:rPr>
        <w:t>toda vez que a la fecha de la solicitud de encontraba vigente, mismo que refiere</w:t>
      </w:r>
      <w:r>
        <w:rPr>
          <w:rFonts w:ascii="Palatino Linotype" w:eastAsia="Palatino Linotype" w:hAnsi="Palatino Linotype" w:cs="Palatino Linotype"/>
        </w:rPr>
        <w:t xml:space="preserve">: </w:t>
      </w:r>
    </w:p>
    <w:p w:rsidR="005B5F75" w:rsidRDefault="00AC33D9">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“Clave Única de Registro de Población (CURP). </w:t>
      </w:r>
      <w:r>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5B5F75" w:rsidRDefault="005B5F75">
      <w:pPr>
        <w:ind w:left="851" w:right="-787"/>
        <w:jc w:val="both"/>
        <w:rPr>
          <w:rFonts w:ascii="Palatino Linotype" w:eastAsia="Palatino Linotype" w:hAnsi="Palatino Linotype" w:cs="Palatino Linotype"/>
          <w:i/>
          <w:iCs/>
        </w:rPr>
      </w:pPr>
    </w:p>
    <w:p w:rsidR="005B5F75" w:rsidRDefault="005B5F75">
      <w:pPr>
        <w:ind w:left="851"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a la </w:t>
      </w:r>
      <w:r>
        <w:rPr>
          <w:rFonts w:ascii="Palatino Linotype" w:eastAsia="Palatino Linotype" w:hAnsi="Palatino Linotype" w:cs="Palatino Linotype"/>
          <w:b/>
          <w:bCs/>
        </w:rPr>
        <w:t>Clave de cualquier tipo de seguridad social (ISSEMyM, u otros</w:t>
      </w:r>
      <w:r>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El artículo 9° del mismo ordenamiento, dispone que el ISSEMYM expedirá documentos de identificación para facilitar el acceso a las prestaciones a que tengan derecho. En </w:t>
      </w:r>
      <w:r>
        <w:rPr>
          <w:rFonts w:ascii="Palatino Linotype" w:eastAsia="Palatino Linotype" w:hAnsi="Palatino Linotype" w:cs="Palatino Linotype"/>
          <w:color w:val="000000"/>
        </w:rPr>
        <w:t>este</w:t>
      </w:r>
      <w:r>
        <w:rPr>
          <w:rFonts w:ascii="Palatino Linotype" w:eastAsia="Palatino Linotype" w:hAnsi="Palatino Linotype" w:cs="Palatino Linotype"/>
        </w:rPr>
        <w:t xml:space="preserv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 xml:space="preserve">Como se advierte, la clave ISSEMYM es un dato personal que permite </w:t>
      </w:r>
      <w:r>
        <w:rPr>
          <w:rFonts w:ascii="Palatino Linotype" w:eastAsia="Palatino Linotype" w:hAnsi="Palatino Linotype" w:cs="Palatino Linotype"/>
          <w:color w:val="000000"/>
        </w:rPr>
        <w:t>identificar</w:t>
      </w:r>
      <w:r>
        <w:rPr>
          <w:rFonts w:ascii="Palatino Linotype" w:eastAsia="Palatino Linotype" w:hAnsi="Palatino Linotype" w:cs="Palatino Linotype"/>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Contar con la prestación de seguridad social que brinda el ISSEMYM no es una </w:t>
      </w:r>
      <w:r>
        <w:rPr>
          <w:rFonts w:ascii="Palatino Linotype" w:eastAsia="Palatino Linotype" w:hAnsi="Palatino Linotype" w:cs="Palatino Linotype"/>
          <w:color w:val="000000"/>
        </w:rPr>
        <w:t>obligación</w:t>
      </w:r>
      <w:r>
        <w:rPr>
          <w:rFonts w:ascii="Palatino Linotype" w:eastAsia="Palatino Linotype" w:hAnsi="Palatino Linotype" w:cs="Palatino Linotype"/>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w:t>
      </w:r>
      <w:r>
        <w:rPr>
          <w:rFonts w:ascii="Palatino Linotype" w:eastAsia="Palatino Linotype" w:hAnsi="Palatino Linotype" w:cs="Palatino Linotype"/>
          <w:color w:val="000000"/>
        </w:rPr>
        <w:t>se</w:t>
      </w:r>
      <w:r>
        <w:rPr>
          <w:rFonts w:ascii="Palatino Linotype" w:eastAsia="Palatino Linotype" w:hAnsi="Palatino Linotype" w:cs="Palatino Linotype"/>
        </w:rPr>
        <w:t xml:space="preserve"> elaboren, toda vez que actualiza el supuesto de confidencialidad del artículo 143, fracción I de la Ley de Transparencia y Acceso a la Información Pública del Estado de México y Municipios.</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Respecto de los préstamos o descuentos de carácter personal, estos no deben tener relación con la prestación del servicio; es decir, son confidenciales los </w:t>
      </w:r>
      <w:r>
        <w:rPr>
          <w:rFonts w:ascii="Palatino Linotype" w:eastAsia="Palatino Linotype" w:hAnsi="Palatino Linotype" w:cs="Palatino Linotype"/>
          <w:color w:val="000000"/>
        </w:rPr>
        <w:t>préstamos</w:t>
      </w:r>
      <w:r>
        <w:rPr>
          <w:rFonts w:ascii="Palatino Linotype" w:eastAsia="Palatino Linotype" w:hAnsi="Palatino Linotype" w:cs="Palatino Linotype"/>
        </w:rPr>
        <w:t xml:space="preserve"> o descuentos que se le hagan a la persona en los que no se involucren instituciones públicas, en </w:t>
      </w:r>
      <w:r>
        <w:rPr>
          <w:rFonts w:ascii="Palatino Linotype" w:eastAsia="Palatino Linotype" w:hAnsi="Palatino Linotype" w:cs="Palatino Linotype"/>
          <w:color w:val="000000"/>
        </w:rPr>
        <w:t>virtud</w:t>
      </w:r>
      <w:r>
        <w:rPr>
          <w:rFonts w:ascii="Palatino Linotype" w:eastAsia="Palatino Linotype" w:hAnsi="Palatino Linotype" w:cs="Palatino Linotype"/>
        </w:rPr>
        <w:t xml:space="preserve"> de no favorecer en la transparencia y rendición de cuentas, sino, por el contrario, con ello se violentaba la protección de información confidencial, porque incide en la intimidad de un individuo identificado.</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su</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parte</w:t>
      </w:r>
      <w:r>
        <w:rPr>
          <w:rFonts w:ascii="Palatino Linotype" w:eastAsia="Palatino Linotype" w:hAnsi="Palatino Linotype" w:cs="Palatino Linotype"/>
        </w:rPr>
        <w:t>, el artículo 84 de la Ley del Trabajo de los Servidores Públicos del Estado y Municipios, señala:</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ARTICULO 84. Sólo podrán hacerse retenciones, descuentos o deducciones al sueldo de los servidores públicos por concepto de:</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I. Gravámenes fiscales relacionados con el sueldo;</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II. Deudas contraídas con las instituciones públicas o dependencias</w:t>
      </w:r>
      <w:r>
        <w:rPr>
          <w:rFonts w:ascii="Palatino Linotype" w:eastAsia="Palatino Linotype" w:hAnsi="Palatino Linotype" w:cs="Palatino Linotype"/>
          <w:i/>
          <w:iCs/>
        </w:rPr>
        <w:t xml:space="preserve"> por concepto de anticipos de sueldo, pagos hechos con exceso, errores o pérdidas debidamente comprobados;</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III. Cuotas sindicales</w:t>
      </w:r>
      <w:r>
        <w:rPr>
          <w:rFonts w:ascii="Palatino Linotype" w:eastAsia="Palatino Linotype" w:hAnsi="Palatino Linotype" w:cs="Palatino Linotype"/>
          <w:i/>
          <w:iCs/>
        </w:rPr>
        <w:t>;</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IV. Cuotas de aportación a fondos para la constitución de cooperativas y de cajas de ahorro, siempre que el servidor público hubiese manifestado previamente, de manera expresa, su conformidad;</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V. Descuentos ordenados por el Instituto de Seguridad Social del Estado de México y Municipios, con motivo de cuotas y obligaciones contraídas con éste por los servidores públicos;</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VI. Obligaciones a cargo del servidor público con las que haya consentido</w:t>
      </w:r>
      <w:r>
        <w:rPr>
          <w:rFonts w:ascii="Palatino Linotype" w:eastAsia="Palatino Linotype" w:hAnsi="Palatino Linotype" w:cs="Palatino Linotype"/>
          <w:i/>
          <w:iCs/>
        </w:rPr>
        <w:t>, derivadas de la adquisición o del uso de habitaciones consideradas como de interés social;</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VII. Faltas de puntualidad o de asistencia injustificadas;</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VIII. Pensiones alimenticias ordenadas por la autoridad judicial;</w:t>
      </w:r>
      <w:r>
        <w:rPr>
          <w:rFonts w:ascii="Palatino Linotype" w:eastAsia="Palatino Linotype" w:hAnsi="Palatino Linotype" w:cs="Palatino Linotype"/>
          <w:i/>
          <w:iCs/>
        </w:rPr>
        <w:t xml:space="preserve"> o</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IX. Cualquier otro convenido con instituciones de servicios y aceptado por el servidor público.</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5B5F75" w:rsidRDefault="00AC33D9">
      <w:pPr>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B5F75" w:rsidRDefault="005B5F75">
      <w:pPr>
        <w:spacing w:line="360" w:lineRule="auto"/>
        <w:ind w:left="851"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color w:val="000000"/>
        </w:rPr>
        <w:t>Derivado</w:t>
      </w:r>
      <w:r>
        <w:rPr>
          <w:rFonts w:ascii="Palatino Linotype" w:eastAsia="Palatino Linotype" w:hAnsi="Palatino Linotype" w:cs="Palatino Linotype"/>
        </w:rPr>
        <w:t xml:space="preserve"> de lo anterior, la ley establece claramente cuáles son esos descuentos o gravámenes que directamente se relacionan con las obligaciones adquiridas como servidores públicos y aquéllos que </w:t>
      </w:r>
      <w:r>
        <w:rPr>
          <w:rFonts w:ascii="Palatino Linotype" w:eastAsia="Palatino Linotype" w:hAnsi="Palatino Linotype" w:cs="Palatino Linotype"/>
          <w:b/>
          <w:bCs/>
          <w:u w:val="single"/>
        </w:rPr>
        <w:t>únicamente inciden en su vida privada</w:t>
      </w:r>
      <w:r>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 xml:space="preserve"> Con base en lo expuesto, se insiste que los datos mencionados, que como se ha dicho, </w:t>
      </w:r>
      <w:r>
        <w:rPr>
          <w:rFonts w:ascii="Palatino Linotype" w:eastAsia="Palatino Linotype" w:hAnsi="Palatino Linotype" w:cs="Palatino Linotype"/>
          <w:color w:val="000000"/>
        </w:rPr>
        <w:t>deben</w:t>
      </w:r>
      <w:r>
        <w:rPr>
          <w:rFonts w:ascii="Palatino Linotype" w:eastAsia="Palatino Linotype" w:hAnsi="Palatino Linotype" w:cs="Palatino Linotype"/>
        </w:rPr>
        <w:t xml:space="preserve">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Sirven de sustento a lo anterior, las tesis jurisprudenciales P. LX/2000 y 2a. XLIII/2008 </w:t>
      </w:r>
      <w:r>
        <w:rPr>
          <w:rFonts w:ascii="Palatino Linotype" w:eastAsia="Palatino Linotype" w:hAnsi="Palatino Linotype" w:cs="Palatino Linotype"/>
          <w:color w:val="000000"/>
        </w:rPr>
        <w:t>emitidas</w:t>
      </w:r>
      <w:r>
        <w:rPr>
          <w:rFonts w:ascii="Palatino Linotype" w:eastAsia="Palatino Linotype" w:hAnsi="Palatino Linotype" w:cs="Palatino Linotype"/>
        </w:rPr>
        <w:t xml:space="preserve"> por el Peno y la Segunda Sala de la Suprema Corte de Justicia de la Nación, respectivamente, que son del tenor literal siguiente:</w:t>
      </w:r>
    </w:p>
    <w:p w:rsidR="005B5F75" w:rsidRDefault="00AC33D9">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Pr>
          <w:rFonts w:ascii="Palatino Linotype" w:eastAsia="Palatino Linotype" w:hAnsi="Palatino Linotype" w:cs="Palatino Linotype"/>
          <w:i/>
          <w:iCs/>
        </w:rPr>
        <w:t>.”</w:t>
      </w:r>
    </w:p>
    <w:p w:rsidR="005B5F75" w:rsidRDefault="005B5F75">
      <w:pPr>
        <w:ind w:left="1134" w:right="-787"/>
        <w:jc w:val="both"/>
        <w:rPr>
          <w:rFonts w:ascii="Palatino Linotype" w:eastAsia="Palatino Linotype" w:hAnsi="Palatino Linotype" w:cs="Palatino Linotype"/>
          <w:i/>
          <w:iCs/>
        </w:rPr>
      </w:pPr>
    </w:p>
    <w:p w:rsidR="005B5F75" w:rsidRDefault="00AC33D9">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“TRANSPARENCIA Y ACCESO A LA INFORMACIÓN PÚBLICA GUBERNAMENTAL. EL ARTÍCULO 14, FRACCIÓN I, DE LA LEY FEDERAL RELATIVA, NO VIOLA LA GARANTÍA DE ACCESO A LA INFORMACIÓN. </w:t>
      </w:r>
      <w:r>
        <w:rPr>
          <w:rFonts w:ascii="Palatino Linotype" w:eastAsia="Palatino Linotype" w:hAnsi="Palatino Linotype" w:cs="Palatino Linotype"/>
          <w:i/>
          <w:iC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5B5F75" w:rsidRDefault="005B5F75">
      <w:pPr>
        <w:ind w:left="1134" w:right="-787"/>
        <w:jc w:val="both"/>
        <w:rPr>
          <w:rFonts w:ascii="Palatino Linotype" w:eastAsia="Palatino Linotype" w:hAnsi="Palatino Linotype" w:cs="Palatino Linotype"/>
          <w:i/>
          <w:iCs/>
        </w:rPr>
      </w:pPr>
    </w:p>
    <w:p w:rsidR="006E3FD0" w:rsidRDefault="006E3FD0">
      <w:pPr>
        <w:ind w:left="1134"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color w:val="000000"/>
        </w:rPr>
        <w:t>También</w:t>
      </w:r>
      <w:r>
        <w:rPr>
          <w:rFonts w:ascii="Palatino Linotype" w:eastAsia="Palatino Linotype" w:hAnsi="Palatino Linotype" w:cs="Palatino Linotype"/>
        </w:rPr>
        <w:t xml:space="preserve">, el número de cuenta bancario, en el Criterio 10/17 emitido por el Pleno del Instituto Nacional de Transparencia, Acceso a la Información y Protección de Datos </w:t>
      </w:r>
      <w:r>
        <w:rPr>
          <w:rFonts w:ascii="Palatino Linotype" w:eastAsia="Palatino Linotype" w:hAnsi="Palatino Linotype" w:cs="Palatino Linotype"/>
          <w:color w:val="000000"/>
        </w:rPr>
        <w:t>Personales</w:t>
      </w:r>
      <w:r>
        <w:rPr>
          <w:rFonts w:ascii="Palatino Linotype" w:eastAsia="Palatino Linotype" w:hAnsi="Palatino Linotype" w:cs="Palatino Linotype"/>
        </w:rPr>
        <w:t xml:space="preserve"> , que en el presente asunto se refiere como criterio orientador, toda vez que a la fecha de la solicitud se encontraba vigente. </w:t>
      </w:r>
    </w:p>
    <w:p w:rsidR="005B5F75" w:rsidRDefault="00AC33D9">
      <w:pPr>
        <w:shd w:val="clear" w:color="auto" w:fill="FFFFFF"/>
        <w:ind w:left="1134" w:right="-787"/>
        <w:jc w:val="both"/>
        <w:rPr>
          <w:rFonts w:ascii="Palatino Linotype" w:eastAsia="Palatino Linotype" w:hAnsi="Palatino Linotype" w:cs="Palatino Linotype"/>
        </w:rPr>
      </w:pPr>
      <w:r>
        <w:rPr>
          <w:rFonts w:ascii="Palatino Linotype" w:eastAsia="Palatino Linotype" w:hAnsi="Palatino Linotype" w:cs="Palatino Linotype"/>
        </w:rPr>
        <w:t>“</w:t>
      </w:r>
      <w:r>
        <w:rPr>
          <w:rFonts w:ascii="Palatino Linotype" w:eastAsia="Palatino Linotype" w:hAnsi="Palatino Linotype" w:cs="Palatino Linotype"/>
          <w:b/>
          <w:bCs/>
          <w:i/>
          <w:iCs/>
        </w:rPr>
        <w:t>Cuentas bancarias y/o CLABE interbancaria de personas físicas y morales privadas.</w:t>
      </w:r>
      <w:r>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w:t>
      </w:r>
      <w:r>
        <w:rPr>
          <w:rFonts w:ascii="Palatino Linotype" w:eastAsia="Palatino Linotype" w:hAnsi="Palatino Linotype" w:cs="Palatino Linotype"/>
          <w:i/>
          <w:iCs/>
        </w:rPr>
        <w:lastRenderedPageBreak/>
        <w:t>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Pr>
          <w:rFonts w:ascii="Palatino Linotype" w:eastAsia="Palatino Linotype" w:hAnsi="Palatino Linotype" w:cs="Palatino Linotype"/>
        </w:rPr>
        <w:t>.”</w:t>
      </w:r>
    </w:p>
    <w:p w:rsidR="006E3FD0" w:rsidRDefault="006E3FD0">
      <w:pPr>
        <w:shd w:val="clear" w:color="auto" w:fill="FFFFFF"/>
        <w:ind w:left="1134"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Esta </w:t>
      </w:r>
      <w:r>
        <w:rPr>
          <w:rFonts w:ascii="Palatino Linotype" w:eastAsia="Palatino Linotype" w:hAnsi="Palatino Linotype" w:cs="Palatino Linotype"/>
          <w:color w:val="000000"/>
        </w:rPr>
        <w:t>cuenta</w:t>
      </w:r>
      <w:r>
        <w:rPr>
          <w:rFonts w:ascii="Palatino Linotype" w:eastAsia="Palatino Linotype" w:hAnsi="Palatino Linotype" w:cs="Palatino Linotype"/>
        </w:rPr>
        <w:t xml:space="preserve"> es de uso personal y no guarda relación con el servicio público ni con los </w:t>
      </w:r>
      <w:r>
        <w:rPr>
          <w:rFonts w:ascii="Palatino Linotype" w:eastAsia="Palatino Linotype" w:hAnsi="Palatino Linotype" w:cs="Palatino Linotype"/>
          <w:color w:val="000000"/>
        </w:rPr>
        <w:t>recursos</w:t>
      </w:r>
      <w:r>
        <w:rPr>
          <w:rFonts w:ascii="Palatino Linotype" w:eastAsia="Palatino Linotype" w:hAnsi="Palatino Linotype" w:cs="Palatino Linotype"/>
        </w:rPr>
        <w:t xml:space="preserve">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color w:val="000000"/>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Código de barras bidimensional (QR</w:t>
      </w:r>
      <w:r>
        <w:rPr>
          <w:rFonts w:ascii="Palatino Linotype" w:eastAsia="Palatino Linotype" w:hAnsi="Palatino Linotype" w:cs="Palatino Linotype"/>
        </w:rPr>
        <w:t xml:space="preserve">), resulta necesario señalar que los </w:t>
      </w:r>
      <w:r>
        <w:rPr>
          <w:rFonts w:ascii="Palatino Linotype" w:eastAsia="Palatino Linotype" w:hAnsi="Palatino Linotype" w:cs="Palatino Linotype"/>
          <w:color w:val="000000"/>
        </w:rPr>
        <w:t>comprobantes</w:t>
      </w:r>
      <w:r>
        <w:rPr>
          <w:rFonts w:ascii="Palatino Linotype" w:eastAsia="Palatino Linotype" w:hAnsi="Palatino Linotype" w:cs="Palatino Linotype"/>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1">
        <w:r>
          <w:rPr>
            <w:rFonts w:ascii="Palatino Linotype" w:eastAsia="Palatino Linotype" w:hAnsi="Palatino Linotype" w:cs="Palatino Linotype"/>
          </w:rPr>
          <w:t>http://dof.gob.mx/nota_detalle.php?codigo=5492254&amp;fecha=28/07/2017</w:t>
        </w:r>
      </w:hyperlink>
      <w:r>
        <w:rPr>
          <w:rFonts w:ascii="Palatino Linotype" w:eastAsia="Palatino Linotype" w:hAnsi="Palatino Linotype" w:cs="Palatino Linotype"/>
        </w:rPr>
        <w:t>. Incluso con la captura de dicho código, a través de la aplicación móvil del Servicio de Administración Tributaria, permite el acceso al Registro Federal de Contribuyentes, como del Sujeto Obligado, como de la persona física o moral correspondiente.</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lastRenderedPageBreak/>
        <w:t xml:space="preserve">De </w:t>
      </w:r>
      <w:r>
        <w:rPr>
          <w:rFonts w:ascii="Palatino Linotype" w:eastAsia="Palatino Linotype" w:hAnsi="Palatino Linotype" w:cs="Palatino Linotype"/>
          <w:color w:val="000000"/>
        </w:rPr>
        <w:t>tales</w:t>
      </w:r>
      <w:r>
        <w:rPr>
          <w:rFonts w:ascii="Palatino Linotype" w:eastAsia="Palatino Linotype" w:hAnsi="Palatino Linotype" w:cs="Palatino Linotype"/>
        </w:rPr>
        <w:t xml:space="preserve"> circunstancias, se considera que se actualiza la causal de clasificación prevista en el </w:t>
      </w:r>
      <w:r>
        <w:rPr>
          <w:rFonts w:ascii="Palatino Linotype" w:eastAsia="Palatino Linotype" w:hAnsi="Palatino Linotype" w:cs="Palatino Linotype"/>
          <w:color w:val="000000"/>
        </w:rPr>
        <w:t>artículo</w:t>
      </w:r>
      <w:r>
        <w:rPr>
          <w:rFonts w:ascii="Palatino Linotype" w:eastAsia="Palatino Linotype" w:hAnsi="Palatino Linotype" w:cs="Palatino Linotype"/>
        </w:rPr>
        <w:t xml:space="preserve"> 143, fracción I de la Ley de la materia, toda vez que el Registro Federal de Contribuyentes corresponde a los servidores públicos, pues como se señaló en párrafos anteriores el mismo hace identificable o identificada al mismo.</w:t>
      </w:r>
    </w:p>
    <w:p w:rsidR="005B5F75" w:rsidRDefault="005B5F75">
      <w:pPr>
        <w:tabs>
          <w:tab w:val="left" w:pos="284"/>
        </w:tabs>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w:t>
      </w:r>
      <w:r>
        <w:rPr>
          <w:rFonts w:ascii="Palatino Linotype" w:eastAsia="Palatino Linotype" w:hAnsi="Palatino Linotype" w:cs="Palatino Linotype"/>
          <w:color w:val="000000"/>
        </w:rPr>
        <w:t>siendo</w:t>
      </w:r>
      <w:r>
        <w:rPr>
          <w:rFonts w:ascii="Palatino Linotype" w:eastAsia="Palatino Linotype" w:hAnsi="Palatino Linotype" w:cs="Palatino Linotype"/>
        </w:rPr>
        <w:t xml:space="preserve">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rsidR="005B5F75" w:rsidRDefault="00AC33D9">
      <w:pPr>
        <w:shd w:val="clear" w:color="auto" w:fill="FFFFFF"/>
        <w:ind w:left="1134"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“El número de ficha de identificación única de los trabajadores es información de carácter confidencial.</w:t>
      </w:r>
      <w:r>
        <w:rPr>
          <w:rFonts w:ascii="Palatino Linotype" w:eastAsia="Palatino Linotype" w:hAnsi="Palatino Linotype" w:cs="Palatino Linotype"/>
          <w:i/>
          <w:iCs/>
          <w:color w:val="222222"/>
        </w:rPr>
        <w:t> </w:t>
      </w:r>
      <w:r>
        <w:rPr>
          <w:rFonts w:ascii="Palatino Linotype" w:eastAsia="Palatino Linotype" w:hAnsi="Palatino Linotype" w:cs="Palatino Linotype"/>
          <w:i/>
          <w:iCs/>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Pr>
          <w:rFonts w:ascii="Palatino Linotype" w:eastAsia="Palatino Linotype" w:hAnsi="Palatino Linotype" w:cs="Palatino Linotype"/>
          <w:i/>
          <w:iCs/>
          <w:color w:val="222222"/>
        </w:rPr>
        <w:t>, </w:t>
      </w:r>
      <w:r>
        <w:rPr>
          <w:rFonts w:ascii="Palatino Linotype" w:eastAsia="Palatino Linotype" w:hAnsi="Palatino Linotype" w:cs="Palatino Linotype"/>
          <w:i/>
          <w:iCs/>
          <w:color w:val="222222"/>
          <w:u w:val="single"/>
        </w:rPr>
        <w:t>dicha información es susceptible de clasificarse con el carácter de confidencial</w:t>
      </w:r>
      <w:r>
        <w:rPr>
          <w:rFonts w:ascii="Palatino Linotype" w:eastAsia="Palatino Linotype" w:hAnsi="Palatino Linotype" w:cs="Palatino Linotype"/>
          <w:i/>
          <w:iCs/>
          <w:color w:val="222222"/>
        </w:rPr>
        <w:t>, en términos de lo establecido en el artículo 18, fracción II de la Ley Federal de Transparencia y Acceso a la Información Pública Gubernamental, en virtud de que a través de la misma es posible conocer información personal de su titular.”</w:t>
      </w:r>
    </w:p>
    <w:p w:rsidR="005B5F75" w:rsidRDefault="005B5F75">
      <w:pPr>
        <w:spacing w:line="360" w:lineRule="auto"/>
        <w:ind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 xml:space="preserve">En ese orden de ideas y realizadas las precisiones anteriores, no se soslaya que el </w:t>
      </w:r>
      <w:r>
        <w:rPr>
          <w:rFonts w:ascii="Palatino Linotype" w:eastAsia="Palatino Linotype" w:hAnsi="Palatino Linotype" w:cs="Palatino Linotype"/>
          <w:b/>
          <w:bCs/>
        </w:rPr>
        <w:t xml:space="preserve">PARTICULAR </w:t>
      </w:r>
      <w:r>
        <w:rPr>
          <w:rFonts w:ascii="Palatino Linotype" w:eastAsia="Palatino Linotype" w:hAnsi="Palatino Linotype" w:cs="Palatino Linotype"/>
        </w:rPr>
        <w:t xml:space="preserve">no refirió la temporalidad de la cual requirió la información, por lo que, en casos como el que nos ocupa, se deberá de hacer entrega de los últimos dos recibos de </w:t>
      </w:r>
      <w:r>
        <w:rPr>
          <w:rFonts w:ascii="Palatino Linotype" w:eastAsia="Palatino Linotype" w:hAnsi="Palatino Linotype" w:cs="Palatino Linotype"/>
        </w:rPr>
        <w:lastRenderedPageBreak/>
        <w:t xml:space="preserve">nómina previos a la fecha del ingreso de la solicitud de </w:t>
      </w:r>
      <w:r w:rsidR="006E3FD0">
        <w:rPr>
          <w:rFonts w:ascii="Palatino Linotype" w:eastAsia="Palatino Linotype" w:hAnsi="Palatino Linotype" w:cs="Palatino Linotype"/>
        </w:rPr>
        <w:t>información,</w:t>
      </w:r>
      <w:r>
        <w:rPr>
          <w:rFonts w:ascii="Palatino Linotype" w:eastAsia="Palatino Linotype" w:hAnsi="Palatino Linotype" w:cs="Palatino Linotype"/>
        </w:rPr>
        <w:t xml:space="preserve"> es decir, de la primera y segunda quincena del mes de diciembre de dos mil veinticinco.</w:t>
      </w:r>
    </w:p>
    <w:p w:rsidR="005B5F75" w:rsidRDefault="005B5F75">
      <w:pPr>
        <w:spacing w:line="360" w:lineRule="auto"/>
        <w:ind w:right="-787"/>
        <w:jc w:val="both"/>
        <w:rPr>
          <w:rFonts w:ascii="Palatino Linotype" w:eastAsia="Palatino Linotype" w:hAnsi="Palatino Linotype" w:cs="Palatino Linotype"/>
          <w:i/>
          <w:iCs/>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Es por lo anterior que, se arriba a la conclusión de no tenerse por colmada en su totalidad la solicitud de información que nos ocupa, pues no se atiendo las inconformidades hechas vale y que a continuación se plasman:</w:t>
      </w: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¿Qué remuneración mensual bruta y neta percibe el titular de la Coordinación de Protección Civil? </w:t>
      </w:r>
    </w:p>
    <w:p w:rsidR="005B5F75" w:rsidRDefault="005B5F75">
      <w:pPr>
        <w:ind w:left="709" w:right="-787"/>
        <w:jc w:val="both"/>
        <w:rPr>
          <w:rFonts w:ascii="Palatino Linotype" w:eastAsia="Palatino Linotype" w:hAnsi="Palatino Linotype" w:cs="Palatino Linotype"/>
          <w:i/>
          <w:iCs/>
        </w:rPr>
      </w:pP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¿Cuál es el presupuesto total anual asignado a la Coordinación de Protección Civil para el ejercicio fiscal dos mil veinticinco? </w:t>
      </w:r>
    </w:p>
    <w:p w:rsidR="005B5F75" w:rsidRDefault="005B5F75">
      <w:pPr>
        <w:ind w:left="709" w:right="-787"/>
        <w:jc w:val="both"/>
        <w:rPr>
          <w:rFonts w:ascii="Palatino Linotype" w:eastAsia="Palatino Linotype" w:hAnsi="Palatino Linotype" w:cs="Palatino Linotype"/>
          <w:i/>
          <w:iCs/>
        </w:rPr>
      </w:pP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4. ¿Qué porcentaje del presupuesto municipal total representa el presupuesto de Protección Civil?</w:t>
      </w:r>
    </w:p>
    <w:p w:rsidR="005B5F75" w:rsidRDefault="005B5F75">
      <w:pPr>
        <w:ind w:left="709" w:right="-787"/>
        <w:jc w:val="both"/>
        <w:rPr>
          <w:rFonts w:ascii="Palatino Linotype" w:eastAsia="Palatino Linotype" w:hAnsi="Palatino Linotype" w:cs="Palatino Linotype"/>
          <w:i/>
          <w:iCs/>
        </w:rPr>
      </w:pP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11. ¿Cuál es el monto destinado específicamente a la compra de combustible para vehículos de emergencia en dos mil veinticinco?</w:t>
      </w:r>
    </w:p>
    <w:p w:rsidR="005B5F75" w:rsidRDefault="005B5F75">
      <w:pPr>
        <w:ind w:left="709" w:right="-787"/>
        <w:jc w:val="both"/>
        <w:rPr>
          <w:rFonts w:ascii="Palatino Linotype" w:eastAsia="Palatino Linotype" w:hAnsi="Palatino Linotype" w:cs="Palatino Linotype"/>
          <w:i/>
          <w:iCs/>
        </w:rPr>
      </w:pP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12. ¿Cuánto dinero se ha gastado en el mantenimiento preventivo y correctivo de vehículos de emergencia de enero a la fecha de esta solicitud?</w:t>
      </w:r>
    </w:p>
    <w:p w:rsidR="005B5F75" w:rsidRDefault="005B5F75">
      <w:pPr>
        <w:ind w:left="709" w:right="-787"/>
        <w:jc w:val="both"/>
        <w:rPr>
          <w:rFonts w:ascii="Palatino Linotype" w:eastAsia="Palatino Linotype" w:hAnsi="Palatino Linotype" w:cs="Palatino Linotype"/>
          <w:i/>
          <w:iCs/>
        </w:rPr>
      </w:pP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14. ¿Cuál es el presupuesto destinado a la adquisición de uniformes para el personal operativo en este año? </w:t>
      </w:r>
    </w:p>
    <w:p w:rsidR="005B5F75" w:rsidRDefault="005B5F75">
      <w:pPr>
        <w:ind w:left="709" w:right="-787"/>
        <w:jc w:val="both"/>
        <w:rPr>
          <w:rFonts w:ascii="Palatino Linotype" w:eastAsia="Palatino Linotype" w:hAnsi="Palatino Linotype" w:cs="Palatino Linotype"/>
          <w:i/>
          <w:iCs/>
        </w:rPr>
      </w:pPr>
    </w:p>
    <w:p w:rsidR="005B5F75" w:rsidRDefault="00AC33D9">
      <w:pPr>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15. ¿Cuánto se ha invertido en equipo de protección personal para bomberos en el presente ejercicio fiscal?</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numPr>
          <w:ilvl w:val="0"/>
          <w:numId w:val="1"/>
        </w:numPr>
        <w:spacing w:line="360" w:lineRule="auto"/>
        <w:ind w:left="0" w:right="-787" w:firstLine="0"/>
        <w:jc w:val="both"/>
      </w:pPr>
      <w:r>
        <w:rPr>
          <w:rFonts w:ascii="Palatino Linotype" w:eastAsia="Palatino Linotype" w:hAnsi="Palatino Linotype" w:cs="Palatino Linotype"/>
        </w:rPr>
        <w:t>Lo anterior, como ya se refirió, debido a que no existió pronunciamiento por el área que pudiera generar, poseer y/o administrar la información solicitada, de acuerdo al Bando Municipal del Ayuntamiento de Valle de Bravo de la administración 2022-2024, refiere lo siguiente:</w:t>
      </w:r>
    </w:p>
    <w:p w:rsidR="005B5F75" w:rsidRDefault="00AC33D9">
      <w:pPr>
        <w:ind w:left="426" w:right="-787"/>
        <w:jc w:val="center"/>
        <w:rPr>
          <w:rFonts w:ascii="Palatino Linotype" w:eastAsia="Palatino Linotype" w:hAnsi="Palatino Linotype" w:cs="Palatino Linotype"/>
          <w:b/>
          <w:bCs/>
          <w:i/>
          <w:iCs/>
          <w:color w:val="222222"/>
        </w:rPr>
      </w:pPr>
      <w:r>
        <w:rPr>
          <w:rFonts w:ascii="Palatino Linotype" w:eastAsia="Palatino Linotype" w:hAnsi="Palatino Linotype" w:cs="Palatino Linotype"/>
          <w:b/>
          <w:bCs/>
          <w:i/>
          <w:iCs/>
          <w:color w:val="222222"/>
        </w:rPr>
        <w:lastRenderedPageBreak/>
        <w:t>TITULO TERCERO. DE LA ORGANIZACIÓN ADMINISTRATIVA</w:t>
      </w:r>
    </w:p>
    <w:p w:rsidR="005B5F75" w:rsidRDefault="005B5F75">
      <w:pPr>
        <w:ind w:left="426" w:right="-787"/>
        <w:jc w:val="both"/>
        <w:rPr>
          <w:rFonts w:ascii="Palatino Linotype" w:eastAsia="Palatino Linotype" w:hAnsi="Palatino Linotype" w:cs="Palatino Linotype"/>
          <w:b/>
          <w:bCs/>
          <w:i/>
          <w:iCs/>
          <w:color w:val="222222"/>
        </w:rPr>
      </w:pP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 </w:t>
      </w:r>
      <w:r>
        <w:rPr>
          <w:rFonts w:ascii="Palatino Linotype" w:eastAsia="Palatino Linotype" w:hAnsi="Palatino Linotype" w:cs="Palatino Linotype"/>
          <w:b/>
          <w:bCs/>
          <w:i/>
          <w:iCs/>
          <w:color w:val="222222"/>
        </w:rPr>
        <w:t>Artículo 38</w:t>
      </w:r>
      <w:r>
        <w:rPr>
          <w:rFonts w:ascii="Palatino Linotype" w:eastAsia="Palatino Linotype" w:hAnsi="Palatino Linotype" w:cs="Palatino Linotype"/>
          <w:i/>
          <w:iCs/>
          <w:color w:val="222222"/>
        </w:rPr>
        <w:t>. La Administración Pública Municipal será centralizada, desconcentrada, descentralizada y autónoma. Su organización y funcionamiento se regirá por la Ley Orgánica Municipal, este Bando Municipal, y otras normas jurídicas aplicables.</w:t>
      </w:r>
    </w:p>
    <w:p w:rsidR="005B5F75" w:rsidRDefault="005B5F75">
      <w:pPr>
        <w:ind w:left="426" w:right="-787"/>
        <w:jc w:val="both"/>
        <w:rPr>
          <w:rFonts w:ascii="Palatino Linotype" w:eastAsia="Palatino Linotype" w:hAnsi="Palatino Linotype" w:cs="Palatino Linotype"/>
          <w:i/>
          <w:iCs/>
          <w:color w:val="222222"/>
        </w:rPr>
      </w:pP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Artículo 39</w:t>
      </w:r>
      <w:r>
        <w:rPr>
          <w:rFonts w:ascii="Palatino Linotype" w:eastAsia="Palatino Linotype" w:hAnsi="Palatino Linotype" w:cs="Palatino Linotype"/>
          <w:i/>
          <w:iCs/>
          <w:color w:val="222222"/>
        </w:rPr>
        <w:t>. Para la consulta, estudio, planeación y despacho de los asuntos en los diversos ramos de la Administración Pública Municipal, la Presidenta Municipal se auxiliará de las siguientes:</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 xml:space="preserve"> I. DEPENDENCIAS:</w:t>
      </w:r>
      <w:r>
        <w:rPr>
          <w:rFonts w:ascii="Palatino Linotype" w:eastAsia="Palatino Linotype" w:hAnsi="Palatino Linotype" w:cs="Palatino Linotype"/>
          <w:i/>
          <w:iCs/>
          <w:color w:val="222222"/>
        </w:rPr>
        <w:t xml:space="preserve"> </w:t>
      </w:r>
    </w:p>
    <w:p w:rsidR="005B5F75" w:rsidRDefault="005B5F75">
      <w:pPr>
        <w:ind w:left="426" w:right="-787"/>
        <w:jc w:val="both"/>
        <w:rPr>
          <w:rFonts w:ascii="Palatino Linotype" w:eastAsia="Palatino Linotype" w:hAnsi="Palatino Linotype" w:cs="Palatino Linotype"/>
          <w:i/>
          <w:iCs/>
          <w:color w:val="222222"/>
        </w:rPr>
      </w:pP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1. Secretaría del Ayuntamiento </w:t>
      </w:r>
    </w:p>
    <w:p w:rsidR="005B5F75" w:rsidRDefault="00AC33D9">
      <w:pPr>
        <w:ind w:left="426" w:right="-787"/>
        <w:jc w:val="both"/>
        <w:rPr>
          <w:rFonts w:ascii="Palatino Linotype" w:eastAsia="Palatino Linotype" w:hAnsi="Palatino Linotype" w:cs="Palatino Linotype"/>
          <w:b/>
          <w:bCs/>
          <w:i/>
          <w:iCs/>
          <w:color w:val="222222"/>
        </w:rPr>
      </w:pPr>
      <w:r>
        <w:rPr>
          <w:rFonts w:ascii="Palatino Linotype" w:eastAsia="Palatino Linotype" w:hAnsi="Palatino Linotype" w:cs="Palatino Linotype"/>
          <w:b/>
          <w:bCs/>
          <w:i/>
          <w:iCs/>
          <w:color w:val="222222"/>
        </w:rPr>
        <w:t xml:space="preserve">2. Tesorería Municipal </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3. Contraloría Municipal</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 4. Dirección de Seguridad Pública, Tránsito y Movilidad. </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5. Dirección de Obras Públicas y Desarrollo Urbano</w:t>
      </w:r>
    </w:p>
    <w:p w:rsidR="005B5F75" w:rsidRDefault="00AC33D9">
      <w:pPr>
        <w:ind w:left="426" w:right="-787"/>
        <w:jc w:val="both"/>
        <w:rPr>
          <w:rFonts w:ascii="Palatino Linotype" w:eastAsia="Palatino Linotype" w:hAnsi="Palatino Linotype" w:cs="Palatino Linotype"/>
          <w:b/>
          <w:bCs/>
          <w:i/>
          <w:iCs/>
          <w:color w:val="222222"/>
        </w:rPr>
      </w:pPr>
      <w:r>
        <w:rPr>
          <w:rFonts w:ascii="Palatino Linotype" w:eastAsia="Palatino Linotype" w:hAnsi="Palatino Linotype" w:cs="Palatino Linotype"/>
          <w:b/>
          <w:bCs/>
          <w:i/>
          <w:iCs/>
          <w:color w:val="222222"/>
        </w:rPr>
        <w:t xml:space="preserve"> 6. Dirección de Administración </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7. Dirección de Servicios Públicos </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8. Dirección del Bienestar </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9. Dirección de Desarrollo Económico </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10. Oficialía Calificadora </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11. Oficialía Mediadora – Conciliadora </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12. Dirección de Protección Civil, Bomberos y Ecología. </w:t>
      </w:r>
    </w:p>
    <w:p w:rsidR="005B5F75" w:rsidRDefault="005B5F75">
      <w:pPr>
        <w:ind w:left="426" w:right="-787"/>
        <w:jc w:val="both"/>
        <w:rPr>
          <w:rFonts w:ascii="Palatino Linotype" w:eastAsia="Palatino Linotype" w:hAnsi="Palatino Linotype" w:cs="Palatino Linotype"/>
          <w:i/>
          <w:iCs/>
          <w:color w:val="222222"/>
        </w:rPr>
      </w:pP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w:t>
      </w:r>
    </w:p>
    <w:p w:rsidR="005B5F75" w:rsidRDefault="005B5F75">
      <w:pPr>
        <w:ind w:left="426" w:right="-787"/>
        <w:jc w:val="both"/>
        <w:rPr>
          <w:rFonts w:ascii="Palatino Linotype" w:eastAsia="Palatino Linotype" w:hAnsi="Palatino Linotype" w:cs="Palatino Linotype"/>
          <w:i/>
          <w:iCs/>
          <w:color w:val="222222"/>
        </w:rPr>
      </w:pPr>
    </w:p>
    <w:p w:rsidR="005B5F75" w:rsidRDefault="005B5F75">
      <w:pPr>
        <w:ind w:right="-787"/>
        <w:jc w:val="both"/>
        <w:rPr>
          <w:rFonts w:ascii="Palatino Linotype" w:eastAsia="Palatino Linotype" w:hAnsi="Palatino Linotype" w:cs="Palatino Linotype"/>
          <w:i/>
          <w:iCs/>
          <w:color w:val="222222"/>
        </w:rPr>
      </w:pP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Artículo 42. La Tesorería Municipal, es la dependencia administrativa facultada para gestionar, recaudar y administrar la Hacienda Pública Municipal, por medio de las Coordinaciones de Ingresos y Catastro, apoyadas por el Departamento de Contabilidad y Nómina.</w:t>
      </w:r>
    </w:p>
    <w:p w:rsidR="005B5F75" w:rsidRDefault="005B5F75">
      <w:pPr>
        <w:ind w:left="426" w:right="-787"/>
        <w:jc w:val="both"/>
        <w:rPr>
          <w:rFonts w:ascii="Palatino Linotype" w:eastAsia="Palatino Linotype" w:hAnsi="Palatino Linotype" w:cs="Palatino Linotype"/>
          <w:i/>
          <w:iCs/>
          <w:color w:val="222222"/>
        </w:rPr>
      </w:pP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 xml:space="preserve">Esta dependencia administrativa, es la autorizada para recaudar los créditos fiscales a que tenga derecho de percibir, derivados de contribuciones, aprovechamientos y los accesorios legales causados por éstos, de igual forma de los originados responsabilidades administrativas y multas que, como sanciones impongan las autoridades administrativas competentes a los particulares, por infracciones cometidas al presente Bando, reglamentos y demás disposiciones de carácter </w:t>
      </w:r>
      <w:r>
        <w:rPr>
          <w:rFonts w:ascii="Palatino Linotype" w:eastAsia="Palatino Linotype" w:hAnsi="Palatino Linotype" w:cs="Palatino Linotype"/>
          <w:i/>
          <w:iCs/>
          <w:color w:val="222222"/>
        </w:rPr>
        <w:lastRenderedPageBreak/>
        <w:t>general, emitidas por el Ayuntamiento. Así́ como, aquellos ingresos que provengan del Sistema Nacional de Coordinación Fiscal, del Sistema Estatal de Coordinación Hacendaria y demás convenios o acuerdos que al efecto celebre el Ayuntamiento, en términos de los ordenamientos legales administrativos y fiscales aplicables al caso.</w:t>
      </w:r>
    </w:p>
    <w:p w:rsidR="005B5F75" w:rsidRDefault="005B5F75">
      <w:pPr>
        <w:ind w:left="426" w:right="-787"/>
        <w:jc w:val="both"/>
        <w:rPr>
          <w:rFonts w:ascii="Palatino Linotype" w:eastAsia="Palatino Linotype" w:hAnsi="Palatino Linotype" w:cs="Palatino Linotype"/>
          <w:i/>
          <w:iCs/>
          <w:color w:val="222222"/>
        </w:rPr>
      </w:pP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w:t>
      </w:r>
    </w:p>
    <w:p w:rsidR="005B5F75" w:rsidRDefault="005B5F75">
      <w:pPr>
        <w:ind w:left="426" w:right="-787"/>
        <w:jc w:val="both"/>
        <w:rPr>
          <w:rFonts w:ascii="Palatino Linotype" w:eastAsia="Palatino Linotype" w:hAnsi="Palatino Linotype" w:cs="Palatino Linotype"/>
          <w:i/>
          <w:iCs/>
          <w:color w:val="222222"/>
        </w:rPr>
      </w:pPr>
    </w:p>
    <w:p w:rsidR="005B5F75" w:rsidRDefault="005B5F75">
      <w:pPr>
        <w:ind w:left="426" w:right="-787"/>
        <w:jc w:val="both"/>
        <w:rPr>
          <w:rFonts w:ascii="Palatino Linotype" w:eastAsia="Palatino Linotype" w:hAnsi="Palatino Linotype" w:cs="Palatino Linotype"/>
          <w:i/>
          <w:iCs/>
          <w:color w:val="222222"/>
        </w:rPr>
      </w:pP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Artículo 47. El Departamento de Contabilidad, tiene a su cargo cubrir las erogaciones y registrar todas las operaciones, así́ como, elaborar los reportes contables para mantener informado al Ayuntamiento, al Órgano Superior de Fiscalización y a todas las instancias Federales y Estatales que así́ lo requieran.</w:t>
      </w:r>
    </w:p>
    <w:p w:rsidR="005B5F75" w:rsidRDefault="00AC33D9">
      <w:pPr>
        <w:ind w:left="426"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w:t>
      </w:r>
    </w:p>
    <w:p w:rsidR="005B5F75" w:rsidRDefault="005B5F75">
      <w:pPr>
        <w:ind w:left="426" w:right="-787"/>
        <w:rPr>
          <w:rFonts w:ascii="Palatino Linotype" w:eastAsia="Palatino Linotype" w:hAnsi="Palatino Linotype" w:cs="Palatino Linotype"/>
          <w:i/>
          <w:iCs/>
          <w:color w:val="222222"/>
        </w:rPr>
      </w:pPr>
    </w:p>
    <w:p w:rsidR="005B5F75" w:rsidRDefault="005B5F75">
      <w:pPr>
        <w:spacing w:line="360" w:lineRule="auto"/>
        <w:ind w:right="-787"/>
        <w:jc w:val="both"/>
        <w:rPr>
          <w:rFonts w:ascii="Palatino Linotype" w:eastAsia="Palatino Linotype" w:hAnsi="Palatino Linotype" w:cs="Palatino Linotype"/>
        </w:rPr>
      </w:pPr>
    </w:p>
    <w:p w:rsidR="005B5F75" w:rsidRDefault="00AC33D9">
      <w:pPr>
        <w:spacing w:line="360" w:lineRule="auto"/>
        <w:ind w:right="-787"/>
        <w:jc w:val="both"/>
        <w:rPr>
          <w:rFonts w:ascii="Palatino Linotype" w:eastAsia="Palatino Linotype" w:hAnsi="Palatino Linotype" w:cs="Palatino Linotype"/>
        </w:rPr>
      </w:pPr>
      <w:bookmarkStart w:id="7" w:name="_heading=h.800n0nr21uv5" w:colFirst="0" w:colLast="0"/>
      <w:bookmarkEnd w:id="7"/>
      <w:r>
        <w:rPr>
          <w:rFonts w:ascii="Palatino Linotype" w:eastAsia="Palatino Linotype" w:hAnsi="Palatino Linotype" w:cs="Palatino Linotype"/>
          <w:b/>
          <w:bCs/>
        </w:rPr>
        <w:t>QUINTO. De la versión pública.</w:t>
      </w:r>
    </w:p>
    <w:p w:rsidR="005B5F75" w:rsidRDefault="00AC33D9">
      <w:pPr>
        <w:pStyle w:val="Ttulo1"/>
        <w:numPr>
          <w:ilvl w:val="0"/>
          <w:numId w:val="4"/>
        </w:numPr>
        <w:tabs>
          <w:tab w:val="left" w:pos="284"/>
        </w:tabs>
        <w:spacing w:before="0" w:line="360" w:lineRule="auto"/>
        <w:ind w:left="0" w:right="-787" w:firstLine="0"/>
        <w:rPr>
          <w:rFonts w:ascii="Palatino Linotype" w:eastAsia="Palatino Linotype" w:hAnsi="Palatino Linotype" w:cs="Palatino Linotype"/>
          <w:b/>
          <w:bCs/>
          <w:color w:val="000000"/>
          <w:sz w:val="24"/>
          <w:szCs w:val="24"/>
        </w:rPr>
      </w:pPr>
      <w:bookmarkStart w:id="8" w:name="_heading=h.srp08z3i1cdq" w:colFirst="0" w:colLast="0"/>
      <w:bookmarkEnd w:id="8"/>
      <w:r>
        <w:rPr>
          <w:rFonts w:ascii="Palatino Linotype" w:eastAsia="Palatino Linotype" w:hAnsi="Palatino Linotype" w:cs="Palatino Linotype"/>
          <w:b/>
          <w:bCs/>
          <w:color w:val="000000"/>
          <w:sz w:val="24"/>
          <w:szCs w:val="24"/>
        </w:rPr>
        <w:t xml:space="preserve">Nociones generales. </w:t>
      </w:r>
    </w:p>
    <w:p w:rsidR="005B5F75" w:rsidRDefault="00AC33D9">
      <w:pPr>
        <w:numPr>
          <w:ilvl w:val="0"/>
          <w:numId w:val="1"/>
        </w:numPr>
        <w:pBdr>
          <w:top w:val="nil"/>
          <w:left w:val="nil"/>
          <w:bottom w:val="nil"/>
          <w:right w:val="nil"/>
          <w:between w:val="nil"/>
        </w:pBdr>
        <w:tabs>
          <w:tab w:val="left" w:pos="284"/>
        </w:tabs>
        <w:spacing w:line="360" w:lineRule="auto"/>
        <w:ind w:left="0" w:right="-787" w:firstLine="0"/>
        <w:jc w:val="both"/>
        <w:rPr>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5B5F75" w:rsidRDefault="005B5F75">
      <w:pPr>
        <w:pBdr>
          <w:top w:val="nil"/>
          <w:left w:val="nil"/>
          <w:bottom w:val="nil"/>
          <w:right w:val="nil"/>
          <w:between w:val="nil"/>
        </w:pBdr>
        <w:tabs>
          <w:tab w:val="left" w:pos="0"/>
          <w:tab w:val="left" w:pos="284"/>
        </w:tabs>
        <w:spacing w:line="360" w:lineRule="auto"/>
        <w:ind w:right="-787"/>
        <w:jc w:val="both"/>
        <w:rPr>
          <w:rFonts w:ascii="Palatino Linotype" w:eastAsia="Palatino Linotype" w:hAnsi="Palatino Linotype" w:cs="Palatino Linotype"/>
          <w:color w:val="000000"/>
        </w:rPr>
      </w:pPr>
    </w:p>
    <w:p w:rsidR="005B5F75" w:rsidRDefault="00AC33D9">
      <w:pPr>
        <w:numPr>
          <w:ilvl w:val="0"/>
          <w:numId w:val="1"/>
        </w:numPr>
        <w:tabs>
          <w:tab w:val="left" w:pos="284"/>
        </w:tabs>
        <w:spacing w:line="360" w:lineRule="auto"/>
        <w:ind w:left="0" w:right="-787" w:firstLine="0"/>
        <w:jc w:val="both"/>
        <w:rPr>
          <w:color w:val="000000"/>
        </w:rPr>
      </w:pPr>
      <w:r>
        <w:rPr>
          <w:rFonts w:ascii="Palatino Linotype" w:eastAsia="Palatino Linotype" w:hAnsi="Palatino Linotype" w:cs="Palatino Linotype"/>
          <w:color w:val="000000"/>
        </w:rPr>
        <w:t xml:space="preserve">No pasa desapercibido para este Órgano Garante que los </w:t>
      </w:r>
      <w:r>
        <w:rPr>
          <w:rFonts w:ascii="Palatino Linotype" w:eastAsia="Palatino Linotype" w:hAnsi="Palatino Linotype" w:cs="Palatino Linotype"/>
          <w:b/>
          <w:bCs/>
          <w:color w:val="000000"/>
        </w:rPr>
        <w:t xml:space="preserve">Sujetos Obligados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B5F75" w:rsidRDefault="005B5F75">
      <w:pPr>
        <w:tabs>
          <w:tab w:val="left" w:pos="284"/>
        </w:tabs>
        <w:spacing w:line="360" w:lineRule="auto"/>
        <w:ind w:right="-787"/>
        <w:jc w:val="both"/>
        <w:rPr>
          <w:rFonts w:ascii="Palatino Linotype" w:eastAsia="Palatino Linotype" w:hAnsi="Palatino Linotype" w:cs="Palatino Linotype"/>
          <w:color w:val="000000"/>
        </w:rPr>
      </w:pPr>
    </w:p>
    <w:tbl>
      <w:tblPr>
        <w:tblStyle w:val="a"/>
        <w:tblW w:w="9705"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030"/>
        <w:gridCol w:w="6675"/>
      </w:tblGrid>
      <w:tr w:rsidR="005B5F75" w:rsidTr="005B5F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0"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35"/>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675"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35"/>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B5F75" w:rsidRDefault="00AC33D9">
            <w:pPr>
              <w:tabs>
                <w:tab w:val="left" w:pos="284"/>
              </w:tabs>
              <w:spacing w:line="360" w:lineRule="auto"/>
              <w:ind w:right="35"/>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5B5F75" w:rsidRDefault="00AC33D9">
            <w:pPr>
              <w:tabs>
                <w:tab w:val="left" w:pos="284"/>
              </w:tabs>
              <w:spacing w:line="360" w:lineRule="auto"/>
              <w:ind w:right="35"/>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5B5F75" w:rsidRDefault="00AC33D9">
            <w:pPr>
              <w:tabs>
                <w:tab w:val="left" w:pos="284"/>
              </w:tabs>
              <w:spacing w:line="360" w:lineRule="auto"/>
              <w:ind w:right="35"/>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5B5F75" w:rsidTr="005B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0"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35"/>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675"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35"/>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B5F75" w:rsidRDefault="00AC33D9">
            <w:pPr>
              <w:tabs>
                <w:tab w:val="left" w:pos="284"/>
              </w:tabs>
              <w:spacing w:line="360" w:lineRule="auto"/>
              <w:ind w:right="35"/>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B5F75" w:rsidRDefault="00AC33D9">
            <w:pPr>
              <w:tabs>
                <w:tab w:val="left" w:pos="284"/>
              </w:tabs>
              <w:spacing w:line="360" w:lineRule="auto"/>
              <w:ind w:right="35"/>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B5F75" w:rsidTr="005B5F75">
        <w:tc>
          <w:tcPr>
            <w:cnfStyle w:val="001000000000" w:firstRow="0" w:lastRow="0" w:firstColumn="1" w:lastColumn="0" w:oddVBand="0" w:evenVBand="0" w:oddHBand="0" w:evenHBand="0" w:firstRowFirstColumn="0" w:firstRowLastColumn="0" w:lastRowFirstColumn="0" w:lastRowLastColumn="0"/>
            <w:tcW w:w="3030"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35"/>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675"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35"/>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B5F75" w:rsidRDefault="00AC33D9">
            <w:pPr>
              <w:tabs>
                <w:tab w:val="left" w:pos="284"/>
              </w:tabs>
              <w:spacing w:line="360" w:lineRule="auto"/>
              <w:ind w:right="35"/>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5B5F75" w:rsidRDefault="00AC33D9">
            <w:pPr>
              <w:tabs>
                <w:tab w:val="left" w:pos="284"/>
              </w:tabs>
              <w:spacing w:line="360" w:lineRule="auto"/>
              <w:ind w:right="35"/>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B5F75" w:rsidTr="005B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0" w:type="dxa"/>
            <w:tcBorders>
              <w:top w:val="single" w:sz="4" w:space="0" w:color="BFBFBF"/>
              <w:left w:val="single" w:sz="4" w:space="0" w:color="BFBFBF"/>
              <w:bottom w:val="single" w:sz="4" w:space="0" w:color="BFBFBF"/>
              <w:right w:val="single" w:sz="4" w:space="0" w:color="BFBFBF"/>
            </w:tcBorders>
          </w:tcPr>
          <w:p w:rsidR="005B5F75" w:rsidRDefault="005B5F75">
            <w:pPr>
              <w:tabs>
                <w:tab w:val="left" w:pos="284"/>
              </w:tabs>
              <w:spacing w:line="360" w:lineRule="auto"/>
              <w:ind w:right="22"/>
              <w:rPr>
                <w:rFonts w:ascii="Palatino Linotype" w:eastAsia="Palatino Linotype" w:hAnsi="Palatino Linotype" w:cs="Palatino Linotype"/>
              </w:rPr>
            </w:pPr>
          </w:p>
          <w:p w:rsidR="005B5F75" w:rsidRDefault="00AC33D9">
            <w:pPr>
              <w:tabs>
                <w:tab w:val="left" w:pos="284"/>
              </w:tabs>
              <w:spacing w:line="360" w:lineRule="auto"/>
              <w:ind w:right="22"/>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675"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5B5F75" w:rsidRDefault="00AC33D9">
            <w:pPr>
              <w:tabs>
                <w:tab w:val="left" w:pos="284"/>
              </w:tabs>
              <w:spacing w:line="360" w:lineRule="auto"/>
              <w:ind w:right="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expresar los fundamentos legales que </w:t>
            </w:r>
            <w:r>
              <w:rPr>
                <w:rFonts w:ascii="Palatino Linotype" w:eastAsia="Palatino Linotype" w:hAnsi="Palatino Linotype" w:cs="Palatino Linotype"/>
                <w:color w:val="000000"/>
              </w:rPr>
              <w:lastRenderedPageBreak/>
              <w:t>le dieron origen y las razones por las que se deben aplicar al caso concreto.</w:t>
            </w:r>
          </w:p>
          <w:p w:rsidR="005B5F75" w:rsidRDefault="00AC33D9">
            <w:pPr>
              <w:tabs>
                <w:tab w:val="left" w:pos="284"/>
              </w:tabs>
              <w:spacing w:line="360" w:lineRule="auto"/>
              <w:ind w:right="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B5F75" w:rsidRDefault="00AC33D9">
            <w:pPr>
              <w:tabs>
                <w:tab w:val="left" w:pos="284"/>
              </w:tabs>
              <w:spacing w:line="360" w:lineRule="auto"/>
              <w:ind w:right="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B5F75" w:rsidRDefault="00AC33D9">
            <w:pPr>
              <w:tabs>
                <w:tab w:val="left" w:pos="284"/>
              </w:tabs>
              <w:spacing w:line="360" w:lineRule="auto"/>
              <w:ind w:right="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B5F75" w:rsidTr="005B5F75">
        <w:tc>
          <w:tcPr>
            <w:cnfStyle w:val="001000000000" w:firstRow="0" w:lastRow="0" w:firstColumn="1" w:lastColumn="0" w:oddVBand="0" w:evenVBand="0" w:oddHBand="0" w:evenHBand="0" w:firstRowFirstColumn="0" w:firstRowLastColumn="0" w:lastRowFirstColumn="0" w:lastRowLastColumn="0"/>
            <w:tcW w:w="3030"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22"/>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675" w:type="dxa"/>
            <w:tcBorders>
              <w:top w:val="single" w:sz="4" w:space="0" w:color="BFBFBF"/>
              <w:left w:val="single" w:sz="4" w:space="0" w:color="BFBFBF"/>
              <w:bottom w:val="single" w:sz="4" w:space="0" w:color="BFBFBF"/>
              <w:right w:val="single" w:sz="4" w:space="0" w:color="BFBFBF"/>
            </w:tcBorders>
          </w:tcPr>
          <w:p w:rsidR="005B5F75" w:rsidRDefault="00AC33D9">
            <w:pPr>
              <w:tabs>
                <w:tab w:val="left" w:pos="284"/>
              </w:tabs>
              <w:spacing w:line="360" w:lineRule="auto"/>
              <w:ind w:right="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5B5F75" w:rsidRDefault="00AC33D9">
            <w:pPr>
              <w:tabs>
                <w:tab w:val="left" w:pos="284"/>
              </w:tabs>
              <w:spacing w:line="360" w:lineRule="auto"/>
              <w:ind w:right="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B5F75" w:rsidRDefault="00AC33D9">
            <w:pPr>
              <w:tabs>
                <w:tab w:val="left" w:pos="284"/>
              </w:tabs>
              <w:spacing w:line="360" w:lineRule="auto"/>
              <w:ind w:right="22"/>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B5F75" w:rsidRDefault="005B5F75">
      <w:pPr>
        <w:pBdr>
          <w:top w:val="nil"/>
          <w:left w:val="nil"/>
          <w:bottom w:val="nil"/>
          <w:right w:val="nil"/>
          <w:between w:val="nil"/>
        </w:pBdr>
        <w:tabs>
          <w:tab w:val="left" w:pos="284"/>
        </w:tabs>
        <w:ind w:right="-787"/>
        <w:rPr>
          <w:rFonts w:ascii="Palatino Linotype" w:eastAsia="Palatino Linotype" w:hAnsi="Palatino Linotype" w:cs="Palatino Linotype"/>
          <w:color w:val="000000"/>
        </w:rPr>
      </w:pPr>
    </w:p>
    <w:p w:rsidR="006E3FD0" w:rsidRDefault="006E3FD0">
      <w:pPr>
        <w:pBdr>
          <w:top w:val="nil"/>
          <w:left w:val="nil"/>
          <w:bottom w:val="nil"/>
          <w:right w:val="nil"/>
          <w:between w:val="nil"/>
        </w:pBdr>
        <w:tabs>
          <w:tab w:val="left" w:pos="284"/>
        </w:tabs>
        <w:ind w:right="-787"/>
        <w:rPr>
          <w:rFonts w:ascii="Palatino Linotype" w:eastAsia="Palatino Linotype" w:hAnsi="Palatino Linotype" w:cs="Palatino Linotype"/>
          <w:color w:val="000000"/>
        </w:rPr>
      </w:pPr>
    </w:p>
    <w:p w:rsidR="005B5F75" w:rsidRDefault="00AC33D9">
      <w:pPr>
        <w:numPr>
          <w:ilvl w:val="0"/>
          <w:numId w:val="1"/>
        </w:numPr>
        <w:tabs>
          <w:tab w:val="left" w:pos="284"/>
        </w:tabs>
        <w:spacing w:line="360" w:lineRule="auto"/>
        <w:ind w:left="0" w:right="-787" w:firstLine="0"/>
        <w:jc w:val="both"/>
        <w:rPr>
          <w:color w:val="000000"/>
        </w:rPr>
      </w:pPr>
      <w:r>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rsidR="005B5F75" w:rsidRDefault="005B5F75">
      <w:pPr>
        <w:spacing w:line="360" w:lineRule="auto"/>
        <w:ind w:right="-787"/>
        <w:jc w:val="both"/>
        <w:rPr>
          <w:rFonts w:ascii="Palatino Linotype" w:eastAsia="Palatino Linotype" w:hAnsi="Palatino Linotype" w:cs="Palatino Linotype"/>
          <w:color w:val="000000"/>
        </w:rPr>
      </w:pPr>
    </w:p>
    <w:p w:rsidR="005B5F75" w:rsidRDefault="00AC33D9">
      <w:pPr>
        <w:numPr>
          <w:ilvl w:val="0"/>
          <w:numId w:val="1"/>
        </w:numPr>
        <w:spacing w:line="360" w:lineRule="auto"/>
        <w:ind w:left="0" w:right="-787" w:firstLine="0"/>
        <w:jc w:val="both"/>
        <w:rPr>
          <w:color w:val="000000"/>
        </w:rPr>
      </w:pPr>
      <w:r>
        <w:rPr>
          <w:rFonts w:ascii="Palatino Linotype" w:eastAsia="Palatino Linotype" w:hAnsi="Palatino Linotype" w:cs="Palatino Linotype"/>
        </w:rPr>
        <w:t>Por lo anteriormente expuesto, este Órgano Garante considera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rPr>
        <w:t>MODIFICAR</w:t>
      </w:r>
      <w:r>
        <w:rPr>
          <w:rFonts w:ascii="Palatino Linotype" w:eastAsia="Palatino Linotype" w:hAnsi="Palatino Linotype" w:cs="Palatino Linotype"/>
        </w:rPr>
        <w:t xml:space="preserve"> 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w:t>
      </w:r>
      <w:r>
        <w:rPr>
          <w:rFonts w:ascii="Palatino Linotype" w:eastAsia="Palatino Linotype" w:hAnsi="Palatino Linotype" w:cs="Palatino Linotype"/>
        </w:rPr>
        <w:lastRenderedPageBreak/>
        <w:t xml:space="preserve">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5B5F75" w:rsidRDefault="005B5F75">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rsidR="005B5F75" w:rsidRDefault="00AC33D9">
      <w:pPr>
        <w:pStyle w:val="Ttulo1"/>
        <w:spacing w:before="0" w:line="360" w:lineRule="auto"/>
        <w:ind w:right="-78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5B5F75" w:rsidRDefault="005B5F75">
      <w:pPr>
        <w:spacing w:line="360" w:lineRule="auto"/>
        <w:ind w:right="-787"/>
        <w:rPr>
          <w:rFonts w:ascii="Palatino Linotype" w:eastAsia="Palatino Linotype" w:hAnsi="Palatino Linotype" w:cs="Palatino Linotype"/>
        </w:rPr>
      </w:pPr>
    </w:p>
    <w:p w:rsidR="005B5F75" w:rsidRDefault="00AC33D9">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fundadas las razones o motivos de inconformidad hechos valer en el Recurso de Revisión</w:t>
      </w:r>
      <w:r>
        <w:rPr>
          <w:rFonts w:ascii="Palatino Linotype" w:eastAsia="Palatino Linotype" w:hAnsi="Palatino Linotype" w:cs="Palatino Linotype"/>
          <w:b/>
          <w:bCs/>
        </w:rPr>
        <w:t xml:space="preserve"> 01393/INFOEM/IP/RR/2026  </w:t>
      </w:r>
      <w:r>
        <w:rPr>
          <w:rFonts w:ascii="Palatino Linotype" w:eastAsia="Palatino Linotype" w:hAnsi="Palatino Linotype" w:cs="Palatino Linotype"/>
        </w:rPr>
        <w:t xml:space="preserve">en términos de los Considerandos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spacing w:line="360" w:lineRule="auto"/>
        <w:ind w:right="-787"/>
        <w:jc w:val="both"/>
        <w:rPr>
          <w:rFonts w:ascii="Palatino Linotype" w:eastAsia="Palatino Linotype" w:hAnsi="Palatino Linotype" w:cs="Palatino Linotype"/>
          <w:color w:val="000000"/>
        </w:rPr>
      </w:pPr>
      <w:bookmarkStart w:id="9" w:name="_heading=h.o7r9nlbplqyx"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VALLE DE BRAVO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de ser procedente en versión pública, lo siguiente:</w:t>
      </w:r>
    </w:p>
    <w:p w:rsidR="005B5F75" w:rsidRDefault="005B5F75">
      <w:pPr>
        <w:ind w:right="-787"/>
        <w:jc w:val="both"/>
        <w:rPr>
          <w:rFonts w:ascii="Palatino Linotype" w:eastAsia="Palatino Linotype" w:hAnsi="Palatino Linotype" w:cs="Palatino Linotype"/>
          <w:color w:val="000000"/>
        </w:rPr>
      </w:pPr>
      <w:bookmarkStart w:id="10" w:name="_heading=h.9z4imds75rep" w:colFirst="0" w:colLast="0"/>
      <w:bookmarkEnd w:id="10"/>
    </w:p>
    <w:p w:rsidR="005B5F75" w:rsidRDefault="00AC33D9">
      <w:pPr>
        <w:numPr>
          <w:ilvl w:val="0"/>
          <w:numId w:val="3"/>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donde conste la remuneración mensual bruta y neta del Director de Protección Civil, Bomberos y Ecología al doce de enero de dos mil veintiséis.</w:t>
      </w:r>
    </w:p>
    <w:p w:rsidR="005B5F75" w:rsidRDefault="005B5F75">
      <w:pPr>
        <w:pBdr>
          <w:top w:val="nil"/>
          <w:left w:val="nil"/>
          <w:bottom w:val="nil"/>
          <w:right w:val="nil"/>
          <w:between w:val="nil"/>
        </w:pBdr>
        <w:ind w:left="720" w:right="-787"/>
        <w:jc w:val="both"/>
        <w:rPr>
          <w:rFonts w:ascii="Palatino Linotype" w:eastAsia="Palatino Linotype" w:hAnsi="Palatino Linotype" w:cs="Palatino Linotype"/>
          <w:color w:val="000000"/>
        </w:rPr>
      </w:pPr>
    </w:p>
    <w:p w:rsidR="005B5F75" w:rsidRDefault="00AC33D9">
      <w:pPr>
        <w:numPr>
          <w:ilvl w:val="0"/>
          <w:numId w:val="3"/>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Presupuesto total anual asignado a la Dirección de Protección Civil, Bomberos y Ecología para el ejercicio fiscal dos mil veinticinco.</w:t>
      </w:r>
    </w:p>
    <w:p w:rsidR="005B5F75" w:rsidRDefault="005B5F75">
      <w:pPr>
        <w:ind w:right="-787"/>
        <w:jc w:val="both"/>
        <w:rPr>
          <w:rFonts w:ascii="Palatino Linotype" w:eastAsia="Palatino Linotype" w:hAnsi="Palatino Linotype" w:cs="Palatino Linotype"/>
        </w:rPr>
      </w:pPr>
    </w:p>
    <w:p w:rsidR="005B5F75" w:rsidRDefault="00AC33D9">
      <w:pPr>
        <w:numPr>
          <w:ilvl w:val="0"/>
          <w:numId w:val="3"/>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Monto destinado a la compra de combustible para vehículos de emergencia del uno de enero al treinta y uno de diciembre de dos mil veinticinco.</w:t>
      </w:r>
    </w:p>
    <w:p w:rsidR="005B5F75" w:rsidRDefault="005B5F75">
      <w:pPr>
        <w:pBdr>
          <w:top w:val="nil"/>
          <w:left w:val="nil"/>
          <w:bottom w:val="nil"/>
          <w:right w:val="nil"/>
          <w:between w:val="nil"/>
        </w:pBdr>
        <w:ind w:left="720" w:right="-787"/>
        <w:rPr>
          <w:rFonts w:ascii="Palatino Linotype" w:eastAsia="Palatino Linotype" w:hAnsi="Palatino Linotype" w:cs="Palatino Linotype"/>
          <w:color w:val="000000"/>
        </w:rPr>
      </w:pPr>
    </w:p>
    <w:p w:rsidR="005B5F75" w:rsidRDefault="005B5F75">
      <w:pPr>
        <w:pBdr>
          <w:top w:val="nil"/>
          <w:left w:val="nil"/>
          <w:bottom w:val="nil"/>
          <w:right w:val="nil"/>
          <w:between w:val="nil"/>
        </w:pBdr>
        <w:ind w:left="720" w:right="-787"/>
        <w:jc w:val="both"/>
        <w:rPr>
          <w:rFonts w:ascii="Palatino Linotype" w:eastAsia="Palatino Linotype" w:hAnsi="Palatino Linotype" w:cs="Palatino Linotype"/>
          <w:color w:val="000000"/>
        </w:rPr>
      </w:pPr>
    </w:p>
    <w:p w:rsidR="005B5F75" w:rsidRDefault="00AC33D9">
      <w:pPr>
        <w:numPr>
          <w:ilvl w:val="0"/>
          <w:numId w:val="3"/>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Monto destinado al mantenimiento preventivo y correctivo de vehículos de emergencia al doce de enero de dos mil veintiséis.</w:t>
      </w:r>
    </w:p>
    <w:p w:rsidR="005B5F75" w:rsidRDefault="00AC33D9">
      <w:pPr>
        <w:numPr>
          <w:ilvl w:val="0"/>
          <w:numId w:val="3"/>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Presupuesto destinado a la adquisición de uniformes para el personal operativo para el ejercicio fiscal dos mil veinticinco. </w:t>
      </w:r>
    </w:p>
    <w:p w:rsidR="005B5F75" w:rsidRDefault="005B5F75">
      <w:pPr>
        <w:pBdr>
          <w:top w:val="nil"/>
          <w:left w:val="nil"/>
          <w:bottom w:val="nil"/>
          <w:right w:val="nil"/>
          <w:between w:val="nil"/>
        </w:pBdr>
        <w:ind w:left="720" w:right="-787"/>
        <w:rPr>
          <w:rFonts w:ascii="Palatino Linotype" w:eastAsia="Palatino Linotype" w:hAnsi="Palatino Linotype" w:cs="Palatino Linotype"/>
          <w:color w:val="000000"/>
        </w:rPr>
      </w:pPr>
    </w:p>
    <w:p w:rsidR="005B5F75" w:rsidRDefault="00AC33D9">
      <w:pPr>
        <w:numPr>
          <w:ilvl w:val="0"/>
          <w:numId w:val="3"/>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Monto invertido en equipo de protección personal para bomberos del uno de enero al doce de enero de dos mil veintiséis.</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spacing w:line="360" w:lineRule="auto"/>
        <w:ind w:right="-787"/>
        <w:jc w:val="both"/>
        <w:rPr>
          <w:rFonts w:ascii="Palatino Linotype" w:eastAsia="Palatino Linotype" w:hAnsi="Palatino Linotype" w:cs="Palatino Linotype"/>
        </w:rPr>
      </w:pPr>
      <w:bookmarkStart w:id="11" w:name="_heading=h.kh6rkiw7s1xx" w:colFirst="0" w:colLast="0"/>
      <w:bookmarkEnd w:id="11"/>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r>
        <w:rPr>
          <w:rFonts w:ascii="Palatino Linotype" w:eastAsia="Palatino Linotype" w:hAnsi="Palatino Linotype" w:cs="Palatino Linotype"/>
        </w:rPr>
        <w:t>.</w:t>
      </w:r>
    </w:p>
    <w:p w:rsidR="005B5F75" w:rsidRDefault="005B5F75">
      <w:pPr>
        <w:tabs>
          <w:tab w:val="left" w:pos="8080"/>
        </w:tabs>
        <w:spacing w:line="360" w:lineRule="auto"/>
        <w:ind w:right="-787"/>
        <w:jc w:val="both"/>
        <w:rPr>
          <w:rFonts w:ascii="Palatino Linotype" w:eastAsia="Palatino Linotype" w:hAnsi="Palatino Linotype" w:cs="Palatino Linotype"/>
          <w:b/>
          <w:bCs/>
        </w:rPr>
      </w:pPr>
    </w:p>
    <w:p w:rsidR="005B5F75" w:rsidRDefault="00AC33D9">
      <w:pPr>
        <w:tabs>
          <w:tab w:val="left" w:pos="8080"/>
        </w:tabs>
        <w:spacing w:line="360" w:lineRule="auto"/>
        <w:ind w:right="-787"/>
        <w:jc w:val="both"/>
        <w:rPr>
          <w:rFonts w:ascii="Palatino Linotype" w:eastAsia="Palatino Linotype" w:hAnsi="Palatino Linotype" w:cs="Palatino Linotype"/>
          <w:highlight w:val="white"/>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highlight w:val="white"/>
        </w:rPr>
        <w:t>NOTIFÍQUESE</w:t>
      </w:r>
      <w:r>
        <w:rPr>
          <w:rFonts w:ascii="Palatino Linotype" w:eastAsia="Palatino Linotype" w:hAnsi="Palatino Linotype" w:cs="Palatino Linotype"/>
          <w:color w:val="222222"/>
          <w:highlight w:val="whit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37698A">
        <w:rPr>
          <w:rFonts w:ascii="Palatino Linotype" w:eastAsia="Palatino Linotype" w:hAnsi="Palatino Linotype" w:cs="Palatino Linotype"/>
          <w:b/>
          <w:color w:val="222222"/>
          <w:highlight w:val="white"/>
        </w:rPr>
        <w:t>dé cumplimiento a lo ordenado dentro del plazo de diez días hábiles</w:t>
      </w:r>
      <w:r>
        <w:rPr>
          <w:rFonts w:ascii="Palatino Linotype" w:eastAsia="Palatino Linotype" w:hAnsi="Palatino Linotype" w:cs="Palatino Linotype"/>
          <w:color w:val="222222"/>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Pr>
          <w:rFonts w:ascii="Palatino Linotype" w:eastAsia="Palatino Linotype" w:hAnsi="Palatino Linotype" w:cs="Palatino Linotype"/>
          <w:highlight w:val="white"/>
        </w:rPr>
        <w:t>.</w:t>
      </w:r>
    </w:p>
    <w:p w:rsidR="005B5F75" w:rsidRDefault="005B5F75">
      <w:pPr>
        <w:tabs>
          <w:tab w:val="left" w:pos="8080"/>
        </w:tabs>
        <w:spacing w:line="360" w:lineRule="auto"/>
        <w:ind w:right="-787"/>
        <w:jc w:val="both"/>
        <w:rPr>
          <w:rFonts w:ascii="Palatino Linotype" w:eastAsia="Palatino Linotype" w:hAnsi="Palatino Linotype" w:cs="Palatino Linotype"/>
          <w:highlight w:val="white"/>
        </w:rPr>
      </w:pPr>
    </w:p>
    <w:p w:rsidR="005B5F75" w:rsidRDefault="00AC33D9">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lastRenderedPageBreak/>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5B5F75" w:rsidRDefault="005B5F75">
      <w:pPr>
        <w:spacing w:line="360" w:lineRule="auto"/>
        <w:ind w:right="-787"/>
        <w:jc w:val="both"/>
        <w:rPr>
          <w:rFonts w:ascii="Palatino Linotype" w:eastAsia="Palatino Linotype" w:hAnsi="Palatino Linotype" w:cs="Palatino Linotype"/>
        </w:rPr>
      </w:pPr>
    </w:p>
    <w:p w:rsidR="005B5F75" w:rsidRDefault="00AC33D9">
      <w:pPr>
        <w:tabs>
          <w:tab w:val="left" w:pos="8080"/>
        </w:tabs>
        <w:spacing w:line="360" w:lineRule="auto"/>
        <w:ind w:right="-787"/>
        <w:jc w:val="both"/>
        <w:rPr>
          <w:rFonts w:ascii="Palatino Linotype" w:eastAsia="Palatino Linotype" w:hAnsi="Palatino Linotype" w:cs="Palatino Linotype"/>
        </w:rPr>
      </w:pPr>
      <w:bookmarkStart w:id="12" w:name="_heading=h.v430osfxpble" w:colFirst="0" w:colLast="0"/>
      <w:bookmarkEnd w:id="12"/>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5B5F75" w:rsidRDefault="005B5F75">
      <w:pPr>
        <w:tabs>
          <w:tab w:val="left" w:pos="8080"/>
        </w:tabs>
        <w:spacing w:line="360" w:lineRule="auto"/>
        <w:ind w:right="-787"/>
        <w:jc w:val="both"/>
        <w:rPr>
          <w:rFonts w:ascii="Palatino Linotype" w:eastAsia="Palatino Linotype" w:hAnsi="Palatino Linotype" w:cs="Palatino Linotype"/>
        </w:rPr>
      </w:pPr>
    </w:p>
    <w:p w:rsidR="005B5F75" w:rsidRDefault="00AC33D9">
      <w:pPr>
        <w:shd w:val="clear" w:color="auto" w:fill="FFFFFF"/>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B5F75" w:rsidRDefault="005B5F75">
      <w:pPr>
        <w:shd w:val="clear" w:color="auto" w:fill="FFFFFF"/>
        <w:spacing w:line="360" w:lineRule="auto"/>
        <w:ind w:right="-787"/>
        <w:jc w:val="both"/>
        <w:rPr>
          <w:rFonts w:ascii="Palatino Linotype" w:eastAsia="Palatino Linotype" w:hAnsi="Palatino Linotype" w:cs="Palatino Linotype"/>
        </w:rPr>
      </w:pPr>
    </w:p>
    <w:p w:rsidR="0037698A" w:rsidRPr="003E2295" w:rsidRDefault="0037698A" w:rsidP="0037698A">
      <w:pPr>
        <w:spacing w:before="240" w:after="240" w:line="360" w:lineRule="auto"/>
        <w:ind w:right="-660" w:firstLine="1"/>
        <w:jc w:val="both"/>
        <w:rPr>
          <w:rFonts w:ascii="Palatino Linotype" w:hAnsi="Palatino Linotype"/>
        </w:rPr>
      </w:pPr>
      <w:bookmarkStart w:id="13"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3"/>
    <w:p w:rsidR="005B5F75" w:rsidRDefault="005B5F75" w:rsidP="0037698A">
      <w:pPr>
        <w:spacing w:line="360" w:lineRule="auto"/>
        <w:ind w:right="-660"/>
        <w:jc w:val="both"/>
        <w:rPr>
          <w:rFonts w:ascii="Palatino Linotype" w:eastAsia="Palatino Linotype" w:hAnsi="Palatino Linotype" w:cs="Palatino Linotype"/>
        </w:rPr>
      </w:pPr>
    </w:p>
    <w:p w:rsidR="005B5F75" w:rsidRDefault="005B5F75" w:rsidP="0037698A">
      <w:pPr>
        <w:spacing w:line="360" w:lineRule="auto"/>
        <w:ind w:right="-660"/>
        <w:jc w:val="both"/>
        <w:rPr>
          <w:rFonts w:ascii="Palatino Linotype" w:eastAsia="Palatino Linotype" w:hAnsi="Palatino Linotype" w:cs="Palatino Linotype"/>
        </w:rPr>
      </w:pPr>
    </w:p>
    <w:p w:rsidR="005B5F75" w:rsidRDefault="005B5F75" w:rsidP="0037698A">
      <w:pPr>
        <w:spacing w:line="360" w:lineRule="auto"/>
        <w:ind w:right="-660"/>
        <w:jc w:val="both"/>
        <w:rPr>
          <w:rFonts w:ascii="Palatino Linotype" w:eastAsia="Palatino Linotype" w:hAnsi="Palatino Linotype" w:cs="Palatino Linotype"/>
        </w:rPr>
      </w:pPr>
    </w:p>
    <w:p w:rsidR="005B5F75" w:rsidRDefault="005B5F75" w:rsidP="0037698A">
      <w:pPr>
        <w:spacing w:line="360" w:lineRule="auto"/>
        <w:ind w:right="-660"/>
        <w:rPr>
          <w:rFonts w:ascii="Palatino Linotype" w:eastAsia="Palatino Linotype" w:hAnsi="Palatino Linotype" w:cs="Palatino Linotype"/>
        </w:rPr>
      </w:pPr>
    </w:p>
    <w:p w:rsidR="005B5F75" w:rsidRDefault="005B5F75">
      <w:pPr>
        <w:spacing w:line="360" w:lineRule="auto"/>
        <w:ind w:right="-787"/>
        <w:rPr>
          <w:rFonts w:ascii="Palatino Linotype" w:eastAsia="Palatino Linotype" w:hAnsi="Palatino Linotype" w:cs="Palatino Linotype"/>
        </w:rPr>
      </w:pPr>
    </w:p>
    <w:p w:rsidR="005B5F75" w:rsidRDefault="005B5F75">
      <w:pPr>
        <w:spacing w:line="360" w:lineRule="auto"/>
        <w:ind w:right="-787"/>
        <w:rPr>
          <w:rFonts w:ascii="Palatino Linotype" w:eastAsia="Palatino Linotype" w:hAnsi="Palatino Linotype" w:cs="Palatino Linotype"/>
        </w:rPr>
      </w:pPr>
    </w:p>
    <w:p w:rsidR="005B5F75" w:rsidRDefault="005B5F75">
      <w:pPr>
        <w:spacing w:line="360" w:lineRule="auto"/>
        <w:ind w:right="-787"/>
        <w:rPr>
          <w:rFonts w:ascii="Palatino Linotype" w:eastAsia="Palatino Linotype" w:hAnsi="Palatino Linotype" w:cs="Palatino Linotype"/>
        </w:rPr>
      </w:pPr>
    </w:p>
    <w:p w:rsidR="005B5F75" w:rsidRDefault="005B5F75">
      <w:pPr>
        <w:spacing w:line="360" w:lineRule="auto"/>
        <w:ind w:right="-787"/>
        <w:rPr>
          <w:rFonts w:ascii="Palatino Linotype" w:eastAsia="Palatino Linotype" w:hAnsi="Palatino Linotype" w:cs="Palatino Linotype"/>
        </w:rPr>
      </w:pPr>
    </w:p>
    <w:p w:rsidR="005B5F75" w:rsidRDefault="005B5F75">
      <w:pPr>
        <w:spacing w:line="360" w:lineRule="auto"/>
        <w:ind w:right="-787"/>
        <w:rPr>
          <w:rFonts w:ascii="Palatino Linotype" w:eastAsia="Palatino Linotype" w:hAnsi="Palatino Linotype" w:cs="Palatino Linotype"/>
        </w:rPr>
      </w:pPr>
    </w:p>
    <w:p w:rsidR="005B5F75" w:rsidRDefault="005B5F75">
      <w:pPr>
        <w:spacing w:line="360" w:lineRule="auto"/>
        <w:ind w:right="-787"/>
        <w:rPr>
          <w:rFonts w:ascii="Palatino Linotype" w:eastAsia="Palatino Linotype" w:hAnsi="Palatino Linotype" w:cs="Palatino Linotype"/>
        </w:rPr>
      </w:pPr>
    </w:p>
    <w:p w:rsidR="005B5F75" w:rsidRDefault="00AC33D9">
      <w:pPr>
        <w:tabs>
          <w:tab w:val="left" w:pos="3374"/>
        </w:tabs>
        <w:spacing w:line="360" w:lineRule="auto"/>
        <w:ind w:right="-787"/>
        <w:rPr>
          <w:rFonts w:ascii="Palatino Linotype" w:eastAsia="Palatino Linotype" w:hAnsi="Palatino Linotype" w:cs="Palatino Linotype"/>
        </w:rPr>
      </w:pPr>
      <w:r>
        <w:rPr>
          <w:rFonts w:ascii="Palatino Linotype" w:eastAsia="Palatino Linotype" w:hAnsi="Palatino Linotype" w:cs="Palatino Linotype"/>
        </w:rPr>
        <w:tab/>
      </w:r>
    </w:p>
    <w:p w:rsidR="005B5F75" w:rsidRDefault="005B5F75">
      <w:pPr>
        <w:tabs>
          <w:tab w:val="left" w:pos="3374"/>
        </w:tabs>
        <w:spacing w:line="360" w:lineRule="auto"/>
        <w:ind w:right="-787"/>
        <w:rPr>
          <w:rFonts w:ascii="Palatino Linotype" w:eastAsia="Palatino Linotype" w:hAnsi="Palatino Linotype" w:cs="Palatino Linotype"/>
        </w:rPr>
      </w:pPr>
    </w:p>
    <w:p w:rsidR="005B5F75" w:rsidRDefault="005B5F75">
      <w:pPr>
        <w:tabs>
          <w:tab w:val="left" w:pos="3374"/>
        </w:tabs>
        <w:spacing w:line="360" w:lineRule="auto"/>
        <w:ind w:right="-787"/>
        <w:rPr>
          <w:rFonts w:ascii="Palatino Linotype" w:eastAsia="Palatino Linotype" w:hAnsi="Palatino Linotype" w:cs="Palatino Linotype"/>
        </w:rPr>
      </w:pPr>
    </w:p>
    <w:p w:rsidR="005B5F75" w:rsidRDefault="005B5F75">
      <w:pPr>
        <w:tabs>
          <w:tab w:val="left" w:pos="3374"/>
        </w:tabs>
        <w:spacing w:line="360" w:lineRule="auto"/>
        <w:ind w:right="-787"/>
        <w:rPr>
          <w:rFonts w:ascii="Palatino Linotype" w:eastAsia="Palatino Linotype" w:hAnsi="Palatino Linotype" w:cs="Palatino Linotype"/>
        </w:rPr>
      </w:pPr>
    </w:p>
    <w:p w:rsidR="005B5F75" w:rsidRDefault="005B5F75">
      <w:pPr>
        <w:tabs>
          <w:tab w:val="left" w:pos="3374"/>
        </w:tabs>
        <w:spacing w:line="360" w:lineRule="auto"/>
        <w:ind w:right="-787"/>
        <w:rPr>
          <w:rFonts w:ascii="Palatino Linotype" w:eastAsia="Palatino Linotype" w:hAnsi="Palatino Linotype" w:cs="Palatino Linotype"/>
        </w:rPr>
      </w:pPr>
    </w:p>
    <w:p w:rsidR="005B5F75" w:rsidRDefault="005B5F75">
      <w:pPr>
        <w:tabs>
          <w:tab w:val="left" w:pos="3374"/>
        </w:tabs>
        <w:spacing w:line="360" w:lineRule="auto"/>
        <w:ind w:right="-787"/>
        <w:rPr>
          <w:rFonts w:ascii="Palatino Linotype" w:eastAsia="Palatino Linotype" w:hAnsi="Palatino Linotype" w:cs="Palatino Linotype"/>
        </w:rPr>
      </w:pPr>
    </w:p>
    <w:p w:rsidR="005B5F75" w:rsidRDefault="005B5F75">
      <w:pPr>
        <w:ind w:right="-787"/>
      </w:pPr>
    </w:p>
    <w:sectPr w:rsidR="005B5F75">
      <w:headerReference w:type="even" r:id="rId12"/>
      <w:headerReference w:type="default" r:id="rId13"/>
      <w:footerReference w:type="default" r:id="rId14"/>
      <w:headerReference w:type="first" r:id="rId15"/>
      <w:footerReference w:type="first" r:id="rId16"/>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EAF" w:rsidRDefault="00246EAF">
      <w:r>
        <w:separator/>
      </w:r>
    </w:p>
  </w:endnote>
  <w:endnote w:type="continuationSeparator" w:id="0">
    <w:p w:rsidR="00246EAF" w:rsidRDefault="00246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3C2A5D70-2756-4686-8BB9-ACF5F6DFD89C}"/>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147A7879-7F0F-4781-BD93-ED925F760D46}"/>
    <w:embedBold r:id="rId3" w:fontKey="{8D2B640D-A4CC-4697-ADF2-33315E41E215}"/>
    <w:embedItalic r:id="rId4" w:fontKey="{75A3B17A-2534-4D4D-8E2D-40A355BE38A5}"/>
    <w:embedBoldItalic r:id="rId5" w:fontKey="{0AE10B62-C447-4AB8-9F43-B97FD3C30FE7}"/>
  </w:font>
  <w:font w:name="Calibri">
    <w:panose1 w:val="020F0502020204030204"/>
    <w:charset w:val="00"/>
    <w:family w:val="swiss"/>
    <w:pitch w:val="variable"/>
    <w:sig w:usb0="E4002EFF" w:usb1="C200247B" w:usb2="00000009" w:usb3="00000000" w:csb0="000001FF" w:csb1="00000000"/>
    <w:embedRegular r:id="rId6" w:fontKey="{952F24B7-F5BE-4E6C-BB39-DCD60207BA8F}"/>
    <w:embedBold r:id="rId7" w:fontKey="{64ECD20B-39F0-4D0C-8DA9-F3DC3B0A7A7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CF2591CC-9E91-4944-B76C-E8FD945A1777}"/>
  </w:font>
  <w:font w:name="Cambria">
    <w:panose1 w:val="02040503050406030204"/>
    <w:charset w:val="00"/>
    <w:family w:val="roman"/>
    <w:pitch w:val="variable"/>
    <w:sig w:usb0="E00006FF" w:usb1="420024FF" w:usb2="02000000" w:usb3="00000000" w:csb0="0000019F" w:csb1="00000000"/>
    <w:embedRegular r:id="rId9" w:fontKey="{41DB1BE2-0925-4045-9FBF-B8790B8448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F75" w:rsidRDefault="00AC33D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B30309">
      <w:rPr>
        <w:rFonts w:ascii="Palatino Linotype" w:eastAsia="Palatino Linotype" w:hAnsi="Palatino Linotype" w:cs="Palatino Linotype"/>
        <w:noProof/>
        <w:color w:val="000000"/>
        <w:sz w:val="22"/>
        <w:szCs w:val="22"/>
      </w:rPr>
      <w:t>13</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B30309">
      <w:rPr>
        <w:rFonts w:ascii="Palatino Linotype" w:eastAsia="Palatino Linotype" w:hAnsi="Palatino Linotype" w:cs="Palatino Linotype"/>
        <w:noProof/>
        <w:color w:val="000000"/>
        <w:sz w:val="22"/>
        <w:szCs w:val="22"/>
      </w:rPr>
      <w:t>67</w:t>
    </w:r>
    <w:r>
      <w:rPr>
        <w:rFonts w:ascii="Palatino Linotype" w:eastAsia="Palatino Linotype" w:hAnsi="Palatino Linotype" w:cs="Palatino Linotype"/>
        <w:color w:val="000000"/>
        <w:sz w:val="22"/>
        <w:szCs w:val="22"/>
      </w:rPr>
      <w:fldChar w:fldCharType="end"/>
    </w:r>
  </w:p>
  <w:p w:rsidR="005B5F75" w:rsidRDefault="005B5F7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F75" w:rsidRDefault="00AC33D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B30309">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B30309">
      <w:rPr>
        <w:rFonts w:ascii="Palatino Linotype" w:eastAsia="Palatino Linotype" w:hAnsi="Palatino Linotype" w:cs="Palatino Linotype"/>
        <w:noProof/>
        <w:color w:val="000000"/>
        <w:sz w:val="22"/>
        <w:szCs w:val="22"/>
      </w:rPr>
      <w:t>67</w:t>
    </w:r>
    <w:r>
      <w:rPr>
        <w:rFonts w:ascii="Palatino Linotype" w:eastAsia="Palatino Linotype" w:hAnsi="Palatino Linotype" w:cs="Palatino Linotype"/>
        <w:color w:val="000000"/>
        <w:sz w:val="22"/>
        <w:szCs w:val="22"/>
      </w:rPr>
      <w:fldChar w:fldCharType="end"/>
    </w:r>
  </w:p>
  <w:p w:rsidR="005B5F75" w:rsidRDefault="005B5F7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EAF" w:rsidRDefault="00246EAF">
      <w:r>
        <w:separator/>
      </w:r>
    </w:p>
  </w:footnote>
  <w:footnote w:type="continuationSeparator" w:id="0">
    <w:p w:rsidR="00246EAF" w:rsidRDefault="00246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F75" w:rsidRDefault="00246EA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519" w:type="dxa"/>
      <w:tblInd w:w="3119" w:type="dxa"/>
      <w:tblLayout w:type="fixed"/>
      <w:tblLook w:val="0400" w:firstRow="0" w:lastRow="0" w:firstColumn="0" w:lastColumn="0" w:noHBand="0" w:noVBand="1"/>
    </w:tblPr>
    <w:tblGrid>
      <w:gridCol w:w="2976"/>
      <w:gridCol w:w="3543"/>
    </w:tblGrid>
    <w:tr w:rsidR="005B5F75" w:rsidTr="006E3FD0">
      <w:trPr>
        <w:trHeight w:val="227"/>
      </w:trPr>
      <w:tc>
        <w:tcPr>
          <w:tcW w:w="2976" w:type="dxa"/>
          <w:vAlign w:val="center"/>
        </w:tcPr>
        <w:p w:rsidR="005B5F75" w:rsidRDefault="00AC33D9">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rsidR="005B5F75" w:rsidRDefault="00AC33D9">
          <w:pPr>
            <w:pBdr>
              <w:top w:val="nil"/>
              <w:left w:val="nil"/>
              <w:bottom w:val="nil"/>
              <w:right w:val="nil"/>
              <w:between w:val="nil"/>
            </w:pBdr>
            <w:tabs>
              <w:tab w:val="center" w:pos="4419"/>
              <w:tab w:val="right" w:pos="8838"/>
            </w:tabs>
            <w:ind w:right="-114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01393/INFOEM/IP/RR/2026</w:t>
          </w:r>
        </w:p>
      </w:tc>
    </w:tr>
    <w:tr w:rsidR="005B5F75" w:rsidTr="006E3FD0">
      <w:trPr>
        <w:trHeight w:val="242"/>
      </w:trPr>
      <w:tc>
        <w:tcPr>
          <w:tcW w:w="2976" w:type="dxa"/>
          <w:vAlign w:val="center"/>
        </w:tcPr>
        <w:p w:rsidR="005B5F75" w:rsidRDefault="00AC33D9">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rsidR="005B5F75" w:rsidRDefault="00AC33D9">
          <w:pPr>
            <w:pBdr>
              <w:top w:val="nil"/>
              <w:left w:val="nil"/>
              <w:bottom w:val="nil"/>
              <w:right w:val="nil"/>
              <w:between w:val="nil"/>
            </w:pBdr>
            <w:tabs>
              <w:tab w:val="center" w:pos="4419"/>
              <w:tab w:val="right" w:pos="8838"/>
            </w:tabs>
            <w:ind w:right="-114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Valle de Bravo</w:t>
          </w:r>
        </w:p>
      </w:tc>
    </w:tr>
    <w:tr w:rsidR="005B5F75" w:rsidTr="006E3FD0">
      <w:trPr>
        <w:trHeight w:val="342"/>
      </w:trPr>
      <w:tc>
        <w:tcPr>
          <w:tcW w:w="2976" w:type="dxa"/>
          <w:vAlign w:val="center"/>
        </w:tcPr>
        <w:p w:rsidR="005B5F75" w:rsidRDefault="00AC33D9">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rsidR="005B5F75" w:rsidRDefault="00AC33D9">
          <w:pPr>
            <w:pBdr>
              <w:top w:val="nil"/>
              <w:left w:val="nil"/>
              <w:bottom w:val="nil"/>
              <w:right w:val="nil"/>
              <w:between w:val="nil"/>
            </w:pBdr>
            <w:tabs>
              <w:tab w:val="center" w:pos="4419"/>
              <w:tab w:val="right" w:pos="8838"/>
            </w:tabs>
            <w:ind w:right="-114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5B5F75" w:rsidRDefault="00246EA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660" w:type="dxa"/>
      <w:tblInd w:w="3261" w:type="dxa"/>
      <w:tblLayout w:type="fixed"/>
      <w:tblLook w:val="0400" w:firstRow="0" w:lastRow="0" w:firstColumn="0" w:lastColumn="0" w:noHBand="0" w:noVBand="1"/>
    </w:tblPr>
    <w:tblGrid>
      <w:gridCol w:w="2977"/>
      <w:gridCol w:w="3683"/>
    </w:tblGrid>
    <w:tr w:rsidR="005B5F75" w:rsidTr="006E3FD0">
      <w:trPr>
        <w:trHeight w:val="227"/>
      </w:trPr>
      <w:tc>
        <w:tcPr>
          <w:tcW w:w="2977" w:type="dxa"/>
          <w:vAlign w:val="center"/>
        </w:tcPr>
        <w:p w:rsidR="005B5F75" w:rsidRDefault="00AC33D9">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rsidR="005B5F75" w:rsidRDefault="00AC33D9">
          <w:pPr>
            <w:pBdr>
              <w:top w:val="nil"/>
              <w:left w:val="nil"/>
              <w:bottom w:val="nil"/>
              <w:right w:val="nil"/>
              <w:between w:val="nil"/>
            </w:pBdr>
            <w:tabs>
              <w:tab w:val="center" w:pos="4419"/>
              <w:tab w:val="right" w:pos="8838"/>
            </w:tabs>
            <w:ind w:right="-860"/>
            <w:rPr>
              <w:rFonts w:ascii="Palatino Linotype" w:eastAsia="Palatino Linotype" w:hAnsi="Palatino Linotype" w:cs="Palatino Linotype"/>
              <w:color w:val="000000"/>
            </w:rPr>
          </w:pPr>
          <w:r>
            <w:rPr>
              <w:rFonts w:ascii="Palatino Linotype" w:eastAsia="Palatino Linotype" w:hAnsi="Palatino Linotype" w:cs="Palatino Linotype"/>
              <w:color w:val="000000"/>
            </w:rPr>
            <w:t>01393/INFOEM/IP/RR/2026</w:t>
          </w:r>
        </w:p>
      </w:tc>
    </w:tr>
    <w:tr w:rsidR="005B5F75" w:rsidTr="006E3FD0">
      <w:trPr>
        <w:trHeight w:val="242"/>
      </w:trPr>
      <w:tc>
        <w:tcPr>
          <w:tcW w:w="2977" w:type="dxa"/>
          <w:vAlign w:val="center"/>
        </w:tcPr>
        <w:p w:rsidR="005B5F75" w:rsidRDefault="00AC33D9">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rsidR="005B5F75" w:rsidRDefault="00B30309">
          <w:pPr>
            <w:pBdr>
              <w:top w:val="nil"/>
              <w:left w:val="nil"/>
              <w:bottom w:val="nil"/>
              <w:right w:val="nil"/>
              <w:between w:val="nil"/>
            </w:pBdr>
            <w:tabs>
              <w:tab w:val="center" w:pos="4419"/>
              <w:tab w:val="right" w:pos="8838"/>
              <w:tab w:val="left" w:pos="521"/>
            </w:tabs>
            <w:ind w:right="-860"/>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5B5F75" w:rsidTr="006E3FD0">
      <w:trPr>
        <w:trHeight w:val="342"/>
      </w:trPr>
      <w:tc>
        <w:tcPr>
          <w:tcW w:w="2977" w:type="dxa"/>
          <w:vAlign w:val="center"/>
        </w:tcPr>
        <w:p w:rsidR="005B5F75" w:rsidRDefault="00AC33D9">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rsidR="005B5F75" w:rsidRDefault="00AC33D9">
          <w:pPr>
            <w:pBdr>
              <w:top w:val="nil"/>
              <w:left w:val="nil"/>
              <w:bottom w:val="nil"/>
              <w:right w:val="nil"/>
              <w:between w:val="nil"/>
            </w:pBdr>
            <w:tabs>
              <w:tab w:val="center" w:pos="4419"/>
              <w:tab w:val="right" w:pos="8838"/>
            </w:tabs>
            <w:ind w:right="-86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Ayuntamiento de Valle de Bravo </w:t>
          </w:r>
        </w:p>
      </w:tc>
    </w:tr>
    <w:tr w:rsidR="005B5F75" w:rsidTr="006E3FD0">
      <w:trPr>
        <w:trHeight w:val="342"/>
      </w:trPr>
      <w:tc>
        <w:tcPr>
          <w:tcW w:w="2977" w:type="dxa"/>
          <w:vAlign w:val="center"/>
        </w:tcPr>
        <w:p w:rsidR="005B5F75" w:rsidRDefault="00AC33D9">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rsidR="005B5F75" w:rsidRDefault="00AC33D9">
          <w:pPr>
            <w:pBdr>
              <w:top w:val="nil"/>
              <w:left w:val="nil"/>
              <w:bottom w:val="nil"/>
              <w:right w:val="nil"/>
              <w:between w:val="nil"/>
            </w:pBdr>
            <w:tabs>
              <w:tab w:val="center" w:pos="4419"/>
              <w:tab w:val="right" w:pos="8838"/>
            </w:tabs>
            <w:ind w:right="-86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5B5F75" w:rsidRDefault="00246EA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0AF7"/>
    <w:multiLevelType w:val="multilevel"/>
    <w:tmpl w:val="CC72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991034"/>
    <w:multiLevelType w:val="multilevel"/>
    <w:tmpl w:val="932A4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2E2214"/>
    <w:multiLevelType w:val="multilevel"/>
    <w:tmpl w:val="2BC8DDD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 w15:restartNumberingAfterBreak="0">
    <w:nsid w:val="4D876F11"/>
    <w:multiLevelType w:val="multilevel"/>
    <w:tmpl w:val="75D050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2C6DB4"/>
    <w:multiLevelType w:val="multilevel"/>
    <w:tmpl w:val="BA8AB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6F241A"/>
    <w:multiLevelType w:val="multilevel"/>
    <w:tmpl w:val="89C4C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B4D0594"/>
    <w:multiLevelType w:val="multilevel"/>
    <w:tmpl w:val="3F46D9A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num>
  <w:num w:numId="3">
    <w:abstractNumId w:val="1"/>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75"/>
    <w:rsid w:val="0010345B"/>
    <w:rsid w:val="00246EAF"/>
    <w:rsid w:val="00364F44"/>
    <w:rsid w:val="0037698A"/>
    <w:rsid w:val="005B5F75"/>
    <w:rsid w:val="006E3FD0"/>
    <w:rsid w:val="009052BD"/>
    <w:rsid w:val="00AC33D9"/>
    <w:rsid w:val="00B303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E725F3A-262F-4930-85C3-3DB5A128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6E3FD0"/>
    <w:pPr>
      <w:tabs>
        <w:tab w:val="center" w:pos="4419"/>
        <w:tab w:val="right" w:pos="8838"/>
      </w:tabs>
    </w:pPr>
  </w:style>
  <w:style w:type="character" w:customStyle="1" w:styleId="PiedepginaCar">
    <w:name w:val="Pie de página Car"/>
    <w:basedOn w:val="Fuentedeprrafopredeter"/>
    <w:link w:val="Piedepgina"/>
    <w:uiPriority w:val="99"/>
    <w:rsid w:val="006E3FD0"/>
  </w:style>
  <w:style w:type="paragraph" w:styleId="Prrafodelista">
    <w:name w:val="List Paragraph"/>
    <w:basedOn w:val="Normal"/>
    <w:uiPriority w:val="34"/>
    <w:qFormat/>
    <w:rsid w:val="006E3F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f.gob.mx/nota_detalle.php?codigo=5492254&amp;fecha=28/07/2017"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ymfZR+knN73CSNUewVKiZytnmg==">CgMxLjAyDmguZGF3cGd2Y3VsZWc0Mg5oLjl1Ym1oYzFsZDAwcjIOaC5nbzhsbGFoZm5tN3AyDmgudHJwYXR1dGYwYWJ2Mg5oLmI5djV1OHVhcWZnZDIOaC52cmllMmJzZ2pvOXMyDmguODAwbjBucjIxdXY1Mg5oLnNycDA4ejNpMWNkcTIOaC5vN3I5bmxicGxxeXgyDmguOXo0aW1kczc1cmVwMg5oLmtoNnJraXc3czF4eDIOaC52NDMwb3NmeHBibGU4AHIhMVZtVEUtSHpCQjhWdWFoOXFRdExZSFlQSDNKbUxmS2t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F3DBC7-5EEC-4E79-A72A-C2FAB9F3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67</Pages>
  <Words>21216</Words>
  <Characters>116694</Characters>
  <Application>Microsoft Office Word</Application>
  <DocSecurity>0</DocSecurity>
  <Lines>972</Lines>
  <Paragraphs>275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2026-05-21T23:12:00Z</cp:lastPrinted>
  <dcterms:created xsi:type="dcterms:W3CDTF">2026-05-20T18:56:00Z</dcterms:created>
  <dcterms:modified xsi:type="dcterms:W3CDTF">2026-05-28T23:20:00Z</dcterms:modified>
</cp:coreProperties>
</file>