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572E7A5" w14:textId="3437066F" w:rsidR="008E7388" w:rsidRPr="004E42A5" w:rsidRDefault="008E7388" w:rsidP="001F276C">
      <w:pPr>
        <w:shd w:val="clear" w:color="auto" w:fill="FFFFFF"/>
        <w:spacing w:line="360" w:lineRule="auto"/>
        <w:jc w:val="both"/>
        <w:rPr>
          <w:rFonts w:ascii="Palatino Linotype" w:hAnsi="Palatino Linotype" w:cs="Arial"/>
          <w:color w:val="000000"/>
          <w:lang w:val="es-MX" w:eastAsia="es-MX"/>
        </w:rPr>
      </w:pPr>
      <w:r w:rsidRPr="004E42A5">
        <w:rPr>
          <w:rFonts w:ascii="Palatino Linotype" w:hAnsi="Palatino Linotype" w:cs="Arial"/>
          <w:color w:val="000000"/>
          <w:lang w:val="es-MX" w:eastAsia="es-MX"/>
        </w:rPr>
        <w:t xml:space="preserve">Resolución del Pleno del Instituto de Transparencia, Acceso a la Información Pública y Protección de Datos Personales del Estado de México y Municipios, con domicilio en Metepec, Estado de México, a </w:t>
      </w:r>
      <w:r w:rsidR="003E4281" w:rsidRPr="004E42A5">
        <w:rPr>
          <w:rFonts w:ascii="Palatino Linotype" w:hAnsi="Palatino Linotype" w:cs="Arial"/>
          <w:bCs/>
          <w:color w:val="000000"/>
          <w:lang w:val="es-MX" w:eastAsia="es-MX"/>
        </w:rPr>
        <w:t>tres de junio</w:t>
      </w:r>
      <w:r w:rsidR="00EA503C" w:rsidRPr="004E42A5">
        <w:rPr>
          <w:rFonts w:ascii="Palatino Linotype" w:hAnsi="Palatino Linotype" w:cs="Arial"/>
          <w:bCs/>
          <w:color w:val="000000"/>
          <w:lang w:val="es-MX" w:eastAsia="es-MX"/>
        </w:rPr>
        <w:t xml:space="preserve"> de dos mil veintiséis.</w:t>
      </w:r>
      <w:r w:rsidR="00EA503C" w:rsidRPr="004E42A5">
        <w:rPr>
          <w:rFonts w:ascii="Palatino Linotype" w:hAnsi="Palatino Linotype" w:cs="Arial"/>
          <w:b/>
          <w:color w:val="000000"/>
          <w:lang w:val="es-MX" w:eastAsia="es-MX"/>
        </w:rPr>
        <w:t xml:space="preserve"> </w:t>
      </w:r>
      <w:r w:rsidR="005D2A2B" w:rsidRPr="004E42A5">
        <w:rPr>
          <w:rFonts w:ascii="Palatino Linotype" w:hAnsi="Palatino Linotype" w:cs="Arial"/>
          <w:b/>
          <w:color w:val="000000"/>
          <w:lang w:val="es-MX" w:eastAsia="es-MX"/>
        </w:rPr>
        <w:t xml:space="preserve"> </w:t>
      </w:r>
      <w:r w:rsidR="00C052BE" w:rsidRPr="004E42A5">
        <w:rPr>
          <w:rFonts w:ascii="Palatino Linotype" w:hAnsi="Palatino Linotype" w:cs="Arial"/>
          <w:b/>
          <w:color w:val="000000"/>
          <w:lang w:val="es-MX" w:eastAsia="es-MX"/>
        </w:rPr>
        <w:t xml:space="preserve"> </w:t>
      </w:r>
      <w:r w:rsidR="00590D3B" w:rsidRPr="004E42A5">
        <w:rPr>
          <w:rFonts w:ascii="Palatino Linotype" w:hAnsi="Palatino Linotype" w:cs="Arial"/>
          <w:b/>
          <w:color w:val="000000"/>
          <w:lang w:val="es-MX" w:eastAsia="es-MX"/>
        </w:rPr>
        <w:t xml:space="preserve"> </w:t>
      </w:r>
    </w:p>
    <w:p w14:paraId="542D9017" w14:textId="77777777" w:rsidR="008E7388" w:rsidRPr="004E42A5" w:rsidRDefault="008E7388" w:rsidP="001F276C">
      <w:pPr>
        <w:tabs>
          <w:tab w:val="left" w:pos="1701"/>
        </w:tabs>
        <w:spacing w:line="360" w:lineRule="auto"/>
        <w:jc w:val="both"/>
        <w:rPr>
          <w:rFonts w:ascii="Palatino Linotype" w:hAnsi="Palatino Linotype" w:cs="Arial"/>
          <w:color w:val="000000"/>
          <w:lang w:val="es-MX" w:eastAsia="es-MX"/>
        </w:rPr>
      </w:pPr>
    </w:p>
    <w:p w14:paraId="335D2706" w14:textId="43F92D0D" w:rsidR="00EA503C" w:rsidRPr="004E42A5" w:rsidRDefault="008E7388" w:rsidP="001F276C">
      <w:pPr>
        <w:tabs>
          <w:tab w:val="left" w:pos="1701"/>
        </w:tabs>
        <w:spacing w:line="360" w:lineRule="auto"/>
        <w:jc w:val="both"/>
        <w:rPr>
          <w:rFonts w:ascii="Palatino Linotype" w:hAnsi="Palatino Linotype" w:cs="Arial"/>
        </w:rPr>
      </w:pPr>
      <w:r w:rsidRPr="004E42A5">
        <w:rPr>
          <w:rFonts w:ascii="Palatino Linotype" w:eastAsiaTheme="minorHAnsi" w:hAnsi="Palatino Linotype" w:cs="Arial"/>
          <w:b/>
          <w:lang w:val="es-MX" w:eastAsia="en-US"/>
        </w:rPr>
        <w:t>VISTO</w:t>
      </w:r>
      <w:r w:rsidRPr="004E42A5">
        <w:rPr>
          <w:rFonts w:ascii="Palatino Linotype" w:eastAsiaTheme="minorHAnsi" w:hAnsi="Palatino Linotype" w:cs="Arial"/>
          <w:lang w:val="es-MX" w:eastAsia="en-US"/>
        </w:rPr>
        <w:t xml:space="preserve"> el expediente electrónico formado con motivo del recurso de revisión número </w:t>
      </w:r>
      <w:r w:rsidR="00EA503C" w:rsidRPr="004E42A5">
        <w:rPr>
          <w:rFonts w:ascii="Palatino Linotype" w:eastAsiaTheme="minorHAnsi" w:hAnsi="Palatino Linotype" w:cs="Arial"/>
          <w:b/>
          <w:lang w:val="es-MX" w:eastAsia="en-US"/>
        </w:rPr>
        <w:t>08460</w:t>
      </w:r>
      <w:r w:rsidRPr="004E42A5">
        <w:rPr>
          <w:rFonts w:ascii="Palatino Linotype" w:eastAsiaTheme="minorHAnsi" w:hAnsi="Palatino Linotype" w:cs="Arial"/>
          <w:b/>
          <w:bCs/>
          <w:lang w:val="es-MX" w:eastAsia="es-MX"/>
        </w:rPr>
        <w:t>/INFOEM/IP/RR/202</w:t>
      </w:r>
      <w:r w:rsidR="005D2A2B" w:rsidRPr="004E42A5">
        <w:rPr>
          <w:rFonts w:ascii="Palatino Linotype" w:eastAsiaTheme="minorHAnsi" w:hAnsi="Palatino Linotype" w:cs="Arial"/>
          <w:b/>
          <w:bCs/>
          <w:lang w:val="es-MX" w:eastAsia="es-MX"/>
        </w:rPr>
        <w:t>5</w:t>
      </w:r>
      <w:r w:rsidRPr="004E42A5">
        <w:rPr>
          <w:rFonts w:ascii="Palatino Linotype" w:eastAsiaTheme="minorHAnsi" w:hAnsi="Palatino Linotype" w:cs="Arial"/>
          <w:lang w:val="es-MX" w:eastAsia="en-US"/>
        </w:rPr>
        <w:t xml:space="preserve">, </w:t>
      </w:r>
      <w:r w:rsidRPr="004E42A5">
        <w:rPr>
          <w:rFonts w:ascii="Palatino Linotype" w:hAnsi="Palatino Linotype" w:cs="Arial"/>
        </w:rPr>
        <w:t xml:space="preserve">interpuesto por </w:t>
      </w:r>
      <w:r w:rsidR="00EA503C" w:rsidRPr="004E42A5">
        <w:rPr>
          <w:rFonts w:ascii="Palatino Linotype" w:hAnsi="Palatino Linotype" w:cs="Arial"/>
        </w:rPr>
        <w:t xml:space="preserve">el </w:t>
      </w:r>
      <w:r w:rsidR="00EA503C" w:rsidRPr="004E42A5">
        <w:rPr>
          <w:rFonts w:ascii="Palatino Linotype" w:hAnsi="Palatino Linotype" w:cs="Arial"/>
          <w:b/>
          <w:bCs/>
        </w:rPr>
        <w:t xml:space="preserve">C. </w:t>
      </w:r>
      <w:r w:rsidR="00914217">
        <w:rPr>
          <w:rFonts w:ascii="Palatino Linotype" w:hAnsi="Palatino Linotype" w:cs="Arial"/>
          <w:b/>
          <w:bCs/>
        </w:rPr>
        <w:t>XXXXXXXXXXXXXXXXX</w:t>
      </w:r>
      <w:r w:rsidR="00EA503C" w:rsidRPr="004E42A5">
        <w:rPr>
          <w:rFonts w:ascii="Palatino Linotype" w:hAnsi="Palatino Linotype" w:cs="Arial"/>
          <w:b/>
          <w:bCs/>
        </w:rPr>
        <w:t>,</w:t>
      </w:r>
      <w:r w:rsidR="00EA503C" w:rsidRPr="004E42A5">
        <w:rPr>
          <w:rFonts w:ascii="Palatino Linotype" w:hAnsi="Palatino Linotype" w:cs="Arial"/>
        </w:rPr>
        <w:t xml:space="preserve"> en lo sucesivo </w:t>
      </w:r>
      <w:r w:rsidR="00EA503C" w:rsidRPr="004E42A5">
        <w:rPr>
          <w:rFonts w:ascii="Palatino Linotype" w:hAnsi="Palatino Linotype" w:cs="Arial"/>
          <w:b/>
          <w:bCs/>
        </w:rPr>
        <w:t xml:space="preserve">El Recurrente, </w:t>
      </w:r>
      <w:r w:rsidR="00EA503C" w:rsidRPr="004E42A5">
        <w:rPr>
          <w:rFonts w:ascii="Palatino Linotype" w:hAnsi="Palatino Linotype" w:cs="Arial"/>
        </w:rPr>
        <w:t xml:space="preserve">en contra de la respuesta de </w:t>
      </w:r>
      <w:r w:rsidR="00EA503C" w:rsidRPr="004E42A5">
        <w:rPr>
          <w:rFonts w:ascii="Palatino Linotype" w:hAnsi="Palatino Linotype" w:cs="Arial"/>
          <w:b/>
          <w:bCs/>
        </w:rPr>
        <w:t xml:space="preserve">Servicios Educativos Integrados al Estado de México, </w:t>
      </w:r>
      <w:r w:rsidR="00EA503C" w:rsidRPr="004E42A5">
        <w:rPr>
          <w:rFonts w:ascii="Palatino Linotype" w:hAnsi="Palatino Linotype" w:cs="Arial"/>
        </w:rPr>
        <w:t xml:space="preserve">en lo subsecuente </w:t>
      </w:r>
      <w:r w:rsidR="00EA503C" w:rsidRPr="004E42A5">
        <w:rPr>
          <w:rFonts w:ascii="Palatino Linotype" w:hAnsi="Palatino Linotype" w:cs="Arial"/>
          <w:b/>
          <w:bCs/>
        </w:rPr>
        <w:t xml:space="preserve">El Sujeto Obligado, </w:t>
      </w:r>
      <w:r w:rsidR="00EA503C" w:rsidRPr="004E42A5">
        <w:rPr>
          <w:rFonts w:ascii="Palatino Linotype" w:hAnsi="Palatino Linotype" w:cs="Arial"/>
        </w:rPr>
        <w:t xml:space="preserve">se procede a dictar la presente resolución. </w:t>
      </w:r>
    </w:p>
    <w:p w14:paraId="4654180B" w14:textId="77777777" w:rsidR="00590D3B" w:rsidRPr="004E42A5" w:rsidRDefault="00590D3B" w:rsidP="001F276C">
      <w:pPr>
        <w:spacing w:line="360" w:lineRule="auto"/>
        <w:jc w:val="center"/>
        <w:rPr>
          <w:rFonts w:ascii="Palatino Linotype" w:eastAsiaTheme="minorHAnsi" w:hAnsi="Palatino Linotype" w:cs="Arial"/>
          <w:b/>
          <w:sz w:val="28"/>
          <w:lang w:val="es-MX" w:eastAsia="en-US"/>
        </w:rPr>
      </w:pPr>
    </w:p>
    <w:p w14:paraId="3B5E2847" w14:textId="4AB96B3E" w:rsidR="008E7388" w:rsidRPr="004E42A5" w:rsidRDefault="008E7388" w:rsidP="001F276C">
      <w:pPr>
        <w:spacing w:line="360" w:lineRule="auto"/>
        <w:jc w:val="center"/>
        <w:rPr>
          <w:rFonts w:ascii="Palatino Linotype" w:eastAsiaTheme="minorHAnsi" w:hAnsi="Palatino Linotype" w:cs="Arial"/>
          <w:b/>
          <w:sz w:val="28"/>
          <w:lang w:val="es-MX" w:eastAsia="en-US"/>
        </w:rPr>
      </w:pPr>
      <w:r w:rsidRPr="004E42A5">
        <w:rPr>
          <w:rFonts w:ascii="Palatino Linotype" w:eastAsiaTheme="minorHAnsi" w:hAnsi="Palatino Linotype" w:cs="Arial"/>
          <w:b/>
          <w:sz w:val="28"/>
          <w:lang w:val="es-MX" w:eastAsia="en-US"/>
        </w:rPr>
        <w:t>A N T E C E D E N T E S</w:t>
      </w:r>
    </w:p>
    <w:p w14:paraId="263BFE5E" w14:textId="77777777" w:rsidR="008E7388" w:rsidRPr="004E42A5" w:rsidRDefault="008E7388" w:rsidP="001F276C">
      <w:pPr>
        <w:spacing w:line="360" w:lineRule="auto"/>
        <w:jc w:val="center"/>
        <w:rPr>
          <w:rFonts w:ascii="Palatino Linotype" w:eastAsiaTheme="minorHAnsi" w:hAnsi="Palatino Linotype" w:cs="Arial"/>
          <w:b/>
          <w:sz w:val="16"/>
          <w:lang w:val="es-MX" w:eastAsia="en-US"/>
        </w:rPr>
      </w:pPr>
    </w:p>
    <w:p w14:paraId="669A1611" w14:textId="77777777" w:rsidR="008E7388" w:rsidRPr="004E42A5" w:rsidRDefault="008E7388" w:rsidP="001F276C">
      <w:pPr>
        <w:spacing w:line="360" w:lineRule="auto"/>
        <w:jc w:val="both"/>
        <w:rPr>
          <w:rFonts w:ascii="Palatino Linotype" w:eastAsiaTheme="minorHAnsi" w:hAnsi="Palatino Linotype" w:cs="Arial"/>
          <w:b/>
          <w:sz w:val="28"/>
          <w:lang w:val="es-MX" w:eastAsia="en-US"/>
        </w:rPr>
      </w:pPr>
      <w:r w:rsidRPr="004E42A5">
        <w:rPr>
          <w:rFonts w:ascii="Palatino Linotype" w:eastAsiaTheme="minorHAnsi" w:hAnsi="Palatino Linotype" w:cs="Arial"/>
          <w:b/>
          <w:sz w:val="28"/>
          <w:lang w:val="es-MX" w:eastAsia="en-US"/>
        </w:rPr>
        <w:t>PRIMERO. De la solicitud de información.</w:t>
      </w:r>
    </w:p>
    <w:p w14:paraId="7D627BEC" w14:textId="182EC1E4" w:rsidR="00EA503C" w:rsidRPr="004E42A5" w:rsidRDefault="008E7388" w:rsidP="001F276C">
      <w:pPr>
        <w:spacing w:line="360" w:lineRule="auto"/>
        <w:jc w:val="both"/>
        <w:rPr>
          <w:rFonts w:ascii="Palatino Linotype" w:hAnsi="Palatino Linotype" w:cs="Arial"/>
        </w:rPr>
      </w:pPr>
      <w:r w:rsidRPr="004E42A5">
        <w:rPr>
          <w:rFonts w:ascii="Palatino Linotype" w:eastAsiaTheme="minorHAnsi" w:hAnsi="Palatino Linotype" w:cs="Arial"/>
          <w:szCs w:val="22"/>
          <w:lang w:val="es-MX" w:eastAsia="en-US"/>
        </w:rPr>
        <w:t>En fecha</w:t>
      </w:r>
      <w:r w:rsidR="00590D3B" w:rsidRPr="004E42A5">
        <w:rPr>
          <w:rFonts w:ascii="Palatino Linotype" w:eastAsiaTheme="minorHAnsi" w:hAnsi="Palatino Linotype" w:cs="Arial"/>
          <w:szCs w:val="22"/>
          <w:lang w:val="es-MX" w:eastAsia="en-US"/>
        </w:rPr>
        <w:t xml:space="preserve"> </w:t>
      </w:r>
      <w:r w:rsidR="00A16F3F" w:rsidRPr="004E42A5">
        <w:rPr>
          <w:rFonts w:ascii="Palatino Linotype" w:eastAsiaTheme="minorHAnsi" w:hAnsi="Palatino Linotype" w:cs="Arial"/>
          <w:b/>
          <w:bCs/>
          <w:szCs w:val="22"/>
          <w:lang w:val="es-MX" w:eastAsia="en-US"/>
        </w:rPr>
        <w:t xml:space="preserve">cuatro de julio de dos mil veinticinco, El Recurrente, </w:t>
      </w:r>
      <w:r w:rsidR="00A16F3F" w:rsidRPr="004E42A5">
        <w:rPr>
          <w:rFonts w:ascii="Palatino Linotype" w:hAnsi="Palatino Linotype" w:cs="Arial"/>
        </w:rPr>
        <w:t>presentó a través del Sistema de Acceso a la Información Mexiquense (</w:t>
      </w:r>
      <w:r w:rsidR="00A16F3F" w:rsidRPr="004E42A5">
        <w:rPr>
          <w:rFonts w:ascii="Palatino Linotype" w:hAnsi="Palatino Linotype" w:cs="Arial"/>
          <w:b/>
        </w:rPr>
        <w:t>SAIMEX)</w:t>
      </w:r>
      <w:r w:rsidR="00A16F3F" w:rsidRPr="004E42A5">
        <w:rPr>
          <w:rFonts w:ascii="Palatino Linotype" w:hAnsi="Palatino Linotype" w:cs="Arial"/>
        </w:rPr>
        <w:t xml:space="preserve"> ante </w:t>
      </w:r>
      <w:r w:rsidR="00A16F3F" w:rsidRPr="004E42A5">
        <w:rPr>
          <w:rFonts w:ascii="Palatino Linotype" w:hAnsi="Palatino Linotype" w:cs="Arial"/>
          <w:b/>
        </w:rPr>
        <w:t>El Sujeto Obligado</w:t>
      </w:r>
      <w:r w:rsidR="00A16F3F" w:rsidRPr="004E42A5">
        <w:rPr>
          <w:rFonts w:ascii="Palatino Linotype" w:hAnsi="Palatino Linotype" w:cs="Arial"/>
        </w:rPr>
        <w:t xml:space="preserve">, solicitud de acceso a la información pública, registrada bajo el número de expediente </w:t>
      </w:r>
      <w:r w:rsidR="00A16F3F" w:rsidRPr="004E42A5">
        <w:rPr>
          <w:rFonts w:ascii="Palatino Linotype" w:hAnsi="Palatino Linotype" w:cs="Arial"/>
          <w:b/>
          <w:bCs/>
        </w:rPr>
        <w:t xml:space="preserve">00162/SEIEM/IP/2025, </w:t>
      </w:r>
      <w:r w:rsidR="00A16F3F" w:rsidRPr="004E42A5">
        <w:rPr>
          <w:rFonts w:ascii="Palatino Linotype" w:hAnsi="Palatino Linotype" w:cs="Arial"/>
        </w:rPr>
        <w:t>mediante la cual solicitó información en el tenor siguiente:</w:t>
      </w:r>
    </w:p>
    <w:p w14:paraId="73B834CE" w14:textId="18C277CF" w:rsidR="00A16F3F" w:rsidRPr="004E42A5" w:rsidRDefault="00A16F3F" w:rsidP="00A16F3F">
      <w:pPr>
        <w:pStyle w:val="Citas"/>
        <w:rPr>
          <w:b/>
          <w:bCs/>
        </w:rPr>
      </w:pPr>
      <w:r w:rsidRPr="004E42A5">
        <w:t xml:space="preserve">“Solicito copia electrónica de los últimos 12 recibos de nómina C. </w:t>
      </w:r>
      <w:r w:rsidR="00914217">
        <w:t>XXXXXXXXX</w:t>
      </w:r>
      <w:r w:rsidRPr="004E42A5">
        <w:t xml:space="preserve"> </w:t>
      </w:r>
      <w:r w:rsidR="00914217">
        <w:t>XXXX</w:t>
      </w:r>
      <w:r w:rsidRPr="004E42A5">
        <w:t xml:space="preserve">, correspondiente al periodo agosto 2012 – julio 2013 (último año laborado) con fin de verificar los conceptos integrables salariales en su cálculo de pensión ISSSTE. Datos del interesado: Nombre: </w:t>
      </w:r>
      <w:r w:rsidR="00914217">
        <w:t>XXXXXXXXXXXXXXXX</w:t>
      </w:r>
      <w:r w:rsidRPr="004E42A5">
        <w:t xml:space="preserve"> CURP: </w:t>
      </w:r>
      <w:proofErr w:type="spellStart"/>
      <w:r w:rsidR="00914217">
        <w:t>xxxxxxxxxxxxxxxxxxxxxxx</w:t>
      </w:r>
      <w:proofErr w:type="spellEnd"/>
      <w:r w:rsidRPr="004E42A5">
        <w:t xml:space="preserve"> RFC: </w:t>
      </w:r>
      <w:proofErr w:type="spellStart"/>
      <w:r w:rsidR="00914217">
        <w:t>xxxxxxxxxx</w:t>
      </w:r>
      <w:proofErr w:type="spellEnd"/>
      <w:r w:rsidRPr="004E42A5">
        <w:t xml:space="preserve"> Fecha de baja: agosto de 2013 Solicito la entrega vía electrónica, por correo o descarga” </w:t>
      </w:r>
      <w:r w:rsidRPr="004E42A5">
        <w:rPr>
          <w:b/>
          <w:bCs/>
        </w:rPr>
        <w:t>(Sic)</w:t>
      </w:r>
    </w:p>
    <w:p w14:paraId="0E9625D4" w14:textId="1DD1BDB5" w:rsidR="008E7388" w:rsidRPr="004E42A5" w:rsidRDefault="008E7388" w:rsidP="001F276C">
      <w:pPr>
        <w:tabs>
          <w:tab w:val="left" w:pos="5647"/>
        </w:tabs>
        <w:spacing w:line="360" w:lineRule="auto"/>
        <w:ind w:right="49"/>
        <w:jc w:val="both"/>
        <w:rPr>
          <w:rFonts w:ascii="Palatino Linotype" w:eastAsiaTheme="minorHAnsi" w:hAnsi="Palatino Linotype" w:cstheme="minorBidi"/>
          <w:bCs/>
          <w:color w:val="000000"/>
          <w:lang w:val="es-MX" w:eastAsia="en-US"/>
        </w:rPr>
      </w:pPr>
      <w:r w:rsidRPr="004E42A5">
        <w:rPr>
          <w:rFonts w:ascii="Palatino Linotype" w:hAnsi="Palatino Linotype"/>
          <w:b/>
          <w:lang w:val="es-ES_tradnl"/>
        </w:rPr>
        <w:lastRenderedPageBreak/>
        <w:t>MODALIDAD DE ENTREGA:</w:t>
      </w:r>
      <w:r w:rsidRPr="004E42A5">
        <w:rPr>
          <w:rFonts w:ascii="Palatino Linotype" w:hAnsi="Palatino Linotype"/>
          <w:lang w:val="es-ES_tradnl"/>
        </w:rPr>
        <w:t xml:space="preserve"> </w:t>
      </w:r>
      <w:r w:rsidRPr="004E42A5">
        <w:rPr>
          <w:rFonts w:ascii="Palatino Linotype" w:eastAsiaTheme="minorHAnsi" w:hAnsi="Palatino Linotype" w:cstheme="minorBidi"/>
          <w:color w:val="000000"/>
          <w:lang w:val="es-MX" w:eastAsia="en-US"/>
        </w:rPr>
        <w:t xml:space="preserve">A través de </w:t>
      </w:r>
      <w:r w:rsidR="00590D3B" w:rsidRPr="004E42A5">
        <w:rPr>
          <w:rFonts w:ascii="Palatino Linotype" w:eastAsiaTheme="minorHAnsi" w:hAnsi="Palatino Linotype" w:cstheme="minorBidi"/>
          <w:b/>
          <w:color w:val="000000"/>
          <w:lang w:val="es-MX" w:eastAsia="en-US"/>
        </w:rPr>
        <w:t>SAIMEX</w:t>
      </w:r>
      <w:r w:rsidR="005D2A2B" w:rsidRPr="004E42A5">
        <w:rPr>
          <w:rFonts w:ascii="Palatino Linotype" w:eastAsiaTheme="minorHAnsi" w:hAnsi="Palatino Linotype" w:cstheme="minorBidi"/>
          <w:b/>
          <w:color w:val="000000"/>
          <w:lang w:val="es-MX" w:eastAsia="en-US"/>
        </w:rPr>
        <w:t>.</w:t>
      </w:r>
    </w:p>
    <w:p w14:paraId="7A0FFD2E" w14:textId="77777777" w:rsidR="00590D3B" w:rsidRPr="004E42A5" w:rsidRDefault="00590D3B" w:rsidP="001F276C">
      <w:pPr>
        <w:tabs>
          <w:tab w:val="left" w:pos="5647"/>
        </w:tabs>
        <w:spacing w:line="360" w:lineRule="auto"/>
        <w:ind w:right="49"/>
        <w:jc w:val="both"/>
        <w:rPr>
          <w:rFonts w:ascii="Palatino Linotype" w:eastAsiaTheme="minorHAnsi" w:hAnsi="Palatino Linotype" w:cstheme="minorBidi"/>
          <w:bCs/>
          <w:color w:val="000000"/>
          <w:lang w:val="es-MX" w:eastAsia="en-US"/>
        </w:rPr>
      </w:pPr>
    </w:p>
    <w:p w14:paraId="7D428D52" w14:textId="36D15CDB" w:rsidR="008E7388" w:rsidRPr="004E42A5" w:rsidRDefault="00C052BE" w:rsidP="001F276C">
      <w:pPr>
        <w:spacing w:line="360" w:lineRule="auto"/>
        <w:ind w:right="334"/>
        <w:jc w:val="both"/>
        <w:rPr>
          <w:rFonts w:ascii="Palatino Linotype" w:hAnsi="Palatino Linotype" w:cs="Arial"/>
          <w:b/>
          <w:sz w:val="28"/>
        </w:rPr>
      </w:pPr>
      <w:r w:rsidRPr="004E42A5">
        <w:rPr>
          <w:rFonts w:ascii="Palatino Linotype" w:hAnsi="Palatino Linotype" w:cs="Arial"/>
          <w:b/>
          <w:sz w:val="28"/>
          <w:szCs w:val="20"/>
        </w:rPr>
        <w:t>SEGUNDO</w:t>
      </w:r>
      <w:r w:rsidR="0089718F" w:rsidRPr="004E42A5">
        <w:rPr>
          <w:rFonts w:ascii="Palatino Linotype" w:hAnsi="Palatino Linotype" w:cs="Arial"/>
          <w:b/>
          <w:sz w:val="28"/>
          <w:szCs w:val="20"/>
        </w:rPr>
        <w:t xml:space="preserve">. De la </w:t>
      </w:r>
      <w:r w:rsidR="008E7388" w:rsidRPr="004E42A5">
        <w:rPr>
          <w:rFonts w:ascii="Palatino Linotype" w:hAnsi="Palatino Linotype" w:cs="Arial"/>
          <w:b/>
          <w:sz w:val="28"/>
          <w:szCs w:val="20"/>
        </w:rPr>
        <w:t>respuesta del Sujeto Obligado.</w:t>
      </w:r>
    </w:p>
    <w:p w14:paraId="77D2CC88" w14:textId="5EF42A65" w:rsidR="00A16F3F" w:rsidRPr="004E42A5" w:rsidRDefault="008E7388" w:rsidP="001F276C">
      <w:pPr>
        <w:pStyle w:val="Sinespaciado"/>
        <w:spacing w:line="360" w:lineRule="auto"/>
        <w:jc w:val="both"/>
        <w:rPr>
          <w:rFonts w:ascii="Palatino Linotype" w:hAnsi="Palatino Linotype"/>
        </w:rPr>
      </w:pPr>
      <w:r w:rsidRPr="004E42A5">
        <w:rPr>
          <w:rFonts w:ascii="Palatino Linotype" w:hAnsi="Palatino Linotype" w:cs="Arial"/>
        </w:rPr>
        <w:t xml:space="preserve">De las constancias del expediente electrónico </w:t>
      </w:r>
      <w:r w:rsidRPr="004E42A5">
        <w:rPr>
          <w:rFonts w:ascii="Palatino Linotype" w:hAnsi="Palatino Linotype" w:cs="Arial"/>
          <w:b/>
        </w:rPr>
        <w:t xml:space="preserve">SAIMEX, </w:t>
      </w:r>
      <w:r w:rsidRPr="004E42A5">
        <w:rPr>
          <w:rFonts w:ascii="Palatino Linotype" w:hAnsi="Palatino Linotype" w:cs="Arial"/>
        </w:rPr>
        <w:t xml:space="preserve">se advierte que </w:t>
      </w:r>
      <w:r w:rsidRPr="004E42A5">
        <w:rPr>
          <w:rFonts w:ascii="Palatino Linotype" w:hAnsi="Palatino Linotype"/>
        </w:rPr>
        <w:t xml:space="preserve">en fecha </w:t>
      </w:r>
      <w:r w:rsidR="00A16F3F" w:rsidRPr="004E42A5">
        <w:rPr>
          <w:rFonts w:ascii="Palatino Linotype" w:hAnsi="Palatino Linotype"/>
          <w:b/>
          <w:bCs/>
        </w:rPr>
        <w:t xml:space="preserve">once de julio de dos mil veinticinco, El Sujeto Obligado </w:t>
      </w:r>
      <w:r w:rsidR="00A16F3F" w:rsidRPr="004E42A5">
        <w:rPr>
          <w:rFonts w:ascii="Palatino Linotype" w:hAnsi="Palatino Linotype"/>
        </w:rPr>
        <w:t xml:space="preserve">dio respuesta a través del </w:t>
      </w:r>
      <w:r w:rsidR="00A16F3F" w:rsidRPr="004E42A5">
        <w:rPr>
          <w:rFonts w:ascii="Palatino Linotype" w:hAnsi="Palatino Linotype"/>
          <w:b/>
          <w:bCs/>
        </w:rPr>
        <w:t xml:space="preserve">SAIMEX, </w:t>
      </w:r>
      <w:r w:rsidR="00A16F3F" w:rsidRPr="004E42A5">
        <w:rPr>
          <w:rFonts w:ascii="Palatino Linotype" w:hAnsi="Palatino Linotype"/>
        </w:rPr>
        <w:t>a la solicitud de información en los siguientes términos:</w:t>
      </w:r>
    </w:p>
    <w:p w14:paraId="50AF3F1D" w14:textId="57F98CA4" w:rsidR="00A16F3F" w:rsidRPr="004E42A5" w:rsidRDefault="00A16F3F" w:rsidP="00A16F3F">
      <w:pPr>
        <w:pStyle w:val="Citas"/>
        <w:rPr>
          <w:b/>
          <w:bCs/>
        </w:rPr>
      </w:pPr>
      <w:r w:rsidRPr="004E42A5">
        <w:t xml:space="preserve">“SE ADJUNTA RESPUESTA A SU PETICIÓN” </w:t>
      </w:r>
      <w:r w:rsidRPr="004E42A5">
        <w:rPr>
          <w:b/>
          <w:bCs/>
        </w:rPr>
        <w:t>(Sic)</w:t>
      </w:r>
    </w:p>
    <w:p w14:paraId="38D96172" w14:textId="07FDE072" w:rsidR="00A16F3F" w:rsidRPr="004E42A5" w:rsidRDefault="00A16F3F" w:rsidP="001F276C">
      <w:pPr>
        <w:pStyle w:val="Sinespaciado"/>
        <w:spacing w:line="360" w:lineRule="auto"/>
        <w:jc w:val="both"/>
        <w:rPr>
          <w:rFonts w:ascii="Palatino Linotype" w:hAnsi="Palatino Linotype"/>
        </w:rPr>
      </w:pPr>
      <w:r w:rsidRPr="004E42A5">
        <w:rPr>
          <w:rFonts w:ascii="Palatino Linotype" w:hAnsi="Palatino Linotype"/>
        </w:rPr>
        <w:t xml:space="preserve">De forma complementaria, anexo el documento electrónico </w:t>
      </w:r>
      <w:r w:rsidRPr="004E42A5">
        <w:rPr>
          <w:rFonts w:ascii="Palatino Linotype" w:hAnsi="Palatino Linotype"/>
          <w:b/>
          <w:bCs/>
        </w:rPr>
        <w:t xml:space="preserve">“Respuesta sol 0162IP2025.pdf”, </w:t>
      </w:r>
      <w:r w:rsidRPr="004E42A5">
        <w:rPr>
          <w:rFonts w:ascii="Palatino Linotype" w:hAnsi="Palatino Linotype"/>
        </w:rPr>
        <w:t xml:space="preserve">cuyo contenido será materia de análisis en el considerando respectivo. </w:t>
      </w:r>
    </w:p>
    <w:p w14:paraId="1274FDBF" w14:textId="77777777" w:rsidR="005D2A2B" w:rsidRPr="004E42A5" w:rsidRDefault="005D2A2B" w:rsidP="00D97A43">
      <w:pPr>
        <w:spacing w:line="360" w:lineRule="auto"/>
        <w:ind w:right="49"/>
        <w:jc w:val="both"/>
        <w:rPr>
          <w:rFonts w:ascii="Palatino Linotype" w:hAnsi="Palatino Linotype"/>
          <w:b/>
          <w:bCs/>
          <w:iCs/>
          <w:szCs w:val="22"/>
          <w:lang w:val="es-MX" w:eastAsia="es-MX"/>
        </w:rPr>
      </w:pPr>
    </w:p>
    <w:p w14:paraId="278EED36" w14:textId="3CD1FD36" w:rsidR="008E7388" w:rsidRPr="004E42A5" w:rsidRDefault="00C052BE" w:rsidP="001F276C">
      <w:pPr>
        <w:spacing w:line="360" w:lineRule="auto"/>
        <w:jc w:val="both"/>
        <w:rPr>
          <w:rFonts w:ascii="Palatino Linotype" w:eastAsiaTheme="minorHAnsi" w:hAnsi="Palatino Linotype" w:cs="Arial"/>
          <w:b/>
          <w:sz w:val="28"/>
          <w:lang w:val="es-MX" w:eastAsia="en-US"/>
        </w:rPr>
      </w:pPr>
      <w:r w:rsidRPr="004E42A5">
        <w:rPr>
          <w:rFonts w:ascii="Palatino Linotype" w:eastAsiaTheme="minorHAnsi" w:hAnsi="Palatino Linotype" w:cs="Arial"/>
          <w:b/>
          <w:sz w:val="28"/>
          <w:lang w:val="es-MX" w:eastAsia="en-US"/>
        </w:rPr>
        <w:t>TERCERO</w:t>
      </w:r>
      <w:r w:rsidR="008E7388" w:rsidRPr="004E42A5">
        <w:rPr>
          <w:rFonts w:ascii="Palatino Linotype" w:eastAsiaTheme="minorHAnsi" w:hAnsi="Palatino Linotype" w:cs="Arial"/>
          <w:b/>
          <w:sz w:val="28"/>
          <w:lang w:val="es-MX" w:eastAsia="en-US"/>
        </w:rPr>
        <w:t>. Del recurso de revisión.</w:t>
      </w:r>
    </w:p>
    <w:p w14:paraId="32D621FD" w14:textId="2AAA2644" w:rsidR="00A16F3F" w:rsidRPr="004E42A5" w:rsidRDefault="008E7388" w:rsidP="0089718F">
      <w:pPr>
        <w:spacing w:line="360" w:lineRule="auto"/>
        <w:jc w:val="both"/>
        <w:rPr>
          <w:rFonts w:ascii="Palatino Linotype" w:eastAsiaTheme="minorHAnsi" w:hAnsi="Palatino Linotype" w:cs="Arial"/>
          <w:lang w:val="es-MX" w:eastAsia="en-US"/>
        </w:rPr>
      </w:pPr>
      <w:r w:rsidRPr="004E42A5">
        <w:rPr>
          <w:rFonts w:ascii="Palatino Linotype" w:eastAsiaTheme="minorHAnsi" w:hAnsi="Palatino Linotype" w:cs="Arial"/>
          <w:lang w:val="es-MX" w:eastAsia="en-US"/>
        </w:rPr>
        <w:t xml:space="preserve">Inconforme con la respuesta por parte del </w:t>
      </w:r>
      <w:r w:rsidRPr="004E42A5">
        <w:rPr>
          <w:rFonts w:ascii="Palatino Linotype" w:eastAsiaTheme="minorHAnsi" w:hAnsi="Palatino Linotype" w:cs="Arial"/>
          <w:b/>
          <w:lang w:val="es-MX" w:eastAsia="en-US"/>
        </w:rPr>
        <w:t>Sujeto Obligado</w:t>
      </w:r>
      <w:r w:rsidRPr="004E42A5">
        <w:rPr>
          <w:rFonts w:ascii="Palatino Linotype" w:eastAsiaTheme="minorHAnsi" w:hAnsi="Palatino Linotype" w:cs="Arial"/>
          <w:lang w:val="es-MX" w:eastAsia="en-US"/>
        </w:rPr>
        <w:t xml:space="preserve">, </w:t>
      </w:r>
      <w:r w:rsidR="0089718F" w:rsidRPr="004E42A5">
        <w:rPr>
          <w:rFonts w:ascii="Palatino Linotype" w:eastAsiaTheme="minorHAnsi" w:hAnsi="Palatino Linotype" w:cs="Arial"/>
          <w:b/>
          <w:bCs/>
          <w:lang w:val="es-MX" w:eastAsia="en-US"/>
        </w:rPr>
        <w:t>El</w:t>
      </w:r>
      <w:r w:rsidRPr="004E42A5">
        <w:rPr>
          <w:rFonts w:ascii="Palatino Linotype" w:eastAsiaTheme="minorHAnsi" w:hAnsi="Palatino Linotype" w:cs="Arial"/>
          <w:lang w:val="es-MX" w:eastAsia="en-US"/>
        </w:rPr>
        <w:t xml:space="preserve"> </w:t>
      </w:r>
      <w:r w:rsidRPr="004E42A5">
        <w:rPr>
          <w:rFonts w:ascii="Palatino Linotype" w:eastAsiaTheme="minorHAnsi" w:hAnsi="Palatino Linotype" w:cs="Arial"/>
          <w:b/>
          <w:lang w:val="es-MX" w:eastAsia="en-US"/>
        </w:rPr>
        <w:t>Recurrente</w:t>
      </w:r>
      <w:r w:rsidRPr="004E42A5">
        <w:rPr>
          <w:rFonts w:ascii="Palatino Linotype" w:eastAsiaTheme="minorHAnsi" w:hAnsi="Palatino Linotype" w:cs="Arial"/>
          <w:lang w:val="es-MX" w:eastAsia="en-US"/>
        </w:rPr>
        <w:t xml:space="preserve"> interpuso el presente recurso de revisión en fecha </w:t>
      </w:r>
      <w:r w:rsidR="00536AE0" w:rsidRPr="004E42A5">
        <w:rPr>
          <w:rFonts w:ascii="Palatino Linotype" w:eastAsiaTheme="minorHAnsi" w:hAnsi="Palatino Linotype" w:cs="Arial"/>
          <w:b/>
          <w:bCs/>
          <w:lang w:val="es-MX" w:eastAsia="en-US"/>
        </w:rPr>
        <w:t xml:space="preserve">once de julio de dos mil veintiséis, </w:t>
      </w:r>
      <w:r w:rsidR="00536AE0" w:rsidRPr="004E42A5">
        <w:rPr>
          <w:rFonts w:ascii="Palatino Linotype" w:eastAsiaTheme="minorHAnsi" w:hAnsi="Palatino Linotype" w:cs="Arial"/>
          <w:lang w:val="es-MX" w:eastAsia="en-US"/>
        </w:rPr>
        <w:t xml:space="preserve">el cual fue registrado en el sistema electrónico con el expediente número </w:t>
      </w:r>
      <w:r w:rsidR="00536AE0" w:rsidRPr="004E42A5">
        <w:rPr>
          <w:rFonts w:ascii="Palatino Linotype" w:eastAsiaTheme="minorHAnsi" w:hAnsi="Palatino Linotype" w:cs="Arial"/>
          <w:b/>
          <w:bCs/>
          <w:lang w:val="es-MX" w:eastAsia="en-US"/>
        </w:rPr>
        <w:t xml:space="preserve">08460/INFOEM/IP/RR/2025, </w:t>
      </w:r>
      <w:r w:rsidR="00536AE0" w:rsidRPr="004E42A5">
        <w:rPr>
          <w:rFonts w:ascii="Palatino Linotype" w:eastAsiaTheme="minorHAnsi" w:hAnsi="Palatino Linotype" w:cs="Arial"/>
          <w:lang w:val="es-MX" w:eastAsia="en-US"/>
        </w:rPr>
        <w:t>en el cual señala lo siguiente:</w:t>
      </w:r>
    </w:p>
    <w:p w14:paraId="21B245FC" w14:textId="06885AA2" w:rsidR="005D2A2B" w:rsidRPr="004E42A5" w:rsidRDefault="005D2A2B" w:rsidP="0089718F">
      <w:pPr>
        <w:spacing w:line="360" w:lineRule="auto"/>
        <w:jc w:val="both"/>
        <w:rPr>
          <w:rFonts w:ascii="Palatino Linotype" w:eastAsiaTheme="minorHAnsi" w:hAnsi="Palatino Linotype" w:cs="Arial"/>
          <w:b/>
          <w:bCs/>
          <w:lang w:val="es-MX" w:eastAsia="en-US"/>
        </w:rPr>
      </w:pPr>
      <w:r w:rsidRPr="004E42A5">
        <w:rPr>
          <w:rFonts w:ascii="Palatino Linotype" w:eastAsiaTheme="minorHAnsi" w:hAnsi="Palatino Linotype" w:cs="Arial"/>
          <w:b/>
          <w:bCs/>
          <w:lang w:val="es-MX" w:eastAsia="en-US"/>
        </w:rPr>
        <w:t>Acto impugnado:</w:t>
      </w:r>
    </w:p>
    <w:p w14:paraId="64C35418" w14:textId="206586A8" w:rsidR="005D2A2B" w:rsidRPr="004E42A5" w:rsidRDefault="005D2A2B" w:rsidP="005D2A2B">
      <w:pPr>
        <w:pStyle w:val="Citas"/>
        <w:rPr>
          <w:b/>
          <w:bCs/>
        </w:rPr>
      </w:pPr>
      <w:r w:rsidRPr="004E42A5">
        <w:t>“</w:t>
      </w:r>
      <w:r w:rsidR="00536AE0" w:rsidRPr="004E42A5">
        <w:rPr>
          <w:lang w:val="es-ES"/>
        </w:rPr>
        <w:t>La respuesta otorgada a la solicitud fue incompleta, errónea o no corresponde a lo solicitado</w:t>
      </w:r>
      <w:r w:rsidRPr="004E42A5">
        <w:t xml:space="preserve">” </w:t>
      </w:r>
      <w:r w:rsidRPr="004E42A5">
        <w:rPr>
          <w:b/>
          <w:bCs/>
        </w:rPr>
        <w:t>(Sic)</w:t>
      </w:r>
    </w:p>
    <w:p w14:paraId="037ECDDD" w14:textId="77777777" w:rsidR="00C052BE" w:rsidRPr="004E42A5" w:rsidRDefault="00C052BE" w:rsidP="0089718F">
      <w:pPr>
        <w:spacing w:line="360" w:lineRule="auto"/>
        <w:jc w:val="both"/>
        <w:rPr>
          <w:rFonts w:ascii="Palatino Linotype" w:eastAsiaTheme="minorHAnsi" w:hAnsi="Palatino Linotype" w:cs="Arial"/>
          <w:lang w:val="es-MX" w:eastAsia="en-US"/>
        </w:rPr>
      </w:pPr>
    </w:p>
    <w:p w14:paraId="024A2212" w14:textId="13956A1D" w:rsidR="005D2A2B" w:rsidRPr="004E42A5" w:rsidRDefault="005D2A2B" w:rsidP="005D2A2B">
      <w:pPr>
        <w:spacing w:line="360" w:lineRule="auto"/>
        <w:jc w:val="both"/>
        <w:rPr>
          <w:rFonts w:ascii="Palatino Linotype" w:eastAsiaTheme="minorHAnsi" w:hAnsi="Palatino Linotype" w:cs="Arial"/>
          <w:b/>
          <w:bCs/>
          <w:lang w:val="es-MX" w:eastAsia="en-US"/>
        </w:rPr>
      </w:pPr>
      <w:r w:rsidRPr="004E42A5">
        <w:rPr>
          <w:rFonts w:ascii="Palatino Linotype" w:eastAsiaTheme="minorHAnsi" w:hAnsi="Palatino Linotype" w:cs="Arial"/>
          <w:b/>
          <w:bCs/>
          <w:lang w:val="es-MX" w:eastAsia="en-US"/>
        </w:rPr>
        <w:t>Razones o motivos de inconformidad:</w:t>
      </w:r>
    </w:p>
    <w:p w14:paraId="3DD2582D" w14:textId="25ACE6EE" w:rsidR="005D2A2B" w:rsidRPr="004E42A5" w:rsidRDefault="005D2A2B" w:rsidP="005D2A2B">
      <w:pPr>
        <w:pStyle w:val="Citas"/>
        <w:rPr>
          <w:b/>
          <w:bCs/>
        </w:rPr>
      </w:pPr>
      <w:r w:rsidRPr="004E42A5">
        <w:t>“</w:t>
      </w:r>
      <w:r w:rsidR="00536AE0" w:rsidRPr="004E42A5">
        <w:rPr>
          <w:lang w:val="es-ES"/>
        </w:rPr>
        <w:t xml:space="preserve">El suscrito, </w:t>
      </w:r>
      <w:r w:rsidR="00914217">
        <w:rPr>
          <w:lang w:val="es-ES"/>
        </w:rPr>
        <w:t>XXXXXXXXXXXXXXX</w:t>
      </w:r>
      <w:r w:rsidR="00536AE0" w:rsidRPr="004E42A5">
        <w:rPr>
          <w:lang w:val="es-ES"/>
        </w:rPr>
        <w:t xml:space="preserve">, interpone recurso de revisión en contra de la respuesta emitida por SEIEM en el expediente 210620010030005/01/SDE/2025, </w:t>
      </w:r>
      <w:r w:rsidR="00536AE0" w:rsidRPr="004E42A5">
        <w:rPr>
          <w:lang w:val="es-ES"/>
        </w:rPr>
        <w:lastRenderedPageBreak/>
        <w:t>en virtud de que la autoridad canaliza mi solicitud al procedimiento ARCO, lo cual resulta improcedente. Yo, como titular de los datos, solicité acceso a información pública de carácter laboral, específicamente mis últimos 12 recibos de nómina del periodo agosto 2012 a julio 2013, para fines jurídicos relacionados con la revisión de mi pensión ante el ISSSTE. La información solicitada no es confidencial ni reservada, ya que está vinculada al ejercicio de recursos públicos. Además, al ser el titular de los datos, no es necesario canalizar mi petición al procedimiento ARCO. Esta canalización constituye una limitación injustificada al derecho de acceso a la información. Con fundamento en los artículos 6° constitucional, 7, 11, 117 y demás relativos de la Ley de Transparencia del Estado de México, solicito al INFOEM que tenga por presentado este recurso, y ordene al SEIEM la entrega de los recibos solicitados</w:t>
      </w:r>
      <w:r w:rsidRPr="004E42A5">
        <w:t xml:space="preserve">” </w:t>
      </w:r>
      <w:r w:rsidRPr="004E42A5">
        <w:rPr>
          <w:b/>
          <w:bCs/>
        </w:rPr>
        <w:t>(Sic)</w:t>
      </w:r>
    </w:p>
    <w:p w14:paraId="1D13239E" w14:textId="77777777" w:rsidR="005D2A2B" w:rsidRPr="004E42A5" w:rsidRDefault="005D2A2B" w:rsidP="0089718F">
      <w:pPr>
        <w:spacing w:line="360" w:lineRule="auto"/>
        <w:jc w:val="both"/>
        <w:rPr>
          <w:rFonts w:ascii="Palatino Linotype" w:eastAsiaTheme="minorHAnsi" w:hAnsi="Palatino Linotype" w:cs="Arial"/>
          <w:lang w:val="es-MX" w:eastAsia="en-US"/>
        </w:rPr>
      </w:pPr>
    </w:p>
    <w:p w14:paraId="5B04A824" w14:textId="36C72034" w:rsidR="00536AE0" w:rsidRPr="004E42A5" w:rsidRDefault="00536AE0" w:rsidP="001F276C">
      <w:pPr>
        <w:spacing w:line="360" w:lineRule="auto"/>
        <w:jc w:val="both"/>
        <w:rPr>
          <w:rFonts w:ascii="Palatino Linotype" w:eastAsiaTheme="minorHAnsi" w:hAnsi="Palatino Linotype" w:cs="Arial"/>
          <w:b/>
          <w:lang w:val="es-MX" w:eastAsia="en-US"/>
        </w:rPr>
      </w:pPr>
      <w:r w:rsidRPr="004E42A5">
        <w:rPr>
          <w:rFonts w:ascii="Palatino Linotype" w:eastAsiaTheme="minorHAnsi" w:hAnsi="Palatino Linotype" w:cs="Arial"/>
          <w:bCs/>
          <w:lang w:val="es-MX" w:eastAsia="en-US"/>
        </w:rPr>
        <w:t xml:space="preserve">Adjuntando el documento electrónico </w:t>
      </w:r>
      <w:r w:rsidRPr="004E42A5">
        <w:rPr>
          <w:rFonts w:ascii="Palatino Linotype" w:eastAsiaTheme="minorHAnsi" w:hAnsi="Palatino Linotype" w:cs="Arial"/>
          <w:b/>
          <w:lang w:val="es-MX" w:eastAsia="en-US"/>
        </w:rPr>
        <w:t xml:space="preserve">“Respuesta sol 0162IP2025.pdf” </w:t>
      </w:r>
      <w:r w:rsidRPr="004E42A5">
        <w:rPr>
          <w:rFonts w:ascii="Palatino Linotype" w:eastAsiaTheme="minorHAnsi" w:hAnsi="Palatino Linotype" w:cs="Arial"/>
          <w:bCs/>
          <w:lang w:val="es-MX" w:eastAsia="en-US"/>
        </w:rPr>
        <w:t xml:space="preserve">correspondiente a la respuesta primigenia. </w:t>
      </w:r>
    </w:p>
    <w:p w14:paraId="69718077" w14:textId="77777777" w:rsidR="00536AE0" w:rsidRPr="004E42A5" w:rsidRDefault="00536AE0" w:rsidP="001F276C">
      <w:pPr>
        <w:spacing w:line="360" w:lineRule="auto"/>
        <w:jc w:val="both"/>
        <w:rPr>
          <w:rFonts w:ascii="Palatino Linotype" w:eastAsiaTheme="minorHAnsi" w:hAnsi="Palatino Linotype" w:cs="Arial"/>
          <w:b/>
          <w:sz w:val="28"/>
          <w:lang w:val="es-MX" w:eastAsia="en-US"/>
        </w:rPr>
      </w:pPr>
    </w:p>
    <w:p w14:paraId="39F04ECF" w14:textId="425A483F" w:rsidR="008E7388" w:rsidRPr="004E42A5" w:rsidRDefault="00C052BE" w:rsidP="001F276C">
      <w:pPr>
        <w:spacing w:line="360" w:lineRule="auto"/>
        <w:jc w:val="both"/>
        <w:rPr>
          <w:rFonts w:ascii="Palatino Linotype" w:eastAsiaTheme="minorHAnsi" w:hAnsi="Palatino Linotype" w:cs="Arial"/>
          <w:b/>
          <w:sz w:val="28"/>
          <w:lang w:val="es-MX" w:eastAsia="en-US"/>
        </w:rPr>
      </w:pPr>
      <w:r w:rsidRPr="004E42A5">
        <w:rPr>
          <w:rFonts w:ascii="Palatino Linotype" w:eastAsiaTheme="minorHAnsi" w:hAnsi="Palatino Linotype" w:cs="Arial"/>
          <w:b/>
          <w:sz w:val="28"/>
          <w:lang w:val="es-MX" w:eastAsia="en-US"/>
        </w:rPr>
        <w:t>CUARTO</w:t>
      </w:r>
      <w:r w:rsidR="008E7388" w:rsidRPr="004E42A5">
        <w:rPr>
          <w:rFonts w:ascii="Palatino Linotype" w:eastAsiaTheme="minorHAnsi" w:hAnsi="Palatino Linotype" w:cs="Arial"/>
          <w:b/>
          <w:sz w:val="28"/>
          <w:lang w:val="es-MX" w:eastAsia="en-US"/>
        </w:rPr>
        <w:t>. Del turno del recurso de revisión.</w:t>
      </w:r>
    </w:p>
    <w:p w14:paraId="530C3A6F" w14:textId="13270497" w:rsidR="008E7388" w:rsidRPr="004E42A5" w:rsidRDefault="008E7388" w:rsidP="001F276C">
      <w:pPr>
        <w:spacing w:line="360" w:lineRule="auto"/>
        <w:jc w:val="both"/>
        <w:rPr>
          <w:rFonts w:ascii="Palatino Linotype" w:eastAsiaTheme="minorHAnsi" w:hAnsi="Palatino Linotype" w:cs="Arial"/>
          <w:lang w:val="es-MX" w:eastAsia="en-US"/>
        </w:rPr>
      </w:pPr>
      <w:r w:rsidRPr="004E42A5">
        <w:rPr>
          <w:rFonts w:ascii="Palatino Linotype" w:eastAsiaTheme="minorHAnsi" w:hAnsi="Palatino Linotype" w:cs="Arial"/>
          <w:lang w:val="es-MX" w:eastAsia="en-US"/>
        </w:rPr>
        <w:t xml:space="preserve">Medio de impugnación que le fue turnado al Comisionado Presidente </w:t>
      </w:r>
      <w:r w:rsidRPr="004E42A5">
        <w:rPr>
          <w:rFonts w:ascii="Palatino Linotype" w:eastAsiaTheme="minorHAnsi" w:hAnsi="Palatino Linotype" w:cs="Arial"/>
          <w:b/>
          <w:lang w:val="es-MX" w:eastAsia="en-US"/>
        </w:rPr>
        <w:t>José Martínez Vilchis</w:t>
      </w:r>
      <w:r w:rsidRPr="004E42A5">
        <w:rPr>
          <w:rFonts w:ascii="Palatino Linotype" w:eastAsiaTheme="minorHAnsi" w:hAnsi="Palatino Linotype" w:cs="Arial"/>
          <w:lang w:val="es-MX" w:eastAsia="en-US"/>
        </w:rPr>
        <w:t>, por medio del sistema electrónico, en términos del arábigo 185, fracción I, de la Ley de Transparencia y Acceso a la información Pública del Estado de México y Municipios, del cual recayó acuerdo de admisión en fecha</w:t>
      </w:r>
      <w:r w:rsidRPr="004E42A5">
        <w:rPr>
          <w:rFonts w:ascii="Palatino Linotype" w:eastAsiaTheme="minorHAnsi" w:hAnsi="Palatino Linotype" w:cs="Arial"/>
          <w:b/>
          <w:lang w:val="es-MX" w:eastAsia="en-US"/>
        </w:rPr>
        <w:t xml:space="preserve"> </w:t>
      </w:r>
      <w:r w:rsidR="00536AE0" w:rsidRPr="004E42A5">
        <w:rPr>
          <w:rFonts w:ascii="Palatino Linotype" w:eastAsiaTheme="minorHAnsi" w:hAnsi="Palatino Linotype" w:cs="Arial"/>
          <w:b/>
          <w:lang w:val="es-MX" w:eastAsia="en-US"/>
        </w:rPr>
        <w:t xml:space="preserve">cuatro de agosto de dos mil veinticinco, </w:t>
      </w:r>
      <w:r w:rsidRPr="004E42A5">
        <w:rPr>
          <w:rFonts w:ascii="Palatino Linotype" w:eastAsiaTheme="minorHAnsi" w:hAnsi="Palatino Linotype" w:cs="Arial"/>
          <w:lang w:val="es-MX" w:eastAsia="en-US"/>
        </w:rPr>
        <w:t>determinándose en él, un plazo de siete días para que las partes manifestaran lo que a su derecho corresponda en términos del numeral ya citado.</w:t>
      </w:r>
    </w:p>
    <w:p w14:paraId="172A88FF" w14:textId="77777777" w:rsidR="008E7388" w:rsidRPr="004E42A5" w:rsidRDefault="008E7388" w:rsidP="001F276C">
      <w:pPr>
        <w:spacing w:line="360" w:lineRule="auto"/>
        <w:jc w:val="both"/>
        <w:rPr>
          <w:rFonts w:ascii="Palatino Linotype" w:eastAsiaTheme="minorHAnsi" w:hAnsi="Palatino Linotype" w:cs="Arial"/>
          <w:lang w:val="es-MX" w:eastAsia="en-US"/>
        </w:rPr>
      </w:pPr>
    </w:p>
    <w:p w14:paraId="55D65BDA" w14:textId="303C2F82" w:rsidR="008E7388" w:rsidRPr="004E42A5" w:rsidRDefault="00C052BE" w:rsidP="001F276C">
      <w:pPr>
        <w:spacing w:line="360" w:lineRule="auto"/>
        <w:jc w:val="both"/>
        <w:rPr>
          <w:rFonts w:ascii="Palatino Linotype" w:eastAsiaTheme="minorHAnsi" w:hAnsi="Palatino Linotype" w:cs="Arial"/>
          <w:b/>
          <w:sz w:val="28"/>
          <w:lang w:val="es-MX" w:eastAsia="en-US"/>
        </w:rPr>
      </w:pPr>
      <w:r w:rsidRPr="004E42A5">
        <w:rPr>
          <w:rFonts w:ascii="Palatino Linotype" w:eastAsiaTheme="minorHAnsi" w:hAnsi="Palatino Linotype" w:cs="Arial"/>
          <w:b/>
          <w:sz w:val="28"/>
          <w:lang w:val="es-MX" w:eastAsia="en-US"/>
        </w:rPr>
        <w:t>QUINTO</w:t>
      </w:r>
      <w:r w:rsidR="008E7388" w:rsidRPr="004E42A5">
        <w:rPr>
          <w:rFonts w:ascii="Palatino Linotype" w:eastAsiaTheme="minorHAnsi" w:hAnsi="Palatino Linotype" w:cs="Arial"/>
          <w:b/>
          <w:sz w:val="28"/>
          <w:lang w:val="es-MX" w:eastAsia="en-US"/>
        </w:rPr>
        <w:t>. De la etapa de manifestaciones y/o alegatos.</w:t>
      </w:r>
    </w:p>
    <w:p w14:paraId="09986F92" w14:textId="169C4AC5" w:rsidR="00536AE0" w:rsidRPr="004E42A5" w:rsidRDefault="008E7388" w:rsidP="001F276C">
      <w:pPr>
        <w:spacing w:line="360" w:lineRule="auto"/>
        <w:jc w:val="both"/>
        <w:rPr>
          <w:rFonts w:ascii="Palatino Linotype" w:eastAsiaTheme="minorHAnsi" w:hAnsi="Palatino Linotype" w:cs="Arial"/>
          <w:b/>
          <w:bCs/>
          <w:lang w:val="es-MX" w:eastAsia="en-US"/>
        </w:rPr>
      </w:pPr>
      <w:r w:rsidRPr="004E42A5">
        <w:rPr>
          <w:rFonts w:ascii="Palatino Linotype" w:eastAsiaTheme="minorHAnsi" w:hAnsi="Palatino Linotype" w:cs="Arial"/>
          <w:lang w:val="es-MX" w:eastAsia="en-US"/>
        </w:rPr>
        <w:lastRenderedPageBreak/>
        <w:t xml:space="preserve">Una vez transcurrido el término legal referido </w:t>
      </w:r>
      <w:r w:rsidR="00F37B58" w:rsidRPr="004E42A5">
        <w:rPr>
          <w:rFonts w:ascii="Palatino Linotype" w:eastAsiaTheme="minorHAnsi" w:hAnsi="Palatino Linotype" w:cs="Arial"/>
          <w:b/>
          <w:lang w:val="es-MX" w:eastAsia="en-US"/>
        </w:rPr>
        <w:t>e</w:t>
      </w:r>
      <w:r w:rsidRPr="004E42A5">
        <w:rPr>
          <w:rFonts w:ascii="Palatino Linotype" w:eastAsiaTheme="minorHAnsi" w:hAnsi="Palatino Linotype" w:cs="Arial"/>
          <w:b/>
          <w:lang w:val="es-MX" w:eastAsia="en-US"/>
        </w:rPr>
        <w:t>l Sujeto Obligado</w:t>
      </w:r>
      <w:r w:rsidRPr="004E42A5">
        <w:rPr>
          <w:rFonts w:ascii="Palatino Linotype" w:eastAsiaTheme="minorHAnsi" w:hAnsi="Palatino Linotype" w:cs="Arial"/>
          <w:lang w:val="es-MX" w:eastAsia="en-US"/>
        </w:rPr>
        <w:t xml:space="preserve"> rindió su informe justificado, el día </w:t>
      </w:r>
      <w:r w:rsidR="00536AE0" w:rsidRPr="004E42A5">
        <w:rPr>
          <w:rFonts w:ascii="Palatino Linotype" w:eastAsiaTheme="minorHAnsi" w:hAnsi="Palatino Linotype" w:cs="Arial"/>
          <w:b/>
          <w:bCs/>
          <w:lang w:val="es-MX" w:eastAsia="en-US"/>
        </w:rPr>
        <w:t xml:space="preserve">trece de agosto de dos mil veinticinco, </w:t>
      </w:r>
      <w:r w:rsidR="00536AE0" w:rsidRPr="004E42A5">
        <w:rPr>
          <w:rFonts w:ascii="Palatino Linotype" w:eastAsiaTheme="minorHAnsi" w:hAnsi="Palatino Linotype" w:cs="Arial"/>
          <w:lang w:val="es-MX" w:eastAsia="en-US"/>
        </w:rPr>
        <w:t xml:space="preserve">mismo que fue puesto a la vista el </w:t>
      </w:r>
      <w:r w:rsidR="00536AE0" w:rsidRPr="004E42A5">
        <w:rPr>
          <w:rFonts w:ascii="Palatino Linotype" w:eastAsiaTheme="minorHAnsi" w:hAnsi="Palatino Linotype" w:cs="Arial"/>
          <w:b/>
          <w:bCs/>
          <w:lang w:val="es-MX" w:eastAsia="en-US"/>
        </w:rPr>
        <w:t xml:space="preserve">seis de noviembre de dos mil veinticinco. </w:t>
      </w:r>
    </w:p>
    <w:p w14:paraId="7D5E7835" w14:textId="77777777" w:rsidR="00536AE0" w:rsidRPr="004E42A5" w:rsidRDefault="00536AE0" w:rsidP="001F276C">
      <w:pPr>
        <w:spacing w:line="360" w:lineRule="auto"/>
        <w:jc w:val="both"/>
        <w:rPr>
          <w:rFonts w:ascii="Palatino Linotype" w:eastAsiaTheme="minorHAnsi" w:hAnsi="Palatino Linotype" w:cs="Arial"/>
          <w:lang w:val="es-MX" w:eastAsia="en-US"/>
        </w:rPr>
      </w:pPr>
    </w:p>
    <w:p w14:paraId="7FBFEEE5" w14:textId="41156056" w:rsidR="00536AE0" w:rsidRPr="004E42A5" w:rsidRDefault="00536AE0" w:rsidP="00536AE0">
      <w:pPr>
        <w:spacing w:line="360" w:lineRule="auto"/>
        <w:jc w:val="both"/>
        <w:rPr>
          <w:rFonts w:ascii="Palatino Linotype" w:eastAsiaTheme="minorHAnsi" w:hAnsi="Palatino Linotype" w:cs="Arial"/>
          <w:b/>
          <w:sz w:val="28"/>
          <w:lang w:val="es-MX" w:eastAsia="en-US"/>
        </w:rPr>
      </w:pPr>
      <w:bookmarkStart w:id="0" w:name="_Hlk197597279"/>
      <w:r w:rsidRPr="004E42A5">
        <w:rPr>
          <w:rFonts w:ascii="Palatino Linotype" w:eastAsiaTheme="minorHAnsi" w:hAnsi="Palatino Linotype" w:cs="Arial"/>
          <w:b/>
          <w:sz w:val="28"/>
          <w:lang w:val="es-MX" w:eastAsia="en-US"/>
        </w:rPr>
        <w:t>SEXTO. De la ampliación de plazo para resolver el recurso de revisión</w:t>
      </w:r>
    </w:p>
    <w:bookmarkEnd w:id="0"/>
    <w:p w14:paraId="1AD0D7DE" w14:textId="36E55552" w:rsidR="00536AE0" w:rsidRPr="004E42A5" w:rsidRDefault="00536AE0" w:rsidP="00536AE0">
      <w:pPr>
        <w:spacing w:line="360" w:lineRule="auto"/>
        <w:jc w:val="both"/>
        <w:rPr>
          <w:rFonts w:ascii="Palatino Linotype" w:hAnsi="Palatino Linotype" w:cs="Arial"/>
        </w:rPr>
      </w:pPr>
      <w:r w:rsidRPr="004E42A5">
        <w:rPr>
          <w:rFonts w:ascii="Palatino Linotype" w:hAnsi="Palatino Linotype" w:cs="Arial"/>
        </w:rPr>
        <w:t xml:space="preserve">El día </w:t>
      </w:r>
      <w:r w:rsidRPr="004E42A5">
        <w:rPr>
          <w:rFonts w:ascii="Palatino Linotype" w:hAnsi="Palatino Linotype" w:cs="Arial"/>
          <w:b/>
          <w:bCs/>
        </w:rPr>
        <w:t xml:space="preserve">seis de noviembre de dos mil veinticinco, </w:t>
      </w:r>
      <w:r w:rsidRPr="004E42A5">
        <w:rPr>
          <w:rFonts w:ascii="Palatino Linotype" w:hAnsi="Palatino Linotype" w:cs="Arial"/>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1838DAE7" w14:textId="77777777" w:rsidR="00536AE0" w:rsidRPr="004E42A5" w:rsidRDefault="00536AE0" w:rsidP="001F276C">
      <w:pPr>
        <w:spacing w:line="360" w:lineRule="auto"/>
        <w:jc w:val="both"/>
        <w:rPr>
          <w:rFonts w:ascii="Palatino Linotype" w:eastAsiaTheme="minorHAnsi" w:hAnsi="Palatino Linotype" w:cs="Arial"/>
          <w:lang w:eastAsia="en-US"/>
        </w:rPr>
      </w:pPr>
    </w:p>
    <w:p w14:paraId="52768C49" w14:textId="66944DE2" w:rsidR="005D2A2B" w:rsidRPr="004E42A5" w:rsidRDefault="00536AE0" w:rsidP="005D2A2B">
      <w:pPr>
        <w:spacing w:line="360" w:lineRule="auto"/>
        <w:jc w:val="both"/>
        <w:rPr>
          <w:rFonts w:ascii="Palatino Linotype" w:eastAsiaTheme="minorHAnsi" w:hAnsi="Palatino Linotype" w:cs="Arial"/>
          <w:b/>
          <w:sz w:val="28"/>
          <w:lang w:val="es-MX" w:eastAsia="en-US"/>
        </w:rPr>
      </w:pPr>
      <w:r w:rsidRPr="004E42A5">
        <w:rPr>
          <w:rFonts w:ascii="Palatino Linotype" w:eastAsiaTheme="minorHAnsi" w:hAnsi="Palatino Linotype" w:cs="Arial"/>
          <w:b/>
          <w:sz w:val="28"/>
          <w:lang w:val="es-MX" w:eastAsia="en-US"/>
        </w:rPr>
        <w:t>SÉPTIMO</w:t>
      </w:r>
      <w:r w:rsidR="005D2A2B" w:rsidRPr="004E42A5">
        <w:rPr>
          <w:rFonts w:ascii="Palatino Linotype" w:eastAsiaTheme="minorHAnsi" w:hAnsi="Palatino Linotype" w:cs="Arial"/>
          <w:b/>
          <w:sz w:val="28"/>
          <w:lang w:val="es-MX" w:eastAsia="en-US"/>
        </w:rPr>
        <w:t>. Del cierre de instrucción</w:t>
      </w:r>
    </w:p>
    <w:p w14:paraId="6363F68C" w14:textId="332384C9" w:rsidR="005D2A2B" w:rsidRPr="004E42A5" w:rsidRDefault="005D2A2B" w:rsidP="005D2A2B">
      <w:pPr>
        <w:spacing w:before="240" w:line="360" w:lineRule="auto"/>
        <w:jc w:val="both"/>
        <w:rPr>
          <w:rFonts w:ascii="Palatino Linotype" w:hAnsi="Palatino Linotype" w:cs="Arial"/>
        </w:rPr>
      </w:pPr>
      <w:r w:rsidRPr="004E42A5">
        <w:rPr>
          <w:rFonts w:ascii="Palatino Linotype" w:hAnsi="Palatino Linotype" w:cs="Arial"/>
          <w:bCs/>
        </w:rPr>
        <w:t xml:space="preserve">Por lo cual se decretó cierre de instrucción con fecha </w:t>
      </w:r>
      <w:r w:rsidR="00536AE0" w:rsidRPr="004E42A5">
        <w:rPr>
          <w:rFonts w:ascii="Palatino Linotype" w:hAnsi="Palatino Linotype" w:cs="Arial"/>
          <w:b/>
        </w:rPr>
        <w:t xml:space="preserve">dieciséis de febrero de dos mil veintiséis, </w:t>
      </w:r>
      <w:r w:rsidR="00536AE0" w:rsidRPr="004E42A5">
        <w:rPr>
          <w:rFonts w:ascii="Palatino Linotype" w:hAnsi="Palatino Linotype" w:cs="Arial"/>
          <w:bCs/>
        </w:rPr>
        <w:t>e</w:t>
      </w:r>
      <w:r w:rsidRPr="004E42A5">
        <w:rPr>
          <w:rFonts w:ascii="Palatino Linotype" w:hAnsi="Palatino Linotype" w:cs="Arial"/>
        </w:rPr>
        <w:t xml:space="preserve">n términos del artículo 185 Fracción VI de la Ley de Transparencia y Acceso a la Información Pública del Estado de México y Municipios, iniciando el término legal para dictar resolución definitiva del asunto. </w:t>
      </w:r>
    </w:p>
    <w:p w14:paraId="27D496DC" w14:textId="77777777" w:rsidR="005D2A2B" w:rsidRPr="004E42A5" w:rsidRDefault="005D2A2B" w:rsidP="001F276C">
      <w:pPr>
        <w:spacing w:line="360" w:lineRule="auto"/>
        <w:jc w:val="both"/>
        <w:rPr>
          <w:rFonts w:ascii="Palatino Linotype" w:hAnsi="Palatino Linotype" w:cs="Arial"/>
          <w:b/>
        </w:rPr>
      </w:pPr>
    </w:p>
    <w:p w14:paraId="00107200" w14:textId="74991366" w:rsidR="008E7388" w:rsidRPr="004E42A5" w:rsidRDefault="00723261" w:rsidP="001F276C">
      <w:pPr>
        <w:spacing w:line="360" w:lineRule="auto"/>
        <w:jc w:val="both"/>
        <w:rPr>
          <w:rFonts w:ascii="Palatino Linotype" w:hAnsi="Palatino Linotype" w:cs="Arial"/>
          <w:b/>
          <w:sz w:val="28"/>
          <w:szCs w:val="28"/>
        </w:rPr>
      </w:pPr>
      <w:r w:rsidRPr="004E42A5">
        <w:rPr>
          <w:rFonts w:ascii="Palatino Linotype" w:hAnsi="Palatino Linotype" w:cs="Arial"/>
          <w:b/>
          <w:sz w:val="28"/>
        </w:rPr>
        <w:t>OCTAVO</w:t>
      </w:r>
      <w:r w:rsidR="008E7388" w:rsidRPr="004E42A5">
        <w:rPr>
          <w:rFonts w:ascii="Palatino Linotype" w:hAnsi="Palatino Linotype" w:cs="Arial"/>
          <w:b/>
        </w:rPr>
        <w:t xml:space="preserve">. </w:t>
      </w:r>
      <w:r w:rsidR="008E7388" w:rsidRPr="004E42A5">
        <w:rPr>
          <w:rFonts w:ascii="Palatino Linotype" w:hAnsi="Palatino Linotype" w:cs="Arial"/>
          <w:b/>
          <w:sz w:val="28"/>
          <w:szCs w:val="28"/>
        </w:rPr>
        <w:t>De la regularización del expediente electrónico.</w:t>
      </w:r>
    </w:p>
    <w:p w14:paraId="1AD05A14" w14:textId="24A0C40A" w:rsidR="00B22B7F" w:rsidRPr="004E42A5" w:rsidRDefault="008E7388" w:rsidP="00B22B7F">
      <w:p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4E42A5">
        <w:rPr>
          <w:rFonts w:ascii="Palatino Linotype" w:eastAsia="Calibri" w:hAnsi="Palatino Linotype" w:cs="Arial"/>
        </w:rPr>
        <w:t xml:space="preserve">En fecha </w:t>
      </w:r>
      <w:r w:rsidR="00536AE0" w:rsidRPr="004E42A5">
        <w:rPr>
          <w:rFonts w:ascii="Palatino Linotype" w:eastAsia="Calibri" w:hAnsi="Palatino Linotype" w:cs="Arial"/>
          <w:b/>
          <w:bCs/>
        </w:rPr>
        <w:t xml:space="preserve">doce de mayo de dos mil veintiséis, </w:t>
      </w:r>
      <w:r w:rsidR="00536AE0" w:rsidRPr="004E42A5">
        <w:rPr>
          <w:rFonts w:ascii="Palatino Linotype" w:eastAsia="Calibri" w:hAnsi="Palatino Linotype" w:cs="Arial"/>
        </w:rPr>
        <w:t xml:space="preserve">derivado de las </w:t>
      </w:r>
      <w:r w:rsidR="00B22B7F" w:rsidRPr="004E42A5">
        <w:rPr>
          <w:rFonts w:ascii="Palatino Linotype" w:eastAsia="Palatino Linotype" w:hAnsi="Palatino Linotype" w:cs="Palatino Linotype"/>
          <w:color w:val="000000"/>
        </w:rPr>
        <w:t xml:space="preserve">pretensiones del </w:t>
      </w:r>
      <w:r w:rsidR="00B22B7F" w:rsidRPr="004E42A5">
        <w:rPr>
          <w:rFonts w:ascii="Palatino Linotype" w:eastAsia="Palatino Linotype" w:hAnsi="Palatino Linotype" w:cs="Palatino Linotype"/>
          <w:b/>
          <w:bCs/>
          <w:color w:val="000000"/>
        </w:rPr>
        <w:t>Recurrente</w:t>
      </w:r>
      <w:r w:rsidR="00B22B7F" w:rsidRPr="004E42A5">
        <w:rPr>
          <w:rFonts w:ascii="Palatino Linotype" w:eastAsia="Palatino Linotype" w:hAnsi="Palatino Linotype" w:cs="Palatino Linotype"/>
          <w:color w:val="000000"/>
        </w:rPr>
        <w:t xml:space="preserve">, se determinó procedente la reconducción de vía de derecho de acceso a información pública a acceso a datos personales, por lo que, de conformidad con la normatividad aplicable, se previno al Recurrente para que en el término de cinco días hábiles exhibiera los documentos que acrediten su identidad como titular de los datos </w:t>
      </w:r>
      <w:r w:rsidR="00B22B7F" w:rsidRPr="004E42A5">
        <w:rPr>
          <w:rFonts w:ascii="Palatino Linotype" w:eastAsia="Palatino Linotype" w:hAnsi="Palatino Linotype" w:cs="Palatino Linotype"/>
          <w:color w:val="000000"/>
        </w:rPr>
        <w:lastRenderedPageBreak/>
        <w:t>solicitados, apercibiéndolo que de no hacerlo, el recurso de revisión sería sobreseído, por lo que se dejó sin efectos el cierre de instrucción y se habilitó nuevamente la etapa de manifestaciones.</w:t>
      </w:r>
    </w:p>
    <w:p w14:paraId="79E4E9DC" w14:textId="77777777" w:rsidR="00B22B7F" w:rsidRPr="004E42A5" w:rsidRDefault="00B22B7F" w:rsidP="00B22B7F">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51366519" w14:textId="0C319E5A" w:rsidR="00313AEF" w:rsidRPr="004E42A5" w:rsidRDefault="00313AEF" w:rsidP="00313AEF">
      <w:pPr>
        <w:spacing w:line="360" w:lineRule="auto"/>
        <w:jc w:val="both"/>
        <w:rPr>
          <w:rFonts w:ascii="Palatino Linotype" w:hAnsi="Palatino Linotype" w:cs="Arial"/>
          <w:b/>
          <w:sz w:val="28"/>
          <w:szCs w:val="28"/>
        </w:rPr>
      </w:pPr>
      <w:r w:rsidRPr="004E42A5">
        <w:rPr>
          <w:rFonts w:ascii="Palatino Linotype" w:hAnsi="Palatino Linotype" w:cs="Arial"/>
          <w:b/>
          <w:sz w:val="28"/>
        </w:rPr>
        <w:t>NOVENO</w:t>
      </w:r>
      <w:r w:rsidRPr="004E42A5">
        <w:rPr>
          <w:rFonts w:ascii="Palatino Linotype" w:hAnsi="Palatino Linotype" w:cs="Arial"/>
          <w:b/>
        </w:rPr>
        <w:t xml:space="preserve">. </w:t>
      </w:r>
      <w:r w:rsidRPr="004E42A5">
        <w:rPr>
          <w:rFonts w:ascii="Palatino Linotype" w:hAnsi="Palatino Linotype" w:cs="Arial"/>
          <w:b/>
          <w:sz w:val="28"/>
          <w:szCs w:val="28"/>
        </w:rPr>
        <w:t>Del cierre de instrucción</w:t>
      </w:r>
    </w:p>
    <w:p w14:paraId="6F5A303F" w14:textId="33ADA1CE" w:rsidR="00313AEF" w:rsidRPr="004E42A5" w:rsidRDefault="00313AEF" w:rsidP="00313AEF">
      <w:pPr>
        <w:spacing w:line="360" w:lineRule="auto"/>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 xml:space="preserve">Una vez transcurrido el término otorgado para desahogar la prevención por parte del Recurrente y ante la falta de pronunciamiento del particular, el día </w:t>
      </w:r>
      <w:r w:rsidR="007C3AB4" w:rsidRPr="004E42A5">
        <w:rPr>
          <w:rFonts w:ascii="Palatino Linotype" w:eastAsia="Palatino Linotype" w:hAnsi="Palatino Linotype" w:cs="Palatino Linotype"/>
          <w:b/>
          <w:bCs/>
          <w:color w:val="000000"/>
        </w:rPr>
        <w:t xml:space="preserve">veinte de mayo de dos mil veintiséis, </w:t>
      </w:r>
      <w:r w:rsidR="007C3AB4" w:rsidRPr="004E42A5">
        <w:rPr>
          <w:rFonts w:ascii="Palatino Linotype" w:eastAsia="Palatino Linotype" w:hAnsi="Palatino Linotype" w:cs="Palatino Linotype"/>
          <w:color w:val="000000"/>
        </w:rPr>
        <w:t xml:space="preserve">se </w:t>
      </w:r>
      <w:r w:rsidRPr="004E42A5">
        <w:rPr>
          <w:rFonts w:ascii="Palatino Linotype" w:eastAsia="Palatino Linotype" w:hAnsi="Palatino Linotype" w:cs="Palatino Linotype"/>
          <w:color w:val="000000"/>
        </w:rPr>
        <w:t>decretó el cierre de la etapa de instrucción, en términos del artículo 185 fracción VI de la Ley de Transparencia y Acceso a la Información Pública del Estado de México y Municipios, iniciando el término legal para dictar resolución definitiva del asunto.</w:t>
      </w:r>
    </w:p>
    <w:p w14:paraId="30A6CF74" w14:textId="77777777" w:rsidR="00723261" w:rsidRPr="004E42A5" w:rsidRDefault="00723261" w:rsidP="001F276C">
      <w:pPr>
        <w:spacing w:line="360" w:lineRule="auto"/>
        <w:jc w:val="both"/>
        <w:rPr>
          <w:rFonts w:ascii="Palatino Linotype" w:eastAsia="Calibri" w:hAnsi="Palatino Linotype" w:cs="Arial"/>
        </w:rPr>
      </w:pPr>
    </w:p>
    <w:p w14:paraId="6BAF51CD" w14:textId="77777777" w:rsidR="007A48D3" w:rsidRPr="004E42A5" w:rsidRDefault="007A48D3" w:rsidP="001F276C">
      <w:pPr>
        <w:spacing w:line="360" w:lineRule="auto"/>
        <w:jc w:val="both"/>
        <w:rPr>
          <w:rFonts w:ascii="Palatino Linotype" w:eastAsiaTheme="minorHAnsi" w:hAnsi="Palatino Linotype" w:cs="Arial"/>
          <w:b/>
          <w:sz w:val="28"/>
          <w:lang w:val="es-MX" w:eastAsia="en-US"/>
        </w:rPr>
      </w:pPr>
    </w:p>
    <w:p w14:paraId="3FE21411" w14:textId="77777777" w:rsidR="008E7388" w:rsidRPr="004E42A5" w:rsidRDefault="008E7388" w:rsidP="001F276C">
      <w:pPr>
        <w:spacing w:line="360" w:lineRule="auto"/>
        <w:jc w:val="center"/>
        <w:rPr>
          <w:rFonts w:ascii="Palatino Linotype" w:eastAsiaTheme="minorHAnsi" w:hAnsi="Palatino Linotype" w:cs="Arial"/>
          <w:b/>
          <w:sz w:val="28"/>
          <w:lang w:val="es-MX" w:eastAsia="en-US"/>
        </w:rPr>
      </w:pPr>
      <w:r w:rsidRPr="004E42A5">
        <w:rPr>
          <w:rFonts w:ascii="Palatino Linotype" w:eastAsiaTheme="minorHAnsi" w:hAnsi="Palatino Linotype" w:cs="Arial"/>
          <w:b/>
          <w:sz w:val="28"/>
          <w:lang w:val="es-MX" w:eastAsia="en-US"/>
        </w:rPr>
        <w:t xml:space="preserve">C O N S I D E R A N D O </w:t>
      </w:r>
    </w:p>
    <w:p w14:paraId="5F28ADE9" w14:textId="77777777" w:rsidR="008E7388" w:rsidRPr="004E42A5" w:rsidRDefault="008E7388" w:rsidP="001F276C">
      <w:pPr>
        <w:spacing w:line="360" w:lineRule="auto"/>
        <w:jc w:val="center"/>
        <w:rPr>
          <w:rFonts w:ascii="Palatino Linotype" w:eastAsiaTheme="minorHAnsi" w:hAnsi="Palatino Linotype" w:cs="Arial"/>
          <w:b/>
          <w:sz w:val="14"/>
          <w:lang w:val="es-MX" w:eastAsia="en-US"/>
        </w:rPr>
      </w:pPr>
    </w:p>
    <w:p w14:paraId="36A4A667" w14:textId="77777777" w:rsidR="008E7388" w:rsidRPr="004E42A5" w:rsidRDefault="008E7388" w:rsidP="001F276C">
      <w:pPr>
        <w:spacing w:line="360" w:lineRule="auto"/>
        <w:jc w:val="both"/>
        <w:rPr>
          <w:rFonts w:ascii="Palatino Linotype" w:eastAsiaTheme="minorHAnsi" w:hAnsi="Palatino Linotype" w:cs="Arial"/>
          <w:sz w:val="28"/>
          <w:lang w:val="es-MX" w:eastAsia="en-US"/>
        </w:rPr>
      </w:pPr>
      <w:r w:rsidRPr="004E42A5">
        <w:rPr>
          <w:rFonts w:ascii="Palatino Linotype" w:eastAsiaTheme="minorHAnsi" w:hAnsi="Palatino Linotype" w:cs="Arial"/>
          <w:b/>
          <w:sz w:val="28"/>
          <w:lang w:val="es-MX" w:eastAsia="en-US"/>
        </w:rPr>
        <w:t>PRIMERO. De la competencia</w:t>
      </w:r>
      <w:r w:rsidRPr="004E42A5">
        <w:rPr>
          <w:rFonts w:ascii="Palatino Linotype" w:eastAsiaTheme="minorHAnsi" w:hAnsi="Palatino Linotype" w:cs="Arial"/>
          <w:sz w:val="28"/>
          <w:lang w:val="es-MX" w:eastAsia="en-US"/>
        </w:rPr>
        <w:t>.</w:t>
      </w:r>
    </w:p>
    <w:p w14:paraId="4A9E990D" w14:textId="77777777" w:rsidR="00313AEF" w:rsidRPr="004E42A5" w:rsidRDefault="00313AEF" w:rsidP="00313AEF">
      <w:pPr>
        <w:spacing w:line="360" w:lineRule="auto"/>
        <w:jc w:val="both"/>
        <w:rPr>
          <w:rFonts w:ascii="Palatino Linotype" w:hAnsi="Palatino Linotype" w:cs="Arial"/>
        </w:rPr>
      </w:pPr>
      <w:r w:rsidRPr="004E42A5">
        <w:rPr>
          <w:rFonts w:ascii="Palatino Linotype" w:hAnsi="Palatino Linotype" w:cs="Arial"/>
        </w:rPr>
        <w:t xml:space="preserve">Este Instituto de Transparencia, Acceso a la Información Pública y Protección de Datos Personales del Estado de México y Municipios, es competente para conocer y resolver el presente Recurso de Revisión, conforme a lo dispuesto en el artículo </w:t>
      </w:r>
      <w:r w:rsidRPr="004E42A5">
        <w:rPr>
          <w:rFonts w:ascii="Palatino Linotype" w:hAnsi="Palatino Linotype"/>
        </w:rPr>
        <w:t xml:space="preserve">5o párrafos trigésimo tercero, trigésimo noveno, cuadragésimo y cuadragésimo primero, fracción VIII de la Constitución Política del Estado Libre y Soberano de México; </w:t>
      </w:r>
      <w:r w:rsidRPr="004E42A5">
        <w:rPr>
          <w:rFonts w:ascii="Palatino Linotype" w:hAnsi="Palatino Linotype" w:cs="Arial"/>
        </w:rPr>
        <w:t xml:space="preserve">1, 81, 82 fracciones I y III, 119, 127, 128 y 129, de la Ley de Protección de Datos Personales en Posesión de Sujetos Obligados del Estado de México y Municipios;  1, 2, fracción II, 13, 29, 36, fracciones I y II, 176, 178, 179, 181, párrafo tercero, 185 y 194, de la Ley de </w:t>
      </w:r>
      <w:r w:rsidRPr="004E42A5">
        <w:rPr>
          <w:rFonts w:ascii="Palatino Linotype" w:hAnsi="Palatino Linotype" w:cs="Arial"/>
        </w:rPr>
        <w:lastRenderedPageBreak/>
        <w:t>Transparencia y Acceso a la Información Pública del Estado de México y Municipios de aplicación supletoria de la citada Ley de Protección de Datos en términos de su artículo 11; 9, fracciones I y XXIV, 11 y 14, fracción I del Reglamento Interior del Instituto de Transparencia, Acceso a la Información Pública y Protección de Datos Personales del Estado de México y Municipios.</w:t>
      </w:r>
    </w:p>
    <w:p w14:paraId="1DCDCC2F" w14:textId="77777777" w:rsidR="00313AEF" w:rsidRPr="004E42A5" w:rsidRDefault="00313AEF" w:rsidP="001F276C">
      <w:pPr>
        <w:autoSpaceDE w:val="0"/>
        <w:autoSpaceDN w:val="0"/>
        <w:adjustRightInd w:val="0"/>
        <w:spacing w:line="360" w:lineRule="auto"/>
        <w:jc w:val="both"/>
        <w:rPr>
          <w:rFonts w:ascii="Palatino Linotype" w:eastAsiaTheme="minorHAnsi" w:hAnsi="Palatino Linotype" w:cs="Arial"/>
          <w:b/>
          <w:sz w:val="28"/>
          <w:lang w:val="es-MX" w:eastAsia="en-US"/>
        </w:rPr>
      </w:pPr>
    </w:p>
    <w:p w14:paraId="281A7727" w14:textId="6BEB2A4E" w:rsidR="008E7388" w:rsidRPr="004E42A5" w:rsidRDefault="008E7388" w:rsidP="001F276C">
      <w:pPr>
        <w:autoSpaceDE w:val="0"/>
        <w:autoSpaceDN w:val="0"/>
        <w:adjustRightInd w:val="0"/>
        <w:spacing w:line="360" w:lineRule="auto"/>
        <w:jc w:val="both"/>
        <w:rPr>
          <w:rFonts w:ascii="Palatino Linotype" w:eastAsiaTheme="minorHAnsi" w:hAnsi="Palatino Linotype" w:cs="Arial"/>
          <w:b/>
          <w:sz w:val="28"/>
          <w:lang w:val="es-MX" w:eastAsia="en-US"/>
        </w:rPr>
      </w:pPr>
      <w:r w:rsidRPr="004E42A5">
        <w:rPr>
          <w:rFonts w:ascii="Palatino Linotype" w:eastAsiaTheme="minorHAnsi" w:hAnsi="Palatino Linotype" w:cs="Arial"/>
          <w:b/>
          <w:sz w:val="28"/>
          <w:lang w:val="es-MX" w:eastAsia="en-US"/>
        </w:rPr>
        <w:t xml:space="preserve">SEGUNDO. De los alcances del Recurso de Revisión. </w:t>
      </w:r>
    </w:p>
    <w:p w14:paraId="062882F8" w14:textId="77777777" w:rsidR="00313AEF" w:rsidRPr="004E42A5" w:rsidRDefault="00313AEF" w:rsidP="00313AEF">
      <w:pPr>
        <w:pStyle w:val="Prrafodelista"/>
        <w:autoSpaceDE w:val="0"/>
        <w:autoSpaceDN w:val="0"/>
        <w:adjustRightInd w:val="0"/>
        <w:spacing w:before="240" w:after="160" w:line="360" w:lineRule="auto"/>
        <w:ind w:left="0"/>
        <w:jc w:val="both"/>
        <w:rPr>
          <w:rFonts w:ascii="Palatino Linotype" w:hAnsi="Palatino Linotype" w:cs="Arial"/>
        </w:rPr>
      </w:pPr>
      <w:r w:rsidRPr="004E42A5">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053CCA8B" w14:textId="77777777" w:rsidR="008E7388" w:rsidRPr="004E42A5" w:rsidRDefault="008E7388" w:rsidP="001F276C">
      <w:pPr>
        <w:pStyle w:val="Prrafodelista"/>
        <w:autoSpaceDE w:val="0"/>
        <w:autoSpaceDN w:val="0"/>
        <w:adjustRightInd w:val="0"/>
        <w:spacing w:line="360" w:lineRule="auto"/>
        <w:ind w:left="0"/>
        <w:jc w:val="both"/>
        <w:rPr>
          <w:rFonts w:ascii="Palatino Linotype" w:hAnsi="Palatino Linotype" w:cs="Arial"/>
          <w:b/>
        </w:rPr>
      </w:pPr>
    </w:p>
    <w:p w14:paraId="169E5D2C" w14:textId="77777777" w:rsidR="001A1DC3" w:rsidRPr="004E42A5" w:rsidRDefault="001A1DC3" w:rsidP="00B7265E">
      <w:pPr>
        <w:autoSpaceDE w:val="0"/>
        <w:autoSpaceDN w:val="0"/>
        <w:adjustRightInd w:val="0"/>
        <w:spacing w:line="360" w:lineRule="auto"/>
        <w:jc w:val="both"/>
        <w:rPr>
          <w:rFonts w:ascii="Palatino Linotype" w:hAnsi="Palatino Linotype" w:cs="Arial"/>
          <w:b/>
          <w:sz w:val="28"/>
        </w:rPr>
      </w:pPr>
    </w:p>
    <w:p w14:paraId="0832E5A1" w14:textId="2AD3105D" w:rsidR="00B7265E" w:rsidRPr="004E42A5" w:rsidRDefault="00313AEF" w:rsidP="00B7265E">
      <w:pPr>
        <w:autoSpaceDE w:val="0"/>
        <w:autoSpaceDN w:val="0"/>
        <w:adjustRightInd w:val="0"/>
        <w:spacing w:line="360" w:lineRule="auto"/>
        <w:jc w:val="both"/>
        <w:rPr>
          <w:rFonts w:ascii="Palatino Linotype" w:hAnsi="Palatino Linotype" w:cs="Arial"/>
          <w:b/>
          <w:sz w:val="28"/>
        </w:rPr>
      </w:pPr>
      <w:r w:rsidRPr="004E42A5">
        <w:rPr>
          <w:rFonts w:ascii="Palatino Linotype" w:hAnsi="Palatino Linotype" w:cs="Arial"/>
          <w:b/>
          <w:sz w:val="28"/>
        </w:rPr>
        <w:t>TERCERO</w:t>
      </w:r>
      <w:r w:rsidR="00B7265E" w:rsidRPr="004E42A5">
        <w:rPr>
          <w:rFonts w:ascii="Palatino Linotype" w:hAnsi="Palatino Linotype" w:cs="Arial"/>
          <w:b/>
          <w:sz w:val="28"/>
        </w:rPr>
        <w:t>. Del estudio de las causas de improcedencia y sobreseimiento.</w:t>
      </w:r>
    </w:p>
    <w:p w14:paraId="502E7DA7" w14:textId="77777777" w:rsidR="008553EC" w:rsidRPr="004E42A5" w:rsidRDefault="008553EC" w:rsidP="008553E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En primer término, es importante establecer la materia de la solicitud, para determinar si se trata de una solicitud de acceso a la información como fue ingresada, o bien, si es de acceso a datos personales, en virtud de que la parte Recurrente al momento de formular su solicitud lo realizó vía el Sistema de Acceso a la Información Mexiquense.</w:t>
      </w:r>
    </w:p>
    <w:p w14:paraId="22974863" w14:textId="77777777" w:rsidR="008553EC" w:rsidRPr="004E42A5" w:rsidRDefault="008553EC" w:rsidP="008553E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20C0B3D7" w14:textId="77777777" w:rsidR="008553EC" w:rsidRPr="004E42A5" w:rsidRDefault="008553EC" w:rsidP="008553E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Al respecto, el derecho de acceso a la información pública implica transparentar el ejercicio de la función pública, facilitar el acceso de los particulares a la información pública que los Sujetos Obligados generen, posean o administren en ejercicio de sus atribuciones, mediante procedimientos sencillos y expeditos, de manera oportuna y gratuita, privilegiando el principio de máxima publicidad de la información.</w:t>
      </w:r>
    </w:p>
    <w:p w14:paraId="1BC00996" w14:textId="77777777" w:rsidR="008553EC" w:rsidRPr="004E42A5" w:rsidRDefault="008553EC" w:rsidP="008553E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313C8819" w14:textId="77777777" w:rsidR="008553EC" w:rsidRPr="004E42A5" w:rsidRDefault="008553EC" w:rsidP="008553E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Por ello, los sujetos obligados deben poner en práctica, políticas y programas de acceso a la información que se apeguen a principios de simplicidad, rapidez, y gratuidad del procedimiento, de auxilio y orientación a los particulares, así como la atención adecuada a las personas con discapacidad y a los hablantes de la lengua indígena, a través del procedimiento previsto en los artículos 150, 152, 153 y 155 de la Ley de Transparencia y Acceso a la Información Pública del Estado de México y Municipios.</w:t>
      </w:r>
    </w:p>
    <w:p w14:paraId="7A3E014B" w14:textId="77777777" w:rsidR="008553EC" w:rsidRPr="004E42A5" w:rsidRDefault="008553EC" w:rsidP="008553E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37C48EC3" w14:textId="77777777" w:rsidR="008553EC" w:rsidRPr="004E42A5" w:rsidRDefault="008553EC" w:rsidP="008553E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En ese sentido debe quedar claro que una solicitud de información es un requerimiento formulado ante los Sujetos Obligados, a través de la cual se abre la posibilidad de consultar, sin necesidad de acreditar ningún tipo de interés, los documentos generados, administrados y resguardados por ellos, tal cual se encuentran en sus archivos. Por lo tanto, los Sujetos Obligados no tienen la responsabilidad de elaborar resúmenes, cálculos ni investigaciones que impliquen el procesamiento de los datos. En contraste, deben buscar y entregar la información requerida, de acuerdo con la Ley de Transparencia local.</w:t>
      </w:r>
    </w:p>
    <w:p w14:paraId="0AA593B4" w14:textId="77777777" w:rsidR="008553EC" w:rsidRPr="004E42A5" w:rsidRDefault="008553EC" w:rsidP="008553E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0D201119" w14:textId="77777777" w:rsidR="008553EC" w:rsidRPr="004E42A5" w:rsidRDefault="008553EC" w:rsidP="008553E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 xml:space="preserve">Ahora bien, por lo que respecta al procedimiento de acceso a los datos personales debe destacarse que, de igual forma que el derecho de acceso a la información pública tiene </w:t>
      </w:r>
      <w:r w:rsidRPr="004E42A5">
        <w:rPr>
          <w:rFonts w:ascii="Palatino Linotype" w:eastAsia="Palatino Linotype" w:hAnsi="Palatino Linotype" w:cs="Palatino Linotype"/>
          <w:color w:val="000000"/>
        </w:rPr>
        <w:lastRenderedPageBreak/>
        <w:t>su sustento en los artículos 6, apartado A, fracción II y 16 párrafo segundo de la Constitución Política de los Estados Unidos Mexicanos, los cuales establecen medularmente que la información que se refiere a la vida privada y los datos personales será protegida en los términos y con las excepciones que fijen las leyes, siendo que toda persona tiene derecho a la protección de sus datos personales, al acceso, rectificación y cancelación, así como a manifestar su oposición en los términos que fije la ley, la cual establecerá los supuestos de excepción a los principios que rijan el tratamiento de los datos, por razones de seguridad nacional, disposiciones de orden público, seguridad y salud públicas o para proteger los derechos de terceros.</w:t>
      </w:r>
    </w:p>
    <w:p w14:paraId="223CA21C" w14:textId="77777777" w:rsidR="008553EC" w:rsidRPr="004E42A5" w:rsidRDefault="008553EC" w:rsidP="008553E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0B23BE3A" w14:textId="77777777" w:rsidR="008553EC" w:rsidRPr="004E42A5" w:rsidRDefault="008553EC" w:rsidP="008553E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Procedimiento que, además, está regulado en la Ley de Protección de Datos Personales en Posesión de Sujetos Obligados del Estado de México, en específico en los artículos 97 y 98 que establecen que el titular por sí o través de su representante legal que acrediten su identidad o representación, respectivamente; tiene derecho a solicitar y ser informado sobre sus datos personales que estén en posesión de los Sujetos Obligados, el origen de dichos datos, el tratamiento del cual sean objeto, las cesiones realizadas o que se pretendan realizar, así como a tener acceso al aviso de privacidad al que está sujeto dicho tratamiento; entendiéndose por dato personal cualquier información concerniente a una persona física o jurídica colectiva identificada o identificable, establecida en cualquier formato o modalidad y que esté almacenada en bases de datos, conforme a lo establecido en esta Ley.</w:t>
      </w:r>
    </w:p>
    <w:p w14:paraId="7545776E" w14:textId="77777777" w:rsidR="008553EC" w:rsidRPr="004E42A5" w:rsidRDefault="008553EC" w:rsidP="008553E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0503B84B" w14:textId="77777777" w:rsidR="008553EC" w:rsidRPr="004E42A5" w:rsidRDefault="008553EC" w:rsidP="008553E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 xml:space="preserve">Así las cosas, se tiene que una solicitud de derechos ARCO se refiere a aquel derecho que tiene un titular de datos personales para solicitar el acceso, rectificación, </w:t>
      </w:r>
      <w:r w:rsidRPr="004E42A5">
        <w:rPr>
          <w:rFonts w:ascii="Palatino Linotype" w:eastAsia="Palatino Linotype" w:hAnsi="Palatino Linotype" w:cs="Palatino Linotype"/>
          <w:color w:val="000000"/>
        </w:rPr>
        <w:lastRenderedPageBreak/>
        <w:t>cancelación, oposición y portabilidad sobre el tratamiento de sus datos, ante el sujeto obligado que esté en posesión de estos.</w:t>
      </w:r>
    </w:p>
    <w:p w14:paraId="7AC1B623" w14:textId="77777777" w:rsidR="008553EC" w:rsidRPr="004E42A5" w:rsidRDefault="008553EC" w:rsidP="008553E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747552F3" w14:textId="77777777" w:rsidR="008553EC" w:rsidRPr="004E42A5" w:rsidRDefault="008553EC" w:rsidP="008553EC">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Es importante señalar, que la procedencia de los derechos de acceso, rectificación, cancelación y oposición de datos personales es efectiva una vez que el titular o su representante legal acrediten su identidad o representación, respectivamente.</w:t>
      </w:r>
    </w:p>
    <w:p w14:paraId="69D708E0" w14:textId="01963050" w:rsidR="008553EC" w:rsidRPr="004E42A5" w:rsidRDefault="008553EC" w:rsidP="001A1DC3">
      <w:pPr>
        <w:autoSpaceDE w:val="0"/>
        <w:autoSpaceDN w:val="0"/>
        <w:adjustRightInd w:val="0"/>
        <w:spacing w:before="240" w:line="360" w:lineRule="auto"/>
        <w:jc w:val="both"/>
        <w:rPr>
          <w:rFonts w:ascii="Palatino Linotype" w:hAnsi="Palatino Linotype" w:cs="Arial"/>
        </w:rPr>
      </w:pPr>
      <w:r w:rsidRPr="004E42A5">
        <w:rPr>
          <w:rFonts w:ascii="Palatino Linotype" w:eastAsiaTheme="minorEastAsia" w:hAnsi="Palatino Linotype" w:cstheme="minorBidi"/>
          <w:lang w:eastAsia="en-US"/>
        </w:rPr>
        <w:t xml:space="preserve">En virtud de lo anterior, es conveniente recordar que </w:t>
      </w:r>
      <w:r w:rsidRPr="004E42A5">
        <w:rPr>
          <w:rFonts w:ascii="Palatino Linotype" w:eastAsiaTheme="minorEastAsia" w:hAnsi="Palatino Linotype" w:cstheme="minorBidi"/>
          <w:b/>
          <w:bCs/>
          <w:lang w:eastAsia="en-US"/>
        </w:rPr>
        <w:t>El Recurrente</w:t>
      </w:r>
      <w:r w:rsidRPr="004E42A5">
        <w:rPr>
          <w:rFonts w:ascii="Palatino Linotype" w:eastAsiaTheme="minorEastAsia" w:hAnsi="Palatino Linotype" w:cstheme="minorBidi"/>
          <w:lang w:eastAsia="en-US"/>
        </w:rPr>
        <w:t xml:space="preserve"> requirió lo siguiente: </w:t>
      </w:r>
    </w:p>
    <w:p w14:paraId="1D0AE1D3" w14:textId="0F4B4785" w:rsidR="001A1DC3" w:rsidRPr="004E42A5" w:rsidRDefault="00313AEF" w:rsidP="00313AEF">
      <w:pPr>
        <w:pStyle w:val="Citas"/>
        <w:rPr>
          <w:b/>
          <w:bCs/>
        </w:rPr>
      </w:pPr>
      <w:r w:rsidRPr="004E42A5">
        <w:t>“</w:t>
      </w:r>
      <w:r w:rsidR="007C3AB4" w:rsidRPr="004E42A5">
        <w:rPr>
          <w:lang w:val="es-ES"/>
        </w:rPr>
        <w:t xml:space="preserve">Solicito copia electrónica de los últimos 12 recibos de nómina C. </w:t>
      </w:r>
      <w:r w:rsidR="00914217">
        <w:rPr>
          <w:lang w:val="es-ES"/>
        </w:rPr>
        <w:t>XXXXXXXXXXX</w:t>
      </w:r>
      <w:r w:rsidR="007C3AB4" w:rsidRPr="004E42A5">
        <w:rPr>
          <w:lang w:val="es-ES"/>
        </w:rPr>
        <w:t xml:space="preserve"> </w:t>
      </w:r>
      <w:r w:rsidR="00914217">
        <w:rPr>
          <w:lang w:val="es-ES"/>
        </w:rPr>
        <w:t>XXXX</w:t>
      </w:r>
      <w:r w:rsidR="007C3AB4" w:rsidRPr="004E42A5">
        <w:rPr>
          <w:lang w:val="es-ES"/>
        </w:rPr>
        <w:t xml:space="preserve">, correspondiente al periodo agosto 2012 – julio 2013 (último año laborado) con fin de verificar los conceptos integrables salariales en su cálculo de pensión ISSSTE. Datos del interesado: Nombre: </w:t>
      </w:r>
      <w:r w:rsidR="00914217">
        <w:rPr>
          <w:lang w:val="es-ES"/>
        </w:rPr>
        <w:t>XXXXXXXXXXXXXXXXX</w:t>
      </w:r>
      <w:r w:rsidR="007C3AB4" w:rsidRPr="004E42A5">
        <w:rPr>
          <w:lang w:val="es-ES"/>
        </w:rPr>
        <w:t xml:space="preserve"> CURP: </w:t>
      </w:r>
      <w:proofErr w:type="spellStart"/>
      <w:r w:rsidR="00914217">
        <w:rPr>
          <w:lang w:val="es-ES"/>
        </w:rPr>
        <w:t>xxxxxxxxxxxxxxxxxxxxx</w:t>
      </w:r>
      <w:proofErr w:type="spellEnd"/>
      <w:r w:rsidR="007C3AB4" w:rsidRPr="004E42A5">
        <w:rPr>
          <w:lang w:val="es-ES"/>
        </w:rPr>
        <w:t xml:space="preserve"> RFC: </w:t>
      </w:r>
      <w:proofErr w:type="spellStart"/>
      <w:r w:rsidR="00914217">
        <w:rPr>
          <w:lang w:val="es-ES"/>
        </w:rPr>
        <w:t>xxxxxxxxxxxxx</w:t>
      </w:r>
      <w:bookmarkStart w:id="1" w:name="_GoBack"/>
      <w:bookmarkEnd w:id="1"/>
      <w:proofErr w:type="spellEnd"/>
      <w:r w:rsidR="007C3AB4" w:rsidRPr="004E42A5">
        <w:rPr>
          <w:lang w:val="es-ES"/>
        </w:rPr>
        <w:t xml:space="preserve"> Fecha de baja: agosto de 2013 Solicito la entrega vía electrónica, por correo o descarga</w:t>
      </w:r>
      <w:r w:rsidRPr="004E42A5">
        <w:t xml:space="preserve">” </w:t>
      </w:r>
      <w:r w:rsidRPr="004E42A5">
        <w:rPr>
          <w:b/>
          <w:bCs/>
        </w:rPr>
        <w:t>(Sic)</w:t>
      </w:r>
    </w:p>
    <w:p w14:paraId="02131621" w14:textId="77777777" w:rsidR="00313AEF" w:rsidRPr="004E42A5" w:rsidRDefault="00313AEF" w:rsidP="001F276C">
      <w:pPr>
        <w:tabs>
          <w:tab w:val="left" w:pos="709"/>
        </w:tabs>
        <w:spacing w:line="360" w:lineRule="auto"/>
        <w:ind w:right="51"/>
        <w:jc w:val="both"/>
        <w:rPr>
          <w:rFonts w:ascii="Palatino Linotype" w:hAnsi="Palatino Linotype"/>
        </w:rPr>
      </w:pPr>
    </w:p>
    <w:p w14:paraId="5EAD7CB9" w14:textId="78756BE4" w:rsidR="007C3AB4" w:rsidRPr="004E42A5" w:rsidRDefault="00486912" w:rsidP="001F276C">
      <w:pPr>
        <w:pStyle w:val="Prrafodelista"/>
        <w:widowControl w:val="0"/>
        <w:autoSpaceDE w:val="0"/>
        <w:autoSpaceDN w:val="0"/>
        <w:adjustRightInd w:val="0"/>
        <w:spacing w:line="360" w:lineRule="auto"/>
        <w:ind w:left="0" w:right="51"/>
        <w:jc w:val="both"/>
        <w:rPr>
          <w:rFonts w:ascii="Palatino Linotype" w:hAnsi="Palatino Linotype" w:cs="Arial"/>
          <w:bCs/>
        </w:rPr>
      </w:pPr>
      <w:r w:rsidRPr="004E42A5">
        <w:rPr>
          <w:rFonts w:ascii="Palatino Linotype" w:hAnsi="Palatino Linotype" w:cs="Arial"/>
        </w:rPr>
        <w:t xml:space="preserve">En este tenor, se precisa que </w:t>
      </w:r>
      <w:r w:rsidR="00CD210C" w:rsidRPr="004E42A5">
        <w:rPr>
          <w:rFonts w:ascii="Palatino Linotype" w:hAnsi="Palatino Linotype" w:cs="Arial"/>
          <w:b/>
          <w:bCs/>
        </w:rPr>
        <w:t>El</w:t>
      </w:r>
      <w:r w:rsidRPr="004E42A5">
        <w:rPr>
          <w:rFonts w:ascii="Palatino Linotype" w:hAnsi="Palatino Linotype" w:cs="Arial"/>
          <w:b/>
          <w:bCs/>
        </w:rPr>
        <w:t xml:space="preserve"> Sujeto </w:t>
      </w:r>
      <w:bookmarkStart w:id="2" w:name="_Hlk147391257"/>
      <w:r w:rsidRPr="004E42A5">
        <w:rPr>
          <w:rFonts w:ascii="Palatino Linotype" w:hAnsi="Palatino Linotype" w:cs="Arial"/>
          <w:b/>
          <w:bCs/>
        </w:rPr>
        <w:t>Obligado</w:t>
      </w:r>
      <w:r w:rsidRPr="004E42A5">
        <w:rPr>
          <w:rFonts w:ascii="Palatino Linotype" w:hAnsi="Palatino Linotype" w:cs="Arial"/>
          <w:b/>
        </w:rPr>
        <w:t xml:space="preserve"> </w:t>
      </w:r>
      <w:r w:rsidR="00CD210C" w:rsidRPr="004E42A5">
        <w:rPr>
          <w:rFonts w:ascii="Palatino Linotype" w:hAnsi="Palatino Linotype" w:cs="Arial"/>
          <w:bCs/>
        </w:rPr>
        <w:t xml:space="preserve">rindió su respuesta en fecha </w:t>
      </w:r>
      <w:r w:rsidR="007C3AB4" w:rsidRPr="004E42A5">
        <w:rPr>
          <w:rFonts w:ascii="Palatino Linotype" w:hAnsi="Palatino Linotype" w:cs="Arial"/>
          <w:b/>
        </w:rPr>
        <w:t xml:space="preserve">once de julio de dos mil veinticinco, </w:t>
      </w:r>
      <w:r w:rsidR="007C3AB4" w:rsidRPr="004E42A5">
        <w:rPr>
          <w:rFonts w:ascii="Palatino Linotype" w:hAnsi="Palatino Linotype" w:cs="Arial"/>
          <w:bCs/>
        </w:rPr>
        <w:t xml:space="preserve">adjuntando para tal efecto lo siguiente: </w:t>
      </w:r>
    </w:p>
    <w:p w14:paraId="10EE72D5" w14:textId="129C09D6" w:rsidR="007C3AB4" w:rsidRPr="004E42A5" w:rsidRDefault="007C3AB4" w:rsidP="007C3AB4">
      <w:pPr>
        <w:pStyle w:val="Prrafodelista"/>
        <w:widowControl w:val="0"/>
        <w:numPr>
          <w:ilvl w:val="0"/>
          <w:numId w:val="19"/>
        </w:numPr>
        <w:autoSpaceDE w:val="0"/>
        <w:autoSpaceDN w:val="0"/>
        <w:adjustRightInd w:val="0"/>
        <w:spacing w:line="360" w:lineRule="auto"/>
        <w:ind w:right="51"/>
        <w:jc w:val="both"/>
        <w:rPr>
          <w:rFonts w:ascii="Palatino Linotype" w:hAnsi="Palatino Linotype" w:cs="Arial"/>
          <w:b/>
        </w:rPr>
      </w:pPr>
      <w:r w:rsidRPr="004E42A5">
        <w:rPr>
          <w:rFonts w:ascii="Palatino Linotype" w:hAnsi="Palatino Linotype" w:cs="Arial"/>
          <w:b/>
        </w:rPr>
        <w:t xml:space="preserve">“Respuesta sol 0162IP2025.pdf”: </w:t>
      </w:r>
      <w:r w:rsidRPr="004E42A5">
        <w:rPr>
          <w:rFonts w:ascii="Palatino Linotype" w:hAnsi="Palatino Linotype" w:cs="Arial"/>
          <w:bCs/>
        </w:rPr>
        <w:t xml:space="preserve">Oficio número </w:t>
      </w:r>
      <w:r w:rsidRPr="004E42A5">
        <w:rPr>
          <w:rFonts w:ascii="Palatino Linotype" w:hAnsi="Palatino Linotype" w:cs="Arial"/>
          <w:b/>
        </w:rPr>
        <w:t xml:space="preserve">210C0101030000S/UT/568/2025 </w:t>
      </w:r>
      <w:r w:rsidRPr="004E42A5">
        <w:rPr>
          <w:rFonts w:ascii="Palatino Linotype" w:hAnsi="Palatino Linotype" w:cs="Arial"/>
          <w:bCs/>
        </w:rPr>
        <w:t xml:space="preserve">signado por el suplente del titular de la unidad de transparencia, dirigido al ciudadano, de fecha diez de julio de </w:t>
      </w:r>
      <w:r w:rsidR="00E06F53" w:rsidRPr="004E42A5">
        <w:rPr>
          <w:rFonts w:ascii="Palatino Linotype" w:hAnsi="Palatino Linotype" w:cs="Arial"/>
          <w:bCs/>
        </w:rPr>
        <w:t xml:space="preserve">dos mil veinticinco, en lo medular invoca los artículos 106 y 110 de la Ley de Protección de Datos Personales en Posesión de Sujetos Obligados del Estado de México y Municipios, relativos a la acreditación de identidad del titular y en su caso, la personalidad e identidad del representante. </w:t>
      </w:r>
    </w:p>
    <w:bookmarkEnd w:id="2"/>
    <w:p w14:paraId="111BD30E" w14:textId="0B444C24" w:rsidR="004062B7" w:rsidRPr="004E42A5" w:rsidRDefault="00486912" w:rsidP="001F276C">
      <w:pPr>
        <w:pStyle w:val="Prrafodelista"/>
        <w:widowControl w:val="0"/>
        <w:autoSpaceDE w:val="0"/>
        <w:autoSpaceDN w:val="0"/>
        <w:adjustRightInd w:val="0"/>
        <w:spacing w:line="360" w:lineRule="auto"/>
        <w:ind w:left="0" w:right="51"/>
        <w:jc w:val="both"/>
        <w:rPr>
          <w:rFonts w:ascii="Palatino Linotype" w:hAnsi="Palatino Linotype" w:cs="Arial"/>
        </w:rPr>
      </w:pPr>
      <w:r w:rsidRPr="004E42A5">
        <w:rPr>
          <w:rFonts w:ascii="Palatino Linotype" w:hAnsi="Palatino Linotype" w:cs="Arial"/>
        </w:rPr>
        <w:lastRenderedPageBreak/>
        <w:t xml:space="preserve">Por otro lado, tenemos </w:t>
      </w:r>
      <w:r w:rsidR="00017A9B" w:rsidRPr="004E42A5">
        <w:rPr>
          <w:rFonts w:ascii="Palatino Linotype" w:hAnsi="Palatino Linotype" w:cs="Arial"/>
        </w:rPr>
        <w:t>que,</w:t>
      </w:r>
      <w:r w:rsidRPr="004E42A5">
        <w:rPr>
          <w:rFonts w:ascii="Palatino Linotype" w:hAnsi="Palatino Linotype" w:cs="Arial"/>
        </w:rPr>
        <w:t xml:space="preserve"> </w:t>
      </w:r>
      <w:r w:rsidR="00CD210C" w:rsidRPr="004E42A5">
        <w:rPr>
          <w:rFonts w:ascii="Palatino Linotype" w:hAnsi="Palatino Linotype" w:cs="Arial"/>
        </w:rPr>
        <w:t xml:space="preserve">al momento de interponer el recurso de revisión, </w:t>
      </w:r>
      <w:r w:rsidR="00CD210C" w:rsidRPr="004E42A5">
        <w:rPr>
          <w:rFonts w:ascii="Palatino Linotype" w:hAnsi="Palatino Linotype" w:cs="Arial"/>
          <w:b/>
          <w:bCs/>
        </w:rPr>
        <w:t xml:space="preserve">El Recurrente </w:t>
      </w:r>
      <w:r w:rsidR="008324E8" w:rsidRPr="004E42A5">
        <w:rPr>
          <w:rFonts w:ascii="Palatino Linotype" w:hAnsi="Palatino Linotype" w:cs="Arial"/>
        </w:rPr>
        <w:t xml:space="preserve">manifestó </w:t>
      </w:r>
      <w:r w:rsidR="004062B7" w:rsidRPr="004E42A5">
        <w:rPr>
          <w:rFonts w:ascii="Palatino Linotype" w:hAnsi="Palatino Linotype" w:cs="Arial"/>
        </w:rPr>
        <w:t>lo siguiente:</w:t>
      </w:r>
    </w:p>
    <w:p w14:paraId="376178DE" w14:textId="77777777" w:rsidR="00E06F53" w:rsidRPr="004E42A5" w:rsidRDefault="00E06F53" w:rsidP="00E06F53">
      <w:pPr>
        <w:spacing w:line="360" w:lineRule="auto"/>
        <w:jc w:val="both"/>
        <w:rPr>
          <w:rFonts w:ascii="Palatino Linotype" w:eastAsiaTheme="minorHAnsi" w:hAnsi="Palatino Linotype" w:cs="Arial"/>
          <w:b/>
          <w:bCs/>
          <w:lang w:val="es-MX" w:eastAsia="en-US"/>
        </w:rPr>
      </w:pPr>
      <w:r w:rsidRPr="004E42A5">
        <w:rPr>
          <w:rFonts w:ascii="Palatino Linotype" w:eastAsiaTheme="minorHAnsi" w:hAnsi="Palatino Linotype" w:cs="Arial"/>
          <w:b/>
          <w:bCs/>
          <w:lang w:val="es-MX" w:eastAsia="en-US"/>
        </w:rPr>
        <w:t>Acto impugnado:</w:t>
      </w:r>
    </w:p>
    <w:p w14:paraId="3166B750" w14:textId="77777777" w:rsidR="00E06F53" w:rsidRPr="004E42A5" w:rsidRDefault="00E06F53" w:rsidP="00E06F53">
      <w:pPr>
        <w:pStyle w:val="Citas"/>
        <w:rPr>
          <w:b/>
          <w:bCs/>
        </w:rPr>
      </w:pPr>
      <w:r w:rsidRPr="004E42A5">
        <w:t>“</w:t>
      </w:r>
      <w:r w:rsidRPr="004E42A5">
        <w:rPr>
          <w:lang w:val="es-ES"/>
        </w:rPr>
        <w:t>La respuesta otorgada a la solicitud fue incompleta, errónea o no corresponde a lo solicitado</w:t>
      </w:r>
      <w:r w:rsidRPr="004E42A5">
        <w:t xml:space="preserve">” </w:t>
      </w:r>
      <w:r w:rsidRPr="004E42A5">
        <w:rPr>
          <w:b/>
          <w:bCs/>
        </w:rPr>
        <w:t>(Sic)</w:t>
      </w:r>
    </w:p>
    <w:p w14:paraId="4C9349A9" w14:textId="77777777" w:rsidR="00E06F53" w:rsidRPr="004E42A5" w:rsidRDefault="00E06F53" w:rsidP="00E06F53">
      <w:pPr>
        <w:spacing w:line="360" w:lineRule="auto"/>
        <w:jc w:val="both"/>
        <w:rPr>
          <w:rFonts w:ascii="Palatino Linotype" w:eastAsiaTheme="minorHAnsi" w:hAnsi="Palatino Linotype" w:cs="Arial"/>
          <w:lang w:val="es-MX" w:eastAsia="en-US"/>
        </w:rPr>
      </w:pPr>
    </w:p>
    <w:p w14:paraId="497DAAD1" w14:textId="77777777" w:rsidR="00E06F53" w:rsidRPr="004E42A5" w:rsidRDefault="00E06F53" w:rsidP="00E06F53">
      <w:pPr>
        <w:spacing w:line="360" w:lineRule="auto"/>
        <w:jc w:val="both"/>
        <w:rPr>
          <w:rFonts w:ascii="Palatino Linotype" w:eastAsiaTheme="minorHAnsi" w:hAnsi="Palatino Linotype" w:cs="Arial"/>
          <w:b/>
          <w:bCs/>
          <w:lang w:val="es-MX" w:eastAsia="en-US"/>
        </w:rPr>
      </w:pPr>
      <w:r w:rsidRPr="004E42A5">
        <w:rPr>
          <w:rFonts w:ascii="Palatino Linotype" w:eastAsiaTheme="minorHAnsi" w:hAnsi="Palatino Linotype" w:cs="Arial"/>
          <w:b/>
          <w:bCs/>
          <w:lang w:val="es-MX" w:eastAsia="en-US"/>
        </w:rPr>
        <w:t>Razones o motivos de inconformidad:</w:t>
      </w:r>
    </w:p>
    <w:p w14:paraId="750EE645" w14:textId="1FAE8A76" w:rsidR="00E06F53" w:rsidRPr="004E42A5" w:rsidRDefault="00E06F53" w:rsidP="00E06F53">
      <w:pPr>
        <w:pStyle w:val="Citas"/>
        <w:rPr>
          <w:b/>
          <w:bCs/>
        </w:rPr>
      </w:pPr>
      <w:r w:rsidRPr="004E42A5">
        <w:t>“</w:t>
      </w:r>
      <w:r w:rsidRPr="004E42A5">
        <w:rPr>
          <w:lang w:val="es-ES"/>
        </w:rPr>
        <w:t xml:space="preserve">El suscrito, </w:t>
      </w:r>
      <w:r w:rsidR="00914217">
        <w:rPr>
          <w:lang w:val="es-ES"/>
        </w:rPr>
        <w:t>XXXXXXXXXXXXXXX</w:t>
      </w:r>
      <w:r w:rsidRPr="004E42A5">
        <w:rPr>
          <w:lang w:val="es-ES"/>
        </w:rPr>
        <w:t>, interpone recurso de revisión en contra de la respuesta emitida por SEIEM en el expediente 210620010030005/01/SDE/2025, en virtud de que la autoridad canaliza mi solicitud al procedimiento ARCO, lo cual resulta improcedente. Yo, como titular de los datos, solicité acceso a información pública de carácter laboral, específicamente mis últimos 12 recibos de nómina del periodo agosto 2012 a julio 2013, para fines jurídicos relacionados con la revisión de mi pensión ante el ISSSTE. La información solicitada no es confidencial ni reservada, ya que está vinculada al ejercicio de recursos públicos. Además, al ser el titular de los datos, no es necesario canalizar mi petición al procedimiento ARCO. Esta canalización constituye una limitación injustificada al derecho de acceso a la información. Con fundamento en los artículos 6° constitucional, 7, 11, 117 y demás relativos de la Ley de Transparencia del Estado de México, solicito al INFOEM que tenga por presentado este recurso, y ordene al SEIEM la entrega de los recibos solicitados</w:t>
      </w:r>
      <w:r w:rsidRPr="004E42A5">
        <w:t xml:space="preserve">” </w:t>
      </w:r>
      <w:r w:rsidRPr="004E42A5">
        <w:rPr>
          <w:b/>
          <w:bCs/>
        </w:rPr>
        <w:t>(Sic)</w:t>
      </w:r>
    </w:p>
    <w:p w14:paraId="57A4D6CE" w14:textId="77777777" w:rsidR="00E06F53" w:rsidRPr="004E42A5" w:rsidRDefault="00E06F53" w:rsidP="00E06F53">
      <w:pPr>
        <w:spacing w:line="360" w:lineRule="auto"/>
        <w:jc w:val="both"/>
        <w:rPr>
          <w:rFonts w:ascii="Palatino Linotype" w:eastAsiaTheme="minorHAnsi" w:hAnsi="Palatino Linotype" w:cs="Arial"/>
          <w:lang w:val="es-MX" w:eastAsia="en-US"/>
        </w:rPr>
      </w:pPr>
    </w:p>
    <w:p w14:paraId="69D192D9" w14:textId="77777777" w:rsidR="00E06F53" w:rsidRPr="004E42A5" w:rsidRDefault="00E06F53" w:rsidP="00E06F53">
      <w:pPr>
        <w:spacing w:line="360" w:lineRule="auto"/>
        <w:jc w:val="both"/>
        <w:rPr>
          <w:rFonts w:ascii="Palatino Linotype" w:eastAsiaTheme="minorHAnsi" w:hAnsi="Palatino Linotype" w:cs="Arial"/>
          <w:b/>
          <w:lang w:val="es-MX" w:eastAsia="en-US"/>
        </w:rPr>
      </w:pPr>
      <w:r w:rsidRPr="004E42A5">
        <w:rPr>
          <w:rFonts w:ascii="Palatino Linotype" w:eastAsiaTheme="minorHAnsi" w:hAnsi="Palatino Linotype" w:cs="Arial"/>
          <w:bCs/>
          <w:lang w:val="es-MX" w:eastAsia="en-US"/>
        </w:rPr>
        <w:t xml:space="preserve">Adjuntando el documento electrónico </w:t>
      </w:r>
      <w:r w:rsidRPr="004E42A5">
        <w:rPr>
          <w:rFonts w:ascii="Palatino Linotype" w:eastAsiaTheme="minorHAnsi" w:hAnsi="Palatino Linotype" w:cs="Arial"/>
          <w:b/>
          <w:lang w:val="es-MX" w:eastAsia="en-US"/>
        </w:rPr>
        <w:t xml:space="preserve">“Respuesta sol 0162IP2025.pdf” </w:t>
      </w:r>
      <w:r w:rsidRPr="004E42A5">
        <w:rPr>
          <w:rFonts w:ascii="Palatino Linotype" w:eastAsiaTheme="minorHAnsi" w:hAnsi="Palatino Linotype" w:cs="Arial"/>
          <w:bCs/>
          <w:lang w:val="es-MX" w:eastAsia="en-US"/>
        </w:rPr>
        <w:t xml:space="preserve">correspondiente a la respuesta primigenia. </w:t>
      </w:r>
    </w:p>
    <w:p w14:paraId="7366FA98" w14:textId="3C8BBF22" w:rsidR="00E06F53" w:rsidRPr="004E42A5" w:rsidRDefault="00074B2C" w:rsidP="001F276C">
      <w:pPr>
        <w:pStyle w:val="Prrafodelista"/>
        <w:widowControl w:val="0"/>
        <w:autoSpaceDE w:val="0"/>
        <w:autoSpaceDN w:val="0"/>
        <w:adjustRightInd w:val="0"/>
        <w:spacing w:line="360" w:lineRule="auto"/>
        <w:ind w:left="0" w:right="51"/>
        <w:jc w:val="both"/>
        <w:rPr>
          <w:rFonts w:ascii="Palatino Linotype" w:hAnsi="Palatino Linotype" w:cs="Arial"/>
        </w:rPr>
      </w:pPr>
      <w:r w:rsidRPr="004E42A5">
        <w:rPr>
          <w:rFonts w:ascii="Palatino Linotype" w:hAnsi="Palatino Linotype" w:cs="Arial"/>
        </w:rPr>
        <w:lastRenderedPageBreak/>
        <w:t xml:space="preserve">Dentro de este marco, en fecha </w:t>
      </w:r>
      <w:r w:rsidR="00E06F53" w:rsidRPr="004E42A5">
        <w:rPr>
          <w:rFonts w:ascii="Palatino Linotype" w:hAnsi="Palatino Linotype" w:cs="Arial"/>
          <w:b/>
          <w:bCs/>
        </w:rPr>
        <w:t xml:space="preserve">trece de agosto de dos mil veinticinco, El Sujeto Obligado </w:t>
      </w:r>
      <w:r w:rsidR="00E06F53" w:rsidRPr="004E42A5">
        <w:rPr>
          <w:rFonts w:ascii="Palatino Linotype" w:hAnsi="Palatino Linotype" w:cs="Arial"/>
        </w:rPr>
        <w:t>rindió su informe justificado, mediante el siguiente documento electrónico:</w:t>
      </w:r>
    </w:p>
    <w:p w14:paraId="4FA8DCD6" w14:textId="26439DFD" w:rsidR="00E06F53" w:rsidRPr="004E42A5" w:rsidRDefault="00E06F53" w:rsidP="00E06F53">
      <w:pPr>
        <w:pStyle w:val="Prrafodelista"/>
        <w:widowControl w:val="0"/>
        <w:numPr>
          <w:ilvl w:val="0"/>
          <w:numId w:val="20"/>
        </w:numPr>
        <w:autoSpaceDE w:val="0"/>
        <w:autoSpaceDN w:val="0"/>
        <w:adjustRightInd w:val="0"/>
        <w:spacing w:line="360" w:lineRule="auto"/>
        <w:ind w:right="51"/>
        <w:jc w:val="both"/>
        <w:rPr>
          <w:rFonts w:ascii="Palatino Linotype" w:hAnsi="Palatino Linotype" w:cs="Arial"/>
          <w:b/>
          <w:bCs/>
        </w:rPr>
      </w:pPr>
      <w:r w:rsidRPr="004E42A5">
        <w:rPr>
          <w:rFonts w:ascii="Palatino Linotype" w:hAnsi="Palatino Linotype" w:cs="Arial"/>
          <w:b/>
          <w:bCs/>
        </w:rPr>
        <w:t xml:space="preserve">“Informe de Justificación 08460INFOEMIPRR2025.pdf”: </w:t>
      </w:r>
      <w:r w:rsidRPr="004E42A5">
        <w:rPr>
          <w:rFonts w:ascii="Palatino Linotype" w:hAnsi="Palatino Linotype" w:cs="Arial"/>
        </w:rPr>
        <w:t xml:space="preserve">Oficio número </w:t>
      </w:r>
      <w:r w:rsidRPr="004E42A5">
        <w:rPr>
          <w:rFonts w:ascii="Palatino Linotype" w:hAnsi="Palatino Linotype" w:cs="Arial"/>
          <w:b/>
          <w:bCs/>
        </w:rPr>
        <w:t xml:space="preserve">228C0101030002S/UT/711/2025 </w:t>
      </w:r>
      <w:r w:rsidRPr="004E42A5">
        <w:rPr>
          <w:rFonts w:ascii="Palatino Linotype" w:hAnsi="Palatino Linotype" w:cs="Arial"/>
        </w:rPr>
        <w:t xml:space="preserve">signado por el suplente del titular de la unidad de transparencia, dirigido al comisionado ponente, de fecha trece de agosto de dos mil veinticinco, ratifica la respuesta primigenia al estimar que la información deberá de ser entregada previa acreditación. </w:t>
      </w:r>
    </w:p>
    <w:p w14:paraId="6B721FAD" w14:textId="77777777" w:rsidR="00E06F53" w:rsidRPr="004E42A5" w:rsidRDefault="00E06F53" w:rsidP="001F276C">
      <w:pPr>
        <w:pStyle w:val="Prrafodelista"/>
        <w:widowControl w:val="0"/>
        <w:autoSpaceDE w:val="0"/>
        <w:autoSpaceDN w:val="0"/>
        <w:adjustRightInd w:val="0"/>
        <w:spacing w:line="360" w:lineRule="auto"/>
        <w:ind w:left="0" w:right="51"/>
        <w:jc w:val="both"/>
        <w:rPr>
          <w:rFonts w:ascii="Palatino Linotype" w:hAnsi="Palatino Linotype" w:cs="Arial"/>
        </w:rPr>
      </w:pPr>
    </w:p>
    <w:p w14:paraId="192511A1" w14:textId="010BC001" w:rsidR="00E06F53" w:rsidRPr="004E42A5" w:rsidRDefault="004343E7" w:rsidP="004062B7">
      <w:pPr>
        <w:pStyle w:val="Prrafodelista"/>
        <w:widowControl w:val="0"/>
        <w:autoSpaceDE w:val="0"/>
        <w:autoSpaceDN w:val="0"/>
        <w:adjustRightInd w:val="0"/>
        <w:spacing w:line="360" w:lineRule="auto"/>
        <w:ind w:left="0" w:right="51"/>
        <w:jc w:val="both"/>
        <w:rPr>
          <w:rFonts w:ascii="Palatino Linotype" w:hAnsi="Palatino Linotype" w:cs="Arial"/>
        </w:rPr>
      </w:pPr>
      <w:r w:rsidRPr="004E42A5">
        <w:rPr>
          <w:rFonts w:ascii="Palatino Linotype" w:hAnsi="Palatino Linotype" w:cs="Arial"/>
        </w:rPr>
        <w:t xml:space="preserve">Debe señalarse que el </w:t>
      </w:r>
      <w:r w:rsidR="00FF2F5C" w:rsidRPr="004E42A5">
        <w:rPr>
          <w:rFonts w:ascii="Palatino Linotype" w:hAnsi="Palatino Linotype" w:cs="Arial"/>
          <w:b/>
          <w:bCs/>
        </w:rPr>
        <w:t xml:space="preserve">dieciséis de febrero de dos mil veintiséis, </w:t>
      </w:r>
      <w:r w:rsidR="00FF2F5C" w:rsidRPr="004E42A5">
        <w:rPr>
          <w:rFonts w:ascii="Palatino Linotype" w:hAnsi="Palatino Linotype" w:cs="Arial"/>
        </w:rPr>
        <w:t xml:space="preserve">se decretó el cierre de instrucción. </w:t>
      </w:r>
    </w:p>
    <w:p w14:paraId="3C71D9D3" w14:textId="2A524EDC" w:rsidR="004062B7" w:rsidRPr="004E42A5" w:rsidRDefault="004062B7" w:rsidP="004062B7">
      <w:pPr>
        <w:pStyle w:val="Prrafodelista"/>
        <w:widowControl w:val="0"/>
        <w:autoSpaceDE w:val="0"/>
        <w:autoSpaceDN w:val="0"/>
        <w:adjustRightInd w:val="0"/>
        <w:spacing w:line="360" w:lineRule="auto"/>
        <w:ind w:left="0" w:right="51"/>
        <w:jc w:val="both"/>
        <w:rPr>
          <w:rFonts w:ascii="Palatino Linotype" w:hAnsi="Palatino Linotype" w:cs="Arial"/>
        </w:rPr>
      </w:pPr>
      <w:r w:rsidRPr="004E42A5">
        <w:rPr>
          <w:rFonts w:ascii="Palatino Linotype" w:hAnsi="Palatino Linotype" w:cs="Arial"/>
        </w:rPr>
        <w:t xml:space="preserve">Adicionalmente, en fecha </w:t>
      </w:r>
      <w:r w:rsidR="00FF2F5C" w:rsidRPr="004E42A5">
        <w:rPr>
          <w:rFonts w:ascii="Palatino Linotype" w:hAnsi="Palatino Linotype" w:cs="Arial"/>
          <w:b/>
          <w:bCs/>
        </w:rPr>
        <w:t xml:space="preserve">doce de mayo de dos mil veintiséis, </w:t>
      </w:r>
      <w:r w:rsidR="00FF2F5C" w:rsidRPr="004E42A5">
        <w:rPr>
          <w:rFonts w:ascii="Palatino Linotype" w:hAnsi="Palatino Linotype" w:cs="Arial"/>
        </w:rPr>
        <w:t xml:space="preserve">derivado de las pretensiones del </w:t>
      </w:r>
      <w:r w:rsidR="00FF2F5C" w:rsidRPr="004E42A5">
        <w:rPr>
          <w:rFonts w:ascii="Palatino Linotype" w:hAnsi="Palatino Linotype" w:cs="Arial"/>
          <w:b/>
          <w:bCs/>
        </w:rPr>
        <w:t xml:space="preserve">Recurrente, </w:t>
      </w:r>
      <w:r w:rsidR="00FF2F5C" w:rsidRPr="004E42A5">
        <w:rPr>
          <w:rFonts w:ascii="Palatino Linotype" w:hAnsi="Palatino Linotype" w:cs="Arial"/>
        </w:rPr>
        <w:t xml:space="preserve">se </w:t>
      </w:r>
      <w:r w:rsidRPr="004E42A5">
        <w:rPr>
          <w:rFonts w:ascii="Palatino Linotype" w:eastAsia="Palatino Linotype" w:hAnsi="Palatino Linotype" w:cs="Palatino Linotype"/>
          <w:color w:val="000000"/>
        </w:rPr>
        <w:t xml:space="preserve">determinó procedente la reconducción de vía de derecho de acceso a información pública a acceso a datos personales, por lo que, de conformidad con la normatividad aplicable, se dejó sin efectos el cierre de instrucción, se habilitó nuevamente la etapa de manifestaciones y se previno al Recurrente para que en el término de </w:t>
      </w:r>
      <w:r w:rsidRPr="004E42A5">
        <w:rPr>
          <w:rFonts w:ascii="Palatino Linotype" w:hAnsi="Palatino Linotype" w:cs="Arial"/>
        </w:rPr>
        <w:t xml:space="preserve">5 (cinco) días hábiles siguientes de notificado el presente, </w:t>
      </w:r>
      <w:r w:rsidRPr="004E42A5">
        <w:rPr>
          <w:rFonts w:ascii="Palatino Linotype" w:hAnsi="Palatino Linotype" w:cs="Arial"/>
          <w:b/>
          <w:bCs/>
        </w:rPr>
        <w:t xml:space="preserve">El Recurrente </w:t>
      </w:r>
      <w:r w:rsidRPr="004E42A5">
        <w:rPr>
          <w:rFonts w:ascii="Palatino Linotype" w:hAnsi="Palatino Linotype" w:cs="Arial"/>
        </w:rPr>
        <w:t xml:space="preserve">exhibiera los documentos encauzados a acreditar su identidad y personalidad como el titular de datos personales o su interés jurídico, mismo que no fue desahogado. </w:t>
      </w:r>
    </w:p>
    <w:p w14:paraId="7B7F25A9" w14:textId="77777777" w:rsidR="004062B7" w:rsidRPr="004E42A5" w:rsidRDefault="004062B7" w:rsidP="004062B7">
      <w:pPr>
        <w:pStyle w:val="Prrafodelista"/>
        <w:widowControl w:val="0"/>
        <w:autoSpaceDE w:val="0"/>
        <w:autoSpaceDN w:val="0"/>
        <w:adjustRightInd w:val="0"/>
        <w:spacing w:line="360" w:lineRule="auto"/>
        <w:ind w:left="0" w:right="51"/>
        <w:jc w:val="both"/>
        <w:rPr>
          <w:rFonts w:ascii="Palatino Linotype" w:hAnsi="Palatino Linotype" w:cs="Arial"/>
          <w:b/>
          <w:bCs/>
        </w:rPr>
      </w:pPr>
    </w:p>
    <w:p w14:paraId="45DDB286" w14:textId="03673DB8" w:rsidR="00B7265E" w:rsidRPr="004E42A5" w:rsidRDefault="004343E7" w:rsidP="004062B7">
      <w:pPr>
        <w:pStyle w:val="Prrafodelista"/>
        <w:widowControl w:val="0"/>
        <w:autoSpaceDE w:val="0"/>
        <w:autoSpaceDN w:val="0"/>
        <w:adjustRightInd w:val="0"/>
        <w:spacing w:line="360" w:lineRule="auto"/>
        <w:ind w:left="0" w:right="51"/>
        <w:jc w:val="both"/>
        <w:rPr>
          <w:rFonts w:ascii="Palatino Linotype" w:hAnsi="Palatino Linotype"/>
        </w:rPr>
      </w:pPr>
      <w:r w:rsidRPr="004E42A5">
        <w:rPr>
          <w:rFonts w:ascii="Palatino Linotype" w:hAnsi="Palatino Linotype"/>
        </w:rPr>
        <w:t>Una vez sentado lo anterior y</w:t>
      </w:r>
      <w:r w:rsidR="00B7265E" w:rsidRPr="004E42A5">
        <w:rPr>
          <w:rFonts w:ascii="Palatino Linotype" w:hAnsi="Palatino Linotype"/>
        </w:rPr>
        <w:t xml:space="preserve"> de conformidad con lo establecido en el Título Décimo Primero capítulos primero y segundo, de la Ley en comento, este Órgano Resolutor se encuentra en aptitud de verificar los presupuestos procesales establecidos para la procedencia de los recursos de revisión en aras de garantizar los derechos en tutela.</w:t>
      </w:r>
    </w:p>
    <w:p w14:paraId="65169765" w14:textId="77777777" w:rsidR="00B7265E" w:rsidRPr="004E42A5" w:rsidRDefault="00B7265E" w:rsidP="00B7265E">
      <w:pPr>
        <w:pStyle w:val="Textoindependiente"/>
        <w:spacing w:line="360" w:lineRule="auto"/>
        <w:ind w:left="0" w:right="49" w:firstLine="1"/>
        <w:jc w:val="both"/>
        <w:rPr>
          <w:sz w:val="24"/>
          <w:szCs w:val="24"/>
        </w:rPr>
      </w:pPr>
    </w:p>
    <w:p w14:paraId="2EBAD9EE" w14:textId="202BE7DE" w:rsidR="00B7265E" w:rsidRPr="004E42A5" w:rsidRDefault="00B7265E" w:rsidP="00B7265E">
      <w:pPr>
        <w:pStyle w:val="Textoindependiente"/>
        <w:spacing w:line="360" w:lineRule="auto"/>
        <w:ind w:left="0" w:right="49"/>
        <w:jc w:val="both"/>
        <w:rPr>
          <w:sz w:val="24"/>
          <w:szCs w:val="24"/>
        </w:rPr>
      </w:pPr>
      <w:r w:rsidRPr="004E42A5">
        <w:rPr>
          <w:sz w:val="24"/>
          <w:szCs w:val="24"/>
        </w:rPr>
        <w:lastRenderedPageBreak/>
        <w:t xml:space="preserve">Como ha quedado señalado </w:t>
      </w:r>
      <w:r w:rsidR="004343E7" w:rsidRPr="004E42A5">
        <w:rPr>
          <w:b/>
          <w:bCs/>
          <w:sz w:val="24"/>
          <w:szCs w:val="24"/>
        </w:rPr>
        <w:t>El</w:t>
      </w:r>
      <w:r w:rsidRPr="004E42A5">
        <w:rPr>
          <w:sz w:val="24"/>
          <w:szCs w:val="24"/>
        </w:rPr>
        <w:t xml:space="preserve"> </w:t>
      </w:r>
      <w:r w:rsidRPr="004E42A5">
        <w:rPr>
          <w:b/>
          <w:sz w:val="24"/>
          <w:szCs w:val="24"/>
        </w:rPr>
        <w:t>Recurrente</w:t>
      </w:r>
      <w:r w:rsidRPr="004E42A5">
        <w:rPr>
          <w:sz w:val="24"/>
          <w:szCs w:val="24"/>
        </w:rPr>
        <w:t xml:space="preserve"> </w:t>
      </w:r>
      <w:r w:rsidR="006A14FE" w:rsidRPr="004E42A5">
        <w:rPr>
          <w:sz w:val="24"/>
          <w:szCs w:val="24"/>
        </w:rPr>
        <w:t>ejerció</w:t>
      </w:r>
      <w:r w:rsidRPr="004E42A5">
        <w:rPr>
          <w:sz w:val="24"/>
          <w:szCs w:val="24"/>
        </w:rPr>
        <w:t xml:space="preserve"> su derecho de acceso a sus datos personales, empero se establece como un presupuesto procesal indispensable para su procedencia, </w:t>
      </w:r>
      <w:r w:rsidRPr="004E42A5">
        <w:rPr>
          <w:b/>
          <w:sz w:val="24"/>
          <w:szCs w:val="24"/>
        </w:rPr>
        <w:t>la acreditación de la identidad del titular</w:t>
      </w:r>
      <w:r w:rsidRPr="004E42A5">
        <w:rPr>
          <w:sz w:val="24"/>
          <w:szCs w:val="24"/>
        </w:rPr>
        <w:t xml:space="preserve">, </w:t>
      </w:r>
      <w:r w:rsidRPr="004E42A5">
        <w:rPr>
          <w:rFonts w:cs="Arial"/>
          <w:sz w:val="24"/>
          <w:szCs w:val="24"/>
        </w:rPr>
        <w:t>en términos de lo dispuesto por los artículos 97 y 106, párrafo tercero, de la Ley de Protección de Datos Personales en Posesión de Sujetos Obligados del Estado de México y Municipios.</w:t>
      </w:r>
    </w:p>
    <w:p w14:paraId="514749F0" w14:textId="77777777" w:rsidR="00B7265E" w:rsidRPr="004E42A5" w:rsidRDefault="00B7265E" w:rsidP="00B7265E">
      <w:pPr>
        <w:pStyle w:val="Textoindependiente"/>
        <w:spacing w:line="360" w:lineRule="auto"/>
        <w:ind w:left="0" w:right="49"/>
        <w:jc w:val="both"/>
        <w:rPr>
          <w:sz w:val="24"/>
          <w:szCs w:val="24"/>
        </w:rPr>
      </w:pPr>
    </w:p>
    <w:p w14:paraId="36EC6B28" w14:textId="168CED0A" w:rsidR="00B7265E" w:rsidRPr="004E42A5" w:rsidRDefault="00B7265E" w:rsidP="00B7265E">
      <w:pPr>
        <w:pStyle w:val="Textoindependiente"/>
        <w:spacing w:line="360" w:lineRule="auto"/>
        <w:ind w:left="0" w:right="49"/>
        <w:jc w:val="both"/>
        <w:rPr>
          <w:sz w:val="24"/>
          <w:szCs w:val="24"/>
        </w:rPr>
      </w:pPr>
      <w:r w:rsidRPr="004E42A5">
        <w:rPr>
          <w:sz w:val="24"/>
          <w:szCs w:val="24"/>
        </w:rPr>
        <w:t xml:space="preserve">Y como se aprecia de las constancias que integran el expediente en que se actúa, específicamente </w:t>
      </w:r>
      <w:r w:rsidR="007F0F92" w:rsidRPr="004E42A5">
        <w:rPr>
          <w:sz w:val="24"/>
          <w:szCs w:val="24"/>
        </w:rPr>
        <w:t>de los apartados relativos a</w:t>
      </w:r>
      <w:r w:rsidR="004343E7" w:rsidRPr="004E42A5">
        <w:rPr>
          <w:sz w:val="24"/>
          <w:szCs w:val="24"/>
        </w:rPr>
        <w:t xml:space="preserve"> solicitud</w:t>
      </w:r>
      <w:r w:rsidR="007F0F92" w:rsidRPr="004E42A5">
        <w:rPr>
          <w:sz w:val="24"/>
          <w:szCs w:val="24"/>
        </w:rPr>
        <w:t xml:space="preserve"> de información</w:t>
      </w:r>
      <w:r w:rsidR="004343E7" w:rsidRPr="004E42A5">
        <w:rPr>
          <w:sz w:val="24"/>
          <w:szCs w:val="24"/>
        </w:rPr>
        <w:t>,</w:t>
      </w:r>
      <w:r w:rsidRPr="004E42A5">
        <w:rPr>
          <w:sz w:val="24"/>
          <w:szCs w:val="24"/>
        </w:rPr>
        <w:t xml:space="preserve"> </w:t>
      </w:r>
      <w:r w:rsidR="004B4150" w:rsidRPr="004E42A5">
        <w:rPr>
          <w:sz w:val="24"/>
          <w:szCs w:val="24"/>
        </w:rPr>
        <w:t>interposición</w:t>
      </w:r>
      <w:r w:rsidR="004343E7" w:rsidRPr="004E42A5">
        <w:rPr>
          <w:sz w:val="24"/>
          <w:szCs w:val="24"/>
        </w:rPr>
        <w:t xml:space="preserve"> </w:t>
      </w:r>
      <w:r w:rsidR="007F0F92" w:rsidRPr="004E42A5">
        <w:rPr>
          <w:sz w:val="24"/>
          <w:szCs w:val="24"/>
        </w:rPr>
        <w:t xml:space="preserve">del recurso de revisión </w:t>
      </w:r>
      <w:r w:rsidR="004343E7" w:rsidRPr="004E42A5">
        <w:rPr>
          <w:sz w:val="24"/>
          <w:szCs w:val="24"/>
        </w:rPr>
        <w:t>o manifestaciones</w:t>
      </w:r>
      <w:r w:rsidRPr="004E42A5">
        <w:rPr>
          <w:sz w:val="24"/>
          <w:szCs w:val="24"/>
        </w:rPr>
        <w:t xml:space="preserve">, se advierte que </w:t>
      </w:r>
      <w:r w:rsidR="004343E7" w:rsidRPr="004E42A5">
        <w:rPr>
          <w:sz w:val="24"/>
          <w:szCs w:val="24"/>
        </w:rPr>
        <w:t>el</w:t>
      </w:r>
      <w:r w:rsidRPr="004E42A5">
        <w:rPr>
          <w:sz w:val="24"/>
          <w:szCs w:val="24"/>
        </w:rPr>
        <w:t xml:space="preserve"> ahora </w:t>
      </w:r>
      <w:r w:rsidRPr="004E42A5">
        <w:rPr>
          <w:b/>
          <w:sz w:val="24"/>
          <w:szCs w:val="24"/>
        </w:rPr>
        <w:t xml:space="preserve">Recurrente, </w:t>
      </w:r>
      <w:r w:rsidR="004343E7" w:rsidRPr="004E42A5">
        <w:rPr>
          <w:sz w:val="24"/>
          <w:szCs w:val="24"/>
        </w:rPr>
        <w:t xml:space="preserve">no adjuntó ningún documento </w:t>
      </w:r>
      <w:r w:rsidR="007F0F92" w:rsidRPr="004E42A5">
        <w:rPr>
          <w:sz w:val="24"/>
          <w:szCs w:val="24"/>
        </w:rPr>
        <w:t xml:space="preserve">de identidad </w:t>
      </w:r>
      <w:r w:rsidR="004343E7" w:rsidRPr="004E42A5">
        <w:rPr>
          <w:sz w:val="24"/>
          <w:szCs w:val="24"/>
        </w:rPr>
        <w:t>como</w:t>
      </w:r>
      <w:r w:rsidRPr="004E42A5">
        <w:rPr>
          <w:sz w:val="24"/>
          <w:szCs w:val="24"/>
        </w:rPr>
        <w:t xml:space="preserve"> medio de acreditación de su titularidad de los datos peticionados</w:t>
      </w:r>
      <w:r w:rsidR="008952F6" w:rsidRPr="004E42A5">
        <w:rPr>
          <w:sz w:val="24"/>
          <w:szCs w:val="24"/>
        </w:rPr>
        <w:t>.</w:t>
      </w:r>
    </w:p>
    <w:p w14:paraId="26D7B7BF" w14:textId="77777777" w:rsidR="00B7265E" w:rsidRPr="004E42A5" w:rsidRDefault="00B7265E" w:rsidP="00B7265E">
      <w:pPr>
        <w:spacing w:line="360" w:lineRule="auto"/>
        <w:jc w:val="both"/>
        <w:rPr>
          <w:rFonts w:ascii="Palatino Linotype" w:eastAsiaTheme="minorHAnsi" w:hAnsi="Palatino Linotype" w:cs="Arial"/>
          <w:lang w:val="es-MX" w:eastAsia="en-US"/>
        </w:rPr>
      </w:pPr>
    </w:p>
    <w:p w14:paraId="0D6254A0" w14:textId="77777777" w:rsidR="00802F09" w:rsidRPr="004E42A5" w:rsidRDefault="00802F09" w:rsidP="00802F09">
      <w:pPr>
        <w:pBdr>
          <w:top w:val="nil"/>
          <w:left w:val="nil"/>
          <w:bottom w:val="nil"/>
          <w:right w:val="nil"/>
          <w:between w:val="nil"/>
        </w:pBdr>
        <w:tabs>
          <w:tab w:val="left" w:pos="911"/>
        </w:tabs>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Al respecto, es de indicar que, de conformidad con los artículos 120 de la Ley de Protección de Datos local; 76 de los Lineamientos Generales de Protección de Datos Personales para el Sector Público; y 2.5 Bis del Código Civil del Estado de México, los medios para acreditar la identidad de personas físicas son los siguientes:</w:t>
      </w:r>
    </w:p>
    <w:p w14:paraId="10553281" w14:textId="77777777" w:rsidR="00802F09" w:rsidRPr="004E42A5" w:rsidRDefault="00802F09" w:rsidP="00802F09">
      <w:pPr>
        <w:pBdr>
          <w:top w:val="nil"/>
          <w:left w:val="nil"/>
          <w:bottom w:val="nil"/>
          <w:right w:val="nil"/>
          <w:between w:val="nil"/>
        </w:pBdr>
        <w:tabs>
          <w:tab w:val="left" w:pos="911"/>
        </w:tabs>
        <w:spacing w:line="360" w:lineRule="auto"/>
        <w:contextualSpacing/>
        <w:jc w:val="both"/>
        <w:rPr>
          <w:rFonts w:ascii="Palatino Linotype" w:eastAsia="Palatino Linotype" w:hAnsi="Palatino Linotype" w:cs="Palatino Linotype"/>
          <w:color w:val="000000"/>
        </w:rPr>
      </w:pPr>
    </w:p>
    <w:p w14:paraId="2F7F3111" w14:textId="77777777" w:rsidR="00802F09" w:rsidRPr="004E42A5" w:rsidRDefault="00802F09" w:rsidP="00802F09">
      <w:pPr>
        <w:pStyle w:val="Prrafodelista"/>
        <w:numPr>
          <w:ilvl w:val="0"/>
          <w:numId w:val="18"/>
        </w:numPr>
        <w:pBdr>
          <w:top w:val="nil"/>
          <w:left w:val="nil"/>
          <w:bottom w:val="nil"/>
          <w:right w:val="nil"/>
          <w:between w:val="nil"/>
        </w:pBdr>
        <w:tabs>
          <w:tab w:val="left" w:pos="911"/>
        </w:tabs>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Identificación oficial, como Credencial para votar, pasaporte, matrícula consular mexicana, carta de naturalización, cédula profesional o de pasante, etc.</w:t>
      </w:r>
    </w:p>
    <w:p w14:paraId="3D8A277A" w14:textId="77777777" w:rsidR="00802F09" w:rsidRPr="004E42A5" w:rsidRDefault="00802F09" w:rsidP="00802F09">
      <w:pPr>
        <w:pStyle w:val="Prrafodelista"/>
        <w:numPr>
          <w:ilvl w:val="0"/>
          <w:numId w:val="18"/>
        </w:numPr>
        <w:pBdr>
          <w:top w:val="nil"/>
          <w:left w:val="nil"/>
          <w:bottom w:val="nil"/>
          <w:right w:val="nil"/>
          <w:between w:val="nil"/>
        </w:pBdr>
        <w:tabs>
          <w:tab w:val="left" w:pos="911"/>
        </w:tabs>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Credenciales expedidas por autoridades educativas que cuenten con autorización o con reconocimiento de validez oficial o instituciones de seguridad social, licencia para conducir, cartilla del servicio militar nacional, etc.</w:t>
      </w:r>
    </w:p>
    <w:p w14:paraId="7819460A" w14:textId="77777777" w:rsidR="00802F09" w:rsidRPr="004E42A5" w:rsidRDefault="00802F09" w:rsidP="00802F09">
      <w:pPr>
        <w:pStyle w:val="Prrafodelista"/>
        <w:numPr>
          <w:ilvl w:val="0"/>
          <w:numId w:val="18"/>
        </w:numPr>
        <w:pBdr>
          <w:top w:val="nil"/>
          <w:left w:val="nil"/>
          <w:bottom w:val="nil"/>
          <w:right w:val="nil"/>
          <w:between w:val="nil"/>
        </w:pBdr>
        <w:tabs>
          <w:tab w:val="left" w:pos="911"/>
        </w:tabs>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Firma electrónica avanzada o del instrumento electrónico que lo sustituya.</w:t>
      </w:r>
    </w:p>
    <w:p w14:paraId="7CA0DBD9" w14:textId="77777777" w:rsidR="00802F09" w:rsidRPr="004E42A5" w:rsidRDefault="00802F09" w:rsidP="00802F09">
      <w:pPr>
        <w:pStyle w:val="Prrafodelista"/>
        <w:numPr>
          <w:ilvl w:val="0"/>
          <w:numId w:val="18"/>
        </w:num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 xml:space="preserve">Mecanismos de autenticación autorizados por el Instituto o el Instituto Nacional publicados por acuerdo general en el periódico oficial “Gaceta del Gobierno” o </w:t>
      </w:r>
      <w:r w:rsidRPr="004E42A5">
        <w:rPr>
          <w:rFonts w:ascii="Palatino Linotype" w:eastAsia="Palatino Linotype" w:hAnsi="Palatino Linotype" w:cs="Palatino Linotype"/>
          <w:color w:val="000000"/>
        </w:rPr>
        <w:lastRenderedPageBreak/>
        <w:t>en el Diario Oficial de la Federación, siempre y cuando permitan de forma inequívoca la acreditación de la identidad del titular.</w:t>
      </w:r>
    </w:p>
    <w:p w14:paraId="249567EE" w14:textId="77777777" w:rsidR="00802F09" w:rsidRPr="004E42A5" w:rsidRDefault="00802F09" w:rsidP="00B7265E">
      <w:pPr>
        <w:pStyle w:val="Textoindependiente"/>
        <w:spacing w:line="360" w:lineRule="auto"/>
        <w:ind w:right="49"/>
        <w:jc w:val="both"/>
        <w:rPr>
          <w:sz w:val="24"/>
          <w:szCs w:val="24"/>
          <w:lang w:val="es-ES"/>
        </w:rPr>
      </w:pPr>
    </w:p>
    <w:p w14:paraId="0B144368" w14:textId="77777777" w:rsidR="00802F09" w:rsidRPr="004E42A5" w:rsidRDefault="00802F09" w:rsidP="00B7265E">
      <w:pPr>
        <w:pStyle w:val="Textoindependiente"/>
        <w:spacing w:line="360" w:lineRule="auto"/>
        <w:ind w:right="49"/>
        <w:jc w:val="both"/>
        <w:rPr>
          <w:sz w:val="24"/>
          <w:szCs w:val="24"/>
        </w:rPr>
      </w:pPr>
    </w:p>
    <w:p w14:paraId="3CB0E88A" w14:textId="3E371844" w:rsidR="00B7265E" w:rsidRPr="004E42A5" w:rsidRDefault="00802F09" w:rsidP="00B7265E">
      <w:pPr>
        <w:pStyle w:val="Textoindependiente"/>
        <w:spacing w:line="360" w:lineRule="auto"/>
        <w:ind w:right="49"/>
        <w:jc w:val="both"/>
        <w:rPr>
          <w:sz w:val="24"/>
          <w:szCs w:val="24"/>
        </w:rPr>
      </w:pPr>
      <w:r w:rsidRPr="004E42A5">
        <w:rPr>
          <w:sz w:val="24"/>
          <w:szCs w:val="24"/>
        </w:rPr>
        <w:t>I</w:t>
      </w:r>
      <w:r w:rsidR="00B7265E" w:rsidRPr="004E42A5">
        <w:rPr>
          <w:sz w:val="24"/>
          <w:szCs w:val="24"/>
        </w:rPr>
        <w:t xml:space="preserve">ncumpliendo con lo establecido en los artículos </w:t>
      </w:r>
      <w:r w:rsidR="00B7265E" w:rsidRPr="004E42A5">
        <w:rPr>
          <w:rFonts w:cs="Arial"/>
        </w:rPr>
        <w:t>artículo 97, 106 párrafo tercero y 130 fracción VI, de la Ley de Protección de Datos Personales en Posesión de Sujetos Obligados del Estado de México y Municipios, los que se citan a continuación:</w:t>
      </w:r>
    </w:p>
    <w:p w14:paraId="47709978" w14:textId="77777777" w:rsidR="00B7265E" w:rsidRPr="004E42A5" w:rsidRDefault="00B7265E" w:rsidP="00544406">
      <w:pPr>
        <w:pStyle w:val="Citas"/>
      </w:pPr>
      <w:r w:rsidRPr="004E42A5">
        <w:t>“</w:t>
      </w:r>
      <w:r w:rsidRPr="004E42A5">
        <w:rPr>
          <w:b/>
        </w:rPr>
        <w:t>Artículo 97.</w:t>
      </w:r>
      <w:r w:rsidRPr="004E42A5">
        <w:t xml:space="preserve"> Los derechos de acceso, rectificación, cancelación y oposición de datos personales son derechos independientes. El ejercicio de cualquiera de ellos no es requisito previo no impide el ejercicio de otro.</w:t>
      </w:r>
    </w:p>
    <w:p w14:paraId="694BCA7C" w14:textId="77777777" w:rsidR="00B7265E" w:rsidRPr="004E42A5" w:rsidRDefault="00B7265E" w:rsidP="00544406">
      <w:pPr>
        <w:pStyle w:val="Citas"/>
      </w:pPr>
      <w:r w:rsidRPr="004E42A5">
        <w:rPr>
          <w:b/>
          <w:u w:val="single"/>
        </w:rPr>
        <w:t>La procedencia de estos derechos, en su caso, se hará efectiva una vez que el titular o su representante legal acrediten su identidad o representación, respectivamente.</w:t>
      </w:r>
    </w:p>
    <w:p w14:paraId="7906E9D0" w14:textId="77777777" w:rsidR="00B7265E" w:rsidRPr="004E42A5" w:rsidRDefault="00B7265E" w:rsidP="00544406">
      <w:pPr>
        <w:pStyle w:val="Citas"/>
      </w:pPr>
      <w:r w:rsidRPr="004E42A5">
        <w:t>En ningún caso el acceso a los datos personales de un titular podrá afectar los derechos y libertades de otros.</w:t>
      </w:r>
    </w:p>
    <w:p w14:paraId="7CF34470" w14:textId="77777777" w:rsidR="00B7265E" w:rsidRPr="004E42A5" w:rsidRDefault="00B7265E" w:rsidP="00544406">
      <w:pPr>
        <w:pStyle w:val="Citas"/>
      </w:pPr>
      <w:r w:rsidRPr="004E42A5">
        <w:t>El ejercicio de cualquiera de los derechos ARCO, forma parte de las garantías primarias del derecho a la protección de datos personales.</w:t>
      </w:r>
    </w:p>
    <w:p w14:paraId="4E3047D1" w14:textId="77777777" w:rsidR="00B7265E" w:rsidRPr="004E42A5" w:rsidRDefault="00B7265E" w:rsidP="00544406">
      <w:pPr>
        <w:pStyle w:val="Citas"/>
      </w:pPr>
      <w:r w:rsidRPr="004E42A5">
        <w:rPr>
          <w:b/>
        </w:rPr>
        <w:t>Artículo 106</w:t>
      </w:r>
      <w:r w:rsidRPr="004E42A5">
        <w:t>. …</w:t>
      </w:r>
    </w:p>
    <w:p w14:paraId="2D3FFFFC" w14:textId="77777777" w:rsidR="00B7265E" w:rsidRPr="004E42A5" w:rsidRDefault="00B7265E" w:rsidP="00544406">
      <w:pPr>
        <w:pStyle w:val="Citas"/>
      </w:pPr>
      <w:r w:rsidRPr="004E42A5">
        <w:rPr>
          <w:b/>
          <w:u w:val="single"/>
        </w:rPr>
        <w:t xml:space="preserve">Para el ejercicio de los derechos ARCO solicitados será necesario acreditar la identidad de titular y en su caso la identidad y personalidad con la que actúe el representante. </w:t>
      </w:r>
      <w:r w:rsidRPr="004E42A5">
        <w:t>(…)</w:t>
      </w:r>
    </w:p>
    <w:p w14:paraId="024CE152" w14:textId="77777777" w:rsidR="00B7265E" w:rsidRPr="004E42A5" w:rsidRDefault="00B7265E" w:rsidP="00544406">
      <w:pPr>
        <w:pStyle w:val="Citas"/>
      </w:pPr>
      <w:r w:rsidRPr="004E42A5">
        <w:rPr>
          <w:b/>
        </w:rPr>
        <w:t>Artículo 130.</w:t>
      </w:r>
      <w:r w:rsidRPr="004E42A5">
        <w:t xml:space="preserve"> Los únicos </w:t>
      </w:r>
      <w:r w:rsidRPr="004E42A5">
        <w:rPr>
          <w:b/>
          <w:u w:val="single"/>
        </w:rPr>
        <w:t>requisitos exigibles en el escrito de interposición del recurso de revisión</w:t>
      </w:r>
      <w:r w:rsidRPr="004E42A5">
        <w:t xml:space="preserve"> serán los siguientes:</w:t>
      </w:r>
    </w:p>
    <w:p w14:paraId="5A6CB65E" w14:textId="77777777" w:rsidR="00B7265E" w:rsidRPr="004E42A5" w:rsidRDefault="00B7265E" w:rsidP="00544406">
      <w:pPr>
        <w:pStyle w:val="Citas"/>
        <w:rPr>
          <w:bCs/>
        </w:rPr>
      </w:pPr>
      <w:r w:rsidRPr="004E42A5">
        <w:rPr>
          <w:bCs/>
        </w:rPr>
        <w:lastRenderedPageBreak/>
        <w:t>(…)</w:t>
      </w:r>
    </w:p>
    <w:p w14:paraId="179D1B1B" w14:textId="40A4A3F3" w:rsidR="00B7265E" w:rsidRPr="004E42A5" w:rsidRDefault="00B7265E" w:rsidP="00544406">
      <w:pPr>
        <w:pStyle w:val="Citas"/>
        <w:rPr>
          <w:u w:val="single"/>
        </w:rPr>
      </w:pPr>
      <w:r w:rsidRPr="004E42A5">
        <w:rPr>
          <w:b/>
        </w:rPr>
        <w:t>VI</w:t>
      </w:r>
      <w:r w:rsidRPr="004E42A5">
        <w:t xml:space="preserve">. </w:t>
      </w:r>
      <w:r w:rsidRPr="004E42A5">
        <w:rPr>
          <w:u w:val="single"/>
        </w:rPr>
        <w:t>Los documentos que acrediten la identidad del titular y en su caso, la personalidad e identidad de su representante.</w:t>
      </w:r>
    </w:p>
    <w:p w14:paraId="37BB1349" w14:textId="4BADB036" w:rsidR="00544406" w:rsidRPr="004E42A5" w:rsidRDefault="00544406" w:rsidP="00544406">
      <w:pPr>
        <w:pStyle w:val="Citas"/>
        <w:rPr>
          <w:b/>
          <w:u w:val="single"/>
        </w:rPr>
      </w:pPr>
      <w:r w:rsidRPr="004E42A5">
        <w:rPr>
          <w:bCs/>
        </w:rPr>
        <w:t xml:space="preserve">(…)” </w:t>
      </w:r>
      <w:r w:rsidRPr="004E42A5">
        <w:rPr>
          <w:b/>
        </w:rPr>
        <w:t>(Sic)</w:t>
      </w:r>
    </w:p>
    <w:p w14:paraId="012594F5" w14:textId="3FC6973C" w:rsidR="00B7265E" w:rsidRPr="004E42A5" w:rsidRDefault="00B7265E" w:rsidP="00B7265E">
      <w:pPr>
        <w:pStyle w:val="Textoindependiente"/>
        <w:spacing w:line="276" w:lineRule="auto"/>
        <w:ind w:left="567" w:right="616"/>
        <w:jc w:val="right"/>
        <w:rPr>
          <w:i/>
          <w:sz w:val="18"/>
          <w:szCs w:val="22"/>
        </w:rPr>
      </w:pPr>
    </w:p>
    <w:p w14:paraId="19D02CAF" w14:textId="77777777" w:rsidR="00B7265E" w:rsidRPr="004E42A5" w:rsidRDefault="00B7265E" w:rsidP="00B7265E">
      <w:pPr>
        <w:pStyle w:val="Textoindependiente"/>
        <w:spacing w:line="276" w:lineRule="auto"/>
        <w:ind w:left="0" w:right="49"/>
        <w:jc w:val="both"/>
        <w:rPr>
          <w:sz w:val="24"/>
          <w:szCs w:val="24"/>
        </w:rPr>
      </w:pPr>
    </w:p>
    <w:p w14:paraId="624EF975" w14:textId="67AFB09F" w:rsidR="00B7265E" w:rsidRPr="004E42A5" w:rsidRDefault="00B7265E" w:rsidP="00B7265E">
      <w:pPr>
        <w:tabs>
          <w:tab w:val="left" w:pos="1440"/>
        </w:tabs>
        <w:spacing w:line="360" w:lineRule="auto"/>
        <w:jc w:val="both"/>
        <w:rPr>
          <w:rFonts w:ascii="Palatino Linotype" w:hAnsi="Palatino Linotype" w:cs="Arial"/>
        </w:rPr>
      </w:pPr>
      <w:r w:rsidRPr="004E42A5">
        <w:rPr>
          <w:rFonts w:ascii="Palatino Linotype" w:hAnsi="Palatino Linotype"/>
        </w:rPr>
        <w:t xml:space="preserve">Lo anterior, ya que como ha quedado señalado </w:t>
      </w:r>
      <w:r w:rsidRPr="004E42A5">
        <w:rPr>
          <w:rFonts w:ascii="Palatino Linotype" w:hAnsi="Palatino Linotype" w:cs="Arial"/>
        </w:rPr>
        <w:t xml:space="preserve">el artículo 106 de la Ley de Protección de Datos Personales en Posesión de Sujetos Obligados del Estado de México, es precisamente que el </w:t>
      </w:r>
      <w:r w:rsidR="002F4B6B" w:rsidRPr="004E42A5">
        <w:rPr>
          <w:rFonts w:ascii="Palatino Linotype" w:hAnsi="Palatino Linotype" w:cs="Arial"/>
          <w:b/>
        </w:rPr>
        <w:t>titular de los derechos arco</w:t>
      </w:r>
      <w:r w:rsidRPr="004E42A5">
        <w:rPr>
          <w:rFonts w:ascii="Palatino Linotype" w:hAnsi="Palatino Linotype" w:cs="Arial"/>
          <w:b/>
        </w:rPr>
        <w:t xml:space="preserve">, </w:t>
      </w:r>
      <w:r w:rsidRPr="004E42A5">
        <w:rPr>
          <w:rFonts w:ascii="Palatino Linotype" w:hAnsi="Palatino Linotype" w:cs="Arial"/>
        </w:rPr>
        <w:t xml:space="preserve">pueda ejercerlos en sus diferentes modalidades de </w:t>
      </w:r>
      <w:r w:rsidR="009A15C7" w:rsidRPr="004E42A5">
        <w:rPr>
          <w:rFonts w:ascii="Palatino Linotype" w:hAnsi="Palatino Linotype" w:cs="Arial"/>
        </w:rPr>
        <w:t>acceso, rectificación</w:t>
      </w:r>
      <w:r w:rsidRPr="004E42A5">
        <w:rPr>
          <w:rFonts w:ascii="Palatino Linotype" w:hAnsi="Palatino Linotype" w:cs="Arial"/>
        </w:rPr>
        <w:t xml:space="preserve">, cancelación u oposición, por lo que al no tenerse por acreditada la titularidad de los derechos, deviene que no se tenga por acreditado el interés jurídico </w:t>
      </w:r>
      <w:r w:rsidR="009A15C7" w:rsidRPr="004E42A5">
        <w:rPr>
          <w:rFonts w:ascii="Palatino Linotype" w:hAnsi="Palatino Linotype" w:cs="Arial"/>
        </w:rPr>
        <w:t>del</w:t>
      </w:r>
      <w:r w:rsidRPr="004E42A5">
        <w:rPr>
          <w:rFonts w:ascii="Palatino Linotype" w:hAnsi="Palatino Linotype" w:cs="Arial"/>
        </w:rPr>
        <w:t xml:space="preserve"> peticionante, es menester de este Órgano Garante, observar lo establecido en la Tesis Aislada 168895, de la Novena Época, Tomo XXVIII, Septiembre de 2008, así como la Jurisprudencia 170500, emitida por la Primera Sala de la Novena Época, Página 225, las cuales establecen lo siguiente:</w:t>
      </w:r>
    </w:p>
    <w:p w14:paraId="4180F352" w14:textId="77777777" w:rsidR="00B7265E" w:rsidRPr="004E42A5" w:rsidRDefault="00B7265E" w:rsidP="00544406">
      <w:pPr>
        <w:pStyle w:val="Citas"/>
      </w:pPr>
      <w:r w:rsidRPr="004E42A5">
        <w:t>“</w:t>
      </w:r>
      <w:r w:rsidRPr="004E42A5">
        <w:rPr>
          <w:b/>
        </w:rPr>
        <w:t xml:space="preserve">INTERÉS JURÍDICO EN EL AMPARO. ELEMENTOS QUE LO COMPONEN. </w:t>
      </w:r>
      <w:r w:rsidRPr="004E42A5">
        <w:t xml:space="preserve">El interés jurídico plasmado en el numeral 73, fracción V, de la Ley Reglamentaria de los Artículos 103 y 107 Constitucionales, </w:t>
      </w:r>
      <w:r w:rsidRPr="004E42A5">
        <w:rPr>
          <w:u w:val="single"/>
        </w:rPr>
        <w:t xml:space="preserve">es considerado como uno de los presupuestos procesales para la procedencia del juicio de garantías, y debe ser entendido bajo dos elementos: el </w:t>
      </w:r>
      <w:r w:rsidRPr="004E42A5">
        <w:rPr>
          <w:b/>
          <w:u w:val="single"/>
        </w:rPr>
        <w:t>acreditamiento y la afectación</w:t>
      </w:r>
      <w:r w:rsidRPr="004E42A5">
        <w:rPr>
          <w:u w:val="single"/>
        </w:rPr>
        <w:t xml:space="preserve">. </w:t>
      </w:r>
      <w:r w:rsidRPr="004E42A5">
        <w:t xml:space="preserve">Tales aspectos necesariamente deben conjugarse para cumplir con el presupuesto de procedencia de la causa constitucional por excelencia referida. </w:t>
      </w:r>
      <w:r w:rsidRPr="004E42A5">
        <w:rPr>
          <w:b/>
        </w:rPr>
        <w:t>Esto es, de faltar alguno, se está indefectiblemente en el supuesto de improcedencia descrito</w:t>
      </w:r>
      <w:r w:rsidRPr="004E42A5">
        <w:t xml:space="preserve">. Lo anterior porque es factible ostentarse titular de determinado derecho, pero éste no verse afectado por los órganos del Estado o, en su caso, estar disfrutando de ese derecho sí afectado por </w:t>
      </w:r>
      <w:r w:rsidRPr="004E42A5">
        <w:lastRenderedPageBreak/>
        <w:t>la autoridad y no tener el respaldo legítimo y legal sobre él, ya que en este último tópico se estaría en el caso de un interés simple. Por ello, es requisito sine qua non (sin el cual no), se reúnan ambos supuestos (ver diagrama).</w:t>
      </w:r>
    </w:p>
    <w:p w14:paraId="1FA25732" w14:textId="77777777" w:rsidR="00B7265E" w:rsidRPr="004E42A5" w:rsidRDefault="00B7265E" w:rsidP="00544406">
      <w:pPr>
        <w:pStyle w:val="Citas"/>
      </w:pPr>
      <w:r w:rsidRPr="004E42A5">
        <w:t>SEGUNDO TRIBUNAL COLEGIADO EN MATERIA CIVIL DEL SÉPTIMO CIRCUITO.</w:t>
      </w:r>
    </w:p>
    <w:p w14:paraId="0A05462B" w14:textId="77777777" w:rsidR="00B7265E" w:rsidRPr="004E42A5" w:rsidRDefault="00B7265E" w:rsidP="00544406">
      <w:pPr>
        <w:pStyle w:val="Citas"/>
      </w:pPr>
      <w:r w:rsidRPr="004E42A5">
        <w:t>Amparo en revisión (improcedencia) 151/2008. Armando Pardo Tejeda. 19 de mayo de 2008. Unanimidad de votos. Ponente: José Manuel de Alba de Alba. Secretario: Omar Liévanos Ruiz.</w:t>
      </w:r>
    </w:p>
    <w:p w14:paraId="076195CC" w14:textId="77777777" w:rsidR="00B7265E" w:rsidRPr="004E42A5" w:rsidRDefault="00B7265E" w:rsidP="00544406">
      <w:pPr>
        <w:pStyle w:val="Citas"/>
        <w:rPr>
          <w:b/>
        </w:rPr>
      </w:pPr>
    </w:p>
    <w:p w14:paraId="45BC7319" w14:textId="77777777" w:rsidR="00B7265E" w:rsidRPr="004E42A5" w:rsidRDefault="00B7265E" w:rsidP="00544406">
      <w:pPr>
        <w:pStyle w:val="Citas"/>
      </w:pPr>
      <w:r w:rsidRPr="004E42A5">
        <w:rPr>
          <w:b/>
        </w:rPr>
        <w:t>INTERÉS JURÍDICO EN EL AMPARO. ELEMENTOS CONSTITUTIVOS</w:t>
      </w:r>
      <w:r w:rsidRPr="004E42A5">
        <w:t xml:space="preserve">. El artículo 4o. de la Ley de Amparo contempla, para la procedencia del juicio de garantías, que el acto reclamado cause un perjuicio a la persona física o moral que se estime afectada, lo que ocurre cuando ese acto lesiona sus intereses jurídicos, en su persona o en su patrimonio, y que de manera concomitante es lo que provoca la génesis de la acción constitucional. Así, como la tutela del derecho sólo comprende a bienes jurídicos reales y objetivos, las afectaciones deben igualmente ser susceptibles de apreciarse en forma objetiva para que puedan constituir un perjuicio, </w:t>
      </w:r>
      <w:r w:rsidRPr="004E42A5">
        <w:rPr>
          <w:b/>
          <w:u w:val="single"/>
        </w:rPr>
        <w:t>teniendo en cuenta que el interés jurídico debe acreditarse en forma fehaciente y no inferirse con base en presunciones</w:t>
      </w:r>
      <w:r w:rsidRPr="004E42A5">
        <w:t xml:space="preserve">; </w:t>
      </w:r>
      <w:r w:rsidRPr="004E42A5">
        <w:rPr>
          <w:u w:val="single"/>
        </w:rPr>
        <w:t>de modo que la naturaleza intrínseca de ese acto o ley reclamados es la que determina el perjuicio o afectación en la esfera normativa del particular, sin que pueda hablarse entonces de agravio cuando los daños o perjuicios que una persona puede sufrir, no afecten real y efectivamente sus bienes jurídicamente amparados.</w:t>
      </w:r>
    </w:p>
    <w:p w14:paraId="1656EA64" w14:textId="77777777" w:rsidR="00B7265E" w:rsidRPr="004E42A5" w:rsidRDefault="00B7265E" w:rsidP="00544406">
      <w:pPr>
        <w:pStyle w:val="Citas"/>
      </w:pPr>
      <w:r w:rsidRPr="004E42A5">
        <w:rPr>
          <w:b/>
        </w:rPr>
        <w:lastRenderedPageBreak/>
        <w:t>Amparo en revisión 1441/88</w:t>
      </w:r>
      <w:r w:rsidRPr="004E42A5">
        <w:t>. Guadalupe Henderson Calderón. 29 de agosto de 1988. Cinco votos. Ponente: Sergio Hugo Chapital Gutiérrez. Secretario: Jaime Raúl Oropeza García.</w:t>
      </w:r>
    </w:p>
    <w:p w14:paraId="5D16E7C8" w14:textId="77777777" w:rsidR="00B7265E" w:rsidRPr="004E42A5" w:rsidRDefault="00B7265E" w:rsidP="00544406">
      <w:pPr>
        <w:pStyle w:val="Citas"/>
      </w:pPr>
      <w:r w:rsidRPr="004E42A5">
        <w:rPr>
          <w:b/>
        </w:rPr>
        <w:t>Amparo en revisión 1522/97.</w:t>
      </w:r>
      <w:r w:rsidRPr="004E42A5">
        <w:t xml:space="preserve"> Comisariado Ejidal de Mixquic, Delegación Tláhuac, Distrito Federal. 2 de diciembre de 1998. Cinco votos. Ponente: Olga Sánchez Cordero de García Villegas. Secretaria: Mariana Mureddu Gilabert.</w:t>
      </w:r>
    </w:p>
    <w:p w14:paraId="2D0A46B1" w14:textId="77777777" w:rsidR="00B7265E" w:rsidRPr="004E42A5" w:rsidRDefault="00B7265E" w:rsidP="00544406">
      <w:pPr>
        <w:pStyle w:val="Citas"/>
      </w:pPr>
      <w:r w:rsidRPr="004E42A5">
        <w:rPr>
          <w:b/>
        </w:rPr>
        <w:t>Amparo en revisión 204/2002</w:t>
      </w:r>
      <w:r w:rsidRPr="004E42A5">
        <w:t>. Enseñanza y Educación de Occidente, A.C. e Instituto Tecnológico y de Estudios Superiores de Monterrey. 18 de septiembre de 2002. Cinco votos. Ponente: Humberto Román Palacios. Secretario: José de Jesús Bañales Sánchez.</w:t>
      </w:r>
    </w:p>
    <w:p w14:paraId="78D5C0FF" w14:textId="77777777" w:rsidR="00B7265E" w:rsidRPr="004E42A5" w:rsidRDefault="00B7265E" w:rsidP="00544406">
      <w:pPr>
        <w:pStyle w:val="Citas"/>
      </w:pPr>
      <w:r w:rsidRPr="004E42A5">
        <w:rPr>
          <w:b/>
        </w:rPr>
        <w:t>Amparo en revisión 964/2005.</w:t>
      </w:r>
      <w:r w:rsidRPr="004E42A5">
        <w:t xml:space="preserve"> Jorge Francisco Durán Olvera y/o Jorge Durán Olvera. 10 de agosto de 2005. Cinco votos. Ponente: Sergio A. Valls Hernández. Secretario: Joaquín Cisneros Sánchez.</w:t>
      </w:r>
    </w:p>
    <w:p w14:paraId="01DE9035" w14:textId="77777777" w:rsidR="00B7265E" w:rsidRPr="004E42A5" w:rsidRDefault="00B7265E" w:rsidP="00544406">
      <w:pPr>
        <w:pStyle w:val="Citas"/>
      </w:pPr>
      <w:r w:rsidRPr="004E42A5">
        <w:rPr>
          <w:b/>
        </w:rPr>
        <w:t>Amparo directo en revisión 1035/2007.</w:t>
      </w:r>
      <w:r w:rsidRPr="004E42A5">
        <w:t xml:space="preserve"> Tenedora Global, S.A. de C.V. 5 de septiembre de 2007. Cinco votos. Ponente: Sergio A. Valls Hernández. Secretaria: Miriam Flores Aguilar.</w:t>
      </w:r>
    </w:p>
    <w:p w14:paraId="3840B06E" w14:textId="2F4BD892" w:rsidR="00B7265E" w:rsidRPr="004E42A5" w:rsidRDefault="00B7265E" w:rsidP="00544406">
      <w:pPr>
        <w:pStyle w:val="Citas"/>
        <w:rPr>
          <w:b/>
          <w:bCs/>
        </w:rPr>
      </w:pPr>
      <w:r w:rsidRPr="004E42A5">
        <w:t>Tesis de jurisprudencia 168/2007. Aprobada por la Primera Sala de este Alto Tribunal, en sesión de veintiocho de noviembre de dos mil siete.”</w:t>
      </w:r>
      <w:r w:rsidR="00544406" w:rsidRPr="004E42A5">
        <w:t xml:space="preserve"> </w:t>
      </w:r>
      <w:r w:rsidR="00544406" w:rsidRPr="004E42A5">
        <w:rPr>
          <w:b/>
          <w:bCs/>
        </w:rPr>
        <w:t>(Sic)</w:t>
      </w:r>
    </w:p>
    <w:p w14:paraId="64798A9C" w14:textId="77777777" w:rsidR="00802F09" w:rsidRPr="004E42A5" w:rsidRDefault="00802F09" w:rsidP="00B7265E">
      <w:pPr>
        <w:pStyle w:val="Textoindependiente"/>
        <w:spacing w:line="360" w:lineRule="auto"/>
        <w:ind w:right="49" w:hanging="1"/>
        <w:jc w:val="both"/>
        <w:rPr>
          <w:sz w:val="24"/>
          <w:szCs w:val="24"/>
        </w:rPr>
      </w:pPr>
    </w:p>
    <w:p w14:paraId="0B7F22E8" w14:textId="5A17BDD2" w:rsidR="00B7265E" w:rsidRPr="004E42A5" w:rsidRDefault="00B7265E" w:rsidP="00B7265E">
      <w:pPr>
        <w:pStyle w:val="Textoindependiente"/>
        <w:spacing w:line="360" w:lineRule="auto"/>
        <w:ind w:right="49" w:hanging="1"/>
        <w:jc w:val="both"/>
        <w:rPr>
          <w:sz w:val="24"/>
          <w:szCs w:val="24"/>
        </w:rPr>
      </w:pPr>
      <w:r w:rsidRPr="004E42A5">
        <w:rPr>
          <w:sz w:val="24"/>
          <w:szCs w:val="24"/>
        </w:rPr>
        <w:t>Por las razones antes expuestas se actualiza la causa de improcedencia inmersa en la fracción II del artículo 138 de la Ley de Protección de Datos Personales en Posesión de Sujetos Obligados del Estado de México y Municipios, que establece:</w:t>
      </w:r>
    </w:p>
    <w:p w14:paraId="4A7BF470" w14:textId="77777777" w:rsidR="00B7265E" w:rsidRPr="004E42A5" w:rsidRDefault="00B7265E" w:rsidP="00544406">
      <w:pPr>
        <w:pStyle w:val="Citas"/>
      </w:pPr>
      <w:r w:rsidRPr="004E42A5">
        <w:t>“</w:t>
      </w:r>
      <w:r w:rsidRPr="004E42A5">
        <w:rPr>
          <w:b/>
        </w:rPr>
        <w:t>Artículo 138</w:t>
      </w:r>
      <w:r w:rsidRPr="004E42A5">
        <w:t xml:space="preserve">. El recurso de revisión podrá ser </w:t>
      </w:r>
      <w:r w:rsidRPr="004E42A5">
        <w:rPr>
          <w:u w:val="single"/>
        </w:rPr>
        <w:t>desechado por improcedente</w:t>
      </w:r>
      <w:r w:rsidRPr="004E42A5">
        <w:t xml:space="preserve"> cuando: </w:t>
      </w:r>
    </w:p>
    <w:p w14:paraId="105D4BED" w14:textId="77777777" w:rsidR="00FB16E9" w:rsidRPr="004E42A5" w:rsidRDefault="00FB16E9" w:rsidP="00544406">
      <w:pPr>
        <w:pStyle w:val="Citas"/>
      </w:pPr>
      <w:r w:rsidRPr="004E42A5">
        <w:lastRenderedPageBreak/>
        <w:t>(…)</w:t>
      </w:r>
    </w:p>
    <w:p w14:paraId="66367167" w14:textId="713BF314" w:rsidR="00B7265E" w:rsidRPr="004E42A5" w:rsidRDefault="00B7265E" w:rsidP="00544406">
      <w:pPr>
        <w:pStyle w:val="Citas"/>
      </w:pPr>
      <w:r w:rsidRPr="004E42A5">
        <w:rPr>
          <w:b/>
        </w:rPr>
        <w:t>II</w:t>
      </w:r>
      <w:r w:rsidRPr="004E42A5">
        <w:t xml:space="preserve">. El titular o su representante no acrediten debidamente su identidad y personalidad de este último.” </w:t>
      </w:r>
      <w:r w:rsidRPr="004E42A5">
        <w:rPr>
          <w:b/>
          <w:bCs/>
        </w:rPr>
        <w:t>(</w:t>
      </w:r>
      <w:r w:rsidR="00544406" w:rsidRPr="004E42A5">
        <w:rPr>
          <w:b/>
          <w:bCs/>
        </w:rPr>
        <w:t>S</w:t>
      </w:r>
      <w:r w:rsidRPr="004E42A5">
        <w:rPr>
          <w:b/>
          <w:bCs/>
        </w:rPr>
        <w:t>ic)</w:t>
      </w:r>
    </w:p>
    <w:p w14:paraId="51A95FFF" w14:textId="77777777" w:rsidR="00B7265E" w:rsidRPr="004E42A5" w:rsidRDefault="00B7265E" w:rsidP="00B7265E">
      <w:pPr>
        <w:autoSpaceDE w:val="0"/>
        <w:autoSpaceDN w:val="0"/>
        <w:adjustRightInd w:val="0"/>
        <w:spacing w:line="360" w:lineRule="auto"/>
        <w:jc w:val="both"/>
        <w:rPr>
          <w:rFonts w:ascii="Palatino Linotype" w:eastAsiaTheme="minorHAnsi" w:hAnsi="Palatino Linotype" w:cs="Arial"/>
          <w:szCs w:val="22"/>
          <w:lang w:val="es-MX" w:eastAsia="en-US"/>
        </w:rPr>
      </w:pPr>
    </w:p>
    <w:p w14:paraId="69D4A2D5" w14:textId="77777777" w:rsidR="00B7265E" w:rsidRPr="004E42A5" w:rsidRDefault="00B7265E" w:rsidP="00B7265E">
      <w:pPr>
        <w:autoSpaceDE w:val="0"/>
        <w:autoSpaceDN w:val="0"/>
        <w:adjustRightInd w:val="0"/>
        <w:spacing w:line="360" w:lineRule="auto"/>
        <w:jc w:val="both"/>
        <w:rPr>
          <w:rFonts w:ascii="Palatino Linotype" w:hAnsi="Palatino Linotype" w:cs="Arial"/>
        </w:rPr>
      </w:pPr>
      <w:r w:rsidRPr="004E42A5">
        <w:rPr>
          <w:rFonts w:ascii="Palatino Linotype" w:eastAsiaTheme="minorHAnsi" w:hAnsi="Palatino Linotype" w:cs="Arial"/>
          <w:szCs w:val="22"/>
          <w:lang w:val="es-MX" w:eastAsia="en-US"/>
        </w:rPr>
        <w:t xml:space="preserve">En conclusión, </w:t>
      </w:r>
      <w:r w:rsidR="00FB16E9" w:rsidRPr="004E42A5">
        <w:rPr>
          <w:rFonts w:ascii="Palatino Linotype" w:eastAsiaTheme="minorHAnsi" w:hAnsi="Palatino Linotype" w:cs="Arial"/>
          <w:szCs w:val="22"/>
          <w:lang w:val="es-MX" w:eastAsia="en-US"/>
        </w:rPr>
        <w:t>de conformidad con lo señalado en el artículo 139 fracción III de la Ley de Protección de Datos Personales en Posesión de Sujetos Obligados del Estado de México y Municipios, mismo que se transcribe a continuación en la parte aplicable:</w:t>
      </w:r>
    </w:p>
    <w:p w14:paraId="17063540" w14:textId="77777777" w:rsidR="00FB16E9" w:rsidRPr="004E42A5" w:rsidRDefault="00B7265E" w:rsidP="00544406">
      <w:pPr>
        <w:pStyle w:val="Citas"/>
      </w:pPr>
      <w:r w:rsidRPr="004E42A5">
        <w:t>“</w:t>
      </w:r>
      <w:r w:rsidR="00FB16E9" w:rsidRPr="004E42A5">
        <w:t xml:space="preserve">Causales de Sobreseimiento </w:t>
      </w:r>
    </w:p>
    <w:p w14:paraId="6435A68C" w14:textId="77777777" w:rsidR="00FB16E9" w:rsidRPr="004E42A5" w:rsidRDefault="00FB16E9" w:rsidP="00544406">
      <w:pPr>
        <w:pStyle w:val="Citas"/>
      </w:pPr>
      <w:r w:rsidRPr="004E42A5">
        <w:rPr>
          <w:b/>
        </w:rPr>
        <w:t>Artículo 139</w:t>
      </w:r>
      <w:r w:rsidRPr="004E42A5">
        <w:t xml:space="preserve">. El recurso de revisión sólo podrá ser sobreseído cuando: </w:t>
      </w:r>
    </w:p>
    <w:p w14:paraId="794341F1" w14:textId="77777777" w:rsidR="00FB16E9" w:rsidRPr="004E42A5" w:rsidRDefault="00FB16E9" w:rsidP="00544406">
      <w:pPr>
        <w:pStyle w:val="Citas"/>
      </w:pPr>
      <w:r w:rsidRPr="004E42A5">
        <w:t xml:space="preserve">I. El recurrente se desista expresamente. </w:t>
      </w:r>
    </w:p>
    <w:p w14:paraId="2445A8C6" w14:textId="77777777" w:rsidR="00FB16E9" w:rsidRPr="004E42A5" w:rsidRDefault="00FB16E9" w:rsidP="00544406">
      <w:pPr>
        <w:pStyle w:val="Citas"/>
      </w:pPr>
      <w:r w:rsidRPr="004E42A5">
        <w:t xml:space="preserve">II. El recurrente fallezca. </w:t>
      </w:r>
    </w:p>
    <w:p w14:paraId="1F686EE7" w14:textId="77777777" w:rsidR="00FB16E9" w:rsidRPr="004E42A5" w:rsidRDefault="00FB16E9" w:rsidP="00544406">
      <w:pPr>
        <w:pStyle w:val="Citas"/>
        <w:rPr>
          <w:u w:val="single"/>
        </w:rPr>
      </w:pPr>
      <w:r w:rsidRPr="004E42A5">
        <w:rPr>
          <w:b/>
          <w:u w:val="single"/>
        </w:rPr>
        <w:t>III. Admitido el recurso de revisión, se actualice alguna causal de improcedencia en los términos de la presente Ley</w:t>
      </w:r>
      <w:r w:rsidRPr="004E42A5">
        <w:rPr>
          <w:u w:val="single"/>
        </w:rPr>
        <w:t xml:space="preserve">. </w:t>
      </w:r>
    </w:p>
    <w:p w14:paraId="04734586" w14:textId="77777777" w:rsidR="00FB16E9" w:rsidRPr="004E42A5" w:rsidRDefault="00FB16E9" w:rsidP="00544406">
      <w:pPr>
        <w:pStyle w:val="Citas"/>
      </w:pPr>
      <w:r w:rsidRPr="004E42A5">
        <w:t xml:space="preserve">IV. El responsable modifique o revoque su respuesta de tal manera que el recurso de revisión quede sin materia. </w:t>
      </w:r>
    </w:p>
    <w:p w14:paraId="553EE298" w14:textId="5DF6FC99" w:rsidR="00B7265E" w:rsidRPr="004E42A5" w:rsidRDefault="00FB16E9" w:rsidP="00544406">
      <w:pPr>
        <w:pStyle w:val="Citas"/>
        <w:rPr>
          <w:b/>
          <w:bCs/>
        </w:rPr>
      </w:pPr>
      <w:r w:rsidRPr="004E42A5">
        <w:t>V. Quede sin materia el recurso de revisión.</w:t>
      </w:r>
      <w:r w:rsidR="00B7265E" w:rsidRPr="004E42A5">
        <w:t>”</w:t>
      </w:r>
      <w:r w:rsidR="00544406" w:rsidRPr="004E42A5">
        <w:t xml:space="preserve"> </w:t>
      </w:r>
      <w:r w:rsidR="00544406" w:rsidRPr="004E42A5">
        <w:rPr>
          <w:b/>
          <w:bCs/>
        </w:rPr>
        <w:t>(Sic)</w:t>
      </w:r>
    </w:p>
    <w:p w14:paraId="3DFFB381" w14:textId="77777777" w:rsidR="00B7265E" w:rsidRPr="004E42A5" w:rsidRDefault="00B7265E" w:rsidP="00B7265E">
      <w:pPr>
        <w:autoSpaceDE w:val="0"/>
        <w:autoSpaceDN w:val="0"/>
        <w:adjustRightInd w:val="0"/>
        <w:spacing w:line="360" w:lineRule="auto"/>
        <w:jc w:val="both"/>
        <w:rPr>
          <w:rFonts w:ascii="Palatino Linotype" w:hAnsi="Palatino Linotype"/>
          <w:sz w:val="14"/>
        </w:rPr>
      </w:pPr>
    </w:p>
    <w:p w14:paraId="5B3EE290" w14:textId="77777777" w:rsidR="003E6A87" w:rsidRPr="004E42A5" w:rsidRDefault="003E6A87" w:rsidP="00B7265E">
      <w:pPr>
        <w:autoSpaceDE w:val="0"/>
        <w:autoSpaceDN w:val="0"/>
        <w:adjustRightInd w:val="0"/>
        <w:spacing w:line="360" w:lineRule="auto"/>
        <w:jc w:val="both"/>
        <w:rPr>
          <w:rFonts w:ascii="Palatino Linotype" w:hAnsi="Palatino Linotype"/>
        </w:rPr>
      </w:pPr>
    </w:p>
    <w:p w14:paraId="159632EF" w14:textId="2AB77637" w:rsidR="00B7265E" w:rsidRPr="004E42A5" w:rsidRDefault="00B7265E" w:rsidP="00B7265E">
      <w:pPr>
        <w:autoSpaceDE w:val="0"/>
        <w:autoSpaceDN w:val="0"/>
        <w:adjustRightInd w:val="0"/>
        <w:spacing w:line="360" w:lineRule="auto"/>
        <w:jc w:val="both"/>
        <w:rPr>
          <w:rFonts w:ascii="Palatino Linotype" w:hAnsi="Palatino Linotype"/>
          <w:b/>
          <w:u w:val="single"/>
        </w:rPr>
      </w:pPr>
      <w:r w:rsidRPr="004E42A5">
        <w:rPr>
          <w:rFonts w:ascii="Palatino Linotype" w:hAnsi="Palatino Linotype"/>
        </w:rPr>
        <w:t xml:space="preserve">Es importante resaltar a manera de analogía que la Suprema Corte de Justicia de la Nación mediante el número 2 de la Serie </w:t>
      </w:r>
      <w:r w:rsidRPr="004E42A5">
        <w:rPr>
          <w:rFonts w:ascii="Palatino Linotype" w:hAnsi="Palatino Linotype"/>
          <w:i/>
        </w:rPr>
        <w:t xml:space="preserve">Estudios Introductorios sobre el Juicio de Amparo </w:t>
      </w:r>
      <w:r w:rsidRPr="004E42A5">
        <w:rPr>
          <w:rFonts w:ascii="Palatino Linotype" w:hAnsi="Palatino Linotype"/>
        </w:rPr>
        <w:t xml:space="preserve">relativo a </w:t>
      </w:r>
      <w:r w:rsidRPr="004E42A5">
        <w:rPr>
          <w:rFonts w:ascii="Palatino Linotype" w:hAnsi="Palatino Linotype"/>
          <w:i/>
        </w:rPr>
        <w:t xml:space="preserve">LA IMPROCEDENCIA DE LA ACCIÓN DE AMPARO </w:t>
      </w:r>
      <w:r w:rsidRPr="004E42A5">
        <w:rPr>
          <w:rFonts w:ascii="Palatino Linotype" w:hAnsi="Palatino Linotype"/>
        </w:rPr>
        <w:t xml:space="preserve">definió a la improcedencia del amparo como la institución jurídica procesal en la que, al </w:t>
      </w:r>
      <w:r w:rsidRPr="004E42A5">
        <w:rPr>
          <w:rFonts w:ascii="Palatino Linotype" w:hAnsi="Palatino Linotype"/>
        </w:rPr>
        <w:lastRenderedPageBreak/>
        <w:t xml:space="preserve">actualizarse ciertas circunstancias previstas en la Constitución Federal, en la Ley de Amparo o en la Jurisprudencia, el órgano jurisdiccional se ve impedido para analizar y resolver el fondo del asunto y que la causa de improcedencia puede tenerse por acreditada desde el momento en que se presenta la demanda de amparo, </w:t>
      </w:r>
      <w:r w:rsidRPr="004E42A5">
        <w:rPr>
          <w:rFonts w:ascii="Palatino Linotype" w:hAnsi="Palatino Linotype"/>
          <w:b/>
          <w:u w:val="single"/>
        </w:rPr>
        <w:t>lo que generará que la demanda sea desechada; o bien, después de admitida la demanda, lo que tendrá como consecuencia que se sobresea en el juicio.</w:t>
      </w:r>
    </w:p>
    <w:p w14:paraId="3E2CB0D9" w14:textId="77777777" w:rsidR="00B7265E" w:rsidRPr="004E42A5" w:rsidRDefault="00B7265E" w:rsidP="00B7265E">
      <w:pPr>
        <w:autoSpaceDE w:val="0"/>
        <w:autoSpaceDN w:val="0"/>
        <w:adjustRightInd w:val="0"/>
        <w:spacing w:line="360" w:lineRule="auto"/>
        <w:jc w:val="both"/>
        <w:rPr>
          <w:rFonts w:ascii="Palatino Linotype" w:hAnsi="Palatino Linotype"/>
          <w:b/>
          <w:u w:val="single"/>
        </w:rPr>
      </w:pPr>
    </w:p>
    <w:p w14:paraId="0AF696D6" w14:textId="77777777" w:rsidR="00802F09" w:rsidRPr="004E42A5" w:rsidRDefault="00802F09" w:rsidP="00802F09">
      <w:pPr>
        <w:spacing w:line="360" w:lineRule="auto"/>
        <w:jc w:val="both"/>
        <w:rPr>
          <w:rFonts w:ascii="Palatino Linotype" w:hAnsi="Palatino Linotype"/>
        </w:rPr>
      </w:pPr>
      <w:r w:rsidRPr="004E42A5">
        <w:rPr>
          <w:rFonts w:ascii="Palatino Linotype" w:hAnsi="Palatino Linotype"/>
        </w:rPr>
        <w:t>Por lo anterior, al acreditarse la procedencia del sobreseimiento, este Instituto está imposibilitado para analizar las cuestiones de fondo, en virtud de que el sobreseimiento constituye un acto procesal que termina el proceso por cuestiones ajenas al fondo del asunto, lo anterior conforme a la jurisprudencia identificada como el registro digital 220705</w:t>
      </w:r>
      <w:r w:rsidRPr="004E42A5">
        <w:rPr>
          <w:rFonts w:ascii="Palatino Linotype" w:eastAsia="Palatino Linotype" w:hAnsi="Palatino Linotype" w:cs="Palatino Linotype"/>
          <w:vertAlign w:val="superscript"/>
        </w:rPr>
        <w:footnoteReference w:id="1"/>
      </w:r>
      <w:r w:rsidRPr="004E42A5">
        <w:rPr>
          <w:rFonts w:ascii="Palatino Linotype" w:hAnsi="Palatino Linotype"/>
        </w:rPr>
        <w:t>, en la que se estipula lo siguiente:</w:t>
      </w:r>
    </w:p>
    <w:p w14:paraId="310540BF" w14:textId="77777777" w:rsidR="00802F09" w:rsidRPr="004E42A5" w:rsidRDefault="00802F09" w:rsidP="00802F09">
      <w:pPr>
        <w:spacing w:line="360" w:lineRule="auto"/>
        <w:jc w:val="both"/>
        <w:rPr>
          <w:rFonts w:ascii="Palatino Linotype" w:hAnsi="Palatino Linotype"/>
        </w:rPr>
      </w:pPr>
    </w:p>
    <w:p w14:paraId="3191B149" w14:textId="0A19422C" w:rsidR="00802F09" w:rsidRPr="004E42A5" w:rsidRDefault="00802F09" w:rsidP="00802F09">
      <w:pPr>
        <w:spacing w:line="360" w:lineRule="auto"/>
        <w:ind w:left="567" w:right="567"/>
        <w:jc w:val="both"/>
        <w:rPr>
          <w:rFonts w:ascii="Palatino Linotype" w:eastAsia="Palatino Linotype" w:hAnsi="Palatino Linotype" w:cs="Palatino Linotype"/>
          <w:b/>
          <w:bCs/>
          <w:iCs/>
        </w:rPr>
      </w:pPr>
      <w:r w:rsidRPr="004E42A5">
        <w:rPr>
          <w:rFonts w:ascii="Palatino Linotype" w:eastAsia="Palatino Linotype" w:hAnsi="Palatino Linotype" w:cs="Palatino Linotype"/>
          <w:b/>
          <w:bCs/>
          <w:i/>
          <w:iCs/>
        </w:rPr>
        <w:t>“SOBRESEIMIENTO. IMPIDE EL ESTUDIO DE LAS CUESTIONES DE FONDO.</w:t>
      </w:r>
    </w:p>
    <w:p w14:paraId="3D4B0574" w14:textId="1A1C1D5D" w:rsidR="00802F09" w:rsidRPr="004E42A5" w:rsidRDefault="00802F09" w:rsidP="00802F09">
      <w:pPr>
        <w:spacing w:line="360" w:lineRule="auto"/>
        <w:ind w:left="567" w:right="567"/>
        <w:jc w:val="both"/>
        <w:rPr>
          <w:rFonts w:ascii="Palatino Linotype" w:eastAsia="Palatino Linotype" w:hAnsi="Palatino Linotype" w:cs="Palatino Linotype"/>
          <w:b/>
          <w:bCs/>
          <w:iCs/>
        </w:rPr>
      </w:pPr>
      <w:r w:rsidRPr="004E42A5">
        <w:rPr>
          <w:rFonts w:ascii="Palatino Linotype" w:eastAsia="Palatino Linotype" w:hAnsi="Palatino Linotype" w:cs="Palatino Linotype"/>
          <w:i/>
          <w:iCs/>
        </w:rPr>
        <w:t xml:space="preserve">La resolución en que se decreta el sobreseimiento en el juicio constituye un acto procesal que termina la instancia por cuestiones ajenas al aspecto de fondo planteado. Así, no causa agravio la sentencia que no se ocupa de examinar la constitucionalidad o inconstitucionalidad del acto reclamado, ya que tal cuestión constituye el problema de fondo planteado.” </w:t>
      </w:r>
      <w:r w:rsidRPr="004E42A5">
        <w:rPr>
          <w:rFonts w:ascii="Palatino Linotype" w:eastAsia="Palatino Linotype" w:hAnsi="Palatino Linotype" w:cs="Palatino Linotype"/>
          <w:b/>
          <w:bCs/>
          <w:i/>
          <w:iCs/>
        </w:rPr>
        <w:t>(Sic)</w:t>
      </w:r>
    </w:p>
    <w:p w14:paraId="021CF502" w14:textId="77777777" w:rsidR="00802F09" w:rsidRPr="004E42A5" w:rsidRDefault="00802F09" w:rsidP="00802F09">
      <w:pPr>
        <w:spacing w:line="360" w:lineRule="auto"/>
        <w:jc w:val="both"/>
        <w:rPr>
          <w:rFonts w:ascii="Palatino Linotype" w:hAnsi="Palatino Linotype"/>
        </w:rPr>
      </w:pPr>
    </w:p>
    <w:p w14:paraId="2BEFF43E" w14:textId="77777777" w:rsidR="00802F09" w:rsidRPr="004E42A5" w:rsidRDefault="00802F09" w:rsidP="00802F0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46ED86EA" w14:textId="16AAB2BA" w:rsidR="00D16501" w:rsidRPr="004E42A5" w:rsidRDefault="00802F09" w:rsidP="00802F0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lastRenderedPageBreak/>
        <w:t>No obstante, se dejan a salvo los derechos de la persona solicitante para que presente nueva solicitud en caso de ser de su interés</w:t>
      </w:r>
      <w:r w:rsidR="00D16501" w:rsidRPr="004E42A5">
        <w:rPr>
          <w:rFonts w:ascii="Palatino Linotype" w:eastAsia="Palatino Linotype" w:hAnsi="Palatino Linotype" w:cs="Palatino Linotype"/>
          <w:color w:val="000000"/>
        </w:rPr>
        <w:t xml:space="preserve"> ya sea en la vía del derecho de acceso a la información pública (en versión pública) o en la vía del derecho de acceso a datos personales (en versión íntegra</w:t>
      </w:r>
      <w:r w:rsidR="00ED6C9C" w:rsidRPr="004E42A5">
        <w:rPr>
          <w:rFonts w:ascii="Palatino Linotype" w:eastAsia="Palatino Linotype" w:hAnsi="Palatino Linotype" w:cs="Palatino Linotype"/>
          <w:color w:val="000000"/>
        </w:rPr>
        <w:t xml:space="preserve"> previa acreditación</w:t>
      </w:r>
      <w:r w:rsidR="00D16501" w:rsidRPr="004E42A5">
        <w:rPr>
          <w:rFonts w:ascii="Palatino Linotype" w:eastAsia="Palatino Linotype" w:hAnsi="Palatino Linotype" w:cs="Palatino Linotype"/>
          <w:color w:val="000000"/>
        </w:rPr>
        <w:t xml:space="preserve">). </w:t>
      </w:r>
    </w:p>
    <w:p w14:paraId="1E6D1221" w14:textId="77777777" w:rsidR="00D16501" w:rsidRPr="004E42A5" w:rsidRDefault="00D16501" w:rsidP="00802F0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2F79AFF1" w14:textId="7889D690" w:rsidR="00802F09" w:rsidRPr="004E42A5" w:rsidRDefault="00802F09" w:rsidP="00802F0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 xml:space="preserve"> </w:t>
      </w:r>
      <w:r w:rsidR="00D16501" w:rsidRPr="004E42A5">
        <w:rPr>
          <w:rFonts w:ascii="Palatino Linotype" w:eastAsia="Palatino Linotype" w:hAnsi="Palatino Linotype" w:cs="Palatino Linotype"/>
          <w:color w:val="000000"/>
        </w:rPr>
        <w:t>A</w:t>
      </w:r>
      <w:r w:rsidRPr="004E42A5">
        <w:rPr>
          <w:rFonts w:ascii="Palatino Linotype" w:eastAsia="Palatino Linotype" w:hAnsi="Palatino Linotype" w:cs="Palatino Linotype"/>
          <w:color w:val="000000"/>
        </w:rPr>
        <w:t>simismo, es importante hacer de su conocimiento que la Ley otorga a los titulares de los datos personales el derecho a acceder, rectificar y cancelar su información personal en posesión de Sujetos Obligados, o bien oponerse a su tratamiento, recordando que para ejercer dichos derechos ante el responsable o el Instituto, deberá demostrar que es el titular de los datos o, en caso de que lo haga en representación del titular de los datos personales, deberá acreditar esta situación. Esto con la finalidad de que nadie más que el titular o el representante, puedan decidir el uso que se le dará a sus datos personales, como una medida de seguridad de si información personal.</w:t>
      </w:r>
    </w:p>
    <w:p w14:paraId="6A5F6A9E" w14:textId="77777777" w:rsidR="00802F09" w:rsidRPr="004E42A5" w:rsidRDefault="00802F09" w:rsidP="00802F0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698A26D5" w14:textId="77777777" w:rsidR="00802F09" w:rsidRPr="004E42A5" w:rsidRDefault="00802F09" w:rsidP="00802F0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Para lo anterior pueden ser utilizados los medios de identificación y formas de acreditar la personalidad que se prevén en los artículos 120 y 121 de la Ley de Protección de Datos Personales en Posesión de Sujetos Obligados del Estado de México y Municipios; 73, 76 y 77 de los Lineamientos Generales de Protección de Datos Personales para el Sector Público; 2.5 Bis, del Código Civil del Estado de México, y de ésta manera evitar el uso malintencionado que alguien pueda hacer de la información o documentación que le concierne.</w:t>
      </w:r>
    </w:p>
    <w:p w14:paraId="7400A7BF" w14:textId="77777777" w:rsidR="00802F09" w:rsidRPr="004E42A5" w:rsidRDefault="00802F09" w:rsidP="00802F0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58303994" w14:textId="77777777" w:rsidR="00802F09" w:rsidRPr="004E42A5" w:rsidRDefault="00802F09" w:rsidP="00802F0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 xml:space="preserve">Asimismo, se hace del conocimiento del Recurrente que existe el sistema denominado Sistema de Acceso, Rectificación, Cancelación y Oposición de Datos Personales del Estado de México, </w:t>
      </w:r>
      <w:r w:rsidRPr="004E42A5">
        <w:rPr>
          <w:rFonts w:ascii="Palatino Linotype" w:eastAsia="Palatino Linotype" w:hAnsi="Palatino Linotype" w:cs="Palatino Linotype"/>
          <w:b/>
          <w:bCs/>
          <w:color w:val="000000"/>
        </w:rPr>
        <w:t>SARCOEM</w:t>
      </w:r>
      <w:r w:rsidRPr="004E42A5">
        <w:rPr>
          <w:rFonts w:ascii="Palatino Linotype" w:eastAsia="Palatino Linotype" w:hAnsi="Palatino Linotype" w:cs="Palatino Linotype"/>
          <w:color w:val="000000"/>
        </w:rPr>
        <w:t xml:space="preserve">; a través del cual, puede ejercer los derechos ARCO, </w:t>
      </w:r>
      <w:r w:rsidRPr="004E42A5">
        <w:rPr>
          <w:rFonts w:ascii="Palatino Linotype" w:eastAsia="Palatino Linotype" w:hAnsi="Palatino Linotype" w:cs="Palatino Linotype"/>
          <w:color w:val="000000"/>
        </w:rPr>
        <w:lastRenderedPageBreak/>
        <w:t xml:space="preserve">que se refieren a aquel derecho que tiene el titular de datos personales, para solicitar el acceso, rectificación, cancelación, oposición y portabilidad sobre el tratamiento de sus datos, ante el sujeto obligado que esté en posesión de estos. </w:t>
      </w:r>
    </w:p>
    <w:p w14:paraId="0C09B341" w14:textId="77777777" w:rsidR="00802F09" w:rsidRPr="004E42A5" w:rsidRDefault="00802F09" w:rsidP="00802F0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4E42A5">
        <w:rPr>
          <w:rFonts w:ascii="Palatino Linotype" w:eastAsia="Palatino Linotype" w:hAnsi="Palatino Linotype" w:cs="Palatino Linotype"/>
          <w:color w:val="000000"/>
        </w:rPr>
        <w:t xml:space="preserve">Cabe mencionar que el sistema </w:t>
      </w:r>
      <w:r w:rsidRPr="004E42A5">
        <w:rPr>
          <w:rFonts w:ascii="Palatino Linotype" w:eastAsia="Palatino Linotype" w:hAnsi="Palatino Linotype" w:cs="Palatino Linotype"/>
          <w:b/>
          <w:bCs/>
          <w:color w:val="000000"/>
        </w:rPr>
        <w:t>SARCOEM</w:t>
      </w:r>
      <w:r w:rsidRPr="004E42A5">
        <w:rPr>
          <w:rFonts w:ascii="Palatino Linotype" w:eastAsia="Palatino Linotype" w:hAnsi="Palatino Linotype" w:cs="Palatino Linotype"/>
          <w:color w:val="000000"/>
        </w:rPr>
        <w:t xml:space="preserve"> se encuentra en la dirección electrónica </w:t>
      </w:r>
      <w:hyperlink r:id="rId7" w:history="1">
        <w:r w:rsidRPr="004E42A5">
          <w:rPr>
            <w:rStyle w:val="Hipervnculo"/>
            <w:rFonts w:ascii="Palatino Linotype" w:eastAsia="Palatino Linotype" w:hAnsi="Palatino Linotype" w:cs="Palatino Linotype"/>
          </w:rPr>
          <w:t>https://www.sarcoem.org.mx/sarcoem/ciudadano/login.page</w:t>
        </w:r>
      </w:hyperlink>
      <w:r w:rsidRPr="004E42A5">
        <w:rPr>
          <w:rFonts w:ascii="Palatino Linotype" w:eastAsia="Palatino Linotype" w:hAnsi="Palatino Linotype" w:cs="Palatino Linotype"/>
          <w:color w:val="000000"/>
        </w:rPr>
        <w:t xml:space="preserve">, asimismo, las guías de uso de dicho sistema, tales como el registro ciudadano, el registro de solicitudes, el seguimiento a recursos de revisión, entre otras, se encuentran disponibles en la dirección electrónica </w:t>
      </w:r>
      <w:hyperlink r:id="rId8" w:history="1">
        <w:r w:rsidRPr="004E42A5">
          <w:rPr>
            <w:rStyle w:val="Hipervnculo"/>
            <w:rFonts w:ascii="Palatino Linotype" w:eastAsia="Palatino Linotype" w:hAnsi="Palatino Linotype" w:cs="Palatino Linotype"/>
          </w:rPr>
          <w:t>https://www.sarcoem.org.mx/sarcoem/guias.html</w:t>
        </w:r>
      </w:hyperlink>
      <w:r w:rsidRPr="004E42A5">
        <w:rPr>
          <w:rFonts w:ascii="Palatino Linotype" w:eastAsia="Palatino Linotype" w:hAnsi="Palatino Linotype" w:cs="Palatino Linotype"/>
          <w:color w:val="000000"/>
        </w:rPr>
        <w:t>.</w:t>
      </w:r>
    </w:p>
    <w:p w14:paraId="16684977" w14:textId="77777777" w:rsidR="00D16501" w:rsidRPr="004E42A5" w:rsidRDefault="00D16501" w:rsidP="00802F0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18C7DB0F" w14:textId="4BC327E2" w:rsidR="00D16501" w:rsidRPr="004E42A5" w:rsidRDefault="00D16501" w:rsidP="00802F09">
      <w:pPr>
        <w:pBdr>
          <w:top w:val="nil"/>
          <w:left w:val="nil"/>
          <w:bottom w:val="nil"/>
          <w:right w:val="nil"/>
          <w:between w:val="nil"/>
        </w:pBdr>
        <w:spacing w:line="360" w:lineRule="auto"/>
        <w:contextualSpacing/>
        <w:jc w:val="both"/>
        <w:rPr>
          <w:rFonts w:ascii="Palatino Linotype" w:eastAsia="Palatino Linotype" w:hAnsi="Palatino Linotype" w:cs="Palatino Linotype"/>
          <w:b/>
          <w:bCs/>
          <w:color w:val="000000"/>
        </w:rPr>
      </w:pPr>
      <w:r w:rsidRPr="004E42A5">
        <w:rPr>
          <w:rFonts w:ascii="Palatino Linotype" w:eastAsia="Palatino Linotype" w:hAnsi="Palatino Linotype" w:cs="Palatino Linotype"/>
          <w:color w:val="000000"/>
        </w:rPr>
        <w:t xml:space="preserve">Finalmente, con relación al motivo de inconformidad relativo a </w:t>
      </w:r>
      <w:r w:rsidRPr="004E42A5">
        <w:rPr>
          <w:rFonts w:ascii="Palatino Linotype" w:eastAsia="Palatino Linotype" w:hAnsi="Palatino Linotype" w:cs="Palatino Linotype"/>
          <w:i/>
          <w:iCs/>
          <w:color w:val="000000"/>
        </w:rPr>
        <w:t xml:space="preserve">“Además, al ser el titular de los datos, no es necesario canalizar mi petición al procedimiento ARCO. Esta canalización constituye una limitación injustificada al derecho de acceso a la información” </w:t>
      </w:r>
      <w:r w:rsidRPr="004E42A5">
        <w:rPr>
          <w:rFonts w:ascii="Palatino Linotype" w:eastAsia="Palatino Linotype" w:hAnsi="Palatino Linotype" w:cs="Palatino Linotype"/>
          <w:color w:val="000000"/>
        </w:rPr>
        <w:t xml:space="preserve">se destaca que el principio de suplencia de la queja previsto en el artículo 181 de la Ley de Transparencia y Acceso a la Información Pública del Estado de México y Municipios no puede llegar al extremo de cambiar los hechos expuestos en las solicitudes formuladas por la ciudadanía, por ello, se resalta que la presente resolución partió de una interpretación literal y gramatical a la solicitud identificada con el número </w:t>
      </w:r>
      <w:r w:rsidRPr="004E42A5">
        <w:rPr>
          <w:rFonts w:ascii="Palatino Linotype" w:eastAsia="Palatino Linotype" w:hAnsi="Palatino Linotype" w:cs="Palatino Linotype"/>
          <w:b/>
          <w:bCs/>
          <w:color w:val="000000"/>
        </w:rPr>
        <w:t xml:space="preserve">00162/SEIEM/IP/2025. </w:t>
      </w:r>
    </w:p>
    <w:p w14:paraId="6B2E8A85" w14:textId="77777777" w:rsidR="00802F09" w:rsidRPr="004E42A5" w:rsidRDefault="00802F09" w:rsidP="00802F09">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p>
    <w:p w14:paraId="755294CE" w14:textId="0BAD1B2B" w:rsidR="00FF2F5C" w:rsidRPr="004E42A5" w:rsidRDefault="00B7265E" w:rsidP="00B7265E">
      <w:pPr>
        <w:spacing w:line="360" w:lineRule="auto"/>
        <w:ind w:right="51"/>
        <w:jc w:val="both"/>
        <w:rPr>
          <w:rFonts w:ascii="Palatino Linotype" w:hAnsi="Palatino Linotype" w:cs="Arial"/>
        </w:rPr>
      </w:pPr>
      <w:r w:rsidRPr="004E42A5">
        <w:rPr>
          <w:rFonts w:ascii="Palatino Linotype" w:hAnsi="Palatino Linotype" w:cs="Arial"/>
        </w:rPr>
        <w:t>En mérito de lo expuesto en líneas anteriores</w:t>
      </w:r>
      <w:r w:rsidRPr="004E42A5">
        <w:rPr>
          <w:rFonts w:ascii="Palatino Linotype" w:hAnsi="Palatino Linotype"/>
          <w:noProof/>
          <w:lang w:eastAsia="es-MX"/>
        </w:rPr>
        <w:t xml:space="preserve">, resultan </w:t>
      </w:r>
      <w:r w:rsidR="004B4150" w:rsidRPr="004E42A5">
        <w:rPr>
          <w:rFonts w:ascii="Palatino Linotype" w:hAnsi="Palatino Linotype"/>
          <w:noProof/>
          <w:lang w:eastAsia="es-MX"/>
        </w:rPr>
        <w:t>infundado</w:t>
      </w:r>
      <w:r w:rsidRPr="004E42A5">
        <w:rPr>
          <w:rFonts w:ascii="Palatino Linotype" w:hAnsi="Palatino Linotype"/>
          <w:noProof/>
          <w:lang w:eastAsia="es-MX"/>
        </w:rPr>
        <w:t xml:space="preserve">s los motivos de inconformidad que arguye </w:t>
      </w:r>
      <w:r w:rsidR="000C66C4" w:rsidRPr="004E42A5">
        <w:rPr>
          <w:rFonts w:ascii="Palatino Linotype" w:hAnsi="Palatino Linotype"/>
          <w:b/>
          <w:noProof/>
          <w:lang w:eastAsia="es-MX"/>
        </w:rPr>
        <w:t>El</w:t>
      </w:r>
      <w:r w:rsidRPr="004E42A5">
        <w:rPr>
          <w:rFonts w:ascii="Palatino Linotype" w:hAnsi="Palatino Linotype"/>
          <w:b/>
          <w:noProof/>
          <w:lang w:eastAsia="es-MX"/>
        </w:rPr>
        <w:t xml:space="preserve"> Recurrente</w:t>
      </w:r>
      <w:r w:rsidRPr="004E42A5">
        <w:rPr>
          <w:rFonts w:ascii="Palatino Linotype" w:hAnsi="Palatino Linotype"/>
          <w:noProof/>
          <w:lang w:eastAsia="es-MX"/>
        </w:rPr>
        <w:t xml:space="preserve"> en su medio de impugnación que fue materia de estudio, </w:t>
      </w:r>
      <w:r w:rsidRPr="004E42A5">
        <w:rPr>
          <w:rFonts w:ascii="Palatino Linotype" w:hAnsi="Palatino Linotype" w:cs="Arial"/>
        </w:rPr>
        <w:t>por ello con fundamento en el artículo 1</w:t>
      </w:r>
      <w:r w:rsidR="003123FB" w:rsidRPr="004E42A5">
        <w:rPr>
          <w:rFonts w:ascii="Palatino Linotype" w:hAnsi="Palatino Linotype" w:cs="Arial"/>
        </w:rPr>
        <w:t>3</w:t>
      </w:r>
      <w:r w:rsidRPr="004E42A5">
        <w:rPr>
          <w:rFonts w:ascii="Palatino Linotype" w:hAnsi="Palatino Linotype" w:cs="Arial"/>
        </w:rPr>
        <w:t xml:space="preserve">8, fracción </w:t>
      </w:r>
      <w:r w:rsidR="003123FB" w:rsidRPr="004E42A5">
        <w:rPr>
          <w:rFonts w:ascii="Palatino Linotype" w:hAnsi="Palatino Linotype" w:cs="Arial"/>
        </w:rPr>
        <w:t>I</w:t>
      </w:r>
      <w:r w:rsidRPr="004E42A5">
        <w:rPr>
          <w:rFonts w:ascii="Palatino Linotype" w:hAnsi="Palatino Linotype" w:cs="Arial"/>
        </w:rPr>
        <w:t>I, en concordancia con el artículo 1</w:t>
      </w:r>
      <w:r w:rsidR="003123FB" w:rsidRPr="004E42A5">
        <w:rPr>
          <w:rFonts w:ascii="Palatino Linotype" w:hAnsi="Palatino Linotype" w:cs="Arial"/>
        </w:rPr>
        <w:t>3</w:t>
      </w:r>
      <w:r w:rsidRPr="004E42A5">
        <w:rPr>
          <w:rFonts w:ascii="Palatino Linotype" w:hAnsi="Palatino Linotype" w:cs="Arial"/>
        </w:rPr>
        <w:t>9, fracción I</w:t>
      </w:r>
      <w:r w:rsidR="003123FB" w:rsidRPr="004E42A5">
        <w:rPr>
          <w:rFonts w:ascii="Palatino Linotype" w:hAnsi="Palatino Linotype" w:cs="Arial"/>
        </w:rPr>
        <w:t>II</w:t>
      </w:r>
      <w:r w:rsidRPr="004E42A5">
        <w:rPr>
          <w:rFonts w:ascii="Palatino Linotype" w:hAnsi="Palatino Linotype" w:cs="Arial"/>
        </w:rPr>
        <w:t xml:space="preserve">, de la </w:t>
      </w:r>
      <w:r w:rsidR="003123FB" w:rsidRPr="004E42A5">
        <w:rPr>
          <w:rFonts w:ascii="Palatino Linotype" w:eastAsia="Palatino Linotype" w:hAnsi="Palatino Linotype" w:cs="Palatino Linotype"/>
          <w:color w:val="000000"/>
          <w:lang w:val="es-MX" w:eastAsia="en-US"/>
        </w:rPr>
        <w:t>Ley de Protección de Datos Personales en Posesión de Sujetos Obligados del Estado de México</w:t>
      </w:r>
      <w:r w:rsidRPr="004E42A5">
        <w:rPr>
          <w:rFonts w:ascii="Palatino Linotype" w:hAnsi="Palatino Linotype" w:cs="Arial"/>
        </w:rPr>
        <w:t xml:space="preserve">, se </w:t>
      </w:r>
      <w:r w:rsidRPr="004E42A5">
        <w:rPr>
          <w:rFonts w:ascii="Palatino Linotype" w:hAnsi="Palatino Linotype" w:cs="Arial"/>
          <w:b/>
        </w:rPr>
        <w:t>SOBRESEE</w:t>
      </w:r>
      <w:r w:rsidRPr="004E42A5">
        <w:rPr>
          <w:rFonts w:ascii="Palatino Linotype" w:hAnsi="Palatino Linotype" w:cs="Arial"/>
        </w:rPr>
        <w:t xml:space="preserve"> el recurso de revisión </w:t>
      </w:r>
      <w:r w:rsidR="00FF2F5C" w:rsidRPr="004E42A5">
        <w:rPr>
          <w:rFonts w:ascii="Palatino Linotype" w:hAnsi="Palatino Linotype" w:cs="Arial"/>
          <w:b/>
          <w:bCs/>
        </w:rPr>
        <w:t xml:space="preserve">08460/INFOEM/IP/RR/2025, </w:t>
      </w:r>
      <w:r w:rsidR="00FF2F5C" w:rsidRPr="004E42A5">
        <w:rPr>
          <w:rFonts w:ascii="Palatino Linotype" w:hAnsi="Palatino Linotype" w:cs="Arial"/>
        </w:rPr>
        <w:t xml:space="preserve">que ha sido materia del presente fallo. </w:t>
      </w:r>
    </w:p>
    <w:p w14:paraId="2AD27200" w14:textId="1DF933C8" w:rsidR="00B7265E" w:rsidRPr="004E42A5" w:rsidRDefault="00B7265E" w:rsidP="00B7265E">
      <w:pPr>
        <w:tabs>
          <w:tab w:val="left" w:pos="8931"/>
        </w:tabs>
        <w:spacing w:line="360" w:lineRule="auto"/>
        <w:ind w:right="51"/>
        <w:jc w:val="both"/>
        <w:rPr>
          <w:rFonts w:ascii="Palatino Linotype" w:eastAsiaTheme="minorHAnsi" w:hAnsi="Palatino Linotype" w:cstheme="minorBidi"/>
          <w:lang w:val="es-MX" w:eastAsia="en-US"/>
        </w:rPr>
      </w:pPr>
      <w:r w:rsidRPr="004E42A5">
        <w:rPr>
          <w:rFonts w:ascii="Palatino Linotype" w:eastAsiaTheme="minorHAnsi" w:hAnsi="Palatino Linotype" w:cstheme="minorBidi"/>
          <w:lang w:val="es-MX" w:eastAsia="en-US"/>
        </w:rPr>
        <w:lastRenderedPageBreak/>
        <w:t>Por lo antes expuesto y fundado es de resolverse y,</w:t>
      </w:r>
    </w:p>
    <w:p w14:paraId="0FE83369" w14:textId="77777777" w:rsidR="008553EC" w:rsidRPr="004E42A5" w:rsidRDefault="008553EC" w:rsidP="00B7265E">
      <w:pPr>
        <w:spacing w:line="360" w:lineRule="auto"/>
        <w:jc w:val="center"/>
        <w:rPr>
          <w:rFonts w:ascii="Palatino Linotype" w:hAnsi="Palatino Linotype" w:cstheme="minorBidi"/>
          <w:b/>
          <w:bCs/>
          <w:spacing w:val="60"/>
          <w:sz w:val="28"/>
          <w:szCs w:val="22"/>
          <w:lang w:val="es-ES_tradnl" w:eastAsia="en-US"/>
        </w:rPr>
      </w:pPr>
    </w:p>
    <w:p w14:paraId="30F9341C" w14:textId="5A09035B" w:rsidR="00B7265E" w:rsidRPr="004E42A5" w:rsidRDefault="00B7265E" w:rsidP="00B7265E">
      <w:pPr>
        <w:spacing w:line="360" w:lineRule="auto"/>
        <w:jc w:val="center"/>
        <w:rPr>
          <w:rFonts w:ascii="Palatino Linotype" w:hAnsi="Palatino Linotype" w:cstheme="minorBidi"/>
          <w:b/>
          <w:bCs/>
          <w:spacing w:val="60"/>
          <w:sz w:val="28"/>
          <w:szCs w:val="22"/>
          <w:lang w:val="es-ES_tradnl" w:eastAsia="en-US"/>
        </w:rPr>
      </w:pPr>
      <w:r w:rsidRPr="004E42A5">
        <w:rPr>
          <w:rFonts w:ascii="Palatino Linotype" w:hAnsi="Palatino Linotype" w:cstheme="minorBidi"/>
          <w:b/>
          <w:bCs/>
          <w:spacing w:val="60"/>
          <w:sz w:val="28"/>
          <w:szCs w:val="22"/>
          <w:lang w:val="es-ES_tradnl" w:eastAsia="en-US"/>
        </w:rPr>
        <w:t>SE    RESUELVE</w:t>
      </w:r>
    </w:p>
    <w:p w14:paraId="6350DFF9" w14:textId="77777777" w:rsidR="00B7265E" w:rsidRPr="004E42A5" w:rsidRDefault="00B7265E" w:rsidP="00B7265E">
      <w:pPr>
        <w:pStyle w:val="Sinespaciado"/>
        <w:rPr>
          <w:lang w:eastAsia="en-US"/>
        </w:rPr>
      </w:pPr>
    </w:p>
    <w:p w14:paraId="30AD5070" w14:textId="5FFCC562" w:rsidR="00B7265E" w:rsidRPr="004E42A5" w:rsidRDefault="00B7265E" w:rsidP="00B7265E">
      <w:pPr>
        <w:spacing w:line="360" w:lineRule="auto"/>
        <w:jc w:val="both"/>
        <w:rPr>
          <w:rFonts w:ascii="Palatino Linotype" w:eastAsiaTheme="minorHAnsi" w:hAnsi="Palatino Linotype" w:cs="Arial"/>
          <w:lang w:val="es-ES_tradnl" w:eastAsia="en-US"/>
        </w:rPr>
      </w:pPr>
      <w:r w:rsidRPr="004E42A5">
        <w:rPr>
          <w:rFonts w:ascii="Palatino Linotype" w:hAnsi="Palatino Linotype" w:cstheme="minorBidi"/>
          <w:b/>
          <w:bCs/>
          <w:sz w:val="28"/>
          <w:szCs w:val="22"/>
          <w:lang w:val="es-MX" w:eastAsia="es-MX"/>
        </w:rPr>
        <w:t>PRIMERO</w:t>
      </w:r>
      <w:r w:rsidRPr="004E42A5">
        <w:rPr>
          <w:rFonts w:ascii="Palatino Linotype" w:hAnsi="Palatino Linotype" w:cstheme="minorBidi"/>
          <w:sz w:val="28"/>
          <w:szCs w:val="22"/>
          <w:lang w:val="es-MX" w:eastAsia="es-MX"/>
        </w:rPr>
        <w:t xml:space="preserve">. </w:t>
      </w:r>
      <w:r w:rsidRPr="004E42A5">
        <w:rPr>
          <w:rFonts w:ascii="Palatino Linotype" w:eastAsiaTheme="minorEastAsia" w:hAnsi="Palatino Linotype" w:cs="Arial"/>
          <w:lang w:val="es-ES_tradnl" w:eastAsia="en-US"/>
        </w:rPr>
        <w:t xml:space="preserve">Se </w:t>
      </w:r>
      <w:r w:rsidRPr="004E42A5">
        <w:rPr>
          <w:rFonts w:ascii="Palatino Linotype" w:eastAsiaTheme="minorEastAsia" w:hAnsi="Palatino Linotype" w:cs="Arial"/>
          <w:b/>
          <w:lang w:val="es-ES_tradnl" w:eastAsia="en-US"/>
        </w:rPr>
        <w:t>SOBRESEE</w:t>
      </w:r>
      <w:r w:rsidRPr="004E42A5">
        <w:rPr>
          <w:rFonts w:ascii="Palatino Linotype" w:eastAsiaTheme="minorEastAsia" w:hAnsi="Palatino Linotype" w:cs="Arial"/>
          <w:lang w:val="es-ES_tradnl" w:eastAsia="en-US"/>
        </w:rPr>
        <w:t xml:space="preserve"> el recurso de revisión </w:t>
      </w:r>
      <w:r w:rsidR="00FF2F5C" w:rsidRPr="004E42A5">
        <w:rPr>
          <w:rFonts w:ascii="Palatino Linotype" w:hAnsi="Palatino Linotype" w:cs="Arial"/>
          <w:b/>
          <w:bCs/>
        </w:rPr>
        <w:t>08460/INFOEM/IP/RR/2025</w:t>
      </w:r>
      <w:r w:rsidRPr="004E42A5">
        <w:rPr>
          <w:rFonts w:ascii="Palatino Linotype" w:eastAsiaTheme="minorEastAsia" w:hAnsi="Palatino Linotype" w:cs="Arial"/>
          <w:lang w:val="es-ES_tradnl" w:eastAsia="en-US"/>
        </w:rPr>
        <w:t xml:space="preserve">, por </w:t>
      </w:r>
      <w:r w:rsidRPr="004E42A5">
        <w:rPr>
          <w:rFonts w:ascii="Palatino Linotype" w:eastAsia="Palatino Linotype" w:hAnsi="Palatino Linotype" w:cs="Palatino Linotype"/>
          <w:color w:val="000000"/>
          <w:lang w:val="es-MX" w:eastAsia="en-US"/>
        </w:rPr>
        <w:t xml:space="preserve">improcedente al actualizarse lo dispuesto en el artículo </w:t>
      </w:r>
      <w:r w:rsidRPr="004E42A5">
        <w:rPr>
          <w:rFonts w:ascii="Palatino Linotype" w:eastAsia="Palatino Linotype" w:hAnsi="Palatino Linotype" w:cs="Palatino Linotype"/>
          <w:b/>
          <w:color w:val="000000"/>
          <w:lang w:val="es-MX" w:eastAsia="en-US"/>
        </w:rPr>
        <w:t>1</w:t>
      </w:r>
      <w:r w:rsidR="00FB16E9" w:rsidRPr="004E42A5">
        <w:rPr>
          <w:rFonts w:ascii="Palatino Linotype" w:eastAsia="Palatino Linotype" w:hAnsi="Palatino Linotype" w:cs="Palatino Linotype"/>
          <w:b/>
          <w:color w:val="000000"/>
          <w:lang w:val="es-MX" w:eastAsia="en-US"/>
        </w:rPr>
        <w:t>38 fracción II</w:t>
      </w:r>
      <w:r w:rsidRPr="004E42A5">
        <w:rPr>
          <w:rFonts w:ascii="Palatino Linotype" w:eastAsia="Palatino Linotype" w:hAnsi="Palatino Linotype" w:cs="Palatino Linotype"/>
          <w:color w:val="000000"/>
          <w:lang w:val="es-MX" w:eastAsia="en-US"/>
        </w:rPr>
        <w:t xml:space="preserve">, </w:t>
      </w:r>
      <w:r w:rsidR="00FB16E9" w:rsidRPr="004E42A5">
        <w:rPr>
          <w:rFonts w:ascii="Palatino Linotype" w:eastAsia="Palatino Linotype" w:hAnsi="Palatino Linotype" w:cs="Palatino Linotype"/>
          <w:color w:val="000000"/>
          <w:lang w:val="es-MX" w:eastAsia="en-US"/>
        </w:rPr>
        <w:t xml:space="preserve">y </w:t>
      </w:r>
      <w:r w:rsidRPr="004E42A5">
        <w:rPr>
          <w:rFonts w:ascii="Palatino Linotype" w:eastAsia="Palatino Linotype" w:hAnsi="Palatino Linotype" w:cs="Palatino Linotype"/>
          <w:b/>
          <w:color w:val="000000"/>
          <w:lang w:val="es-MX" w:eastAsia="en-US"/>
        </w:rPr>
        <w:t>1</w:t>
      </w:r>
      <w:r w:rsidR="00FB16E9" w:rsidRPr="004E42A5">
        <w:rPr>
          <w:rFonts w:ascii="Palatino Linotype" w:eastAsia="Palatino Linotype" w:hAnsi="Palatino Linotype" w:cs="Palatino Linotype"/>
          <w:b/>
          <w:color w:val="000000"/>
          <w:lang w:val="es-MX" w:eastAsia="en-US"/>
        </w:rPr>
        <w:t>3</w:t>
      </w:r>
      <w:r w:rsidRPr="004E42A5">
        <w:rPr>
          <w:rFonts w:ascii="Palatino Linotype" w:eastAsia="Palatino Linotype" w:hAnsi="Palatino Linotype" w:cs="Palatino Linotype"/>
          <w:b/>
          <w:color w:val="000000"/>
          <w:lang w:val="es-MX" w:eastAsia="en-US"/>
        </w:rPr>
        <w:t>9</w:t>
      </w:r>
      <w:r w:rsidR="006D051B" w:rsidRPr="004E42A5">
        <w:rPr>
          <w:rFonts w:ascii="Palatino Linotype" w:eastAsia="Palatino Linotype" w:hAnsi="Palatino Linotype" w:cs="Palatino Linotype"/>
          <w:color w:val="000000"/>
          <w:lang w:val="es-MX" w:eastAsia="en-US"/>
        </w:rPr>
        <w:t xml:space="preserve"> </w:t>
      </w:r>
      <w:r w:rsidR="006D051B" w:rsidRPr="004E42A5">
        <w:rPr>
          <w:rFonts w:ascii="Palatino Linotype" w:eastAsia="Palatino Linotype" w:hAnsi="Palatino Linotype" w:cs="Palatino Linotype"/>
          <w:b/>
          <w:color w:val="000000"/>
          <w:lang w:val="es-MX" w:eastAsia="en-US"/>
        </w:rPr>
        <w:t>fracción III</w:t>
      </w:r>
      <w:r w:rsidRPr="004E42A5">
        <w:rPr>
          <w:rFonts w:ascii="Palatino Linotype" w:eastAsia="Palatino Linotype" w:hAnsi="Palatino Linotype" w:cs="Palatino Linotype"/>
          <w:color w:val="000000"/>
          <w:lang w:val="es-MX" w:eastAsia="en-US"/>
        </w:rPr>
        <w:t xml:space="preserve"> de la </w:t>
      </w:r>
      <w:r w:rsidR="00FB16E9" w:rsidRPr="004E42A5">
        <w:rPr>
          <w:rFonts w:ascii="Palatino Linotype" w:eastAsia="Palatino Linotype" w:hAnsi="Palatino Linotype" w:cs="Palatino Linotype"/>
          <w:color w:val="000000"/>
          <w:lang w:val="es-MX" w:eastAsia="en-US"/>
        </w:rPr>
        <w:t>Ley de Protección de Datos Personales en Posesión de Sujetos Obligados del Estado de México</w:t>
      </w:r>
      <w:r w:rsidRPr="004E42A5">
        <w:rPr>
          <w:rFonts w:ascii="Palatino Linotype" w:eastAsia="Palatino Linotype" w:hAnsi="Palatino Linotype" w:cs="Palatino Linotype"/>
          <w:color w:val="000000"/>
          <w:lang w:val="es-MX" w:eastAsia="en-US"/>
        </w:rPr>
        <w:t xml:space="preserve">, </w:t>
      </w:r>
      <w:r w:rsidRPr="004E42A5">
        <w:rPr>
          <w:rFonts w:ascii="Palatino Linotype" w:eastAsiaTheme="minorHAnsi" w:hAnsi="Palatino Linotype" w:cs="Arial"/>
          <w:lang w:val="es-ES_tradnl" w:eastAsia="en-US"/>
        </w:rPr>
        <w:t xml:space="preserve">en términos del Considerando </w:t>
      </w:r>
      <w:r w:rsidR="00802F09" w:rsidRPr="004E42A5">
        <w:rPr>
          <w:rFonts w:ascii="Palatino Linotype" w:eastAsiaTheme="minorHAnsi" w:hAnsi="Palatino Linotype" w:cs="Arial"/>
          <w:b/>
          <w:lang w:val="es-ES_tradnl" w:eastAsia="en-US"/>
        </w:rPr>
        <w:t>TERCERO</w:t>
      </w:r>
      <w:r w:rsidRPr="004E42A5">
        <w:rPr>
          <w:rFonts w:ascii="Palatino Linotype" w:eastAsiaTheme="minorHAnsi" w:hAnsi="Palatino Linotype" w:cs="Arial"/>
          <w:b/>
          <w:lang w:val="es-ES_tradnl" w:eastAsia="en-US"/>
        </w:rPr>
        <w:t xml:space="preserve"> </w:t>
      </w:r>
      <w:r w:rsidRPr="004E42A5">
        <w:rPr>
          <w:rFonts w:ascii="Palatino Linotype" w:eastAsiaTheme="minorHAnsi" w:hAnsi="Palatino Linotype" w:cs="Arial"/>
          <w:lang w:val="es-ES_tradnl" w:eastAsia="en-US"/>
        </w:rPr>
        <w:t>de la presente resolución.</w:t>
      </w:r>
    </w:p>
    <w:p w14:paraId="03F3B1A2" w14:textId="77777777" w:rsidR="00B7265E" w:rsidRPr="004E42A5" w:rsidRDefault="00B7265E" w:rsidP="00B7265E">
      <w:pPr>
        <w:spacing w:line="360" w:lineRule="auto"/>
        <w:jc w:val="both"/>
        <w:rPr>
          <w:rFonts w:ascii="Palatino Linotype" w:eastAsiaTheme="minorEastAsia" w:hAnsi="Palatino Linotype" w:cstheme="minorBidi"/>
          <w:lang w:val="es-ES_tradnl" w:eastAsia="en-US"/>
        </w:rPr>
      </w:pPr>
    </w:p>
    <w:p w14:paraId="36F23845" w14:textId="77777777" w:rsidR="00B7265E" w:rsidRPr="004E42A5" w:rsidRDefault="00B7265E" w:rsidP="00B7265E">
      <w:pPr>
        <w:spacing w:line="360" w:lineRule="auto"/>
        <w:jc w:val="both"/>
        <w:rPr>
          <w:rFonts w:ascii="Palatino Linotype" w:eastAsiaTheme="minorHAnsi" w:hAnsi="Palatino Linotype" w:cstheme="minorBidi"/>
          <w:lang w:val="es-MX" w:eastAsia="en-US"/>
        </w:rPr>
      </w:pPr>
      <w:r w:rsidRPr="004E42A5">
        <w:rPr>
          <w:rFonts w:ascii="Palatino Linotype" w:eastAsiaTheme="minorHAnsi" w:hAnsi="Palatino Linotype" w:cstheme="minorBidi"/>
          <w:b/>
          <w:sz w:val="28"/>
          <w:lang w:val="es-MX" w:eastAsia="en-US"/>
        </w:rPr>
        <w:t>SEGUNDO.</w:t>
      </w:r>
      <w:r w:rsidRPr="004E42A5">
        <w:rPr>
          <w:rFonts w:ascii="Palatino Linotype" w:eastAsiaTheme="minorHAnsi" w:hAnsi="Palatino Linotype" w:cs="Arial"/>
          <w:sz w:val="28"/>
          <w:lang w:val="es-MX" w:eastAsia="en-US"/>
        </w:rPr>
        <w:t xml:space="preserve"> </w:t>
      </w:r>
      <w:r w:rsidRPr="004E42A5">
        <w:rPr>
          <w:rFonts w:ascii="Palatino Linotype" w:eastAsiaTheme="minorHAnsi" w:hAnsi="Palatino Linotype" w:cstheme="minorBidi"/>
          <w:b/>
          <w:lang w:val="es-MX" w:eastAsia="en-US"/>
        </w:rPr>
        <w:t>NOTIFÍQUESE</w:t>
      </w:r>
      <w:r w:rsidRPr="004E42A5">
        <w:rPr>
          <w:rFonts w:ascii="Palatino Linotype" w:eastAsiaTheme="minorHAnsi" w:hAnsi="Palatino Linotype" w:cstheme="minorBidi"/>
          <w:lang w:val="es-MX" w:eastAsia="en-US"/>
        </w:rPr>
        <w:t xml:space="preserve"> vía Sistema de Acceso a la Información Mexiquense </w:t>
      </w:r>
      <w:r w:rsidRPr="004E42A5">
        <w:rPr>
          <w:rFonts w:ascii="Palatino Linotype" w:eastAsiaTheme="minorHAnsi" w:hAnsi="Palatino Linotype" w:cstheme="minorBidi"/>
          <w:b/>
          <w:lang w:val="es-MX" w:eastAsia="en-US"/>
        </w:rPr>
        <w:t>(SAIMEX)</w:t>
      </w:r>
      <w:r w:rsidRPr="004E42A5">
        <w:rPr>
          <w:rFonts w:ascii="Palatino Linotype" w:eastAsiaTheme="minorHAnsi" w:hAnsi="Palatino Linotype" w:cstheme="minorBidi"/>
          <w:lang w:val="es-MX" w:eastAsia="en-US"/>
        </w:rPr>
        <w:t xml:space="preserve">, la presente resolución al Titular de la Unidad de Transparencia del </w:t>
      </w:r>
      <w:r w:rsidRPr="004E42A5">
        <w:rPr>
          <w:rFonts w:ascii="Palatino Linotype" w:eastAsiaTheme="minorHAnsi" w:hAnsi="Palatino Linotype" w:cstheme="minorBidi"/>
          <w:b/>
          <w:lang w:val="es-MX" w:eastAsia="en-US"/>
        </w:rPr>
        <w:t>Sujeto Obligado</w:t>
      </w:r>
      <w:r w:rsidRPr="004E42A5">
        <w:rPr>
          <w:rFonts w:ascii="Palatino Linotype" w:eastAsiaTheme="minorHAnsi" w:hAnsi="Palatino Linotype" w:cstheme="minorBidi"/>
          <w:lang w:val="es-MX" w:eastAsia="en-US"/>
        </w:rPr>
        <w:t>.</w:t>
      </w:r>
    </w:p>
    <w:p w14:paraId="03337202" w14:textId="77777777" w:rsidR="00FF2F5C" w:rsidRPr="004E42A5" w:rsidRDefault="00FF2F5C" w:rsidP="00B7265E">
      <w:pPr>
        <w:spacing w:line="360" w:lineRule="auto"/>
        <w:jc w:val="both"/>
        <w:rPr>
          <w:rFonts w:ascii="Palatino Linotype" w:eastAsiaTheme="minorHAnsi" w:hAnsi="Palatino Linotype" w:cstheme="minorBidi"/>
          <w:lang w:val="es-MX" w:eastAsia="en-US"/>
        </w:rPr>
      </w:pPr>
    </w:p>
    <w:p w14:paraId="1F1A6DCE" w14:textId="2DB08629" w:rsidR="00B7265E" w:rsidRPr="004E42A5" w:rsidRDefault="00B7265E" w:rsidP="00B7265E">
      <w:pPr>
        <w:spacing w:line="360" w:lineRule="auto"/>
        <w:jc w:val="both"/>
        <w:rPr>
          <w:rFonts w:ascii="Palatino Linotype" w:eastAsiaTheme="minorHAnsi" w:hAnsi="Palatino Linotype" w:cstheme="minorBidi"/>
          <w:lang w:val="es-MX" w:eastAsia="en-US"/>
        </w:rPr>
      </w:pPr>
      <w:r w:rsidRPr="004E42A5">
        <w:rPr>
          <w:rFonts w:ascii="Palatino Linotype" w:eastAsiaTheme="minorHAnsi" w:hAnsi="Palatino Linotype" w:cs="Arial"/>
          <w:b/>
          <w:sz w:val="28"/>
          <w:lang w:val="es-MX" w:eastAsia="en-US"/>
        </w:rPr>
        <w:t xml:space="preserve">TERCERO. </w:t>
      </w:r>
      <w:r w:rsidR="00802F09" w:rsidRPr="004E42A5">
        <w:rPr>
          <w:rFonts w:ascii="Palatino Linotype" w:eastAsia="Palatino Linotype" w:hAnsi="Palatino Linotype" w:cs="Palatino Linotype"/>
          <w:b/>
        </w:rPr>
        <w:t>Notifíquese</w:t>
      </w:r>
      <w:r w:rsidR="00802F09" w:rsidRPr="004E42A5">
        <w:rPr>
          <w:rFonts w:ascii="Palatino Linotype" w:eastAsia="Palatino Linotype" w:hAnsi="Palatino Linotype" w:cs="Palatino Linotype"/>
        </w:rPr>
        <w:t xml:space="preserve"> la presente resolución al Recurrente</w:t>
      </w:r>
      <w:r w:rsidR="00802F09" w:rsidRPr="004E42A5">
        <w:rPr>
          <w:rFonts w:ascii="Palatino Linotype" w:hAnsi="Palatino Linotype"/>
        </w:rPr>
        <w:t xml:space="preserve"> </w:t>
      </w:r>
      <w:r w:rsidR="00802F09" w:rsidRPr="004E42A5">
        <w:rPr>
          <w:rFonts w:ascii="Palatino Linotype" w:eastAsia="Palatino Linotype" w:hAnsi="Palatino Linotype" w:cs="Palatino Linotype"/>
        </w:rPr>
        <w:t xml:space="preserve">a través del Sistema de Acceso a la Información Mexiquense </w:t>
      </w:r>
      <w:r w:rsidR="00802F09" w:rsidRPr="004E42A5">
        <w:rPr>
          <w:rFonts w:ascii="Palatino Linotype" w:eastAsia="Palatino Linotype" w:hAnsi="Palatino Linotype" w:cs="Palatino Linotype"/>
          <w:b/>
          <w:bCs/>
        </w:rPr>
        <w:t>(SAIMEX),</w:t>
      </w:r>
      <w:r w:rsidR="00802F09" w:rsidRPr="004E42A5">
        <w:rPr>
          <w:rFonts w:ascii="Palatino Linotype" w:eastAsia="Palatino Linotype" w:hAnsi="Palatino Linotype" w:cs="Palatino Linotype"/>
        </w:rPr>
        <w:t xml:space="preserve"> y hágase de su conocimiento que, en caso de considerar que la misma le causa algún perjuicio, podrá promover el Juicio de Amparo en los términos de las leyes aplicables, de acuerdo con lo estipulado en el artículo 196 de la Ley de Transparencia y Acceso a la Información Pública del Estado de México y Municipios y 142 de la Ley de Protección de Datos Personales en Posesión de Sujetos Obligados del Estado de México y Municipios.</w:t>
      </w:r>
    </w:p>
    <w:p w14:paraId="53F3477C" w14:textId="77777777" w:rsidR="00951155" w:rsidRPr="004E42A5" w:rsidRDefault="00951155" w:rsidP="001F276C">
      <w:pPr>
        <w:spacing w:line="360" w:lineRule="auto"/>
        <w:jc w:val="both"/>
        <w:rPr>
          <w:rFonts w:ascii="Palatino Linotype" w:eastAsiaTheme="minorHAnsi" w:hAnsi="Palatino Linotype" w:cs="Arial"/>
          <w:lang w:val="es-MX" w:eastAsia="en-US"/>
        </w:rPr>
      </w:pPr>
    </w:p>
    <w:p w14:paraId="3DFE9509" w14:textId="70A63A46" w:rsidR="003E4281" w:rsidRPr="004E42A5" w:rsidRDefault="003E4281" w:rsidP="003E4281">
      <w:pPr>
        <w:pStyle w:val="Prrafodelista"/>
        <w:autoSpaceDE w:val="0"/>
        <w:autoSpaceDN w:val="0"/>
        <w:adjustRightInd w:val="0"/>
        <w:spacing w:before="240" w:after="160" w:line="360" w:lineRule="auto"/>
        <w:ind w:left="0"/>
        <w:jc w:val="both"/>
        <w:rPr>
          <w:rFonts w:ascii="Palatino Linotype" w:hAnsi="Palatino Linotype" w:cs="Arial"/>
          <w:lang w:val="es-MX"/>
        </w:rPr>
      </w:pPr>
      <w:r w:rsidRPr="004E42A5">
        <w:rPr>
          <w:rFonts w:ascii="Palatino Linotype" w:hAnsi="Palatino Linotype" w:cs="Arial"/>
        </w:rPr>
        <w:t>ASÍ LO ACORDÓ, POR MAYORÍA DE VOTOS, EL PLENO DEL</w:t>
      </w:r>
      <w:r w:rsidRPr="004E42A5">
        <w:rPr>
          <w:rFonts w:ascii="Palatino Linotype" w:eastAsia="Arial Unicode MS" w:hAnsi="Palatino Linotype" w:cs="Arial"/>
        </w:rPr>
        <w:t xml:space="preserve"> INSTITUTO DE TRANSPARENCIA, ACCESO A LA INFORMACIÓN PÚBLICA Y PROTECCIÓN DE DATOS PERSONALES DEL ESTADO DE MÉXICO Y MUNICIPIOS</w:t>
      </w:r>
      <w:r w:rsidRPr="004E42A5">
        <w:rPr>
          <w:rFonts w:ascii="Palatino Linotype" w:hAnsi="Palatino Linotype" w:cs="Arial"/>
        </w:rPr>
        <w:t xml:space="preserve">, CONFORMADO </w:t>
      </w:r>
      <w:r w:rsidRPr="004E42A5">
        <w:rPr>
          <w:rFonts w:ascii="Palatino Linotype" w:hAnsi="Palatino Linotype" w:cs="Arial"/>
        </w:rPr>
        <w:lastRenderedPageBreak/>
        <w:t>POR LOS COMISIONADOS JOSÉ MARTÍNEZ VILCHIS, MARÍA DEL ROSARIO MEJÍA AYALA, SHARON CRISTINA MORALES MARTÍNEZ (EMITIENDO VOTO EN CONTRA CON VOTO DISIDENTE</w:t>
      </w:r>
      <w:r w:rsidR="004E42A5" w:rsidRPr="004E42A5">
        <w:rPr>
          <w:rFonts w:ascii="Palatino Linotype" w:hAnsi="Palatino Linotype" w:cs="Arial"/>
        </w:rPr>
        <w:t xml:space="preserve"> CONCURRENTE</w:t>
      </w:r>
      <w:r w:rsidRPr="004E42A5">
        <w:rPr>
          <w:rFonts w:ascii="Palatino Linotype" w:hAnsi="Palatino Linotype" w:cs="Arial"/>
        </w:rPr>
        <w:t>), LUIS GUSTAVO PARRA NORIEGA (EMITIENDO VOTO EN CONTRA CON VOTO DISIDENTE</w:t>
      </w:r>
      <w:r w:rsidR="004E42A5" w:rsidRPr="004E42A5">
        <w:rPr>
          <w:rFonts w:ascii="Palatino Linotype" w:hAnsi="Palatino Linotype" w:cs="Arial"/>
        </w:rPr>
        <w:t xml:space="preserve"> CONCURRENTE</w:t>
      </w:r>
      <w:r w:rsidRPr="004E42A5">
        <w:rPr>
          <w:rFonts w:ascii="Palatino Linotype" w:hAnsi="Palatino Linotype" w:cs="Arial"/>
        </w:rPr>
        <w:t xml:space="preserve">)  Y GUADALUPE RAMÍREZ PEÑA; EN LA VIGÉSIMA SESIÓN ORDINARIA CELEBRADA EL TRES DE JUNIO DE DOS MIL VEINTISÉIS, ANTE EL SECRETARIO TÉCNICO DEL PLENO, ALEXIS TAPIA RAMÍREZ. </w:t>
      </w:r>
    </w:p>
    <w:p w14:paraId="6AA84366" w14:textId="77777777" w:rsidR="003E4281" w:rsidRPr="004E42A5" w:rsidRDefault="003E4281" w:rsidP="003E4281">
      <w:pPr>
        <w:rPr>
          <w:rFonts w:ascii="Palatino Linotype" w:hAnsi="Palatino Linotype"/>
          <w:sz w:val="22"/>
          <w:szCs w:val="22"/>
        </w:rPr>
      </w:pPr>
      <w:r w:rsidRPr="004E42A5">
        <w:rPr>
          <w:rFonts w:ascii="Palatino Linotype" w:hAnsi="Palatino Linotype"/>
          <w:sz w:val="22"/>
          <w:szCs w:val="22"/>
        </w:rPr>
        <w:t>CCR/JCMA</w:t>
      </w:r>
    </w:p>
    <w:p w14:paraId="75A14949" w14:textId="16868C33" w:rsidR="008553EC" w:rsidRPr="004E42A5" w:rsidRDefault="008553EC" w:rsidP="001F276C">
      <w:pPr>
        <w:spacing w:line="360" w:lineRule="auto"/>
        <w:rPr>
          <w:sz w:val="22"/>
          <w:szCs w:val="22"/>
          <w:lang w:val="es-MX"/>
        </w:rPr>
      </w:pPr>
    </w:p>
    <w:p w14:paraId="657AF1F5" w14:textId="77777777" w:rsidR="008553EC" w:rsidRPr="004E42A5" w:rsidRDefault="008553EC" w:rsidP="001F276C">
      <w:pPr>
        <w:spacing w:line="360" w:lineRule="auto"/>
        <w:rPr>
          <w:sz w:val="22"/>
          <w:szCs w:val="22"/>
          <w:lang w:val="es-MX"/>
        </w:rPr>
      </w:pPr>
    </w:p>
    <w:p w14:paraId="183956B0" w14:textId="435C2268" w:rsidR="008553EC" w:rsidRDefault="00E82F82" w:rsidP="001F276C">
      <w:pPr>
        <w:spacing w:line="360" w:lineRule="auto"/>
        <w:rPr>
          <w:sz w:val="22"/>
          <w:szCs w:val="22"/>
          <w:lang w:val="es-MX"/>
        </w:rPr>
      </w:pPr>
      <w:r w:rsidRPr="004E42A5">
        <w:rPr>
          <w:noProof/>
          <w:sz w:val="22"/>
          <w:szCs w:val="22"/>
          <w:lang w:val="es-MX" w:eastAsia="es-MX"/>
        </w:rPr>
        <mc:AlternateContent>
          <mc:Choice Requires="wps">
            <w:drawing>
              <wp:anchor distT="0" distB="0" distL="114300" distR="114300" simplePos="0" relativeHeight="251659264" behindDoc="0" locked="0" layoutInCell="1" allowOverlap="1" wp14:anchorId="40A0C905" wp14:editId="4FA1DBE6">
                <wp:simplePos x="0" y="0"/>
                <wp:positionH relativeFrom="column">
                  <wp:posOffset>276225</wp:posOffset>
                </wp:positionH>
                <wp:positionV relativeFrom="paragraph">
                  <wp:posOffset>43815</wp:posOffset>
                </wp:positionV>
                <wp:extent cx="5379720" cy="4503420"/>
                <wp:effectExtent l="0" t="0" r="30480" b="30480"/>
                <wp:wrapNone/>
                <wp:docPr id="689763351" name="Conector recto 1"/>
                <wp:cNvGraphicFramePr/>
                <a:graphic xmlns:a="http://schemas.openxmlformats.org/drawingml/2006/main">
                  <a:graphicData uri="http://schemas.microsoft.com/office/word/2010/wordprocessingShape">
                    <wps:wsp>
                      <wps:cNvCnPr/>
                      <wps:spPr>
                        <a:xfrm>
                          <a:off x="0" y="0"/>
                          <a:ext cx="5379720" cy="45034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3AA21ADA" id="Conector recto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5pt,3.45pt" to="445.35pt,3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" strokecolor="#5b9bd5 [3204]" strokeweight=".5pt">
                <v:stroke joinstyle="miter"/>
              </v:line>
            </w:pict>
          </mc:Fallback>
        </mc:AlternateContent>
      </w:r>
    </w:p>
    <w:p w14:paraId="485584AC" w14:textId="77777777" w:rsidR="008553EC" w:rsidRDefault="008553EC" w:rsidP="001F276C">
      <w:pPr>
        <w:spacing w:line="360" w:lineRule="auto"/>
        <w:rPr>
          <w:sz w:val="22"/>
          <w:szCs w:val="22"/>
          <w:lang w:val="es-MX"/>
        </w:rPr>
      </w:pPr>
    </w:p>
    <w:p w14:paraId="1CD62D33" w14:textId="77777777" w:rsidR="008553EC" w:rsidRDefault="008553EC" w:rsidP="001F276C">
      <w:pPr>
        <w:spacing w:line="360" w:lineRule="auto"/>
        <w:rPr>
          <w:sz w:val="22"/>
          <w:szCs w:val="22"/>
          <w:lang w:val="es-MX"/>
        </w:rPr>
      </w:pPr>
    </w:p>
    <w:p w14:paraId="4D871DAA" w14:textId="77777777" w:rsidR="008553EC" w:rsidRDefault="008553EC" w:rsidP="001F276C">
      <w:pPr>
        <w:spacing w:line="360" w:lineRule="auto"/>
        <w:rPr>
          <w:sz w:val="22"/>
          <w:szCs w:val="22"/>
          <w:lang w:val="es-MX"/>
        </w:rPr>
      </w:pPr>
    </w:p>
    <w:p w14:paraId="6A1A542D" w14:textId="77777777" w:rsidR="008553EC" w:rsidRDefault="008553EC" w:rsidP="001F276C">
      <w:pPr>
        <w:spacing w:line="360" w:lineRule="auto"/>
        <w:rPr>
          <w:sz w:val="22"/>
          <w:szCs w:val="22"/>
          <w:lang w:val="es-MX"/>
        </w:rPr>
      </w:pPr>
    </w:p>
    <w:p w14:paraId="46BF7499" w14:textId="77777777" w:rsidR="008553EC" w:rsidRDefault="008553EC" w:rsidP="001F276C">
      <w:pPr>
        <w:spacing w:line="360" w:lineRule="auto"/>
        <w:rPr>
          <w:sz w:val="22"/>
          <w:szCs w:val="22"/>
          <w:lang w:val="es-MX"/>
        </w:rPr>
      </w:pPr>
    </w:p>
    <w:p w14:paraId="376B821B" w14:textId="77777777" w:rsidR="008553EC" w:rsidRDefault="008553EC" w:rsidP="001F276C">
      <w:pPr>
        <w:spacing w:line="360" w:lineRule="auto"/>
        <w:rPr>
          <w:sz w:val="22"/>
          <w:szCs w:val="22"/>
          <w:lang w:val="es-MX"/>
        </w:rPr>
      </w:pPr>
    </w:p>
    <w:p w14:paraId="5198E143" w14:textId="77777777" w:rsidR="008553EC" w:rsidRDefault="008553EC" w:rsidP="001F276C">
      <w:pPr>
        <w:spacing w:line="360" w:lineRule="auto"/>
        <w:rPr>
          <w:sz w:val="22"/>
          <w:szCs w:val="22"/>
          <w:lang w:val="es-MX"/>
        </w:rPr>
      </w:pPr>
    </w:p>
    <w:p w14:paraId="277EC695" w14:textId="77777777" w:rsidR="008553EC" w:rsidRDefault="008553EC" w:rsidP="001F276C">
      <w:pPr>
        <w:spacing w:line="360" w:lineRule="auto"/>
        <w:rPr>
          <w:sz w:val="22"/>
          <w:szCs w:val="22"/>
          <w:lang w:val="es-MX"/>
        </w:rPr>
      </w:pPr>
    </w:p>
    <w:p w14:paraId="00AA3573" w14:textId="77777777" w:rsidR="008553EC" w:rsidRDefault="008553EC" w:rsidP="001F276C">
      <w:pPr>
        <w:spacing w:line="360" w:lineRule="auto"/>
        <w:rPr>
          <w:sz w:val="22"/>
          <w:szCs w:val="22"/>
          <w:lang w:val="es-MX"/>
        </w:rPr>
      </w:pPr>
    </w:p>
    <w:p w14:paraId="1CF92489" w14:textId="77777777" w:rsidR="008553EC" w:rsidRDefault="008553EC" w:rsidP="001F276C">
      <w:pPr>
        <w:spacing w:line="360" w:lineRule="auto"/>
        <w:rPr>
          <w:sz w:val="22"/>
          <w:szCs w:val="22"/>
          <w:lang w:val="es-MX"/>
        </w:rPr>
      </w:pPr>
    </w:p>
    <w:p w14:paraId="7167F69E" w14:textId="77777777" w:rsidR="008553EC" w:rsidRDefault="008553EC" w:rsidP="001F276C">
      <w:pPr>
        <w:spacing w:line="360" w:lineRule="auto"/>
        <w:rPr>
          <w:sz w:val="22"/>
          <w:szCs w:val="22"/>
          <w:lang w:val="es-MX"/>
        </w:rPr>
      </w:pPr>
    </w:p>
    <w:p w14:paraId="3EDA2F5D" w14:textId="77777777" w:rsidR="008553EC" w:rsidRDefault="008553EC" w:rsidP="001F276C">
      <w:pPr>
        <w:spacing w:line="360" w:lineRule="auto"/>
        <w:rPr>
          <w:sz w:val="22"/>
          <w:szCs w:val="22"/>
          <w:lang w:val="es-MX"/>
        </w:rPr>
      </w:pPr>
    </w:p>
    <w:p w14:paraId="6B9564DB" w14:textId="77777777" w:rsidR="008553EC" w:rsidRDefault="008553EC" w:rsidP="001F276C">
      <w:pPr>
        <w:spacing w:line="360" w:lineRule="auto"/>
        <w:rPr>
          <w:sz w:val="22"/>
          <w:szCs w:val="22"/>
          <w:lang w:val="es-MX"/>
        </w:rPr>
      </w:pPr>
    </w:p>
    <w:p w14:paraId="2605E63F" w14:textId="77777777" w:rsidR="008553EC" w:rsidRDefault="008553EC" w:rsidP="001F276C">
      <w:pPr>
        <w:spacing w:line="360" w:lineRule="auto"/>
        <w:rPr>
          <w:sz w:val="22"/>
          <w:szCs w:val="22"/>
          <w:lang w:val="es-MX"/>
        </w:rPr>
      </w:pPr>
    </w:p>
    <w:p w14:paraId="10204F95" w14:textId="77777777" w:rsidR="008553EC" w:rsidRDefault="008553EC" w:rsidP="001F276C">
      <w:pPr>
        <w:spacing w:line="360" w:lineRule="auto"/>
        <w:rPr>
          <w:sz w:val="22"/>
          <w:szCs w:val="22"/>
          <w:lang w:val="es-MX"/>
        </w:rPr>
      </w:pPr>
    </w:p>
    <w:p w14:paraId="200B6D4D" w14:textId="77777777" w:rsidR="008553EC" w:rsidRDefault="008553EC" w:rsidP="001F276C">
      <w:pPr>
        <w:spacing w:line="360" w:lineRule="auto"/>
        <w:rPr>
          <w:sz w:val="22"/>
          <w:szCs w:val="22"/>
          <w:lang w:val="es-MX"/>
        </w:rPr>
      </w:pPr>
    </w:p>
    <w:p w14:paraId="782C62C8" w14:textId="77777777" w:rsidR="008553EC" w:rsidRDefault="008553EC" w:rsidP="001F276C">
      <w:pPr>
        <w:spacing w:line="360" w:lineRule="auto"/>
        <w:rPr>
          <w:sz w:val="22"/>
          <w:szCs w:val="22"/>
          <w:lang w:val="es-MX"/>
        </w:rPr>
      </w:pPr>
    </w:p>
    <w:p w14:paraId="169C2161" w14:textId="77777777" w:rsidR="008553EC" w:rsidRDefault="008553EC" w:rsidP="001F276C">
      <w:pPr>
        <w:spacing w:line="360" w:lineRule="auto"/>
        <w:rPr>
          <w:sz w:val="22"/>
          <w:szCs w:val="22"/>
          <w:lang w:val="es-MX"/>
        </w:rPr>
      </w:pPr>
    </w:p>
    <w:p w14:paraId="261B2E4C" w14:textId="77777777" w:rsidR="008553EC" w:rsidRDefault="008553EC" w:rsidP="001F276C">
      <w:pPr>
        <w:spacing w:line="360" w:lineRule="auto"/>
        <w:rPr>
          <w:sz w:val="22"/>
          <w:szCs w:val="22"/>
          <w:lang w:val="es-MX"/>
        </w:rPr>
      </w:pPr>
    </w:p>
    <w:p w14:paraId="56AF7DD5" w14:textId="77777777" w:rsidR="008553EC" w:rsidRDefault="008553EC" w:rsidP="001F276C">
      <w:pPr>
        <w:spacing w:line="360" w:lineRule="auto"/>
        <w:rPr>
          <w:sz w:val="22"/>
          <w:szCs w:val="22"/>
          <w:lang w:val="es-MX"/>
        </w:rPr>
      </w:pPr>
    </w:p>
    <w:p w14:paraId="03C553B5" w14:textId="77777777" w:rsidR="008553EC" w:rsidRDefault="008553EC" w:rsidP="001F276C">
      <w:pPr>
        <w:spacing w:line="360" w:lineRule="auto"/>
        <w:rPr>
          <w:sz w:val="22"/>
          <w:szCs w:val="22"/>
          <w:lang w:val="es-MX"/>
        </w:rPr>
      </w:pPr>
    </w:p>
    <w:p w14:paraId="71E3C8D0" w14:textId="77777777" w:rsidR="008553EC" w:rsidRDefault="008553EC" w:rsidP="001F276C">
      <w:pPr>
        <w:spacing w:line="360" w:lineRule="auto"/>
        <w:rPr>
          <w:sz w:val="22"/>
          <w:szCs w:val="22"/>
          <w:lang w:val="es-MX"/>
        </w:rPr>
      </w:pPr>
    </w:p>
    <w:p w14:paraId="53800155" w14:textId="77777777" w:rsidR="008553EC" w:rsidRPr="00844B6E" w:rsidRDefault="008553EC" w:rsidP="001F276C">
      <w:pPr>
        <w:spacing w:line="360" w:lineRule="auto"/>
        <w:rPr>
          <w:sz w:val="22"/>
          <w:szCs w:val="22"/>
          <w:lang w:val="es-MX"/>
        </w:rPr>
      </w:pPr>
    </w:p>
    <w:p w14:paraId="1B91BBCC" w14:textId="77777777" w:rsidR="008E7388" w:rsidRDefault="008E7388" w:rsidP="001F276C">
      <w:pPr>
        <w:spacing w:line="360" w:lineRule="auto"/>
      </w:pPr>
    </w:p>
    <w:p w14:paraId="40DE4AB0" w14:textId="77777777" w:rsidR="008E7388" w:rsidRDefault="008E7388" w:rsidP="001F276C">
      <w:pPr>
        <w:spacing w:line="360" w:lineRule="auto"/>
      </w:pPr>
    </w:p>
    <w:p w14:paraId="2AE42A04" w14:textId="77777777" w:rsidR="008E7388" w:rsidRDefault="008E7388" w:rsidP="001F276C">
      <w:pPr>
        <w:spacing w:line="360" w:lineRule="auto"/>
      </w:pPr>
    </w:p>
    <w:p w14:paraId="0E2C9A65" w14:textId="77777777" w:rsidR="008E7388" w:rsidRDefault="008E7388" w:rsidP="001F276C">
      <w:pPr>
        <w:spacing w:line="360" w:lineRule="auto"/>
      </w:pPr>
    </w:p>
    <w:p w14:paraId="602BDE58" w14:textId="77777777" w:rsidR="008E7388" w:rsidRDefault="008E7388" w:rsidP="001F276C">
      <w:pPr>
        <w:spacing w:line="360" w:lineRule="auto"/>
      </w:pPr>
    </w:p>
    <w:p w14:paraId="627241F3" w14:textId="77777777" w:rsidR="008E7388" w:rsidRDefault="008E7388" w:rsidP="001F276C">
      <w:pPr>
        <w:spacing w:line="360" w:lineRule="auto"/>
      </w:pPr>
    </w:p>
    <w:sectPr w:rsidR="008E7388" w:rsidSect="00F37B58">
      <w:headerReference w:type="even" r:id="rId9"/>
      <w:headerReference w:type="default" r:id="rId10"/>
      <w:footerReference w:type="default" r:id="rId11"/>
      <w:headerReference w:type="first" r:id="rId12"/>
      <w:footerReference w:type="first" r:id="rId13"/>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211B07" w14:textId="77777777" w:rsidR="00A433B7" w:rsidRDefault="00A433B7" w:rsidP="008E7388">
      <w:r>
        <w:separator/>
      </w:r>
    </w:p>
  </w:endnote>
  <w:endnote w:type="continuationSeparator" w:id="0">
    <w:p w14:paraId="6DB55F3D" w14:textId="77777777" w:rsidR="00A433B7" w:rsidRDefault="00A433B7" w:rsidP="008E7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NewRomanPS-ItalicMT">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A85A7" w14:textId="77777777" w:rsidR="00F56989" w:rsidRPr="000D3AD4" w:rsidRDefault="00F56989" w:rsidP="00F37B58">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914217">
      <w:rPr>
        <w:rFonts w:ascii="Palatino Linotype" w:hAnsi="Palatino Linotype" w:cs="Arial"/>
        <w:bCs/>
        <w:noProof/>
        <w:sz w:val="20"/>
        <w:szCs w:val="20"/>
      </w:rPr>
      <w:t>6</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914217">
      <w:rPr>
        <w:rFonts w:ascii="Palatino Linotype" w:hAnsi="Palatino Linotype" w:cs="Arial"/>
        <w:bCs/>
        <w:noProof/>
        <w:sz w:val="20"/>
        <w:szCs w:val="20"/>
      </w:rPr>
      <w:t>23</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DF348" w14:textId="77777777" w:rsidR="00F56989" w:rsidRPr="000D3AD4" w:rsidRDefault="00F56989" w:rsidP="00F37B58">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914217">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914217">
      <w:rPr>
        <w:rFonts w:ascii="Palatino Linotype" w:hAnsi="Palatino Linotype" w:cs="Arial"/>
        <w:bCs/>
        <w:noProof/>
        <w:sz w:val="20"/>
        <w:szCs w:val="20"/>
      </w:rPr>
      <w:t>23</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41EF65" w14:textId="77777777" w:rsidR="00A433B7" w:rsidRDefault="00A433B7" w:rsidP="008E7388">
      <w:r>
        <w:separator/>
      </w:r>
    </w:p>
  </w:footnote>
  <w:footnote w:type="continuationSeparator" w:id="0">
    <w:p w14:paraId="305C0391" w14:textId="77777777" w:rsidR="00A433B7" w:rsidRDefault="00A433B7" w:rsidP="008E7388">
      <w:r>
        <w:continuationSeparator/>
      </w:r>
    </w:p>
  </w:footnote>
  <w:footnote w:id="1">
    <w:p w14:paraId="4FCC9309" w14:textId="77777777" w:rsidR="00802F09" w:rsidRPr="0027331A" w:rsidRDefault="00802F09" w:rsidP="00802F09">
      <w:pPr>
        <w:pStyle w:val="Textonotapie"/>
      </w:pPr>
      <w:r w:rsidRPr="0027331A">
        <w:rPr>
          <w:rStyle w:val="Refdenotaalpie"/>
        </w:rPr>
        <w:footnoteRef/>
      </w:r>
      <w:r w:rsidRPr="0027331A">
        <w:t xml:space="preserve"> </w:t>
      </w:r>
      <w:r>
        <w:t xml:space="preserve">Tesis V.2o. J/15, </w:t>
      </w:r>
      <w:r>
        <w:rPr>
          <w:i/>
          <w:iCs/>
        </w:rPr>
        <w:t>Semanario Judicial de la Federación</w:t>
      </w:r>
      <w:r>
        <w:t>, Octava Época, tomo IX, enero de 1992, p. 115.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976B04" w14:textId="77777777" w:rsidR="00F56989" w:rsidRDefault="00A433B7">
    <w:pPr>
      <w:pStyle w:val="Encabezado"/>
    </w:pPr>
    <w:r>
      <w:rPr>
        <w:noProof/>
        <w:lang w:val="es-MX" w:eastAsia="es-MX"/>
      </w:rPr>
      <w:pict w14:anchorId="3E3BEA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51" type="#_x0000_t75" alt="" style="position:absolute;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F56989" w:rsidRPr="008F2CCC" w14:paraId="63240A91" w14:textId="77777777" w:rsidTr="00F37B58">
      <w:tc>
        <w:tcPr>
          <w:tcW w:w="2551" w:type="dxa"/>
          <w:vAlign w:val="center"/>
        </w:tcPr>
        <w:p w14:paraId="6B5D1910" w14:textId="77777777" w:rsidR="00F56989" w:rsidRPr="008F5DAE" w:rsidRDefault="00F56989" w:rsidP="00F37B58">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6D975EFD" w14:textId="42BB6E18" w:rsidR="00F56989" w:rsidRPr="0029071C" w:rsidRDefault="00EA503C" w:rsidP="00910A91">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08460</w:t>
          </w:r>
          <w:r w:rsidR="00F56989" w:rsidRPr="0029071C">
            <w:rPr>
              <w:rFonts w:ascii="Palatino Linotype" w:hAnsi="Palatino Linotype"/>
              <w:sz w:val="22"/>
              <w:szCs w:val="22"/>
              <w:lang w:val="es-ES_tradnl"/>
            </w:rPr>
            <w:t>/INFOEM/IP/RR/202</w:t>
          </w:r>
          <w:r w:rsidR="005D2A2B">
            <w:rPr>
              <w:rFonts w:ascii="Palatino Linotype" w:hAnsi="Palatino Linotype"/>
              <w:sz w:val="22"/>
              <w:szCs w:val="22"/>
              <w:lang w:val="es-ES_tradnl"/>
            </w:rPr>
            <w:t>5</w:t>
          </w:r>
        </w:p>
      </w:tc>
    </w:tr>
    <w:tr w:rsidR="00F56989" w:rsidRPr="008F2CCC" w14:paraId="10966F0E" w14:textId="77777777" w:rsidTr="00F37B58">
      <w:trPr>
        <w:trHeight w:val="228"/>
      </w:trPr>
      <w:tc>
        <w:tcPr>
          <w:tcW w:w="2551" w:type="dxa"/>
          <w:vAlign w:val="center"/>
        </w:tcPr>
        <w:p w14:paraId="78B643D9" w14:textId="77777777" w:rsidR="00F56989" w:rsidRPr="008F5DAE" w:rsidRDefault="00F56989" w:rsidP="00F37B58">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0355E09C" w14:textId="5639CE27" w:rsidR="00F56989" w:rsidRPr="0029071C" w:rsidRDefault="00EA503C" w:rsidP="00F37B58">
          <w:pPr>
            <w:spacing w:line="276" w:lineRule="auto"/>
            <w:jc w:val="right"/>
            <w:rPr>
              <w:rFonts w:ascii="Palatino Linotype" w:hAnsi="Palatino Linotype"/>
              <w:sz w:val="22"/>
              <w:szCs w:val="22"/>
            </w:rPr>
          </w:pPr>
          <w:r>
            <w:rPr>
              <w:rFonts w:ascii="Palatino Linotype" w:hAnsi="Palatino Linotype"/>
              <w:sz w:val="22"/>
              <w:szCs w:val="22"/>
            </w:rPr>
            <w:t xml:space="preserve">Servicios Educativos Integrados al Estado de México </w:t>
          </w:r>
        </w:p>
      </w:tc>
    </w:tr>
    <w:tr w:rsidR="00F56989" w:rsidRPr="008F2CCC" w14:paraId="56E7E2A1" w14:textId="77777777" w:rsidTr="00F37B58">
      <w:tc>
        <w:tcPr>
          <w:tcW w:w="2551" w:type="dxa"/>
          <w:vAlign w:val="center"/>
        </w:tcPr>
        <w:p w14:paraId="762F3045" w14:textId="77777777" w:rsidR="00F56989" w:rsidRPr="008F5DAE" w:rsidRDefault="00F56989" w:rsidP="00F37B58">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0B5BAC26" w14:textId="77777777" w:rsidR="00F56989" w:rsidRPr="0029071C" w:rsidRDefault="00F56989" w:rsidP="00F37B58">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18EE1681" w14:textId="77777777" w:rsidR="00F56989" w:rsidRPr="001779E0" w:rsidRDefault="00A433B7" w:rsidP="00F37B58">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eastAsia="es-MX"/>
      </w:rPr>
      <w:pict w14:anchorId="1BA46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alt="" style="position:absolute;margin-left:-85.25pt;margin-top:-120.2pt;width:649.35pt;height:845.8pt;z-index:-251656192;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F56989" w:rsidRPr="008F2CCC" w14:paraId="413725FB" w14:textId="77777777" w:rsidTr="00F37B58">
      <w:tc>
        <w:tcPr>
          <w:tcW w:w="2551" w:type="dxa"/>
          <w:vAlign w:val="center"/>
        </w:tcPr>
        <w:p w14:paraId="19992498" w14:textId="77777777" w:rsidR="00F56989" w:rsidRPr="008F5DAE" w:rsidRDefault="00F56989" w:rsidP="00F37B58">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vAlign w:val="center"/>
        </w:tcPr>
        <w:p w14:paraId="231D9703" w14:textId="2B85918A" w:rsidR="00F56989" w:rsidRPr="0029071C" w:rsidRDefault="00F12237" w:rsidP="00910A91">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08460</w:t>
          </w:r>
          <w:r w:rsidR="00F56989" w:rsidRPr="0029071C">
            <w:rPr>
              <w:rFonts w:ascii="Palatino Linotype" w:hAnsi="Palatino Linotype"/>
              <w:sz w:val="22"/>
              <w:szCs w:val="22"/>
              <w:lang w:val="es-ES_tradnl"/>
            </w:rPr>
            <w:t>/INFOEM/IP/RR/202</w:t>
          </w:r>
          <w:r w:rsidR="00C26D14">
            <w:rPr>
              <w:rFonts w:ascii="Palatino Linotype" w:hAnsi="Palatino Linotype"/>
              <w:sz w:val="22"/>
              <w:szCs w:val="22"/>
              <w:lang w:val="es-ES_tradnl"/>
            </w:rPr>
            <w:t>5</w:t>
          </w:r>
        </w:p>
      </w:tc>
    </w:tr>
    <w:tr w:rsidR="00F56989" w:rsidRPr="008F2CCC" w14:paraId="6EDCCE0D" w14:textId="77777777" w:rsidTr="00F37B58">
      <w:tc>
        <w:tcPr>
          <w:tcW w:w="2551" w:type="dxa"/>
          <w:vAlign w:val="center"/>
        </w:tcPr>
        <w:p w14:paraId="7BB8EA7E" w14:textId="77777777" w:rsidR="00F56989" w:rsidRPr="008F5DAE" w:rsidRDefault="00F56989" w:rsidP="00F37B58">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vAlign w:val="center"/>
        </w:tcPr>
        <w:p w14:paraId="0008DB97" w14:textId="39E957D2" w:rsidR="00F56989" w:rsidRPr="006D30E6" w:rsidRDefault="00914217" w:rsidP="00F37B58">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XXXXXXXXXXXXXXXXXXX</w:t>
          </w:r>
        </w:p>
      </w:tc>
    </w:tr>
    <w:tr w:rsidR="00F56989" w:rsidRPr="008F2CCC" w14:paraId="468F02E1" w14:textId="77777777" w:rsidTr="00F37B58">
      <w:trPr>
        <w:trHeight w:val="228"/>
      </w:trPr>
      <w:tc>
        <w:tcPr>
          <w:tcW w:w="2551" w:type="dxa"/>
          <w:vAlign w:val="center"/>
        </w:tcPr>
        <w:p w14:paraId="27D9AA48" w14:textId="77777777" w:rsidR="00F56989" w:rsidRPr="008F5DAE" w:rsidRDefault="00F56989" w:rsidP="00F37B58">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vAlign w:val="center"/>
        </w:tcPr>
        <w:p w14:paraId="64666073" w14:textId="53EFD52D" w:rsidR="00F56989" w:rsidRPr="0029071C" w:rsidRDefault="00EA503C" w:rsidP="00F37B58">
          <w:pPr>
            <w:spacing w:line="276" w:lineRule="auto"/>
            <w:jc w:val="right"/>
            <w:rPr>
              <w:rFonts w:ascii="Palatino Linotype" w:hAnsi="Palatino Linotype"/>
              <w:sz w:val="22"/>
              <w:szCs w:val="22"/>
            </w:rPr>
          </w:pPr>
          <w:r>
            <w:rPr>
              <w:rFonts w:ascii="Palatino Linotype" w:hAnsi="Palatino Linotype"/>
              <w:sz w:val="22"/>
              <w:szCs w:val="22"/>
            </w:rPr>
            <w:t xml:space="preserve">Servicios Educativos Integrados al Estado de México </w:t>
          </w:r>
          <w:r w:rsidR="00C052BE">
            <w:rPr>
              <w:rFonts w:ascii="Palatino Linotype" w:hAnsi="Palatino Linotype"/>
              <w:sz w:val="22"/>
              <w:szCs w:val="22"/>
            </w:rPr>
            <w:t xml:space="preserve"> </w:t>
          </w:r>
        </w:p>
      </w:tc>
    </w:tr>
    <w:tr w:rsidR="00F56989" w:rsidRPr="008F2CCC" w14:paraId="07D8EBBB" w14:textId="77777777" w:rsidTr="00F37B58">
      <w:tc>
        <w:tcPr>
          <w:tcW w:w="2551" w:type="dxa"/>
          <w:vAlign w:val="center"/>
        </w:tcPr>
        <w:p w14:paraId="776E492D" w14:textId="77777777" w:rsidR="00F56989" w:rsidRPr="008F5DAE" w:rsidRDefault="00F56989" w:rsidP="00F37B58">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vAlign w:val="center"/>
        </w:tcPr>
        <w:p w14:paraId="5CFA4293" w14:textId="77777777" w:rsidR="00F56989" w:rsidRPr="0029071C" w:rsidRDefault="00F56989" w:rsidP="00F37B58">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F56989" w:rsidRPr="008F2CCC" w14:paraId="5A60E06B" w14:textId="77777777" w:rsidTr="00F37B58">
      <w:tc>
        <w:tcPr>
          <w:tcW w:w="2551" w:type="dxa"/>
          <w:vAlign w:val="center"/>
        </w:tcPr>
        <w:p w14:paraId="27D80EBF" w14:textId="77777777" w:rsidR="00F56989" w:rsidRPr="008F5DAE" w:rsidRDefault="00F56989" w:rsidP="00F37B58">
          <w:pPr>
            <w:spacing w:line="276" w:lineRule="auto"/>
            <w:jc w:val="right"/>
            <w:rPr>
              <w:rFonts w:ascii="Palatino Linotype" w:hAnsi="Palatino Linotype"/>
              <w:b/>
              <w:sz w:val="22"/>
              <w:szCs w:val="22"/>
              <w:lang w:val="es-ES_tradnl"/>
            </w:rPr>
          </w:pPr>
        </w:p>
      </w:tc>
      <w:tc>
        <w:tcPr>
          <w:tcW w:w="4116" w:type="dxa"/>
          <w:vAlign w:val="center"/>
        </w:tcPr>
        <w:p w14:paraId="26BA7680" w14:textId="77777777" w:rsidR="00F56989" w:rsidRPr="00BA27FC" w:rsidRDefault="00F56989" w:rsidP="00F37B58">
          <w:pPr>
            <w:spacing w:line="276" w:lineRule="auto"/>
            <w:rPr>
              <w:rFonts w:ascii="Palatino Linotype" w:hAnsi="Palatino Linotype"/>
              <w:sz w:val="14"/>
              <w:szCs w:val="22"/>
              <w:lang w:val="es-ES_tradnl"/>
            </w:rPr>
          </w:pPr>
        </w:p>
      </w:tc>
    </w:tr>
  </w:tbl>
  <w:p w14:paraId="518E537E" w14:textId="77777777" w:rsidR="00F56989" w:rsidRPr="009F1AB6" w:rsidRDefault="00A433B7">
    <w:pPr>
      <w:pStyle w:val="Encabezado"/>
      <w:rPr>
        <w:sz w:val="10"/>
      </w:rPr>
    </w:pPr>
    <w:r>
      <w:rPr>
        <w:noProof/>
        <w:sz w:val="10"/>
        <w:lang w:val="es-MX" w:eastAsia="es-MX"/>
      </w:rPr>
      <w:pict w14:anchorId="0E2F94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49" type="#_x0000_t75" alt="" style="position:absolute;margin-left:-85.05pt;margin-top:-126.5pt;width:628.7pt;height:818.9pt;z-index:-251655168;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604DE"/>
    <w:multiLevelType w:val="hybridMultilevel"/>
    <w:tmpl w:val="D30E5F9E"/>
    <w:lvl w:ilvl="0" w:tplc="87AA128C">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7D81320"/>
    <w:multiLevelType w:val="hybridMultilevel"/>
    <w:tmpl w:val="EC482824"/>
    <w:lvl w:ilvl="0" w:tplc="304C5A2A">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DFE6CB8"/>
    <w:multiLevelType w:val="hybridMultilevel"/>
    <w:tmpl w:val="743EDA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82A44D9"/>
    <w:multiLevelType w:val="hybridMultilevel"/>
    <w:tmpl w:val="803CF03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DA03E5B"/>
    <w:multiLevelType w:val="hybridMultilevel"/>
    <w:tmpl w:val="FEDCE62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DA6106A"/>
    <w:multiLevelType w:val="hybridMultilevel"/>
    <w:tmpl w:val="7248946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F176A66"/>
    <w:multiLevelType w:val="hybridMultilevel"/>
    <w:tmpl w:val="D21284C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FF70E26"/>
    <w:multiLevelType w:val="hybridMultilevel"/>
    <w:tmpl w:val="E71810AA"/>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1340A48"/>
    <w:multiLevelType w:val="hybridMultilevel"/>
    <w:tmpl w:val="7DA46BD8"/>
    <w:lvl w:ilvl="0" w:tplc="D85273AE">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254211E2"/>
    <w:multiLevelType w:val="hybridMultilevel"/>
    <w:tmpl w:val="2D44DE68"/>
    <w:lvl w:ilvl="0" w:tplc="DCFEAD7A">
      <w:start w:val="1"/>
      <w:numFmt w:val="lowerLetter"/>
      <w:lvlText w:val="%1)"/>
      <w:lvlJc w:val="left"/>
      <w:pPr>
        <w:ind w:left="709" w:hanging="425"/>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C502773"/>
    <w:multiLevelType w:val="hybridMultilevel"/>
    <w:tmpl w:val="33025FCE"/>
    <w:lvl w:ilvl="0" w:tplc="0B4A6E5C">
      <w:start w:val="6"/>
      <w:numFmt w:val="upperRoman"/>
      <w:lvlText w:val="%1."/>
      <w:lvlJc w:val="left"/>
      <w:pPr>
        <w:ind w:left="1287"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CB14B35"/>
    <w:multiLevelType w:val="hybridMultilevel"/>
    <w:tmpl w:val="9FD8C7C6"/>
    <w:lvl w:ilvl="0" w:tplc="D0528CE4">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2B753FA"/>
    <w:multiLevelType w:val="hybridMultilevel"/>
    <w:tmpl w:val="2FA4FC76"/>
    <w:lvl w:ilvl="0" w:tplc="080A0017">
      <w:start w:val="1"/>
      <w:numFmt w:val="lowerLetter"/>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33E8028C"/>
    <w:multiLevelType w:val="hybridMultilevel"/>
    <w:tmpl w:val="7BAE334C"/>
    <w:lvl w:ilvl="0" w:tplc="EF54031A">
      <w:start w:val="1"/>
      <w:numFmt w:val="bullet"/>
      <w:lvlText w:val="-"/>
      <w:lvlJc w:val="left"/>
      <w:pPr>
        <w:ind w:left="1080" w:hanging="360"/>
      </w:pPr>
      <w:rPr>
        <w:rFonts w:ascii="Palatino Linotype" w:eastAsia="Times New Roman" w:hAnsi="Palatino Linotype"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15:restartNumberingAfterBreak="0">
    <w:nsid w:val="343F0016"/>
    <w:multiLevelType w:val="hybridMultilevel"/>
    <w:tmpl w:val="0EECBF0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16" w15:restartNumberingAfterBreak="0">
    <w:nsid w:val="421F6F0A"/>
    <w:multiLevelType w:val="hybridMultilevel"/>
    <w:tmpl w:val="60E6D052"/>
    <w:lvl w:ilvl="0" w:tplc="AEEE4BEE">
      <w:start w:val="1"/>
      <w:numFmt w:val="bullet"/>
      <w:lvlText w:val=""/>
      <w:lvlJc w:val="left"/>
      <w:pPr>
        <w:ind w:left="720" w:hanging="360"/>
      </w:pPr>
      <w:rPr>
        <w:rFonts w:ascii="Symbol" w:eastAsiaTheme="minorHAnsi" w:hAnsi="Symbol" w:cs="TimesNewRomanPS-ItalicMT" w:hint="default"/>
        <w:b/>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E5533EC"/>
    <w:multiLevelType w:val="hybridMultilevel"/>
    <w:tmpl w:val="3E48A74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775E2C4B"/>
    <w:multiLevelType w:val="hybridMultilevel"/>
    <w:tmpl w:val="ADE824A8"/>
    <w:lvl w:ilvl="0" w:tplc="4B90614A">
      <w:start w:val="1"/>
      <w:numFmt w:val="bullet"/>
      <w:lvlText w:val=""/>
      <w:lvlJc w:val="left"/>
      <w:pPr>
        <w:ind w:left="720" w:hanging="360"/>
      </w:pPr>
      <w:rPr>
        <w:rFonts w:ascii="Symbol" w:eastAsiaTheme="minorHAnsi" w:hAnsi="Symbol" w:cs="TimesNewRomanPS-ItalicMT"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9"/>
  </w:num>
  <w:num w:numId="2">
    <w:abstractNumId w:val="18"/>
  </w:num>
  <w:num w:numId="3">
    <w:abstractNumId w:val="4"/>
  </w:num>
  <w:num w:numId="4">
    <w:abstractNumId w:val="16"/>
  </w:num>
  <w:num w:numId="5">
    <w:abstractNumId w:val="15"/>
  </w:num>
  <w:num w:numId="6">
    <w:abstractNumId w:val="8"/>
  </w:num>
  <w:num w:numId="7">
    <w:abstractNumId w:val="11"/>
  </w:num>
  <w:num w:numId="8">
    <w:abstractNumId w:val="12"/>
  </w:num>
  <w:num w:numId="9">
    <w:abstractNumId w:val="10"/>
  </w:num>
  <w:num w:numId="10">
    <w:abstractNumId w:val="1"/>
  </w:num>
  <w:num w:numId="11">
    <w:abstractNumId w:val="0"/>
  </w:num>
  <w:num w:numId="12">
    <w:abstractNumId w:val="13"/>
  </w:num>
  <w:num w:numId="13">
    <w:abstractNumId w:val="5"/>
  </w:num>
  <w:num w:numId="14">
    <w:abstractNumId w:val="7"/>
  </w:num>
  <w:num w:numId="15">
    <w:abstractNumId w:val="6"/>
  </w:num>
  <w:num w:numId="16">
    <w:abstractNumId w:val="17"/>
  </w:num>
  <w:num w:numId="17">
    <w:abstractNumId w:val="2"/>
  </w:num>
  <w:num w:numId="18">
    <w:abstractNumId w:val="9"/>
  </w:num>
  <w:num w:numId="19">
    <w:abstractNumId w:val="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388"/>
    <w:rsid w:val="00003A11"/>
    <w:rsid w:val="00015197"/>
    <w:rsid w:val="00017A9B"/>
    <w:rsid w:val="00035D86"/>
    <w:rsid w:val="00055A78"/>
    <w:rsid w:val="0006128F"/>
    <w:rsid w:val="00073504"/>
    <w:rsid w:val="00074B2C"/>
    <w:rsid w:val="00093F70"/>
    <w:rsid w:val="000C66C4"/>
    <w:rsid w:val="00101CC3"/>
    <w:rsid w:val="00104874"/>
    <w:rsid w:val="00106F90"/>
    <w:rsid w:val="00184778"/>
    <w:rsid w:val="0019329B"/>
    <w:rsid w:val="001A1DC3"/>
    <w:rsid w:val="001B0257"/>
    <w:rsid w:val="001D05D4"/>
    <w:rsid w:val="001F276C"/>
    <w:rsid w:val="001F42C9"/>
    <w:rsid w:val="00206837"/>
    <w:rsid w:val="00215AB7"/>
    <w:rsid w:val="002450C6"/>
    <w:rsid w:val="00295AE2"/>
    <w:rsid w:val="002F4B6B"/>
    <w:rsid w:val="003123FB"/>
    <w:rsid w:val="00313AEF"/>
    <w:rsid w:val="003310F0"/>
    <w:rsid w:val="003371E3"/>
    <w:rsid w:val="00382FD3"/>
    <w:rsid w:val="003B6575"/>
    <w:rsid w:val="003E4281"/>
    <w:rsid w:val="003E6A87"/>
    <w:rsid w:val="00403525"/>
    <w:rsid w:val="004062B7"/>
    <w:rsid w:val="004079A5"/>
    <w:rsid w:val="004343E7"/>
    <w:rsid w:val="00486912"/>
    <w:rsid w:val="004B4150"/>
    <w:rsid w:val="004C0485"/>
    <w:rsid w:val="004E42A5"/>
    <w:rsid w:val="00536AE0"/>
    <w:rsid w:val="00544406"/>
    <w:rsid w:val="00562E3F"/>
    <w:rsid w:val="0056421A"/>
    <w:rsid w:val="00590D3B"/>
    <w:rsid w:val="005A7715"/>
    <w:rsid w:val="005D2A2B"/>
    <w:rsid w:val="006765B4"/>
    <w:rsid w:val="00677954"/>
    <w:rsid w:val="0068568B"/>
    <w:rsid w:val="006A14FE"/>
    <w:rsid w:val="006C1161"/>
    <w:rsid w:val="006D051B"/>
    <w:rsid w:val="00723261"/>
    <w:rsid w:val="007244A5"/>
    <w:rsid w:val="00745C05"/>
    <w:rsid w:val="00756415"/>
    <w:rsid w:val="00787BCF"/>
    <w:rsid w:val="00794D8F"/>
    <w:rsid w:val="007A48D3"/>
    <w:rsid w:val="007C3AB4"/>
    <w:rsid w:val="007F0F92"/>
    <w:rsid w:val="007F5F60"/>
    <w:rsid w:val="00802F09"/>
    <w:rsid w:val="008129F0"/>
    <w:rsid w:val="00814ECE"/>
    <w:rsid w:val="00815B00"/>
    <w:rsid w:val="008324E8"/>
    <w:rsid w:val="00844B6E"/>
    <w:rsid w:val="008454BF"/>
    <w:rsid w:val="008553EC"/>
    <w:rsid w:val="0089079B"/>
    <w:rsid w:val="008952F6"/>
    <w:rsid w:val="0089718F"/>
    <w:rsid w:val="008C1CD1"/>
    <w:rsid w:val="008E0856"/>
    <w:rsid w:val="008E7388"/>
    <w:rsid w:val="009044FE"/>
    <w:rsid w:val="00910A91"/>
    <w:rsid w:val="00914217"/>
    <w:rsid w:val="00931D7F"/>
    <w:rsid w:val="0094444D"/>
    <w:rsid w:val="00951155"/>
    <w:rsid w:val="00957390"/>
    <w:rsid w:val="0096411E"/>
    <w:rsid w:val="009856B5"/>
    <w:rsid w:val="009A15C7"/>
    <w:rsid w:val="009C237A"/>
    <w:rsid w:val="009D665C"/>
    <w:rsid w:val="00A16F3F"/>
    <w:rsid w:val="00A433B7"/>
    <w:rsid w:val="00A50214"/>
    <w:rsid w:val="00AA24AA"/>
    <w:rsid w:val="00AC6552"/>
    <w:rsid w:val="00AD2295"/>
    <w:rsid w:val="00B20383"/>
    <w:rsid w:val="00B22B7F"/>
    <w:rsid w:val="00B278D9"/>
    <w:rsid w:val="00B303F3"/>
    <w:rsid w:val="00B63B16"/>
    <w:rsid w:val="00B7265E"/>
    <w:rsid w:val="00B84038"/>
    <w:rsid w:val="00BD7D2E"/>
    <w:rsid w:val="00BF374B"/>
    <w:rsid w:val="00C00AF6"/>
    <w:rsid w:val="00C052BE"/>
    <w:rsid w:val="00C23155"/>
    <w:rsid w:val="00C26D14"/>
    <w:rsid w:val="00C30321"/>
    <w:rsid w:val="00C32524"/>
    <w:rsid w:val="00C74E05"/>
    <w:rsid w:val="00C878F1"/>
    <w:rsid w:val="00C94128"/>
    <w:rsid w:val="00CD210C"/>
    <w:rsid w:val="00CE1214"/>
    <w:rsid w:val="00D16501"/>
    <w:rsid w:val="00D24017"/>
    <w:rsid w:val="00D26833"/>
    <w:rsid w:val="00D415CA"/>
    <w:rsid w:val="00D97A43"/>
    <w:rsid w:val="00DB1739"/>
    <w:rsid w:val="00DB28E9"/>
    <w:rsid w:val="00DC6742"/>
    <w:rsid w:val="00DF67E7"/>
    <w:rsid w:val="00E06F53"/>
    <w:rsid w:val="00E22A21"/>
    <w:rsid w:val="00E3711C"/>
    <w:rsid w:val="00E61131"/>
    <w:rsid w:val="00E711C0"/>
    <w:rsid w:val="00E82F82"/>
    <w:rsid w:val="00E86C79"/>
    <w:rsid w:val="00EA503C"/>
    <w:rsid w:val="00ED682F"/>
    <w:rsid w:val="00ED6C9C"/>
    <w:rsid w:val="00EE1527"/>
    <w:rsid w:val="00EF0551"/>
    <w:rsid w:val="00F01F8F"/>
    <w:rsid w:val="00F12237"/>
    <w:rsid w:val="00F37B58"/>
    <w:rsid w:val="00F4665A"/>
    <w:rsid w:val="00F52178"/>
    <w:rsid w:val="00F56989"/>
    <w:rsid w:val="00FB16E9"/>
    <w:rsid w:val="00FD2916"/>
    <w:rsid w:val="00FD5845"/>
    <w:rsid w:val="00FF2F5C"/>
    <w:rsid w:val="00FF78F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0576F33"/>
  <w15:chartTrackingRefBased/>
  <w15:docId w15:val="{084AB147-4132-4B1D-9B96-0440DCB8F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7388"/>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E7388"/>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8E7388"/>
    <w:rPr>
      <w:rFonts w:eastAsiaTheme="minorEastAsia"/>
      <w:sz w:val="24"/>
      <w:szCs w:val="24"/>
      <w:lang w:val="es-ES_tradnl" w:eastAsia="es-ES"/>
    </w:rPr>
  </w:style>
  <w:style w:type="paragraph" w:styleId="Piedepgina">
    <w:name w:val="footer"/>
    <w:basedOn w:val="Normal"/>
    <w:link w:val="PiedepginaCar"/>
    <w:uiPriority w:val="99"/>
    <w:unhideWhenUsed/>
    <w:rsid w:val="008E7388"/>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8E7388"/>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8E7388"/>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8E7388"/>
    <w:rPr>
      <w:rFonts w:ascii="Times New Roman" w:eastAsia="Times New Roman" w:hAnsi="Times New Roman" w:cs="Times New Roman"/>
      <w:sz w:val="24"/>
      <w:szCs w:val="24"/>
      <w:lang w:val="es-ES" w:eastAsia="es-ES"/>
    </w:rPr>
  </w:style>
  <w:style w:type="character" w:styleId="Hipervnculo">
    <w:name w:val="Hyperlink"/>
    <w:aliases w:val="Hipervínculo1,Hipervínculo11,Hipervínculo12,Hipervínculo13,Hipervínculo14,Hipervínculo15"/>
    <w:basedOn w:val="Fuentedeprrafopredeter"/>
    <w:uiPriority w:val="99"/>
    <w:unhideWhenUsed/>
    <w:rsid w:val="008E7388"/>
    <w:rPr>
      <w:color w:val="0563C1" w:themeColor="hyperlink"/>
      <w:u w:val="single"/>
    </w:rPr>
  </w:style>
  <w:style w:type="paragraph" w:styleId="Sinespaciado">
    <w:name w:val="No Spacing"/>
    <w:aliases w:val="Francesa,INAI"/>
    <w:link w:val="SinespaciadoCar"/>
    <w:uiPriority w:val="1"/>
    <w:qFormat/>
    <w:rsid w:val="008E7388"/>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E7388"/>
    <w:rPr>
      <w:rFonts w:ascii="Times New Roman" w:eastAsia="Times New Roman" w:hAnsi="Times New Roman" w:cs="Times New Roman"/>
      <w:sz w:val="24"/>
      <w:szCs w:val="24"/>
      <w:lang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8E7388"/>
    <w:rPr>
      <w:vertAlign w:val="superscript"/>
    </w:rPr>
  </w:style>
  <w:style w:type="character" w:customStyle="1" w:styleId="apple-converted-space">
    <w:name w:val="apple-converted-space"/>
    <w:basedOn w:val="Fuentedeprrafopredeter"/>
    <w:rsid w:val="008E7388"/>
  </w:style>
  <w:style w:type="paragraph" w:customStyle="1" w:styleId="Citas">
    <w:name w:val="Citas"/>
    <w:basedOn w:val="Normal"/>
    <w:qFormat/>
    <w:rsid w:val="008E7388"/>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styleId="Textoindependiente">
    <w:name w:val="Body Text"/>
    <w:basedOn w:val="Normal"/>
    <w:link w:val="TextoindependienteCar"/>
    <w:uiPriority w:val="1"/>
    <w:qFormat/>
    <w:rsid w:val="008E7388"/>
    <w:pPr>
      <w:widowControl w:val="0"/>
      <w:ind w:left="109"/>
    </w:pPr>
    <w:rPr>
      <w:rFonts w:ascii="Palatino Linotype" w:eastAsia="Palatino Linotype" w:hAnsi="Palatino Linotype" w:cstheme="minorBidi"/>
      <w:sz w:val="23"/>
      <w:szCs w:val="23"/>
      <w:lang w:val="es-MX" w:eastAsia="en-US"/>
    </w:rPr>
  </w:style>
  <w:style w:type="character" w:customStyle="1" w:styleId="TextoindependienteCar">
    <w:name w:val="Texto independiente Car"/>
    <w:basedOn w:val="Fuentedeprrafopredeter"/>
    <w:link w:val="Textoindependiente"/>
    <w:uiPriority w:val="1"/>
    <w:rsid w:val="008E7388"/>
    <w:rPr>
      <w:rFonts w:ascii="Palatino Linotype" w:eastAsia="Palatino Linotype" w:hAnsi="Palatino Linotype"/>
      <w:sz w:val="23"/>
      <w:szCs w:val="23"/>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ED682F"/>
    <w:rPr>
      <w:rFonts w:asciiTheme="minorHAnsi" w:eastAsiaTheme="minorHAnsi" w:hAnsiTheme="minorHAnsi" w:cstheme="minorBidi"/>
      <w:sz w:val="20"/>
      <w:szCs w:val="20"/>
      <w:lang w:val="es-MX"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ED682F"/>
    <w:rPr>
      <w:sz w:val="20"/>
      <w:szCs w:val="20"/>
    </w:rPr>
  </w:style>
  <w:style w:type="paragraph" w:customStyle="1" w:styleId="INFOEM">
    <w:name w:val="INFOEM"/>
    <w:basedOn w:val="Normal"/>
    <w:qFormat/>
    <w:rsid w:val="008324E8"/>
    <w:pPr>
      <w:spacing w:before="240" w:after="160" w:line="360" w:lineRule="auto"/>
      <w:ind w:left="851" w:right="851"/>
      <w:jc w:val="both"/>
    </w:pPr>
    <w:rPr>
      <w:rFonts w:ascii="Palatino Linotype" w:eastAsiaTheme="minorHAnsi" w:hAnsi="Palatino Linotype" w:cstheme="minorBidi"/>
      <w:i/>
      <w:color w:val="000000"/>
      <w:sz w:val="22"/>
      <w:szCs w:val="14"/>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459525">
      <w:bodyDiv w:val="1"/>
      <w:marLeft w:val="0"/>
      <w:marRight w:val="0"/>
      <w:marTop w:val="0"/>
      <w:marBottom w:val="0"/>
      <w:divBdr>
        <w:top w:val="none" w:sz="0" w:space="0" w:color="auto"/>
        <w:left w:val="none" w:sz="0" w:space="0" w:color="auto"/>
        <w:bottom w:val="none" w:sz="0" w:space="0" w:color="auto"/>
        <w:right w:val="none" w:sz="0" w:space="0" w:color="auto"/>
      </w:divBdr>
    </w:div>
    <w:div w:id="743573303">
      <w:bodyDiv w:val="1"/>
      <w:marLeft w:val="0"/>
      <w:marRight w:val="0"/>
      <w:marTop w:val="0"/>
      <w:marBottom w:val="0"/>
      <w:divBdr>
        <w:top w:val="none" w:sz="0" w:space="0" w:color="auto"/>
        <w:left w:val="none" w:sz="0" w:space="0" w:color="auto"/>
        <w:bottom w:val="none" w:sz="0" w:space="0" w:color="auto"/>
        <w:right w:val="none" w:sz="0" w:space="0" w:color="auto"/>
      </w:divBdr>
    </w:div>
    <w:div w:id="1522085308">
      <w:bodyDiv w:val="1"/>
      <w:marLeft w:val="0"/>
      <w:marRight w:val="0"/>
      <w:marTop w:val="0"/>
      <w:marBottom w:val="0"/>
      <w:divBdr>
        <w:top w:val="none" w:sz="0" w:space="0" w:color="auto"/>
        <w:left w:val="none" w:sz="0" w:space="0" w:color="auto"/>
        <w:bottom w:val="none" w:sz="0" w:space="0" w:color="auto"/>
        <w:right w:val="none" w:sz="0" w:space="0" w:color="auto"/>
      </w:divBdr>
    </w:div>
    <w:div w:id="166586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rcoem.org.mx/sarcoem/guias.html"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sarcoem.org.mx/sarcoem/ciudadano/login.pag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23</Pages>
  <Words>5000</Words>
  <Characters>27505</Characters>
  <Application>Microsoft Office Word</Application>
  <DocSecurity>0</DocSecurity>
  <Lines>229</Lines>
  <Paragraphs>64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32441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INFOEM413</dc:creator>
  <cp:keywords/>
  <dc:description/>
  <cp:lastModifiedBy>INFOEM557</cp:lastModifiedBy>
  <cp:revision>15</cp:revision>
  <cp:lastPrinted>2026-06-05T16:33:00Z</cp:lastPrinted>
  <dcterms:created xsi:type="dcterms:W3CDTF">2026-05-13T17:44:00Z</dcterms:created>
  <dcterms:modified xsi:type="dcterms:W3CDTF">2026-06-09T18:25:00Z</dcterms:modified>
</cp:coreProperties>
</file>