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0BF" w:rsidRDefault="0058428F">
      <w:pPr>
        <w:tabs>
          <w:tab w:val="left" w:pos="3465"/>
        </w:tabs>
        <w:spacing w:line="360" w:lineRule="auto"/>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w:t>
      </w:r>
      <w:r w:rsidR="00A56AD4">
        <w:rPr>
          <w:rFonts w:ascii="Palatino Linotype" w:eastAsia="Palatino Linotype" w:hAnsi="Palatino Linotype" w:cs="Palatino Linotype"/>
          <w:sz w:val="24"/>
          <w:szCs w:val="24"/>
        </w:rPr>
        <w:t xml:space="preserve"> fecha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veintiuno</w:t>
      </w:r>
      <w:r w:rsidR="00A56AD4">
        <w:rPr>
          <w:rFonts w:ascii="Palatino Linotype" w:eastAsia="Palatino Linotype" w:hAnsi="Palatino Linotype" w:cs="Palatino Linotype"/>
          <w:b/>
          <w:bCs/>
          <w:sz w:val="24"/>
          <w:szCs w:val="24"/>
        </w:rPr>
        <w:t xml:space="preserve"> (21)</w:t>
      </w:r>
      <w:r>
        <w:rPr>
          <w:rFonts w:ascii="Palatino Linotype" w:eastAsia="Palatino Linotype" w:hAnsi="Palatino Linotype" w:cs="Palatino Linotype"/>
          <w:b/>
          <w:bCs/>
          <w:sz w:val="24"/>
          <w:szCs w:val="24"/>
        </w:rPr>
        <w:t xml:space="preserve"> de enero de dos mil veintiséis.</w:t>
      </w:r>
    </w:p>
    <w:p w:rsidR="00A56AD4" w:rsidRDefault="00A56AD4">
      <w:pPr>
        <w:tabs>
          <w:tab w:val="left" w:pos="3465"/>
        </w:tabs>
        <w:spacing w:line="360" w:lineRule="auto"/>
        <w:jc w:val="both"/>
        <w:rPr>
          <w:rFonts w:ascii="Palatino Linotype" w:eastAsia="Palatino Linotype" w:hAnsi="Palatino Linotype" w:cs="Palatino Linotype"/>
          <w:b/>
          <w:bCs/>
          <w:sz w:val="24"/>
          <w:szCs w:val="24"/>
        </w:rPr>
      </w:pPr>
    </w:p>
    <w:p w:rsidR="009450BF" w:rsidRDefault="0058428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VISTO</w:t>
      </w:r>
      <w:r>
        <w:rPr>
          <w:rFonts w:ascii="Palatino Linotype" w:eastAsia="Palatino Linotype" w:hAnsi="Palatino Linotype" w:cs="Palatino Linotype"/>
          <w:sz w:val="24"/>
          <w:szCs w:val="24"/>
        </w:rPr>
        <w:t xml:space="preserve"> el expediente electrónico formado con motivo del recurso de revisión </w:t>
      </w:r>
      <w:r>
        <w:rPr>
          <w:rFonts w:ascii="Palatino Linotype" w:eastAsia="Palatino Linotype" w:hAnsi="Palatino Linotype" w:cs="Palatino Linotype"/>
          <w:b/>
          <w:bCs/>
          <w:sz w:val="24"/>
          <w:szCs w:val="24"/>
        </w:rPr>
        <w:t xml:space="preserve">  07683/INFOEM/IP/RR/2025</w:t>
      </w:r>
      <w:r>
        <w:rPr>
          <w:rFonts w:ascii="Palatino Linotype" w:eastAsia="Palatino Linotype" w:hAnsi="Palatino Linotype" w:cs="Palatino Linotype"/>
          <w:sz w:val="24"/>
          <w:szCs w:val="24"/>
        </w:rPr>
        <w:t>,</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sz w:val="24"/>
          <w:szCs w:val="24"/>
        </w:rPr>
        <w:t xml:space="preserve">promovido por </w:t>
      </w:r>
      <w:r w:rsidR="00806A45">
        <w:rPr>
          <w:rFonts w:ascii="Palatino Linotype" w:eastAsia="Palatino Linotype" w:hAnsi="Palatino Linotype" w:cs="Palatino Linotype"/>
          <w:b/>
          <w:bCs/>
          <w:sz w:val="24"/>
          <w:szCs w:val="24"/>
        </w:rPr>
        <w:t>XXXX</w:t>
      </w:r>
      <w:r>
        <w:rPr>
          <w:rFonts w:ascii="Palatino Linotype" w:eastAsia="Palatino Linotype" w:hAnsi="Palatino Linotype" w:cs="Palatino Linotype"/>
          <w:b/>
          <w:bCs/>
          <w:sz w:val="24"/>
          <w:szCs w:val="24"/>
        </w:rPr>
        <w:t>,</w:t>
      </w:r>
      <w:r>
        <w:rPr>
          <w:rFonts w:ascii="Palatino Linotype" w:eastAsia="Palatino Linotype" w:hAnsi="Palatino Linotype" w:cs="Palatino Linotype"/>
          <w:sz w:val="24"/>
          <w:szCs w:val="24"/>
        </w:rPr>
        <w:t xml:space="preserve"> a quien en lo sucesivo se le identificará como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bCs/>
          <w:sz w:val="24"/>
          <w:szCs w:val="24"/>
        </w:rPr>
        <w:t xml:space="preserve">Ayuntamiento de Atizapán de Zaragoza, </w:t>
      </w:r>
      <w:r>
        <w:rPr>
          <w:rFonts w:ascii="Palatino Linotype" w:eastAsia="Palatino Linotype" w:hAnsi="Palatino Linotype" w:cs="Palatino Linotype"/>
          <w:sz w:val="24"/>
          <w:szCs w:val="24"/>
        </w:rPr>
        <w:t xml:space="preserve">en </w:t>
      </w:r>
      <w:r w:rsidR="00A56AD4">
        <w:rPr>
          <w:rFonts w:ascii="Palatino Linotype" w:eastAsia="Palatino Linotype" w:hAnsi="Palatino Linotype" w:cs="Palatino Linotype"/>
          <w:sz w:val="24"/>
          <w:szCs w:val="24"/>
        </w:rPr>
        <w:t>adelante</w:t>
      </w:r>
      <w:r>
        <w:rPr>
          <w:rFonts w:ascii="Palatino Linotype" w:eastAsia="Palatino Linotype" w:hAnsi="Palatino Linotype" w:cs="Palatino Linotype"/>
          <w:sz w:val="24"/>
          <w:szCs w:val="24"/>
        </w:rPr>
        <w:t xml:space="preserve"> 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se procede a dictar la presente resolución, con base en los siguientes:</w:t>
      </w:r>
      <w:bookmarkStart w:id="0" w:name="_GoBack"/>
      <w:bookmarkEnd w:id="0"/>
    </w:p>
    <w:p w:rsidR="009450BF" w:rsidRDefault="009450BF">
      <w:pPr>
        <w:spacing w:line="360" w:lineRule="auto"/>
        <w:jc w:val="both"/>
        <w:rPr>
          <w:rFonts w:ascii="Palatino Linotype" w:eastAsia="Palatino Linotype" w:hAnsi="Palatino Linotype" w:cs="Palatino Linotype"/>
          <w:b/>
          <w:bCs/>
          <w:sz w:val="24"/>
          <w:szCs w:val="24"/>
        </w:rPr>
      </w:pPr>
    </w:p>
    <w:p w:rsidR="009450BF" w:rsidRDefault="0058428F">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k5tjtga1gtwn" w:colFirst="0" w:colLast="0"/>
      <w:bookmarkEnd w:id="1"/>
      <w:r>
        <w:rPr>
          <w:rFonts w:ascii="Palatino Linotype" w:eastAsia="Palatino Linotype" w:hAnsi="Palatino Linotype" w:cs="Palatino Linotype"/>
          <w:b/>
          <w:bCs/>
          <w:color w:val="000000"/>
          <w:sz w:val="24"/>
          <w:szCs w:val="24"/>
        </w:rPr>
        <w:t>A</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C</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S</w:t>
      </w:r>
    </w:p>
    <w:p w:rsidR="00A56AD4" w:rsidRPr="00A56AD4" w:rsidRDefault="00A56AD4" w:rsidP="00A56AD4"/>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b/>
          <w:bCs/>
          <w:color w:val="000000"/>
          <w:sz w:val="24"/>
          <w:szCs w:val="24"/>
        </w:rPr>
        <w:t xml:space="preserve"> veintiocho de mayo de dos mil veinticinco, </w:t>
      </w:r>
      <w:r>
        <w:rPr>
          <w:rFonts w:ascii="Palatino Linotype" w:eastAsia="Palatino Linotype" w:hAnsi="Palatino Linotype" w:cs="Palatino Linotype"/>
          <w:color w:val="000000"/>
          <w:sz w:val="24"/>
          <w:szCs w:val="24"/>
        </w:rPr>
        <w:t xml:space="preserve">se presentó ante 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a través del SAIMEX, la solicitud de información pública registrada con el número</w:t>
      </w:r>
      <w:r>
        <w:rPr>
          <w:rFonts w:ascii="Palatino Linotype" w:eastAsia="Palatino Linotype" w:hAnsi="Palatino Linotype" w:cs="Palatino Linotype"/>
          <w:b/>
          <w:bCs/>
          <w:color w:val="000000"/>
          <w:sz w:val="24"/>
          <w:szCs w:val="24"/>
        </w:rPr>
        <w:t xml:space="preserve">  00348/ATIZARA/IP/2025; </w:t>
      </w:r>
      <w:r w:rsidR="00A56AD4">
        <w:rPr>
          <w:rFonts w:ascii="Palatino Linotype" w:eastAsia="Palatino Linotype" w:hAnsi="Palatino Linotype" w:cs="Palatino Linotype"/>
          <w:color w:val="000000"/>
          <w:sz w:val="24"/>
          <w:szCs w:val="24"/>
        </w:rPr>
        <w:t>en la que</w:t>
      </w:r>
      <w:r>
        <w:rPr>
          <w:rFonts w:ascii="Palatino Linotype" w:eastAsia="Palatino Linotype" w:hAnsi="Palatino Linotype" w:cs="Palatino Linotype"/>
          <w:color w:val="000000"/>
          <w:sz w:val="24"/>
          <w:szCs w:val="24"/>
        </w:rPr>
        <w:t xml:space="preserve"> se solicitó la siguiente información:</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50BF" w:rsidRDefault="0058428F">
      <w:pPr>
        <w:pBdr>
          <w:top w:val="nil"/>
          <w:left w:val="nil"/>
          <w:bottom w:val="nil"/>
          <w:right w:val="nil"/>
          <w:between w:val="nil"/>
        </w:pBdr>
        <w:spacing w:after="0" w:line="360" w:lineRule="auto"/>
        <w:ind w:left="709" w:right="476"/>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“Todos los oficios recibidos por la Dirección de Administración durante el mes de abril 2025 con anexos” (Sic)</w:t>
      </w:r>
    </w:p>
    <w:p w:rsidR="009450BF" w:rsidRDefault="009450BF">
      <w:pPr>
        <w:pBdr>
          <w:top w:val="nil"/>
          <w:left w:val="nil"/>
          <w:bottom w:val="nil"/>
          <w:right w:val="nil"/>
          <w:between w:val="nil"/>
        </w:pBdr>
        <w:spacing w:after="0" w:line="360" w:lineRule="auto"/>
        <w:ind w:left="851" w:right="34"/>
        <w:jc w:val="both"/>
        <w:rPr>
          <w:rFonts w:ascii="Palatino Linotype" w:eastAsia="Palatino Linotype" w:hAnsi="Palatino Linotype" w:cs="Palatino Linotype"/>
          <w:color w:val="000000"/>
          <w:sz w:val="24"/>
          <w:szCs w:val="24"/>
        </w:rPr>
      </w:pPr>
    </w:p>
    <w:p w:rsidR="009450BF" w:rsidRDefault="0058428F">
      <w:pPr>
        <w:numPr>
          <w:ilvl w:val="0"/>
          <w:numId w:val="3"/>
        </w:num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eligió como modalidad de entrega de la información: A través del </w:t>
      </w:r>
      <w:r>
        <w:rPr>
          <w:rFonts w:ascii="Palatino Linotype" w:eastAsia="Palatino Linotype" w:hAnsi="Palatino Linotype" w:cs="Palatino Linotype"/>
          <w:b/>
          <w:bCs/>
          <w:color w:val="000000"/>
          <w:sz w:val="24"/>
          <w:szCs w:val="24"/>
        </w:rPr>
        <w:t>SAIMEX.</w:t>
      </w:r>
    </w:p>
    <w:p w:rsidR="009450BF" w:rsidRDefault="009450BF">
      <w:p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p>
    <w:p w:rsidR="009450BF" w:rsidRDefault="009450BF">
      <w:pPr>
        <w:rPr>
          <w:rFonts w:ascii="Palatino Linotype" w:eastAsia="Palatino Linotype" w:hAnsi="Palatino Linotype" w:cs="Palatino Linotype"/>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El </w:t>
      </w:r>
      <w:r>
        <w:rPr>
          <w:rFonts w:ascii="Palatino Linotype" w:eastAsia="Palatino Linotype" w:hAnsi="Palatino Linotype" w:cs="Palatino Linotype"/>
          <w:b/>
          <w:bCs/>
          <w:color w:val="000000"/>
          <w:sz w:val="24"/>
          <w:szCs w:val="24"/>
        </w:rPr>
        <w:t xml:space="preserve">dieciocho de junio de dos mil veinticinco,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 xml:space="preserve">SUJETO OBLIGADO, </w:t>
      </w:r>
      <w:r>
        <w:rPr>
          <w:rFonts w:ascii="Palatino Linotype" w:eastAsia="Palatino Linotype" w:hAnsi="Palatino Linotype" w:cs="Palatino Linotype"/>
          <w:color w:val="000000"/>
          <w:sz w:val="24"/>
          <w:szCs w:val="24"/>
        </w:rPr>
        <w:t>dio respuesta de la siguiente manera:</w:t>
      </w:r>
    </w:p>
    <w:p w:rsidR="009450BF" w:rsidRDefault="0058428F">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 xml:space="preserve">348.pdf: </w:t>
      </w:r>
      <w:r>
        <w:rPr>
          <w:rFonts w:ascii="Palatino Linotype" w:eastAsia="Palatino Linotype" w:hAnsi="Palatino Linotype" w:cs="Palatino Linotype"/>
          <w:color w:val="000000"/>
          <w:sz w:val="24"/>
          <w:szCs w:val="24"/>
        </w:rPr>
        <w:t>Oficio firmado por el Director de Administración, por el que se informó lo siguiente:</w:t>
      </w:r>
    </w:p>
    <w:p w:rsidR="009450BF" w:rsidRPr="006E22DA" w:rsidRDefault="0058428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color w:val="000000"/>
          <w:sz w:val="24"/>
          <w:szCs w:val="24"/>
        </w:rPr>
        <w:t>Se propuso el cambio de modalidad ya que los oficios ascienden a un peso aproximado de 3,818.62 MB.</w:t>
      </w:r>
    </w:p>
    <w:p w:rsidR="006E22DA" w:rsidRDefault="006E22DA" w:rsidP="006E22DA">
      <w:pPr>
        <w:pBdr>
          <w:top w:val="nil"/>
          <w:left w:val="nil"/>
          <w:bottom w:val="nil"/>
          <w:right w:val="nil"/>
          <w:between w:val="nil"/>
        </w:pBdr>
        <w:spacing w:after="0" w:line="360" w:lineRule="auto"/>
        <w:ind w:left="720"/>
        <w:jc w:val="both"/>
        <w:rPr>
          <w:rFonts w:ascii="Palatino Linotype" w:eastAsia="Palatino Linotype" w:hAnsi="Palatino Linotype" w:cs="Palatino Linotype"/>
          <w:b/>
          <w:bCs/>
          <w:i/>
          <w:iCs/>
          <w:color w:val="000000"/>
          <w:sz w:val="24"/>
          <w:szCs w:val="24"/>
        </w:rPr>
      </w:pP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Por lo anteriormente expuesto, se realizó la solicitud de cambio de modalidad para poner a disposición del solicitante en consulta directa la información correspondiente, esto ante el Instituto de Transparencia y Acceso a la Información Pública y Protección de Datos Personales del Estado de México y Municipios, quien a través de la Dirección General de Informática, dio contestación mediante oficio número INFOEM/DGI/534/2025, donde el C. Nelson Correa Peralta, confirma que tomando en consideración la recomendación de escaneo, lo cual aun así supera las capacidades técnicas del sistema SAIMEX, quedando registrada en bitácora la incidencia, (anexo al presente el documento en mención para mayor proveer).</w:t>
      </w:r>
    </w:p>
    <w:p w:rsidR="009450BF" w:rsidRDefault="0058428F">
      <w:pPr>
        <w:pBdr>
          <w:top w:val="nil"/>
          <w:left w:val="nil"/>
          <w:bottom w:val="nil"/>
          <w:right w:val="nil"/>
          <w:between w:val="nil"/>
        </w:pBdr>
        <w:spacing w:after="0"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Entregar la información implica un a</w:t>
      </w:r>
      <w:r>
        <w:rPr>
          <w:rFonts w:ascii="Palatino Linotype" w:eastAsia="Palatino Linotype" w:hAnsi="Palatino Linotype" w:cs="Palatino Linotype"/>
          <w:i/>
          <w:iCs/>
          <w:color w:val="000000"/>
          <w:sz w:val="24"/>
          <w:szCs w:val="24"/>
        </w:rPr>
        <w:t>nálisis, estudio o procedimiento de documentos que involucra destinar un número significativo de días, horas y personal exclusivo para atender dicho requerimiento, lo que impediría la realización de las demás actividades y atribuciones a cargo de ese Servidor Público Habilitado, dañando notoriamente el cumplimiento de las atribuciones, mencionando para ello que las capacidades técnicas, humanas y administrativas de esta Dependencia son limitadas…</w:t>
      </w:r>
    </w:p>
    <w:p w:rsidR="009450BF" w:rsidRDefault="009450BF">
      <w:pPr>
        <w:pBdr>
          <w:top w:val="nil"/>
          <w:left w:val="nil"/>
          <w:bottom w:val="nil"/>
          <w:right w:val="nil"/>
          <w:between w:val="nil"/>
        </w:pBdr>
        <w:spacing w:line="276" w:lineRule="auto"/>
        <w:jc w:val="both"/>
        <w:rPr>
          <w:rFonts w:ascii="Palatino Linotype" w:eastAsia="Palatino Linotype" w:hAnsi="Palatino Linotype" w:cs="Palatino Linotype"/>
        </w:rPr>
      </w:pP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La información solicitada contiene datos personales sensibles y se encuentran en expedientes físicos que no pueden digitalizarse sin comprometer la seguridad de la documentación por lo que el envío por correo electrónico podría implicar riesgos de vulneración de datos personales.</w:t>
      </w:r>
    </w:p>
    <w:p w:rsidR="009450BF" w:rsidRDefault="009450BF">
      <w:pPr>
        <w:pBdr>
          <w:top w:val="nil"/>
          <w:left w:val="nil"/>
          <w:bottom w:val="nil"/>
          <w:right w:val="nil"/>
          <w:between w:val="nil"/>
        </w:pBdr>
        <w:spacing w:line="276" w:lineRule="auto"/>
        <w:jc w:val="both"/>
        <w:rPr>
          <w:rFonts w:ascii="Palatino Linotype" w:eastAsia="Palatino Linotype" w:hAnsi="Palatino Linotype" w:cs="Palatino Linotype"/>
          <w:i/>
          <w:iCs/>
          <w:sz w:val="24"/>
          <w:szCs w:val="24"/>
        </w:rPr>
      </w:pP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propone como modalidad de entrega las siguientes modalidades:</w:t>
      </w:r>
    </w:p>
    <w:p w:rsidR="009450BF" w:rsidRDefault="009450B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1. </w:t>
      </w:r>
      <w:r>
        <w:rPr>
          <w:rFonts w:ascii="Palatino Linotype" w:eastAsia="Palatino Linotype" w:hAnsi="Palatino Linotype" w:cs="Palatino Linotype"/>
          <w:sz w:val="24"/>
          <w:szCs w:val="24"/>
          <w:u w:val="single"/>
        </w:rPr>
        <w:t>Consulta directa</w:t>
      </w:r>
      <w:r>
        <w:rPr>
          <w:rFonts w:ascii="Palatino Linotype" w:eastAsia="Palatino Linotype" w:hAnsi="Palatino Linotype" w:cs="Palatino Linotype"/>
          <w:sz w:val="24"/>
          <w:szCs w:val="24"/>
        </w:rPr>
        <w:t xml:space="preserve"> de la información en el domicilio de esta Dirección de Administración ubicada en Boulevard Adolfo López Mateas No. 91, Colonia El Potrero Atizapán de Zaragoza, Estado de México, de lunes a viernes en un horario de 9:00 a 17:30 horas, donde será atendido por el servidor público con cargo de Secretaria Técnica, Lic. Mariana Blanco Vargas, teléfono de oficina 553622 2700 extensión 2820 donde podrá agendar la cita correspondiente, precisando que los expedientes cuentan con datos personales por lo que, no podrán dejarse a la vista del solicitante (de acuerdo al acuerdo de clasificación correspondiente). </w:t>
      </w: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2. En caso de requerir </w:t>
      </w:r>
      <w:r>
        <w:rPr>
          <w:rFonts w:ascii="Palatino Linotype" w:eastAsia="Palatino Linotype" w:hAnsi="Palatino Linotype" w:cs="Palatino Linotype"/>
          <w:sz w:val="24"/>
          <w:szCs w:val="24"/>
          <w:u w:val="single"/>
        </w:rPr>
        <w:t>copias simples o certificadas</w:t>
      </w:r>
      <w:r>
        <w:rPr>
          <w:rFonts w:ascii="Palatino Linotype" w:eastAsia="Palatino Linotype" w:hAnsi="Palatino Linotype" w:cs="Palatino Linotype"/>
          <w:sz w:val="24"/>
          <w:szCs w:val="24"/>
        </w:rPr>
        <w:t xml:space="preserve">, se podrán expedir previo pago de los derechos correspondientes. </w:t>
      </w:r>
    </w:p>
    <w:p w:rsidR="009450BF" w:rsidRDefault="0058428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3. el En caso de que desee la reproducción en otros </w:t>
      </w:r>
      <w:r>
        <w:rPr>
          <w:rFonts w:ascii="Palatino Linotype" w:eastAsia="Palatino Linotype" w:hAnsi="Palatino Linotype" w:cs="Palatino Linotype"/>
          <w:sz w:val="24"/>
          <w:szCs w:val="24"/>
          <w:u w:val="single"/>
        </w:rPr>
        <w:t>medios electrónicos</w:t>
      </w:r>
      <w:r>
        <w:rPr>
          <w:rFonts w:ascii="Palatino Linotype" w:eastAsia="Palatino Linotype" w:hAnsi="Palatino Linotype" w:cs="Palatino Linotype"/>
          <w:sz w:val="24"/>
          <w:szCs w:val="24"/>
        </w:rPr>
        <w:t>, como USB o CD-ROM o memoria extraíble, le podrá ser entregada, previo pago de los derechos correspondientes o; en el caso de que dispositivo electrónico sea proporcionado por usted, la información se le será entregada sin costo. De igual manera, no omito reiterar que la información se encuentra disponible por esta Dirección de Administración por un plazo mínimo de sesenta (60) días hábiles, de acuerdo con lo señalado en el artículo 166 de la Ley de Transparencia y Acceso a la Información Pública del Estado de México y Municipios.</w:t>
      </w:r>
    </w:p>
    <w:p w:rsidR="009450BF" w:rsidRDefault="009450BF">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p>
    <w:p w:rsidR="009450BF" w:rsidRDefault="0058428F">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 xml:space="preserve">dict 348.pdf: </w:t>
      </w:r>
      <w:r>
        <w:rPr>
          <w:rFonts w:ascii="Palatino Linotype" w:eastAsia="Palatino Linotype" w:hAnsi="Palatino Linotype" w:cs="Palatino Linotype"/>
          <w:color w:val="000000"/>
          <w:sz w:val="24"/>
          <w:szCs w:val="24"/>
        </w:rPr>
        <w:t>Registro de incidencias firmado por el Director General de Informática, en donde se informó que</w:t>
      </w:r>
      <w:r>
        <w:rPr>
          <w:rFonts w:ascii="Palatino Linotype" w:eastAsia="Palatino Linotype" w:hAnsi="Palatino Linotype" w:cs="Palatino Linotype"/>
          <w:i/>
          <w:iCs/>
          <w:color w:val="000000"/>
          <w:sz w:val="24"/>
          <w:szCs w:val="24"/>
        </w:rPr>
        <w:t>: “dicha incidencia técnica ha quedado registrada en la bitácora de incidencias, toda vez que trata de subir un peso de 3,818.62MB, lo cual sobrepasa las capacidades técnicas del sistema Saimex.”</w:t>
      </w:r>
    </w:p>
    <w:p w:rsidR="009450BF" w:rsidRDefault="009450BF">
      <w:pPr>
        <w:pBdr>
          <w:top w:val="nil"/>
          <w:left w:val="nil"/>
          <w:bottom w:val="nil"/>
          <w:right w:val="nil"/>
          <w:between w:val="nil"/>
        </w:pBdr>
        <w:spacing w:after="0" w:line="360" w:lineRule="auto"/>
        <w:ind w:left="720"/>
        <w:jc w:val="both"/>
        <w:rPr>
          <w:rFonts w:ascii="Palatino Linotype" w:eastAsia="Palatino Linotype" w:hAnsi="Palatino Linotype" w:cs="Palatino Linotype"/>
          <w:b/>
          <w:bCs/>
          <w:i/>
          <w:iCs/>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 xml:space="preserve">Inconforme con lo anterior, el </w:t>
      </w:r>
      <w:r>
        <w:rPr>
          <w:rFonts w:ascii="Palatino Linotype" w:eastAsia="Palatino Linotype" w:hAnsi="Palatino Linotype" w:cs="Palatino Linotype"/>
          <w:b/>
          <w:bCs/>
          <w:color w:val="000000"/>
          <w:sz w:val="24"/>
          <w:szCs w:val="24"/>
        </w:rPr>
        <w:t>veinticuatro de junio de dos mil veinticinco</w:t>
      </w:r>
      <w:r>
        <w:rPr>
          <w:rFonts w:ascii="Palatino Linotype" w:eastAsia="Palatino Linotype" w:hAnsi="Palatino Linotype" w:cs="Palatino Linotype"/>
          <w:color w:val="000000"/>
          <w:sz w:val="24"/>
          <w:szCs w:val="24"/>
        </w:rPr>
        <w:t xml:space="preserve">, el hoy </w:t>
      </w:r>
      <w:r>
        <w:rPr>
          <w:rFonts w:ascii="Palatino Linotype" w:eastAsia="Palatino Linotype" w:hAnsi="Palatino Linotype" w:cs="Palatino Linotype"/>
          <w:b/>
          <w:bCs/>
          <w:color w:val="000000"/>
          <w:sz w:val="24"/>
          <w:szCs w:val="24"/>
        </w:rPr>
        <w:t xml:space="preserve">RECURRENTE, </w:t>
      </w:r>
      <w:r>
        <w:rPr>
          <w:rFonts w:ascii="Palatino Linotype" w:eastAsia="Palatino Linotype" w:hAnsi="Palatino Linotype" w:cs="Palatino Linotype"/>
          <w:color w:val="000000"/>
          <w:sz w:val="24"/>
          <w:szCs w:val="24"/>
        </w:rPr>
        <w:t xml:space="preserve">interpuso recurso de revisión en contra de la respuesta emitida por 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manifestando las siguientes razones o motivos de inconformidad:</w:t>
      </w:r>
    </w:p>
    <w:p w:rsidR="009450BF" w:rsidRDefault="009450BF">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i/>
          <w:iCs/>
          <w:color w:val="000000"/>
          <w:sz w:val="24"/>
          <w:szCs w:val="24"/>
        </w:rPr>
      </w:pPr>
    </w:p>
    <w:p w:rsidR="009450BF" w:rsidRDefault="00A56AD4">
      <w:pPr>
        <w:numPr>
          <w:ilvl w:val="0"/>
          <w:numId w:val="3"/>
        </w:numPr>
        <w:pBdr>
          <w:top w:val="nil"/>
          <w:left w:val="nil"/>
          <w:bottom w:val="nil"/>
          <w:right w:val="nil"/>
          <w:between w:val="nil"/>
        </w:pBdr>
        <w:spacing w:after="0" w:line="360" w:lineRule="auto"/>
        <w:ind w:left="709" w:right="333" w:hanging="142"/>
        <w:jc w:val="both"/>
        <w:rPr>
          <w:rFonts w:ascii="Palatino Linotype" w:eastAsia="Palatino Linotype" w:hAnsi="Palatino Linotype" w:cs="Palatino Linotype"/>
          <w:i/>
          <w:iCs/>
          <w:color w:val="000000"/>
          <w:sz w:val="24"/>
          <w:szCs w:val="24"/>
        </w:rPr>
      </w:pPr>
      <w:bookmarkStart w:id="2" w:name="_heading=h.sz4sngxvcrxd" w:colFirst="0" w:colLast="0"/>
      <w:bookmarkEnd w:id="2"/>
      <w:r>
        <w:rPr>
          <w:rFonts w:ascii="Palatino Linotype" w:eastAsia="Palatino Linotype" w:hAnsi="Palatino Linotype" w:cs="Palatino Linotype"/>
          <w:b/>
          <w:bCs/>
          <w:color w:val="000000"/>
          <w:sz w:val="24"/>
          <w:szCs w:val="24"/>
        </w:rPr>
        <w:lastRenderedPageBreak/>
        <w:t>ACTO IMPUGNADO</w:t>
      </w:r>
      <w:r w:rsidR="0058428F">
        <w:rPr>
          <w:rFonts w:ascii="Palatino Linotype" w:eastAsia="Palatino Linotype" w:hAnsi="Palatino Linotype" w:cs="Palatino Linotype"/>
          <w:b/>
          <w:bCs/>
          <w:color w:val="000000"/>
          <w:sz w:val="24"/>
          <w:szCs w:val="24"/>
        </w:rPr>
        <w:t xml:space="preserve">: </w:t>
      </w:r>
      <w:r w:rsidR="0058428F">
        <w:rPr>
          <w:rFonts w:ascii="Palatino Linotype" w:eastAsia="Palatino Linotype" w:hAnsi="Palatino Linotype" w:cs="Palatino Linotype"/>
          <w:i/>
          <w:iCs/>
          <w:color w:val="000000"/>
          <w:sz w:val="24"/>
          <w:szCs w:val="24"/>
        </w:rPr>
        <w:t>“La negativa en la entrega de la información”</w:t>
      </w:r>
    </w:p>
    <w:p w:rsidR="009450BF" w:rsidRDefault="009450BF">
      <w:pPr>
        <w:pBdr>
          <w:top w:val="nil"/>
          <w:left w:val="nil"/>
          <w:bottom w:val="nil"/>
          <w:right w:val="nil"/>
          <w:between w:val="nil"/>
        </w:pBdr>
        <w:spacing w:after="0" w:line="360" w:lineRule="auto"/>
        <w:ind w:left="709" w:right="333" w:hanging="142"/>
        <w:jc w:val="both"/>
        <w:rPr>
          <w:rFonts w:ascii="Palatino Linotype" w:eastAsia="Palatino Linotype" w:hAnsi="Palatino Linotype" w:cs="Palatino Linotype"/>
          <w:i/>
          <w:iCs/>
          <w:color w:val="000000"/>
          <w:sz w:val="24"/>
          <w:szCs w:val="24"/>
        </w:rPr>
      </w:pPr>
    </w:p>
    <w:p w:rsidR="009450BF" w:rsidRDefault="00A56AD4">
      <w:pPr>
        <w:numPr>
          <w:ilvl w:val="0"/>
          <w:numId w:val="3"/>
        </w:numPr>
        <w:pBdr>
          <w:top w:val="nil"/>
          <w:left w:val="nil"/>
          <w:bottom w:val="nil"/>
          <w:right w:val="nil"/>
          <w:between w:val="nil"/>
        </w:pBdr>
        <w:spacing w:after="0" w:line="360" w:lineRule="auto"/>
        <w:ind w:left="709" w:right="333" w:hanging="142"/>
        <w:jc w:val="both"/>
        <w:rPr>
          <w:rFonts w:ascii="Palatino Linotype" w:eastAsia="Palatino Linotype" w:hAnsi="Palatino Linotype" w:cs="Palatino Linotype"/>
          <w:i/>
          <w:iCs/>
          <w:color w:val="000000"/>
          <w:sz w:val="24"/>
          <w:szCs w:val="24"/>
        </w:rPr>
      </w:pPr>
      <w:bookmarkStart w:id="3" w:name="_heading=h.q4ny55z1g6bu" w:colFirst="0" w:colLast="0"/>
      <w:bookmarkEnd w:id="3"/>
      <w:r>
        <w:rPr>
          <w:rFonts w:ascii="Palatino Linotype" w:eastAsia="Palatino Linotype" w:hAnsi="Palatino Linotype" w:cs="Palatino Linotype"/>
          <w:b/>
          <w:bCs/>
          <w:color w:val="000000"/>
          <w:sz w:val="24"/>
          <w:szCs w:val="24"/>
        </w:rPr>
        <w:t>RAZONES O MOTIVOS DE INCONFORMIDAD</w:t>
      </w:r>
      <w:r w:rsidR="0058428F">
        <w:rPr>
          <w:rFonts w:ascii="Palatino Linotype" w:eastAsia="Palatino Linotype" w:hAnsi="Palatino Linotype" w:cs="Palatino Linotype"/>
          <w:b/>
          <w:bCs/>
          <w:color w:val="000000"/>
          <w:sz w:val="24"/>
          <w:szCs w:val="24"/>
        </w:rPr>
        <w:t>: “</w:t>
      </w:r>
      <w:r w:rsidR="0058428F">
        <w:rPr>
          <w:rFonts w:ascii="Palatino Linotype" w:eastAsia="Palatino Linotype" w:hAnsi="Palatino Linotype" w:cs="Palatino Linotype"/>
          <w:i/>
          <w:iCs/>
          <w:color w:val="000000"/>
          <w:sz w:val="24"/>
          <w:szCs w:val="24"/>
        </w:rPr>
        <w:t>La falsa premisa de cambio de modalidad por cuestiones de peso, 1,500 fojas no pesan 3.8 GB, además se contradicen en su escrito al manifestar que no se digitaliza todos los expedientes físicos por contener datos personales sensibles entones como pueden saber que son 1500 fojas y pesan 3.8 GB, (cosa que resulta falsa ya que todo documento debe digitalizarse de acuerdo a la ley de archivo y a efectos de realizar el cambio de modalidad dicha información ya debe estar debidamente testada y acompañada de su acuerdo de clasificación correspondiente el cual no se anexa), por lo que se entiende que ya cuenta con la información solicitada en versión digital, solo están incrementando el peso para justificar el cambio de modalidad, sumado a que comentan que solo tienen un multifuncional, el cual debe ser perfectamente capaz de procesar las 1,500 fojas sin problemas, sumado a todas las excusas, al momento de cuantificar el costo de reproducción hablan de 9,600 fojas para poder suprimir datos personales, dejando en evidencia que únicamente se inventan números e inflan cifras a efectos de poder sustentar un cambio de modalidad que por el acumulado de hojas no es procedente, ni escaneando a máxima calidad se llegarían a los GB mencionados, además de que se esperan hasta el día 15 para informar el cambio de modalidad el cual ni siquiera está respaldado por el comité de transparencia y no cuenta con acuerdo de clasificación, quedando evidenciado la falta de profesionalismo, e incompetencia del personal que interviene en la contestación de las solicitudes de información y la rotunda negativa al acceso a la información pública</w:t>
      </w:r>
      <w:r w:rsidR="0058428F">
        <w:rPr>
          <w:rFonts w:ascii="Palatino Linotype" w:eastAsia="Palatino Linotype" w:hAnsi="Palatino Linotype" w:cs="Palatino Linotype"/>
          <w:color w:val="000000"/>
          <w:sz w:val="24"/>
          <w:szCs w:val="24"/>
        </w:rPr>
        <w:t>”</w:t>
      </w:r>
    </w:p>
    <w:p w:rsidR="009450BF" w:rsidRDefault="009450BF">
      <w:pPr>
        <w:spacing w:line="360" w:lineRule="auto"/>
        <w:jc w:val="both"/>
        <w:rPr>
          <w:rFonts w:ascii="Palatino Linotype" w:eastAsia="Palatino Linotype" w:hAnsi="Palatino Linotype" w:cs="Palatino Linotype"/>
          <w:i/>
          <w:iCs/>
          <w:color w:val="000000"/>
          <w:sz w:val="24"/>
          <w:szCs w:val="24"/>
        </w:rPr>
      </w:pPr>
    </w:p>
    <w:p w:rsidR="009450BF" w:rsidRDefault="00A56AD4">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La Comisionada p</w:t>
      </w:r>
      <w:r w:rsidR="0058428F">
        <w:rPr>
          <w:rFonts w:ascii="Palatino Linotype" w:eastAsia="Palatino Linotype" w:hAnsi="Palatino Linotype" w:cs="Palatino Linotype"/>
          <w:color w:val="000000"/>
          <w:sz w:val="24"/>
          <w:szCs w:val="24"/>
        </w:rPr>
        <w:t xml:space="preserve">onente con fundamento en lo dispuesto por el artículo 185 fracción II de la ley de la materia, a través del acuerdo de admisión notificado el </w:t>
      </w:r>
      <w:r w:rsidR="0058428F">
        <w:rPr>
          <w:rFonts w:ascii="Palatino Linotype" w:eastAsia="Palatino Linotype" w:hAnsi="Palatino Linotype" w:cs="Palatino Linotype"/>
          <w:b/>
          <w:bCs/>
          <w:color w:val="000000"/>
          <w:sz w:val="24"/>
          <w:szCs w:val="24"/>
        </w:rPr>
        <w:t xml:space="preserve">primero de julio de </w:t>
      </w:r>
      <w:r w:rsidR="0058428F">
        <w:rPr>
          <w:rFonts w:ascii="Palatino Linotype" w:eastAsia="Palatino Linotype" w:hAnsi="Palatino Linotype" w:cs="Palatino Linotype"/>
          <w:b/>
          <w:bCs/>
          <w:color w:val="000000"/>
          <w:sz w:val="24"/>
          <w:szCs w:val="24"/>
        </w:rPr>
        <w:lastRenderedPageBreak/>
        <w:t>dos mil veinticinco</w:t>
      </w:r>
      <w:r w:rsidR="0058428F">
        <w:rPr>
          <w:rFonts w:ascii="Palatino Linotype" w:eastAsia="Palatino Linotype" w:hAnsi="Palatino Linotype" w:cs="Palatino Linotype"/>
          <w:color w:val="000000"/>
          <w:sz w:val="24"/>
          <w:szCs w:val="24"/>
        </w:rPr>
        <w:t xml:space="preserve">, puso a disposición de las partes el expediente electrónico vía </w:t>
      </w:r>
      <w:r w:rsidR="0058428F">
        <w:rPr>
          <w:rFonts w:ascii="Palatino Linotype" w:eastAsia="Palatino Linotype" w:hAnsi="Palatino Linotype" w:cs="Palatino Linotype"/>
          <w:b/>
          <w:bCs/>
          <w:color w:val="000000"/>
          <w:sz w:val="24"/>
          <w:szCs w:val="24"/>
        </w:rPr>
        <w:t xml:space="preserve">SAIMEX </w:t>
      </w:r>
      <w:r w:rsidR="0058428F">
        <w:rPr>
          <w:rFonts w:ascii="Palatino Linotype" w:eastAsia="Palatino Linotype" w:hAnsi="Palatino Linotype" w:cs="Palatino Linotype"/>
          <w:color w:val="000000"/>
          <w:sz w:val="24"/>
          <w:szCs w:val="24"/>
        </w:rPr>
        <w:t xml:space="preserve">a efecto de que en un plazo máximo de siete días manifestaran lo que a su derecho conviniera, ofrecieran pruebas y alegatos según corresponda a los casos concretos, y el </w:t>
      </w:r>
      <w:r w:rsidR="0058428F">
        <w:rPr>
          <w:rFonts w:ascii="Palatino Linotype" w:eastAsia="Palatino Linotype" w:hAnsi="Palatino Linotype" w:cs="Palatino Linotype"/>
          <w:b/>
          <w:bCs/>
          <w:color w:val="000000"/>
          <w:sz w:val="24"/>
          <w:szCs w:val="24"/>
        </w:rPr>
        <w:t>SUJETO OBLIGADO</w:t>
      </w:r>
      <w:r w:rsidR="0058428F">
        <w:rPr>
          <w:rFonts w:ascii="Palatino Linotype" w:eastAsia="Palatino Linotype" w:hAnsi="Palatino Linotype" w:cs="Palatino Linotype"/>
          <w:color w:val="000000"/>
          <w:sz w:val="24"/>
          <w:szCs w:val="24"/>
        </w:rPr>
        <w:t xml:space="preserve"> presentará el Informe Justificado procedente.</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i/>
          <w:iCs/>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 xml:space="preserve">PARTICULAR </w:t>
      </w:r>
      <w:r>
        <w:rPr>
          <w:rFonts w:ascii="Palatino Linotype" w:eastAsia="Palatino Linotype" w:hAnsi="Palatino Linotype" w:cs="Palatino Linotype"/>
          <w:color w:val="000000"/>
          <w:sz w:val="24"/>
          <w:szCs w:val="24"/>
        </w:rPr>
        <w:t>fue omisos en realizar manifestación alguna que a su derecho conviniera y asistiera.</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 xml:space="preserve">SUJETO OBLIGADO, </w:t>
      </w:r>
      <w:r>
        <w:rPr>
          <w:rFonts w:ascii="Palatino Linotype" w:eastAsia="Palatino Linotype" w:hAnsi="Palatino Linotype" w:cs="Palatino Linotype"/>
          <w:color w:val="000000"/>
          <w:sz w:val="24"/>
          <w:szCs w:val="24"/>
        </w:rPr>
        <w:t>el tres de julio de dos mil veinticinco, rindió el Informe Justificado correspondiente a través de los archivos siguientes:</w:t>
      </w:r>
    </w:p>
    <w:p w:rsidR="009450BF" w:rsidRDefault="0058428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[Untitled]_2025070314394769.pdf</w:t>
      </w:r>
      <w:r>
        <w:rPr>
          <w:rFonts w:ascii="Palatino Linotype" w:eastAsia="Palatino Linotype" w:hAnsi="Palatino Linotype" w:cs="Palatino Linotype"/>
          <w:b/>
          <w:bCs/>
          <w:i/>
          <w:iCs/>
          <w:color w:val="000000"/>
          <w:sz w:val="24"/>
          <w:szCs w:val="24"/>
        </w:rPr>
        <w:tab/>
        <w:t xml:space="preserve"> : </w:t>
      </w:r>
      <w:r>
        <w:rPr>
          <w:rFonts w:ascii="Palatino Linotype" w:eastAsia="Palatino Linotype" w:hAnsi="Palatino Linotype" w:cs="Palatino Linotype"/>
          <w:color w:val="000000"/>
          <w:sz w:val="24"/>
          <w:szCs w:val="24"/>
        </w:rPr>
        <w:t>Oficio firmado por el Director de Administración remitido en respuesta.</w:t>
      </w:r>
    </w:p>
    <w:p w:rsidR="009450BF" w:rsidRDefault="0058428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[Untitled]_2025070314523433.pdf</w:t>
      </w:r>
      <w:r>
        <w:rPr>
          <w:rFonts w:ascii="Palatino Linotype" w:eastAsia="Palatino Linotype" w:hAnsi="Palatino Linotype" w:cs="Palatino Linotype"/>
          <w:b/>
          <w:bCs/>
          <w:i/>
          <w:iCs/>
          <w:color w:val="000000"/>
          <w:sz w:val="24"/>
          <w:szCs w:val="24"/>
        </w:rPr>
        <w:tab/>
        <w:t xml:space="preserve">: </w:t>
      </w:r>
      <w:r>
        <w:rPr>
          <w:rFonts w:ascii="Palatino Linotype" w:eastAsia="Palatino Linotype" w:hAnsi="Palatino Linotype" w:cs="Palatino Linotype"/>
          <w:color w:val="000000"/>
          <w:sz w:val="24"/>
          <w:szCs w:val="24"/>
        </w:rPr>
        <w:t xml:space="preserve">Oficio firmado por el Titular de la Unidad de Transparencia, por el que le solicita al Director de Administración, de atención al recurso de revisión que nos ocupa. </w:t>
      </w:r>
    </w:p>
    <w:p w:rsidR="009450BF" w:rsidRDefault="0058428F">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 xml:space="preserve">AACUERDO 07-12.pdf: </w:t>
      </w:r>
      <w:r>
        <w:rPr>
          <w:rFonts w:ascii="Palatino Linotype" w:eastAsia="Palatino Linotype" w:hAnsi="Palatino Linotype" w:cs="Palatino Linotype"/>
          <w:color w:val="000000"/>
          <w:sz w:val="24"/>
          <w:szCs w:val="24"/>
        </w:rPr>
        <w:t>Acuerdo de clasificación de la información como confidencial respecto de los datos contenidos en los oficios solicitados.</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bookmarkStart w:id="4" w:name="_heading=h.jnpr9qdalaue" w:colFirst="0" w:colLast="0"/>
      <w:bookmarkEnd w:id="4"/>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 xml:space="preserve">doce de enero de dos mil veintiséis, </w:t>
      </w:r>
      <w:r>
        <w:rPr>
          <w:rFonts w:ascii="Palatino Linotype" w:eastAsia="Palatino Linotype" w:hAnsi="Palatino Linotype" w:cs="Palatino Linotype"/>
          <w:color w:val="000000"/>
          <w:sz w:val="24"/>
          <w:szCs w:val="24"/>
        </w:rPr>
        <w:t>se notificó el acuerdo de ampliación para resolver el recurso de revisión que nos ocupa.</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color w:val="000000"/>
          <w:sz w:val="24"/>
          <w:szCs w:val="24"/>
        </w:rPr>
        <w:t xml:space="preserve">Finalmente, mediante acuerdo de </w:t>
      </w:r>
      <w:r>
        <w:rPr>
          <w:rFonts w:ascii="Palatino Linotype" w:eastAsia="Palatino Linotype" w:hAnsi="Palatino Linotype" w:cs="Palatino Linotype"/>
          <w:b/>
          <w:bCs/>
          <w:color w:val="000000"/>
          <w:sz w:val="24"/>
          <w:szCs w:val="24"/>
        </w:rPr>
        <w:t xml:space="preserve">veintiuno de enero de dos mil veintiséis, </w:t>
      </w:r>
      <w:r>
        <w:rPr>
          <w:rFonts w:ascii="Palatino Linotype" w:eastAsia="Palatino Linotype" w:hAnsi="Palatino Linotype" w:cs="Palatino Linotype"/>
          <w:color w:val="000000"/>
          <w:sz w:val="24"/>
          <w:szCs w:val="24"/>
        </w:rPr>
        <w:t>se  decretó el cierre de instrucción, por lo que no habiendo más que hacer constar, y-</w:t>
      </w:r>
      <w:r w:rsidR="00A56AD4">
        <w:rPr>
          <w:rFonts w:ascii="Palatino Linotype" w:eastAsia="Palatino Linotype" w:hAnsi="Palatino Linotype" w:cs="Palatino Linotype"/>
          <w:color w:val="000000"/>
          <w:sz w:val="24"/>
          <w:szCs w:val="24"/>
        </w:rPr>
        <w:t>-------------------------</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9450BF" w:rsidRDefault="0058428F">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lastRenderedPageBreak/>
        <w:t>C</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O</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S</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I</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R</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A</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A56AD4">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O</w:t>
      </w:r>
    </w:p>
    <w:p w:rsidR="009450BF" w:rsidRDefault="009450BF">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p>
    <w:p w:rsidR="009450BF" w:rsidRDefault="0058428F">
      <w:pPr>
        <w:pStyle w:val="Ttulo2"/>
        <w:spacing w:before="0" w:line="360" w:lineRule="auto"/>
        <w:rPr>
          <w:rFonts w:ascii="Palatino Linotype" w:eastAsia="Palatino Linotype" w:hAnsi="Palatino Linotype" w:cs="Palatino Linotype"/>
          <w:b/>
          <w:bCs/>
          <w:color w:val="000000"/>
          <w:sz w:val="24"/>
          <w:szCs w:val="24"/>
        </w:rPr>
      </w:pPr>
      <w:bookmarkStart w:id="5" w:name="_heading=h.qvthlr518szq" w:colFirst="0" w:colLast="0"/>
      <w:bookmarkEnd w:id="5"/>
      <w:r>
        <w:rPr>
          <w:rFonts w:ascii="Palatino Linotype" w:eastAsia="Palatino Linotype" w:hAnsi="Palatino Linotype" w:cs="Palatino Linotype"/>
          <w:b/>
          <w:bCs/>
          <w:color w:val="000000"/>
          <w:sz w:val="24"/>
          <w:szCs w:val="24"/>
        </w:rPr>
        <w:t>PRIMERO. De la competencia</w:t>
      </w: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50BF" w:rsidRDefault="0058428F">
      <w:pPr>
        <w:pStyle w:val="Ttulo2"/>
        <w:spacing w:before="0" w:line="360" w:lineRule="auto"/>
        <w:rPr>
          <w:rFonts w:ascii="Palatino Linotype" w:eastAsia="Palatino Linotype" w:hAnsi="Palatino Linotype" w:cs="Palatino Linotype"/>
          <w:b/>
          <w:bCs/>
          <w:color w:val="000000"/>
          <w:sz w:val="24"/>
          <w:szCs w:val="24"/>
        </w:rPr>
      </w:pPr>
      <w:bookmarkStart w:id="6" w:name="_heading=h.yxepb6g6s82q" w:colFirst="0" w:colLast="0"/>
      <w:bookmarkEnd w:id="6"/>
      <w:r>
        <w:rPr>
          <w:rFonts w:ascii="Palatino Linotype" w:eastAsia="Palatino Linotype" w:hAnsi="Palatino Linotype" w:cs="Palatino Linotype"/>
          <w:b/>
          <w:bCs/>
          <w:color w:val="000000"/>
          <w:sz w:val="24"/>
          <w:szCs w:val="24"/>
        </w:rPr>
        <w:t>SEGUNDO. De la oportunidad y procedencia.</w:t>
      </w: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medio de impugnación fue presentado a través del </w:t>
      </w:r>
      <w:r>
        <w:rPr>
          <w:rFonts w:ascii="Palatino Linotype" w:eastAsia="Palatino Linotype" w:hAnsi="Palatino Linotype" w:cs="Palatino Linotype"/>
          <w:b/>
          <w:bCs/>
          <w:color w:val="000000"/>
          <w:sz w:val="24"/>
          <w:szCs w:val="24"/>
        </w:rPr>
        <w:t>SAIMEX,</w:t>
      </w:r>
      <w:r>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entregó su respuesta el </w:t>
      </w:r>
      <w:r>
        <w:rPr>
          <w:rFonts w:ascii="Palatino Linotype" w:eastAsia="Palatino Linotype" w:hAnsi="Palatino Linotype" w:cs="Palatino Linotype"/>
          <w:b/>
          <w:bCs/>
          <w:color w:val="000000"/>
          <w:sz w:val="24"/>
          <w:szCs w:val="24"/>
        </w:rPr>
        <w:t>dieciocho de junio de dos mil veinticinco</w:t>
      </w:r>
      <w:r>
        <w:rPr>
          <w:rFonts w:ascii="Palatino Linotype" w:eastAsia="Palatino Linotype" w:hAnsi="Palatino Linotype" w:cs="Palatino Linotype"/>
          <w:color w:val="000000"/>
          <w:sz w:val="24"/>
          <w:szCs w:val="24"/>
        </w:rPr>
        <w:t>, de tal forma que el plazo para interponer el recurso de revisión transcurrió del</w:t>
      </w:r>
      <w:r>
        <w:rPr>
          <w:rFonts w:ascii="Palatino Linotype" w:eastAsia="Palatino Linotype" w:hAnsi="Palatino Linotype" w:cs="Palatino Linotype"/>
          <w:b/>
          <w:bCs/>
          <w:color w:val="000000"/>
          <w:sz w:val="24"/>
          <w:szCs w:val="24"/>
        </w:rPr>
        <w:t xml:space="preserve"> diecinueve de junio al nueve de julio de dos mil veinticinco,</w:t>
      </w:r>
      <w:r>
        <w:rPr>
          <w:rFonts w:ascii="Palatino Linotype" w:eastAsia="Palatino Linotype" w:hAnsi="Palatino Linotype" w:cs="Palatino Linotype"/>
          <w:color w:val="000000"/>
          <w:sz w:val="24"/>
          <w:szCs w:val="24"/>
        </w:rPr>
        <w:t xml:space="preserve"> en consecuencia, el ahora </w:t>
      </w:r>
      <w:r>
        <w:rPr>
          <w:rFonts w:ascii="Palatino Linotype" w:eastAsia="Palatino Linotype" w:hAnsi="Palatino Linotype" w:cs="Palatino Linotype"/>
          <w:b/>
          <w:bCs/>
          <w:color w:val="000000"/>
          <w:sz w:val="24"/>
          <w:szCs w:val="24"/>
        </w:rPr>
        <w:t>RECURRENTE</w:t>
      </w:r>
      <w:r>
        <w:rPr>
          <w:rFonts w:ascii="Palatino Linotype" w:eastAsia="Palatino Linotype" w:hAnsi="Palatino Linotype" w:cs="Palatino Linotype"/>
          <w:color w:val="000000"/>
          <w:sz w:val="24"/>
          <w:szCs w:val="24"/>
        </w:rPr>
        <w:t xml:space="preserve"> presentó su inconformidad el </w:t>
      </w:r>
      <w:r>
        <w:rPr>
          <w:rFonts w:ascii="Palatino Linotype" w:eastAsia="Palatino Linotype" w:hAnsi="Palatino Linotype" w:cs="Palatino Linotype"/>
          <w:b/>
          <w:bCs/>
          <w:color w:val="000000"/>
          <w:sz w:val="24"/>
          <w:szCs w:val="24"/>
        </w:rPr>
        <w:t>veinticuatro de junio de dos mil veinticinco</w:t>
      </w:r>
      <w:r>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50BF" w:rsidRDefault="0058428F">
      <w:pPr>
        <w:numPr>
          <w:ilvl w:val="0"/>
          <w:numId w:val="1"/>
        </w:numPr>
        <w:spacing w:before="240" w:after="240" w:line="360" w:lineRule="auto"/>
        <w:ind w:left="0" w:right="48"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450BF" w:rsidRDefault="0058428F">
      <w:pPr>
        <w:pStyle w:val="Ttulo1"/>
        <w:spacing w:before="0" w:line="360" w:lineRule="auto"/>
        <w:rPr>
          <w:rFonts w:ascii="Palatino Linotype" w:eastAsia="Palatino Linotype" w:hAnsi="Palatino Linotype" w:cs="Palatino Linotype"/>
          <w:b/>
          <w:bCs/>
          <w:color w:val="000000"/>
          <w:sz w:val="24"/>
          <w:szCs w:val="24"/>
        </w:rPr>
      </w:pPr>
      <w:bookmarkStart w:id="7" w:name="_heading=h.eyseha2nnyzo" w:colFirst="0" w:colLast="0"/>
      <w:bookmarkEnd w:id="7"/>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r>
        <w:rPr>
          <w:rFonts w:ascii="Palatino Linotype" w:eastAsia="Palatino Linotype" w:hAnsi="Palatino Linotype" w:cs="Palatino Linotype"/>
          <w:b/>
          <w:bCs/>
          <w:color w:val="000000"/>
          <w:sz w:val="24"/>
          <w:szCs w:val="24"/>
        </w:rPr>
        <w:t>.</w:t>
      </w: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solicitó tener acceso, a la información que a continuación se desagrega:</w:t>
      </w:r>
    </w:p>
    <w:p w:rsidR="009450BF" w:rsidRDefault="0058428F">
      <w:pPr>
        <w:pBdr>
          <w:top w:val="nil"/>
          <w:left w:val="nil"/>
          <w:bottom w:val="nil"/>
          <w:right w:val="nil"/>
          <w:between w:val="nil"/>
        </w:pBdr>
        <w:spacing w:after="0" w:line="360" w:lineRule="auto"/>
        <w:ind w:left="778" w:right="616"/>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“Todos los oficios recibidos por la Dirección de Administración durante el mes de abril 2025 con anexos”</w:t>
      </w:r>
    </w:p>
    <w:p w:rsidR="009450BF" w:rsidRDefault="009450BF">
      <w:pPr>
        <w:pBdr>
          <w:top w:val="nil"/>
          <w:left w:val="nil"/>
          <w:bottom w:val="nil"/>
          <w:right w:val="nil"/>
          <w:between w:val="nil"/>
        </w:pBdr>
        <w:spacing w:after="0" w:line="360" w:lineRule="auto"/>
        <w:ind w:left="778" w:right="616"/>
        <w:jc w:val="both"/>
        <w:rPr>
          <w:rFonts w:ascii="Palatino Linotype" w:eastAsia="Palatino Linotype" w:hAnsi="Palatino Linotype" w:cs="Palatino Linotype"/>
          <w:i/>
          <w:iCs/>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hizo valer un cambio de modalidad de la información derivado de que la información solicitada sobrepasa las capacidades del SAIMEX.  </w:t>
      </w:r>
    </w:p>
    <w:p w:rsidR="009450BF" w:rsidRDefault="009450BF">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9450BF" w:rsidRDefault="0058428F">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Inconforme, el </w:t>
      </w:r>
      <w:r>
        <w:rPr>
          <w:rFonts w:ascii="Palatino Linotype" w:eastAsia="Palatino Linotype" w:hAnsi="Palatino Linotype" w:cs="Palatino Linotype"/>
          <w:b/>
          <w:bCs/>
          <w:color w:val="000000"/>
          <w:sz w:val="24"/>
          <w:szCs w:val="24"/>
        </w:rPr>
        <w:t xml:space="preserve">PARTICULAR, </w:t>
      </w:r>
      <w:r>
        <w:rPr>
          <w:rFonts w:ascii="Palatino Linotype" w:eastAsia="Palatino Linotype" w:hAnsi="Palatino Linotype" w:cs="Palatino Linotype"/>
          <w:color w:val="000000"/>
          <w:sz w:val="24"/>
          <w:szCs w:val="24"/>
        </w:rPr>
        <w:t xml:space="preserve">interpuso recurso de revisión derivado del cambio de modalidad hecho valer por el </w:t>
      </w:r>
      <w:r>
        <w:rPr>
          <w:rFonts w:ascii="Palatino Linotype" w:eastAsia="Palatino Linotype" w:hAnsi="Palatino Linotype" w:cs="Palatino Linotype"/>
          <w:b/>
          <w:bCs/>
          <w:color w:val="000000"/>
          <w:sz w:val="24"/>
          <w:szCs w:val="24"/>
        </w:rPr>
        <w:t xml:space="preserve">SUJETO </w:t>
      </w:r>
      <w:r>
        <w:rPr>
          <w:rFonts w:ascii="Palatino Linotype" w:eastAsia="Palatino Linotype" w:hAnsi="Palatino Linotype" w:cs="Palatino Linotype"/>
          <w:b/>
          <w:bCs/>
          <w:sz w:val="24"/>
          <w:szCs w:val="24"/>
        </w:rPr>
        <w:t>OBLIGADO</w:t>
      </w:r>
      <w:r>
        <w:rPr>
          <w:rFonts w:ascii="Palatino Linotype" w:eastAsia="Palatino Linotype" w:hAnsi="Palatino Linotype" w:cs="Palatino Linotype"/>
          <w:b/>
          <w:bCs/>
          <w:color w:val="000000"/>
          <w:sz w:val="24"/>
          <w:szCs w:val="24"/>
        </w:rPr>
        <w:t xml:space="preserve">. </w:t>
      </w:r>
    </w:p>
    <w:p w:rsidR="009450BF" w:rsidRDefault="0058428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b/>
      </w: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iCs/>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Pr>
          <w:rFonts w:ascii="Palatino Linotype" w:eastAsia="Palatino Linotype" w:hAnsi="Palatino Linotype" w:cs="Palatino Linotype"/>
          <w:b/>
          <w:bCs/>
          <w:sz w:val="24"/>
          <w:szCs w:val="24"/>
        </w:rPr>
        <w:t xml:space="preserve">fracción VIII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bCs/>
          <w:sz w:val="24"/>
          <w:szCs w:val="24"/>
        </w:rPr>
        <w:t xml:space="preserve">Ley de Transparencia y Acceso a la Información Pública del Estado de </w:t>
      </w:r>
      <w:r>
        <w:rPr>
          <w:rFonts w:ascii="Palatino Linotype" w:eastAsia="Palatino Linotype" w:hAnsi="Palatino Linotype" w:cs="Palatino Linotype"/>
          <w:sz w:val="24"/>
          <w:szCs w:val="24"/>
        </w:rPr>
        <w:t>México</w:t>
      </w:r>
      <w:r>
        <w:rPr>
          <w:rFonts w:ascii="Palatino Linotype" w:eastAsia="Palatino Linotype" w:hAnsi="Palatino Linotype" w:cs="Palatino Linotype"/>
          <w:b/>
          <w:bCs/>
          <w:sz w:val="24"/>
          <w:szCs w:val="24"/>
        </w:rPr>
        <w:t xml:space="preserve"> y </w:t>
      </w:r>
      <w:r>
        <w:rPr>
          <w:rFonts w:ascii="Palatino Linotype" w:eastAsia="Palatino Linotype" w:hAnsi="Palatino Linotype" w:cs="Palatino Linotype"/>
          <w:sz w:val="24"/>
          <w:szCs w:val="24"/>
        </w:rPr>
        <w:t xml:space="preserve">Municipios; </w:t>
      </w:r>
      <w:r>
        <w:rPr>
          <w:rFonts w:ascii="Palatino Linotype" w:eastAsia="Palatino Linotype" w:hAnsi="Palatino Linotype" w:cs="Palatino Linotype"/>
          <w:color w:val="000000"/>
          <w:sz w:val="24"/>
          <w:szCs w:val="24"/>
        </w:rPr>
        <w:t xml:space="preserve">fracción que determina la hipótesis jurídica relativa a la notificación, entrega o puesta a disposición de información en una modalidad o formato distinto al solicitado;;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bCs/>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w:t>
      </w:r>
    </w:p>
    <w:p w:rsidR="009450BF" w:rsidRDefault="009450BF">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 xml:space="preserve">De modo tal que el presente recurso de revisión se abocara en determinar si el </w:t>
      </w:r>
      <w:r>
        <w:rPr>
          <w:rFonts w:ascii="Palatino Linotype" w:eastAsia="Palatino Linotype" w:hAnsi="Palatino Linotype" w:cs="Palatino Linotype"/>
          <w:b/>
          <w:bCs/>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bCs/>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antes señalada. </w:t>
      </w: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58428F">
      <w:pPr>
        <w:pStyle w:val="Ttulo2"/>
        <w:spacing w:before="0" w:line="360" w:lineRule="auto"/>
        <w:rPr>
          <w:rFonts w:ascii="Palatino Linotype" w:eastAsia="Palatino Linotype" w:hAnsi="Palatino Linotype" w:cs="Palatino Linotype"/>
          <w:b/>
          <w:bCs/>
          <w:color w:val="000000"/>
          <w:sz w:val="24"/>
          <w:szCs w:val="24"/>
        </w:rPr>
      </w:pPr>
      <w:bookmarkStart w:id="8" w:name="_heading=h.ycer334eiif3" w:colFirst="0" w:colLast="0"/>
      <w:bookmarkEnd w:id="8"/>
      <w:r>
        <w:rPr>
          <w:rFonts w:ascii="Palatino Linotype" w:eastAsia="Palatino Linotype" w:hAnsi="Palatino Linotype" w:cs="Palatino Linotype"/>
          <w:b/>
          <w:bCs/>
          <w:color w:val="000000"/>
          <w:sz w:val="24"/>
          <w:szCs w:val="24"/>
        </w:rPr>
        <w:t>CUARTO. Del estudio y resolución del asunto.</w:t>
      </w:r>
    </w:p>
    <w:p w:rsidR="009450BF" w:rsidRDefault="0058428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Marco normativo aplicable en materia de transparencia y acceso a la información pública.</w:t>
      </w: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Acotada la </w:t>
      </w:r>
      <w:r>
        <w:rPr>
          <w:rFonts w:ascii="Palatino Linotype" w:eastAsia="Palatino Linotype" w:hAnsi="Palatino Linotype" w:cs="Palatino Linotype"/>
          <w:i/>
          <w:iCs/>
          <w:sz w:val="24"/>
          <w:szCs w:val="24"/>
        </w:rPr>
        <w:t>Litis</w:t>
      </w:r>
      <w:r>
        <w:rPr>
          <w:rFonts w:ascii="Palatino Linotype" w:eastAsia="Palatino Linotype" w:hAnsi="Palatino Linotype" w:cs="Palatino Linotype"/>
          <w:sz w:val="24"/>
          <w:szCs w:val="24"/>
        </w:rPr>
        <w:t xml:space="preserve"> del asunto de mérito, es dable puntualizar inicialmente en términos generales, que el </w:t>
      </w:r>
      <w:r>
        <w:rPr>
          <w:rFonts w:ascii="Palatino Linotype" w:eastAsia="Palatino Linotype" w:hAnsi="Palatino Linotype" w:cs="Palatino Linotype"/>
          <w:color w:val="000000"/>
          <w:sz w:val="24"/>
          <w:szCs w:val="24"/>
        </w:rPr>
        <w:t>Derecho</w:t>
      </w:r>
      <w:r>
        <w:rPr>
          <w:rFonts w:ascii="Palatino Linotype" w:eastAsia="Palatino Linotype" w:hAnsi="Palatino Linotype" w:cs="Palatino Linotype"/>
          <w:sz w:val="24"/>
          <w:szCs w:val="24"/>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450BF" w:rsidRDefault="009450BF">
      <w:pPr>
        <w:spacing w:line="360" w:lineRule="auto"/>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450BF" w:rsidRDefault="009450BF">
      <w:pPr>
        <w:spacing w:line="360" w:lineRule="auto"/>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Precisado lo anterior, respecto la fuente obligacional , resulta necesario referir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acepta que genera, posee y/o administra a la información solicitada, tan es así que la pone a disposición del </w:t>
      </w:r>
      <w:r>
        <w:rPr>
          <w:rFonts w:ascii="Palatino Linotype" w:eastAsia="Palatino Linotype" w:hAnsi="Palatino Linotype" w:cs="Palatino Linotype"/>
          <w:b/>
          <w:bCs/>
          <w:sz w:val="24"/>
          <w:szCs w:val="24"/>
        </w:rPr>
        <w:t xml:space="preserve">PARTICULAR </w:t>
      </w:r>
      <w:r>
        <w:rPr>
          <w:rFonts w:ascii="Palatino Linotype" w:eastAsia="Palatino Linotype" w:hAnsi="Palatino Linotype" w:cs="Palatino Linotype"/>
          <w:sz w:val="24"/>
          <w:szCs w:val="24"/>
        </w:rPr>
        <w:t xml:space="preserve">en consulta directa, por lo que se considera innecesario realizar el estudio correspondiente, pues – se insiste- este asume contar con la información solicitada. </w:t>
      </w: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Ahora bien, resulta necesario referir, que este Órgano Resolutor, el diecisiete de diciembre  de dos mil veinticinco, a efecto de un mejor proveer, realizó el requerimiento de información adicional a efecto de poder contar con los elementos suficientes y pertinentes </w:t>
      </w:r>
      <w:r>
        <w:rPr>
          <w:rFonts w:ascii="Palatino Linotype" w:eastAsia="Palatino Linotype" w:hAnsi="Palatino Linotype" w:cs="Palatino Linotype"/>
          <w:sz w:val="24"/>
          <w:szCs w:val="24"/>
        </w:rPr>
        <w:lastRenderedPageBreak/>
        <w:t>para tener por válido el cambio de modalidad planteado, por lo que se solicitó informara lo siguiente:</w:t>
      </w:r>
    </w:p>
    <w:p w:rsidR="009450BF" w:rsidRDefault="0058428F">
      <w:pPr>
        <w:pBdr>
          <w:top w:val="nil"/>
          <w:left w:val="nil"/>
          <w:bottom w:val="nil"/>
          <w:right w:val="nil"/>
          <w:between w:val="nil"/>
        </w:pBdr>
        <w:spacing w:after="0" w:line="276" w:lineRule="auto"/>
        <w:ind w:left="567" w:right="191"/>
        <w:jc w:val="both"/>
        <w:rPr>
          <w:rFonts w:ascii="Palatino Linotype" w:eastAsia="Palatino Linotype" w:hAnsi="Palatino Linotype" w:cs="Palatino Linotype"/>
          <w:i/>
          <w:iCs/>
          <w:sz w:val="24"/>
          <w:szCs w:val="24"/>
        </w:rPr>
      </w:pPr>
      <w:r>
        <w:rPr>
          <w:rFonts w:ascii="Symbol" w:eastAsia="Symbol" w:hAnsi="Symbol" w:cs="Symbol"/>
          <w:i/>
          <w:iCs/>
          <w:sz w:val="24"/>
          <w:szCs w:val="24"/>
        </w:rPr>
        <w:t>∙</w:t>
      </w:r>
      <w:r>
        <w:rPr>
          <w:rFonts w:ascii="Palatino Linotype" w:eastAsia="Palatino Linotype" w:hAnsi="Palatino Linotype" w:cs="Palatino Linotype"/>
          <w:i/>
          <w:iCs/>
          <w:sz w:val="24"/>
          <w:szCs w:val="24"/>
        </w:rPr>
        <w:t xml:space="preserve"> El cúmulo de información que representan los documentos, manifestando el número de fojas; y </w:t>
      </w:r>
    </w:p>
    <w:p w:rsidR="009450BF" w:rsidRDefault="0058428F">
      <w:pPr>
        <w:pBdr>
          <w:top w:val="nil"/>
          <w:left w:val="nil"/>
          <w:bottom w:val="nil"/>
          <w:right w:val="nil"/>
          <w:between w:val="nil"/>
        </w:pBdr>
        <w:spacing w:after="0" w:line="276" w:lineRule="auto"/>
        <w:ind w:left="567" w:right="191"/>
        <w:jc w:val="both"/>
        <w:rPr>
          <w:rFonts w:ascii="Palatino Linotype" w:eastAsia="Palatino Linotype" w:hAnsi="Palatino Linotype" w:cs="Palatino Linotype"/>
          <w:i/>
          <w:iCs/>
          <w:sz w:val="24"/>
          <w:szCs w:val="24"/>
        </w:rPr>
      </w:pPr>
      <w:r>
        <w:rPr>
          <w:rFonts w:ascii="Symbol" w:eastAsia="Symbol" w:hAnsi="Symbol" w:cs="Symbol"/>
          <w:i/>
          <w:iCs/>
          <w:sz w:val="24"/>
          <w:szCs w:val="24"/>
        </w:rPr>
        <w:t>∙</w:t>
      </w:r>
      <w:r>
        <w:rPr>
          <w:rFonts w:ascii="Palatino Linotype" w:eastAsia="Palatino Linotype" w:hAnsi="Palatino Linotype" w:cs="Palatino Linotype"/>
          <w:i/>
          <w:iCs/>
          <w:sz w:val="24"/>
          <w:szCs w:val="24"/>
        </w:rPr>
        <w:t xml:space="preserve"> El peso en Megabytes o Gigabytes; </w:t>
      </w:r>
    </w:p>
    <w:p w:rsidR="009450BF" w:rsidRDefault="0058428F">
      <w:pPr>
        <w:pBdr>
          <w:top w:val="nil"/>
          <w:left w:val="nil"/>
          <w:bottom w:val="nil"/>
          <w:right w:val="nil"/>
          <w:between w:val="nil"/>
        </w:pBdr>
        <w:spacing w:after="0" w:line="276" w:lineRule="auto"/>
        <w:ind w:left="567" w:right="191"/>
        <w:jc w:val="both"/>
        <w:rPr>
          <w:rFonts w:ascii="Palatino Linotype" w:eastAsia="Palatino Linotype" w:hAnsi="Palatino Linotype" w:cs="Palatino Linotype"/>
          <w:i/>
          <w:iCs/>
          <w:sz w:val="24"/>
          <w:szCs w:val="24"/>
        </w:rPr>
      </w:pPr>
      <w:r>
        <w:rPr>
          <w:rFonts w:ascii="Symbol" w:eastAsia="Symbol" w:hAnsi="Symbol" w:cs="Symbol"/>
          <w:i/>
          <w:iCs/>
          <w:sz w:val="24"/>
          <w:szCs w:val="24"/>
        </w:rPr>
        <w:t>∙</w:t>
      </w:r>
      <w:r>
        <w:rPr>
          <w:rFonts w:ascii="Palatino Linotype" w:eastAsia="Palatino Linotype" w:hAnsi="Palatino Linotype" w:cs="Palatino Linotype"/>
          <w:i/>
          <w:iCs/>
          <w:sz w:val="24"/>
          <w:szCs w:val="24"/>
        </w:rPr>
        <w:t xml:space="preserve"> Mayores elementos que brinden certeza sobre la imposibilidad técnica administrativa o humana de manera excepcional con los respectivos medios de convicción; </w:t>
      </w:r>
    </w:p>
    <w:p w:rsidR="009450BF" w:rsidRDefault="0058428F">
      <w:pPr>
        <w:pBdr>
          <w:top w:val="nil"/>
          <w:left w:val="nil"/>
          <w:bottom w:val="nil"/>
          <w:right w:val="nil"/>
          <w:between w:val="nil"/>
        </w:pBdr>
        <w:spacing w:after="0" w:line="276" w:lineRule="auto"/>
        <w:ind w:left="567" w:right="191"/>
        <w:jc w:val="both"/>
        <w:rPr>
          <w:rFonts w:ascii="Palatino Linotype" w:eastAsia="Palatino Linotype" w:hAnsi="Palatino Linotype" w:cs="Palatino Linotype"/>
          <w:i/>
          <w:iCs/>
          <w:sz w:val="24"/>
          <w:szCs w:val="24"/>
        </w:rPr>
      </w:pPr>
      <w:r>
        <w:rPr>
          <w:rFonts w:ascii="Symbol" w:eastAsia="Symbol" w:hAnsi="Symbol" w:cs="Symbol"/>
          <w:i/>
          <w:iCs/>
          <w:sz w:val="24"/>
          <w:szCs w:val="24"/>
        </w:rPr>
        <w:t>∙</w:t>
      </w:r>
      <w:r>
        <w:rPr>
          <w:rFonts w:ascii="Palatino Linotype" w:eastAsia="Palatino Linotype" w:hAnsi="Palatino Linotype" w:cs="Palatino Linotype"/>
          <w:i/>
          <w:iCs/>
          <w:sz w:val="24"/>
          <w:szCs w:val="24"/>
        </w:rPr>
        <w:t xml:space="preserve"> Realice el reporte de incidencia ante la Dirección de Informática, en el área de soporte técnico de este Instituto.</w:t>
      </w:r>
    </w:p>
    <w:p w:rsidR="009450BF" w:rsidRDefault="0058428F">
      <w:pPr>
        <w:pBdr>
          <w:top w:val="nil"/>
          <w:left w:val="nil"/>
          <w:bottom w:val="nil"/>
          <w:right w:val="nil"/>
          <w:between w:val="nil"/>
        </w:pBdr>
        <w:spacing w:after="0" w:line="276" w:lineRule="auto"/>
        <w:ind w:left="567" w:right="191"/>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w:t>
      </w:r>
      <w:r>
        <w:rPr>
          <w:rFonts w:ascii="Symbol" w:eastAsia="Symbol" w:hAnsi="Symbol" w:cs="Symbol"/>
          <w:i/>
          <w:iCs/>
          <w:sz w:val="24"/>
          <w:szCs w:val="24"/>
        </w:rPr>
        <w:t>∙</w:t>
      </w:r>
      <w:r>
        <w:rPr>
          <w:rFonts w:ascii="Palatino Linotype" w:eastAsia="Palatino Linotype" w:hAnsi="Palatino Linotype" w:cs="Palatino Linotype"/>
          <w:i/>
          <w:iCs/>
          <w:sz w:val="24"/>
          <w:szCs w:val="24"/>
        </w:rPr>
        <w:t xml:space="preserve"> Acuerdo del Comité de Transparencia mediante el cual se apruebe ofrecer otros tipos de modalidad de consulta de información para el RECURRENTE.</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No obstante lo anterior, una vez fenecido el plazo establecido para dar atención a dicho requerimiento, no se advierte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haya atendido el citado requerimiento.</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Ahora bien, no se soslaya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en respuesta remitió el registro de incidencia correspondiente, en el cual se asentó que la información que se pretende subir, asciende a un peso aproximado de 3,818.62 MB, sin embargo en él no se advierte el número de fojas del total de la información solicitada.</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Es así que, de la información remitida se observa que dentro de los oficios por los que dio respuesta, informó que los oficios ascienden a 1,546 con un peso aproximado de 3,818.62 MB y posteriormente referir “ </w:t>
      </w:r>
      <w:r>
        <w:rPr>
          <w:rFonts w:ascii="Palatino Linotype" w:eastAsia="Palatino Linotype" w:hAnsi="Palatino Linotype" w:cs="Palatino Linotype"/>
          <w:i/>
          <w:iCs/>
          <w:sz w:val="24"/>
          <w:szCs w:val="24"/>
        </w:rPr>
        <w:t>que entregar la información implica fotocopiar 9,600 fojas”</w:t>
      </w:r>
      <w:r>
        <w:rPr>
          <w:rFonts w:ascii="Palatino Linotype" w:eastAsia="Palatino Linotype" w:hAnsi="Palatino Linotype" w:cs="Palatino Linotype"/>
          <w:sz w:val="24"/>
          <w:szCs w:val="24"/>
        </w:rPr>
        <w:t xml:space="preserve">, sin embargo, derivado de que no se atendió el requerimiento de información, no se tiene certeza de la cantidad de hojas que comprende la información solicitada,  en consecuencia este </w:t>
      </w:r>
      <w:r>
        <w:rPr>
          <w:rFonts w:ascii="Palatino Linotype" w:eastAsia="Palatino Linotype" w:hAnsi="Palatino Linotype" w:cs="Palatino Linotype"/>
          <w:sz w:val="24"/>
          <w:szCs w:val="24"/>
        </w:rPr>
        <w:lastRenderedPageBreak/>
        <w:t>Órgano Resolutor, no cuenta con los elementos suficientes y pertinentes para poder validar el cambio de modalidad planteado.</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Es así que, si partimos de que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únicamente informó que los oficios ascienden a 1,546, sin dar más detalle, y siendo que el SAIMEX </w:t>
      </w:r>
      <w:r>
        <w:rPr>
          <w:rFonts w:ascii="Palatino Linotype" w:eastAsia="Palatino Linotype" w:hAnsi="Palatino Linotype" w:cs="Palatino Linotype"/>
          <w:color w:val="000000"/>
          <w:sz w:val="24"/>
          <w:szCs w:val="24"/>
        </w:rPr>
        <w:t xml:space="preserve">tiene un soporte tecnológico para que se puedan adjuntar archivos con un peso aproximado de hasta 500MB o un equivalente de </w:t>
      </w:r>
      <w:r>
        <w:rPr>
          <w:rFonts w:ascii="Palatino Linotype" w:eastAsia="Palatino Linotype" w:hAnsi="Palatino Linotype" w:cs="Palatino Linotype"/>
          <w:b/>
          <w:bCs/>
          <w:color w:val="000000"/>
          <w:sz w:val="24"/>
          <w:szCs w:val="24"/>
        </w:rPr>
        <w:t>8000 fojas</w:t>
      </w:r>
      <w:r>
        <w:rPr>
          <w:rFonts w:ascii="Palatino Linotype" w:eastAsia="Palatino Linotype" w:hAnsi="Palatino Linotype" w:cs="Palatino Linotype"/>
          <w:color w:val="000000"/>
          <w:sz w:val="24"/>
          <w:szCs w:val="24"/>
        </w:rPr>
        <w:t>, no resulta congruente el peso de los oficios referidos con la cantidad de hojas que soporta el SAIMEX.</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 Aunado a lo anterior, no se advierte que se hayan proporcionado todas las modalidades de entrega que permitan al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acceder a la información solicitada y el Acuerdo del Comité por el cual refirió se tuvo por aprobado en cambio de modalidad, entre otros.</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para el cumplimiento de la entrega de la información,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a través del Acuerdo del Comité de Transparencia respectivo deberá ofrecer las modalidades con las que pueda poner a disposición la información al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 xml:space="preserve"> que atendiendo a la naturaleza del asunto, de manera enunciativa, más no limitativa, puede ser a través de: </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Consulta Directa.</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Entrega de Copia Simple.</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Entrega de Copia Certificada.</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USB, Disco Compacto (CD) o cualquier medio de almacenamiento externo.</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lastRenderedPageBreak/>
        <w:t>Correo/envío certificado.</w:t>
      </w:r>
    </w:p>
    <w:p w:rsidR="009450BF" w:rsidRDefault="0058428F">
      <w:pPr>
        <w:numPr>
          <w:ilvl w:val="0"/>
          <w:numId w:val="2"/>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Correo electrónico/drive.</w:t>
      </w:r>
    </w:p>
    <w:p w:rsidR="009450BF" w:rsidRDefault="0058428F">
      <w:pPr>
        <w:numPr>
          <w:ilvl w:val="0"/>
          <w:numId w:val="2"/>
        </w:num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Correo/envío certificado.</w:t>
      </w: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cualquiera de las modalidades,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bCs/>
          <w:sz w:val="24"/>
          <w:szCs w:val="24"/>
        </w:rPr>
        <w:t xml:space="preserve">SAIMEX, </w:t>
      </w:r>
      <w:r>
        <w:rPr>
          <w:rFonts w:ascii="Palatino Linotype" w:eastAsia="Palatino Linotype" w:hAnsi="Palatino Linotype" w:cs="Palatino Linotype"/>
          <w:sz w:val="24"/>
          <w:szCs w:val="24"/>
        </w:rPr>
        <w:t xml:space="preserve">deberá indicar el procedimiento que tendrá que seguir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rsidR="009450BF" w:rsidRDefault="009450BF">
      <w:pPr>
        <w:pBdr>
          <w:top w:val="nil"/>
          <w:left w:val="nil"/>
          <w:bottom w:val="nil"/>
          <w:right w:val="nil"/>
          <w:between w:val="nil"/>
        </w:pBdr>
        <w:tabs>
          <w:tab w:val="left" w:pos="2694"/>
        </w:tabs>
        <w:spacing w:after="0" w:line="360" w:lineRule="auto"/>
        <w:ind w:right="-518"/>
        <w:jc w:val="both"/>
        <w:rPr>
          <w:rFonts w:ascii="Palatino Linotype" w:eastAsia="Palatino Linotype" w:hAnsi="Palatino Linotype" w:cs="Palatino Linotype"/>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deberá señalar que en caso de que el</w:t>
      </w:r>
      <w:r>
        <w:rPr>
          <w:rFonts w:ascii="Palatino Linotype" w:eastAsia="Palatino Linotype" w:hAnsi="Palatino Linotype" w:cs="Palatino Linotype"/>
          <w:b/>
          <w:bCs/>
          <w:sz w:val="24"/>
          <w:szCs w:val="24"/>
        </w:rPr>
        <w:t xml:space="preserve"> RECURRENTE</w:t>
      </w:r>
      <w:r>
        <w:rPr>
          <w:rFonts w:ascii="Palatino Linotype" w:eastAsia="Palatino Linotype" w:hAnsi="Palatino Linotype" w:cs="Palatino Linotype"/>
          <w:sz w:val="24"/>
          <w:szCs w:val="24"/>
        </w:rPr>
        <w:t xml:space="preserve"> proporcione el dispositivo electrónico y acuda por la información a la Unidad de Transparencia, la entrega de la información, será sin costo.</w:t>
      </w:r>
    </w:p>
    <w:p w:rsidR="009450BF" w:rsidRDefault="009450BF">
      <w:pPr>
        <w:spacing w:after="0" w:line="360" w:lineRule="auto"/>
        <w:jc w:val="both"/>
        <w:rPr>
          <w:rFonts w:ascii="Palatino Linotype" w:eastAsia="Palatino Linotype" w:hAnsi="Palatino Linotype" w:cs="Palatino Linotype"/>
          <w:b/>
          <w:bCs/>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sz w:val="24"/>
          <w:szCs w:val="24"/>
        </w:rPr>
        <w:t xml:space="preserve">En ese sentido, este deviene improcedente, al ser infundado y motivado, ello de que únicamente se refirió que se pone a disposición en consulta directa, copias simples y/o simplificadas y en medios electrónicos, sin embargo, el cambio de modalidad únicamente procede cuando dada la naturaleza de la información solicitada cuya entrega o reproducción sobrepase las capacidades técnicas administrativas </w:t>
      </w:r>
      <w:r>
        <w:rPr>
          <w:rFonts w:ascii="Palatino Linotype" w:eastAsia="Palatino Linotype" w:hAnsi="Palatino Linotype" w:cs="Palatino Linotype"/>
          <w:b/>
          <w:bCs/>
          <w:sz w:val="24"/>
          <w:szCs w:val="24"/>
        </w:rPr>
        <w:t xml:space="preserve">y </w:t>
      </w:r>
      <w:r>
        <w:rPr>
          <w:rFonts w:ascii="Palatino Linotype" w:eastAsia="Palatino Linotype" w:hAnsi="Palatino Linotype" w:cs="Palatino Linotype"/>
          <w:sz w:val="24"/>
          <w:szCs w:val="24"/>
        </w:rPr>
        <w:t>humanas del sujeto obligado para cumplir con la solicitud, situación que no acontece dentro del recurso que nos ocupa, por lo que al respecto, la Ley de Transparencia y Acceso a la Información Pública del Estado de México y Municipios establece en los artículos 155 fracción V, 158 y 164 lo siguiente:</w:t>
      </w:r>
    </w:p>
    <w:p w:rsidR="009450BF" w:rsidRDefault="0058428F">
      <w:pPr>
        <w:pBdr>
          <w:top w:val="nil"/>
          <w:left w:val="nil"/>
          <w:bottom w:val="nil"/>
          <w:right w:val="nil"/>
          <w:between w:val="nil"/>
        </w:pBdr>
        <w:tabs>
          <w:tab w:val="left" w:pos="851"/>
        </w:tabs>
        <w:spacing w:before="240"/>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155. Para presentar una solicitud por escrito, no se podrán exigir mayores requisitos que los siguientes:</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I. a IV. …</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V. La modalidad en la que prefiere se otorgue el acceso a la información</w:t>
      </w:r>
      <w:r>
        <w:rPr>
          <w:rFonts w:ascii="Palatino Linotype" w:eastAsia="Palatino Linotype" w:hAnsi="Palatino Linotype" w:cs="Palatino Linotype"/>
          <w:i/>
          <w:iCs/>
          <w:color w:val="000000"/>
        </w:rPr>
        <w:t>, la cual podrá ser verbal, siempre y cuando sea para fines de orientación, mediante consulta directa, mediante la expedición de copias simples o certificadas o la reproducción en cualquier otro medio, incluidos los electrónicos</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bookmarkStart w:id="9" w:name="_heading=h.ysi9uovsbaam" w:colFirst="0" w:colLast="0"/>
      <w:bookmarkEnd w:id="9"/>
      <w:r>
        <w:rPr>
          <w:rFonts w:ascii="Palatino Linotype" w:eastAsia="Palatino Linotype" w:hAnsi="Palatino Linotype" w:cs="Palatino Linotype"/>
          <w:i/>
          <w:iCs/>
          <w:color w:val="000000"/>
        </w:rPr>
        <w:t>En todo caso, se facilitará su copia simple o certificada, así como su reproducción por cualquier medio disponible en las instalaciones del sujeto obligado o que, en su caso, aporte el solicitante</w:t>
      </w:r>
    </w:p>
    <w:p w:rsidR="009450BF" w:rsidRDefault="0058428F">
      <w:pPr>
        <w:pBdr>
          <w:top w:val="nil"/>
          <w:left w:val="nil"/>
          <w:bottom w:val="nil"/>
          <w:right w:val="nil"/>
          <w:between w:val="nil"/>
        </w:pBdr>
        <w:tabs>
          <w:tab w:val="left" w:pos="851"/>
        </w:tabs>
        <w:ind w:left="1134" w:right="110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9450BF" w:rsidRDefault="009450B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La normatividad en materia establece que se privilegiará la modalidad de entrega elegida por el </w:t>
      </w:r>
      <w:r>
        <w:rPr>
          <w:rFonts w:ascii="Palatino Linotype" w:eastAsia="Palatino Linotype" w:hAnsi="Palatino Linotype" w:cs="Palatino Linotype"/>
          <w:b/>
          <w:bCs/>
          <w:smallCaps/>
          <w:color w:val="000000"/>
          <w:sz w:val="24"/>
          <w:szCs w:val="24"/>
        </w:rPr>
        <w:t>RECURRENTE</w:t>
      </w:r>
      <w:r>
        <w:rPr>
          <w:rFonts w:ascii="Palatino Linotype" w:eastAsia="Palatino Linotype" w:hAnsi="Palatino Linotype" w:cs="Palatino Linotype"/>
          <w:color w:val="000000"/>
          <w:sz w:val="24"/>
          <w:szCs w:val="24"/>
        </w:rPr>
        <w:t xml:space="preserve"> y será excepcional un cambio de modalidad cuando la información </w:t>
      </w:r>
      <w:r>
        <w:rPr>
          <w:rFonts w:ascii="Palatino Linotype" w:eastAsia="Palatino Linotype" w:hAnsi="Palatino Linotype" w:cs="Palatino Linotype"/>
          <w:b/>
          <w:bCs/>
          <w:i/>
          <w:iCs/>
          <w:color w:val="000000"/>
          <w:sz w:val="24"/>
          <w:szCs w:val="24"/>
          <w:u w:val="single"/>
        </w:rPr>
        <w:t>sobrepase las capacidades técnicas administrativas y humanas</w:t>
      </w:r>
      <w:r>
        <w:rPr>
          <w:rFonts w:ascii="Palatino Linotype" w:eastAsia="Palatino Linotype" w:hAnsi="Palatino Linotype" w:cs="Palatino Linotype"/>
          <w:color w:val="000000"/>
          <w:sz w:val="24"/>
          <w:szCs w:val="24"/>
        </w:rPr>
        <w:t>, dicho cambio será debidamente fundado y motivado, siempre y cuando no sea posible de ninguna manera proporcionar la información solicitada a través del SAIMEX, situación que no acontece dentro de los recursos que nos ocupan.</w:t>
      </w:r>
    </w:p>
    <w:p w:rsidR="009450BF" w:rsidRDefault="009450BF">
      <w:pPr>
        <w:spacing w:after="0" w:line="360" w:lineRule="auto"/>
        <w:jc w:val="both"/>
        <w:rPr>
          <w:rFonts w:ascii="Palatino Linotype" w:eastAsia="Palatino Linotype" w:hAnsi="Palatino Linotype" w:cs="Palatino Linotype"/>
          <w:color w:val="000000"/>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lastRenderedPageBreak/>
        <w:t xml:space="preserve">En ese tenor, tampoco pasa desapercibido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hizo de conocimiento ¿que “</w:t>
      </w:r>
      <w:r>
        <w:rPr>
          <w:rFonts w:ascii="Palatino Linotype" w:eastAsia="Palatino Linotype" w:hAnsi="Palatino Linotype" w:cs="Palatino Linotype"/>
          <w:i/>
          <w:iCs/>
          <w:sz w:val="24"/>
          <w:szCs w:val="24"/>
        </w:rPr>
        <w:t xml:space="preserve">una vez indicado el cúmulo de información que se deriva de los expedientes en comento le informo que, al considerar que el particular desea tener acceso a información, que implica análisis, estudio o procedimiento de documentos que involucra destinar un número significativo de días, horas y personal exclusivo para atender dicho requerimiento, lo que impediría la realización de las demás actividades y atribuciones a cargo de ese Servidor Público Habilitado, dañando notoriamente el cumplimiento de las atribuciones, mencionando para ello que las capacidades técnicas, humanas y administrativas de esta Dependencia son limitadas, aunado a la excesiva carga de trabajo de las actividades propias de esta Dependencia, y a la falta del capital  humano a disposición ya que solo es 1 persona la encargada de dar atención a las solicitudes de información pública SAIMEX. Cabe hacer mención que se cuenta con un multifuncional para los trabajos de impresión y escaneo de toda la Dirección, queriendo recalcar que se está hablando de documentación que se encuentra en área restringida de donde se tendría que separar el grueso de la información para rescatar únicamente los expedientes que concuerden con lo solicitado, lo cual requiere de un trabajo verdaderamente arduo y especifico donde se tendrían que destinar tiempo de trabajo del personal únicamente para este caso en concreto, que sería humanamente imposible realizar en el tiempo establecido por la norma, y esto desatendiendo todas las demás tareas que se deben hacer de acuerdo a las atribuciones de este Servidor Público Habilitado.” </w:t>
      </w:r>
      <w:r>
        <w:rPr>
          <w:rFonts w:ascii="Palatino Linotype" w:eastAsia="Palatino Linotype" w:hAnsi="Palatino Linotype" w:cs="Palatino Linotype"/>
          <w:sz w:val="24"/>
          <w:szCs w:val="24"/>
        </w:rPr>
        <w:t xml:space="preserve">información que no denota un impedimento para la entrega de la información en una modalidad distinta a la elegida por el particular ya que no se acreditó que la información concerniente a los oficios sobrepase las capacidades técnicas administrativas y humanas del </w:t>
      </w:r>
      <w:r>
        <w:rPr>
          <w:rFonts w:ascii="Palatino Linotype" w:eastAsia="Palatino Linotype" w:hAnsi="Palatino Linotype" w:cs="Palatino Linotype"/>
          <w:b/>
          <w:bCs/>
          <w:sz w:val="24"/>
          <w:szCs w:val="24"/>
        </w:rPr>
        <w:t>SUJETO OBLIGADO.</w:t>
      </w:r>
    </w:p>
    <w:p w:rsidR="009450BF" w:rsidRDefault="009450BF">
      <w:pPr>
        <w:spacing w:after="0" w:line="360" w:lineRule="auto"/>
        <w:jc w:val="both"/>
        <w:rPr>
          <w:rFonts w:ascii="Palatino Linotype" w:eastAsia="Palatino Linotype" w:hAnsi="Palatino Linotype" w:cs="Palatino Linotype"/>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Finalmente, por lo que hace al acta de clasificación de la información como confidencial, deberá de remitirse de nueva cuenta con los oficios de los cuales se ordena su </w:t>
      </w:r>
      <w:r>
        <w:rPr>
          <w:rFonts w:ascii="Palatino Linotype" w:eastAsia="Palatino Linotype" w:hAnsi="Palatino Linotype" w:cs="Palatino Linotype"/>
          <w:sz w:val="24"/>
          <w:szCs w:val="24"/>
        </w:rPr>
        <w:lastRenderedPageBreak/>
        <w:t>entrega, pues este Órgano Resolutor, no puede realizar el estudio correspondiente en virtud de que no se tiene conocimiento y certeza de los datos que obran dentro de la información que se ordena remitir y poder determinar si los referidos en el acuerdo de clasificación obran dentro de los oficios.</w:t>
      </w:r>
    </w:p>
    <w:p w:rsidR="009450BF" w:rsidRDefault="009450BF">
      <w:pPr>
        <w:spacing w:after="0" w:line="360" w:lineRule="auto"/>
        <w:jc w:val="both"/>
        <w:rPr>
          <w:rFonts w:ascii="Palatino Linotype" w:eastAsia="Palatino Linotype" w:hAnsi="Palatino Linotype" w:cs="Palatino Linotype"/>
          <w:i/>
          <w:iCs/>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sz w:val="24"/>
          <w:szCs w:val="24"/>
        </w:rPr>
        <w:t>De lo anterior, se colige que con la información proporcionada en respuestas no se tiene por colmada en su totalidad la solicitud de información que nos ocupan</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sz w:val="24"/>
          <w:szCs w:val="24"/>
        </w:rPr>
        <w:t xml:space="preserve">por lo que resulta dable </w:t>
      </w:r>
      <w:r>
        <w:rPr>
          <w:rFonts w:ascii="Palatino Linotype" w:eastAsia="Palatino Linotype" w:hAnsi="Palatino Linotype" w:cs="Palatino Linotype"/>
          <w:b/>
          <w:bCs/>
          <w:sz w:val="24"/>
          <w:szCs w:val="24"/>
        </w:rPr>
        <w:t xml:space="preserve">REVOCAR </w:t>
      </w:r>
      <w:r>
        <w:rPr>
          <w:rFonts w:ascii="Palatino Linotype" w:eastAsia="Palatino Linotype" w:hAnsi="Palatino Linotype" w:cs="Palatino Linotype"/>
          <w:sz w:val="24"/>
          <w:szCs w:val="24"/>
        </w:rPr>
        <w:t xml:space="preserve">la respuesta proporcionada por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resultando dable ordenar la entrega de los oficios recibidos incluidos los anexos, por la Dirección de Administración durante el mes de abril del año dos mil veinticinco, a través del SAIMEX.</w:t>
      </w:r>
    </w:p>
    <w:p w:rsidR="009450BF" w:rsidRDefault="009450BF">
      <w:p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p>
    <w:p w:rsidR="009450BF" w:rsidRDefault="0058428F">
      <w:pPr>
        <w:numPr>
          <w:ilvl w:val="0"/>
          <w:numId w:val="1"/>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de ser el caso de que dentro de los oficios de los cuales se ordena su entrega, existan oficios cancelados, bastará con que, de forma clara y precisa, se haga del conocimiento del Particular.</w:t>
      </w:r>
    </w:p>
    <w:p w:rsidR="009450BF" w:rsidRDefault="009450BF">
      <w:pPr>
        <w:spacing w:after="0" w:line="360" w:lineRule="auto"/>
        <w:jc w:val="both"/>
        <w:rPr>
          <w:rFonts w:ascii="Palatino Linotype" w:eastAsia="Palatino Linotype" w:hAnsi="Palatino Linotype" w:cs="Palatino Linotype"/>
          <w:i/>
          <w:iCs/>
          <w:sz w:val="24"/>
          <w:szCs w:val="24"/>
        </w:rPr>
      </w:pPr>
    </w:p>
    <w:p w:rsidR="009450BF" w:rsidRDefault="0058428F">
      <w:pPr>
        <w:keepNext/>
        <w:keepLines/>
        <w:spacing w:line="360" w:lineRule="auto"/>
        <w:ind w:right="-787"/>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QUINTO. De la versión pública.</w:t>
      </w:r>
    </w:p>
    <w:p w:rsidR="009450BF" w:rsidRDefault="0058428F">
      <w:pPr>
        <w:keepNext/>
        <w:keepLines/>
        <w:numPr>
          <w:ilvl w:val="0"/>
          <w:numId w:val="5"/>
        </w:numPr>
        <w:tabs>
          <w:tab w:val="left" w:pos="284"/>
        </w:tabs>
        <w:spacing w:line="360" w:lineRule="auto"/>
        <w:ind w:left="0" w:right="-787" w:firstLine="0"/>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 xml:space="preserve">Nociones generales. </w:t>
      </w:r>
    </w:p>
    <w:p w:rsidR="009450BF" w:rsidRDefault="0058428F">
      <w:pPr>
        <w:numPr>
          <w:ilvl w:val="0"/>
          <w:numId w:val="1"/>
        </w:numPr>
        <w:spacing w:after="0"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Debe destacarse, que debido a la información solicitada por el </w:t>
      </w:r>
      <w:r>
        <w:rPr>
          <w:rFonts w:ascii="Palatino Linotype" w:eastAsia="Palatino Linotype" w:hAnsi="Palatino Linotype" w:cs="Palatino Linotype"/>
          <w:b/>
          <w:bCs/>
          <w:color w:val="000000"/>
          <w:sz w:val="24"/>
          <w:szCs w:val="24"/>
        </w:rPr>
        <w:t xml:space="preserve">RECURRENTE, pueden obrar </w:t>
      </w:r>
      <w:r>
        <w:rPr>
          <w:rFonts w:ascii="Palatino Linotype" w:eastAsia="Palatino Linotype" w:hAnsi="Palatino Linotype" w:cs="Palatino Linotype"/>
          <w:color w:val="000000"/>
          <w:sz w:val="24"/>
          <w:szCs w:val="24"/>
        </w:rPr>
        <w:t>datos personales susceptibles de protegerse, así como información susceptible de clasificarse como confidenciales</w:t>
      </w:r>
      <w:r w:rsidR="004E3C46">
        <w:rPr>
          <w:rFonts w:ascii="Palatino Linotype" w:eastAsia="Palatino Linotype" w:hAnsi="Palatino Linotype" w:cs="Palatino Linotype"/>
          <w:color w:val="000000"/>
          <w:sz w:val="24"/>
          <w:szCs w:val="24"/>
        </w:rPr>
        <w:t>, por</w:t>
      </w:r>
      <w:r>
        <w:rPr>
          <w:rFonts w:ascii="Palatino Linotype" w:eastAsia="Palatino Linotype" w:hAnsi="Palatino Linotype" w:cs="Palatino Linotype"/>
          <w:color w:val="000000"/>
          <w:sz w:val="24"/>
          <w:szCs w:val="24"/>
        </w:rPr>
        <w:t xml:space="preserve"> lo que el </w:t>
      </w:r>
      <w:r>
        <w:rPr>
          <w:rFonts w:ascii="Palatino Linotype" w:eastAsia="Palatino Linotype" w:hAnsi="Palatino Linotype" w:cs="Palatino Linotype"/>
          <w:b/>
          <w:bCs/>
          <w:color w:val="000000"/>
          <w:sz w:val="24"/>
          <w:szCs w:val="24"/>
        </w:rPr>
        <w:t xml:space="preserve">SUJETO OBLIGADO </w:t>
      </w:r>
      <w:r>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9450BF" w:rsidRDefault="009450BF">
      <w:pPr>
        <w:tabs>
          <w:tab w:val="left" w:pos="0"/>
          <w:tab w:val="left" w:pos="284"/>
        </w:tabs>
        <w:spacing w:line="360" w:lineRule="auto"/>
        <w:ind w:right="-787"/>
        <w:jc w:val="both"/>
        <w:rPr>
          <w:rFonts w:ascii="Palatino Linotype" w:eastAsia="Palatino Linotype" w:hAnsi="Palatino Linotype" w:cs="Palatino Linotype"/>
          <w:sz w:val="24"/>
          <w:szCs w:val="24"/>
          <w:highlight w:val="yellow"/>
        </w:rPr>
      </w:pPr>
    </w:p>
    <w:p w:rsidR="009450BF" w:rsidRDefault="0058428F">
      <w:pPr>
        <w:numPr>
          <w:ilvl w:val="0"/>
          <w:numId w:val="1"/>
        </w:numPr>
        <w:spacing w:after="0"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No pasa desapercibido para este Órgano Garante que los sujetos obligados</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450BF" w:rsidRDefault="009450BF">
      <w:pPr>
        <w:tabs>
          <w:tab w:val="left" w:pos="284"/>
        </w:tabs>
        <w:spacing w:line="360" w:lineRule="auto"/>
        <w:ind w:right="-787"/>
        <w:jc w:val="both"/>
        <w:rPr>
          <w:rFonts w:ascii="Palatino Linotype" w:eastAsia="Palatino Linotype" w:hAnsi="Palatino Linotype" w:cs="Palatino Linotype"/>
          <w:color w:val="000000"/>
          <w:sz w:val="24"/>
          <w:szCs w:val="24"/>
        </w:rPr>
      </w:pPr>
    </w:p>
    <w:tbl>
      <w:tblPr>
        <w:tblStyle w:val="a"/>
        <w:tblW w:w="10038"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7233"/>
      </w:tblGrid>
      <w:tr w:rsidR="009450BF" w:rsidTr="00A56AD4">
        <w:tc>
          <w:tcPr>
            <w:tcW w:w="2805" w:type="dxa"/>
          </w:tcPr>
          <w:p w:rsidR="009450BF" w:rsidRDefault="0058428F">
            <w:pPr>
              <w:tabs>
                <w:tab w:val="left" w:pos="284"/>
              </w:tabs>
              <w:spacing w:line="360" w:lineRule="auto"/>
              <w:ind w:right="35"/>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Requisitos previos.</w:t>
            </w:r>
          </w:p>
        </w:tc>
        <w:tc>
          <w:tcPr>
            <w:tcW w:w="7233" w:type="dxa"/>
          </w:tcPr>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hacerlo tienen que precisar de qué información se trata, señalando el supuesto de clasificación (confidencialidad o reserva).</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respectivamente.</w:t>
            </w:r>
          </w:p>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Pr>
                <w:rFonts w:ascii="Palatino Linotype" w:eastAsia="Palatino Linotype" w:hAnsi="Palatino Linotype" w:cs="Palatino Linotype"/>
                <w:color w:val="000000"/>
                <w:sz w:val="24"/>
                <w:szCs w:val="24"/>
              </w:rPr>
              <w:t xml:space="preserve"> individualizar su análisis y tampoco se puede hacer un acuerdo por cada dato que </w:t>
            </w:r>
            <w:r>
              <w:rPr>
                <w:rFonts w:ascii="Palatino Linotype" w:eastAsia="Palatino Linotype" w:hAnsi="Palatino Linotype" w:cs="Palatino Linotype"/>
                <w:color w:val="000000"/>
                <w:sz w:val="24"/>
                <w:szCs w:val="24"/>
              </w:rPr>
              <w:lastRenderedPageBreak/>
              <w:t>se vaya a clasificar dentro de un documento con diez datos, por ejemplo, susceptibles de ser clasificados.</w:t>
            </w:r>
          </w:p>
        </w:tc>
      </w:tr>
      <w:tr w:rsidR="009450BF" w:rsidTr="00A56AD4">
        <w:tc>
          <w:tcPr>
            <w:tcW w:w="2805" w:type="dxa"/>
          </w:tcPr>
          <w:p w:rsidR="009450BF" w:rsidRDefault="0058428F">
            <w:pPr>
              <w:tabs>
                <w:tab w:val="left" w:pos="284"/>
              </w:tabs>
              <w:spacing w:line="360" w:lineRule="auto"/>
              <w:ind w:right="35"/>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b) Supuestos de clasificación.</w:t>
            </w:r>
          </w:p>
        </w:tc>
        <w:tc>
          <w:tcPr>
            <w:tcW w:w="7233" w:type="dxa"/>
          </w:tcPr>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450BF" w:rsidTr="00A56AD4">
        <w:tc>
          <w:tcPr>
            <w:tcW w:w="2805" w:type="dxa"/>
          </w:tcPr>
          <w:p w:rsidR="009450BF" w:rsidRDefault="0058428F">
            <w:pPr>
              <w:tabs>
                <w:tab w:val="left" w:pos="284"/>
              </w:tabs>
              <w:spacing w:line="360" w:lineRule="auto"/>
              <w:ind w:right="35"/>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 Formalidades para emitir el acuerdo de clasificación.</w:t>
            </w:r>
          </w:p>
        </w:tc>
        <w:tc>
          <w:tcPr>
            <w:tcW w:w="7233" w:type="dxa"/>
          </w:tcPr>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necesario que </w:t>
            </w:r>
            <w:r>
              <w:rPr>
                <w:rFonts w:ascii="Palatino Linotype" w:eastAsia="Palatino Linotype" w:hAnsi="Palatino Linotype" w:cs="Palatino Linotype"/>
                <w:b/>
                <w:bCs/>
                <w:color w:val="000000"/>
                <w:sz w:val="24"/>
                <w:szCs w:val="24"/>
                <w:u w:val="single"/>
              </w:rPr>
              <w:t>el acto reúna con los requisitos elementales</w:t>
            </w:r>
            <w:r>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w:t>
            </w:r>
            <w:r>
              <w:rPr>
                <w:rFonts w:ascii="Palatino Linotype" w:eastAsia="Palatino Linotype" w:hAnsi="Palatino Linotype" w:cs="Palatino Linotype"/>
                <w:sz w:val="24"/>
                <w:szCs w:val="24"/>
              </w:rPr>
              <w:t>El área</w:t>
            </w:r>
            <w:r>
              <w:rPr>
                <w:rFonts w:ascii="Palatino Linotype" w:eastAsia="Palatino Linotype" w:hAnsi="Palatino Linotype" w:cs="Palatino Linotype"/>
                <w:color w:val="000000"/>
                <w:sz w:val="24"/>
                <w:szCs w:val="24"/>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450BF" w:rsidTr="00A56AD4">
        <w:tc>
          <w:tcPr>
            <w:tcW w:w="2805" w:type="dxa"/>
          </w:tcPr>
          <w:p w:rsidR="009450BF" w:rsidRDefault="009450BF">
            <w:pPr>
              <w:tabs>
                <w:tab w:val="left" w:pos="284"/>
              </w:tabs>
              <w:spacing w:line="360" w:lineRule="auto"/>
              <w:ind w:right="35"/>
              <w:rPr>
                <w:rFonts w:ascii="Palatino Linotype" w:eastAsia="Palatino Linotype" w:hAnsi="Palatino Linotype" w:cs="Palatino Linotype"/>
                <w:sz w:val="24"/>
                <w:szCs w:val="24"/>
              </w:rPr>
            </w:pPr>
          </w:p>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 Requisitos de fondo del acuerdo de clasificación. </w:t>
            </w:r>
          </w:p>
        </w:tc>
        <w:tc>
          <w:tcPr>
            <w:tcW w:w="7233" w:type="dxa"/>
          </w:tcPr>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4"/>
                <w:szCs w:val="24"/>
              </w:rPr>
              <w:t>Sujetos Obligados</w:t>
            </w:r>
            <w:r>
              <w:rPr>
                <w:rFonts w:ascii="Palatino Linotype" w:eastAsia="Palatino Linotype" w:hAnsi="Palatino Linotype" w:cs="Palatino Linotype"/>
                <w:color w:val="000000"/>
                <w:sz w:val="24"/>
                <w:szCs w:val="24"/>
              </w:rPr>
              <w:t xml:space="preserve">, por lo que deberán fundar y motivar debidamente la clasificación. </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lo anterior, se desprende que para una correcta </w:t>
            </w:r>
            <w:r>
              <w:rPr>
                <w:rFonts w:ascii="Palatino Linotype" w:eastAsia="Palatino Linotype" w:hAnsi="Palatino Linotype" w:cs="Palatino Linotype"/>
                <w:b/>
                <w:bCs/>
                <w:color w:val="000000"/>
                <w:sz w:val="24"/>
                <w:szCs w:val="24"/>
              </w:rPr>
              <w:t>clasificación total o parcial</w:t>
            </w:r>
            <w:r>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w:t>
            </w:r>
            <w:r>
              <w:rPr>
                <w:rFonts w:ascii="Palatino Linotype" w:eastAsia="Palatino Linotype" w:hAnsi="Palatino Linotype" w:cs="Palatino Linotype"/>
                <w:b/>
                <w:bCs/>
                <w:color w:val="000000"/>
                <w:sz w:val="24"/>
                <w:szCs w:val="24"/>
                <w:u w:val="single"/>
              </w:rPr>
              <w:t>para cada caso además de fundar y motivar</w:t>
            </w:r>
            <w:r>
              <w:rPr>
                <w:rFonts w:ascii="Palatino Linotype" w:eastAsia="Palatino Linotype" w:hAnsi="Palatino Linotype" w:cs="Palatino Linotype"/>
                <w:color w:val="000000"/>
                <w:sz w:val="24"/>
                <w:szCs w:val="24"/>
              </w:rPr>
              <w:t xml:space="preserve">, se debe identificar con claridad </w:t>
            </w:r>
            <w:r>
              <w:rPr>
                <w:rFonts w:ascii="Palatino Linotype" w:eastAsia="Palatino Linotype" w:hAnsi="Palatino Linotype" w:cs="Palatino Linotype"/>
                <w:sz w:val="24"/>
                <w:szCs w:val="24"/>
              </w:rPr>
              <w:t>qué</w:t>
            </w:r>
            <w:r>
              <w:rPr>
                <w:rFonts w:ascii="Palatino Linotype" w:eastAsia="Palatino Linotype" w:hAnsi="Palatino Linotype" w:cs="Palatino Linotype"/>
                <w:color w:val="000000"/>
                <w:sz w:val="24"/>
                <w:szCs w:val="24"/>
              </w:rPr>
              <w:t xml:space="preserve"> datos contenidos en las documentales que son susceptibles de suprimirse, por ejemplo; Clave Única de Registro de Población (CURP), Registro Federal de Contribuyentes (R.F.C.), claves de seguros, préstamos o </w:t>
            </w:r>
            <w:r>
              <w:rPr>
                <w:rFonts w:ascii="Palatino Linotype" w:eastAsia="Palatino Linotype" w:hAnsi="Palatino Linotype" w:cs="Palatino Linotype"/>
                <w:color w:val="000000"/>
                <w:sz w:val="24"/>
                <w:szCs w:val="24"/>
              </w:rPr>
              <w:lastRenderedPageBreak/>
              <w:t>descuentos personales, secretos bancario, fiduciario, industrial, comercial, fiscal, bursátil y postal, cuya titularidad corresponda a particulares, entre otros.</w:t>
            </w:r>
          </w:p>
        </w:tc>
      </w:tr>
      <w:tr w:rsidR="009450BF" w:rsidTr="00A56AD4">
        <w:tc>
          <w:tcPr>
            <w:tcW w:w="2805" w:type="dxa"/>
          </w:tcPr>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 Condiciones especiales de la clasificación de la información como confidencial. </w:t>
            </w:r>
          </w:p>
        </w:tc>
        <w:tc>
          <w:tcPr>
            <w:tcW w:w="7233" w:type="dxa"/>
          </w:tcPr>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9450BF" w:rsidRDefault="0058428F">
            <w:pPr>
              <w:tabs>
                <w:tab w:val="left" w:pos="284"/>
              </w:tabs>
              <w:spacing w:line="360" w:lineRule="auto"/>
              <w:ind w:right="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450BF" w:rsidRDefault="0058428F">
            <w:pPr>
              <w:tabs>
                <w:tab w:val="left" w:pos="284"/>
              </w:tabs>
              <w:spacing w:line="360" w:lineRule="auto"/>
              <w:ind w:right="35"/>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450BF" w:rsidRDefault="009450BF">
      <w:pPr>
        <w:tabs>
          <w:tab w:val="left" w:pos="284"/>
        </w:tabs>
        <w:spacing w:line="360" w:lineRule="auto"/>
        <w:ind w:right="-787"/>
        <w:jc w:val="both"/>
        <w:rPr>
          <w:rFonts w:ascii="Palatino Linotype" w:eastAsia="Palatino Linotype" w:hAnsi="Palatino Linotype" w:cs="Palatino Linotype"/>
          <w:color w:val="000000"/>
          <w:sz w:val="24"/>
          <w:szCs w:val="24"/>
        </w:rPr>
      </w:pPr>
    </w:p>
    <w:p w:rsidR="009450BF" w:rsidRDefault="0058428F">
      <w:pPr>
        <w:numPr>
          <w:ilvl w:val="0"/>
          <w:numId w:val="1"/>
        </w:numPr>
        <w:spacing w:after="0" w:line="360" w:lineRule="auto"/>
        <w:ind w:left="0" w:firstLine="0"/>
        <w:jc w:val="both"/>
        <w:rPr>
          <w:sz w:val="24"/>
          <w:szCs w:val="24"/>
        </w:rPr>
      </w:pPr>
      <w:r>
        <w:rPr>
          <w:rFonts w:ascii="Palatino Linotype" w:eastAsia="Palatino Linotype" w:hAnsi="Palatino Linotype" w:cs="Palatino Linotype"/>
          <w:sz w:val="24"/>
          <w:szCs w:val="24"/>
        </w:rPr>
        <w:t>Si el servidor público incumple con estas formalidades y entrega la información sin proteger los datos personales incumple con lo que estipula las disposiciones legales establecidas.</w:t>
      </w:r>
    </w:p>
    <w:p w:rsidR="009450BF" w:rsidRDefault="009450BF">
      <w:pPr>
        <w:spacing w:line="360" w:lineRule="auto"/>
        <w:ind w:right="-787"/>
        <w:jc w:val="both"/>
        <w:rPr>
          <w:rFonts w:ascii="Palatino Linotype" w:eastAsia="Palatino Linotype" w:hAnsi="Palatino Linotype" w:cs="Palatino Linotype"/>
          <w:color w:val="000000"/>
          <w:sz w:val="24"/>
          <w:szCs w:val="24"/>
        </w:rPr>
      </w:pPr>
    </w:p>
    <w:p w:rsidR="009450BF" w:rsidRDefault="0058428F">
      <w:pPr>
        <w:numPr>
          <w:ilvl w:val="0"/>
          <w:numId w:val="1"/>
        </w:numPr>
        <w:spacing w:after="0" w:line="360" w:lineRule="auto"/>
        <w:ind w:left="0" w:firstLine="0"/>
        <w:jc w:val="both"/>
        <w:rPr>
          <w:color w:val="000000"/>
          <w:sz w:val="24"/>
          <w:szCs w:val="24"/>
        </w:rPr>
      </w:pPr>
      <w:r>
        <w:rPr>
          <w:rFonts w:ascii="Palatino Linotype" w:eastAsia="Palatino Linotype" w:hAnsi="Palatino Linotype" w:cs="Palatino Linotype"/>
          <w:sz w:val="24"/>
          <w:szCs w:val="24"/>
        </w:rPr>
        <w:lastRenderedPageBreak/>
        <w:t>Por lo anteriormente expuesto, este Órgano Garante considera fundadas las razones o motivos de inconformidad que plantea el</w:t>
      </w:r>
      <w:r>
        <w:rPr>
          <w:rFonts w:ascii="Palatino Linotype" w:eastAsia="Palatino Linotype" w:hAnsi="Palatino Linotype" w:cs="Palatino Linotype"/>
          <w:b/>
          <w:bCs/>
          <w:sz w:val="24"/>
          <w:szCs w:val="24"/>
        </w:rPr>
        <w:t xml:space="preserve"> RECURRENTE</w:t>
      </w:r>
      <w:r>
        <w:rPr>
          <w:rFonts w:ascii="Palatino Linotype" w:eastAsia="Palatino Linotype" w:hAnsi="Palatino Linotype" w:cs="Palatino Linotype"/>
          <w:sz w:val="24"/>
          <w:szCs w:val="24"/>
        </w:rPr>
        <w:t xml:space="preserve">, determinando </w:t>
      </w:r>
      <w:r>
        <w:rPr>
          <w:rFonts w:ascii="Palatino Linotype" w:eastAsia="Palatino Linotype" w:hAnsi="Palatino Linotype" w:cs="Palatino Linotype"/>
          <w:b/>
          <w:bCs/>
          <w:smallCaps/>
          <w:sz w:val="24"/>
          <w:szCs w:val="24"/>
        </w:rPr>
        <w:t xml:space="preserve">REVOCAR </w:t>
      </w:r>
      <w:r>
        <w:rPr>
          <w:rFonts w:ascii="Palatino Linotype" w:eastAsia="Palatino Linotype" w:hAnsi="Palatino Linotype" w:cs="Palatino Linotype"/>
          <w:sz w:val="24"/>
          <w:szCs w:val="24"/>
        </w:rPr>
        <w:t xml:space="preserve">la respuesta del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sz w:val="24"/>
          <w:szCs w:val="24"/>
        </w:rPr>
        <w:t xml:space="preserve">este </w:t>
      </w:r>
      <w:r>
        <w:rPr>
          <w:rFonts w:ascii="Palatino Linotype" w:eastAsia="Palatino Linotype" w:hAnsi="Palatino Linotype" w:cs="Palatino Linotype"/>
          <w:b/>
          <w:bCs/>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rsidR="009450BF" w:rsidRDefault="009450BF">
      <w:pPr>
        <w:pBdr>
          <w:top w:val="nil"/>
          <w:left w:val="nil"/>
          <w:bottom w:val="nil"/>
          <w:right w:val="nil"/>
          <w:between w:val="nil"/>
        </w:pBdr>
        <w:ind w:left="720" w:right="-787"/>
        <w:rPr>
          <w:rFonts w:ascii="Palatino Linotype" w:eastAsia="Palatino Linotype" w:hAnsi="Palatino Linotype" w:cs="Palatino Linotype"/>
          <w:color w:val="000000"/>
          <w:sz w:val="24"/>
          <w:szCs w:val="24"/>
        </w:rPr>
      </w:pPr>
    </w:p>
    <w:p w:rsidR="009450BF" w:rsidRDefault="0058428F">
      <w:pPr>
        <w:pStyle w:val="Ttulo1"/>
        <w:spacing w:before="0" w:line="360" w:lineRule="auto"/>
        <w:ind w:right="-787"/>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9450BF" w:rsidRDefault="009450BF">
      <w:pPr>
        <w:spacing w:line="360" w:lineRule="auto"/>
        <w:ind w:right="49"/>
        <w:rPr>
          <w:rFonts w:ascii="Palatino Linotype" w:eastAsia="Palatino Linotype" w:hAnsi="Palatino Linotype" w:cs="Palatino Linotype"/>
          <w:sz w:val="24"/>
          <w:szCs w:val="24"/>
        </w:rPr>
      </w:pPr>
    </w:p>
    <w:p w:rsidR="009450BF" w:rsidRDefault="0058428F">
      <w:pPr>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PRIMERO</w:t>
      </w:r>
      <w:r w:rsidR="00501D47">
        <w:rPr>
          <w:rFonts w:ascii="Palatino Linotype" w:eastAsia="Palatino Linotype" w:hAnsi="Palatino Linotype" w:cs="Palatino Linotype"/>
          <w:sz w:val="24"/>
          <w:szCs w:val="24"/>
        </w:rPr>
        <w:t xml:space="preserve">. Resultan </w:t>
      </w:r>
      <w:r>
        <w:rPr>
          <w:rFonts w:ascii="Palatino Linotype" w:eastAsia="Palatino Linotype" w:hAnsi="Palatino Linotype" w:cs="Palatino Linotype"/>
          <w:sz w:val="24"/>
          <w:szCs w:val="24"/>
        </w:rPr>
        <w:t>fundadas las razones o motivos de inconformidad hechos valer en el Recurso de Revisión</w:t>
      </w:r>
      <w:r>
        <w:rPr>
          <w:rFonts w:ascii="Palatino Linotype" w:eastAsia="Palatino Linotype" w:hAnsi="Palatino Linotype" w:cs="Palatino Linotype"/>
          <w:b/>
          <w:bCs/>
          <w:sz w:val="24"/>
          <w:szCs w:val="24"/>
        </w:rPr>
        <w:t xml:space="preserve"> 07683/INFOEM/IP/RR/2025, </w:t>
      </w:r>
      <w:r>
        <w:rPr>
          <w:rFonts w:ascii="Palatino Linotype" w:eastAsia="Palatino Linotype" w:hAnsi="Palatino Linotype" w:cs="Palatino Linotype"/>
          <w:sz w:val="24"/>
          <w:szCs w:val="24"/>
        </w:rPr>
        <w:t xml:space="preserve">en términos del Considerando </w:t>
      </w:r>
      <w:r>
        <w:rPr>
          <w:rFonts w:ascii="Palatino Linotype" w:eastAsia="Palatino Linotype" w:hAnsi="Palatino Linotype" w:cs="Palatino Linotype"/>
          <w:b/>
          <w:bCs/>
          <w:sz w:val="24"/>
          <w:szCs w:val="24"/>
        </w:rPr>
        <w:t xml:space="preserve">Cuarto y Quinto </w:t>
      </w:r>
      <w:r>
        <w:rPr>
          <w:rFonts w:ascii="Palatino Linotype" w:eastAsia="Palatino Linotype" w:hAnsi="Palatino Linotype" w:cs="Palatino Linotype"/>
          <w:sz w:val="24"/>
          <w:szCs w:val="24"/>
        </w:rPr>
        <w:t xml:space="preserve">de la presente resolución. </w:t>
      </w:r>
    </w:p>
    <w:p w:rsidR="009450BF" w:rsidRDefault="009450BF">
      <w:pPr>
        <w:spacing w:line="360" w:lineRule="auto"/>
        <w:ind w:right="49"/>
        <w:jc w:val="both"/>
        <w:rPr>
          <w:rFonts w:ascii="Palatino Linotype" w:eastAsia="Palatino Linotype" w:hAnsi="Palatino Linotype" w:cs="Palatino Linotype"/>
          <w:sz w:val="24"/>
          <w:szCs w:val="24"/>
        </w:rPr>
      </w:pPr>
    </w:p>
    <w:p w:rsidR="009450BF" w:rsidRDefault="0058428F">
      <w:pPr>
        <w:spacing w:line="360" w:lineRule="auto"/>
        <w:ind w:right="49"/>
        <w:jc w:val="both"/>
        <w:rPr>
          <w:rFonts w:ascii="Palatino Linotype" w:eastAsia="Palatino Linotype" w:hAnsi="Palatino Linotype" w:cs="Palatino Linotype"/>
          <w:sz w:val="24"/>
          <w:szCs w:val="24"/>
        </w:rPr>
      </w:pPr>
      <w:bookmarkStart w:id="10" w:name="_heading=h.1ksv4uv" w:colFirst="0" w:colLast="0"/>
      <w:bookmarkEnd w:id="10"/>
      <w:r>
        <w:rPr>
          <w:rFonts w:ascii="Palatino Linotype" w:eastAsia="Palatino Linotype" w:hAnsi="Palatino Linotype" w:cs="Palatino Linotype"/>
          <w:b/>
          <w:bCs/>
          <w:sz w:val="24"/>
          <w:szCs w:val="24"/>
        </w:rPr>
        <w:t xml:space="preserve">SEGUNDO.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bCs/>
          <w:color w:val="000000"/>
          <w:sz w:val="24"/>
          <w:szCs w:val="24"/>
        </w:rPr>
        <w:t xml:space="preserve">REVOCA </w:t>
      </w:r>
      <w:r>
        <w:rPr>
          <w:rFonts w:ascii="Palatino Linotype" w:eastAsia="Palatino Linotype" w:hAnsi="Palatino Linotype" w:cs="Palatino Linotype"/>
          <w:color w:val="000000"/>
          <w:sz w:val="24"/>
          <w:szCs w:val="24"/>
        </w:rPr>
        <w:t xml:space="preserve">la respuesta emitida por el </w:t>
      </w:r>
      <w:r>
        <w:rPr>
          <w:rFonts w:ascii="Palatino Linotype" w:eastAsia="Palatino Linotype" w:hAnsi="Palatino Linotype" w:cs="Palatino Linotype"/>
          <w:b/>
          <w:bCs/>
          <w:color w:val="000000"/>
          <w:sz w:val="24"/>
          <w:szCs w:val="24"/>
        </w:rPr>
        <w:t xml:space="preserve">Ayuntamiento de Atizapán de Zaragoza </w:t>
      </w:r>
      <w:r>
        <w:rPr>
          <w:rFonts w:ascii="Palatino Linotype" w:eastAsia="Palatino Linotype" w:hAnsi="Palatino Linotype" w:cs="Palatino Linotype"/>
          <w:color w:val="000000"/>
          <w:sz w:val="24"/>
          <w:szCs w:val="24"/>
        </w:rPr>
        <w:t xml:space="preserve">y se </w:t>
      </w:r>
      <w:r>
        <w:rPr>
          <w:rFonts w:ascii="Palatino Linotype" w:eastAsia="Palatino Linotype" w:hAnsi="Palatino Linotype" w:cs="Palatino Linotype"/>
          <w:b/>
          <w:bCs/>
          <w:color w:val="000000"/>
          <w:sz w:val="24"/>
          <w:szCs w:val="24"/>
        </w:rPr>
        <w:t>ORDENA</w:t>
      </w:r>
      <w:r>
        <w:rPr>
          <w:rFonts w:ascii="Palatino Linotype" w:eastAsia="Palatino Linotype" w:hAnsi="Palatino Linotype" w:cs="Palatino Linotype"/>
          <w:color w:val="000000"/>
          <w:sz w:val="24"/>
          <w:szCs w:val="24"/>
        </w:rPr>
        <w:t xml:space="preserve"> entregar vía Sistema de Acceso a la Información, de ser procedente</w:t>
      </w:r>
      <w:r>
        <w:rPr>
          <w:rFonts w:ascii="Palatino Linotype" w:eastAsia="Palatino Linotype" w:hAnsi="Palatino Linotype" w:cs="Palatino Linotype"/>
          <w:sz w:val="24"/>
          <w:szCs w:val="24"/>
        </w:rPr>
        <w:t xml:space="preserve"> en versión pública, lo siguiente: </w:t>
      </w:r>
    </w:p>
    <w:p w:rsidR="009450BF" w:rsidRDefault="0058428F">
      <w:pPr>
        <w:numPr>
          <w:ilvl w:val="0"/>
          <w:numId w:val="6"/>
        </w:numPr>
        <w:pBdr>
          <w:top w:val="nil"/>
          <w:left w:val="nil"/>
          <w:bottom w:val="nil"/>
          <w:right w:val="nil"/>
          <w:between w:val="nil"/>
        </w:pBdr>
        <w:spacing w:after="0" w:line="360" w:lineRule="auto"/>
        <w:ind w:right="616"/>
        <w:jc w:val="both"/>
        <w:rPr>
          <w:rFonts w:ascii="Palatino Linotype" w:eastAsia="Palatino Linotype" w:hAnsi="Palatino Linotype" w:cs="Palatino Linotype"/>
          <w:b/>
          <w:bCs/>
          <w:color w:val="000000"/>
          <w:sz w:val="24"/>
          <w:szCs w:val="24"/>
        </w:rPr>
      </w:pPr>
      <w:bookmarkStart w:id="11" w:name="_heading=h.lnxbz9" w:colFirst="0" w:colLast="0"/>
      <w:bookmarkEnd w:id="11"/>
      <w:r>
        <w:rPr>
          <w:rFonts w:ascii="Palatino Linotype" w:eastAsia="Palatino Linotype" w:hAnsi="Palatino Linotype" w:cs="Palatino Linotype"/>
          <w:b/>
          <w:bCs/>
          <w:color w:val="000000"/>
          <w:sz w:val="24"/>
          <w:szCs w:val="24"/>
        </w:rPr>
        <w:t xml:space="preserve">Oficios recibidos por la Dirección de Administración, incluyendo anexos, del mes de abril del año dos mil veinticinco. </w:t>
      </w:r>
    </w:p>
    <w:p w:rsidR="006E22DA" w:rsidRDefault="006E22DA">
      <w:pPr>
        <w:spacing w:line="360" w:lineRule="auto"/>
        <w:ind w:right="49"/>
        <w:jc w:val="both"/>
        <w:rPr>
          <w:rFonts w:ascii="Palatino Linotype" w:eastAsia="Palatino Linotype" w:hAnsi="Palatino Linotype" w:cs="Palatino Linotype"/>
          <w:b/>
          <w:bCs/>
        </w:rPr>
      </w:pPr>
    </w:p>
    <w:p w:rsidR="009450BF" w:rsidRDefault="0058428F">
      <w:pPr>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w:t>
      </w:r>
      <w:r>
        <w:rPr>
          <w:rFonts w:ascii="Palatino Linotype" w:eastAsia="Palatino Linotype" w:hAnsi="Palatino Linotype" w:cs="Palatino Linotype"/>
          <w:sz w:val="24"/>
          <w:szCs w:val="24"/>
        </w:rPr>
        <w:lastRenderedPageBreak/>
        <w:t xml:space="preserve">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sz w:val="24"/>
          <w:szCs w:val="24"/>
        </w:rPr>
        <w:t>RECURRENTE.</w:t>
      </w:r>
    </w:p>
    <w:p w:rsidR="009450BF" w:rsidRDefault="009450BF">
      <w:pPr>
        <w:tabs>
          <w:tab w:val="left" w:pos="8080"/>
        </w:tabs>
        <w:spacing w:line="360" w:lineRule="auto"/>
        <w:ind w:right="49"/>
        <w:jc w:val="both"/>
        <w:rPr>
          <w:rFonts w:ascii="Palatino Linotype" w:eastAsia="Palatino Linotype" w:hAnsi="Palatino Linotype" w:cs="Palatino Linotype"/>
          <w:sz w:val="24"/>
          <w:szCs w:val="24"/>
        </w:rPr>
      </w:pPr>
    </w:p>
    <w:p w:rsidR="009450BF" w:rsidRDefault="0058428F">
      <w:pPr>
        <w:tabs>
          <w:tab w:val="left" w:pos="8080"/>
        </w:tabs>
        <w:spacing w:line="360" w:lineRule="auto"/>
        <w:ind w:right="49"/>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b/>
          <w:bCs/>
          <w:sz w:val="24"/>
          <w:szCs w:val="24"/>
        </w:rPr>
        <w:t xml:space="preserve">TERCERO. </w:t>
      </w:r>
      <w:r>
        <w:rPr>
          <w:rFonts w:ascii="Palatino Linotype" w:eastAsia="Palatino Linotype" w:hAnsi="Palatino Linotype" w:cs="Palatino Linotype"/>
          <w:color w:val="222222"/>
          <w:sz w:val="24"/>
          <w:szCs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sz w:val="24"/>
          <w:szCs w:val="24"/>
        </w:rPr>
        <w:t xml:space="preserve">dé cumplimiento a lo ordenado dentro del plazo de diez días hábiles, </w:t>
      </w:r>
      <w:r>
        <w:rPr>
          <w:rFonts w:ascii="Palatino Linotype" w:eastAsia="Palatino Linotype" w:hAnsi="Palatino Linotype" w:cs="Palatino Linotype"/>
          <w:color w:val="222222"/>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9450BF" w:rsidRDefault="009450BF">
      <w:pPr>
        <w:tabs>
          <w:tab w:val="left" w:pos="8080"/>
        </w:tabs>
        <w:spacing w:line="360" w:lineRule="auto"/>
        <w:ind w:right="49"/>
        <w:jc w:val="both"/>
        <w:rPr>
          <w:rFonts w:ascii="Palatino Linotype" w:eastAsia="Palatino Linotype" w:hAnsi="Palatino Linotype" w:cs="Palatino Linotype"/>
          <w:color w:val="222222"/>
          <w:sz w:val="24"/>
          <w:szCs w:val="24"/>
        </w:rPr>
      </w:pPr>
    </w:p>
    <w:p w:rsidR="009450BF" w:rsidRDefault="0058428F">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9450BF" w:rsidRDefault="009450BF">
      <w:pPr>
        <w:spacing w:line="360" w:lineRule="auto"/>
        <w:ind w:right="49"/>
        <w:jc w:val="both"/>
        <w:rPr>
          <w:rFonts w:ascii="Palatino Linotype" w:eastAsia="Palatino Linotype" w:hAnsi="Palatino Linotype" w:cs="Palatino Linotype"/>
          <w:sz w:val="24"/>
          <w:szCs w:val="24"/>
        </w:rPr>
      </w:pPr>
    </w:p>
    <w:p w:rsidR="009450BF" w:rsidRDefault="0058428F">
      <w:pPr>
        <w:spacing w:line="360" w:lineRule="auto"/>
        <w:ind w:right="49"/>
        <w:jc w:val="both"/>
        <w:rPr>
          <w:rFonts w:ascii="Palatino Linotype" w:eastAsia="Palatino Linotype" w:hAnsi="Palatino Linotype" w:cs="Palatino Linotype"/>
          <w:sz w:val="24"/>
          <w:szCs w:val="24"/>
        </w:rPr>
      </w:pPr>
      <w:bookmarkStart w:id="12" w:name="_heading=h.2jxsxqh" w:colFirst="0" w:colLast="0"/>
      <w:bookmarkEnd w:id="12"/>
      <w:r>
        <w:rPr>
          <w:rFonts w:ascii="Palatino Linotype" w:eastAsia="Palatino Linotype" w:hAnsi="Palatino Linotype" w:cs="Palatino Linotype"/>
          <w:b/>
          <w:bCs/>
          <w:sz w:val="24"/>
          <w:szCs w:val="24"/>
        </w:rPr>
        <w:t xml:space="preserve">QUINTO. </w:t>
      </w:r>
      <w:r>
        <w:rPr>
          <w:rFonts w:ascii="Palatino Linotype" w:eastAsia="Palatino Linotype" w:hAnsi="Palatino Linotype" w:cs="Palatino Linotype"/>
          <w:sz w:val="24"/>
          <w:szCs w:val="24"/>
        </w:rPr>
        <w:t xml:space="preserve">Notifíquese a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la presente resolución, vía SAIMEX.</w:t>
      </w:r>
    </w:p>
    <w:p w:rsidR="009450BF" w:rsidRDefault="009450BF">
      <w:pPr>
        <w:shd w:val="clear" w:color="auto" w:fill="FFFFFF"/>
        <w:spacing w:line="360" w:lineRule="auto"/>
        <w:ind w:right="49"/>
        <w:jc w:val="both"/>
        <w:rPr>
          <w:rFonts w:ascii="Palatino Linotype" w:eastAsia="Palatino Linotype" w:hAnsi="Palatino Linotype" w:cs="Palatino Linotype"/>
          <w:b/>
          <w:bCs/>
          <w:sz w:val="24"/>
          <w:szCs w:val="24"/>
        </w:rPr>
      </w:pPr>
    </w:p>
    <w:p w:rsidR="009450BF" w:rsidRDefault="0058428F">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lastRenderedPageBreak/>
        <w:t xml:space="preserve">SEXTO. </w:t>
      </w:r>
      <w:r>
        <w:rPr>
          <w:rFonts w:ascii="Palatino Linotype" w:eastAsia="Palatino Linotype" w:hAnsi="Palatino Linotype" w:cs="Palatino Linotype"/>
          <w:sz w:val="24"/>
          <w:szCs w:val="24"/>
        </w:rPr>
        <w:t xml:space="preserve">Se hace del conocimiento del </w:t>
      </w:r>
      <w:r>
        <w:rPr>
          <w:rFonts w:ascii="Palatino Linotype" w:eastAsia="Palatino Linotype" w:hAnsi="Palatino Linotype" w:cs="Palatino Linotype"/>
          <w:b/>
          <w:bCs/>
          <w:sz w:val="24"/>
          <w:szCs w:val="24"/>
        </w:rPr>
        <w:t>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450BF" w:rsidRDefault="009450BF">
      <w:pPr>
        <w:shd w:val="clear" w:color="auto" w:fill="FFFFFF"/>
        <w:spacing w:line="360" w:lineRule="auto"/>
        <w:ind w:right="49"/>
        <w:jc w:val="both"/>
        <w:rPr>
          <w:rFonts w:ascii="Palatino Linotype" w:eastAsia="Palatino Linotype" w:hAnsi="Palatino Linotype" w:cs="Palatino Linotype"/>
          <w:sz w:val="24"/>
          <w:szCs w:val="24"/>
        </w:rPr>
      </w:pPr>
    </w:p>
    <w:p w:rsidR="00501D47" w:rsidRPr="00501D47" w:rsidRDefault="00501D47" w:rsidP="00501D47">
      <w:pPr>
        <w:spacing w:before="240" w:after="240" w:line="360" w:lineRule="auto"/>
        <w:ind w:firstLine="1"/>
        <w:jc w:val="both"/>
        <w:rPr>
          <w:rFonts w:ascii="Palatino Linotype" w:hAnsi="Palatino Linotype"/>
          <w:sz w:val="24"/>
        </w:rPr>
      </w:pPr>
      <w:bookmarkStart w:id="13" w:name="_Hlk99014733"/>
      <w:r w:rsidRPr="00501D47">
        <w:rPr>
          <w:rFonts w:ascii="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501D47">
        <w:rPr>
          <w:rFonts w:ascii="Palatino Linotype" w:hAnsi="Palatino Linotype" w:cs="Palatino Linotype"/>
          <w:color w:val="000000" w:themeColor="text1"/>
          <w:sz w:val="24"/>
        </w:rPr>
        <w:t>ALEXIS TAPIA RAMÍREZ.</w:t>
      </w:r>
    </w:p>
    <w:bookmarkEnd w:id="13"/>
    <w:p w:rsidR="009450BF" w:rsidRPr="00501D47" w:rsidRDefault="009450BF">
      <w:pPr>
        <w:spacing w:before="240" w:after="240" w:line="360" w:lineRule="auto"/>
        <w:ind w:right="-787"/>
        <w:jc w:val="both"/>
        <w:rPr>
          <w:rFonts w:ascii="Palatino Linotype" w:eastAsia="Palatino Linotype" w:hAnsi="Palatino Linotype" w:cs="Palatino Linotype"/>
          <w:sz w:val="24"/>
        </w:rPr>
      </w:pPr>
    </w:p>
    <w:p w:rsidR="009450BF" w:rsidRPr="00501D47" w:rsidRDefault="009450BF">
      <w:pPr>
        <w:spacing w:before="240" w:after="240" w:line="360" w:lineRule="auto"/>
        <w:ind w:right="-787"/>
        <w:jc w:val="both"/>
        <w:rPr>
          <w:rFonts w:ascii="Palatino Linotype" w:eastAsia="Palatino Linotype" w:hAnsi="Palatino Linotype" w:cs="Palatino Linotype"/>
          <w:sz w:val="24"/>
        </w:rPr>
      </w:pPr>
    </w:p>
    <w:p w:rsidR="009450BF" w:rsidRPr="00501D47" w:rsidRDefault="009450BF">
      <w:pPr>
        <w:spacing w:before="240" w:after="240" w:line="360" w:lineRule="auto"/>
        <w:ind w:right="-787"/>
        <w:jc w:val="both"/>
        <w:rPr>
          <w:rFonts w:ascii="Palatino Linotype" w:eastAsia="Palatino Linotype" w:hAnsi="Palatino Linotype" w:cs="Palatino Linotype"/>
          <w:sz w:val="24"/>
        </w:rPr>
      </w:pPr>
    </w:p>
    <w:p w:rsidR="009450BF" w:rsidRDefault="009450BF">
      <w:pPr>
        <w:spacing w:before="240" w:after="240" w:line="360" w:lineRule="auto"/>
        <w:ind w:right="-787"/>
        <w:jc w:val="both"/>
        <w:rPr>
          <w:rFonts w:ascii="Palatino Linotype" w:eastAsia="Palatino Linotype" w:hAnsi="Palatino Linotype" w:cs="Palatino Linotype"/>
        </w:rPr>
      </w:pPr>
    </w:p>
    <w:p w:rsidR="009450BF" w:rsidRDefault="009450BF">
      <w:pPr>
        <w:spacing w:line="360" w:lineRule="auto"/>
        <w:ind w:right="-787"/>
        <w:jc w:val="both"/>
        <w:rPr>
          <w:rFonts w:ascii="Palatino Linotype" w:eastAsia="Palatino Linotype" w:hAnsi="Palatino Linotype" w:cs="Palatino Linotype"/>
        </w:rPr>
      </w:pPr>
    </w:p>
    <w:p w:rsidR="009450BF" w:rsidRDefault="009450BF">
      <w:pPr>
        <w:spacing w:after="0" w:line="360" w:lineRule="auto"/>
        <w:jc w:val="both"/>
        <w:rPr>
          <w:rFonts w:ascii="Palatino Linotype" w:eastAsia="Palatino Linotype" w:hAnsi="Palatino Linotype" w:cs="Palatino Linotype"/>
          <w:i/>
          <w:iCs/>
        </w:rPr>
      </w:pPr>
    </w:p>
    <w:p w:rsidR="009450BF" w:rsidRDefault="009450BF">
      <w:pPr>
        <w:spacing w:after="0" w:line="360" w:lineRule="auto"/>
        <w:jc w:val="both"/>
        <w:rPr>
          <w:rFonts w:ascii="Palatino Linotype" w:eastAsia="Palatino Linotype" w:hAnsi="Palatino Linotype" w:cs="Palatino Linotype"/>
          <w:i/>
          <w:iCs/>
        </w:rPr>
      </w:pP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9450BF">
      <w:pPr>
        <w:spacing w:after="0" w:line="360" w:lineRule="auto"/>
        <w:jc w:val="both"/>
        <w:rPr>
          <w:rFonts w:ascii="Palatino Linotype" w:eastAsia="Palatino Linotype" w:hAnsi="Palatino Linotype" w:cs="Palatino Linotype"/>
          <w:sz w:val="24"/>
          <w:szCs w:val="24"/>
        </w:rPr>
      </w:pPr>
    </w:p>
    <w:p w:rsidR="009450BF" w:rsidRDefault="009450BF"/>
    <w:sectPr w:rsidR="009450BF" w:rsidSect="00A56AD4">
      <w:headerReference w:type="even" r:id="rId8"/>
      <w:headerReference w:type="default" r:id="rId9"/>
      <w:footerReference w:type="default" r:id="rId10"/>
      <w:headerReference w:type="first" r:id="rId11"/>
      <w:footerReference w:type="first" r:id="rId12"/>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D1A" w:rsidRDefault="00A63D1A">
      <w:pPr>
        <w:spacing w:after="0" w:line="240" w:lineRule="auto"/>
      </w:pPr>
      <w:r>
        <w:separator/>
      </w:r>
    </w:p>
  </w:endnote>
  <w:endnote w:type="continuationSeparator" w:id="0">
    <w:p w:rsidR="00A63D1A" w:rsidRDefault="00A63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2944E3DA-2323-4508-9D48-B342EC1CD710}"/>
    <w:embedBold r:id="rId2" w:fontKey="{A6E9C03B-C4F3-48CF-A7CA-5D7BC40AE9B2}"/>
    <w:embedItalic r:id="rId3" w:fontKey="{9F45DC44-7B67-4892-AE6C-229E494FFD04}"/>
    <w:embedBoldItalic r:id="rId4" w:fontKey="{380C203D-32C3-4F33-A2B6-085EC5C95A6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55332EE-0264-4E0A-B995-A21EFE841838}"/>
  </w:font>
  <w:font w:name="Calibri">
    <w:panose1 w:val="020F0502020204030204"/>
    <w:charset w:val="00"/>
    <w:family w:val="swiss"/>
    <w:pitch w:val="variable"/>
    <w:sig w:usb0="E4002EFF" w:usb1="C200247B" w:usb2="00000009" w:usb3="00000000" w:csb0="000001FF" w:csb1="00000000"/>
    <w:embedRegular r:id="rId6" w:fontKey="{96527C81-45B4-4432-9899-5E2EDBE1BCEF}"/>
    <w:embedBold r:id="rId7" w:fontKey="{9240FF29-F936-4EAF-AA08-D3839C3DFE9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D6B1502C-C15B-4CE5-A4F8-F1776D69229C}"/>
  </w:font>
  <w:font w:name="Georgia">
    <w:panose1 w:val="02040502050405020303"/>
    <w:charset w:val="00"/>
    <w:family w:val="roman"/>
    <w:pitch w:val="variable"/>
    <w:sig w:usb0="00000287" w:usb1="00000000" w:usb2="00000000" w:usb3="00000000" w:csb0="0000009F" w:csb1="00000000"/>
    <w:embedItalic r:id="rId9" w:fontKey="{B76131F0-F0E3-45C2-B0BC-B1F6E68073C9}"/>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BF" w:rsidRPr="00A56AD4" w:rsidRDefault="0058428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A56AD4">
      <w:rPr>
        <w:rFonts w:ascii="Palatino Linotype" w:eastAsia="Palatino Linotype" w:hAnsi="Palatino Linotype" w:cs="Palatino Linotype"/>
        <w:color w:val="000000"/>
        <w:szCs w:val="20"/>
      </w:rPr>
      <w:t xml:space="preserve">Página </w:t>
    </w:r>
    <w:r w:rsidRPr="00A56AD4">
      <w:rPr>
        <w:rFonts w:ascii="Palatino Linotype" w:eastAsia="Palatino Linotype" w:hAnsi="Palatino Linotype" w:cs="Palatino Linotype"/>
        <w:color w:val="000000"/>
        <w:szCs w:val="20"/>
      </w:rPr>
      <w:fldChar w:fldCharType="begin"/>
    </w:r>
    <w:r w:rsidRPr="00A56AD4">
      <w:rPr>
        <w:rFonts w:ascii="Palatino Linotype" w:eastAsia="Palatino Linotype" w:hAnsi="Palatino Linotype" w:cs="Palatino Linotype"/>
        <w:color w:val="000000"/>
        <w:szCs w:val="20"/>
      </w:rPr>
      <w:instrText>PAGE</w:instrText>
    </w:r>
    <w:r w:rsidRPr="00A56AD4">
      <w:rPr>
        <w:rFonts w:ascii="Palatino Linotype" w:eastAsia="Palatino Linotype" w:hAnsi="Palatino Linotype" w:cs="Palatino Linotype"/>
        <w:color w:val="000000"/>
        <w:szCs w:val="20"/>
      </w:rPr>
      <w:fldChar w:fldCharType="separate"/>
    </w:r>
    <w:r w:rsidR="00806A45">
      <w:rPr>
        <w:rFonts w:ascii="Palatino Linotype" w:eastAsia="Palatino Linotype" w:hAnsi="Palatino Linotype" w:cs="Palatino Linotype"/>
        <w:noProof/>
        <w:color w:val="000000"/>
        <w:szCs w:val="20"/>
      </w:rPr>
      <w:t>21</w:t>
    </w:r>
    <w:r w:rsidRPr="00A56AD4">
      <w:rPr>
        <w:rFonts w:ascii="Palatino Linotype" w:eastAsia="Palatino Linotype" w:hAnsi="Palatino Linotype" w:cs="Palatino Linotype"/>
        <w:color w:val="000000"/>
        <w:szCs w:val="20"/>
      </w:rPr>
      <w:fldChar w:fldCharType="end"/>
    </w:r>
    <w:r w:rsidRPr="00A56AD4">
      <w:rPr>
        <w:rFonts w:ascii="Palatino Linotype" w:eastAsia="Palatino Linotype" w:hAnsi="Palatino Linotype" w:cs="Palatino Linotype"/>
        <w:color w:val="000000"/>
        <w:szCs w:val="20"/>
      </w:rPr>
      <w:t xml:space="preserve"> de </w:t>
    </w:r>
    <w:r w:rsidRPr="00A56AD4">
      <w:rPr>
        <w:rFonts w:ascii="Palatino Linotype" w:eastAsia="Palatino Linotype" w:hAnsi="Palatino Linotype" w:cs="Palatino Linotype"/>
        <w:color w:val="000000"/>
        <w:szCs w:val="20"/>
      </w:rPr>
      <w:fldChar w:fldCharType="begin"/>
    </w:r>
    <w:r w:rsidRPr="00A56AD4">
      <w:rPr>
        <w:rFonts w:ascii="Palatino Linotype" w:eastAsia="Palatino Linotype" w:hAnsi="Palatino Linotype" w:cs="Palatino Linotype"/>
        <w:color w:val="000000"/>
        <w:szCs w:val="20"/>
      </w:rPr>
      <w:instrText>NUMPAGES</w:instrText>
    </w:r>
    <w:r w:rsidRPr="00A56AD4">
      <w:rPr>
        <w:rFonts w:ascii="Palatino Linotype" w:eastAsia="Palatino Linotype" w:hAnsi="Palatino Linotype" w:cs="Palatino Linotype"/>
        <w:color w:val="000000"/>
        <w:szCs w:val="20"/>
      </w:rPr>
      <w:fldChar w:fldCharType="separate"/>
    </w:r>
    <w:r w:rsidR="00806A45">
      <w:rPr>
        <w:rFonts w:ascii="Palatino Linotype" w:eastAsia="Palatino Linotype" w:hAnsi="Palatino Linotype" w:cs="Palatino Linotype"/>
        <w:noProof/>
        <w:color w:val="000000"/>
        <w:szCs w:val="20"/>
      </w:rPr>
      <w:t>24</w:t>
    </w:r>
    <w:r w:rsidRPr="00A56AD4">
      <w:rPr>
        <w:rFonts w:ascii="Palatino Linotype" w:eastAsia="Palatino Linotype" w:hAnsi="Palatino Linotype" w:cs="Palatino Linotype"/>
        <w:color w:val="000000"/>
        <w:szCs w:val="20"/>
      </w:rPr>
      <w:fldChar w:fldCharType="end"/>
    </w:r>
  </w:p>
  <w:p w:rsidR="009450BF" w:rsidRDefault="009450BF">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BF" w:rsidRPr="00A56AD4" w:rsidRDefault="0058428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A56AD4">
      <w:rPr>
        <w:rFonts w:ascii="Palatino Linotype" w:eastAsia="Palatino Linotype" w:hAnsi="Palatino Linotype" w:cs="Palatino Linotype"/>
        <w:color w:val="000000"/>
        <w:szCs w:val="20"/>
      </w:rPr>
      <w:t xml:space="preserve">Página </w:t>
    </w:r>
    <w:r w:rsidRPr="00A56AD4">
      <w:rPr>
        <w:rFonts w:ascii="Palatino Linotype" w:eastAsia="Palatino Linotype" w:hAnsi="Palatino Linotype" w:cs="Palatino Linotype"/>
        <w:color w:val="000000"/>
        <w:szCs w:val="20"/>
      </w:rPr>
      <w:fldChar w:fldCharType="begin"/>
    </w:r>
    <w:r w:rsidRPr="00A56AD4">
      <w:rPr>
        <w:rFonts w:ascii="Palatino Linotype" w:eastAsia="Palatino Linotype" w:hAnsi="Palatino Linotype" w:cs="Palatino Linotype"/>
        <w:color w:val="000000"/>
        <w:szCs w:val="20"/>
      </w:rPr>
      <w:instrText>PAGE</w:instrText>
    </w:r>
    <w:r w:rsidRPr="00A56AD4">
      <w:rPr>
        <w:rFonts w:ascii="Palatino Linotype" w:eastAsia="Palatino Linotype" w:hAnsi="Palatino Linotype" w:cs="Palatino Linotype"/>
        <w:color w:val="000000"/>
        <w:szCs w:val="20"/>
      </w:rPr>
      <w:fldChar w:fldCharType="separate"/>
    </w:r>
    <w:r w:rsidR="00806A45">
      <w:rPr>
        <w:rFonts w:ascii="Palatino Linotype" w:eastAsia="Palatino Linotype" w:hAnsi="Palatino Linotype" w:cs="Palatino Linotype"/>
        <w:noProof/>
        <w:color w:val="000000"/>
        <w:szCs w:val="20"/>
      </w:rPr>
      <w:t>1</w:t>
    </w:r>
    <w:r w:rsidRPr="00A56AD4">
      <w:rPr>
        <w:rFonts w:ascii="Palatino Linotype" w:eastAsia="Palatino Linotype" w:hAnsi="Palatino Linotype" w:cs="Palatino Linotype"/>
        <w:color w:val="000000"/>
        <w:szCs w:val="20"/>
      </w:rPr>
      <w:fldChar w:fldCharType="end"/>
    </w:r>
    <w:r w:rsidRPr="00A56AD4">
      <w:rPr>
        <w:rFonts w:ascii="Palatino Linotype" w:eastAsia="Palatino Linotype" w:hAnsi="Palatino Linotype" w:cs="Palatino Linotype"/>
        <w:color w:val="000000"/>
        <w:szCs w:val="20"/>
      </w:rPr>
      <w:t xml:space="preserve"> de </w:t>
    </w:r>
    <w:r w:rsidRPr="00A56AD4">
      <w:rPr>
        <w:rFonts w:ascii="Palatino Linotype" w:eastAsia="Palatino Linotype" w:hAnsi="Palatino Linotype" w:cs="Palatino Linotype"/>
        <w:color w:val="000000"/>
        <w:szCs w:val="20"/>
      </w:rPr>
      <w:fldChar w:fldCharType="begin"/>
    </w:r>
    <w:r w:rsidRPr="00A56AD4">
      <w:rPr>
        <w:rFonts w:ascii="Palatino Linotype" w:eastAsia="Palatino Linotype" w:hAnsi="Palatino Linotype" w:cs="Palatino Linotype"/>
        <w:color w:val="000000"/>
        <w:szCs w:val="20"/>
      </w:rPr>
      <w:instrText>NUMPAGES</w:instrText>
    </w:r>
    <w:r w:rsidRPr="00A56AD4">
      <w:rPr>
        <w:rFonts w:ascii="Palatino Linotype" w:eastAsia="Palatino Linotype" w:hAnsi="Palatino Linotype" w:cs="Palatino Linotype"/>
        <w:color w:val="000000"/>
        <w:szCs w:val="20"/>
      </w:rPr>
      <w:fldChar w:fldCharType="separate"/>
    </w:r>
    <w:r w:rsidR="00806A45">
      <w:rPr>
        <w:rFonts w:ascii="Palatino Linotype" w:eastAsia="Palatino Linotype" w:hAnsi="Palatino Linotype" w:cs="Palatino Linotype"/>
        <w:noProof/>
        <w:color w:val="000000"/>
        <w:szCs w:val="20"/>
      </w:rPr>
      <w:t>24</w:t>
    </w:r>
    <w:r w:rsidRPr="00A56AD4">
      <w:rPr>
        <w:rFonts w:ascii="Palatino Linotype" w:eastAsia="Palatino Linotype" w:hAnsi="Palatino Linotype" w:cs="Palatino Linotype"/>
        <w:color w:val="000000"/>
        <w:szCs w:val="20"/>
      </w:rPr>
      <w:fldChar w:fldCharType="end"/>
    </w:r>
  </w:p>
  <w:p w:rsidR="009450BF" w:rsidRDefault="009450BF">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D1A" w:rsidRDefault="00A63D1A">
      <w:pPr>
        <w:spacing w:after="0" w:line="240" w:lineRule="auto"/>
      </w:pPr>
      <w:r>
        <w:separator/>
      </w:r>
    </w:p>
  </w:footnote>
  <w:footnote w:type="continuationSeparator" w:id="0">
    <w:p w:rsidR="00A63D1A" w:rsidRDefault="00A63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BF" w:rsidRDefault="00A63D1A">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654" w:type="dxa"/>
      <w:tblInd w:w="2268" w:type="dxa"/>
      <w:tblLayout w:type="fixed"/>
      <w:tblLook w:val="0400" w:firstRow="0" w:lastRow="0" w:firstColumn="0" w:lastColumn="0" w:noHBand="0" w:noVBand="1"/>
    </w:tblPr>
    <w:tblGrid>
      <w:gridCol w:w="2976"/>
      <w:gridCol w:w="4678"/>
    </w:tblGrid>
    <w:tr w:rsidR="009450BF" w:rsidTr="00A56AD4">
      <w:trPr>
        <w:trHeight w:val="227"/>
      </w:trPr>
      <w:tc>
        <w:tcPr>
          <w:tcW w:w="2976" w:type="dxa"/>
          <w:vAlign w:val="center"/>
        </w:tcPr>
        <w:p w:rsidR="009450BF" w:rsidRPr="00A56AD4" w:rsidRDefault="0058428F">
          <w:pPr>
            <w:spacing w:after="0"/>
            <w:ind w:right="34"/>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Recurso de Revisión:</w:t>
          </w:r>
        </w:p>
      </w:tc>
      <w:tc>
        <w:tcPr>
          <w:tcW w:w="4678" w:type="dxa"/>
          <w:vAlign w:val="center"/>
        </w:tcPr>
        <w:p w:rsidR="009450BF" w:rsidRPr="00A56AD4" w:rsidRDefault="0058428F" w:rsidP="00A56AD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07683/INFOEM/IP/RR/2025</w:t>
          </w:r>
        </w:p>
      </w:tc>
    </w:tr>
    <w:tr w:rsidR="009450BF" w:rsidTr="00A56AD4">
      <w:trPr>
        <w:trHeight w:val="242"/>
      </w:trPr>
      <w:tc>
        <w:tcPr>
          <w:tcW w:w="2976" w:type="dxa"/>
          <w:vAlign w:val="center"/>
        </w:tcPr>
        <w:p w:rsidR="009450BF" w:rsidRPr="00A56AD4" w:rsidRDefault="0058428F">
          <w:pPr>
            <w:spacing w:after="0"/>
            <w:ind w:right="34"/>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Sujeto Obligado:</w:t>
          </w:r>
        </w:p>
      </w:tc>
      <w:tc>
        <w:tcPr>
          <w:tcW w:w="4678" w:type="dxa"/>
          <w:vAlign w:val="center"/>
        </w:tcPr>
        <w:p w:rsidR="009450BF" w:rsidRPr="00A56AD4" w:rsidRDefault="0058428F" w:rsidP="00A56AD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Ayuntamiento de Atizapán de Zaragoza</w:t>
          </w:r>
        </w:p>
      </w:tc>
    </w:tr>
    <w:tr w:rsidR="009450BF" w:rsidTr="00A56AD4">
      <w:trPr>
        <w:trHeight w:val="342"/>
      </w:trPr>
      <w:tc>
        <w:tcPr>
          <w:tcW w:w="2976" w:type="dxa"/>
          <w:vAlign w:val="center"/>
        </w:tcPr>
        <w:p w:rsidR="009450BF" w:rsidRPr="00A56AD4" w:rsidRDefault="0058428F">
          <w:pPr>
            <w:spacing w:after="0"/>
            <w:ind w:right="34"/>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Comisionada Ponente:</w:t>
          </w:r>
        </w:p>
      </w:tc>
      <w:tc>
        <w:tcPr>
          <w:tcW w:w="4678" w:type="dxa"/>
          <w:vAlign w:val="center"/>
        </w:tcPr>
        <w:p w:rsidR="009450BF" w:rsidRPr="00A56AD4" w:rsidRDefault="0058428F" w:rsidP="00A56AD4">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María del Rosario Mejía Ayala</w:t>
          </w:r>
        </w:p>
      </w:tc>
    </w:tr>
  </w:tbl>
  <w:p w:rsidR="009450BF" w:rsidRDefault="00A63D1A">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0.25pt;margin-top:-127.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3" w:type="dxa"/>
      <w:tblInd w:w="2410" w:type="dxa"/>
      <w:tblLayout w:type="fixed"/>
      <w:tblLook w:val="0400" w:firstRow="0" w:lastRow="0" w:firstColumn="0" w:lastColumn="0" w:noHBand="0" w:noVBand="1"/>
    </w:tblPr>
    <w:tblGrid>
      <w:gridCol w:w="2977"/>
      <w:gridCol w:w="4536"/>
    </w:tblGrid>
    <w:tr w:rsidR="009450BF" w:rsidTr="00A56AD4">
      <w:trPr>
        <w:trHeight w:val="227"/>
      </w:trPr>
      <w:tc>
        <w:tcPr>
          <w:tcW w:w="2977" w:type="dxa"/>
          <w:vAlign w:val="center"/>
        </w:tcPr>
        <w:p w:rsidR="009450BF" w:rsidRPr="00A56AD4" w:rsidRDefault="0058428F">
          <w:pPr>
            <w:spacing w:after="0" w:line="240" w:lineRule="auto"/>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Recurso de Revisión:</w:t>
          </w:r>
        </w:p>
      </w:tc>
      <w:tc>
        <w:tcPr>
          <w:tcW w:w="4536" w:type="dxa"/>
          <w:vAlign w:val="center"/>
        </w:tcPr>
        <w:p w:rsidR="009450BF" w:rsidRPr="00A56AD4" w:rsidRDefault="0058428F" w:rsidP="00A56AD4">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07683/INFOEM/IP/RR/2025</w:t>
          </w:r>
        </w:p>
      </w:tc>
    </w:tr>
    <w:tr w:rsidR="009450BF" w:rsidTr="00A56AD4">
      <w:trPr>
        <w:trHeight w:val="242"/>
      </w:trPr>
      <w:tc>
        <w:tcPr>
          <w:tcW w:w="2977" w:type="dxa"/>
          <w:vAlign w:val="center"/>
        </w:tcPr>
        <w:p w:rsidR="009450BF" w:rsidRPr="00A56AD4" w:rsidRDefault="0058428F">
          <w:pPr>
            <w:spacing w:after="0" w:line="240" w:lineRule="auto"/>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Recurrente:</w:t>
          </w:r>
        </w:p>
      </w:tc>
      <w:tc>
        <w:tcPr>
          <w:tcW w:w="4536" w:type="dxa"/>
        </w:tcPr>
        <w:p w:rsidR="009450BF" w:rsidRPr="00A56AD4" w:rsidRDefault="00806A45" w:rsidP="00A56AD4">
          <w:pPr>
            <w:pBdr>
              <w:top w:val="nil"/>
              <w:left w:val="nil"/>
              <w:bottom w:val="nil"/>
              <w:right w:val="nil"/>
              <w:between w:val="nil"/>
            </w:pBdr>
            <w:tabs>
              <w:tab w:val="center" w:pos="4419"/>
              <w:tab w:val="right" w:pos="8838"/>
              <w:tab w:val="left" w:pos="521"/>
            </w:tabs>
            <w:spacing w:after="0" w:line="276" w:lineRule="auto"/>
            <w:rPr>
              <w:rFonts w:ascii="Palatino Linotype" w:eastAsia="Palatino Linotype" w:hAnsi="Palatino Linotype" w:cs="Palatino Linotype"/>
              <w:bCs/>
              <w:color w:val="000000"/>
              <w:sz w:val="24"/>
            </w:rPr>
          </w:pPr>
          <w:r>
            <w:rPr>
              <w:rFonts w:ascii="Palatino Linotype" w:eastAsia="Palatino Linotype" w:hAnsi="Palatino Linotype" w:cs="Palatino Linotype"/>
              <w:bCs/>
              <w:color w:val="000000"/>
              <w:sz w:val="24"/>
            </w:rPr>
            <w:t>XXXX</w:t>
          </w:r>
        </w:p>
      </w:tc>
    </w:tr>
    <w:tr w:rsidR="009450BF" w:rsidTr="00A56AD4">
      <w:trPr>
        <w:trHeight w:val="342"/>
      </w:trPr>
      <w:tc>
        <w:tcPr>
          <w:tcW w:w="2977" w:type="dxa"/>
          <w:vAlign w:val="center"/>
        </w:tcPr>
        <w:p w:rsidR="009450BF" w:rsidRPr="00A56AD4" w:rsidRDefault="0058428F">
          <w:pPr>
            <w:spacing w:after="0" w:line="240" w:lineRule="auto"/>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Sujeto Obligado:</w:t>
          </w:r>
        </w:p>
      </w:tc>
      <w:tc>
        <w:tcPr>
          <w:tcW w:w="4536" w:type="dxa"/>
          <w:vAlign w:val="center"/>
        </w:tcPr>
        <w:p w:rsidR="009450BF" w:rsidRPr="00A56AD4" w:rsidRDefault="0058428F" w:rsidP="00A56AD4">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Ayuntamiento de Atizapán de Zaragoza</w:t>
          </w:r>
        </w:p>
      </w:tc>
    </w:tr>
    <w:tr w:rsidR="009450BF" w:rsidTr="00A56AD4">
      <w:trPr>
        <w:trHeight w:val="342"/>
      </w:trPr>
      <w:tc>
        <w:tcPr>
          <w:tcW w:w="2977" w:type="dxa"/>
          <w:vAlign w:val="center"/>
        </w:tcPr>
        <w:p w:rsidR="009450BF" w:rsidRPr="00A56AD4" w:rsidRDefault="0058428F">
          <w:pPr>
            <w:spacing w:after="0" w:line="240" w:lineRule="auto"/>
            <w:jc w:val="right"/>
            <w:rPr>
              <w:rFonts w:ascii="Palatino Linotype" w:eastAsia="Palatino Linotype" w:hAnsi="Palatino Linotype" w:cs="Palatino Linotype"/>
              <w:b/>
              <w:bCs/>
              <w:sz w:val="24"/>
            </w:rPr>
          </w:pPr>
          <w:r w:rsidRPr="00A56AD4">
            <w:rPr>
              <w:rFonts w:ascii="Palatino Linotype" w:eastAsia="Palatino Linotype" w:hAnsi="Palatino Linotype" w:cs="Palatino Linotype"/>
              <w:b/>
              <w:bCs/>
              <w:sz w:val="24"/>
            </w:rPr>
            <w:t>Comisionada Ponente:</w:t>
          </w:r>
        </w:p>
      </w:tc>
      <w:tc>
        <w:tcPr>
          <w:tcW w:w="4536" w:type="dxa"/>
          <w:vAlign w:val="center"/>
        </w:tcPr>
        <w:p w:rsidR="009450BF" w:rsidRPr="00A56AD4" w:rsidRDefault="0058428F" w:rsidP="00A56AD4">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A56AD4">
            <w:rPr>
              <w:rFonts w:ascii="Palatino Linotype" w:eastAsia="Palatino Linotype" w:hAnsi="Palatino Linotype" w:cs="Palatino Linotype"/>
              <w:bCs/>
              <w:color w:val="000000"/>
              <w:sz w:val="24"/>
            </w:rPr>
            <w:t>María del Rosario Mejía Ayala</w:t>
          </w:r>
        </w:p>
      </w:tc>
    </w:tr>
  </w:tbl>
  <w:p w:rsidR="009450BF" w:rsidRDefault="00A63D1A">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A763A"/>
    <w:multiLevelType w:val="multilevel"/>
    <w:tmpl w:val="B41872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B6349F"/>
    <w:multiLevelType w:val="multilevel"/>
    <w:tmpl w:val="FFF87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9F39B6"/>
    <w:multiLevelType w:val="multilevel"/>
    <w:tmpl w:val="8C701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2A512A"/>
    <w:multiLevelType w:val="multilevel"/>
    <w:tmpl w:val="E8BE7F92"/>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5D5D88"/>
    <w:multiLevelType w:val="multilevel"/>
    <w:tmpl w:val="F0AEFC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E74AEE"/>
    <w:multiLevelType w:val="multilevel"/>
    <w:tmpl w:val="BDFA8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CD2F3F"/>
    <w:multiLevelType w:val="multilevel"/>
    <w:tmpl w:val="975C3A54"/>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7EEE37CB"/>
    <w:multiLevelType w:val="multilevel"/>
    <w:tmpl w:val="32CC1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6"/>
  </w:num>
  <w:num w:numId="4">
    <w:abstractNumId w:val="7"/>
  </w:num>
  <w:num w:numId="5">
    <w:abstractNumId w:val="4"/>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0BF"/>
    <w:rsid w:val="004E3C46"/>
    <w:rsid w:val="00501D47"/>
    <w:rsid w:val="0058428F"/>
    <w:rsid w:val="00654F2C"/>
    <w:rsid w:val="006E22DA"/>
    <w:rsid w:val="00806A45"/>
    <w:rsid w:val="009450BF"/>
    <w:rsid w:val="009C05EF"/>
    <w:rsid w:val="00A56AD4"/>
    <w:rsid w:val="00A63D1A"/>
    <w:rsid w:val="00B64A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814CD0-2AE2-4398-8976-3F318EEF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43D0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B43D0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3D08"/>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3D08"/>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B43D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D08"/>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vFM+bN5iYN8YLT+he1iN/fYeQ==">CgMxLjAyDmguazV0anRnYTFndHduMg5oLnN6NHNuZ3h2Y3J4ZDIOaC5xNG55NTV6MWc2YnUyDmguam5wcjlxZGFsYXVlMg5oLnF2dGhscjUxOHN6cTIOaC55eGVwYjZnNnM4MnEyDmguZXlzZWhhMm5ueXpvMg5oLnljZXIzMzRlaWlmMzIOaC55c2k5dW92c2JhYW0yCWguMWtzdjR1djIIaC5sbnhiejkyCWguMmp4c3hxaDgAciExRkdPZ0dqTm5PQnR6VERHeTVCSXUyTzI1Q21Xd2UzW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5281</Words>
  <Characters>29046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dcterms:created xsi:type="dcterms:W3CDTF">2026-01-19T18:12:00Z</dcterms:created>
  <dcterms:modified xsi:type="dcterms:W3CDTF">2026-02-05T23:28:00Z</dcterms:modified>
</cp:coreProperties>
</file>