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BD2" w:rsidRPr="00466D4B" w:rsidRDefault="008756C8">
      <w:pPr>
        <w:tabs>
          <w:tab w:val="left" w:pos="3465"/>
        </w:tabs>
        <w:spacing w:line="360" w:lineRule="auto"/>
        <w:jc w:val="both"/>
        <w:rPr>
          <w:rFonts w:ascii="Palatino Linotype" w:eastAsia="Palatino Linotype" w:hAnsi="Palatino Linotype" w:cs="Palatino Linotype"/>
          <w:color w:val="000000"/>
        </w:rPr>
      </w:pPr>
      <w:bookmarkStart w:id="0" w:name="_GoBack"/>
      <w:bookmarkEnd w:id="0"/>
      <w:r w:rsidRPr="00466D4B">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 de México; de</w:t>
      </w:r>
      <w:r w:rsidR="00466D4B" w:rsidRPr="00466D4B">
        <w:rPr>
          <w:rFonts w:ascii="Palatino Linotype" w:eastAsia="Palatino Linotype" w:hAnsi="Palatino Linotype" w:cs="Palatino Linotype"/>
          <w:color w:val="000000"/>
        </w:rPr>
        <w:t xml:space="preserve"> fecha</w:t>
      </w:r>
      <w:r w:rsidRPr="00466D4B">
        <w:rPr>
          <w:rFonts w:ascii="Palatino Linotype" w:eastAsia="Palatino Linotype" w:hAnsi="Palatino Linotype" w:cs="Palatino Linotype"/>
          <w:color w:val="000000"/>
        </w:rPr>
        <w:t xml:space="preserve"> </w:t>
      </w:r>
      <w:r w:rsidRPr="00466D4B">
        <w:rPr>
          <w:rFonts w:ascii="Palatino Linotype" w:eastAsia="Palatino Linotype" w:hAnsi="Palatino Linotype" w:cs="Palatino Linotype"/>
          <w:b/>
          <w:bCs/>
          <w:color w:val="000000"/>
        </w:rPr>
        <w:t xml:space="preserve">veinticinco </w:t>
      </w:r>
      <w:r w:rsidR="00466D4B" w:rsidRPr="00466D4B">
        <w:rPr>
          <w:rFonts w:ascii="Palatino Linotype" w:eastAsia="Palatino Linotype" w:hAnsi="Palatino Linotype" w:cs="Palatino Linotype"/>
          <w:b/>
          <w:bCs/>
          <w:color w:val="000000"/>
        </w:rPr>
        <w:t xml:space="preserve">(25) </w:t>
      </w:r>
      <w:r w:rsidRPr="00466D4B">
        <w:rPr>
          <w:rFonts w:ascii="Palatino Linotype" w:eastAsia="Palatino Linotype" w:hAnsi="Palatino Linotype" w:cs="Palatino Linotype"/>
          <w:b/>
          <w:bCs/>
          <w:color w:val="000000"/>
        </w:rPr>
        <w:t>de febrero de dos mil veintiséis</w:t>
      </w:r>
      <w:r w:rsidRPr="00466D4B">
        <w:rPr>
          <w:rFonts w:ascii="Palatino Linotype" w:eastAsia="Palatino Linotype" w:hAnsi="Palatino Linotype" w:cs="Palatino Linotype"/>
          <w:color w:val="000000"/>
        </w:rPr>
        <w:t xml:space="preserve">.  </w:t>
      </w:r>
    </w:p>
    <w:p w:rsidR="00730BD2" w:rsidRPr="00466D4B" w:rsidRDefault="00730BD2">
      <w:pPr>
        <w:tabs>
          <w:tab w:val="left" w:pos="3465"/>
        </w:tabs>
        <w:spacing w:line="360" w:lineRule="auto"/>
        <w:jc w:val="both"/>
        <w:rPr>
          <w:rFonts w:ascii="Palatino Linotype" w:eastAsia="Palatino Linotype" w:hAnsi="Palatino Linotype" w:cs="Palatino Linotype"/>
          <w:color w:val="000000"/>
        </w:rPr>
      </w:pPr>
    </w:p>
    <w:p w:rsidR="00730BD2" w:rsidRPr="00466D4B" w:rsidRDefault="008756C8">
      <w:pPr>
        <w:spacing w:line="360" w:lineRule="auto"/>
        <w:jc w:val="both"/>
        <w:rPr>
          <w:rFonts w:ascii="Palatino Linotype" w:eastAsia="Palatino Linotype" w:hAnsi="Palatino Linotype" w:cs="Palatino Linotype"/>
          <w:b/>
          <w:bCs/>
        </w:rPr>
      </w:pPr>
      <w:r w:rsidRPr="00466D4B">
        <w:rPr>
          <w:rFonts w:ascii="Palatino Linotype" w:eastAsia="Palatino Linotype" w:hAnsi="Palatino Linotype" w:cs="Palatino Linotype"/>
          <w:b/>
          <w:bCs/>
          <w:color w:val="000000"/>
        </w:rPr>
        <w:t>VISTO</w:t>
      </w:r>
      <w:r w:rsidRPr="00466D4B">
        <w:rPr>
          <w:rFonts w:ascii="Palatino Linotype" w:eastAsia="Palatino Linotype" w:hAnsi="Palatino Linotype" w:cs="Palatino Linotype"/>
          <w:color w:val="000000"/>
        </w:rPr>
        <w:t xml:space="preserve"> el expediente electrónico formado con motivo del recurso de revisión </w:t>
      </w:r>
      <w:r w:rsidRPr="00466D4B">
        <w:rPr>
          <w:rFonts w:ascii="Palatino Linotype" w:eastAsia="Palatino Linotype" w:hAnsi="Palatino Linotype" w:cs="Palatino Linotype"/>
          <w:b/>
          <w:bCs/>
        </w:rPr>
        <w:t>09243/INFOEM/ICR-90/IP/RR/2025</w:t>
      </w:r>
      <w:r w:rsidRPr="00466D4B">
        <w:rPr>
          <w:rFonts w:ascii="Palatino Linotype" w:eastAsia="Palatino Linotype" w:hAnsi="Palatino Linotype" w:cs="Palatino Linotype"/>
          <w:color w:val="000000"/>
        </w:rPr>
        <w:t xml:space="preserve">, interpuesto por </w:t>
      </w:r>
      <w:r w:rsidR="009215B1" w:rsidRPr="00466D4B">
        <w:rPr>
          <w:rFonts w:ascii="Palatino Linotype" w:eastAsia="Palatino Linotype" w:hAnsi="Palatino Linotype" w:cs="Palatino Linotype"/>
          <w:b/>
          <w:bCs/>
          <w:color w:val="000000"/>
        </w:rPr>
        <w:t>una persona que no proporciono nombre</w:t>
      </w:r>
      <w:r w:rsidRPr="00466D4B">
        <w:rPr>
          <w:rFonts w:ascii="Palatino Linotype" w:eastAsia="Palatino Linotype" w:hAnsi="Palatino Linotype" w:cs="Palatino Linotype"/>
          <w:b/>
          <w:bCs/>
          <w:color w:val="000000"/>
        </w:rPr>
        <w:t>,</w:t>
      </w:r>
      <w:r w:rsidR="00466D4B" w:rsidRPr="00466D4B">
        <w:rPr>
          <w:rFonts w:ascii="Palatino Linotype" w:eastAsia="Palatino Linotype" w:hAnsi="Palatino Linotype" w:cs="Palatino Linotype"/>
          <w:color w:val="000000"/>
        </w:rPr>
        <w:t xml:space="preserve"> en adelante se le denominada el </w:t>
      </w:r>
      <w:r w:rsidRPr="00466D4B">
        <w:rPr>
          <w:rFonts w:ascii="Palatino Linotype" w:eastAsia="Palatino Linotype" w:hAnsi="Palatino Linotype" w:cs="Palatino Linotype"/>
          <w:b/>
          <w:bCs/>
          <w:color w:val="000000"/>
        </w:rPr>
        <w:t>RECURRENTE</w:t>
      </w:r>
      <w:r w:rsidR="00466D4B" w:rsidRPr="00466D4B">
        <w:rPr>
          <w:rFonts w:ascii="Palatino Linotype" w:eastAsia="Palatino Linotype" w:hAnsi="Palatino Linotype" w:cs="Palatino Linotype"/>
          <w:color w:val="000000"/>
        </w:rPr>
        <w:t>,</w:t>
      </w:r>
      <w:r w:rsidRPr="00466D4B">
        <w:rPr>
          <w:rFonts w:ascii="Palatino Linotype" w:eastAsia="Palatino Linotype" w:hAnsi="Palatino Linotype" w:cs="Palatino Linotype"/>
          <w:color w:val="000000"/>
        </w:rPr>
        <w:t xml:space="preserve"> en contra de la respuesta del </w:t>
      </w:r>
      <w:r w:rsidRPr="00466D4B">
        <w:rPr>
          <w:rFonts w:ascii="Palatino Linotype" w:eastAsia="Palatino Linotype" w:hAnsi="Palatino Linotype" w:cs="Palatino Linotype"/>
          <w:b/>
          <w:bCs/>
        </w:rPr>
        <w:t>Ayuntamiento de Tepotzotlán</w:t>
      </w:r>
      <w:r w:rsidRPr="00466D4B">
        <w:rPr>
          <w:rFonts w:ascii="Palatino Linotype" w:eastAsia="Palatino Linotype" w:hAnsi="Palatino Linotype" w:cs="Palatino Linotype"/>
          <w:color w:val="000000"/>
        </w:rPr>
        <w:t>, en lo sucesivo el</w:t>
      </w:r>
      <w:r w:rsidRPr="00466D4B">
        <w:rPr>
          <w:rFonts w:ascii="Palatino Linotype" w:eastAsia="Palatino Linotype" w:hAnsi="Palatino Linotype" w:cs="Palatino Linotype"/>
          <w:b/>
          <w:bCs/>
          <w:color w:val="000000"/>
        </w:rPr>
        <w:t xml:space="preserve"> SUJETO OBLIGADO, </w:t>
      </w:r>
      <w:r w:rsidRPr="00466D4B">
        <w:rPr>
          <w:rFonts w:ascii="Palatino Linotype" w:eastAsia="Palatino Linotype" w:hAnsi="Palatino Linotype" w:cs="Palatino Linotype"/>
          <w:color w:val="000000"/>
        </w:rPr>
        <w:t>se procede a dictar la presente resolución, con base en los siguientes:</w:t>
      </w:r>
    </w:p>
    <w:p w:rsidR="00730BD2" w:rsidRPr="00466D4B" w:rsidRDefault="00730BD2">
      <w:pPr>
        <w:spacing w:line="360" w:lineRule="auto"/>
        <w:jc w:val="both"/>
        <w:rPr>
          <w:rFonts w:ascii="Palatino Linotype" w:eastAsia="Palatino Linotype" w:hAnsi="Palatino Linotype" w:cs="Palatino Linotype"/>
          <w:color w:val="000000"/>
        </w:rPr>
      </w:pPr>
    </w:p>
    <w:p w:rsidR="00730BD2" w:rsidRPr="00466D4B" w:rsidRDefault="008756C8">
      <w:pPr>
        <w:pStyle w:val="Ttulo1"/>
        <w:spacing w:before="0" w:line="360" w:lineRule="auto"/>
        <w:jc w:val="center"/>
        <w:rPr>
          <w:rFonts w:ascii="Palatino Linotype" w:eastAsia="Palatino Linotype" w:hAnsi="Palatino Linotype" w:cs="Palatino Linotype"/>
          <w:b/>
          <w:bCs/>
          <w:color w:val="000000"/>
          <w:sz w:val="24"/>
          <w:szCs w:val="24"/>
        </w:rPr>
      </w:pPr>
      <w:bookmarkStart w:id="1" w:name="_heading=h.gjdgxs" w:colFirst="0" w:colLast="0"/>
      <w:bookmarkEnd w:id="1"/>
      <w:r w:rsidRPr="00466D4B">
        <w:rPr>
          <w:rFonts w:ascii="Palatino Linotype" w:eastAsia="Palatino Linotype" w:hAnsi="Palatino Linotype" w:cs="Palatino Linotype"/>
          <w:b/>
          <w:bCs/>
          <w:color w:val="000000"/>
          <w:sz w:val="24"/>
          <w:szCs w:val="24"/>
        </w:rPr>
        <w:t>A N T E C E D E N T E S</w:t>
      </w:r>
    </w:p>
    <w:p w:rsidR="00730BD2" w:rsidRPr="00466D4B" w:rsidRDefault="00730BD2">
      <w:pPr>
        <w:spacing w:line="360" w:lineRule="auto"/>
        <w:rPr>
          <w:rFonts w:ascii="Palatino Linotype" w:eastAsia="Palatino Linotype" w:hAnsi="Palatino Linotype" w:cs="Palatino Linotype"/>
        </w:rPr>
      </w:pPr>
    </w:p>
    <w:p w:rsidR="00730BD2" w:rsidRPr="00466D4B" w:rsidRDefault="008756C8">
      <w:pPr>
        <w:numPr>
          <w:ilvl w:val="0"/>
          <w:numId w:val="5"/>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color w:val="000000"/>
        </w:rPr>
      </w:pPr>
      <w:r w:rsidRPr="00466D4B">
        <w:rPr>
          <w:rFonts w:ascii="Palatino Linotype" w:eastAsia="Palatino Linotype" w:hAnsi="Palatino Linotype" w:cs="Palatino Linotype"/>
          <w:color w:val="000000"/>
        </w:rPr>
        <w:t xml:space="preserve">El </w:t>
      </w:r>
      <w:r w:rsidRPr="00466D4B">
        <w:rPr>
          <w:rFonts w:ascii="Palatino Linotype" w:eastAsia="Palatino Linotype" w:hAnsi="Palatino Linotype" w:cs="Palatino Linotype"/>
          <w:b/>
          <w:bCs/>
          <w:color w:val="000000"/>
        </w:rPr>
        <w:t>veintitrés de junio de dos mil veinticinco</w:t>
      </w:r>
      <w:r w:rsidRPr="00466D4B">
        <w:rPr>
          <w:rFonts w:ascii="Palatino Linotype" w:eastAsia="Palatino Linotype" w:hAnsi="Palatino Linotype" w:cs="Palatino Linotype"/>
          <w:color w:val="000000"/>
        </w:rPr>
        <w:t xml:space="preserve">, se presentó a través del Sistema de Acceso a la Información Mexiquense </w:t>
      </w:r>
      <w:r w:rsidRPr="00466D4B">
        <w:rPr>
          <w:rFonts w:ascii="Palatino Linotype" w:eastAsia="Palatino Linotype" w:hAnsi="Palatino Linotype" w:cs="Palatino Linotype"/>
          <w:b/>
          <w:bCs/>
          <w:color w:val="000000"/>
        </w:rPr>
        <w:t xml:space="preserve">(SAIMEX), </w:t>
      </w:r>
      <w:r w:rsidRPr="00466D4B">
        <w:rPr>
          <w:rFonts w:ascii="Palatino Linotype" w:eastAsia="Palatino Linotype" w:hAnsi="Palatino Linotype" w:cs="Palatino Linotype"/>
          <w:color w:val="000000"/>
        </w:rPr>
        <w:t xml:space="preserve">la solicitud de información pública registrada con el número </w:t>
      </w:r>
      <w:r w:rsidRPr="00466D4B">
        <w:rPr>
          <w:rFonts w:ascii="Palatino Linotype" w:eastAsia="Palatino Linotype" w:hAnsi="Palatino Linotype" w:cs="Palatino Linotype"/>
          <w:b/>
          <w:bCs/>
          <w:color w:val="000000"/>
        </w:rPr>
        <w:t>00371/TEPOTZOT/IP/2025,</w:t>
      </w:r>
      <w:r w:rsidRPr="00466D4B">
        <w:rPr>
          <w:rFonts w:ascii="Palatino Linotype" w:eastAsia="Palatino Linotype" w:hAnsi="Palatino Linotype" w:cs="Palatino Linotype"/>
          <w:color w:val="000000"/>
        </w:rPr>
        <w:t xml:space="preserve"> </w:t>
      </w:r>
      <w:r w:rsidR="00466D4B">
        <w:rPr>
          <w:rFonts w:ascii="Palatino Linotype" w:eastAsia="Palatino Linotype" w:hAnsi="Palatino Linotype" w:cs="Palatino Linotype"/>
          <w:color w:val="000000"/>
        </w:rPr>
        <w:t>en la que se</w:t>
      </w:r>
      <w:r w:rsidRPr="00466D4B">
        <w:rPr>
          <w:rFonts w:ascii="Palatino Linotype" w:eastAsia="Palatino Linotype" w:hAnsi="Palatino Linotype" w:cs="Palatino Linotype"/>
          <w:color w:val="000000"/>
        </w:rPr>
        <w:t xml:space="preserve"> requirió:</w:t>
      </w:r>
    </w:p>
    <w:p w:rsidR="00730BD2" w:rsidRPr="00466D4B" w:rsidRDefault="00730BD2">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730BD2" w:rsidRPr="00466D4B" w:rsidRDefault="008756C8">
      <w:pPr>
        <w:pBdr>
          <w:top w:val="nil"/>
          <w:left w:val="nil"/>
          <w:bottom w:val="nil"/>
          <w:right w:val="nil"/>
          <w:between w:val="nil"/>
        </w:pBdr>
        <w:spacing w:line="360" w:lineRule="auto"/>
        <w:ind w:left="567" w:right="567"/>
        <w:jc w:val="both"/>
        <w:rPr>
          <w:rFonts w:ascii="Palatino Linotype" w:eastAsia="Palatino Linotype" w:hAnsi="Palatino Linotype" w:cs="Palatino Linotype"/>
          <w:i/>
          <w:iCs/>
          <w:color w:val="000000"/>
        </w:rPr>
      </w:pPr>
      <w:r w:rsidRPr="00466D4B">
        <w:rPr>
          <w:rFonts w:ascii="Palatino Linotype" w:eastAsia="Palatino Linotype" w:hAnsi="Palatino Linotype" w:cs="Palatino Linotype"/>
          <w:i/>
          <w:iCs/>
          <w:color w:val="000000"/>
        </w:rPr>
        <w:t>“Los documentos de las revisiones de fiscalización realizadas en el 2025 por la contralora interna” (Sic).</w:t>
      </w:r>
    </w:p>
    <w:p w:rsidR="00730BD2" w:rsidRPr="00466D4B" w:rsidRDefault="00730BD2">
      <w:pPr>
        <w:pBdr>
          <w:top w:val="nil"/>
          <w:left w:val="nil"/>
          <w:bottom w:val="nil"/>
          <w:right w:val="nil"/>
          <w:between w:val="nil"/>
        </w:pBdr>
        <w:spacing w:line="360" w:lineRule="auto"/>
        <w:ind w:left="567" w:right="567"/>
        <w:jc w:val="both"/>
        <w:rPr>
          <w:rFonts w:ascii="Palatino Linotype" w:eastAsia="Palatino Linotype" w:hAnsi="Palatino Linotype" w:cs="Palatino Linotype"/>
          <w:i/>
          <w:iCs/>
          <w:color w:val="000000"/>
        </w:rPr>
      </w:pPr>
    </w:p>
    <w:p w:rsidR="00730BD2" w:rsidRPr="00466D4B" w:rsidRDefault="008756C8" w:rsidP="00466D4B">
      <w:pPr>
        <w:numPr>
          <w:ilvl w:val="0"/>
          <w:numId w:val="3"/>
        </w:numPr>
        <w:pBdr>
          <w:top w:val="nil"/>
          <w:left w:val="nil"/>
          <w:bottom w:val="nil"/>
          <w:right w:val="nil"/>
          <w:between w:val="nil"/>
        </w:pBdr>
        <w:spacing w:line="360" w:lineRule="auto"/>
        <w:ind w:left="0" w:right="567" w:firstLine="0"/>
        <w:jc w:val="both"/>
        <w:rPr>
          <w:rFonts w:ascii="Palatino Linotype" w:eastAsia="Palatino Linotype" w:hAnsi="Palatino Linotype" w:cs="Palatino Linotype"/>
          <w:i/>
          <w:iCs/>
          <w:color w:val="000000"/>
        </w:rPr>
      </w:pPr>
      <w:r w:rsidRPr="00466D4B">
        <w:rPr>
          <w:rFonts w:ascii="Palatino Linotype" w:eastAsia="Palatino Linotype" w:hAnsi="Palatino Linotype" w:cs="Palatino Linotype"/>
          <w:color w:val="000000"/>
        </w:rPr>
        <w:t xml:space="preserve">Se señaló como modalidad de entrega: </w:t>
      </w:r>
      <w:r w:rsidRPr="00466D4B">
        <w:rPr>
          <w:rFonts w:ascii="Palatino Linotype" w:eastAsia="Palatino Linotype" w:hAnsi="Palatino Linotype" w:cs="Palatino Linotype"/>
          <w:b/>
          <w:bCs/>
          <w:color w:val="000000"/>
        </w:rPr>
        <w:t>A través del SAIMEX.</w:t>
      </w:r>
    </w:p>
    <w:p w:rsidR="00466D4B" w:rsidRDefault="00466D4B" w:rsidP="00466D4B">
      <w:pPr>
        <w:pBdr>
          <w:top w:val="nil"/>
          <w:left w:val="nil"/>
          <w:bottom w:val="nil"/>
          <w:right w:val="nil"/>
          <w:between w:val="nil"/>
        </w:pBdr>
        <w:spacing w:line="360" w:lineRule="auto"/>
        <w:ind w:right="567"/>
        <w:jc w:val="both"/>
        <w:rPr>
          <w:rFonts w:ascii="Palatino Linotype" w:eastAsia="Palatino Linotype" w:hAnsi="Palatino Linotype" w:cs="Palatino Linotype"/>
          <w:b/>
          <w:bCs/>
          <w:color w:val="000000"/>
        </w:rPr>
      </w:pPr>
    </w:p>
    <w:p w:rsidR="00466D4B" w:rsidRPr="00466D4B" w:rsidRDefault="00466D4B" w:rsidP="00466D4B">
      <w:pPr>
        <w:pBdr>
          <w:top w:val="nil"/>
          <w:left w:val="nil"/>
          <w:bottom w:val="nil"/>
          <w:right w:val="nil"/>
          <w:between w:val="nil"/>
        </w:pBdr>
        <w:spacing w:line="360" w:lineRule="auto"/>
        <w:ind w:right="567"/>
        <w:jc w:val="both"/>
        <w:rPr>
          <w:rFonts w:ascii="Palatino Linotype" w:eastAsia="Palatino Linotype" w:hAnsi="Palatino Linotype" w:cs="Palatino Linotype"/>
          <w:i/>
          <w:iCs/>
          <w:color w:val="000000"/>
        </w:rPr>
      </w:pPr>
    </w:p>
    <w:p w:rsidR="00730BD2" w:rsidRPr="00466D4B" w:rsidRDefault="008756C8">
      <w:pPr>
        <w:numPr>
          <w:ilvl w:val="0"/>
          <w:numId w:val="5"/>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b/>
          <w:bCs/>
          <w:color w:val="000000"/>
        </w:rPr>
      </w:pPr>
      <w:r w:rsidRPr="00466D4B">
        <w:rPr>
          <w:rFonts w:ascii="Palatino Linotype" w:eastAsia="Palatino Linotype" w:hAnsi="Palatino Linotype" w:cs="Palatino Linotype"/>
        </w:rPr>
        <w:lastRenderedPageBreak/>
        <w:t xml:space="preserve">El </w:t>
      </w:r>
      <w:r w:rsidRPr="00466D4B">
        <w:rPr>
          <w:rFonts w:ascii="Palatino Linotype" w:eastAsia="Palatino Linotype" w:hAnsi="Palatino Linotype" w:cs="Palatino Linotype"/>
          <w:b/>
          <w:bCs/>
        </w:rPr>
        <w:t>SUJETO OBLIGADO</w:t>
      </w:r>
      <w:r w:rsidRPr="00466D4B">
        <w:rPr>
          <w:rFonts w:ascii="Palatino Linotype" w:eastAsia="Palatino Linotype" w:hAnsi="Palatino Linotype" w:cs="Palatino Linotype"/>
        </w:rPr>
        <w:t xml:space="preserve"> no proporcionó respuesta a la solicitud de información </w:t>
      </w:r>
      <w:r w:rsidRPr="00466D4B">
        <w:rPr>
          <w:rFonts w:ascii="Palatino Linotype" w:eastAsia="Palatino Linotype" w:hAnsi="Palatino Linotype" w:cs="Palatino Linotype"/>
          <w:color w:val="000000"/>
        </w:rPr>
        <w:t>dentro del plazo de quince días establecido en el artículo 163 de la Ley de Transparencia y Acceso a la Información Pública del Estado de México y Municipios.</w:t>
      </w:r>
    </w:p>
    <w:p w:rsidR="00730BD2" w:rsidRPr="00466D4B" w:rsidRDefault="00730BD2">
      <w:pPr>
        <w:pBdr>
          <w:top w:val="nil"/>
          <w:left w:val="nil"/>
          <w:bottom w:val="nil"/>
          <w:right w:val="nil"/>
          <w:between w:val="nil"/>
        </w:pBdr>
        <w:spacing w:line="360" w:lineRule="auto"/>
        <w:jc w:val="both"/>
        <w:rPr>
          <w:rFonts w:ascii="Palatino Linotype" w:eastAsia="Palatino Linotype" w:hAnsi="Palatino Linotype" w:cs="Palatino Linotype"/>
        </w:rPr>
      </w:pPr>
    </w:p>
    <w:p w:rsidR="00730BD2" w:rsidRPr="00466D4B" w:rsidRDefault="008756C8">
      <w:pPr>
        <w:numPr>
          <w:ilvl w:val="0"/>
          <w:numId w:val="5"/>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rPr>
      </w:pPr>
      <w:r w:rsidRPr="00466D4B">
        <w:rPr>
          <w:rFonts w:ascii="Palatino Linotype" w:eastAsia="Palatino Linotype" w:hAnsi="Palatino Linotype" w:cs="Palatino Linotype"/>
        </w:rPr>
        <w:t>Ante la falta de respuesta</w:t>
      </w:r>
      <w:r w:rsidRPr="00466D4B">
        <w:rPr>
          <w:rFonts w:ascii="Palatino Linotype" w:eastAsia="Palatino Linotype" w:hAnsi="Palatino Linotype" w:cs="Palatino Linotype"/>
          <w:b/>
          <w:bCs/>
        </w:rPr>
        <w:t xml:space="preserve"> </w:t>
      </w:r>
      <w:r w:rsidRPr="00466D4B">
        <w:rPr>
          <w:rFonts w:ascii="Palatino Linotype" w:eastAsia="Palatino Linotype" w:hAnsi="Palatino Linotype" w:cs="Palatino Linotype"/>
        </w:rPr>
        <w:t xml:space="preserve">del </w:t>
      </w:r>
      <w:r w:rsidRPr="00466D4B">
        <w:rPr>
          <w:rFonts w:ascii="Palatino Linotype" w:eastAsia="Palatino Linotype" w:hAnsi="Palatino Linotype" w:cs="Palatino Linotype"/>
          <w:b/>
          <w:bCs/>
        </w:rPr>
        <w:t>SUJETO OBLIGADO</w:t>
      </w:r>
      <w:r w:rsidRPr="00466D4B">
        <w:rPr>
          <w:rFonts w:ascii="Palatino Linotype" w:eastAsia="Palatino Linotype" w:hAnsi="Palatino Linotype" w:cs="Palatino Linotype"/>
        </w:rPr>
        <w:t xml:space="preserve">, el </w:t>
      </w:r>
      <w:r w:rsidRPr="00466D4B">
        <w:rPr>
          <w:rFonts w:ascii="Palatino Linotype" w:eastAsia="Palatino Linotype" w:hAnsi="Palatino Linotype" w:cs="Palatino Linotype"/>
          <w:b/>
          <w:bCs/>
        </w:rPr>
        <w:t>RECURRENTE</w:t>
      </w:r>
      <w:r w:rsidRPr="00466D4B">
        <w:rPr>
          <w:rFonts w:ascii="Palatino Linotype" w:eastAsia="Palatino Linotype" w:hAnsi="Palatino Linotype" w:cs="Palatino Linotype"/>
        </w:rPr>
        <w:t xml:space="preserve"> interpuso el recurso de revisión el </w:t>
      </w:r>
      <w:r w:rsidRPr="00466D4B">
        <w:rPr>
          <w:rFonts w:ascii="Palatino Linotype" w:eastAsia="Palatino Linotype" w:hAnsi="Palatino Linotype" w:cs="Palatino Linotype"/>
          <w:b/>
          <w:bCs/>
        </w:rPr>
        <w:t xml:space="preserve">seis de agosto de dos mil veinticinco, </w:t>
      </w:r>
      <w:r w:rsidRPr="00466D4B">
        <w:rPr>
          <w:rFonts w:ascii="Palatino Linotype" w:eastAsia="Palatino Linotype" w:hAnsi="Palatino Linotype" w:cs="Palatino Linotype"/>
        </w:rPr>
        <w:t xml:space="preserve">registrado en el </w:t>
      </w:r>
      <w:r w:rsidRPr="00466D4B">
        <w:rPr>
          <w:rFonts w:ascii="Palatino Linotype" w:eastAsia="Palatino Linotype" w:hAnsi="Palatino Linotype" w:cs="Palatino Linotype"/>
          <w:b/>
          <w:bCs/>
        </w:rPr>
        <w:t xml:space="preserve">SAIMEX </w:t>
      </w:r>
      <w:r w:rsidRPr="00466D4B">
        <w:rPr>
          <w:rFonts w:ascii="Palatino Linotype" w:eastAsia="Palatino Linotype" w:hAnsi="Palatino Linotype" w:cs="Palatino Linotype"/>
        </w:rPr>
        <w:t xml:space="preserve">con número de expediente </w:t>
      </w:r>
      <w:r w:rsidRPr="00466D4B">
        <w:rPr>
          <w:rFonts w:ascii="Palatino Linotype" w:eastAsia="Palatino Linotype" w:hAnsi="Palatino Linotype" w:cs="Palatino Linotype"/>
          <w:b/>
          <w:bCs/>
        </w:rPr>
        <w:t xml:space="preserve">09243/INFOEM/IP/RR/2025, </w:t>
      </w:r>
      <w:r w:rsidRPr="00466D4B">
        <w:rPr>
          <w:rFonts w:ascii="Palatino Linotype" w:eastAsia="Palatino Linotype" w:hAnsi="Palatino Linotype" w:cs="Palatino Linotype"/>
        </w:rPr>
        <w:t>en el cual aduce, las siguientes manifestaciones:</w:t>
      </w:r>
    </w:p>
    <w:p w:rsidR="00730BD2" w:rsidRPr="00466D4B" w:rsidRDefault="00730BD2">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rPr>
      </w:pPr>
    </w:p>
    <w:p w:rsidR="00730BD2" w:rsidRPr="00466D4B" w:rsidRDefault="00466D4B">
      <w:pPr>
        <w:numPr>
          <w:ilvl w:val="0"/>
          <w:numId w:val="2"/>
        </w:numPr>
        <w:spacing w:line="259" w:lineRule="auto"/>
        <w:ind w:left="993" w:right="616"/>
        <w:jc w:val="both"/>
        <w:rPr>
          <w:rFonts w:ascii="Palatino Linotype" w:eastAsia="Palatino Linotype" w:hAnsi="Palatino Linotype" w:cs="Palatino Linotype"/>
          <w:b/>
          <w:bCs/>
        </w:rPr>
      </w:pPr>
      <w:r w:rsidRPr="00466D4B">
        <w:rPr>
          <w:rFonts w:ascii="Palatino Linotype" w:eastAsia="Palatino Linotype" w:hAnsi="Palatino Linotype" w:cs="Palatino Linotype"/>
          <w:b/>
          <w:bCs/>
        </w:rPr>
        <w:t xml:space="preserve">ACTO IMPUGNADO: </w:t>
      </w:r>
    </w:p>
    <w:p w:rsidR="00730BD2" w:rsidRPr="00466D4B" w:rsidRDefault="008756C8">
      <w:pPr>
        <w:ind w:left="993" w:right="616"/>
        <w:jc w:val="both"/>
        <w:rPr>
          <w:rFonts w:ascii="Palatino Linotype" w:eastAsia="Palatino Linotype" w:hAnsi="Palatino Linotype" w:cs="Palatino Linotype"/>
          <w:i/>
          <w:iCs/>
          <w:color w:val="000000"/>
        </w:rPr>
      </w:pPr>
      <w:r w:rsidRPr="00466D4B">
        <w:rPr>
          <w:rFonts w:ascii="Palatino Linotype" w:eastAsia="Palatino Linotype" w:hAnsi="Palatino Linotype" w:cs="Palatino Linotype"/>
          <w:i/>
          <w:iCs/>
          <w:color w:val="000000"/>
        </w:rPr>
        <w:t>“La falta de contestación (Sic).</w:t>
      </w:r>
    </w:p>
    <w:p w:rsidR="00730BD2" w:rsidRPr="00466D4B" w:rsidRDefault="00730BD2">
      <w:pPr>
        <w:ind w:left="993" w:right="616"/>
        <w:jc w:val="both"/>
        <w:rPr>
          <w:rFonts w:ascii="Palatino Linotype" w:eastAsia="Palatino Linotype" w:hAnsi="Palatino Linotype" w:cs="Palatino Linotype"/>
          <w:i/>
          <w:iCs/>
          <w:color w:val="000000"/>
        </w:rPr>
      </w:pPr>
    </w:p>
    <w:p w:rsidR="00730BD2" w:rsidRPr="00466D4B" w:rsidRDefault="00466D4B">
      <w:pPr>
        <w:numPr>
          <w:ilvl w:val="0"/>
          <w:numId w:val="2"/>
        </w:numPr>
        <w:pBdr>
          <w:top w:val="nil"/>
          <w:left w:val="nil"/>
          <w:bottom w:val="nil"/>
          <w:right w:val="nil"/>
          <w:between w:val="nil"/>
        </w:pBdr>
        <w:ind w:left="993" w:right="616"/>
        <w:jc w:val="both"/>
        <w:rPr>
          <w:rFonts w:ascii="Palatino Linotype" w:eastAsia="Palatino Linotype" w:hAnsi="Palatino Linotype" w:cs="Palatino Linotype"/>
          <w:i/>
          <w:iCs/>
          <w:color w:val="000000"/>
        </w:rPr>
      </w:pPr>
      <w:r w:rsidRPr="00466D4B">
        <w:rPr>
          <w:rFonts w:ascii="Palatino Linotype" w:eastAsia="Palatino Linotype" w:hAnsi="Palatino Linotype" w:cs="Palatino Linotype"/>
          <w:b/>
          <w:bCs/>
          <w:color w:val="000000"/>
        </w:rPr>
        <w:t>RAZONES O MOTIVOS DE INCONFORMIDAD</w:t>
      </w:r>
      <w:r w:rsidRPr="00466D4B">
        <w:rPr>
          <w:rFonts w:ascii="Palatino Linotype" w:eastAsia="Palatino Linotype" w:hAnsi="Palatino Linotype" w:cs="Palatino Linotype"/>
          <w:color w:val="000000"/>
        </w:rPr>
        <w:t xml:space="preserve">: </w:t>
      </w:r>
    </w:p>
    <w:p w:rsidR="00730BD2" w:rsidRPr="00466D4B" w:rsidRDefault="008756C8">
      <w:pPr>
        <w:ind w:left="993" w:right="616"/>
        <w:jc w:val="both"/>
        <w:rPr>
          <w:rFonts w:ascii="Palatino Linotype" w:eastAsia="Palatino Linotype" w:hAnsi="Palatino Linotype" w:cs="Palatino Linotype"/>
          <w:i/>
          <w:iCs/>
          <w:color w:val="000000"/>
        </w:rPr>
      </w:pPr>
      <w:r w:rsidRPr="00466D4B">
        <w:rPr>
          <w:rFonts w:ascii="Palatino Linotype" w:eastAsia="Palatino Linotype" w:hAnsi="Palatino Linotype" w:cs="Palatino Linotype"/>
          <w:i/>
          <w:iCs/>
        </w:rPr>
        <w:t>“</w:t>
      </w:r>
      <w:r w:rsidRPr="00466D4B">
        <w:rPr>
          <w:rFonts w:ascii="Palatino Linotype" w:eastAsia="Palatino Linotype" w:hAnsi="Palatino Linotype" w:cs="Palatino Linotype"/>
          <w:i/>
          <w:iCs/>
          <w:color w:val="000000"/>
        </w:rPr>
        <w:t>Violentan mi derecho de acceso a la información al no contestar la solicitud “ (Sic)</w:t>
      </w:r>
    </w:p>
    <w:p w:rsidR="00730BD2" w:rsidRPr="00466D4B" w:rsidRDefault="00730BD2">
      <w:pPr>
        <w:spacing w:line="360" w:lineRule="auto"/>
        <w:jc w:val="both"/>
        <w:rPr>
          <w:rFonts w:ascii="Palatino Linotype" w:eastAsia="Palatino Linotype" w:hAnsi="Palatino Linotype" w:cs="Palatino Linotype"/>
        </w:rPr>
      </w:pPr>
    </w:p>
    <w:p w:rsidR="00730BD2" w:rsidRPr="00466D4B" w:rsidRDefault="008756C8">
      <w:pPr>
        <w:numPr>
          <w:ilvl w:val="0"/>
          <w:numId w:val="5"/>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rPr>
      </w:pPr>
      <w:r w:rsidRPr="00466D4B">
        <w:rPr>
          <w:rFonts w:ascii="Palatino Linotype" w:eastAsia="Palatino Linotype" w:hAnsi="Palatino Linotype" w:cs="Palatino Linotype"/>
        </w:rPr>
        <w:t xml:space="preserve">El medio de impugnación que le fue turnado por medio del sistema electrónico a la Comisionada María del Rosario Mejía Ayala, en términos del arábigo 185 fracción I de la Ley de Transparencia y Acceso a la información Pública del Estado de México y Municipios, al cual recayó el acuerdo de admisión de fecha </w:t>
      </w:r>
      <w:r w:rsidRPr="00466D4B">
        <w:rPr>
          <w:rFonts w:ascii="Palatino Linotype" w:eastAsia="Palatino Linotype" w:hAnsi="Palatino Linotype" w:cs="Palatino Linotype"/>
          <w:b/>
          <w:bCs/>
        </w:rPr>
        <w:t xml:space="preserve">once de agosto de dos mil veinticinco, </w:t>
      </w:r>
      <w:r w:rsidRPr="00466D4B">
        <w:rPr>
          <w:rFonts w:ascii="Palatino Linotype" w:eastAsia="Palatino Linotype" w:hAnsi="Palatino Linotype" w:cs="Palatino Linotype"/>
        </w:rPr>
        <w:t xml:space="preserve">determinándose, un plazo de siete días para que las partes manifestaran lo que a su derecho corresponda en términos de los numerales ya citados. </w:t>
      </w:r>
    </w:p>
    <w:p w:rsidR="00730BD2" w:rsidRPr="00466D4B" w:rsidRDefault="00730BD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30BD2" w:rsidRPr="00466D4B" w:rsidRDefault="008756C8">
      <w:pPr>
        <w:numPr>
          <w:ilvl w:val="0"/>
          <w:numId w:val="5"/>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color w:val="000000"/>
        </w:rPr>
      </w:pPr>
      <w:r w:rsidRPr="00466D4B">
        <w:rPr>
          <w:rFonts w:ascii="Palatino Linotype" w:eastAsia="Palatino Linotype" w:hAnsi="Palatino Linotype" w:cs="Palatino Linotype"/>
          <w:color w:val="000000"/>
        </w:rPr>
        <w:t>Las partes fueron omisas en realizar manifestaciones conforme a su derecho conviniera y/o asistiera.</w:t>
      </w:r>
    </w:p>
    <w:p w:rsidR="00730BD2" w:rsidRPr="00466D4B" w:rsidRDefault="00730BD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30BD2" w:rsidRPr="00466D4B" w:rsidRDefault="008756C8">
      <w:pPr>
        <w:numPr>
          <w:ilvl w:val="0"/>
          <w:numId w:val="5"/>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rPr>
      </w:pPr>
      <w:r w:rsidRPr="00466D4B">
        <w:rPr>
          <w:rFonts w:ascii="Palatino Linotype" w:eastAsia="Palatino Linotype" w:hAnsi="Palatino Linotype" w:cs="Palatino Linotype"/>
          <w:color w:val="000000"/>
        </w:rPr>
        <w:lastRenderedPageBreak/>
        <w:t xml:space="preserve">En términos del artículo 185 fracciones VI y VIII de la Ley de Transparencia y Acceso a la Información Pública del Estado de México y Municipios, </w:t>
      </w:r>
      <w:r w:rsidRPr="00466D4B">
        <w:rPr>
          <w:rFonts w:ascii="Palatino Linotype" w:eastAsia="Palatino Linotype" w:hAnsi="Palatino Linotype" w:cs="Palatino Linotype"/>
          <w:b/>
          <w:bCs/>
          <w:color w:val="000000"/>
        </w:rPr>
        <w:t xml:space="preserve">el veintiuno de agosto de dos mil veinticinco, </w:t>
      </w:r>
      <w:r w:rsidRPr="00466D4B">
        <w:rPr>
          <w:rFonts w:ascii="Palatino Linotype" w:eastAsia="Palatino Linotype" w:hAnsi="Palatino Linotype" w:cs="Palatino Linotype"/>
          <w:color w:val="000000"/>
        </w:rPr>
        <w:t xml:space="preserve">se decretó el cierre de instrucción, y </w:t>
      </w:r>
      <w:r w:rsidRPr="00466D4B">
        <w:rPr>
          <w:rFonts w:ascii="Palatino Linotype" w:eastAsia="Palatino Linotype" w:hAnsi="Palatino Linotype" w:cs="Palatino Linotype"/>
        </w:rPr>
        <w:t xml:space="preserve">se ordenó la Resolución que conforme a derecho proceda, de acuerdo con los siguientes: </w:t>
      </w:r>
    </w:p>
    <w:p w:rsidR="00730BD2" w:rsidRPr="00466D4B" w:rsidRDefault="00730BD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30BD2" w:rsidRPr="00466D4B" w:rsidRDefault="008756C8">
      <w:pPr>
        <w:numPr>
          <w:ilvl w:val="0"/>
          <w:numId w:val="5"/>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rPr>
      </w:pPr>
      <w:r w:rsidRPr="00466D4B">
        <w:rPr>
          <w:rFonts w:ascii="Palatino Linotype" w:eastAsia="Palatino Linotype" w:hAnsi="Palatino Linotype" w:cs="Palatino Linotype"/>
        </w:rPr>
        <w:t xml:space="preserve">El </w:t>
      </w:r>
      <w:r w:rsidRPr="00466D4B">
        <w:rPr>
          <w:rFonts w:ascii="Palatino Linotype" w:eastAsia="Palatino Linotype" w:hAnsi="Palatino Linotype" w:cs="Palatino Linotype"/>
          <w:b/>
          <w:bCs/>
        </w:rPr>
        <w:t>veintisiete de agosto de dos mil veinticinco</w:t>
      </w:r>
      <w:r w:rsidRPr="00466D4B">
        <w:rPr>
          <w:rFonts w:ascii="Palatino Linotype" w:eastAsia="Palatino Linotype" w:hAnsi="Palatino Linotype" w:cs="Palatino Linotype"/>
        </w:rPr>
        <w:t>, el Pleno del Instituto de Transparencia, Accesos la Información Pública y Protección de Datos Personales del Estado de México y Municipios, durante la Trigésima Sesión Ordinaria, se aprobó la Resolución del Recurso de Revisión, en la cual se determinó lo siguiente:</w:t>
      </w:r>
    </w:p>
    <w:p w:rsidR="00730BD2" w:rsidRPr="00466D4B" w:rsidRDefault="008756C8">
      <w:pPr>
        <w:spacing w:line="276" w:lineRule="auto"/>
        <w:ind w:left="426" w:right="474"/>
        <w:jc w:val="both"/>
        <w:rPr>
          <w:rFonts w:ascii="Palatino Linotype" w:eastAsia="Palatino Linotype" w:hAnsi="Palatino Linotype" w:cs="Palatino Linotype"/>
          <w:i/>
          <w:iCs/>
        </w:rPr>
      </w:pPr>
      <w:r w:rsidRPr="00466D4B">
        <w:rPr>
          <w:rFonts w:ascii="Palatino Linotype" w:eastAsia="Palatino Linotype" w:hAnsi="Palatino Linotype" w:cs="Palatino Linotype"/>
          <w:b/>
          <w:bCs/>
          <w:i/>
          <w:iCs/>
        </w:rPr>
        <w:t>PRIMERO</w:t>
      </w:r>
      <w:r w:rsidRPr="00466D4B">
        <w:rPr>
          <w:rFonts w:ascii="Palatino Linotype" w:eastAsia="Palatino Linotype" w:hAnsi="Palatino Linotype" w:cs="Palatino Linotype"/>
          <w:i/>
          <w:iCs/>
        </w:rPr>
        <w:t xml:space="preserve">. Resultan fundadas las razones o motivos de inconformidad hechos valer por </w:t>
      </w:r>
      <w:r w:rsidRPr="00466D4B">
        <w:rPr>
          <w:rFonts w:ascii="Palatino Linotype" w:eastAsia="Palatino Linotype" w:hAnsi="Palatino Linotype" w:cs="Palatino Linotype"/>
          <w:b/>
          <w:bCs/>
          <w:i/>
          <w:iCs/>
        </w:rPr>
        <w:t>EL RECURRENTE</w:t>
      </w:r>
      <w:r w:rsidRPr="00466D4B">
        <w:rPr>
          <w:rFonts w:ascii="Palatino Linotype" w:eastAsia="Palatino Linotype" w:hAnsi="Palatino Linotype" w:cs="Palatino Linotype"/>
          <w:i/>
          <w:iCs/>
        </w:rPr>
        <w:t xml:space="preserve">, en términos del considerando </w:t>
      </w:r>
      <w:r w:rsidRPr="00466D4B">
        <w:rPr>
          <w:rFonts w:ascii="Palatino Linotype" w:eastAsia="Palatino Linotype" w:hAnsi="Palatino Linotype" w:cs="Palatino Linotype"/>
          <w:b/>
          <w:bCs/>
          <w:i/>
          <w:iCs/>
        </w:rPr>
        <w:t>TERCERO</w:t>
      </w:r>
      <w:r w:rsidRPr="00466D4B">
        <w:rPr>
          <w:rFonts w:ascii="Palatino Linotype" w:eastAsia="Palatino Linotype" w:hAnsi="Palatino Linotype" w:cs="Palatino Linotype"/>
          <w:i/>
          <w:iCs/>
        </w:rPr>
        <w:t xml:space="preserve">, de la presente resolución. </w:t>
      </w:r>
    </w:p>
    <w:p w:rsidR="00730BD2" w:rsidRPr="00466D4B" w:rsidRDefault="00730BD2">
      <w:pPr>
        <w:spacing w:line="276" w:lineRule="auto"/>
        <w:ind w:left="426" w:right="474"/>
        <w:jc w:val="both"/>
        <w:rPr>
          <w:rFonts w:ascii="Palatino Linotype" w:eastAsia="Palatino Linotype" w:hAnsi="Palatino Linotype" w:cs="Palatino Linotype"/>
          <w:i/>
          <w:iCs/>
        </w:rPr>
      </w:pPr>
    </w:p>
    <w:p w:rsidR="00730BD2" w:rsidRPr="00466D4B" w:rsidRDefault="008756C8">
      <w:pPr>
        <w:spacing w:line="276" w:lineRule="auto"/>
        <w:ind w:left="426" w:right="474"/>
        <w:jc w:val="both"/>
        <w:rPr>
          <w:rFonts w:ascii="Palatino Linotype" w:eastAsia="Palatino Linotype" w:hAnsi="Palatino Linotype" w:cs="Palatino Linotype"/>
          <w:i/>
          <w:iCs/>
        </w:rPr>
      </w:pPr>
      <w:r w:rsidRPr="00466D4B">
        <w:rPr>
          <w:rFonts w:ascii="Palatino Linotype" w:eastAsia="Palatino Linotype" w:hAnsi="Palatino Linotype" w:cs="Palatino Linotype"/>
          <w:b/>
          <w:bCs/>
          <w:i/>
          <w:iCs/>
        </w:rPr>
        <w:t xml:space="preserve">SEGUNDO. </w:t>
      </w:r>
      <w:r w:rsidRPr="00466D4B">
        <w:rPr>
          <w:rFonts w:ascii="Palatino Linotype" w:eastAsia="Palatino Linotype" w:hAnsi="Palatino Linotype" w:cs="Palatino Linotype"/>
          <w:i/>
          <w:iCs/>
        </w:rPr>
        <w:t xml:space="preserve">Se </w:t>
      </w:r>
      <w:r w:rsidRPr="00466D4B">
        <w:rPr>
          <w:rFonts w:ascii="Palatino Linotype" w:eastAsia="Palatino Linotype" w:hAnsi="Palatino Linotype" w:cs="Palatino Linotype"/>
          <w:b/>
          <w:bCs/>
          <w:i/>
          <w:iCs/>
        </w:rPr>
        <w:t>ORDENA</w:t>
      </w:r>
      <w:r w:rsidRPr="00466D4B">
        <w:rPr>
          <w:rFonts w:ascii="Palatino Linotype" w:eastAsia="Palatino Linotype" w:hAnsi="Palatino Linotype" w:cs="Palatino Linotype"/>
          <w:i/>
          <w:iCs/>
        </w:rPr>
        <w:t xml:space="preserve"> al </w:t>
      </w:r>
      <w:r w:rsidRPr="00466D4B">
        <w:rPr>
          <w:rFonts w:ascii="Palatino Linotype" w:eastAsia="Palatino Linotype" w:hAnsi="Palatino Linotype" w:cs="Palatino Linotype"/>
          <w:b/>
          <w:bCs/>
          <w:i/>
          <w:iCs/>
        </w:rPr>
        <w:t>Sujeto Obligado</w:t>
      </w:r>
      <w:r w:rsidRPr="00466D4B">
        <w:rPr>
          <w:rFonts w:ascii="Palatino Linotype" w:eastAsia="Palatino Linotype" w:hAnsi="Palatino Linotype" w:cs="Palatino Linotype"/>
          <w:i/>
          <w:iCs/>
        </w:rPr>
        <w:t xml:space="preserve"> atienda la solicitud de información folio </w:t>
      </w:r>
      <w:r w:rsidRPr="00466D4B">
        <w:rPr>
          <w:rFonts w:ascii="Palatino Linotype" w:eastAsia="Palatino Linotype" w:hAnsi="Palatino Linotype" w:cs="Palatino Linotype"/>
          <w:b/>
          <w:bCs/>
          <w:i/>
          <w:iCs/>
        </w:rPr>
        <w:t>00371/TEPOTZOT/IP/2025</w:t>
      </w:r>
      <w:r w:rsidRPr="00466D4B">
        <w:rPr>
          <w:rFonts w:ascii="Palatino Linotype" w:eastAsia="Palatino Linotype" w:hAnsi="Palatino Linotype" w:cs="Palatino Linotype"/>
          <w:i/>
          <w:iCs/>
        </w:rPr>
        <w:t xml:space="preserve">, vía Sistema de Acceso a la Información Mexiquense </w:t>
      </w:r>
      <w:r w:rsidRPr="00466D4B">
        <w:rPr>
          <w:rFonts w:ascii="Palatino Linotype" w:eastAsia="Palatino Linotype" w:hAnsi="Palatino Linotype" w:cs="Palatino Linotype"/>
          <w:b/>
          <w:bCs/>
          <w:i/>
          <w:iCs/>
        </w:rPr>
        <w:t>(SAIMEX),</w:t>
      </w:r>
      <w:r w:rsidRPr="00466D4B">
        <w:rPr>
          <w:rFonts w:ascii="Palatino Linotype" w:eastAsia="Palatino Linotype" w:hAnsi="Palatino Linotype" w:cs="Palatino Linotype"/>
          <w:i/>
          <w:iCs/>
        </w:rPr>
        <w:t xml:space="preserve"> en términos del Considerando </w:t>
      </w:r>
      <w:r w:rsidRPr="00466D4B">
        <w:rPr>
          <w:rFonts w:ascii="Palatino Linotype" w:eastAsia="Palatino Linotype" w:hAnsi="Palatino Linotype" w:cs="Palatino Linotype"/>
          <w:b/>
          <w:bCs/>
          <w:i/>
          <w:iCs/>
        </w:rPr>
        <w:t>TERCERO</w:t>
      </w:r>
      <w:r w:rsidRPr="00466D4B">
        <w:rPr>
          <w:rFonts w:ascii="Palatino Linotype" w:eastAsia="Palatino Linotype" w:hAnsi="Palatino Linotype" w:cs="Palatino Linotype"/>
          <w:i/>
          <w:iCs/>
        </w:rPr>
        <w:t xml:space="preserve"> de esta resolución. </w:t>
      </w:r>
    </w:p>
    <w:p w:rsidR="00730BD2" w:rsidRPr="00466D4B" w:rsidRDefault="00730BD2">
      <w:pPr>
        <w:spacing w:line="276" w:lineRule="auto"/>
        <w:ind w:left="426" w:right="474"/>
        <w:jc w:val="both"/>
        <w:rPr>
          <w:rFonts w:ascii="Palatino Linotype" w:eastAsia="Palatino Linotype" w:hAnsi="Palatino Linotype" w:cs="Palatino Linotype"/>
          <w:i/>
          <w:iCs/>
        </w:rPr>
      </w:pPr>
    </w:p>
    <w:p w:rsidR="00730BD2" w:rsidRPr="00466D4B" w:rsidRDefault="008756C8">
      <w:pPr>
        <w:spacing w:line="276" w:lineRule="auto"/>
        <w:ind w:left="426" w:right="474"/>
        <w:jc w:val="both"/>
        <w:rPr>
          <w:rFonts w:ascii="Palatino Linotype" w:eastAsia="Palatino Linotype" w:hAnsi="Palatino Linotype" w:cs="Palatino Linotype"/>
          <w:i/>
          <w:iCs/>
        </w:rPr>
      </w:pPr>
      <w:r w:rsidRPr="00466D4B">
        <w:rPr>
          <w:rFonts w:ascii="Palatino Linotype" w:eastAsia="Palatino Linotype" w:hAnsi="Palatino Linotype" w:cs="Palatino Linotype"/>
          <w:b/>
          <w:bCs/>
          <w:i/>
          <w:iCs/>
        </w:rPr>
        <w:t>TERCERO. Notifíquese</w:t>
      </w:r>
      <w:r w:rsidRPr="00466D4B">
        <w:rPr>
          <w:rFonts w:ascii="Palatino Linotype" w:eastAsia="Palatino Linotype" w:hAnsi="Palatino Linotype" w:cs="Palatino Linotype"/>
          <w:i/>
          <w:iCs/>
        </w:rPr>
        <w:t xml:space="preserve">, vía Sistema de Acceso a la Información Mexiquense (SAIMEX), la presente resolución al Titular de la Unidad de Transparencia DEL </w:t>
      </w:r>
      <w:r w:rsidRPr="00466D4B">
        <w:rPr>
          <w:rFonts w:ascii="Palatino Linotype" w:eastAsia="Palatino Linotype" w:hAnsi="Palatino Linotype" w:cs="Palatino Linotype"/>
          <w:b/>
          <w:bCs/>
          <w:i/>
          <w:iCs/>
        </w:rPr>
        <w:t>SUJETO OBLIGADO</w:t>
      </w:r>
      <w:r w:rsidRPr="00466D4B">
        <w:rPr>
          <w:rFonts w:ascii="Palatino Linotype" w:eastAsia="Palatino Linotype" w:hAnsi="Palatino Linotype" w:cs="Palatino Linotype"/>
          <w:i/>
          <w:iCs/>
        </w:rPr>
        <w:t xml:space="preserve">, para que conforme al artículo 186 último párrafo, 189 segundo párrafo y 194 de la Ley de Transparencia y Acceso a la Información Pública del Estado de México y Municipios; </w:t>
      </w:r>
      <w:r w:rsidRPr="00466D4B">
        <w:rPr>
          <w:rFonts w:ascii="Palatino Linotype" w:eastAsia="Palatino Linotype" w:hAnsi="Palatino Linotype" w:cs="Palatino Linotype"/>
          <w:b/>
          <w:bCs/>
          <w:i/>
          <w:iCs/>
        </w:rPr>
        <w:t>dé cumplimiento a lo ordenado dentro del plazo de diez días hábiles</w:t>
      </w:r>
      <w:r w:rsidRPr="00466D4B">
        <w:rPr>
          <w:rFonts w:ascii="Palatino Linotype" w:eastAsia="Palatino Linotype" w:hAnsi="Palatino Linotype" w:cs="Palatino Linotype"/>
          <w:i/>
          <w:iCs/>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730BD2" w:rsidRPr="00466D4B" w:rsidRDefault="00730BD2">
      <w:pPr>
        <w:spacing w:line="276" w:lineRule="auto"/>
        <w:ind w:left="426" w:right="474"/>
        <w:jc w:val="both"/>
        <w:rPr>
          <w:rFonts w:ascii="Palatino Linotype" w:eastAsia="Palatino Linotype" w:hAnsi="Palatino Linotype" w:cs="Palatino Linotype"/>
          <w:i/>
          <w:iCs/>
        </w:rPr>
      </w:pPr>
    </w:p>
    <w:p w:rsidR="00730BD2" w:rsidRPr="00466D4B" w:rsidRDefault="008756C8">
      <w:pPr>
        <w:spacing w:line="276" w:lineRule="auto"/>
        <w:ind w:left="426" w:right="474"/>
        <w:jc w:val="both"/>
        <w:rPr>
          <w:rFonts w:ascii="Palatino Linotype" w:eastAsia="Palatino Linotype" w:hAnsi="Palatino Linotype" w:cs="Palatino Linotype"/>
          <w:i/>
          <w:iCs/>
        </w:rPr>
      </w:pPr>
      <w:r w:rsidRPr="00466D4B">
        <w:rPr>
          <w:rFonts w:ascii="Palatino Linotype" w:eastAsia="Palatino Linotype" w:hAnsi="Palatino Linotype" w:cs="Palatino Linotype"/>
          <w:b/>
          <w:bCs/>
          <w:i/>
          <w:iCs/>
        </w:rPr>
        <w:lastRenderedPageBreak/>
        <w:t>CUARTO. Notifíquese</w:t>
      </w:r>
      <w:r w:rsidRPr="00466D4B">
        <w:rPr>
          <w:rFonts w:ascii="Palatino Linotype" w:eastAsia="Palatino Linotype" w:hAnsi="Palatino Linotype" w:cs="Palatino Linotype"/>
          <w:i/>
          <w:iCs/>
        </w:rPr>
        <w:t>, vía Sistema de Acceso a la Información Mexiquense (SAIMEX)</w:t>
      </w:r>
      <w:r w:rsidRPr="00466D4B">
        <w:rPr>
          <w:rFonts w:ascii="Palatino Linotype" w:eastAsia="Palatino Linotype" w:hAnsi="Palatino Linotype" w:cs="Palatino Linotype"/>
          <w:b/>
          <w:bCs/>
          <w:i/>
          <w:iCs/>
        </w:rPr>
        <w:t xml:space="preserve"> al Recurrente</w:t>
      </w:r>
      <w:r w:rsidRPr="00466D4B">
        <w:rPr>
          <w:rFonts w:ascii="Palatino Linotype" w:eastAsia="Palatino Linotype" w:hAnsi="Palatino Linotype" w:cs="Palatino Linotype"/>
          <w:i/>
          <w:iCs/>
        </w:rPr>
        <w:t xml:space="preserve"> la presente resolución. </w:t>
      </w:r>
    </w:p>
    <w:p w:rsidR="00730BD2" w:rsidRPr="00466D4B" w:rsidRDefault="00730BD2">
      <w:pPr>
        <w:spacing w:line="276" w:lineRule="auto"/>
        <w:ind w:left="426" w:right="474"/>
        <w:jc w:val="both"/>
        <w:rPr>
          <w:rFonts w:ascii="Palatino Linotype" w:eastAsia="Palatino Linotype" w:hAnsi="Palatino Linotype" w:cs="Palatino Linotype"/>
          <w:i/>
          <w:iCs/>
        </w:rPr>
      </w:pPr>
    </w:p>
    <w:p w:rsidR="00730BD2" w:rsidRPr="00466D4B" w:rsidRDefault="008756C8">
      <w:pPr>
        <w:spacing w:line="276" w:lineRule="auto"/>
        <w:ind w:left="426" w:right="474"/>
        <w:jc w:val="both"/>
        <w:rPr>
          <w:rFonts w:ascii="Palatino Linotype" w:eastAsia="Palatino Linotype" w:hAnsi="Palatino Linotype" w:cs="Palatino Linotype"/>
          <w:i/>
          <w:iCs/>
        </w:rPr>
      </w:pPr>
      <w:r w:rsidRPr="00466D4B">
        <w:rPr>
          <w:rFonts w:ascii="Palatino Linotype" w:eastAsia="Palatino Linotype" w:hAnsi="Palatino Linotype" w:cs="Palatino Linotype"/>
          <w:b/>
          <w:bCs/>
          <w:i/>
          <w:iCs/>
        </w:rPr>
        <w:t>QUINTO. Se hace del conocimiento a EL RECURRENTE</w:t>
      </w:r>
      <w:r w:rsidRPr="00466D4B">
        <w:rPr>
          <w:rFonts w:ascii="Palatino Linotype" w:eastAsia="Palatino Linotype" w:hAnsi="Palatino Linotype" w:cs="Palatino Linotype"/>
          <w:i/>
          <w:iCs/>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Pr="00466D4B">
        <w:rPr>
          <w:rFonts w:ascii="Palatino Linotype" w:eastAsia="Palatino Linotype" w:hAnsi="Palatino Linotype" w:cs="Palatino Linotype"/>
          <w:b/>
          <w:bCs/>
          <w:i/>
          <w:iCs/>
        </w:rPr>
        <w:t>EL SUJETO OBLIGADO</w:t>
      </w:r>
      <w:r w:rsidRPr="00466D4B">
        <w:rPr>
          <w:rFonts w:ascii="Palatino Linotype" w:eastAsia="Palatino Linotype" w:hAnsi="Palatino Linotype" w:cs="Palatino Linotype"/>
          <w:i/>
          <w:iCs/>
        </w:rPr>
        <w:t>, en cumplimiento a esta Resolución.</w:t>
      </w:r>
    </w:p>
    <w:p w:rsidR="00730BD2" w:rsidRPr="00466D4B" w:rsidRDefault="00730BD2">
      <w:pPr>
        <w:spacing w:line="276" w:lineRule="auto"/>
        <w:ind w:left="426" w:right="474"/>
        <w:jc w:val="both"/>
        <w:rPr>
          <w:rFonts w:ascii="Palatino Linotype" w:eastAsia="Palatino Linotype" w:hAnsi="Palatino Linotype" w:cs="Palatino Linotype"/>
          <w:i/>
          <w:iCs/>
        </w:rPr>
      </w:pPr>
    </w:p>
    <w:p w:rsidR="00730BD2" w:rsidRPr="00466D4B" w:rsidRDefault="008756C8">
      <w:pPr>
        <w:spacing w:line="276" w:lineRule="auto"/>
        <w:ind w:left="426" w:right="474"/>
        <w:jc w:val="both"/>
        <w:rPr>
          <w:rFonts w:ascii="Palatino Linotype" w:eastAsia="Palatino Linotype" w:hAnsi="Palatino Linotype" w:cs="Palatino Linotype"/>
          <w:i/>
          <w:iCs/>
        </w:rPr>
      </w:pPr>
      <w:r w:rsidRPr="00466D4B">
        <w:rPr>
          <w:rFonts w:ascii="Palatino Linotype" w:eastAsia="Palatino Linotype" w:hAnsi="Palatino Linotype" w:cs="Palatino Linotype"/>
          <w:b/>
          <w:bCs/>
          <w:i/>
          <w:iCs/>
        </w:rPr>
        <w:t xml:space="preserve"> SEXTO. </w:t>
      </w:r>
      <w:r w:rsidRPr="00466D4B">
        <w:rPr>
          <w:rFonts w:ascii="Palatino Linotype" w:eastAsia="Palatino Linotype" w:hAnsi="Palatino Linotype" w:cs="Palatino Linotype"/>
          <w:i/>
          <w:iCs/>
        </w:rPr>
        <w:t xml:space="preserve">Se hace del conocimiento del </w:t>
      </w:r>
      <w:r w:rsidRPr="00466D4B">
        <w:rPr>
          <w:rFonts w:ascii="Palatino Linotype" w:eastAsia="Palatino Linotype" w:hAnsi="Palatino Linotype" w:cs="Palatino Linotype"/>
          <w:b/>
          <w:bCs/>
          <w:i/>
          <w:iCs/>
        </w:rPr>
        <w:t>RECURRENTE</w:t>
      </w:r>
      <w:r w:rsidRPr="00466D4B">
        <w:rPr>
          <w:rFonts w:ascii="Palatino Linotype" w:eastAsia="Palatino Linotype" w:hAnsi="Palatino Linotype" w:cs="Palatino Linotype"/>
          <w:i/>
          <w:iCs/>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730BD2" w:rsidRPr="00466D4B" w:rsidRDefault="00730BD2">
      <w:pPr>
        <w:spacing w:line="276" w:lineRule="auto"/>
        <w:ind w:left="426" w:right="474"/>
        <w:jc w:val="both"/>
        <w:rPr>
          <w:rFonts w:ascii="Palatino Linotype" w:eastAsia="Palatino Linotype" w:hAnsi="Palatino Linotype" w:cs="Palatino Linotype"/>
          <w:i/>
          <w:iCs/>
        </w:rPr>
      </w:pPr>
    </w:p>
    <w:p w:rsidR="00730BD2" w:rsidRPr="00466D4B" w:rsidRDefault="008756C8">
      <w:pPr>
        <w:spacing w:line="276" w:lineRule="auto"/>
        <w:ind w:left="426" w:right="474"/>
        <w:jc w:val="both"/>
        <w:rPr>
          <w:rFonts w:ascii="Palatino Linotype" w:eastAsia="Palatino Linotype" w:hAnsi="Palatino Linotype" w:cs="Palatino Linotype"/>
          <w:i/>
          <w:iCs/>
        </w:rPr>
      </w:pPr>
      <w:r w:rsidRPr="00466D4B">
        <w:rPr>
          <w:rFonts w:ascii="Palatino Linotype" w:eastAsia="Palatino Linotype" w:hAnsi="Palatino Linotype" w:cs="Palatino Linotype"/>
          <w:i/>
          <w:iCs/>
        </w:rPr>
        <w:t xml:space="preserve"> </w:t>
      </w:r>
      <w:r w:rsidRPr="00466D4B">
        <w:rPr>
          <w:rFonts w:ascii="Palatino Linotype" w:eastAsia="Palatino Linotype" w:hAnsi="Palatino Linotype" w:cs="Palatino Linotype"/>
          <w:b/>
          <w:bCs/>
          <w:i/>
          <w:iCs/>
        </w:rPr>
        <w:t>SÉPTIMO. Gírese</w:t>
      </w:r>
      <w:r w:rsidRPr="00466D4B">
        <w:rPr>
          <w:rFonts w:ascii="Palatino Linotype" w:eastAsia="Palatino Linotype" w:hAnsi="Palatino Linotype" w:cs="Palatino Linotype"/>
          <w:i/>
          <w:iCs/>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TERCERO de la presente resolución.</w:t>
      </w:r>
    </w:p>
    <w:p w:rsidR="00730BD2" w:rsidRPr="00466D4B" w:rsidRDefault="00730BD2">
      <w:pPr>
        <w:spacing w:line="276" w:lineRule="auto"/>
        <w:ind w:left="426" w:right="474"/>
        <w:jc w:val="both"/>
        <w:rPr>
          <w:rFonts w:ascii="Palatino Linotype" w:eastAsia="Palatino Linotype" w:hAnsi="Palatino Linotype" w:cs="Palatino Linotype"/>
          <w:i/>
          <w:iCs/>
        </w:rPr>
      </w:pPr>
    </w:p>
    <w:p w:rsidR="00730BD2" w:rsidRPr="00466D4B" w:rsidRDefault="008756C8">
      <w:pPr>
        <w:numPr>
          <w:ilvl w:val="0"/>
          <w:numId w:val="5"/>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rPr>
      </w:pPr>
      <w:r w:rsidRPr="00466D4B">
        <w:rPr>
          <w:rFonts w:ascii="Palatino Linotype" w:eastAsia="Palatino Linotype" w:hAnsi="Palatino Linotype" w:cs="Palatino Linotype"/>
        </w:rPr>
        <w:t xml:space="preserve">El </w:t>
      </w:r>
      <w:r w:rsidRPr="00466D4B">
        <w:rPr>
          <w:rFonts w:ascii="Palatino Linotype" w:eastAsia="Palatino Linotype" w:hAnsi="Palatino Linotype" w:cs="Palatino Linotype"/>
          <w:b/>
          <w:bCs/>
        </w:rPr>
        <w:t>primero de septiembre de dos mil veinticinco</w:t>
      </w:r>
      <w:r w:rsidRPr="00466D4B">
        <w:rPr>
          <w:rFonts w:ascii="Palatino Linotype" w:eastAsia="Palatino Linotype" w:hAnsi="Palatino Linotype" w:cs="Palatino Linotype"/>
        </w:rPr>
        <w:t>, por medio del Sistema de Acceso a la Información Mexiquense (SAIMEX), se notificó a las partes, la resolución del Medio de Impugnación previamente referido.</w:t>
      </w:r>
    </w:p>
    <w:p w:rsidR="00730BD2" w:rsidRPr="00466D4B" w:rsidRDefault="00730BD2">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rPr>
      </w:pPr>
    </w:p>
    <w:p w:rsidR="00730BD2" w:rsidRPr="00466D4B" w:rsidRDefault="008756C8">
      <w:pPr>
        <w:numPr>
          <w:ilvl w:val="0"/>
          <w:numId w:val="5"/>
        </w:numPr>
        <w:tabs>
          <w:tab w:val="left" w:pos="426"/>
        </w:tabs>
        <w:spacing w:line="360" w:lineRule="auto"/>
        <w:ind w:left="0" w:firstLine="0"/>
        <w:jc w:val="both"/>
      </w:pPr>
      <w:r w:rsidRPr="00466D4B">
        <w:rPr>
          <w:rFonts w:ascii="Palatino Linotype" w:eastAsia="Palatino Linotype" w:hAnsi="Palatino Linotype" w:cs="Palatino Linotype"/>
        </w:rPr>
        <w:t xml:space="preserve">El </w:t>
      </w:r>
      <w:r w:rsidRPr="00466D4B">
        <w:rPr>
          <w:rFonts w:ascii="Palatino Linotype" w:eastAsia="Palatino Linotype" w:hAnsi="Palatino Linotype" w:cs="Palatino Linotype"/>
          <w:b/>
          <w:bCs/>
        </w:rPr>
        <w:t>SUJETO OBLIGADO</w:t>
      </w:r>
      <w:r w:rsidRPr="00466D4B">
        <w:rPr>
          <w:rFonts w:ascii="Palatino Linotype" w:eastAsia="Palatino Linotype" w:hAnsi="Palatino Linotype" w:cs="Palatino Linotype"/>
        </w:rPr>
        <w:t xml:space="preserve"> hizo entrega de la información en fecha </w:t>
      </w:r>
      <w:r w:rsidRPr="00466D4B">
        <w:rPr>
          <w:rFonts w:ascii="Palatino Linotype" w:eastAsia="Palatino Linotype" w:hAnsi="Palatino Linotype" w:cs="Palatino Linotype"/>
          <w:b/>
          <w:bCs/>
        </w:rPr>
        <w:t>doce de septiembre de dos mil veinticinco,</w:t>
      </w:r>
      <w:r w:rsidRPr="00466D4B">
        <w:rPr>
          <w:rFonts w:ascii="Palatino Linotype" w:eastAsia="Palatino Linotype" w:hAnsi="Palatino Linotype" w:cs="Palatino Linotype"/>
        </w:rPr>
        <w:t xml:space="preserve"> encontrándose dentro del plazo legal concedido para tal efecto. </w:t>
      </w:r>
    </w:p>
    <w:p w:rsidR="00730BD2" w:rsidRPr="00466D4B" w:rsidRDefault="00730BD2">
      <w:pPr>
        <w:tabs>
          <w:tab w:val="left" w:pos="426"/>
        </w:tabs>
        <w:spacing w:line="360" w:lineRule="auto"/>
        <w:jc w:val="both"/>
        <w:rPr>
          <w:rFonts w:ascii="Palatino Linotype" w:eastAsia="Palatino Linotype" w:hAnsi="Palatino Linotype" w:cs="Palatino Linotype"/>
        </w:rPr>
      </w:pPr>
    </w:p>
    <w:p w:rsidR="00730BD2" w:rsidRPr="00466D4B" w:rsidRDefault="008756C8">
      <w:pPr>
        <w:numPr>
          <w:ilvl w:val="0"/>
          <w:numId w:val="5"/>
        </w:numPr>
        <w:tabs>
          <w:tab w:val="left" w:pos="426"/>
        </w:tabs>
        <w:spacing w:line="360" w:lineRule="auto"/>
        <w:ind w:left="0" w:firstLine="0"/>
        <w:jc w:val="both"/>
        <w:rPr>
          <w:rFonts w:ascii="Palatino Linotype" w:eastAsia="Palatino Linotype" w:hAnsi="Palatino Linotype" w:cs="Palatino Linotype"/>
        </w:rPr>
      </w:pPr>
      <w:r w:rsidRPr="00466D4B">
        <w:rPr>
          <w:rFonts w:ascii="Palatino Linotype" w:eastAsia="Palatino Linotype" w:hAnsi="Palatino Linotype" w:cs="Palatino Linotype"/>
        </w:rPr>
        <w:t xml:space="preserve">El </w:t>
      </w:r>
      <w:r w:rsidRPr="00466D4B">
        <w:rPr>
          <w:rFonts w:ascii="Palatino Linotype" w:eastAsia="Palatino Linotype" w:hAnsi="Palatino Linotype" w:cs="Palatino Linotype"/>
          <w:b/>
          <w:bCs/>
        </w:rPr>
        <w:t xml:space="preserve">dieciocho de septiembre de dos mil veinticinco, </w:t>
      </w:r>
      <w:r w:rsidRPr="00466D4B">
        <w:rPr>
          <w:rFonts w:ascii="Palatino Linotype" w:eastAsia="Palatino Linotype" w:hAnsi="Palatino Linotype" w:cs="Palatino Linotype"/>
        </w:rPr>
        <w:t xml:space="preserve">se otorgó vista al </w:t>
      </w:r>
      <w:r w:rsidRPr="00466D4B">
        <w:rPr>
          <w:rFonts w:ascii="Palatino Linotype" w:eastAsia="Palatino Linotype" w:hAnsi="Palatino Linotype" w:cs="Palatino Linotype"/>
          <w:b/>
          <w:bCs/>
        </w:rPr>
        <w:t xml:space="preserve">RECURRENTE </w:t>
      </w:r>
      <w:r w:rsidRPr="00466D4B">
        <w:rPr>
          <w:rFonts w:ascii="Palatino Linotype" w:eastAsia="Palatino Linotype" w:hAnsi="Palatino Linotype" w:cs="Palatino Linotype"/>
        </w:rPr>
        <w:t>a efecto de que manifestara lo que a su derecho conviniera y asistiera.</w:t>
      </w:r>
    </w:p>
    <w:p w:rsidR="00730BD2" w:rsidRPr="00466D4B" w:rsidRDefault="008756C8">
      <w:pPr>
        <w:numPr>
          <w:ilvl w:val="0"/>
          <w:numId w:val="5"/>
        </w:numPr>
        <w:tabs>
          <w:tab w:val="left" w:pos="426"/>
        </w:tabs>
        <w:spacing w:line="360" w:lineRule="auto"/>
        <w:ind w:left="0" w:firstLine="0"/>
        <w:jc w:val="both"/>
        <w:rPr>
          <w:rFonts w:ascii="Palatino Linotype" w:eastAsia="Palatino Linotype" w:hAnsi="Palatino Linotype" w:cs="Palatino Linotype"/>
        </w:rPr>
      </w:pPr>
      <w:r w:rsidRPr="00466D4B">
        <w:rPr>
          <w:rFonts w:ascii="Palatino Linotype" w:eastAsia="Palatino Linotype" w:hAnsi="Palatino Linotype" w:cs="Palatino Linotype"/>
        </w:rPr>
        <w:lastRenderedPageBreak/>
        <w:t xml:space="preserve">Inconforme con lo anterior, el </w:t>
      </w:r>
      <w:r w:rsidRPr="00466D4B">
        <w:rPr>
          <w:rFonts w:ascii="Palatino Linotype" w:eastAsia="Palatino Linotype" w:hAnsi="Palatino Linotype" w:cs="Palatino Linotype"/>
          <w:b/>
          <w:bCs/>
        </w:rPr>
        <w:t xml:space="preserve">nueve de febrero de dos mil veintiséis </w:t>
      </w:r>
      <w:r w:rsidRPr="00466D4B">
        <w:rPr>
          <w:rFonts w:ascii="Palatino Linotype" w:eastAsia="Palatino Linotype" w:hAnsi="Palatino Linotype" w:cs="Palatino Linotype"/>
        </w:rPr>
        <w:t xml:space="preserve">el ahora </w:t>
      </w:r>
      <w:r w:rsidRPr="00466D4B">
        <w:rPr>
          <w:rFonts w:ascii="Palatino Linotype" w:eastAsia="Palatino Linotype" w:hAnsi="Palatino Linotype" w:cs="Palatino Linotype"/>
          <w:b/>
          <w:bCs/>
        </w:rPr>
        <w:t>RECURRENTE</w:t>
      </w:r>
      <w:r w:rsidRPr="00466D4B">
        <w:rPr>
          <w:rFonts w:ascii="Palatino Linotype" w:eastAsia="Palatino Linotype" w:hAnsi="Palatino Linotype" w:cs="Palatino Linotype"/>
        </w:rPr>
        <w:t xml:space="preserve"> interpuso el recurso de revisión </w:t>
      </w:r>
      <w:r w:rsidRPr="00466D4B">
        <w:rPr>
          <w:rFonts w:ascii="Palatino Linotype" w:eastAsia="Palatino Linotype" w:hAnsi="Palatino Linotype" w:cs="Palatino Linotype"/>
          <w:b/>
          <w:bCs/>
        </w:rPr>
        <w:t>09243/INFOEM/ICR-90/IP/RR/2025</w:t>
      </w:r>
      <w:r w:rsidRPr="00466D4B">
        <w:rPr>
          <w:rFonts w:ascii="Palatino Linotype" w:eastAsia="Palatino Linotype" w:hAnsi="Palatino Linotype" w:cs="Palatino Linotype"/>
        </w:rPr>
        <w:t xml:space="preserve">arguyendo como: </w:t>
      </w:r>
    </w:p>
    <w:p w:rsidR="00730BD2" w:rsidRPr="00466D4B" w:rsidRDefault="00730BD2">
      <w:pPr>
        <w:tabs>
          <w:tab w:val="left" w:pos="426"/>
        </w:tabs>
        <w:spacing w:after="160" w:line="276" w:lineRule="auto"/>
        <w:ind w:left="360" w:right="474"/>
        <w:jc w:val="both"/>
        <w:rPr>
          <w:rFonts w:ascii="Palatino Linotype" w:eastAsia="Palatino Linotype" w:hAnsi="Palatino Linotype" w:cs="Palatino Linotype"/>
        </w:rPr>
      </w:pPr>
    </w:p>
    <w:p w:rsidR="00730BD2" w:rsidRPr="00466D4B" w:rsidRDefault="00466D4B" w:rsidP="00466D4B">
      <w:pPr>
        <w:numPr>
          <w:ilvl w:val="0"/>
          <w:numId w:val="4"/>
        </w:numPr>
        <w:pBdr>
          <w:top w:val="nil"/>
          <w:left w:val="nil"/>
          <w:bottom w:val="nil"/>
          <w:right w:val="nil"/>
          <w:between w:val="nil"/>
        </w:pBdr>
        <w:spacing w:after="160" w:line="276" w:lineRule="auto"/>
        <w:ind w:left="284" w:right="474" w:hanging="15"/>
        <w:rPr>
          <w:rFonts w:ascii="Palatino Linotype" w:eastAsia="Palatino Linotype" w:hAnsi="Palatino Linotype" w:cs="Palatino Linotype"/>
          <w:color w:val="000000"/>
        </w:rPr>
      </w:pPr>
      <w:r w:rsidRPr="00466D4B">
        <w:rPr>
          <w:rFonts w:ascii="Palatino Linotype" w:eastAsia="Palatino Linotype" w:hAnsi="Palatino Linotype" w:cs="Palatino Linotype"/>
          <w:b/>
          <w:bCs/>
          <w:color w:val="000000"/>
        </w:rPr>
        <w:t xml:space="preserve">ACTO IMPUGNADO: </w:t>
      </w:r>
    </w:p>
    <w:p w:rsidR="00730BD2" w:rsidRPr="00466D4B" w:rsidRDefault="008756C8">
      <w:pPr>
        <w:tabs>
          <w:tab w:val="left" w:pos="426"/>
        </w:tabs>
        <w:spacing w:after="160" w:line="276" w:lineRule="auto"/>
        <w:ind w:left="720" w:right="474" w:hanging="15"/>
        <w:jc w:val="both"/>
        <w:rPr>
          <w:rFonts w:ascii="Palatino Linotype" w:eastAsia="Palatino Linotype" w:hAnsi="Palatino Linotype" w:cs="Palatino Linotype"/>
          <w:i/>
          <w:iCs/>
        </w:rPr>
      </w:pPr>
      <w:r w:rsidRPr="00466D4B">
        <w:rPr>
          <w:rFonts w:ascii="Palatino Linotype" w:eastAsia="Palatino Linotype" w:hAnsi="Palatino Linotype" w:cs="Palatino Linotype"/>
          <w:i/>
          <w:iCs/>
        </w:rPr>
        <w:t>“NO fue atendido el requerimiento..".” (Sic)</w:t>
      </w:r>
    </w:p>
    <w:p w:rsidR="00730BD2" w:rsidRPr="00466D4B" w:rsidRDefault="00466D4B" w:rsidP="00466D4B">
      <w:pPr>
        <w:numPr>
          <w:ilvl w:val="0"/>
          <w:numId w:val="4"/>
        </w:numPr>
        <w:pBdr>
          <w:top w:val="nil"/>
          <w:left w:val="nil"/>
          <w:bottom w:val="nil"/>
          <w:right w:val="nil"/>
          <w:between w:val="nil"/>
        </w:pBdr>
        <w:spacing w:after="160" w:line="276" w:lineRule="auto"/>
        <w:ind w:left="284" w:right="474" w:hanging="15"/>
        <w:jc w:val="both"/>
        <w:rPr>
          <w:rFonts w:ascii="Palatino Linotype" w:eastAsia="Palatino Linotype" w:hAnsi="Palatino Linotype" w:cs="Palatino Linotype"/>
          <w:color w:val="000000"/>
        </w:rPr>
      </w:pPr>
      <w:r w:rsidRPr="00466D4B">
        <w:rPr>
          <w:rFonts w:ascii="Palatino Linotype" w:eastAsia="Palatino Linotype" w:hAnsi="Palatino Linotype" w:cs="Palatino Linotype"/>
          <w:b/>
          <w:bCs/>
          <w:color w:val="000000"/>
        </w:rPr>
        <w:t>RAZONES O MOTIVOS DE LA INCONFORMIDAD :</w:t>
      </w:r>
    </w:p>
    <w:p w:rsidR="00730BD2" w:rsidRPr="00466D4B" w:rsidRDefault="008756C8">
      <w:pPr>
        <w:tabs>
          <w:tab w:val="left" w:pos="426"/>
        </w:tabs>
        <w:spacing w:line="276" w:lineRule="auto"/>
        <w:ind w:left="720" w:right="474" w:hanging="15"/>
        <w:jc w:val="both"/>
        <w:rPr>
          <w:rFonts w:ascii="Palatino Linotype" w:eastAsia="Palatino Linotype" w:hAnsi="Palatino Linotype" w:cs="Palatino Linotype"/>
          <w:i/>
          <w:iCs/>
        </w:rPr>
      </w:pPr>
      <w:r w:rsidRPr="00466D4B">
        <w:rPr>
          <w:rFonts w:ascii="Palatino Linotype" w:eastAsia="Palatino Linotype" w:hAnsi="Palatino Linotype" w:cs="Palatino Linotype"/>
          <w:i/>
          <w:iCs/>
        </w:rPr>
        <w:t>“NO fue atendido el requerimiento." (Sic)</w:t>
      </w:r>
    </w:p>
    <w:p w:rsidR="00730BD2" w:rsidRPr="00466D4B" w:rsidRDefault="00730BD2">
      <w:pPr>
        <w:tabs>
          <w:tab w:val="left" w:pos="426"/>
        </w:tabs>
        <w:spacing w:line="360" w:lineRule="auto"/>
        <w:rPr>
          <w:rFonts w:ascii="Palatino Linotype" w:eastAsia="Palatino Linotype" w:hAnsi="Palatino Linotype" w:cs="Palatino Linotype"/>
          <w:i/>
          <w:iCs/>
        </w:rPr>
      </w:pPr>
    </w:p>
    <w:p w:rsidR="00730BD2" w:rsidRPr="00466D4B" w:rsidRDefault="008756C8">
      <w:pPr>
        <w:numPr>
          <w:ilvl w:val="0"/>
          <w:numId w:val="5"/>
        </w:numPr>
        <w:tabs>
          <w:tab w:val="left" w:pos="426"/>
        </w:tabs>
        <w:spacing w:line="360" w:lineRule="auto"/>
        <w:ind w:left="0" w:firstLine="0"/>
        <w:jc w:val="both"/>
        <w:rPr>
          <w:rFonts w:ascii="Palatino Linotype" w:eastAsia="Palatino Linotype" w:hAnsi="Palatino Linotype" w:cs="Palatino Linotype"/>
          <w:i/>
          <w:iCs/>
          <w:color w:val="000000"/>
        </w:rPr>
      </w:pPr>
      <w:r w:rsidRPr="00466D4B">
        <w:rPr>
          <w:rFonts w:ascii="Palatino Linotype" w:eastAsia="Palatino Linotype" w:hAnsi="Palatino Linotype" w:cs="Palatino Linotype"/>
          <w:color w:val="000000"/>
        </w:rPr>
        <w:t xml:space="preserve">La Comisionada </w:t>
      </w:r>
      <w:r w:rsidRPr="00466D4B">
        <w:rPr>
          <w:rFonts w:ascii="Palatino Linotype" w:eastAsia="Palatino Linotype" w:hAnsi="Palatino Linotype" w:cs="Palatino Linotype"/>
          <w:b/>
          <w:bCs/>
          <w:color w:val="000000"/>
        </w:rPr>
        <w:t>María del Rosario Mejía Ayala</w:t>
      </w:r>
      <w:r w:rsidRPr="00466D4B">
        <w:rPr>
          <w:rFonts w:ascii="Palatino Linotype" w:eastAsia="Palatino Linotype" w:hAnsi="Palatino Linotype" w:cs="Palatino Linotype"/>
          <w:color w:val="000000"/>
        </w:rPr>
        <w:t>, con fundamento en lo dispuesto por el artículo 185 fracción II de la ley de la materia, a través del acuerdo de admisión de</w:t>
      </w:r>
      <w:r w:rsidRPr="00466D4B">
        <w:rPr>
          <w:rFonts w:ascii="Palatino Linotype" w:eastAsia="Palatino Linotype" w:hAnsi="Palatino Linotype" w:cs="Palatino Linotype"/>
          <w:b/>
          <w:bCs/>
          <w:color w:val="000000"/>
        </w:rPr>
        <w:t xml:space="preserve"> nueve de febrero de dos mil veintiséis</w:t>
      </w:r>
      <w:r w:rsidRPr="00466D4B">
        <w:rPr>
          <w:rFonts w:ascii="Palatino Linotype" w:eastAsia="Palatino Linotype" w:hAnsi="Palatino Linotype" w:cs="Palatino Linotype"/>
          <w:color w:val="000000"/>
        </w:rPr>
        <w:t xml:space="preserve">, puso a disposición de las partes el expediente electrónico vía Sistema de Acceso a la Información Mexiquense </w:t>
      </w:r>
      <w:r w:rsidRPr="00466D4B">
        <w:rPr>
          <w:rFonts w:ascii="Palatino Linotype" w:eastAsia="Palatino Linotype" w:hAnsi="Palatino Linotype" w:cs="Palatino Linotype"/>
          <w:b/>
          <w:bCs/>
          <w:color w:val="000000"/>
        </w:rPr>
        <w:t xml:space="preserve">(SAIMEX) </w:t>
      </w:r>
      <w:r w:rsidRPr="00466D4B">
        <w:rPr>
          <w:rFonts w:ascii="Palatino Linotype" w:eastAsia="Palatino Linotype" w:hAnsi="Palatino Linotype" w:cs="Palatino Linotype"/>
          <w:color w:val="000000"/>
        </w:rPr>
        <w:t xml:space="preserve">a efecto de que en un plazo máximo de siete días manifestaran lo que a derecho convinieran, ofrecieran pruebas y alegatos según corresponda a los casos concretos, de esta forma para que el </w:t>
      </w:r>
      <w:r w:rsidRPr="00466D4B">
        <w:rPr>
          <w:rFonts w:ascii="Palatino Linotype" w:eastAsia="Palatino Linotype" w:hAnsi="Palatino Linotype" w:cs="Palatino Linotype"/>
          <w:b/>
          <w:bCs/>
          <w:color w:val="000000"/>
        </w:rPr>
        <w:t>SUJETO OBLIGADO</w:t>
      </w:r>
      <w:r w:rsidRPr="00466D4B">
        <w:rPr>
          <w:rFonts w:ascii="Palatino Linotype" w:eastAsia="Palatino Linotype" w:hAnsi="Palatino Linotype" w:cs="Palatino Linotype"/>
          <w:color w:val="000000"/>
        </w:rPr>
        <w:t xml:space="preserve"> presentara el informe justificado correspondiente, situación que no aconteció por las partes. </w:t>
      </w:r>
    </w:p>
    <w:p w:rsidR="00730BD2" w:rsidRPr="00466D4B" w:rsidRDefault="00730BD2">
      <w:pPr>
        <w:tabs>
          <w:tab w:val="left" w:pos="426"/>
        </w:tabs>
        <w:spacing w:line="360" w:lineRule="auto"/>
        <w:jc w:val="both"/>
        <w:rPr>
          <w:rFonts w:ascii="Palatino Linotype" w:eastAsia="Palatino Linotype" w:hAnsi="Palatino Linotype" w:cs="Palatino Linotype"/>
          <w:i/>
          <w:iCs/>
          <w:color w:val="000000"/>
        </w:rPr>
      </w:pPr>
    </w:p>
    <w:p w:rsidR="00730BD2" w:rsidRPr="00466D4B" w:rsidRDefault="008756C8">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466D4B">
        <w:rPr>
          <w:rFonts w:ascii="Palatino Linotype" w:eastAsia="Palatino Linotype" w:hAnsi="Palatino Linotype" w:cs="Palatino Linotype"/>
          <w:color w:val="000000"/>
        </w:rPr>
        <w:t xml:space="preserve">Transcurrido el plazo decretado con anterioridad, el </w:t>
      </w:r>
      <w:r w:rsidRPr="00466D4B">
        <w:rPr>
          <w:rFonts w:ascii="Palatino Linotype" w:eastAsia="Palatino Linotype" w:hAnsi="Palatino Linotype" w:cs="Palatino Linotype"/>
          <w:b/>
          <w:bCs/>
          <w:color w:val="000000"/>
        </w:rPr>
        <w:t>PARTICULAR</w:t>
      </w:r>
      <w:r w:rsidRPr="00466D4B">
        <w:rPr>
          <w:rFonts w:ascii="Palatino Linotype" w:eastAsia="Palatino Linotype" w:hAnsi="Palatino Linotype" w:cs="Palatino Linotype"/>
          <w:color w:val="000000"/>
        </w:rPr>
        <w:t xml:space="preserve"> y el </w:t>
      </w:r>
      <w:r w:rsidRPr="00466D4B">
        <w:rPr>
          <w:rFonts w:ascii="Palatino Linotype" w:eastAsia="Palatino Linotype" w:hAnsi="Palatino Linotype" w:cs="Palatino Linotype"/>
          <w:b/>
          <w:bCs/>
          <w:color w:val="000000"/>
        </w:rPr>
        <w:t>SUJETO OBLIGADO,</w:t>
      </w:r>
      <w:r w:rsidRPr="00466D4B">
        <w:rPr>
          <w:rFonts w:ascii="Palatino Linotype" w:eastAsia="Palatino Linotype" w:hAnsi="Palatino Linotype" w:cs="Palatino Linotype"/>
          <w:color w:val="000000"/>
        </w:rPr>
        <w:t xml:space="preserve"> fueron omisos en realizar manifestación alguna conforme a su derecho conviniera y asistiera. </w:t>
      </w:r>
    </w:p>
    <w:p w:rsidR="00730BD2" w:rsidRPr="00466D4B" w:rsidRDefault="00730BD2">
      <w:pPr>
        <w:pBdr>
          <w:top w:val="nil"/>
          <w:left w:val="nil"/>
          <w:bottom w:val="nil"/>
          <w:right w:val="nil"/>
          <w:between w:val="nil"/>
        </w:pBdr>
        <w:rPr>
          <w:rFonts w:ascii="Palatino Linotype" w:eastAsia="Palatino Linotype" w:hAnsi="Palatino Linotype" w:cs="Palatino Linotype"/>
          <w:i/>
          <w:iCs/>
          <w:color w:val="000000"/>
        </w:rPr>
      </w:pPr>
    </w:p>
    <w:p w:rsidR="00730BD2" w:rsidRPr="00466D4B" w:rsidRDefault="008756C8">
      <w:pPr>
        <w:numPr>
          <w:ilvl w:val="0"/>
          <w:numId w:val="5"/>
        </w:numPr>
        <w:tabs>
          <w:tab w:val="left" w:pos="426"/>
        </w:tabs>
        <w:spacing w:line="360" w:lineRule="auto"/>
        <w:ind w:left="0" w:firstLine="0"/>
        <w:jc w:val="both"/>
        <w:rPr>
          <w:rFonts w:ascii="Palatino Linotype" w:eastAsia="Palatino Linotype" w:hAnsi="Palatino Linotype" w:cs="Palatino Linotype"/>
          <w:i/>
          <w:iCs/>
          <w:color w:val="000000"/>
        </w:rPr>
      </w:pPr>
      <w:bookmarkStart w:id="2" w:name="_heading=h.p9sx7cw8imov" w:colFirst="0" w:colLast="0"/>
      <w:bookmarkEnd w:id="2"/>
      <w:r w:rsidRPr="00466D4B">
        <w:rPr>
          <w:rFonts w:ascii="Palatino Linotype" w:eastAsia="Palatino Linotype" w:hAnsi="Palatino Linotype" w:cs="Palatino Linotype"/>
          <w:color w:val="000000"/>
        </w:rPr>
        <w:t xml:space="preserve">Finalmente, el </w:t>
      </w:r>
      <w:r w:rsidRPr="00466D4B">
        <w:rPr>
          <w:rFonts w:ascii="Palatino Linotype" w:eastAsia="Palatino Linotype" w:hAnsi="Palatino Linotype" w:cs="Palatino Linotype"/>
          <w:b/>
          <w:bCs/>
          <w:color w:val="000000"/>
        </w:rPr>
        <w:t xml:space="preserve">diecinueve de febrero de dos mil </w:t>
      </w:r>
      <w:r w:rsidR="00466D4B" w:rsidRPr="00466D4B">
        <w:rPr>
          <w:rFonts w:ascii="Palatino Linotype" w:eastAsia="Palatino Linotype" w:hAnsi="Palatino Linotype" w:cs="Palatino Linotype"/>
          <w:b/>
          <w:bCs/>
          <w:color w:val="000000"/>
        </w:rPr>
        <w:t>veintiséis</w:t>
      </w:r>
      <w:r w:rsidRPr="00466D4B">
        <w:rPr>
          <w:rFonts w:ascii="Palatino Linotype" w:eastAsia="Palatino Linotype" w:hAnsi="Palatino Linotype" w:cs="Palatino Linotype"/>
          <w:color w:val="000000"/>
        </w:rPr>
        <w:t xml:space="preserve">, la Comisionada Ponente decreto el Cierre de Instrucción, por lo que no habiendo más que constar </w:t>
      </w:r>
      <w:r w:rsidRPr="00466D4B">
        <w:rPr>
          <w:rFonts w:ascii="Palatino Linotype" w:eastAsia="Palatino Linotype" w:hAnsi="Palatino Linotype" w:cs="Palatino Linotype"/>
        </w:rPr>
        <w:t xml:space="preserve">y </w:t>
      </w:r>
      <w:r w:rsidR="00466D4B">
        <w:rPr>
          <w:rFonts w:ascii="Palatino Linotype" w:eastAsia="Palatino Linotype" w:hAnsi="Palatino Linotype" w:cs="Palatino Linotype"/>
        </w:rPr>
        <w:t>-----------------------</w:t>
      </w:r>
    </w:p>
    <w:p w:rsidR="00730BD2" w:rsidRPr="00466D4B" w:rsidRDefault="008756C8">
      <w:pPr>
        <w:pStyle w:val="Ttulo1"/>
        <w:spacing w:before="0" w:line="360" w:lineRule="auto"/>
        <w:jc w:val="center"/>
        <w:rPr>
          <w:rFonts w:ascii="Palatino Linotype" w:eastAsia="Palatino Linotype" w:hAnsi="Palatino Linotype" w:cs="Palatino Linotype"/>
          <w:b/>
          <w:bCs/>
          <w:color w:val="000000"/>
          <w:sz w:val="24"/>
          <w:szCs w:val="24"/>
        </w:rPr>
      </w:pPr>
      <w:bookmarkStart w:id="3" w:name="_heading=h.30j0zll" w:colFirst="0" w:colLast="0"/>
      <w:bookmarkEnd w:id="3"/>
      <w:r w:rsidRPr="00466D4B">
        <w:rPr>
          <w:rFonts w:ascii="Palatino Linotype" w:eastAsia="Palatino Linotype" w:hAnsi="Palatino Linotype" w:cs="Palatino Linotype"/>
          <w:b/>
          <w:bCs/>
          <w:color w:val="000000"/>
          <w:sz w:val="24"/>
          <w:szCs w:val="24"/>
        </w:rPr>
        <w:lastRenderedPageBreak/>
        <w:t>C</w:t>
      </w:r>
      <w:r w:rsidR="00466D4B">
        <w:rPr>
          <w:rFonts w:ascii="Palatino Linotype" w:eastAsia="Palatino Linotype" w:hAnsi="Palatino Linotype" w:cs="Palatino Linotype"/>
          <w:b/>
          <w:bCs/>
          <w:color w:val="000000"/>
          <w:sz w:val="24"/>
          <w:szCs w:val="24"/>
        </w:rPr>
        <w:t xml:space="preserve"> </w:t>
      </w:r>
      <w:r w:rsidRPr="00466D4B">
        <w:rPr>
          <w:rFonts w:ascii="Palatino Linotype" w:eastAsia="Palatino Linotype" w:hAnsi="Palatino Linotype" w:cs="Palatino Linotype"/>
          <w:b/>
          <w:bCs/>
          <w:color w:val="000000"/>
          <w:sz w:val="24"/>
          <w:szCs w:val="24"/>
        </w:rPr>
        <w:t>O</w:t>
      </w:r>
      <w:r w:rsidR="00466D4B">
        <w:rPr>
          <w:rFonts w:ascii="Palatino Linotype" w:eastAsia="Palatino Linotype" w:hAnsi="Palatino Linotype" w:cs="Palatino Linotype"/>
          <w:b/>
          <w:bCs/>
          <w:color w:val="000000"/>
          <w:sz w:val="24"/>
          <w:szCs w:val="24"/>
        </w:rPr>
        <w:t xml:space="preserve"> </w:t>
      </w:r>
      <w:r w:rsidRPr="00466D4B">
        <w:rPr>
          <w:rFonts w:ascii="Palatino Linotype" w:eastAsia="Palatino Linotype" w:hAnsi="Palatino Linotype" w:cs="Palatino Linotype"/>
          <w:b/>
          <w:bCs/>
          <w:color w:val="000000"/>
          <w:sz w:val="24"/>
          <w:szCs w:val="24"/>
        </w:rPr>
        <w:t>N</w:t>
      </w:r>
      <w:r w:rsidR="00466D4B">
        <w:rPr>
          <w:rFonts w:ascii="Palatino Linotype" w:eastAsia="Palatino Linotype" w:hAnsi="Palatino Linotype" w:cs="Palatino Linotype"/>
          <w:b/>
          <w:bCs/>
          <w:color w:val="000000"/>
          <w:sz w:val="24"/>
          <w:szCs w:val="24"/>
        </w:rPr>
        <w:t xml:space="preserve"> </w:t>
      </w:r>
      <w:r w:rsidRPr="00466D4B">
        <w:rPr>
          <w:rFonts w:ascii="Palatino Linotype" w:eastAsia="Palatino Linotype" w:hAnsi="Palatino Linotype" w:cs="Palatino Linotype"/>
          <w:b/>
          <w:bCs/>
          <w:color w:val="000000"/>
          <w:sz w:val="24"/>
          <w:szCs w:val="24"/>
        </w:rPr>
        <w:t>S</w:t>
      </w:r>
      <w:r w:rsidR="00466D4B">
        <w:rPr>
          <w:rFonts w:ascii="Palatino Linotype" w:eastAsia="Palatino Linotype" w:hAnsi="Palatino Linotype" w:cs="Palatino Linotype"/>
          <w:b/>
          <w:bCs/>
          <w:color w:val="000000"/>
          <w:sz w:val="24"/>
          <w:szCs w:val="24"/>
        </w:rPr>
        <w:t xml:space="preserve"> </w:t>
      </w:r>
      <w:r w:rsidRPr="00466D4B">
        <w:rPr>
          <w:rFonts w:ascii="Palatino Linotype" w:eastAsia="Palatino Linotype" w:hAnsi="Palatino Linotype" w:cs="Palatino Linotype"/>
          <w:b/>
          <w:bCs/>
          <w:color w:val="000000"/>
          <w:sz w:val="24"/>
          <w:szCs w:val="24"/>
        </w:rPr>
        <w:t>I</w:t>
      </w:r>
      <w:r w:rsidR="00466D4B">
        <w:rPr>
          <w:rFonts w:ascii="Palatino Linotype" w:eastAsia="Palatino Linotype" w:hAnsi="Palatino Linotype" w:cs="Palatino Linotype"/>
          <w:b/>
          <w:bCs/>
          <w:color w:val="000000"/>
          <w:sz w:val="24"/>
          <w:szCs w:val="24"/>
        </w:rPr>
        <w:t xml:space="preserve"> </w:t>
      </w:r>
      <w:r w:rsidRPr="00466D4B">
        <w:rPr>
          <w:rFonts w:ascii="Palatino Linotype" w:eastAsia="Palatino Linotype" w:hAnsi="Palatino Linotype" w:cs="Palatino Linotype"/>
          <w:b/>
          <w:bCs/>
          <w:color w:val="000000"/>
          <w:sz w:val="24"/>
          <w:szCs w:val="24"/>
        </w:rPr>
        <w:t>D</w:t>
      </w:r>
      <w:r w:rsidR="00466D4B">
        <w:rPr>
          <w:rFonts w:ascii="Palatino Linotype" w:eastAsia="Palatino Linotype" w:hAnsi="Palatino Linotype" w:cs="Palatino Linotype"/>
          <w:b/>
          <w:bCs/>
          <w:color w:val="000000"/>
          <w:sz w:val="24"/>
          <w:szCs w:val="24"/>
        </w:rPr>
        <w:t xml:space="preserve"> </w:t>
      </w:r>
      <w:r w:rsidRPr="00466D4B">
        <w:rPr>
          <w:rFonts w:ascii="Palatino Linotype" w:eastAsia="Palatino Linotype" w:hAnsi="Palatino Linotype" w:cs="Palatino Linotype"/>
          <w:b/>
          <w:bCs/>
          <w:color w:val="000000"/>
          <w:sz w:val="24"/>
          <w:szCs w:val="24"/>
        </w:rPr>
        <w:t>E</w:t>
      </w:r>
      <w:r w:rsidR="00466D4B">
        <w:rPr>
          <w:rFonts w:ascii="Palatino Linotype" w:eastAsia="Palatino Linotype" w:hAnsi="Palatino Linotype" w:cs="Palatino Linotype"/>
          <w:b/>
          <w:bCs/>
          <w:color w:val="000000"/>
          <w:sz w:val="24"/>
          <w:szCs w:val="24"/>
        </w:rPr>
        <w:t xml:space="preserve"> </w:t>
      </w:r>
      <w:r w:rsidRPr="00466D4B">
        <w:rPr>
          <w:rFonts w:ascii="Palatino Linotype" w:eastAsia="Palatino Linotype" w:hAnsi="Palatino Linotype" w:cs="Palatino Linotype"/>
          <w:b/>
          <w:bCs/>
          <w:color w:val="000000"/>
          <w:sz w:val="24"/>
          <w:szCs w:val="24"/>
        </w:rPr>
        <w:t>R</w:t>
      </w:r>
      <w:r w:rsidR="00466D4B">
        <w:rPr>
          <w:rFonts w:ascii="Palatino Linotype" w:eastAsia="Palatino Linotype" w:hAnsi="Palatino Linotype" w:cs="Palatino Linotype"/>
          <w:b/>
          <w:bCs/>
          <w:color w:val="000000"/>
          <w:sz w:val="24"/>
          <w:szCs w:val="24"/>
        </w:rPr>
        <w:t xml:space="preserve"> </w:t>
      </w:r>
      <w:r w:rsidRPr="00466D4B">
        <w:rPr>
          <w:rFonts w:ascii="Palatino Linotype" w:eastAsia="Palatino Linotype" w:hAnsi="Palatino Linotype" w:cs="Palatino Linotype"/>
          <w:b/>
          <w:bCs/>
          <w:color w:val="000000"/>
          <w:sz w:val="24"/>
          <w:szCs w:val="24"/>
        </w:rPr>
        <w:t>A</w:t>
      </w:r>
      <w:r w:rsidR="00466D4B">
        <w:rPr>
          <w:rFonts w:ascii="Palatino Linotype" w:eastAsia="Palatino Linotype" w:hAnsi="Palatino Linotype" w:cs="Palatino Linotype"/>
          <w:b/>
          <w:bCs/>
          <w:color w:val="000000"/>
          <w:sz w:val="24"/>
          <w:szCs w:val="24"/>
        </w:rPr>
        <w:t xml:space="preserve"> </w:t>
      </w:r>
      <w:r w:rsidRPr="00466D4B">
        <w:rPr>
          <w:rFonts w:ascii="Palatino Linotype" w:eastAsia="Palatino Linotype" w:hAnsi="Palatino Linotype" w:cs="Palatino Linotype"/>
          <w:b/>
          <w:bCs/>
          <w:color w:val="000000"/>
          <w:sz w:val="24"/>
          <w:szCs w:val="24"/>
        </w:rPr>
        <w:t>N</w:t>
      </w:r>
      <w:r w:rsidR="00466D4B">
        <w:rPr>
          <w:rFonts w:ascii="Palatino Linotype" w:eastAsia="Palatino Linotype" w:hAnsi="Palatino Linotype" w:cs="Palatino Linotype"/>
          <w:b/>
          <w:bCs/>
          <w:color w:val="000000"/>
          <w:sz w:val="24"/>
          <w:szCs w:val="24"/>
        </w:rPr>
        <w:t xml:space="preserve"> </w:t>
      </w:r>
      <w:r w:rsidRPr="00466D4B">
        <w:rPr>
          <w:rFonts w:ascii="Palatino Linotype" w:eastAsia="Palatino Linotype" w:hAnsi="Palatino Linotype" w:cs="Palatino Linotype"/>
          <w:b/>
          <w:bCs/>
          <w:color w:val="000000"/>
          <w:sz w:val="24"/>
          <w:szCs w:val="24"/>
        </w:rPr>
        <w:t>D</w:t>
      </w:r>
      <w:r w:rsidR="00466D4B">
        <w:rPr>
          <w:rFonts w:ascii="Palatino Linotype" w:eastAsia="Palatino Linotype" w:hAnsi="Palatino Linotype" w:cs="Palatino Linotype"/>
          <w:b/>
          <w:bCs/>
          <w:color w:val="000000"/>
          <w:sz w:val="24"/>
          <w:szCs w:val="24"/>
        </w:rPr>
        <w:t xml:space="preserve"> </w:t>
      </w:r>
      <w:r w:rsidRPr="00466D4B">
        <w:rPr>
          <w:rFonts w:ascii="Palatino Linotype" w:eastAsia="Palatino Linotype" w:hAnsi="Palatino Linotype" w:cs="Palatino Linotype"/>
          <w:b/>
          <w:bCs/>
          <w:color w:val="000000"/>
          <w:sz w:val="24"/>
          <w:szCs w:val="24"/>
        </w:rPr>
        <w:t>O</w:t>
      </w:r>
    </w:p>
    <w:p w:rsidR="00730BD2" w:rsidRPr="00466D4B" w:rsidRDefault="00730BD2">
      <w:pPr>
        <w:rPr>
          <w:rFonts w:ascii="Palatino Linotype" w:eastAsia="Palatino Linotype" w:hAnsi="Palatino Linotype" w:cs="Palatino Linotype"/>
          <w:color w:val="000000"/>
        </w:rPr>
      </w:pPr>
    </w:p>
    <w:p w:rsidR="00730BD2" w:rsidRPr="00466D4B" w:rsidRDefault="008756C8">
      <w:pPr>
        <w:pStyle w:val="Ttulo2"/>
        <w:rPr>
          <w:rFonts w:ascii="Palatino Linotype" w:eastAsia="Palatino Linotype" w:hAnsi="Palatino Linotype" w:cs="Palatino Linotype"/>
          <w:b/>
          <w:bCs/>
          <w:color w:val="000000"/>
          <w:sz w:val="24"/>
          <w:szCs w:val="24"/>
        </w:rPr>
      </w:pPr>
      <w:bookmarkStart w:id="4" w:name="_heading=h.1fob9te" w:colFirst="0" w:colLast="0"/>
      <w:bookmarkEnd w:id="4"/>
      <w:r w:rsidRPr="00466D4B">
        <w:rPr>
          <w:rFonts w:ascii="Palatino Linotype" w:eastAsia="Palatino Linotype" w:hAnsi="Palatino Linotype" w:cs="Palatino Linotype"/>
          <w:b/>
          <w:bCs/>
          <w:color w:val="000000"/>
          <w:sz w:val="24"/>
          <w:szCs w:val="24"/>
        </w:rPr>
        <w:t>PRIMERO. De la competencia</w:t>
      </w:r>
    </w:p>
    <w:p w:rsidR="00730BD2" w:rsidRPr="00466D4B" w:rsidRDefault="008756C8">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466D4B">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730BD2" w:rsidRPr="00466D4B" w:rsidRDefault="00730BD2">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730BD2" w:rsidRPr="00466D4B" w:rsidRDefault="008756C8">
      <w:pPr>
        <w:pStyle w:val="Ttulo2"/>
        <w:spacing w:before="0" w:line="360" w:lineRule="auto"/>
        <w:rPr>
          <w:rFonts w:ascii="Palatino Linotype" w:eastAsia="Palatino Linotype" w:hAnsi="Palatino Linotype" w:cs="Palatino Linotype"/>
          <w:b/>
          <w:bCs/>
          <w:color w:val="000000"/>
          <w:sz w:val="24"/>
          <w:szCs w:val="24"/>
        </w:rPr>
      </w:pPr>
      <w:bookmarkStart w:id="5" w:name="_heading=h.3znysh7" w:colFirst="0" w:colLast="0"/>
      <w:bookmarkEnd w:id="5"/>
      <w:r w:rsidRPr="00466D4B">
        <w:rPr>
          <w:rFonts w:ascii="Palatino Linotype" w:eastAsia="Palatino Linotype" w:hAnsi="Palatino Linotype" w:cs="Palatino Linotype"/>
          <w:b/>
          <w:bCs/>
          <w:color w:val="000000"/>
          <w:sz w:val="24"/>
          <w:szCs w:val="24"/>
        </w:rPr>
        <w:t>SEGUNDO. De la oportunidad y procedencia.</w:t>
      </w:r>
    </w:p>
    <w:p w:rsidR="00730BD2" w:rsidRPr="00466D4B" w:rsidRDefault="008756C8">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466D4B">
        <w:rPr>
          <w:rFonts w:ascii="Palatino Linotype" w:eastAsia="Palatino Linotype" w:hAnsi="Palatino Linotype" w:cs="Palatino Linotype"/>
          <w:color w:val="000000"/>
        </w:rPr>
        <w:t>El presente medio de impugnación fue presentado a través del SAIMEX, en el formato previamente aprobado para tal efecto,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730BD2" w:rsidRPr="00466D4B" w:rsidRDefault="00730BD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30BD2" w:rsidRPr="00466D4B" w:rsidRDefault="008756C8">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466D4B">
        <w:rPr>
          <w:rFonts w:ascii="Palatino Linotype" w:eastAsia="Palatino Linotype" w:hAnsi="Palatino Linotype" w:cs="Palatino Linotype"/>
          <w:color w:val="000000"/>
        </w:rPr>
        <w:t xml:space="preserve">No obstante lo anterior, el mismo fue presentado encontrándose fuera del plazo de 15 días establecido para tal efecto, es decir, de manera extemporánea, ya que el mismo se interpuso el </w:t>
      </w:r>
      <w:r w:rsidRPr="00466D4B">
        <w:rPr>
          <w:rFonts w:ascii="Palatino Linotype" w:eastAsia="Palatino Linotype" w:hAnsi="Palatino Linotype" w:cs="Palatino Linotype"/>
          <w:b/>
          <w:bCs/>
          <w:color w:val="000000"/>
        </w:rPr>
        <w:t xml:space="preserve">nueve de febrero de dos mil veintiséis. </w:t>
      </w:r>
    </w:p>
    <w:p w:rsidR="00730BD2" w:rsidRPr="00466D4B" w:rsidRDefault="00730BD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30BD2" w:rsidRPr="00466D4B" w:rsidRDefault="008756C8">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bookmarkStart w:id="6" w:name="_heading=h.2et92p0" w:colFirst="0" w:colLast="0"/>
      <w:bookmarkEnd w:id="6"/>
      <w:r w:rsidRPr="00466D4B">
        <w:rPr>
          <w:rFonts w:ascii="Palatino Linotype" w:eastAsia="Palatino Linotype" w:hAnsi="Palatino Linotype" w:cs="Palatino Linotype"/>
          <w:b/>
          <w:bCs/>
          <w:color w:val="000000"/>
        </w:rPr>
        <w:lastRenderedPageBreak/>
        <w:t>TERCERO. De las causales de sobreseimiento.</w:t>
      </w:r>
    </w:p>
    <w:p w:rsidR="00730BD2" w:rsidRPr="00466D4B" w:rsidRDefault="008756C8">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466D4B">
        <w:rPr>
          <w:rFonts w:ascii="Palatino Linotype" w:eastAsia="Palatino Linotype" w:hAnsi="Palatino Linotype" w:cs="Palatino Linotype"/>
          <w:color w:val="000000"/>
        </w:rPr>
        <w:t xml:space="preserve">En ese sentido, se estima dable traer a contexto la causal de sobreseimiento contenida en la fracción IV del artículo 192, en relación con el artículo 191 fracción I, de la </w:t>
      </w:r>
      <w:r w:rsidRPr="00466D4B">
        <w:rPr>
          <w:rFonts w:ascii="Palatino Linotype" w:eastAsia="Palatino Linotype" w:hAnsi="Palatino Linotype" w:cs="Palatino Linotype"/>
          <w:b/>
          <w:bCs/>
          <w:color w:val="000000"/>
        </w:rPr>
        <w:t>Ley de Transparencia y Acceso a la Información Pública del Estado de México y Municipios</w:t>
      </w:r>
      <w:r w:rsidRPr="00466D4B">
        <w:rPr>
          <w:rFonts w:ascii="Palatino Linotype" w:eastAsia="Palatino Linotype" w:hAnsi="Palatino Linotype" w:cs="Palatino Linotype"/>
          <w:color w:val="000000"/>
        </w:rPr>
        <w:t>, que establecen lo siguiente:</w:t>
      </w:r>
    </w:p>
    <w:p w:rsidR="00730BD2" w:rsidRPr="00466D4B" w:rsidRDefault="008756C8">
      <w:pPr>
        <w:pBdr>
          <w:top w:val="nil"/>
          <w:left w:val="nil"/>
          <w:bottom w:val="nil"/>
          <w:right w:val="nil"/>
          <w:between w:val="nil"/>
        </w:pBdr>
        <w:spacing w:line="276" w:lineRule="auto"/>
        <w:ind w:left="426" w:right="425"/>
        <w:jc w:val="both"/>
        <w:rPr>
          <w:rFonts w:ascii="Palatino Linotype" w:eastAsia="Palatino Linotype" w:hAnsi="Palatino Linotype" w:cs="Palatino Linotype"/>
          <w:i/>
          <w:iCs/>
          <w:color w:val="000000"/>
        </w:rPr>
      </w:pPr>
      <w:r w:rsidRPr="00466D4B">
        <w:rPr>
          <w:rFonts w:ascii="Palatino Linotype" w:eastAsia="Palatino Linotype" w:hAnsi="Palatino Linotype" w:cs="Palatino Linotype"/>
          <w:i/>
          <w:iCs/>
          <w:color w:val="000000"/>
        </w:rPr>
        <w:t>"Artículo 192. El recurso será sobreseído, en todo o en parte, cuando una vez admitido, se actualicen alguno de los siguientes supuestos:</w:t>
      </w:r>
    </w:p>
    <w:p w:rsidR="00730BD2" w:rsidRPr="00466D4B" w:rsidRDefault="008756C8">
      <w:pPr>
        <w:pBdr>
          <w:top w:val="nil"/>
          <w:left w:val="nil"/>
          <w:bottom w:val="nil"/>
          <w:right w:val="nil"/>
          <w:between w:val="nil"/>
        </w:pBdr>
        <w:spacing w:line="276" w:lineRule="auto"/>
        <w:ind w:left="426" w:right="425"/>
        <w:jc w:val="both"/>
        <w:rPr>
          <w:rFonts w:ascii="Palatino Linotype" w:eastAsia="Palatino Linotype" w:hAnsi="Palatino Linotype" w:cs="Palatino Linotype"/>
          <w:i/>
          <w:iCs/>
          <w:color w:val="000000"/>
        </w:rPr>
      </w:pPr>
      <w:r w:rsidRPr="00466D4B">
        <w:rPr>
          <w:rFonts w:ascii="Palatino Linotype" w:eastAsia="Palatino Linotype" w:hAnsi="Palatino Linotype" w:cs="Palatino Linotype"/>
          <w:i/>
          <w:iCs/>
          <w:color w:val="000000"/>
        </w:rPr>
        <w:t xml:space="preserve">IV. </w:t>
      </w:r>
      <w:r w:rsidRPr="00466D4B">
        <w:rPr>
          <w:rFonts w:ascii="Palatino Linotype" w:eastAsia="Palatino Linotype" w:hAnsi="Palatino Linotype" w:cs="Palatino Linotype"/>
          <w:b/>
          <w:bCs/>
          <w:i/>
          <w:iCs/>
          <w:color w:val="000000"/>
        </w:rPr>
        <w:t>Admitido el recurso de revisión, aparezca alguna causal de improcedencia en los términos de la presente Ley; y</w:t>
      </w:r>
      <w:r w:rsidRPr="00466D4B">
        <w:rPr>
          <w:rFonts w:ascii="Palatino Linotype" w:eastAsia="Palatino Linotype" w:hAnsi="Palatino Linotype" w:cs="Palatino Linotype"/>
          <w:i/>
          <w:iCs/>
          <w:color w:val="000000"/>
        </w:rPr>
        <w:t>;</w:t>
      </w:r>
      <w:r w:rsidRPr="00466D4B">
        <w:rPr>
          <w:rFonts w:ascii="Palatino Linotype" w:eastAsia="Palatino Linotype" w:hAnsi="Palatino Linotype" w:cs="Palatino Linotype"/>
          <w:i/>
          <w:iCs/>
          <w:color w:val="000000"/>
        </w:rPr>
        <w:br/>
        <w:t>..."</w:t>
      </w:r>
    </w:p>
    <w:p w:rsidR="00730BD2" w:rsidRPr="00466D4B" w:rsidRDefault="008756C8">
      <w:pPr>
        <w:pBdr>
          <w:top w:val="nil"/>
          <w:left w:val="nil"/>
          <w:bottom w:val="nil"/>
          <w:right w:val="nil"/>
          <w:between w:val="nil"/>
        </w:pBdr>
        <w:spacing w:line="276" w:lineRule="auto"/>
        <w:ind w:left="426" w:right="425"/>
        <w:jc w:val="both"/>
        <w:rPr>
          <w:rFonts w:ascii="Palatino Linotype" w:eastAsia="Palatino Linotype" w:hAnsi="Palatino Linotype" w:cs="Palatino Linotype"/>
          <w:color w:val="000000"/>
        </w:rPr>
      </w:pPr>
      <w:r w:rsidRPr="00466D4B">
        <w:rPr>
          <w:rFonts w:ascii="Palatino Linotype" w:eastAsia="Palatino Linotype" w:hAnsi="Palatino Linotype" w:cs="Palatino Linotype"/>
          <w:color w:val="000000"/>
        </w:rPr>
        <w:t>Énfasis añadido</w:t>
      </w:r>
    </w:p>
    <w:p w:rsidR="00730BD2" w:rsidRPr="00466D4B" w:rsidRDefault="00730BD2">
      <w:pPr>
        <w:pBdr>
          <w:top w:val="nil"/>
          <w:left w:val="nil"/>
          <w:bottom w:val="nil"/>
          <w:right w:val="nil"/>
          <w:between w:val="nil"/>
        </w:pBdr>
        <w:spacing w:line="276" w:lineRule="auto"/>
        <w:ind w:left="426" w:right="425"/>
        <w:jc w:val="both"/>
        <w:rPr>
          <w:rFonts w:ascii="Palatino Linotype" w:eastAsia="Palatino Linotype" w:hAnsi="Palatino Linotype" w:cs="Palatino Linotype"/>
          <w:color w:val="000000"/>
        </w:rPr>
      </w:pPr>
    </w:p>
    <w:p w:rsidR="00730BD2" w:rsidRPr="00466D4B" w:rsidRDefault="008756C8">
      <w:pPr>
        <w:pBdr>
          <w:top w:val="nil"/>
          <w:left w:val="nil"/>
          <w:bottom w:val="nil"/>
          <w:right w:val="nil"/>
          <w:between w:val="nil"/>
        </w:pBdr>
        <w:spacing w:line="276" w:lineRule="auto"/>
        <w:ind w:left="426" w:right="425"/>
        <w:jc w:val="both"/>
        <w:rPr>
          <w:rFonts w:ascii="Palatino Linotype" w:eastAsia="Palatino Linotype" w:hAnsi="Palatino Linotype" w:cs="Palatino Linotype"/>
          <w:i/>
          <w:iCs/>
          <w:color w:val="000000"/>
        </w:rPr>
      </w:pPr>
      <w:r w:rsidRPr="00466D4B">
        <w:rPr>
          <w:rFonts w:ascii="Palatino Linotype" w:eastAsia="Palatino Linotype" w:hAnsi="Palatino Linotype" w:cs="Palatino Linotype"/>
          <w:i/>
          <w:iCs/>
          <w:color w:val="000000"/>
        </w:rPr>
        <w:t>Artículo 191. El recurso será desechado por improcedente cuando:</w:t>
      </w:r>
    </w:p>
    <w:p w:rsidR="00730BD2" w:rsidRPr="00466D4B" w:rsidRDefault="008756C8">
      <w:pPr>
        <w:numPr>
          <w:ilvl w:val="0"/>
          <w:numId w:val="1"/>
        </w:numPr>
        <w:pBdr>
          <w:top w:val="nil"/>
          <w:left w:val="nil"/>
          <w:bottom w:val="nil"/>
          <w:right w:val="nil"/>
          <w:between w:val="nil"/>
        </w:pBdr>
        <w:spacing w:line="276" w:lineRule="auto"/>
        <w:ind w:right="425"/>
        <w:jc w:val="both"/>
        <w:rPr>
          <w:rFonts w:ascii="Palatino Linotype" w:eastAsia="Palatino Linotype" w:hAnsi="Palatino Linotype" w:cs="Palatino Linotype"/>
          <w:b/>
          <w:bCs/>
          <w:i/>
          <w:iCs/>
          <w:color w:val="000000"/>
        </w:rPr>
      </w:pPr>
      <w:r w:rsidRPr="00466D4B">
        <w:rPr>
          <w:rFonts w:ascii="Palatino Linotype" w:eastAsia="Palatino Linotype" w:hAnsi="Palatino Linotype" w:cs="Palatino Linotype"/>
          <w:b/>
          <w:bCs/>
          <w:i/>
          <w:iCs/>
          <w:color w:val="000000"/>
        </w:rPr>
        <w:t>Sea extemporáneo por haber transcurrido el plazo establecido en la presente Ley, a partir de la respuesta;</w:t>
      </w:r>
    </w:p>
    <w:p w:rsidR="00730BD2" w:rsidRPr="00466D4B" w:rsidRDefault="008756C8">
      <w:pPr>
        <w:spacing w:line="276" w:lineRule="auto"/>
        <w:ind w:left="426" w:right="425"/>
        <w:jc w:val="both"/>
        <w:rPr>
          <w:rFonts w:ascii="Palatino Linotype" w:eastAsia="Palatino Linotype" w:hAnsi="Palatino Linotype" w:cs="Palatino Linotype"/>
          <w:i/>
          <w:iCs/>
          <w:color w:val="000000"/>
        </w:rPr>
      </w:pPr>
      <w:r w:rsidRPr="00466D4B">
        <w:rPr>
          <w:rFonts w:ascii="Palatino Linotype" w:eastAsia="Palatino Linotype" w:hAnsi="Palatino Linotype" w:cs="Palatino Linotype"/>
          <w:i/>
          <w:iCs/>
          <w:color w:val="000000"/>
        </w:rPr>
        <w:t>..."</w:t>
      </w:r>
    </w:p>
    <w:p w:rsidR="00730BD2" w:rsidRPr="00466D4B" w:rsidRDefault="008756C8">
      <w:pPr>
        <w:spacing w:line="276" w:lineRule="auto"/>
        <w:ind w:right="425" w:firstLine="426"/>
        <w:jc w:val="both"/>
        <w:rPr>
          <w:rFonts w:ascii="Palatino Linotype" w:eastAsia="Palatino Linotype" w:hAnsi="Palatino Linotype" w:cs="Palatino Linotype"/>
          <w:color w:val="000000"/>
        </w:rPr>
      </w:pPr>
      <w:r w:rsidRPr="00466D4B">
        <w:rPr>
          <w:rFonts w:ascii="Palatino Linotype" w:eastAsia="Palatino Linotype" w:hAnsi="Palatino Linotype" w:cs="Palatino Linotype"/>
          <w:color w:val="000000"/>
        </w:rPr>
        <w:t>Énfasis añadido</w:t>
      </w:r>
    </w:p>
    <w:p w:rsidR="00730BD2" w:rsidRPr="00466D4B" w:rsidRDefault="00730BD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30BD2" w:rsidRPr="00466D4B" w:rsidRDefault="008756C8">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466D4B">
        <w:rPr>
          <w:rFonts w:ascii="Palatino Linotype" w:eastAsia="Palatino Linotype" w:hAnsi="Palatino Linotype" w:cs="Palatino Linotype"/>
          <w:color w:val="000000"/>
        </w:rPr>
        <w:t xml:space="preserve">Establecido lo anterior, resulta importante señalar que la figura del sobreseimiento privilegia la existencia de elementos de fondo, tal como lo refiere el supuesto que contempla el caso en que el recurso interpuesto </w:t>
      </w:r>
      <w:r w:rsidRPr="00466D4B">
        <w:rPr>
          <w:rFonts w:ascii="Palatino Linotype" w:eastAsia="Palatino Linotype" w:hAnsi="Palatino Linotype" w:cs="Palatino Linotype"/>
          <w:b/>
          <w:bCs/>
          <w:color w:val="000000"/>
          <w:u w:val="single"/>
        </w:rPr>
        <w:t>Sea extemporáneo por haber transcurrido el plazo establecido en la presente Ley</w:t>
      </w:r>
      <w:r w:rsidRPr="00466D4B">
        <w:rPr>
          <w:rFonts w:ascii="Palatino Linotype" w:eastAsia="Palatino Linotype" w:hAnsi="Palatino Linotype" w:cs="Palatino Linotype"/>
          <w:color w:val="000000"/>
        </w:rPr>
        <w:t>; de ahí que la actualización de este supuesto traiga como aparejada consecuencia que se sobresea el medio de impugnación sin que tenga que analizarse de fondo el estudio planteado.</w:t>
      </w:r>
    </w:p>
    <w:p w:rsidR="00730BD2" w:rsidRPr="00466D4B" w:rsidRDefault="00730BD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30BD2" w:rsidRPr="00466D4B" w:rsidRDefault="008756C8">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466D4B">
        <w:rPr>
          <w:rFonts w:ascii="Palatino Linotype" w:eastAsia="Palatino Linotype" w:hAnsi="Palatino Linotype" w:cs="Palatino Linotype"/>
          <w:color w:val="000000"/>
        </w:rPr>
        <w:t xml:space="preserve">Sirve como sustento a lo anterior, lo señalado por  el procesalista Niceto Alcalá-Zamora y Castillo en su obra </w:t>
      </w:r>
      <w:r w:rsidRPr="00466D4B">
        <w:rPr>
          <w:rFonts w:ascii="Palatino Linotype" w:eastAsia="Palatino Linotype" w:hAnsi="Palatino Linotype" w:cs="Palatino Linotype"/>
          <w:i/>
          <w:iCs/>
          <w:color w:val="000000"/>
        </w:rPr>
        <w:t>“</w:t>
      </w:r>
      <w:r w:rsidRPr="00466D4B">
        <w:rPr>
          <w:rFonts w:ascii="Palatino Linotype" w:eastAsia="Palatino Linotype" w:hAnsi="Palatino Linotype" w:cs="Palatino Linotype"/>
          <w:color w:val="000000"/>
        </w:rPr>
        <w:t>Cuestiones</w:t>
      </w:r>
      <w:r w:rsidRPr="00466D4B">
        <w:rPr>
          <w:rFonts w:ascii="Palatino Linotype" w:eastAsia="Palatino Linotype" w:hAnsi="Palatino Linotype" w:cs="Palatino Linotype"/>
          <w:i/>
          <w:iCs/>
          <w:color w:val="000000"/>
        </w:rPr>
        <w:t xml:space="preserve"> de Terminología Procesal”</w:t>
      </w:r>
      <w:r w:rsidRPr="00466D4B">
        <w:rPr>
          <w:rFonts w:ascii="Palatino Linotype" w:eastAsia="Palatino Linotype" w:hAnsi="Palatino Linotype" w:cs="Palatino Linotype"/>
          <w:color w:val="000000"/>
        </w:rPr>
        <w:t xml:space="preserve">, el sobreseimiento es </w:t>
      </w:r>
      <w:r w:rsidRPr="00466D4B">
        <w:rPr>
          <w:rFonts w:ascii="Palatino Linotype" w:eastAsia="Palatino Linotype" w:hAnsi="Palatino Linotype" w:cs="Palatino Linotype"/>
          <w:i/>
          <w:iCs/>
          <w:color w:val="000000"/>
        </w:rPr>
        <w:t xml:space="preserve">“... </w:t>
      </w:r>
      <w:r w:rsidRPr="00466D4B">
        <w:rPr>
          <w:rFonts w:ascii="Palatino Linotype" w:eastAsia="Palatino Linotype" w:hAnsi="Palatino Linotype" w:cs="Palatino Linotype"/>
          <w:i/>
          <w:iCs/>
          <w:color w:val="000000"/>
        </w:rPr>
        <w:lastRenderedPageBreak/>
        <w:t>una resolución en forma de auto, que produce la suspensión indefinida del procedimiento penal, o que pone fin al proceso, impidiendo en ambos casos, mientras subsista, la apertura del plenario o que en él se pronuncie sentencia...”.</w:t>
      </w:r>
    </w:p>
    <w:p w:rsidR="00730BD2" w:rsidRPr="00466D4B" w:rsidRDefault="00730BD2">
      <w:pPr>
        <w:pBdr>
          <w:top w:val="nil"/>
          <w:left w:val="nil"/>
          <w:bottom w:val="nil"/>
          <w:right w:val="nil"/>
          <w:between w:val="nil"/>
        </w:pBdr>
        <w:spacing w:line="360" w:lineRule="auto"/>
        <w:ind w:left="360"/>
        <w:jc w:val="both"/>
        <w:rPr>
          <w:rFonts w:ascii="Palatino Linotype" w:eastAsia="Palatino Linotype" w:hAnsi="Palatino Linotype" w:cs="Palatino Linotype"/>
          <w:i/>
          <w:iCs/>
        </w:rPr>
      </w:pPr>
    </w:p>
    <w:p w:rsidR="00730BD2" w:rsidRPr="00466D4B" w:rsidRDefault="002C5A66">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Asimismo</w:t>
      </w:r>
      <w:r w:rsidR="008756C8" w:rsidRPr="00466D4B">
        <w:rPr>
          <w:rFonts w:ascii="Palatino Linotype" w:eastAsia="Palatino Linotype" w:hAnsi="Palatino Linotype" w:cs="Palatino Linotype"/>
          <w:color w:val="000000"/>
        </w:rPr>
        <w:t xml:space="preserve"> Eduardo Pallares, en su artículo </w:t>
      </w:r>
      <w:r w:rsidR="008756C8" w:rsidRPr="00466D4B">
        <w:rPr>
          <w:rFonts w:ascii="Palatino Linotype" w:eastAsia="Palatino Linotype" w:hAnsi="Palatino Linotype" w:cs="Palatino Linotype"/>
          <w:i/>
          <w:iCs/>
          <w:color w:val="000000"/>
        </w:rPr>
        <w:t>“La caducidad y el sobreseimiento en el amparo”</w:t>
      </w:r>
      <w:r w:rsidR="008756C8" w:rsidRPr="00466D4B">
        <w:rPr>
          <w:rFonts w:ascii="Palatino Linotype" w:eastAsia="Palatino Linotype" w:hAnsi="Palatino Linotype" w:cs="Palatino Linotype"/>
          <w:color w:val="000000"/>
        </w:rPr>
        <w:t xml:space="preserve">, cita la definición de Aguilera Paz, aduciendo que se </w:t>
      </w:r>
      <w:r w:rsidR="008756C8" w:rsidRPr="00466D4B">
        <w:rPr>
          <w:rFonts w:ascii="Palatino Linotype" w:eastAsia="Palatino Linotype" w:hAnsi="Palatino Linotype" w:cs="Palatino Linotype"/>
          <w:i/>
          <w:iCs/>
          <w:color w:val="000000"/>
        </w:rPr>
        <w:t>“...entiende por sobreseimiento en el tecnicismo forense, el hecho de cesar en el procedimiento o curso de la causa, por no existir méritos bastantes para entrar en un juicio o para entablar la contienda judicial que debe ser objeto del mismo...”</w:t>
      </w:r>
      <w:r w:rsidR="008756C8" w:rsidRPr="00466D4B">
        <w:rPr>
          <w:rFonts w:ascii="Palatino Linotype" w:eastAsia="Palatino Linotype" w:hAnsi="Palatino Linotype" w:cs="Palatino Linotype"/>
          <w:color w:val="000000"/>
        </w:rPr>
        <w:t>. Asimismo señala que existe el sobreseimiento provisional y el definitivo</w:t>
      </w:r>
      <w:r w:rsidR="008756C8" w:rsidRPr="00466D4B">
        <w:rPr>
          <w:rFonts w:ascii="Palatino Linotype" w:eastAsia="Palatino Linotype" w:hAnsi="Palatino Linotype" w:cs="Palatino Linotype"/>
          <w:i/>
          <w:iCs/>
          <w:color w:val="000000"/>
        </w:rPr>
        <w:t>: “...el definitivo es una verdadera sentencia que pone fin al juicio, y que una vez dictada, produce cosa juzgada, mientras que el provisorio tiene por efectos suspender la prosecución de la causa...”</w:t>
      </w:r>
    </w:p>
    <w:p w:rsidR="00730BD2" w:rsidRPr="00466D4B" w:rsidRDefault="00730BD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30BD2" w:rsidRPr="00466D4B" w:rsidRDefault="008756C8">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466D4B">
        <w:rPr>
          <w:rFonts w:ascii="Palatino Linotype" w:eastAsia="Palatino Linotype" w:hAnsi="Palatino Linotype" w:cs="Palatino Linotype"/>
          <w:color w:val="000000"/>
        </w:rPr>
        <w:t xml:space="preserve">Es así que, para la doctrina el sobreseimiento provoca que un procedimiento se suspenda o se resuelva en definitiva </w:t>
      </w:r>
      <w:r w:rsidRPr="00466D4B">
        <w:rPr>
          <w:rFonts w:ascii="Palatino Linotype" w:eastAsia="Palatino Linotype" w:hAnsi="Palatino Linotype" w:cs="Palatino Linotype"/>
          <w:b/>
          <w:bCs/>
          <w:color w:val="000000"/>
          <w:u w:val="single"/>
        </w:rPr>
        <w:t>sin que se entre al estudio de los agravios o motivos de inconformidad.</w:t>
      </w:r>
      <w:r w:rsidRPr="00466D4B">
        <w:rPr>
          <w:rFonts w:ascii="Palatino Linotype" w:eastAsia="Palatino Linotype" w:hAnsi="Palatino Linotype" w:cs="Palatino Linotype"/>
          <w:b/>
          <w:bCs/>
          <w:color w:val="000000"/>
        </w:rPr>
        <w:t xml:space="preserve"> </w:t>
      </w:r>
      <w:r w:rsidRPr="00466D4B">
        <w:rPr>
          <w:rFonts w:ascii="Palatino Linotype" w:eastAsia="Palatino Linotype" w:hAnsi="Palatino Linotype" w:cs="Palatino Linotype"/>
          <w:color w:val="000000"/>
        </w:rPr>
        <w:t>Este mismo criterio es compartido por el más alto tribunal del país en múltiples jurisprudencias, por lo que a continuación se agrega una de ellas que sirve como orientador en esta resolución:</w:t>
      </w:r>
    </w:p>
    <w:p w:rsidR="00730BD2" w:rsidRPr="00466D4B" w:rsidRDefault="008756C8">
      <w:pPr>
        <w:pBdr>
          <w:top w:val="nil"/>
          <w:left w:val="nil"/>
          <w:bottom w:val="nil"/>
          <w:right w:val="nil"/>
          <w:between w:val="nil"/>
        </w:pBdr>
        <w:spacing w:line="360" w:lineRule="auto"/>
        <w:ind w:left="567" w:right="616"/>
        <w:jc w:val="both"/>
        <w:rPr>
          <w:rFonts w:ascii="Palatino Linotype" w:eastAsia="Palatino Linotype" w:hAnsi="Palatino Linotype" w:cs="Palatino Linotype"/>
          <w:color w:val="000000"/>
        </w:rPr>
      </w:pPr>
      <w:r w:rsidRPr="00466D4B">
        <w:rPr>
          <w:rFonts w:ascii="Palatino Linotype" w:eastAsia="Palatino Linotype" w:hAnsi="Palatino Linotype" w:cs="Palatino Linotype"/>
          <w:b/>
          <w:bCs/>
          <w:i/>
          <w:iCs/>
          <w:color w:val="000000"/>
        </w:rPr>
        <w:t>SOBRESEIMIENTO EN EL JUICIO DE AMPARO DIRECTO. IMPIDE EL ESTUDIO DE LAS VIOLACIONES PROCESALES PLANTEADAS EN LOS CONCEPTOS DE VIOLACIÓN.</w:t>
      </w:r>
    </w:p>
    <w:p w:rsidR="00730BD2" w:rsidRPr="00466D4B" w:rsidRDefault="008756C8">
      <w:pPr>
        <w:pBdr>
          <w:top w:val="nil"/>
          <w:left w:val="nil"/>
          <w:bottom w:val="nil"/>
          <w:right w:val="nil"/>
          <w:between w:val="nil"/>
        </w:pBdr>
        <w:spacing w:line="360" w:lineRule="auto"/>
        <w:ind w:left="567" w:right="616"/>
        <w:jc w:val="both"/>
        <w:rPr>
          <w:rFonts w:ascii="Palatino Linotype" w:eastAsia="Palatino Linotype" w:hAnsi="Palatino Linotype" w:cs="Palatino Linotype"/>
          <w:i/>
          <w:iCs/>
          <w:color w:val="000000"/>
        </w:rPr>
      </w:pPr>
      <w:r w:rsidRPr="00466D4B">
        <w:rPr>
          <w:rFonts w:ascii="Palatino Linotype" w:eastAsia="Palatino Linotype" w:hAnsi="Palatino Linotype" w:cs="Palatino Linotype"/>
          <w:b/>
          <w:bCs/>
          <w:i/>
          <w:iCs/>
          <w:color w:val="000000"/>
        </w:rPr>
        <w:t>El sobreseimiento</w:t>
      </w:r>
      <w:r w:rsidRPr="00466D4B">
        <w:rPr>
          <w:rFonts w:ascii="Palatino Linotype" w:eastAsia="Palatino Linotype" w:hAnsi="Palatino Linotype" w:cs="Palatino Linotype"/>
          <w:i/>
          <w:iCs/>
          <w:color w:val="000000"/>
        </w:rPr>
        <w:t xml:space="preserve"> en el juicio de amparo directo </w:t>
      </w:r>
      <w:r w:rsidRPr="00466D4B">
        <w:rPr>
          <w:rFonts w:ascii="Palatino Linotype" w:eastAsia="Palatino Linotype" w:hAnsi="Palatino Linotype" w:cs="Palatino Linotype"/>
          <w:b/>
          <w:bCs/>
          <w:i/>
          <w:iCs/>
          <w:color w:val="000000"/>
        </w:rPr>
        <w:t>provoca la terminación de la controversia planteada</w:t>
      </w:r>
      <w:r w:rsidRPr="00466D4B">
        <w:rPr>
          <w:rFonts w:ascii="Palatino Linotype" w:eastAsia="Palatino Linotype" w:hAnsi="Palatino Linotype" w:cs="Palatino Linotype"/>
          <w:i/>
          <w:iCs/>
          <w:color w:val="000000"/>
        </w:rPr>
        <w:t xml:space="preserve"> por el quejoso en la demanda de amparo</w:t>
      </w:r>
      <w:r w:rsidRPr="00466D4B">
        <w:rPr>
          <w:rFonts w:ascii="Palatino Linotype" w:eastAsia="Palatino Linotype" w:hAnsi="Palatino Linotype" w:cs="Palatino Linotype"/>
          <w:b/>
          <w:bCs/>
          <w:i/>
          <w:iCs/>
          <w:color w:val="000000"/>
        </w:rPr>
        <w:t>, sin hacer un pronunciamiento de fondo sobre la legalidad o ilegalidad de la sentencia reclamada</w:t>
      </w:r>
      <w:r w:rsidRPr="00466D4B">
        <w:rPr>
          <w:rFonts w:ascii="Palatino Linotype" w:eastAsia="Palatino Linotype" w:hAnsi="Palatino Linotype" w:cs="Palatino Linotype"/>
          <w:i/>
          <w:iCs/>
          <w:color w:val="000000"/>
        </w:rPr>
        <w:t xml:space="preserve">. </w:t>
      </w:r>
      <w:r w:rsidRPr="00466D4B">
        <w:rPr>
          <w:rFonts w:ascii="Palatino Linotype" w:eastAsia="Palatino Linotype" w:hAnsi="Palatino Linotype" w:cs="Palatino Linotype"/>
          <w:b/>
          <w:bCs/>
          <w:i/>
          <w:iCs/>
          <w:color w:val="000000"/>
        </w:rPr>
        <w:t xml:space="preserve">Por consiguiente, si al sobreseerse en el juicio de amparo </w:t>
      </w:r>
      <w:r w:rsidRPr="00466D4B">
        <w:rPr>
          <w:rFonts w:ascii="Palatino Linotype" w:eastAsia="Palatino Linotype" w:hAnsi="Palatino Linotype" w:cs="Palatino Linotype"/>
          <w:b/>
          <w:bCs/>
          <w:i/>
          <w:iCs/>
          <w:color w:val="000000"/>
          <w:u w:val="single"/>
        </w:rPr>
        <w:t xml:space="preserve">no se pueden </w:t>
      </w:r>
      <w:r w:rsidRPr="00466D4B">
        <w:rPr>
          <w:rFonts w:ascii="Palatino Linotype" w:eastAsia="Palatino Linotype" w:hAnsi="Palatino Linotype" w:cs="Palatino Linotype"/>
          <w:b/>
          <w:bCs/>
          <w:i/>
          <w:iCs/>
          <w:color w:val="000000"/>
          <w:u w:val="single"/>
        </w:rPr>
        <w:lastRenderedPageBreak/>
        <w:t>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466D4B">
        <w:rPr>
          <w:rFonts w:ascii="Palatino Linotype" w:eastAsia="Palatino Linotype" w:hAnsi="Palatino Linotype" w:cs="Palatino Linotype"/>
          <w:i/>
          <w:iCs/>
          <w:color w:val="000000"/>
        </w:rPr>
        <w:t>.</w:t>
      </w:r>
    </w:p>
    <w:p w:rsidR="00730BD2" w:rsidRPr="00466D4B" w:rsidRDefault="008756C8">
      <w:pPr>
        <w:pBdr>
          <w:top w:val="nil"/>
          <w:left w:val="nil"/>
          <w:bottom w:val="nil"/>
          <w:right w:val="nil"/>
          <w:between w:val="nil"/>
        </w:pBdr>
        <w:spacing w:line="360" w:lineRule="auto"/>
        <w:ind w:left="567" w:right="616"/>
        <w:jc w:val="both"/>
        <w:rPr>
          <w:rFonts w:ascii="Palatino Linotype" w:eastAsia="Palatino Linotype" w:hAnsi="Palatino Linotype" w:cs="Palatino Linotype"/>
          <w:i/>
          <w:iCs/>
          <w:color w:val="000000"/>
        </w:rPr>
      </w:pPr>
      <w:r w:rsidRPr="00466D4B">
        <w:rPr>
          <w:rFonts w:ascii="Palatino Linotype" w:eastAsia="Palatino Linotype" w:hAnsi="Palatino Linotype" w:cs="Palatino Linotype"/>
          <w:i/>
          <w:iCs/>
          <w:color w:val="000000"/>
        </w:rPr>
        <w:t>SÉPTIMO TRIBUNAL COLEGIADO EN MATERIA CIVIL DEL PRIMER CIRCUITO.</w:t>
      </w:r>
    </w:p>
    <w:p w:rsidR="00730BD2" w:rsidRPr="00466D4B" w:rsidRDefault="008756C8">
      <w:pPr>
        <w:pBdr>
          <w:top w:val="nil"/>
          <w:left w:val="nil"/>
          <w:bottom w:val="nil"/>
          <w:right w:val="nil"/>
          <w:between w:val="nil"/>
        </w:pBdr>
        <w:spacing w:line="360" w:lineRule="auto"/>
        <w:ind w:left="567" w:right="616"/>
        <w:jc w:val="both"/>
        <w:rPr>
          <w:rFonts w:ascii="Palatino Linotype" w:eastAsia="Palatino Linotype" w:hAnsi="Palatino Linotype" w:cs="Palatino Linotype"/>
          <w:i/>
          <w:iCs/>
          <w:color w:val="000000"/>
        </w:rPr>
      </w:pPr>
      <w:r w:rsidRPr="00466D4B">
        <w:rPr>
          <w:rFonts w:ascii="Palatino Linotype" w:eastAsia="Palatino Linotype" w:hAnsi="Palatino Linotype" w:cs="Palatino Linotype"/>
          <w:i/>
          <w:iCs/>
          <w:color w:val="000000"/>
        </w:rPr>
        <w:t>Amparo directo 699/2008. Mariana Leticia González Steele. 13 de noviembre de 2008. Unanimidad de votos. Ponente: Sara Judith Montalvo Trejo. Secretario: Arnulfo Mateos García.</w:t>
      </w:r>
    </w:p>
    <w:p w:rsidR="00730BD2" w:rsidRPr="00466D4B" w:rsidRDefault="00730BD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30BD2" w:rsidRPr="00466D4B" w:rsidRDefault="008756C8">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466D4B">
        <w:rPr>
          <w:rFonts w:ascii="Palatino Linotype" w:eastAsia="Palatino Linotype" w:hAnsi="Palatino Linotype" w:cs="Palatino Linotype"/>
          <w:color w:val="000000"/>
        </w:rPr>
        <w:t xml:space="preserve">En ese tenor, por lo que hace a los motivos de inconformidad vertidos por el </w:t>
      </w:r>
      <w:r w:rsidRPr="00466D4B">
        <w:rPr>
          <w:rFonts w:ascii="Palatino Linotype" w:eastAsia="Palatino Linotype" w:hAnsi="Palatino Linotype" w:cs="Palatino Linotype"/>
          <w:b/>
          <w:bCs/>
          <w:color w:val="000000"/>
        </w:rPr>
        <w:t>RECURRENTE</w:t>
      </w:r>
      <w:r w:rsidRPr="00466D4B">
        <w:rPr>
          <w:rFonts w:ascii="Palatino Linotype" w:eastAsia="Palatino Linotype" w:hAnsi="Palatino Linotype" w:cs="Palatino Linotype"/>
          <w:color w:val="000000"/>
        </w:rPr>
        <w:t>, los mismos resultan inatendibles al actualizarse la figura del sobreseimiento, que impide el estudio de los agravios planteados.</w:t>
      </w:r>
    </w:p>
    <w:p w:rsidR="00730BD2" w:rsidRPr="00466D4B" w:rsidRDefault="00730BD2">
      <w:pPr>
        <w:spacing w:line="360" w:lineRule="auto"/>
        <w:jc w:val="both"/>
        <w:rPr>
          <w:rFonts w:ascii="Palatino Linotype" w:eastAsia="Palatino Linotype" w:hAnsi="Palatino Linotype" w:cs="Palatino Linotype"/>
          <w:color w:val="000000"/>
        </w:rPr>
      </w:pPr>
    </w:p>
    <w:p w:rsidR="00730BD2" w:rsidRPr="00466D4B" w:rsidRDefault="008756C8">
      <w:pPr>
        <w:pStyle w:val="Ttulo2"/>
        <w:numPr>
          <w:ilvl w:val="0"/>
          <w:numId w:val="6"/>
        </w:numPr>
        <w:spacing w:line="259" w:lineRule="auto"/>
        <w:rPr>
          <w:rFonts w:ascii="Palatino Linotype" w:eastAsia="Palatino Linotype" w:hAnsi="Palatino Linotype" w:cs="Palatino Linotype"/>
          <w:b/>
          <w:bCs/>
          <w:color w:val="000000"/>
          <w:sz w:val="24"/>
          <w:szCs w:val="24"/>
        </w:rPr>
      </w:pPr>
      <w:bookmarkStart w:id="7" w:name="_heading=h.1t3h5sf" w:colFirst="0" w:colLast="0"/>
      <w:bookmarkEnd w:id="7"/>
      <w:r w:rsidRPr="00466D4B">
        <w:rPr>
          <w:rFonts w:ascii="Palatino Linotype" w:eastAsia="Palatino Linotype" w:hAnsi="Palatino Linotype" w:cs="Palatino Linotype"/>
          <w:b/>
          <w:bCs/>
          <w:color w:val="000000"/>
          <w:sz w:val="24"/>
          <w:szCs w:val="24"/>
        </w:rPr>
        <w:t>Determinación</w:t>
      </w:r>
    </w:p>
    <w:p w:rsidR="00730BD2" w:rsidRPr="00466D4B" w:rsidRDefault="00730BD2">
      <w:pPr>
        <w:ind w:left="720"/>
      </w:pPr>
    </w:p>
    <w:p w:rsidR="00730BD2" w:rsidRPr="00466D4B" w:rsidRDefault="008756C8">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466D4B">
        <w:rPr>
          <w:rFonts w:ascii="Palatino Linotype" w:eastAsia="Palatino Linotype" w:hAnsi="Palatino Linotype" w:cs="Palatino Linotype"/>
          <w:color w:val="000000"/>
        </w:rPr>
        <w:t xml:space="preserve">Atento a lo anterior, y en términos del artículo 186 fracción I este Pleno determina el </w:t>
      </w:r>
      <w:r w:rsidRPr="00466D4B">
        <w:rPr>
          <w:rFonts w:ascii="Palatino Linotype" w:eastAsia="Palatino Linotype" w:hAnsi="Palatino Linotype" w:cs="Palatino Linotype"/>
          <w:b/>
          <w:bCs/>
          <w:color w:val="000000"/>
        </w:rPr>
        <w:t xml:space="preserve">SOBRESEIMIENTO </w:t>
      </w:r>
      <w:r w:rsidRPr="00466D4B">
        <w:rPr>
          <w:rFonts w:ascii="Palatino Linotype" w:eastAsia="Palatino Linotype" w:hAnsi="Palatino Linotype" w:cs="Palatino Linotype"/>
          <w:color w:val="000000"/>
        </w:rPr>
        <w:t>del presente recurso de revisión, al actualizarse la causal contemplada en el artículo 192 fracción IV en relación con el artículo 191 fracción I de la Ley de Transparencia y Acceso y la Información Pública del Estado de México  Municipios.</w:t>
      </w:r>
    </w:p>
    <w:p w:rsidR="00730BD2" w:rsidRPr="00466D4B" w:rsidRDefault="00730BD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30BD2" w:rsidRPr="00466D4B" w:rsidRDefault="008756C8">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466D4B">
        <w:rPr>
          <w:rFonts w:ascii="Palatino Linotype" w:eastAsia="Palatino Linotype" w:hAnsi="Palatino Linotype" w:cs="Palatino Linotype"/>
          <w:color w:val="000000"/>
        </w:rPr>
        <w:t>Finalmente, se informa a la parte recurrente que se dejan a salvo los derechos para interponer nuevas solicitudes de información ante los sujetos obligados que a sus intereses convenga.</w:t>
      </w:r>
    </w:p>
    <w:p w:rsidR="00730BD2" w:rsidRPr="00466D4B" w:rsidRDefault="008756C8">
      <w:pPr>
        <w:numPr>
          <w:ilvl w:val="0"/>
          <w:numId w:val="5"/>
        </w:numPr>
        <w:pBdr>
          <w:top w:val="nil"/>
          <w:left w:val="nil"/>
          <w:bottom w:val="nil"/>
          <w:right w:val="nil"/>
          <w:between w:val="nil"/>
        </w:pBdr>
        <w:tabs>
          <w:tab w:val="left" w:pos="426"/>
        </w:tabs>
        <w:spacing w:after="240" w:line="360" w:lineRule="auto"/>
        <w:ind w:left="0" w:right="51" w:firstLine="0"/>
        <w:jc w:val="both"/>
        <w:rPr>
          <w:rFonts w:ascii="Palatino Linotype" w:eastAsia="Palatino Linotype" w:hAnsi="Palatino Linotype" w:cs="Palatino Linotype"/>
          <w:color w:val="000000"/>
        </w:rPr>
      </w:pPr>
      <w:r w:rsidRPr="00466D4B">
        <w:rPr>
          <w:rFonts w:ascii="Palatino Linotype" w:eastAsia="Palatino Linotype" w:hAnsi="Palatino Linotype" w:cs="Palatino Linotype"/>
          <w:color w:val="000000"/>
        </w:rPr>
        <w:lastRenderedPageBreak/>
        <w:t xml:space="preserve">Por lo anteriormente expuesto y fundado, este </w:t>
      </w:r>
      <w:r w:rsidRPr="00466D4B">
        <w:rPr>
          <w:rFonts w:ascii="Palatino Linotype" w:eastAsia="Palatino Linotype" w:hAnsi="Palatino Linotype" w:cs="Palatino Linotype"/>
          <w:b/>
          <w:bCs/>
          <w:color w:val="000000"/>
        </w:rPr>
        <w:t>ÓRGANO GARANTE</w:t>
      </w:r>
      <w:r w:rsidRPr="00466D4B">
        <w:rPr>
          <w:rFonts w:ascii="Palatino Linotype" w:eastAsia="Palatino Linotype" w:hAnsi="Palatino Linotype" w:cs="Palatino Linotype"/>
          <w:color w:val="000000"/>
        </w:rPr>
        <w:t xml:space="preserve"> emite los siguientes:</w:t>
      </w:r>
    </w:p>
    <w:p w:rsidR="00730BD2" w:rsidRDefault="008756C8">
      <w:pPr>
        <w:pStyle w:val="Ttulo1"/>
        <w:spacing w:before="0" w:line="360" w:lineRule="auto"/>
        <w:jc w:val="center"/>
        <w:rPr>
          <w:rFonts w:ascii="Palatino Linotype" w:eastAsia="Palatino Linotype" w:hAnsi="Palatino Linotype" w:cs="Palatino Linotype"/>
          <w:b/>
          <w:bCs/>
          <w:color w:val="000000"/>
          <w:sz w:val="24"/>
          <w:szCs w:val="24"/>
        </w:rPr>
      </w:pPr>
      <w:bookmarkStart w:id="8" w:name="_heading=h.h9l3iqe0fo2i" w:colFirst="0" w:colLast="0"/>
      <w:bookmarkStart w:id="9" w:name="_heading=h.4d34og8" w:colFirst="0" w:colLast="0"/>
      <w:bookmarkEnd w:id="8"/>
      <w:bookmarkEnd w:id="9"/>
      <w:r w:rsidRPr="00466D4B">
        <w:rPr>
          <w:rFonts w:ascii="Palatino Linotype" w:eastAsia="Palatino Linotype" w:hAnsi="Palatino Linotype" w:cs="Palatino Linotype"/>
          <w:b/>
          <w:bCs/>
          <w:color w:val="000000"/>
          <w:sz w:val="24"/>
          <w:szCs w:val="24"/>
        </w:rPr>
        <w:t>R E S O L U T I V O S</w:t>
      </w:r>
    </w:p>
    <w:p w:rsidR="002C5A66" w:rsidRPr="002C5A66" w:rsidRDefault="002C5A66" w:rsidP="002C5A66"/>
    <w:p w:rsidR="00730BD2" w:rsidRPr="00466D4B" w:rsidRDefault="00730BD2">
      <w:pPr>
        <w:rPr>
          <w:rFonts w:ascii="Palatino Linotype" w:eastAsia="Palatino Linotype" w:hAnsi="Palatino Linotype" w:cs="Palatino Linotype"/>
          <w:color w:val="000000"/>
        </w:rPr>
      </w:pPr>
    </w:p>
    <w:p w:rsidR="00730BD2" w:rsidRPr="00466D4B" w:rsidRDefault="008756C8">
      <w:pPr>
        <w:spacing w:before="240" w:after="240" w:line="360" w:lineRule="auto"/>
        <w:jc w:val="both"/>
        <w:rPr>
          <w:rFonts w:ascii="Palatino Linotype" w:eastAsia="Palatino Linotype" w:hAnsi="Palatino Linotype" w:cs="Palatino Linotype"/>
        </w:rPr>
      </w:pPr>
      <w:bookmarkStart w:id="10" w:name="_heading=h.2s8eyo1" w:colFirst="0" w:colLast="0"/>
      <w:bookmarkEnd w:id="10"/>
      <w:r w:rsidRPr="00466D4B">
        <w:rPr>
          <w:rFonts w:ascii="Palatino Linotype" w:eastAsia="Palatino Linotype" w:hAnsi="Palatino Linotype" w:cs="Palatino Linotype"/>
          <w:b/>
          <w:bCs/>
        </w:rPr>
        <w:t>PRIMERO</w:t>
      </w:r>
      <w:r w:rsidRPr="00466D4B">
        <w:rPr>
          <w:rFonts w:ascii="Palatino Linotype" w:eastAsia="Palatino Linotype" w:hAnsi="Palatino Linotype" w:cs="Palatino Linotype"/>
        </w:rPr>
        <w:t xml:space="preserve">. Se </w:t>
      </w:r>
      <w:r w:rsidRPr="00466D4B">
        <w:rPr>
          <w:rFonts w:ascii="Palatino Linotype" w:eastAsia="Palatino Linotype" w:hAnsi="Palatino Linotype" w:cs="Palatino Linotype"/>
          <w:b/>
          <w:bCs/>
        </w:rPr>
        <w:t xml:space="preserve">SOBRESEE </w:t>
      </w:r>
      <w:r w:rsidRPr="00466D4B">
        <w:rPr>
          <w:rFonts w:ascii="Palatino Linotype" w:eastAsia="Palatino Linotype" w:hAnsi="Palatino Linotype" w:cs="Palatino Linotype"/>
        </w:rPr>
        <w:t>el Recurso de Revisión</w:t>
      </w:r>
      <w:r w:rsidRPr="00466D4B">
        <w:rPr>
          <w:rFonts w:ascii="Palatino Linotype" w:eastAsia="Palatino Linotype" w:hAnsi="Palatino Linotype" w:cs="Palatino Linotype"/>
          <w:b/>
          <w:bCs/>
        </w:rPr>
        <w:t xml:space="preserve"> </w:t>
      </w:r>
      <w:r w:rsidRPr="00466D4B">
        <w:rPr>
          <w:rFonts w:ascii="Palatino Linotype" w:eastAsia="Palatino Linotype" w:hAnsi="Palatino Linotype" w:cs="Palatino Linotype"/>
        </w:rPr>
        <w:t xml:space="preserve">número </w:t>
      </w:r>
      <w:r w:rsidRPr="00466D4B">
        <w:rPr>
          <w:rFonts w:ascii="Palatino Linotype" w:eastAsia="Palatino Linotype" w:hAnsi="Palatino Linotype" w:cs="Palatino Linotype"/>
          <w:b/>
          <w:bCs/>
          <w:color w:val="000000"/>
        </w:rPr>
        <w:t>09243/INFOEM/ICR-90/IP/RR/2025,</w:t>
      </w:r>
      <w:r w:rsidRPr="00466D4B">
        <w:rPr>
          <w:rFonts w:ascii="Palatino Linotype" w:eastAsia="Palatino Linotype" w:hAnsi="Palatino Linotype" w:cs="Palatino Linotype"/>
        </w:rPr>
        <w:t xml:space="preserve"> por ser improcedente, conforme a la fracción IV del artículo 192, en relación con el artículo 191 fracción I, de la Ley de Transparencia y Acceso a la Información Pública del Estado de México y Municipios</w:t>
      </w:r>
      <w:r w:rsidRPr="00466D4B">
        <w:rPr>
          <w:rFonts w:ascii="Palatino Linotype" w:eastAsia="Palatino Linotype" w:hAnsi="Palatino Linotype" w:cs="Palatino Linotype"/>
          <w:b/>
          <w:bCs/>
        </w:rPr>
        <w:t xml:space="preserve">, </w:t>
      </w:r>
      <w:r w:rsidRPr="00466D4B">
        <w:rPr>
          <w:rFonts w:ascii="Palatino Linotype" w:eastAsia="Palatino Linotype" w:hAnsi="Palatino Linotype" w:cs="Palatino Linotype"/>
        </w:rPr>
        <w:t xml:space="preserve">en términos del </w:t>
      </w:r>
      <w:r w:rsidRPr="00466D4B">
        <w:rPr>
          <w:rFonts w:ascii="Palatino Linotype" w:eastAsia="Palatino Linotype" w:hAnsi="Palatino Linotype" w:cs="Palatino Linotype"/>
          <w:b/>
          <w:bCs/>
        </w:rPr>
        <w:t>Considerando</w:t>
      </w:r>
      <w:r w:rsidRPr="00466D4B">
        <w:rPr>
          <w:rFonts w:ascii="Palatino Linotype" w:eastAsia="Palatino Linotype" w:hAnsi="Palatino Linotype" w:cs="Palatino Linotype"/>
        </w:rPr>
        <w:t xml:space="preserve"> </w:t>
      </w:r>
      <w:r w:rsidRPr="00466D4B">
        <w:rPr>
          <w:rFonts w:ascii="Palatino Linotype" w:eastAsia="Palatino Linotype" w:hAnsi="Palatino Linotype" w:cs="Palatino Linotype"/>
          <w:b/>
          <w:bCs/>
        </w:rPr>
        <w:t>TERCERO</w:t>
      </w:r>
      <w:r w:rsidRPr="00466D4B">
        <w:rPr>
          <w:rFonts w:ascii="Palatino Linotype" w:eastAsia="Palatino Linotype" w:hAnsi="Palatino Linotype" w:cs="Palatino Linotype"/>
        </w:rPr>
        <w:t xml:space="preserve"> de la presente resolución.</w:t>
      </w:r>
    </w:p>
    <w:p w:rsidR="00730BD2" w:rsidRPr="00466D4B" w:rsidRDefault="008756C8">
      <w:pPr>
        <w:shd w:val="clear" w:color="auto" w:fill="FFFFFF"/>
        <w:spacing w:before="240" w:after="360" w:line="360" w:lineRule="auto"/>
        <w:jc w:val="both"/>
        <w:rPr>
          <w:rFonts w:ascii="Palatino Linotype" w:eastAsia="Palatino Linotype" w:hAnsi="Palatino Linotype" w:cs="Palatino Linotype"/>
          <w:b/>
          <w:bCs/>
          <w:color w:val="2E75B5"/>
        </w:rPr>
      </w:pPr>
      <w:bookmarkStart w:id="11" w:name="_heading=h.17dp8vu" w:colFirst="0" w:colLast="0"/>
      <w:bookmarkEnd w:id="11"/>
      <w:r w:rsidRPr="00466D4B">
        <w:rPr>
          <w:rFonts w:ascii="Palatino Linotype" w:eastAsia="Palatino Linotype" w:hAnsi="Palatino Linotype" w:cs="Palatino Linotype"/>
          <w:b/>
          <w:bCs/>
        </w:rPr>
        <w:t>SEGUNDO.</w:t>
      </w:r>
      <w:r w:rsidRPr="00466D4B">
        <w:rPr>
          <w:rFonts w:ascii="Palatino Linotype" w:eastAsia="Palatino Linotype" w:hAnsi="Palatino Linotype" w:cs="Palatino Linotype"/>
          <w:color w:val="2E75B5"/>
        </w:rPr>
        <w:t xml:space="preserve"> </w:t>
      </w:r>
      <w:r w:rsidRPr="00466D4B">
        <w:rPr>
          <w:rFonts w:ascii="Palatino Linotype" w:eastAsia="Palatino Linotype" w:hAnsi="Palatino Linotype" w:cs="Palatino Linotype"/>
          <w:b/>
          <w:bCs/>
          <w:color w:val="222222"/>
        </w:rPr>
        <w:t>Notifíquese</w:t>
      </w:r>
      <w:r w:rsidRPr="00466D4B">
        <w:rPr>
          <w:rFonts w:ascii="Palatino Linotype" w:eastAsia="Palatino Linotype" w:hAnsi="Palatino Linotype" w:cs="Palatino Linotype"/>
          <w:b/>
          <w:bCs/>
          <w:color w:val="000000"/>
        </w:rPr>
        <w:t xml:space="preserve"> </w:t>
      </w:r>
      <w:r w:rsidRPr="00466D4B">
        <w:rPr>
          <w:rFonts w:ascii="Palatino Linotype" w:eastAsia="Palatino Linotype" w:hAnsi="Palatino Linotype" w:cs="Palatino Linotype"/>
          <w:color w:val="000000"/>
        </w:rPr>
        <w:t>al Titular de la Unidad de Transparencia del</w:t>
      </w:r>
      <w:r w:rsidRPr="00466D4B">
        <w:rPr>
          <w:rFonts w:ascii="Palatino Linotype" w:eastAsia="Palatino Linotype" w:hAnsi="Palatino Linotype" w:cs="Palatino Linotype"/>
          <w:b/>
          <w:bCs/>
          <w:color w:val="000000"/>
        </w:rPr>
        <w:t xml:space="preserve"> SUJETO OBLIGADO</w:t>
      </w:r>
      <w:r w:rsidRPr="00466D4B">
        <w:rPr>
          <w:rFonts w:ascii="Palatino Linotype" w:eastAsia="Palatino Linotype" w:hAnsi="Palatino Linotype" w:cs="Palatino Linotype"/>
          <w:color w:val="000000"/>
        </w:rPr>
        <w:t xml:space="preserve"> vía </w:t>
      </w:r>
      <w:r w:rsidRPr="00466D4B">
        <w:rPr>
          <w:rFonts w:ascii="Palatino Linotype" w:eastAsia="Palatino Linotype" w:hAnsi="Palatino Linotype" w:cs="Palatino Linotype"/>
          <w:b/>
          <w:bCs/>
          <w:color w:val="000000"/>
        </w:rPr>
        <w:t>SAIMEX</w:t>
      </w:r>
      <w:r w:rsidRPr="00466D4B">
        <w:rPr>
          <w:rFonts w:ascii="Palatino Linotype" w:eastAsia="Palatino Linotype" w:hAnsi="Palatino Linotype" w:cs="Palatino Linotype"/>
          <w:color w:val="000000"/>
        </w:rPr>
        <w:t>, la presente resolución.</w:t>
      </w:r>
    </w:p>
    <w:p w:rsidR="00730BD2" w:rsidRPr="00466D4B" w:rsidRDefault="008756C8">
      <w:pPr>
        <w:widowControl w:val="0"/>
        <w:pBdr>
          <w:top w:val="nil"/>
          <w:left w:val="nil"/>
          <w:bottom w:val="nil"/>
          <w:right w:val="nil"/>
          <w:between w:val="nil"/>
        </w:pBdr>
        <w:tabs>
          <w:tab w:val="left" w:pos="1701"/>
        </w:tabs>
        <w:spacing w:before="240" w:line="360" w:lineRule="auto"/>
        <w:jc w:val="both"/>
        <w:rPr>
          <w:rFonts w:ascii="Palatino Linotype" w:eastAsia="Palatino Linotype" w:hAnsi="Palatino Linotype" w:cs="Palatino Linotype"/>
          <w:color w:val="222222"/>
        </w:rPr>
      </w:pPr>
      <w:r w:rsidRPr="00466D4B">
        <w:rPr>
          <w:rFonts w:ascii="Palatino Linotype" w:eastAsia="Palatino Linotype" w:hAnsi="Palatino Linotype" w:cs="Palatino Linotype"/>
          <w:b/>
          <w:bCs/>
          <w:color w:val="000000"/>
        </w:rPr>
        <w:t>TERCERO</w:t>
      </w:r>
      <w:r w:rsidRPr="00466D4B">
        <w:rPr>
          <w:rFonts w:ascii="Palatino Linotype" w:eastAsia="Palatino Linotype" w:hAnsi="Palatino Linotype" w:cs="Palatino Linotype"/>
          <w:b/>
          <w:bCs/>
          <w:color w:val="222222"/>
        </w:rPr>
        <w:t xml:space="preserve">. Notifíquese </w:t>
      </w:r>
      <w:r w:rsidRPr="00466D4B">
        <w:rPr>
          <w:rFonts w:ascii="Palatino Linotype" w:eastAsia="Palatino Linotype" w:hAnsi="Palatino Linotype" w:cs="Palatino Linotype"/>
          <w:color w:val="222222"/>
        </w:rPr>
        <w:t>a</w:t>
      </w:r>
      <w:r w:rsidRPr="00466D4B">
        <w:rPr>
          <w:rFonts w:ascii="Palatino Linotype" w:eastAsia="Palatino Linotype" w:hAnsi="Palatino Linotype" w:cs="Palatino Linotype"/>
          <w:b/>
          <w:bCs/>
          <w:color w:val="222222"/>
        </w:rPr>
        <w:t xml:space="preserve"> </w:t>
      </w:r>
      <w:r w:rsidRPr="00466D4B">
        <w:rPr>
          <w:rFonts w:ascii="Palatino Linotype" w:eastAsia="Palatino Linotype" w:hAnsi="Palatino Linotype" w:cs="Palatino Linotype"/>
          <w:b/>
          <w:bCs/>
          <w:color w:val="000000"/>
        </w:rPr>
        <w:t>EL RECURRENTE</w:t>
      </w:r>
      <w:r w:rsidRPr="00466D4B">
        <w:rPr>
          <w:rFonts w:ascii="Palatino Linotype" w:eastAsia="Palatino Linotype" w:hAnsi="Palatino Linotype" w:cs="Palatino Linotype"/>
          <w:color w:val="222222"/>
        </w:rPr>
        <w:t xml:space="preserve"> la presente resolución, vía </w:t>
      </w:r>
      <w:r w:rsidRPr="00466D4B">
        <w:rPr>
          <w:rFonts w:ascii="Palatino Linotype" w:eastAsia="Palatino Linotype" w:hAnsi="Palatino Linotype" w:cs="Palatino Linotype"/>
          <w:b/>
          <w:bCs/>
          <w:color w:val="222222"/>
        </w:rPr>
        <w:t>SAIMEX</w:t>
      </w:r>
      <w:r w:rsidRPr="00466D4B">
        <w:rPr>
          <w:rFonts w:ascii="Palatino Linotype" w:eastAsia="Palatino Linotype" w:hAnsi="Palatino Linotype" w:cs="Palatino Linotype"/>
          <w:color w:val="222222"/>
        </w:rPr>
        <w:t>.</w:t>
      </w:r>
    </w:p>
    <w:p w:rsidR="00730BD2" w:rsidRPr="00466D4B" w:rsidRDefault="00730BD2">
      <w:pPr>
        <w:widowControl w:val="0"/>
        <w:pBdr>
          <w:top w:val="nil"/>
          <w:left w:val="nil"/>
          <w:bottom w:val="nil"/>
          <w:right w:val="nil"/>
          <w:between w:val="nil"/>
        </w:pBdr>
        <w:tabs>
          <w:tab w:val="left" w:pos="1701"/>
        </w:tabs>
        <w:spacing w:line="360" w:lineRule="auto"/>
        <w:jc w:val="both"/>
        <w:rPr>
          <w:rFonts w:ascii="Palatino Linotype" w:eastAsia="Palatino Linotype" w:hAnsi="Palatino Linotype" w:cs="Palatino Linotype"/>
          <w:color w:val="222222"/>
        </w:rPr>
      </w:pPr>
    </w:p>
    <w:p w:rsidR="00730BD2" w:rsidRPr="00466D4B" w:rsidRDefault="008756C8">
      <w:pPr>
        <w:widowControl w:val="0"/>
        <w:pBdr>
          <w:top w:val="nil"/>
          <w:left w:val="nil"/>
          <w:bottom w:val="nil"/>
          <w:right w:val="nil"/>
          <w:between w:val="nil"/>
        </w:pBdr>
        <w:tabs>
          <w:tab w:val="left" w:pos="1701"/>
        </w:tabs>
        <w:spacing w:after="240" w:line="360" w:lineRule="auto"/>
        <w:jc w:val="both"/>
        <w:rPr>
          <w:rFonts w:ascii="Palatino Linotype" w:eastAsia="Palatino Linotype" w:hAnsi="Palatino Linotype" w:cs="Palatino Linotype"/>
          <w:color w:val="222222"/>
        </w:rPr>
      </w:pPr>
      <w:r w:rsidRPr="00466D4B">
        <w:rPr>
          <w:rFonts w:ascii="Palatino Linotype" w:eastAsia="Palatino Linotype" w:hAnsi="Palatino Linotype" w:cs="Palatino Linotype"/>
          <w:b/>
          <w:bCs/>
          <w:color w:val="222222"/>
        </w:rPr>
        <w:t xml:space="preserve">CUARTO. </w:t>
      </w:r>
      <w:r w:rsidR="009215B1" w:rsidRPr="00466D4B">
        <w:rPr>
          <w:rFonts w:ascii="Palatino Linotype" w:eastAsia="Palatino Linotype" w:hAnsi="Palatino Linotype" w:cs="Palatino Linotype"/>
          <w:color w:val="000000"/>
        </w:rPr>
        <w:t>Se hace del conocimiento del</w:t>
      </w:r>
      <w:r w:rsidRPr="00466D4B">
        <w:rPr>
          <w:rFonts w:ascii="Palatino Linotype" w:eastAsia="Palatino Linotype" w:hAnsi="Palatino Linotype" w:cs="Palatino Linotype"/>
          <w:b/>
          <w:bCs/>
          <w:color w:val="000000"/>
        </w:rPr>
        <w:t xml:space="preserve"> RECURRENTE</w:t>
      </w:r>
      <w:r w:rsidRPr="00466D4B">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9215B1" w:rsidRPr="00466D4B" w:rsidRDefault="009215B1" w:rsidP="009215B1">
      <w:pPr>
        <w:spacing w:before="240" w:after="240" w:line="360" w:lineRule="auto"/>
        <w:ind w:firstLine="1"/>
        <w:jc w:val="both"/>
        <w:rPr>
          <w:rFonts w:ascii="Palatino Linotype" w:hAnsi="Palatino Linotype"/>
        </w:rPr>
      </w:pPr>
      <w:bookmarkStart w:id="12" w:name="_Hlk99014733"/>
      <w:r w:rsidRPr="00466D4B">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RPr="00466D4B">
        <w:rPr>
          <w:rFonts w:ascii="Palatino Linotype" w:hAnsi="Palatino Linotype" w:cs="Palatino Linotype"/>
        </w:rPr>
        <w:lastRenderedPageBreak/>
        <w:t xml:space="preserve">SHARON CRISTINA MORALES MARTÍNEZ, LUIS GUSTAVO PARRA NORIEGA Y GUADALUPE RAMÍREZ PEÑA; EN LA SÉPTIMA SESIÓN ORDINARIA, CELEBRADA EL VEINTICINCO (25) DE FEBRERO DE DOS MIL VEINTISÉIS, ANTE EL SECRETARIO TÉCNICO DEL PLENO </w:t>
      </w:r>
      <w:r w:rsidRPr="00466D4B">
        <w:rPr>
          <w:rFonts w:ascii="Palatino Linotype" w:hAnsi="Palatino Linotype" w:cs="Palatino Linotype"/>
          <w:color w:val="000000" w:themeColor="text1"/>
        </w:rPr>
        <w:t>ALEXIS TAPIA RAMÍREZ.</w:t>
      </w:r>
    </w:p>
    <w:bookmarkEnd w:id="12"/>
    <w:p w:rsidR="00730BD2" w:rsidRPr="00466D4B" w:rsidRDefault="00730BD2">
      <w:pPr>
        <w:spacing w:line="360" w:lineRule="auto"/>
        <w:jc w:val="both"/>
        <w:rPr>
          <w:rFonts w:ascii="Palatino Linotype" w:eastAsia="Palatino Linotype" w:hAnsi="Palatino Linotype" w:cs="Palatino Linotype"/>
          <w:color w:val="000000"/>
        </w:rPr>
      </w:pPr>
    </w:p>
    <w:p w:rsidR="00730BD2" w:rsidRPr="00466D4B" w:rsidRDefault="00730BD2">
      <w:pPr>
        <w:spacing w:line="360" w:lineRule="auto"/>
        <w:jc w:val="both"/>
        <w:rPr>
          <w:rFonts w:ascii="Palatino Linotype" w:eastAsia="Palatino Linotype" w:hAnsi="Palatino Linotype" w:cs="Palatino Linotype"/>
          <w:color w:val="000000"/>
        </w:rPr>
      </w:pPr>
    </w:p>
    <w:p w:rsidR="00730BD2" w:rsidRPr="00466D4B" w:rsidRDefault="00730BD2">
      <w:pPr>
        <w:spacing w:line="360" w:lineRule="auto"/>
        <w:jc w:val="both"/>
        <w:rPr>
          <w:rFonts w:ascii="Palatino Linotype" w:eastAsia="Palatino Linotype" w:hAnsi="Palatino Linotype" w:cs="Palatino Linotype"/>
          <w:color w:val="000000"/>
        </w:rPr>
      </w:pPr>
    </w:p>
    <w:p w:rsidR="00730BD2" w:rsidRPr="00466D4B" w:rsidRDefault="00730BD2">
      <w:pPr>
        <w:spacing w:line="360" w:lineRule="auto"/>
        <w:jc w:val="both"/>
        <w:rPr>
          <w:rFonts w:ascii="Palatino Linotype" w:eastAsia="Palatino Linotype" w:hAnsi="Palatino Linotype" w:cs="Palatino Linotype"/>
          <w:color w:val="000000"/>
        </w:rPr>
      </w:pPr>
    </w:p>
    <w:p w:rsidR="00730BD2" w:rsidRPr="00466D4B" w:rsidRDefault="00730BD2">
      <w:pPr>
        <w:spacing w:line="360" w:lineRule="auto"/>
        <w:jc w:val="both"/>
        <w:rPr>
          <w:rFonts w:ascii="Palatino Linotype" w:eastAsia="Palatino Linotype" w:hAnsi="Palatino Linotype" w:cs="Palatino Linotype"/>
          <w:color w:val="000000"/>
        </w:rPr>
      </w:pPr>
    </w:p>
    <w:p w:rsidR="00730BD2" w:rsidRPr="00466D4B" w:rsidRDefault="00730BD2">
      <w:pPr>
        <w:rPr>
          <w:rFonts w:ascii="Palatino Linotype" w:eastAsia="Palatino Linotype" w:hAnsi="Palatino Linotype" w:cs="Palatino Linotype"/>
          <w:color w:val="000000"/>
        </w:rPr>
      </w:pPr>
    </w:p>
    <w:p w:rsidR="00730BD2" w:rsidRPr="00466D4B" w:rsidRDefault="00730BD2">
      <w:pPr>
        <w:rPr>
          <w:rFonts w:ascii="Palatino Linotype" w:eastAsia="Palatino Linotype" w:hAnsi="Palatino Linotype" w:cs="Palatino Linotype"/>
          <w:color w:val="000000"/>
        </w:rPr>
      </w:pPr>
    </w:p>
    <w:p w:rsidR="00730BD2" w:rsidRPr="00466D4B" w:rsidRDefault="00730BD2">
      <w:pPr>
        <w:rPr>
          <w:rFonts w:ascii="Palatino Linotype" w:eastAsia="Palatino Linotype" w:hAnsi="Palatino Linotype" w:cs="Palatino Linotype"/>
          <w:color w:val="000000"/>
        </w:rPr>
      </w:pPr>
    </w:p>
    <w:p w:rsidR="00730BD2" w:rsidRPr="00466D4B" w:rsidRDefault="00730BD2">
      <w:pPr>
        <w:rPr>
          <w:rFonts w:ascii="Palatino Linotype" w:eastAsia="Palatino Linotype" w:hAnsi="Palatino Linotype" w:cs="Palatino Linotype"/>
          <w:color w:val="000000"/>
        </w:rPr>
      </w:pPr>
    </w:p>
    <w:p w:rsidR="00730BD2" w:rsidRPr="00466D4B" w:rsidRDefault="00730BD2">
      <w:pPr>
        <w:rPr>
          <w:rFonts w:ascii="Palatino Linotype" w:eastAsia="Palatino Linotype" w:hAnsi="Palatino Linotype" w:cs="Palatino Linotype"/>
          <w:color w:val="000000"/>
        </w:rPr>
      </w:pPr>
    </w:p>
    <w:p w:rsidR="00730BD2" w:rsidRPr="00466D4B" w:rsidRDefault="00730BD2">
      <w:pPr>
        <w:rPr>
          <w:rFonts w:ascii="Palatino Linotype" w:eastAsia="Palatino Linotype" w:hAnsi="Palatino Linotype" w:cs="Palatino Linotype"/>
          <w:color w:val="000000"/>
        </w:rPr>
      </w:pPr>
    </w:p>
    <w:p w:rsidR="00730BD2" w:rsidRPr="00466D4B" w:rsidRDefault="00730BD2">
      <w:pPr>
        <w:rPr>
          <w:rFonts w:ascii="Palatino Linotype" w:eastAsia="Palatino Linotype" w:hAnsi="Palatino Linotype" w:cs="Palatino Linotype"/>
          <w:color w:val="000000"/>
        </w:rPr>
      </w:pPr>
    </w:p>
    <w:p w:rsidR="00730BD2" w:rsidRPr="00466D4B" w:rsidRDefault="008756C8">
      <w:pPr>
        <w:tabs>
          <w:tab w:val="left" w:pos="3374"/>
        </w:tabs>
        <w:rPr>
          <w:rFonts w:ascii="Palatino Linotype" w:eastAsia="Palatino Linotype" w:hAnsi="Palatino Linotype" w:cs="Palatino Linotype"/>
          <w:color w:val="000000"/>
        </w:rPr>
      </w:pPr>
      <w:r w:rsidRPr="00466D4B">
        <w:rPr>
          <w:rFonts w:ascii="Palatino Linotype" w:eastAsia="Palatino Linotype" w:hAnsi="Palatino Linotype" w:cs="Palatino Linotype"/>
          <w:color w:val="000000"/>
        </w:rPr>
        <w:tab/>
      </w:r>
    </w:p>
    <w:p w:rsidR="00730BD2" w:rsidRPr="00466D4B" w:rsidRDefault="00730BD2">
      <w:pPr>
        <w:tabs>
          <w:tab w:val="left" w:pos="3374"/>
        </w:tabs>
        <w:rPr>
          <w:rFonts w:ascii="Palatino Linotype" w:eastAsia="Palatino Linotype" w:hAnsi="Palatino Linotype" w:cs="Palatino Linotype"/>
          <w:color w:val="000000"/>
        </w:rPr>
      </w:pPr>
    </w:p>
    <w:p w:rsidR="00730BD2" w:rsidRPr="00466D4B" w:rsidRDefault="00730BD2">
      <w:pPr>
        <w:tabs>
          <w:tab w:val="left" w:pos="3374"/>
        </w:tabs>
        <w:rPr>
          <w:rFonts w:ascii="Palatino Linotype" w:eastAsia="Palatino Linotype" w:hAnsi="Palatino Linotype" w:cs="Palatino Linotype"/>
          <w:color w:val="000000"/>
        </w:rPr>
      </w:pPr>
    </w:p>
    <w:p w:rsidR="00730BD2" w:rsidRPr="00466D4B" w:rsidRDefault="00730BD2">
      <w:pPr>
        <w:tabs>
          <w:tab w:val="left" w:pos="3374"/>
        </w:tabs>
        <w:rPr>
          <w:rFonts w:ascii="Palatino Linotype" w:eastAsia="Palatino Linotype" w:hAnsi="Palatino Linotype" w:cs="Palatino Linotype"/>
          <w:color w:val="000000"/>
        </w:rPr>
      </w:pPr>
    </w:p>
    <w:p w:rsidR="00730BD2" w:rsidRPr="00466D4B" w:rsidRDefault="00730BD2">
      <w:pPr>
        <w:tabs>
          <w:tab w:val="left" w:pos="3374"/>
        </w:tabs>
        <w:rPr>
          <w:rFonts w:ascii="Palatino Linotype" w:eastAsia="Palatino Linotype" w:hAnsi="Palatino Linotype" w:cs="Palatino Linotype"/>
          <w:color w:val="000000"/>
        </w:rPr>
      </w:pPr>
    </w:p>
    <w:p w:rsidR="00730BD2" w:rsidRPr="00466D4B" w:rsidRDefault="00730BD2">
      <w:pPr>
        <w:tabs>
          <w:tab w:val="left" w:pos="3374"/>
        </w:tabs>
        <w:rPr>
          <w:rFonts w:ascii="Palatino Linotype" w:eastAsia="Palatino Linotype" w:hAnsi="Palatino Linotype" w:cs="Palatino Linotype"/>
          <w:color w:val="000000"/>
        </w:rPr>
      </w:pPr>
    </w:p>
    <w:p w:rsidR="00730BD2" w:rsidRPr="00466D4B" w:rsidRDefault="00730BD2">
      <w:pPr>
        <w:tabs>
          <w:tab w:val="left" w:pos="3374"/>
        </w:tabs>
        <w:rPr>
          <w:rFonts w:ascii="Palatino Linotype" w:eastAsia="Palatino Linotype" w:hAnsi="Palatino Linotype" w:cs="Palatino Linotype"/>
          <w:color w:val="000000"/>
        </w:rPr>
      </w:pPr>
    </w:p>
    <w:p w:rsidR="00730BD2" w:rsidRPr="00466D4B" w:rsidRDefault="00730BD2">
      <w:pPr>
        <w:tabs>
          <w:tab w:val="left" w:pos="3374"/>
        </w:tabs>
        <w:rPr>
          <w:rFonts w:ascii="Palatino Linotype" w:eastAsia="Palatino Linotype" w:hAnsi="Palatino Linotype" w:cs="Palatino Linotype"/>
          <w:color w:val="000000"/>
        </w:rPr>
      </w:pPr>
    </w:p>
    <w:p w:rsidR="00730BD2" w:rsidRPr="00466D4B" w:rsidRDefault="00730BD2">
      <w:pPr>
        <w:tabs>
          <w:tab w:val="left" w:pos="3374"/>
        </w:tabs>
        <w:rPr>
          <w:rFonts w:ascii="Palatino Linotype" w:eastAsia="Palatino Linotype" w:hAnsi="Palatino Linotype" w:cs="Palatino Linotype"/>
          <w:color w:val="000000"/>
        </w:rPr>
      </w:pPr>
    </w:p>
    <w:p w:rsidR="00730BD2" w:rsidRPr="00466D4B" w:rsidRDefault="00730BD2">
      <w:pPr>
        <w:tabs>
          <w:tab w:val="left" w:pos="3374"/>
        </w:tabs>
        <w:rPr>
          <w:rFonts w:ascii="Palatino Linotype" w:eastAsia="Palatino Linotype" w:hAnsi="Palatino Linotype" w:cs="Palatino Linotype"/>
          <w:color w:val="000000"/>
        </w:rPr>
      </w:pPr>
    </w:p>
    <w:p w:rsidR="00730BD2" w:rsidRPr="00466D4B" w:rsidRDefault="00730BD2">
      <w:pPr>
        <w:tabs>
          <w:tab w:val="left" w:pos="3374"/>
        </w:tabs>
        <w:rPr>
          <w:rFonts w:ascii="Palatino Linotype" w:eastAsia="Palatino Linotype" w:hAnsi="Palatino Linotype" w:cs="Palatino Linotype"/>
          <w:color w:val="000000"/>
        </w:rPr>
      </w:pPr>
    </w:p>
    <w:p w:rsidR="00730BD2" w:rsidRPr="00466D4B" w:rsidRDefault="00730BD2">
      <w:pPr>
        <w:tabs>
          <w:tab w:val="left" w:pos="3374"/>
        </w:tabs>
        <w:rPr>
          <w:rFonts w:ascii="Palatino Linotype" w:eastAsia="Palatino Linotype" w:hAnsi="Palatino Linotype" w:cs="Palatino Linotype"/>
          <w:color w:val="000000"/>
        </w:rPr>
      </w:pPr>
    </w:p>
    <w:p w:rsidR="00730BD2" w:rsidRPr="00466D4B" w:rsidRDefault="00730BD2">
      <w:pPr>
        <w:tabs>
          <w:tab w:val="left" w:pos="3374"/>
        </w:tabs>
        <w:rPr>
          <w:rFonts w:ascii="Palatino Linotype" w:eastAsia="Palatino Linotype" w:hAnsi="Palatino Linotype" w:cs="Palatino Linotype"/>
          <w:color w:val="000000"/>
        </w:rPr>
      </w:pPr>
    </w:p>
    <w:p w:rsidR="00730BD2" w:rsidRPr="00466D4B" w:rsidRDefault="00730BD2">
      <w:pPr>
        <w:tabs>
          <w:tab w:val="left" w:pos="3374"/>
        </w:tabs>
        <w:rPr>
          <w:rFonts w:ascii="Palatino Linotype" w:eastAsia="Palatino Linotype" w:hAnsi="Palatino Linotype" w:cs="Palatino Linotype"/>
          <w:color w:val="000000"/>
        </w:rPr>
      </w:pPr>
    </w:p>
    <w:p w:rsidR="00730BD2" w:rsidRPr="00466D4B" w:rsidRDefault="00730BD2">
      <w:pPr>
        <w:tabs>
          <w:tab w:val="left" w:pos="3374"/>
        </w:tabs>
        <w:rPr>
          <w:rFonts w:ascii="Palatino Linotype" w:eastAsia="Palatino Linotype" w:hAnsi="Palatino Linotype" w:cs="Palatino Linotype"/>
          <w:color w:val="000000"/>
        </w:rPr>
      </w:pPr>
    </w:p>
    <w:p w:rsidR="00730BD2" w:rsidRPr="00466D4B" w:rsidRDefault="00730BD2">
      <w:pPr>
        <w:tabs>
          <w:tab w:val="left" w:pos="3374"/>
        </w:tabs>
        <w:rPr>
          <w:rFonts w:ascii="Palatino Linotype" w:eastAsia="Palatino Linotype" w:hAnsi="Palatino Linotype" w:cs="Palatino Linotype"/>
          <w:color w:val="000000"/>
        </w:rPr>
      </w:pPr>
    </w:p>
    <w:p w:rsidR="00730BD2" w:rsidRPr="00466D4B" w:rsidRDefault="00730BD2">
      <w:pPr>
        <w:tabs>
          <w:tab w:val="left" w:pos="3374"/>
        </w:tabs>
        <w:rPr>
          <w:rFonts w:ascii="Palatino Linotype" w:eastAsia="Palatino Linotype" w:hAnsi="Palatino Linotype" w:cs="Palatino Linotype"/>
          <w:color w:val="000000"/>
        </w:rPr>
      </w:pPr>
    </w:p>
    <w:p w:rsidR="00730BD2" w:rsidRPr="00466D4B" w:rsidRDefault="00730BD2">
      <w:pPr>
        <w:tabs>
          <w:tab w:val="left" w:pos="3374"/>
        </w:tabs>
        <w:rPr>
          <w:rFonts w:ascii="Palatino Linotype" w:eastAsia="Palatino Linotype" w:hAnsi="Palatino Linotype" w:cs="Palatino Linotype"/>
          <w:color w:val="000000"/>
        </w:rPr>
      </w:pPr>
    </w:p>
    <w:p w:rsidR="00730BD2" w:rsidRPr="00466D4B" w:rsidRDefault="00730BD2">
      <w:pPr>
        <w:tabs>
          <w:tab w:val="left" w:pos="3374"/>
        </w:tabs>
        <w:rPr>
          <w:rFonts w:ascii="Palatino Linotype" w:eastAsia="Palatino Linotype" w:hAnsi="Palatino Linotype" w:cs="Palatino Linotype"/>
          <w:color w:val="000000"/>
        </w:rPr>
      </w:pPr>
    </w:p>
    <w:p w:rsidR="00730BD2" w:rsidRPr="00466D4B" w:rsidRDefault="00730BD2">
      <w:pPr>
        <w:tabs>
          <w:tab w:val="left" w:pos="3374"/>
        </w:tabs>
        <w:rPr>
          <w:rFonts w:ascii="Palatino Linotype" w:eastAsia="Palatino Linotype" w:hAnsi="Palatino Linotype" w:cs="Palatino Linotype"/>
          <w:color w:val="000000"/>
        </w:rPr>
      </w:pPr>
    </w:p>
    <w:sectPr w:rsidR="00730BD2" w:rsidRPr="00466D4B" w:rsidSect="00466D4B">
      <w:headerReference w:type="even" r:id="rId8"/>
      <w:headerReference w:type="default" r:id="rId9"/>
      <w:footerReference w:type="default" r:id="rId10"/>
      <w:headerReference w:type="first" r:id="rId11"/>
      <w:footerReference w:type="first" r:id="rId12"/>
      <w:pgSz w:w="12240" w:h="15840"/>
      <w:pgMar w:top="2268" w:right="758" w:bottom="1843" w:left="1701" w:header="851"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932" w:rsidRDefault="00D90932">
      <w:r>
        <w:separator/>
      </w:r>
    </w:p>
  </w:endnote>
  <w:endnote w:type="continuationSeparator" w:id="0">
    <w:p w:rsidR="00D90932" w:rsidRDefault="00D90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704E116D-CE72-498D-BEDD-E5032ED0A809}"/>
    <w:embedBold r:id="rId2" w:fontKey="{AC6FE8EE-58E8-42CE-A1C7-1B0C69B8C04B}"/>
    <w:embedItalic r:id="rId3" w:fontKey="{92D66D68-99C8-4BBC-8582-120F2296C0C2}"/>
    <w:embedBoldItalic r:id="rId4" w:fontKey="{9B375705-FCC6-4DDF-943A-B548021B241B}"/>
  </w:font>
  <w:font w:name="Noto Sans Symbols">
    <w:altName w:val="Times New Roman"/>
    <w:charset w:val="00"/>
    <w:family w:val="auto"/>
    <w:pitch w:val="default"/>
    <w:embedRegular r:id="rId5" w:fontKey="{47E7155E-740E-49F9-879D-623D2FEC9DAC}"/>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9D93FB1D-4AA4-4591-9B3F-1E9F6B1240F3}"/>
    <w:embedBold r:id="rId7" w:fontKey="{62DADA77-D1C8-46D7-B004-30620246D8E8}"/>
    <w:embedItalic r:id="rId8" w:fontKey="{0B5287CE-FB09-4B3B-B075-1522C58601D8}"/>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9" w:fontKey="{A295BCC8-8EFB-4B6B-9CC4-D913DC79A5B2}"/>
    <w:embedItalic r:id="rId10" w:fontKey="{9DE2C284-1AB6-4AF0-996B-6A39CC4FE44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1" w:fontKey="{F0B4F2BA-686D-4B5C-BFE3-81E783AABCCB}"/>
  </w:font>
  <w:font w:name="Georgia">
    <w:panose1 w:val="02040502050405020303"/>
    <w:charset w:val="00"/>
    <w:family w:val="roman"/>
    <w:pitch w:val="variable"/>
    <w:sig w:usb0="00000287" w:usb1="00000000" w:usb2="00000000" w:usb3="00000000" w:csb0="0000009F" w:csb1="00000000"/>
    <w:embedItalic r:id="rId12" w:fontKey="{1B236B14-32F3-4566-A091-63F86A5701A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BD2" w:rsidRPr="00466D4B" w:rsidRDefault="008756C8">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466D4B">
      <w:rPr>
        <w:rFonts w:ascii="Palatino Linotype" w:eastAsia="Palatino Linotype" w:hAnsi="Palatino Linotype" w:cs="Palatino Linotype"/>
        <w:b/>
        <w:color w:val="000000"/>
        <w:sz w:val="22"/>
        <w:szCs w:val="20"/>
      </w:rPr>
      <w:t xml:space="preserve">Página </w:t>
    </w:r>
    <w:r w:rsidRPr="00466D4B">
      <w:rPr>
        <w:rFonts w:ascii="Palatino Linotype" w:eastAsia="Palatino Linotype" w:hAnsi="Palatino Linotype" w:cs="Palatino Linotype"/>
        <w:b/>
        <w:color w:val="000000"/>
        <w:sz w:val="22"/>
        <w:szCs w:val="20"/>
      </w:rPr>
      <w:fldChar w:fldCharType="begin"/>
    </w:r>
    <w:r w:rsidRPr="00466D4B">
      <w:rPr>
        <w:rFonts w:ascii="Palatino Linotype" w:eastAsia="Palatino Linotype" w:hAnsi="Palatino Linotype" w:cs="Palatino Linotype"/>
        <w:b/>
        <w:color w:val="000000"/>
        <w:sz w:val="22"/>
        <w:szCs w:val="20"/>
      </w:rPr>
      <w:instrText>PAGE</w:instrText>
    </w:r>
    <w:r w:rsidRPr="00466D4B">
      <w:rPr>
        <w:rFonts w:ascii="Palatino Linotype" w:eastAsia="Palatino Linotype" w:hAnsi="Palatino Linotype" w:cs="Palatino Linotype"/>
        <w:b/>
        <w:color w:val="000000"/>
        <w:sz w:val="22"/>
        <w:szCs w:val="20"/>
      </w:rPr>
      <w:fldChar w:fldCharType="separate"/>
    </w:r>
    <w:r w:rsidR="002C5A66">
      <w:rPr>
        <w:rFonts w:ascii="Palatino Linotype" w:eastAsia="Palatino Linotype" w:hAnsi="Palatino Linotype" w:cs="Palatino Linotype"/>
        <w:b/>
        <w:noProof/>
        <w:color w:val="000000"/>
        <w:sz w:val="22"/>
        <w:szCs w:val="20"/>
      </w:rPr>
      <w:t>12</w:t>
    </w:r>
    <w:r w:rsidRPr="00466D4B">
      <w:rPr>
        <w:rFonts w:ascii="Palatino Linotype" w:eastAsia="Palatino Linotype" w:hAnsi="Palatino Linotype" w:cs="Palatino Linotype"/>
        <w:b/>
        <w:color w:val="000000"/>
        <w:sz w:val="22"/>
        <w:szCs w:val="20"/>
      </w:rPr>
      <w:fldChar w:fldCharType="end"/>
    </w:r>
    <w:r w:rsidRPr="00466D4B">
      <w:rPr>
        <w:rFonts w:ascii="Palatino Linotype" w:eastAsia="Palatino Linotype" w:hAnsi="Palatino Linotype" w:cs="Palatino Linotype"/>
        <w:b/>
        <w:color w:val="000000"/>
        <w:sz w:val="22"/>
        <w:szCs w:val="20"/>
      </w:rPr>
      <w:t xml:space="preserve"> de </w:t>
    </w:r>
    <w:r w:rsidRPr="00466D4B">
      <w:rPr>
        <w:rFonts w:ascii="Palatino Linotype" w:eastAsia="Palatino Linotype" w:hAnsi="Palatino Linotype" w:cs="Palatino Linotype"/>
        <w:b/>
        <w:color w:val="000000"/>
        <w:sz w:val="22"/>
        <w:szCs w:val="20"/>
      </w:rPr>
      <w:fldChar w:fldCharType="begin"/>
    </w:r>
    <w:r w:rsidRPr="00466D4B">
      <w:rPr>
        <w:rFonts w:ascii="Palatino Linotype" w:eastAsia="Palatino Linotype" w:hAnsi="Palatino Linotype" w:cs="Palatino Linotype"/>
        <w:b/>
        <w:color w:val="000000"/>
        <w:sz w:val="22"/>
        <w:szCs w:val="20"/>
      </w:rPr>
      <w:instrText>NUMPAGES</w:instrText>
    </w:r>
    <w:r w:rsidRPr="00466D4B">
      <w:rPr>
        <w:rFonts w:ascii="Palatino Linotype" w:eastAsia="Palatino Linotype" w:hAnsi="Palatino Linotype" w:cs="Palatino Linotype"/>
        <w:b/>
        <w:color w:val="000000"/>
        <w:sz w:val="22"/>
        <w:szCs w:val="20"/>
      </w:rPr>
      <w:fldChar w:fldCharType="separate"/>
    </w:r>
    <w:r w:rsidR="002C5A66">
      <w:rPr>
        <w:rFonts w:ascii="Palatino Linotype" w:eastAsia="Palatino Linotype" w:hAnsi="Palatino Linotype" w:cs="Palatino Linotype"/>
        <w:b/>
        <w:noProof/>
        <w:color w:val="000000"/>
        <w:sz w:val="22"/>
        <w:szCs w:val="20"/>
      </w:rPr>
      <w:t>12</w:t>
    </w:r>
    <w:r w:rsidRPr="00466D4B">
      <w:rPr>
        <w:rFonts w:ascii="Palatino Linotype" w:eastAsia="Palatino Linotype" w:hAnsi="Palatino Linotype" w:cs="Palatino Linotype"/>
        <w:b/>
        <w:color w:val="000000"/>
        <w:sz w:val="22"/>
        <w:szCs w:val="20"/>
      </w:rPr>
      <w:fldChar w:fldCharType="end"/>
    </w:r>
  </w:p>
  <w:p w:rsidR="00730BD2" w:rsidRDefault="00730BD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BD2" w:rsidRPr="00466D4B" w:rsidRDefault="008756C8">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466D4B">
      <w:rPr>
        <w:rFonts w:ascii="Palatino Linotype" w:eastAsia="Palatino Linotype" w:hAnsi="Palatino Linotype" w:cs="Palatino Linotype"/>
        <w:b/>
        <w:color w:val="000000"/>
        <w:sz w:val="22"/>
        <w:szCs w:val="20"/>
      </w:rPr>
      <w:t xml:space="preserve">Página </w:t>
    </w:r>
    <w:r w:rsidRPr="00466D4B">
      <w:rPr>
        <w:rFonts w:ascii="Palatino Linotype" w:eastAsia="Palatino Linotype" w:hAnsi="Palatino Linotype" w:cs="Palatino Linotype"/>
        <w:b/>
        <w:color w:val="000000"/>
        <w:sz w:val="22"/>
        <w:szCs w:val="20"/>
      </w:rPr>
      <w:fldChar w:fldCharType="begin"/>
    </w:r>
    <w:r w:rsidRPr="00466D4B">
      <w:rPr>
        <w:rFonts w:ascii="Palatino Linotype" w:eastAsia="Palatino Linotype" w:hAnsi="Palatino Linotype" w:cs="Palatino Linotype"/>
        <w:b/>
        <w:color w:val="000000"/>
        <w:sz w:val="22"/>
        <w:szCs w:val="20"/>
      </w:rPr>
      <w:instrText>PAGE</w:instrText>
    </w:r>
    <w:r w:rsidRPr="00466D4B">
      <w:rPr>
        <w:rFonts w:ascii="Palatino Linotype" w:eastAsia="Palatino Linotype" w:hAnsi="Palatino Linotype" w:cs="Palatino Linotype"/>
        <w:b/>
        <w:color w:val="000000"/>
        <w:sz w:val="22"/>
        <w:szCs w:val="20"/>
      </w:rPr>
      <w:fldChar w:fldCharType="separate"/>
    </w:r>
    <w:r w:rsidR="002C5A66">
      <w:rPr>
        <w:rFonts w:ascii="Palatino Linotype" w:eastAsia="Palatino Linotype" w:hAnsi="Palatino Linotype" w:cs="Palatino Linotype"/>
        <w:b/>
        <w:noProof/>
        <w:color w:val="000000"/>
        <w:sz w:val="22"/>
        <w:szCs w:val="20"/>
      </w:rPr>
      <w:t>1</w:t>
    </w:r>
    <w:r w:rsidRPr="00466D4B">
      <w:rPr>
        <w:rFonts w:ascii="Palatino Linotype" w:eastAsia="Palatino Linotype" w:hAnsi="Palatino Linotype" w:cs="Palatino Linotype"/>
        <w:b/>
        <w:color w:val="000000"/>
        <w:sz w:val="22"/>
        <w:szCs w:val="20"/>
      </w:rPr>
      <w:fldChar w:fldCharType="end"/>
    </w:r>
    <w:r w:rsidRPr="00466D4B">
      <w:rPr>
        <w:rFonts w:ascii="Palatino Linotype" w:eastAsia="Palatino Linotype" w:hAnsi="Palatino Linotype" w:cs="Palatino Linotype"/>
        <w:b/>
        <w:color w:val="000000"/>
        <w:sz w:val="22"/>
        <w:szCs w:val="20"/>
      </w:rPr>
      <w:t xml:space="preserve"> de </w:t>
    </w:r>
    <w:r w:rsidRPr="00466D4B">
      <w:rPr>
        <w:rFonts w:ascii="Palatino Linotype" w:eastAsia="Palatino Linotype" w:hAnsi="Palatino Linotype" w:cs="Palatino Linotype"/>
        <w:b/>
        <w:color w:val="000000"/>
        <w:sz w:val="22"/>
        <w:szCs w:val="20"/>
      </w:rPr>
      <w:fldChar w:fldCharType="begin"/>
    </w:r>
    <w:r w:rsidRPr="00466D4B">
      <w:rPr>
        <w:rFonts w:ascii="Palatino Linotype" w:eastAsia="Palatino Linotype" w:hAnsi="Palatino Linotype" w:cs="Palatino Linotype"/>
        <w:b/>
        <w:color w:val="000000"/>
        <w:sz w:val="22"/>
        <w:szCs w:val="20"/>
      </w:rPr>
      <w:instrText>NUMPAGES</w:instrText>
    </w:r>
    <w:r w:rsidRPr="00466D4B">
      <w:rPr>
        <w:rFonts w:ascii="Palatino Linotype" w:eastAsia="Palatino Linotype" w:hAnsi="Palatino Linotype" w:cs="Palatino Linotype"/>
        <w:b/>
        <w:color w:val="000000"/>
        <w:sz w:val="22"/>
        <w:szCs w:val="20"/>
      </w:rPr>
      <w:fldChar w:fldCharType="separate"/>
    </w:r>
    <w:r w:rsidR="002C5A66">
      <w:rPr>
        <w:rFonts w:ascii="Palatino Linotype" w:eastAsia="Palatino Linotype" w:hAnsi="Palatino Linotype" w:cs="Palatino Linotype"/>
        <w:b/>
        <w:noProof/>
        <w:color w:val="000000"/>
        <w:sz w:val="22"/>
        <w:szCs w:val="20"/>
      </w:rPr>
      <w:t>12</w:t>
    </w:r>
    <w:r w:rsidRPr="00466D4B">
      <w:rPr>
        <w:rFonts w:ascii="Palatino Linotype" w:eastAsia="Palatino Linotype" w:hAnsi="Palatino Linotype" w:cs="Palatino Linotype"/>
        <w:b/>
        <w:color w:val="000000"/>
        <w:sz w:val="22"/>
        <w:szCs w:val="20"/>
      </w:rPr>
      <w:fldChar w:fldCharType="end"/>
    </w:r>
  </w:p>
  <w:p w:rsidR="00730BD2" w:rsidRDefault="00730BD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932" w:rsidRDefault="00D90932">
      <w:r>
        <w:separator/>
      </w:r>
    </w:p>
  </w:footnote>
  <w:footnote w:type="continuationSeparator" w:id="0">
    <w:p w:rsidR="00D90932" w:rsidRDefault="00D909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BD2" w:rsidRDefault="00D9093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946" w:type="dxa"/>
      <w:tblInd w:w="3119" w:type="dxa"/>
      <w:tblLayout w:type="fixed"/>
      <w:tblLook w:val="0400" w:firstRow="0" w:lastRow="0" w:firstColumn="0" w:lastColumn="0" w:noHBand="0" w:noVBand="1"/>
    </w:tblPr>
    <w:tblGrid>
      <w:gridCol w:w="2925"/>
      <w:gridCol w:w="4021"/>
    </w:tblGrid>
    <w:tr w:rsidR="00730BD2" w:rsidRPr="00466D4B" w:rsidTr="00466D4B">
      <w:trPr>
        <w:trHeight w:val="227"/>
      </w:trPr>
      <w:tc>
        <w:tcPr>
          <w:tcW w:w="2925" w:type="dxa"/>
          <w:vAlign w:val="center"/>
        </w:tcPr>
        <w:p w:rsidR="00730BD2" w:rsidRDefault="008756C8">
          <w:pPr>
            <w:ind w:right="34"/>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021" w:type="dxa"/>
          <w:vAlign w:val="center"/>
        </w:tcPr>
        <w:p w:rsidR="00730BD2" w:rsidRPr="00466D4B" w:rsidRDefault="008756C8" w:rsidP="00466D4B">
          <w:pPr>
            <w:pBdr>
              <w:top w:val="nil"/>
              <w:left w:val="nil"/>
              <w:bottom w:val="nil"/>
              <w:right w:val="nil"/>
              <w:between w:val="nil"/>
            </w:pBdr>
            <w:tabs>
              <w:tab w:val="right" w:pos="8838"/>
            </w:tabs>
            <w:rPr>
              <w:rFonts w:ascii="Palatino Linotype" w:eastAsia="Palatino Linotype" w:hAnsi="Palatino Linotype" w:cs="Palatino Linotype"/>
              <w:bCs/>
              <w:color w:val="000000"/>
            </w:rPr>
          </w:pPr>
          <w:r w:rsidRPr="00466D4B">
            <w:rPr>
              <w:rFonts w:ascii="Palatino Linotype" w:eastAsia="Palatino Linotype" w:hAnsi="Palatino Linotype" w:cs="Palatino Linotype"/>
              <w:bCs/>
              <w:color w:val="000000"/>
            </w:rPr>
            <w:t>09243/INFOEM/ICR-90/IP/RR/2025</w:t>
          </w:r>
        </w:p>
      </w:tc>
    </w:tr>
    <w:tr w:rsidR="00730BD2" w:rsidRPr="00466D4B" w:rsidTr="00466D4B">
      <w:trPr>
        <w:trHeight w:val="242"/>
      </w:trPr>
      <w:tc>
        <w:tcPr>
          <w:tcW w:w="2925" w:type="dxa"/>
          <w:vAlign w:val="center"/>
        </w:tcPr>
        <w:p w:rsidR="00730BD2" w:rsidRDefault="008756C8">
          <w:pPr>
            <w:ind w:right="34"/>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021" w:type="dxa"/>
          <w:vAlign w:val="center"/>
        </w:tcPr>
        <w:p w:rsidR="00730BD2" w:rsidRPr="00466D4B" w:rsidRDefault="008756C8" w:rsidP="00466D4B">
          <w:pPr>
            <w:pBdr>
              <w:top w:val="nil"/>
              <w:left w:val="nil"/>
              <w:bottom w:val="nil"/>
              <w:right w:val="nil"/>
              <w:between w:val="nil"/>
            </w:pBdr>
            <w:tabs>
              <w:tab w:val="right" w:pos="8838"/>
            </w:tabs>
            <w:jc w:val="both"/>
            <w:rPr>
              <w:rFonts w:ascii="Palatino Linotype" w:eastAsia="Palatino Linotype" w:hAnsi="Palatino Linotype" w:cs="Palatino Linotype"/>
              <w:bCs/>
              <w:color w:val="000000"/>
            </w:rPr>
          </w:pPr>
          <w:r w:rsidRPr="00466D4B">
            <w:rPr>
              <w:rFonts w:ascii="Palatino Linotype" w:eastAsia="Palatino Linotype" w:hAnsi="Palatino Linotype" w:cs="Palatino Linotype"/>
              <w:bCs/>
              <w:color w:val="000000"/>
            </w:rPr>
            <w:t>Ayuntamiento de Tepotzotlán</w:t>
          </w:r>
        </w:p>
      </w:tc>
    </w:tr>
    <w:tr w:rsidR="00730BD2" w:rsidRPr="00466D4B" w:rsidTr="00466D4B">
      <w:trPr>
        <w:trHeight w:val="342"/>
      </w:trPr>
      <w:tc>
        <w:tcPr>
          <w:tcW w:w="2925" w:type="dxa"/>
          <w:vAlign w:val="center"/>
        </w:tcPr>
        <w:p w:rsidR="00730BD2" w:rsidRDefault="008756C8">
          <w:pPr>
            <w:ind w:right="34"/>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021" w:type="dxa"/>
          <w:vAlign w:val="center"/>
        </w:tcPr>
        <w:p w:rsidR="00730BD2" w:rsidRPr="00466D4B" w:rsidRDefault="008756C8" w:rsidP="00466D4B">
          <w:pPr>
            <w:pBdr>
              <w:top w:val="nil"/>
              <w:left w:val="nil"/>
              <w:bottom w:val="nil"/>
              <w:right w:val="nil"/>
              <w:between w:val="nil"/>
            </w:pBdr>
            <w:tabs>
              <w:tab w:val="right" w:pos="8838"/>
            </w:tabs>
            <w:rPr>
              <w:rFonts w:ascii="Palatino Linotype" w:eastAsia="Palatino Linotype" w:hAnsi="Palatino Linotype" w:cs="Palatino Linotype"/>
              <w:bCs/>
              <w:color w:val="000000"/>
            </w:rPr>
          </w:pPr>
          <w:r w:rsidRPr="00466D4B">
            <w:rPr>
              <w:rFonts w:ascii="Palatino Linotype" w:eastAsia="Palatino Linotype" w:hAnsi="Palatino Linotype" w:cs="Palatino Linotype"/>
              <w:bCs/>
              <w:color w:val="000000"/>
            </w:rPr>
            <w:t>María del Rosario Mejía Ayala</w:t>
          </w:r>
        </w:p>
      </w:tc>
    </w:tr>
  </w:tbl>
  <w:p w:rsidR="00730BD2" w:rsidRDefault="00D90932">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71.85pt;margin-top:-122.9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7513" w:type="dxa"/>
      <w:tblInd w:w="3119" w:type="dxa"/>
      <w:tblLayout w:type="fixed"/>
      <w:tblLook w:val="0400" w:firstRow="0" w:lastRow="0" w:firstColumn="0" w:lastColumn="0" w:noHBand="0" w:noVBand="1"/>
    </w:tblPr>
    <w:tblGrid>
      <w:gridCol w:w="2977"/>
      <w:gridCol w:w="4536"/>
    </w:tblGrid>
    <w:tr w:rsidR="00730BD2" w:rsidTr="00466D4B">
      <w:trPr>
        <w:trHeight w:val="227"/>
      </w:trPr>
      <w:tc>
        <w:tcPr>
          <w:tcW w:w="2977" w:type="dxa"/>
          <w:vAlign w:val="center"/>
        </w:tcPr>
        <w:p w:rsidR="00730BD2" w:rsidRPr="00466D4B" w:rsidRDefault="008756C8">
          <w:pPr>
            <w:jc w:val="right"/>
            <w:rPr>
              <w:rFonts w:ascii="Palatino Linotype" w:eastAsia="Palatino Linotype" w:hAnsi="Palatino Linotype" w:cs="Palatino Linotype"/>
              <w:b/>
              <w:bCs/>
            </w:rPr>
          </w:pPr>
          <w:r w:rsidRPr="00466D4B">
            <w:rPr>
              <w:rFonts w:ascii="Palatino Linotype" w:eastAsia="Palatino Linotype" w:hAnsi="Palatino Linotype" w:cs="Palatino Linotype"/>
              <w:b/>
              <w:bCs/>
            </w:rPr>
            <w:t>Recurso de Revisión:</w:t>
          </w:r>
        </w:p>
      </w:tc>
      <w:tc>
        <w:tcPr>
          <w:tcW w:w="4536" w:type="dxa"/>
          <w:vAlign w:val="center"/>
        </w:tcPr>
        <w:p w:rsidR="00730BD2" w:rsidRPr="00466D4B" w:rsidRDefault="008756C8">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rPr>
          </w:pPr>
          <w:r w:rsidRPr="00466D4B">
            <w:rPr>
              <w:rFonts w:ascii="Palatino Linotype" w:eastAsia="Palatino Linotype" w:hAnsi="Palatino Linotype" w:cs="Palatino Linotype"/>
              <w:bCs/>
              <w:color w:val="000000"/>
            </w:rPr>
            <w:t>09243/INFOEM/ICR-90/IP/RR/2025</w:t>
          </w:r>
        </w:p>
      </w:tc>
    </w:tr>
    <w:tr w:rsidR="00730BD2" w:rsidTr="00466D4B">
      <w:trPr>
        <w:trHeight w:val="242"/>
      </w:trPr>
      <w:tc>
        <w:tcPr>
          <w:tcW w:w="2977" w:type="dxa"/>
          <w:vAlign w:val="center"/>
        </w:tcPr>
        <w:p w:rsidR="00730BD2" w:rsidRPr="00466D4B" w:rsidRDefault="008756C8">
          <w:pPr>
            <w:jc w:val="right"/>
            <w:rPr>
              <w:rFonts w:ascii="Palatino Linotype" w:eastAsia="Palatino Linotype" w:hAnsi="Palatino Linotype" w:cs="Palatino Linotype"/>
              <w:b/>
              <w:bCs/>
            </w:rPr>
          </w:pPr>
          <w:r w:rsidRPr="00466D4B">
            <w:rPr>
              <w:rFonts w:ascii="Palatino Linotype" w:eastAsia="Palatino Linotype" w:hAnsi="Palatino Linotype" w:cs="Palatino Linotype"/>
              <w:b/>
              <w:bCs/>
            </w:rPr>
            <w:t>Recurrente:</w:t>
          </w:r>
        </w:p>
      </w:tc>
      <w:tc>
        <w:tcPr>
          <w:tcW w:w="4536" w:type="dxa"/>
        </w:tcPr>
        <w:p w:rsidR="00730BD2" w:rsidRPr="00466D4B" w:rsidRDefault="00730BD2">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rPr>
          </w:pPr>
        </w:p>
      </w:tc>
    </w:tr>
    <w:tr w:rsidR="00730BD2" w:rsidTr="00466D4B">
      <w:trPr>
        <w:trHeight w:val="342"/>
      </w:trPr>
      <w:tc>
        <w:tcPr>
          <w:tcW w:w="2977" w:type="dxa"/>
          <w:vAlign w:val="center"/>
        </w:tcPr>
        <w:p w:rsidR="00730BD2" w:rsidRPr="00466D4B" w:rsidRDefault="008756C8">
          <w:pPr>
            <w:jc w:val="right"/>
            <w:rPr>
              <w:rFonts w:ascii="Palatino Linotype" w:eastAsia="Palatino Linotype" w:hAnsi="Palatino Linotype" w:cs="Palatino Linotype"/>
              <w:b/>
              <w:bCs/>
            </w:rPr>
          </w:pPr>
          <w:r w:rsidRPr="00466D4B">
            <w:rPr>
              <w:rFonts w:ascii="Palatino Linotype" w:eastAsia="Palatino Linotype" w:hAnsi="Palatino Linotype" w:cs="Palatino Linotype"/>
              <w:b/>
              <w:bCs/>
            </w:rPr>
            <w:t>Sujeto Obligado:</w:t>
          </w:r>
        </w:p>
      </w:tc>
      <w:tc>
        <w:tcPr>
          <w:tcW w:w="4536" w:type="dxa"/>
          <w:vAlign w:val="center"/>
        </w:tcPr>
        <w:p w:rsidR="00730BD2" w:rsidRPr="00466D4B" w:rsidRDefault="008756C8">
          <w:pPr>
            <w:pBdr>
              <w:top w:val="nil"/>
              <w:left w:val="nil"/>
              <w:bottom w:val="nil"/>
              <w:right w:val="nil"/>
              <w:between w:val="nil"/>
            </w:pBdr>
            <w:tabs>
              <w:tab w:val="center" w:pos="4419"/>
              <w:tab w:val="right" w:pos="8838"/>
            </w:tabs>
            <w:jc w:val="both"/>
            <w:rPr>
              <w:rFonts w:ascii="Palatino Linotype" w:eastAsia="Palatino Linotype" w:hAnsi="Palatino Linotype" w:cs="Palatino Linotype"/>
              <w:bCs/>
              <w:color w:val="000000"/>
            </w:rPr>
          </w:pPr>
          <w:r w:rsidRPr="00466D4B">
            <w:rPr>
              <w:rFonts w:ascii="Palatino Linotype" w:eastAsia="Palatino Linotype" w:hAnsi="Palatino Linotype" w:cs="Palatino Linotype"/>
              <w:bCs/>
              <w:color w:val="000000"/>
            </w:rPr>
            <w:t>Ayuntamiento de Tepotzotlán</w:t>
          </w:r>
        </w:p>
      </w:tc>
    </w:tr>
    <w:tr w:rsidR="00730BD2" w:rsidTr="00466D4B">
      <w:trPr>
        <w:trHeight w:val="342"/>
      </w:trPr>
      <w:tc>
        <w:tcPr>
          <w:tcW w:w="2977" w:type="dxa"/>
          <w:vAlign w:val="center"/>
        </w:tcPr>
        <w:p w:rsidR="00730BD2" w:rsidRPr="00466D4B" w:rsidRDefault="008756C8">
          <w:pPr>
            <w:jc w:val="right"/>
            <w:rPr>
              <w:rFonts w:ascii="Palatino Linotype" w:eastAsia="Palatino Linotype" w:hAnsi="Palatino Linotype" w:cs="Palatino Linotype"/>
              <w:b/>
              <w:bCs/>
            </w:rPr>
          </w:pPr>
          <w:r w:rsidRPr="00466D4B">
            <w:rPr>
              <w:rFonts w:ascii="Palatino Linotype" w:eastAsia="Palatino Linotype" w:hAnsi="Palatino Linotype" w:cs="Palatino Linotype"/>
              <w:b/>
              <w:bCs/>
            </w:rPr>
            <w:t>Comisionada Ponente:</w:t>
          </w:r>
        </w:p>
      </w:tc>
      <w:tc>
        <w:tcPr>
          <w:tcW w:w="4536" w:type="dxa"/>
          <w:vAlign w:val="center"/>
        </w:tcPr>
        <w:p w:rsidR="00730BD2" w:rsidRPr="00466D4B" w:rsidRDefault="008756C8">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rPr>
          </w:pPr>
          <w:r w:rsidRPr="00466D4B">
            <w:rPr>
              <w:rFonts w:ascii="Palatino Linotype" w:eastAsia="Palatino Linotype" w:hAnsi="Palatino Linotype" w:cs="Palatino Linotype"/>
              <w:bCs/>
              <w:color w:val="000000"/>
            </w:rPr>
            <w:t>María del Rosario Mejía Ayala</w:t>
          </w:r>
        </w:p>
      </w:tc>
    </w:tr>
  </w:tbl>
  <w:p w:rsidR="00730BD2" w:rsidRDefault="00D90932">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6.7pt;margin-top:-121.3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54BCC"/>
    <w:multiLevelType w:val="multilevel"/>
    <w:tmpl w:val="12EC383A"/>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E020F3A"/>
    <w:multiLevelType w:val="multilevel"/>
    <w:tmpl w:val="A41E90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F5B437D"/>
    <w:multiLevelType w:val="multilevel"/>
    <w:tmpl w:val="98009E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FAD6A4D"/>
    <w:multiLevelType w:val="multilevel"/>
    <w:tmpl w:val="A1746E1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57EE0D49"/>
    <w:multiLevelType w:val="multilevel"/>
    <w:tmpl w:val="99A60256"/>
    <w:lvl w:ilvl="0">
      <w:start w:val="1"/>
      <w:numFmt w:val="upperRoman"/>
      <w:lvlText w:val="%1."/>
      <w:lvlJc w:val="left"/>
      <w:pPr>
        <w:ind w:left="1146" w:hanging="72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15:restartNumberingAfterBreak="0">
    <w:nsid w:val="7D020DE1"/>
    <w:multiLevelType w:val="multilevel"/>
    <w:tmpl w:val="55DEA7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BD2"/>
    <w:rsid w:val="002C5A66"/>
    <w:rsid w:val="00466D4B"/>
    <w:rsid w:val="0055035B"/>
    <w:rsid w:val="00730BD2"/>
    <w:rsid w:val="008756C8"/>
    <w:rsid w:val="009215B1"/>
    <w:rsid w:val="009D0DC8"/>
    <w:rsid w:val="00D909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D265D58-D43F-406B-88B8-E6E74211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E75B5"/>
      <w:sz w:val="32"/>
      <w:szCs w:val="32"/>
    </w:rPr>
  </w:style>
  <w:style w:type="paragraph" w:styleId="Ttulo2">
    <w:name w:val="heading 2"/>
    <w:basedOn w:val="Normal"/>
    <w:next w:val="Normal"/>
    <w:pPr>
      <w:keepNext/>
      <w:keepLines/>
      <w:spacing w:before="40"/>
      <w:outlineLvl w:val="1"/>
    </w:pPr>
    <w:rPr>
      <w:color w:val="2E75B5"/>
      <w:sz w:val="26"/>
      <w:szCs w:val="26"/>
    </w:rPr>
  </w:style>
  <w:style w:type="paragraph" w:styleId="Ttulo3">
    <w:name w:val="heading 3"/>
    <w:basedOn w:val="Normal"/>
    <w:next w:val="Normal"/>
    <w:pPr>
      <w:keepNext/>
      <w:keepLines/>
      <w:spacing w:before="40"/>
      <w:outlineLvl w:val="2"/>
    </w:pPr>
    <w:rPr>
      <w:color w:val="1E4D78"/>
    </w:rPr>
  </w:style>
  <w:style w:type="paragraph" w:styleId="Ttulo4">
    <w:name w:val="heading 4"/>
    <w:basedOn w:val="Normal"/>
    <w:next w:val="Normal"/>
    <w:pPr>
      <w:keepNext/>
      <w:keepLines/>
      <w:spacing w:before="40"/>
      <w:outlineLvl w:val="3"/>
    </w:pPr>
    <w:rPr>
      <w:i/>
      <w:iCs/>
      <w:color w:val="2E75B5"/>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3B7751"/>
    <w:pPr>
      <w:tabs>
        <w:tab w:val="center" w:pos="4419"/>
        <w:tab w:val="right" w:pos="8838"/>
      </w:tabs>
    </w:pPr>
  </w:style>
  <w:style w:type="character" w:customStyle="1" w:styleId="EncabezadoCar">
    <w:name w:val="Encabezado Car"/>
    <w:basedOn w:val="Fuentedeprrafopredeter"/>
    <w:link w:val="Encabezado"/>
    <w:uiPriority w:val="99"/>
    <w:rsid w:val="003B7751"/>
  </w:style>
  <w:style w:type="paragraph" w:styleId="Piedepgina">
    <w:name w:val="footer"/>
    <w:basedOn w:val="Normal"/>
    <w:link w:val="PiedepginaCar"/>
    <w:uiPriority w:val="99"/>
    <w:unhideWhenUsed/>
    <w:rsid w:val="003B7751"/>
    <w:pPr>
      <w:tabs>
        <w:tab w:val="center" w:pos="4419"/>
        <w:tab w:val="right" w:pos="8838"/>
      </w:tabs>
    </w:pPr>
  </w:style>
  <w:style w:type="character" w:customStyle="1" w:styleId="PiedepginaCar">
    <w:name w:val="Pie de página Car"/>
    <w:basedOn w:val="Fuentedeprrafopredeter"/>
    <w:link w:val="Piedepgina"/>
    <w:uiPriority w:val="99"/>
    <w:rsid w:val="003B7751"/>
  </w:style>
  <w:style w:type="character" w:styleId="Hipervnculo">
    <w:name w:val="Hyperlink"/>
    <w:aliases w:val="Hipervínculo1,Hipervínculo11,Hipervínculo12,Hipervínculo13,Hipervínculo14,Hipervínculo15"/>
    <w:basedOn w:val="Fuentedeprrafopredeter"/>
    <w:uiPriority w:val="99"/>
    <w:unhideWhenUsed/>
    <w:rsid w:val="003B7751"/>
    <w:rPr>
      <w:color w:val="0563C1" w:themeColor="hyperlink"/>
      <w:u w:val="singl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3B7751"/>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B7751"/>
    <w:rPr>
      <w:sz w:val="20"/>
      <w:szCs w:val="20"/>
    </w:rPr>
  </w:style>
  <w:style w:type="character" w:customStyle="1" w:styleId="TextonotapieCar1">
    <w:name w:val="Texto nota pie Car1"/>
    <w:basedOn w:val="Fuentedeprrafopredeter"/>
    <w:uiPriority w:val="99"/>
    <w:semiHidden/>
    <w:rsid w:val="003B7751"/>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3B7751"/>
    <w:rPr>
      <w:vertAlign w:val="superscript"/>
    </w:rPr>
  </w:style>
  <w:style w:type="character" w:customStyle="1" w:styleId="apple-converted-space">
    <w:name w:val="apple-converted-space"/>
    <w:basedOn w:val="Fuentedeprrafopredeter"/>
    <w:rsid w:val="003B7751"/>
  </w:style>
  <w:style w:type="character" w:styleId="Hipervnculovisitado">
    <w:name w:val="FollowedHyperlink"/>
    <w:basedOn w:val="Fuentedeprrafopredeter"/>
    <w:uiPriority w:val="99"/>
    <w:semiHidden/>
    <w:unhideWhenUsed/>
    <w:rsid w:val="00F7371C"/>
    <w:rPr>
      <w:color w:val="954F72" w:themeColor="followed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D1D6B"/>
    <w:pPr>
      <w:ind w:left="720"/>
      <w:contextualSpacing/>
    </w:pPr>
  </w:style>
  <w:style w:type="character" w:customStyle="1" w:styleId="Ttulo1Car">
    <w:name w:val="Título 1 Car"/>
    <w:basedOn w:val="Fuentedeprrafopredeter"/>
    <w:uiPriority w:val="9"/>
    <w:rsid w:val="006D6CC1"/>
    <w:rPr>
      <w:rFonts w:asciiTheme="majorHAnsi" w:eastAsiaTheme="majorEastAsia" w:hAnsiTheme="majorHAnsi" w:cstheme="majorBidi"/>
      <w:color w:val="2E74B5" w:themeColor="accent1" w:themeShade="BF"/>
      <w:sz w:val="32"/>
      <w:szCs w:val="32"/>
    </w:rPr>
  </w:style>
  <w:style w:type="paragraph" w:styleId="TtulodeTDC">
    <w:name w:val="TOC Heading"/>
    <w:next w:val="Normal"/>
    <w:uiPriority w:val="39"/>
    <w:unhideWhenUsed/>
    <w:qFormat/>
    <w:rsid w:val="006D6CC1"/>
  </w:style>
  <w:style w:type="paragraph" w:styleId="TDC2">
    <w:name w:val="toc 2"/>
    <w:basedOn w:val="Normal"/>
    <w:next w:val="Normal"/>
    <w:autoRedefine/>
    <w:uiPriority w:val="39"/>
    <w:unhideWhenUsed/>
    <w:rsid w:val="006D6CC1"/>
    <w:pPr>
      <w:spacing w:after="100"/>
      <w:ind w:left="220"/>
    </w:pPr>
    <w:rPr>
      <w:rFonts w:cs="Times New Roman"/>
    </w:rPr>
  </w:style>
  <w:style w:type="paragraph" w:styleId="TDC1">
    <w:name w:val="toc 1"/>
    <w:basedOn w:val="Normal"/>
    <w:next w:val="Normal"/>
    <w:autoRedefine/>
    <w:uiPriority w:val="39"/>
    <w:unhideWhenUsed/>
    <w:rsid w:val="00CC5B2F"/>
    <w:pPr>
      <w:tabs>
        <w:tab w:val="left" w:pos="440"/>
        <w:tab w:val="right" w:leader="dot" w:pos="9062"/>
      </w:tabs>
      <w:spacing w:line="360" w:lineRule="auto"/>
      <w:ind w:firstLine="142"/>
    </w:pPr>
    <w:rPr>
      <w:rFonts w:cs="Times New Roman"/>
    </w:rPr>
  </w:style>
  <w:style w:type="paragraph" w:styleId="TDC3">
    <w:name w:val="toc 3"/>
    <w:basedOn w:val="Normal"/>
    <w:next w:val="Normal"/>
    <w:autoRedefine/>
    <w:uiPriority w:val="39"/>
    <w:unhideWhenUsed/>
    <w:rsid w:val="006D6CC1"/>
    <w:pPr>
      <w:spacing w:after="100"/>
      <w:ind w:left="440"/>
    </w:pPr>
    <w:rPr>
      <w:rFonts w:cs="Times New Roman"/>
    </w:rPr>
  </w:style>
  <w:style w:type="character" w:customStyle="1" w:styleId="Ttulo2Car">
    <w:name w:val="Título 2 Car"/>
    <w:basedOn w:val="Fuentedeprrafopredeter"/>
    <w:uiPriority w:val="9"/>
    <w:rsid w:val="006D6CC1"/>
    <w:rPr>
      <w:rFonts w:asciiTheme="majorHAnsi" w:eastAsiaTheme="majorEastAsia" w:hAnsiTheme="majorHAnsi" w:cstheme="majorBidi"/>
      <w:color w:val="2E74B5" w:themeColor="accent1" w:themeShade="BF"/>
      <w:sz w:val="26"/>
      <w:szCs w:val="26"/>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12281"/>
  </w:style>
  <w:style w:type="character" w:customStyle="1" w:styleId="Ttulo3Car">
    <w:name w:val="Título 3 Car"/>
    <w:basedOn w:val="Fuentedeprrafopredeter"/>
    <w:uiPriority w:val="9"/>
    <w:semiHidden/>
    <w:rsid w:val="009F09BC"/>
    <w:rPr>
      <w:rFonts w:asciiTheme="majorHAnsi" w:eastAsiaTheme="majorEastAsia" w:hAnsiTheme="majorHAnsi" w:cstheme="majorBidi"/>
      <w:color w:val="1F4D78" w:themeColor="accent1" w:themeShade="7F"/>
      <w:sz w:val="24"/>
      <w:szCs w:val="24"/>
      <w:lang w:val="es-ES_tradnl" w:eastAsia="es-ES"/>
    </w:rPr>
  </w:style>
  <w:style w:type="character" w:customStyle="1" w:styleId="Ttulo4Car">
    <w:name w:val="Título 4 Car"/>
    <w:basedOn w:val="Fuentedeprrafopredeter"/>
    <w:uiPriority w:val="9"/>
    <w:rsid w:val="009F09BC"/>
    <w:rPr>
      <w:rFonts w:asciiTheme="majorHAnsi" w:eastAsiaTheme="majorEastAsia" w:hAnsiTheme="majorHAnsi" w:cstheme="majorBidi"/>
      <w:i/>
      <w:iCs/>
      <w:color w:val="2E74B5" w:themeColor="accent1" w:themeShade="BF"/>
      <w:sz w:val="24"/>
      <w:szCs w:val="24"/>
      <w:lang w:val="es-ES_tradnl" w:eastAsia="es-ES"/>
    </w:rPr>
  </w:style>
  <w:style w:type="table" w:styleId="Tablaconcuadrcula">
    <w:name w:val="Table Grid"/>
    <w:basedOn w:val="Tablanormal"/>
    <w:uiPriority w:val="59"/>
    <w:rsid w:val="009F09BC"/>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F09B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F09BC"/>
    <w:rPr>
      <w:rFonts w:ascii="Lucida Grande" w:eastAsiaTheme="minorEastAsia" w:hAnsi="Lucida Grande" w:cs="Lucida Grande"/>
      <w:sz w:val="18"/>
      <w:szCs w:val="18"/>
      <w:lang w:val="es-ES_tradnl" w:eastAsia="es-ES"/>
    </w:rPr>
  </w:style>
  <w:style w:type="paragraph" w:styleId="Sinespaciado">
    <w:name w:val="No Spacing"/>
    <w:aliases w:val="Francesa,INAI"/>
    <w:link w:val="SinespaciadoCar"/>
    <w:uiPriority w:val="1"/>
    <w:qFormat/>
    <w:rsid w:val="009F09BC"/>
    <w:rPr>
      <w:rFonts w:eastAsiaTheme="minorEastAsia"/>
      <w:lang w:eastAsia="es-ES"/>
    </w:rPr>
  </w:style>
  <w:style w:type="character" w:styleId="Refdecomentario">
    <w:name w:val="annotation reference"/>
    <w:basedOn w:val="Fuentedeprrafopredeter"/>
    <w:uiPriority w:val="99"/>
    <w:semiHidden/>
    <w:unhideWhenUsed/>
    <w:rsid w:val="009F09BC"/>
    <w:rPr>
      <w:sz w:val="16"/>
      <w:szCs w:val="16"/>
    </w:rPr>
  </w:style>
  <w:style w:type="paragraph" w:styleId="Textocomentario">
    <w:name w:val="annotation text"/>
    <w:basedOn w:val="Normal"/>
    <w:link w:val="TextocomentarioCar"/>
    <w:uiPriority w:val="99"/>
    <w:semiHidden/>
    <w:unhideWhenUsed/>
    <w:rsid w:val="009F09BC"/>
    <w:rPr>
      <w:sz w:val="20"/>
      <w:szCs w:val="20"/>
    </w:rPr>
  </w:style>
  <w:style w:type="character" w:customStyle="1" w:styleId="TextocomentarioCar">
    <w:name w:val="Texto comentario Car"/>
    <w:basedOn w:val="Fuentedeprrafopredeter"/>
    <w:link w:val="Textocomentario"/>
    <w:uiPriority w:val="99"/>
    <w:semiHidden/>
    <w:rsid w:val="009F09BC"/>
    <w:rPr>
      <w:rFonts w:eastAsiaTheme="minorEastAsia"/>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9F09BC"/>
    <w:rPr>
      <w:b/>
      <w:bCs/>
    </w:rPr>
  </w:style>
  <w:style w:type="character" w:customStyle="1" w:styleId="AsuntodelcomentarioCar">
    <w:name w:val="Asunto del comentario Car"/>
    <w:basedOn w:val="TextocomentarioCar"/>
    <w:link w:val="Asuntodelcomentario"/>
    <w:uiPriority w:val="99"/>
    <w:semiHidden/>
    <w:rsid w:val="009F09BC"/>
    <w:rPr>
      <w:rFonts w:eastAsiaTheme="minorEastAsia"/>
      <w:b/>
      <w:bCs/>
      <w:sz w:val="20"/>
      <w:szCs w:val="20"/>
      <w:lang w:val="es-ES_tradnl" w:eastAsia="es-ES"/>
    </w:rPr>
  </w:style>
  <w:style w:type="paragraph" w:styleId="Textoindependiente">
    <w:name w:val="Body Text"/>
    <w:basedOn w:val="Normal"/>
    <w:link w:val="TextoindependienteCar"/>
    <w:rsid w:val="009F09BC"/>
    <w:pPr>
      <w:jc w:val="both"/>
    </w:pPr>
    <w:rPr>
      <w:rFonts w:ascii="Arial" w:eastAsia="Times New Roman" w:hAnsi="Arial" w:cs="Times New Roman"/>
      <w:szCs w:val="20"/>
    </w:rPr>
  </w:style>
  <w:style w:type="character" w:customStyle="1" w:styleId="TextoindependienteCar">
    <w:name w:val="Texto independiente Car"/>
    <w:basedOn w:val="Fuentedeprrafopredeter"/>
    <w:link w:val="Textoindependiente"/>
    <w:rsid w:val="009F09BC"/>
    <w:rPr>
      <w:rFonts w:ascii="Arial" w:eastAsia="Times New Roman" w:hAnsi="Arial" w:cs="Times New Roman"/>
      <w:sz w:val="24"/>
      <w:szCs w:val="20"/>
      <w:lang w:val="es-ES_tradnl" w:eastAsia="es-ES"/>
    </w:rPr>
  </w:style>
  <w:style w:type="paragraph" w:customStyle="1" w:styleId="p">
    <w:name w:val="p"/>
    <w:basedOn w:val="Normal"/>
    <w:rsid w:val="009F09BC"/>
    <w:pPr>
      <w:spacing w:before="100" w:beforeAutospacing="1" w:after="100" w:afterAutospacing="1"/>
    </w:pPr>
    <w:rPr>
      <w:rFonts w:ascii="Times New Roman" w:eastAsia="Times New Roman" w:hAnsi="Times New Roman" w:cs="Times New Roman"/>
      <w:lang w:val="es-MX"/>
    </w:rPr>
  </w:style>
  <w:style w:type="character" w:customStyle="1" w:styleId="a">
    <w:name w:val="a"/>
    <w:basedOn w:val="Fuentedeprrafopredeter"/>
    <w:rsid w:val="009F09BC"/>
  </w:style>
  <w:style w:type="character" w:customStyle="1" w:styleId="d">
    <w:name w:val="d"/>
    <w:basedOn w:val="Fuentedeprrafopredeter"/>
    <w:rsid w:val="009F09BC"/>
  </w:style>
  <w:style w:type="character" w:customStyle="1" w:styleId="b">
    <w:name w:val="b"/>
    <w:basedOn w:val="Fuentedeprrafopredeter"/>
    <w:rsid w:val="009F09BC"/>
  </w:style>
  <w:style w:type="character" w:customStyle="1" w:styleId="g">
    <w:name w:val="g"/>
    <w:basedOn w:val="Fuentedeprrafopredeter"/>
    <w:rsid w:val="009F09BC"/>
  </w:style>
  <w:style w:type="table" w:customStyle="1" w:styleId="Tablaconcuadrcula1">
    <w:name w:val="Tabla con cuadrícula1"/>
    <w:basedOn w:val="Tablanormal"/>
    <w:next w:val="Tablaconcuadrcula"/>
    <w:uiPriority w:val="59"/>
    <w:rsid w:val="009F09BC"/>
    <w:rPr>
      <w:rFonts w:eastAsia="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9F09BC"/>
  </w:style>
  <w:style w:type="paragraph" w:styleId="NormalWeb">
    <w:name w:val="Normal (Web)"/>
    <w:basedOn w:val="Normal"/>
    <w:uiPriority w:val="99"/>
    <w:rsid w:val="009F09BC"/>
    <w:pPr>
      <w:spacing w:before="100" w:beforeAutospacing="1" w:after="100" w:afterAutospacing="1"/>
    </w:pPr>
    <w:rPr>
      <w:rFonts w:ascii="Times New Roman" w:eastAsia="Times New Roman" w:hAnsi="Times New Roman" w:cs="Times New Roman"/>
      <w:lang w:val="es-ES"/>
    </w:rPr>
  </w:style>
  <w:style w:type="character" w:styleId="Textoennegrita">
    <w:name w:val="Strong"/>
    <w:uiPriority w:val="22"/>
    <w:qFormat/>
    <w:rsid w:val="009F09BC"/>
    <w:rPr>
      <w:b/>
      <w:bCs/>
    </w:rPr>
  </w:style>
  <w:style w:type="paragraph" w:customStyle="1" w:styleId="Default">
    <w:name w:val="Default"/>
    <w:qFormat/>
    <w:rsid w:val="009F09BC"/>
    <w:pPr>
      <w:autoSpaceDE w:val="0"/>
      <w:autoSpaceDN w:val="0"/>
      <w:adjustRightInd w:val="0"/>
    </w:pPr>
    <w:rPr>
      <w:rFonts w:ascii="Arial" w:hAnsi="Arial" w:cs="Arial"/>
      <w:color w:val="000000"/>
    </w:rPr>
  </w:style>
  <w:style w:type="character" w:customStyle="1" w:styleId="SinespaciadoCar">
    <w:name w:val="Sin espaciado Car"/>
    <w:aliases w:val="Francesa Car,INAI Car"/>
    <w:link w:val="Sinespaciado"/>
    <w:uiPriority w:val="1"/>
    <w:locked/>
    <w:rsid w:val="009F09BC"/>
    <w:rPr>
      <w:rFonts w:eastAsiaTheme="minorEastAsia"/>
      <w:sz w:val="24"/>
      <w:szCs w:val="24"/>
      <w:lang w:val="es-ES_tradnl" w:eastAsia="es-ES"/>
    </w:rPr>
  </w:style>
  <w:style w:type="table" w:customStyle="1" w:styleId="Tablanormal11">
    <w:name w:val="Tabla normal 11"/>
    <w:basedOn w:val="Tablanormal"/>
    <w:uiPriority w:val="41"/>
    <w:rsid w:val="009F09B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j">
    <w:name w:val="j"/>
    <w:basedOn w:val="Normal"/>
    <w:rsid w:val="009F09BC"/>
    <w:pPr>
      <w:spacing w:before="100" w:beforeAutospacing="1" w:after="100" w:afterAutospacing="1"/>
    </w:pPr>
    <w:rPr>
      <w:rFonts w:ascii="Times New Roman" w:eastAsiaTheme="minorHAnsi" w:hAnsi="Times New Roman" w:cs="Times New Roman"/>
      <w:lang w:eastAsia="es-ES_tradnl"/>
    </w:rPr>
  </w:style>
  <w:style w:type="character" w:customStyle="1" w:styleId="apple-style-span">
    <w:name w:val="apple-style-span"/>
    <w:rsid w:val="009F09BC"/>
  </w:style>
  <w:style w:type="table" w:customStyle="1" w:styleId="Tabladecuadrcula1clara1">
    <w:name w:val="Tabla de cuadrícula 1 clara1"/>
    <w:basedOn w:val="Tablanormal"/>
    <w:uiPriority w:val="99"/>
    <w:rsid w:val="009F09BC"/>
    <w:rPr>
      <w:rFonts w:eastAsiaTheme="minorEastAsia"/>
      <w:lang w:eastAsia="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4-nfasis11">
    <w:name w:val="Tabla de cuadrícula 4 - Énfasis 11"/>
    <w:basedOn w:val="Tablanormal"/>
    <w:uiPriority w:val="49"/>
    <w:rsid w:val="009F09BC"/>
    <w:rPr>
      <w:rFonts w:eastAsiaTheme="minorEastAsia"/>
      <w:lang w:eastAsia="es-E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m-698976158124685028gmail-msolistparagraph">
    <w:name w:val="m_-698976158124685028gmail-msolistparagraph"/>
    <w:basedOn w:val="Normal"/>
    <w:rsid w:val="009F09BC"/>
    <w:pPr>
      <w:spacing w:before="100" w:beforeAutospacing="1" w:after="100" w:afterAutospacing="1"/>
    </w:pPr>
    <w:rPr>
      <w:rFonts w:ascii="Times New Roman" w:eastAsia="Times New Roman" w:hAnsi="Times New Roman" w:cs="Times New Roman"/>
      <w:lang w:val="es-MX"/>
    </w:rPr>
  </w:style>
  <w:style w:type="numbering" w:customStyle="1" w:styleId="Estiloimportado1">
    <w:name w:val="Estilo importado 1"/>
    <w:rsid w:val="009F09BC"/>
  </w:style>
  <w:style w:type="paragraph" w:customStyle="1" w:styleId="FootnoteTextCharCharChar1">
    <w:name w:val="Footnote Text Char Char Char1"/>
    <w:basedOn w:val="Normal"/>
    <w:next w:val="Textonotapie"/>
    <w:unhideWhenUsed/>
    <w:rsid w:val="009F09BC"/>
    <w:rPr>
      <w:rFonts w:eastAsia="Cambria"/>
      <w:sz w:val="20"/>
      <w:szCs w:val="20"/>
      <w:lang w:val="es-MX" w:eastAsia="en-US"/>
    </w:rPr>
  </w:style>
  <w:style w:type="paragraph" w:styleId="Textoindependiente2">
    <w:name w:val="Body Text 2"/>
    <w:basedOn w:val="Normal"/>
    <w:link w:val="Textoindependiente2Car"/>
    <w:uiPriority w:val="99"/>
    <w:semiHidden/>
    <w:unhideWhenUsed/>
    <w:rsid w:val="009F09BC"/>
    <w:pPr>
      <w:spacing w:after="120" w:line="480" w:lineRule="auto"/>
    </w:pPr>
  </w:style>
  <w:style w:type="character" w:customStyle="1" w:styleId="Textoindependiente2Car">
    <w:name w:val="Texto independiente 2 Car"/>
    <w:basedOn w:val="Fuentedeprrafopredeter"/>
    <w:link w:val="Textoindependiente2"/>
    <w:uiPriority w:val="99"/>
    <w:semiHidden/>
    <w:rsid w:val="009F09BC"/>
    <w:rPr>
      <w:rFonts w:eastAsiaTheme="minorEastAsia"/>
      <w:sz w:val="24"/>
      <w:szCs w:val="24"/>
      <w:lang w:val="es-ES_tradnl" w:eastAsia="es-ES"/>
    </w:rPr>
  </w:style>
  <w:style w:type="paragraph" w:customStyle="1" w:styleId="ADB1">
    <w:name w:val="ADB1"/>
    <w:basedOn w:val="Normal"/>
    <w:next w:val="Textonotapie"/>
    <w:uiPriority w:val="99"/>
    <w:unhideWhenUsed/>
    <w:qFormat/>
    <w:rsid w:val="009F09BC"/>
    <w:rPr>
      <w:rFonts w:eastAsia="Cambria"/>
      <w:sz w:val="20"/>
      <w:szCs w:val="20"/>
      <w:lang w:val="es-MX" w:eastAsia="en-US"/>
    </w:rPr>
  </w:style>
  <w:style w:type="paragraph" w:customStyle="1" w:styleId="francesa">
    <w:name w:val="francesa"/>
    <w:basedOn w:val="Normal"/>
    <w:rsid w:val="009F09BC"/>
    <w:pPr>
      <w:spacing w:before="100" w:beforeAutospacing="1" w:after="100" w:afterAutospacing="1"/>
    </w:pPr>
    <w:rPr>
      <w:rFonts w:ascii="Times New Roman" w:eastAsia="Times New Roman" w:hAnsi="Times New Roman" w:cs="Times New Roman"/>
      <w:lang w:val="es-MX"/>
    </w:rPr>
  </w:style>
  <w:style w:type="paragraph" w:customStyle="1" w:styleId="paragraph">
    <w:name w:val="paragraph"/>
    <w:basedOn w:val="Normal"/>
    <w:rsid w:val="009F09BC"/>
    <w:pPr>
      <w:spacing w:before="100" w:beforeAutospacing="1" w:after="100" w:afterAutospacing="1"/>
    </w:pPr>
    <w:rPr>
      <w:rFonts w:ascii="Times New Roman" w:eastAsia="Times New Roman" w:hAnsi="Times New Roman" w:cs="Times New Roman"/>
      <w:lang w:val="es-MX"/>
    </w:r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lJdFrREBTdLRZoexeqzYhcMNGw==">CgMxLjAyCGguZ2pkZ3hzMg5oLnA5c3g3Y3c4aW1vdjIJaC4zMGowemxsMgloLjFmb2I5dGUyCWguM3pueXNoNzIJaC4yZXQ5MnAwMgloLjF0M2g1c2YyDmguaDlsM2lxZTBmbzJpMgloLjRkMzRvZzgyCWguMnM4ZXlvMTIJaC4xN2RwOHZ1OAByITFWRHlhR0F0cExBN3duNllmUkVYbWhicmtGWTZ3RnF0LQ==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2301</Words>
  <Characters>12661</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14933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dc:creator>
  <cp:lastModifiedBy>Cuenta Microsoft</cp:lastModifiedBy>
  <cp:revision>5</cp:revision>
  <cp:lastPrinted>2026-02-27T16:14:00Z</cp:lastPrinted>
  <dcterms:created xsi:type="dcterms:W3CDTF">2026-02-17T17:19:00Z</dcterms:created>
  <dcterms:modified xsi:type="dcterms:W3CDTF">2026-03-04T17:15:00Z</dcterms:modified>
</cp:coreProperties>
</file>