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8BE" w:rsidRPr="00812DAC" w:rsidRDefault="00BB7E2E">
      <w:pPr>
        <w:tabs>
          <w:tab w:val="left" w:pos="3465"/>
        </w:tabs>
        <w:spacing w:line="360" w:lineRule="auto"/>
        <w:ind w:right="49"/>
        <w:jc w:val="both"/>
        <w:rPr>
          <w:rFonts w:ascii="Palatino Linotype" w:eastAsia="Palatino Linotype" w:hAnsi="Palatino Linotype" w:cs="Palatino Linotype"/>
          <w:b/>
        </w:rPr>
      </w:pPr>
      <w:r w:rsidRPr="00812DA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161E02" w:rsidRPr="00812DAC">
        <w:rPr>
          <w:rFonts w:ascii="Palatino Linotype" w:eastAsia="Palatino Linotype" w:hAnsi="Palatino Linotype" w:cs="Palatino Linotype"/>
        </w:rPr>
        <w:t xml:space="preserve"> Estado de México; </w:t>
      </w:r>
      <w:r w:rsidR="00161E02" w:rsidRPr="00812DAC">
        <w:rPr>
          <w:rFonts w:ascii="Palatino Linotype" w:eastAsia="Palatino Linotype" w:hAnsi="Palatino Linotype" w:cs="Palatino Linotype"/>
          <w:b/>
        </w:rPr>
        <w:t>de fecha diecinueve</w:t>
      </w:r>
      <w:r w:rsidR="00812DAC" w:rsidRPr="00812DAC">
        <w:rPr>
          <w:rFonts w:ascii="Palatino Linotype" w:eastAsia="Palatino Linotype" w:hAnsi="Palatino Linotype" w:cs="Palatino Linotype"/>
          <w:b/>
        </w:rPr>
        <w:t xml:space="preserve"> (19)</w:t>
      </w:r>
      <w:r w:rsidRPr="00812DAC">
        <w:rPr>
          <w:rFonts w:ascii="Palatino Linotype" w:eastAsia="Palatino Linotype" w:hAnsi="Palatino Linotype" w:cs="Palatino Linotype"/>
          <w:b/>
        </w:rPr>
        <w:t xml:space="preserve"> de marzo de dos mil veintiséis.</w:t>
      </w:r>
    </w:p>
    <w:p w:rsidR="005328BE" w:rsidRPr="00812DAC" w:rsidRDefault="005328BE">
      <w:pPr>
        <w:tabs>
          <w:tab w:val="left" w:pos="3465"/>
        </w:tabs>
        <w:spacing w:line="360" w:lineRule="auto"/>
        <w:ind w:right="49"/>
        <w:jc w:val="both"/>
        <w:rPr>
          <w:rFonts w:ascii="Palatino Linotype" w:eastAsia="Palatino Linotype" w:hAnsi="Palatino Linotype" w:cs="Palatino Linotype"/>
        </w:rPr>
      </w:pPr>
    </w:p>
    <w:p w:rsidR="005328BE" w:rsidRPr="00812DAC" w:rsidRDefault="00BB7E2E">
      <w:pPr>
        <w:spacing w:line="360" w:lineRule="auto"/>
        <w:ind w:right="49"/>
        <w:jc w:val="both"/>
        <w:rPr>
          <w:rFonts w:ascii="Palatino Linotype" w:eastAsia="Palatino Linotype" w:hAnsi="Palatino Linotype" w:cs="Palatino Linotype"/>
        </w:rPr>
      </w:pPr>
      <w:r w:rsidRPr="00812DAC">
        <w:rPr>
          <w:rFonts w:ascii="Palatino Linotype" w:eastAsia="Palatino Linotype" w:hAnsi="Palatino Linotype" w:cs="Palatino Linotype"/>
          <w:b/>
          <w:bCs/>
        </w:rPr>
        <w:t xml:space="preserve">VISTAS </w:t>
      </w:r>
      <w:r w:rsidRPr="00812DAC">
        <w:rPr>
          <w:rFonts w:ascii="Palatino Linotype" w:eastAsia="Palatino Linotype" w:hAnsi="Palatino Linotype" w:cs="Palatino Linotype"/>
        </w:rPr>
        <w:t xml:space="preserve">las constancias para resolver el Recurso de Revisión </w:t>
      </w:r>
      <w:r w:rsidRPr="00812DAC">
        <w:rPr>
          <w:rFonts w:ascii="Palatino Linotype" w:eastAsia="Palatino Linotype" w:hAnsi="Palatino Linotype" w:cs="Palatino Linotype"/>
          <w:b/>
          <w:bCs/>
        </w:rPr>
        <w:t>08193/INFOEM/IP/RR/2025,</w:t>
      </w:r>
      <w:r w:rsidRPr="00812DAC">
        <w:rPr>
          <w:rFonts w:ascii="Palatino Linotype" w:eastAsia="Palatino Linotype" w:hAnsi="Palatino Linotype" w:cs="Palatino Linotype"/>
        </w:rPr>
        <w:t xml:space="preserve"> presentado por </w:t>
      </w:r>
      <w:r w:rsidR="00863367">
        <w:rPr>
          <w:rFonts w:ascii="Palatino Linotype" w:eastAsia="Palatino Linotype" w:hAnsi="Palatino Linotype" w:cs="Palatino Linotype"/>
          <w:b/>
          <w:bCs/>
        </w:rPr>
        <w:t>XXXX</w:t>
      </w:r>
      <w:r w:rsidRPr="00812DAC">
        <w:rPr>
          <w:rFonts w:ascii="Palatino Linotype" w:eastAsia="Palatino Linotype" w:hAnsi="Palatino Linotype" w:cs="Palatino Linotype"/>
          <w:b/>
          <w:bCs/>
        </w:rPr>
        <w:t>,</w:t>
      </w:r>
      <w:r w:rsidRPr="00812DAC">
        <w:rPr>
          <w:rFonts w:ascii="Palatino Linotype" w:eastAsia="Palatino Linotype" w:hAnsi="Palatino Linotype" w:cs="Palatino Linotype"/>
        </w:rPr>
        <w:t xml:space="preserve"> a quien en lo sucesivo se denominará como </w:t>
      </w:r>
      <w:r w:rsidR="00161E02" w:rsidRPr="00812DAC">
        <w:rPr>
          <w:rFonts w:ascii="Palatino Linotype" w:eastAsia="Palatino Linotype" w:hAnsi="Palatino Linotype" w:cs="Palatino Linotype"/>
          <w:b/>
          <w:bCs/>
        </w:rPr>
        <w:t>LA</w:t>
      </w:r>
      <w:r w:rsidRPr="00812DAC">
        <w:rPr>
          <w:rFonts w:ascii="Palatino Linotype" w:eastAsia="Palatino Linotype" w:hAnsi="Palatino Linotype" w:cs="Palatino Linotype"/>
          <w:b/>
          <w:bCs/>
        </w:rPr>
        <w:t xml:space="preserve"> RECURRENTE</w:t>
      </w:r>
      <w:r w:rsidRPr="00812DAC">
        <w:rPr>
          <w:rFonts w:ascii="Palatino Linotype" w:eastAsia="Palatino Linotype" w:hAnsi="Palatino Linotype" w:cs="Palatino Linotype"/>
        </w:rPr>
        <w:t xml:space="preserve">, en contra de la respuesta otorgada a la Solicitud de Información </w:t>
      </w:r>
      <w:r w:rsidRPr="00812DAC">
        <w:rPr>
          <w:rFonts w:ascii="Palatino Linotype" w:eastAsia="Palatino Linotype" w:hAnsi="Palatino Linotype" w:cs="Palatino Linotype"/>
          <w:b/>
          <w:bCs/>
        </w:rPr>
        <w:t>00481/NAUCALPA/IP/2025</w:t>
      </w:r>
      <w:r w:rsidRPr="00812DAC">
        <w:rPr>
          <w:rFonts w:ascii="Palatino Linotype" w:eastAsia="Palatino Linotype" w:hAnsi="Palatino Linotype" w:cs="Palatino Linotype"/>
        </w:rPr>
        <w:t xml:space="preserve">, por parte del </w:t>
      </w:r>
      <w:r w:rsidRPr="00812DAC">
        <w:rPr>
          <w:rFonts w:ascii="Palatino Linotype" w:eastAsia="Palatino Linotype" w:hAnsi="Palatino Linotype" w:cs="Palatino Linotype"/>
          <w:b/>
          <w:bCs/>
        </w:rPr>
        <w:t xml:space="preserve">Ayuntamiento de Naucalpan de Juárez, </w:t>
      </w:r>
      <w:r w:rsidRPr="00812DAC">
        <w:rPr>
          <w:rFonts w:ascii="Palatino Linotype" w:eastAsia="Palatino Linotype" w:hAnsi="Palatino Linotype" w:cs="Palatino Linotype"/>
        </w:rPr>
        <w:t xml:space="preserve">en adelante </w:t>
      </w:r>
      <w:r w:rsidRPr="00812DAC">
        <w:rPr>
          <w:rFonts w:ascii="Palatino Linotype" w:eastAsia="Palatino Linotype" w:hAnsi="Palatino Linotype" w:cs="Palatino Linotype"/>
          <w:b/>
          <w:bCs/>
        </w:rPr>
        <w:t>EL SUJETO OBLIGADO,</w:t>
      </w:r>
      <w:r w:rsidRPr="00812DAC">
        <w:rPr>
          <w:rFonts w:ascii="Palatino Linotype" w:eastAsia="Palatino Linotype" w:hAnsi="Palatino Linotype" w:cs="Palatino Linotype"/>
        </w:rPr>
        <w:t xml:space="preserve"> se emite la presente Resolución con base en los siguientes:</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0" w:name="_heading=h.gjdgxs" w:colFirst="0" w:colLast="0"/>
      <w:bookmarkEnd w:id="0"/>
      <w:r w:rsidRPr="00812DAC">
        <w:rPr>
          <w:rFonts w:ascii="Palatino Linotype" w:eastAsia="Palatino Linotype" w:hAnsi="Palatino Linotype" w:cs="Palatino Linotype"/>
          <w:b/>
          <w:bCs/>
          <w:color w:val="000000"/>
          <w:sz w:val="24"/>
          <w:szCs w:val="24"/>
        </w:rPr>
        <w:t>A N T E C E D E N T E S</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5328BE" w:rsidRPr="00812DAC" w:rsidRDefault="00BB7E2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El día</w:t>
      </w:r>
      <w:r w:rsidRPr="00812DAC">
        <w:rPr>
          <w:rFonts w:ascii="Palatino Linotype" w:eastAsia="Palatino Linotype" w:hAnsi="Palatino Linotype" w:cs="Palatino Linotype"/>
          <w:b/>
          <w:bCs/>
          <w:color w:val="000000"/>
        </w:rPr>
        <w:t xml:space="preserve"> cinco de junio dos mil veinticinco</w:t>
      </w:r>
      <w:r w:rsidRPr="00812DAC">
        <w:rPr>
          <w:rFonts w:ascii="Palatino Linotype" w:eastAsia="Palatino Linotype" w:hAnsi="Palatino Linotype" w:cs="Palatino Linotype"/>
          <w:color w:val="000000"/>
        </w:rPr>
        <w:t>,</w:t>
      </w:r>
      <w:r w:rsidRPr="00812DAC">
        <w:rPr>
          <w:rFonts w:ascii="Palatino Linotype" w:eastAsia="Palatino Linotype" w:hAnsi="Palatino Linotype" w:cs="Palatino Linotype"/>
          <w:b/>
          <w:bCs/>
          <w:color w:val="000000"/>
        </w:rPr>
        <w:t xml:space="preserve"> </w:t>
      </w:r>
      <w:r w:rsidRPr="00812DAC">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328BE" w:rsidRPr="00812DAC" w:rsidRDefault="00BB7E2E">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r w:rsidRPr="00812DAC">
        <w:rPr>
          <w:rFonts w:ascii="Palatino Linotype" w:eastAsia="Palatino Linotype" w:hAnsi="Palatino Linotype" w:cs="Palatino Linotype"/>
          <w:i/>
          <w:iCs/>
          <w:color w:val="000000"/>
        </w:rPr>
        <w:t xml:space="preserve">“Solicito se me proporcione fotocopia legible del historial académico, profesional y laboral del Titular de Desarrollo Urbano (2022-2024), Lic. Cesáreo Hernández Santos, así como fotocopia legible de la licencia de Uso de Suelo y de Construcción otorgadas bajo la clave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 xml:space="preserve"> y el Acuerdo de Cabildo en donde se autorizó el Cambio de Uso del Suelo para el inmueble manejado bajo la clave ya indicada: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w:t>
      </w:r>
    </w:p>
    <w:p w:rsidR="005328BE" w:rsidRPr="00812DAC" w:rsidRDefault="005328BE">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p>
    <w:p w:rsidR="005328BE" w:rsidRPr="00812DAC" w:rsidRDefault="00BB7E2E" w:rsidP="00812DAC">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Se eligió como modalidad de entrega de la información: A través del </w:t>
      </w:r>
      <w:r w:rsidRPr="00812DAC">
        <w:rPr>
          <w:rFonts w:ascii="Palatino Linotype" w:eastAsia="Palatino Linotype" w:hAnsi="Palatino Linotype" w:cs="Palatino Linotype"/>
          <w:b/>
          <w:bCs/>
          <w:color w:val="000000"/>
        </w:rPr>
        <w:t>SAIMEX.</w:t>
      </w:r>
    </w:p>
    <w:p w:rsidR="005328BE" w:rsidRPr="00812DAC" w:rsidRDefault="005328BE">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 xml:space="preserve">once de junio de dos mil veinticinco, </w:t>
      </w: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SUJETO OBLIGADO</w:t>
      </w:r>
      <w:r w:rsidRPr="00812DAC">
        <w:rPr>
          <w:rFonts w:ascii="Palatino Linotype" w:eastAsia="Palatino Linotype" w:hAnsi="Palatino Linotype" w:cs="Palatino Linotype"/>
          <w:color w:val="000000"/>
        </w:rPr>
        <w:t xml:space="preserve"> realizó una solicitud de aclaración en los siguientes términos: </w:t>
      </w:r>
    </w:p>
    <w:p w:rsidR="005328BE" w:rsidRPr="00812DAC" w:rsidRDefault="00BB7E2E">
      <w:pPr>
        <w:pBdr>
          <w:top w:val="nil"/>
          <w:left w:val="nil"/>
          <w:bottom w:val="nil"/>
          <w:right w:val="nil"/>
          <w:between w:val="nil"/>
        </w:pBdr>
        <w:spacing w:line="360" w:lineRule="auto"/>
        <w:ind w:left="426" w:right="616"/>
        <w:jc w:val="both"/>
        <w:rPr>
          <w:rFonts w:ascii="Palatino Linotype" w:eastAsia="Palatino Linotype" w:hAnsi="Palatino Linotype" w:cs="Palatino Linotype"/>
          <w:i/>
          <w:iCs/>
          <w:color w:val="000000"/>
        </w:rPr>
      </w:pPr>
      <w:r w:rsidRPr="00812DAC">
        <w:rPr>
          <w:rFonts w:ascii="Palatino Linotype" w:eastAsia="Palatino Linotype" w:hAnsi="Palatino Linotype" w:cs="Palatino Linotype"/>
          <w:i/>
          <w:iCs/>
          <w:color w:val="000000"/>
        </w:rPr>
        <w:t xml:space="preserve">“En atención a su solicitud de información con número de folio 00481/NAUCALPA/IP/2025, relativa al Acuerdo de Cabildo mediante el cual se autorizó el cambio de uso de suelo del inmueble identificado con la clave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 a efecto de poder realizar una búsqueda adecuada y exhaustiva en los archivos correspondientes, se le solicita atentamente precisar el periodo o rango de fechas en el cual, a su conocimiento, pudo haberse aprobado dicho acuerdo.</w:t>
      </w:r>
    </w:p>
    <w:p w:rsidR="005328BE" w:rsidRPr="00812DAC" w:rsidRDefault="00BB7E2E">
      <w:pPr>
        <w:pBdr>
          <w:top w:val="nil"/>
          <w:left w:val="nil"/>
          <w:bottom w:val="nil"/>
          <w:right w:val="nil"/>
          <w:between w:val="nil"/>
        </w:pBdr>
        <w:spacing w:line="360" w:lineRule="auto"/>
        <w:ind w:left="426" w:right="616"/>
        <w:jc w:val="both"/>
        <w:rPr>
          <w:rFonts w:ascii="Palatino Linotype" w:eastAsia="Palatino Linotype" w:hAnsi="Palatino Linotype" w:cs="Palatino Linotype"/>
          <w:i/>
          <w:iCs/>
          <w:color w:val="000000"/>
        </w:rPr>
      </w:pPr>
      <w:r w:rsidRPr="00812DAC">
        <w:rPr>
          <w:rFonts w:ascii="Palatino Linotype" w:eastAsia="Palatino Linotype" w:hAnsi="Palatino Linotype" w:cs="Palatino Linotype"/>
          <w:i/>
          <w:iCs/>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328BE" w:rsidRPr="00812DAC" w:rsidRDefault="005328B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veintidós de junio de dos mil veinticinco</w:t>
      </w:r>
      <w:r w:rsidRPr="00812DAC">
        <w:rPr>
          <w:rFonts w:ascii="Palatino Linotype" w:eastAsia="Palatino Linotype" w:hAnsi="Palatino Linotype" w:cs="Palatino Linotype"/>
          <w:color w:val="000000"/>
        </w:rPr>
        <w:t>, el solicitante realizó la aclaración solicitada en los siguientes términos:</w:t>
      </w:r>
    </w:p>
    <w:p w:rsidR="005328BE" w:rsidRPr="00812DAC" w:rsidRDefault="00BB7E2E">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r w:rsidRPr="00812DAC">
        <w:rPr>
          <w:rFonts w:ascii="Palatino Linotype" w:eastAsia="Palatino Linotype" w:hAnsi="Palatino Linotype" w:cs="Palatino Linotype"/>
          <w:i/>
          <w:iCs/>
          <w:color w:val="000000"/>
        </w:rPr>
        <w:t>“DENTRO DEL REGLAMENTO PARA EL ORDENAMIENTO TERRITORIAL DE LOS ASENTAMIENTOS HUMANOS Y DESARROLLO URBANO DEL MUNICIPIO DE NAUCALPAN DE JUÁREZ (número 07) que aparece en la pagina del Ayuntamiento de Naucalpan de Juárez, el artículo 4, fracción VI señala que, corresponde al Ayuntamiento aprobar los Cambios de Uso de Suelo, de densidad e intensidad y altura de edificaciones. Así mismo, el artículo 62 del mismo Reglamento indica: "La determinación del Cambio de Uso de Suelo estará a cargo del Ayuntamiento quien mediante acuerdo fundado y motivado instruirá a la Dirección (Desarrollo Urbano) para la expedición del documento correspondiente. CON BASE EN LO YA COMENTADO, SOLICITO ME SEA”</w:t>
      </w:r>
    </w:p>
    <w:p w:rsidR="005328BE" w:rsidRPr="00812DAC" w:rsidRDefault="005328B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tres de julio de dos mil veinticinco</w:t>
      </w:r>
      <w:r w:rsidRPr="00812DAC">
        <w:rPr>
          <w:rFonts w:ascii="Palatino Linotype" w:eastAsia="Palatino Linotype" w:hAnsi="Palatino Linotype" w:cs="Palatino Linotype"/>
          <w:color w:val="000000"/>
        </w:rPr>
        <w:t xml:space="preserve">, el </w:t>
      </w:r>
      <w:r w:rsidRPr="00812DAC">
        <w:rPr>
          <w:rFonts w:ascii="Palatino Linotype" w:eastAsia="Palatino Linotype" w:hAnsi="Palatino Linotype" w:cs="Palatino Linotype"/>
          <w:b/>
          <w:bCs/>
          <w:color w:val="000000"/>
        </w:rPr>
        <w:t>SUJETO OBLIGADO,</w:t>
      </w:r>
      <w:r w:rsidRPr="00812DAC">
        <w:rPr>
          <w:rFonts w:ascii="Palatino Linotype" w:eastAsia="Palatino Linotype" w:hAnsi="Palatino Linotype" w:cs="Palatino Linotype"/>
          <w:color w:val="000000"/>
        </w:rPr>
        <w:t xml:space="preserve"> dio respuesta a través del a través del archivo denominado </w:t>
      </w:r>
      <w:r w:rsidRPr="00812DAC">
        <w:rPr>
          <w:rFonts w:ascii="Palatino Linotype" w:eastAsia="Palatino Linotype" w:hAnsi="Palatino Linotype" w:cs="Palatino Linotype"/>
          <w:b/>
          <w:bCs/>
          <w:i/>
          <w:iCs/>
          <w:color w:val="000000"/>
        </w:rPr>
        <w:t>Folio 841-2025.pdf, Solicitud 481.pdf, ST-00481-01072025.pdf y, 00481-NAUCALPA-IP-2025-RESPUESTA.pdf</w:t>
      </w:r>
      <w:r w:rsidRPr="00812DAC">
        <w:rPr>
          <w:rFonts w:ascii="Palatino Linotype" w:eastAsia="Palatino Linotype" w:hAnsi="Palatino Linotype" w:cs="Palatino Linotype"/>
          <w:color w:val="000000"/>
        </w:rPr>
        <w:t xml:space="preserve">, que contiene, un oficio suscrito por la Subdirectora de Recursos Humanos, mediante el cual remite adjunta la Ficha Curricular del servidor público referido en la solicitud de información; tres oficios suscritos por el Enlace de Transparencia de la </w:t>
      </w:r>
      <w:r w:rsidRPr="00812DAC">
        <w:rPr>
          <w:rFonts w:ascii="Palatino Linotype" w:eastAsia="Palatino Linotype" w:hAnsi="Palatino Linotype" w:cs="Palatino Linotype"/>
        </w:rPr>
        <w:t>Secretaría</w:t>
      </w:r>
      <w:r w:rsidRPr="00812DAC">
        <w:rPr>
          <w:rFonts w:ascii="Palatino Linotype" w:eastAsia="Palatino Linotype" w:hAnsi="Palatino Linotype" w:cs="Palatino Linotype"/>
          <w:color w:val="000000"/>
        </w:rPr>
        <w:t xml:space="preserve"> del Ayuntamiento, el Titular de la Dirección de Desarrollo Urbano y el Coordinador de la Unidad de Información, Planeación, Programación y Evaluación (UIPPE), mediante los cuales informan no haber localizado en dicha área información relacionada a la solicitada en dichas áreas.</w:t>
      </w:r>
    </w:p>
    <w:p w:rsidR="005328BE" w:rsidRPr="00812DAC" w:rsidRDefault="005328BE">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El</w:t>
      </w:r>
      <w:r w:rsidRPr="00812DAC">
        <w:rPr>
          <w:rFonts w:ascii="Palatino Linotype" w:eastAsia="Palatino Linotype" w:hAnsi="Palatino Linotype" w:cs="Palatino Linotype"/>
          <w:b/>
          <w:bCs/>
          <w:color w:val="000000"/>
        </w:rPr>
        <w:t xml:space="preserve"> cinco de julio dos mil veinticinco</w:t>
      </w:r>
      <w:r w:rsidRPr="00812DAC">
        <w:rPr>
          <w:rFonts w:ascii="Palatino Linotype" w:eastAsia="Palatino Linotype" w:hAnsi="Palatino Linotype" w:cs="Palatino Linotype"/>
          <w:color w:val="000000"/>
        </w:rPr>
        <w:t>, el particular interpuso el recurso de revisión en contra de la respuesta, realizando las siguientes manifestaciones:</w:t>
      </w:r>
    </w:p>
    <w:p w:rsidR="005328BE" w:rsidRPr="00812DAC" w:rsidRDefault="005328B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8"/>
        </w:numPr>
        <w:pBdr>
          <w:top w:val="nil"/>
          <w:left w:val="nil"/>
          <w:bottom w:val="nil"/>
          <w:right w:val="nil"/>
          <w:between w:val="nil"/>
        </w:pBdr>
        <w:spacing w:line="360" w:lineRule="auto"/>
        <w:ind w:right="474" w:hanging="358"/>
        <w:jc w:val="both"/>
        <w:rPr>
          <w:rFonts w:ascii="Palatino Linotype" w:eastAsia="Palatino Linotype" w:hAnsi="Palatino Linotype" w:cs="Palatino Linotype"/>
          <w:i/>
          <w:iCs/>
          <w:color w:val="000000"/>
        </w:rPr>
      </w:pPr>
      <w:bookmarkStart w:id="1" w:name="_heading=h.30j0zll" w:colFirst="0" w:colLast="0"/>
      <w:bookmarkEnd w:id="1"/>
      <w:r w:rsidRPr="00812DAC">
        <w:rPr>
          <w:rFonts w:ascii="Palatino Linotype" w:eastAsia="Palatino Linotype" w:hAnsi="Palatino Linotype" w:cs="Palatino Linotype"/>
          <w:b/>
          <w:bCs/>
          <w:color w:val="000000"/>
        </w:rPr>
        <w:t xml:space="preserve">ACTO IMPUGNADO: </w:t>
      </w:r>
      <w:r w:rsidRPr="00812DAC">
        <w:rPr>
          <w:rFonts w:ascii="Palatino Linotype" w:eastAsia="Palatino Linotype" w:hAnsi="Palatino Linotype" w:cs="Palatino Linotype"/>
          <w:i/>
          <w:iCs/>
          <w:color w:val="000000"/>
        </w:rPr>
        <w:t xml:space="preserve">“SE ME ESTÁ NEGANDO LA FOTOCOPIA LEGIBLE TANTO DE LA LICENCIA DE USO DE SUELO COMO DE LA LICENCIA DE CONSTRUCCIÓN CUYA REFERENCIA ES EXPEDIENTE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w:t>
      </w:r>
    </w:p>
    <w:p w:rsidR="005328BE" w:rsidRPr="00812DAC" w:rsidRDefault="005328BE">
      <w:pPr>
        <w:pBdr>
          <w:top w:val="nil"/>
          <w:left w:val="nil"/>
          <w:bottom w:val="nil"/>
          <w:right w:val="nil"/>
          <w:between w:val="nil"/>
        </w:pBdr>
        <w:spacing w:line="360" w:lineRule="auto"/>
        <w:ind w:right="474"/>
        <w:jc w:val="both"/>
        <w:rPr>
          <w:rFonts w:ascii="Palatino Linotype" w:eastAsia="Palatino Linotype" w:hAnsi="Palatino Linotype" w:cs="Palatino Linotype"/>
          <w:i/>
          <w:iCs/>
          <w:color w:val="000000"/>
        </w:rPr>
      </w:pPr>
    </w:p>
    <w:p w:rsidR="005328BE" w:rsidRPr="00812DAC" w:rsidRDefault="00BB7E2E">
      <w:pPr>
        <w:numPr>
          <w:ilvl w:val="0"/>
          <w:numId w:val="8"/>
        </w:numPr>
        <w:pBdr>
          <w:top w:val="nil"/>
          <w:left w:val="nil"/>
          <w:bottom w:val="nil"/>
          <w:right w:val="nil"/>
          <w:between w:val="nil"/>
        </w:pBdr>
        <w:spacing w:line="360" w:lineRule="auto"/>
        <w:ind w:right="474" w:hanging="358"/>
        <w:jc w:val="both"/>
        <w:rPr>
          <w:rFonts w:ascii="Palatino Linotype" w:eastAsia="Palatino Linotype" w:hAnsi="Palatino Linotype" w:cs="Palatino Linotype"/>
          <w:i/>
          <w:iCs/>
          <w:color w:val="000000"/>
        </w:rPr>
      </w:pPr>
      <w:bookmarkStart w:id="2" w:name="_heading=h.mtrx1v10kzz2" w:colFirst="0" w:colLast="0"/>
      <w:bookmarkEnd w:id="2"/>
      <w:r w:rsidRPr="00812DAC">
        <w:rPr>
          <w:rFonts w:ascii="Palatino Linotype" w:eastAsia="Palatino Linotype" w:hAnsi="Palatino Linotype" w:cs="Palatino Linotype"/>
          <w:b/>
          <w:bCs/>
          <w:color w:val="000000"/>
        </w:rPr>
        <w:t xml:space="preserve">RAZONES O MOTIVOS DE LA INCONFORMIDAD: </w:t>
      </w:r>
      <w:r w:rsidRPr="00812DAC">
        <w:rPr>
          <w:rFonts w:ascii="Palatino Linotype" w:eastAsia="Palatino Linotype" w:hAnsi="Palatino Linotype" w:cs="Palatino Linotype"/>
          <w:i/>
          <w:iCs/>
          <w:color w:val="000000"/>
        </w:rPr>
        <w:t xml:space="preserve">“EL QUE NO SE ME PROPORCIONES LA FOTOCOPIA LEGIBLE, TANTO DE LA LICENCIAS DE USO DE SUELO, COMO LA DE CONSTRUCCIÓN, AMBAS BAJO EL FOLIO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 xml:space="preserve">, DICIÉNDOME QUE DERIVADO DE UNA BÚSQUEDA EXHAUSTIVA Y RAZONADA EN LOS ARCHIVOS DE LA DIRECCIÓN DE DESARROLLO </w:t>
      </w:r>
      <w:r w:rsidRPr="00812DAC">
        <w:rPr>
          <w:rFonts w:ascii="Palatino Linotype" w:eastAsia="Palatino Linotype" w:hAnsi="Palatino Linotype" w:cs="Palatino Linotype"/>
          <w:i/>
          <w:iCs/>
          <w:color w:val="000000"/>
        </w:rPr>
        <w:lastRenderedPageBreak/>
        <w:t xml:space="preserve">URBANO, NO SE LOCALIZÓ NINGÚN ACUERDO DE CABILDO, LICENCIAS DE USO DEL SUELO Y DE CONSTRUCCIÓN REFERENTES AL </w:t>
      </w:r>
      <w:r w:rsidR="00863367">
        <w:rPr>
          <w:rFonts w:ascii="Palatino Linotype" w:eastAsia="Palatino Linotype" w:hAnsi="Palatino Linotype" w:cs="Palatino Linotype"/>
          <w:i/>
          <w:iCs/>
          <w:color w:val="000000"/>
        </w:rPr>
        <w:t>XXXX</w:t>
      </w:r>
      <w:r w:rsidRPr="00812DAC">
        <w:rPr>
          <w:rFonts w:ascii="Palatino Linotype" w:eastAsia="Palatino Linotype" w:hAnsi="Palatino Linotype" w:cs="Palatino Linotype"/>
          <w:i/>
          <w:iCs/>
          <w:color w:val="000000"/>
        </w:rPr>
        <w:t xml:space="preserve">. LA RAZÓN DE MI INCONFORMIDAD ESTRIBA DE QUE ESTE ASUNTO DATA DEL AÑO 2018 Y SÓLO HAY CONSTRUIDOS DOS DE TRES EDIFICIOS DE CINCO PISOS, EN DONDE LA AUTORIDAD QUE DIRIGIÓ LA DIRECCIÓN GENERAL DE DESARROLLO URBANO DEL AYUNTAMIENTO DE NAUCALPAN, CUYO TITULAR LOS FUE EL ARQ. JESÚS RICARDO SALMÓN HERNÁNDEZ PROMOVIÓ ESTE Y MUCHOS ASUNTOS MÁS ANTE LA COMISIÓN DE PLANEACIÓN PARA EL DESARROLLO MUNICIPAL DEL AYUNTAMIENTO DE NAUCALPAN DE JUÁREZ, MÉXICO Y ESTANDO EN 2025, LA OBRA NO ESTÁ CONCLUIDA EN SU TOTALIDAD, RAZÓN POR LA CUAL CONSIDERO QUE EXISTE UN EXPEDIENTE EN TRÁMITE Y LOS DOCUMENTOS QUE ESTOY SOLICITANDO DEBEN FORMAR PARTE DE LA DOCUMENTACIÓN CONTENIDA EN DICHO EXPEDIENTE, PARA LO CUAL PROPORCIONO LA RAZÓN SOCIAL DEL ACTUAL PROPIETARIO "RESIDENCIAL 6 VEINTICUATRO, S.A. DE C.V.", CONTRIBUYENTE DE LA TESORERÍA MUNICIPAL. POR LO TANTO LOS DOCUMENTOS: LICENCIA DE CAMBIO DE USO DE SUELO Y DE CONSTRUCCIÓN DEL PREDIO DONDE SE LLEVA A CABO DICHA OBRA, SON DOCUMENTOS PÚBLICOS, QUE AÚN CUANDO CONTENGAN INFORMACIÓN CONFIDENCIAL, SE ME DEBEN PROPORCIONAR EN VERSIÓN PÚBLICA. Y NO ASEGURAR QUE LOS MISMOS NO SE LOCALIZARON, DADO QUE ME ESTOY REFIRIENDO A UNA OBRA QUE NO ESTÁ TOTALMENTE TERMINADA Y CUYOS ANTECEDENTES DEBEN EXISTIR. MANTENGO MI CONFIANZA EN EL ACTUAL GOBIERNO </w:t>
      </w:r>
      <w:r w:rsidRPr="00812DAC">
        <w:rPr>
          <w:rFonts w:ascii="Palatino Linotype" w:eastAsia="Palatino Linotype" w:hAnsi="Palatino Linotype" w:cs="Palatino Linotype"/>
          <w:i/>
          <w:iCs/>
          <w:color w:val="000000"/>
        </w:rPr>
        <w:lastRenderedPageBreak/>
        <w:t xml:space="preserve">MUNICIPAL Y EN LOS SERVIDORES PÚBLICOS QUE COLABORAN EN EL MISMO. </w:t>
      </w:r>
      <w:r w:rsidRPr="00812DAC">
        <w:rPr>
          <w:rFonts w:ascii="Palatino Linotype" w:eastAsia="Palatino Linotype" w:hAnsi="Palatino Linotype" w:cs="Palatino Linotype"/>
          <w:b/>
          <w:bCs/>
          <w:i/>
          <w:iCs/>
          <w:color w:val="000000"/>
        </w:rPr>
        <w:t>ESTE ASUNTO INCUMBE DE MANERA EXCLUSIVA A LAS AUTORIDADES QUE MANEJAN LO RELACIONADO CON EL DESARROLLO URBANO</w:t>
      </w:r>
      <w:r w:rsidRPr="00812DAC">
        <w:rPr>
          <w:rFonts w:ascii="Palatino Linotype" w:eastAsia="Palatino Linotype" w:hAnsi="Palatino Linotype" w:cs="Palatino Linotype"/>
          <w:i/>
          <w:iCs/>
          <w:color w:val="000000"/>
        </w:rPr>
        <w:t xml:space="preserve">.” </w:t>
      </w:r>
      <w:r w:rsidRPr="00812DAC">
        <w:rPr>
          <w:rFonts w:ascii="Palatino Linotype" w:eastAsia="Palatino Linotype" w:hAnsi="Palatino Linotype" w:cs="Palatino Linotype"/>
          <w:color w:val="000000"/>
        </w:rPr>
        <w:t>Énfasis propio</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Con fundamento en lo dispuesto por el artículo 185 fracción II de la ley de la materia, se acordó a las partes a efecto de que en u</w:t>
      </w:r>
      <w:r w:rsidR="00161E02" w:rsidRPr="00812DAC">
        <w:rPr>
          <w:rFonts w:ascii="Palatino Linotype" w:eastAsia="Palatino Linotype" w:hAnsi="Palatino Linotype" w:cs="Palatino Linotype"/>
          <w:color w:val="000000"/>
        </w:rPr>
        <w:t>n plazo máximo de siete días, la</w:t>
      </w:r>
      <w:r w:rsidRPr="00812DAC">
        <w:rPr>
          <w:rFonts w:ascii="Palatino Linotype" w:eastAsia="Palatino Linotype" w:hAnsi="Palatino Linotype" w:cs="Palatino Linotype"/>
          <w:color w:val="000000"/>
        </w:rPr>
        <w:t xml:space="preserve"> Recurrente </w:t>
      </w:r>
      <w:r w:rsidRPr="00812DAC">
        <w:rPr>
          <w:rFonts w:ascii="Palatino Linotype" w:eastAsia="Palatino Linotype" w:hAnsi="Palatino Linotype" w:cs="Palatino Linotype"/>
        </w:rPr>
        <w:t>manifestara</w:t>
      </w:r>
      <w:r w:rsidRPr="00812DAC">
        <w:rPr>
          <w:rFonts w:ascii="Palatino Linotype" w:eastAsia="Palatino Linotype" w:hAnsi="Palatino Linotype" w:cs="Palatino Linotype"/>
          <w:color w:val="000000"/>
        </w:rPr>
        <w:t xml:space="preserve"> lo que a su derecho conviniera, </w:t>
      </w:r>
      <w:r w:rsidRPr="00812DAC">
        <w:rPr>
          <w:rFonts w:ascii="Palatino Linotype" w:eastAsia="Palatino Linotype" w:hAnsi="Palatino Linotype" w:cs="Palatino Linotype"/>
        </w:rPr>
        <w:t>ofreciera</w:t>
      </w:r>
      <w:r w:rsidRPr="00812DAC">
        <w:rPr>
          <w:rFonts w:ascii="Palatino Linotype" w:eastAsia="Palatino Linotype" w:hAnsi="Palatino Linotype" w:cs="Palatino Linotype"/>
          <w:color w:val="000000"/>
        </w:rPr>
        <w:t xml:space="preserve"> pruebas y alegatos, y el Sujeto Obligado presentará el Informe Justificado. </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SUJETO OBLIGADO</w:t>
      </w:r>
      <w:r w:rsidRPr="00812DAC">
        <w:rPr>
          <w:rFonts w:ascii="Palatino Linotype" w:eastAsia="Palatino Linotype" w:hAnsi="Palatino Linotype" w:cs="Palatino Linotype"/>
          <w:color w:val="000000"/>
        </w:rPr>
        <w:t xml:space="preserve"> fue omiso en rendir el informe justificado </w:t>
      </w:r>
      <w:r w:rsidR="00161E02" w:rsidRPr="00812DAC">
        <w:rPr>
          <w:rFonts w:ascii="Palatino Linotype" w:eastAsia="Palatino Linotype" w:hAnsi="Palatino Linotype" w:cs="Palatino Linotype"/>
          <w:color w:val="000000"/>
        </w:rPr>
        <w:t xml:space="preserve">correspondiente. Por su parte </w:t>
      </w:r>
      <w:r w:rsidR="00812DAC" w:rsidRPr="00812DAC">
        <w:rPr>
          <w:rFonts w:ascii="Palatino Linotype" w:eastAsia="Palatino Linotype" w:hAnsi="Palatino Linotype" w:cs="Palatino Linotype"/>
          <w:color w:val="000000"/>
        </w:rPr>
        <w:t>el</w:t>
      </w:r>
      <w:r w:rsidRPr="00812DAC">
        <w:rPr>
          <w:rFonts w:ascii="Palatino Linotype" w:eastAsia="Palatino Linotype" w:hAnsi="Palatino Linotype" w:cs="Palatino Linotype"/>
          <w:color w:val="000000"/>
        </w:rPr>
        <w:t xml:space="preserve"> hoy </w:t>
      </w:r>
      <w:r w:rsidRPr="00812DAC">
        <w:rPr>
          <w:rFonts w:ascii="Palatino Linotype" w:eastAsia="Palatino Linotype" w:hAnsi="Palatino Linotype" w:cs="Palatino Linotype"/>
          <w:b/>
          <w:bCs/>
          <w:color w:val="000000"/>
        </w:rPr>
        <w:t>RECURRENTE</w:t>
      </w:r>
      <w:r w:rsidRPr="00812DAC">
        <w:rPr>
          <w:rFonts w:ascii="Palatino Linotype" w:eastAsia="Palatino Linotype" w:hAnsi="Palatino Linotype" w:cs="Palatino Linotype"/>
          <w:color w:val="000000"/>
        </w:rPr>
        <w:t xml:space="preserve"> fue omiso en realizar manifestaciones que a su derecho conviniera y asistiera.</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once de marzo del año en curso</w:t>
      </w:r>
      <w:r w:rsidRPr="00812DAC">
        <w:rPr>
          <w:rFonts w:ascii="Palatino Linotype" w:eastAsia="Palatino Linotype" w:hAnsi="Palatino Linotype" w:cs="Palatino Linotype"/>
          <w:color w:val="000000"/>
        </w:rPr>
        <w:t xml:space="preserve">, se amplió el término para resolver el Recurso de Revisión por un periodo de quince días hábiles adicionales al lapso ordinario. Al respecto 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Seguidamente, mediante Acuerdo de misma fecha, </w:t>
      </w:r>
      <w:r w:rsidRPr="00812DAC">
        <w:rPr>
          <w:rFonts w:ascii="Palatino Linotype" w:eastAsia="Palatino Linotype" w:hAnsi="Palatino Linotype" w:cs="Palatino Linotype"/>
        </w:rPr>
        <w:t xml:space="preserve">la Comisionada Ponente dictó el cierre del periodo de </w:t>
      </w:r>
      <w:r w:rsidRPr="00812DAC">
        <w:rPr>
          <w:rFonts w:ascii="Palatino Linotype" w:eastAsia="Palatino Linotype" w:hAnsi="Palatino Linotype" w:cs="Palatino Linotype"/>
          <w:color w:val="000000"/>
        </w:rPr>
        <w:t>instrucción</w:t>
      </w:r>
      <w:r w:rsidRPr="00812DAC">
        <w:rPr>
          <w:rFonts w:ascii="Palatino Linotype" w:eastAsia="Palatino Linotype" w:hAnsi="Palatino Linotype" w:cs="Palatino Linotype"/>
        </w:rPr>
        <w:t xml:space="preserve"> y, ordenó la resolución que conforme a Derecho proceda, de acuerdo a las siguientes:</w:t>
      </w:r>
    </w:p>
    <w:p w:rsidR="005328BE" w:rsidRPr="00812DAC" w:rsidRDefault="005328BE">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rsidR="005328BE" w:rsidRPr="00812DAC" w:rsidRDefault="00BB7E2E">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812DAC">
        <w:rPr>
          <w:rFonts w:ascii="Palatino Linotype" w:eastAsia="Palatino Linotype" w:hAnsi="Palatino Linotype" w:cs="Palatino Linotype"/>
          <w:b/>
          <w:bCs/>
          <w:color w:val="000000"/>
        </w:rPr>
        <w:lastRenderedPageBreak/>
        <w:t>C O N S I D E R A C I O N E S</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p>
    <w:p w:rsidR="005328BE" w:rsidRPr="00812DAC" w:rsidRDefault="00BB7E2E">
      <w:pPr>
        <w:pStyle w:val="Ttulo2"/>
        <w:spacing w:before="0" w:line="360" w:lineRule="auto"/>
        <w:ind w:right="49"/>
        <w:jc w:val="both"/>
        <w:rPr>
          <w:rFonts w:ascii="Palatino Linotype" w:eastAsia="Palatino Linotype" w:hAnsi="Palatino Linotype" w:cs="Palatino Linotype"/>
          <w:b/>
          <w:bCs/>
          <w:color w:val="000000"/>
          <w:sz w:val="24"/>
          <w:szCs w:val="24"/>
        </w:rPr>
      </w:pPr>
      <w:bookmarkStart w:id="3" w:name="_heading=h.3znysh7" w:colFirst="0" w:colLast="0"/>
      <w:bookmarkEnd w:id="3"/>
      <w:r w:rsidRPr="00812DAC">
        <w:rPr>
          <w:rFonts w:ascii="Palatino Linotype" w:eastAsia="Palatino Linotype" w:hAnsi="Palatino Linotype" w:cs="Palatino Linotype"/>
          <w:b/>
          <w:bCs/>
          <w:color w:val="000000"/>
          <w:sz w:val="24"/>
          <w:szCs w:val="24"/>
        </w:rPr>
        <w:t>PRIMERA. Competencia</w:t>
      </w: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328BE" w:rsidRPr="00812DAC" w:rsidRDefault="00BB7E2E">
      <w:pPr>
        <w:pStyle w:val="Ttulo2"/>
        <w:spacing w:before="0" w:line="360" w:lineRule="auto"/>
        <w:ind w:right="49"/>
        <w:jc w:val="both"/>
        <w:rPr>
          <w:rFonts w:ascii="Palatino Linotype" w:eastAsia="Palatino Linotype" w:hAnsi="Palatino Linotype" w:cs="Palatino Linotype"/>
          <w:b/>
          <w:bCs/>
          <w:color w:val="000000"/>
          <w:sz w:val="24"/>
          <w:szCs w:val="24"/>
        </w:rPr>
      </w:pPr>
      <w:bookmarkStart w:id="4" w:name="_heading=h.2et92p0" w:colFirst="0" w:colLast="0"/>
      <w:bookmarkEnd w:id="4"/>
      <w:r w:rsidRPr="00812DAC">
        <w:rPr>
          <w:rFonts w:ascii="Palatino Linotype" w:eastAsia="Palatino Linotype" w:hAnsi="Palatino Linotype" w:cs="Palatino Linotype"/>
          <w:b/>
          <w:bCs/>
          <w:color w:val="000000"/>
          <w:sz w:val="24"/>
          <w:szCs w:val="24"/>
        </w:rPr>
        <w:t>SEGUNDA. Procedencia.</w:t>
      </w: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Este Órgano Garante considera que el medio de impugnación reúne los requisitos de </w:t>
      </w:r>
      <w:r w:rsidRPr="00812DAC">
        <w:rPr>
          <w:rFonts w:ascii="Palatino Linotype" w:eastAsia="Palatino Linotype" w:hAnsi="Palatino Linotype" w:cs="Palatino Linotype"/>
          <w:color w:val="000000"/>
        </w:rPr>
        <w:t>procedencia</w:t>
      </w:r>
      <w:r w:rsidRPr="00812DAC">
        <w:rPr>
          <w:rFonts w:ascii="Palatino Linotype" w:eastAsia="Palatino Linotype" w:hAnsi="Palatino Linotype" w:cs="Palatino Linotype"/>
        </w:rPr>
        <w:t xml:space="preserve"> </w:t>
      </w:r>
      <w:r w:rsidRPr="00812DAC">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w:t>
      </w:r>
      <w:r w:rsidR="00161E02" w:rsidRPr="00812DAC">
        <w:rPr>
          <w:rFonts w:ascii="Palatino Linotype" w:eastAsia="Palatino Linotype" w:hAnsi="Palatino Linotype" w:cs="Palatino Linotype"/>
          <w:color w:val="000000"/>
        </w:rPr>
        <w:t>dio de defensa presentado por la</w:t>
      </w:r>
      <w:r w:rsidRPr="00812DAC">
        <w:rPr>
          <w:rFonts w:ascii="Palatino Linotype" w:eastAsia="Palatino Linotype" w:hAnsi="Palatino Linotype" w:cs="Palatino Linotype"/>
          <w:color w:val="000000"/>
        </w:rPr>
        <w:t xml:space="preserve"> Recurrente ante otra instancia.</w:t>
      </w:r>
    </w:p>
    <w:p w:rsidR="005328BE" w:rsidRPr="00812DAC" w:rsidRDefault="005328BE">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5328BE" w:rsidRPr="00812DAC" w:rsidRDefault="005328BE">
      <w:pPr>
        <w:pBdr>
          <w:top w:val="nil"/>
          <w:left w:val="nil"/>
          <w:bottom w:val="nil"/>
          <w:right w:val="nil"/>
          <w:between w:val="nil"/>
        </w:pBdr>
        <w:spacing w:line="360" w:lineRule="auto"/>
        <w:ind w:left="502" w:right="49"/>
        <w:jc w:val="both"/>
        <w:rPr>
          <w:rFonts w:ascii="Palatino Linotype" w:eastAsia="Palatino Linotype" w:hAnsi="Palatino Linotype" w:cs="Palatino Linotype"/>
        </w:rPr>
      </w:pPr>
    </w:p>
    <w:p w:rsidR="005328BE" w:rsidRPr="00812DAC" w:rsidRDefault="00BB7E2E">
      <w:pPr>
        <w:pStyle w:val="Ttulo1"/>
        <w:spacing w:before="0" w:line="360" w:lineRule="auto"/>
        <w:ind w:right="49"/>
        <w:jc w:val="both"/>
        <w:rPr>
          <w:rFonts w:ascii="Palatino Linotype" w:eastAsia="Palatino Linotype" w:hAnsi="Palatino Linotype" w:cs="Palatino Linotype"/>
          <w:b/>
          <w:bCs/>
          <w:color w:val="000000"/>
          <w:sz w:val="24"/>
          <w:szCs w:val="24"/>
        </w:rPr>
      </w:pPr>
      <w:bookmarkStart w:id="5" w:name="_heading=h.tyjcwt" w:colFirst="0" w:colLast="0"/>
      <w:bookmarkEnd w:id="5"/>
      <w:r w:rsidRPr="00812DAC">
        <w:rPr>
          <w:rFonts w:ascii="Palatino Linotype" w:eastAsia="Palatino Linotype" w:hAnsi="Palatino Linotype" w:cs="Palatino Linotype"/>
          <w:b/>
          <w:bCs/>
          <w:color w:val="000000"/>
          <w:sz w:val="24"/>
          <w:szCs w:val="24"/>
        </w:rPr>
        <w:lastRenderedPageBreak/>
        <w:t xml:space="preserve">TERCERA. Del planteamiento de la </w:t>
      </w:r>
      <w:r w:rsidRPr="00812DAC">
        <w:rPr>
          <w:rFonts w:ascii="Palatino Linotype" w:eastAsia="Palatino Linotype" w:hAnsi="Palatino Linotype" w:cs="Palatino Linotype"/>
          <w:b/>
          <w:bCs/>
          <w:i/>
          <w:iCs/>
          <w:color w:val="000000"/>
          <w:sz w:val="24"/>
          <w:szCs w:val="24"/>
        </w:rPr>
        <w:t>Litis</w:t>
      </w:r>
    </w:p>
    <w:p w:rsidR="005328BE" w:rsidRPr="00812DAC" w:rsidRDefault="00BB7E2E">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Se solicitó tener acceso, a la información que a continuación se desagrega:</w:t>
      </w:r>
    </w:p>
    <w:p w:rsidR="005328BE" w:rsidRPr="00812DAC" w:rsidRDefault="00BB7E2E">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bCs/>
          <w:color w:val="000000"/>
        </w:rPr>
      </w:pPr>
      <w:r w:rsidRPr="00812DAC">
        <w:rPr>
          <w:rFonts w:ascii="Palatino Linotype" w:eastAsia="Palatino Linotype" w:hAnsi="Palatino Linotype" w:cs="Palatino Linotype"/>
          <w:color w:val="000000"/>
        </w:rPr>
        <w:t>Historial académico, profesional y laboral del Titular de Desarrollo Urbano (2022-2024); y</w:t>
      </w:r>
    </w:p>
    <w:p w:rsidR="005328BE" w:rsidRPr="00812DAC" w:rsidRDefault="00BB7E2E">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bCs/>
          <w:color w:val="000000"/>
        </w:rPr>
      </w:pPr>
      <w:r w:rsidRPr="00812DAC">
        <w:rPr>
          <w:rFonts w:ascii="Palatino Linotype" w:eastAsia="Palatino Linotype" w:hAnsi="Palatino Linotype" w:cs="Palatino Linotype"/>
          <w:color w:val="000000"/>
        </w:rPr>
        <w:t xml:space="preserve">Licencia de Uso de Suelo y de Construcción otorgadas bajo la clave </w:t>
      </w:r>
      <w:r w:rsidR="00863367">
        <w:rPr>
          <w:rFonts w:ascii="Palatino Linotype" w:eastAsia="Palatino Linotype" w:hAnsi="Palatino Linotype" w:cs="Palatino Linotype"/>
          <w:color w:val="000000"/>
        </w:rPr>
        <w:t>XXXX</w:t>
      </w:r>
      <w:r w:rsidRPr="00812DAC">
        <w:rPr>
          <w:rFonts w:ascii="Palatino Linotype" w:eastAsia="Palatino Linotype" w:hAnsi="Palatino Linotype" w:cs="Palatino Linotype"/>
          <w:color w:val="000000"/>
        </w:rPr>
        <w:t xml:space="preserve"> y el Acuerdo de Cabildo en donde se autorizó el Cambio de Uso del Suelo para el inmueble de referencia.</w:t>
      </w:r>
    </w:p>
    <w:p w:rsidR="005328BE" w:rsidRPr="00812DAC" w:rsidRDefault="005328BE">
      <w:pPr>
        <w:pBdr>
          <w:top w:val="nil"/>
          <w:left w:val="nil"/>
          <w:bottom w:val="nil"/>
          <w:right w:val="nil"/>
          <w:between w:val="nil"/>
        </w:pBdr>
        <w:spacing w:line="360" w:lineRule="auto"/>
        <w:ind w:left="1068" w:right="616"/>
        <w:jc w:val="both"/>
        <w:rPr>
          <w:rFonts w:ascii="Palatino Linotype" w:eastAsia="Palatino Linotype" w:hAnsi="Palatino Linotype" w:cs="Palatino Linotype"/>
          <w:b/>
          <w:bCs/>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rPr>
        <w:t xml:space="preserve">En respuesta, el </w:t>
      </w:r>
      <w:r w:rsidRPr="00812DAC">
        <w:rPr>
          <w:rFonts w:ascii="Palatino Linotype" w:eastAsia="Palatino Linotype" w:hAnsi="Palatino Linotype" w:cs="Palatino Linotype"/>
          <w:b/>
          <w:bCs/>
        </w:rPr>
        <w:t xml:space="preserve">SUJETO OBLIGADO </w:t>
      </w:r>
      <w:r w:rsidRPr="00812DAC">
        <w:rPr>
          <w:rFonts w:ascii="Palatino Linotype" w:eastAsia="Palatino Linotype" w:hAnsi="Palatino Linotype" w:cs="Palatino Linotype"/>
        </w:rPr>
        <w:t>contestó mediante los archivos descritos en el Párrafo 2. Inconforme con la respuesta, se interpuso recurso de revisión argumentando de manera general, la negativa a la entrega de información.</w:t>
      </w:r>
    </w:p>
    <w:p w:rsidR="005328BE" w:rsidRPr="00812DAC" w:rsidRDefault="005328BE">
      <w:pPr>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En dichas condiciones, la controversia a resolver en el presente proveído, corresponde a determinar si se actualizan las causales de procedencia previstas en los artículos 179, fracción I</w:t>
      </w:r>
      <w:r w:rsidRPr="00812DAC">
        <w:rPr>
          <w:rFonts w:ascii="Palatino Linotype" w:eastAsia="Palatino Linotype" w:hAnsi="Palatino Linotype" w:cs="Palatino Linotype"/>
          <w:b/>
          <w:bCs/>
        </w:rPr>
        <w:t xml:space="preserve"> </w:t>
      </w:r>
      <w:r w:rsidRPr="00812DAC">
        <w:rPr>
          <w:rFonts w:ascii="Palatino Linotype" w:eastAsia="Palatino Linotype" w:hAnsi="Palatino Linotype" w:cs="Palatino Linotype"/>
        </w:rPr>
        <w:t>de la Ley de Transparencia y Acceso a la Información Pública del Estado de</w:t>
      </w:r>
      <w:r w:rsidRPr="00812DAC">
        <w:rPr>
          <w:rFonts w:ascii="Palatino Linotype" w:eastAsia="Palatino Linotype" w:hAnsi="Palatino Linotype" w:cs="Palatino Linotype"/>
          <w:b/>
          <w:bCs/>
        </w:rPr>
        <w:t xml:space="preserve"> </w:t>
      </w:r>
      <w:r w:rsidRPr="00812DAC">
        <w:rPr>
          <w:rFonts w:ascii="Palatino Linotype" w:eastAsia="Palatino Linotype" w:hAnsi="Palatino Linotype" w:cs="Palatino Linotype"/>
        </w:rPr>
        <w:t>México</w:t>
      </w:r>
      <w:r w:rsidRPr="00812DAC">
        <w:rPr>
          <w:rFonts w:ascii="Palatino Linotype" w:eastAsia="Palatino Linotype" w:hAnsi="Palatino Linotype" w:cs="Palatino Linotype"/>
          <w:b/>
          <w:bCs/>
        </w:rPr>
        <w:t xml:space="preserve"> </w:t>
      </w:r>
      <w:r w:rsidRPr="00812DAC">
        <w:rPr>
          <w:rFonts w:ascii="Palatino Linotype" w:eastAsia="Palatino Linotype" w:hAnsi="Palatino Linotype" w:cs="Palatino Linotype"/>
        </w:rPr>
        <w:t>y</w:t>
      </w:r>
      <w:r w:rsidRPr="00812DAC">
        <w:rPr>
          <w:rFonts w:ascii="Palatino Linotype" w:eastAsia="Palatino Linotype" w:hAnsi="Palatino Linotype" w:cs="Palatino Linotype"/>
          <w:b/>
          <w:bCs/>
        </w:rPr>
        <w:t xml:space="preserve"> </w:t>
      </w:r>
      <w:r w:rsidRPr="00812DAC">
        <w:rPr>
          <w:rFonts w:ascii="Palatino Linotype" w:eastAsia="Palatino Linotype" w:hAnsi="Palatino Linotype" w:cs="Palatino Linotype"/>
        </w:rPr>
        <w:t xml:space="preserve">Municipios; </w:t>
      </w:r>
      <w:r w:rsidRPr="00812DAC">
        <w:rPr>
          <w:rFonts w:ascii="Palatino Linotype" w:eastAsia="Palatino Linotype" w:hAnsi="Palatino Linotype" w:cs="Palatino Linotype"/>
          <w:color w:val="000000"/>
        </w:rPr>
        <w:t>fracciones que determinan la negativa a la entrega de la información solicitada</w:t>
      </w:r>
      <w:r w:rsidRPr="00812DAC">
        <w:rPr>
          <w:rFonts w:ascii="Palatino Linotype" w:eastAsia="Palatino Linotype" w:hAnsi="Palatino Linotype" w:cs="Palatino Linotype"/>
        </w:rPr>
        <w:t>.</w:t>
      </w:r>
      <w:r w:rsidRPr="00812DAC">
        <w:rPr>
          <w:rFonts w:ascii="Palatino Linotype" w:eastAsia="Palatino Linotype" w:hAnsi="Palatino Linotype" w:cs="Palatino Linotype"/>
          <w:color w:val="000000"/>
        </w:rPr>
        <w:t xml:space="preserve"> De modo tal que el presente Recurso de Revisión se </w:t>
      </w:r>
      <w:r w:rsidRPr="00812DAC">
        <w:rPr>
          <w:rFonts w:ascii="Palatino Linotype" w:eastAsia="Palatino Linotype" w:hAnsi="Palatino Linotype" w:cs="Palatino Linotype"/>
        </w:rPr>
        <w:t>abocará</w:t>
      </w:r>
      <w:r w:rsidRPr="00812DAC">
        <w:rPr>
          <w:rFonts w:ascii="Palatino Linotype" w:eastAsia="Palatino Linotype" w:hAnsi="Palatino Linotype" w:cs="Palatino Linotype"/>
          <w:color w:val="000000"/>
        </w:rPr>
        <w:t xml:space="preserve"> en determinar si el Sujeto Obligado con su respuesta ciertamente actualizan las causales de procedencia</w:t>
      </w:r>
      <w:r w:rsidRPr="00812DAC">
        <w:rPr>
          <w:rFonts w:ascii="Palatino Linotype" w:eastAsia="Palatino Linotype" w:hAnsi="Palatino Linotype" w:cs="Palatino Linotype"/>
          <w:b/>
          <w:bCs/>
          <w:color w:val="000000"/>
        </w:rPr>
        <w:t xml:space="preserve"> </w:t>
      </w:r>
      <w:r w:rsidRPr="00812DAC">
        <w:rPr>
          <w:rFonts w:ascii="Palatino Linotype" w:eastAsia="Palatino Linotype" w:hAnsi="Palatino Linotype" w:cs="Palatino Linotype"/>
          <w:color w:val="000000"/>
        </w:rPr>
        <w:t>señaladas.</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pStyle w:val="Ttulo1"/>
        <w:spacing w:before="0" w:line="360" w:lineRule="auto"/>
        <w:ind w:right="49"/>
        <w:jc w:val="both"/>
        <w:rPr>
          <w:rFonts w:ascii="Palatino Linotype" w:eastAsia="Palatino Linotype" w:hAnsi="Palatino Linotype" w:cs="Palatino Linotype"/>
          <w:b/>
          <w:bCs/>
          <w:color w:val="000000"/>
          <w:sz w:val="24"/>
          <w:szCs w:val="24"/>
        </w:rPr>
      </w:pPr>
      <w:r w:rsidRPr="00812DAC">
        <w:rPr>
          <w:rFonts w:ascii="Palatino Linotype" w:eastAsia="Palatino Linotype" w:hAnsi="Palatino Linotype" w:cs="Palatino Linotype"/>
          <w:b/>
          <w:bCs/>
          <w:color w:val="000000"/>
          <w:sz w:val="24"/>
          <w:szCs w:val="24"/>
        </w:rPr>
        <w:t>CUARTO. Estudio y resolución</w:t>
      </w: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bookmarkStart w:id="6" w:name="_heading=h.3dy6vkm" w:colFirst="0" w:colLast="0"/>
      <w:bookmarkEnd w:id="6"/>
      <w:r w:rsidRPr="00812DAC">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w:t>
      </w:r>
      <w:r w:rsidRPr="00812DAC">
        <w:rPr>
          <w:rFonts w:ascii="Palatino Linotype" w:eastAsia="Palatino Linotype" w:hAnsi="Palatino Linotype" w:cs="Palatino Linotype"/>
        </w:rPr>
        <w:lastRenderedPageBreak/>
        <w:t>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328BE" w:rsidRPr="00812DAC" w:rsidRDefault="005328B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5328BE" w:rsidRPr="00812DAC" w:rsidRDefault="005328BE">
      <w:pPr>
        <w:pBdr>
          <w:top w:val="nil"/>
          <w:left w:val="nil"/>
          <w:bottom w:val="nil"/>
          <w:right w:val="nil"/>
          <w:between w:val="nil"/>
        </w:pBdr>
        <w:ind w:left="720"/>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lastRenderedPageBreak/>
        <w:t>Acotado lo anterior, es dable primeramente traer a contexto la aclaración transcrita en el anterior Párrafo 3; toda vez que de su lectura, no se advierte una aclaración puntual respecto del documento al que se pretende acceder. Al respecto mencionar que cuando se realiza una aclaración la solicitud deberá versar sobre lo aclarado, no obstante en el caso concreto al contener únicamente un pretendido fundamento, la solicitud versara respecto de lo inicialmente requerido, desagregado en la</w:t>
      </w:r>
      <w:r w:rsidRPr="00812DAC">
        <w:rPr>
          <w:rFonts w:ascii="Palatino Linotype" w:eastAsia="Palatino Linotype" w:hAnsi="Palatino Linotype" w:cs="Palatino Linotype"/>
          <w:i/>
          <w:iCs/>
        </w:rPr>
        <w:t xml:space="preserve"> Litis</w:t>
      </w:r>
      <w:r w:rsidRPr="00812DAC">
        <w:rPr>
          <w:rFonts w:ascii="Palatino Linotype" w:eastAsia="Palatino Linotype" w:hAnsi="Palatino Linotype" w:cs="Palatino Linotype"/>
        </w:rPr>
        <w:t xml:space="preserve"> del presente proveído. </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En esa tesitura, es necesario traer a continuación el rubro relativo al historial académico, profesional y laboral del Titular de Desarrollo Urbano (2022-2024), toda vez que corresponde a un rubro que no fue impugnado por la ahora </w:t>
      </w:r>
      <w:r w:rsidRPr="00812DAC">
        <w:rPr>
          <w:rFonts w:ascii="Palatino Linotype" w:eastAsia="Palatino Linotype" w:hAnsi="Palatino Linotype" w:cs="Palatino Linotype"/>
          <w:b/>
          <w:bCs/>
        </w:rPr>
        <w:t>RECURRENTE</w:t>
      </w:r>
      <w:r w:rsidRPr="00812DAC">
        <w:rPr>
          <w:rFonts w:ascii="Palatino Linotype" w:eastAsia="Palatino Linotype" w:hAnsi="Palatino Linotype" w:cs="Palatino Linotype"/>
        </w:rPr>
        <w:t>, en su escrito recursal.</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5328BE" w:rsidRPr="00812DAC" w:rsidRDefault="00BB7E2E">
      <w:pPr>
        <w:tabs>
          <w:tab w:val="left" w:pos="851"/>
        </w:tabs>
        <w:spacing w:line="360" w:lineRule="auto"/>
        <w:ind w:left="851"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b/>
          <w:bCs/>
          <w:i/>
          <w:iCs/>
        </w:rPr>
        <w:t xml:space="preserve">“ACTOS CONSENTIDOS. SON LOS QUE NO SE IMPUGNAN MEDIANTE EL RECURSO IDÓNEO. </w:t>
      </w:r>
      <w:r w:rsidRPr="00812DAC">
        <w:rPr>
          <w:rFonts w:ascii="Palatino Linotype" w:eastAsia="Palatino Linotype" w:hAnsi="Palatino Linotype" w:cs="Palatino Linotype"/>
          <w:i/>
          <w:iCs/>
        </w:rPr>
        <w:t xml:space="preserve">Debe reputarse como consentido el acto que no se impugnó por el medio establecido por la ley, ya que si se hizo uso de otro no previsto por ella o si se hace una simple manifestación de inconformidad, tales actuaciones no producen </w:t>
      </w:r>
      <w:r w:rsidRPr="00812DAC">
        <w:rPr>
          <w:rFonts w:ascii="Palatino Linotype" w:eastAsia="Palatino Linotype" w:hAnsi="Palatino Linotype" w:cs="Palatino Linotype"/>
          <w:i/>
          <w:iCs/>
        </w:rPr>
        <w:lastRenderedPageBreak/>
        <w:t>efectos jurídicos tendientes a revocar, confirmar o modificar el acto reclamado en amparo, lo que significa consentimiento del mismo por falta de impugnación eficaz.”</w:t>
      </w:r>
    </w:p>
    <w:p w:rsidR="005328BE" w:rsidRPr="00812DAC" w:rsidRDefault="005328BE">
      <w:pPr>
        <w:tabs>
          <w:tab w:val="left" w:pos="851"/>
        </w:tabs>
        <w:spacing w:line="360" w:lineRule="auto"/>
        <w:ind w:left="851" w:right="616"/>
        <w:jc w:val="both"/>
        <w:rPr>
          <w:rFonts w:ascii="Palatino Linotype" w:eastAsia="Palatino Linotype" w:hAnsi="Palatino Linotype" w:cs="Palatino Linotype"/>
          <w:i/>
          <w:iCs/>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De la interpretación del criterio antes citado, se advierte que cuando el particular impugnó la respuesta del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00161E02" w:rsidRPr="00812DAC">
        <w:rPr>
          <w:rFonts w:ascii="Palatino Linotype" w:eastAsia="Palatino Linotype" w:hAnsi="Palatino Linotype" w:cs="Palatino Linotype"/>
          <w:b/>
          <w:bCs/>
        </w:rPr>
        <w:t>LA</w:t>
      </w:r>
      <w:r w:rsidRPr="00812DAC">
        <w:rPr>
          <w:rFonts w:ascii="Palatino Linotype" w:eastAsia="Palatino Linotype" w:hAnsi="Palatino Linotype" w:cs="Palatino Linotype"/>
          <w:b/>
          <w:bCs/>
        </w:rPr>
        <w:t xml:space="preserve"> RECURRENTE</w:t>
      </w:r>
      <w:r w:rsidRPr="00812DAC">
        <w:rPr>
          <w:rFonts w:ascii="Palatino Linotype" w:eastAsia="Palatino Linotype" w:hAnsi="Palatino Linotype" w:cs="Palatino Linotype"/>
        </w:rPr>
        <w:t xml:space="preserve"> está conforme con la respuesta proporcionada por </w:t>
      </w:r>
      <w:r w:rsidRPr="00812DAC">
        <w:rPr>
          <w:rFonts w:ascii="Palatino Linotype" w:eastAsia="Palatino Linotype" w:hAnsi="Palatino Linotype" w:cs="Palatino Linotype"/>
          <w:b/>
          <w:bCs/>
        </w:rPr>
        <w:t>EL SUJETO OBLIGADO,</w:t>
      </w:r>
      <w:r w:rsidRPr="00812DAC">
        <w:rPr>
          <w:rFonts w:ascii="Palatino Linotype" w:eastAsia="Palatino Linotype" w:hAnsi="Palatino Linotype" w:cs="Palatino Linotype"/>
        </w:rPr>
        <w:t xml:space="preserve"> al no contravenir la misma. </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5328BE" w:rsidRPr="00812DAC" w:rsidRDefault="00BB7E2E">
      <w:pPr>
        <w:tabs>
          <w:tab w:val="left" w:pos="7937"/>
          <w:tab w:val="left" w:pos="8222"/>
        </w:tabs>
        <w:spacing w:line="360" w:lineRule="auto"/>
        <w:ind w:left="851" w:right="901"/>
        <w:jc w:val="both"/>
        <w:rPr>
          <w:rFonts w:ascii="Palatino Linotype" w:eastAsia="Palatino Linotype" w:hAnsi="Palatino Linotype" w:cs="Palatino Linotype"/>
          <w:i/>
          <w:iCs/>
        </w:rPr>
      </w:pPr>
      <w:r w:rsidRPr="00812DAC">
        <w:rPr>
          <w:rFonts w:ascii="Palatino Linotype" w:eastAsia="Palatino Linotype" w:hAnsi="Palatino Linotype" w:cs="Palatino Linotype"/>
          <w:b/>
          <w:bCs/>
          <w:i/>
          <w:iCs/>
        </w:rPr>
        <w:t xml:space="preserve">“REVISIÓN EN AMPARO. LOS RESOLUTIVOS NO COMBATIDOS DEBEN DECLARARSE FIRMES. </w:t>
      </w:r>
      <w:r w:rsidRPr="00812DAC">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328BE" w:rsidRPr="00812DAC" w:rsidRDefault="005328BE">
      <w:pPr>
        <w:tabs>
          <w:tab w:val="left" w:pos="7937"/>
          <w:tab w:val="left" w:pos="8222"/>
        </w:tabs>
        <w:spacing w:line="360" w:lineRule="auto"/>
        <w:ind w:left="851" w:right="901"/>
        <w:jc w:val="both"/>
        <w:rPr>
          <w:rFonts w:ascii="Palatino Linotype" w:eastAsia="Palatino Linotype" w:hAnsi="Palatino Linotype" w:cs="Palatino Linotype"/>
          <w:i/>
          <w:iCs/>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lastRenderedPageBreak/>
        <w:t xml:space="preserve">En consecuencia que los demás fundamentos remitidos en respuesta. Se consideran un acto consentido y, en consecuencia, este Órgano Resolutor no entrará al estudio del mismo por las razones hasta aquí expuestas. </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Seguidamente, respecto de la Licencia de Uso de Suelo y de Construcción otorgadas bajo la clave </w:t>
      </w:r>
      <w:r w:rsidR="00863367">
        <w:rPr>
          <w:rFonts w:ascii="Palatino Linotype" w:eastAsia="Palatino Linotype" w:hAnsi="Palatino Linotype" w:cs="Palatino Linotype"/>
        </w:rPr>
        <w:t>XXXX</w:t>
      </w:r>
      <w:bookmarkStart w:id="7" w:name="_GoBack"/>
      <w:bookmarkEnd w:id="7"/>
      <w:r w:rsidRPr="00812DAC">
        <w:rPr>
          <w:rFonts w:ascii="Palatino Linotype" w:eastAsia="Palatino Linotype" w:hAnsi="Palatino Linotype" w:cs="Palatino Linotype"/>
        </w:rPr>
        <w:t xml:space="preserve"> y el Acuerdo de Cabildo en donde se autorizó el Cambio de Uso del Suelo para el inmueble de referencia, de los que recayó una respuesta por parte de Enlace de Transparencia de la Secretaria del Ayuntamiento, el Titular de la Dirección de Desarrollo Urbano y el Coordinador de la Unidad de Información, Planeación, Programación y Evaluación (UIPPE), en el sentido de no localizar las licencias requeridas luego de una búsqueda emprendidas.</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Al respecto es dable traer a contexto las funciones y atribuciones al caso concreto de la Dirección de Desarrollo Urbano, a saber:</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“Artículo 83. La Dirección de Desarrollo Urbano, es la responsable de expedir la autorización correspondiente para la colocación de cualquier elemento o instalación (mobiliario urbano) que tengan acceso directo a la infraestructura vial local, en los términos que para tal efecto prevé la normatividad aplicable, salvo en aquellos casos en que la normatividad requiera previo Acuerdo de Cabildo.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De igual forma, podrá ordenar el retiro inmediato de los elementos o instalaciones a que se refiere el párrafo anterior, en caso de no reunir los requisitos de procedencia conforme a la normativa. No se requiere licencia de construcción para efectuar las siguientes obras: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I. Construcciones de hasta veinte metros cuadrados;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II. Bardas de hasta diez metros de largo y dos metros con veinte centímetros de altura;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lastRenderedPageBreak/>
        <w:t xml:space="preserve">III. Impermeabilización y reparación de azoteas, sin afectar elementos estructurales;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IV. Reposición de pisos, ventanas, puertas, cortinas metálicas;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V. Reparación de instalaciones hidráulicas, sanitarias y eléctricas;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VI. Limpieza, aplanados, pintura y revestimiento en fachadas. En estos casos, deberán adoptarse las medidas necesarias para no causar molestias en la vía pública;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VII. Construcciones provisionales para uso de oficinas, bodegas o vigilancia durante la edificación de una obra y los servicios sanitarios correspondientes;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VIII. Pozos y calas de exploración para estudios varios;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IX. Fosas sépticas y cisternas con una capacidad de hasta ocho metros cúbicos;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X. Obras de jardinería: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XI. Apertura de vanos para la instalación de puertas y ventanas, sin afectar elementos estructurales, y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XII. Obras urgentes para prevenir accidentes o en ejecución de medidas de seguridad Bajo ninguna circunstancia los elementos de la Dirección de Seguridad Ciudadana y Movilidad Segura podrán remitir por sí o por iniciativa propia a los particulares que se encuentren en los supuestos anteriores, salvo a petición de servidor público habilitado por la Dirección de Desarrollo Urbano; por lo que, los elementos deberán de notificar a la Dirección de Desarrollo Urbano la supuesta infracción para los efectos legales a que haya lugar. </w:t>
      </w:r>
    </w:p>
    <w:p w:rsidR="005328BE" w:rsidRPr="00812DAC" w:rsidRDefault="00BB7E2E">
      <w:pPr>
        <w:spacing w:line="360" w:lineRule="auto"/>
        <w:ind w:left="567" w:right="616"/>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La Dirección de Desarrollo Urbano, substanciará los procedimientos administrativos relativos a la imposición de sanciones derivadas de la ocupación u obstrucción indebida o sin autorización de la vía pública y lugares de uso común correspondientes a la infraestructura vial a cargo de este Municipio, salvo los relativos al comercio en vía pública.”</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lastRenderedPageBreak/>
        <w:t>Por su parte el Manual de Organización de la Dirección General de Desarrollo Urbano, determina al caso concreto lo siguiente:</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“Artículo 9.- La Dirección General, estará a cargo de un titular, que se denominará Director(a) General; y adicional a las atribuciones generales contenidas en el Reglamento Orgánico con este carácter, tendrá las siguientes atribuciones no delegables:</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XXX. Expedir la autorización de Cambio de Uso de Suelo, de Densidad e Intensidad y Altura de edificaciones, la Licencia de Uso de Suelo que requiera de Evaluación de Impacto Estatal, previamente expedido por la Secretaría de Desarrollo Urbano y Obra, la Licencia de Construcción, Constancias de Suspensión Voluntaria y de terminación de Obra parcial o total, que tenga sustento en la Licencia de Uso de Suelo; </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w:t>
      </w:r>
    </w:p>
    <w:p w:rsidR="005328BE" w:rsidRPr="00812DAC" w:rsidRDefault="005328BE">
      <w:pPr>
        <w:spacing w:line="360" w:lineRule="auto"/>
        <w:ind w:left="426" w:right="474"/>
        <w:jc w:val="both"/>
        <w:rPr>
          <w:rFonts w:ascii="Palatino Linotype" w:eastAsia="Palatino Linotype" w:hAnsi="Palatino Linotype" w:cs="Palatino Linotype"/>
          <w:i/>
          <w:iCs/>
        </w:rPr>
      </w:pP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Artículo 22.- El Departamento de Licencias de Construcción, estará a cargo de un titular, que se denominará Jefe (a) del Departamento de Licencias de Construcción; y tendrá las atribuciones siguientes:</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I. Integrar los expedientes relativos a las solicitudes de licencias de construcción en cualquiera de sus modalidades, así como, permisos, avisos, prórrogas, extemporaneidades de constancias de suspensión voluntaria de la licencia de construcción y de terminación de obra parcial o total, de la ocupación temporal de la vía pública cuando sea producto de una construcción previamente autorizada mediante licencia de construcción, y la construcción de obras de conexión de agua potable, drenaje y sus obras realizadas por particulares el visto bueno de la lona de identificación de obra y placa de normas de uso de suelo y aprovechamiento del </w:t>
      </w:r>
      <w:r w:rsidRPr="00812DAC">
        <w:rPr>
          <w:rFonts w:ascii="Palatino Linotype" w:eastAsia="Palatino Linotype" w:hAnsi="Palatino Linotype" w:cs="Palatino Linotype"/>
          <w:i/>
          <w:iCs/>
        </w:rPr>
        <w:lastRenderedPageBreak/>
        <w:t>inmueble y en general, sobre cualquier trámite relacionado con las autorizaciones de construcción, asignándoles un número progresivo de identificación;</w:t>
      </w:r>
    </w:p>
    <w:p w:rsidR="005328BE" w:rsidRPr="00812DAC" w:rsidRDefault="00BB7E2E">
      <w:pPr>
        <w:spacing w:line="360" w:lineRule="auto"/>
        <w:ind w:left="426" w:right="474"/>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Lo anterior, a colación de que ciertamente corresponde a la Dirección General de Desarrollo Urbano, expedir las licencias de construcción en el Municipio de Naucalpan, cubriendo modalidades como obra nueva, ampliación, remodelación o demolición; así como la Licencia de Uso de Suelo en Naucalpan, gestionada a través del sistema REMTYS y la Dirección de Desarrollo Urbano, por tanto se advierte que la búsqueda y la respuesta emitida fue por parte del servidor público habilitado competente.</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Ahora bien, respecto de la no localización de lo solicitado, es necesario puntualizar que este</w:t>
      </w:r>
      <w:r w:rsidRPr="00812DAC">
        <w:rPr>
          <w:rFonts w:ascii="Palatino Linotype" w:eastAsia="Palatino Linotype" w:hAnsi="Palatino Linotype" w:cs="Palatino Linotype"/>
          <w:color w:val="000000"/>
        </w:rPr>
        <w:t xml:space="preserve"> Órgano Garante no se encuentra facultado para dudar de su veracidad de la </w:t>
      </w:r>
      <w:r w:rsidRPr="00812DAC">
        <w:rPr>
          <w:rFonts w:ascii="Palatino Linotype" w:eastAsia="Palatino Linotype" w:hAnsi="Palatino Linotype" w:cs="Palatino Linotype"/>
        </w:rPr>
        <w:t>información</w:t>
      </w:r>
      <w:r w:rsidRPr="00812DAC">
        <w:rPr>
          <w:rFonts w:ascii="Palatino Linotype" w:eastAsia="Palatino Linotype" w:hAnsi="Palatino Linotype" w:cs="Palatino Linotype"/>
          <w:color w:val="000000"/>
        </w:rPr>
        <w:t xml:space="preserve"> que le fue entregada a</w:t>
      </w:r>
      <w:r w:rsidR="00161E02" w:rsidRPr="00812DAC">
        <w:rPr>
          <w:rFonts w:ascii="Palatino Linotype" w:eastAsia="Palatino Linotype" w:hAnsi="Palatino Linotype" w:cs="Palatino Linotype"/>
          <w:color w:val="000000"/>
        </w:rPr>
        <w:t xml:space="preserve"> </w:t>
      </w:r>
      <w:r w:rsidRPr="00812DAC">
        <w:rPr>
          <w:rFonts w:ascii="Palatino Linotype" w:eastAsia="Palatino Linotype" w:hAnsi="Palatino Linotype" w:cs="Palatino Linotype"/>
          <w:color w:val="000000"/>
        </w:rPr>
        <w:t>l</w:t>
      </w:r>
      <w:r w:rsidR="00161E02" w:rsidRPr="00812DAC">
        <w:rPr>
          <w:rFonts w:ascii="Palatino Linotype" w:eastAsia="Palatino Linotype" w:hAnsi="Palatino Linotype" w:cs="Palatino Linotype"/>
          <w:color w:val="000000"/>
        </w:rPr>
        <w:t>a</w:t>
      </w:r>
      <w:r w:rsidRPr="00812DAC">
        <w:rPr>
          <w:rFonts w:ascii="Palatino Linotype" w:eastAsia="Palatino Linotype" w:hAnsi="Palatino Linotype" w:cs="Palatino Linotype"/>
          <w:color w:val="000000"/>
        </w:rPr>
        <w:t xml:space="preserve"> hoy </w:t>
      </w:r>
      <w:r w:rsidRPr="00812DAC">
        <w:rPr>
          <w:rFonts w:ascii="Palatino Linotype" w:eastAsia="Palatino Linotype" w:hAnsi="Palatino Linotype" w:cs="Palatino Linotype"/>
          <w:b/>
          <w:bCs/>
          <w:color w:val="000000"/>
        </w:rPr>
        <w:t>RECURRENTE</w:t>
      </w:r>
      <w:r w:rsidRPr="00812DAC">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812DAC">
        <w:rPr>
          <w:rFonts w:ascii="Palatino Linotype" w:eastAsia="Palatino Linotype" w:hAnsi="Palatino Linotype" w:cs="Palatino Linotype"/>
        </w:rPr>
        <w:t xml:space="preserve">situación que se aleja de las atribuciones de este Instituto </w:t>
      </w:r>
      <w:r w:rsidRPr="00812DAC">
        <w:rPr>
          <w:rFonts w:ascii="Palatino Linotype" w:eastAsia="Palatino Linotype" w:hAnsi="Palatino Linotype" w:cs="Palatino Linotype"/>
          <w:i/>
          <w:iCs/>
          <w:color w:val="000000"/>
        </w:rPr>
        <w:t>máxime</w:t>
      </w:r>
      <w:r w:rsidRPr="00812DAC">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Sirviendo de apoyo a lo anterior por analogía, el criterio 31-10 emitido por el ahora Instituto </w:t>
      </w:r>
      <w:r w:rsidRPr="00812DAC">
        <w:rPr>
          <w:rFonts w:ascii="Palatino Linotype" w:eastAsia="Palatino Linotype" w:hAnsi="Palatino Linotype" w:cs="Palatino Linotype"/>
          <w:color w:val="000000"/>
        </w:rPr>
        <w:t>Nacional</w:t>
      </w:r>
      <w:r w:rsidRPr="00812DAC">
        <w:rPr>
          <w:rFonts w:ascii="Palatino Linotype" w:eastAsia="Palatino Linotype" w:hAnsi="Palatino Linotype" w:cs="Palatino Linotype"/>
        </w:rPr>
        <w:t xml:space="preserve"> de Transparencia, Acceso a la Información y Protección de Datos Personales, que a la letra dice:</w:t>
      </w:r>
    </w:p>
    <w:p w:rsidR="005328BE" w:rsidRPr="00812DAC" w:rsidRDefault="00BB7E2E">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812DAC">
        <w:rPr>
          <w:rFonts w:ascii="Palatino Linotype" w:eastAsia="Palatino Linotype" w:hAnsi="Palatino Linotype" w:cs="Palatino Linotype"/>
          <w:i/>
          <w:iCs/>
          <w:color w:val="000000"/>
        </w:rPr>
        <w:t xml:space="preserve">“El Instituto Federal de Acceso a la Información y Protección de Datos </w:t>
      </w:r>
      <w:r w:rsidRPr="00812DAC">
        <w:rPr>
          <w:rFonts w:ascii="Palatino Linotype" w:eastAsia="Palatino Linotype" w:hAnsi="Palatino Linotype" w:cs="Palatino Linotype"/>
          <w:b/>
          <w:bCs/>
          <w:i/>
          <w:iCs/>
          <w:color w:val="000000"/>
        </w:rPr>
        <w:t xml:space="preserve">no cuenta con facultades para pronunciarse respecto de la veracidad de los documentos </w:t>
      </w:r>
      <w:r w:rsidRPr="00812DAC">
        <w:rPr>
          <w:rFonts w:ascii="Palatino Linotype" w:eastAsia="Palatino Linotype" w:hAnsi="Palatino Linotype" w:cs="Palatino Linotype"/>
          <w:b/>
          <w:bCs/>
          <w:i/>
          <w:iCs/>
          <w:color w:val="000000"/>
        </w:rPr>
        <w:lastRenderedPageBreak/>
        <w:t>proporcionados por los sujetos obligados.</w:t>
      </w:r>
      <w:r w:rsidRPr="00812DAC">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328BE" w:rsidRPr="00812DAC" w:rsidRDefault="005328BE">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i/>
          <w:iCs/>
        </w:rPr>
      </w:pPr>
      <w:r w:rsidRPr="00812DAC">
        <w:rPr>
          <w:rFonts w:ascii="Palatino Linotype" w:eastAsia="Palatino Linotype" w:hAnsi="Palatino Linotype" w:cs="Palatino Linotype"/>
        </w:rPr>
        <w:t xml:space="preserve">Así como lo dispuesto por la </w:t>
      </w:r>
      <w:r w:rsidRPr="00812DAC">
        <w:rPr>
          <w:rFonts w:ascii="Palatino Linotype" w:eastAsia="Palatino Linotype" w:hAnsi="Palatino Linotype" w:cs="Palatino Linotype"/>
          <w:b/>
          <w:bCs/>
        </w:rPr>
        <w:t xml:space="preserve">Ley de Transparencia y Acceso a la Información Pública del </w:t>
      </w:r>
      <w:r w:rsidRPr="00812DAC">
        <w:rPr>
          <w:rFonts w:ascii="Palatino Linotype" w:eastAsia="Palatino Linotype" w:hAnsi="Palatino Linotype" w:cs="Palatino Linotype"/>
          <w:color w:val="000000"/>
        </w:rPr>
        <w:t>Estado</w:t>
      </w:r>
      <w:r w:rsidRPr="00812DAC">
        <w:rPr>
          <w:rFonts w:ascii="Palatino Linotype" w:eastAsia="Palatino Linotype" w:hAnsi="Palatino Linotype" w:cs="Palatino Linotype"/>
          <w:b/>
          <w:bCs/>
        </w:rPr>
        <w:t xml:space="preserve"> de México y Municipios</w:t>
      </w:r>
      <w:r w:rsidRPr="00812DAC">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328BE" w:rsidRPr="00812DAC" w:rsidRDefault="00BB7E2E">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r w:rsidRPr="00812DAC">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12DAC">
        <w:rPr>
          <w:rFonts w:ascii="Palatino Linotype" w:eastAsia="Palatino Linotype" w:hAnsi="Palatino Linotype" w:cs="Palatino Linotype"/>
          <w:b/>
          <w:bCs/>
          <w:i/>
          <w:iCs/>
          <w:color w:val="000000"/>
        </w:rPr>
        <w:t xml:space="preserve">Los Sujetos Obligados deben poner en práctica, políticas y programas de acceso a la </w:t>
      </w:r>
      <w:r w:rsidRPr="00812DAC">
        <w:rPr>
          <w:rFonts w:ascii="Palatino Linotype" w:eastAsia="Palatino Linotype" w:hAnsi="Palatino Linotype" w:cs="Palatino Linotype"/>
          <w:b/>
          <w:bCs/>
          <w:i/>
          <w:iCs/>
          <w:color w:val="000000"/>
        </w:rPr>
        <w:lastRenderedPageBreak/>
        <w:t>información que se apeguen a criterios de publicidad, veracidad, oportunidad, precisión y suficiencia en beneficio de los solicitantes.</w:t>
      </w:r>
    </w:p>
    <w:p w:rsidR="005328BE" w:rsidRPr="00812DAC" w:rsidRDefault="005328BE">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rPr>
        <w:t xml:space="preserve">Numerales que compelen al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5328BE" w:rsidRPr="00812DAC" w:rsidRDefault="005328BE">
      <w:pPr>
        <w:spacing w:line="360" w:lineRule="auto"/>
        <w:ind w:right="49"/>
        <w:jc w:val="both"/>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No obstante lo anterior, esta Ponencia Resolutora se aboco a la búsqueda de indicios que obraren en fuentes de acceso público con los datos aportados por la hoy </w:t>
      </w:r>
      <w:r w:rsidRPr="00812DAC">
        <w:rPr>
          <w:rFonts w:ascii="Palatino Linotype" w:eastAsia="Palatino Linotype" w:hAnsi="Palatino Linotype" w:cs="Palatino Linotype"/>
          <w:b/>
          <w:bCs/>
        </w:rPr>
        <w:t>RECURRENTE</w:t>
      </w:r>
      <w:r w:rsidRPr="00812DAC">
        <w:rPr>
          <w:rFonts w:ascii="Palatino Linotype" w:eastAsia="Palatino Linotype" w:hAnsi="Palatino Linotype" w:cs="Palatino Linotype"/>
        </w:rPr>
        <w:t xml:space="preserve"> en su solicitud de información inicial y en su escrito recursal de manera posterior, sin localizar indicio alguno que permitiera presumir la eventual existencia de lo solicitado. </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Por tanto, al carecer de elementos de convicción, este Instituto considera procedente confirmar la respuesta; en virtud que al tratarse de licencias el pronunciamiento emitido del servidor público habilitado resulta suficiente pues debe considerarse que aun cuando la información requerida corresponda a alguna función, facultad o competencia del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es posible que esta información no se localice, bien porque no se haya generado o porque no se encuentre disponible, en el momento de su búsqueda.</w:t>
      </w:r>
    </w:p>
    <w:p w:rsidR="005328BE" w:rsidRPr="00812DAC" w:rsidRDefault="005328BE">
      <w:pPr>
        <w:tabs>
          <w:tab w:val="left" w:pos="426"/>
        </w:tabs>
        <w:spacing w:line="360" w:lineRule="auto"/>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5328BE" w:rsidRPr="00812DAC" w:rsidRDefault="00BB7E2E">
      <w:pPr>
        <w:tabs>
          <w:tab w:val="left" w:pos="8080"/>
        </w:tabs>
        <w:spacing w:line="360" w:lineRule="auto"/>
        <w:ind w:left="567" w:right="567"/>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lastRenderedPageBreak/>
        <w:t>“</w:t>
      </w:r>
      <w:r w:rsidRPr="00812DAC">
        <w:rPr>
          <w:rFonts w:ascii="Palatino Linotype" w:eastAsia="Palatino Linotype" w:hAnsi="Palatino Linotype" w:cs="Palatino Linotype"/>
          <w:b/>
          <w:bCs/>
          <w:i/>
          <w:iCs/>
        </w:rPr>
        <w:t>Artículo 19.</w:t>
      </w:r>
      <w:r w:rsidRPr="00812DAC">
        <w:rPr>
          <w:rFonts w:ascii="Palatino Linotype" w:eastAsia="Palatino Linotype" w:hAnsi="Palatino Linotype" w:cs="Palatino Linotype"/>
          <w:i/>
          <w:iCs/>
        </w:rPr>
        <w:t xml:space="preserve"> Se presume que la información debe existir si se refiere a las facultades, competencias y funciones que los ordenamientos jurídicos aplicables otorgan a los sujetos obligados.</w:t>
      </w:r>
    </w:p>
    <w:p w:rsidR="005328BE" w:rsidRPr="00812DAC" w:rsidRDefault="00BB7E2E">
      <w:pPr>
        <w:tabs>
          <w:tab w:val="left" w:pos="8080"/>
        </w:tabs>
        <w:spacing w:line="360" w:lineRule="auto"/>
        <w:ind w:left="567" w:right="567"/>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 xml:space="preserve"> En los casos en que ciertas facultades, competencias o funciones no se hayan ejercido, se debe motivar la respuesta en función de las causas que motiven tal circunstancia. </w:t>
      </w:r>
    </w:p>
    <w:p w:rsidR="005328BE" w:rsidRPr="00812DAC" w:rsidRDefault="00BB7E2E">
      <w:pPr>
        <w:tabs>
          <w:tab w:val="left" w:pos="8080"/>
        </w:tabs>
        <w:spacing w:line="360" w:lineRule="auto"/>
        <w:ind w:left="567" w:right="567"/>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328BE" w:rsidRPr="00812DAC" w:rsidRDefault="005328BE">
      <w:pPr>
        <w:spacing w:line="360" w:lineRule="auto"/>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El primer supuesto, que corresponde a lo señalado en su segundo párrafo, alude a actos no realizados y contemplados en alguna hipótesis jurídica: </w:t>
      </w:r>
    </w:p>
    <w:p w:rsidR="005328BE" w:rsidRPr="00812DAC" w:rsidRDefault="00BB7E2E">
      <w:pPr>
        <w:numPr>
          <w:ilvl w:val="0"/>
          <w:numId w:val="5"/>
        </w:numPr>
        <w:spacing w:line="360" w:lineRule="auto"/>
        <w:ind w:left="1134" w:right="49"/>
        <w:jc w:val="both"/>
        <w:rPr>
          <w:rFonts w:ascii="Palatino Linotype" w:eastAsia="Palatino Linotype" w:hAnsi="Palatino Linotype" w:cs="Palatino Linotype"/>
        </w:rPr>
      </w:pPr>
      <w:r w:rsidRPr="00812DAC">
        <w:rPr>
          <w:rFonts w:ascii="Palatino Linotype" w:eastAsia="Palatino Linotype" w:hAnsi="Palatino Linotype" w:cs="Palatino Linotype"/>
          <w:b/>
          <w:bCs/>
        </w:rPr>
        <w:t xml:space="preserve">Cuya realización </w:t>
      </w:r>
      <w:r w:rsidRPr="00812DAC">
        <w:rPr>
          <w:rFonts w:ascii="Palatino Linotype" w:eastAsia="Palatino Linotype" w:hAnsi="Palatino Linotype" w:cs="Palatino Linotype"/>
          <w:b/>
          <w:bCs/>
          <w:u w:val="single"/>
        </w:rPr>
        <w:t>dependa de que un tercero demande la emisión de un acto de autoridad</w:t>
      </w:r>
      <w:r w:rsidRPr="00812DAC">
        <w:rPr>
          <w:rFonts w:ascii="Palatino Linotype" w:eastAsia="Palatino Linotype" w:hAnsi="Palatino Linotype" w:cs="Palatino Linotype"/>
          <w:b/>
          <w:bCs/>
        </w:rPr>
        <w:t>, la expedición de una licencia</w:t>
      </w:r>
      <w:r w:rsidRPr="00812DAC">
        <w:rPr>
          <w:rFonts w:ascii="Palatino Linotype" w:eastAsia="Palatino Linotype" w:hAnsi="Palatino Linotype" w:cs="Palatino Linotype"/>
        </w:rPr>
        <w:t xml:space="preserve">, por ejemplo; </w:t>
      </w:r>
    </w:p>
    <w:p w:rsidR="005328BE" w:rsidRPr="00812DAC" w:rsidRDefault="00BB7E2E">
      <w:pPr>
        <w:numPr>
          <w:ilvl w:val="0"/>
          <w:numId w:val="5"/>
        </w:numPr>
        <w:spacing w:line="360" w:lineRule="auto"/>
        <w:ind w:left="1134" w:right="49"/>
        <w:jc w:val="both"/>
        <w:rPr>
          <w:rFonts w:ascii="Palatino Linotype" w:eastAsia="Palatino Linotype" w:hAnsi="Palatino Linotype" w:cs="Palatino Linotype"/>
        </w:rPr>
      </w:pPr>
      <w:r w:rsidRPr="00812DAC">
        <w:rPr>
          <w:rFonts w:ascii="Palatino Linotype" w:eastAsia="Palatino Linotype" w:hAnsi="Palatino Linotype" w:cs="Palatino Linotype"/>
        </w:rPr>
        <w:t>De un acontecimiento de realización probable, la Cuenta Pública correspondiente a un ejercicio fiscal en curso; o</w:t>
      </w:r>
    </w:p>
    <w:p w:rsidR="005328BE" w:rsidRPr="00812DAC" w:rsidRDefault="00BB7E2E">
      <w:pPr>
        <w:numPr>
          <w:ilvl w:val="0"/>
          <w:numId w:val="5"/>
        </w:numPr>
        <w:spacing w:line="360" w:lineRule="auto"/>
        <w:ind w:left="1134" w:right="49"/>
        <w:jc w:val="both"/>
        <w:rPr>
          <w:rFonts w:ascii="Palatino Linotype" w:eastAsia="Palatino Linotype" w:hAnsi="Palatino Linotype" w:cs="Palatino Linotype"/>
        </w:rPr>
      </w:pPr>
      <w:r w:rsidRPr="00812DAC">
        <w:rPr>
          <w:rFonts w:ascii="Palatino Linotype" w:eastAsia="Palatino Linotype" w:hAnsi="Palatino Linotype" w:cs="Palatino Linotype"/>
        </w:rPr>
        <w:t>Una facultad potestativa, la firma de convenio de colaboración.</w:t>
      </w:r>
    </w:p>
    <w:p w:rsidR="005328BE" w:rsidRPr="00812DAC" w:rsidRDefault="005328BE">
      <w:pPr>
        <w:spacing w:line="360" w:lineRule="auto"/>
        <w:ind w:right="70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 En estos casos, 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 –supuesto que se actualiza–.</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lastRenderedPageBreak/>
        <w:t xml:space="preserve">El segundo supuesto, que corresponde a lo señalado en su último párrafo del artículo antes referido, alude a: </w:t>
      </w:r>
    </w:p>
    <w:p w:rsidR="005328BE" w:rsidRPr="00812DAC" w:rsidRDefault="00BB7E2E">
      <w:pPr>
        <w:numPr>
          <w:ilvl w:val="0"/>
          <w:numId w:val="6"/>
        </w:numPr>
        <w:pBdr>
          <w:top w:val="nil"/>
          <w:left w:val="nil"/>
          <w:bottom w:val="nil"/>
          <w:right w:val="nil"/>
          <w:between w:val="nil"/>
        </w:pBdr>
        <w:tabs>
          <w:tab w:val="left" w:pos="7655"/>
        </w:tabs>
        <w:spacing w:line="360" w:lineRule="auto"/>
        <w:ind w:left="1134" w:right="709"/>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Actos realizados sobre los cuales: </w:t>
      </w:r>
    </w:p>
    <w:p w:rsidR="005328BE" w:rsidRPr="00812DAC" w:rsidRDefault="00BB7E2E">
      <w:pPr>
        <w:numPr>
          <w:ilvl w:val="1"/>
          <w:numId w:val="7"/>
        </w:numPr>
        <w:tabs>
          <w:tab w:val="left" w:pos="7655"/>
        </w:tabs>
        <w:spacing w:line="360" w:lineRule="auto"/>
        <w:ind w:right="709"/>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No se generó, poseyó o administró el documento que registre la información solicitada; </w:t>
      </w:r>
    </w:p>
    <w:p w:rsidR="005328BE" w:rsidRPr="00812DAC" w:rsidRDefault="00BB7E2E">
      <w:pPr>
        <w:numPr>
          <w:ilvl w:val="1"/>
          <w:numId w:val="7"/>
        </w:numPr>
        <w:pBdr>
          <w:top w:val="nil"/>
          <w:left w:val="nil"/>
          <w:bottom w:val="nil"/>
          <w:right w:val="nil"/>
          <w:between w:val="nil"/>
        </w:pBdr>
        <w:tabs>
          <w:tab w:val="left" w:pos="7655"/>
        </w:tabs>
        <w:spacing w:line="360" w:lineRule="auto"/>
        <w:ind w:right="709"/>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Habiendo sido generada, poseída o administrada, no se cuenta con la información solicitada.</w:t>
      </w:r>
    </w:p>
    <w:p w:rsidR="005328BE" w:rsidRPr="00812DAC" w:rsidRDefault="00BB7E2E">
      <w:pPr>
        <w:numPr>
          <w:ilvl w:val="0"/>
          <w:numId w:val="6"/>
        </w:numPr>
        <w:pBdr>
          <w:top w:val="nil"/>
          <w:left w:val="nil"/>
          <w:bottom w:val="nil"/>
          <w:right w:val="nil"/>
          <w:between w:val="nil"/>
        </w:pBdr>
        <w:tabs>
          <w:tab w:val="left" w:pos="7655"/>
        </w:tabs>
        <w:spacing w:line="360" w:lineRule="auto"/>
        <w:ind w:left="1134" w:right="567"/>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color w:val="000000"/>
        </w:rPr>
        <w:t xml:space="preserve">El </w:t>
      </w:r>
      <w:r w:rsidRPr="00812DAC">
        <w:rPr>
          <w:rFonts w:ascii="Palatino Linotype" w:eastAsia="Palatino Linotype" w:hAnsi="Palatino Linotype" w:cs="Palatino Linotype"/>
          <w:b/>
          <w:bCs/>
          <w:color w:val="000000"/>
        </w:rPr>
        <w:t>SUJETO OBLIGADO</w:t>
      </w:r>
      <w:r w:rsidRPr="00812DAC">
        <w:rPr>
          <w:rFonts w:ascii="Palatino Linotype" w:eastAsia="Palatino Linotype" w:hAnsi="Palatino Linotype" w:cs="Palatino Linotype"/>
          <w:color w:val="000000"/>
        </w:rPr>
        <w:t xml:space="preserve"> fue omiso en el ejercicio de una facultad, competencia o atribución inexcusable. </w:t>
      </w:r>
    </w:p>
    <w:p w:rsidR="005328BE" w:rsidRPr="00812DAC" w:rsidRDefault="005328BE">
      <w:pPr>
        <w:spacing w:line="360" w:lineRule="auto"/>
        <w:jc w:val="both"/>
        <w:rPr>
          <w:rFonts w:ascii="Palatino Linotype" w:eastAsia="Palatino Linotype" w:hAnsi="Palatino Linotype" w:cs="Palatino Linotype"/>
        </w:rPr>
      </w:pPr>
    </w:p>
    <w:p w:rsidR="005328BE" w:rsidRPr="00812DAC" w:rsidRDefault="00BB7E2E">
      <w:pPr>
        <w:numPr>
          <w:ilvl w:val="0"/>
          <w:numId w:val="1"/>
        </w:numPr>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En estos casos, será necesario acreditar que se cumplieron los supuestos del artículo 169 del citado ordenamiento y emitir la resolución que confirme la inexistencia cumpliendo con las formalidades señaladas en el artículo 170 de la misma norma, pero que sin embargo no atañe al asunto de mérito.</w:t>
      </w:r>
    </w:p>
    <w:p w:rsidR="005328BE" w:rsidRPr="00812DAC" w:rsidRDefault="005328BE">
      <w:pPr>
        <w:tabs>
          <w:tab w:val="left" w:pos="426"/>
        </w:tabs>
        <w:spacing w:line="360" w:lineRule="auto"/>
        <w:rPr>
          <w:rFonts w:ascii="Palatino Linotype" w:eastAsia="Palatino Linotype" w:hAnsi="Palatino Linotype" w:cs="Palatino Linotype"/>
        </w:rPr>
      </w:pPr>
    </w:p>
    <w:p w:rsidR="005328BE" w:rsidRPr="00812DAC" w:rsidRDefault="00BB7E2E">
      <w:pPr>
        <w:numPr>
          <w:ilvl w:val="0"/>
          <w:numId w:val="1"/>
        </w:numPr>
        <w:tabs>
          <w:tab w:val="left" w:pos="426"/>
        </w:tabs>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En cualquiera de los casos, imperativamente, 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xml:space="preserve"> debe de responder a la solicitud de acceso a la información pública, ya sea señalando que no cuenta con la información porque ésta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de no localizar la información que debía tener, procediendo según lo refieren los párrafos segundo o tercero del artículo 19 de la Ley de Transparencia y Acceso a la Información Pública, pero emitiendo una respuesta, por tanto es que se arriba a la conclusión de CONFIRMAR la </w:t>
      </w:r>
      <w:r w:rsidRPr="00812DAC">
        <w:rPr>
          <w:rFonts w:ascii="Palatino Linotype" w:eastAsia="Palatino Linotype" w:hAnsi="Palatino Linotype" w:cs="Palatino Linotype"/>
        </w:rPr>
        <w:lastRenderedPageBreak/>
        <w:t xml:space="preserve">respuesta, por actualizarse la figura denominada hecho negativo; toda vez que no posee, administra ni genera la información requerida por el particular, constituye un hecho negativo; entonces, si se considera el hecho negativo, es obvio que éste no puede fácticamente obrar en los archivos del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ya que no puede probarse por ser lógica y materialmente imposible.</w:t>
      </w:r>
    </w:p>
    <w:p w:rsidR="005328BE" w:rsidRPr="00812DAC" w:rsidRDefault="005328BE">
      <w:pPr>
        <w:spacing w:line="360" w:lineRule="auto"/>
        <w:jc w:val="both"/>
        <w:rPr>
          <w:rFonts w:ascii="Palatino Linotype" w:eastAsia="Palatino Linotype" w:hAnsi="Palatino Linotype" w:cs="Palatino Linotype"/>
        </w:rPr>
      </w:pPr>
    </w:p>
    <w:p w:rsidR="005328BE" w:rsidRPr="00812DAC" w:rsidRDefault="00BB7E2E">
      <w:pPr>
        <w:numPr>
          <w:ilvl w:val="0"/>
          <w:numId w:val="1"/>
        </w:numPr>
        <w:tabs>
          <w:tab w:val="left" w:pos="426"/>
        </w:tabs>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pPr>
        <w:numPr>
          <w:ilvl w:val="0"/>
          <w:numId w:val="1"/>
        </w:numPr>
        <w:tabs>
          <w:tab w:val="left" w:pos="426"/>
        </w:tabs>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5328BE" w:rsidRPr="00812DAC" w:rsidRDefault="00BB7E2E">
      <w:pPr>
        <w:spacing w:line="360" w:lineRule="auto"/>
        <w:ind w:left="851" w:right="567"/>
        <w:jc w:val="both"/>
        <w:rPr>
          <w:rFonts w:ascii="Palatino Linotype" w:eastAsia="Palatino Linotype" w:hAnsi="Palatino Linotype" w:cs="Palatino Linotype"/>
          <w:b/>
          <w:bCs/>
          <w:i/>
          <w:iCs/>
        </w:rPr>
      </w:pPr>
      <w:r w:rsidRPr="00812DAC">
        <w:rPr>
          <w:rFonts w:ascii="Palatino Linotype" w:eastAsia="Palatino Linotype" w:hAnsi="Palatino Linotype" w:cs="Palatino Linotype"/>
          <w:b/>
          <w:bCs/>
          <w:i/>
          <w:iCs/>
        </w:rPr>
        <w:t xml:space="preserve">HECHOS NEGATIVOS, NO SON SUSCEPTIBLES DE DEMOSTRACIÓN. </w:t>
      </w:r>
    </w:p>
    <w:p w:rsidR="005328BE" w:rsidRPr="00812DAC" w:rsidRDefault="00BB7E2E">
      <w:pPr>
        <w:spacing w:line="360" w:lineRule="auto"/>
        <w:ind w:left="851" w:right="567"/>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Tratándose de un hecho negativo, el Juez no tiene por que invocar prueba alguna de la que se desprenda, ya que es bien sabido que esta clase de hechos no son susceptibles de demostración.</w:t>
      </w:r>
    </w:p>
    <w:p w:rsidR="005328BE" w:rsidRPr="00812DAC" w:rsidRDefault="00BB7E2E">
      <w:pPr>
        <w:spacing w:line="360" w:lineRule="auto"/>
        <w:ind w:left="851" w:right="567"/>
        <w:jc w:val="both"/>
        <w:rPr>
          <w:rFonts w:ascii="Palatino Linotype" w:eastAsia="Palatino Linotype" w:hAnsi="Palatino Linotype" w:cs="Palatino Linotype"/>
          <w:i/>
          <w:iCs/>
        </w:rPr>
      </w:pPr>
      <w:r w:rsidRPr="00812DAC">
        <w:rPr>
          <w:rFonts w:ascii="Palatino Linotype" w:eastAsia="Palatino Linotype" w:hAnsi="Palatino Linotype" w:cs="Palatino Linotype"/>
          <w:i/>
          <w:iCs/>
        </w:rPr>
        <w:t>Amparo en revisión 2022/61. José García Florín (Menor). 9 de octubre de 1961. Cinco votos. Ponente: José Rivera Pérez Campos.”</w:t>
      </w:r>
    </w:p>
    <w:p w:rsidR="005328BE" w:rsidRPr="00812DAC" w:rsidRDefault="005328BE">
      <w:pPr>
        <w:spacing w:line="360" w:lineRule="auto"/>
        <w:ind w:left="709" w:right="758"/>
        <w:jc w:val="both"/>
        <w:rPr>
          <w:rFonts w:ascii="Palatino Linotype" w:eastAsia="Palatino Linotype" w:hAnsi="Palatino Linotype" w:cs="Palatino Linotype"/>
          <w:i/>
          <w:iCs/>
        </w:rPr>
      </w:pPr>
    </w:p>
    <w:p w:rsidR="005328BE" w:rsidRPr="00812DAC" w:rsidRDefault="00BB7E2E">
      <w:pPr>
        <w:numPr>
          <w:ilvl w:val="0"/>
          <w:numId w:val="1"/>
        </w:numPr>
        <w:tabs>
          <w:tab w:val="left" w:pos="426"/>
        </w:tabs>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Además, y de conformidad con lo establecido en el artículo 12 de la </w:t>
      </w:r>
      <w:r w:rsidRPr="00812DAC">
        <w:rPr>
          <w:rFonts w:ascii="Palatino Linotype" w:eastAsia="Palatino Linotype" w:hAnsi="Palatino Linotype" w:cs="Palatino Linotype"/>
          <w:b/>
          <w:bCs/>
        </w:rPr>
        <w:t>Ley de Transparencia y Acceso a la Información Pública del Estado de México y Municipios</w:t>
      </w:r>
      <w:r w:rsidRPr="00812DAC">
        <w:rPr>
          <w:rFonts w:ascii="Palatino Linotype" w:eastAsia="Palatino Linotype" w:hAnsi="Palatino Linotype" w:cs="Palatino Linotype"/>
        </w:rPr>
        <w:t xml:space="preserve">, </w:t>
      </w:r>
      <w:r w:rsidRPr="00812DAC">
        <w:rPr>
          <w:rFonts w:ascii="Palatino Linotype" w:eastAsia="Palatino Linotype" w:hAnsi="Palatino Linotype" w:cs="Palatino Linotype"/>
        </w:rPr>
        <w:lastRenderedPageBreak/>
        <w:t xml:space="preserve">anteriormente invocado, el </w:t>
      </w:r>
      <w:r w:rsidRPr="00812DAC">
        <w:rPr>
          <w:rFonts w:ascii="Palatino Linotype" w:eastAsia="Palatino Linotype" w:hAnsi="Palatino Linotype" w:cs="Palatino Linotype"/>
          <w:b/>
          <w:bCs/>
        </w:rPr>
        <w:t>SUJETO OBLIGADO</w:t>
      </w:r>
      <w:r w:rsidRPr="00812DAC">
        <w:rPr>
          <w:rFonts w:ascii="Palatino Linotype" w:eastAsia="Palatino Linotype" w:hAnsi="Palatino Linotype" w:cs="Palatino Linotype"/>
        </w:rPr>
        <w:t xml:space="preserve"> únicamente proporcionará la información que obra en sus archivos, lo que a</w:t>
      </w:r>
      <w:r w:rsidRPr="00812DAC">
        <w:rPr>
          <w:rFonts w:ascii="Palatino Linotype" w:eastAsia="Palatino Linotype" w:hAnsi="Palatino Linotype" w:cs="Palatino Linotype"/>
          <w:i/>
          <w:iCs/>
        </w:rPr>
        <w:t xml:space="preserve"> contrario sensu</w:t>
      </w:r>
      <w:r w:rsidRPr="00812DAC">
        <w:rPr>
          <w:rFonts w:ascii="Palatino Linotype" w:eastAsia="Palatino Linotype" w:hAnsi="Palatino Linotype" w:cs="Palatino Linotype"/>
        </w:rPr>
        <w:t xml:space="preserve"> significa que no se está obligado a proporcionar lo que no obre en sus archivos.</w:t>
      </w:r>
    </w:p>
    <w:p w:rsidR="005328BE" w:rsidRPr="00812DAC" w:rsidRDefault="005328BE">
      <w:pPr>
        <w:tabs>
          <w:tab w:val="left" w:pos="426"/>
        </w:tabs>
        <w:spacing w:line="360" w:lineRule="auto"/>
        <w:ind w:right="49"/>
        <w:jc w:val="both"/>
        <w:rPr>
          <w:rFonts w:ascii="Palatino Linotype" w:eastAsia="Palatino Linotype" w:hAnsi="Palatino Linotype" w:cs="Palatino Linotype"/>
        </w:rPr>
      </w:pPr>
    </w:p>
    <w:p w:rsidR="005328BE" w:rsidRPr="00812DAC" w:rsidRDefault="00BB7E2E">
      <w:pPr>
        <w:numPr>
          <w:ilvl w:val="0"/>
          <w:numId w:val="1"/>
        </w:numPr>
        <w:tabs>
          <w:tab w:val="left" w:pos="426"/>
        </w:tabs>
        <w:spacing w:line="360" w:lineRule="auto"/>
        <w:ind w:left="0" w:right="49"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Finalmente, respecto de la serie de argumentos expuestos al momento de interponer el recurso de revisión, como lo fueron: "</w:t>
      </w:r>
      <w:r w:rsidRPr="00812DAC">
        <w:rPr>
          <w:rFonts w:ascii="Palatino Linotype" w:eastAsia="Palatino Linotype" w:hAnsi="Palatino Linotype" w:cs="Palatino Linotype"/>
          <w:i/>
          <w:iCs/>
        </w:rPr>
        <w:t xml:space="preserve">LA RAZÓN DE MI INCONFORMIDAD ESTRIBA DE QUE ESTE ASUNTO DATA DEL AÑO 2018 Y SÓLO HAY CONSTRUIDOS DOS DE TRES EDIFICIOS DE CINCO PISOS, EN DONDE LA AUTORIDAD QUE DIRIGIÓ LA DIRECCIÓN GENERAL DE DESARROLLO URBANO DEL AYUNTAMIENTO DE NAUCALPAN, CUYO TITULAR LOS FUE EL ARQ. JESÚS RICARDO SALMÓN HERNÁNDEZ PROMOVIÓ ESTE Y MUCHOS ASUNTOS MÁS ANTE LA COMISIÓN DE PLANEACIÓN PARA EL DESARROLLO MUNICIPAL DEL AYUNTAMIENTO DE NAUCALPAN DE JUÁREZ, MÉXICO Y ESTANDO EN 2025, LA OBRA NO ESTÁ CONCLUIDA EN SU TOTALIDAD, RAZÓN POR LA CUAL CONSIDERO QUE EXISTE UN EXPEDIENTE EN TRÁMITE Y LOS DOCUMENTOS QUE ESTOY SOLICITANDO DEBEN FORMAR PARTE DE LA DOCUMENTACIÓN CONTENIDA EN DICHO EXPEDIENTE, PARA LO CUAL PROPORCIONO LA RAZÓN SOCIAL DEL ACTUAL PROPIETARIO "RESIDENCIAL 6 VEINTICUATRO, S.A. DE C.V.", CONTRIBUYENTE DE LA TESORERÍA MUNICIPAL. POR LO TANTO LOS DOCUMENTOS: LICENCIA DE CAMBIO DE USO DE SUELO Y DE CONSTRUCCIÓN DEL PREDIO DONDE SE LLEVA A CABO DICHA OBRA, SON DOCUMENTOS PÚBLICOS, QUE AÚN CUANDO CONTENGAN INFORMACIÓN CONFIDENCIAL, SE ME DEBEN PROPORCIONAR EN VERSIÓN PÚBLICA. Y NO ASEGURAR QUE LOS MISMOS NO SE LOCALIZARON, DADO QUE ME ESTOY REFIRIENDO A UNA OBRA QUE NO ESTÁ TOTALMENTE TERMINADA Y CUYOS </w:t>
      </w:r>
      <w:r w:rsidRPr="00812DAC">
        <w:rPr>
          <w:rFonts w:ascii="Palatino Linotype" w:eastAsia="Palatino Linotype" w:hAnsi="Palatino Linotype" w:cs="Palatino Linotype"/>
          <w:i/>
          <w:iCs/>
        </w:rPr>
        <w:lastRenderedPageBreak/>
        <w:t>ANTECEDENTES DEBEN EXISTIR. MANTENGO MI CONFIANZA EN EL ACTUAL GOBIERNO MUNICIPAL Y EN LOS SERVIDORES PÚBLICOS QUE COLABORAN EN EL MISMO. ESTE ASUNTO INCUMBE DE MANERA EXCLUSIVA A LAS AUTORIDADES QUE MANEJAN LO RELACIONADO CON EL DESARROLLO URBANO.”</w:t>
      </w:r>
    </w:p>
    <w:p w:rsidR="005328BE" w:rsidRPr="00812DAC" w:rsidRDefault="005328B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5328BE" w:rsidRPr="00812DAC" w:rsidRDefault="00BB7E2E" w:rsidP="00812DAC">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812DAC">
        <w:rPr>
          <w:rFonts w:ascii="Palatino Linotype" w:eastAsia="Palatino Linotype" w:hAnsi="Palatino Linotype" w:cs="Palatino Linotype"/>
        </w:rPr>
        <w:t xml:space="preserve">Corresponde a manifestaciones subjetivas realizadas por la ahora </w:t>
      </w:r>
      <w:r w:rsidRPr="00812DAC">
        <w:rPr>
          <w:rFonts w:ascii="Palatino Linotype" w:eastAsia="Palatino Linotype" w:hAnsi="Palatino Linotype" w:cs="Palatino Linotype"/>
          <w:b/>
          <w:bCs/>
        </w:rPr>
        <w:t>RECURRENTE</w:t>
      </w:r>
      <w:r w:rsidRPr="00812DAC">
        <w:rPr>
          <w:rFonts w:ascii="Palatino Linotype" w:eastAsia="Palatino Linotype" w:hAnsi="Palatino Linotype" w:cs="Palatino Linotype"/>
        </w:rPr>
        <w:t xml:space="preserve"> en ejercicio de su derecho de expresión; pero que sin embargo no constituyen al ejercicio del derecho de acceso a la información, el cual versa sobre documentos que generen, posean o administren los sujetos obligados en ejercicio de sus funciones de derecho público, por lo que dichos argumentos devienen inatendibles. Sin embargo se dejan a salvo sus derechos para que interponga las quejas o denuncias que a sus intereses convenga, ante las autoridades competentes, respecto de las inquietudes o inconformidades antes transcritas.</w:t>
      </w:r>
    </w:p>
    <w:p w:rsidR="005328BE" w:rsidRPr="00812DAC" w:rsidRDefault="005328BE">
      <w:pPr>
        <w:pBdr>
          <w:top w:val="nil"/>
          <w:left w:val="nil"/>
          <w:bottom w:val="nil"/>
          <w:right w:val="nil"/>
          <w:between w:val="nil"/>
        </w:pBdr>
        <w:spacing w:line="360" w:lineRule="auto"/>
        <w:jc w:val="both"/>
        <w:rPr>
          <w:rFonts w:ascii="Palatino Linotype" w:eastAsia="Palatino Linotype" w:hAnsi="Palatino Linotype" w:cs="Palatino Linotype"/>
        </w:rPr>
      </w:pPr>
    </w:p>
    <w:p w:rsidR="005328BE" w:rsidRPr="00812DAC" w:rsidRDefault="00BB7E2E" w:rsidP="00812DA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812DAC">
        <w:rPr>
          <w:rFonts w:ascii="Palatino Linotype" w:eastAsia="Palatino Linotype" w:hAnsi="Palatino Linotype" w:cs="Palatino Linotype"/>
          <w:color w:val="222222"/>
        </w:rPr>
        <w:t xml:space="preserve">Por lo </w:t>
      </w:r>
      <w:r w:rsidRPr="00812DAC">
        <w:rPr>
          <w:rFonts w:ascii="Palatino Linotype" w:eastAsia="Palatino Linotype" w:hAnsi="Palatino Linotype" w:cs="Palatino Linotype"/>
          <w:color w:val="000000"/>
        </w:rPr>
        <w:t>anteriormente</w:t>
      </w:r>
      <w:r w:rsidRPr="00812DAC">
        <w:rPr>
          <w:rFonts w:ascii="Palatino Linotype" w:eastAsia="Palatino Linotype" w:hAnsi="Palatino Linotype" w:cs="Palatino Linotype"/>
          <w:color w:val="222222"/>
        </w:rPr>
        <w:t xml:space="preserve"> expuesto y fundado, este </w:t>
      </w:r>
      <w:r w:rsidRPr="00812DAC">
        <w:rPr>
          <w:rFonts w:ascii="Palatino Linotype" w:eastAsia="Palatino Linotype" w:hAnsi="Palatino Linotype" w:cs="Palatino Linotype"/>
          <w:b/>
          <w:bCs/>
          <w:color w:val="222222"/>
        </w:rPr>
        <w:t>ÓRGANO GARANTE</w:t>
      </w:r>
      <w:r w:rsidRPr="00812DAC">
        <w:rPr>
          <w:rFonts w:ascii="Palatino Linotype" w:eastAsia="Palatino Linotype" w:hAnsi="Palatino Linotype" w:cs="Palatino Linotype"/>
          <w:color w:val="222222"/>
        </w:rPr>
        <w:t xml:space="preserve"> emite los </w:t>
      </w:r>
      <w:r w:rsidRPr="00812DAC">
        <w:rPr>
          <w:rFonts w:ascii="Palatino Linotype" w:eastAsia="Palatino Linotype" w:hAnsi="Palatino Linotype" w:cs="Palatino Linotype"/>
        </w:rPr>
        <w:t>siguientes</w:t>
      </w:r>
      <w:r w:rsidRPr="00812DAC">
        <w:rPr>
          <w:rFonts w:ascii="Palatino Linotype" w:eastAsia="Palatino Linotype" w:hAnsi="Palatino Linotype" w:cs="Palatino Linotype"/>
          <w:color w:val="222222"/>
        </w:rPr>
        <w:t>:</w:t>
      </w:r>
      <w:r w:rsidR="00812DAC">
        <w:rPr>
          <w:rFonts w:ascii="Palatino Linotype" w:eastAsia="Palatino Linotype" w:hAnsi="Palatino Linotype" w:cs="Palatino Linotype"/>
          <w:color w:val="222222"/>
        </w:rPr>
        <w:t xml:space="preserve"> -----------------------------------------------------------------------------------------------------------</w:t>
      </w:r>
    </w:p>
    <w:p w:rsidR="00812DAC" w:rsidRDefault="00812DAC" w:rsidP="00812DAC">
      <w:pPr>
        <w:pStyle w:val="Prrafodelista"/>
        <w:rPr>
          <w:rFonts w:ascii="Palatino Linotype" w:eastAsia="Palatino Linotype" w:hAnsi="Palatino Linotype" w:cs="Palatino Linotype"/>
        </w:rPr>
      </w:pPr>
    </w:p>
    <w:p w:rsidR="00812DAC" w:rsidRDefault="00812DAC" w:rsidP="00812DAC">
      <w:pPr>
        <w:pBdr>
          <w:top w:val="nil"/>
          <w:left w:val="nil"/>
          <w:bottom w:val="nil"/>
          <w:right w:val="nil"/>
          <w:between w:val="nil"/>
        </w:pBdr>
        <w:spacing w:line="360" w:lineRule="auto"/>
        <w:jc w:val="both"/>
        <w:rPr>
          <w:rFonts w:ascii="Palatino Linotype" w:eastAsia="Palatino Linotype" w:hAnsi="Palatino Linotype" w:cs="Palatino Linotype"/>
        </w:rPr>
      </w:pPr>
    </w:p>
    <w:p w:rsidR="00812DAC" w:rsidRDefault="00812DAC" w:rsidP="00812DAC">
      <w:pPr>
        <w:pBdr>
          <w:top w:val="nil"/>
          <w:left w:val="nil"/>
          <w:bottom w:val="nil"/>
          <w:right w:val="nil"/>
          <w:between w:val="nil"/>
        </w:pBdr>
        <w:spacing w:line="360" w:lineRule="auto"/>
        <w:jc w:val="both"/>
        <w:rPr>
          <w:rFonts w:ascii="Palatino Linotype" w:eastAsia="Palatino Linotype" w:hAnsi="Palatino Linotype" w:cs="Palatino Linotype"/>
        </w:rPr>
      </w:pPr>
    </w:p>
    <w:p w:rsidR="00812DAC" w:rsidRPr="00812DAC" w:rsidRDefault="00812DAC" w:rsidP="00812DAC">
      <w:pPr>
        <w:pBdr>
          <w:top w:val="nil"/>
          <w:left w:val="nil"/>
          <w:bottom w:val="nil"/>
          <w:right w:val="nil"/>
          <w:between w:val="nil"/>
        </w:pBdr>
        <w:spacing w:line="360" w:lineRule="auto"/>
        <w:jc w:val="both"/>
        <w:rPr>
          <w:rFonts w:ascii="Palatino Linotype" w:eastAsia="Palatino Linotype" w:hAnsi="Palatino Linotype" w:cs="Palatino Linotype"/>
        </w:rPr>
      </w:pPr>
    </w:p>
    <w:p w:rsidR="005328BE" w:rsidRPr="00812DAC" w:rsidRDefault="00BB7E2E">
      <w:pPr>
        <w:pStyle w:val="Ttulo1"/>
        <w:spacing w:before="0" w:line="360" w:lineRule="auto"/>
        <w:ind w:right="49"/>
        <w:jc w:val="center"/>
        <w:rPr>
          <w:rFonts w:ascii="Palatino Linotype" w:eastAsia="Palatino Linotype" w:hAnsi="Palatino Linotype" w:cs="Palatino Linotype"/>
          <w:b/>
          <w:bCs/>
          <w:color w:val="000000"/>
          <w:sz w:val="24"/>
          <w:szCs w:val="24"/>
        </w:rPr>
      </w:pPr>
      <w:r w:rsidRPr="00812DAC">
        <w:rPr>
          <w:rFonts w:ascii="Palatino Linotype" w:eastAsia="Palatino Linotype" w:hAnsi="Palatino Linotype" w:cs="Palatino Linotype"/>
          <w:b/>
          <w:bCs/>
          <w:color w:val="000000"/>
          <w:sz w:val="24"/>
          <w:szCs w:val="24"/>
        </w:rPr>
        <w:t>R E S O L U T I V O S</w:t>
      </w: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spacing w:line="360" w:lineRule="auto"/>
        <w:jc w:val="both"/>
        <w:rPr>
          <w:rFonts w:ascii="Palatino Linotype" w:eastAsia="Palatino Linotype" w:hAnsi="Palatino Linotype" w:cs="Palatino Linotype"/>
        </w:rPr>
      </w:pPr>
      <w:bookmarkStart w:id="8" w:name="_heading=h.1t3h5sf" w:colFirst="0" w:colLast="0"/>
      <w:bookmarkEnd w:id="8"/>
      <w:r w:rsidRPr="00812DAC">
        <w:rPr>
          <w:rFonts w:ascii="Palatino Linotype" w:eastAsia="Palatino Linotype" w:hAnsi="Palatino Linotype" w:cs="Palatino Linotype"/>
          <w:b/>
          <w:bCs/>
        </w:rPr>
        <w:t>PRIMERO</w:t>
      </w:r>
      <w:r w:rsidRPr="00812DAC">
        <w:rPr>
          <w:rFonts w:ascii="Palatino Linotype" w:eastAsia="Palatino Linotype" w:hAnsi="Palatino Linotype" w:cs="Palatino Linotype"/>
        </w:rPr>
        <w:t xml:space="preserve">. Resultan infundadas las razones o motivos de inconformidad hechos valer en el Recurso de Revisión </w:t>
      </w:r>
      <w:r w:rsidRPr="00812DAC">
        <w:rPr>
          <w:rFonts w:ascii="Palatino Linotype" w:eastAsia="Palatino Linotype" w:hAnsi="Palatino Linotype" w:cs="Palatino Linotype"/>
          <w:b/>
          <w:bCs/>
        </w:rPr>
        <w:t>08193/INFOEM/IP/RR/2025</w:t>
      </w:r>
      <w:r w:rsidRPr="00812DAC">
        <w:rPr>
          <w:rFonts w:ascii="Palatino Linotype" w:eastAsia="Palatino Linotype" w:hAnsi="Palatino Linotype" w:cs="Palatino Linotype"/>
        </w:rPr>
        <w:t xml:space="preserve">, en términos del Considerando </w:t>
      </w:r>
      <w:r w:rsidRPr="00812DAC">
        <w:rPr>
          <w:rFonts w:ascii="Palatino Linotype" w:eastAsia="Palatino Linotype" w:hAnsi="Palatino Linotype" w:cs="Palatino Linotype"/>
          <w:b/>
          <w:bCs/>
        </w:rPr>
        <w:t>CUARTO</w:t>
      </w:r>
      <w:r w:rsidRPr="00812DAC">
        <w:rPr>
          <w:rFonts w:ascii="Palatino Linotype" w:eastAsia="Palatino Linotype" w:hAnsi="Palatino Linotype" w:cs="Palatino Linotype"/>
        </w:rPr>
        <w:t xml:space="preserve"> de la presente Resolución.</w:t>
      </w:r>
    </w:p>
    <w:p w:rsidR="005328BE" w:rsidRPr="00812DAC" w:rsidRDefault="005328BE">
      <w:pPr>
        <w:spacing w:line="360" w:lineRule="auto"/>
        <w:jc w:val="both"/>
        <w:rPr>
          <w:rFonts w:ascii="Palatino Linotype" w:eastAsia="Palatino Linotype" w:hAnsi="Palatino Linotype" w:cs="Palatino Linotype"/>
        </w:rPr>
      </w:pPr>
    </w:p>
    <w:p w:rsidR="005328BE" w:rsidRPr="00812DAC" w:rsidRDefault="00BB7E2E">
      <w:pPr>
        <w:spacing w:line="360" w:lineRule="auto"/>
        <w:jc w:val="both"/>
        <w:rPr>
          <w:rFonts w:ascii="Palatino Linotype" w:eastAsia="Palatino Linotype" w:hAnsi="Palatino Linotype" w:cs="Palatino Linotype"/>
          <w:color w:val="000000"/>
        </w:rPr>
      </w:pPr>
      <w:r w:rsidRPr="00812DAC">
        <w:rPr>
          <w:rFonts w:ascii="Palatino Linotype" w:eastAsia="Palatino Linotype" w:hAnsi="Palatino Linotype" w:cs="Palatino Linotype"/>
          <w:b/>
          <w:bCs/>
        </w:rPr>
        <w:t>SEGUNDO</w:t>
      </w:r>
      <w:r w:rsidRPr="00812DAC">
        <w:rPr>
          <w:rFonts w:ascii="Palatino Linotype" w:eastAsia="Palatino Linotype" w:hAnsi="Palatino Linotype" w:cs="Palatino Linotype"/>
        </w:rPr>
        <w:t xml:space="preserve">. Se </w:t>
      </w:r>
      <w:r w:rsidRPr="00812DAC">
        <w:rPr>
          <w:rFonts w:ascii="Palatino Linotype" w:eastAsia="Palatino Linotype" w:hAnsi="Palatino Linotype" w:cs="Palatino Linotype"/>
          <w:b/>
          <w:bCs/>
        </w:rPr>
        <w:t>CONFIRMA</w:t>
      </w:r>
      <w:r w:rsidRPr="00812DAC">
        <w:rPr>
          <w:rFonts w:ascii="Palatino Linotype" w:eastAsia="Palatino Linotype" w:hAnsi="Palatino Linotype" w:cs="Palatino Linotype"/>
        </w:rPr>
        <w:t xml:space="preserve"> la respuesta emitida por el </w:t>
      </w:r>
      <w:r w:rsidRPr="00812DAC">
        <w:rPr>
          <w:rFonts w:ascii="Palatino Linotype" w:eastAsia="Palatino Linotype" w:hAnsi="Palatino Linotype" w:cs="Palatino Linotype"/>
          <w:color w:val="000000"/>
        </w:rPr>
        <w:t>Ayuntamiento de Naucalpan de Juárez</w:t>
      </w:r>
      <w:r w:rsidRPr="00812DAC">
        <w:rPr>
          <w:rFonts w:ascii="Palatino Linotype" w:eastAsia="Palatino Linotype" w:hAnsi="Palatino Linotype" w:cs="Palatino Linotype"/>
          <w:b/>
          <w:bCs/>
        </w:rPr>
        <w:t xml:space="preserve">, </w:t>
      </w:r>
      <w:r w:rsidRPr="00812DAC">
        <w:rPr>
          <w:rFonts w:ascii="Palatino Linotype" w:eastAsia="Palatino Linotype" w:hAnsi="Palatino Linotype" w:cs="Palatino Linotype"/>
        </w:rPr>
        <w:t>en la Solicitud de Acceso a la Información Pública</w:t>
      </w:r>
      <w:r w:rsidRPr="00812DAC">
        <w:rPr>
          <w:rFonts w:ascii="Palatino Linotype" w:eastAsia="Palatino Linotype" w:hAnsi="Palatino Linotype" w:cs="Palatino Linotype"/>
          <w:b/>
          <w:bCs/>
        </w:rPr>
        <w:t> </w:t>
      </w:r>
      <w:r w:rsidRPr="00812DAC">
        <w:rPr>
          <w:rFonts w:ascii="Palatino Linotype" w:eastAsia="Palatino Linotype" w:hAnsi="Palatino Linotype" w:cs="Palatino Linotype"/>
          <w:b/>
          <w:bCs/>
          <w:color w:val="000000"/>
        </w:rPr>
        <w:t>00481/NAUCALPA/IP/2025</w:t>
      </w:r>
      <w:r w:rsidRPr="00812DAC">
        <w:rPr>
          <w:rFonts w:ascii="Palatino Linotype" w:eastAsia="Palatino Linotype" w:hAnsi="Palatino Linotype" w:cs="Palatino Linotype"/>
          <w:color w:val="000000"/>
        </w:rPr>
        <w:t>.</w:t>
      </w:r>
    </w:p>
    <w:p w:rsidR="005328BE" w:rsidRPr="00812DAC" w:rsidRDefault="005328BE">
      <w:pPr>
        <w:spacing w:line="360" w:lineRule="auto"/>
        <w:jc w:val="both"/>
        <w:rPr>
          <w:rFonts w:ascii="Palatino Linotype" w:eastAsia="Palatino Linotype" w:hAnsi="Palatino Linotype" w:cs="Palatino Linotype"/>
          <w:b/>
          <w:bCs/>
        </w:rPr>
      </w:pPr>
    </w:p>
    <w:p w:rsidR="005328BE" w:rsidRPr="00812DAC" w:rsidRDefault="00BB7E2E">
      <w:pPr>
        <w:spacing w:line="360" w:lineRule="auto"/>
        <w:jc w:val="both"/>
        <w:rPr>
          <w:rFonts w:ascii="Palatino Linotype" w:eastAsia="Palatino Linotype" w:hAnsi="Palatino Linotype" w:cs="Palatino Linotype"/>
        </w:rPr>
      </w:pPr>
      <w:r w:rsidRPr="00812DAC">
        <w:rPr>
          <w:rFonts w:ascii="Palatino Linotype" w:eastAsia="Palatino Linotype" w:hAnsi="Palatino Linotype" w:cs="Palatino Linotype"/>
          <w:b/>
          <w:bCs/>
        </w:rPr>
        <w:t>TERCERO.</w:t>
      </w:r>
      <w:r w:rsidRPr="00812DAC">
        <w:rPr>
          <w:rFonts w:ascii="Palatino Linotype" w:eastAsia="Palatino Linotype" w:hAnsi="Palatino Linotype" w:cs="Palatino Linotype"/>
        </w:rPr>
        <w:t xml:space="preserve"> Notifíquese al Titular de la Unidad de Transparencia del</w:t>
      </w:r>
      <w:r w:rsidRPr="00812DAC">
        <w:rPr>
          <w:rFonts w:ascii="Palatino Linotype" w:eastAsia="Palatino Linotype" w:hAnsi="Palatino Linotype" w:cs="Palatino Linotype"/>
          <w:b/>
          <w:bCs/>
        </w:rPr>
        <w:t xml:space="preserve"> SUJETO OBLIGADO</w:t>
      </w:r>
      <w:r w:rsidRPr="00812DAC">
        <w:rPr>
          <w:rFonts w:ascii="Palatino Linotype" w:eastAsia="Palatino Linotype" w:hAnsi="Palatino Linotype" w:cs="Palatino Linotype"/>
        </w:rPr>
        <w:t xml:space="preserve"> vía </w:t>
      </w:r>
      <w:r w:rsidRPr="00812DAC">
        <w:rPr>
          <w:rFonts w:ascii="Palatino Linotype" w:eastAsia="Palatino Linotype" w:hAnsi="Palatino Linotype" w:cs="Palatino Linotype"/>
          <w:b/>
          <w:bCs/>
        </w:rPr>
        <w:t>SAIMEX</w:t>
      </w:r>
      <w:r w:rsidRPr="00812DAC">
        <w:rPr>
          <w:rFonts w:ascii="Palatino Linotype" w:eastAsia="Palatino Linotype" w:hAnsi="Palatino Linotype" w:cs="Palatino Linotype"/>
        </w:rPr>
        <w:t>, para su conocimiento.</w:t>
      </w:r>
    </w:p>
    <w:p w:rsidR="005328BE" w:rsidRPr="00812DAC" w:rsidRDefault="005328BE">
      <w:pPr>
        <w:shd w:val="clear" w:color="auto" w:fill="FFFFFF"/>
        <w:spacing w:line="360" w:lineRule="auto"/>
        <w:jc w:val="both"/>
        <w:rPr>
          <w:rFonts w:ascii="Palatino Linotype" w:eastAsia="Palatino Linotype" w:hAnsi="Palatino Linotype" w:cs="Palatino Linotype"/>
        </w:rPr>
      </w:pPr>
    </w:p>
    <w:p w:rsidR="005328BE" w:rsidRPr="00812DAC" w:rsidRDefault="00BB7E2E">
      <w:pPr>
        <w:shd w:val="clear" w:color="auto" w:fill="FFFFFF"/>
        <w:spacing w:line="360" w:lineRule="auto"/>
        <w:jc w:val="both"/>
        <w:rPr>
          <w:rFonts w:ascii="Palatino Linotype" w:eastAsia="Palatino Linotype" w:hAnsi="Palatino Linotype" w:cs="Palatino Linotype"/>
        </w:rPr>
      </w:pPr>
      <w:r w:rsidRPr="00812DAC">
        <w:rPr>
          <w:rFonts w:ascii="Palatino Linotype" w:eastAsia="Palatino Linotype" w:hAnsi="Palatino Linotype" w:cs="Palatino Linotype"/>
          <w:b/>
          <w:bCs/>
        </w:rPr>
        <w:t>CUARTO.</w:t>
      </w:r>
      <w:r w:rsidRPr="00812DAC">
        <w:rPr>
          <w:rFonts w:ascii="Palatino Linotype" w:eastAsia="Palatino Linotype" w:hAnsi="Palatino Linotype" w:cs="Palatino Linotype"/>
        </w:rPr>
        <w:t xml:space="preserve"> Notifíquese a la</w:t>
      </w:r>
      <w:r w:rsidRPr="00812DAC">
        <w:rPr>
          <w:rFonts w:ascii="Palatino Linotype" w:eastAsia="Palatino Linotype" w:hAnsi="Palatino Linotype" w:cs="Palatino Linotype"/>
          <w:b/>
          <w:bCs/>
        </w:rPr>
        <w:t xml:space="preserve"> RECURRENTE</w:t>
      </w:r>
      <w:r w:rsidRPr="00812DAC">
        <w:rPr>
          <w:rFonts w:ascii="Palatino Linotype" w:eastAsia="Palatino Linotype" w:hAnsi="Palatino Linotype" w:cs="Palatino Linotype"/>
        </w:rPr>
        <w:t xml:space="preserve"> la presente Resolución vía SAIMEX.</w:t>
      </w:r>
    </w:p>
    <w:p w:rsidR="005328BE" w:rsidRPr="00812DAC" w:rsidRDefault="005328BE">
      <w:pPr>
        <w:shd w:val="clear" w:color="auto" w:fill="FFFFFF"/>
        <w:spacing w:line="360" w:lineRule="auto"/>
        <w:jc w:val="both"/>
        <w:rPr>
          <w:rFonts w:ascii="Palatino Linotype" w:eastAsia="Palatino Linotype" w:hAnsi="Palatino Linotype" w:cs="Palatino Linotype"/>
          <w:b/>
          <w:bCs/>
        </w:rPr>
      </w:pPr>
    </w:p>
    <w:p w:rsidR="005328BE" w:rsidRPr="00812DAC" w:rsidRDefault="00BB7E2E">
      <w:pPr>
        <w:shd w:val="clear" w:color="auto" w:fill="FFFFFF"/>
        <w:spacing w:line="360" w:lineRule="auto"/>
        <w:jc w:val="both"/>
        <w:rPr>
          <w:rFonts w:ascii="Palatino Linotype" w:eastAsia="Palatino Linotype" w:hAnsi="Palatino Linotype" w:cs="Palatino Linotype"/>
        </w:rPr>
      </w:pPr>
      <w:r w:rsidRPr="00812DAC">
        <w:rPr>
          <w:rFonts w:ascii="Palatino Linotype" w:eastAsia="Palatino Linotype" w:hAnsi="Palatino Linotype" w:cs="Palatino Linotype"/>
          <w:b/>
          <w:bCs/>
        </w:rPr>
        <w:t xml:space="preserve">QUINTO. </w:t>
      </w:r>
      <w:r w:rsidRPr="00812DAC">
        <w:rPr>
          <w:rFonts w:ascii="Palatino Linotype" w:eastAsia="Palatino Linotype" w:hAnsi="Palatino Linotype" w:cs="Palatino Linotype"/>
        </w:rPr>
        <w:t>Se hace del conocimiento de la</w:t>
      </w:r>
      <w:r w:rsidRPr="00812DAC">
        <w:rPr>
          <w:rFonts w:ascii="Palatino Linotype" w:eastAsia="Palatino Linotype" w:hAnsi="Palatino Linotype" w:cs="Palatino Linotype"/>
          <w:b/>
          <w:bCs/>
        </w:rPr>
        <w:t xml:space="preserve"> RECURRENTE</w:t>
      </w:r>
      <w:r w:rsidRPr="00812DAC">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328BE" w:rsidRPr="00812DAC" w:rsidRDefault="005328BE">
      <w:pPr>
        <w:shd w:val="clear" w:color="auto" w:fill="FFFFFF"/>
        <w:spacing w:line="360" w:lineRule="auto"/>
        <w:jc w:val="both"/>
        <w:rPr>
          <w:rFonts w:ascii="Palatino Linotype" w:eastAsia="Palatino Linotype" w:hAnsi="Palatino Linotype" w:cs="Palatino Linotype"/>
        </w:rPr>
      </w:pPr>
    </w:p>
    <w:p w:rsidR="00161E02" w:rsidRPr="00812DAC" w:rsidRDefault="00161E02" w:rsidP="00161E02">
      <w:pPr>
        <w:spacing w:before="240" w:after="240" w:line="360" w:lineRule="auto"/>
        <w:ind w:firstLine="1"/>
        <w:jc w:val="both"/>
        <w:rPr>
          <w:rFonts w:ascii="Palatino Linotype" w:hAnsi="Palatino Linotype"/>
        </w:rPr>
      </w:pPr>
      <w:bookmarkStart w:id="9" w:name="_Hlk99014733"/>
      <w:r w:rsidRPr="00812DAC">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812DAC">
        <w:rPr>
          <w:rFonts w:ascii="Palatino Linotype" w:hAnsi="Palatino Linotype" w:cs="Palatino Linotype"/>
          <w:color w:val="000000" w:themeColor="text1"/>
        </w:rPr>
        <w:t>ALEXIS TAPIA RAMÍREZ.</w:t>
      </w:r>
    </w:p>
    <w:bookmarkEnd w:id="9"/>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BB7E2E">
      <w:pPr>
        <w:tabs>
          <w:tab w:val="left" w:pos="3374"/>
        </w:tabs>
        <w:spacing w:line="360" w:lineRule="auto"/>
        <w:ind w:right="49"/>
        <w:jc w:val="both"/>
        <w:rPr>
          <w:rFonts w:ascii="Palatino Linotype" w:eastAsia="Palatino Linotype" w:hAnsi="Palatino Linotype" w:cs="Palatino Linotype"/>
        </w:rPr>
      </w:pPr>
      <w:r w:rsidRPr="00812DAC">
        <w:rPr>
          <w:rFonts w:ascii="Palatino Linotype" w:eastAsia="Palatino Linotype" w:hAnsi="Palatino Linotype" w:cs="Palatino Linotype"/>
        </w:rPr>
        <w:tab/>
      </w: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Default="005328BE">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Default="00812DAC">
      <w:pPr>
        <w:tabs>
          <w:tab w:val="left" w:pos="3374"/>
        </w:tabs>
        <w:spacing w:line="360" w:lineRule="auto"/>
        <w:ind w:right="49"/>
        <w:jc w:val="both"/>
        <w:rPr>
          <w:rFonts w:ascii="Palatino Linotype" w:eastAsia="Palatino Linotype" w:hAnsi="Palatino Linotype" w:cs="Palatino Linotype"/>
        </w:rPr>
      </w:pPr>
    </w:p>
    <w:p w:rsidR="00812DAC" w:rsidRPr="00812DAC" w:rsidRDefault="00812DAC">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tabs>
          <w:tab w:val="left" w:pos="3374"/>
        </w:tabs>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p w:rsidR="005328BE" w:rsidRPr="00812DAC" w:rsidRDefault="005328BE">
      <w:pPr>
        <w:spacing w:line="360" w:lineRule="auto"/>
        <w:ind w:right="49"/>
        <w:jc w:val="both"/>
        <w:rPr>
          <w:rFonts w:ascii="Palatino Linotype" w:eastAsia="Palatino Linotype" w:hAnsi="Palatino Linotype" w:cs="Palatino Linotype"/>
        </w:rPr>
      </w:pPr>
    </w:p>
    <w:sectPr w:rsidR="005328BE" w:rsidRPr="00812DAC" w:rsidSect="00812DAC">
      <w:headerReference w:type="even" r:id="rId8"/>
      <w:headerReference w:type="default" r:id="rId9"/>
      <w:footerReference w:type="default" r:id="rId10"/>
      <w:headerReference w:type="first" r:id="rId11"/>
      <w:footerReference w:type="first" r:id="rId12"/>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450" w:rsidRDefault="00C21450">
      <w:r>
        <w:separator/>
      </w:r>
    </w:p>
  </w:endnote>
  <w:endnote w:type="continuationSeparator" w:id="0">
    <w:p w:rsidR="00C21450" w:rsidRDefault="00C21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26A8C4A-C2AB-43A2-B8F5-ECC8D75C2454}"/>
    <w:embedBold r:id="rId2" w:fontKey="{965A2F7A-E58E-47B2-8FFD-A94212691E9B}"/>
    <w:embedItalic r:id="rId3" w:fontKey="{A3035C3B-D1BE-4546-8CBE-1B04CC01412A}"/>
    <w:embedBoldItalic r:id="rId4" w:fontKey="{E9A55303-0A6D-4FBA-B031-778489F03E64}"/>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347F3114-8AEF-4063-8930-9DC4BD00F1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AAF351D-A803-4147-98A4-A43B95DFE70D}"/>
    <w:embedBold r:id="rId7" w:fontKey="{85D2536C-1D43-443F-BD84-27D4A7EA9A24}"/>
    <w:embedItalic r:id="rId8" w:fontKey="{A97F411B-C1E6-4F9D-B1DF-583007D8C658}"/>
  </w:font>
  <w:font w:name="Calibri Light">
    <w:panose1 w:val="020F0302020204030204"/>
    <w:charset w:val="00"/>
    <w:family w:val="swiss"/>
    <w:pitch w:val="variable"/>
    <w:sig w:usb0="E4002EFF" w:usb1="C200247B" w:usb2="00000009" w:usb3="00000000" w:csb0="000001FF" w:csb1="00000000"/>
    <w:embedRegular r:id="rId9" w:fontKey="{3CF5AC8F-6999-4A16-BD02-13CE9A63A6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9BF6E6AA-9674-4230-8EC2-BC5E989B3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BE" w:rsidRPr="00A822A7" w:rsidRDefault="00BB7E2E">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A822A7">
      <w:rPr>
        <w:rFonts w:ascii="Palatino Linotype" w:eastAsia="Palatino Linotype" w:hAnsi="Palatino Linotype" w:cs="Palatino Linotype"/>
        <w:b/>
        <w:color w:val="000000"/>
        <w:sz w:val="22"/>
        <w:szCs w:val="20"/>
      </w:rPr>
      <w:t xml:space="preserve">Página </w:t>
    </w:r>
    <w:r w:rsidRPr="00A822A7">
      <w:rPr>
        <w:rFonts w:ascii="Palatino Linotype" w:eastAsia="Palatino Linotype" w:hAnsi="Palatino Linotype" w:cs="Palatino Linotype"/>
        <w:b/>
        <w:color w:val="000000"/>
        <w:sz w:val="22"/>
        <w:szCs w:val="20"/>
      </w:rPr>
      <w:fldChar w:fldCharType="begin"/>
    </w:r>
    <w:r w:rsidRPr="00A822A7">
      <w:rPr>
        <w:rFonts w:ascii="Palatino Linotype" w:eastAsia="Palatino Linotype" w:hAnsi="Palatino Linotype" w:cs="Palatino Linotype"/>
        <w:b/>
        <w:color w:val="000000"/>
        <w:sz w:val="22"/>
        <w:szCs w:val="20"/>
      </w:rPr>
      <w:instrText>PAGE</w:instrText>
    </w:r>
    <w:r w:rsidRPr="00A822A7">
      <w:rPr>
        <w:rFonts w:ascii="Palatino Linotype" w:eastAsia="Palatino Linotype" w:hAnsi="Palatino Linotype" w:cs="Palatino Linotype"/>
        <w:b/>
        <w:color w:val="000000"/>
        <w:sz w:val="22"/>
        <w:szCs w:val="20"/>
      </w:rPr>
      <w:fldChar w:fldCharType="separate"/>
    </w:r>
    <w:r w:rsidR="00863367">
      <w:rPr>
        <w:rFonts w:ascii="Palatino Linotype" w:eastAsia="Palatino Linotype" w:hAnsi="Palatino Linotype" w:cs="Palatino Linotype"/>
        <w:b/>
        <w:noProof/>
        <w:color w:val="000000"/>
        <w:sz w:val="22"/>
        <w:szCs w:val="20"/>
      </w:rPr>
      <w:t>21</w:t>
    </w:r>
    <w:r w:rsidRPr="00A822A7">
      <w:rPr>
        <w:rFonts w:ascii="Palatino Linotype" w:eastAsia="Palatino Linotype" w:hAnsi="Palatino Linotype" w:cs="Palatino Linotype"/>
        <w:b/>
        <w:color w:val="000000"/>
        <w:sz w:val="22"/>
        <w:szCs w:val="20"/>
      </w:rPr>
      <w:fldChar w:fldCharType="end"/>
    </w:r>
    <w:r w:rsidRPr="00A822A7">
      <w:rPr>
        <w:rFonts w:ascii="Palatino Linotype" w:eastAsia="Palatino Linotype" w:hAnsi="Palatino Linotype" w:cs="Palatino Linotype"/>
        <w:b/>
        <w:color w:val="000000"/>
        <w:sz w:val="22"/>
        <w:szCs w:val="20"/>
      </w:rPr>
      <w:t xml:space="preserve"> de </w:t>
    </w:r>
    <w:r w:rsidRPr="00A822A7">
      <w:rPr>
        <w:rFonts w:ascii="Palatino Linotype" w:eastAsia="Palatino Linotype" w:hAnsi="Palatino Linotype" w:cs="Palatino Linotype"/>
        <w:b/>
        <w:color w:val="000000"/>
        <w:sz w:val="22"/>
        <w:szCs w:val="20"/>
      </w:rPr>
      <w:fldChar w:fldCharType="begin"/>
    </w:r>
    <w:r w:rsidRPr="00A822A7">
      <w:rPr>
        <w:rFonts w:ascii="Palatino Linotype" w:eastAsia="Palatino Linotype" w:hAnsi="Palatino Linotype" w:cs="Palatino Linotype"/>
        <w:b/>
        <w:color w:val="000000"/>
        <w:sz w:val="22"/>
        <w:szCs w:val="20"/>
      </w:rPr>
      <w:instrText>NUMPAGES</w:instrText>
    </w:r>
    <w:r w:rsidRPr="00A822A7">
      <w:rPr>
        <w:rFonts w:ascii="Palatino Linotype" w:eastAsia="Palatino Linotype" w:hAnsi="Palatino Linotype" w:cs="Palatino Linotype"/>
        <w:b/>
        <w:color w:val="000000"/>
        <w:sz w:val="22"/>
        <w:szCs w:val="20"/>
      </w:rPr>
      <w:fldChar w:fldCharType="separate"/>
    </w:r>
    <w:r w:rsidR="00863367">
      <w:rPr>
        <w:rFonts w:ascii="Palatino Linotype" w:eastAsia="Palatino Linotype" w:hAnsi="Palatino Linotype" w:cs="Palatino Linotype"/>
        <w:b/>
        <w:noProof/>
        <w:color w:val="000000"/>
        <w:sz w:val="22"/>
        <w:szCs w:val="20"/>
      </w:rPr>
      <w:t>24</w:t>
    </w:r>
    <w:r w:rsidRPr="00A822A7">
      <w:rPr>
        <w:rFonts w:ascii="Palatino Linotype" w:eastAsia="Palatino Linotype" w:hAnsi="Palatino Linotype" w:cs="Palatino Linotype"/>
        <w:b/>
        <w:color w:val="000000"/>
        <w:sz w:val="22"/>
        <w:szCs w:val="20"/>
      </w:rPr>
      <w:fldChar w:fldCharType="end"/>
    </w:r>
  </w:p>
  <w:p w:rsidR="005328BE" w:rsidRDefault="005328B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BE" w:rsidRPr="00A822A7" w:rsidRDefault="00BB7E2E">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A822A7">
      <w:rPr>
        <w:rFonts w:ascii="Palatino Linotype" w:eastAsia="Palatino Linotype" w:hAnsi="Palatino Linotype" w:cs="Palatino Linotype"/>
        <w:b/>
        <w:color w:val="000000"/>
        <w:sz w:val="22"/>
        <w:szCs w:val="20"/>
      </w:rPr>
      <w:t xml:space="preserve">Página </w:t>
    </w:r>
    <w:r w:rsidRPr="00A822A7">
      <w:rPr>
        <w:rFonts w:ascii="Palatino Linotype" w:eastAsia="Palatino Linotype" w:hAnsi="Palatino Linotype" w:cs="Palatino Linotype"/>
        <w:b/>
        <w:color w:val="000000"/>
        <w:sz w:val="22"/>
        <w:szCs w:val="20"/>
      </w:rPr>
      <w:fldChar w:fldCharType="begin"/>
    </w:r>
    <w:r w:rsidRPr="00A822A7">
      <w:rPr>
        <w:rFonts w:ascii="Palatino Linotype" w:eastAsia="Palatino Linotype" w:hAnsi="Palatino Linotype" w:cs="Palatino Linotype"/>
        <w:b/>
        <w:color w:val="000000"/>
        <w:sz w:val="22"/>
        <w:szCs w:val="20"/>
      </w:rPr>
      <w:instrText>PAGE</w:instrText>
    </w:r>
    <w:r w:rsidRPr="00A822A7">
      <w:rPr>
        <w:rFonts w:ascii="Palatino Linotype" w:eastAsia="Palatino Linotype" w:hAnsi="Palatino Linotype" w:cs="Palatino Linotype"/>
        <w:b/>
        <w:color w:val="000000"/>
        <w:sz w:val="22"/>
        <w:szCs w:val="20"/>
      </w:rPr>
      <w:fldChar w:fldCharType="separate"/>
    </w:r>
    <w:r w:rsidR="00863367">
      <w:rPr>
        <w:rFonts w:ascii="Palatino Linotype" w:eastAsia="Palatino Linotype" w:hAnsi="Palatino Linotype" w:cs="Palatino Linotype"/>
        <w:b/>
        <w:noProof/>
        <w:color w:val="000000"/>
        <w:sz w:val="22"/>
        <w:szCs w:val="20"/>
      </w:rPr>
      <w:t>1</w:t>
    </w:r>
    <w:r w:rsidRPr="00A822A7">
      <w:rPr>
        <w:rFonts w:ascii="Palatino Linotype" w:eastAsia="Palatino Linotype" w:hAnsi="Palatino Linotype" w:cs="Palatino Linotype"/>
        <w:b/>
        <w:color w:val="000000"/>
        <w:sz w:val="22"/>
        <w:szCs w:val="20"/>
      </w:rPr>
      <w:fldChar w:fldCharType="end"/>
    </w:r>
    <w:r w:rsidRPr="00A822A7">
      <w:rPr>
        <w:rFonts w:ascii="Palatino Linotype" w:eastAsia="Palatino Linotype" w:hAnsi="Palatino Linotype" w:cs="Palatino Linotype"/>
        <w:b/>
        <w:color w:val="000000"/>
        <w:sz w:val="22"/>
        <w:szCs w:val="20"/>
      </w:rPr>
      <w:t xml:space="preserve"> de </w:t>
    </w:r>
    <w:r w:rsidRPr="00A822A7">
      <w:rPr>
        <w:rFonts w:ascii="Palatino Linotype" w:eastAsia="Palatino Linotype" w:hAnsi="Palatino Linotype" w:cs="Palatino Linotype"/>
        <w:b/>
        <w:color w:val="000000"/>
        <w:sz w:val="22"/>
        <w:szCs w:val="20"/>
      </w:rPr>
      <w:fldChar w:fldCharType="begin"/>
    </w:r>
    <w:r w:rsidRPr="00A822A7">
      <w:rPr>
        <w:rFonts w:ascii="Palatino Linotype" w:eastAsia="Palatino Linotype" w:hAnsi="Palatino Linotype" w:cs="Palatino Linotype"/>
        <w:b/>
        <w:color w:val="000000"/>
        <w:sz w:val="22"/>
        <w:szCs w:val="20"/>
      </w:rPr>
      <w:instrText>NUMPAGES</w:instrText>
    </w:r>
    <w:r w:rsidRPr="00A822A7">
      <w:rPr>
        <w:rFonts w:ascii="Palatino Linotype" w:eastAsia="Palatino Linotype" w:hAnsi="Palatino Linotype" w:cs="Palatino Linotype"/>
        <w:b/>
        <w:color w:val="000000"/>
        <w:sz w:val="22"/>
        <w:szCs w:val="20"/>
      </w:rPr>
      <w:fldChar w:fldCharType="separate"/>
    </w:r>
    <w:r w:rsidR="00863367">
      <w:rPr>
        <w:rFonts w:ascii="Palatino Linotype" w:eastAsia="Palatino Linotype" w:hAnsi="Palatino Linotype" w:cs="Palatino Linotype"/>
        <w:b/>
        <w:noProof/>
        <w:color w:val="000000"/>
        <w:sz w:val="22"/>
        <w:szCs w:val="20"/>
      </w:rPr>
      <w:t>24</w:t>
    </w:r>
    <w:r w:rsidRPr="00A822A7">
      <w:rPr>
        <w:rFonts w:ascii="Palatino Linotype" w:eastAsia="Palatino Linotype" w:hAnsi="Palatino Linotype" w:cs="Palatino Linotype"/>
        <w:b/>
        <w:color w:val="000000"/>
        <w:sz w:val="22"/>
        <w:szCs w:val="20"/>
      </w:rPr>
      <w:fldChar w:fldCharType="end"/>
    </w:r>
  </w:p>
  <w:p w:rsidR="005328BE" w:rsidRDefault="005328B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450" w:rsidRDefault="00C21450">
      <w:r>
        <w:separator/>
      </w:r>
    </w:p>
  </w:footnote>
  <w:footnote w:type="continuationSeparator" w:id="0">
    <w:p w:rsidR="00C21450" w:rsidRDefault="00C21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BE" w:rsidRDefault="00C2145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229" w:type="dxa"/>
      <w:tblInd w:w="2694" w:type="dxa"/>
      <w:tblLayout w:type="fixed"/>
      <w:tblLook w:val="0400" w:firstRow="0" w:lastRow="0" w:firstColumn="0" w:lastColumn="0" w:noHBand="0" w:noVBand="1"/>
    </w:tblPr>
    <w:tblGrid>
      <w:gridCol w:w="2976"/>
      <w:gridCol w:w="4253"/>
    </w:tblGrid>
    <w:tr w:rsidR="005328BE" w:rsidTr="00A822A7">
      <w:trPr>
        <w:trHeight w:val="227"/>
      </w:trPr>
      <w:tc>
        <w:tcPr>
          <w:tcW w:w="2976" w:type="dxa"/>
          <w:vAlign w:val="center"/>
        </w:tcPr>
        <w:p w:rsidR="005328BE" w:rsidRPr="00A822A7" w:rsidRDefault="00BB7E2E">
          <w:pPr>
            <w:ind w:right="34"/>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Recurso de Revisión:</w:t>
          </w:r>
        </w:p>
      </w:tc>
      <w:tc>
        <w:tcPr>
          <w:tcW w:w="4253" w:type="dxa"/>
          <w:vAlign w:val="center"/>
        </w:tcPr>
        <w:p w:rsidR="005328BE" w:rsidRPr="00A822A7" w:rsidRDefault="00BB7E2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A822A7">
            <w:rPr>
              <w:rFonts w:ascii="Palatino Linotype" w:eastAsia="Palatino Linotype" w:hAnsi="Palatino Linotype" w:cs="Palatino Linotype"/>
              <w:color w:val="000000"/>
              <w:szCs w:val="22"/>
            </w:rPr>
            <w:t>08193/INFOEM/IP/RR/2025</w:t>
          </w:r>
        </w:p>
      </w:tc>
    </w:tr>
    <w:tr w:rsidR="005328BE" w:rsidTr="00A822A7">
      <w:trPr>
        <w:trHeight w:val="242"/>
      </w:trPr>
      <w:tc>
        <w:tcPr>
          <w:tcW w:w="2976" w:type="dxa"/>
          <w:vAlign w:val="center"/>
        </w:tcPr>
        <w:p w:rsidR="005328BE" w:rsidRPr="00A822A7" w:rsidRDefault="00BB7E2E">
          <w:pPr>
            <w:ind w:right="34"/>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Sujeto Obligado:</w:t>
          </w:r>
        </w:p>
      </w:tc>
      <w:tc>
        <w:tcPr>
          <w:tcW w:w="4253" w:type="dxa"/>
          <w:vAlign w:val="center"/>
        </w:tcPr>
        <w:p w:rsidR="005328BE" w:rsidRPr="00A822A7" w:rsidRDefault="00BB7E2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A822A7">
            <w:rPr>
              <w:rFonts w:ascii="Palatino Linotype" w:eastAsia="Palatino Linotype" w:hAnsi="Palatino Linotype" w:cs="Palatino Linotype"/>
              <w:color w:val="000000"/>
              <w:szCs w:val="22"/>
            </w:rPr>
            <w:t>Ayuntamiento de Naucalpan de Juárez</w:t>
          </w:r>
        </w:p>
      </w:tc>
    </w:tr>
    <w:tr w:rsidR="005328BE" w:rsidTr="00A822A7">
      <w:trPr>
        <w:trHeight w:val="342"/>
      </w:trPr>
      <w:tc>
        <w:tcPr>
          <w:tcW w:w="2976" w:type="dxa"/>
          <w:vAlign w:val="center"/>
        </w:tcPr>
        <w:p w:rsidR="005328BE" w:rsidRPr="00A822A7" w:rsidRDefault="00BB7E2E">
          <w:pPr>
            <w:ind w:right="34"/>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Comisionada Ponente:</w:t>
          </w:r>
        </w:p>
      </w:tc>
      <w:tc>
        <w:tcPr>
          <w:tcW w:w="4253" w:type="dxa"/>
          <w:vAlign w:val="center"/>
        </w:tcPr>
        <w:p w:rsidR="005328BE" w:rsidRPr="00A822A7" w:rsidRDefault="00BB7E2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A822A7">
            <w:rPr>
              <w:rFonts w:ascii="Palatino Linotype" w:eastAsia="Palatino Linotype" w:hAnsi="Palatino Linotype" w:cs="Palatino Linotype"/>
              <w:color w:val="000000"/>
              <w:szCs w:val="22"/>
            </w:rPr>
            <w:t>María del Rosario Mejía Ayala</w:t>
          </w:r>
        </w:p>
      </w:tc>
    </w:tr>
  </w:tbl>
  <w:p w:rsidR="005328BE" w:rsidRDefault="00C2145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3.7pt;margin-top:-127.0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7513" w:type="dxa"/>
      <w:tblInd w:w="2552" w:type="dxa"/>
      <w:tblLayout w:type="fixed"/>
      <w:tblLook w:val="0400" w:firstRow="0" w:lastRow="0" w:firstColumn="0" w:lastColumn="0" w:noHBand="0" w:noVBand="1"/>
    </w:tblPr>
    <w:tblGrid>
      <w:gridCol w:w="2977"/>
      <w:gridCol w:w="4536"/>
    </w:tblGrid>
    <w:tr w:rsidR="005328BE" w:rsidTr="00A822A7">
      <w:trPr>
        <w:trHeight w:val="227"/>
      </w:trPr>
      <w:tc>
        <w:tcPr>
          <w:tcW w:w="2977" w:type="dxa"/>
          <w:vAlign w:val="center"/>
        </w:tcPr>
        <w:p w:rsidR="005328BE" w:rsidRPr="00A822A7" w:rsidRDefault="00BB7E2E">
          <w:pPr>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Recurso de Revisión:</w:t>
          </w:r>
        </w:p>
      </w:tc>
      <w:tc>
        <w:tcPr>
          <w:tcW w:w="4536" w:type="dxa"/>
          <w:vAlign w:val="center"/>
        </w:tcPr>
        <w:p w:rsidR="005328BE" w:rsidRPr="00A822A7" w:rsidRDefault="00BB7E2E" w:rsidP="00A822A7">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A822A7">
            <w:rPr>
              <w:rFonts w:ascii="Palatino Linotype" w:eastAsia="Palatino Linotype" w:hAnsi="Palatino Linotype" w:cs="Palatino Linotype"/>
              <w:color w:val="000000"/>
              <w:szCs w:val="22"/>
            </w:rPr>
            <w:t>08193/INFOEM/IP/RR/2025</w:t>
          </w:r>
        </w:p>
      </w:tc>
    </w:tr>
    <w:tr w:rsidR="005328BE" w:rsidTr="00A822A7">
      <w:trPr>
        <w:trHeight w:val="242"/>
      </w:trPr>
      <w:tc>
        <w:tcPr>
          <w:tcW w:w="2977" w:type="dxa"/>
          <w:vAlign w:val="center"/>
        </w:tcPr>
        <w:p w:rsidR="005328BE" w:rsidRPr="00A822A7" w:rsidRDefault="00BB7E2E">
          <w:pPr>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Recurrente:</w:t>
          </w:r>
        </w:p>
      </w:tc>
      <w:tc>
        <w:tcPr>
          <w:tcW w:w="4536" w:type="dxa"/>
        </w:tcPr>
        <w:p w:rsidR="005328BE" w:rsidRPr="00A822A7" w:rsidRDefault="00863367" w:rsidP="00A822A7">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color w:val="000000"/>
              <w:szCs w:val="22"/>
            </w:rPr>
            <w:t>XXXX</w:t>
          </w:r>
        </w:p>
      </w:tc>
    </w:tr>
    <w:tr w:rsidR="005328BE" w:rsidTr="00A822A7">
      <w:trPr>
        <w:trHeight w:val="342"/>
      </w:trPr>
      <w:tc>
        <w:tcPr>
          <w:tcW w:w="2977" w:type="dxa"/>
          <w:vAlign w:val="center"/>
        </w:tcPr>
        <w:p w:rsidR="005328BE" w:rsidRPr="00A822A7" w:rsidRDefault="00BB7E2E">
          <w:pPr>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Sujeto Obligado:</w:t>
          </w:r>
        </w:p>
      </w:tc>
      <w:tc>
        <w:tcPr>
          <w:tcW w:w="4536" w:type="dxa"/>
          <w:vAlign w:val="center"/>
        </w:tcPr>
        <w:p w:rsidR="005328BE" w:rsidRPr="00A822A7" w:rsidRDefault="00BB7E2E" w:rsidP="00A822A7">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A822A7">
            <w:rPr>
              <w:rFonts w:ascii="Palatino Linotype" w:eastAsia="Palatino Linotype" w:hAnsi="Palatino Linotype" w:cs="Palatino Linotype"/>
              <w:color w:val="000000"/>
              <w:szCs w:val="22"/>
            </w:rPr>
            <w:t>Ayuntamiento de Naucalpan de Juárez</w:t>
          </w:r>
        </w:p>
      </w:tc>
    </w:tr>
    <w:tr w:rsidR="005328BE" w:rsidTr="00A822A7">
      <w:trPr>
        <w:trHeight w:val="342"/>
      </w:trPr>
      <w:tc>
        <w:tcPr>
          <w:tcW w:w="2977" w:type="dxa"/>
          <w:vAlign w:val="center"/>
        </w:tcPr>
        <w:p w:rsidR="005328BE" w:rsidRPr="00A822A7" w:rsidRDefault="00BB7E2E">
          <w:pPr>
            <w:jc w:val="right"/>
            <w:rPr>
              <w:rFonts w:ascii="Palatino Linotype" w:eastAsia="Palatino Linotype" w:hAnsi="Palatino Linotype" w:cs="Palatino Linotype"/>
              <w:b/>
              <w:bCs/>
              <w:szCs w:val="22"/>
            </w:rPr>
          </w:pPr>
          <w:r w:rsidRPr="00A822A7">
            <w:rPr>
              <w:rFonts w:ascii="Palatino Linotype" w:eastAsia="Palatino Linotype" w:hAnsi="Palatino Linotype" w:cs="Palatino Linotype"/>
              <w:b/>
              <w:bCs/>
              <w:szCs w:val="22"/>
            </w:rPr>
            <w:t>Comisionada Ponente:</w:t>
          </w:r>
        </w:p>
      </w:tc>
      <w:tc>
        <w:tcPr>
          <w:tcW w:w="4536" w:type="dxa"/>
          <w:vAlign w:val="center"/>
        </w:tcPr>
        <w:p w:rsidR="005328BE" w:rsidRPr="00A822A7" w:rsidRDefault="00BB7E2E" w:rsidP="00A822A7">
          <w:pPr>
            <w:pBdr>
              <w:top w:val="nil"/>
              <w:left w:val="nil"/>
              <w:bottom w:val="nil"/>
              <w:right w:val="nil"/>
              <w:between w:val="nil"/>
            </w:pBdr>
            <w:tabs>
              <w:tab w:val="right" w:pos="8838"/>
            </w:tabs>
            <w:rPr>
              <w:rFonts w:ascii="Palatino Linotype" w:eastAsia="Palatino Linotype" w:hAnsi="Palatino Linotype" w:cs="Palatino Linotype"/>
              <w:color w:val="000000"/>
              <w:szCs w:val="22"/>
            </w:rPr>
          </w:pPr>
          <w:r w:rsidRPr="00A822A7">
            <w:rPr>
              <w:rFonts w:ascii="Palatino Linotype" w:eastAsia="Palatino Linotype" w:hAnsi="Palatino Linotype" w:cs="Palatino Linotype"/>
              <w:color w:val="000000"/>
              <w:szCs w:val="22"/>
            </w:rPr>
            <w:t>María del Rosario Mejía Ayala</w:t>
          </w:r>
        </w:p>
      </w:tc>
    </w:tr>
  </w:tbl>
  <w:p w:rsidR="005328BE" w:rsidRDefault="00C2145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4.7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667C"/>
    <w:multiLevelType w:val="multilevel"/>
    <w:tmpl w:val="D6DA179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B03525"/>
    <w:multiLevelType w:val="multilevel"/>
    <w:tmpl w:val="0BDE93B4"/>
    <w:lvl w:ilvl="0">
      <w:start w:val="24"/>
      <w:numFmt w:val="decimal"/>
      <w:lvlText w:val="%1."/>
      <w:lvlJc w:val="left"/>
      <w:pPr>
        <w:ind w:left="644" w:hanging="359"/>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FF5EC5"/>
    <w:multiLevelType w:val="multilevel"/>
    <w:tmpl w:val="EA464654"/>
    <w:lvl w:ilvl="0">
      <w:start w:val="1"/>
      <w:numFmt w:val="upperRoman"/>
      <w:lvlText w:val="%1."/>
      <w:lvlJc w:val="right"/>
      <w:pPr>
        <w:ind w:left="720" w:hanging="360"/>
      </w:pPr>
      <w:rPr>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972808"/>
    <w:multiLevelType w:val="multilevel"/>
    <w:tmpl w:val="07E8D06A"/>
    <w:lvl w:ilvl="0">
      <w:start w:val="1"/>
      <w:numFmt w:val="bullet"/>
      <w:lvlText w:val="●"/>
      <w:lvlJc w:val="left"/>
      <w:pPr>
        <w:ind w:left="709" w:hanging="357"/>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4" w15:restartNumberingAfterBreak="0">
    <w:nsid w:val="59736600"/>
    <w:multiLevelType w:val="multilevel"/>
    <w:tmpl w:val="9A6464D2"/>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5D8757E5"/>
    <w:multiLevelType w:val="multilevel"/>
    <w:tmpl w:val="71E4DB88"/>
    <w:lvl w:ilvl="0">
      <w:start w:val="1"/>
      <w:numFmt w:val="upperRoman"/>
      <w:lvlText w:val="%1."/>
      <w:lvlJc w:val="right"/>
      <w:pPr>
        <w:ind w:left="720" w:hanging="360"/>
      </w:pPr>
      <w:rPr>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FA6932"/>
    <w:multiLevelType w:val="multilevel"/>
    <w:tmpl w:val="C15C96B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7EEE37DB"/>
    <w:multiLevelType w:val="multilevel"/>
    <w:tmpl w:val="06BEEF88"/>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6"/>
  </w:num>
  <w:num w:numId="3">
    <w:abstractNumId w:val="4"/>
  </w:num>
  <w:num w:numId="4">
    <w:abstractNumId w:val="1"/>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BE"/>
    <w:rsid w:val="00093D9D"/>
    <w:rsid w:val="00161E02"/>
    <w:rsid w:val="002C37C9"/>
    <w:rsid w:val="005328BE"/>
    <w:rsid w:val="00812DAC"/>
    <w:rsid w:val="00863367"/>
    <w:rsid w:val="00A822A7"/>
    <w:rsid w:val="00BB7E2E"/>
    <w:rsid w:val="00C21450"/>
    <w:rsid w:val="00DA3D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9CAEC83-17A7-4692-989D-D65B6CA9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customStyle="1" w:styleId="m5907675151158779931gmail-msolistparagraph">
    <w:name w:val="m_5907675151158779931gmail-msolistparagraph"/>
    <w:basedOn w:val="Normal"/>
    <w:rsid w:val="00AD34C6"/>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ycDn1KwvpsZgb0jz02ltG4IeQ==">CgMxLjAyCGguZ2pkZ3hzMgloLjMwajB6bGwyDmgubXRyeDF2MTBrenoyMgloLjN6bnlzaDcyCWguMmV0OTJwMDIIaC50eWpjd3QyCWguM2R5NnZrbTIJaC4xdDNoNXNmOAByITE0dnZnem9jWHRkbXB1dnpoMklxYm1henlPU05EOERlaQ==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5153</Words>
  <Characters>28342</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2026-03-23T16:15:00Z</cp:lastPrinted>
  <dcterms:created xsi:type="dcterms:W3CDTF">2026-03-11T18:13:00Z</dcterms:created>
  <dcterms:modified xsi:type="dcterms:W3CDTF">2026-04-07T23:17:00Z</dcterms:modified>
</cp:coreProperties>
</file>