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F38" w:rsidRDefault="00F1782A">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w:t>
      </w:r>
      <w:r w:rsidR="00E11BC8">
        <w:rPr>
          <w:rFonts w:ascii="Palatino Linotype" w:eastAsia="Palatino Linotype" w:hAnsi="Palatino Linotype" w:cs="Palatino Linotype"/>
          <w:b/>
          <w:bCs/>
        </w:rPr>
        <w:t xml:space="preserve"> diecisiete</w:t>
      </w:r>
      <w:r w:rsidR="007E095C">
        <w:rPr>
          <w:rFonts w:ascii="Palatino Linotype" w:eastAsia="Palatino Linotype" w:hAnsi="Palatino Linotype" w:cs="Palatino Linotype"/>
          <w:b/>
          <w:bCs/>
        </w:rPr>
        <w:t xml:space="preserve"> (17)</w:t>
      </w:r>
      <w:r w:rsidR="00E11BC8">
        <w:rPr>
          <w:rFonts w:ascii="Palatino Linotype" w:eastAsia="Palatino Linotype" w:hAnsi="Palatino Linotype" w:cs="Palatino Linotype"/>
          <w:b/>
          <w:bCs/>
        </w:rPr>
        <w:t xml:space="preserve"> </w:t>
      </w:r>
      <w:r>
        <w:rPr>
          <w:rFonts w:ascii="Palatino Linotype" w:eastAsia="Palatino Linotype" w:hAnsi="Palatino Linotype" w:cs="Palatino Linotype"/>
          <w:b/>
          <w:bCs/>
        </w:rPr>
        <w:t>de junio de dos mil veintiséis.</w:t>
      </w:r>
    </w:p>
    <w:p w:rsidR="00724F38" w:rsidRDefault="00724F38">
      <w:pPr>
        <w:tabs>
          <w:tab w:val="left" w:pos="3465"/>
        </w:tabs>
        <w:spacing w:line="360" w:lineRule="auto"/>
        <w:ind w:right="-787"/>
        <w:jc w:val="both"/>
        <w:rPr>
          <w:rFonts w:ascii="Palatino Linotype" w:eastAsia="Palatino Linotype" w:hAnsi="Palatino Linotype" w:cs="Palatino Linotype"/>
        </w:rPr>
      </w:pPr>
    </w:p>
    <w:p w:rsidR="00724F38" w:rsidRDefault="00F1782A">
      <w:pPr>
        <w:spacing w:line="360" w:lineRule="auto"/>
        <w:ind w:right="-787"/>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02678/INFOEM/IP/RR/2026</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promovido por </w:t>
      </w:r>
      <w:r w:rsidR="00456486">
        <w:rPr>
          <w:rFonts w:ascii="Palatino Linotype" w:eastAsia="Palatino Linotype" w:hAnsi="Palatino Linotype" w:cs="Palatino Linotype"/>
          <w:b/>
        </w:rPr>
        <w:t>XXXX</w:t>
      </w:r>
      <w:r w:rsidRPr="00E11BC8">
        <w:rPr>
          <w:rFonts w:ascii="Palatino Linotype" w:eastAsia="Palatino Linotype" w:hAnsi="Palatino Linotype" w:cs="Palatino Linotype"/>
          <w:b/>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00064/ECATEPEC/IP/2026</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Ecatepec de Morelos,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se emite la presente resolución con base en los siguientes: </w:t>
      </w:r>
      <w:bookmarkStart w:id="0" w:name="_GoBack"/>
      <w:bookmarkEnd w:id="0"/>
    </w:p>
    <w:p w:rsidR="00724F38" w:rsidRDefault="00724F38">
      <w:pPr>
        <w:ind w:right="-788"/>
        <w:jc w:val="both"/>
        <w:rPr>
          <w:rFonts w:ascii="Palatino Linotype" w:eastAsia="Palatino Linotype" w:hAnsi="Palatino Linotype" w:cs="Palatino Linotype"/>
        </w:rPr>
      </w:pPr>
    </w:p>
    <w:p w:rsidR="00724F38" w:rsidRDefault="00F1782A">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1" w:name="_heading=h.gjdgxs" w:colFirst="0" w:colLast="0"/>
      <w:bookmarkEnd w:id="1"/>
      <w:r>
        <w:rPr>
          <w:rFonts w:ascii="Palatino Linotype" w:eastAsia="Palatino Linotype" w:hAnsi="Palatino Linotype" w:cs="Palatino Linotype"/>
          <w:b/>
          <w:bCs/>
          <w:color w:val="000000"/>
          <w:sz w:val="24"/>
          <w:szCs w:val="24"/>
        </w:rPr>
        <w:t>A N T E C E D E N T E S</w:t>
      </w:r>
    </w:p>
    <w:p w:rsidR="00724F38" w:rsidRDefault="00724F38">
      <w:pPr>
        <w:pBdr>
          <w:top w:val="nil"/>
          <w:left w:val="nil"/>
          <w:bottom w:val="nil"/>
          <w:right w:val="nil"/>
          <w:between w:val="nil"/>
        </w:pBdr>
        <w:ind w:right="-788"/>
        <w:jc w:val="both"/>
        <w:rPr>
          <w:rFonts w:ascii="Palatino Linotype" w:eastAsia="Palatino Linotype" w:hAnsi="Palatino Linotype" w:cs="Palatino Linotype"/>
          <w:b/>
          <w:bCs/>
          <w:color w:val="000000"/>
          <w:u w:val="single"/>
        </w:rPr>
      </w:pP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veintinueve de enero de dos mil veintiséis</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724F38" w:rsidRDefault="00724F38">
      <w:pPr>
        <w:pBdr>
          <w:top w:val="nil"/>
          <w:left w:val="nil"/>
          <w:bottom w:val="nil"/>
          <w:right w:val="nil"/>
          <w:between w:val="nil"/>
        </w:pBdr>
        <w:ind w:right="-788"/>
        <w:jc w:val="both"/>
        <w:rPr>
          <w:rFonts w:ascii="Palatino Linotype" w:eastAsia="Palatino Linotype" w:hAnsi="Palatino Linotype" w:cs="Palatino Linotype"/>
          <w:color w:val="000000"/>
        </w:rPr>
      </w:pPr>
    </w:p>
    <w:p w:rsidR="00724F38" w:rsidRDefault="00F1782A">
      <w:pPr>
        <w:pBdr>
          <w:top w:val="nil"/>
          <w:left w:val="nil"/>
          <w:bottom w:val="nil"/>
          <w:right w:val="nil"/>
          <w:between w:val="nil"/>
        </w:pBd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“Por medio de la presente solicitud de transparencia, se solicita la búsqueda exhaustiva de cualquier expresión documental que compruebe el uso de los recursos públicos en la obra de pavimentación de la calle Cerrada de Veracruz concluida, en la Colonia Luis Donaldo Colosio, C.P. 55029, Ecatepec de Morelos, Estados de México. Referencias: Sobre Av. Las Torres, entre Cerrada de Guanajuato y Cerrada de Puebla. Como pueden ser, de manera enunciativa, </w:t>
      </w:r>
      <w:r>
        <w:rPr>
          <w:rFonts w:ascii="Palatino Linotype" w:eastAsia="Palatino Linotype" w:hAnsi="Palatino Linotype" w:cs="Palatino Linotype"/>
          <w:i/>
          <w:iCs/>
        </w:rPr>
        <w:t>más</w:t>
      </w:r>
      <w:r>
        <w:rPr>
          <w:rFonts w:ascii="Palatino Linotype" w:eastAsia="Palatino Linotype" w:hAnsi="Palatino Linotype" w:cs="Palatino Linotype"/>
          <w:i/>
          <w:iCs/>
          <w:color w:val="000000"/>
        </w:rPr>
        <w:t xml:space="preserve"> no limitativa, por ejemplo: facturas al pago de anticipo, pago de la estimación o pago de la estimación finiquito. Información que pudiera obrar en los archivos de la Dirección de Desarrollo Urbano y Obras Públicas o en la Subdirección de Obras Públicas, del H. Ayuntamiento de Ecatepec de Morelos.” (Sic)</w:t>
      </w:r>
    </w:p>
    <w:p w:rsidR="00724F38" w:rsidRDefault="00F1782A">
      <w:pPr>
        <w:pBdr>
          <w:top w:val="nil"/>
          <w:left w:val="nil"/>
          <w:bottom w:val="nil"/>
          <w:right w:val="nil"/>
          <w:between w:val="nil"/>
        </w:pBdr>
        <w:tabs>
          <w:tab w:val="left" w:pos="3217"/>
        </w:tabs>
        <w:ind w:right="-788"/>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b/>
      </w:r>
    </w:p>
    <w:p w:rsidR="00724F38" w:rsidRDefault="00724F38">
      <w:pPr>
        <w:pBdr>
          <w:top w:val="nil"/>
          <w:left w:val="nil"/>
          <w:bottom w:val="nil"/>
          <w:right w:val="nil"/>
          <w:between w:val="nil"/>
        </w:pBdr>
        <w:tabs>
          <w:tab w:val="left" w:pos="3217"/>
        </w:tabs>
        <w:ind w:right="-788"/>
        <w:jc w:val="both"/>
        <w:rPr>
          <w:rFonts w:ascii="Palatino Linotype" w:eastAsia="Palatino Linotype" w:hAnsi="Palatino Linotype" w:cs="Palatino Linotype"/>
        </w:rPr>
      </w:pPr>
    </w:p>
    <w:p w:rsidR="00724F38" w:rsidRDefault="00F1782A">
      <w:pPr>
        <w:numPr>
          <w:ilvl w:val="0"/>
          <w:numId w:val="7"/>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724F38" w:rsidRDefault="00724F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i/>
          <w:iCs/>
          <w:color w:val="000000"/>
        </w:rPr>
      </w:pP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lastRenderedPageBreak/>
        <w:t>El</w:t>
      </w:r>
      <w:r>
        <w:rPr>
          <w:rFonts w:ascii="Palatino Linotype" w:eastAsia="Palatino Linotype" w:hAnsi="Palatino Linotype" w:cs="Palatino Linotype"/>
          <w:b/>
          <w:bCs/>
          <w:color w:val="000000"/>
        </w:rPr>
        <w:t xml:space="preserve"> veinte de febrero de dos mil veintiséis</w:t>
      </w:r>
      <w:r>
        <w:rPr>
          <w:rFonts w:ascii="Palatino Linotype" w:eastAsia="Palatino Linotype" w:hAnsi="Palatino Linotype" w:cs="Palatino Linotype"/>
          <w:color w:val="000000"/>
        </w:rPr>
        <w:t>, el Sujeto Obligado</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dio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en los términos siguientes</w:t>
      </w:r>
      <w:r>
        <w:rPr>
          <w:rFonts w:ascii="Palatino Linotype" w:eastAsia="Palatino Linotype" w:hAnsi="Palatino Linotype" w:cs="Palatino Linotype"/>
          <w:b/>
          <w:bCs/>
          <w:i/>
          <w:iCs/>
          <w:color w:val="000000"/>
        </w:rPr>
        <w:t>:</w:t>
      </w:r>
    </w:p>
    <w:p w:rsidR="00724F38" w:rsidRDefault="00F1782A">
      <w:pPr>
        <w:pBdr>
          <w:top w:val="nil"/>
          <w:left w:val="nil"/>
          <w:bottom w:val="nil"/>
          <w:right w:val="nil"/>
          <w:between w:val="nil"/>
        </w:pBdr>
        <w:ind w:left="567" w:right="-788"/>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Ecatepec de Morelos, México a 20 de Febrero de 2026</w:t>
      </w:r>
    </w:p>
    <w:p w:rsidR="00724F38" w:rsidRDefault="00F1782A">
      <w:pPr>
        <w:pBdr>
          <w:top w:val="nil"/>
          <w:left w:val="nil"/>
          <w:bottom w:val="nil"/>
          <w:right w:val="nil"/>
          <w:between w:val="nil"/>
        </w:pBdr>
        <w:ind w:left="567" w:right="-788"/>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Nombre del solicitante: C. Solicitante</w:t>
      </w:r>
    </w:p>
    <w:p w:rsidR="00724F38" w:rsidRDefault="00F1782A">
      <w:pPr>
        <w:pBdr>
          <w:top w:val="nil"/>
          <w:left w:val="nil"/>
          <w:bottom w:val="nil"/>
          <w:right w:val="nil"/>
          <w:between w:val="nil"/>
        </w:pBdr>
        <w:ind w:left="567" w:right="-788"/>
        <w:jc w:val="right"/>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Folio de la solicitud: 00064/ECATEPEC/IP/2026</w:t>
      </w:r>
    </w:p>
    <w:p w:rsidR="00724F38" w:rsidRDefault="00724F3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724F38" w:rsidRDefault="00F1782A">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724F38" w:rsidRDefault="00724F3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724F38" w:rsidRDefault="00F1782A">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atención a su solicitud de información 00066/ECATEPEC/IP/2026, </w:t>
      </w:r>
      <w:r>
        <w:rPr>
          <w:rFonts w:ascii="Palatino Linotype" w:eastAsia="Palatino Linotype" w:hAnsi="Palatino Linotype" w:cs="Palatino Linotype"/>
          <w:b/>
          <w:bCs/>
          <w:i/>
          <w:iCs/>
          <w:color w:val="000000"/>
        </w:rPr>
        <w:t>Los recursos destinados para Cerrada de Veracruz, en la colonia Luis Donaldo Colosio provinieron de Recurso propio municipal.</w:t>
      </w:r>
    </w:p>
    <w:p w:rsidR="00724F38" w:rsidRDefault="00724F38">
      <w:pPr>
        <w:pBdr>
          <w:top w:val="nil"/>
          <w:left w:val="nil"/>
          <w:bottom w:val="nil"/>
          <w:right w:val="nil"/>
          <w:between w:val="nil"/>
        </w:pBdr>
        <w:ind w:left="567" w:right="-788"/>
        <w:jc w:val="both"/>
        <w:rPr>
          <w:rFonts w:ascii="Palatino Linotype" w:eastAsia="Palatino Linotype" w:hAnsi="Palatino Linotype" w:cs="Palatino Linotype"/>
          <w:i/>
          <w:iCs/>
          <w:color w:val="000000"/>
        </w:rPr>
      </w:pPr>
    </w:p>
    <w:p w:rsidR="00724F38" w:rsidRDefault="00F1782A">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ATENTAMENTE</w:t>
      </w:r>
    </w:p>
    <w:p w:rsidR="00724F38" w:rsidRDefault="00F1782A">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Cristina Muñoz Gallardo</w:t>
      </w:r>
    </w:p>
    <w:p w:rsidR="00724F38" w:rsidRDefault="00724F38">
      <w:pPr>
        <w:pBdr>
          <w:top w:val="nil"/>
          <w:left w:val="nil"/>
          <w:bottom w:val="nil"/>
          <w:right w:val="nil"/>
          <w:between w:val="nil"/>
        </w:pBdr>
        <w:spacing w:line="360" w:lineRule="auto"/>
        <w:ind w:left="567" w:right="-787"/>
        <w:jc w:val="both"/>
        <w:rPr>
          <w:rFonts w:ascii="Palatino Linotype" w:eastAsia="Palatino Linotype" w:hAnsi="Palatino Linotype" w:cs="Palatino Linotype"/>
          <w:color w:val="000000"/>
        </w:rPr>
      </w:pP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veintiséis de febrero de dos mil veintiséis</w:t>
      </w:r>
      <w:r>
        <w:rPr>
          <w:rFonts w:ascii="Palatino Linotype" w:eastAsia="Palatino Linotype" w:hAnsi="Palatino Linotype" w:cs="Palatino Linotype"/>
          <w:color w:val="000000"/>
        </w:rPr>
        <w:t xml:space="preserve">, el particular interpuso </w:t>
      </w:r>
      <w:r>
        <w:rPr>
          <w:rFonts w:ascii="Palatino Linotype" w:eastAsia="Palatino Linotype" w:hAnsi="Palatino Linotype" w:cs="Palatino Linotype"/>
          <w:b/>
          <w:bCs/>
          <w:color w:val="000000"/>
        </w:rPr>
        <w:t>recurso de revisión</w:t>
      </w:r>
      <w:r>
        <w:rPr>
          <w:rFonts w:ascii="Palatino Linotype" w:eastAsia="Palatino Linotype" w:hAnsi="Palatino Linotype" w:cs="Palatino Linotype"/>
          <w:color w:val="000000"/>
        </w:rPr>
        <w:t xml:space="preserve"> al que se le asignó el folio </w:t>
      </w:r>
      <w:r>
        <w:rPr>
          <w:rFonts w:ascii="Palatino Linotype" w:eastAsia="Palatino Linotype" w:hAnsi="Palatino Linotype" w:cs="Palatino Linotype"/>
          <w:b/>
          <w:bCs/>
          <w:color w:val="000000"/>
        </w:rPr>
        <w:t xml:space="preserve">02678/INFOEM/IP/RR/2026,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724F38" w:rsidRDefault="00724F38">
      <w:pPr>
        <w:pBdr>
          <w:top w:val="nil"/>
          <w:left w:val="nil"/>
          <w:bottom w:val="nil"/>
          <w:right w:val="nil"/>
          <w:between w:val="nil"/>
        </w:pBdr>
        <w:tabs>
          <w:tab w:val="left" w:pos="0"/>
        </w:tabs>
        <w:ind w:right="-788"/>
        <w:jc w:val="both"/>
        <w:rPr>
          <w:rFonts w:ascii="Palatino Linotype" w:eastAsia="Palatino Linotype" w:hAnsi="Palatino Linotype" w:cs="Palatino Linotype"/>
          <w:color w:val="000000"/>
        </w:rPr>
      </w:pPr>
    </w:p>
    <w:p w:rsidR="00724F38" w:rsidRPr="007E095C" w:rsidRDefault="00F1782A" w:rsidP="007E095C">
      <w:pPr>
        <w:pStyle w:val="Prrafodelista"/>
        <w:numPr>
          <w:ilvl w:val="0"/>
          <w:numId w:val="8"/>
        </w:numPr>
        <w:pBdr>
          <w:top w:val="nil"/>
          <w:left w:val="nil"/>
          <w:bottom w:val="nil"/>
          <w:right w:val="nil"/>
          <w:between w:val="nil"/>
        </w:pBdr>
        <w:ind w:right="-787"/>
        <w:jc w:val="both"/>
        <w:rPr>
          <w:rFonts w:ascii="Palatino Linotype" w:eastAsia="Palatino Linotype" w:hAnsi="Palatino Linotype" w:cs="Palatino Linotype"/>
          <w:b/>
          <w:bCs/>
          <w:color w:val="000000"/>
        </w:rPr>
      </w:pPr>
      <w:bookmarkStart w:id="2" w:name="_heading=h.1fob9te" w:colFirst="0" w:colLast="0"/>
      <w:bookmarkEnd w:id="2"/>
      <w:r w:rsidRPr="007E095C">
        <w:rPr>
          <w:rFonts w:ascii="Palatino Linotype" w:eastAsia="Palatino Linotype" w:hAnsi="Palatino Linotype" w:cs="Palatino Linotype"/>
          <w:b/>
          <w:bCs/>
          <w:color w:val="000000"/>
        </w:rPr>
        <w:t>Acto impugnado y Razones o Motivos de inconformidad:</w:t>
      </w:r>
    </w:p>
    <w:p w:rsidR="00724F38" w:rsidRDefault="00F1782A">
      <w:pPr>
        <w:pBdr>
          <w:top w:val="nil"/>
          <w:left w:val="nil"/>
          <w:bottom w:val="nil"/>
          <w:right w:val="nil"/>
          <w:between w:val="nil"/>
        </w:pBdr>
        <w:ind w:left="720" w:right="-78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“El sujeto obligado únicamente me da por respuesta que los recursos destinados para Cerrada de Veracruz, en la colonia Luis Donaldo Colosio provinieron de Recurso propio municipal. Sin embargo, la solicitud de acceso consistió en solicitar la búsqueda exhaustiva de cualquier expresión documental que compruebe el uso de los recursos públicos en la obra de pavimentación de la calle Cerrada de Veracruz concluida, en la Colonia Luis Donaldo Colosio, C.P. 55029, Ecatepec de Morelos, Estados de México. Para ello, se señalaron de manera enunciativa, mas no limitativa, lo siguiente: facturas al pago de anticipo, pago de la estimación o pago de la estimación finiquito. Información que pudiera obrar en los archivos de la Dirección de Desarrollo Urbano y Obras Públicas o en la Subdirección de Obras Públicas, del H. Ayuntamiento de Ecatepec de Morelos.” (Sic)</w:t>
      </w:r>
      <w:r>
        <w:rPr>
          <w:rFonts w:ascii="Palatino Linotype" w:eastAsia="Palatino Linotype" w:hAnsi="Palatino Linotype" w:cs="Palatino Linotype"/>
          <w:b/>
          <w:bCs/>
          <w:color w:val="000000"/>
        </w:rPr>
        <w:tab/>
      </w: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tres de marzo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724F38" w:rsidRDefault="00724F38">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Recurrente</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dejó de realizar manifestaciones que a su derecho conviniera y asistiera. Por su parte, el Sujeto Obligado en fecha </w:t>
      </w:r>
      <w:r>
        <w:rPr>
          <w:rFonts w:ascii="Palatino Linotype" w:eastAsia="Palatino Linotype" w:hAnsi="Palatino Linotype" w:cs="Palatino Linotype"/>
          <w:b/>
          <w:bCs/>
          <w:color w:val="000000"/>
        </w:rPr>
        <w:t>nueve de marzo de dos mil veintiséis,</w:t>
      </w:r>
      <w:r>
        <w:rPr>
          <w:b/>
          <w:bCs/>
        </w:rPr>
        <w:t xml:space="preserve"> </w:t>
      </w:r>
      <w:r>
        <w:rPr>
          <w:rFonts w:ascii="Palatino Linotype" w:eastAsia="Palatino Linotype" w:hAnsi="Palatino Linotype" w:cs="Palatino Linotype"/>
          <w:color w:val="000000"/>
        </w:rPr>
        <w:t xml:space="preserve">rindió el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del siguiente archivo electrónico:</w:t>
      </w:r>
    </w:p>
    <w:p w:rsidR="00724F38" w:rsidRDefault="00F1782A">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CT_UT_ECA_0323_2026 informe justificado RR02678.pdf</w:t>
      </w:r>
    </w:p>
    <w:p w:rsidR="00724F38" w:rsidRDefault="00F1782A">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No de Oficio: CT / UT / ECA /323/2026 de fecha 09 de marzo de 2026, firmado por el Titular de la Unidad de Transparencia y Acceso a la Información Pública, a través del cual refiere se hizo del conocimiento de la interposición del medio de impugnación a la Dirección de Obras Públicas, unidad administrativa que se pronunció señalando que </w:t>
      </w:r>
      <w:r>
        <w:rPr>
          <w:rFonts w:ascii="Palatino Linotype" w:eastAsia="Palatino Linotype" w:hAnsi="Palatino Linotype" w:cs="Palatino Linotype"/>
          <w:i/>
          <w:iCs/>
          <w:color w:val="000000"/>
        </w:rPr>
        <w:t>"Después de realizar una búsqueda exhaustiva en los archivos correspondientes, se remiten las facturas relativas a las obras, suministro de materiales para la construcción de la cerrada de Veracruz, localidad Luis Donaldo Colosio"</w:t>
      </w:r>
      <w:r>
        <w:rPr>
          <w:rFonts w:ascii="Palatino Linotype" w:eastAsia="Palatino Linotype" w:hAnsi="Palatino Linotype" w:cs="Palatino Linotype"/>
          <w:color w:val="000000"/>
        </w:rPr>
        <w:t>, remitiendo oficio y copias de las facturas sobre la obra de la calle de Veracruz en la localidad Luis Donaldo Colosio como lo señala el área en el oficio en mención.</w:t>
      </w:r>
    </w:p>
    <w:p w:rsidR="00724F38" w:rsidRDefault="00724F38">
      <w:pPr>
        <w:pBdr>
          <w:top w:val="nil"/>
          <w:left w:val="nil"/>
          <w:bottom w:val="nil"/>
          <w:right w:val="nil"/>
          <w:between w:val="nil"/>
        </w:pBdr>
        <w:ind w:left="567" w:right="-787"/>
        <w:jc w:val="both"/>
        <w:rPr>
          <w:rFonts w:ascii="Palatino Linotype" w:eastAsia="Palatino Linotype" w:hAnsi="Palatino Linotype" w:cs="Palatino Linotype"/>
          <w:color w:val="000000"/>
        </w:rPr>
      </w:pPr>
    </w:p>
    <w:p w:rsidR="00724F38" w:rsidRDefault="00F1782A">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color w:val="000000"/>
        </w:rPr>
        <w:t xml:space="preserve">- NO. OFICIO: DOP/ECA/SA/000990/2026 de fecha 05 de marzo de 2026, firmado por el </w:t>
      </w:r>
      <w:r>
        <w:rPr>
          <w:rFonts w:ascii="Palatino Linotype" w:eastAsia="Palatino Linotype" w:hAnsi="Palatino Linotype" w:cs="Palatino Linotype"/>
          <w:b/>
          <w:bCs/>
          <w:color w:val="000000"/>
        </w:rPr>
        <w:t>Director de Obras Públicas</w:t>
      </w:r>
      <w:r>
        <w:rPr>
          <w:rFonts w:ascii="Palatino Linotype" w:eastAsia="Palatino Linotype" w:hAnsi="Palatino Linotype" w:cs="Palatino Linotype"/>
          <w:color w:val="000000"/>
        </w:rPr>
        <w:t xml:space="preserve">, a través del cual refiere que </w:t>
      </w:r>
      <w:r>
        <w:rPr>
          <w:rFonts w:ascii="Palatino Linotype" w:eastAsia="Palatino Linotype" w:hAnsi="Palatino Linotype" w:cs="Palatino Linotype"/>
          <w:i/>
          <w:iCs/>
          <w:color w:val="000000"/>
        </w:rPr>
        <w:t xml:space="preserve">después de realizar una búsqueda exhaustiva en los archivos correspondientes, </w:t>
      </w:r>
      <w:r>
        <w:rPr>
          <w:rFonts w:ascii="Palatino Linotype" w:eastAsia="Palatino Linotype" w:hAnsi="Palatino Linotype" w:cs="Palatino Linotype"/>
          <w:b/>
          <w:bCs/>
          <w:i/>
          <w:iCs/>
          <w:color w:val="000000"/>
        </w:rPr>
        <w:t>se remiten las facturas relativas a las obra: suministro de materiales para la construcción de pavimento hidráulico, guarniciones y banquetas de la cerrada Veracruz, localidad Luis Donaldo Colosio en Municipio de Ecatepec de Morelos.</w:t>
      </w:r>
    </w:p>
    <w:p w:rsidR="00724F38" w:rsidRDefault="00724F38">
      <w:pPr>
        <w:pBdr>
          <w:top w:val="nil"/>
          <w:left w:val="nil"/>
          <w:bottom w:val="nil"/>
          <w:right w:val="nil"/>
          <w:between w:val="nil"/>
        </w:pBdr>
        <w:ind w:left="567" w:right="-787"/>
        <w:jc w:val="both"/>
        <w:rPr>
          <w:rFonts w:ascii="Palatino Linotype" w:eastAsia="Palatino Linotype" w:hAnsi="Palatino Linotype" w:cs="Palatino Linotype"/>
          <w:b/>
          <w:bCs/>
          <w:i/>
          <w:iCs/>
          <w:color w:val="000000"/>
        </w:rPr>
      </w:pPr>
    </w:p>
    <w:p w:rsidR="00724F38" w:rsidRDefault="00F1782A">
      <w:pPr>
        <w:pBdr>
          <w:top w:val="nil"/>
          <w:left w:val="nil"/>
          <w:bottom w:val="nil"/>
          <w:right w:val="nil"/>
          <w:between w:val="nil"/>
        </w:pBdr>
        <w:ind w:left="567"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Se adjuntan dos facturas relativas al SUMINISTRO DE MATERIALES PARA LA CONSTRUCCIÓN DE PAVIMENTO HIDRÁULICO, GUARNICIONES Y BANQUETAS DE LA CERRADA DE VERACRUZ, LOCALIDAD LUIS DONALDO </w:t>
      </w:r>
      <w:r>
        <w:rPr>
          <w:rFonts w:ascii="Palatino Linotype" w:eastAsia="Palatino Linotype" w:hAnsi="Palatino Linotype" w:cs="Palatino Linotype"/>
          <w:color w:val="000000"/>
        </w:rPr>
        <w:lastRenderedPageBreak/>
        <w:t>COLOSIO EN EL MUNICIPIO DE ECATEPEC DE MORELOS. RELATIVO AL CONTRATO MEM-DA-DOP-LPNP-RP-02-2025-01No DE CONTROL 2025-79- OA-RM.</w:t>
      </w:r>
    </w:p>
    <w:p w:rsidR="00724F38" w:rsidRDefault="00724F38">
      <w:pPr>
        <w:pBdr>
          <w:top w:val="nil"/>
          <w:left w:val="nil"/>
          <w:bottom w:val="nil"/>
          <w:right w:val="nil"/>
          <w:between w:val="nil"/>
        </w:pBdr>
        <w:ind w:left="567" w:right="-787"/>
        <w:jc w:val="both"/>
      </w:pPr>
    </w:p>
    <w:p w:rsidR="00724F38" w:rsidRDefault="00724F38">
      <w:pPr>
        <w:pBdr>
          <w:top w:val="nil"/>
          <w:left w:val="nil"/>
          <w:bottom w:val="nil"/>
          <w:right w:val="nil"/>
          <w:between w:val="nil"/>
        </w:pBdr>
        <w:ind w:left="567" w:right="-787"/>
        <w:jc w:val="both"/>
      </w:pP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veinticuatro de abril de dos mil veintiséis</w:t>
      </w:r>
      <w:r>
        <w:rPr>
          <w:rFonts w:ascii="Palatino Linotype" w:eastAsia="Palatino Linotype" w:hAnsi="Palatino Linotype" w:cs="Palatino Linotype"/>
          <w:color w:val="000000"/>
        </w:rPr>
        <w:t xml:space="preserve"> se acordó </w:t>
      </w:r>
      <w:r>
        <w:rPr>
          <w:rFonts w:ascii="Palatino Linotype" w:eastAsia="Palatino Linotype" w:hAnsi="Palatino Linotype" w:cs="Palatino Linotype"/>
          <w:b/>
          <w:bCs/>
          <w:color w:val="000000"/>
        </w:rPr>
        <w:t>ampliar el término para resolver</w:t>
      </w:r>
      <w:r>
        <w:rPr>
          <w:rFonts w:ascii="Palatino Linotype" w:eastAsia="Palatino Linotype" w:hAnsi="Palatino Linotype" w:cs="Palatino Linotype"/>
          <w:color w:val="000000"/>
        </w:rPr>
        <w:t xml:space="preserve"> el presente asunto.</w:t>
      </w:r>
    </w:p>
    <w:p w:rsidR="00724F38" w:rsidRDefault="00724F38">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bookmarkStart w:id="3" w:name="_heading=h.3znysh7" w:colFirst="0" w:colLast="0"/>
      <w:bookmarkEnd w:id="3"/>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diez de junio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724F38" w:rsidRDefault="00724F38">
      <w:pPr>
        <w:pBdr>
          <w:top w:val="nil"/>
          <w:left w:val="nil"/>
          <w:bottom w:val="nil"/>
          <w:right w:val="nil"/>
          <w:between w:val="nil"/>
        </w:pBdr>
        <w:ind w:right="-788"/>
        <w:jc w:val="both"/>
        <w:rPr>
          <w:rFonts w:ascii="Palatino Linotype" w:eastAsia="Palatino Linotype" w:hAnsi="Palatino Linotype" w:cs="Palatino Linotype"/>
          <w:b/>
          <w:bCs/>
          <w:color w:val="000000"/>
        </w:rPr>
      </w:pPr>
    </w:p>
    <w:p w:rsidR="00724F38" w:rsidRDefault="00F1782A">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724F38" w:rsidRDefault="00724F38">
      <w:pPr>
        <w:spacing w:line="360" w:lineRule="auto"/>
        <w:rPr>
          <w:rFonts w:ascii="Palatino Linotype" w:eastAsia="Palatino Linotype" w:hAnsi="Palatino Linotype" w:cs="Palatino Linotype"/>
        </w:rPr>
      </w:pPr>
    </w:p>
    <w:p w:rsidR="00724F38" w:rsidRDefault="00F1782A">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24F38" w:rsidRDefault="00724F38">
      <w:pPr>
        <w:tabs>
          <w:tab w:val="left" w:pos="426"/>
        </w:tabs>
        <w:spacing w:line="360" w:lineRule="auto"/>
        <w:jc w:val="both"/>
        <w:rPr>
          <w:rFonts w:ascii="Palatino Linotype" w:eastAsia="Palatino Linotype" w:hAnsi="Palatino Linotype" w:cs="Palatino Linotype"/>
          <w:color w:val="000000"/>
        </w:rPr>
      </w:pPr>
    </w:p>
    <w:p w:rsidR="00724F38" w:rsidRDefault="00F1782A">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SEGUNDO. De la oportunidad y procedencia.</w:t>
      </w: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rPr>
      </w:pPr>
      <w:bookmarkStart w:id="4" w:name="_heading=h.2et92p0" w:colFirst="0" w:colLast="0"/>
      <w:bookmarkEnd w:id="4"/>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veinte de febrero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veintitrés de febrero al diecisiete de marzo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tres de marzo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724F38" w:rsidRDefault="00724F38">
      <w:pPr>
        <w:spacing w:line="360" w:lineRule="auto"/>
        <w:ind w:right="49"/>
        <w:jc w:val="both"/>
        <w:rPr>
          <w:rFonts w:ascii="Palatino Linotype" w:eastAsia="Palatino Linotype" w:hAnsi="Palatino Linotype" w:cs="Palatino Linotype"/>
        </w:rPr>
      </w:pPr>
    </w:p>
    <w:p w:rsidR="00724F38" w:rsidRDefault="00F1782A">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724F38" w:rsidRDefault="00F1782A">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Se solicitó tener acceso, a la información que a continuación se simplifica:</w:t>
      </w:r>
    </w:p>
    <w:p w:rsidR="00724F38" w:rsidRDefault="00F1782A">
      <w:pPr>
        <w:numPr>
          <w:ilvl w:val="0"/>
          <w:numId w:val="3"/>
        </w:numPr>
        <w:pBdr>
          <w:top w:val="nil"/>
          <w:left w:val="nil"/>
          <w:bottom w:val="nil"/>
          <w:right w:val="nil"/>
          <w:between w:val="nil"/>
        </w:pBdr>
        <w:ind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Documento en el que conste la erogación de recursos públicos de la obra de pavimentación de la calle Cerrada de Veracruz concluida, en la Colonia Luis Donaldo Colosio, C.P. 55029, Ecatepec de Morelos, Estados de México.</w:t>
      </w:r>
    </w:p>
    <w:p w:rsidR="00724F38" w:rsidRDefault="00724F38">
      <w:pPr>
        <w:ind w:left="709" w:right="-788"/>
        <w:jc w:val="both"/>
        <w:rPr>
          <w:rFonts w:ascii="Palatino Linotype" w:eastAsia="Palatino Linotype" w:hAnsi="Palatino Linotype" w:cs="Palatino Linotype"/>
          <w:b/>
          <w:bCs/>
        </w:rPr>
      </w:pPr>
    </w:p>
    <w:p w:rsidR="00724F38" w:rsidRDefault="00F1782A">
      <w:pPr>
        <w:numPr>
          <w:ilvl w:val="0"/>
          <w:numId w:val="1"/>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emitió la respuesta ya descrita en el párrafo 2, inconforme con la respuesta, se interpuso recurso de revisión argumentando sustancialmente la negativa a la información solicitada.</w:t>
      </w:r>
    </w:p>
    <w:p w:rsidR="00724F38" w:rsidRDefault="00724F38">
      <w:pPr>
        <w:spacing w:line="360" w:lineRule="auto"/>
        <w:ind w:right="-787"/>
        <w:jc w:val="both"/>
        <w:rPr>
          <w:rFonts w:ascii="Palatino Linotype" w:eastAsia="Palatino Linotype" w:hAnsi="Palatino Linotype" w:cs="Palatino Linotype"/>
          <w:i/>
          <w:iCs/>
          <w:color w:val="000000"/>
        </w:rPr>
      </w:pP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Pr>
          <w:rFonts w:ascii="Palatino Linotype" w:eastAsia="Palatino Linotype" w:hAnsi="Palatino Linotype" w:cs="Palatino Linotype"/>
          <w:b/>
          <w:bCs/>
        </w:rPr>
        <w:t>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contexto del cual se dolió el Recurrente al momento de interponer su </w:t>
      </w:r>
      <w:r>
        <w:rPr>
          <w:rFonts w:ascii="Palatino Linotype" w:eastAsia="Palatino Linotype" w:hAnsi="Palatino Linotype" w:cs="Palatino Linotype"/>
        </w:rPr>
        <w:lastRenderedPageBreak/>
        <w:t>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724F38" w:rsidRDefault="00724F38">
      <w:pPr>
        <w:spacing w:line="360" w:lineRule="auto"/>
        <w:ind w:right="-787"/>
        <w:rPr>
          <w:rFonts w:ascii="Palatino Linotype" w:eastAsia="Palatino Linotype" w:hAnsi="Palatino Linotype" w:cs="Palatino Linotype"/>
        </w:rPr>
      </w:pPr>
    </w:p>
    <w:p w:rsidR="00724F38" w:rsidRDefault="00F1782A">
      <w:pPr>
        <w:pStyle w:val="Ttulo2"/>
        <w:rPr>
          <w:rFonts w:ascii="Palatino Linotype" w:eastAsia="Palatino Linotype" w:hAnsi="Palatino Linotype" w:cs="Palatino Linotype"/>
          <w:b/>
          <w:bCs/>
          <w:color w:val="000000"/>
          <w:sz w:val="24"/>
          <w:szCs w:val="24"/>
        </w:rPr>
      </w:pPr>
      <w:bookmarkStart w:id="5" w:name="_heading=h.1t3h5sf" w:colFirst="0" w:colLast="0"/>
      <w:bookmarkEnd w:id="5"/>
      <w:r>
        <w:rPr>
          <w:rFonts w:ascii="Palatino Linotype" w:eastAsia="Palatino Linotype" w:hAnsi="Palatino Linotype" w:cs="Palatino Linotype"/>
          <w:b/>
          <w:bCs/>
          <w:color w:val="000000"/>
          <w:sz w:val="24"/>
          <w:szCs w:val="24"/>
        </w:rPr>
        <w:t>CUARTO. Del estudio y resolución del asunto.</w:t>
      </w: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24F38" w:rsidRDefault="00724F38">
      <w:pPr>
        <w:spacing w:line="360" w:lineRule="auto"/>
        <w:ind w:right="-787"/>
        <w:jc w:val="both"/>
        <w:rPr>
          <w:rFonts w:ascii="Palatino Linotype" w:eastAsia="Palatino Linotype" w:hAnsi="Palatino Linotype" w:cs="Palatino Linotype"/>
        </w:rPr>
      </w:pP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24F38" w:rsidRDefault="00724F38">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w:t>
      </w:r>
      <w:r>
        <w:rPr>
          <w:rFonts w:ascii="Palatino Linotype" w:eastAsia="Palatino Linotype" w:hAnsi="Palatino Linotype" w:cs="Palatino Linotype"/>
        </w:rPr>
        <w:lastRenderedPageBreak/>
        <w:t>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24F38" w:rsidRDefault="00F1782A">
      <w:pPr>
        <w:numPr>
          <w:ilvl w:val="0"/>
          <w:numId w:val="2"/>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724F38" w:rsidRDefault="00F1782A">
      <w:pPr>
        <w:numPr>
          <w:ilvl w:val="0"/>
          <w:numId w:val="1"/>
        </w:numPr>
        <w:spacing w:line="360" w:lineRule="auto"/>
        <w:ind w:left="0" w:right="-787" w:firstLine="0"/>
        <w:jc w:val="both"/>
      </w:pPr>
      <w:r>
        <w:rPr>
          <w:rFonts w:ascii="Palatino Linotype" w:eastAsia="Palatino Linotype" w:hAnsi="Palatino Linotype" w:cs="Palatino Linotype"/>
        </w:rPr>
        <w:t>Para el ejercicio de sus atribuciones, tanto el Ayuntamiento como la Presidenta Municipal, se auxiliarán de las siguientes dependencias, de conformidad con el artículo 44, del Bando Municipal 2026:</w:t>
      </w:r>
    </w:p>
    <w:p w:rsidR="00724F38" w:rsidRDefault="00F1782A">
      <w:pPr>
        <w:ind w:left="567"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2026</w:t>
      </w:r>
    </w:p>
    <w:p w:rsidR="00724F38" w:rsidRDefault="00724F38">
      <w:pPr>
        <w:ind w:left="567" w:right="-220"/>
        <w:jc w:val="center"/>
        <w:rPr>
          <w:rFonts w:ascii="Palatino Linotype" w:eastAsia="Palatino Linotype" w:hAnsi="Palatino Linotype" w:cs="Palatino Linotype"/>
          <w:b/>
          <w:bCs/>
          <w:i/>
          <w:iCs/>
        </w:rPr>
      </w:pPr>
    </w:p>
    <w:p w:rsidR="00724F38" w:rsidRDefault="00F1782A">
      <w:pPr>
        <w:ind w:left="567" w:right="-78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TÍTULO DÉCIMO</w:t>
      </w:r>
    </w:p>
    <w:p w:rsidR="00724F38" w:rsidRDefault="00F1782A">
      <w:pPr>
        <w:ind w:left="567" w:right="-78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De las Dependencias de la Administración Pública Municipal</w:t>
      </w:r>
    </w:p>
    <w:p w:rsidR="00724F38" w:rsidRDefault="00F1782A">
      <w:pPr>
        <w:ind w:left="567" w:right="-78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CAPÍTULO I</w:t>
      </w:r>
    </w:p>
    <w:p w:rsidR="00724F38" w:rsidRDefault="00F1782A">
      <w:pPr>
        <w:ind w:left="567" w:right="-788"/>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Disposiciones Generales</w:t>
      </w:r>
    </w:p>
    <w:p w:rsidR="00724F38" w:rsidRDefault="00724F38">
      <w:pPr>
        <w:ind w:left="567" w:right="-788"/>
        <w:jc w:val="both"/>
        <w:rPr>
          <w:rFonts w:ascii="Palatino Linotype" w:eastAsia="Palatino Linotype" w:hAnsi="Palatino Linotype" w:cs="Palatino Linotype"/>
          <w:b/>
          <w:bCs/>
          <w:i/>
          <w:iCs/>
        </w:rPr>
      </w:pP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44. </w:t>
      </w:r>
      <w:r>
        <w:rPr>
          <w:rFonts w:ascii="Palatino Linotype" w:eastAsia="Palatino Linotype" w:hAnsi="Palatino Linotype" w:cs="Palatino Linotype"/>
          <w:i/>
          <w:iCs/>
        </w:rPr>
        <w:t xml:space="preserve">Para el ejercicio de sus atribuciones, tanto el Ayuntamiento como la Presidenta Municipal, se auxiliarán de las siguientes dependencias que estarán subordinadas a ésta última: </w:t>
      </w:r>
    </w:p>
    <w:p w:rsidR="00724F38" w:rsidRDefault="00724F38">
      <w:pPr>
        <w:ind w:left="567" w:right="-788"/>
        <w:jc w:val="both"/>
        <w:rPr>
          <w:rFonts w:ascii="Palatino Linotype" w:eastAsia="Palatino Linotype" w:hAnsi="Palatino Linotype" w:cs="Palatino Linotype"/>
          <w:i/>
          <w:iCs/>
        </w:rPr>
      </w:pP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Secretaría del Ayuntamiento;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 Tesorería Municipal;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Órgano Interno de Control Municipal; y </w:t>
      </w:r>
    </w:p>
    <w:p w:rsidR="00724F38" w:rsidRDefault="00F1782A">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IV. Las Direcciones de: </w:t>
      </w:r>
    </w:p>
    <w:p w:rsidR="00724F38" w:rsidRDefault="00724F38">
      <w:pPr>
        <w:ind w:left="567" w:right="-788"/>
        <w:jc w:val="both"/>
        <w:rPr>
          <w:rFonts w:ascii="Palatino Linotype" w:eastAsia="Palatino Linotype" w:hAnsi="Palatino Linotype" w:cs="Palatino Linotype"/>
          <w:i/>
          <w:iCs/>
        </w:rPr>
      </w:pP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 Administración;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Bienestar, Participación Ciudadana y Territorial;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 Comunicación Social;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 Desarrollo Económico;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 Desarrollo Urbano;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 Medio Ambiente y Ecología; </w:t>
      </w:r>
    </w:p>
    <w:p w:rsidR="00724F38" w:rsidRDefault="00F1782A">
      <w:pPr>
        <w:ind w:left="567"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g. Obras Públicas;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 xml:space="preserve">h. Diversidad Sexual;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 Educación;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j. Gobierno;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k. Instituto Municipal de las Mujeres e Igualdad de Género;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l. Consejería Jurídica;</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m. Mercados, Tianguis y Vía Pública;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n. Movilidad Urbana;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o. Protección Civil y Bomberos;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p. Servicios Públicos;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q. General de Seguridad Ciudadana y Tránsito Municipal; y </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r. Salud.</w:t>
      </w:r>
    </w:p>
    <w:p w:rsidR="00724F38" w:rsidRDefault="00F1782A">
      <w:pPr>
        <w:ind w:left="567" w:right="-788"/>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724F38" w:rsidRDefault="00724F38">
      <w:pPr>
        <w:spacing w:line="360" w:lineRule="auto"/>
        <w:ind w:right="-787"/>
        <w:jc w:val="both"/>
      </w:pP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w:t>
      </w:r>
      <w:r>
        <w:rPr>
          <w:rFonts w:ascii="Palatino Linotype" w:eastAsia="Palatino Linotype" w:hAnsi="Palatino Linotype" w:cs="Palatino Linotype"/>
          <w:b/>
          <w:bCs/>
        </w:rPr>
        <w:t xml:space="preserve">Dirección de Obras Públicas </w:t>
      </w:r>
      <w:r>
        <w:rPr>
          <w:rFonts w:ascii="Palatino Linotype" w:eastAsia="Palatino Linotype" w:hAnsi="Palatino Linotype" w:cs="Palatino Linotype"/>
        </w:rPr>
        <w:t>tendrá las funciones de planeación, programación, presupuestación, ejecución, supervisión y conservación de las obras públicas municipales y los servicios relacionados con las mismas, llevando el control y vigilancia de estas conforme a lo establecido en la Ley Orgánica Municipal del Estado de México, el Libro Décimo Segundo del Código Administrativo del Estado de México y su Reglamento, el presente Bando Municipal y demás ordenamientos legales aplicables vigentes. Asimismo, en todo momento buscará las mejores condiciones en: costos, contratación y control de obra para construcciones, instalaciones, ampliaciones, adecuaciones, remodelaciones y demás acciones de obra pública municipal, de conformidad con lo establecido en el artículo 61, del Bando Municipal 2026.</w:t>
      </w:r>
    </w:p>
    <w:p w:rsidR="00724F38" w:rsidRDefault="00724F38">
      <w:pPr>
        <w:spacing w:line="360" w:lineRule="auto"/>
        <w:ind w:right="-787"/>
        <w:jc w:val="both"/>
        <w:rPr>
          <w:rFonts w:ascii="Palatino Linotype" w:eastAsia="Palatino Linotype" w:hAnsi="Palatino Linotype" w:cs="Palatino Linotype"/>
        </w:rPr>
      </w:pP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Si bien, en respuesta solo se señala el pronunciamiento del Titular de la Unidad de Transparencia sin anexar documento alguno de respuesta por la unidad administrativa competente, del tablero de SAIMEX se advierte que la solicitud de información fue turnada al Director de Obras Públicas, tal como obra en los documentos que integran el presente expediente digital, tal como se muestra en la imagen siguiente:</w:t>
      </w:r>
    </w:p>
    <w:p w:rsidR="00724F38" w:rsidRDefault="00F1782A">
      <w:pPr>
        <w:spacing w:line="360" w:lineRule="auto"/>
        <w:ind w:right="-787"/>
        <w:jc w:val="both"/>
      </w:pPr>
      <w:r>
        <w:rPr>
          <w:noProof/>
          <w:lang w:val="es-MX"/>
        </w:rPr>
        <w:lastRenderedPageBreak/>
        <w:drawing>
          <wp:inline distT="0" distB="0" distL="0" distR="0">
            <wp:extent cx="5756275" cy="56832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56275" cy="568325"/>
                    </a:xfrm>
                    <a:prstGeom prst="rect">
                      <a:avLst/>
                    </a:prstGeom>
                    <a:ln/>
                  </pic:spPr>
                </pic:pic>
              </a:graphicData>
            </a:graphic>
          </wp:inline>
        </w:drawing>
      </w:r>
    </w:p>
    <w:p w:rsidR="00724F38" w:rsidRDefault="00F1782A">
      <w:pPr>
        <w:spacing w:line="360" w:lineRule="auto"/>
        <w:ind w:right="-787"/>
        <w:jc w:val="center"/>
      </w:pPr>
      <w:r>
        <w:rPr>
          <w:noProof/>
          <w:lang w:val="es-MX"/>
        </w:rPr>
        <w:drawing>
          <wp:inline distT="0" distB="0" distL="0" distR="0">
            <wp:extent cx="2196636" cy="1283676"/>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196636" cy="1283676"/>
                    </a:xfrm>
                    <a:prstGeom prst="rect">
                      <a:avLst/>
                    </a:prstGeom>
                    <a:ln/>
                  </pic:spPr>
                </pic:pic>
              </a:graphicData>
            </a:graphic>
          </wp:inline>
        </w:drawing>
      </w:r>
    </w:p>
    <w:p w:rsidR="007E095C" w:rsidRDefault="007E095C">
      <w:pPr>
        <w:spacing w:line="360" w:lineRule="auto"/>
        <w:ind w:right="-787"/>
        <w:jc w:val="center"/>
      </w:pPr>
    </w:p>
    <w:p w:rsidR="00724F38" w:rsidRDefault="00F1782A">
      <w:pPr>
        <w:numPr>
          <w:ilvl w:val="0"/>
          <w:numId w:val="1"/>
        </w:numPr>
        <w:spacing w:line="360" w:lineRule="auto"/>
        <w:ind w:left="0" w:right="-787" w:firstLine="0"/>
        <w:jc w:val="both"/>
      </w:pPr>
      <w:r>
        <w:rPr>
          <w:rFonts w:ascii="Palatino Linotype" w:eastAsia="Palatino Linotype" w:hAnsi="Palatino Linotype" w:cs="Palatino Linotype"/>
        </w:rPr>
        <w:t xml:space="preserve">De lo expuesto es de precisar que la respuesta fue emitida por el </w:t>
      </w:r>
      <w:r>
        <w:rPr>
          <w:rFonts w:ascii="Palatino Linotype" w:eastAsia="Palatino Linotype" w:hAnsi="Palatino Linotype" w:cs="Palatino Linotype"/>
          <w:b/>
          <w:bCs/>
        </w:rPr>
        <w:t>Director de Obras Públicas</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724F38" w:rsidRDefault="00F1782A">
      <w:pPr>
        <w:ind w:left="708"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724F38" w:rsidRDefault="00724F38">
      <w:pPr>
        <w:spacing w:line="360" w:lineRule="auto"/>
        <w:ind w:left="708" w:right="62"/>
        <w:jc w:val="both"/>
        <w:rPr>
          <w:rFonts w:ascii="Palatino Linotype" w:eastAsia="Palatino Linotype" w:hAnsi="Palatino Linotype" w:cs="Palatino Linotype"/>
        </w:rPr>
      </w:pPr>
    </w:p>
    <w:p w:rsidR="00724F38" w:rsidRDefault="00F1782A">
      <w:pPr>
        <w:numPr>
          <w:ilvl w:val="0"/>
          <w:numId w:val="1"/>
        </w:numP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724F38" w:rsidRDefault="00F1782A">
      <w:pPr>
        <w:ind w:left="425"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w:t>
      </w:r>
      <w:r>
        <w:rPr>
          <w:rFonts w:ascii="Palatino Linotype" w:eastAsia="Palatino Linotype" w:hAnsi="Palatino Linotype" w:cs="Palatino Linotype"/>
          <w:i/>
          <w:iCs/>
        </w:rPr>
        <w:lastRenderedPageBreak/>
        <w:t>acuerdo a sus facultades, competencias y funciones, con el objeto de que realicen una búsqueda exhaustiva y razonable de la información solicitada.”</w:t>
      </w:r>
    </w:p>
    <w:p w:rsidR="00724F38" w:rsidRDefault="00724F38">
      <w:pPr>
        <w:spacing w:line="360" w:lineRule="auto"/>
        <w:ind w:right="-787"/>
        <w:jc w:val="both"/>
        <w:rPr>
          <w:rFonts w:ascii="Palatino Linotype" w:eastAsia="Palatino Linotype" w:hAnsi="Palatino Linotype" w:cs="Palatino Linotype"/>
          <w:color w:val="000000"/>
        </w:rPr>
      </w:pPr>
    </w:p>
    <w:p w:rsidR="00724F38" w:rsidRDefault="00F1782A">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w:t>
      </w:r>
      <w:r>
        <w:rPr>
          <w:rFonts w:ascii="Palatino Linotype" w:eastAsia="Palatino Linotype" w:hAnsi="Palatino Linotype" w:cs="Palatino Linotype"/>
        </w:rPr>
        <w:t>solicitada</w:t>
      </w:r>
      <w:r>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724F38" w:rsidRDefault="00F1782A">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724F38" w:rsidRDefault="00F1782A">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724F38" w:rsidRDefault="00F1782A">
      <w:pPr>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724F38" w:rsidRDefault="00F1782A">
      <w:pPr>
        <w:spacing w:line="360" w:lineRule="auto"/>
        <w:ind w:left="1134"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724F38" w:rsidRDefault="00724F38">
      <w:pPr>
        <w:ind w:right="-787"/>
        <w:jc w:val="both"/>
        <w:rPr>
          <w:rFonts w:ascii="Palatino Linotype" w:eastAsia="Palatino Linotype" w:hAnsi="Palatino Linotype" w:cs="Palatino Linotype"/>
        </w:rPr>
      </w:pPr>
    </w:p>
    <w:p w:rsidR="00724F38" w:rsidRDefault="00F1782A">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w:t>
      </w:r>
      <w:r>
        <w:rPr>
          <w:rFonts w:ascii="Palatino Linotype" w:eastAsia="Palatino Linotype" w:hAnsi="Palatino Linotype" w:cs="Palatino Linotype"/>
        </w:rPr>
        <w:t>Acuerdo</w:t>
      </w:r>
      <w:r>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7E095C" w:rsidRDefault="007E095C">
      <w:pPr>
        <w:ind w:left="850" w:right="-220"/>
        <w:jc w:val="both"/>
        <w:rPr>
          <w:rFonts w:ascii="Palatino Linotype" w:eastAsia="Palatino Linotype" w:hAnsi="Palatino Linotype" w:cs="Palatino Linotype"/>
          <w:b/>
          <w:bCs/>
        </w:rPr>
      </w:pPr>
    </w:p>
    <w:p w:rsidR="007E095C" w:rsidRDefault="007E095C">
      <w:pPr>
        <w:ind w:left="850" w:right="-220"/>
        <w:jc w:val="both"/>
        <w:rPr>
          <w:rFonts w:ascii="Palatino Linotype" w:eastAsia="Palatino Linotype" w:hAnsi="Palatino Linotype" w:cs="Palatino Linotype"/>
          <w:b/>
          <w:bCs/>
        </w:rPr>
      </w:pPr>
    </w:p>
    <w:p w:rsidR="00724F38" w:rsidRDefault="00F1782A">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lastRenderedPageBreak/>
        <w:t>“</w:t>
      </w:r>
      <w:r>
        <w:rPr>
          <w:rFonts w:ascii="Palatino Linotype" w:eastAsia="Palatino Linotype" w:hAnsi="Palatino Linotype" w:cs="Palatino Linotype"/>
          <w:b/>
          <w:bCs/>
          <w:i/>
          <w:iCs/>
        </w:rPr>
        <w:t>CRITERIO 0002-11</w:t>
      </w:r>
    </w:p>
    <w:p w:rsidR="00724F38" w:rsidRDefault="00F1782A">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24F38" w:rsidRDefault="00F1782A">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724F38" w:rsidRDefault="00F1782A">
      <w:pPr>
        <w:ind w:left="850"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724F38" w:rsidRDefault="00F1782A">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724F38" w:rsidRDefault="00F1782A">
      <w:pPr>
        <w:ind w:left="850"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724F38" w:rsidRDefault="00F1782A">
      <w:pPr>
        <w:tabs>
          <w:tab w:val="left" w:pos="851"/>
        </w:tabs>
        <w:spacing w:line="360" w:lineRule="auto"/>
        <w:ind w:left="850"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724F38" w:rsidRDefault="00724F38">
      <w:pPr>
        <w:pBdr>
          <w:top w:val="nil"/>
          <w:left w:val="nil"/>
          <w:bottom w:val="nil"/>
          <w:right w:val="nil"/>
          <w:between w:val="nil"/>
        </w:pBdr>
        <w:ind w:right="-787"/>
        <w:jc w:val="both"/>
        <w:rPr>
          <w:rFonts w:ascii="Palatino Linotype" w:eastAsia="Palatino Linotype" w:hAnsi="Palatino Linotype" w:cs="Palatino Linotype"/>
          <w:color w:val="000000"/>
        </w:rPr>
      </w:pPr>
    </w:p>
    <w:p w:rsidR="00724F38" w:rsidRDefault="00F1782A">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t xml:space="preserve">Por su parte </w:t>
      </w:r>
      <w:r>
        <w:rPr>
          <w:rFonts w:ascii="Palatino Linotype" w:eastAsia="Palatino Linotype" w:hAnsi="Palatino Linotype" w:cs="Palatino Linotype"/>
        </w:rPr>
        <w:t>los</w:t>
      </w:r>
      <w:r>
        <w:rPr>
          <w:rFonts w:ascii="Palatino Linotype" w:eastAsia="Palatino Linotype" w:hAnsi="Palatino Linotype" w:cs="Palatino Linotype"/>
          <w:color w:val="000000"/>
        </w:rPr>
        <w:t xml:space="preserve"> artículos 160 y 166, de la Ley local en la materia, que se reproduce de la siguiente forma:</w:t>
      </w:r>
    </w:p>
    <w:p w:rsidR="00724F38" w:rsidRDefault="00F1782A">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724F38" w:rsidRDefault="00724F38">
      <w:pPr>
        <w:ind w:left="566" w:right="-220"/>
        <w:jc w:val="both"/>
        <w:rPr>
          <w:rFonts w:ascii="Palatino Linotype" w:eastAsia="Palatino Linotype" w:hAnsi="Palatino Linotype" w:cs="Palatino Linotype"/>
          <w:i/>
          <w:iCs/>
        </w:rPr>
      </w:pPr>
    </w:p>
    <w:p w:rsidR="00724F38" w:rsidRDefault="00F1782A">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724F38" w:rsidRDefault="00F1782A">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724F38" w:rsidRDefault="00F1782A">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724F38" w:rsidRDefault="00F1782A">
      <w:pPr>
        <w:numPr>
          <w:ilvl w:val="0"/>
          <w:numId w:val="1"/>
        </w:numP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Así que la obligación de los Sujetos Obligados de dar acceso a la información pública que generen, </w:t>
      </w:r>
      <w:r>
        <w:rPr>
          <w:rFonts w:ascii="Palatino Linotype" w:eastAsia="Palatino Linotype" w:hAnsi="Palatino Linotype" w:cs="Palatino Linotype"/>
        </w:rPr>
        <w:t>administren</w:t>
      </w:r>
      <w:r>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724F38" w:rsidRDefault="00724F38">
      <w:pPr>
        <w:spacing w:line="360" w:lineRule="auto"/>
        <w:ind w:right="-787"/>
        <w:jc w:val="both"/>
        <w:rPr>
          <w:color w:val="000000"/>
        </w:rPr>
      </w:pPr>
    </w:p>
    <w:p w:rsidR="00724F38" w:rsidRDefault="00F1782A">
      <w:pPr>
        <w:numPr>
          <w:ilvl w:val="0"/>
          <w:numId w:val="4"/>
        </w:numPr>
        <w:pBdr>
          <w:top w:val="nil"/>
          <w:left w:val="nil"/>
          <w:bottom w:val="nil"/>
          <w:right w:val="nil"/>
          <w:between w:val="nil"/>
        </w:pBdr>
        <w:tabs>
          <w:tab w:val="left" w:pos="0"/>
          <w:tab w:val="left" w:pos="567"/>
        </w:tabs>
        <w:spacing w:line="360" w:lineRule="auto"/>
        <w:ind w:right="-788"/>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De la naturaleza de la información solicitada. </w:t>
      </w:r>
    </w:p>
    <w:p w:rsidR="00724F38" w:rsidRDefault="00F1782A">
      <w:pPr>
        <w:numPr>
          <w:ilvl w:val="0"/>
          <w:numId w:val="1"/>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 precisa </w:t>
      </w:r>
      <w:r>
        <w:rPr>
          <w:rFonts w:ascii="Palatino Linotype" w:eastAsia="Palatino Linotype" w:hAnsi="Palatino Linotype" w:cs="Palatino Linotype"/>
          <w:color w:val="000000"/>
        </w:rPr>
        <w:t>que</w:t>
      </w:r>
      <w:r>
        <w:rPr>
          <w:rFonts w:ascii="Palatino Linotype" w:eastAsia="Palatino Linotype" w:hAnsi="Palatino Linotype" w:cs="Palatino Linotype"/>
        </w:rPr>
        <w:t xml:space="preserv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para generar, administrar o poseer la información solicitada, dado que éste ha asumido la misma, en razón que en informe justificado admitió contar con dicha información, tan es así que remitió facturas por los gastos de la obra referida en la solicitud de información. </w:t>
      </w:r>
    </w:p>
    <w:p w:rsidR="00724F38" w:rsidRDefault="00724F38">
      <w:pPr>
        <w:tabs>
          <w:tab w:val="left" w:pos="0"/>
          <w:tab w:val="left" w:pos="567"/>
        </w:tabs>
        <w:spacing w:line="360" w:lineRule="auto"/>
        <w:ind w:left="-566" w:right="-787"/>
        <w:jc w:val="both"/>
        <w:rPr>
          <w:rFonts w:ascii="Palatino Linotype" w:eastAsia="Palatino Linotype" w:hAnsi="Palatino Linotype" w:cs="Palatino Linotype"/>
        </w:rPr>
      </w:pPr>
    </w:p>
    <w:p w:rsidR="00724F38" w:rsidRDefault="00F1782A">
      <w:pPr>
        <w:numPr>
          <w:ilvl w:val="0"/>
          <w:numId w:val="1"/>
        </w:numPr>
        <w:spacing w:line="360" w:lineRule="auto"/>
        <w:ind w:left="0" w:right="-787" w:firstLine="0"/>
        <w:jc w:val="both"/>
      </w:pPr>
      <w:bookmarkStart w:id="6" w:name="_heading=h.2s8eyo1" w:colFirst="0" w:colLast="0"/>
      <w:bookmarkEnd w:id="6"/>
      <w:r>
        <w:rPr>
          <w:rFonts w:ascii="Palatino Linotype" w:eastAsia="Palatino Linotype" w:hAnsi="Palatino Linotype" w:cs="Palatino Linotype"/>
        </w:rPr>
        <w:t xml:space="preserve">En efecto, el </w:t>
      </w:r>
      <w:r>
        <w:rPr>
          <w:rFonts w:ascii="Palatino Linotype" w:eastAsia="Palatino Linotype" w:hAnsi="Palatino Linotype" w:cs="Palatino Linotype"/>
          <w:color w:val="000000"/>
        </w:rPr>
        <w:t>hecho</w:t>
      </w:r>
      <w:r>
        <w:rPr>
          <w:rFonts w:ascii="Palatino Linotype" w:eastAsia="Palatino Linotype" w:hAnsi="Palatino Linotype" w:cs="Palatino Linotype"/>
        </w:rPr>
        <w:t xml:space="preserve">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724F38" w:rsidRDefault="00F1782A">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724F38" w:rsidRDefault="00724F38">
      <w:pPr>
        <w:tabs>
          <w:tab w:val="left" w:pos="8505"/>
        </w:tabs>
        <w:ind w:left="709" w:right="-858"/>
        <w:jc w:val="both"/>
        <w:rPr>
          <w:rFonts w:ascii="Palatino Linotype" w:eastAsia="Palatino Linotype" w:hAnsi="Palatino Linotype" w:cs="Palatino Linotype"/>
          <w:i/>
          <w:iCs/>
        </w:rPr>
      </w:pPr>
    </w:p>
    <w:p w:rsidR="00724F38" w:rsidRDefault="00F1782A">
      <w:pPr>
        <w:tabs>
          <w:tab w:val="left" w:pos="8505"/>
        </w:tabs>
        <w:ind w:left="709" w:right="-858"/>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724F38" w:rsidRDefault="00724F38">
      <w:pPr>
        <w:tabs>
          <w:tab w:val="left" w:pos="8505"/>
        </w:tabs>
        <w:ind w:left="709" w:right="-858"/>
        <w:jc w:val="both"/>
        <w:rPr>
          <w:rFonts w:ascii="Palatino Linotype" w:eastAsia="Palatino Linotype" w:hAnsi="Palatino Linotype" w:cs="Palatino Linotype"/>
          <w:i/>
          <w:iCs/>
        </w:rPr>
      </w:pPr>
    </w:p>
    <w:p w:rsidR="00724F38" w:rsidRDefault="00724F38">
      <w:pPr>
        <w:pBdr>
          <w:top w:val="nil"/>
          <w:left w:val="nil"/>
          <w:bottom w:val="nil"/>
          <w:right w:val="nil"/>
          <w:between w:val="nil"/>
        </w:pBdr>
        <w:ind w:left="-566" w:right="-787"/>
        <w:rPr>
          <w:rFonts w:ascii="Palatino Linotype" w:eastAsia="Palatino Linotype" w:hAnsi="Palatino Linotype" w:cs="Palatino Linotype"/>
          <w:color w:val="000000"/>
        </w:rPr>
      </w:pPr>
    </w:p>
    <w:p w:rsidR="00724F38" w:rsidRDefault="00F1782A">
      <w:pPr>
        <w:numPr>
          <w:ilvl w:val="0"/>
          <w:numId w:val="1"/>
        </w:numPr>
        <w:spacing w:line="360" w:lineRule="auto"/>
        <w:ind w:left="0" w:right="-787" w:firstLine="0"/>
        <w:jc w:val="both"/>
        <w:rPr>
          <w:color w:val="000000"/>
        </w:rPr>
      </w:pPr>
      <w:r>
        <w:rPr>
          <w:rFonts w:ascii="Palatino Linotype" w:eastAsia="Palatino Linotype" w:hAnsi="Palatino Linotype" w:cs="Palatino Linotype"/>
        </w:rPr>
        <w:lastRenderedPageBreak/>
        <w:t xml:space="preserve">Así, el estudio </w:t>
      </w:r>
      <w:r>
        <w:rPr>
          <w:rFonts w:ascii="Palatino Linotype" w:eastAsia="Palatino Linotype" w:hAnsi="Palatino Linotype" w:cs="Palatino Linotype"/>
          <w:color w:val="000000"/>
        </w:rPr>
        <w:t>de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724F38" w:rsidRDefault="00724F38">
      <w:pPr>
        <w:spacing w:line="360" w:lineRule="auto"/>
        <w:ind w:right="-787"/>
        <w:jc w:val="both"/>
        <w:rPr>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rPr>
        <w:t xml:space="preserve">Es de recordar que el particular solicitó tener acceso a al </w:t>
      </w:r>
      <w:r>
        <w:rPr>
          <w:rFonts w:ascii="Palatino Linotype" w:eastAsia="Palatino Linotype" w:hAnsi="Palatino Linotype" w:cs="Palatino Linotype"/>
          <w:i/>
          <w:iCs/>
          <w:color w:val="000000"/>
          <w:u w:val="single"/>
        </w:rPr>
        <w:t>Documento en el que conste la erogación de recursos públicos de la obra de pavimentación de la calle Cerrada de Veracruz concluida, en la Colonia Luis Donaldo Colosio, C.P. 55029, Ecatepec de Morelos, Estados de México</w:t>
      </w:r>
      <w:r>
        <w:rPr>
          <w:rFonts w:ascii="Palatino Linotype" w:eastAsia="Palatino Linotype" w:hAnsi="Palatino Linotype" w:cs="Palatino Linotype"/>
          <w:color w:val="000000"/>
        </w:rPr>
        <w:t xml:space="preserve">, en respuesta el Sujeto Obligado se pronunció refiriendo que </w:t>
      </w:r>
      <w:r>
        <w:rPr>
          <w:rFonts w:ascii="Palatino Linotype" w:eastAsia="Palatino Linotype" w:hAnsi="Palatino Linotype" w:cs="Palatino Linotype"/>
          <w:i/>
          <w:iCs/>
          <w:color w:val="000000"/>
        </w:rPr>
        <w:t>Los recursos destinados para Cerrada de Veracruz, en la colonia Luis Donaldo Colosio provinieron de Recurso propio municipal</w:t>
      </w:r>
      <w:r>
        <w:rPr>
          <w:rFonts w:ascii="Palatino Linotype" w:eastAsia="Palatino Linotype" w:hAnsi="Palatino Linotype" w:cs="Palatino Linotype"/>
          <w:color w:val="000000"/>
        </w:rPr>
        <w:t>, circunstancia de la cual se dol</w:t>
      </w:r>
      <w:r>
        <w:rPr>
          <w:rFonts w:ascii="Palatino Linotype" w:eastAsia="Palatino Linotype" w:hAnsi="Palatino Linotype" w:cs="Palatino Linotype"/>
        </w:rPr>
        <w:t xml:space="preserve">ió </w:t>
      </w:r>
      <w:r>
        <w:rPr>
          <w:rFonts w:ascii="Palatino Linotype" w:eastAsia="Palatino Linotype" w:hAnsi="Palatino Linotype" w:cs="Palatino Linotype"/>
          <w:color w:val="000000"/>
        </w:rPr>
        <w:t xml:space="preserve"> el particular por la negativa de la información solicitada. Posteriormente a través de informe justificado, el Sujeto Obligado a través de la </w:t>
      </w:r>
      <w:r>
        <w:rPr>
          <w:rFonts w:ascii="Palatino Linotype" w:eastAsia="Palatino Linotype" w:hAnsi="Palatino Linotype" w:cs="Palatino Linotype"/>
          <w:b/>
          <w:bCs/>
          <w:color w:val="000000"/>
        </w:rPr>
        <w:t>Dirección de Obras Públicas</w:t>
      </w:r>
      <w:r>
        <w:rPr>
          <w:rFonts w:ascii="Palatino Linotype" w:eastAsia="Palatino Linotype" w:hAnsi="Palatino Linotype" w:cs="Palatino Linotype"/>
          <w:color w:val="000000"/>
        </w:rPr>
        <w:t xml:space="preserve">, unidad administrativa competente para poseer la información, refirió que </w:t>
      </w:r>
      <w:r>
        <w:rPr>
          <w:rFonts w:ascii="Palatino Linotype" w:eastAsia="Palatino Linotype" w:hAnsi="Palatino Linotype" w:cs="Palatino Linotype"/>
          <w:i/>
          <w:iCs/>
          <w:color w:val="000000"/>
        </w:rPr>
        <w:t xml:space="preserve">después de realizar una búsqueda exhaustiva en los archivos correspondientes, </w:t>
      </w:r>
      <w:r>
        <w:rPr>
          <w:rFonts w:ascii="Palatino Linotype" w:eastAsia="Palatino Linotype" w:hAnsi="Palatino Linotype" w:cs="Palatino Linotype"/>
          <w:b/>
          <w:bCs/>
          <w:i/>
          <w:iCs/>
          <w:color w:val="000000"/>
        </w:rPr>
        <w:t xml:space="preserve">se remiten las facturas relativas a las obra: suministro de materiales para la construcción de pavimento hidráulico, guarniciones y banquetas de la cerrada Veracruz, localidad Luis Donaldo Colosio en Municipio de Ecatepec de Morelos, </w:t>
      </w:r>
      <w:r>
        <w:rPr>
          <w:rFonts w:ascii="Palatino Linotype" w:eastAsia="Palatino Linotype" w:hAnsi="Palatino Linotype" w:cs="Palatino Linotype"/>
          <w:color w:val="000000"/>
        </w:rPr>
        <w:t>adjuntando dos facturas relativas al suministro de materiales para la construcción de pavimento hidráulico, guarniciones y banquetas de la Cerrada de Veracruz, localidad Luis Donaldo Colosio en el Municipio de Ecatepec de Morelos, tal como se muestra en las imágenes siguientes:</w:t>
      </w:r>
    </w:p>
    <w:p w:rsidR="00724F38" w:rsidRDefault="00F1782A">
      <w:pPr>
        <w:pBdr>
          <w:top w:val="nil"/>
          <w:left w:val="nil"/>
          <w:bottom w:val="nil"/>
          <w:right w:val="nil"/>
          <w:between w:val="nil"/>
        </w:pBdr>
        <w:spacing w:line="360" w:lineRule="auto"/>
        <w:ind w:right="-787"/>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noProof/>
          <w:color w:val="000000"/>
          <w:lang w:val="es-MX"/>
        </w:rPr>
        <w:lastRenderedPageBreak/>
        <w:drawing>
          <wp:inline distT="0" distB="0" distL="0" distR="0">
            <wp:extent cx="2657970" cy="2416948"/>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657970" cy="2416948"/>
                    </a:xfrm>
                    <a:prstGeom prst="rect">
                      <a:avLst/>
                    </a:prstGeom>
                    <a:ln/>
                  </pic:spPr>
                </pic:pic>
              </a:graphicData>
            </a:graphic>
          </wp:inline>
        </w:drawing>
      </w:r>
    </w:p>
    <w:p w:rsidR="00724F38" w:rsidRDefault="00F1782A">
      <w:pPr>
        <w:pBdr>
          <w:top w:val="nil"/>
          <w:left w:val="nil"/>
          <w:bottom w:val="nil"/>
          <w:right w:val="nil"/>
          <w:between w:val="nil"/>
        </w:pBdr>
        <w:spacing w:line="360" w:lineRule="auto"/>
        <w:ind w:right="-787"/>
        <w:jc w:val="center"/>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noProof/>
          <w:color w:val="000000"/>
          <w:lang w:val="es-MX"/>
        </w:rPr>
        <w:drawing>
          <wp:inline distT="0" distB="0" distL="0" distR="0">
            <wp:extent cx="2423431" cy="2957841"/>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2423431" cy="2957841"/>
                    </a:xfrm>
                    <a:prstGeom prst="rect">
                      <a:avLst/>
                    </a:prstGeom>
                    <a:ln/>
                  </pic:spPr>
                </pic:pic>
              </a:graphicData>
            </a:graphic>
          </wp:inline>
        </w:drawing>
      </w:r>
    </w:p>
    <w:p w:rsidR="00724F38" w:rsidRDefault="00724F3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lo anterior, para precisar que </w:t>
      </w:r>
      <w:r>
        <w:rPr>
          <w:rFonts w:ascii="Palatino Linotype" w:eastAsia="Palatino Linotype" w:hAnsi="Palatino Linotype" w:cs="Palatino Linotype"/>
          <w:b/>
          <w:bCs/>
        </w:rPr>
        <w:t>los documentos que acrediten la erogación de un gasto</w:t>
      </w:r>
      <w:r>
        <w:rPr>
          <w:rFonts w:ascii="Palatino Linotype" w:eastAsia="Palatino Linotype" w:hAnsi="Palatino Linotype" w:cs="Palatino Linotype"/>
        </w:rPr>
        <w:t xml:space="preserve">, resulta necesario traer a </w:t>
      </w:r>
      <w:r>
        <w:rPr>
          <w:rFonts w:ascii="Palatino Linotype" w:eastAsia="Palatino Linotype" w:hAnsi="Palatino Linotype" w:cs="Palatino Linotype"/>
          <w:color w:val="000000"/>
        </w:rPr>
        <w:t>contexto</w:t>
      </w:r>
      <w:r>
        <w:rPr>
          <w:rFonts w:ascii="Palatino Linotype" w:eastAsia="Palatino Linotype" w:hAnsi="Palatino Linotype" w:cs="Palatino Linotype"/>
        </w:rPr>
        <w:t xml:space="preserve">, la Resolución Miscelánea Fiscal, establece que la </w:t>
      </w:r>
      <w:r>
        <w:rPr>
          <w:rFonts w:ascii="Palatino Linotype" w:eastAsia="Palatino Linotype" w:hAnsi="Palatino Linotype" w:cs="Palatino Linotype"/>
          <w:b/>
          <w:bCs/>
        </w:rPr>
        <w:t>factura</w:t>
      </w:r>
      <w:r>
        <w:rPr>
          <w:rFonts w:ascii="Palatino Linotype" w:eastAsia="Palatino Linotype" w:hAnsi="Palatino Linotype" w:cs="Palatino Linotype"/>
        </w:rPr>
        <w:t xml:space="preserve"> es lo mismo, que un Comprobante Fiscal Digital por Internet, por lo que, se puede considerar como el documento que comprueba la realización de una transacción</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comercial, </w:t>
      </w:r>
      <w:r>
        <w:rPr>
          <w:rFonts w:ascii="Palatino Linotype" w:eastAsia="Palatino Linotype" w:hAnsi="Palatino Linotype" w:cs="Palatino Linotype"/>
        </w:rPr>
        <w:lastRenderedPageBreak/>
        <w:t>entre un comprador y un vendedor, mediante el cual, el primero queda obligado a realizar un pago, mientras que el segundo, a entregar o brindar un producto o servicio.</w:t>
      </w:r>
    </w:p>
    <w:p w:rsidR="00724F38" w:rsidRDefault="00724F38">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724F38" w:rsidRDefault="00F1782A">
      <w:pPr>
        <w:numPr>
          <w:ilvl w:val="0"/>
          <w:numId w:val="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Resulta </w:t>
      </w:r>
      <w:r>
        <w:rPr>
          <w:rFonts w:ascii="Palatino Linotype" w:eastAsia="Palatino Linotype" w:hAnsi="Palatino Linotype" w:cs="Palatino Linotype"/>
          <w:color w:val="000000"/>
        </w:rPr>
        <w:t>importante</w:t>
      </w:r>
      <w:r>
        <w:rPr>
          <w:rFonts w:ascii="Palatino Linotype" w:eastAsia="Palatino Linotype" w:hAnsi="Palatino Linotype" w:cs="Palatino Linotype"/>
        </w:rPr>
        <w:t xml:space="preserve"> señalar que este término se encuentra definido en el Glosario de Términos Hacendarios que emite el Instituto Hacendario del Estado de México, el cual expresa lo siguiente:</w:t>
      </w:r>
    </w:p>
    <w:p w:rsidR="00724F38" w:rsidRDefault="00F1782A">
      <w:pPr>
        <w:ind w:left="851" w:right="851"/>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FACTURA</w:t>
      </w:r>
    </w:p>
    <w:p w:rsidR="00724F38" w:rsidRDefault="00F1782A">
      <w:pPr>
        <w:ind w:left="851" w:right="85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Es el documento fiscal que emite la persona física o moral para </w:t>
      </w:r>
      <w:r>
        <w:rPr>
          <w:rFonts w:ascii="Palatino Linotype" w:eastAsia="Palatino Linotype" w:hAnsi="Palatino Linotype" w:cs="Palatino Linotype"/>
          <w:b/>
          <w:bCs/>
          <w:i/>
          <w:iCs/>
          <w:u w:val="single"/>
        </w:rPr>
        <w:t>comprobar la venta o adquisición de un bien y/o servicio</w:t>
      </w:r>
      <w:r>
        <w:rPr>
          <w:rFonts w:ascii="Palatino Linotype" w:eastAsia="Palatino Linotype" w:hAnsi="Palatino Linotype" w:cs="Palatino Linotype"/>
          <w:i/>
          <w:iCs/>
        </w:rPr>
        <w:t>.” (Sic)</w:t>
      </w:r>
    </w:p>
    <w:p w:rsidR="00724F38" w:rsidRDefault="00724F38">
      <w:pPr>
        <w:spacing w:line="360" w:lineRule="auto"/>
        <w:ind w:left="851" w:right="851"/>
        <w:jc w:val="both"/>
        <w:rPr>
          <w:rFonts w:ascii="Palatino Linotype" w:eastAsia="Palatino Linotype" w:hAnsi="Palatino Linotype" w:cs="Palatino Linotype"/>
          <w:i/>
          <w:iCs/>
        </w:rPr>
      </w:pPr>
    </w:p>
    <w:p w:rsidR="00724F38" w:rsidRDefault="00F1782A">
      <w:pPr>
        <w:numPr>
          <w:ilvl w:val="0"/>
          <w:numId w:val="1"/>
        </w:numPr>
        <w:pBdr>
          <w:top w:val="nil"/>
          <w:left w:val="nil"/>
          <w:bottom w:val="nil"/>
          <w:right w:val="nil"/>
          <w:between w:val="nil"/>
        </w:pBdr>
        <w:spacing w:line="360" w:lineRule="auto"/>
        <w:ind w:left="0" w:right="-788"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 de señalarse que </w:t>
      </w:r>
      <w:r>
        <w:rPr>
          <w:rFonts w:ascii="Palatino Linotype" w:eastAsia="Palatino Linotype" w:hAnsi="Palatino Linotype" w:cs="Palatino Linotype"/>
          <w:b/>
          <w:bCs/>
        </w:rPr>
        <w:t>las facturas o comprobantes que amparan las erogaciones que se realizan con erario público tienen naturaleza pública</w:t>
      </w:r>
      <w:r>
        <w:rPr>
          <w:rFonts w:ascii="Palatino Linotype" w:eastAsia="Palatino Linotype" w:hAnsi="Palatino Linotype" w:cs="Palatino Linotype"/>
        </w:rPr>
        <w:t xml:space="preserve"> pues, constituyen los medios idóneos de evidencia del gasto realizado con recursos públicos, de ahí que convenga precisar que la Constitución Política del Estado Libre y Soberano de México en su artículo 129 señala que l</w:t>
      </w:r>
      <w:r>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rsidR="00724F38" w:rsidRDefault="00724F38">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orden de ideas, el titular de la </w:t>
      </w:r>
      <w:r>
        <w:rPr>
          <w:rFonts w:ascii="Palatino Linotype" w:eastAsia="Palatino Linotype" w:hAnsi="Palatino Linotype" w:cs="Palatino Linotype"/>
          <w:b/>
          <w:bCs/>
          <w:color w:val="000000"/>
        </w:rPr>
        <w:t>Dirección de Obras Públicas</w:t>
      </w:r>
      <w:r>
        <w:rPr>
          <w:rFonts w:ascii="Palatino Linotype" w:eastAsia="Palatino Linotype" w:hAnsi="Palatino Linotype" w:cs="Palatino Linotype"/>
          <w:color w:val="000000"/>
        </w:rPr>
        <w:t>, tiene las funciones de planeación, programación, presupuestación, ejecución, supervisión y conservación de las obras públicas municipales y los servicios relacionados con las mismas, llevando el control y vigilancia de estas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buscando las mejores condiciones en: costos, contratación y control de obra para construcciones, instalaciones, ampliaciones, adecuaciones, remodelaciones y demás acciones de obra pública municipal; unidad administrativa que de conformidad con sus funciones es la competente para poseer y administrar la información solicitada.</w:t>
      </w: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Del análisis de la información solicitada y la proporcionada en Informe Justificado, </w:t>
      </w:r>
      <w:r>
        <w:rPr>
          <w:rFonts w:ascii="Palatino Linotype" w:eastAsia="Palatino Linotype" w:hAnsi="Palatino Linotype" w:cs="Palatino Linotype"/>
        </w:rPr>
        <w:t xml:space="preserve">este Organismo considera </w:t>
      </w:r>
      <w:r>
        <w:rPr>
          <w:rFonts w:ascii="Palatino Linotype" w:eastAsia="Palatino Linotype" w:hAnsi="Palatino Linotype" w:cs="Palatino Linotype"/>
          <w:b/>
          <w:bCs/>
        </w:rPr>
        <w:t>se ha colmado en su totalidad</w:t>
      </w:r>
      <w:r>
        <w:rPr>
          <w:rFonts w:ascii="Palatino Linotype" w:eastAsia="Palatino Linotype" w:hAnsi="Palatino Linotype" w:cs="Palatino Linotype"/>
        </w:rPr>
        <w:t xml:space="preserve"> el requerimiento de información</w:t>
      </w:r>
      <w:r>
        <w:rPr>
          <w:rFonts w:ascii="Palatino Linotype" w:eastAsia="Palatino Linotype" w:hAnsi="Palatino Linotype" w:cs="Palatino Linotype"/>
          <w:color w:val="000000"/>
        </w:rPr>
        <w:t>. Asimismo, es de recalcar lo establecido en el artículo 12 de la Ley de Transparencia Local:</w:t>
      </w:r>
    </w:p>
    <w:p w:rsidR="00724F38" w:rsidRDefault="00F1782A">
      <w:pPr>
        <w:pBdr>
          <w:top w:val="nil"/>
          <w:left w:val="nil"/>
          <w:bottom w:val="nil"/>
          <w:right w:val="nil"/>
          <w:between w:val="nil"/>
        </w:pBdr>
        <w:ind w:left="567"/>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i/>
          <w:iCs/>
          <w:color w:val="000000"/>
          <w:sz w:val="22"/>
          <w:szCs w:val="22"/>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724F38" w:rsidRDefault="00724F38">
      <w:pPr>
        <w:pBdr>
          <w:top w:val="nil"/>
          <w:left w:val="nil"/>
          <w:bottom w:val="nil"/>
          <w:right w:val="nil"/>
          <w:between w:val="nil"/>
        </w:pBdr>
        <w:ind w:left="567"/>
        <w:jc w:val="both"/>
        <w:rPr>
          <w:rFonts w:ascii="Palatino Linotype" w:eastAsia="Palatino Linotype" w:hAnsi="Palatino Linotype" w:cs="Palatino Linotype"/>
          <w:i/>
          <w:iCs/>
          <w:color w:val="000000"/>
          <w:sz w:val="22"/>
          <w:szCs w:val="22"/>
        </w:rPr>
      </w:pPr>
    </w:p>
    <w:p w:rsidR="00724F38" w:rsidRDefault="00F1782A">
      <w:pPr>
        <w:pBdr>
          <w:top w:val="nil"/>
          <w:left w:val="nil"/>
          <w:bottom w:val="nil"/>
          <w:right w:val="nil"/>
          <w:between w:val="nil"/>
        </w:pBdr>
        <w:ind w:left="567"/>
        <w:jc w:val="both"/>
        <w:rPr>
          <w:rFonts w:ascii="Palatino Linotype" w:eastAsia="Palatino Linotype" w:hAnsi="Palatino Linotype" w:cs="Palatino Linotype"/>
          <w:i/>
          <w:iCs/>
          <w:color w:val="000000"/>
          <w:sz w:val="22"/>
          <w:szCs w:val="22"/>
        </w:rPr>
      </w:pPr>
      <w:r>
        <w:rPr>
          <w:rFonts w:ascii="Palatino Linotype" w:eastAsia="Palatino Linotype" w:hAnsi="Palatino Linotype" w:cs="Palatino Linotype"/>
          <w:i/>
          <w:iCs/>
          <w:color w:val="000000"/>
          <w:sz w:val="22"/>
          <w:szCs w:val="22"/>
        </w:rPr>
        <w:t>La obligación de proporcionar información no comprende el procesamiento de la misma, ni el presentarla conforme al interés del solicitante; no estarán obligados a generarla, resumirla, efectuar cálculos o practicar investigaciones.</w:t>
      </w:r>
    </w:p>
    <w:p w:rsidR="00724F38" w:rsidRDefault="00724F38">
      <w:pPr>
        <w:spacing w:line="360" w:lineRule="auto"/>
        <w:ind w:right="-787"/>
        <w:jc w:val="both"/>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iCs/>
          <w:color w:val="000000"/>
        </w:rPr>
      </w:pPr>
      <w:r>
        <w:rPr>
          <w:rFonts w:ascii="Palatino Linotype" w:eastAsia="Palatino Linotype" w:hAnsi="Palatino Linotype" w:cs="Palatino Linotype"/>
        </w:rPr>
        <w:t>Luego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entonces</w:t>
      </w:r>
      <w:r>
        <w:rPr>
          <w:rFonts w:ascii="Palatino Linotype" w:eastAsia="Palatino Linotype" w:hAnsi="Palatino Linotype" w:cs="Palatino Linotype"/>
          <w:color w:val="000000"/>
        </w:rPr>
        <w:t xml:space="preserve"> la </w:t>
      </w:r>
      <w:r>
        <w:rPr>
          <w:rFonts w:ascii="Palatino Linotype" w:eastAsia="Palatino Linotype" w:hAnsi="Palatino Linotype" w:cs="Palatino Linotype"/>
        </w:rPr>
        <w:t>obligación</w:t>
      </w:r>
      <w:r>
        <w:rPr>
          <w:rFonts w:ascii="Palatino Linotype" w:eastAsia="Palatino Linotype" w:hAnsi="Palatino Linotype" w:cs="Palatino Linotype"/>
          <w:color w:val="000000"/>
        </w:rPr>
        <w:t xml:space="preserve"> de los Sujetos Obligados de dar acceso a la información pública que generen, administren o posean, se tendrá por cumplida cuando </w:t>
      </w:r>
      <w:r>
        <w:rPr>
          <w:rFonts w:ascii="Palatino Linotype" w:eastAsia="Palatino Linotype" w:hAnsi="Palatino Linotype" w:cs="Palatino Linotype"/>
          <w:b/>
          <w:bCs/>
          <w:color w:val="000000"/>
        </w:rPr>
        <w:t>el solicitante tenga a su disposición la información requerida, como ha sucedido al caso concreto</w:t>
      </w:r>
      <w:r>
        <w:rPr>
          <w:rFonts w:ascii="Palatino Linotype" w:eastAsia="Palatino Linotype" w:hAnsi="Palatino Linotype" w:cs="Palatino Linotype"/>
          <w:color w:val="000000"/>
        </w:rPr>
        <w:t xml:space="preserve">, en consecuencia, la solicitud de información </w:t>
      </w:r>
      <w:r>
        <w:rPr>
          <w:rFonts w:ascii="Palatino Linotype" w:eastAsia="Palatino Linotype" w:hAnsi="Palatino Linotype" w:cs="Palatino Linotype"/>
          <w:b/>
          <w:bCs/>
          <w:color w:val="000000"/>
        </w:rPr>
        <w:t>ha quedado satisfecha</w:t>
      </w: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 xml:space="preserve"> </w:t>
      </w:r>
    </w:p>
    <w:p w:rsidR="00724F38" w:rsidRDefault="00724F38">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De todo lo </w:t>
      </w:r>
      <w:r>
        <w:rPr>
          <w:rFonts w:ascii="Palatino Linotype" w:eastAsia="Palatino Linotype" w:hAnsi="Palatino Linotype" w:cs="Palatino Linotype"/>
          <w:color w:val="000000"/>
        </w:rPr>
        <w:t>expuesto</w:t>
      </w:r>
      <w:r>
        <w:rPr>
          <w:rFonts w:ascii="Palatino Linotype" w:eastAsia="Palatino Linotype" w:hAnsi="Palatino Linotype" w:cs="Palatino Linotype"/>
        </w:rPr>
        <w:t xml:space="preserve">, se advierte que el </w:t>
      </w:r>
      <w:r>
        <w:rPr>
          <w:rFonts w:ascii="Palatino Linotype" w:eastAsia="Palatino Linotype" w:hAnsi="Palatino Linotype" w:cs="Palatino Linotype"/>
          <w:b/>
          <w:bCs/>
        </w:rPr>
        <w:t>SUJETO OBLIGADO revocó su acto al modificar su respuesta en informe justificado, remitiendo la información que da acceso a aquella que es de interés para el solicitante.</w:t>
      </w:r>
    </w:p>
    <w:p w:rsidR="00724F38" w:rsidRDefault="00724F38">
      <w:pPr>
        <w:pBdr>
          <w:top w:val="nil"/>
          <w:left w:val="nil"/>
          <w:bottom w:val="nil"/>
          <w:right w:val="nil"/>
          <w:between w:val="nil"/>
        </w:pBdr>
        <w:tabs>
          <w:tab w:val="left" w:pos="7513"/>
        </w:tabs>
        <w:spacing w:line="360" w:lineRule="auto"/>
        <w:ind w:right="49"/>
        <w:jc w:val="both"/>
        <w:rPr>
          <w:rFonts w:ascii="Palatino Linotype" w:eastAsia="Palatino Linotype" w:hAnsi="Palatino Linotype" w:cs="Palatino Linotype"/>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Luego </w:t>
      </w:r>
      <w:r>
        <w:rPr>
          <w:rFonts w:ascii="Palatino Linotype" w:eastAsia="Palatino Linotype" w:hAnsi="Palatino Linotype" w:cs="Palatino Linotype"/>
        </w:rPr>
        <w:t>entonces</w:t>
      </w:r>
      <w:r>
        <w:rPr>
          <w:rFonts w:ascii="Palatino Linotype" w:eastAsia="Palatino Linotype" w:hAnsi="Palatino Linotype" w:cs="Palatino Linotype"/>
          <w:color w:val="000000"/>
        </w:rPr>
        <w:t xml:space="preserve">, al haberse modificado la respuesta inicial, resulta necesario invocar la fracción III, del artículo 192, de la </w:t>
      </w:r>
      <w:r>
        <w:rPr>
          <w:rFonts w:ascii="Palatino Linotype" w:eastAsia="Palatino Linotype" w:hAnsi="Palatino Linotype" w:cs="Palatino Linotype"/>
          <w:b/>
          <w:bCs/>
          <w:color w:val="000000"/>
        </w:rPr>
        <w:t>Ley de Transparencia y Acceso a la Información Pública del Estado de México y Municipios</w:t>
      </w:r>
      <w:r>
        <w:rPr>
          <w:rFonts w:ascii="Palatino Linotype" w:eastAsia="Palatino Linotype" w:hAnsi="Palatino Linotype" w:cs="Palatino Linotype"/>
          <w:color w:val="000000"/>
        </w:rPr>
        <w:t xml:space="preserve">, por contener la causal de sobreseimiento relativa a que el Sujeto Obligado </w:t>
      </w:r>
      <w:r>
        <w:rPr>
          <w:rFonts w:ascii="Palatino Linotype" w:eastAsia="Palatino Linotype" w:hAnsi="Palatino Linotype" w:cs="Palatino Linotype"/>
          <w:b/>
          <w:bCs/>
          <w:color w:val="000000"/>
          <w:u w:val="single"/>
        </w:rPr>
        <w:t>modifique o revoque el acto</w:t>
      </w:r>
      <w:r>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Para los efectos de esta resolución, es oportuno precisar los alcances jurídicos de la fracción III de </w:t>
      </w:r>
      <w:r>
        <w:rPr>
          <w:rFonts w:ascii="Palatino Linotype" w:eastAsia="Palatino Linotype" w:hAnsi="Palatino Linotype" w:cs="Palatino Linotype"/>
        </w:rPr>
        <w:t>referencia</w:t>
      </w:r>
      <w:r>
        <w:rPr>
          <w:rFonts w:ascii="Palatino Linotype" w:eastAsia="Palatino Linotype" w:hAnsi="Palatino Linotype" w:cs="Palatino Linotype"/>
          <w:color w:val="000000"/>
        </w:rPr>
        <w:t>, a saber:</w:t>
      </w:r>
    </w:p>
    <w:p w:rsidR="00724F38" w:rsidRDefault="00F1782A">
      <w:pPr>
        <w:numPr>
          <w:ilvl w:val="0"/>
          <w:numId w:val="5"/>
        </w:numPr>
        <w:spacing w:line="360" w:lineRule="auto"/>
        <w:ind w:left="1134" w:right="616" w:firstLine="0"/>
        <w:jc w:val="both"/>
        <w:rPr>
          <w:rFonts w:ascii="Palatino Linotype" w:eastAsia="Palatino Linotype" w:hAnsi="Palatino Linotype" w:cs="Palatino Linotype"/>
        </w:rPr>
      </w:pPr>
      <w:r>
        <w:rPr>
          <w:rFonts w:ascii="Palatino Linotype" w:eastAsia="Palatino Linotype" w:hAnsi="Palatino Linotype" w:cs="Palatino Linotype"/>
          <w:b/>
          <w:bCs/>
        </w:rPr>
        <w:t>Modifique el acto impugnado:</w:t>
      </w:r>
      <w:r>
        <w:rPr>
          <w:rFonts w:ascii="Palatino Linotype" w:eastAsia="Palatino Linotype" w:hAnsi="Palatino Linotype" w:cs="Palatino Linotype"/>
        </w:rPr>
        <w:t xml:space="preserve"> Se actualiza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724F38" w:rsidRDefault="00F1782A">
      <w:pPr>
        <w:numPr>
          <w:ilvl w:val="0"/>
          <w:numId w:val="5"/>
        </w:numPr>
        <w:spacing w:line="360" w:lineRule="auto"/>
        <w:ind w:left="1134" w:right="616" w:firstLine="0"/>
        <w:jc w:val="both"/>
        <w:rPr>
          <w:rFonts w:ascii="Palatino Linotype" w:eastAsia="Palatino Linotype" w:hAnsi="Palatino Linotype" w:cs="Palatino Linotype"/>
        </w:rPr>
      </w:pPr>
      <w:r>
        <w:rPr>
          <w:rFonts w:ascii="Palatino Linotype" w:eastAsia="Palatino Linotype" w:hAnsi="Palatino Linotype" w:cs="Palatino Linotype"/>
          <w:b/>
          <w:bCs/>
        </w:rPr>
        <w:t>Revoque el acto impugnado:</w:t>
      </w:r>
      <w:r>
        <w:rPr>
          <w:rFonts w:ascii="Palatino Linotype" w:eastAsia="Palatino Linotype" w:hAnsi="Palatino Linotype" w:cs="Palatino Linotype"/>
        </w:rPr>
        <w:t xml:space="preserve"> En este supuesto,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724F38" w:rsidRDefault="00724F38">
      <w:pPr>
        <w:pBdr>
          <w:top w:val="nil"/>
          <w:left w:val="nil"/>
          <w:bottom w:val="nil"/>
          <w:right w:val="nil"/>
          <w:between w:val="nil"/>
        </w:pBdr>
        <w:spacing w:line="360" w:lineRule="auto"/>
        <w:rPr>
          <w:rFonts w:ascii="Palatino Linotype" w:eastAsia="Palatino Linotype" w:hAnsi="Palatino Linotype" w:cs="Palatino Linotype"/>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724F38" w:rsidRDefault="00724F38">
      <w:pPr>
        <w:spacing w:line="360" w:lineRule="auto"/>
        <w:jc w:val="both"/>
        <w:rPr>
          <w:rFonts w:ascii="Palatino Linotype" w:eastAsia="Palatino Linotype" w:hAnsi="Palatino Linotype" w:cs="Palatino Linotype"/>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presente asunto, este Pleno advierte que el Sujeto Obligado con la información precisada a través del informe de justificado,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724F38" w:rsidRDefault="00724F38">
      <w:pPr>
        <w:spacing w:line="360" w:lineRule="auto"/>
        <w:rPr>
          <w:rFonts w:ascii="Palatino Linotype" w:eastAsia="Palatino Linotype" w:hAnsi="Palatino Linotype" w:cs="Palatino Linotype"/>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este</w:t>
      </w:r>
      <w:r>
        <w:rPr>
          <w:rFonts w:ascii="Palatino Linotype" w:eastAsia="Palatino Linotype" w:hAnsi="Palatino Linotype" w:cs="Palatino Linotype"/>
          <w:color w:val="000000"/>
        </w:rPr>
        <w:t xml:space="preserve"> modo, cuando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antes de que se dicte resolución definitiva, entrega la información solicitada o completa la información que en un primer momento fue </w:t>
      </w:r>
      <w:r>
        <w:rPr>
          <w:rFonts w:ascii="Palatino Linotype" w:eastAsia="Palatino Linotype" w:hAnsi="Palatino Linotype" w:cs="Palatino Linotype"/>
          <w:color w:val="000000"/>
        </w:rPr>
        <w:lastRenderedPageBreak/>
        <w:t>incompleta o no correspondió con lo solicitado;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724F38" w:rsidRDefault="00724F38">
      <w:pPr>
        <w:spacing w:line="360" w:lineRule="auto"/>
        <w:rPr>
          <w:rFonts w:ascii="Palatino Linotype" w:eastAsia="Palatino Linotype" w:hAnsi="Palatino Linotype" w:cs="Palatino Linotype"/>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Sirve de sustento a lo anterior la siguiente jurisprudencia por contradicción, cuyo rubro, texto y </w:t>
      </w:r>
      <w:r>
        <w:rPr>
          <w:rFonts w:ascii="Palatino Linotype" w:eastAsia="Palatino Linotype" w:hAnsi="Palatino Linotype" w:cs="Palatino Linotype"/>
        </w:rPr>
        <w:t>datos</w:t>
      </w:r>
      <w:r>
        <w:rPr>
          <w:rFonts w:ascii="Palatino Linotype" w:eastAsia="Palatino Linotype" w:hAnsi="Palatino Linotype" w:cs="Palatino Linotype"/>
          <w:color w:val="000000"/>
        </w:rPr>
        <w:t xml:space="preserve"> de identificación son los siguientes:</w:t>
      </w:r>
    </w:p>
    <w:p w:rsidR="00724F38" w:rsidRDefault="00F1782A">
      <w:pPr>
        <w:ind w:left="567" w:right="-291"/>
        <w:jc w:val="both"/>
        <w:rPr>
          <w:rFonts w:ascii="Palatino Linotype" w:eastAsia="Palatino Linotype" w:hAnsi="Palatino Linotype" w:cs="Palatino Linotype"/>
          <w:i/>
          <w:iCs/>
          <w:sz w:val="22"/>
          <w:szCs w:val="22"/>
        </w:rPr>
      </w:pPr>
      <w:r>
        <w:rPr>
          <w:rFonts w:ascii="Palatino Linotype" w:eastAsia="Palatino Linotype" w:hAnsi="Palatino Linotype" w:cs="Palatino Linotype"/>
          <w:b/>
          <w:bCs/>
          <w:i/>
          <w:iCs/>
          <w:sz w:val="22"/>
          <w:szCs w:val="22"/>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Pr>
          <w:rFonts w:ascii="Palatino Linotype" w:eastAsia="Palatino Linotype" w:hAnsi="Palatino Linotype" w:cs="Palatino Linotype"/>
          <w:i/>
          <w:iCs/>
          <w:sz w:val="22"/>
          <w:szCs w:val="22"/>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724F38" w:rsidRDefault="00724F38">
      <w:pPr>
        <w:spacing w:line="360" w:lineRule="auto"/>
        <w:ind w:right="618"/>
        <w:jc w:val="both"/>
        <w:rPr>
          <w:rFonts w:ascii="Palatino Linotype" w:eastAsia="Palatino Linotype" w:hAnsi="Palatino Linotype" w:cs="Palatino Linotype"/>
          <w:i/>
          <w:iCs/>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anterior jurisprudencia resulta aplicable al presente asunto, en dos aspectos:</w:t>
      </w:r>
    </w:p>
    <w:p w:rsidR="00724F38" w:rsidRDefault="00F1782A">
      <w:pPr>
        <w:numPr>
          <w:ilvl w:val="0"/>
          <w:numId w:val="6"/>
        </w:numPr>
        <w:spacing w:line="360" w:lineRule="auto"/>
        <w:ind w:left="1134" w:right="618" w:firstLine="0"/>
        <w:jc w:val="both"/>
        <w:rPr>
          <w:rFonts w:ascii="Palatino Linotype" w:eastAsia="Palatino Linotype" w:hAnsi="Palatino Linotype" w:cs="Palatino Linotype"/>
        </w:rPr>
      </w:pPr>
      <w:r>
        <w:rPr>
          <w:rFonts w:ascii="Palatino Linotype" w:eastAsia="Palatino Linotype" w:hAnsi="Palatino Linotype" w:cs="Palatino Linotype"/>
          <w:b/>
          <w:bCs/>
        </w:rPr>
        <w:t>La cesación de los efectos perniciosos del acto de autoridad:</w:t>
      </w:r>
      <w:r>
        <w:rPr>
          <w:rFonts w:ascii="Palatino Linotype" w:eastAsia="Palatino Linotype" w:hAnsi="Palatino Linotype" w:cs="Palatino Linotype"/>
        </w:rPr>
        <w:t xml:space="preserve"> Al respecto, la Ley de Transparencia contempla la figura jurídica del sobreseimiento cuando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w:t>
      </w:r>
      <w:r>
        <w:rPr>
          <w:rFonts w:ascii="Palatino Linotype" w:eastAsia="Palatino Linotype" w:hAnsi="Palatino Linotype" w:cs="Palatino Linotype"/>
          <w:i/>
          <w:iCs/>
        </w:rPr>
        <w:t>motu proprio</w:t>
      </w:r>
      <w:r>
        <w:rPr>
          <w:rFonts w:ascii="Palatino Linotype" w:eastAsia="Palatino Linotype" w:hAnsi="Palatino Linotype" w:cs="Palatino Linotype"/>
        </w:rPr>
        <w:t xml:space="preserve"> modifica o revoca de tal manera el acto motivo de la impugnación que </w:t>
      </w:r>
      <w:r>
        <w:rPr>
          <w:rFonts w:ascii="Palatino Linotype" w:eastAsia="Palatino Linotype" w:hAnsi="Palatino Linotype" w:cs="Palatino Linotype"/>
        </w:rPr>
        <w:lastRenderedPageBreak/>
        <w:t>lo deja sin materia; es decir, cesan los efectos de éste y el derecho de acceso a la información pública se encuentra satisfecho.</w:t>
      </w:r>
    </w:p>
    <w:p w:rsidR="00724F38" w:rsidRDefault="00F1782A">
      <w:pPr>
        <w:numPr>
          <w:ilvl w:val="0"/>
          <w:numId w:val="6"/>
        </w:numPr>
        <w:spacing w:line="360" w:lineRule="auto"/>
        <w:ind w:left="1134" w:right="618" w:firstLine="0"/>
        <w:jc w:val="both"/>
        <w:rPr>
          <w:rFonts w:ascii="Palatino Linotype" w:eastAsia="Palatino Linotype" w:hAnsi="Palatino Linotype" w:cs="Palatino Linotype"/>
        </w:rPr>
      </w:pPr>
      <w:r>
        <w:rPr>
          <w:rFonts w:ascii="Palatino Linotype" w:eastAsia="Palatino Linotype" w:hAnsi="Palatino Linotype" w:cs="Palatino Linotype"/>
          <w:b/>
          <w:bCs/>
        </w:rPr>
        <w:t>El momento procesal para modificar el acto impugnado:</w:t>
      </w:r>
      <w:r>
        <w:rPr>
          <w:rFonts w:ascii="Palatino Linotype" w:eastAsia="Palatino Linotype" w:hAnsi="Palatino Linotype" w:cs="Palatino Linotype"/>
        </w:rPr>
        <w:t xml:space="preserve"> Para que se actualice el sobreseimiento de un recurso de revisión,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puede entregar o completar la información al momento de rendir su informe de justificación o </w:t>
      </w:r>
      <w:r>
        <w:rPr>
          <w:rFonts w:ascii="Palatino Linotype" w:eastAsia="Palatino Linotype" w:hAnsi="Palatino Linotype" w:cs="Palatino Linotype"/>
          <w:b/>
          <w:bCs/>
          <w:u w:val="single"/>
        </w:rPr>
        <w:t>posteriormente</w:t>
      </w:r>
      <w:r>
        <w:rPr>
          <w:rFonts w:ascii="Palatino Linotype" w:eastAsia="Palatino Linotype" w:hAnsi="Palatino Linotype" w:cs="Palatino Linotype"/>
        </w:rPr>
        <w:t xml:space="preserve"> a éste, siempre y cuando el Pleno del Instituto no haya dictado resolución definitiva.</w:t>
      </w:r>
    </w:p>
    <w:p w:rsidR="00724F38" w:rsidRDefault="00724F38">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u w:val="single"/>
        </w:rPr>
      </w:pPr>
      <w:r>
        <w:rPr>
          <w:rFonts w:ascii="Palatino Linotype" w:eastAsia="Palatino Linotype" w:hAnsi="Palatino Linotype" w:cs="Palatino Linotype"/>
          <w:color w:val="000000"/>
        </w:rPr>
        <w:t>Bajo</w:t>
      </w:r>
      <w:r>
        <w:rPr>
          <w:rFonts w:ascii="Palatino Linotype" w:eastAsia="Palatino Linotype" w:hAnsi="Palatino Linotype" w:cs="Palatino Linotype"/>
        </w:rPr>
        <w:t xml:space="preserve"> ese tenor con fundamento en la segunda hipótesis de la fracción I, del artículo 186, de la Ley de Transparencia y Acceso a la Información Pública del Estado de México y Municipios, se </w:t>
      </w:r>
      <w:r>
        <w:rPr>
          <w:rFonts w:ascii="Palatino Linotype" w:eastAsia="Palatino Linotype" w:hAnsi="Palatino Linotype" w:cs="Palatino Linotype"/>
          <w:b/>
          <w:bCs/>
        </w:rPr>
        <w:t xml:space="preserve">SOBRESEE </w:t>
      </w:r>
      <w:r>
        <w:rPr>
          <w:rFonts w:ascii="Palatino Linotype" w:eastAsia="Palatino Linotype" w:hAnsi="Palatino Linotype" w:cs="Palatino Linotype"/>
        </w:rPr>
        <w:t xml:space="preserve">el recurso de revisión </w:t>
      </w:r>
      <w:r>
        <w:rPr>
          <w:rFonts w:ascii="Palatino Linotype" w:eastAsia="Palatino Linotype" w:hAnsi="Palatino Linotype" w:cs="Palatino Linotype"/>
          <w:b/>
          <w:bCs/>
          <w:color w:val="000000"/>
        </w:rPr>
        <w:t>02678/INFOEM/IP/RR/2026</w:t>
      </w:r>
      <w:r>
        <w:rPr>
          <w:rFonts w:ascii="Palatino Linotype" w:eastAsia="Palatino Linotype" w:hAnsi="Palatino Linotype" w:cs="Palatino Linotype"/>
        </w:rPr>
        <w:t>, que ha sido materia del presente fallo.</w:t>
      </w:r>
    </w:p>
    <w:p w:rsidR="00724F38" w:rsidRDefault="00724F38">
      <w:pPr>
        <w:spacing w:line="360" w:lineRule="auto"/>
        <w:jc w:val="both"/>
        <w:rPr>
          <w:color w:val="000000"/>
        </w:rPr>
      </w:pPr>
    </w:p>
    <w:p w:rsidR="00724F38" w:rsidRDefault="00F1782A">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 xml:space="preserve">5, párrafos cuadragésimo cuarto, </w:t>
      </w:r>
      <w:r>
        <w:rPr>
          <w:rFonts w:ascii="Palatino Linotype" w:eastAsia="Palatino Linotype" w:hAnsi="Palatino Linotype" w:cs="Palatino Linotype"/>
        </w:rPr>
        <w:t>cuadragésimo</w:t>
      </w:r>
      <w:r>
        <w:rPr>
          <w:rFonts w:ascii="Palatino Linotype" w:eastAsia="Palatino Linotype" w:hAnsi="Palatino Linotype" w:cs="Palatino Linotype"/>
          <w:color w:val="000000"/>
        </w:rPr>
        <w:t xml:space="preserve">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724F38" w:rsidRDefault="00724F38">
      <w:pPr>
        <w:ind w:right="278"/>
        <w:rPr>
          <w:rFonts w:ascii="Palatino Linotype" w:eastAsia="Palatino Linotype" w:hAnsi="Palatino Linotype" w:cs="Palatino Linotype"/>
        </w:rPr>
      </w:pPr>
    </w:p>
    <w:p w:rsidR="00724F38" w:rsidRDefault="00F1782A">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724F38" w:rsidRDefault="00724F38">
      <w:pPr>
        <w:spacing w:line="360" w:lineRule="auto"/>
        <w:ind w:right="-787"/>
        <w:jc w:val="center"/>
        <w:rPr>
          <w:rFonts w:ascii="Palatino Linotype" w:eastAsia="Palatino Linotype" w:hAnsi="Palatino Linotype" w:cs="Palatino Linotype"/>
          <w:b/>
          <w:bCs/>
        </w:rPr>
      </w:pPr>
    </w:p>
    <w:p w:rsidR="00724F38" w:rsidRDefault="00F1782A">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Se </w:t>
      </w:r>
      <w:r>
        <w:rPr>
          <w:rFonts w:ascii="Palatino Linotype" w:eastAsia="Palatino Linotype" w:hAnsi="Palatino Linotype" w:cs="Palatino Linotype"/>
          <w:b/>
          <w:bCs/>
        </w:rPr>
        <w:t>SOBRESEE</w:t>
      </w:r>
      <w:r>
        <w:rPr>
          <w:rFonts w:ascii="Palatino Linotype" w:eastAsia="Palatino Linotype" w:hAnsi="Palatino Linotype" w:cs="Palatino Linotype"/>
        </w:rPr>
        <w:t xml:space="preserve"> el Recurso de Revisión número </w:t>
      </w:r>
      <w:r>
        <w:rPr>
          <w:rFonts w:ascii="Palatino Linotype" w:eastAsia="Palatino Linotype" w:hAnsi="Palatino Linotype" w:cs="Palatino Linotype"/>
          <w:b/>
          <w:bCs/>
          <w:color w:val="000000"/>
        </w:rPr>
        <w:t>02678/INFOEM/IP/RR/2026</w:t>
      </w:r>
      <w:r>
        <w:rPr>
          <w:rFonts w:ascii="Palatino Linotype" w:eastAsia="Palatino Linotype" w:hAnsi="Palatino Linotype" w:cs="Palatino Linotype"/>
        </w:rPr>
        <w:t xml:space="preserve">, conforme al artículo 192, fracción III, de la Ley de la Materia, porque al modificar la respuesta, </w:t>
      </w:r>
      <w:r>
        <w:rPr>
          <w:rFonts w:ascii="Palatino Linotype" w:eastAsia="Palatino Linotype" w:hAnsi="Palatino Linotype" w:cs="Palatino Linotype"/>
        </w:rPr>
        <w:lastRenderedPageBreak/>
        <w:t xml:space="preserve">el Recurso de Revisión quedó sin materia en términos del  </w:t>
      </w:r>
      <w:r>
        <w:rPr>
          <w:rFonts w:ascii="Palatino Linotype" w:eastAsia="Palatino Linotype" w:hAnsi="Palatino Linotype" w:cs="Palatino Linotype"/>
          <w:b/>
          <w:bCs/>
        </w:rPr>
        <w:t>Considerando Cuarto</w:t>
      </w:r>
      <w:r>
        <w:rPr>
          <w:rFonts w:ascii="Palatino Linotype" w:eastAsia="Palatino Linotype" w:hAnsi="Palatino Linotype" w:cs="Palatino Linotype"/>
        </w:rPr>
        <w:t xml:space="preserve"> de la presente resolución.</w:t>
      </w:r>
    </w:p>
    <w:p w:rsidR="00724F38" w:rsidRDefault="00724F38">
      <w:pPr>
        <w:spacing w:line="360" w:lineRule="auto"/>
        <w:jc w:val="both"/>
        <w:rPr>
          <w:rFonts w:ascii="Palatino Linotype" w:eastAsia="Palatino Linotype" w:hAnsi="Palatino Linotype" w:cs="Palatino Linotype"/>
          <w:b/>
          <w:bCs/>
        </w:rPr>
      </w:pPr>
    </w:p>
    <w:p w:rsidR="00724F38" w:rsidRDefault="00F1782A">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t xml:space="preserve">SEGUNDO. Notifíquese </w:t>
      </w:r>
      <w:r>
        <w:rPr>
          <w:rFonts w:ascii="Palatino Linotype" w:eastAsia="Palatino Linotype" w:hAnsi="Palatino Linotype" w:cs="Palatino Linotype"/>
        </w:rPr>
        <w:t xml:space="preserve">al Titular de la Unidad de Transparencia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vía SAIMEX, para su conocimiento</w:t>
      </w:r>
      <w:r>
        <w:rPr>
          <w:rFonts w:ascii="Palatino Linotype" w:eastAsia="Palatino Linotype" w:hAnsi="Palatino Linotype" w:cs="Palatino Linotype"/>
          <w:color w:val="000000"/>
          <w:highlight w:val="white"/>
        </w:rPr>
        <w:t>.</w:t>
      </w:r>
    </w:p>
    <w:p w:rsidR="00724F38" w:rsidRDefault="00724F38">
      <w:pPr>
        <w:shd w:val="clear" w:color="auto" w:fill="FFFFFF"/>
        <w:spacing w:line="360" w:lineRule="auto"/>
        <w:jc w:val="both"/>
        <w:rPr>
          <w:rFonts w:ascii="Palatino Linotype" w:eastAsia="Palatino Linotype" w:hAnsi="Palatino Linotype" w:cs="Palatino Linotype"/>
          <w:color w:val="000000"/>
          <w:highlight w:val="white"/>
        </w:rPr>
      </w:pPr>
    </w:p>
    <w:p w:rsidR="00724F38" w:rsidRDefault="00F1782A">
      <w:pPr>
        <w:spacing w:line="360" w:lineRule="auto"/>
        <w:ind w:right="-787"/>
        <w:jc w:val="both"/>
        <w:rPr>
          <w:rFonts w:ascii="Palatino Linotype" w:eastAsia="Palatino Linotype" w:hAnsi="Palatino Linotype" w:cs="Palatino Linotype"/>
          <w:color w:val="000000"/>
          <w:highlight w:val="white"/>
        </w:rPr>
      </w:pPr>
      <w:bookmarkStart w:id="7" w:name="_heading=h.mo0gh1e0y1wf" w:colFirst="0" w:colLast="0"/>
      <w:bookmarkEnd w:id="7"/>
      <w:r>
        <w:rPr>
          <w:rFonts w:ascii="Palatino Linotype" w:eastAsia="Palatino Linotype" w:hAnsi="Palatino Linotype" w:cs="Palatino Linotype"/>
          <w:b/>
          <w:bCs/>
          <w:color w:val="000000"/>
        </w:rPr>
        <w:t>TERCERO</w:t>
      </w:r>
      <w:r>
        <w:rPr>
          <w:rFonts w:ascii="Palatino Linotype" w:eastAsia="Palatino Linotype" w:hAnsi="Palatino Linotype" w:cs="Palatino Linotype"/>
          <w:b/>
          <w:bCs/>
          <w:color w:val="222222"/>
        </w:rPr>
        <w:t xml:space="preserve">. Notifíquese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color w:val="000000"/>
          <w:highlight w:val="white"/>
        </w:rPr>
        <w:t>.</w:t>
      </w:r>
    </w:p>
    <w:p w:rsidR="00724F38" w:rsidRDefault="00724F38">
      <w:pPr>
        <w:spacing w:line="360" w:lineRule="auto"/>
        <w:ind w:right="-787"/>
        <w:jc w:val="both"/>
        <w:rPr>
          <w:rFonts w:ascii="Palatino Linotype" w:eastAsia="Palatino Linotype" w:hAnsi="Palatino Linotype" w:cs="Palatino Linotype"/>
          <w:color w:val="000000"/>
          <w:highlight w:val="white"/>
        </w:rPr>
      </w:pPr>
    </w:p>
    <w:p w:rsidR="00724F38" w:rsidRDefault="00F1782A">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222222"/>
        </w:rPr>
        <w:t xml:space="preserve">CUARTO.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724F38" w:rsidRDefault="00724F38">
      <w:pPr>
        <w:spacing w:line="360" w:lineRule="auto"/>
        <w:ind w:right="-858"/>
        <w:jc w:val="both"/>
        <w:rPr>
          <w:rFonts w:ascii="Palatino Linotype" w:eastAsia="Palatino Linotype" w:hAnsi="Palatino Linotype" w:cs="Palatino Linotype"/>
        </w:rPr>
      </w:pPr>
    </w:p>
    <w:p w:rsidR="00E11BC8" w:rsidRPr="003E2295" w:rsidRDefault="00E11BC8" w:rsidP="00E11BC8">
      <w:pPr>
        <w:spacing w:before="240" w:after="240" w:line="360" w:lineRule="auto"/>
        <w:ind w:right="-716" w:firstLine="1"/>
        <w:jc w:val="both"/>
        <w:rPr>
          <w:rFonts w:ascii="Palatino Linotype" w:hAnsi="Palatino Linotype"/>
        </w:rPr>
      </w:pPr>
      <w:bookmarkStart w:id="8"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SEGUNDA </w:t>
      </w:r>
      <w:r w:rsidRPr="003E2295">
        <w:rPr>
          <w:rFonts w:ascii="Palatino Linotype" w:hAnsi="Palatino Linotype" w:cs="Palatino Linotype"/>
        </w:rPr>
        <w:t>SESIÓN O</w:t>
      </w:r>
      <w:r>
        <w:rPr>
          <w:rFonts w:ascii="Palatino Linotype" w:hAnsi="Palatino Linotype" w:cs="Palatino Linotype"/>
        </w:rPr>
        <w:t>RDINARIA, CELEBRADA EL DIECISIETE (17</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8"/>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jc w:val="both"/>
        <w:rPr>
          <w:rFonts w:ascii="Palatino Linotype" w:eastAsia="Palatino Linotype" w:hAnsi="Palatino Linotype" w:cs="Palatino Linotype"/>
        </w:rPr>
      </w:pPr>
    </w:p>
    <w:p w:rsidR="00724F38" w:rsidRDefault="00724F38">
      <w:pPr>
        <w:spacing w:line="360" w:lineRule="auto"/>
        <w:ind w:right="-787"/>
        <w:rPr>
          <w:rFonts w:ascii="Palatino Linotype" w:eastAsia="Palatino Linotype" w:hAnsi="Palatino Linotype" w:cs="Palatino Linotype"/>
        </w:rPr>
      </w:pPr>
    </w:p>
    <w:p w:rsidR="00724F38" w:rsidRDefault="00724F38">
      <w:pPr>
        <w:tabs>
          <w:tab w:val="left" w:pos="3374"/>
        </w:tabs>
        <w:spacing w:line="360" w:lineRule="auto"/>
        <w:ind w:right="-787"/>
        <w:rPr>
          <w:rFonts w:ascii="Palatino Linotype" w:eastAsia="Palatino Linotype" w:hAnsi="Palatino Linotype" w:cs="Palatino Linotype"/>
        </w:rPr>
      </w:pPr>
      <w:bookmarkStart w:id="9" w:name="_heading=h.lnxbz9" w:colFirst="0" w:colLast="0"/>
      <w:bookmarkEnd w:id="9"/>
    </w:p>
    <w:sectPr w:rsidR="00724F38">
      <w:headerReference w:type="even" r:id="rId12"/>
      <w:headerReference w:type="default" r:id="rId13"/>
      <w:footerReference w:type="default" r:id="rId14"/>
      <w:headerReference w:type="first" r:id="rId15"/>
      <w:footerReference w:type="first" r:id="rId16"/>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E40" w:rsidRDefault="00042E40">
      <w:r>
        <w:separator/>
      </w:r>
    </w:p>
  </w:endnote>
  <w:endnote w:type="continuationSeparator" w:id="0">
    <w:p w:rsidR="00042E40" w:rsidRDefault="0004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99503ECB-34CC-4CD1-859C-98355BF5A1FA}"/>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embedRegular r:id="rId2" w:fontKey="{28447DFC-EBF6-4FE8-9501-EC4CBBF482EF}"/>
    <w:embedBold r:id="rId3" w:fontKey="{5F25D9B0-266B-4777-8E5E-74803B7D7A6B}"/>
    <w:embedItalic r:id="rId4" w:fontKey="{0B096D80-482F-4897-87F0-A35922D0014A}"/>
    <w:embedBoldItalic r:id="rId5" w:fontKey="{C3E683F0-2566-4E97-B18C-45FE83457724}"/>
  </w:font>
  <w:font w:name="Calibri">
    <w:panose1 w:val="020F0502020204030204"/>
    <w:charset w:val="00"/>
    <w:family w:val="swiss"/>
    <w:pitch w:val="variable"/>
    <w:sig w:usb0="E4002EFF" w:usb1="C200247B" w:usb2="00000009" w:usb3="00000000" w:csb0="000001FF" w:csb1="00000000"/>
    <w:embedRegular r:id="rId6" w:fontKey="{74D9BFE1-1303-4919-90DF-6C95466FF91F}"/>
    <w:embedBold r:id="rId7" w:fontKey="{1E3DFC46-3D4A-4EE1-8D51-F087BBABF79D}"/>
  </w:font>
  <w:font w:name="Georgia">
    <w:panose1 w:val="02040502050405020303"/>
    <w:charset w:val="00"/>
    <w:family w:val="roman"/>
    <w:pitch w:val="variable"/>
    <w:sig w:usb0="00000287" w:usb1="00000000" w:usb2="00000000" w:usb3="00000000" w:csb0="0000009F" w:csb1="00000000"/>
    <w:embedItalic r:id="rId8" w:fontKey="{325739BD-DB37-40B5-BAEC-07BD78BB17EB}"/>
  </w:font>
  <w:font w:name="Cambria">
    <w:panose1 w:val="02040503050406030204"/>
    <w:charset w:val="00"/>
    <w:family w:val="roman"/>
    <w:pitch w:val="variable"/>
    <w:sig w:usb0="E00006FF" w:usb1="420024FF" w:usb2="02000000" w:usb3="00000000" w:csb0="0000019F" w:csb1="00000000"/>
    <w:embedRegular r:id="rId9" w:fontKey="{9DACB7A1-C05B-49C5-B311-C6E2034AF0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38" w:rsidRDefault="00F1782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456486">
      <w:rPr>
        <w:rFonts w:ascii="Palatino Linotype" w:eastAsia="Palatino Linotype" w:hAnsi="Palatino Linotype" w:cs="Palatino Linotype"/>
        <w:noProof/>
        <w:color w:val="000000"/>
        <w:sz w:val="22"/>
        <w:szCs w:val="22"/>
      </w:rPr>
      <w:t>7</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456486">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p>
  <w:p w:rsidR="00724F38" w:rsidRDefault="00724F3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38" w:rsidRDefault="00F1782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456486">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456486">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p>
  <w:p w:rsidR="00724F38" w:rsidRDefault="00724F3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E40" w:rsidRDefault="00042E40">
      <w:r>
        <w:separator/>
      </w:r>
    </w:p>
  </w:footnote>
  <w:footnote w:type="continuationSeparator" w:id="0">
    <w:p w:rsidR="00042E40" w:rsidRDefault="00042E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38" w:rsidRDefault="00042E4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229" w:type="dxa"/>
      <w:tblInd w:w="2835" w:type="dxa"/>
      <w:tblLayout w:type="fixed"/>
      <w:tblLook w:val="0400" w:firstRow="0" w:lastRow="0" w:firstColumn="0" w:lastColumn="0" w:noHBand="0" w:noVBand="1"/>
    </w:tblPr>
    <w:tblGrid>
      <w:gridCol w:w="2799"/>
      <w:gridCol w:w="4430"/>
    </w:tblGrid>
    <w:tr w:rsidR="00724F38" w:rsidTr="007E095C">
      <w:trPr>
        <w:trHeight w:val="227"/>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30" w:type="dxa"/>
        </w:tcPr>
        <w:p w:rsidR="00724F38" w:rsidRDefault="00F1782A">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02678/INFOEM/IP/RR/2026</w:t>
          </w:r>
        </w:p>
      </w:tc>
    </w:tr>
    <w:tr w:rsidR="00724F38" w:rsidTr="007E095C">
      <w:trPr>
        <w:trHeight w:val="342"/>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30" w:type="dxa"/>
        </w:tcPr>
        <w:p w:rsidR="00724F38" w:rsidRDefault="00F1782A">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Ecatepec de Morelos</w:t>
          </w:r>
        </w:p>
      </w:tc>
    </w:tr>
    <w:tr w:rsidR="00724F38" w:rsidTr="007E095C">
      <w:trPr>
        <w:trHeight w:val="342"/>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430" w:type="dxa"/>
        </w:tcPr>
        <w:p w:rsidR="00724F38" w:rsidRDefault="00F1782A">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24F38" w:rsidRDefault="00042E40">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6.4pt;margin-top:-127.75pt;width:609.4pt;height:793.75pt;z-index:-251659776;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371" w:type="dxa"/>
      <w:tblInd w:w="2835" w:type="dxa"/>
      <w:tblLayout w:type="fixed"/>
      <w:tblLook w:val="0400" w:firstRow="0" w:lastRow="0" w:firstColumn="0" w:lastColumn="0" w:noHBand="0" w:noVBand="1"/>
    </w:tblPr>
    <w:tblGrid>
      <w:gridCol w:w="2799"/>
      <w:gridCol w:w="4572"/>
    </w:tblGrid>
    <w:tr w:rsidR="00724F38" w:rsidTr="007E095C">
      <w:trPr>
        <w:trHeight w:val="227"/>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572" w:type="dxa"/>
        </w:tcPr>
        <w:p w:rsidR="00724F38" w:rsidRDefault="00F1782A">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02678/INFOEM/IP/RR/2026</w:t>
          </w:r>
        </w:p>
      </w:tc>
    </w:tr>
    <w:tr w:rsidR="00724F38" w:rsidTr="007E095C">
      <w:trPr>
        <w:trHeight w:val="242"/>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572" w:type="dxa"/>
        </w:tcPr>
        <w:p w:rsidR="00724F38" w:rsidRDefault="00456486">
          <w:pPr>
            <w:pBdr>
              <w:top w:val="nil"/>
              <w:left w:val="nil"/>
              <w:bottom w:val="nil"/>
              <w:right w:val="nil"/>
              <w:between w:val="nil"/>
            </w:pBdr>
            <w:tabs>
              <w:tab w:val="right" w:pos="8838"/>
              <w:tab w:val="left" w:pos="521"/>
            </w:tabs>
            <w:rPr>
              <w:rFonts w:ascii="Palatino Linotype" w:eastAsia="Palatino Linotype" w:hAnsi="Palatino Linotype" w:cs="Palatino Linotype"/>
            </w:rPr>
          </w:pPr>
          <w:r>
            <w:rPr>
              <w:rFonts w:ascii="Palatino Linotype" w:eastAsia="Palatino Linotype" w:hAnsi="Palatino Linotype" w:cs="Palatino Linotype"/>
            </w:rPr>
            <w:t>XXXX</w:t>
          </w:r>
        </w:p>
      </w:tc>
    </w:tr>
    <w:tr w:rsidR="00724F38" w:rsidTr="007E095C">
      <w:trPr>
        <w:trHeight w:val="342"/>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572" w:type="dxa"/>
        </w:tcPr>
        <w:p w:rsidR="00724F38" w:rsidRDefault="00F1782A">
          <w:pPr>
            <w:rPr>
              <w:rFonts w:ascii="Palatino Linotype" w:eastAsia="Palatino Linotype" w:hAnsi="Palatino Linotype" w:cs="Palatino Linotype"/>
              <w:color w:val="000000"/>
            </w:rPr>
          </w:pPr>
          <w:r>
            <w:rPr>
              <w:rFonts w:ascii="Palatino Linotype" w:eastAsia="Palatino Linotype" w:hAnsi="Palatino Linotype" w:cs="Palatino Linotype"/>
              <w:color w:val="000000"/>
            </w:rPr>
            <w:t>Ayuntamiento de Ecatepec de Morelos</w:t>
          </w:r>
        </w:p>
      </w:tc>
    </w:tr>
    <w:tr w:rsidR="00724F38" w:rsidTr="007E095C">
      <w:trPr>
        <w:trHeight w:val="342"/>
      </w:trPr>
      <w:tc>
        <w:tcPr>
          <w:tcW w:w="2799" w:type="dxa"/>
        </w:tcPr>
        <w:p w:rsidR="00724F38" w:rsidRDefault="00F1782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572" w:type="dxa"/>
        </w:tcPr>
        <w:p w:rsidR="00724F38" w:rsidRDefault="00F1782A">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24F38" w:rsidRDefault="00042E40">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16.55pt;width:609.4pt;height:793.75pt;z-index:-251658752;mso-position-horizontal-relative:margin;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E4351E"/>
    <w:multiLevelType w:val="multilevel"/>
    <w:tmpl w:val="08DAE4B6"/>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1" w15:restartNumberingAfterBreak="0">
    <w:nsid w:val="29A71EF5"/>
    <w:multiLevelType w:val="hybridMultilevel"/>
    <w:tmpl w:val="8D044E7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525D7887"/>
    <w:multiLevelType w:val="multilevel"/>
    <w:tmpl w:val="6630A2B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582A021B"/>
    <w:multiLevelType w:val="multilevel"/>
    <w:tmpl w:val="E2F8E14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60F44DEB"/>
    <w:multiLevelType w:val="multilevel"/>
    <w:tmpl w:val="CE66CF0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5F3E43"/>
    <w:multiLevelType w:val="multilevel"/>
    <w:tmpl w:val="7E34FE18"/>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6" w15:restartNumberingAfterBreak="0">
    <w:nsid w:val="6CEF577E"/>
    <w:multiLevelType w:val="multilevel"/>
    <w:tmpl w:val="9DB6DBD2"/>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4FB136D"/>
    <w:multiLevelType w:val="multilevel"/>
    <w:tmpl w:val="D47C2A58"/>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6"/>
  </w:num>
  <w:num w:numId="2">
    <w:abstractNumId w:val="5"/>
  </w:num>
  <w:num w:numId="3">
    <w:abstractNumId w:val="2"/>
  </w:num>
  <w:num w:numId="4">
    <w:abstractNumId w:val="4"/>
  </w:num>
  <w:num w:numId="5">
    <w:abstractNumId w:val="0"/>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38"/>
    <w:rsid w:val="00042E40"/>
    <w:rsid w:val="001C74C7"/>
    <w:rsid w:val="00456486"/>
    <w:rsid w:val="004E269D"/>
    <w:rsid w:val="00724F38"/>
    <w:rsid w:val="007E095C"/>
    <w:rsid w:val="00E11BC8"/>
    <w:rsid w:val="00F1782A"/>
    <w:rsid w:val="00F755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F704853-953C-4905-B2EE-154AB78DA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E11BC8"/>
    <w:pPr>
      <w:tabs>
        <w:tab w:val="center" w:pos="4419"/>
        <w:tab w:val="right" w:pos="8838"/>
      </w:tabs>
    </w:pPr>
  </w:style>
  <w:style w:type="character" w:customStyle="1" w:styleId="PiedepginaCar">
    <w:name w:val="Pie de página Car"/>
    <w:basedOn w:val="Fuentedeprrafopredeter"/>
    <w:link w:val="Piedepgina"/>
    <w:uiPriority w:val="99"/>
    <w:rsid w:val="00E11BC8"/>
  </w:style>
  <w:style w:type="paragraph" w:styleId="Prrafodelista">
    <w:name w:val="List Paragraph"/>
    <w:basedOn w:val="Normal"/>
    <w:uiPriority w:val="34"/>
    <w:qFormat/>
    <w:rsid w:val="007E09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VZHQR5qRRIo1vpXkslFh/n2Q0Q==">CgMxLjAyCGguZ2pkZ3hzMgloLjFmb2I5dGUyCWguM3pueXNoNzIJaC4yZXQ5MnAwMgloLjF0M2g1c2YyCWguMnM4ZXlvMTIOaC5tbzBnaDFlMHkxd2YyCGgubG54Yno5OAByITFWdzg3cF9jSU9jOFZEYkVFaHFyaEJCT3hIVW1kU1ZpbA==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5070</Words>
  <Characters>27886</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2026-06-18T18:43:00Z</cp:lastPrinted>
  <dcterms:created xsi:type="dcterms:W3CDTF">2026-06-17T17:28:00Z</dcterms:created>
  <dcterms:modified xsi:type="dcterms:W3CDTF">2026-06-23T23:58:00Z</dcterms:modified>
</cp:coreProperties>
</file>