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59D0C" w14:textId="77777777" w:rsidR="00305798" w:rsidRDefault="00305798">
      <w:pPr>
        <w:widowControl w:val="0"/>
        <w:pBdr>
          <w:top w:val="nil"/>
          <w:left w:val="nil"/>
          <w:bottom w:val="nil"/>
          <w:right w:val="nil"/>
          <w:between w:val="nil"/>
        </w:pBdr>
        <w:spacing w:after="0" w:line="276" w:lineRule="auto"/>
        <w:jc w:val="left"/>
      </w:pPr>
    </w:p>
    <w:p w14:paraId="6A06A3CF" w14:textId="77777777" w:rsidR="00305798" w:rsidRDefault="00305798">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1663846861"/>
        <w:docPartObj>
          <w:docPartGallery w:val="Table of Contents"/>
          <w:docPartUnique/>
        </w:docPartObj>
      </w:sdtPr>
      <w:sdtEndPr>
        <w:rPr>
          <w:b/>
          <w:bCs/>
        </w:rPr>
      </w:sdtEndPr>
      <w:sdtContent>
        <w:p w14:paraId="12BBE6D6" w14:textId="6964785B" w:rsidR="00513EDE" w:rsidRPr="000C12A9" w:rsidRDefault="00513EDE">
          <w:pPr>
            <w:pStyle w:val="TtuloTDC"/>
          </w:pPr>
          <w:r w:rsidRPr="000C12A9">
            <w:rPr>
              <w:lang w:val="es-ES"/>
            </w:rPr>
            <w:t>Tabla de contenido</w:t>
          </w:r>
        </w:p>
        <w:p w14:paraId="7A2FA27E" w14:textId="77777777" w:rsidR="000C12A9" w:rsidRPr="000C12A9" w:rsidRDefault="00513EDE">
          <w:pPr>
            <w:pStyle w:val="TDC1"/>
            <w:tabs>
              <w:tab w:val="right" w:leader="dot" w:pos="9204"/>
            </w:tabs>
            <w:rPr>
              <w:rFonts w:asciiTheme="minorHAnsi" w:eastAsiaTheme="minorEastAsia" w:hAnsiTheme="minorHAnsi" w:cstheme="minorBidi"/>
              <w:noProof/>
            </w:rPr>
          </w:pPr>
          <w:r w:rsidRPr="000C12A9">
            <w:rPr>
              <w:b/>
              <w:bCs/>
              <w:lang w:val="es-ES"/>
            </w:rPr>
            <w:fldChar w:fldCharType="begin"/>
          </w:r>
          <w:r w:rsidRPr="000C12A9">
            <w:rPr>
              <w:b/>
              <w:bCs/>
              <w:lang w:val="es-ES"/>
            </w:rPr>
            <w:instrText xml:space="preserve"> TOC \o "1-3" \h \z \u </w:instrText>
          </w:r>
          <w:r w:rsidRPr="000C12A9">
            <w:rPr>
              <w:b/>
              <w:bCs/>
              <w:lang w:val="es-ES"/>
            </w:rPr>
            <w:fldChar w:fldCharType="separate"/>
          </w:r>
          <w:hyperlink w:anchor="_Toc219387706" w:history="1">
            <w:r w:rsidR="000C12A9" w:rsidRPr="000C12A9">
              <w:rPr>
                <w:rStyle w:val="Hipervnculo"/>
                <w:noProof/>
              </w:rPr>
              <w:t>A N T E C E D E N T E S</w:t>
            </w:r>
            <w:r w:rsidR="000C12A9" w:rsidRPr="000C12A9">
              <w:rPr>
                <w:noProof/>
                <w:webHidden/>
              </w:rPr>
              <w:tab/>
            </w:r>
            <w:r w:rsidR="000C12A9" w:rsidRPr="000C12A9">
              <w:rPr>
                <w:noProof/>
                <w:webHidden/>
              </w:rPr>
              <w:fldChar w:fldCharType="begin"/>
            </w:r>
            <w:r w:rsidR="000C12A9" w:rsidRPr="000C12A9">
              <w:rPr>
                <w:noProof/>
                <w:webHidden/>
              </w:rPr>
              <w:instrText xml:space="preserve"> PAGEREF _Toc219387706 \h </w:instrText>
            </w:r>
            <w:r w:rsidR="000C12A9" w:rsidRPr="000C12A9">
              <w:rPr>
                <w:noProof/>
                <w:webHidden/>
              </w:rPr>
            </w:r>
            <w:r w:rsidR="000C12A9" w:rsidRPr="000C12A9">
              <w:rPr>
                <w:noProof/>
                <w:webHidden/>
              </w:rPr>
              <w:fldChar w:fldCharType="separate"/>
            </w:r>
            <w:r w:rsidR="002F6CFD">
              <w:rPr>
                <w:noProof/>
                <w:webHidden/>
              </w:rPr>
              <w:t>2</w:t>
            </w:r>
            <w:r w:rsidR="000C12A9" w:rsidRPr="000C12A9">
              <w:rPr>
                <w:noProof/>
                <w:webHidden/>
              </w:rPr>
              <w:fldChar w:fldCharType="end"/>
            </w:r>
          </w:hyperlink>
        </w:p>
        <w:p w14:paraId="1079C499" w14:textId="77777777" w:rsidR="000C12A9" w:rsidRPr="000C12A9" w:rsidRDefault="000C12A9">
          <w:pPr>
            <w:pStyle w:val="TDC2"/>
            <w:tabs>
              <w:tab w:val="right" w:leader="dot" w:pos="9204"/>
            </w:tabs>
            <w:rPr>
              <w:rFonts w:asciiTheme="minorHAnsi" w:eastAsiaTheme="minorEastAsia" w:hAnsiTheme="minorHAnsi" w:cstheme="minorBidi"/>
              <w:noProof/>
            </w:rPr>
          </w:pPr>
          <w:hyperlink w:anchor="_Toc219387707" w:history="1">
            <w:r w:rsidRPr="000C12A9">
              <w:rPr>
                <w:rStyle w:val="Hipervnculo"/>
                <w:noProof/>
              </w:rPr>
              <w:t>I. Presentación de la solicitud de información</w:t>
            </w:r>
            <w:r w:rsidRPr="000C12A9">
              <w:rPr>
                <w:noProof/>
                <w:webHidden/>
              </w:rPr>
              <w:tab/>
            </w:r>
            <w:r w:rsidRPr="000C12A9">
              <w:rPr>
                <w:noProof/>
                <w:webHidden/>
              </w:rPr>
              <w:fldChar w:fldCharType="begin"/>
            </w:r>
            <w:r w:rsidRPr="000C12A9">
              <w:rPr>
                <w:noProof/>
                <w:webHidden/>
              </w:rPr>
              <w:instrText xml:space="preserve"> PAGEREF _Toc219387707 \h </w:instrText>
            </w:r>
            <w:r w:rsidRPr="000C12A9">
              <w:rPr>
                <w:noProof/>
                <w:webHidden/>
              </w:rPr>
            </w:r>
            <w:r w:rsidRPr="000C12A9">
              <w:rPr>
                <w:noProof/>
                <w:webHidden/>
              </w:rPr>
              <w:fldChar w:fldCharType="separate"/>
            </w:r>
            <w:r w:rsidR="002F6CFD">
              <w:rPr>
                <w:noProof/>
                <w:webHidden/>
              </w:rPr>
              <w:t>2</w:t>
            </w:r>
            <w:r w:rsidRPr="000C12A9">
              <w:rPr>
                <w:noProof/>
                <w:webHidden/>
              </w:rPr>
              <w:fldChar w:fldCharType="end"/>
            </w:r>
          </w:hyperlink>
        </w:p>
        <w:p w14:paraId="2A77C8C5" w14:textId="77777777" w:rsidR="000C12A9" w:rsidRPr="000C12A9" w:rsidRDefault="000C12A9">
          <w:pPr>
            <w:pStyle w:val="TDC2"/>
            <w:tabs>
              <w:tab w:val="right" w:leader="dot" w:pos="9204"/>
            </w:tabs>
            <w:rPr>
              <w:rFonts w:asciiTheme="minorHAnsi" w:eastAsiaTheme="minorEastAsia" w:hAnsiTheme="minorHAnsi" w:cstheme="minorBidi"/>
              <w:noProof/>
            </w:rPr>
          </w:pPr>
          <w:hyperlink w:anchor="_Toc219387708" w:history="1">
            <w:r w:rsidRPr="000C12A9">
              <w:rPr>
                <w:rStyle w:val="Hipervnculo"/>
                <w:noProof/>
              </w:rPr>
              <w:t>II. Respuesta del Sujeto Obligado</w:t>
            </w:r>
            <w:r w:rsidRPr="000C12A9">
              <w:rPr>
                <w:noProof/>
                <w:webHidden/>
              </w:rPr>
              <w:tab/>
            </w:r>
            <w:r w:rsidRPr="000C12A9">
              <w:rPr>
                <w:noProof/>
                <w:webHidden/>
              </w:rPr>
              <w:fldChar w:fldCharType="begin"/>
            </w:r>
            <w:r w:rsidRPr="000C12A9">
              <w:rPr>
                <w:noProof/>
                <w:webHidden/>
              </w:rPr>
              <w:instrText xml:space="preserve"> PAGEREF _Toc219387708 \h </w:instrText>
            </w:r>
            <w:r w:rsidRPr="000C12A9">
              <w:rPr>
                <w:noProof/>
                <w:webHidden/>
              </w:rPr>
            </w:r>
            <w:r w:rsidRPr="000C12A9">
              <w:rPr>
                <w:noProof/>
                <w:webHidden/>
              </w:rPr>
              <w:fldChar w:fldCharType="separate"/>
            </w:r>
            <w:r w:rsidR="002F6CFD">
              <w:rPr>
                <w:noProof/>
                <w:webHidden/>
              </w:rPr>
              <w:t>2</w:t>
            </w:r>
            <w:r w:rsidRPr="000C12A9">
              <w:rPr>
                <w:noProof/>
                <w:webHidden/>
              </w:rPr>
              <w:fldChar w:fldCharType="end"/>
            </w:r>
          </w:hyperlink>
        </w:p>
        <w:p w14:paraId="505E0754" w14:textId="77777777" w:rsidR="000C12A9" w:rsidRPr="000C12A9" w:rsidRDefault="000C12A9">
          <w:pPr>
            <w:pStyle w:val="TDC2"/>
            <w:tabs>
              <w:tab w:val="right" w:leader="dot" w:pos="9204"/>
            </w:tabs>
            <w:rPr>
              <w:rFonts w:asciiTheme="minorHAnsi" w:eastAsiaTheme="minorEastAsia" w:hAnsiTheme="minorHAnsi" w:cstheme="minorBidi"/>
              <w:noProof/>
            </w:rPr>
          </w:pPr>
          <w:hyperlink w:anchor="_Toc219387709" w:history="1">
            <w:r w:rsidRPr="000C12A9">
              <w:rPr>
                <w:rStyle w:val="Hipervnculo"/>
                <w:noProof/>
              </w:rPr>
              <w:t>III. Interposición del Recurso de Revisión</w:t>
            </w:r>
            <w:r w:rsidRPr="000C12A9">
              <w:rPr>
                <w:noProof/>
                <w:webHidden/>
              </w:rPr>
              <w:tab/>
            </w:r>
            <w:r w:rsidRPr="000C12A9">
              <w:rPr>
                <w:noProof/>
                <w:webHidden/>
              </w:rPr>
              <w:fldChar w:fldCharType="begin"/>
            </w:r>
            <w:r w:rsidRPr="000C12A9">
              <w:rPr>
                <w:noProof/>
                <w:webHidden/>
              </w:rPr>
              <w:instrText xml:space="preserve"> PAGEREF _Toc219387709 \h </w:instrText>
            </w:r>
            <w:r w:rsidRPr="000C12A9">
              <w:rPr>
                <w:noProof/>
                <w:webHidden/>
              </w:rPr>
            </w:r>
            <w:r w:rsidRPr="000C12A9">
              <w:rPr>
                <w:noProof/>
                <w:webHidden/>
              </w:rPr>
              <w:fldChar w:fldCharType="separate"/>
            </w:r>
            <w:r w:rsidR="002F6CFD">
              <w:rPr>
                <w:noProof/>
                <w:webHidden/>
              </w:rPr>
              <w:t>3</w:t>
            </w:r>
            <w:r w:rsidRPr="000C12A9">
              <w:rPr>
                <w:noProof/>
                <w:webHidden/>
              </w:rPr>
              <w:fldChar w:fldCharType="end"/>
            </w:r>
          </w:hyperlink>
        </w:p>
        <w:p w14:paraId="424C1295" w14:textId="77777777" w:rsidR="000C12A9" w:rsidRPr="000C12A9" w:rsidRDefault="000C12A9">
          <w:pPr>
            <w:pStyle w:val="TDC2"/>
            <w:tabs>
              <w:tab w:val="right" w:leader="dot" w:pos="9204"/>
            </w:tabs>
            <w:rPr>
              <w:rFonts w:asciiTheme="minorHAnsi" w:eastAsiaTheme="minorEastAsia" w:hAnsiTheme="minorHAnsi" w:cstheme="minorBidi"/>
              <w:noProof/>
            </w:rPr>
          </w:pPr>
          <w:hyperlink w:anchor="_Toc219387710" w:history="1">
            <w:r w:rsidRPr="000C12A9">
              <w:rPr>
                <w:rStyle w:val="Hipervnculo"/>
                <w:noProof/>
              </w:rPr>
              <w:t>IV. Trámite del Recurso de Revisión ante este Instituto</w:t>
            </w:r>
            <w:r w:rsidRPr="000C12A9">
              <w:rPr>
                <w:noProof/>
                <w:webHidden/>
              </w:rPr>
              <w:tab/>
            </w:r>
            <w:r w:rsidRPr="000C12A9">
              <w:rPr>
                <w:noProof/>
                <w:webHidden/>
              </w:rPr>
              <w:fldChar w:fldCharType="begin"/>
            </w:r>
            <w:r w:rsidRPr="000C12A9">
              <w:rPr>
                <w:noProof/>
                <w:webHidden/>
              </w:rPr>
              <w:instrText xml:space="preserve"> PAGEREF _Toc219387710 \h </w:instrText>
            </w:r>
            <w:r w:rsidRPr="000C12A9">
              <w:rPr>
                <w:noProof/>
                <w:webHidden/>
              </w:rPr>
            </w:r>
            <w:r w:rsidRPr="000C12A9">
              <w:rPr>
                <w:noProof/>
                <w:webHidden/>
              </w:rPr>
              <w:fldChar w:fldCharType="separate"/>
            </w:r>
            <w:r w:rsidR="002F6CFD">
              <w:rPr>
                <w:noProof/>
                <w:webHidden/>
              </w:rPr>
              <w:t>4</w:t>
            </w:r>
            <w:r w:rsidRPr="000C12A9">
              <w:rPr>
                <w:noProof/>
                <w:webHidden/>
              </w:rPr>
              <w:fldChar w:fldCharType="end"/>
            </w:r>
          </w:hyperlink>
        </w:p>
        <w:p w14:paraId="7B71BBA3" w14:textId="77777777" w:rsidR="000C12A9" w:rsidRPr="000C12A9" w:rsidRDefault="000C12A9">
          <w:pPr>
            <w:pStyle w:val="TDC1"/>
            <w:tabs>
              <w:tab w:val="right" w:leader="dot" w:pos="9204"/>
            </w:tabs>
            <w:rPr>
              <w:rFonts w:asciiTheme="minorHAnsi" w:eastAsiaTheme="minorEastAsia" w:hAnsiTheme="minorHAnsi" w:cstheme="minorBidi"/>
              <w:noProof/>
            </w:rPr>
          </w:pPr>
          <w:hyperlink w:anchor="_Toc219387711" w:history="1">
            <w:r w:rsidRPr="000C12A9">
              <w:rPr>
                <w:rStyle w:val="Hipervnculo"/>
                <w:noProof/>
              </w:rPr>
              <w:t>C O N S I D E R A N D O S</w:t>
            </w:r>
            <w:r w:rsidRPr="000C12A9">
              <w:rPr>
                <w:noProof/>
                <w:webHidden/>
              </w:rPr>
              <w:tab/>
            </w:r>
            <w:r w:rsidRPr="000C12A9">
              <w:rPr>
                <w:noProof/>
                <w:webHidden/>
              </w:rPr>
              <w:fldChar w:fldCharType="begin"/>
            </w:r>
            <w:r w:rsidRPr="000C12A9">
              <w:rPr>
                <w:noProof/>
                <w:webHidden/>
              </w:rPr>
              <w:instrText xml:space="preserve"> PAGEREF _Toc219387711 \h </w:instrText>
            </w:r>
            <w:r w:rsidRPr="000C12A9">
              <w:rPr>
                <w:noProof/>
                <w:webHidden/>
              </w:rPr>
            </w:r>
            <w:r w:rsidRPr="000C12A9">
              <w:rPr>
                <w:noProof/>
                <w:webHidden/>
              </w:rPr>
              <w:fldChar w:fldCharType="separate"/>
            </w:r>
            <w:r w:rsidR="002F6CFD">
              <w:rPr>
                <w:noProof/>
                <w:webHidden/>
              </w:rPr>
              <w:t>7</w:t>
            </w:r>
            <w:r w:rsidRPr="000C12A9">
              <w:rPr>
                <w:noProof/>
                <w:webHidden/>
              </w:rPr>
              <w:fldChar w:fldCharType="end"/>
            </w:r>
          </w:hyperlink>
        </w:p>
        <w:p w14:paraId="5538506D" w14:textId="77777777" w:rsidR="000C12A9" w:rsidRPr="000C12A9" w:rsidRDefault="000C12A9">
          <w:pPr>
            <w:pStyle w:val="TDC2"/>
            <w:tabs>
              <w:tab w:val="right" w:leader="dot" w:pos="9204"/>
            </w:tabs>
            <w:rPr>
              <w:rFonts w:asciiTheme="minorHAnsi" w:eastAsiaTheme="minorEastAsia" w:hAnsiTheme="minorHAnsi" w:cstheme="minorBidi"/>
              <w:noProof/>
            </w:rPr>
          </w:pPr>
          <w:hyperlink w:anchor="_Toc219387712" w:history="1">
            <w:r w:rsidRPr="000C12A9">
              <w:rPr>
                <w:rStyle w:val="Hipervnculo"/>
                <w:noProof/>
              </w:rPr>
              <w:t>PRIMERO. Competencia</w:t>
            </w:r>
            <w:r w:rsidRPr="000C12A9">
              <w:rPr>
                <w:noProof/>
                <w:webHidden/>
              </w:rPr>
              <w:tab/>
            </w:r>
            <w:r w:rsidRPr="000C12A9">
              <w:rPr>
                <w:noProof/>
                <w:webHidden/>
              </w:rPr>
              <w:fldChar w:fldCharType="begin"/>
            </w:r>
            <w:r w:rsidRPr="000C12A9">
              <w:rPr>
                <w:noProof/>
                <w:webHidden/>
              </w:rPr>
              <w:instrText xml:space="preserve"> PAGEREF _Toc219387712 \h </w:instrText>
            </w:r>
            <w:r w:rsidRPr="000C12A9">
              <w:rPr>
                <w:noProof/>
                <w:webHidden/>
              </w:rPr>
            </w:r>
            <w:r w:rsidRPr="000C12A9">
              <w:rPr>
                <w:noProof/>
                <w:webHidden/>
              </w:rPr>
              <w:fldChar w:fldCharType="separate"/>
            </w:r>
            <w:r w:rsidR="002F6CFD">
              <w:rPr>
                <w:noProof/>
                <w:webHidden/>
              </w:rPr>
              <w:t>8</w:t>
            </w:r>
            <w:r w:rsidRPr="000C12A9">
              <w:rPr>
                <w:noProof/>
                <w:webHidden/>
              </w:rPr>
              <w:fldChar w:fldCharType="end"/>
            </w:r>
          </w:hyperlink>
        </w:p>
        <w:p w14:paraId="6C725B4F" w14:textId="77777777" w:rsidR="000C12A9" w:rsidRPr="000C12A9" w:rsidRDefault="000C12A9">
          <w:pPr>
            <w:pStyle w:val="TDC2"/>
            <w:tabs>
              <w:tab w:val="right" w:leader="dot" w:pos="9204"/>
            </w:tabs>
            <w:rPr>
              <w:rFonts w:asciiTheme="minorHAnsi" w:eastAsiaTheme="minorEastAsia" w:hAnsiTheme="minorHAnsi" w:cstheme="minorBidi"/>
              <w:noProof/>
            </w:rPr>
          </w:pPr>
          <w:hyperlink w:anchor="_Toc219387713" w:history="1">
            <w:r w:rsidRPr="000C12A9">
              <w:rPr>
                <w:rStyle w:val="Hipervnculo"/>
                <w:noProof/>
              </w:rPr>
              <w:t>SEGUNDO. Causales de improcedencia y sobreseimiento</w:t>
            </w:r>
            <w:r w:rsidRPr="000C12A9">
              <w:rPr>
                <w:noProof/>
                <w:webHidden/>
              </w:rPr>
              <w:tab/>
            </w:r>
            <w:r w:rsidRPr="000C12A9">
              <w:rPr>
                <w:noProof/>
                <w:webHidden/>
              </w:rPr>
              <w:fldChar w:fldCharType="begin"/>
            </w:r>
            <w:r w:rsidRPr="000C12A9">
              <w:rPr>
                <w:noProof/>
                <w:webHidden/>
              </w:rPr>
              <w:instrText xml:space="preserve"> PAGEREF _Toc219387713 \h </w:instrText>
            </w:r>
            <w:r w:rsidRPr="000C12A9">
              <w:rPr>
                <w:noProof/>
                <w:webHidden/>
              </w:rPr>
            </w:r>
            <w:r w:rsidRPr="000C12A9">
              <w:rPr>
                <w:noProof/>
                <w:webHidden/>
              </w:rPr>
              <w:fldChar w:fldCharType="separate"/>
            </w:r>
            <w:r w:rsidR="002F6CFD">
              <w:rPr>
                <w:noProof/>
                <w:webHidden/>
              </w:rPr>
              <w:t>8</w:t>
            </w:r>
            <w:r w:rsidRPr="000C12A9">
              <w:rPr>
                <w:noProof/>
                <w:webHidden/>
              </w:rPr>
              <w:fldChar w:fldCharType="end"/>
            </w:r>
          </w:hyperlink>
        </w:p>
        <w:p w14:paraId="7A25CD3F" w14:textId="77777777" w:rsidR="000C12A9" w:rsidRPr="000C12A9" w:rsidRDefault="000C12A9">
          <w:pPr>
            <w:pStyle w:val="TDC2"/>
            <w:tabs>
              <w:tab w:val="right" w:leader="dot" w:pos="9204"/>
            </w:tabs>
            <w:rPr>
              <w:rFonts w:asciiTheme="minorHAnsi" w:eastAsiaTheme="minorEastAsia" w:hAnsiTheme="minorHAnsi" w:cstheme="minorBidi"/>
              <w:noProof/>
            </w:rPr>
          </w:pPr>
          <w:hyperlink w:anchor="_Toc219387714" w:history="1">
            <w:r w:rsidRPr="000C12A9">
              <w:rPr>
                <w:rStyle w:val="Hipervnculo"/>
                <w:noProof/>
              </w:rPr>
              <w:t>TERCERO. Determinación de la Controversia</w:t>
            </w:r>
            <w:r w:rsidRPr="000C12A9">
              <w:rPr>
                <w:noProof/>
                <w:webHidden/>
              </w:rPr>
              <w:tab/>
            </w:r>
            <w:r w:rsidRPr="000C12A9">
              <w:rPr>
                <w:noProof/>
                <w:webHidden/>
              </w:rPr>
              <w:fldChar w:fldCharType="begin"/>
            </w:r>
            <w:r w:rsidRPr="000C12A9">
              <w:rPr>
                <w:noProof/>
                <w:webHidden/>
              </w:rPr>
              <w:instrText xml:space="preserve"> PAGEREF _Toc219387714 \h </w:instrText>
            </w:r>
            <w:r w:rsidRPr="000C12A9">
              <w:rPr>
                <w:noProof/>
                <w:webHidden/>
              </w:rPr>
            </w:r>
            <w:r w:rsidRPr="000C12A9">
              <w:rPr>
                <w:noProof/>
                <w:webHidden/>
              </w:rPr>
              <w:fldChar w:fldCharType="separate"/>
            </w:r>
            <w:r w:rsidR="002F6CFD">
              <w:rPr>
                <w:noProof/>
                <w:webHidden/>
              </w:rPr>
              <w:t>9</w:t>
            </w:r>
            <w:r w:rsidRPr="000C12A9">
              <w:rPr>
                <w:noProof/>
                <w:webHidden/>
              </w:rPr>
              <w:fldChar w:fldCharType="end"/>
            </w:r>
          </w:hyperlink>
        </w:p>
        <w:p w14:paraId="173FEB4A" w14:textId="77777777" w:rsidR="000C12A9" w:rsidRPr="000C12A9" w:rsidRDefault="000C12A9">
          <w:pPr>
            <w:pStyle w:val="TDC2"/>
            <w:tabs>
              <w:tab w:val="right" w:leader="dot" w:pos="9204"/>
            </w:tabs>
            <w:rPr>
              <w:rFonts w:asciiTheme="minorHAnsi" w:eastAsiaTheme="minorEastAsia" w:hAnsiTheme="minorHAnsi" w:cstheme="minorBidi"/>
              <w:noProof/>
            </w:rPr>
          </w:pPr>
          <w:hyperlink w:anchor="_Toc219387715" w:history="1">
            <w:r w:rsidRPr="000C12A9">
              <w:rPr>
                <w:rStyle w:val="Hipervnculo"/>
                <w:noProof/>
              </w:rPr>
              <w:t>CUARTO. Marco normativo aplicable en materia de transparencia y acceso a la información pública</w:t>
            </w:r>
            <w:r w:rsidRPr="000C12A9">
              <w:rPr>
                <w:noProof/>
                <w:webHidden/>
              </w:rPr>
              <w:tab/>
            </w:r>
            <w:r w:rsidRPr="000C12A9">
              <w:rPr>
                <w:noProof/>
                <w:webHidden/>
              </w:rPr>
              <w:fldChar w:fldCharType="begin"/>
            </w:r>
            <w:r w:rsidRPr="000C12A9">
              <w:rPr>
                <w:noProof/>
                <w:webHidden/>
              </w:rPr>
              <w:instrText xml:space="preserve"> PAGEREF _Toc219387715 \h </w:instrText>
            </w:r>
            <w:r w:rsidRPr="000C12A9">
              <w:rPr>
                <w:noProof/>
                <w:webHidden/>
              </w:rPr>
            </w:r>
            <w:r w:rsidRPr="000C12A9">
              <w:rPr>
                <w:noProof/>
                <w:webHidden/>
              </w:rPr>
              <w:fldChar w:fldCharType="separate"/>
            </w:r>
            <w:r w:rsidR="002F6CFD">
              <w:rPr>
                <w:noProof/>
                <w:webHidden/>
              </w:rPr>
              <w:t>12</w:t>
            </w:r>
            <w:r w:rsidRPr="000C12A9">
              <w:rPr>
                <w:noProof/>
                <w:webHidden/>
              </w:rPr>
              <w:fldChar w:fldCharType="end"/>
            </w:r>
          </w:hyperlink>
        </w:p>
        <w:p w14:paraId="0A324409" w14:textId="77777777" w:rsidR="000C12A9" w:rsidRPr="000C12A9" w:rsidRDefault="000C12A9">
          <w:pPr>
            <w:pStyle w:val="TDC2"/>
            <w:tabs>
              <w:tab w:val="right" w:leader="dot" w:pos="9204"/>
            </w:tabs>
            <w:rPr>
              <w:rFonts w:asciiTheme="minorHAnsi" w:eastAsiaTheme="minorEastAsia" w:hAnsiTheme="minorHAnsi" w:cstheme="minorBidi"/>
              <w:noProof/>
            </w:rPr>
          </w:pPr>
          <w:hyperlink w:anchor="_Toc219387716" w:history="1">
            <w:r w:rsidRPr="000C12A9">
              <w:rPr>
                <w:rStyle w:val="Hipervnculo"/>
                <w:smallCaps/>
                <w:noProof/>
              </w:rPr>
              <w:t>QUINTO.</w:t>
            </w:r>
            <w:r w:rsidRPr="000C12A9">
              <w:rPr>
                <w:rStyle w:val="Hipervnculo"/>
                <w:noProof/>
              </w:rPr>
              <w:t xml:space="preserve"> Estudio de Fondo</w:t>
            </w:r>
            <w:r w:rsidRPr="000C12A9">
              <w:rPr>
                <w:noProof/>
                <w:webHidden/>
              </w:rPr>
              <w:tab/>
            </w:r>
            <w:r w:rsidRPr="000C12A9">
              <w:rPr>
                <w:noProof/>
                <w:webHidden/>
              </w:rPr>
              <w:fldChar w:fldCharType="begin"/>
            </w:r>
            <w:r w:rsidRPr="000C12A9">
              <w:rPr>
                <w:noProof/>
                <w:webHidden/>
              </w:rPr>
              <w:instrText xml:space="preserve"> PAGEREF _Toc219387716 \h </w:instrText>
            </w:r>
            <w:r w:rsidRPr="000C12A9">
              <w:rPr>
                <w:noProof/>
                <w:webHidden/>
              </w:rPr>
            </w:r>
            <w:r w:rsidRPr="000C12A9">
              <w:rPr>
                <w:noProof/>
                <w:webHidden/>
              </w:rPr>
              <w:fldChar w:fldCharType="separate"/>
            </w:r>
            <w:r w:rsidR="002F6CFD">
              <w:rPr>
                <w:noProof/>
                <w:webHidden/>
              </w:rPr>
              <w:t>13</w:t>
            </w:r>
            <w:r w:rsidRPr="000C12A9">
              <w:rPr>
                <w:noProof/>
                <w:webHidden/>
              </w:rPr>
              <w:fldChar w:fldCharType="end"/>
            </w:r>
          </w:hyperlink>
        </w:p>
        <w:p w14:paraId="4568D20E" w14:textId="77777777" w:rsidR="000C12A9" w:rsidRPr="000C12A9" w:rsidRDefault="000C12A9">
          <w:pPr>
            <w:pStyle w:val="TDC2"/>
            <w:tabs>
              <w:tab w:val="right" w:leader="dot" w:pos="9204"/>
            </w:tabs>
            <w:rPr>
              <w:rFonts w:asciiTheme="minorHAnsi" w:eastAsiaTheme="minorEastAsia" w:hAnsiTheme="minorHAnsi" w:cstheme="minorBidi"/>
              <w:noProof/>
            </w:rPr>
          </w:pPr>
          <w:hyperlink w:anchor="_Toc219387717" w:history="1">
            <w:r w:rsidRPr="000C12A9">
              <w:rPr>
                <w:rStyle w:val="Hipervnculo"/>
                <w:noProof/>
              </w:rPr>
              <w:t>SEXTO. Decisión</w:t>
            </w:r>
            <w:r w:rsidRPr="000C12A9">
              <w:rPr>
                <w:noProof/>
                <w:webHidden/>
              </w:rPr>
              <w:tab/>
            </w:r>
            <w:r w:rsidRPr="000C12A9">
              <w:rPr>
                <w:noProof/>
                <w:webHidden/>
              </w:rPr>
              <w:fldChar w:fldCharType="begin"/>
            </w:r>
            <w:r w:rsidRPr="000C12A9">
              <w:rPr>
                <w:noProof/>
                <w:webHidden/>
              </w:rPr>
              <w:instrText xml:space="preserve"> PAGEREF _Toc219387717 \h </w:instrText>
            </w:r>
            <w:r w:rsidRPr="000C12A9">
              <w:rPr>
                <w:noProof/>
                <w:webHidden/>
              </w:rPr>
            </w:r>
            <w:r w:rsidRPr="000C12A9">
              <w:rPr>
                <w:noProof/>
                <w:webHidden/>
              </w:rPr>
              <w:fldChar w:fldCharType="separate"/>
            </w:r>
            <w:r w:rsidR="002F6CFD">
              <w:rPr>
                <w:noProof/>
                <w:webHidden/>
              </w:rPr>
              <w:t>19</w:t>
            </w:r>
            <w:r w:rsidRPr="000C12A9">
              <w:rPr>
                <w:noProof/>
                <w:webHidden/>
              </w:rPr>
              <w:fldChar w:fldCharType="end"/>
            </w:r>
          </w:hyperlink>
        </w:p>
        <w:p w14:paraId="614F332F" w14:textId="77777777" w:rsidR="000C12A9" w:rsidRPr="000C12A9" w:rsidRDefault="000C12A9">
          <w:pPr>
            <w:pStyle w:val="TDC1"/>
            <w:tabs>
              <w:tab w:val="right" w:leader="dot" w:pos="9204"/>
            </w:tabs>
            <w:rPr>
              <w:rFonts w:asciiTheme="minorHAnsi" w:eastAsiaTheme="minorEastAsia" w:hAnsiTheme="minorHAnsi" w:cstheme="minorBidi"/>
              <w:noProof/>
            </w:rPr>
          </w:pPr>
          <w:hyperlink w:anchor="_Toc219387718" w:history="1">
            <w:r w:rsidRPr="000C12A9">
              <w:rPr>
                <w:rStyle w:val="Hipervnculo"/>
                <w:noProof/>
              </w:rPr>
              <w:t>R E S U E L V E</w:t>
            </w:r>
            <w:r w:rsidRPr="000C12A9">
              <w:rPr>
                <w:noProof/>
                <w:webHidden/>
              </w:rPr>
              <w:tab/>
            </w:r>
            <w:r w:rsidRPr="000C12A9">
              <w:rPr>
                <w:noProof/>
                <w:webHidden/>
              </w:rPr>
              <w:fldChar w:fldCharType="begin"/>
            </w:r>
            <w:r w:rsidRPr="000C12A9">
              <w:rPr>
                <w:noProof/>
                <w:webHidden/>
              </w:rPr>
              <w:instrText xml:space="preserve"> PAGEREF _Toc219387718 \h </w:instrText>
            </w:r>
            <w:r w:rsidRPr="000C12A9">
              <w:rPr>
                <w:noProof/>
                <w:webHidden/>
              </w:rPr>
            </w:r>
            <w:r w:rsidRPr="000C12A9">
              <w:rPr>
                <w:noProof/>
                <w:webHidden/>
              </w:rPr>
              <w:fldChar w:fldCharType="separate"/>
            </w:r>
            <w:r w:rsidR="002F6CFD">
              <w:rPr>
                <w:noProof/>
                <w:webHidden/>
              </w:rPr>
              <w:t>19</w:t>
            </w:r>
            <w:r w:rsidRPr="000C12A9">
              <w:rPr>
                <w:noProof/>
                <w:webHidden/>
              </w:rPr>
              <w:fldChar w:fldCharType="end"/>
            </w:r>
          </w:hyperlink>
        </w:p>
        <w:p w14:paraId="18E58FB7" w14:textId="77777777" w:rsidR="000B3631" w:rsidRDefault="00513EDE" w:rsidP="000B3631">
          <w:pPr>
            <w:rPr>
              <w:b/>
              <w:bCs/>
              <w:lang w:val="es-ES"/>
            </w:rPr>
          </w:pPr>
          <w:r w:rsidRPr="000C12A9">
            <w:rPr>
              <w:b/>
              <w:bCs/>
              <w:lang w:val="es-ES"/>
            </w:rPr>
            <w:fldChar w:fldCharType="end"/>
          </w:r>
        </w:p>
      </w:sdtContent>
    </w:sdt>
    <w:p w14:paraId="456CC1B1" w14:textId="60BB9F92" w:rsidR="00305798" w:rsidRPr="000B3631" w:rsidRDefault="00021C3A" w:rsidP="000B3631">
      <w:r w:rsidRPr="000C12A9">
        <w:br w:type="page"/>
      </w:r>
    </w:p>
    <w:p w14:paraId="784F87ED" w14:textId="5F0188F0" w:rsidR="00305798" w:rsidRPr="000C12A9" w:rsidRDefault="00021C3A">
      <w:pPr>
        <w:spacing w:after="0" w:line="360" w:lineRule="auto"/>
      </w:pPr>
      <w:r w:rsidRPr="000C12A9">
        <w:lastRenderedPageBreak/>
        <w:t xml:space="preserve">Resolución del Pleno del Instituto de Transparencia, Acceso a la Información Pública y Protección de Datos Personales del Estado de México y Municipios, con domicilio en Metepec, Estado de México, de fecha </w:t>
      </w:r>
      <w:r w:rsidR="00513EDE" w:rsidRPr="000C12A9">
        <w:t>catorce</w:t>
      </w:r>
      <w:r w:rsidRPr="000C12A9">
        <w:t xml:space="preserve"> de enero de dos mil veintiséis.</w:t>
      </w:r>
    </w:p>
    <w:p w14:paraId="1E1E8D21" w14:textId="77777777" w:rsidR="00305798" w:rsidRPr="000C12A9" w:rsidRDefault="00305798">
      <w:pPr>
        <w:spacing w:after="0" w:line="360" w:lineRule="auto"/>
        <w:rPr>
          <w:b/>
          <w:bCs/>
        </w:rPr>
      </w:pPr>
    </w:p>
    <w:p w14:paraId="1518F266" w14:textId="0F6F9995" w:rsidR="00305798" w:rsidRPr="000C12A9" w:rsidRDefault="00021C3A">
      <w:pPr>
        <w:spacing w:after="0" w:line="360" w:lineRule="auto"/>
      </w:pPr>
      <w:r w:rsidRPr="000C12A9">
        <w:rPr>
          <w:b/>
          <w:bCs/>
        </w:rPr>
        <w:t>VISTO</w:t>
      </w:r>
      <w:r w:rsidRPr="000C12A9">
        <w:t xml:space="preserve"> el expediente conformado con motivo del Recurso de Revisión </w:t>
      </w:r>
      <w:r w:rsidRPr="00BD58FB">
        <w:rPr>
          <w:b/>
        </w:rPr>
        <w:t>09141/INFOEM/IP/RR/2025</w:t>
      </w:r>
      <w:r w:rsidRPr="000C12A9">
        <w:t xml:space="preserve">, interpuesto por </w:t>
      </w:r>
      <w:r w:rsidR="00CC2EFE" w:rsidRPr="000C12A9">
        <w:t>la persona</w:t>
      </w:r>
      <w:r w:rsidRPr="000C12A9">
        <w:t xml:space="preserve"> Particular</w:t>
      </w:r>
      <w:r w:rsidR="00CC2EFE" w:rsidRPr="000C12A9">
        <w:t xml:space="preserve"> o Recurrente,</w:t>
      </w:r>
      <w:r w:rsidRPr="000C12A9">
        <w:t xml:space="preserve"> en contra de la respuesta del Sujeto Obligado, </w:t>
      </w:r>
      <w:r w:rsidRPr="00BD58FB">
        <w:rPr>
          <w:b/>
        </w:rPr>
        <w:t>Secretaría de Seguridad</w:t>
      </w:r>
      <w:r w:rsidRPr="000C12A9">
        <w:t xml:space="preserve"> se emite la presente Resolución, con base en los antecedentes y considerandos que se exponen a continuación:</w:t>
      </w:r>
    </w:p>
    <w:p w14:paraId="7917EA80" w14:textId="77777777" w:rsidR="00305798" w:rsidRPr="000C12A9" w:rsidRDefault="00305798">
      <w:pPr>
        <w:spacing w:after="0" w:line="360" w:lineRule="auto"/>
      </w:pPr>
    </w:p>
    <w:p w14:paraId="258C1A3A" w14:textId="77777777" w:rsidR="00305798" w:rsidRPr="000C12A9" w:rsidRDefault="00021C3A">
      <w:pPr>
        <w:pStyle w:val="Ttulo1"/>
        <w:spacing w:before="0" w:after="0"/>
        <w:rPr>
          <w:sz w:val="22"/>
          <w:szCs w:val="22"/>
        </w:rPr>
      </w:pPr>
      <w:bookmarkStart w:id="0" w:name="_Toc219387706"/>
      <w:r w:rsidRPr="000C12A9">
        <w:rPr>
          <w:sz w:val="22"/>
          <w:szCs w:val="22"/>
        </w:rPr>
        <w:t>A N T E C E D E N T E S</w:t>
      </w:r>
      <w:bookmarkEnd w:id="0"/>
    </w:p>
    <w:p w14:paraId="0AD6E1F0" w14:textId="77777777" w:rsidR="00305798" w:rsidRPr="000C12A9" w:rsidRDefault="00305798">
      <w:pPr>
        <w:spacing w:after="0" w:line="360" w:lineRule="auto"/>
      </w:pPr>
      <w:bookmarkStart w:id="1" w:name="_heading=h.gjdgxs" w:colFirst="0" w:colLast="0"/>
      <w:bookmarkEnd w:id="1"/>
    </w:p>
    <w:p w14:paraId="70A676DF" w14:textId="77777777" w:rsidR="00305798" w:rsidRPr="000C12A9" w:rsidRDefault="00021C3A">
      <w:pPr>
        <w:pStyle w:val="Ttulo2"/>
        <w:spacing w:before="0" w:after="0"/>
      </w:pPr>
      <w:bookmarkStart w:id="2" w:name="_Toc219387707"/>
      <w:r w:rsidRPr="000C12A9">
        <w:t>I. Presentación de la solicitud de información</w:t>
      </w:r>
      <w:bookmarkEnd w:id="2"/>
    </w:p>
    <w:p w14:paraId="3D2B3C2D" w14:textId="77777777" w:rsidR="00305798" w:rsidRPr="000C12A9" w:rsidRDefault="00305798">
      <w:pPr>
        <w:tabs>
          <w:tab w:val="left" w:pos="567"/>
        </w:tabs>
        <w:spacing w:after="0" w:line="360" w:lineRule="auto"/>
      </w:pPr>
    </w:p>
    <w:p w14:paraId="3EB06B3B" w14:textId="77777777" w:rsidR="00305798" w:rsidRPr="000C12A9" w:rsidRDefault="00021C3A">
      <w:pPr>
        <w:spacing w:after="0" w:line="360" w:lineRule="auto"/>
        <w:rPr>
          <w:color w:val="000000"/>
        </w:rPr>
      </w:pPr>
      <w:r w:rsidRPr="000C12A9">
        <w:t xml:space="preserve">Con fecha nueve de julio de dos mil veinticinco, </w:t>
      </w:r>
      <w:r w:rsidRPr="000C12A9">
        <w:rPr>
          <w:color w:val="000000"/>
        </w:rPr>
        <w:t>la parte Solicitante presentó una solicitud de acceso a la información pública,</w:t>
      </w:r>
      <w:r w:rsidRPr="000C12A9">
        <w:t xml:space="preserve"> a través del</w:t>
      </w:r>
      <w:r w:rsidRPr="000C12A9">
        <w:rPr>
          <w:color w:val="000000"/>
        </w:rPr>
        <w:t xml:space="preserve"> Sistema de Acceso a la Información Mexiquense, en lo sucesivo el SAIMEX, ante el Secretaría de Seguridad, en la que requirió lo siguiente:</w:t>
      </w:r>
    </w:p>
    <w:p w14:paraId="110E8AF5" w14:textId="77777777" w:rsidR="00305798" w:rsidRPr="000C12A9" w:rsidRDefault="00305798">
      <w:pPr>
        <w:spacing w:after="0" w:line="360" w:lineRule="auto"/>
        <w:rPr>
          <w:color w:val="000000"/>
          <w:sz w:val="20"/>
          <w:szCs w:val="20"/>
        </w:rPr>
      </w:pPr>
    </w:p>
    <w:p w14:paraId="75F58848" w14:textId="77777777" w:rsidR="00305798" w:rsidRPr="000C12A9" w:rsidRDefault="00021C3A">
      <w:pPr>
        <w:tabs>
          <w:tab w:val="left" w:pos="567"/>
        </w:tabs>
        <w:spacing w:after="0" w:line="360" w:lineRule="auto"/>
        <w:ind w:left="567" w:right="709"/>
        <w:rPr>
          <w:b/>
          <w:bCs/>
          <w:sz w:val="20"/>
          <w:szCs w:val="20"/>
        </w:rPr>
      </w:pPr>
      <w:r w:rsidRPr="000C12A9">
        <w:rPr>
          <w:b/>
          <w:bCs/>
          <w:sz w:val="20"/>
          <w:szCs w:val="20"/>
        </w:rPr>
        <w:t>Folio de la solicitud: 00305/SSEM/IP/2025</w:t>
      </w:r>
    </w:p>
    <w:p w14:paraId="677A2398" w14:textId="77777777" w:rsidR="00305798" w:rsidRPr="000C12A9" w:rsidRDefault="00021C3A">
      <w:pPr>
        <w:tabs>
          <w:tab w:val="left" w:pos="567"/>
        </w:tabs>
        <w:spacing w:after="0" w:line="360" w:lineRule="auto"/>
        <w:ind w:left="567" w:right="709"/>
        <w:rPr>
          <w:b/>
          <w:bCs/>
          <w:sz w:val="20"/>
          <w:szCs w:val="20"/>
        </w:rPr>
      </w:pPr>
      <w:r w:rsidRPr="000C12A9">
        <w:rPr>
          <w:b/>
          <w:bCs/>
          <w:sz w:val="20"/>
          <w:szCs w:val="20"/>
        </w:rPr>
        <w:t>DESCRIPCIÓN CLARA Y PRECISA DE LA INFORMACIÓN SOLICITADA</w:t>
      </w:r>
    </w:p>
    <w:p w14:paraId="53B47E92" w14:textId="77777777" w:rsidR="00305798" w:rsidRPr="000C12A9" w:rsidRDefault="00021C3A">
      <w:pPr>
        <w:tabs>
          <w:tab w:val="left" w:pos="4667"/>
        </w:tabs>
        <w:spacing w:after="0" w:line="360" w:lineRule="auto"/>
        <w:ind w:left="567" w:right="709"/>
        <w:rPr>
          <w:i/>
          <w:iCs/>
          <w:sz w:val="20"/>
          <w:szCs w:val="20"/>
        </w:rPr>
      </w:pPr>
      <w:r w:rsidRPr="000C12A9">
        <w:rPr>
          <w:i/>
          <w:iCs/>
          <w:sz w:val="20"/>
          <w:szCs w:val="20"/>
        </w:rPr>
        <w:t>“Solicito las estadísticas de cuantas personas han estado conformes con el servicio brindado por la secretaria de seguridad en los años 2024 y 2025 de acuerdo a las llamadas posteriores que te hacen de cuando solicitas ayuda mediante el 911.” (Sic).</w:t>
      </w:r>
    </w:p>
    <w:p w14:paraId="4E6886A6" w14:textId="77777777" w:rsidR="00305798" w:rsidRPr="000C12A9" w:rsidRDefault="00305798">
      <w:pPr>
        <w:tabs>
          <w:tab w:val="left" w:pos="4667"/>
        </w:tabs>
        <w:spacing w:after="0" w:line="360" w:lineRule="auto"/>
        <w:ind w:left="567" w:right="709"/>
        <w:rPr>
          <w:b/>
          <w:bCs/>
          <w:sz w:val="20"/>
          <w:szCs w:val="20"/>
        </w:rPr>
      </w:pPr>
    </w:p>
    <w:p w14:paraId="1B025F74" w14:textId="77777777" w:rsidR="00305798" w:rsidRPr="000C12A9" w:rsidRDefault="00021C3A">
      <w:pPr>
        <w:tabs>
          <w:tab w:val="left" w:pos="4667"/>
        </w:tabs>
        <w:spacing w:after="0" w:line="360" w:lineRule="auto"/>
        <w:ind w:left="567" w:right="709"/>
        <w:rPr>
          <w:i/>
          <w:iCs/>
          <w:sz w:val="20"/>
          <w:szCs w:val="20"/>
        </w:rPr>
      </w:pPr>
      <w:r w:rsidRPr="000C12A9">
        <w:rPr>
          <w:b/>
          <w:bCs/>
          <w:sz w:val="20"/>
          <w:szCs w:val="20"/>
        </w:rPr>
        <w:t xml:space="preserve">MODALIDAD DE ENTREGA </w:t>
      </w:r>
      <w:r w:rsidRPr="000C12A9">
        <w:rPr>
          <w:i/>
          <w:iCs/>
          <w:sz w:val="20"/>
          <w:szCs w:val="20"/>
        </w:rPr>
        <w:t>“A través del SAIMEX.”</w:t>
      </w:r>
    </w:p>
    <w:p w14:paraId="4514B41D" w14:textId="77777777" w:rsidR="00305798" w:rsidRPr="000C12A9" w:rsidRDefault="00305798">
      <w:pPr>
        <w:tabs>
          <w:tab w:val="left" w:pos="4667"/>
        </w:tabs>
        <w:spacing w:after="0" w:line="360" w:lineRule="auto"/>
        <w:ind w:left="567" w:right="709"/>
        <w:rPr>
          <w:b/>
          <w:bCs/>
        </w:rPr>
      </w:pPr>
    </w:p>
    <w:p w14:paraId="464EA79C" w14:textId="77777777" w:rsidR="00305798" w:rsidRPr="000C12A9" w:rsidRDefault="00021C3A">
      <w:pPr>
        <w:pStyle w:val="Ttulo2"/>
        <w:spacing w:before="0" w:after="0"/>
      </w:pPr>
      <w:bookmarkStart w:id="3" w:name="_Toc219387708"/>
      <w:r w:rsidRPr="000C12A9">
        <w:t>II. Respuesta del Sujeto Obligado</w:t>
      </w:r>
      <w:bookmarkEnd w:id="3"/>
    </w:p>
    <w:p w14:paraId="5280D4CD" w14:textId="77777777" w:rsidR="00305798" w:rsidRPr="000C12A9" w:rsidRDefault="00305798">
      <w:pPr>
        <w:spacing w:after="0" w:line="360" w:lineRule="auto"/>
      </w:pPr>
    </w:p>
    <w:p w14:paraId="3370A11A" w14:textId="77777777" w:rsidR="00305798" w:rsidRPr="000C12A9" w:rsidRDefault="00021C3A">
      <w:pPr>
        <w:spacing w:after="0" w:line="360" w:lineRule="auto"/>
      </w:pPr>
      <w:r w:rsidRPr="000C12A9">
        <w:lastRenderedPageBreak/>
        <w:t>El dieciocho de julio de dos mil veinticinco, el Sujeto Obligado a través de SAIMEX, dio respuesta en los siguientes términos:</w:t>
      </w:r>
    </w:p>
    <w:p w14:paraId="02E13A1E" w14:textId="77777777" w:rsidR="00305798" w:rsidRPr="000C12A9" w:rsidRDefault="00305798">
      <w:pPr>
        <w:spacing w:after="0" w:line="360" w:lineRule="auto"/>
      </w:pPr>
    </w:p>
    <w:p w14:paraId="157F31F2" w14:textId="77777777" w:rsidR="00305798" w:rsidRPr="000C12A9" w:rsidRDefault="00021C3A">
      <w:pPr>
        <w:numPr>
          <w:ilvl w:val="0"/>
          <w:numId w:val="1"/>
        </w:numPr>
        <w:pBdr>
          <w:top w:val="nil"/>
          <w:left w:val="nil"/>
          <w:bottom w:val="nil"/>
          <w:right w:val="nil"/>
          <w:between w:val="nil"/>
        </w:pBdr>
        <w:spacing w:after="0" w:line="360" w:lineRule="auto"/>
        <w:rPr>
          <w:b/>
          <w:bCs/>
          <w:i/>
          <w:iCs/>
          <w:color w:val="000000"/>
        </w:rPr>
      </w:pPr>
      <w:r w:rsidRPr="000C12A9">
        <w:rPr>
          <w:b/>
          <w:bCs/>
          <w:i/>
          <w:iCs/>
          <w:color w:val="000000"/>
        </w:rPr>
        <w:t xml:space="preserve">RESPUESTA 305.pdf; </w:t>
      </w:r>
      <w:r w:rsidRPr="000C12A9">
        <w:rPr>
          <w:color w:val="000000"/>
        </w:rPr>
        <w:t>Oficio suscrito por el Encargado de la Unidad de Información, Planeación, Programación y Evaluación de la Unidad de Transparencia, en el que informó lo siguiente:</w:t>
      </w:r>
    </w:p>
    <w:p w14:paraId="4BABC85D" w14:textId="77777777" w:rsidR="00305798" w:rsidRPr="000C12A9" w:rsidRDefault="00305798">
      <w:pPr>
        <w:pBdr>
          <w:top w:val="nil"/>
          <w:left w:val="nil"/>
          <w:bottom w:val="nil"/>
          <w:right w:val="nil"/>
          <w:between w:val="nil"/>
        </w:pBdr>
        <w:spacing w:after="0" w:line="360" w:lineRule="auto"/>
        <w:rPr>
          <w:i/>
          <w:iCs/>
        </w:rPr>
      </w:pPr>
    </w:p>
    <w:p w14:paraId="18327227" w14:textId="77777777" w:rsidR="00305798" w:rsidRPr="000C12A9" w:rsidRDefault="00021C3A">
      <w:pPr>
        <w:pBdr>
          <w:top w:val="nil"/>
          <w:left w:val="nil"/>
          <w:bottom w:val="nil"/>
          <w:right w:val="nil"/>
          <w:between w:val="nil"/>
        </w:pBdr>
        <w:spacing w:after="0" w:line="360" w:lineRule="auto"/>
        <w:ind w:left="567" w:right="709"/>
        <w:rPr>
          <w:i/>
          <w:iCs/>
          <w:sz w:val="20"/>
          <w:szCs w:val="20"/>
        </w:rPr>
      </w:pPr>
      <w:r w:rsidRPr="000C12A9">
        <w:rPr>
          <w:i/>
          <w:iCs/>
          <w:sz w:val="20"/>
          <w:szCs w:val="20"/>
        </w:rPr>
        <w:t>“…</w:t>
      </w:r>
    </w:p>
    <w:p w14:paraId="6251F7E4" w14:textId="77777777" w:rsidR="00305798" w:rsidRPr="000C12A9" w:rsidRDefault="00021C3A">
      <w:pPr>
        <w:pBdr>
          <w:top w:val="nil"/>
          <w:left w:val="nil"/>
          <w:bottom w:val="nil"/>
          <w:right w:val="nil"/>
          <w:between w:val="nil"/>
        </w:pBdr>
        <w:spacing w:after="0" w:line="360" w:lineRule="auto"/>
        <w:ind w:left="567" w:right="709"/>
        <w:rPr>
          <w:i/>
          <w:iCs/>
          <w:sz w:val="20"/>
          <w:szCs w:val="20"/>
        </w:rPr>
      </w:pPr>
      <w:r w:rsidRPr="000C12A9">
        <w:rPr>
          <w:i/>
          <w:iCs/>
          <w:sz w:val="20"/>
          <w:szCs w:val="20"/>
        </w:rPr>
        <w:t xml:space="preserve">Mediante oficio número 20600007000000S/UIPPE/1114/2025, se requirió la información a la servidora pública habilitada del </w:t>
      </w:r>
      <w:r w:rsidRPr="000C12A9">
        <w:rPr>
          <w:b/>
          <w:bCs/>
          <w:i/>
          <w:iCs/>
          <w:sz w:val="20"/>
          <w:szCs w:val="20"/>
        </w:rPr>
        <w:t>Centro de Control, Comando, Comunicación, Cómputo y Calidad</w:t>
      </w:r>
      <w:r w:rsidRPr="000C12A9">
        <w:rPr>
          <w:i/>
          <w:iCs/>
          <w:sz w:val="20"/>
          <w:szCs w:val="20"/>
        </w:rPr>
        <w:t xml:space="preserve">, quien a su vez mediante similar número 20600202000000L/C5/30368/2025, informa que de las llamadas a las que se hace referencia, </w:t>
      </w:r>
      <w:r w:rsidRPr="000C12A9">
        <w:rPr>
          <w:b/>
          <w:bCs/>
          <w:i/>
          <w:iCs/>
          <w:sz w:val="20"/>
          <w:szCs w:val="20"/>
        </w:rPr>
        <w:t>estas son realizadas de forma aleatorias por medio de encuestas, con el fin de evaluar la calidad del servicio brindado a través del sistema de emergencias 911 de las cuales las personas que manifestaron su conformidad durante el año 2024 fueron un total de 83,392 y del primer semestre del año 2025 son 48,890 personas</w:t>
      </w:r>
      <w:r w:rsidRPr="000C12A9">
        <w:rPr>
          <w:i/>
          <w:iCs/>
          <w:sz w:val="20"/>
          <w:szCs w:val="20"/>
        </w:rPr>
        <w:t>.</w:t>
      </w:r>
    </w:p>
    <w:p w14:paraId="7D9FC8BB" w14:textId="77777777" w:rsidR="00305798" w:rsidRPr="000C12A9" w:rsidRDefault="00021C3A">
      <w:pPr>
        <w:pBdr>
          <w:top w:val="nil"/>
          <w:left w:val="nil"/>
          <w:bottom w:val="nil"/>
          <w:right w:val="nil"/>
          <w:between w:val="nil"/>
        </w:pBdr>
        <w:spacing w:after="0" w:line="360" w:lineRule="auto"/>
        <w:ind w:left="567" w:right="709"/>
        <w:rPr>
          <w:i/>
          <w:iCs/>
          <w:sz w:val="20"/>
          <w:szCs w:val="20"/>
        </w:rPr>
      </w:pPr>
      <w:r w:rsidRPr="000C12A9">
        <w:rPr>
          <w:i/>
          <w:iCs/>
          <w:sz w:val="20"/>
          <w:szCs w:val="20"/>
        </w:rPr>
        <w:t>…” (Énfasis añadido)</w:t>
      </w:r>
    </w:p>
    <w:p w14:paraId="75E4A524" w14:textId="77777777" w:rsidR="00305798" w:rsidRPr="000C12A9" w:rsidRDefault="00305798">
      <w:pPr>
        <w:pBdr>
          <w:top w:val="nil"/>
          <w:left w:val="nil"/>
          <w:bottom w:val="nil"/>
          <w:right w:val="nil"/>
          <w:between w:val="nil"/>
        </w:pBdr>
        <w:spacing w:after="0" w:line="360" w:lineRule="auto"/>
        <w:rPr>
          <w:i/>
          <w:iCs/>
          <w:color w:val="000000"/>
        </w:rPr>
      </w:pPr>
    </w:p>
    <w:p w14:paraId="5FA055FB" w14:textId="77777777" w:rsidR="00305798" w:rsidRPr="000C12A9" w:rsidRDefault="00021C3A">
      <w:pPr>
        <w:pStyle w:val="Ttulo2"/>
        <w:spacing w:before="0" w:after="0"/>
      </w:pPr>
      <w:bookmarkStart w:id="4" w:name="_Toc219387709"/>
      <w:r w:rsidRPr="000C12A9">
        <w:t>III. Interposición del Recurso de Revisión</w:t>
      </w:r>
      <w:bookmarkEnd w:id="4"/>
    </w:p>
    <w:p w14:paraId="250F5A6C" w14:textId="77777777" w:rsidR="00305798" w:rsidRPr="000C12A9" w:rsidRDefault="00305798">
      <w:pPr>
        <w:spacing w:after="0" w:line="360" w:lineRule="auto"/>
        <w:rPr>
          <w:b/>
          <w:bCs/>
        </w:rPr>
      </w:pPr>
    </w:p>
    <w:p w14:paraId="590CABB6" w14:textId="77777777" w:rsidR="00305798" w:rsidRPr="000C12A9" w:rsidRDefault="00021C3A">
      <w:pPr>
        <w:spacing w:after="0" w:line="360" w:lineRule="auto"/>
      </w:pPr>
      <w:bookmarkStart w:id="5" w:name="_heading=h.2et92p0" w:colFirst="0" w:colLast="0"/>
      <w:bookmarkEnd w:id="5"/>
      <w:r w:rsidRPr="000C12A9">
        <w:t>Con fecha cuatro de agosto de dos mil veinticinco, se recibió en este Instituto, a través del SAIMEX, el Recurso de Revisión interpuesto por la persona Recurrente, en los siguientes términos:</w:t>
      </w:r>
    </w:p>
    <w:p w14:paraId="56245416" w14:textId="77777777" w:rsidR="00305798" w:rsidRPr="000C12A9" w:rsidRDefault="00305798">
      <w:pPr>
        <w:spacing w:after="0" w:line="360" w:lineRule="auto"/>
      </w:pPr>
    </w:p>
    <w:p w14:paraId="4ABAAA35" w14:textId="77777777" w:rsidR="00305798" w:rsidRPr="000C12A9" w:rsidRDefault="00021C3A">
      <w:pPr>
        <w:spacing w:after="0" w:line="360" w:lineRule="auto"/>
        <w:ind w:left="567" w:right="709"/>
        <w:rPr>
          <w:b/>
          <w:bCs/>
          <w:sz w:val="20"/>
          <w:szCs w:val="20"/>
        </w:rPr>
      </w:pPr>
      <w:r w:rsidRPr="000C12A9">
        <w:rPr>
          <w:b/>
          <w:bCs/>
          <w:sz w:val="20"/>
          <w:szCs w:val="20"/>
        </w:rPr>
        <w:t>ACTO IMPUGNADO</w:t>
      </w:r>
      <w:r w:rsidRPr="000C12A9">
        <w:rPr>
          <w:b/>
          <w:bCs/>
          <w:sz w:val="20"/>
          <w:szCs w:val="20"/>
        </w:rPr>
        <w:tab/>
      </w:r>
    </w:p>
    <w:p w14:paraId="76208167" w14:textId="77777777" w:rsidR="00305798" w:rsidRPr="000C12A9" w:rsidRDefault="00021C3A">
      <w:pPr>
        <w:spacing w:after="0" w:line="360" w:lineRule="auto"/>
        <w:ind w:left="567" w:right="709"/>
        <w:rPr>
          <w:i/>
          <w:iCs/>
          <w:sz w:val="20"/>
          <w:szCs w:val="20"/>
        </w:rPr>
      </w:pPr>
      <w:r w:rsidRPr="000C12A9">
        <w:rPr>
          <w:i/>
          <w:iCs/>
          <w:sz w:val="20"/>
          <w:szCs w:val="20"/>
        </w:rPr>
        <w:t xml:space="preserve">“Solicito las estadísticas de cuantas personas han estado conformes con el servicio brindado por la secretaria de seguridad en los años 2024 у 2025 de acuerdo a las llamadas posteriores que te hacen de cuando solicitas ayuda mediante el 911 se </w:t>
      </w:r>
      <w:proofErr w:type="spellStart"/>
      <w:r w:rsidRPr="000C12A9">
        <w:rPr>
          <w:i/>
          <w:iCs/>
          <w:sz w:val="20"/>
          <w:szCs w:val="20"/>
        </w:rPr>
        <w:t>solicito</w:t>
      </w:r>
      <w:proofErr w:type="spellEnd"/>
      <w:r w:rsidRPr="000C12A9">
        <w:rPr>
          <w:i/>
          <w:iCs/>
          <w:sz w:val="20"/>
          <w:szCs w:val="20"/>
        </w:rPr>
        <w:t xml:space="preserve"> esa información sin embargo sistema de emergencias 911 de las cuales las personas que manifestaron su conformidad durante el año 2024 </w:t>
      </w:r>
      <w:r w:rsidRPr="000C12A9">
        <w:rPr>
          <w:i/>
          <w:iCs/>
          <w:sz w:val="20"/>
          <w:szCs w:val="20"/>
        </w:rPr>
        <w:lastRenderedPageBreak/>
        <w:t xml:space="preserve">fueron un total de 83,392 y del primer semestre del año 2025 son 48,890 personas. contestan de manera incompleta como se </w:t>
      </w:r>
      <w:proofErr w:type="spellStart"/>
      <w:r w:rsidRPr="000C12A9">
        <w:rPr>
          <w:i/>
          <w:iCs/>
          <w:sz w:val="20"/>
          <w:szCs w:val="20"/>
        </w:rPr>
        <w:t>podria</w:t>
      </w:r>
      <w:proofErr w:type="spellEnd"/>
      <w:r w:rsidRPr="000C12A9">
        <w:rPr>
          <w:i/>
          <w:iCs/>
          <w:sz w:val="20"/>
          <w:szCs w:val="20"/>
        </w:rPr>
        <w:t xml:space="preserve"> sacar una </w:t>
      </w:r>
      <w:proofErr w:type="spellStart"/>
      <w:r w:rsidRPr="000C12A9">
        <w:rPr>
          <w:i/>
          <w:iCs/>
          <w:sz w:val="20"/>
          <w:szCs w:val="20"/>
        </w:rPr>
        <w:t>estadistica</w:t>
      </w:r>
      <w:proofErr w:type="spellEnd"/>
      <w:r w:rsidRPr="000C12A9">
        <w:rPr>
          <w:i/>
          <w:iCs/>
          <w:sz w:val="20"/>
          <w:szCs w:val="20"/>
        </w:rPr>
        <w:t xml:space="preserve"> del porcentaje si no dan la información del global” (Sic).</w:t>
      </w:r>
    </w:p>
    <w:p w14:paraId="58113790" w14:textId="77777777" w:rsidR="00305798" w:rsidRPr="000C12A9" w:rsidRDefault="00305798">
      <w:pPr>
        <w:spacing w:after="0" w:line="360" w:lineRule="auto"/>
        <w:ind w:left="567" w:right="709"/>
        <w:rPr>
          <w:sz w:val="20"/>
          <w:szCs w:val="20"/>
        </w:rPr>
      </w:pPr>
    </w:p>
    <w:p w14:paraId="278D85C7" w14:textId="77777777" w:rsidR="00305798" w:rsidRPr="000C12A9" w:rsidRDefault="00021C3A">
      <w:pPr>
        <w:spacing w:after="0" w:line="360" w:lineRule="auto"/>
        <w:ind w:left="567" w:right="709"/>
        <w:rPr>
          <w:b/>
          <w:bCs/>
          <w:sz w:val="20"/>
          <w:szCs w:val="20"/>
        </w:rPr>
      </w:pPr>
      <w:r w:rsidRPr="000C12A9">
        <w:rPr>
          <w:b/>
          <w:bCs/>
          <w:sz w:val="20"/>
          <w:szCs w:val="20"/>
        </w:rPr>
        <w:t>RAZONES O MOTIVOS DE LA INCONFORMIDAD</w:t>
      </w:r>
      <w:r w:rsidRPr="000C12A9">
        <w:rPr>
          <w:b/>
          <w:bCs/>
          <w:sz w:val="20"/>
          <w:szCs w:val="20"/>
        </w:rPr>
        <w:tab/>
      </w:r>
    </w:p>
    <w:p w14:paraId="7B51DD6F" w14:textId="77777777" w:rsidR="00305798" w:rsidRPr="000C12A9" w:rsidRDefault="00021C3A">
      <w:pPr>
        <w:tabs>
          <w:tab w:val="left" w:pos="4667"/>
        </w:tabs>
        <w:spacing w:after="0" w:line="360" w:lineRule="auto"/>
        <w:ind w:left="567" w:right="709"/>
        <w:rPr>
          <w:i/>
          <w:iCs/>
          <w:sz w:val="20"/>
          <w:szCs w:val="20"/>
        </w:rPr>
      </w:pPr>
      <w:r w:rsidRPr="000C12A9">
        <w:rPr>
          <w:i/>
          <w:iCs/>
          <w:sz w:val="20"/>
          <w:szCs w:val="20"/>
        </w:rPr>
        <w:t xml:space="preserve">“Información incompleta” </w:t>
      </w:r>
    </w:p>
    <w:p w14:paraId="0EA8E9BB" w14:textId="77777777" w:rsidR="00305798" w:rsidRPr="000C12A9" w:rsidRDefault="00305798">
      <w:pPr>
        <w:pBdr>
          <w:top w:val="nil"/>
          <w:left w:val="nil"/>
          <w:bottom w:val="nil"/>
          <w:right w:val="nil"/>
          <w:between w:val="nil"/>
        </w:pBdr>
        <w:spacing w:after="0" w:line="360" w:lineRule="auto"/>
        <w:jc w:val="left"/>
        <w:rPr>
          <w:color w:val="000000"/>
        </w:rPr>
      </w:pPr>
    </w:p>
    <w:p w14:paraId="011B6EE6" w14:textId="77777777" w:rsidR="00305798" w:rsidRPr="000C12A9" w:rsidRDefault="00021C3A">
      <w:pPr>
        <w:pStyle w:val="Ttulo2"/>
        <w:spacing w:before="0" w:after="0"/>
      </w:pPr>
      <w:bookmarkStart w:id="6" w:name="_Toc219387710"/>
      <w:r w:rsidRPr="000C12A9">
        <w:t>IV. Trámite del Recurso de Revisión ante este Instituto</w:t>
      </w:r>
      <w:bookmarkEnd w:id="6"/>
    </w:p>
    <w:p w14:paraId="147A175E" w14:textId="77777777" w:rsidR="00305798" w:rsidRPr="000C12A9" w:rsidRDefault="00305798">
      <w:pPr>
        <w:spacing w:after="0" w:line="360" w:lineRule="auto"/>
        <w:rPr>
          <w:b/>
          <w:bCs/>
        </w:rPr>
      </w:pPr>
    </w:p>
    <w:p w14:paraId="2ADF3244" w14:textId="77777777" w:rsidR="00305798" w:rsidRPr="000C12A9" w:rsidRDefault="00021C3A">
      <w:pPr>
        <w:spacing w:after="0" w:line="360" w:lineRule="auto"/>
        <w:rPr>
          <w:color w:val="000000"/>
        </w:rPr>
      </w:pPr>
      <w:r w:rsidRPr="000C12A9">
        <w:rPr>
          <w:b/>
          <w:bCs/>
        </w:rPr>
        <w:t>a) Turno del Medio de Impugnación.</w:t>
      </w:r>
      <w:r w:rsidRPr="000C12A9">
        <w:t xml:space="preserve"> </w:t>
      </w:r>
      <w:r w:rsidRPr="000C12A9">
        <w:rPr>
          <w:color w:val="000000"/>
        </w:rPr>
        <w:t>El cuatro de agosto de dos mil veinticinco, el SAIMEX, asignó el número de expediente</w:t>
      </w:r>
      <w:r w:rsidRPr="000C12A9">
        <w:rPr>
          <w:b/>
          <w:bCs/>
          <w:color w:val="000000"/>
        </w:rPr>
        <w:t xml:space="preserve"> 09141/INFOEM/IP/RR/2025, </w:t>
      </w:r>
      <w:r w:rsidRPr="000C12A9">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4F9813C3" w14:textId="77777777" w:rsidR="00305798" w:rsidRPr="000C12A9" w:rsidRDefault="00305798">
      <w:pPr>
        <w:spacing w:after="0" w:line="360" w:lineRule="auto"/>
      </w:pPr>
    </w:p>
    <w:p w14:paraId="183AF2C0" w14:textId="77777777" w:rsidR="00305798" w:rsidRPr="000C12A9" w:rsidRDefault="00021C3A">
      <w:pPr>
        <w:spacing w:after="0" w:line="360" w:lineRule="auto"/>
        <w:rPr>
          <w:color w:val="000000"/>
        </w:rPr>
      </w:pPr>
      <w:r w:rsidRPr="000C12A9">
        <w:rPr>
          <w:b/>
          <w:bCs/>
        </w:rPr>
        <w:t>b) Admisión del Recurso de Revisión.</w:t>
      </w:r>
      <w:r w:rsidRPr="000C12A9">
        <w:t xml:space="preserve"> </w:t>
      </w:r>
      <w:r w:rsidRPr="000C12A9">
        <w:rPr>
          <w:color w:val="000000"/>
        </w:rPr>
        <w:t xml:space="preserve">El </w:t>
      </w:r>
      <w:r w:rsidRPr="000C12A9">
        <w:t>ocho de agosto de dos mil veinticinco</w:t>
      </w:r>
      <w:r w:rsidRPr="000C12A9">
        <w:rPr>
          <w:color w:val="000000"/>
        </w:rPr>
        <w:t xml:space="preserve">, se notificó vía SAIMEX, el acuerdo mediante el cual se determinó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w:t>
      </w:r>
      <w:r w:rsidRPr="000C12A9">
        <w:t>manifestara</w:t>
      </w:r>
      <w:r w:rsidRPr="000C12A9">
        <w:rPr>
          <w:color w:val="000000"/>
        </w:rPr>
        <w:t xml:space="preserve"> lo que a su derecho conviniera y </w:t>
      </w:r>
      <w:r w:rsidRPr="000C12A9">
        <w:t>formularán</w:t>
      </w:r>
      <w:r w:rsidRPr="000C12A9">
        <w:rPr>
          <w:color w:val="000000"/>
        </w:rPr>
        <w:t xml:space="preserve"> alegatos.</w:t>
      </w:r>
    </w:p>
    <w:p w14:paraId="287F75E2" w14:textId="77777777" w:rsidR="00305798" w:rsidRPr="000C12A9" w:rsidRDefault="00305798">
      <w:pPr>
        <w:spacing w:after="0" w:line="360" w:lineRule="auto"/>
        <w:rPr>
          <w:color w:val="000000"/>
        </w:rPr>
      </w:pPr>
    </w:p>
    <w:p w14:paraId="3CDA398A" w14:textId="77777777" w:rsidR="00305798" w:rsidRPr="000C12A9" w:rsidRDefault="00021C3A">
      <w:pPr>
        <w:spacing w:after="0" w:line="360" w:lineRule="auto"/>
        <w:rPr>
          <w:color w:val="000000"/>
        </w:rPr>
      </w:pPr>
      <w:r w:rsidRPr="000C12A9">
        <w:rPr>
          <w:b/>
          <w:bCs/>
        </w:rPr>
        <w:t xml:space="preserve">c) </w:t>
      </w:r>
      <w:r w:rsidRPr="000C12A9">
        <w:rPr>
          <w:b/>
          <w:bCs/>
          <w:color w:val="000000"/>
        </w:rPr>
        <w:t xml:space="preserve">Informe Justificado. </w:t>
      </w:r>
      <w:r w:rsidRPr="000C12A9">
        <w:rPr>
          <w:color w:val="000000"/>
        </w:rPr>
        <w:t>En fecha dieciocho de agosto de dos mil veinticinco, se recibió en este Instituto, a través del Sistema de Acceso a la Información Mexiquense (SAIMEX), el Informe Justificado, por parte del Sujeto Obligado, en los siguientes términos:</w:t>
      </w:r>
    </w:p>
    <w:p w14:paraId="1ADE4631" w14:textId="77777777" w:rsidR="00305798" w:rsidRPr="000C12A9" w:rsidRDefault="00305798">
      <w:pPr>
        <w:spacing w:after="0" w:line="360" w:lineRule="auto"/>
        <w:rPr>
          <w:color w:val="000000"/>
        </w:rPr>
      </w:pPr>
    </w:p>
    <w:p w14:paraId="5C377E38" w14:textId="77777777" w:rsidR="00305798" w:rsidRPr="000C12A9" w:rsidRDefault="00021C3A">
      <w:pPr>
        <w:numPr>
          <w:ilvl w:val="0"/>
          <w:numId w:val="2"/>
        </w:numPr>
        <w:pBdr>
          <w:top w:val="nil"/>
          <w:left w:val="nil"/>
          <w:bottom w:val="nil"/>
          <w:right w:val="nil"/>
          <w:between w:val="nil"/>
        </w:pBdr>
        <w:spacing w:after="0" w:line="360" w:lineRule="auto"/>
        <w:rPr>
          <w:b/>
          <w:bCs/>
          <w:color w:val="000000"/>
        </w:rPr>
      </w:pPr>
      <w:r w:rsidRPr="000C12A9">
        <w:rPr>
          <w:b/>
          <w:bCs/>
          <w:i/>
          <w:iCs/>
          <w:color w:val="000000"/>
        </w:rPr>
        <w:lastRenderedPageBreak/>
        <w:t>RR 9141 INFORME JUSTIFICADO.pdf;</w:t>
      </w:r>
      <w:r w:rsidRPr="000C12A9">
        <w:rPr>
          <w:b/>
          <w:bCs/>
          <w:color w:val="000000"/>
        </w:rPr>
        <w:t xml:space="preserve"> </w:t>
      </w:r>
      <w:r w:rsidRPr="000C12A9">
        <w:rPr>
          <w:color w:val="000000"/>
        </w:rPr>
        <w:t>del que se desprende un oficio firmado por el Encargado de la Unidad de Información, Planeación, Programación y Evaluación y de la Unidad de Transparencia, en el que medularmente ratificó la respuesta inicial, y precisó:</w:t>
      </w:r>
    </w:p>
    <w:p w14:paraId="57F221EE" w14:textId="77777777" w:rsidR="00305798" w:rsidRPr="000C12A9" w:rsidRDefault="00305798" w:rsidP="00CC2EFE">
      <w:pPr>
        <w:pBdr>
          <w:top w:val="nil"/>
          <w:left w:val="nil"/>
          <w:bottom w:val="nil"/>
          <w:right w:val="nil"/>
          <w:between w:val="nil"/>
        </w:pBdr>
        <w:spacing w:after="0" w:line="360" w:lineRule="auto"/>
        <w:ind w:left="720"/>
        <w:rPr>
          <w:b/>
          <w:bCs/>
          <w:color w:val="000000"/>
        </w:rPr>
      </w:pPr>
    </w:p>
    <w:p w14:paraId="7F0C7D66"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w:t>
      </w:r>
    </w:p>
    <w:p w14:paraId="1D33BF5F"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 xml:space="preserve">Ahora bien, mediante oficio número 20600007000000S/UIPPE/1060/2025, se solicitó al servidor público del </w:t>
      </w:r>
      <w:r w:rsidRPr="000C12A9">
        <w:rPr>
          <w:b/>
          <w:bCs/>
          <w:i/>
          <w:iCs/>
          <w:color w:val="000000"/>
          <w:sz w:val="20"/>
          <w:szCs w:val="20"/>
        </w:rPr>
        <w:t>Centro de Control, Comando, Comunicación, Cómputo y Calidad (C5),</w:t>
      </w:r>
      <w:r w:rsidRPr="000C12A9">
        <w:rPr>
          <w:i/>
          <w:iCs/>
          <w:color w:val="000000"/>
          <w:sz w:val="20"/>
          <w:szCs w:val="20"/>
        </w:rPr>
        <w:t xml:space="preserve"> tener a bien emitir las manifestaciones correspondientes, a fin de estar en posibilidad de hacer entrega en tiempo y forma del presente informe, por lo tanto, dicha Unidad Administrativa, conforme a los motivos o razones de inconformidad hechos valer por el Recurrente, dio cuenta de lo siguiente:</w:t>
      </w:r>
    </w:p>
    <w:p w14:paraId="65416904"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w:t>
      </w:r>
    </w:p>
    <w:p w14:paraId="19669F90"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 xml:space="preserve">… preciso que, en relación a la cantidad de llamadas que se mencionaron en la respuesta de las solicitudes, estas fueron atendidas en su totalidad, en tiempo y forma, en vista a la atribución conferida a este Centro de Control, </w:t>
      </w:r>
      <w:proofErr w:type="spellStart"/>
      <w:r w:rsidRPr="000C12A9">
        <w:rPr>
          <w:i/>
          <w:iCs/>
          <w:color w:val="000000"/>
          <w:sz w:val="20"/>
          <w:szCs w:val="20"/>
        </w:rPr>
        <w:t>Çomando</w:t>
      </w:r>
      <w:proofErr w:type="spellEnd"/>
      <w:r w:rsidRPr="000C12A9">
        <w:rPr>
          <w:i/>
          <w:iCs/>
          <w:color w:val="000000"/>
          <w:sz w:val="20"/>
          <w:szCs w:val="20"/>
        </w:rPr>
        <w:t xml:space="preserve">, </w:t>
      </w:r>
      <w:proofErr w:type="spellStart"/>
      <w:r w:rsidRPr="000C12A9">
        <w:rPr>
          <w:i/>
          <w:iCs/>
          <w:color w:val="000000"/>
          <w:sz w:val="20"/>
          <w:szCs w:val="20"/>
        </w:rPr>
        <w:t>Comandо</w:t>
      </w:r>
      <w:proofErr w:type="spellEnd"/>
      <w:r w:rsidRPr="000C12A9">
        <w:rPr>
          <w:i/>
          <w:iCs/>
          <w:color w:val="000000"/>
          <w:sz w:val="20"/>
          <w:szCs w:val="20"/>
        </w:rPr>
        <w:t>, Comunicación, Cómputo y Calidad, establecida específicamente en el artículo 28 fracción II del Reglamento Interior de la Secretaría de Seguridad, que a la letra dice:</w:t>
      </w:r>
    </w:p>
    <w:p w14:paraId="11041A60"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w:t>
      </w:r>
    </w:p>
    <w:p w14:paraId="65749E27"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 xml:space="preserve">Aunado a que se encuentran registradas y se generó el reporte respectivo; conforme al Protocolo general para la atención de llamadas de emergencia 9-1-1, que se encuentra establecido en la Norma Técnica para la Estandarización de los Servicios de Llamadas de Emergencia a través del Número Único Armonizado 9-1-1(Nueve-Uno-Uno), emitida por el Secretariado Ejecutivo del Sistema Nacional de Seguridad Pública; la cual puede ser descargada y consultada por medio del enlace https://www.gob.mx/911/documentos/norma-tecnica-para-la-estandarizacion-de-los-servicios-de-llamadas-de-emergencia-a-traves-delnumero-unico-armonizado-9-1-1-version-2-0; protocolo que se ubica a partir de la página 53 de la citada norma. </w:t>
      </w:r>
    </w:p>
    <w:p w14:paraId="45E430BC" w14:textId="77777777" w:rsidR="00305798" w:rsidRPr="000C12A9" w:rsidRDefault="00305798">
      <w:pPr>
        <w:pBdr>
          <w:top w:val="nil"/>
          <w:left w:val="nil"/>
          <w:bottom w:val="nil"/>
          <w:right w:val="nil"/>
          <w:between w:val="nil"/>
        </w:pBdr>
        <w:spacing w:after="0" w:line="360" w:lineRule="auto"/>
        <w:ind w:left="567" w:right="709"/>
        <w:rPr>
          <w:i/>
          <w:iCs/>
          <w:color w:val="000000"/>
          <w:sz w:val="20"/>
          <w:szCs w:val="20"/>
        </w:rPr>
      </w:pPr>
    </w:p>
    <w:p w14:paraId="5E2E6BB8"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 xml:space="preserve">Ahora bien, </w:t>
      </w:r>
      <w:r w:rsidRPr="000C12A9">
        <w:rPr>
          <w:b/>
          <w:bCs/>
          <w:i/>
          <w:iCs/>
          <w:color w:val="000000"/>
          <w:sz w:val="20"/>
          <w:szCs w:val="20"/>
        </w:rPr>
        <w:t>en cuanto hace a las personas que han estado conformes con el servicio brindado,</w:t>
      </w:r>
      <w:r w:rsidRPr="000C12A9">
        <w:rPr>
          <w:i/>
          <w:iCs/>
          <w:color w:val="000000"/>
          <w:sz w:val="20"/>
          <w:szCs w:val="20"/>
        </w:rPr>
        <w:t xml:space="preserve"> le señalo que como se enfatizó en la respuesta a la solicitud número </w:t>
      </w:r>
      <w:r w:rsidRPr="000C12A9">
        <w:rPr>
          <w:i/>
          <w:iCs/>
          <w:color w:val="000000"/>
          <w:sz w:val="20"/>
          <w:szCs w:val="20"/>
        </w:rPr>
        <w:lastRenderedPageBreak/>
        <w:t xml:space="preserve">00305/SSEM/IP/2025, </w:t>
      </w:r>
      <w:r w:rsidRPr="000C12A9">
        <w:rPr>
          <w:b/>
          <w:bCs/>
          <w:i/>
          <w:iCs/>
          <w:color w:val="000000"/>
          <w:sz w:val="20"/>
          <w:szCs w:val="20"/>
        </w:rPr>
        <w:t>estas se realizan de forma aleatoria, es decir, no abarca la totalidad de las llamadas recibidas</w:t>
      </w:r>
      <w:r w:rsidRPr="000C12A9">
        <w:rPr>
          <w:i/>
          <w:iCs/>
          <w:color w:val="000000"/>
          <w:sz w:val="20"/>
          <w:szCs w:val="20"/>
        </w:rPr>
        <w:t xml:space="preserve">; además de que no se refirió alguna otra variable específica, </w:t>
      </w:r>
      <w:r w:rsidRPr="000C12A9">
        <w:rPr>
          <w:b/>
          <w:bCs/>
          <w:i/>
          <w:iCs/>
          <w:color w:val="000000"/>
          <w:sz w:val="20"/>
          <w:szCs w:val="20"/>
        </w:rPr>
        <w:t>ya que existen diversos criterios de cada llamada</w:t>
      </w:r>
      <w:r w:rsidRPr="000C12A9">
        <w:rPr>
          <w:i/>
          <w:iCs/>
          <w:color w:val="000000"/>
          <w:sz w:val="20"/>
          <w:szCs w:val="20"/>
        </w:rPr>
        <w:t>, lo que se indica para los efectos a que haya lugar.</w:t>
      </w:r>
    </w:p>
    <w:p w14:paraId="35E7605D"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w:t>
      </w:r>
    </w:p>
    <w:p w14:paraId="0868A68E"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 xml:space="preserve">En este orden de ideas, es menester enfatizar que, desde la respuesta a la solicitud de acceso antecedente del medio de defensa que nos ocupa, se le hizo saber al Particular que, respecto a las llamadas de satisfacción del número 9-1-1 correspondientes ejercicio 2024 y primer semestre de 2025, </w:t>
      </w:r>
      <w:r w:rsidRPr="000C12A9">
        <w:rPr>
          <w:b/>
          <w:bCs/>
          <w:i/>
          <w:iCs/>
          <w:color w:val="000000"/>
          <w:sz w:val="20"/>
          <w:szCs w:val="20"/>
        </w:rPr>
        <w:t>se realizan de manera aleatoria</w:t>
      </w:r>
      <w:r w:rsidRPr="000C12A9">
        <w:rPr>
          <w:i/>
          <w:iCs/>
          <w:color w:val="000000"/>
          <w:sz w:val="20"/>
          <w:szCs w:val="20"/>
        </w:rPr>
        <w:t xml:space="preserve">, esto es, que </w:t>
      </w:r>
      <w:r w:rsidRPr="000C12A9">
        <w:rPr>
          <w:b/>
          <w:bCs/>
          <w:i/>
          <w:iCs/>
          <w:color w:val="000000"/>
          <w:sz w:val="20"/>
          <w:szCs w:val="20"/>
        </w:rPr>
        <w:t>no todos los reportes y/o eventos atendidos por el Centro de Control, Comando, Comunicación, Cómputo y Calidad (C5), generan un reporte de calidad</w:t>
      </w:r>
      <w:r w:rsidRPr="000C12A9">
        <w:rPr>
          <w:i/>
          <w:iCs/>
          <w:color w:val="000000"/>
          <w:sz w:val="20"/>
          <w:szCs w:val="20"/>
        </w:rPr>
        <w:t>, situación que encuentra sustento en la Norma Técnica para la Estandarización de los Servicios de Llamadas de Emergencia a través del Número Único Armonizado 9-1-1 (Nueve-</w:t>
      </w:r>
      <w:proofErr w:type="spellStart"/>
      <w:r w:rsidRPr="000C12A9">
        <w:rPr>
          <w:i/>
          <w:iCs/>
          <w:color w:val="000000"/>
          <w:sz w:val="20"/>
          <w:szCs w:val="20"/>
        </w:rPr>
        <w:t>UnoUno</w:t>
      </w:r>
      <w:proofErr w:type="spellEnd"/>
      <w:r w:rsidRPr="000C12A9">
        <w:rPr>
          <w:i/>
          <w:iCs/>
          <w:color w:val="000000"/>
          <w:sz w:val="20"/>
          <w:szCs w:val="20"/>
        </w:rPr>
        <w:t>), emitida por el Secretariado Ejecutivo del Sistema Nacional de Seguridad Pública; la cual puede ser descargada y consultada por medio del enlace https://www.gob.mx/cms/uploads/attachment/file/895276/NT_CALLE_2023_II2024 final.pdf, en específico, en el apartado respectivo a los indicadores que definen el estándar, y las métricas que permiten medir el cumplimiento de los Centros de Atención de Llamadas de Emergencia (CALLE).</w:t>
      </w:r>
    </w:p>
    <w:p w14:paraId="31CA561A"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w:t>
      </w:r>
    </w:p>
    <w:p w14:paraId="3A55E5FB"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w:t>
      </w:r>
      <w:r w:rsidRPr="000C12A9">
        <w:rPr>
          <w:i/>
          <w:iCs/>
          <w:sz w:val="20"/>
          <w:szCs w:val="20"/>
        </w:rPr>
        <w:t xml:space="preserve"> </w:t>
      </w:r>
      <w:r w:rsidRPr="000C12A9">
        <w:rPr>
          <w:i/>
          <w:iCs/>
          <w:color w:val="000000"/>
          <w:sz w:val="20"/>
          <w:szCs w:val="20"/>
        </w:rPr>
        <w:t xml:space="preserve">desde la respuesta inicial se llevó a cabo la entrega de los datos estadísticos que dan cuenta del Derecho de Acceso a Información Pública del Recurrente, esto es, </w:t>
      </w:r>
      <w:r w:rsidRPr="000C12A9">
        <w:rPr>
          <w:b/>
          <w:bCs/>
          <w:i/>
          <w:iCs/>
          <w:color w:val="000000"/>
          <w:sz w:val="20"/>
          <w:szCs w:val="20"/>
        </w:rPr>
        <w:t>el número total de personas que comunicaron su conformidad con el servicio brindado por el Centro de Control, Comando, Comunicación, Cómputo y Calidad (C5),</w:t>
      </w:r>
      <w:r w:rsidRPr="000C12A9">
        <w:rPr>
          <w:i/>
          <w:iCs/>
          <w:color w:val="000000"/>
          <w:sz w:val="20"/>
          <w:szCs w:val="20"/>
        </w:rPr>
        <w:t xml:space="preserve"> en virtud de las llamadas de calidad realizadas posterior a la atención de un siniestro o emergencia a través del número 9-1- 1, a saber, </w:t>
      </w:r>
      <w:r w:rsidRPr="000C12A9">
        <w:rPr>
          <w:b/>
          <w:bCs/>
          <w:i/>
          <w:iCs/>
          <w:color w:val="000000"/>
          <w:sz w:val="20"/>
          <w:szCs w:val="20"/>
        </w:rPr>
        <w:t>durante el año 2024, un total de 83,392</w:t>
      </w:r>
      <w:r w:rsidRPr="000C12A9">
        <w:rPr>
          <w:i/>
          <w:iCs/>
          <w:color w:val="000000"/>
          <w:sz w:val="20"/>
          <w:szCs w:val="20"/>
        </w:rPr>
        <w:t xml:space="preserve"> personas y por cuanto hace </w:t>
      </w:r>
      <w:r w:rsidRPr="000C12A9">
        <w:rPr>
          <w:b/>
          <w:bCs/>
          <w:i/>
          <w:iCs/>
          <w:color w:val="000000"/>
          <w:sz w:val="20"/>
          <w:szCs w:val="20"/>
        </w:rPr>
        <w:t>al primer semestre del ejercicio 2025, un total de 48,890 registros</w:t>
      </w:r>
      <w:r w:rsidRPr="000C12A9">
        <w:rPr>
          <w:i/>
          <w:iCs/>
          <w:color w:val="000000"/>
          <w:sz w:val="20"/>
          <w:szCs w:val="20"/>
        </w:rPr>
        <w:t>.</w:t>
      </w:r>
    </w:p>
    <w:p w14:paraId="0C64B36A" w14:textId="77777777" w:rsidR="00305798" w:rsidRPr="000C12A9" w:rsidRDefault="00021C3A">
      <w:pPr>
        <w:pBdr>
          <w:top w:val="nil"/>
          <w:left w:val="nil"/>
          <w:bottom w:val="nil"/>
          <w:right w:val="nil"/>
          <w:between w:val="nil"/>
        </w:pBdr>
        <w:spacing w:after="0" w:line="360" w:lineRule="auto"/>
        <w:ind w:left="567" w:right="709"/>
        <w:rPr>
          <w:i/>
          <w:iCs/>
          <w:color w:val="000000"/>
          <w:sz w:val="20"/>
          <w:szCs w:val="20"/>
        </w:rPr>
      </w:pPr>
      <w:r w:rsidRPr="000C12A9">
        <w:rPr>
          <w:i/>
          <w:iCs/>
          <w:color w:val="000000"/>
          <w:sz w:val="20"/>
          <w:szCs w:val="20"/>
        </w:rPr>
        <w:t>…”</w:t>
      </w:r>
    </w:p>
    <w:p w14:paraId="0E43AC33" w14:textId="77777777" w:rsidR="00305798" w:rsidRPr="000C12A9" w:rsidRDefault="00305798">
      <w:pPr>
        <w:pBdr>
          <w:top w:val="nil"/>
          <w:left w:val="nil"/>
          <w:bottom w:val="nil"/>
          <w:right w:val="nil"/>
          <w:between w:val="nil"/>
        </w:pBdr>
        <w:spacing w:after="0" w:line="360" w:lineRule="auto"/>
        <w:ind w:left="567" w:right="709"/>
        <w:rPr>
          <w:i/>
          <w:iCs/>
          <w:color w:val="000000"/>
        </w:rPr>
      </w:pPr>
    </w:p>
    <w:p w14:paraId="5531C6F7" w14:textId="77777777" w:rsidR="00305798" w:rsidRPr="000C12A9" w:rsidRDefault="00021C3A">
      <w:pPr>
        <w:spacing w:after="0" w:line="360" w:lineRule="auto"/>
        <w:rPr>
          <w:color w:val="000000"/>
        </w:rPr>
      </w:pPr>
      <w:r w:rsidRPr="000C12A9">
        <w:rPr>
          <w:b/>
          <w:bCs/>
          <w:color w:val="000000"/>
        </w:rPr>
        <w:t xml:space="preserve">d) Vista de Informe Justificado. </w:t>
      </w:r>
      <w:r w:rsidRPr="000C12A9">
        <w:rPr>
          <w:color w:val="000000"/>
        </w:rPr>
        <w:t xml:space="preserve">El dieciocho de diciembre de dos mil veinticinco, se notificó a través del SAIMEX, el acuerdo de fecha diecisiete de diciembre de dos mil veinticinco, mediante el cual se puso a la vista de la parte Recurrente el Informe Justificado, proveído por el cual se le </w:t>
      </w:r>
      <w:r w:rsidRPr="000C12A9">
        <w:rPr>
          <w:color w:val="000000"/>
        </w:rPr>
        <w:lastRenderedPageBreak/>
        <w:t>otorgó a este último, un término de tres días hábiles contados a partir del día siguiente a la notificación, para que emitiera las manifestaciones que conforme a sus intereses convenga.</w:t>
      </w:r>
    </w:p>
    <w:p w14:paraId="71AAD289" w14:textId="77777777" w:rsidR="00305798" w:rsidRPr="000C12A9" w:rsidRDefault="00305798">
      <w:pPr>
        <w:widowControl w:val="0"/>
        <w:spacing w:after="0" w:line="360" w:lineRule="auto"/>
        <w:rPr>
          <w:b/>
          <w:bCs/>
        </w:rPr>
      </w:pPr>
    </w:p>
    <w:p w14:paraId="415BC5AF" w14:textId="77777777" w:rsidR="00305798" w:rsidRPr="000C12A9" w:rsidRDefault="00021C3A">
      <w:pPr>
        <w:spacing w:after="0" w:line="360" w:lineRule="auto"/>
      </w:pPr>
      <w:r w:rsidRPr="000C12A9">
        <w:rPr>
          <w:b/>
          <w:bCs/>
        </w:rPr>
        <w:t xml:space="preserve">e) Manifestaciones de la parte Recurrente. </w:t>
      </w:r>
      <w:r w:rsidRPr="000C12A9">
        <w:t>De las constancias que integran el expediente se advierte que la parte Recurrente no añadió manifestaciones.</w:t>
      </w:r>
    </w:p>
    <w:p w14:paraId="78BBA469" w14:textId="77777777" w:rsidR="00305798" w:rsidRPr="000C12A9" w:rsidRDefault="00305798">
      <w:pPr>
        <w:spacing w:after="0" w:line="360" w:lineRule="auto"/>
      </w:pPr>
    </w:p>
    <w:p w14:paraId="519F482E" w14:textId="77777777" w:rsidR="00305798" w:rsidRPr="000C12A9" w:rsidRDefault="00021C3A">
      <w:pPr>
        <w:spacing w:after="0" w:line="360" w:lineRule="auto"/>
        <w:rPr>
          <w:b/>
          <w:bCs/>
        </w:rPr>
      </w:pPr>
      <w:r w:rsidRPr="000C12A9">
        <w:rPr>
          <w:b/>
          <w:bCs/>
        </w:rPr>
        <w:t xml:space="preserve">f) Ampliación de plazo para resolver. </w:t>
      </w:r>
      <w:r w:rsidRPr="000C12A9">
        <w:t>El dieciocho de diciembre de dos mil veinticinco, se notificó vía SAIMEX el acuerdo de fecha diecisiete de diciembre del mismo año, mediante el cual,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w:t>
      </w:r>
    </w:p>
    <w:p w14:paraId="66A0E619" w14:textId="77777777" w:rsidR="00305798" w:rsidRPr="000C12A9" w:rsidRDefault="00305798">
      <w:pPr>
        <w:pBdr>
          <w:top w:val="nil"/>
          <w:left w:val="nil"/>
          <w:bottom w:val="nil"/>
          <w:right w:val="nil"/>
          <w:between w:val="nil"/>
        </w:pBdr>
        <w:tabs>
          <w:tab w:val="left" w:pos="426"/>
        </w:tabs>
        <w:spacing w:after="0" w:line="360" w:lineRule="auto"/>
        <w:rPr>
          <w:b/>
          <w:bCs/>
          <w:color w:val="000000"/>
        </w:rPr>
      </w:pPr>
    </w:p>
    <w:p w14:paraId="45A841AC" w14:textId="008F5542" w:rsidR="00305798" w:rsidRPr="000C12A9" w:rsidRDefault="00021C3A">
      <w:pPr>
        <w:spacing w:after="0" w:line="360" w:lineRule="auto"/>
      </w:pPr>
      <w:r w:rsidRPr="000C12A9">
        <w:rPr>
          <w:b/>
          <w:bCs/>
        </w:rPr>
        <w:t>g) Cierre de instrucción.</w:t>
      </w:r>
      <w:r w:rsidRPr="000C12A9">
        <w:t xml:space="preserve"> El catorce de enero de dos mil </w:t>
      </w:r>
      <w:r w:rsidR="00513EDE" w:rsidRPr="000C12A9">
        <w:t>veintiséis</w:t>
      </w:r>
      <w:r w:rsidRPr="000C12A9">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62EC2F3C" w14:textId="77777777" w:rsidR="00305798" w:rsidRPr="000C12A9" w:rsidRDefault="00305798">
      <w:pPr>
        <w:spacing w:after="0" w:line="360" w:lineRule="auto"/>
      </w:pPr>
    </w:p>
    <w:p w14:paraId="19DD0324" w14:textId="77777777" w:rsidR="00305798" w:rsidRPr="000C12A9" w:rsidRDefault="00021C3A">
      <w:pPr>
        <w:spacing w:after="0" w:line="360" w:lineRule="auto"/>
      </w:pPr>
      <w:r w:rsidRPr="000C12A9">
        <w:t xml:space="preserve">En razón de que fue debidamente sustanciado e integrado el expediente electrónico y no existir diligencia pendiente de desahogo, se emite la resolución que conforme a Derecho proceda, de acuerdo a los siguientes: </w:t>
      </w:r>
    </w:p>
    <w:p w14:paraId="4ECE3699" w14:textId="77777777" w:rsidR="00305798" w:rsidRPr="000C12A9" w:rsidRDefault="00305798">
      <w:pPr>
        <w:spacing w:after="0" w:line="360" w:lineRule="auto"/>
      </w:pPr>
    </w:p>
    <w:p w14:paraId="5811601A" w14:textId="77777777" w:rsidR="00305798" w:rsidRPr="000C12A9" w:rsidRDefault="00021C3A">
      <w:pPr>
        <w:pStyle w:val="Ttulo1"/>
        <w:spacing w:before="0" w:after="0"/>
        <w:rPr>
          <w:sz w:val="22"/>
          <w:szCs w:val="22"/>
        </w:rPr>
      </w:pPr>
      <w:bookmarkStart w:id="7" w:name="_Toc219387711"/>
      <w:r w:rsidRPr="000C12A9">
        <w:rPr>
          <w:sz w:val="22"/>
          <w:szCs w:val="22"/>
        </w:rPr>
        <w:t>C O N S I D E R A N D O S</w:t>
      </w:r>
      <w:bookmarkEnd w:id="7"/>
    </w:p>
    <w:p w14:paraId="2DA09B17" w14:textId="77777777" w:rsidR="00305798" w:rsidRPr="000C12A9" w:rsidRDefault="00305798">
      <w:pPr>
        <w:spacing w:after="0" w:line="360" w:lineRule="auto"/>
        <w:rPr>
          <w:b/>
          <w:bCs/>
        </w:rPr>
      </w:pPr>
    </w:p>
    <w:p w14:paraId="056A8C70" w14:textId="77777777" w:rsidR="00305798" w:rsidRPr="000C12A9" w:rsidRDefault="00021C3A">
      <w:pPr>
        <w:pStyle w:val="Ttulo2"/>
        <w:spacing w:before="0" w:after="0"/>
      </w:pPr>
      <w:bookmarkStart w:id="8" w:name="_Toc219387712"/>
      <w:r w:rsidRPr="000C12A9">
        <w:lastRenderedPageBreak/>
        <w:t>PRIMERO. Competencia</w:t>
      </w:r>
      <w:bookmarkEnd w:id="8"/>
    </w:p>
    <w:p w14:paraId="639A5850" w14:textId="77777777" w:rsidR="00305798" w:rsidRPr="000C12A9" w:rsidRDefault="00305798">
      <w:pPr>
        <w:spacing w:after="0" w:line="360" w:lineRule="auto"/>
      </w:pPr>
    </w:p>
    <w:p w14:paraId="72FD9BA1" w14:textId="70F37821" w:rsidR="00305798" w:rsidRPr="000C12A9" w:rsidRDefault="00513EDE">
      <w:pPr>
        <w:spacing w:after="0" w:line="360" w:lineRule="auto"/>
      </w:pPr>
      <w:r w:rsidRPr="000C12A9">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7546ACC" w14:textId="77777777" w:rsidR="00513EDE" w:rsidRPr="000C12A9" w:rsidRDefault="00513EDE">
      <w:pPr>
        <w:spacing w:after="0" w:line="360" w:lineRule="auto"/>
      </w:pPr>
    </w:p>
    <w:p w14:paraId="064864D4" w14:textId="77777777" w:rsidR="00305798" w:rsidRPr="000C12A9" w:rsidRDefault="00021C3A">
      <w:pPr>
        <w:pStyle w:val="Ttulo2"/>
        <w:spacing w:before="0" w:after="0"/>
      </w:pPr>
      <w:bookmarkStart w:id="9" w:name="_Toc219387713"/>
      <w:r w:rsidRPr="000C12A9">
        <w:t>SEGUNDO. Causales de improcedencia y sobreseimiento</w:t>
      </w:r>
      <w:bookmarkEnd w:id="9"/>
    </w:p>
    <w:p w14:paraId="2250DDBA" w14:textId="77777777" w:rsidR="00305798" w:rsidRPr="000C12A9" w:rsidRDefault="00305798">
      <w:pPr>
        <w:spacing w:after="0" w:line="360" w:lineRule="auto"/>
      </w:pPr>
    </w:p>
    <w:p w14:paraId="1356F1B4" w14:textId="77777777" w:rsidR="00305798" w:rsidRPr="000C12A9" w:rsidRDefault="00021C3A">
      <w:pPr>
        <w:spacing w:after="0" w:line="360" w:lineRule="auto"/>
      </w:pPr>
      <w:r w:rsidRPr="000C12A9">
        <w:t xml:space="preserve">De las constancias que forman parte del Recurso de Revisión que se analiza, se advierte que previo al estudio del fondo de la </w:t>
      </w:r>
      <w:r w:rsidRPr="000C12A9">
        <w:rPr>
          <w:i/>
          <w:iCs/>
        </w:rPr>
        <w:t>litis</w:t>
      </w:r>
      <w:r w:rsidRPr="000C12A9">
        <w:t>, es necesario estudiar las causales de improcedencia y sobreseimiento que se adviertan, para determinar lo que en Derecho proceda.</w:t>
      </w:r>
    </w:p>
    <w:p w14:paraId="098344A9" w14:textId="77777777" w:rsidR="00305798" w:rsidRPr="000C12A9" w:rsidRDefault="00305798">
      <w:pPr>
        <w:spacing w:after="0" w:line="360" w:lineRule="auto"/>
      </w:pPr>
    </w:p>
    <w:p w14:paraId="0BEDB8B3" w14:textId="77777777" w:rsidR="00305798" w:rsidRPr="000C12A9" w:rsidRDefault="00021C3A">
      <w:pPr>
        <w:spacing w:after="0" w:line="360" w:lineRule="auto"/>
        <w:rPr>
          <w:b/>
          <w:bCs/>
        </w:rPr>
      </w:pPr>
      <w:r w:rsidRPr="000C12A9">
        <w:rPr>
          <w:b/>
          <w:bCs/>
        </w:rPr>
        <w:t>Causales de improcedencia</w:t>
      </w:r>
    </w:p>
    <w:p w14:paraId="39D3726F" w14:textId="77777777" w:rsidR="00305798" w:rsidRPr="000C12A9" w:rsidRDefault="00305798">
      <w:pPr>
        <w:spacing w:after="0" w:line="360" w:lineRule="auto"/>
      </w:pPr>
    </w:p>
    <w:p w14:paraId="7FD9EA22" w14:textId="77777777" w:rsidR="00305798" w:rsidRPr="000C12A9" w:rsidRDefault="00021C3A">
      <w:pPr>
        <w:spacing w:after="0" w:line="360" w:lineRule="auto"/>
      </w:pPr>
      <w:r w:rsidRPr="000C12A9">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0C12A9">
        <w:rPr>
          <w:b/>
          <w:bCs/>
        </w:rPr>
        <w:t xml:space="preserve"> </w:t>
      </w:r>
      <w:r w:rsidRPr="000C12A9">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w:t>
      </w:r>
      <w:r w:rsidRPr="000C12A9">
        <w:lastRenderedPageBreak/>
        <w:t xml:space="preserve">la Información Pública del Estado de México y Municipios, dará lugar a que el presente Recurso de Revisión sea sobreseído. </w:t>
      </w:r>
    </w:p>
    <w:p w14:paraId="65F80413" w14:textId="77777777" w:rsidR="00305798" w:rsidRPr="000C12A9" w:rsidRDefault="00305798">
      <w:pPr>
        <w:spacing w:after="0" w:line="360" w:lineRule="auto"/>
      </w:pPr>
    </w:p>
    <w:p w14:paraId="76C13221" w14:textId="77777777" w:rsidR="00305798" w:rsidRPr="000C12A9" w:rsidRDefault="00021C3A">
      <w:pPr>
        <w:spacing w:after="0" w:line="360" w:lineRule="auto"/>
      </w:pPr>
      <w:r w:rsidRPr="000C12A9">
        <w:t xml:space="preserve">En el presente caso, </w:t>
      </w:r>
      <w:r w:rsidRPr="000C12A9">
        <w:rPr>
          <w:b/>
          <w:bCs/>
        </w:rPr>
        <w:t>no se actualiza ninguna de las causales de improcedencia</w:t>
      </w:r>
      <w:r w:rsidRPr="000C12A9">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CAD0509" w14:textId="77777777" w:rsidR="00305798" w:rsidRPr="000C12A9" w:rsidRDefault="00305798">
      <w:pPr>
        <w:spacing w:after="0" w:line="360" w:lineRule="auto"/>
        <w:rPr>
          <w:b/>
          <w:bCs/>
        </w:rPr>
      </w:pPr>
    </w:p>
    <w:p w14:paraId="44A71D6F" w14:textId="77777777" w:rsidR="00305798" w:rsidRPr="000C12A9" w:rsidRDefault="00021C3A">
      <w:pPr>
        <w:spacing w:after="0" w:line="360" w:lineRule="auto"/>
        <w:ind w:right="-28"/>
        <w:rPr>
          <w:b/>
          <w:bCs/>
          <w:color w:val="000000"/>
        </w:rPr>
      </w:pPr>
      <w:r w:rsidRPr="000C12A9">
        <w:rPr>
          <w:b/>
          <w:bCs/>
          <w:color w:val="000000"/>
        </w:rPr>
        <w:t>Causales de sobreseimiento</w:t>
      </w:r>
    </w:p>
    <w:p w14:paraId="5A210C35" w14:textId="77777777" w:rsidR="00305798" w:rsidRPr="000C12A9" w:rsidRDefault="00305798">
      <w:pPr>
        <w:spacing w:after="0" w:line="360" w:lineRule="auto"/>
        <w:ind w:right="-28"/>
        <w:rPr>
          <w:color w:val="000000"/>
        </w:rPr>
      </w:pPr>
    </w:p>
    <w:p w14:paraId="40DE21C6" w14:textId="77777777" w:rsidR="00305798" w:rsidRPr="000C12A9" w:rsidRDefault="00021C3A">
      <w:pPr>
        <w:spacing w:after="0" w:line="360" w:lineRule="auto"/>
        <w:rPr>
          <w:color w:val="000000"/>
        </w:rPr>
      </w:pPr>
      <w:r w:rsidRPr="000C12A9">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0C12A9">
        <w:rPr>
          <w:b/>
          <w:bCs/>
          <w:color w:val="0D0D0D"/>
        </w:rPr>
        <w:t xml:space="preserve"> </w:t>
      </w:r>
      <w:r w:rsidRPr="000C12A9">
        <w:rPr>
          <w:color w:val="0D0D0D"/>
        </w:rPr>
        <w:t>toda vez que no hay constancias en el expediente en que se actúa, de que la persona Recurrente se haya desistido, fallecido, que el Sujeto Obligado hubiese modificado o revocado el acto impugnado o bien,</w:t>
      </w:r>
      <w:r w:rsidRPr="000C12A9">
        <w:t xml:space="preserve"> </w:t>
      </w:r>
      <w:r w:rsidRPr="000C12A9">
        <w:rPr>
          <w:color w:val="0D0D0D"/>
        </w:rPr>
        <w:t>que admitido una vez admitido el Recurso de Revisión, aparezca alguna causal de improcedencia o haya quedado sin materia.</w:t>
      </w:r>
    </w:p>
    <w:p w14:paraId="24C27E93" w14:textId="77777777" w:rsidR="00305798" w:rsidRPr="000C12A9" w:rsidRDefault="00305798">
      <w:pPr>
        <w:spacing w:after="0" w:line="360" w:lineRule="auto"/>
        <w:rPr>
          <w:color w:val="000000"/>
        </w:rPr>
      </w:pPr>
    </w:p>
    <w:p w14:paraId="547E987B" w14:textId="77777777" w:rsidR="00305798" w:rsidRPr="000C12A9" w:rsidRDefault="00021C3A">
      <w:pPr>
        <w:pStyle w:val="Ttulo2"/>
        <w:spacing w:before="0" w:after="0"/>
      </w:pPr>
      <w:bookmarkStart w:id="10" w:name="_Toc219387714"/>
      <w:r w:rsidRPr="000C12A9">
        <w:t>TERCERO. Determinación de la Controversia</w:t>
      </w:r>
      <w:bookmarkEnd w:id="10"/>
    </w:p>
    <w:p w14:paraId="17AC80AD" w14:textId="77777777" w:rsidR="00305798" w:rsidRPr="000C12A9" w:rsidRDefault="00305798">
      <w:pPr>
        <w:tabs>
          <w:tab w:val="left" w:pos="4962"/>
        </w:tabs>
        <w:spacing w:after="0" w:line="360" w:lineRule="auto"/>
      </w:pPr>
    </w:p>
    <w:p w14:paraId="4DFF0E9F" w14:textId="17AAEC93" w:rsidR="00305798" w:rsidRPr="000C12A9" w:rsidRDefault="00021C3A" w:rsidP="00CC2EFE">
      <w:pPr>
        <w:spacing w:after="0" w:line="360" w:lineRule="auto"/>
        <w:rPr>
          <w:color w:val="000000"/>
        </w:rPr>
      </w:pPr>
      <w:r w:rsidRPr="000C12A9">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w:t>
      </w:r>
      <w:r w:rsidR="00CC2EFE" w:rsidRPr="000C12A9">
        <w:t>del número</w:t>
      </w:r>
      <w:r w:rsidRPr="000C12A9">
        <w:rPr>
          <w:color w:val="000000"/>
        </w:rPr>
        <w:t xml:space="preserve"> de personas que manifestaron su conformidad con el servicio </w:t>
      </w:r>
      <w:r w:rsidRPr="000C12A9">
        <w:rPr>
          <w:color w:val="000000"/>
        </w:rPr>
        <w:lastRenderedPageBreak/>
        <w:t>brindado por la Secretaría de Seguridad en los años 2024 y del 1° de enero al 9 de julio de 2025, de acuerdo con las llamadas realizadas a los usuarios que solicitaron ayuda mediante llamadas al 911.</w:t>
      </w:r>
    </w:p>
    <w:p w14:paraId="4CE0D4D5" w14:textId="77777777" w:rsidR="00305798" w:rsidRPr="000C12A9" w:rsidRDefault="00305798">
      <w:pPr>
        <w:tabs>
          <w:tab w:val="left" w:pos="4962"/>
        </w:tabs>
        <w:spacing w:after="0" w:line="360" w:lineRule="auto"/>
        <w:rPr>
          <w:color w:val="000000"/>
        </w:rPr>
      </w:pPr>
    </w:p>
    <w:p w14:paraId="6851DEDF" w14:textId="77777777" w:rsidR="00305798" w:rsidRPr="000C12A9" w:rsidRDefault="00021C3A">
      <w:pPr>
        <w:tabs>
          <w:tab w:val="left" w:pos="4962"/>
        </w:tabs>
        <w:spacing w:after="0" w:line="360" w:lineRule="auto"/>
        <w:rPr>
          <w:color w:val="000000"/>
        </w:rPr>
      </w:pPr>
      <w:r w:rsidRPr="000C12A9">
        <w:rPr>
          <w:color w:val="000000"/>
        </w:rPr>
        <w:t xml:space="preserve">En respuesta, el </w:t>
      </w:r>
      <w:r w:rsidRPr="000C12A9">
        <w:t>Encargado de la Unidad de Información, Planeación, Programación y Evaluación de la Unidad de Transparencia, precisó que buscó en el Centro de Control, Comando, Comunicación, Cómputo y Calidad, quién informó que las llamadas se realizan de forma aleatoria por medio de encuestas, con el fin de evaluar la calidad del servicio brindado a través del sistema de emergencias 911 de las cuales las personas que manifestaron su conformidad durante el año 2024 fueron un total de 83,392 y del primer semestre del año 2025 son 48,890 personas.</w:t>
      </w:r>
    </w:p>
    <w:p w14:paraId="27DFF5A4" w14:textId="77777777" w:rsidR="00305798" w:rsidRPr="000C12A9" w:rsidRDefault="00305798">
      <w:pPr>
        <w:tabs>
          <w:tab w:val="left" w:pos="4962"/>
        </w:tabs>
        <w:spacing w:after="0" w:line="360" w:lineRule="auto"/>
        <w:rPr>
          <w:color w:val="000000"/>
        </w:rPr>
      </w:pPr>
    </w:p>
    <w:p w14:paraId="55DF6C3E" w14:textId="77777777" w:rsidR="00305798" w:rsidRPr="000C12A9" w:rsidRDefault="00021C3A">
      <w:pPr>
        <w:tabs>
          <w:tab w:val="left" w:pos="4962"/>
        </w:tabs>
        <w:spacing w:after="0" w:line="360" w:lineRule="auto"/>
        <w:rPr>
          <w:color w:val="000000"/>
        </w:rPr>
      </w:pPr>
      <w:r w:rsidRPr="000C12A9">
        <w:rPr>
          <w:color w:val="000000"/>
        </w:rPr>
        <w:t xml:space="preserve">Derivado de la respuesta, la parte Recurrente se inconformó y señaló que la respuesta fue incompleta, dado que no podría sacar una estadística del porcentaje si no se le proporciona una </w:t>
      </w:r>
    </w:p>
    <w:p w14:paraId="7748744A" w14:textId="77777777" w:rsidR="00305798" w:rsidRPr="000C12A9" w:rsidRDefault="00021C3A">
      <w:pPr>
        <w:tabs>
          <w:tab w:val="left" w:pos="4962"/>
        </w:tabs>
        <w:spacing w:after="0" w:line="360" w:lineRule="auto"/>
        <w:rPr>
          <w:color w:val="000000"/>
        </w:rPr>
      </w:pPr>
      <w:r w:rsidRPr="000C12A9">
        <w:rPr>
          <w:color w:val="000000"/>
        </w:rPr>
        <w:t>información global.</w:t>
      </w:r>
    </w:p>
    <w:p w14:paraId="31A23F0F" w14:textId="77777777" w:rsidR="00305798" w:rsidRPr="000C12A9" w:rsidRDefault="00305798">
      <w:pPr>
        <w:tabs>
          <w:tab w:val="left" w:pos="4962"/>
        </w:tabs>
        <w:spacing w:after="0" w:line="360" w:lineRule="auto"/>
        <w:rPr>
          <w:color w:val="000000"/>
        </w:rPr>
      </w:pPr>
    </w:p>
    <w:p w14:paraId="3859E5D0" w14:textId="77777777" w:rsidR="00305798" w:rsidRPr="000C12A9" w:rsidRDefault="00021C3A">
      <w:pPr>
        <w:spacing w:after="0" w:line="360" w:lineRule="auto"/>
        <w:rPr>
          <w:color w:val="000000"/>
        </w:rPr>
      </w:pPr>
      <w:r w:rsidRPr="000C12A9">
        <w:rPr>
          <w:color w:val="000000"/>
        </w:rPr>
        <w:t xml:space="preserve">Así pues, la parte Recurrente únicamente se inconformó por información incompleta, </w:t>
      </w:r>
      <w:r w:rsidRPr="000C12A9">
        <w:rPr>
          <w:b/>
          <w:bCs/>
          <w:color w:val="000000"/>
        </w:rPr>
        <w:t>porque no se le proporcionó información global para poder obtener el porcentaje</w:t>
      </w:r>
      <w:r w:rsidRPr="000C12A9">
        <w:rPr>
          <w:color w:val="000000"/>
        </w:rPr>
        <w:t>, dándose por</w:t>
      </w:r>
      <w:r w:rsidRPr="000C12A9">
        <w:rPr>
          <w:b/>
          <w:bCs/>
          <w:color w:val="000000"/>
        </w:rPr>
        <w:t xml:space="preserve"> satisfecho</w:t>
      </w:r>
      <w:r w:rsidRPr="000C12A9">
        <w:rPr>
          <w:color w:val="000000"/>
        </w:rPr>
        <w:t xml:space="preserve"> </w:t>
      </w:r>
      <w:r w:rsidRPr="000C12A9">
        <w:rPr>
          <w:b/>
          <w:bCs/>
          <w:color w:val="000000"/>
        </w:rPr>
        <w:t>respecto de la información proporcionada sobre la cantidad de personas satisfechas en 2024 y 2025 y la temporalidad informada,</w:t>
      </w:r>
      <w:r w:rsidRPr="000C12A9">
        <w:rPr>
          <w:color w:val="000000"/>
        </w:rPr>
        <w:t xml:space="preserve"> situación por la cual no se hará pronunciamiento alguno; lo anterior de conformidad con lo dispuesto en el artículo 195 de la Ley de Transparencia y Acceso a la Información Pública del Estado de México y Municipios, con relación con el diverso 195, fracción IV, </w:t>
      </w:r>
      <w:r w:rsidRPr="000C12A9">
        <w:t>del Código</w:t>
      </w:r>
      <w:r w:rsidRPr="000C12A9">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6BD21B5A" w14:textId="77777777" w:rsidR="00305798" w:rsidRPr="000C12A9" w:rsidRDefault="00305798">
      <w:pPr>
        <w:spacing w:after="0" w:line="360" w:lineRule="auto"/>
        <w:rPr>
          <w:color w:val="000000"/>
        </w:rPr>
      </w:pPr>
    </w:p>
    <w:p w14:paraId="76702DC6" w14:textId="77777777" w:rsidR="00305798" w:rsidRPr="000C12A9" w:rsidRDefault="00021C3A">
      <w:pPr>
        <w:spacing w:after="0" w:line="360" w:lineRule="auto"/>
        <w:rPr>
          <w:color w:val="000000"/>
        </w:rPr>
      </w:pPr>
      <w:r w:rsidRPr="000C12A9">
        <w:rPr>
          <w:color w:val="000000"/>
        </w:rPr>
        <w:lastRenderedPageBreak/>
        <w:t xml:space="preserve">De la misma manera resulta aplicable el criterio sostenido por el Poder Judicial de la Federación de rubro </w:t>
      </w:r>
      <w:r w:rsidRPr="000C12A9">
        <w:rPr>
          <w:b/>
          <w:bCs/>
          <w:color w:val="000000"/>
        </w:rPr>
        <w:t>ACTOS CONSENTIDOS TÁCITAMENTE, Tesis VI.2o. J/21</w:t>
      </w:r>
      <w:r w:rsidRPr="000C12A9">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4898FC4A" w14:textId="77777777" w:rsidR="00305798" w:rsidRPr="000C12A9" w:rsidRDefault="00305798">
      <w:pPr>
        <w:spacing w:after="0" w:line="360" w:lineRule="auto"/>
        <w:rPr>
          <w:color w:val="000000"/>
        </w:rPr>
      </w:pPr>
    </w:p>
    <w:p w14:paraId="30138A5C" w14:textId="77777777" w:rsidR="00305798" w:rsidRPr="000C12A9" w:rsidRDefault="00021C3A">
      <w:pPr>
        <w:spacing w:after="0" w:line="360" w:lineRule="auto"/>
        <w:rPr>
          <w:color w:val="000000"/>
        </w:rPr>
      </w:pPr>
      <w:r w:rsidRPr="000C12A9">
        <w:rPr>
          <w:color w:val="000000"/>
        </w:rPr>
        <w:t>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14:paraId="78AFBF57" w14:textId="77777777" w:rsidR="00305798" w:rsidRPr="000C12A9" w:rsidRDefault="00305798">
      <w:pPr>
        <w:spacing w:after="0" w:line="360" w:lineRule="auto"/>
        <w:rPr>
          <w:color w:val="000000"/>
        </w:rPr>
      </w:pPr>
    </w:p>
    <w:p w14:paraId="094C573B" w14:textId="77777777" w:rsidR="00305798" w:rsidRPr="000C12A9" w:rsidRDefault="00021C3A">
      <w:pPr>
        <w:spacing w:after="0" w:line="360" w:lineRule="auto"/>
        <w:rPr>
          <w:color w:val="000000"/>
        </w:rPr>
      </w:pPr>
      <w:r w:rsidRPr="000C12A9">
        <w:rPr>
          <w:color w:val="000000"/>
        </w:rPr>
        <w:t>Durante la substanciación del Recurso de Revisión, el Sujeto Obligado ratificó la respuesta inicial y señaló que las llamadas se realizan de forma aleatoria y que no todos los reportes y/o eventos atendidos por el Centro de Control, Comando, Comunicación, Cómputo y Calidad (C5), generan un reporte de calidad. Por su parte, la persona Recurrente no añadió manifestaciones.</w:t>
      </w:r>
    </w:p>
    <w:p w14:paraId="50BB3831" w14:textId="77777777" w:rsidR="00305798" w:rsidRPr="000C12A9" w:rsidRDefault="00305798">
      <w:pPr>
        <w:tabs>
          <w:tab w:val="left" w:pos="4962"/>
        </w:tabs>
        <w:spacing w:after="0" w:line="360" w:lineRule="auto"/>
        <w:rPr>
          <w:color w:val="000000"/>
        </w:rPr>
      </w:pPr>
    </w:p>
    <w:p w14:paraId="39678DC3" w14:textId="77777777" w:rsidR="00305798" w:rsidRPr="000C12A9" w:rsidRDefault="00021C3A">
      <w:pPr>
        <w:tabs>
          <w:tab w:val="left" w:pos="4962"/>
        </w:tabs>
        <w:spacing w:after="0" w:line="360" w:lineRule="auto"/>
      </w:pPr>
      <w:r w:rsidRPr="000C12A9">
        <w:t xml:space="preserve">Así pues, de las constancias que integran el expediente, se advierte que </w:t>
      </w:r>
      <w:r w:rsidRPr="000C12A9">
        <w:rPr>
          <w:color w:val="000000"/>
        </w:rPr>
        <w:t xml:space="preserve">en el asunto que nos ocupa se actualiza la causal de procedencia señalada en el </w:t>
      </w:r>
      <w:r w:rsidRPr="000C12A9">
        <w:t>artículo 179, fracción V, de la Ley de la materia; por la entrega de información incompleta.</w:t>
      </w:r>
    </w:p>
    <w:p w14:paraId="54B64323" w14:textId="77777777" w:rsidR="00305798" w:rsidRPr="000C12A9" w:rsidRDefault="00305798">
      <w:pPr>
        <w:tabs>
          <w:tab w:val="left" w:pos="4962"/>
        </w:tabs>
        <w:spacing w:after="0" w:line="360" w:lineRule="auto"/>
      </w:pPr>
    </w:p>
    <w:p w14:paraId="6F3A72A0" w14:textId="77777777" w:rsidR="00305798" w:rsidRPr="000C12A9" w:rsidRDefault="00021C3A">
      <w:pPr>
        <w:tabs>
          <w:tab w:val="left" w:pos="4962"/>
        </w:tabs>
        <w:spacing w:after="0" w:line="360" w:lineRule="auto"/>
      </w:pPr>
      <w:r w:rsidRPr="000C12A9">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04C46F5" w14:textId="77777777" w:rsidR="00305798" w:rsidRPr="000C12A9" w:rsidRDefault="00305798">
      <w:pPr>
        <w:spacing w:after="0" w:line="360" w:lineRule="auto"/>
      </w:pPr>
    </w:p>
    <w:p w14:paraId="794AEEF4" w14:textId="77777777" w:rsidR="00305798" w:rsidRPr="000C12A9" w:rsidRDefault="00021C3A">
      <w:pPr>
        <w:pStyle w:val="Ttulo2"/>
        <w:spacing w:before="0" w:after="0"/>
      </w:pPr>
      <w:bookmarkStart w:id="11" w:name="_Toc219387715"/>
      <w:r w:rsidRPr="000C12A9">
        <w:lastRenderedPageBreak/>
        <w:t>CUARTO. Marco normativo aplicable en materia de transparencia y acceso a la información pública</w:t>
      </w:r>
      <w:bookmarkEnd w:id="11"/>
    </w:p>
    <w:p w14:paraId="4ABE118F" w14:textId="77777777" w:rsidR="00305798" w:rsidRPr="000C12A9" w:rsidRDefault="00305798">
      <w:pPr>
        <w:spacing w:after="0" w:line="360" w:lineRule="auto"/>
        <w:rPr>
          <w:color w:val="000000"/>
        </w:rPr>
      </w:pPr>
    </w:p>
    <w:p w14:paraId="78B46BA5" w14:textId="77777777" w:rsidR="00305798" w:rsidRPr="000C12A9" w:rsidRDefault="00021C3A">
      <w:pPr>
        <w:spacing w:after="0" w:line="360" w:lineRule="auto"/>
        <w:rPr>
          <w:color w:val="000000"/>
        </w:rPr>
      </w:pPr>
      <w:r w:rsidRPr="000C12A9">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C928AD5" w14:textId="77777777" w:rsidR="00305798" w:rsidRPr="000C12A9" w:rsidRDefault="00305798">
      <w:pPr>
        <w:spacing w:after="0" w:line="360" w:lineRule="auto"/>
        <w:rPr>
          <w:color w:val="000000"/>
        </w:rPr>
      </w:pPr>
    </w:p>
    <w:p w14:paraId="5CE4EAD0" w14:textId="77777777" w:rsidR="00305798" w:rsidRPr="000C12A9" w:rsidRDefault="00021C3A">
      <w:pPr>
        <w:spacing w:after="0" w:line="360" w:lineRule="auto"/>
        <w:rPr>
          <w:color w:val="000000"/>
        </w:rPr>
      </w:pPr>
      <w:r w:rsidRPr="000C12A9">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5111ACF" w14:textId="77777777" w:rsidR="00305798" w:rsidRPr="000C12A9" w:rsidRDefault="00305798">
      <w:pPr>
        <w:spacing w:after="0" w:line="360" w:lineRule="auto"/>
        <w:rPr>
          <w:color w:val="000000"/>
        </w:rPr>
      </w:pPr>
    </w:p>
    <w:p w14:paraId="0C3E4A99" w14:textId="77777777" w:rsidR="00305798" w:rsidRPr="000C12A9" w:rsidRDefault="00021C3A">
      <w:pPr>
        <w:spacing w:after="0" w:line="360" w:lineRule="auto"/>
        <w:rPr>
          <w:color w:val="000000"/>
        </w:rPr>
      </w:pPr>
      <w:r w:rsidRPr="000C12A9">
        <w:rPr>
          <w:color w:val="000000"/>
        </w:rPr>
        <w:t>Por su parte, la Ley de Transparencia y Acceso a la Información Pública del Estado de México y Municipios (Reglamentaria del artículo 5° de la Constitución Local), establece lo siguiente:</w:t>
      </w:r>
    </w:p>
    <w:p w14:paraId="4CC0896D" w14:textId="77777777" w:rsidR="00305798" w:rsidRPr="000C12A9" w:rsidRDefault="00305798">
      <w:pPr>
        <w:spacing w:after="0" w:line="360" w:lineRule="auto"/>
        <w:rPr>
          <w:color w:val="000000"/>
        </w:rPr>
      </w:pPr>
    </w:p>
    <w:p w14:paraId="1164FD22" w14:textId="77777777" w:rsidR="00305798" w:rsidRPr="000C12A9" w:rsidRDefault="00021C3A">
      <w:pPr>
        <w:spacing w:after="0" w:line="360" w:lineRule="auto"/>
        <w:rPr>
          <w:color w:val="000000"/>
        </w:rPr>
      </w:pPr>
      <w:r w:rsidRPr="000C12A9">
        <w:rPr>
          <w:color w:val="000000"/>
        </w:rPr>
        <w:t xml:space="preserve">El artículo </w:t>
      </w:r>
      <w:r w:rsidRPr="000C12A9">
        <w:t>12 dice que</w:t>
      </w:r>
      <w:r w:rsidRPr="000C12A9">
        <w:rPr>
          <w:color w:val="000000"/>
        </w:rPr>
        <w:t>, quienes generen, recopilen, administren, manejen, procesen, archiven o conserven información pública serán responsables de la misma.</w:t>
      </w:r>
    </w:p>
    <w:p w14:paraId="6A4FAF5B" w14:textId="77777777" w:rsidR="00305798" w:rsidRPr="000C12A9" w:rsidRDefault="00305798">
      <w:pPr>
        <w:spacing w:after="0" w:line="360" w:lineRule="auto"/>
        <w:rPr>
          <w:color w:val="000000"/>
        </w:rPr>
      </w:pPr>
    </w:p>
    <w:p w14:paraId="0E072422" w14:textId="77777777" w:rsidR="00305798" w:rsidRPr="000C12A9" w:rsidRDefault="00021C3A">
      <w:pPr>
        <w:spacing w:after="0" w:line="360" w:lineRule="auto"/>
        <w:rPr>
          <w:color w:val="000000"/>
        </w:rPr>
      </w:pPr>
      <w:r w:rsidRPr="000C12A9">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301D94F" w14:textId="77777777" w:rsidR="00305798" w:rsidRPr="000C12A9" w:rsidRDefault="00305798">
      <w:pPr>
        <w:spacing w:after="0" w:line="360" w:lineRule="auto"/>
        <w:rPr>
          <w:color w:val="000000"/>
        </w:rPr>
      </w:pPr>
    </w:p>
    <w:p w14:paraId="38FA84F1" w14:textId="77777777" w:rsidR="00305798" w:rsidRPr="000C12A9" w:rsidRDefault="00021C3A">
      <w:pPr>
        <w:spacing w:after="0" w:line="360" w:lineRule="auto"/>
        <w:rPr>
          <w:color w:val="000000"/>
        </w:rPr>
      </w:pPr>
      <w:r w:rsidRPr="000C12A9">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DCAD1D6" w14:textId="77777777" w:rsidR="00305798" w:rsidRPr="000C12A9" w:rsidRDefault="00305798">
      <w:pPr>
        <w:pStyle w:val="Ttulo2"/>
        <w:spacing w:before="0" w:after="0"/>
        <w:rPr>
          <w:smallCaps/>
        </w:rPr>
      </w:pPr>
    </w:p>
    <w:p w14:paraId="68E0F919" w14:textId="77777777" w:rsidR="00305798" w:rsidRPr="000C12A9" w:rsidRDefault="00021C3A">
      <w:pPr>
        <w:pStyle w:val="Ttulo2"/>
        <w:spacing w:before="0" w:after="0"/>
      </w:pPr>
      <w:bookmarkStart w:id="12" w:name="_Toc219387716"/>
      <w:r w:rsidRPr="000C12A9">
        <w:rPr>
          <w:smallCaps/>
        </w:rPr>
        <w:t>QUINTO.</w:t>
      </w:r>
      <w:r w:rsidRPr="000C12A9">
        <w:t xml:space="preserve"> Estudio de Fondo</w:t>
      </w:r>
      <w:bookmarkEnd w:id="12"/>
    </w:p>
    <w:p w14:paraId="19C125C0" w14:textId="77777777" w:rsidR="00305798" w:rsidRPr="000C12A9" w:rsidRDefault="00305798">
      <w:pPr>
        <w:spacing w:after="0" w:line="360" w:lineRule="auto"/>
      </w:pPr>
    </w:p>
    <w:p w14:paraId="21D1FF48" w14:textId="77777777" w:rsidR="00305798" w:rsidRPr="000C12A9" w:rsidRDefault="00021C3A">
      <w:pPr>
        <w:spacing w:after="0" w:line="360" w:lineRule="auto"/>
      </w:pPr>
      <w:r w:rsidRPr="000C12A9">
        <w:t>Al respecto, vale la pena contextualizar la solicitud de información, la cual versa sobre datos estadísticos de personas conformes con el servicio a partir de llamadas al 911.</w:t>
      </w:r>
    </w:p>
    <w:p w14:paraId="103B4068" w14:textId="77777777" w:rsidR="00305798" w:rsidRPr="000C12A9" w:rsidRDefault="00305798">
      <w:pPr>
        <w:spacing w:after="0" w:line="360" w:lineRule="auto"/>
      </w:pPr>
    </w:p>
    <w:p w14:paraId="4C2281B0" w14:textId="77777777" w:rsidR="00305798" w:rsidRPr="000C12A9" w:rsidRDefault="00021C3A">
      <w:pPr>
        <w:spacing w:after="0" w:line="360" w:lineRule="auto"/>
      </w:pPr>
      <w:r w:rsidRPr="000C12A9">
        <w:t>El artículo 26 y 27 fracciones XIV y XXVIII de la Ley Orgánica de la Administración Pública del Estado de México, prevé que la Secretaría de Seguridad es la dependencia encargada de planear, formular, conducir, coordinar, ejecutar, supervisar y evaluar las políticas, programas y acciones en materia de seguridad pública y tiene entre sus funciones la de organizar, dirigir y administrar la recepción y transferencia de los reportes sobre emergencias, infracciones, delitos y del registro de detenciones; y la de coordinar la evaluación del funcionamiento de la seguridad pública.</w:t>
      </w:r>
    </w:p>
    <w:p w14:paraId="62D627B5" w14:textId="77777777" w:rsidR="00305798" w:rsidRPr="000C12A9" w:rsidRDefault="00305798">
      <w:pPr>
        <w:spacing w:after="0" w:line="360" w:lineRule="auto"/>
      </w:pPr>
    </w:p>
    <w:p w14:paraId="4CBE44BD" w14:textId="77777777" w:rsidR="00305798" w:rsidRPr="000C12A9" w:rsidRDefault="00021C3A">
      <w:pPr>
        <w:spacing w:after="0" w:line="360" w:lineRule="auto"/>
      </w:pPr>
      <w:r w:rsidRPr="000C12A9">
        <w:t xml:space="preserve">Por su parte, el artículo 28 fracciones II y III del  Reglamento interior de la Secretaría de Seguridad, prevé que dentro de la estructura orgánica del Sujeto Obligado se cuenta con un Centro de Control, Comando, Comunicación, Cómputo y Calidad, que cuenta con diversas atribuciones, entre ellas, las de atender, analizar y procesar información derivada de los sistemas de atención de llamadas de emergencias, sistema de denuncia anónima, reportes policiales y demás fuentes relacionadas, así como generar los reportes respectivos; impulsar la homologación de los sistemas de atención de llamadas de emergencia en el Estado de México, a fin de reducir los tiempos de atención y mejorar la calidad del servicio prestado a la ciudadanía; </w:t>
      </w:r>
      <w:r w:rsidRPr="000C12A9">
        <w:rPr>
          <w:b/>
          <w:bCs/>
        </w:rPr>
        <w:t>por lo que se trata del área competente para conocer de lo solicitado.</w:t>
      </w:r>
      <w:r w:rsidRPr="000C12A9">
        <w:t xml:space="preserve"> </w:t>
      </w:r>
    </w:p>
    <w:p w14:paraId="3A5FD569" w14:textId="77777777" w:rsidR="00305798" w:rsidRPr="000C12A9" w:rsidRDefault="00305798">
      <w:pPr>
        <w:spacing w:after="0" w:line="360" w:lineRule="auto"/>
      </w:pPr>
    </w:p>
    <w:p w14:paraId="098AF351" w14:textId="77777777" w:rsidR="00305798" w:rsidRPr="000C12A9" w:rsidRDefault="00021C3A">
      <w:pPr>
        <w:spacing w:after="0" w:line="360" w:lineRule="auto"/>
      </w:pPr>
      <w:r w:rsidRPr="000C12A9">
        <w:t xml:space="preserve">Al respecto, la Norma Técnica para la Estandarización de los Servicios de Llamadas de Emergencia a través del Número Único Armonizado 9-1-1 (nueve, uno, uno); establece en su apartado 5; las siguientes definiciones:   </w:t>
      </w:r>
    </w:p>
    <w:p w14:paraId="32A5198F" w14:textId="77777777" w:rsidR="00305798" w:rsidRPr="000C12A9" w:rsidRDefault="00305798">
      <w:pPr>
        <w:spacing w:after="0" w:line="360" w:lineRule="auto"/>
      </w:pPr>
    </w:p>
    <w:p w14:paraId="02D24018"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lastRenderedPageBreak/>
        <w:t>9-1-1 (nueve, uno, uno): Número único armonizado a nivel nacional para la prestación de servicios de emergencia con base en lo establecido en los Lineamientos de Colaboración en Materia de Seguridad y Justicia, publicados por el Instituto Federal de Telecomunicaciones en el Diario Oficial de la federación, 2 de diciembre de 2015.</w:t>
      </w:r>
    </w:p>
    <w:p w14:paraId="56F19496"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C4: Centro de control, comando, cómputo y comunicación o equivalentes; es la unidad administrativa que coordina a las instituciones o instancias de Seguridad Pública de los tres órdenes de gobierno, encargada de la integración, administración, operación, vigilancia y desarrollo de los sistemas tecnológicos aplicados a la Seguridad Pública, así como los servicios de emergencia y de denuncia anónima que se prestan a la población.</w:t>
      </w:r>
    </w:p>
    <w:p w14:paraId="0CDE1D5B" w14:textId="77777777" w:rsidR="00305798" w:rsidRPr="000C12A9" w:rsidRDefault="00305798">
      <w:pPr>
        <w:pBdr>
          <w:top w:val="nil"/>
          <w:left w:val="nil"/>
          <w:bottom w:val="nil"/>
          <w:right w:val="nil"/>
          <w:between w:val="nil"/>
        </w:pBdr>
        <w:spacing w:after="0" w:line="360" w:lineRule="auto"/>
        <w:ind w:left="720"/>
        <w:rPr>
          <w:color w:val="000000"/>
        </w:rPr>
      </w:pPr>
    </w:p>
    <w:p w14:paraId="4018F4E4" w14:textId="77777777" w:rsidR="00305798" w:rsidRPr="000C12A9" w:rsidRDefault="00021C3A">
      <w:pPr>
        <w:spacing w:after="0" w:line="360" w:lineRule="auto"/>
      </w:pPr>
      <w:r w:rsidRPr="000C12A9">
        <w:t>Aunado a lo anterior, en dicha Norma se establecen los indicadores de control básico para medir la efectividad sobre los tiempos en el servicio de atención de llamadas de emergencia bajo las siguientes consideraciones:</w:t>
      </w:r>
    </w:p>
    <w:p w14:paraId="18779796" w14:textId="77777777" w:rsidR="00305798" w:rsidRPr="000C12A9" w:rsidRDefault="00305798">
      <w:pPr>
        <w:spacing w:after="0" w:line="360" w:lineRule="auto"/>
      </w:pPr>
    </w:p>
    <w:p w14:paraId="3EFF1748"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Porcentaje de llamadas fuera del tiempo establecido</w:t>
      </w:r>
    </w:p>
    <w:p w14:paraId="5B2CEB10"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Promedio de tiempo de la recepción de la llamada</w:t>
      </w:r>
    </w:p>
    <w:p w14:paraId="6542B0B5"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Promedio de tiempo en el despacho de la llamada</w:t>
      </w:r>
    </w:p>
    <w:p w14:paraId="4A81FF2C"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Promedio de tiempo en la atención de la emergencia</w:t>
      </w:r>
    </w:p>
    <w:p w14:paraId="782718A4"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Porcentaje de llamadas colgadas</w:t>
      </w:r>
    </w:p>
    <w:p w14:paraId="0EE94DBB"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Porcentaje de llamadas en cola</w:t>
      </w:r>
    </w:p>
    <w:p w14:paraId="2757C60B"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Porcentaje de incidentes tipificados correctamente</w:t>
      </w:r>
    </w:p>
    <w:p w14:paraId="6D5555EE"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Porcentaje de incidentes despachados</w:t>
      </w:r>
    </w:p>
    <w:p w14:paraId="7DCE85AA"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Porcentaje de incidentes atendidos</w:t>
      </w:r>
    </w:p>
    <w:p w14:paraId="76EAD4D9"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Porcentaje de incidentes atendidos en el tiempo establecido</w:t>
      </w:r>
    </w:p>
    <w:p w14:paraId="29F4800B"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Porcentaje de llamadas que cumplieron con los protocolos</w:t>
      </w:r>
    </w:p>
    <w:p w14:paraId="23E0FF8A"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Porcentaje de incidentes despachados que no son emergencia</w:t>
      </w:r>
    </w:p>
    <w:p w14:paraId="09B806EF"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t>Porcentaje de incidentes con folio no cerrado</w:t>
      </w:r>
    </w:p>
    <w:p w14:paraId="73EEC255" w14:textId="77777777" w:rsidR="00305798" w:rsidRPr="000C12A9" w:rsidRDefault="00021C3A">
      <w:pPr>
        <w:numPr>
          <w:ilvl w:val="0"/>
          <w:numId w:val="3"/>
        </w:numPr>
        <w:pBdr>
          <w:top w:val="nil"/>
          <w:left w:val="nil"/>
          <w:bottom w:val="nil"/>
          <w:right w:val="nil"/>
          <w:between w:val="nil"/>
        </w:pBdr>
        <w:spacing w:after="0" w:line="360" w:lineRule="auto"/>
        <w:rPr>
          <w:color w:val="000000"/>
        </w:rPr>
      </w:pPr>
      <w:r w:rsidRPr="000C12A9">
        <w:rPr>
          <w:color w:val="000000"/>
        </w:rPr>
        <w:lastRenderedPageBreak/>
        <w:t>Matriz de evaluación de cumplimiento</w:t>
      </w:r>
    </w:p>
    <w:p w14:paraId="29A229F8" w14:textId="77777777" w:rsidR="00305798" w:rsidRPr="000C12A9" w:rsidRDefault="00305798">
      <w:pPr>
        <w:spacing w:after="0" w:line="360" w:lineRule="auto"/>
      </w:pPr>
    </w:p>
    <w:p w14:paraId="4D30E8EF" w14:textId="77777777" w:rsidR="00305798" w:rsidRPr="000C12A9" w:rsidRDefault="00021C3A">
      <w:pPr>
        <w:spacing w:after="0" w:line="360" w:lineRule="auto"/>
      </w:pPr>
      <w:r w:rsidRPr="000C12A9">
        <w:t>Aunado a ello, dicha Norma establece en el punto 9.2 las Características y/o especificaciones mínimas que deberán observar las evaluaciones de personal integrante de los Centros de Atención de Llamadas de Emergencia CALLE en el país; y en el que se precisa lo siguiente:</w:t>
      </w:r>
    </w:p>
    <w:p w14:paraId="6864EA7E" w14:textId="77777777" w:rsidR="00305798" w:rsidRPr="000C12A9" w:rsidRDefault="00305798">
      <w:pPr>
        <w:spacing w:after="0" w:line="360" w:lineRule="auto"/>
      </w:pPr>
    </w:p>
    <w:p w14:paraId="0284E388" w14:textId="77777777" w:rsidR="00305798" w:rsidRPr="000C12A9" w:rsidRDefault="00021C3A" w:rsidP="00CC2EFE">
      <w:pPr>
        <w:spacing w:after="0" w:line="360" w:lineRule="auto"/>
        <w:ind w:left="720" w:hanging="720"/>
        <w:jc w:val="center"/>
      </w:pPr>
      <w:r w:rsidRPr="000C12A9">
        <w:rPr>
          <w:noProof/>
        </w:rPr>
        <w:drawing>
          <wp:inline distT="0" distB="0" distL="0" distR="0" wp14:anchorId="0D927EE3" wp14:editId="52AF0AC5">
            <wp:extent cx="4469258" cy="636998"/>
            <wp:effectExtent l="0" t="0" r="1270" b="0"/>
            <wp:docPr id="13317596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534784" cy="646337"/>
                    </a:xfrm>
                    <a:prstGeom prst="rect">
                      <a:avLst/>
                    </a:prstGeom>
                    <a:ln/>
                  </pic:spPr>
                </pic:pic>
              </a:graphicData>
            </a:graphic>
          </wp:inline>
        </w:drawing>
      </w:r>
    </w:p>
    <w:p w14:paraId="3F198045" w14:textId="77777777" w:rsidR="00305798" w:rsidRPr="000C12A9" w:rsidRDefault="00021C3A" w:rsidP="00CC2EFE">
      <w:pPr>
        <w:spacing w:after="0" w:line="360" w:lineRule="auto"/>
        <w:jc w:val="center"/>
      </w:pPr>
      <w:r w:rsidRPr="000C12A9">
        <w:rPr>
          <w:noProof/>
        </w:rPr>
        <w:drawing>
          <wp:inline distT="0" distB="0" distL="0" distR="0" wp14:anchorId="3ED0D085" wp14:editId="1703B03C">
            <wp:extent cx="4458688" cy="4376791"/>
            <wp:effectExtent l="0" t="0" r="0" b="5080"/>
            <wp:docPr id="13317596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b="23099"/>
                    <a:stretch/>
                  </pic:blipFill>
                  <pic:spPr bwMode="auto">
                    <a:xfrm>
                      <a:off x="0" y="0"/>
                      <a:ext cx="4482022" cy="4399697"/>
                    </a:xfrm>
                    <a:prstGeom prst="rect">
                      <a:avLst/>
                    </a:prstGeom>
                    <a:ln>
                      <a:noFill/>
                    </a:ln>
                    <a:extLst>
                      <a:ext uri="{53640926-AAD7-44D8-BBD7-CCE9431645EC}">
                        <a14:shadowObscured xmlns:a14="http://schemas.microsoft.com/office/drawing/2010/main"/>
                      </a:ext>
                    </a:extLst>
                  </pic:spPr>
                </pic:pic>
              </a:graphicData>
            </a:graphic>
          </wp:inline>
        </w:drawing>
      </w:r>
    </w:p>
    <w:p w14:paraId="505AA2D2" w14:textId="77777777" w:rsidR="00305798" w:rsidRPr="000C12A9" w:rsidRDefault="00305798">
      <w:pPr>
        <w:spacing w:after="0" w:line="360" w:lineRule="auto"/>
      </w:pPr>
    </w:p>
    <w:p w14:paraId="40253545" w14:textId="77777777" w:rsidR="00305798" w:rsidRPr="000C12A9" w:rsidRDefault="00305798">
      <w:pPr>
        <w:spacing w:after="0" w:line="360" w:lineRule="auto"/>
      </w:pPr>
    </w:p>
    <w:p w14:paraId="6E796FE1" w14:textId="77777777" w:rsidR="00305798" w:rsidRPr="000C12A9" w:rsidRDefault="00021C3A">
      <w:pPr>
        <w:spacing w:after="0" w:line="360" w:lineRule="auto"/>
      </w:pPr>
      <w:r w:rsidRPr="000C12A9">
        <w:lastRenderedPageBreak/>
        <w:t>Conforme a lo anterior se aprecia que dicha norma precisa indicadores para medir aspectos específicos sobre las llamadas, y para el análisis de satisfacción respecto a la atención que se preste, se hacen llamadas aleatorias.</w:t>
      </w:r>
    </w:p>
    <w:p w14:paraId="13CAEFF1" w14:textId="77777777" w:rsidR="00CC2EFE" w:rsidRPr="000C12A9" w:rsidRDefault="00CC2EFE">
      <w:pPr>
        <w:spacing w:after="0" w:line="360" w:lineRule="auto"/>
      </w:pPr>
    </w:p>
    <w:p w14:paraId="43C60672" w14:textId="77777777" w:rsidR="00305798" w:rsidRPr="000C12A9" w:rsidRDefault="00021C3A">
      <w:pPr>
        <w:spacing w:after="0" w:line="360" w:lineRule="auto"/>
      </w:pPr>
      <w:r w:rsidRPr="000C12A9">
        <w:t xml:space="preserve">Así pues, se aprecia que el Sujeto Obligado a través del </w:t>
      </w:r>
      <w:r w:rsidRPr="000C12A9">
        <w:rPr>
          <w:b/>
          <w:bCs/>
        </w:rPr>
        <w:t xml:space="preserve">Centro de Control, Comando, Comunicación, Cómputo y Calidad es competente para conocer sobre la información solicitada. </w:t>
      </w:r>
    </w:p>
    <w:p w14:paraId="1EF2190F" w14:textId="77777777" w:rsidR="00305798" w:rsidRPr="000C12A9" w:rsidRDefault="00305798">
      <w:pPr>
        <w:spacing w:after="0" w:line="360" w:lineRule="auto"/>
      </w:pPr>
    </w:p>
    <w:p w14:paraId="07A40A85" w14:textId="3177BCAB" w:rsidR="00305798" w:rsidRPr="000C12A9" w:rsidRDefault="00021C3A" w:rsidP="00CC2EFE">
      <w:pPr>
        <w:spacing w:after="0" w:line="360" w:lineRule="auto"/>
      </w:pPr>
      <w:r w:rsidRPr="000C12A9">
        <w:t>En este contexto normativo es preciso reiterar que la parte Solicitante requirió</w:t>
      </w:r>
      <w:r w:rsidR="00CC2EFE" w:rsidRPr="000C12A9">
        <w:t xml:space="preserve"> el número d</w:t>
      </w:r>
      <w:r w:rsidRPr="000C12A9">
        <w:rPr>
          <w:b/>
          <w:bCs/>
          <w:color w:val="000000"/>
        </w:rPr>
        <w:t xml:space="preserve">e </w:t>
      </w:r>
      <w:r w:rsidRPr="000C12A9">
        <w:rPr>
          <w:color w:val="000000"/>
        </w:rPr>
        <w:t>personas que manifestaron su conformidad con el servicio brindado por la Secretaría de Seguridad en los años 2024 y del 1° de enero al 9 de julio de 2025, de acuerdo con las llamadas realizadas a los usuarios que solicitaron ayuda mediante llamadas al 911.</w:t>
      </w:r>
    </w:p>
    <w:p w14:paraId="3B343B1A" w14:textId="77777777" w:rsidR="00305798" w:rsidRPr="000C12A9" w:rsidRDefault="00305798">
      <w:pPr>
        <w:spacing w:after="0" w:line="360" w:lineRule="auto"/>
      </w:pPr>
    </w:p>
    <w:p w14:paraId="5DCC236B" w14:textId="77777777" w:rsidR="00305798" w:rsidRPr="000C12A9" w:rsidRDefault="00021C3A">
      <w:pPr>
        <w:spacing w:after="0" w:line="360" w:lineRule="auto"/>
      </w:pPr>
      <w:r w:rsidRPr="000C12A9">
        <w:rPr>
          <w:color w:val="000000"/>
        </w:rPr>
        <w:t xml:space="preserve">Así, se procede analizar la información proporcionada por el Sujeto Obligado, para lo cual, cabe señalar que este dio respuesta a través del </w:t>
      </w:r>
      <w:r w:rsidRPr="000C12A9">
        <w:t xml:space="preserve">Encargado de la Unidad de Información, Planeación, Programación y Evaluación de la Unidad de Transparencia, quién precisó que buscó en el Centro de Control, Comando, Comunicación, Cómputo y Calidad, </w:t>
      </w:r>
      <w:r w:rsidRPr="000C12A9">
        <w:rPr>
          <w:color w:val="000000"/>
        </w:rPr>
        <w:t xml:space="preserve">por lo que, </w:t>
      </w:r>
      <w:r w:rsidRPr="000C12A9">
        <w:t xml:space="preserve">es oportuno hacer referencia al </w:t>
      </w:r>
      <w:r w:rsidRPr="000C12A9">
        <w:rPr>
          <w:b/>
          <w:bCs/>
        </w:rPr>
        <w:t>procedimiento de búsqueda que deben de seguir los Sujetos Obligados para localizar la información</w:t>
      </w:r>
      <w:r w:rsidRPr="000C12A9">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7B77AAF1" w14:textId="77777777" w:rsidR="00305798" w:rsidRPr="000C12A9" w:rsidRDefault="00305798">
      <w:pPr>
        <w:spacing w:after="0" w:line="360" w:lineRule="auto"/>
      </w:pPr>
    </w:p>
    <w:p w14:paraId="38E5CF0B" w14:textId="77777777" w:rsidR="00305798" w:rsidRPr="000C12A9" w:rsidRDefault="00021C3A">
      <w:pPr>
        <w:spacing w:after="0" w:line="360" w:lineRule="auto"/>
        <w:rPr>
          <w:color w:val="000000"/>
        </w:rPr>
      </w:pPr>
      <w:r w:rsidRPr="000C12A9">
        <w:rPr>
          <w:color w:val="000000"/>
        </w:rPr>
        <w:t xml:space="preserve">Así, con la finalidad de determinar si el Sujeto Obligado </w:t>
      </w:r>
      <w:r w:rsidRPr="000C12A9">
        <w:rPr>
          <w:b/>
          <w:bCs/>
          <w:color w:val="000000"/>
        </w:rPr>
        <w:t>cumplió con el procedimiento de búsqueda</w:t>
      </w:r>
      <w:r w:rsidRPr="000C12A9">
        <w:rPr>
          <w:color w:val="000000"/>
        </w:rPr>
        <w:t xml:space="preserve"> previsto en el artículo 162 de la Ley de Transparencia y Acceso a la Información </w:t>
      </w:r>
      <w:r w:rsidRPr="000C12A9">
        <w:rPr>
          <w:color w:val="000000"/>
        </w:rPr>
        <w:lastRenderedPageBreak/>
        <w:t xml:space="preserve">Pública del Estado de México y Municipios, dado que, </w:t>
      </w:r>
      <w:r w:rsidRPr="000C12A9">
        <w:rPr>
          <w:b/>
          <w:bCs/>
          <w:color w:val="000000"/>
        </w:rPr>
        <w:t>turnó</w:t>
      </w:r>
      <w:r w:rsidRPr="000C12A9">
        <w:rPr>
          <w:color w:val="000000"/>
        </w:rPr>
        <w:t xml:space="preserve"> la solicitud de información a las áreas que pueden conocer de lo solicitado.</w:t>
      </w:r>
    </w:p>
    <w:p w14:paraId="6344BD9F" w14:textId="77777777" w:rsidR="00305798" w:rsidRPr="000C12A9" w:rsidRDefault="00305798">
      <w:pPr>
        <w:spacing w:after="0" w:line="360" w:lineRule="auto"/>
      </w:pPr>
    </w:p>
    <w:p w14:paraId="5F2B7ACA" w14:textId="77777777" w:rsidR="00305798" w:rsidRPr="000C12A9" w:rsidRDefault="00021C3A">
      <w:pPr>
        <w:tabs>
          <w:tab w:val="left" w:pos="4962"/>
        </w:tabs>
        <w:spacing w:after="0" w:line="360" w:lineRule="auto"/>
        <w:rPr>
          <w:color w:val="000000"/>
        </w:rPr>
      </w:pPr>
      <w:r w:rsidRPr="000C12A9">
        <w:t xml:space="preserve">En este contexto, resulta trascendente mencionar que en respuesta, el Sujeto Obligado mediante </w:t>
      </w:r>
      <w:r w:rsidRPr="000C12A9">
        <w:rPr>
          <w:color w:val="000000"/>
        </w:rPr>
        <w:t xml:space="preserve">el </w:t>
      </w:r>
      <w:r w:rsidRPr="000C12A9">
        <w:t xml:space="preserve">Encargado de la Unidad de Información, Planeación, Programación y Evaluación de la Unidad de Transparencia, precisó que buscó en el Centro de Control, Comando, Comunicación, Cómputo y Calidad, quién informó que las llamadas se realizan de forma aleatoria por medio de encuestas, con el fin de evaluar la calidad del servicio brindado a través del sistema de emergencias 911 de las cuales las personas </w:t>
      </w:r>
      <w:r w:rsidRPr="000C12A9">
        <w:rPr>
          <w:b/>
          <w:bCs/>
        </w:rPr>
        <w:t>que manifestaron su conformidad durante el año 2024 fueron un total de 83,392 y del primer semestre del año 2025 son 48,890 personas</w:t>
      </w:r>
      <w:r w:rsidRPr="000C12A9">
        <w:t>.</w:t>
      </w:r>
    </w:p>
    <w:p w14:paraId="22128528" w14:textId="77777777" w:rsidR="00305798" w:rsidRPr="000C12A9" w:rsidRDefault="00305798">
      <w:pPr>
        <w:tabs>
          <w:tab w:val="left" w:pos="4962"/>
        </w:tabs>
        <w:spacing w:after="0" w:line="360" w:lineRule="auto"/>
        <w:rPr>
          <w:color w:val="000000"/>
        </w:rPr>
      </w:pPr>
    </w:p>
    <w:p w14:paraId="3B8B06FB" w14:textId="77777777" w:rsidR="00305798" w:rsidRPr="000C12A9" w:rsidRDefault="00021C3A">
      <w:pPr>
        <w:tabs>
          <w:tab w:val="left" w:pos="4962"/>
        </w:tabs>
        <w:spacing w:after="0" w:line="360" w:lineRule="auto"/>
        <w:rPr>
          <w:color w:val="000000"/>
        </w:rPr>
      </w:pPr>
      <w:r w:rsidRPr="000C12A9">
        <w:rPr>
          <w:color w:val="000000"/>
        </w:rPr>
        <w:t xml:space="preserve">Al respecto, la parte Recurrente manifestó que la información </w:t>
      </w:r>
      <w:r w:rsidRPr="000C12A9">
        <w:t>está</w:t>
      </w:r>
      <w:r w:rsidRPr="000C12A9">
        <w:rPr>
          <w:color w:val="000000"/>
        </w:rPr>
        <w:t xml:space="preserve"> incompleta dado que no se entregó la cantidad global, al respecto cabe señalar que en interpretación literal de la solicitud de información, es dable considerar que </w:t>
      </w:r>
      <w:r w:rsidRPr="000C12A9">
        <w:rPr>
          <w:b/>
          <w:bCs/>
          <w:color w:val="000000"/>
        </w:rPr>
        <w:t xml:space="preserve">pretende acceder a la cantidad de personas que manifestaron su conformidad con la atención prestada por el Sujeto Obligado ante una llamada al 911; </w:t>
      </w:r>
      <w:r w:rsidRPr="000C12A9">
        <w:rPr>
          <w:color w:val="000000"/>
        </w:rPr>
        <w:t xml:space="preserve">cantidades que ya fueron entregadas y ante lo cual, </w:t>
      </w:r>
      <w:r w:rsidRPr="000C12A9">
        <w:t>este</w:t>
      </w:r>
      <w:r w:rsidRPr="000C12A9">
        <w:rPr>
          <w:color w:val="000000"/>
        </w:rPr>
        <w:t xml:space="preserve"> Organismo Garante no cuenta con facultades para pronunciarse sobre la veracidad de lo informado, dado que no existe disposición expresa que lo faculte para tales efectos, asimismo, cabe recordar que dicha información no fue motivo de inconformidad, por tanto, se aprecia que la respuesta otorgada por el Sujeto Obligado satisfizo la solicitud de información.</w:t>
      </w:r>
    </w:p>
    <w:p w14:paraId="5F978E8B" w14:textId="77777777" w:rsidR="00305798" w:rsidRPr="000C12A9" w:rsidRDefault="00305798">
      <w:pPr>
        <w:tabs>
          <w:tab w:val="left" w:pos="4962"/>
        </w:tabs>
        <w:spacing w:after="0" w:line="360" w:lineRule="auto"/>
        <w:rPr>
          <w:color w:val="000000"/>
        </w:rPr>
      </w:pPr>
    </w:p>
    <w:p w14:paraId="54444FA6" w14:textId="77777777" w:rsidR="00305798" w:rsidRPr="000C12A9" w:rsidRDefault="00021C3A">
      <w:pPr>
        <w:tabs>
          <w:tab w:val="left" w:pos="4962"/>
        </w:tabs>
        <w:spacing w:after="0" w:line="360" w:lineRule="auto"/>
        <w:rPr>
          <w:color w:val="000000"/>
        </w:rPr>
      </w:pPr>
      <w:r w:rsidRPr="000C12A9">
        <w:rPr>
          <w:color w:val="000000"/>
        </w:rPr>
        <w:t xml:space="preserve">No se omite mencionar que se dejan a salvo los derechos de la parte Solicitante a fin de que, mediante una nueva solicitud de información requiera la entrega de documentos en los que conste la estadística sobre el nivel de satisfacción o </w:t>
      </w:r>
      <w:r w:rsidRPr="000C12A9">
        <w:t>efectividad</w:t>
      </w:r>
      <w:r w:rsidRPr="000C12A9">
        <w:rPr>
          <w:color w:val="000000"/>
        </w:rPr>
        <w:t xml:space="preserve"> en el servicio o alguna otra información relacionada con las llamadas al 911.</w:t>
      </w:r>
    </w:p>
    <w:p w14:paraId="5BB07562" w14:textId="77777777" w:rsidR="00305798" w:rsidRPr="000C12A9" w:rsidRDefault="00305798">
      <w:pPr>
        <w:tabs>
          <w:tab w:val="left" w:pos="4962"/>
        </w:tabs>
        <w:spacing w:after="0" w:line="360" w:lineRule="auto"/>
        <w:rPr>
          <w:color w:val="000000"/>
        </w:rPr>
      </w:pPr>
    </w:p>
    <w:p w14:paraId="4EEC3982" w14:textId="77777777" w:rsidR="00CC2EFE" w:rsidRPr="000C12A9" w:rsidRDefault="00CC2EFE">
      <w:pPr>
        <w:tabs>
          <w:tab w:val="left" w:pos="4962"/>
        </w:tabs>
        <w:spacing w:after="0" w:line="360" w:lineRule="auto"/>
        <w:rPr>
          <w:color w:val="000000"/>
        </w:rPr>
      </w:pPr>
    </w:p>
    <w:p w14:paraId="295E444E" w14:textId="77777777" w:rsidR="00CC2EFE" w:rsidRPr="000C12A9" w:rsidRDefault="00CC2EFE">
      <w:pPr>
        <w:tabs>
          <w:tab w:val="left" w:pos="4962"/>
        </w:tabs>
        <w:spacing w:after="0" w:line="360" w:lineRule="auto"/>
        <w:rPr>
          <w:color w:val="000000"/>
        </w:rPr>
      </w:pPr>
    </w:p>
    <w:p w14:paraId="1B9427E4" w14:textId="77777777" w:rsidR="00305798" w:rsidRPr="000C12A9" w:rsidRDefault="00021C3A">
      <w:pPr>
        <w:spacing w:after="0" w:line="360" w:lineRule="auto"/>
        <w:rPr>
          <w:b/>
          <w:bCs/>
        </w:rPr>
      </w:pPr>
      <w:r w:rsidRPr="000C12A9">
        <w:rPr>
          <w:color w:val="000000"/>
        </w:rPr>
        <w:t xml:space="preserve">Ello sin dejar de lado, que </w:t>
      </w:r>
      <w:r w:rsidRPr="000C12A9">
        <w:t>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1DCB0FE6" w14:textId="77777777" w:rsidR="00305798" w:rsidRPr="000C12A9" w:rsidRDefault="00305798">
      <w:pPr>
        <w:spacing w:after="0" w:line="360" w:lineRule="auto"/>
      </w:pPr>
    </w:p>
    <w:p w14:paraId="122DBBA1" w14:textId="77777777" w:rsidR="00305798" w:rsidRPr="000C12A9" w:rsidRDefault="00021C3A">
      <w:pPr>
        <w:spacing w:after="0" w:line="360" w:lineRule="auto"/>
      </w:pPr>
      <w:r w:rsidRPr="000C12A9">
        <w:t xml:space="preserve">De tales circunstancias, se colige que los sujetos obligados únicamente están constreñidos a proporcionar </w:t>
      </w:r>
      <w:r w:rsidRPr="000C12A9">
        <w:rPr>
          <w:b/>
          <w:bCs/>
        </w:rPr>
        <w:t>la documentación que obre en sus archivos</w:t>
      </w:r>
      <w:r w:rsidRPr="000C12A9">
        <w:t>; por lo que, no están obligados a generar o elaborar documentos </w:t>
      </w:r>
      <w:r w:rsidRPr="000C12A9">
        <w:rPr>
          <w:i/>
          <w:iCs/>
        </w:rPr>
        <w:t>ad hoc, </w:t>
      </w:r>
      <w:r w:rsidRPr="000C12A9">
        <w:t>como es el caso de proporcionar respuesta a un cuestionamiento. Robustece lo anterior el Criterio de Interpretación, con clave de control SO/013/2017, de la Segunda Época, emitido por el entonces, Instituto Nacional de Transparencia, Acceso a la Información y Protección de Datos Personales, que a continuación se cita:</w:t>
      </w:r>
    </w:p>
    <w:p w14:paraId="7F83D77E" w14:textId="77777777" w:rsidR="00305798" w:rsidRPr="000C12A9" w:rsidRDefault="00305798">
      <w:pPr>
        <w:spacing w:after="0" w:line="360" w:lineRule="auto"/>
      </w:pPr>
    </w:p>
    <w:p w14:paraId="7FEEEBF7" w14:textId="77777777" w:rsidR="00305798" w:rsidRPr="000C12A9" w:rsidRDefault="00021C3A">
      <w:pPr>
        <w:spacing w:after="0" w:line="360" w:lineRule="auto"/>
        <w:ind w:left="567" w:right="567"/>
        <w:rPr>
          <w:i/>
          <w:iCs/>
          <w:sz w:val="20"/>
          <w:szCs w:val="20"/>
        </w:rPr>
      </w:pPr>
      <w:r w:rsidRPr="000C12A9">
        <w:rPr>
          <w:b/>
          <w:bCs/>
          <w:i/>
          <w:iCs/>
          <w:sz w:val="20"/>
          <w:szCs w:val="20"/>
        </w:rPr>
        <w:t xml:space="preserve">“No existe obligación de elaborar documentos ad hoc para atender las solicitudes de acceso a la información. </w:t>
      </w:r>
      <w:r w:rsidRPr="000C12A9">
        <w:rPr>
          <w:i/>
          <w:iCs/>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0BDF51DA" w14:textId="77777777" w:rsidR="00305798" w:rsidRPr="000C12A9" w:rsidRDefault="00305798">
      <w:pPr>
        <w:spacing w:after="0" w:line="360" w:lineRule="auto"/>
      </w:pPr>
    </w:p>
    <w:p w14:paraId="1153DA0F" w14:textId="77777777" w:rsidR="00305798" w:rsidRPr="000C12A9" w:rsidRDefault="00021C3A">
      <w:pPr>
        <w:tabs>
          <w:tab w:val="left" w:pos="3962"/>
        </w:tabs>
        <w:spacing w:after="0" w:line="360" w:lineRule="auto"/>
      </w:pPr>
      <w:r w:rsidRPr="000C12A9">
        <w:t xml:space="preserve">Así, se concluye que, el Sujeto Obligado indicó debidamente la cantidad de personas que manifestaron su satisfacción o conformidad con el servicio prestado por el Sujeto Obligado ante </w:t>
      </w:r>
      <w:r w:rsidRPr="000C12A9">
        <w:lastRenderedPageBreak/>
        <w:t xml:space="preserve">llamadas al 911 y que derivó de llamadas realizadas por la Secretaría de Seguridad a dichos usuarios; por lo que, se considera que el agravio resulta </w:t>
      </w:r>
      <w:r w:rsidRPr="000C12A9">
        <w:rPr>
          <w:b/>
          <w:bCs/>
        </w:rPr>
        <w:t>INFUNDADO</w:t>
      </w:r>
      <w:r w:rsidRPr="000C12A9">
        <w:t xml:space="preserve">. </w:t>
      </w:r>
    </w:p>
    <w:p w14:paraId="58E13E53" w14:textId="77777777" w:rsidR="00305798" w:rsidRPr="000C12A9" w:rsidRDefault="00305798">
      <w:pPr>
        <w:spacing w:after="0" w:line="360" w:lineRule="auto"/>
      </w:pPr>
    </w:p>
    <w:p w14:paraId="5420DDED" w14:textId="77777777" w:rsidR="00305798" w:rsidRPr="000C12A9" w:rsidRDefault="00021C3A">
      <w:pPr>
        <w:pStyle w:val="Ttulo2"/>
        <w:spacing w:before="0" w:after="0"/>
        <w:rPr>
          <w:b w:val="0"/>
          <w:bCs w:val="0"/>
        </w:rPr>
      </w:pPr>
      <w:bookmarkStart w:id="13" w:name="_Toc219387717"/>
      <w:r w:rsidRPr="000C12A9">
        <w:t>SEXTO. Decisión</w:t>
      </w:r>
      <w:bookmarkEnd w:id="13"/>
    </w:p>
    <w:p w14:paraId="0BEEBCE5" w14:textId="77777777" w:rsidR="00305798" w:rsidRPr="000C12A9" w:rsidRDefault="00305798">
      <w:pPr>
        <w:spacing w:after="0" w:line="360" w:lineRule="auto"/>
        <w:rPr>
          <w:b/>
          <w:bCs/>
        </w:rPr>
      </w:pPr>
    </w:p>
    <w:p w14:paraId="60D150F7" w14:textId="77777777" w:rsidR="00305798" w:rsidRPr="000C12A9" w:rsidRDefault="00021C3A">
      <w:pPr>
        <w:tabs>
          <w:tab w:val="left" w:pos="4962"/>
        </w:tabs>
        <w:spacing w:after="0" w:line="360" w:lineRule="auto"/>
      </w:pPr>
      <w:r w:rsidRPr="000C12A9">
        <w:t xml:space="preserve">Con fundamento en el artículo 186, fracción II, de la Ley de Transparencia y Acceso a la Información Pública del Estado de México y Municipios, este Instituto considera procedente </w:t>
      </w:r>
      <w:r w:rsidRPr="000C12A9">
        <w:rPr>
          <w:b/>
          <w:bCs/>
        </w:rPr>
        <w:t xml:space="preserve">CONFIRMAR </w:t>
      </w:r>
      <w:r w:rsidRPr="000C12A9">
        <w:t xml:space="preserve">la respuesta otorgada por el Sujeto Obligado. </w:t>
      </w:r>
    </w:p>
    <w:p w14:paraId="591C0146" w14:textId="77777777" w:rsidR="00305798" w:rsidRPr="000C12A9" w:rsidRDefault="00305798">
      <w:pPr>
        <w:spacing w:after="0" w:line="360" w:lineRule="auto"/>
      </w:pPr>
    </w:p>
    <w:p w14:paraId="2269C9B3" w14:textId="5317962B" w:rsidR="00305798" w:rsidRPr="000C12A9" w:rsidRDefault="00021C3A">
      <w:pPr>
        <w:spacing w:after="0" w:line="360" w:lineRule="auto"/>
        <w:rPr>
          <w:b/>
          <w:bCs/>
          <w:u w:val="single"/>
        </w:rPr>
      </w:pPr>
      <w:r w:rsidRPr="000C12A9">
        <w:rPr>
          <w:b/>
          <w:bCs/>
          <w:u w:val="single"/>
        </w:rPr>
        <w:t>Términos de la Reso</w:t>
      </w:r>
      <w:r w:rsidR="000C12A9" w:rsidRPr="000C12A9">
        <w:rPr>
          <w:b/>
          <w:bCs/>
          <w:u w:val="single"/>
        </w:rPr>
        <w:t>lución para la parte Recurrente</w:t>
      </w:r>
    </w:p>
    <w:p w14:paraId="4F6BA7C0" w14:textId="77777777" w:rsidR="00305798" w:rsidRPr="000C12A9" w:rsidRDefault="00305798">
      <w:pPr>
        <w:spacing w:after="0" w:line="360" w:lineRule="auto"/>
        <w:rPr>
          <w:u w:val="single"/>
        </w:rPr>
      </w:pPr>
    </w:p>
    <w:p w14:paraId="700F54C7" w14:textId="77777777" w:rsidR="00305798" w:rsidRPr="000C12A9" w:rsidRDefault="00021C3A">
      <w:pPr>
        <w:spacing w:after="0" w:line="360" w:lineRule="auto"/>
        <w:rPr>
          <w:u w:val="single"/>
        </w:rPr>
      </w:pPr>
      <w:r w:rsidRPr="000C12A9">
        <w:rPr>
          <w:u w:val="single"/>
        </w:rPr>
        <w:t>Se hace del conocimiento de parte Recurrente que este Organismo Garante determinó confirmar la respuesta, en virtud de que, desde respuesta el Sujeto Obligado manifestó la cantidad de personas que manifestaron</w:t>
      </w:r>
      <w:r w:rsidRPr="000C12A9">
        <w:t xml:space="preserve"> </w:t>
      </w:r>
      <w:r w:rsidRPr="000C12A9">
        <w:rPr>
          <w:u w:val="single"/>
        </w:rPr>
        <w:t xml:space="preserve">su conformidad con el servicio brindado por la Secretaría de Seguridad en relación a las llamadas realizadas a los usuarios del servicio de atención mediante el 911, lo que satisface su solicitud de información ante la interpretación literal de la misma. </w:t>
      </w:r>
    </w:p>
    <w:p w14:paraId="173442F1" w14:textId="77777777" w:rsidR="00305798" w:rsidRPr="000C12A9" w:rsidRDefault="00305798">
      <w:pPr>
        <w:spacing w:after="0" w:line="360" w:lineRule="auto"/>
        <w:rPr>
          <w:u w:val="single"/>
        </w:rPr>
      </w:pPr>
    </w:p>
    <w:p w14:paraId="4AF8D990" w14:textId="77777777" w:rsidR="00305798" w:rsidRPr="000C12A9" w:rsidRDefault="00021C3A">
      <w:pPr>
        <w:spacing w:after="0" w:line="360" w:lineRule="auto"/>
        <w:rPr>
          <w:u w:val="single"/>
        </w:rPr>
      </w:pPr>
      <w:r w:rsidRPr="000C12A9">
        <w:rPr>
          <w:u w:val="single"/>
        </w:rPr>
        <w:t xml:space="preserve">Sin embargo, se dejan a salvo sus derechos, para solicitar para solicitar mediante una nueva solicitud de información, la documentación que respalde cualquier otra información relacionada con estadísticas sobre la calidad del servicio prestado, o bien de efectividad conforme a lo analizado, siempre que así atienda a sus intereses. </w:t>
      </w:r>
    </w:p>
    <w:p w14:paraId="47BF4420" w14:textId="77777777" w:rsidR="00305798" w:rsidRPr="000C12A9" w:rsidRDefault="00305798">
      <w:pPr>
        <w:spacing w:after="0" w:line="360" w:lineRule="auto"/>
        <w:rPr>
          <w:u w:val="single"/>
        </w:rPr>
      </w:pPr>
    </w:p>
    <w:p w14:paraId="0FA55F29" w14:textId="77777777" w:rsidR="00305798" w:rsidRPr="000C12A9" w:rsidRDefault="00021C3A">
      <w:pPr>
        <w:spacing w:after="0" w:line="360" w:lineRule="auto"/>
        <w:rPr>
          <w:u w:val="single"/>
        </w:rPr>
      </w:pPr>
      <w:r w:rsidRPr="000C12A9">
        <w:rPr>
          <w:u w:val="single"/>
        </w:rPr>
        <w:t>La labor del INFOEM, es apoyar a la población para acceder a la información pública y garantizar la protección de sus datos personales.</w:t>
      </w:r>
    </w:p>
    <w:p w14:paraId="56407213" w14:textId="77777777" w:rsidR="00305798" w:rsidRPr="000C12A9" w:rsidRDefault="00305798">
      <w:pPr>
        <w:spacing w:after="0" w:line="360" w:lineRule="auto"/>
        <w:rPr>
          <w:u w:val="single"/>
        </w:rPr>
      </w:pPr>
    </w:p>
    <w:p w14:paraId="01651601" w14:textId="77777777" w:rsidR="00305798" w:rsidRPr="000C12A9" w:rsidRDefault="00021C3A">
      <w:pPr>
        <w:pStyle w:val="Ttulo1"/>
        <w:spacing w:before="0" w:after="0"/>
        <w:rPr>
          <w:b w:val="0"/>
          <w:bCs w:val="0"/>
          <w:sz w:val="22"/>
          <w:szCs w:val="22"/>
        </w:rPr>
      </w:pPr>
      <w:bookmarkStart w:id="14" w:name="_Toc219387718"/>
      <w:r w:rsidRPr="000C12A9">
        <w:rPr>
          <w:sz w:val="22"/>
          <w:szCs w:val="22"/>
        </w:rPr>
        <w:t>R E S U E L V E</w:t>
      </w:r>
      <w:bookmarkEnd w:id="14"/>
    </w:p>
    <w:p w14:paraId="1E09C256" w14:textId="77777777" w:rsidR="00305798" w:rsidRPr="000C12A9" w:rsidRDefault="00305798">
      <w:pPr>
        <w:spacing w:after="0" w:line="360" w:lineRule="auto"/>
        <w:rPr>
          <w:b/>
          <w:bCs/>
        </w:rPr>
      </w:pPr>
    </w:p>
    <w:p w14:paraId="618F711F" w14:textId="77777777" w:rsidR="00CC2EFE" w:rsidRPr="000C12A9" w:rsidRDefault="00CC2EFE">
      <w:pPr>
        <w:spacing w:after="0" w:line="360" w:lineRule="auto"/>
        <w:rPr>
          <w:b/>
          <w:bCs/>
        </w:rPr>
      </w:pPr>
    </w:p>
    <w:p w14:paraId="777129E4" w14:textId="77777777" w:rsidR="00305798" w:rsidRPr="000C12A9" w:rsidRDefault="00021C3A">
      <w:pPr>
        <w:tabs>
          <w:tab w:val="left" w:pos="4962"/>
        </w:tabs>
        <w:spacing w:after="0" w:line="360" w:lineRule="auto"/>
      </w:pPr>
      <w:r w:rsidRPr="000C12A9">
        <w:rPr>
          <w:b/>
          <w:bCs/>
        </w:rPr>
        <w:t>PRIMERO.</w:t>
      </w:r>
      <w:r w:rsidRPr="000C12A9">
        <w:t xml:space="preserve"> Se </w:t>
      </w:r>
      <w:r w:rsidRPr="000C12A9">
        <w:rPr>
          <w:b/>
          <w:bCs/>
        </w:rPr>
        <w:t xml:space="preserve">CONFIRMA </w:t>
      </w:r>
      <w:r w:rsidRPr="000C12A9">
        <w:t xml:space="preserve">la respuesta entregada por el Sujeto Obligado a la solicitud de acceso a la información con número de folio </w:t>
      </w:r>
      <w:r w:rsidRPr="000C12A9">
        <w:rPr>
          <w:b/>
          <w:bCs/>
        </w:rPr>
        <w:t>00305/SSEM/IP/2025</w:t>
      </w:r>
      <w:r w:rsidRPr="000C12A9">
        <w:t xml:space="preserve">, por resultar </w:t>
      </w:r>
      <w:r w:rsidRPr="000C12A9">
        <w:rPr>
          <w:b/>
          <w:bCs/>
        </w:rPr>
        <w:t>INFUNDADAS</w:t>
      </w:r>
      <w:r w:rsidRPr="000C12A9">
        <w:t xml:space="preserve"> las razones o motivos de inconformidad hechas valer por la persona Recurrente, en términos de los Considerandos QUINTO y SEXTO de esta Resolución.</w:t>
      </w:r>
    </w:p>
    <w:p w14:paraId="4B611490" w14:textId="77777777" w:rsidR="00305798" w:rsidRPr="000C12A9" w:rsidRDefault="00305798">
      <w:pPr>
        <w:spacing w:after="0" w:line="360" w:lineRule="auto"/>
      </w:pPr>
    </w:p>
    <w:p w14:paraId="665EBCCA" w14:textId="77777777" w:rsidR="00305798" w:rsidRPr="000C12A9" w:rsidRDefault="00021C3A">
      <w:pPr>
        <w:tabs>
          <w:tab w:val="left" w:pos="4962"/>
        </w:tabs>
        <w:spacing w:after="0" w:line="360" w:lineRule="auto"/>
        <w:rPr>
          <w:b/>
          <w:bCs/>
        </w:rPr>
      </w:pPr>
      <w:bookmarkStart w:id="15" w:name="_heading=h.argy21qnkmhr" w:colFirst="0" w:colLast="0"/>
      <w:bookmarkEnd w:id="15"/>
      <w:r w:rsidRPr="000C12A9">
        <w:rPr>
          <w:b/>
          <w:bCs/>
        </w:rPr>
        <w:t xml:space="preserve">SEGUNDO. NOTIFÍQUESE POR SAIMEX </w:t>
      </w:r>
      <w:r w:rsidRPr="000C12A9">
        <w:t>la presente Resolución, al Titular de la Unidad de Transparencia del Sujeto Obligado.</w:t>
      </w:r>
    </w:p>
    <w:p w14:paraId="5B7D8179" w14:textId="77777777" w:rsidR="00305798" w:rsidRPr="000C12A9" w:rsidRDefault="00305798">
      <w:pPr>
        <w:tabs>
          <w:tab w:val="left" w:pos="4962"/>
        </w:tabs>
        <w:spacing w:after="0" w:line="360" w:lineRule="auto"/>
        <w:rPr>
          <w:b/>
          <w:bCs/>
          <w:i/>
          <w:iCs/>
        </w:rPr>
      </w:pPr>
    </w:p>
    <w:p w14:paraId="78DCF4F7" w14:textId="77777777" w:rsidR="00305798" w:rsidRPr="000C12A9" w:rsidRDefault="00021C3A">
      <w:pPr>
        <w:tabs>
          <w:tab w:val="left" w:pos="4962"/>
        </w:tabs>
        <w:spacing w:after="0" w:line="360" w:lineRule="auto"/>
        <w:rPr>
          <w:b/>
          <w:bCs/>
        </w:rPr>
      </w:pPr>
      <w:r w:rsidRPr="000C12A9">
        <w:rPr>
          <w:b/>
          <w:bCs/>
        </w:rPr>
        <w:t xml:space="preserve">TERCERO. NOTIFÍQUESE POR SAIMEX </w:t>
      </w:r>
      <w:r w:rsidRPr="000C12A9">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FAEAB27" w14:textId="77777777" w:rsidR="00305798" w:rsidRPr="000C12A9" w:rsidRDefault="00305798">
      <w:pPr>
        <w:spacing w:after="0" w:line="360" w:lineRule="auto"/>
      </w:pPr>
    </w:p>
    <w:p w14:paraId="7AE8E7EF" w14:textId="4875B898" w:rsidR="00305798" w:rsidRDefault="00021C3A">
      <w:pPr>
        <w:spacing w:after="0" w:line="360" w:lineRule="auto"/>
      </w:pPr>
      <w:r w:rsidRPr="000C12A9">
        <w:t xml:space="preserve">ASÍ LO RESUELVE, POR </w:t>
      </w:r>
      <w:r w:rsidRPr="000C12A9">
        <w:rPr>
          <w:b/>
          <w:bCs/>
        </w:rPr>
        <w:t>UNANIMIDAD</w:t>
      </w:r>
      <w:r w:rsidRPr="000C12A9">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513EDE" w:rsidRPr="000C12A9">
        <w:t xml:space="preserve"> NORIEGA</w:t>
      </w:r>
      <w:r w:rsidRPr="000C12A9">
        <w:t xml:space="preserve"> Y GUADALUPE RAMÍREZ PEÑA, EN LA PRIMERA SESIÓN ORDINARIA, CELEBRADA EL CATORCE DE ENERO DE DOS MIL VEINTISÉIS, ANTE EL SECRETARIO TÉCNICO DEL PLENO, ALEXIS TAPIA RAMÍREZ.</w:t>
      </w:r>
    </w:p>
    <w:p w14:paraId="5416A3D3" w14:textId="77777777" w:rsidR="00305798" w:rsidRDefault="00305798">
      <w:pPr>
        <w:pStyle w:val="Ttulo2"/>
        <w:spacing w:before="0" w:after="0"/>
        <w:rPr>
          <w:b w:val="0"/>
          <w:bCs w:val="0"/>
        </w:rPr>
      </w:pPr>
    </w:p>
    <w:p w14:paraId="0397B3FE" w14:textId="77777777" w:rsidR="00305798" w:rsidRDefault="00305798">
      <w:pPr>
        <w:spacing w:after="0" w:line="360" w:lineRule="auto"/>
      </w:pPr>
    </w:p>
    <w:p w14:paraId="6DE0BEAF" w14:textId="77777777" w:rsidR="00305798" w:rsidRDefault="00305798">
      <w:pPr>
        <w:spacing w:after="0" w:line="360" w:lineRule="auto"/>
      </w:pPr>
    </w:p>
    <w:p w14:paraId="62002E3E" w14:textId="77777777" w:rsidR="00305798" w:rsidRDefault="00305798">
      <w:pPr>
        <w:spacing w:after="0" w:line="360" w:lineRule="auto"/>
      </w:pPr>
    </w:p>
    <w:p w14:paraId="3BFAE54D" w14:textId="77777777" w:rsidR="00305798" w:rsidRDefault="00305798">
      <w:pPr>
        <w:spacing w:after="0" w:line="360" w:lineRule="auto"/>
      </w:pPr>
    </w:p>
    <w:p w14:paraId="233BA094" w14:textId="77777777" w:rsidR="00305798" w:rsidRDefault="00305798">
      <w:pPr>
        <w:spacing w:after="0" w:line="360" w:lineRule="auto"/>
      </w:pPr>
    </w:p>
    <w:p w14:paraId="418C0CEE" w14:textId="77777777" w:rsidR="00305798" w:rsidRDefault="00305798">
      <w:pPr>
        <w:spacing w:after="0" w:line="360" w:lineRule="auto"/>
      </w:pPr>
    </w:p>
    <w:p w14:paraId="34D8E505" w14:textId="77777777" w:rsidR="00305798" w:rsidRDefault="00305798">
      <w:pPr>
        <w:spacing w:after="0" w:line="360" w:lineRule="auto"/>
      </w:pPr>
    </w:p>
    <w:p w14:paraId="7FD6D37E" w14:textId="77777777" w:rsidR="00305798" w:rsidRDefault="00305798">
      <w:pPr>
        <w:spacing w:after="0" w:line="360" w:lineRule="auto"/>
      </w:pPr>
    </w:p>
    <w:p w14:paraId="6F7C9171" w14:textId="77777777" w:rsidR="00305798" w:rsidRDefault="00305798">
      <w:pPr>
        <w:spacing w:after="0" w:line="360" w:lineRule="auto"/>
      </w:pPr>
    </w:p>
    <w:p w14:paraId="18E481E2" w14:textId="77777777" w:rsidR="00305798" w:rsidRDefault="00305798">
      <w:pPr>
        <w:spacing w:after="0" w:line="360" w:lineRule="auto"/>
      </w:pPr>
    </w:p>
    <w:p w14:paraId="115768E3" w14:textId="77777777" w:rsidR="00305798" w:rsidRDefault="00305798">
      <w:pPr>
        <w:spacing w:after="0" w:line="360" w:lineRule="auto"/>
      </w:pPr>
    </w:p>
    <w:p w14:paraId="615F7F44" w14:textId="77777777" w:rsidR="00305798" w:rsidRDefault="00305798">
      <w:pPr>
        <w:spacing w:after="0" w:line="360" w:lineRule="auto"/>
      </w:pPr>
    </w:p>
    <w:p w14:paraId="27A23363" w14:textId="77777777" w:rsidR="00305798" w:rsidRDefault="00305798">
      <w:pPr>
        <w:spacing w:after="0" w:line="360" w:lineRule="auto"/>
      </w:pPr>
    </w:p>
    <w:p w14:paraId="149A3515" w14:textId="77777777" w:rsidR="00305798" w:rsidRDefault="00305798">
      <w:pPr>
        <w:spacing w:after="0" w:line="360" w:lineRule="auto"/>
      </w:pPr>
    </w:p>
    <w:p w14:paraId="7AF3317B" w14:textId="77777777" w:rsidR="00305798" w:rsidRDefault="00305798">
      <w:pPr>
        <w:spacing w:after="0" w:line="360" w:lineRule="auto"/>
      </w:pPr>
    </w:p>
    <w:p w14:paraId="5EBE2721" w14:textId="77777777" w:rsidR="00305798" w:rsidRDefault="00305798">
      <w:pPr>
        <w:spacing w:after="0" w:line="360" w:lineRule="auto"/>
      </w:pPr>
    </w:p>
    <w:p w14:paraId="3FF008F6" w14:textId="77777777" w:rsidR="00305798" w:rsidRDefault="00305798">
      <w:pPr>
        <w:spacing w:after="0" w:line="360" w:lineRule="auto"/>
      </w:pPr>
    </w:p>
    <w:p w14:paraId="76949563" w14:textId="77777777" w:rsidR="00305798" w:rsidRDefault="00305798">
      <w:pPr>
        <w:spacing w:after="0" w:line="360" w:lineRule="auto"/>
      </w:pPr>
    </w:p>
    <w:p w14:paraId="3D33F6DE" w14:textId="77777777" w:rsidR="00305798" w:rsidRDefault="00305798">
      <w:pPr>
        <w:spacing w:after="0" w:line="360" w:lineRule="auto"/>
      </w:pPr>
    </w:p>
    <w:sectPr w:rsidR="00305798">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2BD6F" w14:textId="77777777" w:rsidR="005E342F" w:rsidRDefault="005E342F">
      <w:pPr>
        <w:spacing w:after="0" w:line="240" w:lineRule="auto"/>
      </w:pPr>
      <w:r>
        <w:separator/>
      </w:r>
    </w:p>
  </w:endnote>
  <w:endnote w:type="continuationSeparator" w:id="0">
    <w:p w14:paraId="4E0AD457" w14:textId="77777777" w:rsidR="005E342F" w:rsidRDefault="005E3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C751420-8F87-4C33-87DD-0E59C92D094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1EF80D6-939D-492E-B109-46152C65CF69}"/>
    <w:embedBold r:id="rId3" w:fontKey="{6672DBFD-08A4-434F-A8F4-824D25EC7395}"/>
    <w:embedItalic r:id="rId4" w:fontKey="{078B45DE-24A1-4A39-9EF5-2C0D5AB94CFD}"/>
    <w:embedBoldItalic r:id="rId5" w:fontKey="{0F10340E-B502-4383-BABD-7AD997038A1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D716626D-8CC4-4DFF-AAAA-8C8F6919E43C}"/>
  </w:font>
  <w:font w:name="Georgia">
    <w:panose1 w:val="02040502050405020303"/>
    <w:charset w:val="00"/>
    <w:family w:val="roman"/>
    <w:pitch w:val="variable"/>
    <w:sig w:usb0="00000287" w:usb1="00000000" w:usb2="00000000" w:usb3="00000000" w:csb0="0000009F" w:csb1="00000000"/>
    <w:embedItalic r:id="rId7" w:fontKey="{902D0061-0305-4762-B78E-403216643732}"/>
  </w:font>
  <w:font w:name="Calibri">
    <w:panose1 w:val="020F0502020204030204"/>
    <w:charset w:val="00"/>
    <w:family w:val="swiss"/>
    <w:pitch w:val="variable"/>
    <w:sig w:usb0="E4002EFF" w:usb1="C000247B" w:usb2="00000009" w:usb3="00000000" w:csb0="000001FF" w:csb1="00000000"/>
    <w:embedRegular r:id="rId8" w:fontKey="{E2C16045-1374-4700-9378-1C6A177E3294}"/>
  </w:font>
  <w:font w:name="Garamond">
    <w:panose1 w:val="02020404030301010803"/>
    <w:charset w:val="00"/>
    <w:family w:val="roman"/>
    <w:pitch w:val="variable"/>
    <w:sig w:usb0="00000287" w:usb1="00000000" w:usb2="00000000" w:usb3="00000000" w:csb0="0000009F" w:csb1="00000000"/>
    <w:embedRegular r:id="rId9" w:fontKey="{9FB1D35D-A69A-441B-BB39-2AC5E5DE83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0C31E" w14:textId="77777777" w:rsidR="00305798" w:rsidRDefault="00021C3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F6CFD">
      <w:rPr>
        <w:b/>
        <w:bCs/>
        <w:noProof/>
        <w:color w:val="000000"/>
        <w:sz w:val="24"/>
        <w:szCs w:val="24"/>
      </w:rPr>
      <w:t>21</w:t>
    </w:r>
    <w:r>
      <w:rPr>
        <w:b/>
        <w:bCs/>
        <w:color w:val="000000"/>
        <w:sz w:val="24"/>
        <w:szCs w:val="24"/>
      </w:rPr>
      <w:fldChar w:fldCharType="end"/>
    </w:r>
  </w:p>
  <w:p w14:paraId="10EA4CE3" w14:textId="77777777" w:rsidR="00305798" w:rsidRDefault="0030579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478BC" w14:textId="0F1296B5" w:rsidR="00305798" w:rsidRDefault="00021C3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F6CFD">
      <w:rPr>
        <w:b/>
        <w:bCs/>
        <w:noProof/>
        <w:color w:val="000000"/>
        <w:sz w:val="24"/>
        <w:szCs w:val="24"/>
      </w:rPr>
      <w:t>20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F6CFD">
      <w:rPr>
        <w:b/>
        <w:bCs/>
        <w:noProof/>
        <w:color w:val="000000"/>
        <w:sz w:val="24"/>
        <w:szCs w:val="24"/>
      </w:rPr>
      <w:t>21</w:t>
    </w:r>
    <w:r>
      <w:rPr>
        <w:b/>
        <w:bCs/>
        <w:color w:val="000000"/>
        <w:sz w:val="24"/>
        <w:szCs w:val="24"/>
      </w:rPr>
      <w:fldChar w:fldCharType="end"/>
    </w:r>
  </w:p>
  <w:p w14:paraId="57C8B12B" w14:textId="77777777" w:rsidR="00305798" w:rsidRDefault="0030579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71EB0" w14:textId="77777777" w:rsidR="00305798" w:rsidRDefault="00021C3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F6CF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F6CFD">
      <w:rPr>
        <w:b/>
        <w:bCs/>
        <w:noProof/>
        <w:color w:val="000000"/>
        <w:sz w:val="24"/>
        <w:szCs w:val="24"/>
      </w:rPr>
      <w:t>21</w:t>
    </w:r>
    <w:r>
      <w:rPr>
        <w:b/>
        <w:bCs/>
        <w:color w:val="000000"/>
        <w:sz w:val="24"/>
        <w:szCs w:val="24"/>
      </w:rPr>
      <w:fldChar w:fldCharType="end"/>
    </w:r>
  </w:p>
  <w:p w14:paraId="302144CB" w14:textId="77777777" w:rsidR="00305798" w:rsidRDefault="0030579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7F439" w14:textId="77777777" w:rsidR="005E342F" w:rsidRDefault="005E342F">
      <w:pPr>
        <w:spacing w:after="0" w:line="240" w:lineRule="auto"/>
      </w:pPr>
      <w:r>
        <w:separator/>
      </w:r>
    </w:p>
  </w:footnote>
  <w:footnote w:type="continuationSeparator" w:id="0">
    <w:p w14:paraId="4E665001" w14:textId="77777777" w:rsidR="005E342F" w:rsidRDefault="005E3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BAFE" w14:textId="77777777" w:rsidR="00305798" w:rsidRDefault="00305798">
    <w:pPr>
      <w:widowControl w:val="0"/>
      <w:pBdr>
        <w:top w:val="nil"/>
        <w:left w:val="nil"/>
        <w:bottom w:val="nil"/>
        <w:right w:val="nil"/>
        <w:between w:val="nil"/>
      </w:pBdr>
      <w:spacing w:after="0" w:line="276" w:lineRule="auto"/>
      <w:jc w:val="left"/>
      <w:rPr>
        <w:color w:val="000000"/>
      </w:rPr>
    </w:pPr>
  </w:p>
  <w:tbl>
    <w:tblPr>
      <w:tblStyle w:val="affff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05798" w14:paraId="584330B7" w14:textId="77777777">
      <w:trPr>
        <w:trHeight w:val="141"/>
      </w:trPr>
      <w:tc>
        <w:tcPr>
          <w:tcW w:w="2404" w:type="dxa"/>
        </w:tcPr>
        <w:p w14:paraId="73B891FD" w14:textId="77777777" w:rsidR="00305798" w:rsidRDefault="00021C3A">
          <w:pPr>
            <w:tabs>
              <w:tab w:val="right" w:pos="8838"/>
            </w:tabs>
            <w:ind w:right="-105"/>
            <w:rPr>
              <w:b/>
              <w:bCs/>
            </w:rPr>
          </w:pPr>
          <w:r>
            <w:rPr>
              <w:b/>
              <w:bCs/>
            </w:rPr>
            <w:t>Recurso de Revisión:</w:t>
          </w:r>
        </w:p>
      </w:tc>
      <w:tc>
        <w:tcPr>
          <w:tcW w:w="3587" w:type="dxa"/>
        </w:tcPr>
        <w:p w14:paraId="0AC59073" w14:textId="77777777" w:rsidR="00305798" w:rsidRDefault="00021C3A">
          <w:pPr>
            <w:tabs>
              <w:tab w:val="right" w:pos="8838"/>
            </w:tabs>
            <w:ind w:left="-28" w:right="683"/>
          </w:pPr>
          <w:r>
            <w:t>04196/INFOEM/IP/RR/2020</w:t>
          </w:r>
        </w:p>
      </w:tc>
    </w:tr>
    <w:tr w:rsidR="00305798" w14:paraId="47A67888" w14:textId="77777777">
      <w:trPr>
        <w:trHeight w:val="276"/>
      </w:trPr>
      <w:tc>
        <w:tcPr>
          <w:tcW w:w="2404" w:type="dxa"/>
        </w:tcPr>
        <w:p w14:paraId="24B0CB60" w14:textId="77777777" w:rsidR="00305798" w:rsidRDefault="00021C3A">
          <w:pPr>
            <w:tabs>
              <w:tab w:val="right" w:pos="8838"/>
            </w:tabs>
            <w:ind w:right="-105"/>
            <w:rPr>
              <w:b/>
              <w:bCs/>
            </w:rPr>
          </w:pPr>
          <w:r>
            <w:rPr>
              <w:b/>
              <w:bCs/>
            </w:rPr>
            <w:t>Sujeto Obligado:</w:t>
          </w:r>
        </w:p>
      </w:tc>
      <w:tc>
        <w:tcPr>
          <w:tcW w:w="3587" w:type="dxa"/>
        </w:tcPr>
        <w:p w14:paraId="2D76F51F" w14:textId="77777777" w:rsidR="00305798" w:rsidRDefault="00021C3A">
          <w:pPr>
            <w:tabs>
              <w:tab w:val="right" w:pos="8838"/>
            </w:tabs>
            <w:ind w:right="116"/>
          </w:pPr>
          <w:r>
            <w:t>Ayuntamiento de Chapultepec</w:t>
          </w:r>
        </w:p>
      </w:tc>
    </w:tr>
    <w:tr w:rsidR="00305798" w14:paraId="50D467A1" w14:textId="77777777">
      <w:trPr>
        <w:trHeight w:val="276"/>
      </w:trPr>
      <w:tc>
        <w:tcPr>
          <w:tcW w:w="2404" w:type="dxa"/>
        </w:tcPr>
        <w:p w14:paraId="586AE42E" w14:textId="77777777" w:rsidR="00305798" w:rsidRDefault="00021C3A">
          <w:pPr>
            <w:tabs>
              <w:tab w:val="right" w:pos="8838"/>
            </w:tabs>
            <w:ind w:right="-105"/>
            <w:rPr>
              <w:b/>
              <w:bCs/>
            </w:rPr>
          </w:pPr>
          <w:r>
            <w:rPr>
              <w:b/>
              <w:bCs/>
            </w:rPr>
            <w:t>Comisionado Ponente:</w:t>
          </w:r>
        </w:p>
      </w:tc>
      <w:tc>
        <w:tcPr>
          <w:tcW w:w="3587" w:type="dxa"/>
        </w:tcPr>
        <w:p w14:paraId="17C08C55" w14:textId="77777777" w:rsidR="00305798" w:rsidRDefault="00021C3A">
          <w:pPr>
            <w:tabs>
              <w:tab w:val="right" w:pos="8838"/>
            </w:tabs>
            <w:ind w:right="-32"/>
          </w:pPr>
          <w:r>
            <w:t>Luis Gustavo Parra Noriega</w:t>
          </w:r>
        </w:p>
      </w:tc>
    </w:tr>
  </w:tbl>
  <w:p w14:paraId="7F9861A7" w14:textId="77777777" w:rsidR="00305798" w:rsidRDefault="005E342F">
    <w:pPr>
      <w:pBdr>
        <w:top w:val="nil"/>
        <w:left w:val="nil"/>
        <w:bottom w:val="nil"/>
        <w:right w:val="nil"/>
        <w:between w:val="nil"/>
      </w:pBdr>
      <w:tabs>
        <w:tab w:val="center" w:pos="4419"/>
        <w:tab w:val="right" w:pos="8838"/>
      </w:tabs>
      <w:spacing w:after="0" w:line="240" w:lineRule="auto"/>
      <w:rPr>
        <w:color w:val="000000"/>
      </w:rPr>
    </w:pPr>
    <w:r>
      <w:rPr>
        <w:color w:val="000000"/>
      </w:rPr>
      <w:pict w14:anchorId="78348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DB43" w14:textId="77777777" w:rsidR="00305798" w:rsidRDefault="00305798">
    <w:pPr>
      <w:rPr>
        <w:sz w:val="16"/>
        <w:szCs w:val="16"/>
      </w:rPr>
    </w:pPr>
  </w:p>
  <w:tbl>
    <w:tblPr>
      <w:tblStyle w:val="affff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305798" w14:paraId="42ACF58F" w14:textId="77777777">
      <w:trPr>
        <w:trHeight w:val="141"/>
      </w:trPr>
      <w:tc>
        <w:tcPr>
          <w:tcW w:w="2409" w:type="dxa"/>
        </w:tcPr>
        <w:p w14:paraId="35F45C2D" w14:textId="77777777" w:rsidR="00305798" w:rsidRDefault="00021C3A">
          <w:pPr>
            <w:tabs>
              <w:tab w:val="right" w:pos="8838"/>
            </w:tabs>
            <w:ind w:left="-395" w:right="-105" w:firstLine="395"/>
            <w:rPr>
              <w:b/>
              <w:bCs/>
            </w:rPr>
          </w:pPr>
          <w:r>
            <w:rPr>
              <w:b/>
              <w:bCs/>
            </w:rPr>
            <w:t>Recurso de Revisión:</w:t>
          </w:r>
        </w:p>
      </w:tc>
      <w:tc>
        <w:tcPr>
          <w:tcW w:w="3686" w:type="dxa"/>
        </w:tcPr>
        <w:p w14:paraId="7A810515" w14:textId="77777777" w:rsidR="00305798" w:rsidRDefault="00021C3A">
          <w:pPr>
            <w:tabs>
              <w:tab w:val="right" w:pos="8838"/>
            </w:tabs>
            <w:ind w:right="176"/>
          </w:pPr>
          <w:r>
            <w:t>09141/INFOEM/IP/RR/2025</w:t>
          </w:r>
        </w:p>
      </w:tc>
    </w:tr>
    <w:tr w:rsidR="00305798" w14:paraId="79E22250" w14:textId="77777777">
      <w:trPr>
        <w:trHeight w:val="276"/>
      </w:trPr>
      <w:tc>
        <w:tcPr>
          <w:tcW w:w="2409" w:type="dxa"/>
        </w:tcPr>
        <w:p w14:paraId="00553D41" w14:textId="77777777" w:rsidR="00305798" w:rsidRDefault="00021C3A">
          <w:pPr>
            <w:tabs>
              <w:tab w:val="right" w:pos="8838"/>
            </w:tabs>
            <w:ind w:right="-105"/>
            <w:rPr>
              <w:b/>
              <w:bCs/>
            </w:rPr>
          </w:pPr>
          <w:r>
            <w:rPr>
              <w:b/>
              <w:bCs/>
            </w:rPr>
            <w:t>Sujeto Obligado:</w:t>
          </w:r>
        </w:p>
      </w:tc>
      <w:tc>
        <w:tcPr>
          <w:tcW w:w="3686" w:type="dxa"/>
        </w:tcPr>
        <w:p w14:paraId="611B92F8" w14:textId="77777777" w:rsidR="00305798" w:rsidRDefault="00021C3A">
          <w:pPr>
            <w:tabs>
              <w:tab w:val="left" w:pos="3158"/>
              <w:tab w:val="left" w:pos="4292"/>
              <w:tab w:val="right" w:pos="8838"/>
            </w:tabs>
            <w:ind w:right="176"/>
          </w:pPr>
          <w:r>
            <w:t>Secretaría de Seguridad</w:t>
          </w:r>
        </w:p>
      </w:tc>
    </w:tr>
    <w:tr w:rsidR="00305798" w14:paraId="3700B2FD" w14:textId="77777777">
      <w:trPr>
        <w:trHeight w:val="276"/>
      </w:trPr>
      <w:tc>
        <w:tcPr>
          <w:tcW w:w="2409" w:type="dxa"/>
        </w:tcPr>
        <w:p w14:paraId="734B46B4" w14:textId="77777777" w:rsidR="00305798" w:rsidRDefault="00021C3A">
          <w:pPr>
            <w:tabs>
              <w:tab w:val="right" w:pos="8838"/>
            </w:tabs>
            <w:ind w:right="-105"/>
            <w:rPr>
              <w:b/>
              <w:bCs/>
            </w:rPr>
          </w:pPr>
          <w:r>
            <w:rPr>
              <w:b/>
              <w:bCs/>
            </w:rPr>
            <w:t>Comisionado Ponente:</w:t>
          </w:r>
        </w:p>
      </w:tc>
      <w:tc>
        <w:tcPr>
          <w:tcW w:w="3686" w:type="dxa"/>
        </w:tcPr>
        <w:p w14:paraId="29E459F5" w14:textId="77777777" w:rsidR="00305798" w:rsidRDefault="00021C3A">
          <w:pPr>
            <w:tabs>
              <w:tab w:val="right" w:pos="8838"/>
            </w:tabs>
            <w:ind w:right="176"/>
          </w:pPr>
          <w:r>
            <w:t>Luis Gustavo Parra Noriega</w:t>
          </w:r>
        </w:p>
        <w:p w14:paraId="385BDB81" w14:textId="77777777" w:rsidR="00305798" w:rsidRDefault="00305798">
          <w:pPr>
            <w:tabs>
              <w:tab w:val="right" w:pos="8838"/>
            </w:tabs>
            <w:ind w:right="176"/>
          </w:pPr>
        </w:p>
      </w:tc>
    </w:tr>
  </w:tbl>
  <w:p w14:paraId="30DF668F" w14:textId="77777777" w:rsidR="00305798" w:rsidRDefault="005E342F">
    <w:pPr>
      <w:pBdr>
        <w:top w:val="nil"/>
        <w:left w:val="nil"/>
        <w:bottom w:val="nil"/>
        <w:right w:val="nil"/>
        <w:between w:val="nil"/>
      </w:pBdr>
      <w:tabs>
        <w:tab w:val="center" w:pos="4419"/>
        <w:tab w:val="right" w:pos="8838"/>
      </w:tabs>
      <w:spacing w:after="0" w:line="240" w:lineRule="auto"/>
      <w:rPr>
        <w:color w:val="000000"/>
      </w:rPr>
    </w:pPr>
    <w:r>
      <w:rPr>
        <w:color w:val="000000"/>
      </w:rPr>
      <w:pict w14:anchorId="1B975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9D94" w14:textId="77777777" w:rsidR="00305798" w:rsidRDefault="005E342F">
    <w:pPr>
      <w:widowControl w:val="0"/>
      <w:pBdr>
        <w:top w:val="nil"/>
        <w:left w:val="nil"/>
        <w:bottom w:val="nil"/>
        <w:right w:val="nil"/>
        <w:between w:val="nil"/>
      </w:pBdr>
      <w:spacing w:after="0" w:line="276" w:lineRule="auto"/>
      <w:jc w:val="left"/>
      <w:rPr>
        <w:color w:val="000000"/>
      </w:rPr>
    </w:pPr>
    <w:r>
      <w:rPr>
        <w:color w:val="000000"/>
      </w:rPr>
      <w:pict w14:anchorId="0CDD5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fffff5"/>
      <w:tblW w:w="9214" w:type="dxa"/>
      <w:tblInd w:w="0" w:type="dxa"/>
      <w:tblLayout w:type="fixed"/>
      <w:tblLook w:val="0400" w:firstRow="0" w:lastRow="0" w:firstColumn="0" w:lastColumn="0" w:noHBand="0" w:noVBand="1"/>
    </w:tblPr>
    <w:tblGrid>
      <w:gridCol w:w="2127"/>
      <w:gridCol w:w="7087"/>
    </w:tblGrid>
    <w:tr w:rsidR="00305798" w14:paraId="7D7EB106" w14:textId="77777777">
      <w:trPr>
        <w:trHeight w:val="1546"/>
      </w:trPr>
      <w:tc>
        <w:tcPr>
          <w:tcW w:w="2127" w:type="dxa"/>
        </w:tcPr>
        <w:p w14:paraId="09343DCA" w14:textId="77777777" w:rsidR="00305798" w:rsidRDefault="00305798">
          <w:pPr>
            <w:tabs>
              <w:tab w:val="right" w:pos="4273"/>
            </w:tabs>
            <w:rPr>
              <w:rFonts w:ascii="Garamond" w:eastAsia="Garamond" w:hAnsi="Garamond" w:cs="Garamond"/>
              <w:sz w:val="16"/>
              <w:szCs w:val="16"/>
            </w:rPr>
          </w:pPr>
        </w:p>
      </w:tc>
      <w:tc>
        <w:tcPr>
          <w:tcW w:w="7087" w:type="dxa"/>
        </w:tcPr>
        <w:p w14:paraId="34332DFF" w14:textId="77777777" w:rsidR="00305798" w:rsidRDefault="00305798">
          <w:pPr>
            <w:rPr>
              <w:sz w:val="10"/>
              <w:szCs w:val="10"/>
            </w:rPr>
          </w:pPr>
        </w:p>
        <w:tbl>
          <w:tblPr>
            <w:tblStyle w:val="afffff6"/>
            <w:tblW w:w="6384" w:type="dxa"/>
            <w:tblInd w:w="595" w:type="dxa"/>
            <w:tblLayout w:type="fixed"/>
            <w:tblLook w:val="0400" w:firstRow="0" w:lastRow="0" w:firstColumn="0" w:lastColumn="0" w:noHBand="0" w:noVBand="1"/>
          </w:tblPr>
          <w:tblGrid>
            <w:gridCol w:w="2376"/>
            <w:gridCol w:w="4008"/>
          </w:tblGrid>
          <w:tr w:rsidR="00305798" w14:paraId="4BFAC116" w14:textId="77777777">
            <w:trPr>
              <w:trHeight w:val="427"/>
            </w:trPr>
            <w:tc>
              <w:tcPr>
                <w:tcW w:w="2376" w:type="dxa"/>
                <w:vAlign w:val="bottom"/>
              </w:tcPr>
              <w:p w14:paraId="2A7871A5" w14:textId="77777777" w:rsidR="00305798" w:rsidRDefault="00021C3A">
                <w:pPr>
                  <w:tabs>
                    <w:tab w:val="right" w:pos="8838"/>
                  </w:tabs>
                  <w:ind w:right="-105"/>
                  <w:rPr>
                    <w:b/>
                    <w:bCs/>
                  </w:rPr>
                </w:pPr>
                <w:r>
                  <w:rPr>
                    <w:b/>
                    <w:bCs/>
                  </w:rPr>
                  <w:t>Recurso de Revisión:</w:t>
                </w:r>
              </w:p>
            </w:tc>
            <w:tc>
              <w:tcPr>
                <w:tcW w:w="4008" w:type="dxa"/>
              </w:tcPr>
              <w:p w14:paraId="69AC90E5" w14:textId="77777777" w:rsidR="00305798" w:rsidRDefault="00305798">
                <w:pPr>
                  <w:tabs>
                    <w:tab w:val="right" w:pos="8838"/>
                  </w:tabs>
                  <w:ind w:left="-28" w:right="-107"/>
                  <w:rPr>
                    <w:b/>
                    <w:bCs/>
                  </w:rPr>
                </w:pPr>
              </w:p>
              <w:p w14:paraId="1C3F85BF" w14:textId="77777777" w:rsidR="00305798" w:rsidRDefault="00021C3A">
                <w:pPr>
                  <w:tabs>
                    <w:tab w:val="right" w:pos="8838"/>
                  </w:tabs>
                  <w:ind w:left="-28" w:right="-107"/>
                </w:pPr>
                <w:r>
                  <w:t>09141/INFOEM/IP/RR/2025</w:t>
                </w:r>
              </w:p>
            </w:tc>
          </w:tr>
          <w:tr w:rsidR="00305798" w14:paraId="13804613" w14:textId="77777777">
            <w:trPr>
              <w:trHeight w:val="141"/>
            </w:trPr>
            <w:tc>
              <w:tcPr>
                <w:tcW w:w="2376" w:type="dxa"/>
              </w:tcPr>
              <w:p w14:paraId="6DCE3484" w14:textId="77777777" w:rsidR="00305798" w:rsidRDefault="00021C3A">
                <w:pPr>
                  <w:tabs>
                    <w:tab w:val="right" w:pos="8838"/>
                  </w:tabs>
                  <w:ind w:right="-105"/>
                  <w:rPr>
                    <w:b/>
                    <w:bCs/>
                  </w:rPr>
                </w:pPr>
                <w:r>
                  <w:rPr>
                    <w:b/>
                    <w:bCs/>
                  </w:rPr>
                  <w:t>Recurrente:</w:t>
                </w:r>
              </w:p>
            </w:tc>
            <w:tc>
              <w:tcPr>
                <w:tcW w:w="4008" w:type="dxa"/>
              </w:tcPr>
              <w:p w14:paraId="1AC1AFC1" w14:textId="77777777" w:rsidR="00305798" w:rsidRDefault="00021C3A">
                <w:pPr>
                  <w:tabs>
                    <w:tab w:val="right" w:pos="8838"/>
                  </w:tabs>
                  <w:ind w:right="-107"/>
                </w:pPr>
                <w:r>
                  <w:t xml:space="preserve"> </w:t>
                </w:r>
              </w:p>
            </w:tc>
          </w:tr>
          <w:tr w:rsidR="00305798" w14:paraId="7F2AA544" w14:textId="77777777">
            <w:trPr>
              <w:trHeight w:val="276"/>
            </w:trPr>
            <w:tc>
              <w:tcPr>
                <w:tcW w:w="2376" w:type="dxa"/>
              </w:tcPr>
              <w:p w14:paraId="3B0CFAE7" w14:textId="77777777" w:rsidR="00305798" w:rsidRDefault="00021C3A">
                <w:pPr>
                  <w:tabs>
                    <w:tab w:val="right" w:pos="8838"/>
                  </w:tabs>
                  <w:ind w:right="-105"/>
                  <w:rPr>
                    <w:b/>
                    <w:bCs/>
                  </w:rPr>
                </w:pPr>
                <w:r>
                  <w:rPr>
                    <w:b/>
                    <w:bCs/>
                  </w:rPr>
                  <w:t>Sujeto Obligado:</w:t>
                </w:r>
              </w:p>
            </w:tc>
            <w:tc>
              <w:tcPr>
                <w:tcW w:w="4008" w:type="dxa"/>
              </w:tcPr>
              <w:p w14:paraId="7C024C00" w14:textId="77777777" w:rsidR="00305798" w:rsidRDefault="00021C3A">
                <w:pPr>
                  <w:tabs>
                    <w:tab w:val="right" w:pos="8838"/>
                  </w:tabs>
                  <w:ind w:right="33"/>
                </w:pPr>
                <w:r>
                  <w:t>Secretaría de Seguridad</w:t>
                </w:r>
              </w:p>
            </w:tc>
          </w:tr>
          <w:tr w:rsidR="00305798" w14:paraId="59FBB105" w14:textId="77777777">
            <w:trPr>
              <w:trHeight w:val="276"/>
            </w:trPr>
            <w:tc>
              <w:tcPr>
                <w:tcW w:w="2376" w:type="dxa"/>
              </w:tcPr>
              <w:p w14:paraId="221318EB" w14:textId="77777777" w:rsidR="00305798" w:rsidRDefault="00021C3A">
                <w:pPr>
                  <w:tabs>
                    <w:tab w:val="right" w:pos="8838"/>
                  </w:tabs>
                  <w:ind w:right="-105"/>
                  <w:rPr>
                    <w:b/>
                    <w:bCs/>
                  </w:rPr>
                </w:pPr>
                <w:r>
                  <w:rPr>
                    <w:b/>
                    <w:bCs/>
                  </w:rPr>
                  <w:t>Comisionado Ponente:</w:t>
                </w:r>
              </w:p>
            </w:tc>
            <w:tc>
              <w:tcPr>
                <w:tcW w:w="4008" w:type="dxa"/>
              </w:tcPr>
              <w:p w14:paraId="51AFA28C" w14:textId="77777777" w:rsidR="00305798" w:rsidRDefault="00021C3A">
                <w:pPr>
                  <w:tabs>
                    <w:tab w:val="right" w:pos="8838"/>
                  </w:tabs>
                  <w:ind w:right="-107"/>
                </w:pPr>
                <w:r>
                  <w:t>Luis Gustavo Parra Noriega</w:t>
                </w:r>
              </w:p>
            </w:tc>
          </w:tr>
        </w:tbl>
        <w:p w14:paraId="27C2F6B1" w14:textId="77777777" w:rsidR="00305798" w:rsidRDefault="00305798">
          <w:pPr>
            <w:tabs>
              <w:tab w:val="right" w:pos="8838"/>
            </w:tabs>
            <w:ind w:left="-28"/>
            <w:rPr>
              <w:rFonts w:ascii="Arial" w:eastAsia="Arial" w:hAnsi="Arial" w:cs="Arial"/>
              <w:b/>
              <w:bCs/>
            </w:rPr>
          </w:pPr>
        </w:p>
      </w:tc>
    </w:tr>
  </w:tbl>
  <w:p w14:paraId="005A3363" w14:textId="77777777" w:rsidR="00305798" w:rsidRDefault="0030579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165925"/>
    <w:multiLevelType w:val="multilevel"/>
    <w:tmpl w:val="63F2A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E07C8F"/>
    <w:multiLevelType w:val="multilevel"/>
    <w:tmpl w:val="BD3064D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DC47A0"/>
    <w:multiLevelType w:val="multilevel"/>
    <w:tmpl w:val="ECE4AD2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6420375">
    <w:abstractNumId w:val="2"/>
  </w:num>
  <w:num w:numId="2" w16cid:durableId="923876944">
    <w:abstractNumId w:val="0"/>
  </w:num>
  <w:num w:numId="3" w16cid:durableId="136731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798"/>
    <w:rsid w:val="00021C3A"/>
    <w:rsid w:val="000B3631"/>
    <w:rsid w:val="000C12A9"/>
    <w:rsid w:val="00124380"/>
    <w:rsid w:val="00245B0F"/>
    <w:rsid w:val="002D10E2"/>
    <w:rsid w:val="002F6CFD"/>
    <w:rsid w:val="00305798"/>
    <w:rsid w:val="00513EDE"/>
    <w:rsid w:val="00585DFE"/>
    <w:rsid w:val="005E342F"/>
    <w:rsid w:val="00A22BE3"/>
    <w:rsid w:val="00BD58FB"/>
    <w:rsid w:val="00CC2E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7C907"/>
  <w15:docId w15:val="{DFD0FD94-6845-9D42-B37A-A5FD6F34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
    <w:pPr>
      <w:spacing w:after="0" w:line="240" w:lineRule="auto"/>
    </w:pPr>
    <w:tblPr>
      <w:tblStyleRowBandSize w:val="1"/>
      <w:tblStyleColBandSize w:val="1"/>
      <w:tblCellMar>
        <w:left w:w="108" w:type="dxa"/>
        <w:right w:w="108" w:type="dxa"/>
      </w:tblCellMar>
    </w:tblPr>
  </w:style>
  <w:style w:type="table" w:customStyle="1" w:styleId="a0">
    <w:basedOn w:val="TableNormalf"/>
    <w:pPr>
      <w:spacing w:after="0" w:line="240" w:lineRule="auto"/>
    </w:pPr>
    <w:tblPr>
      <w:tblStyleRowBandSize w:val="1"/>
      <w:tblStyleColBandSize w:val="1"/>
      <w:tblCellMar>
        <w:left w:w="108" w:type="dxa"/>
        <w:right w:w="108" w:type="dxa"/>
      </w:tblCellMar>
    </w:tblPr>
  </w:style>
  <w:style w:type="table" w:customStyle="1" w:styleId="a1">
    <w:basedOn w:val="TableNormalf"/>
    <w:tblPr>
      <w:tblStyleRowBandSize w:val="1"/>
      <w:tblStyleColBandSize w:val="1"/>
      <w:tblCellMar>
        <w:left w:w="115" w:type="dxa"/>
        <w:right w:w="115" w:type="dxa"/>
      </w:tblCellMar>
    </w:tblPr>
  </w:style>
  <w:style w:type="table" w:customStyle="1" w:styleId="a2">
    <w:basedOn w:val="TableNormalf"/>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
    <w:pPr>
      <w:spacing w:after="0" w:line="240" w:lineRule="auto"/>
    </w:pPr>
    <w:tblPr>
      <w:tblStyleRowBandSize w:val="1"/>
      <w:tblStyleColBandSize w:val="1"/>
      <w:tblCellMar>
        <w:left w:w="108" w:type="dxa"/>
        <w:right w:w="108" w:type="dxa"/>
      </w:tblCellMar>
    </w:tblPr>
  </w:style>
  <w:style w:type="table" w:customStyle="1" w:styleId="a4">
    <w:basedOn w:val="TableNormalf"/>
    <w:pPr>
      <w:spacing w:after="0" w:line="240" w:lineRule="auto"/>
    </w:pPr>
    <w:tblPr>
      <w:tblStyleRowBandSize w:val="1"/>
      <w:tblStyleColBandSize w:val="1"/>
      <w:tblCellMar>
        <w:left w:w="108" w:type="dxa"/>
        <w:right w:w="108" w:type="dxa"/>
      </w:tblCellMar>
    </w:tblPr>
  </w:style>
  <w:style w:type="table" w:customStyle="1" w:styleId="a5">
    <w:basedOn w:val="TableNormalf"/>
    <w:pPr>
      <w:spacing w:after="0" w:line="240" w:lineRule="auto"/>
    </w:pPr>
    <w:tblPr>
      <w:tblStyleRowBandSize w:val="1"/>
      <w:tblStyleColBandSize w:val="1"/>
      <w:tblCellMar>
        <w:left w:w="108" w:type="dxa"/>
        <w:right w:w="108" w:type="dxa"/>
      </w:tblCellMar>
    </w:tblPr>
  </w:style>
  <w:style w:type="table" w:customStyle="1" w:styleId="a6">
    <w:basedOn w:val="TableNormalf"/>
    <w:pPr>
      <w:spacing w:after="0" w:line="240" w:lineRule="auto"/>
    </w:pPr>
    <w:tblPr>
      <w:tblStyleRowBandSize w:val="1"/>
      <w:tblStyleColBandSize w:val="1"/>
      <w:tblCellMar>
        <w:left w:w="108" w:type="dxa"/>
        <w:right w:w="108" w:type="dxa"/>
      </w:tblCellMar>
    </w:tblPr>
  </w:style>
  <w:style w:type="table" w:customStyle="1" w:styleId="a7">
    <w:basedOn w:val="TableNormale"/>
    <w:pPr>
      <w:spacing w:after="0" w:line="240" w:lineRule="auto"/>
    </w:pPr>
    <w:tblPr>
      <w:tblStyleRowBandSize w:val="1"/>
      <w:tblStyleColBandSize w:val="1"/>
      <w:tblCellMar>
        <w:left w:w="108" w:type="dxa"/>
        <w:right w:w="108" w:type="dxa"/>
      </w:tblCellMar>
    </w:tblPr>
  </w:style>
  <w:style w:type="table" w:customStyle="1" w:styleId="a8">
    <w:basedOn w:val="TableNormale"/>
    <w:pPr>
      <w:spacing w:after="0" w:line="240" w:lineRule="auto"/>
    </w:pPr>
    <w:tblPr>
      <w:tblStyleRowBandSize w:val="1"/>
      <w:tblStyleColBandSize w:val="1"/>
      <w:tblCellMar>
        <w:left w:w="108" w:type="dxa"/>
        <w:right w:w="108" w:type="dxa"/>
      </w:tblCellMar>
    </w:tblPr>
  </w:style>
  <w:style w:type="table" w:customStyle="1" w:styleId="a9">
    <w:basedOn w:val="TableNormale"/>
    <w:pPr>
      <w:spacing w:after="0" w:line="240" w:lineRule="auto"/>
    </w:pPr>
    <w:tblPr>
      <w:tblStyleRowBandSize w:val="1"/>
      <w:tblStyleColBandSize w:val="1"/>
      <w:tblCellMar>
        <w:left w:w="108" w:type="dxa"/>
        <w:right w:w="108" w:type="dxa"/>
      </w:tblCellMar>
    </w:tblPr>
  </w:style>
  <w:style w:type="table" w:customStyle="1" w:styleId="aa">
    <w:basedOn w:val="TableNormale"/>
    <w:pPr>
      <w:spacing w:after="0" w:line="240" w:lineRule="auto"/>
    </w:pPr>
    <w:tblPr>
      <w:tblStyleRowBandSize w:val="1"/>
      <w:tblStyleColBandSize w:val="1"/>
      <w:tblCellMar>
        <w:left w:w="108" w:type="dxa"/>
        <w:right w:w="108" w:type="dxa"/>
      </w:tblCellMar>
    </w:tblPr>
  </w:style>
  <w:style w:type="table" w:customStyle="1" w:styleId="ab">
    <w:basedOn w:val="TableNormald"/>
    <w:pPr>
      <w:spacing w:after="0" w:line="240" w:lineRule="auto"/>
    </w:pPr>
    <w:tblPr>
      <w:tblStyleRowBandSize w:val="1"/>
      <w:tblStyleColBandSize w:val="1"/>
      <w:tblCellMar>
        <w:left w:w="108" w:type="dxa"/>
        <w:right w:w="108" w:type="dxa"/>
      </w:tblCellMar>
    </w:tblPr>
  </w:style>
  <w:style w:type="table" w:customStyle="1" w:styleId="ac">
    <w:basedOn w:val="TableNormald"/>
    <w:pPr>
      <w:spacing w:after="0" w:line="240" w:lineRule="auto"/>
    </w:pPr>
    <w:tblPr>
      <w:tblStyleRowBandSize w:val="1"/>
      <w:tblStyleColBandSize w:val="1"/>
      <w:tblCellMar>
        <w:left w:w="108" w:type="dxa"/>
        <w:right w:w="108" w:type="dxa"/>
      </w:tblCellMar>
    </w:tblPr>
  </w:style>
  <w:style w:type="table" w:customStyle="1" w:styleId="ad">
    <w:basedOn w:val="TableNormald"/>
    <w:pPr>
      <w:spacing w:after="0" w:line="240" w:lineRule="auto"/>
    </w:pPr>
    <w:tblPr>
      <w:tblStyleRowBandSize w:val="1"/>
      <w:tblStyleColBandSize w:val="1"/>
      <w:tblCellMar>
        <w:left w:w="108" w:type="dxa"/>
        <w:right w:w="108" w:type="dxa"/>
      </w:tblCellMar>
    </w:tblPr>
  </w:style>
  <w:style w:type="table" w:customStyle="1" w:styleId="ae">
    <w:basedOn w:val="TableNormald"/>
    <w:pPr>
      <w:spacing w:after="0" w:line="240" w:lineRule="auto"/>
    </w:pPr>
    <w:tblPr>
      <w:tblStyleRowBandSize w:val="1"/>
      <w:tblStyleColBandSize w:val="1"/>
      <w:tblCellMar>
        <w:left w:w="108" w:type="dxa"/>
        <w:right w:w="108" w:type="dxa"/>
      </w:tblCellMar>
    </w:tblPr>
  </w:style>
  <w:style w:type="table" w:customStyle="1" w:styleId="af">
    <w:basedOn w:val="TableNormalc"/>
    <w:pPr>
      <w:spacing w:after="0" w:line="240" w:lineRule="auto"/>
    </w:pPr>
    <w:tblPr>
      <w:tblStyleRowBandSize w:val="1"/>
      <w:tblStyleColBandSize w:val="1"/>
      <w:tblCellMar>
        <w:left w:w="108" w:type="dxa"/>
        <w:right w:w="108" w:type="dxa"/>
      </w:tblCellMar>
    </w:tblPr>
  </w:style>
  <w:style w:type="table" w:customStyle="1" w:styleId="af0">
    <w:basedOn w:val="TableNormalc"/>
    <w:pPr>
      <w:spacing w:after="0" w:line="240" w:lineRule="auto"/>
    </w:pPr>
    <w:tblPr>
      <w:tblStyleRowBandSize w:val="1"/>
      <w:tblStyleColBandSize w:val="1"/>
      <w:tblCellMar>
        <w:left w:w="108" w:type="dxa"/>
        <w:right w:w="108" w:type="dxa"/>
      </w:tblCellMar>
    </w:tblPr>
  </w:style>
  <w:style w:type="table" w:customStyle="1" w:styleId="af1">
    <w:basedOn w:val="TableNormalc"/>
    <w:pPr>
      <w:spacing w:after="0" w:line="240" w:lineRule="auto"/>
    </w:pPr>
    <w:tblPr>
      <w:tblStyleRowBandSize w:val="1"/>
      <w:tblStyleColBandSize w:val="1"/>
      <w:tblCellMar>
        <w:left w:w="108" w:type="dxa"/>
        <w:right w:w="108" w:type="dxa"/>
      </w:tblCellMar>
    </w:tblPr>
  </w:style>
  <w:style w:type="table" w:customStyle="1" w:styleId="af2">
    <w:basedOn w:val="TableNormalc"/>
    <w:pPr>
      <w:spacing w:after="0" w:line="240" w:lineRule="auto"/>
    </w:pPr>
    <w:tblPr>
      <w:tblStyleRowBandSize w:val="1"/>
      <w:tblStyleColBandSize w:val="1"/>
      <w:tblCellMar>
        <w:left w:w="108" w:type="dxa"/>
        <w:right w:w="108" w:type="dxa"/>
      </w:tblCellMar>
    </w:tblPr>
  </w:style>
  <w:style w:type="table" w:customStyle="1" w:styleId="af3">
    <w:basedOn w:val="TableNormalb"/>
    <w:pPr>
      <w:spacing w:after="0" w:line="240" w:lineRule="auto"/>
    </w:pPr>
    <w:tblPr>
      <w:tblStyleRowBandSize w:val="1"/>
      <w:tblStyleColBandSize w:val="1"/>
      <w:tblCellMar>
        <w:left w:w="108" w:type="dxa"/>
        <w:right w:w="108" w:type="dxa"/>
      </w:tblCellMar>
    </w:tblPr>
  </w:style>
  <w:style w:type="table" w:customStyle="1" w:styleId="af4">
    <w:basedOn w:val="TableNormalb"/>
    <w:pPr>
      <w:spacing w:after="0" w:line="240" w:lineRule="auto"/>
    </w:pPr>
    <w:tblPr>
      <w:tblStyleRowBandSize w:val="1"/>
      <w:tblStyleColBandSize w:val="1"/>
      <w:tblCellMar>
        <w:left w:w="108" w:type="dxa"/>
        <w:right w:w="108" w:type="dxa"/>
      </w:tblCellMar>
    </w:tblPr>
  </w:style>
  <w:style w:type="table" w:customStyle="1" w:styleId="af5">
    <w:basedOn w:val="TableNormalb"/>
    <w:pPr>
      <w:spacing w:after="0" w:line="240" w:lineRule="auto"/>
    </w:pPr>
    <w:tblPr>
      <w:tblStyleRowBandSize w:val="1"/>
      <w:tblStyleColBandSize w:val="1"/>
      <w:tblCellMar>
        <w:left w:w="108" w:type="dxa"/>
        <w:right w:w="108" w:type="dxa"/>
      </w:tblCellMar>
    </w:tblPr>
  </w:style>
  <w:style w:type="table" w:customStyle="1" w:styleId="af6">
    <w:basedOn w:val="TableNormalb"/>
    <w:pPr>
      <w:spacing w:after="0" w:line="240" w:lineRule="auto"/>
    </w:pPr>
    <w:tblPr>
      <w:tblStyleRowBandSize w:val="1"/>
      <w:tblStyleColBandSize w:val="1"/>
      <w:tblCellMar>
        <w:left w:w="108" w:type="dxa"/>
        <w:right w:w="108" w:type="dxa"/>
      </w:tblCellMar>
    </w:tblPr>
  </w:style>
  <w:style w:type="table" w:customStyle="1" w:styleId="af7">
    <w:basedOn w:val="TableNormala"/>
    <w:pPr>
      <w:spacing w:after="0" w:line="240" w:lineRule="auto"/>
    </w:pPr>
    <w:tblPr>
      <w:tblStyleRowBandSize w:val="1"/>
      <w:tblStyleColBandSize w:val="1"/>
      <w:tblCellMar>
        <w:left w:w="108" w:type="dxa"/>
        <w:right w:w="108" w:type="dxa"/>
      </w:tblCellMar>
    </w:tblPr>
  </w:style>
  <w:style w:type="table" w:customStyle="1" w:styleId="af8">
    <w:basedOn w:val="TableNormala"/>
    <w:pPr>
      <w:spacing w:after="0" w:line="240" w:lineRule="auto"/>
    </w:pPr>
    <w:tblPr>
      <w:tblStyleRowBandSize w:val="1"/>
      <w:tblStyleColBandSize w:val="1"/>
      <w:tblCellMar>
        <w:left w:w="108" w:type="dxa"/>
        <w:right w:w="108" w:type="dxa"/>
      </w:tblCellMar>
    </w:tblPr>
  </w:style>
  <w:style w:type="table" w:customStyle="1" w:styleId="af9">
    <w:basedOn w:val="TableNormala"/>
    <w:pPr>
      <w:spacing w:after="0" w:line="240" w:lineRule="auto"/>
    </w:pPr>
    <w:tblPr>
      <w:tblStyleRowBandSize w:val="1"/>
      <w:tblStyleColBandSize w:val="1"/>
      <w:tblCellMar>
        <w:left w:w="108" w:type="dxa"/>
        <w:right w:w="108" w:type="dxa"/>
      </w:tblCellMar>
    </w:tblPr>
  </w:style>
  <w:style w:type="table" w:customStyle="1" w:styleId="afa">
    <w:basedOn w:val="TableNormala"/>
    <w:pPr>
      <w:spacing w:after="0" w:line="240" w:lineRule="auto"/>
    </w:pPr>
    <w:tblPr>
      <w:tblStyleRowBandSize w:val="1"/>
      <w:tblStyleColBandSize w:val="1"/>
      <w:tblCellMar>
        <w:left w:w="108" w:type="dxa"/>
        <w:right w:w="108" w:type="dxa"/>
      </w:tblCellMar>
    </w:tblPr>
  </w:style>
  <w:style w:type="table" w:customStyle="1" w:styleId="afb">
    <w:basedOn w:val="TableNormal9"/>
    <w:pPr>
      <w:spacing w:after="0" w:line="240" w:lineRule="auto"/>
    </w:pPr>
    <w:tblPr>
      <w:tblStyleRowBandSize w:val="1"/>
      <w:tblStyleColBandSize w:val="1"/>
      <w:tblCellMar>
        <w:left w:w="108" w:type="dxa"/>
        <w:right w:w="108" w:type="dxa"/>
      </w:tblCellMar>
    </w:tblPr>
  </w:style>
  <w:style w:type="table" w:customStyle="1" w:styleId="afc">
    <w:basedOn w:val="TableNormal9"/>
    <w:pPr>
      <w:spacing w:after="0" w:line="240" w:lineRule="auto"/>
    </w:pPr>
    <w:tblPr>
      <w:tblStyleRowBandSize w:val="1"/>
      <w:tblStyleColBandSize w:val="1"/>
      <w:tblCellMar>
        <w:left w:w="108" w:type="dxa"/>
        <w:right w:w="108" w:type="dxa"/>
      </w:tblCellMar>
    </w:tblPr>
  </w:style>
  <w:style w:type="table" w:customStyle="1" w:styleId="afd">
    <w:basedOn w:val="TableNormal9"/>
    <w:pPr>
      <w:spacing w:after="0" w:line="240" w:lineRule="auto"/>
    </w:pPr>
    <w:tblPr>
      <w:tblStyleRowBandSize w:val="1"/>
      <w:tblStyleColBandSize w:val="1"/>
      <w:tblCellMar>
        <w:left w:w="108" w:type="dxa"/>
        <w:right w:w="108" w:type="dxa"/>
      </w:tblCellMar>
    </w:tblPr>
  </w:style>
  <w:style w:type="table" w:customStyle="1" w:styleId="afe">
    <w:basedOn w:val="TableNormal9"/>
    <w:pPr>
      <w:spacing w:after="0" w:line="240" w:lineRule="auto"/>
    </w:pPr>
    <w:tblPr>
      <w:tblStyleRowBandSize w:val="1"/>
      <w:tblStyleColBandSize w:val="1"/>
      <w:tblCellMar>
        <w:left w:w="108" w:type="dxa"/>
        <w:right w:w="108" w:type="dxa"/>
      </w:tblCellMar>
    </w:tblPr>
  </w:style>
  <w:style w:type="table" w:customStyle="1" w:styleId="aff">
    <w:basedOn w:val="TableNormal8"/>
    <w:pPr>
      <w:spacing w:after="0" w:line="240" w:lineRule="auto"/>
    </w:pPr>
    <w:tblPr>
      <w:tblStyleRowBandSize w:val="1"/>
      <w:tblStyleColBandSize w:val="1"/>
      <w:tblCellMar>
        <w:left w:w="108" w:type="dxa"/>
        <w:right w:w="108" w:type="dxa"/>
      </w:tblCellMar>
    </w:tblPr>
  </w:style>
  <w:style w:type="table" w:customStyle="1" w:styleId="aff0">
    <w:basedOn w:val="TableNormal8"/>
    <w:pPr>
      <w:spacing w:after="0" w:line="240" w:lineRule="auto"/>
    </w:pPr>
    <w:tblPr>
      <w:tblStyleRowBandSize w:val="1"/>
      <w:tblStyleColBandSize w:val="1"/>
      <w:tblCellMar>
        <w:left w:w="108" w:type="dxa"/>
        <w:right w:w="108" w:type="dxa"/>
      </w:tblCellMar>
    </w:tblPr>
  </w:style>
  <w:style w:type="table" w:customStyle="1" w:styleId="aff1">
    <w:basedOn w:val="TableNormal8"/>
    <w:pPr>
      <w:spacing w:after="0" w:line="240" w:lineRule="auto"/>
    </w:pPr>
    <w:tblPr>
      <w:tblStyleRowBandSize w:val="1"/>
      <w:tblStyleColBandSize w:val="1"/>
      <w:tblCellMar>
        <w:left w:w="108" w:type="dxa"/>
        <w:right w:w="108" w:type="dxa"/>
      </w:tblCellMar>
    </w:tblPr>
  </w:style>
  <w:style w:type="table" w:customStyle="1" w:styleId="aff2">
    <w:basedOn w:val="TableNormal8"/>
    <w:pPr>
      <w:spacing w:after="0" w:line="240" w:lineRule="auto"/>
    </w:pPr>
    <w:tblPr>
      <w:tblStyleRowBandSize w:val="1"/>
      <w:tblStyleColBandSize w:val="1"/>
      <w:tblCellMar>
        <w:left w:w="108" w:type="dxa"/>
        <w:right w:w="108" w:type="dxa"/>
      </w:tblCellMar>
    </w:tblPr>
  </w:style>
  <w:style w:type="table" w:customStyle="1" w:styleId="aff3">
    <w:basedOn w:val="TableNormal7"/>
    <w:pPr>
      <w:spacing w:after="0" w:line="240" w:lineRule="auto"/>
    </w:pPr>
    <w:tblPr>
      <w:tblStyleRowBandSize w:val="1"/>
      <w:tblStyleColBandSize w:val="1"/>
      <w:tblCellMar>
        <w:left w:w="108" w:type="dxa"/>
        <w:right w:w="108" w:type="dxa"/>
      </w:tblCellMar>
    </w:tblPr>
  </w:style>
  <w:style w:type="table" w:customStyle="1" w:styleId="aff4">
    <w:basedOn w:val="TableNormal7"/>
    <w:pPr>
      <w:spacing w:after="0" w:line="240" w:lineRule="auto"/>
    </w:pPr>
    <w:tblPr>
      <w:tblStyleRowBandSize w:val="1"/>
      <w:tblStyleColBandSize w:val="1"/>
      <w:tblCellMar>
        <w:left w:w="108" w:type="dxa"/>
        <w:right w:w="108" w:type="dxa"/>
      </w:tblCellMar>
    </w:tblPr>
  </w:style>
  <w:style w:type="table" w:customStyle="1" w:styleId="aff5">
    <w:basedOn w:val="TableNormal7"/>
    <w:pPr>
      <w:spacing w:after="0" w:line="240" w:lineRule="auto"/>
    </w:pPr>
    <w:tblPr>
      <w:tblStyleRowBandSize w:val="1"/>
      <w:tblStyleColBandSize w:val="1"/>
      <w:tblCellMar>
        <w:left w:w="108" w:type="dxa"/>
        <w:right w:w="108" w:type="dxa"/>
      </w:tblCellMar>
    </w:tblPr>
  </w:style>
  <w:style w:type="table" w:customStyle="1" w:styleId="aff6">
    <w:basedOn w:val="TableNormal7"/>
    <w:pPr>
      <w:spacing w:after="0" w:line="240" w:lineRule="auto"/>
    </w:pPr>
    <w:tblPr>
      <w:tblStyleRowBandSize w:val="1"/>
      <w:tblStyleColBandSize w:val="1"/>
      <w:tblCellMar>
        <w:left w:w="108" w:type="dxa"/>
        <w:right w:w="108" w:type="dxa"/>
      </w:tblCellMar>
    </w:tblPr>
  </w:style>
  <w:style w:type="table" w:customStyle="1" w:styleId="aff7">
    <w:basedOn w:val="TableNormal6"/>
    <w:pPr>
      <w:spacing w:after="0" w:line="240" w:lineRule="auto"/>
    </w:pPr>
    <w:tblPr>
      <w:tblStyleRowBandSize w:val="1"/>
      <w:tblStyleColBandSize w:val="1"/>
      <w:tblCellMar>
        <w:left w:w="108" w:type="dxa"/>
        <w:right w:w="108" w:type="dxa"/>
      </w:tblCellMar>
    </w:tblPr>
  </w:style>
  <w:style w:type="table" w:customStyle="1" w:styleId="aff8">
    <w:basedOn w:val="TableNormal6"/>
    <w:pPr>
      <w:spacing w:after="0" w:line="240" w:lineRule="auto"/>
    </w:pPr>
    <w:tblPr>
      <w:tblStyleRowBandSize w:val="1"/>
      <w:tblStyleColBandSize w:val="1"/>
      <w:tblCellMar>
        <w:left w:w="108" w:type="dxa"/>
        <w:right w:w="108" w:type="dxa"/>
      </w:tblCellMar>
    </w:tblPr>
  </w:style>
  <w:style w:type="table" w:customStyle="1" w:styleId="aff9">
    <w:basedOn w:val="TableNormal6"/>
    <w:pPr>
      <w:spacing w:after="0" w:line="240" w:lineRule="auto"/>
    </w:pPr>
    <w:tblPr>
      <w:tblStyleRowBandSize w:val="1"/>
      <w:tblStyleColBandSize w:val="1"/>
      <w:tblCellMar>
        <w:left w:w="108" w:type="dxa"/>
        <w:right w:w="108" w:type="dxa"/>
      </w:tblCellMar>
    </w:tblPr>
  </w:style>
  <w:style w:type="table" w:customStyle="1" w:styleId="affa">
    <w:basedOn w:val="TableNormal6"/>
    <w:pPr>
      <w:spacing w:after="0" w:line="240" w:lineRule="auto"/>
    </w:pPr>
    <w:tblPr>
      <w:tblStyleRowBandSize w:val="1"/>
      <w:tblStyleColBandSize w:val="1"/>
      <w:tblCellMar>
        <w:left w:w="108" w:type="dxa"/>
        <w:right w:w="108" w:type="dxa"/>
      </w:tblCellMar>
    </w:tblPr>
  </w:style>
  <w:style w:type="table" w:customStyle="1" w:styleId="affb">
    <w:basedOn w:val="TableNormal6"/>
    <w:pPr>
      <w:spacing w:after="0" w:line="240" w:lineRule="auto"/>
    </w:pPr>
    <w:tblPr>
      <w:tblStyleRowBandSize w:val="1"/>
      <w:tblStyleColBandSize w:val="1"/>
      <w:tblCellMar>
        <w:left w:w="108" w:type="dxa"/>
        <w:right w:w="108" w:type="dxa"/>
      </w:tblCellMar>
    </w:tblPr>
  </w:style>
  <w:style w:type="table" w:customStyle="1" w:styleId="affc">
    <w:basedOn w:val="TableNormal6"/>
    <w:pPr>
      <w:spacing w:after="0" w:line="240" w:lineRule="auto"/>
    </w:pPr>
    <w:tblPr>
      <w:tblStyleRowBandSize w:val="1"/>
      <w:tblStyleColBandSize w:val="1"/>
      <w:tblCellMar>
        <w:left w:w="108" w:type="dxa"/>
        <w:right w:w="108" w:type="dxa"/>
      </w:tblCellMar>
    </w:tblPr>
  </w:style>
  <w:style w:type="table" w:customStyle="1" w:styleId="affd">
    <w:basedOn w:val="TableNormal6"/>
    <w:pPr>
      <w:spacing w:after="0" w:line="240" w:lineRule="auto"/>
    </w:pPr>
    <w:tblPr>
      <w:tblStyleRowBandSize w:val="1"/>
      <w:tblStyleColBandSize w:val="1"/>
      <w:tblCellMar>
        <w:left w:w="108" w:type="dxa"/>
        <w:right w:w="108" w:type="dxa"/>
      </w:tblCellMar>
    </w:tblPr>
  </w:style>
  <w:style w:type="table" w:customStyle="1" w:styleId="affe">
    <w:basedOn w:val="TableNormal6"/>
    <w:pPr>
      <w:spacing w:after="0" w:line="240" w:lineRule="auto"/>
    </w:pPr>
    <w:tblPr>
      <w:tblStyleRowBandSize w:val="1"/>
      <w:tblStyleColBandSize w:val="1"/>
      <w:tblCellMar>
        <w:left w:w="108" w:type="dxa"/>
        <w:right w:w="108" w:type="dxa"/>
      </w:tblCellMar>
    </w:tblPr>
  </w:style>
  <w:style w:type="table" w:customStyle="1" w:styleId="afff">
    <w:basedOn w:val="TableNormal6"/>
    <w:pPr>
      <w:spacing w:after="0" w:line="240" w:lineRule="auto"/>
    </w:pPr>
    <w:tblPr>
      <w:tblStyleRowBandSize w:val="1"/>
      <w:tblStyleColBandSize w:val="1"/>
      <w:tblCellMar>
        <w:left w:w="108" w:type="dxa"/>
        <w:right w:w="108" w:type="dxa"/>
      </w:tblCellMar>
    </w:tblPr>
  </w:style>
  <w:style w:type="table" w:customStyle="1" w:styleId="afff0">
    <w:basedOn w:val="TableNormal6"/>
    <w:pPr>
      <w:spacing w:after="0" w:line="240" w:lineRule="auto"/>
    </w:pPr>
    <w:tblPr>
      <w:tblStyleRowBandSize w:val="1"/>
      <w:tblStyleColBandSize w:val="1"/>
      <w:tblCellMar>
        <w:left w:w="108" w:type="dxa"/>
        <w:right w:w="108" w:type="dxa"/>
      </w:tblCellMar>
    </w:tblPr>
  </w:style>
  <w:style w:type="table" w:customStyle="1" w:styleId="afff1">
    <w:basedOn w:val="TableNormal6"/>
    <w:pPr>
      <w:spacing w:after="0" w:line="240" w:lineRule="auto"/>
    </w:pPr>
    <w:tblPr>
      <w:tblStyleRowBandSize w:val="1"/>
      <w:tblStyleColBandSize w:val="1"/>
      <w:tblCellMar>
        <w:left w:w="108" w:type="dxa"/>
        <w:right w:w="108" w:type="dxa"/>
      </w:tblCellMar>
    </w:tblPr>
  </w:style>
  <w:style w:type="table" w:customStyle="1" w:styleId="afff2">
    <w:basedOn w:val="TableNormal6"/>
    <w:pPr>
      <w:spacing w:after="0" w:line="240" w:lineRule="auto"/>
    </w:pPr>
    <w:tblPr>
      <w:tblStyleRowBandSize w:val="1"/>
      <w:tblStyleColBandSize w:val="1"/>
      <w:tblCellMar>
        <w:left w:w="108" w:type="dxa"/>
        <w:right w:w="108" w:type="dxa"/>
      </w:tblCellMar>
    </w:tblPr>
  </w:style>
  <w:style w:type="table" w:customStyle="1" w:styleId="afff3">
    <w:basedOn w:val="TableNormal6"/>
    <w:pPr>
      <w:spacing w:after="0" w:line="240" w:lineRule="auto"/>
    </w:pPr>
    <w:tblPr>
      <w:tblStyleRowBandSize w:val="1"/>
      <w:tblStyleColBandSize w:val="1"/>
      <w:tblCellMar>
        <w:left w:w="108" w:type="dxa"/>
        <w:right w:w="108" w:type="dxa"/>
      </w:tblCellMar>
    </w:tblPr>
  </w:style>
  <w:style w:type="table" w:customStyle="1" w:styleId="afff4">
    <w:basedOn w:val="TableNormal6"/>
    <w:pPr>
      <w:spacing w:after="0" w:line="240" w:lineRule="auto"/>
    </w:pPr>
    <w:tblPr>
      <w:tblStyleRowBandSize w:val="1"/>
      <w:tblStyleColBandSize w:val="1"/>
      <w:tblCellMar>
        <w:left w:w="108" w:type="dxa"/>
        <w:right w:w="108" w:type="dxa"/>
      </w:tblCellMar>
    </w:tblPr>
  </w:style>
  <w:style w:type="table" w:customStyle="1" w:styleId="afff5">
    <w:basedOn w:val="TableNormal6"/>
    <w:pPr>
      <w:spacing w:after="0" w:line="240" w:lineRule="auto"/>
    </w:pPr>
    <w:tblPr>
      <w:tblStyleRowBandSize w:val="1"/>
      <w:tblStyleColBandSize w:val="1"/>
      <w:tblCellMar>
        <w:left w:w="108" w:type="dxa"/>
        <w:right w:w="108" w:type="dxa"/>
      </w:tblCellMar>
    </w:tblPr>
  </w:style>
  <w:style w:type="table" w:customStyle="1" w:styleId="afff6">
    <w:basedOn w:val="TableNormal6"/>
    <w:pPr>
      <w:spacing w:after="0" w:line="240" w:lineRule="auto"/>
    </w:pPr>
    <w:tblPr>
      <w:tblStyleRowBandSize w:val="1"/>
      <w:tblStyleColBandSize w:val="1"/>
      <w:tblCellMar>
        <w:left w:w="108" w:type="dxa"/>
        <w:right w:w="108" w:type="dxa"/>
      </w:tblCellMar>
    </w:tblPr>
  </w:style>
  <w:style w:type="table" w:customStyle="1" w:styleId="afff7">
    <w:basedOn w:val="TableNormal6"/>
    <w:pPr>
      <w:spacing w:after="0" w:line="240" w:lineRule="auto"/>
    </w:pPr>
    <w:tblPr>
      <w:tblStyleRowBandSize w:val="1"/>
      <w:tblStyleColBandSize w:val="1"/>
      <w:tblCellMar>
        <w:left w:w="108" w:type="dxa"/>
        <w:right w:w="108" w:type="dxa"/>
      </w:tblCellMar>
    </w:tblPr>
  </w:style>
  <w:style w:type="table" w:customStyle="1" w:styleId="afff8">
    <w:basedOn w:val="TableNormal6"/>
    <w:pPr>
      <w:spacing w:after="0" w:line="240" w:lineRule="auto"/>
    </w:pPr>
    <w:tblPr>
      <w:tblStyleRowBandSize w:val="1"/>
      <w:tblStyleColBandSize w:val="1"/>
      <w:tblCellMar>
        <w:left w:w="108" w:type="dxa"/>
        <w:right w:w="108" w:type="dxa"/>
      </w:tblCellMar>
    </w:tblPr>
  </w:style>
  <w:style w:type="table" w:customStyle="1" w:styleId="afff9">
    <w:basedOn w:val="TableNormal6"/>
    <w:pPr>
      <w:spacing w:after="0" w:line="240" w:lineRule="auto"/>
    </w:pPr>
    <w:tblPr>
      <w:tblStyleRowBandSize w:val="1"/>
      <w:tblStyleColBandSize w:val="1"/>
      <w:tblCellMar>
        <w:left w:w="108" w:type="dxa"/>
        <w:right w:w="108" w:type="dxa"/>
      </w:tblCellMar>
    </w:tblPr>
  </w:style>
  <w:style w:type="table" w:customStyle="1" w:styleId="afffa">
    <w:basedOn w:val="TableNormal6"/>
    <w:pPr>
      <w:spacing w:after="0" w:line="240" w:lineRule="auto"/>
    </w:pPr>
    <w:tblPr>
      <w:tblStyleRowBandSize w:val="1"/>
      <w:tblStyleColBandSize w:val="1"/>
      <w:tblCellMar>
        <w:left w:w="108" w:type="dxa"/>
        <w:right w:w="108" w:type="dxa"/>
      </w:tblCellMar>
    </w:tblPr>
  </w:style>
  <w:style w:type="table" w:customStyle="1" w:styleId="afffb">
    <w:basedOn w:val="TableNormal6"/>
    <w:pPr>
      <w:spacing w:after="0" w:line="240" w:lineRule="auto"/>
    </w:pPr>
    <w:tblPr>
      <w:tblStyleRowBandSize w:val="1"/>
      <w:tblStyleColBandSize w:val="1"/>
      <w:tblCellMar>
        <w:left w:w="108" w:type="dxa"/>
        <w:right w:w="108" w:type="dxa"/>
      </w:tblCellMar>
    </w:tblPr>
  </w:style>
  <w:style w:type="table" w:customStyle="1" w:styleId="afffc">
    <w:basedOn w:val="TableNormal6"/>
    <w:pPr>
      <w:spacing w:after="0" w:line="240" w:lineRule="auto"/>
    </w:pPr>
    <w:tblPr>
      <w:tblStyleRowBandSize w:val="1"/>
      <w:tblStyleColBandSize w:val="1"/>
      <w:tblCellMar>
        <w:left w:w="108" w:type="dxa"/>
        <w:right w:w="108" w:type="dxa"/>
      </w:tblCellMar>
    </w:tblPr>
  </w:style>
  <w:style w:type="table" w:customStyle="1" w:styleId="afffd">
    <w:basedOn w:val="TableNormal5"/>
    <w:pPr>
      <w:spacing w:after="0" w:line="240" w:lineRule="auto"/>
    </w:pPr>
    <w:tblPr>
      <w:tblStyleRowBandSize w:val="1"/>
      <w:tblStyleColBandSize w:val="1"/>
      <w:tblCellMar>
        <w:left w:w="108" w:type="dxa"/>
        <w:right w:w="108" w:type="dxa"/>
      </w:tblCellMar>
    </w:tblPr>
  </w:style>
  <w:style w:type="table" w:customStyle="1" w:styleId="afffe">
    <w:basedOn w:val="TableNormal5"/>
    <w:pPr>
      <w:spacing w:after="0" w:line="240" w:lineRule="auto"/>
    </w:pPr>
    <w:tblPr>
      <w:tblStyleRowBandSize w:val="1"/>
      <w:tblStyleColBandSize w:val="1"/>
      <w:tblCellMar>
        <w:left w:w="108" w:type="dxa"/>
        <w:right w:w="108" w:type="dxa"/>
      </w:tblCellMar>
    </w:tblPr>
  </w:style>
  <w:style w:type="table" w:customStyle="1" w:styleId="affff">
    <w:basedOn w:val="TableNormal5"/>
    <w:pPr>
      <w:spacing w:after="0" w:line="240" w:lineRule="auto"/>
    </w:pPr>
    <w:tblPr>
      <w:tblStyleRowBandSize w:val="1"/>
      <w:tblStyleColBandSize w:val="1"/>
      <w:tblCellMar>
        <w:left w:w="108" w:type="dxa"/>
        <w:right w:w="108" w:type="dxa"/>
      </w:tblCellMar>
    </w:tblPr>
  </w:style>
  <w:style w:type="table" w:customStyle="1" w:styleId="affff0">
    <w:basedOn w:val="TableNormal5"/>
    <w:pPr>
      <w:spacing w:after="0" w:line="240" w:lineRule="auto"/>
    </w:pPr>
    <w:tblPr>
      <w:tblStyleRowBandSize w:val="1"/>
      <w:tblStyleColBandSize w:val="1"/>
      <w:tblCellMar>
        <w:left w:w="108" w:type="dxa"/>
        <w:right w:w="108" w:type="dxa"/>
      </w:tblCellMar>
    </w:tblPr>
  </w:style>
  <w:style w:type="table" w:customStyle="1" w:styleId="affff1">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4"/>
    <w:pPr>
      <w:spacing w:after="0" w:line="240" w:lineRule="auto"/>
    </w:pPr>
    <w:tblPr>
      <w:tblStyleRowBandSize w:val="1"/>
      <w:tblStyleColBandSize w:val="1"/>
      <w:tblCellMar>
        <w:left w:w="108" w:type="dxa"/>
        <w:right w:w="108" w:type="dxa"/>
      </w:tblCellMar>
    </w:tblPr>
  </w:style>
  <w:style w:type="table" w:customStyle="1" w:styleId="affff3">
    <w:basedOn w:val="TableNormal4"/>
    <w:pPr>
      <w:spacing w:after="0" w:line="240" w:lineRule="auto"/>
    </w:pPr>
    <w:tblPr>
      <w:tblStyleRowBandSize w:val="1"/>
      <w:tblStyleColBandSize w:val="1"/>
      <w:tblCellMar>
        <w:left w:w="108" w:type="dxa"/>
        <w:right w:w="108" w:type="dxa"/>
      </w:tblCellMar>
    </w:tblPr>
  </w:style>
  <w:style w:type="table" w:customStyle="1" w:styleId="affff4">
    <w:basedOn w:val="TableNormal4"/>
    <w:pPr>
      <w:spacing w:after="0" w:line="240" w:lineRule="auto"/>
    </w:pPr>
    <w:tblPr>
      <w:tblStyleRowBandSize w:val="1"/>
      <w:tblStyleColBandSize w:val="1"/>
      <w:tblCellMar>
        <w:left w:w="108" w:type="dxa"/>
        <w:right w:w="108" w:type="dxa"/>
      </w:tblCellMar>
    </w:tblPr>
  </w:style>
  <w:style w:type="table" w:customStyle="1" w:styleId="affff5">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3"/>
    <w:pPr>
      <w:spacing w:after="0" w:line="240" w:lineRule="auto"/>
    </w:pPr>
    <w:tblPr>
      <w:tblStyleRowBandSize w:val="1"/>
      <w:tblStyleColBandSize w:val="1"/>
      <w:tblCellMar>
        <w:left w:w="108" w:type="dxa"/>
        <w:right w:w="108" w:type="dxa"/>
      </w:tblCellMar>
    </w:tblPr>
  </w:style>
  <w:style w:type="table" w:customStyle="1" w:styleId="affff7">
    <w:basedOn w:val="TableNormal3"/>
    <w:pPr>
      <w:spacing w:after="0" w:line="240" w:lineRule="auto"/>
    </w:pPr>
    <w:tblPr>
      <w:tblStyleRowBandSize w:val="1"/>
      <w:tblStyleColBandSize w:val="1"/>
      <w:tblCellMar>
        <w:left w:w="108" w:type="dxa"/>
        <w:right w:w="108" w:type="dxa"/>
      </w:tblCellMar>
    </w:tblPr>
  </w:style>
  <w:style w:type="table" w:customStyle="1" w:styleId="affff8">
    <w:basedOn w:val="TableNormal3"/>
    <w:pPr>
      <w:spacing w:after="0" w:line="240" w:lineRule="auto"/>
    </w:pPr>
    <w:tblPr>
      <w:tblStyleRowBandSize w:val="1"/>
      <w:tblStyleColBandSize w:val="1"/>
      <w:tblCellMar>
        <w:left w:w="108" w:type="dxa"/>
        <w:right w:w="108" w:type="dxa"/>
      </w:tblCellMar>
    </w:tblPr>
  </w:style>
  <w:style w:type="table" w:customStyle="1" w:styleId="affff9">
    <w:basedOn w:val="TableNormal3"/>
    <w:pPr>
      <w:spacing w:after="0" w:line="240" w:lineRule="auto"/>
    </w:pPr>
    <w:tblPr>
      <w:tblStyleRowBandSize w:val="1"/>
      <w:tblStyleColBandSize w:val="1"/>
      <w:tblCellMar>
        <w:left w:w="108" w:type="dxa"/>
        <w:right w:w="108" w:type="dxa"/>
      </w:tblCellMar>
    </w:tblPr>
  </w:style>
  <w:style w:type="table" w:customStyle="1" w:styleId="affffa">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2"/>
    <w:pPr>
      <w:spacing w:after="0" w:line="240" w:lineRule="auto"/>
    </w:pPr>
    <w:tblPr>
      <w:tblStyleRowBandSize w:val="1"/>
      <w:tblStyleColBandSize w:val="1"/>
      <w:tblCellMar>
        <w:left w:w="108" w:type="dxa"/>
        <w:right w:w="108" w:type="dxa"/>
      </w:tblCellMar>
    </w:tblPr>
  </w:style>
  <w:style w:type="table" w:customStyle="1" w:styleId="affffc">
    <w:basedOn w:val="TableNormal2"/>
    <w:pPr>
      <w:spacing w:after="0" w:line="240" w:lineRule="auto"/>
    </w:pPr>
    <w:tblPr>
      <w:tblStyleRowBandSize w:val="1"/>
      <w:tblStyleColBandSize w:val="1"/>
      <w:tblCellMar>
        <w:left w:w="108" w:type="dxa"/>
        <w:right w:w="108" w:type="dxa"/>
      </w:tblCellMar>
    </w:tblPr>
  </w:style>
  <w:style w:type="table" w:customStyle="1" w:styleId="affffd">
    <w:basedOn w:val="TableNormal2"/>
    <w:pPr>
      <w:spacing w:after="0" w:line="240" w:lineRule="auto"/>
    </w:pPr>
    <w:tblPr>
      <w:tblStyleRowBandSize w:val="1"/>
      <w:tblStyleColBandSize w:val="1"/>
      <w:tblCellMar>
        <w:left w:w="108" w:type="dxa"/>
        <w:right w:w="108" w:type="dxa"/>
      </w:tblCellMar>
    </w:tblPr>
  </w:style>
  <w:style w:type="table" w:customStyle="1" w:styleId="affffe">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B755C"/>
    <w:rPr>
      <w:color w:val="605E5C"/>
      <w:shd w:val="clear" w:color="auto" w:fill="E1DFDD"/>
    </w:rPr>
  </w:style>
  <w:style w:type="table" w:customStyle="1" w:styleId="afffff">
    <w:basedOn w:val="TableNormal1"/>
    <w:pPr>
      <w:spacing w:after="0" w:line="240" w:lineRule="auto"/>
    </w:pPr>
    <w:tblPr>
      <w:tblStyleRowBandSize w:val="1"/>
      <w:tblStyleColBandSize w:val="1"/>
      <w:tblCellMar>
        <w:left w:w="108" w:type="dxa"/>
        <w:right w:w="108" w:type="dxa"/>
      </w:tblCellMar>
    </w:tblPr>
  </w:style>
  <w:style w:type="table" w:customStyle="1" w:styleId="afffff0">
    <w:basedOn w:val="TableNormal1"/>
    <w:pPr>
      <w:spacing w:after="0" w:line="240" w:lineRule="auto"/>
    </w:pPr>
    <w:tblPr>
      <w:tblStyleRowBandSize w:val="1"/>
      <w:tblStyleColBandSize w:val="1"/>
      <w:tblCellMar>
        <w:left w:w="108" w:type="dxa"/>
        <w:right w:w="108" w:type="dxa"/>
      </w:tblCellMar>
    </w:tblPr>
  </w:style>
  <w:style w:type="table" w:customStyle="1" w:styleId="afffff1">
    <w:basedOn w:val="TableNormal1"/>
    <w:pPr>
      <w:spacing w:after="0" w:line="240" w:lineRule="auto"/>
    </w:pPr>
    <w:tblPr>
      <w:tblStyleRowBandSize w:val="1"/>
      <w:tblStyleColBandSize w:val="1"/>
      <w:tblCellMar>
        <w:left w:w="108" w:type="dxa"/>
        <w:right w:w="108" w:type="dxa"/>
      </w:tblCellMar>
    </w:tblPr>
  </w:style>
  <w:style w:type="table" w:customStyle="1" w:styleId="afffff2">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D19D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3">
    <w:basedOn w:val="TableNormal0"/>
    <w:pPr>
      <w:spacing w:after="0" w:line="240" w:lineRule="auto"/>
    </w:pPr>
    <w:tblPr>
      <w:tblStyleRowBandSize w:val="1"/>
      <w:tblStyleColBandSize w:val="1"/>
      <w:tblCellMar>
        <w:left w:w="108" w:type="dxa"/>
        <w:right w:w="108" w:type="dxa"/>
      </w:tblCellMar>
    </w:tblPr>
  </w:style>
  <w:style w:type="table" w:customStyle="1" w:styleId="afffff4">
    <w:basedOn w:val="TableNormal0"/>
    <w:pPr>
      <w:spacing w:after="0" w:line="240" w:lineRule="auto"/>
    </w:pPr>
    <w:tblPr>
      <w:tblStyleRowBandSize w:val="1"/>
      <w:tblStyleColBandSize w:val="1"/>
      <w:tblCellMar>
        <w:left w:w="108" w:type="dxa"/>
        <w:right w:w="108" w:type="dxa"/>
      </w:tblCellMar>
    </w:tblPr>
  </w:style>
  <w:style w:type="table" w:customStyle="1" w:styleId="afffff5">
    <w:basedOn w:val="TableNormal0"/>
    <w:pPr>
      <w:spacing w:after="0" w:line="240" w:lineRule="auto"/>
    </w:pPr>
    <w:tblPr>
      <w:tblStyleRowBandSize w:val="1"/>
      <w:tblStyleColBandSize w:val="1"/>
      <w:tblCellMar>
        <w:left w:w="108" w:type="dxa"/>
        <w:right w:w="108" w:type="dxa"/>
      </w:tblCellMar>
    </w:tblPr>
  </w:style>
  <w:style w:type="table" w:customStyle="1" w:styleId="afffff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dKl+aOtFIzTK5f238Hu0ny9mNw==">CgMxLjAyDmguNXNhZGh3YmpsNm14MghoLmdqZGd4czIOaC52a21lemN6aG5sZm0yDmguYndtb3ptaXJlc2lhMg5oLjlvYThxaHNkbWpqcDIJaC4yZXQ5MnAwMg5oLmV5eTVxa3VnYzk5dTIOaC5mdGZxMnN0NXd3aGMyDmgucXlrdHk0aWZyZmx6Mg5oLmVwbzh2aDdxdGMzeDIOaC45eWR5aHNuaXYxcmEyDmguYm9jenVobDZjZmg1Mg5oLjh2YTVnNms0em1qdjIOaC5uNDIzN3V3MWJ3ZGUyDmguN3dzanU0b3VvYmJ6Mg5oLmFyZ3kyMXFua21ocjgAciExakdDQ25EVHh1VjYwV200ZXRlNGozcDJvck41dExoX1Q=</go:docsCustomData>
</go:gDocsCustomXmlDataStorage>
</file>

<file path=customXml/itemProps1.xml><?xml version="1.0" encoding="utf-8"?>
<ds:datastoreItem xmlns:ds="http://schemas.openxmlformats.org/officeDocument/2006/customXml" ds:itemID="{C81E78B4-98B2-43FB-8D95-F91C68C3E4D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5088</Words>
  <Characters>27990</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2026-01-16T16:51:00Z</cp:lastPrinted>
  <dcterms:created xsi:type="dcterms:W3CDTF">2026-01-16T16:51:00Z</dcterms:created>
  <dcterms:modified xsi:type="dcterms:W3CDTF">2026-03-12T22:30:00Z</dcterms:modified>
</cp:coreProperties>
</file>