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B5A19" w14:textId="7A8544E3" w:rsidR="00422AF6" w:rsidRPr="00D4456A" w:rsidRDefault="00C7564A" w:rsidP="007368CB">
      <w:pPr>
        <w:tabs>
          <w:tab w:val="left" w:pos="2552"/>
        </w:tabs>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Resolución </w:t>
      </w:r>
      <w:r w:rsidR="0067296C" w:rsidRPr="00D4456A">
        <w:rPr>
          <w:rFonts w:ascii="Palatino Linotype" w:eastAsia="Palatino Linotype" w:hAnsi="Palatino Linotype" w:cs="Palatino Linotype"/>
          <w:sz w:val="22"/>
          <w:szCs w:val="22"/>
        </w:rPr>
        <w:t xml:space="preserve">del Pleno del Instituto de Transparencia, Acceso a la Información Pública y Protección de Datos Personales del Estado de México y Municipios, con domicilio en Metepec, Estado de México, de fecha </w:t>
      </w:r>
      <w:r w:rsidR="001F0EED" w:rsidRPr="00D4456A">
        <w:rPr>
          <w:rFonts w:ascii="Palatino Linotype" w:eastAsia="Palatino Linotype" w:hAnsi="Palatino Linotype" w:cs="Palatino Linotype"/>
          <w:b/>
          <w:sz w:val="22"/>
          <w:szCs w:val="22"/>
        </w:rPr>
        <w:t>veinti</w:t>
      </w:r>
      <w:r w:rsidR="006A267D" w:rsidRPr="00D4456A">
        <w:rPr>
          <w:rFonts w:ascii="Palatino Linotype" w:eastAsia="Palatino Linotype" w:hAnsi="Palatino Linotype" w:cs="Palatino Linotype"/>
          <w:b/>
          <w:sz w:val="22"/>
          <w:szCs w:val="22"/>
        </w:rPr>
        <w:t>cuatro</w:t>
      </w:r>
      <w:r w:rsidR="007613B2" w:rsidRPr="00D4456A">
        <w:rPr>
          <w:rFonts w:ascii="Palatino Linotype" w:eastAsia="Palatino Linotype" w:hAnsi="Palatino Linotype" w:cs="Palatino Linotype"/>
          <w:b/>
          <w:sz w:val="22"/>
          <w:szCs w:val="22"/>
        </w:rPr>
        <w:t xml:space="preserve"> de septiembre</w:t>
      </w:r>
      <w:r w:rsidR="0078769C" w:rsidRPr="00D4456A">
        <w:rPr>
          <w:rFonts w:ascii="Palatino Linotype" w:eastAsia="Palatino Linotype" w:hAnsi="Palatino Linotype" w:cs="Palatino Linotype"/>
          <w:b/>
          <w:sz w:val="22"/>
          <w:szCs w:val="22"/>
        </w:rPr>
        <w:t xml:space="preserve"> de dos mil veinti</w:t>
      </w:r>
      <w:r w:rsidR="000A77B7" w:rsidRPr="00D4456A">
        <w:rPr>
          <w:rFonts w:ascii="Palatino Linotype" w:eastAsia="Palatino Linotype" w:hAnsi="Palatino Linotype" w:cs="Palatino Linotype"/>
          <w:b/>
          <w:sz w:val="22"/>
          <w:szCs w:val="22"/>
        </w:rPr>
        <w:t>séis</w:t>
      </w:r>
      <w:r w:rsidR="0078769C" w:rsidRPr="00D4456A">
        <w:rPr>
          <w:rFonts w:ascii="Palatino Linotype" w:eastAsia="Palatino Linotype" w:hAnsi="Palatino Linotype" w:cs="Palatino Linotype"/>
          <w:b/>
          <w:sz w:val="22"/>
          <w:szCs w:val="22"/>
        </w:rPr>
        <w:t>.</w:t>
      </w:r>
    </w:p>
    <w:p w14:paraId="08D59E83" w14:textId="680AECE9" w:rsidR="00422AF6" w:rsidRPr="00D4456A" w:rsidRDefault="0067296C" w:rsidP="007368CB">
      <w:pPr>
        <w:tabs>
          <w:tab w:val="left" w:pos="2552"/>
        </w:tabs>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 xml:space="preserve">VISTO </w:t>
      </w:r>
      <w:r w:rsidRPr="00D4456A">
        <w:rPr>
          <w:rFonts w:ascii="Palatino Linotype" w:eastAsia="Palatino Linotype" w:hAnsi="Palatino Linotype" w:cs="Palatino Linotype"/>
          <w:sz w:val="22"/>
          <w:szCs w:val="22"/>
        </w:rPr>
        <w:t xml:space="preserve">el expediente relativo al recurso de revisión </w:t>
      </w:r>
      <w:r w:rsidR="00032143" w:rsidRPr="00D4456A">
        <w:rPr>
          <w:rFonts w:ascii="Palatino Linotype" w:eastAsia="Palatino Linotype" w:hAnsi="Palatino Linotype" w:cs="Palatino Linotype"/>
          <w:b/>
          <w:color w:val="000000"/>
          <w:sz w:val="22"/>
          <w:szCs w:val="22"/>
        </w:rPr>
        <w:t>07534/INFOEM/IP/RR/2026</w:t>
      </w:r>
      <w:r w:rsidRPr="00D4456A">
        <w:rPr>
          <w:rFonts w:ascii="Palatino Linotype" w:eastAsia="Palatino Linotype" w:hAnsi="Palatino Linotype" w:cs="Palatino Linotype"/>
          <w:b/>
          <w:color w:val="000000"/>
          <w:sz w:val="22"/>
          <w:szCs w:val="22"/>
        </w:rPr>
        <w:t xml:space="preserve">, </w:t>
      </w:r>
      <w:r w:rsidRPr="00D4456A">
        <w:rPr>
          <w:rFonts w:ascii="Palatino Linotype" w:eastAsia="Palatino Linotype" w:hAnsi="Palatino Linotype" w:cs="Palatino Linotype"/>
          <w:sz w:val="22"/>
          <w:szCs w:val="22"/>
        </w:rPr>
        <w:t xml:space="preserve">interpuesto por </w:t>
      </w:r>
      <w:r w:rsidR="007070E9" w:rsidRPr="007070E9">
        <w:rPr>
          <w:rFonts w:ascii="Palatino Linotype" w:eastAsia="Palatino Linotype" w:hAnsi="Palatino Linotype" w:cs="Palatino Linotype"/>
          <w:b/>
          <w:color w:val="000000"/>
          <w:sz w:val="22"/>
          <w:szCs w:val="22"/>
        </w:rPr>
        <w:t>XXXXXX XXXXXX XXXX</w:t>
      </w:r>
      <w:r w:rsidRPr="007070E9">
        <w:rPr>
          <w:rFonts w:ascii="Palatino Linotype" w:eastAsia="Palatino Linotype" w:hAnsi="Palatino Linotype" w:cs="Palatino Linotype"/>
          <w:b/>
          <w:color w:val="000000"/>
          <w:sz w:val="22"/>
          <w:szCs w:val="22"/>
        </w:rPr>
        <w:t>,</w:t>
      </w:r>
      <w:r w:rsidRPr="00D4456A">
        <w:rPr>
          <w:rFonts w:ascii="Palatino Linotype" w:eastAsia="Palatino Linotype" w:hAnsi="Palatino Linotype" w:cs="Palatino Linotype"/>
          <w:sz w:val="22"/>
          <w:szCs w:val="22"/>
        </w:rPr>
        <w:t xml:space="preserve"> en lo sucesivo la parte </w:t>
      </w:r>
      <w:r w:rsidRPr="00D4456A">
        <w:rPr>
          <w:rFonts w:ascii="Palatino Linotype" w:eastAsia="Palatino Linotype" w:hAnsi="Palatino Linotype" w:cs="Palatino Linotype"/>
          <w:b/>
          <w:sz w:val="22"/>
          <w:szCs w:val="22"/>
        </w:rPr>
        <w:t>Recurrente</w:t>
      </w:r>
      <w:r w:rsidRPr="00D4456A">
        <w:rPr>
          <w:rFonts w:ascii="Palatino Linotype" w:eastAsia="Palatino Linotype" w:hAnsi="Palatino Linotype" w:cs="Palatino Linotype"/>
          <w:sz w:val="22"/>
          <w:szCs w:val="22"/>
        </w:rPr>
        <w:t>, en contra de la respuesta a la solicitud de información por parte de</w:t>
      </w:r>
      <w:r w:rsidR="00873147" w:rsidRPr="00D4456A">
        <w:rPr>
          <w:rFonts w:ascii="Palatino Linotype" w:eastAsia="Palatino Linotype" w:hAnsi="Palatino Linotype" w:cs="Palatino Linotype"/>
          <w:sz w:val="22"/>
          <w:szCs w:val="22"/>
        </w:rPr>
        <w:t>l</w:t>
      </w:r>
      <w:r w:rsidRPr="00D4456A">
        <w:rPr>
          <w:rFonts w:ascii="Palatino Linotype" w:eastAsia="Palatino Linotype" w:hAnsi="Palatino Linotype" w:cs="Palatino Linotype"/>
          <w:sz w:val="22"/>
          <w:szCs w:val="22"/>
        </w:rPr>
        <w:t xml:space="preserve"> </w:t>
      </w:r>
      <w:r w:rsidR="00032143" w:rsidRPr="00D4456A">
        <w:rPr>
          <w:rFonts w:ascii="Palatino Linotype" w:eastAsia="Palatino Linotype" w:hAnsi="Palatino Linotype" w:cs="Palatino Linotype"/>
          <w:b/>
          <w:color w:val="000000"/>
          <w:sz w:val="22"/>
          <w:szCs w:val="22"/>
        </w:rPr>
        <w:t>Ayuntamiento de Juchitepec</w:t>
      </w:r>
      <w:r w:rsidRPr="00D4456A">
        <w:rPr>
          <w:rFonts w:ascii="Palatino Linotype" w:eastAsia="Palatino Linotype" w:hAnsi="Palatino Linotype" w:cs="Palatino Linotype"/>
          <w:sz w:val="22"/>
          <w:szCs w:val="22"/>
        </w:rPr>
        <w:t xml:space="preserve">, en lo sucesivo el </w:t>
      </w:r>
      <w:r w:rsidRPr="00D4456A">
        <w:rPr>
          <w:rFonts w:ascii="Palatino Linotype" w:eastAsia="Palatino Linotype" w:hAnsi="Palatino Linotype" w:cs="Palatino Linotype"/>
          <w:b/>
          <w:sz w:val="22"/>
          <w:szCs w:val="22"/>
        </w:rPr>
        <w:t xml:space="preserve">Sujeto Obligado; </w:t>
      </w:r>
      <w:r w:rsidRPr="00D4456A">
        <w:rPr>
          <w:rFonts w:ascii="Palatino Linotype" w:eastAsia="Palatino Linotype" w:hAnsi="Palatino Linotype" w:cs="Palatino Linotype"/>
          <w:sz w:val="22"/>
          <w:szCs w:val="22"/>
        </w:rPr>
        <w:t>se procede a dictar la presente resolución, con base en lo siguiente.</w:t>
      </w:r>
    </w:p>
    <w:p w14:paraId="062EC017" w14:textId="1813EC27" w:rsidR="00422AF6" w:rsidRPr="00D4456A" w:rsidRDefault="0067296C" w:rsidP="007368CB">
      <w:pPr>
        <w:pStyle w:val="Prrafodelista"/>
        <w:numPr>
          <w:ilvl w:val="0"/>
          <w:numId w:val="5"/>
        </w:numPr>
        <w:tabs>
          <w:tab w:val="left" w:pos="2552"/>
        </w:tabs>
        <w:spacing w:before="240" w:after="240" w:line="360" w:lineRule="auto"/>
        <w:ind w:right="49"/>
        <w:jc w:val="center"/>
        <w:rPr>
          <w:rFonts w:ascii="Palatino Linotype" w:eastAsia="Palatino Linotype" w:hAnsi="Palatino Linotype" w:cs="Palatino Linotype"/>
          <w:b/>
          <w:sz w:val="22"/>
          <w:szCs w:val="22"/>
        </w:rPr>
      </w:pPr>
      <w:r w:rsidRPr="00D4456A">
        <w:rPr>
          <w:rFonts w:ascii="Palatino Linotype" w:eastAsia="Palatino Linotype" w:hAnsi="Palatino Linotype" w:cs="Palatino Linotype"/>
          <w:b/>
          <w:sz w:val="22"/>
          <w:szCs w:val="22"/>
        </w:rPr>
        <w:t>A N T E C E D E N T E S</w:t>
      </w:r>
    </w:p>
    <w:p w14:paraId="73BDB0E5" w14:textId="4BCF95CB"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1.</w:t>
      </w:r>
      <w:r w:rsidRPr="00D4456A">
        <w:rPr>
          <w:rFonts w:ascii="Palatino Linotype" w:eastAsia="Palatino Linotype" w:hAnsi="Palatino Linotype" w:cs="Palatino Linotype"/>
          <w:sz w:val="22"/>
          <w:szCs w:val="22"/>
        </w:rPr>
        <w:t xml:space="preserve"> </w:t>
      </w:r>
      <w:r w:rsidRPr="00D4456A">
        <w:rPr>
          <w:rFonts w:ascii="Palatino Linotype" w:eastAsia="Palatino Linotype" w:hAnsi="Palatino Linotype" w:cs="Palatino Linotype"/>
          <w:b/>
          <w:sz w:val="22"/>
          <w:szCs w:val="22"/>
        </w:rPr>
        <w:t xml:space="preserve">Solicitud de Acceso a la Información. El </w:t>
      </w:r>
      <w:r w:rsidR="00032143" w:rsidRPr="00D4456A">
        <w:rPr>
          <w:rFonts w:ascii="Palatino Linotype" w:eastAsia="Palatino Linotype" w:hAnsi="Palatino Linotype" w:cs="Palatino Linotype"/>
          <w:b/>
          <w:sz w:val="22"/>
          <w:szCs w:val="22"/>
        </w:rPr>
        <w:t>once</w:t>
      </w:r>
      <w:r w:rsidR="00873147" w:rsidRPr="00D4456A">
        <w:rPr>
          <w:rFonts w:ascii="Palatino Linotype" w:eastAsia="Palatino Linotype" w:hAnsi="Palatino Linotype" w:cs="Palatino Linotype"/>
          <w:b/>
          <w:sz w:val="22"/>
          <w:szCs w:val="22"/>
        </w:rPr>
        <w:t xml:space="preserve"> de </w:t>
      </w:r>
      <w:r w:rsidR="001F0EED" w:rsidRPr="00D4456A">
        <w:rPr>
          <w:rFonts w:ascii="Palatino Linotype" w:eastAsia="Palatino Linotype" w:hAnsi="Palatino Linotype" w:cs="Palatino Linotype"/>
          <w:b/>
          <w:sz w:val="22"/>
          <w:szCs w:val="22"/>
        </w:rPr>
        <w:t>junio</w:t>
      </w:r>
      <w:r w:rsidR="000A77B7" w:rsidRPr="00D4456A">
        <w:rPr>
          <w:rFonts w:ascii="Palatino Linotype" w:eastAsia="Palatino Linotype" w:hAnsi="Palatino Linotype" w:cs="Palatino Linotype"/>
          <w:b/>
          <w:sz w:val="22"/>
          <w:szCs w:val="22"/>
        </w:rPr>
        <w:t xml:space="preserve"> de dos mil veintiséis</w:t>
      </w:r>
      <w:r w:rsidRPr="00D4456A">
        <w:rPr>
          <w:rFonts w:ascii="Palatino Linotype" w:eastAsia="Palatino Linotype" w:hAnsi="Palatino Linotype" w:cs="Palatino Linotype"/>
          <w:sz w:val="22"/>
          <w:szCs w:val="22"/>
        </w:rPr>
        <w:t xml:space="preserve">, </w:t>
      </w:r>
      <w:r w:rsidR="000A77B7" w:rsidRPr="00D4456A">
        <w:rPr>
          <w:rFonts w:ascii="Palatino Linotype" w:eastAsia="Palatino Linotype" w:hAnsi="Palatino Linotype" w:cs="Palatino Linotype"/>
          <w:sz w:val="22"/>
          <w:szCs w:val="22"/>
        </w:rPr>
        <w:t>la</w:t>
      </w:r>
      <w:r w:rsidRPr="00D4456A">
        <w:rPr>
          <w:rFonts w:ascii="Palatino Linotype" w:eastAsia="Palatino Linotype" w:hAnsi="Palatino Linotype" w:cs="Palatino Linotype"/>
          <w:b/>
          <w:sz w:val="22"/>
          <w:szCs w:val="22"/>
        </w:rPr>
        <w:t xml:space="preserve"> </w:t>
      </w:r>
      <w:r w:rsidR="000A77B7" w:rsidRPr="00D4456A">
        <w:rPr>
          <w:rFonts w:ascii="Palatino Linotype" w:eastAsia="Palatino Linotype" w:hAnsi="Palatino Linotype" w:cs="Palatino Linotype"/>
          <w:bCs/>
          <w:sz w:val="22"/>
          <w:szCs w:val="22"/>
        </w:rPr>
        <w:t xml:space="preserve">parte </w:t>
      </w:r>
      <w:r w:rsidR="000A77B7" w:rsidRPr="00D4456A">
        <w:rPr>
          <w:rFonts w:ascii="Palatino Linotype" w:eastAsia="Palatino Linotype" w:hAnsi="Palatino Linotype" w:cs="Palatino Linotype"/>
          <w:b/>
          <w:sz w:val="22"/>
          <w:szCs w:val="22"/>
        </w:rPr>
        <w:t>Recurrente</w:t>
      </w:r>
      <w:r w:rsidRPr="00D4456A">
        <w:rPr>
          <w:rFonts w:ascii="Palatino Linotype" w:eastAsia="Palatino Linotype" w:hAnsi="Palatino Linotype" w:cs="Palatino Linotype"/>
          <w:sz w:val="22"/>
          <w:szCs w:val="22"/>
        </w:rPr>
        <w:t xml:space="preserve"> formuló solicitud de acceso a información pública</w:t>
      </w:r>
      <w:r w:rsidR="00032143" w:rsidRPr="00D4456A">
        <w:rPr>
          <w:rFonts w:ascii="Palatino Linotype" w:eastAsia="Palatino Linotype" w:hAnsi="Palatino Linotype" w:cs="Palatino Linotype"/>
          <w:sz w:val="22"/>
          <w:szCs w:val="22"/>
        </w:rPr>
        <w:t xml:space="preserve"> con número de folio </w:t>
      </w:r>
      <w:r w:rsidR="00032143" w:rsidRPr="00D4456A">
        <w:rPr>
          <w:rFonts w:ascii="Palatino Linotype" w:eastAsia="Palatino Linotype" w:hAnsi="Palatino Linotype" w:cs="Palatino Linotype"/>
          <w:b/>
          <w:sz w:val="22"/>
          <w:szCs w:val="22"/>
        </w:rPr>
        <w:t>00674/JUCHITE/IP/2026</w:t>
      </w:r>
      <w:r w:rsidRPr="00D4456A">
        <w:rPr>
          <w:rFonts w:ascii="Palatino Linotype" w:eastAsia="Palatino Linotype" w:hAnsi="Palatino Linotype" w:cs="Palatino Linotype"/>
          <w:sz w:val="22"/>
          <w:szCs w:val="22"/>
        </w:rPr>
        <w:t xml:space="preserve"> a través del </w:t>
      </w:r>
      <w:r w:rsidRPr="00D4456A">
        <w:rPr>
          <w:rFonts w:ascii="Palatino Linotype" w:eastAsia="Palatino Linotype" w:hAnsi="Palatino Linotype" w:cs="Palatino Linotype"/>
          <w:b/>
          <w:sz w:val="22"/>
          <w:szCs w:val="22"/>
        </w:rPr>
        <w:t>SAIMEX</w:t>
      </w:r>
      <w:r w:rsidR="00B94935" w:rsidRPr="00D4456A">
        <w:rPr>
          <w:rFonts w:ascii="Palatino Linotype" w:eastAsia="Palatino Linotype" w:hAnsi="Palatino Linotype" w:cs="Palatino Linotype"/>
          <w:sz w:val="22"/>
          <w:szCs w:val="22"/>
        </w:rPr>
        <w:t>, en la</w:t>
      </w:r>
      <w:r w:rsidRPr="00D4456A">
        <w:rPr>
          <w:rFonts w:ascii="Palatino Linotype" w:eastAsia="Palatino Linotype" w:hAnsi="Palatino Linotype" w:cs="Palatino Linotype"/>
          <w:sz w:val="22"/>
          <w:szCs w:val="22"/>
        </w:rPr>
        <w:t xml:space="preserve"> que requirió lo siguiente:</w:t>
      </w:r>
    </w:p>
    <w:p w14:paraId="51540258" w14:textId="7BD85F5F" w:rsidR="00422AF6" w:rsidRPr="00D4456A" w:rsidRDefault="00961490" w:rsidP="0048330C">
      <w:pPr>
        <w:tabs>
          <w:tab w:val="left" w:pos="2552"/>
        </w:tabs>
        <w:spacing w:before="240" w:after="240" w:line="276" w:lineRule="auto"/>
        <w:ind w:left="567" w:right="843"/>
        <w:jc w:val="both"/>
        <w:rPr>
          <w:rFonts w:ascii="Palatino Linotype" w:eastAsia="Palatino Linotype" w:hAnsi="Palatino Linotype" w:cs="Palatino Linotype"/>
          <w:i/>
          <w:sz w:val="22"/>
          <w:szCs w:val="22"/>
        </w:rPr>
      </w:pPr>
      <w:bookmarkStart w:id="0" w:name="_heading=h.1fob9te" w:colFirst="0" w:colLast="0"/>
      <w:bookmarkStart w:id="1" w:name="_heading=h.3znysh7" w:colFirst="0" w:colLast="0"/>
      <w:bookmarkEnd w:id="0"/>
      <w:bookmarkEnd w:id="1"/>
      <w:r w:rsidRPr="00D4456A">
        <w:rPr>
          <w:rFonts w:ascii="Palatino Linotype" w:eastAsia="Palatino Linotype" w:hAnsi="Palatino Linotype" w:cs="Palatino Linotype"/>
          <w:b/>
          <w:sz w:val="22"/>
          <w:szCs w:val="22"/>
        </w:rPr>
        <w:t>“</w:t>
      </w:r>
      <w:r w:rsidR="00032143" w:rsidRPr="00D4456A">
        <w:rPr>
          <w:rFonts w:ascii="Palatino Linotype" w:eastAsia="Palatino Linotype" w:hAnsi="Palatino Linotype" w:cs="Palatino Linotype"/>
          <w:i/>
          <w:sz w:val="22"/>
          <w:szCs w:val="22"/>
        </w:rPr>
        <w:t>SOLICITO EXPEDIENTE LABORAL Y NOMBRAMIENTO DE RICARDO MEDINA DAVALOS, ENCARGADO DE RECURSOS HUMANOS</w:t>
      </w:r>
      <w:r w:rsidR="00B94935" w:rsidRPr="00D4456A">
        <w:rPr>
          <w:rFonts w:ascii="Palatino Linotype" w:eastAsia="Palatino Linotype" w:hAnsi="Palatino Linotype" w:cs="Palatino Linotype"/>
          <w:i/>
          <w:sz w:val="22"/>
          <w:szCs w:val="22"/>
        </w:rPr>
        <w:t>”</w:t>
      </w:r>
      <w:r w:rsidR="00873147" w:rsidRPr="00D4456A">
        <w:rPr>
          <w:rFonts w:ascii="Palatino Linotype" w:eastAsia="Palatino Linotype" w:hAnsi="Palatino Linotype" w:cs="Palatino Linotype"/>
          <w:i/>
          <w:sz w:val="22"/>
          <w:szCs w:val="22"/>
        </w:rPr>
        <w:t xml:space="preserve"> (Sic)</w:t>
      </w:r>
    </w:p>
    <w:p w14:paraId="3E1EBDF1" w14:textId="50175B62" w:rsidR="00422AF6" w:rsidRPr="00D4456A" w:rsidRDefault="0067296C" w:rsidP="007368CB">
      <w:pPr>
        <w:tabs>
          <w:tab w:val="left" w:pos="2552"/>
        </w:tabs>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Modalidad elegida para la entrega de la información:</w:t>
      </w:r>
      <w:r w:rsidRPr="00D4456A">
        <w:rPr>
          <w:rFonts w:ascii="Palatino Linotype" w:eastAsia="Palatino Linotype" w:hAnsi="Palatino Linotype" w:cs="Palatino Linotype"/>
          <w:sz w:val="22"/>
          <w:szCs w:val="22"/>
        </w:rPr>
        <w:t xml:space="preserve"> a través del Sistema de Acceso a la Información Mexiquense (SAIMEX).</w:t>
      </w:r>
    </w:p>
    <w:p w14:paraId="54CE287B" w14:textId="59035F02" w:rsidR="00EE2DA0" w:rsidRPr="00D4456A" w:rsidRDefault="00EE3038" w:rsidP="007368CB">
      <w:pPr>
        <w:spacing w:before="240" w:after="240" w:line="360" w:lineRule="auto"/>
        <w:ind w:right="49"/>
        <w:jc w:val="both"/>
        <w:rPr>
          <w:rFonts w:ascii="Palatino Linotype" w:eastAsia="Palatino Linotype" w:hAnsi="Palatino Linotype" w:cs="Palatino Linotype"/>
          <w:b/>
          <w:bCs/>
          <w:sz w:val="22"/>
          <w:szCs w:val="22"/>
        </w:rPr>
      </w:pPr>
      <w:r w:rsidRPr="00D4456A">
        <w:rPr>
          <w:rFonts w:ascii="Palatino Linotype" w:eastAsia="Palatino Linotype" w:hAnsi="Palatino Linotype" w:cs="Palatino Linotype"/>
          <w:b/>
          <w:bCs/>
          <w:sz w:val="22"/>
          <w:szCs w:val="22"/>
        </w:rPr>
        <w:t>2</w:t>
      </w:r>
      <w:r w:rsidR="00800866" w:rsidRPr="00D4456A">
        <w:rPr>
          <w:rFonts w:ascii="Palatino Linotype" w:eastAsia="Palatino Linotype" w:hAnsi="Palatino Linotype" w:cs="Palatino Linotype"/>
          <w:b/>
          <w:bCs/>
          <w:sz w:val="22"/>
          <w:szCs w:val="22"/>
        </w:rPr>
        <w:t xml:space="preserve">. </w:t>
      </w:r>
      <w:r w:rsidR="00EE2DA0" w:rsidRPr="00D4456A">
        <w:rPr>
          <w:rFonts w:ascii="Palatino Linotype" w:eastAsia="Palatino Linotype" w:hAnsi="Palatino Linotype" w:cs="Palatino Linotype"/>
          <w:b/>
          <w:bCs/>
          <w:sz w:val="22"/>
          <w:szCs w:val="22"/>
        </w:rPr>
        <w:t xml:space="preserve">Prórroga. </w:t>
      </w:r>
      <w:r w:rsidR="00EE2DA0" w:rsidRPr="00D4456A">
        <w:rPr>
          <w:rFonts w:ascii="Palatino Linotype" w:eastAsia="Palatino Linotype" w:hAnsi="Palatino Linotype" w:cs="Palatino Linotype"/>
          <w:bCs/>
          <w:sz w:val="22"/>
          <w:szCs w:val="22"/>
        </w:rPr>
        <w:t xml:space="preserve">El </w:t>
      </w:r>
      <w:r w:rsidR="00EE2DA0" w:rsidRPr="00D4456A">
        <w:rPr>
          <w:rFonts w:ascii="Palatino Linotype" w:eastAsia="Palatino Linotype" w:hAnsi="Palatino Linotype" w:cs="Palatino Linotype"/>
          <w:b/>
          <w:bCs/>
          <w:sz w:val="22"/>
          <w:szCs w:val="22"/>
        </w:rPr>
        <w:t>uno de julio de dos mil veintiséis</w:t>
      </w:r>
      <w:r w:rsidR="00EE2DA0" w:rsidRPr="00D4456A">
        <w:rPr>
          <w:rFonts w:ascii="Palatino Linotype" w:eastAsia="Palatino Linotype" w:hAnsi="Palatino Linotype" w:cs="Palatino Linotype"/>
          <w:bCs/>
          <w:sz w:val="22"/>
          <w:szCs w:val="22"/>
        </w:rPr>
        <w:t xml:space="preserve">, el Sujeto Obligado solicitó una </w:t>
      </w:r>
      <w:r w:rsidR="00DD5EC3" w:rsidRPr="00D4456A">
        <w:rPr>
          <w:rFonts w:ascii="Palatino Linotype" w:eastAsia="Palatino Linotype" w:hAnsi="Palatino Linotype" w:cs="Palatino Linotype"/>
          <w:bCs/>
          <w:sz w:val="22"/>
          <w:szCs w:val="22"/>
        </w:rPr>
        <w:t>prórroga</w:t>
      </w:r>
      <w:r w:rsidR="00EE2DA0" w:rsidRPr="00D4456A">
        <w:rPr>
          <w:rFonts w:ascii="Palatino Linotype" w:eastAsia="Palatino Linotype" w:hAnsi="Palatino Linotype" w:cs="Palatino Linotype"/>
          <w:bCs/>
          <w:sz w:val="22"/>
          <w:szCs w:val="22"/>
        </w:rPr>
        <w:t xml:space="preserve"> para dar respuesta a la solicitud</w:t>
      </w:r>
      <w:r w:rsidR="00DD5EC3" w:rsidRPr="00D4456A">
        <w:rPr>
          <w:rFonts w:ascii="Palatino Linotype" w:eastAsia="Palatino Linotype" w:hAnsi="Palatino Linotype" w:cs="Palatino Linotype"/>
          <w:bCs/>
          <w:sz w:val="22"/>
          <w:szCs w:val="22"/>
        </w:rPr>
        <w:t>.</w:t>
      </w:r>
    </w:p>
    <w:p w14:paraId="6AE05E15" w14:textId="0E646FBF" w:rsidR="006E6052" w:rsidRPr="00D4456A" w:rsidRDefault="00EE2DA0" w:rsidP="007368CB">
      <w:pPr>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bCs/>
          <w:sz w:val="22"/>
          <w:szCs w:val="22"/>
        </w:rPr>
        <w:t xml:space="preserve">3. </w:t>
      </w:r>
      <w:r w:rsidR="00800866" w:rsidRPr="00D4456A">
        <w:rPr>
          <w:rFonts w:ascii="Palatino Linotype" w:eastAsia="Palatino Linotype" w:hAnsi="Palatino Linotype" w:cs="Palatino Linotype"/>
          <w:b/>
          <w:bCs/>
          <w:sz w:val="22"/>
          <w:szCs w:val="22"/>
        </w:rPr>
        <w:t xml:space="preserve">Respuesta. </w:t>
      </w:r>
      <w:r w:rsidR="0067296C" w:rsidRPr="00D4456A">
        <w:rPr>
          <w:rFonts w:ascii="Palatino Linotype" w:eastAsia="Palatino Linotype" w:hAnsi="Palatino Linotype" w:cs="Palatino Linotype"/>
          <w:sz w:val="22"/>
          <w:szCs w:val="22"/>
        </w:rPr>
        <w:t xml:space="preserve">El </w:t>
      </w:r>
      <w:r w:rsidR="00DD5EC3" w:rsidRPr="00D4456A">
        <w:rPr>
          <w:rFonts w:ascii="Palatino Linotype" w:eastAsia="Palatino Linotype" w:hAnsi="Palatino Linotype" w:cs="Palatino Linotype"/>
          <w:b/>
          <w:sz w:val="22"/>
          <w:szCs w:val="22"/>
        </w:rPr>
        <w:t>trece</w:t>
      </w:r>
      <w:r w:rsidR="00EE3038" w:rsidRPr="00D4456A">
        <w:rPr>
          <w:rFonts w:ascii="Palatino Linotype" w:eastAsia="Palatino Linotype" w:hAnsi="Palatino Linotype" w:cs="Palatino Linotype"/>
          <w:b/>
          <w:sz w:val="22"/>
          <w:szCs w:val="22"/>
        </w:rPr>
        <w:t xml:space="preserve"> de julio </w:t>
      </w:r>
      <w:r w:rsidR="000A77B7" w:rsidRPr="00D4456A">
        <w:rPr>
          <w:rFonts w:ascii="Palatino Linotype" w:eastAsia="Palatino Linotype" w:hAnsi="Palatino Linotype" w:cs="Palatino Linotype"/>
          <w:b/>
          <w:sz w:val="22"/>
          <w:szCs w:val="22"/>
        </w:rPr>
        <w:t>de dos mil veintiséis</w:t>
      </w:r>
      <w:r w:rsidR="0067296C" w:rsidRPr="00D4456A">
        <w:rPr>
          <w:rFonts w:ascii="Palatino Linotype" w:eastAsia="Palatino Linotype" w:hAnsi="Palatino Linotype" w:cs="Palatino Linotype"/>
          <w:sz w:val="22"/>
          <w:szCs w:val="22"/>
        </w:rPr>
        <w:t>, el Sujeto Obliga</w:t>
      </w:r>
      <w:r w:rsidR="00C50360" w:rsidRPr="00D4456A">
        <w:rPr>
          <w:rFonts w:ascii="Palatino Linotype" w:eastAsia="Palatino Linotype" w:hAnsi="Palatino Linotype" w:cs="Palatino Linotype"/>
          <w:sz w:val="22"/>
          <w:szCs w:val="22"/>
        </w:rPr>
        <w:t xml:space="preserve">do dio respuesta a la solicitud, </w:t>
      </w:r>
      <w:r w:rsidR="006E6052" w:rsidRPr="00D4456A">
        <w:rPr>
          <w:rFonts w:ascii="Palatino Linotype" w:eastAsia="Palatino Linotype" w:hAnsi="Palatino Linotype" w:cs="Palatino Linotype"/>
          <w:sz w:val="22"/>
          <w:szCs w:val="22"/>
        </w:rPr>
        <w:t>en los siguientes términos:</w:t>
      </w:r>
    </w:p>
    <w:p w14:paraId="6C9CCAB6" w14:textId="77777777" w:rsidR="00DD5EC3" w:rsidRPr="00D4456A" w:rsidRDefault="00DD5EC3" w:rsidP="00AF4708">
      <w:pPr>
        <w:spacing w:before="240" w:after="240"/>
        <w:ind w:left="567" w:right="843"/>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lastRenderedPageBreak/>
        <w:t>“En respuesta a la solicitud recibida, nos permitimos hacer de su conocimiento que con fundamento en el artículo 53, Fracciones: II, V y VI de la Ley de Transparencia y Acceso a la Información Pública del Estado de México y Municipios, le contestamos que:</w:t>
      </w:r>
    </w:p>
    <w:p w14:paraId="56199343" w14:textId="77777777" w:rsidR="00DD5EC3" w:rsidRPr="00D4456A" w:rsidRDefault="00DD5EC3" w:rsidP="00AF4708">
      <w:pPr>
        <w:spacing w:before="240" w:after="240"/>
        <w:ind w:left="567" w:right="843"/>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En respuesta a su solicitud de acceso a la información mediante la cual requiere el "expediente laboral y nombramiento de Ricardo Medina Dávalos, encargado de Recursos Humanos", esta autoridad administrativa, en estricto apego al marco constitucional y legal que rige la transparencia y la protección de los derechos humanos, emite la siguiente determinación fundada y motivada: Este Sujeto Obligado no niega la existencia, validez ni resguardo en sus archivos de la documentación relativa al nombramiento y el expediente laboral del servidor público en mención, reconociendo que los actos de los servidores públicos en el ejercicio de sus funciones están sujetos al principio de máxima publicidad consagrado en el Artículo 6° de la Constitución Política de los Estados Unidos Mexicanos. No obstante lo anterior, tras una revisión exhaustiva del histórico de solicitudes planteadas ante esta Unidad de Transparencia, se ha detectado una insistencia sistemática, reiterada y con las mismas características y patrones de búsqueda enfocados exclusivamente en la figura del citado servidor público. Al respecto, es imperativo señalar lo siguiente: • bien este Ayuntamiento no pretende en ningún momento amedrentar, limitar ni menoscabar el derecho humano de acceso a la información pública de la ciudadanía, también se encuentra obligado constitucionalmente a salvaguardar los derechos fundamentales de sus trabajadores, entre ellos, el derecho a la seguridad jurídica, a la privacidad y al desarrollo de sus funciones en un entorno libre de violencia o acoso, de conformidad con el Artículo 1° de la Constitución Federal. • La doctrina jurídica y los criterios emitidos por los órganos garantes en materia de transparencia establecen que el derecho de acceso a la información debe ejercerse de buena fe y para fines de contraloría social o conocimiento público. Cuando las solicitudes se tornan reiterativas, focalizadas y con un perfil de insistencia sobre una sola persona física, este ejercicio legítimo puede llegar a configurar un abuso del derecho, utilizándose como un mecanismo de presión, persecución o hostigamiento laboral hacia el servidor público, afectando su esfera personal y el desempeño de sus atribuciones públicas. Asimismo, se hace constar formalmente que la información institucional relativa al servidor público en cuestión (como su nombre, cargo, remuneración mensual, funciones y perfil de puesto) ya ha sido remitida y entregada en múltiples ocasiones a través de diversas respuestas emitidas por esta Unidad, cumpliendo además con estar disponible de manera permanente y pública en las fracciones del Artículo 92 de la Ley de Transparencia y Acceso a la Información Pública del Estado de México y Municipios. Por tanto, al haber sido atendido el fondo de la información en oportunidades previas y detectarse un patrón que pone en riesgo la estabilidad laboral y emocional del personal por una insistencia focalizada, este Sujeto </w:t>
      </w:r>
      <w:r w:rsidRPr="00D4456A">
        <w:rPr>
          <w:rFonts w:ascii="Palatino Linotype" w:eastAsia="Palatino Linotype" w:hAnsi="Palatino Linotype" w:cs="Palatino Linotype"/>
          <w:i/>
          <w:sz w:val="22"/>
          <w:szCs w:val="22"/>
        </w:rPr>
        <w:lastRenderedPageBreak/>
        <w:t>Obligado hace un llamado al ejercicio responsable y armónico de los derechos ciudadanos, garantizando que los archivos obran en total legalidad sin que deban ser objeto de instrumentalización para fines ajenos al interés público.</w:t>
      </w:r>
    </w:p>
    <w:p w14:paraId="2E3367F4" w14:textId="77777777" w:rsidR="00DD5EC3" w:rsidRPr="00D4456A" w:rsidRDefault="00DD5EC3" w:rsidP="00AF4708">
      <w:pPr>
        <w:spacing w:before="240" w:after="240"/>
        <w:ind w:left="567" w:right="843"/>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ATENTAMENTE</w:t>
      </w:r>
    </w:p>
    <w:p w14:paraId="02975010" w14:textId="0527C3BA" w:rsidR="006E6052" w:rsidRPr="00D4456A" w:rsidRDefault="00DD5EC3" w:rsidP="00AF4708">
      <w:pPr>
        <w:spacing w:before="240" w:after="240"/>
        <w:ind w:left="567" w:right="843"/>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C. Ángel Daniel Camacho Martínez” (sic)</w:t>
      </w:r>
    </w:p>
    <w:p w14:paraId="712D4B9F" w14:textId="57E5691D" w:rsidR="00DD5EC3" w:rsidRPr="00D4456A" w:rsidRDefault="00DD5EC3" w:rsidP="00AF4708">
      <w:pPr>
        <w:pStyle w:val="Prrafodelista"/>
        <w:numPr>
          <w:ilvl w:val="0"/>
          <w:numId w:val="26"/>
        </w:numPr>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El Sujeto Obligado adjuntó el documento</w:t>
      </w:r>
      <w:r w:rsidR="006E6052" w:rsidRPr="00D4456A">
        <w:rPr>
          <w:rFonts w:ascii="Palatino Linotype" w:eastAsia="Palatino Linotype" w:hAnsi="Palatino Linotype" w:cs="Palatino Linotype"/>
          <w:sz w:val="22"/>
          <w:szCs w:val="22"/>
        </w:rPr>
        <w:t xml:space="preserve"> electrónico</w:t>
      </w:r>
      <w:r w:rsidRPr="00D4456A">
        <w:rPr>
          <w:rFonts w:ascii="Palatino Linotype" w:eastAsia="Palatino Linotype" w:hAnsi="Palatino Linotype" w:cs="Palatino Linotype"/>
          <w:sz w:val="22"/>
          <w:szCs w:val="22"/>
        </w:rPr>
        <w:t xml:space="preserve"> denominado RESPUESTA 674.pdf </w:t>
      </w:r>
      <w:r w:rsidR="00AF4708" w:rsidRPr="00D4456A">
        <w:rPr>
          <w:rFonts w:ascii="Palatino Linotype" w:eastAsia="Palatino Linotype" w:hAnsi="Palatino Linotype" w:cs="Palatino Linotype"/>
          <w:sz w:val="22"/>
          <w:szCs w:val="22"/>
        </w:rPr>
        <w:t xml:space="preserve">que contiene el oficio suscrito por la Subdirectora de Administración que contiene </w:t>
      </w:r>
      <w:r w:rsidRPr="00D4456A">
        <w:rPr>
          <w:rFonts w:ascii="Palatino Linotype" w:eastAsia="Palatino Linotype" w:hAnsi="Palatino Linotype" w:cs="Palatino Linotype"/>
          <w:sz w:val="22"/>
          <w:szCs w:val="22"/>
        </w:rPr>
        <w:t xml:space="preserve">medularmente lo descrito en el párrafo que antecede. </w:t>
      </w:r>
    </w:p>
    <w:p w14:paraId="69B197D1" w14:textId="26A737D3" w:rsidR="00422AF6" w:rsidRPr="00D4456A" w:rsidRDefault="00AF4708"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4</w:t>
      </w:r>
      <w:r w:rsidR="0067296C" w:rsidRPr="00D4456A">
        <w:rPr>
          <w:rFonts w:ascii="Palatino Linotype" w:eastAsia="Palatino Linotype" w:hAnsi="Palatino Linotype" w:cs="Palatino Linotype"/>
          <w:b/>
          <w:sz w:val="22"/>
          <w:szCs w:val="22"/>
        </w:rPr>
        <w:t xml:space="preserve">. Del Recurso de Revisión. </w:t>
      </w:r>
      <w:r w:rsidR="0067296C" w:rsidRPr="00D4456A">
        <w:rPr>
          <w:rFonts w:ascii="Palatino Linotype" w:eastAsia="Palatino Linotype" w:hAnsi="Palatino Linotype" w:cs="Palatino Linotype"/>
          <w:sz w:val="22"/>
          <w:szCs w:val="22"/>
        </w:rPr>
        <w:t>Inconforme con la respuesta del</w:t>
      </w:r>
      <w:r w:rsidR="0067296C" w:rsidRPr="00D4456A">
        <w:rPr>
          <w:rFonts w:ascii="Palatino Linotype" w:eastAsia="Palatino Linotype" w:hAnsi="Palatino Linotype" w:cs="Palatino Linotype"/>
          <w:b/>
          <w:sz w:val="22"/>
          <w:szCs w:val="22"/>
        </w:rPr>
        <w:t xml:space="preserve"> </w:t>
      </w:r>
      <w:r w:rsidR="000A77B7" w:rsidRPr="00D4456A">
        <w:rPr>
          <w:rFonts w:ascii="Palatino Linotype" w:eastAsia="Palatino Linotype" w:hAnsi="Palatino Linotype" w:cs="Palatino Linotype"/>
          <w:b/>
          <w:sz w:val="22"/>
          <w:szCs w:val="22"/>
        </w:rPr>
        <w:t>Sujeto Obligado</w:t>
      </w:r>
      <w:r w:rsidR="0067296C" w:rsidRPr="00D4456A">
        <w:rPr>
          <w:rFonts w:ascii="Palatino Linotype" w:eastAsia="Palatino Linotype" w:hAnsi="Palatino Linotype" w:cs="Palatino Linotype"/>
          <w:b/>
          <w:sz w:val="22"/>
          <w:szCs w:val="22"/>
        </w:rPr>
        <w:t xml:space="preserve">, </w:t>
      </w:r>
      <w:r w:rsidR="0077331F" w:rsidRPr="00D4456A">
        <w:rPr>
          <w:rFonts w:ascii="Palatino Linotype" w:eastAsia="Palatino Linotype" w:hAnsi="Palatino Linotype" w:cs="Palatino Linotype"/>
          <w:sz w:val="22"/>
          <w:szCs w:val="22"/>
        </w:rPr>
        <w:t>el</w:t>
      </w:r>
      <w:r w:rsidR="003E1B93" w:rsidRPr="00D4456A">
        <w:rPr>
          <w:rFonts w:ascii="Palatino Linotype" w:eastAsia="Palatino Linotype" w:hAnsi="Palatino Linotype" w:cs="Palatino Linotype"/>
          <w:sz w:val="22"/>
          <w:szCs w:val="22"/>
        </w:rPr>
        <w:t xml:space="preserve"> </w:t>
      </w:r>
      <w:r w:rsidRPr="00D4456A">
        <w:rPr>
          <w:rFonts w:ascii="Palatino Linotype" w:eastAsia="Palatino Linotype" w:hAnsi="Palatino Linotype" w:cs="Palatino Linotype"/>
          <w:b/>
          <w:sz w:val="22"/>
          <w:szCs w:val="22"/>
        </w:rPr>
        <w:t>cinco</w:t>
      </w:r>
      <w:r w:rsidR="003D5EEE" w:rsidRPr="00D4456A">
        <w:rPr>
          <w:rFonts w:ascii="Palatino Linotype" w:eastAsia="Palatino Linotype" w:hAnsi="Palatino Linotype" w:cs="Palatino Linotype"/>
          <w:b/>
          <w:sz w:val="22"/>
          <w:szCs w:val="22"/>
        </w:rPr>
        <w:t xml:space="preserve"> de </w:t>
      </w:r>
      <w:r w:rsidRPr="00D4456A">
        <w:rPr>
          <w:rFonts w:ascii="Palatino Linotype" w:eastAsia="Palatino Linotype" w:hAnsi="Palatino Linotype" w:cs="Palatino Linotype"/>
          <w:b/>
          <w:sz w:val="22"/>
          <w:szCs w:val="22"/>
        </w:rPr>
        <w:t>agosto</w:t>
      </w:r>
      <w:r w:rsidR="000A77B7" w:rsidRPr="00D4456A">
        <w:rPr>
          <w:rFonts w:ascii="Palatino Linotype" w:eastAsia="Palatino Linotype" w:hAnsi="Palatino Linotype" w:cs="Palatino Linotype"/>
          <w:b/>
          <w:sz w:val="22"/>
          <w:szCs w:val="22"/>
        </w:rPr>
        <w:t xml:space="preserve"> de dos mil veintiséis</w:t>
      </w:r>
      <w:r w:rsidR="0067296C" w:rsidRPr="00D4456A">
        <w:rPr>
          <w:rFonts w:ascii="Palatino Linotype" w:eastAsia="Palatino Linotype" w:hAnsi="Palatino Linotype" w:cs="Palatino Linotype"/>
          <w:b/>
          <w:sz w:val="22"/>
          <w:szCs w:val="22"/>
        </w:rPr>
        <w:t xml:space="preserve">, </w:t>
      </w:r>
      <w:r w:rsidR="000A77B7" w:rsidRPr="00D4456A">
        <w:rPr>
          <w:rFonts w:ascii="Palatino Linotype" w:eastAsia="Palatino Linotype" w:hAnsi="Palatino Linotype" w:cs="Palatino Linotype"/>
          <w:bCs/>
          <w:sz w:val="22"/>
          <w:szCs w:val="22"/>
        </w:rPr>
        <w:t xml:space="preserve">la parte </w:t>
      </w:r>
      <w:r w:rsidR="000A77B7" w:rsidRPr="00D4456A">
        <w:rPr>
          <w:rFonts w:ascii="Palatino Linotype" w:eastAsia="Palatino Linotype" w:hAnsi="Palatino Linotype" w:cs="Palatino Linotype"/>
          <w:b/>
          <w:sz w:val="22"/>
          <w:szCs w:val="22"/>
        </w:rPr>
        <w:t xml:space="preserve">Recurrente </w:t>
      </w:r>
      <w:r w:rsidR="0067296C" w:rsidRPr="00D4456A">
        <w:rPr>
          <w:rFonts w:ascii="Palatino Linotype" w:eastAsia="Palatino Linotype" w:hAnsi="Palatino Linotype" w:cs="Palatino Linotype"/>
          <w:sz w:val="22"/>
          <w:szCs w:val="22"/>
        </w:rPr>
        <w:t>interpuso el recurso de revisión</w:t>
      </w:r>
      <w:r w:rsidR="00C50360" w:rsidRPr="00D4456A">
        <w:rPr>
          <w:rFonts w:ascii="Palatino Linotype" w:eastAsia="Palatino Linotype" w:hAnsi="Palatino Linotype" w:cs="Palatino Linotype"/>
          <w:sz w:val="22"/>
          <w:szCs w:val="22"/>
        </w:rPr>
        <w:t xml:space="preserve">, </w:t>
      </w:r>
      <w:r w:rsidR="0067296C" w:rsidRPr="00D4456A">
        <w:rPr>
          <w:rFonts w:ascii="Palatino Linotype" w:eastAsia="Palatino Linotype" w:hAnsi="Palatino Linotype" w:cs="Palatino Linotype"/>
          <w:sz w:val="22"/>
          <w:szCs w:val="22"/>
        </w:rPr>
        <w:t xml:space="preserve">mediante el cual y manifestó lo siguiente: </w:t>
      </w:r>
    </w:p>
    <w:p w14:paraId="4BE3EEF8" w14:textId="5040EAEB" w:rsidR="00422AF6" w:rsidRPr="00D4456A" w:rsidRDefault="0067296C" w:rsidP="00AF4708">
      <w:pPr>
        <w:pStyle w:val="Prrafodelista"/>
        <w:numPr>
          <w:ilvl w:val="0"/>
          <w:numId w:val="2"/>
        </w:numPr>
        <w:tabs>
          <w:tab w:val="left" w:pos="2552"/>
        </w:tabs>
        <w:spacing w:before="240" w:after="240" w:line="360" w:lineRule="auto"/>
        <w:ind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Acto Impugnado:</w:t>
      </w:r>
      <w:r w:rsidRPr="00D4456A">
        <w:rPr>
          <w:rFonts w:ascii="Palatino Linotype" w:eastAsia="Palatino Linotype" w:hAnsi="Palatino Linotype" w:cs="Palatino Linotype"/>
          <w:i/>
          <w:sz w:val="22"/>
          <w:szCs w:val="22"/>
        </w:rPr>
        <w:t xml:space="preserve"> “</w:t>
      </w:r>
      <w:r w:rsidR="00AF4708" w:rsidRPr="00D4456A">
        <w:rPr>
          <w:rFonts w:ascii="Palatino Linotype" w:eastAsia="Palatino Linotype" w:hAnsi="Palatino Linotype" w:cs="Palatino Linotype"/>
          <w:i/>
          <w:sz w:val="22"/>
          <w:szCs w:val="22"/>
        </w:rPr>
        <w:t>NEGATIVA DE INFORMACION AUN RECONOCIENDO LA EXISTENCIA DE LA MISMA</w:t>
      </w:r>
      <w:r w:rsidRPr="00D4456A">
        <w:rPr>
          <w:rFonts w:ascii="Palatino Linotype" w:eastAsia="Palatino Linotype" w:hAnsi="Palatino Linotype" w:cs="Palatino Linotype"/>
          <w:i/>
          <w:sz w:val="22"/>
          <w:szCs w:val="22"/>
        </w:rPr>
        <w:t>”</w:t>
      </w:r>
      <w:r w:rsidR="003E1B93" w:rsidRPr="00D4456A">
        <w:rPr>
          <w:rFonts w:ascii="Palatino Linotype" w:eastAsia="Palatino Linotype" w:hAnsi="Palatino Linotype" w:cs="Palatino Linotype"/>
          <w:i/>
          <w:sz w:val="22"/>
          <w:szCs w:val="22"/>
        </w:rPr>
        <w:t>.</w:t>
      </w:r>
    </w:p>
    <w:p w14:paraId="02537152" w14:textId="24D3FC4A" w:rsidR="00422AF6" w:rsidRPr="00D4456A" w:rsidRDefault="0067296C" w:rsidP="00AF4708">
      <w:pPr>
        <w:pStyle w:val="Prrafodelista"/>
        <w:numPr>
          <w:ilvl w:val="0"/>
          <w:numId w:val="2"/>
        </w:numPr>
        <w:tabs>
          <w:tab w:val="left" w:pos="2552"/>
        </w:tabs>
        <w:spacing w:before="240" w:after="240" w:line="360" w:lineRule="auto"/>
        <w:ind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Motivo de inconformidad:</w:t>
      </w:r>
      <w:r w:rsidRPr="00D4456A">
        <w:rPr>
          <w:rFonts w:ascii="Palatino Linotype" w:eastAsia="Palatino Linotype" w:hAnsi="Palatino Linotype" w:cs="Palatino Linotype"/>
          <w:i/>
          <w:sz w:val="22"/>
          <w:szCs w:val="22"/>
        </w:rPr>
        <w:t xml:space="preserve"> “</w:t>
      </w:r>
      <w:r w:rsidR="00AF4708" w:rsidRPr="00D4456A">
        <w:rPr>
          <w:rFonts w:ascii="Palatino Linotype" w:eastAsia="Palatino Linotype" w:hAnsi="Palatino Linotype" w:cs="Palatino Linotype"/>
          <w:i/>
          <w:sz w:val="22"/>
          <w:szCs w:val="22"/>
        </w:rPr>
        <w:t>NEGATIVA DE INFORMACION AUN RECONOCIENDO LA EXISTENCIA DE LA MISMA</w:t>
      </w:r>
      <w:r w:rsidRPr="00D4456A">
        <w:rPr>
          <w:rFonts w:ascii="Palatino Linotype" w:eastAsia="Palatino Linotype" w:hAnsi="Palatino Linotype" w:cs="Palatino Linotype"/>
          <w:i/>
          <w:sz w:val="22"/>
          <w:szCs w:val="22"/>
        </w:rPr>
        <w:t>”</w:t>
      </w:r>
      <w:r w:rsidR="003E1B93" w:rsidRPr="00D4456A">
        <w:rPr>
          <w:rFonts w:ascii="Palatino Linotype" w:eastAsia="Palatino Linotype" w:hAnsi="Palatino Linotype" w:cs="Palatino Linotype"/>
          <w:i/>
          <w:sz w:val="22"/>
          <w:szCs w:val="22"/>
        </w:rPr>
        <w:t>.</w:t>
      </w:r>
    </w:p>
    <w:p w14:paraId="65142B1A" w14:textId="456C2077" w:rsidR="00422AF6" w:rsidRPr="00D4456A" w:rsidRDefault="00AF4708"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5</w:t>
      </w:r>
      <w:r w:rsidR="0067296C" w:rsidRPr="00D4456A">
        <w:rPr>
          <w:rFonts w:ascii="Palatino Linotype" w:eastAsia="Palatino Linotype" w:hAnsi="Palatino Linotype" w:cs="Palatino Linotype"/>
          <w:b/>
          <w:sz w:val="22"/>
          <w:szCs w:val="22"/>
        </w:rPr>
        <w:t xml:space="preserve">. </w:t>
      </w:r>
      <w:r w:rsidR="0067296C" w:rsidRPr="00D4456A">
        <w:rPr>
          <w:rFonts w:ascii="Palatino Linotype" w:eastAsia="Palatino Linotype" w:hAnsi="Palatino Linotype" w:cs="Palatino Linotype"/>
          <w:b/>
          <w:color w:val="000000"/>
          <w:sz w:val="22"/>
          <w:szCs w:val="22"/>
        </w:rPr>
        <w:t xml:space="preserve">Turno. </w:t>
      </w:r>
      <w:r w:rsidR="0067296C" w:rsidRPr="00D4456A">
        <w:rPr>
          <w:rFonts w:ascii="Palatino Linotype" w:eastAsia="Palatino Linotype" w:hAnsi="Palatino Linotype" w:cs="Palatino Linotype"/>
          <w:color w:val="000000"/>
          <w:sz w:val="22"/>
          <w:szCs w:val="22"/>
        </w:rPr>
        <w:t xml:space="preserve">De conformidad con el artículo 185, fracción I de la Ley de Transparencia y Acceso a la Información Pública del Estado de México y Municipios, el recurso de revisión número </w:t>
      </w:r>
      <w:r w:rsidR="00032143" w:rsidRPr="00D4456A">
        <w:rPr>
          <w:rFonts w:ascii="Palatino Linotype" w:eastAsia="Palatino Linotype" w:hAnsi="Palatino Linotype" w:cs="Palatino Linotype"/>
          <w:b/>
          <w:color w:val="000000"/>
          <w:sz w:val="22"/>
          <w:szCs w:val="22"/>
        </w:rPr>
        <w:t>07534/INFOEM/IP/RR/2026</w:t>
      </w:r>
      <w:r w:rsidR="0067296C" w:rsidRPr="00D4456A">
        <w:rPr>
          <w:rFonts w:ascii="Palatino Linotype" w:eastAsia="Palatino Linotype" w:hAnsi="Palatino Linotype" w:cs="Palatino Linotype"/>
          <w:color w:val="000000"/>
          <w:sz w:val="22"/>
          <w:szCs w:val="22"/>
        </w:rPr>
        <w:t xml:space="preserve">, se turnó por el sistema electrónico del Instituto de Transparencia, Acceso a la Información Pública y Protección de Datos Personales del Estado de México y Municipios, a la Comisionada </w:t>
      </w:r>
      <w:r w:rsidR="0067296C" w:rsidRPr="00D4456A">
        <w:rPr>
          <w:rFonts w:ascii="Palatino Linotype" w:eastAsia="Palatino Linotype" w:hAnsi="Palatino Linotype" w:cs="Palatino Linotype"/>
          <w:b/>
          <w:color w:val="000000"/>
          <w:sz w:val="22"/>
          <w:szCs w:val="22"/>
        </w:rPr>
        <w:t>Guadalupe Ramírez Peña</w:t>
      </w:r>
      <w:r w:rsidR="0067296C" w:rsidRPr="00D4456A">
        <w:rPr>
          <w:rFonts w:ascii="Palatino Linotype" w:eastAsia="Palatino Linotype" w:hAnsi="Palatino Linotype" w:cs="Palatino Linotype"/>
          <w:color w:val="000000"/>
          <w:sz w:val="22"/>
          <w:szCs w:val="22"/>
        </w:rPr>
        <w:t>, para su análisis, estudio, elaboración del proyecto y presentación ante el Pleno de este Instituto.</w:t>
      </w:r>
    </w:p>
    <w:p w14:paraId="431BBCAE" w14:textId="3832DD08" w:rsidR="00422AF6" w:rsidRPr="00D4456A" w:rsidRDefault="00AF4708" w:rsidP="007368CB">
      <w:pPr>
        <w:tabs>
          <w:tab w:val="left" w:pos="2552"/>
        </w:tabs>
        <w:spacing w:before="240" w:after="240" w:line="360" w:lineRule="auto"/>
        <w:jc w:val="both"/>
        <w:rPr>
          <w:rFonts w:ascii="Palatino Linotype" w:eastAsia="Palatino Linotype" w:hAnsi="Palatino Linotype" w:cs="Palatino Linotype"/>
          <w:b/>
          <w:sz w:val="22"/>
          <w:szCs w:val="22"/>
        </w:rPr>
      </w:pPr>
      <w:r w:rsidRPr="00D4456A">
        <w:rPr>
          <w:rFonts w:ascii="Palatino Linotype" w:eastAsia="Palatino Linotype" w:hAnsi="Palatino Linotype" w:cs="Palatino Linotype"/>
          <w:b/>
          <w:sz w:val="22"/>
          <w:szCs w:val="22"/>
        </w:rPr>
        <w:t>6</w:t>
      </w:r>
      <w:r w:rsidR="0067296C" w:rsidRPr="00D4456A">
        <w:rPr>
          <w:rFonts w:ascii="Palatino Linotype" w:eastAsia="Palatino Linotype" w:hAnsi="Palatino Linotype" w:cs="Palatino Linotype"/>
          <w:b/>
          <w:sz w:val="22"/>
          <w:szCs w:val="22"/>
        </w:rPr>
        <w:t xml:space="preserve">. Admisión. </w:t>
      </w:r>
      <w:r w:rsidR="0067296C" w:rsidRPr="00D4456A">
        <w:rPr>
          <w:rFonts w:ascii="Palatino Linotype" w:eastAsia="Palatino Linotype" w:hAnsi="Palatino Linotype" w:cs="Palatino Linotype"/>
          <w:sz w:val="22"/>
          <w:szCs w:val="22"/>
        </w:rPr>
        <w:t xml:space="preserve">El </w:t>
      </w:r>
      <w:r w:rsidRPr="00D4456A">
        <w:rPr>
          <w:rFonts w:ascii="Palatino Linotype" w:eastAsia="Palatino Linotype" w:hAnsi="Palatino Linotype" w:cs="Palatino Linotype"/>
          <w:b/>
          <w:sz w:val="22"/>
          <w:szCs w:val="22"/>
        </w:rPr>
        <w:t>seis de agosto</w:t>
      </w:r>
      <w:r w:rsidR="000A77B7" w:rsidRPr="00D4456A">
        <w:rPr>
          <w:rFonts w:ascii="Palatino Linotype" w:eastAsia="Palatino Linotype" w:hAnsi="Palatino Linotype" w:cs="Palatino Linotype"/>
          <w:b/>
          <w:sz w:val="22"/>
          <w:szCs w:val="22"/>
        </w:rPr>
        <w:t xml:space="preserve"> de dos mil veintiséis</w:t>
      </w:r>
      <w:r w:rsidR="0067296C" w:rsidRPr="00D4456A">
        <w:rPr>
          <w:rFonts w:ascii="Palatino Linotype" w:eastAsia="Palatino Linotype" w:hAnsi="Palatino Linotype" w:cs="Palatino Linotype"/>
          <w:sz w:val="22"/>
          <w:szCs w:val="22"/>
        </w:rPr>
        <w:t>, en términos de lo dispuesto en el artículo 185 fracciones I, II y IV de la Ley de Transparencia y Acceso a la Información Pública del Estado d</w:t>
      </w:r>
      <w:r w:rsidR="00F06653" w:rsidRPr="00D4456A">
        <w:rPr>
          <w:rFonts w:ascii="Palatino Linotype" w:eastAsia="Palatino Linotype" w:hAnsi="Palatino Linotype" w:cs="Palatino Linotype"/>
          <w:sz w:val="22"/>
          <w:szCs w:val="22"/>
        </w:rPr>
        <w:t>e México y Municipios, se admitió</w:t>
      </w:r>
      <w:r w:rsidR="0067296C" w:rsidRPr="00D4456A">
        <w:rPr>
          <w:rFonts w:ascii="Palatino Linotype" w:eastAsia="Palatino Linotype" w:hAnsi="Palatino Linotype" w:cs="Palatino Linotype"/>
          <w:sz w:val="22"/>
          <w:szCs w:val="22"/>
        </w:rPr>
        <w:t xml:space="preserve"> a trámite </w:t>
      </w:r>
      <w:r w:rsidR="00F06653" w:rsidRPr="00D4456A">
        <w:rPr>
          <w:rFonts w:ascii="Palatino Linotype" w:eastAsia="Palatino Linotype" w:hAnsi="Palatino Linotype" w:cs="Palatino Linotype"/>
          <w:sz w:val="22"/>
          <w:szCs w:val="22"/>
        </w:rPr>
        <w:t>el</w:t>
      </w:r>
      <w:r w:rsidR="0067296C" w:rsidRPr="00D4456A">
        <w:rPr>
          <w:rFonts w:ascii="Palatino Linotype" w:eastAsia="Palatino Linotype" w:hAnsi="Palatino Linotype" w:cs="Palatino Linotype"/>
          <w:sz w:val="22"/>
          <w:szCs w:val="22"/>
        </w:rPr>
        <w:t xml:space="preserve"> recurso de revisión</w:t>
      </w:r>
      <w:r w:rsidR="0067296C" w:rsidRPr="00D4456A">
        <w:rPr>
          <w:rFonts w:ascii="Palatino Linotype" w:eastAsia="Palatino Linotype" w:hAnsi="Palatino Linotype" w:cs="Palatino Linotype"/>
          <w:b/>
          <w:sz w:val="22"/>
          <w:szCs w:val="22"/>
        </w:rPr>
        <w:t>.</w:t>
      </w:r>
    </w:p>
    <w:p w14:paraId="01516A76" w14:textId="141EBDD5" w:rsidR="00AF4708" w:rsidRPr="00D4456A" w:rsidRDefault="00AF4708" w:rsidP="007368CB">
      <w:pPr>
        <w:spacing w:before="240" w:after="240" w:line="360" w:lineRule="auto"/>
        <w:ind w:right="49"/>
        <w:jc w:val="both"/>
        <w:rPr>
          <w:rFonts w:ascii="Palatino Linotype" w:eastAsia="Palatino Linotype" w:hAnsi="Palatino Linotype" w:cs="Palatino Linotype"/>
          <w:b/>
          <w:color w:val="000000"/>
          <w:sz w:val="22"/>
          <w:szCs w:val="22"/>
        </w:rPr>
      </w:pPr>
      <w:r w:rsidRPr="00D4456A">
        <w:rPr>
          <w:rFonts w:ascii="Palatino Linotype" w:eastAsia="Palatino Linotype" w:hAnsi="Palatino Linotype" w:cs="Palatino Linotype"/>
          <w:b/>
          <w:sz w:val="22"/>
          <w:szCs w:val="22"/>
        </w:rPr>
        <w:t>7</w:t>
      </w:r>
      <w:r w:rsidR="0067296C" w:rsidRPr="00D4456A">
        <w:rPr>
          <w:rFonts w:ascii="Palatino Linotype" w:eastAsia="Palatino Linotype" w:hAnsi="Palatino Linotype" w:cs="Palatino Linotype"/>
          <w:b/>
          <w:sz w:val="22"/>
          <w:szCs w:val="22"/>
        </w:rPr>
        <w:t>. Manifestaciones.</w:t>
      </w:r>
      <w:r w:rsidR="0067296C" w:rsidRPr="00D4456A">
        <w:rPr>
          <w:rFonts w:ascii="Palatino Linotype" w:eastAsia="Palatino Linotype" w:hAnsi="Palatino Linotype" w:cs="Palatino Linotype"/>
          <w:sz w:val="22"/>
          <w:szCs w:val="22"/>
        </w:rPr>
        <w:t xml:space="preserve"> </w:t>
      </w:r>
      <w:r w:rsidR="003D5EEE" w:rsidRPr="00D4456A">
        <w:rPr>
          <w:rFonts w:ascii="Palatino Linotype" w:eastAsia="Palatino Linotype" w:hAnsi="Palatino Linotype" w:cs="Palatino Linotype"/>
          <w:color w:val="000000"/>
          <w:sz w:val="22"/>
          <w:szCs w:val="22"/>
        </w:rPr>
        <w:t>De las constancias que integran el expediente en que se actúa, se advierte que, durante</w:t>
      </w:r>
      <w:r w:rsidRPr="00D4456A">
        <w:rPr>
          <w:rFonts w:ascii="Palatino Linotype" w:eastAsia="Palatino Linotype" w:hAnsi="Palatino Linotype" w:cs="Palatino Linotype"/>
          <w:color w:val="000000"/>
          <w:sz w:val="22"/>
          <w:szCs w:val="22"/>
        </w:rPr>
        <w:t xml:space="preserve"> el periodo de manifestaciones tanto </w:t>
      </w:r>
      <w:r w:rsidR="003D5EEE" w:rsidRPr="00D4456A">
        <w:rPr>
          <w:rFonts w:ascii="Palatino Linotype" w:eastAsia="Palatino Linotype" w:hAnsi="Palatino Linotype" w:cs="Palatino Linotype"/>
          <w:color w:val="000000"/>
          <w:sz w:val="22"/>
          <w:szCs w:val="22"/>
        </w:rPr>
        <w:t xml:space="preserve">el </w:t>
      </w:r>
      <w:r w:rsidR="003D5EEE" w:rsidRPr="00D4456A">
        <w:rPr>
          <w:rFonts w:ascii="Palatino Linotype" w:eastAsia="Palatino Linotype" w:hAnsi="Palatino Linotype" w:cs="Palatino Linotype"/>
          <w:b/>
          <w:color w:val="000000"/>
          <w:sz w:val="22"/>
          <w:szCs w:val="22"/>
        </w:rPr>
        <w:t>Sujeto Obligado</w:t>
      </w:r>
      <w:r w:rsidRPr="00D4456A">
        <w:rPr>
          <w:rFonts w:ascii="Palatino Linotype" w:eastAsia="Palatino Linotype" w:hAnsi="Palatino Linotype" w:cs="Palatino Linotype"/>
          <w:b/>
          <w:color w:val="000000"/>
          <w:sz w:val="22"/>
          <w:szCs w:val="22"/>
        </w:rPr>
        <w:t xml:space="preserve"> como el Recurrente fueron omisos en realizar manifestaciones, como se advierte a continuación:</w:t>
      </w:r>
    </w:p>
    <w:p w14:paraId="31485C5E" w14:textId="6070D080" w:rsidR="00AF4708" w:rsidRPr="00D4456A" w:rsidRDefault="00AF4708" w:rsidP="007368CB">
      <w:pPr>
        <w:spacing w:before="240" w:after="240" w:line="360" w:lineRule="auto"/>
        <w:ind w:right="49"/>
        <w:jc w:val="both"/>
        <w:rPr>
          <w:rFonts w:ascii="Palatino Linotype" w:eastAsia="Palatino Linotype" w:hAnsi="Palatino Linotype" w:cs="Palatino Linotype"/>
          <w:b/>
          <w:color w:val="000000"/>
          <w:sz w:val="22"/>
          <w:szCs w:val="22"/>
        </w:rPr>
      </w:pPr>
      <w:r w:rsidRPr="00D4456A">
        <w:rPr>
          <w:rFonts w:ascii="Palatino Linotype" w:eastAsia="Palatino Linotype" w:hAnsi="Palatino Linotype" w:cs="Palatino Linotype"/>
          <w:b/>
          <w:noProof/>
          <w:color w:val="000000"/>
          <w:sz w:val="22"/>
          <w:szCs w:val="22"/>
        </w:rPr>
        <w:drawing>
          <wp:inline distT="0" distB="0" distL="0" distR="0" wp14:anchorId="62FB9C15" wp14:editId="53D0BF2D">
            <wp:extent cx="5756275" cy="1534795"/>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6275" cy="1534795"/>
                    </a:xfrm>
                    <a:prstGeom prst="rect">
                      <a:avLst/>
                    </a:prstGeom>
                  </pic:spPr>
                </pic:pic>
              </a:graphicData>
            </a:graphic>
          </wp:inline>
        </w:drawing>
      </w:r>
    </w:p>
    <w:p w14:paraId="7C33A5B6" w14:textId="16AE33D2" w:rsidR="00535223" w:rsidRPr="00D4456A" w:rsidRDefault="00AF4708" w:rsidP="007368CB">
      <w:pPr>
        <w:widowControl w:val="0"/>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color w:val="000000"/>
          <w:sz w:val="22"/>
          <w:szCs w:val="22"/>
        </w:rPr>
        <w:t>8</w:t>
      </w:r>
      <w:r w:rsidR="00286C79" w:rsidRPr="00D4456A">
        <w:rPr>
          <w:rFonts w:ascii="Palatino Linotype" w:eastAsia="Palatino Linotype" w:hAnsi="Palatino Linotype" w:cs="Palatino Linotype"/>
          <w:b/>
          <w:color w:val="000000"/>
          <w:sz w:val="22"/>
          <w:szCs w:val="22"/>
        </w:rPr>
        <w:t xml:space="preserve">. </w:t>
      </w:r>
      <w:r w:rsidR="00535223" w:rsidRPr="00D4456A">
        <w:rPr>
          <w:rFonts w:ascii="Palatino Linotype" w:eastAsia="Palatino Linotype" w:hAnsi="Palatino Linotype" w:cs="Palatino Linotype"/>
          <w:b/>
          <w:color w:val="000000"/>
          <w:sz w:val="22"/>
          <w:szCs w:val="22"/>
        </w:rPr>
        <w:t xml:space="preserve">Ampliación de plazo. El </w:t>
      </w:r>
      <w:r w:rsidR="003A79E5" w:rsidRPr="00D4456A">
        <w:rPr>
          <w:rFonts w:ascii="Palatino Linotype" w:eastAsia="Palatino Linotype" w:hAnsi="Palatino Linotype" w:cs="Palatino Linotype"/>
          <w:b/>
          <w:color w:val="000000"/>
          <w:sz w:val="22"/>
          <w:szCs w:val="22"/>
        </w:rPr>
        <w:t>diecisiete</w:t>
      </w:r>
      <w:r w:rsidR="005533F7" w:rsidRPr="00D4456A">
        <w:rPr>
          <w:rFonts w:ascii="Palatino Linotype" w:eastAsia="Palatino Linotype" w:hAnsi="Palatino Linotype" w:cs="Palatino Linotype"/>
          <w:b/>
          <w:color w:val="000000"/>
          <w:sz w:val="22"/>
          <w:szCs w:val="22"/>
        </w:rPr>
        <w:t xml:space="preserve"> de septiembre </w:t>
      </w:r>
      <w:r w:rsidR="00535223" w:rsidRPr="00D4456A">
        <w:rPr>
          <w:rFonts w:ascii="Palatino Linotype" w:eastAsia="Palatino Linotype" w:hAnsi="Palatino Linotype" w:cs="Palatino Linotype"/>
          <w:b/>
          <w:color w:val="000000"/>
          <w:sz w:val="22"/>
          <w:szCs w:val="22"/>
        </w:rPr>
        <w:t>de dos mil veintiséis</w:t>
      </w:r>
      <w:r w:rsidR="00535223" w:rsidRPr="00D4456A">
        <w:rPr>
          <w:rFonts w:ascii="Palatino Linotype" w:eastAsia="Palatino Linotype" w:hAnsi="Palatino Linotype" w:cs="Palatino Linotype"/>
          <w:color w:val="000000"/>
          <w:sz w:val="22"/>
          <w:szCs w:val="22"/>
        </w:rPr>
        <w:t xml:space="preserve">, </w:t>
      </w:r>
      <w:r w:rsidR="00535223" w:rsidRPr="00D4456A">
        <w:rPr>
          <w:rFonts w:ascii="Palatino Linotype" w:eastAsia="Palatino Linotype" w:hAnsi="Palatino Linotype" w:cs="Palatino Linotype"/>
          <w:sz w:val="22"/>
          <w:szCs w:val="22"/>
        </w:rPr>
        <w:t xml:space="preserve">con fundamento en el artículo </w:t>
      </w:r>
      <w:bookmarkStart w:id="2" w:name="_GoBack"/>
      <w:bookmarkEnd w:id="2"/>
      <w:r w:rsidR="00535223" w:rsidRPr="00D4456A">
        <w:rPr>
          <w:rFonts w:ascii="Palatino Linotype" w:eastAsia="Palatino Linotype" w:hAnsi="Palatino Linotype" w:cs="Palatino Linotype"/>
          <w:sz w:val="22"/>
          <w:szCs w:val="22"/>
        </w:rPr>
        <w:t>181, párrafo tercero de la Ley de Transparencia y Acceso a la Información Pública del Estado de México y Municipios, se acordó la ampliación del plazo para su resolución.</w:t>
      </w:r>
    </w:p>
    <w:p w14:paraId="46F15B1F" w14:textId="4AB6B35E" w:rsidR="002D59AB" w:rsidRPr="00D4456A" w:rsidRDefault="00AF4708" w:rsidP="007368CB">
      <w:pPr>
        <w:pBdr>
          <w:top w:val="nil"/>
          <w:left w:val="nil"/>
          <w:bottom w:val="nil"/>
          <w:right w:val="nil"/>
          <w:between w:val="nil"/>
        </w:pBdr>
        <w:tabs>
          <w:tab w:val="left" w:pos="284"/>
        </w:tabs>
        <w:spacing w:before="240" w:after="240" w:line="360" w:lineRule="auto"/>
        <w:ind w:right="49"/>
        <w:jc w:val="both"/>
        <w:rPr>
          <w:rFonts w:ascii="Palatino Linotype" w:eastAsia="Palatino Linotype" w:hAnsi="Palatino Linotype" w:cs="Palatino Linotype"/>
          <w:color w:val="000000"/>
          <w:sz w:val="22"/>
          <w:szCs w:val="22"/>
        </w:rPr>
      </w:pPr>
      <w:r w:rsidRPr="00D4456A">
        <w:rPr>
          <w:rFonts w:ascii="Palatino Linotype" w:eastAsia="Palatino Linotype" w:hAnsi="Palatino Linotype" w:cs="Palatino Linotype"/>
          <w:b/>
          <w:color w:val="000000"/>
          <w:sz w:val="22"/>
          <w:szCs w:val="22"/>
        </w:rPr>
        <w:t>9</w:t>
      </w:r>
      <w:r w:rsidR="00744135" w:rsidRPr="00D4456A">
        <w:rPr>
          <w:rFonts w:ascii="Palatino Linotype" w:eastAsia="Palatino Linotype" w:hAnsi="Palatino Linotype" w:cs="Palatino Linotype"/>
          <w:b/>
          <w:color w:val="000000"/>
          <w:sz w:val="22"/>
          <w:szCs w:val="22"/>
        </w:rPr>
        <w:t xml:space="preserve">. </w:t>
      </w:r>
      <w:r w:rsidR="00286C79" w:rsidRPr="00D4456A">
        <w:rPr>
          <w:rFonts w:ascii="Palatino Linotype" w:eastAsia="Palatino Linotype" w:hAnsi="Palatino Linotype" w:cs="Palatino Linotype"/>
          <w:b/>
          <w:color w:val="000000"/>
          <w:sz w:val="22"/>
          <w:szCs w:val="22"/>
        </w:rPr>
        <w:t>Cierre de instrucción</w:t>
      </w:r>
      <w:r w:rsidR="00286C79" w:rsidRPr="00D4456A">
        <w:rPr>
          <w:rFonts w:ascii="Palatino Linotype" w:eastAsia="Palatino Linotype" w:hAnsi="Palatino Linotype" w:cs="Palatino Linotype"/>
          <w:color w:val="000000"/>
          <w:sz w:val="22"/>
          <w:szCs w:val="22"/>
        </w:rPr>
        <w:t xml:space="preserve">. En fecha </w:t>
      </w:r>
      <w:r w:rsidR="006A267D" w:rsidRPr="00D4456A">
        <w:rPr>
          <w:rFonts w:ascii="Palatino Linotype" w:eastAsia="Palatino Linotype" w:hAnsi="Palatino Linotype" w:cs="Palatino Linotype"/>
          <w:b/>
          <w:color w:val="000000"/>
          <w:sz w:val="22"/>
          <w:szCs w:val="22"/>
        </w:rPr>
        <w:t>veintitrés</w:t>
      </w:r>
      <w:r w:rsidR="003A79E5" w:rsidRPr="00D4456A">
        <w:rPr>
          <w:rFonts w:ascii="Palatino Linotype" w:eastAsia="Palatino Linotype" w:hAnsi="Palatino Linotype" w:cs="Palatino Linotype"/>
          <w:color w:val="000000"/>
          <w:sz w:val="22"/>
          <w:szCs w:val="22"/>
        </w:rPr>
        <w:t xml:space="preserve"> </w:t>
      </w:r>
      <w:r w:rsidR="007613B2" w:rsidRPr="00D4456A">
        <w:rPr>
          <w:rFonts w:ascii="Palatino Linotype" w:eastAsia="Palatino Linotype" w:hAnsi="Palatino Linotype" w:cs="Palatino Linotype"/>
          <w:b/>
          <w:color w:val="000000"/>
          <w:sz w:val="22"/>
          <w:szCs w:val="22"/>
        </w:rPr>
        <w:t>de septiembre</w:t>
      </w:r>
      <w:r w:rsidR="00286C79" w:rsidRPr="00D4456A">
        <w:rPr>
          <w:rFonts w:ascii="Palatino Linotype" w:eastAsia="Palatino Linotype" w:hAnsi="Palatino Linotype" w:cs="Palatino Linotype"/>
          <w:b/>
          <w:sz w:val="22"/>
          <w:szCs w:val="22"/>
        </w:rPr>
        <w:t xml:space="preserve"> </w:t>
      </w:r>
      <w:r w:rsidR="00286C79" w:rsidRPr="00D4456A">
        <w:rPr>
          <w:rFonts w:ascii="Palatino Linotype" w:eastAsia="Palatino Linotype" w:hAnsi="Palatino Linotype" w:cs="Palatino Linotype"/>
          <w:b/>
          <w:color w:val="000000"/>
          <w:sz w:val="22"/>
          <w:szCs w:val="22"/>
        </w:rPr>
        <w:t xml:space="preserve">de dos mil </w:t>
      </w:r>
      <w:r w:rsidR="00E95404" w:rsidRPr="00D4456A">
        <w:rPr>
          <w:rFonts w:ascii="Palatino Linotype" w:eastAsia="Palatino Linotype" w:hAnsi="Palatino Linotype" w:cs="Palatino Linotype"/>
          <w:b/>
          <w:color w:val="000000"/>
          <w:sz w:val="22"/>
          <w:szCs w:val="22"/>
        </w:rPr>
        <w:t>veintiséis</w:t>
      </w:r>
      <w:r w:rsidR="00286C79" w:rsidRPr="00D4456A">
        <w:rPr>
          <w:rFonts w:ascii="Palatino Linotype" w:eastAsia="Palatino Linotype" w:hAnsi="Palatino Linotype" w:cs="Palatino Linotype"/>
          <w:color w:val="000000"/>
          <w:sz w:val="22"/>
          <w:szCs w:val="22"/>
        </w:rPr>
        <w:t>, la Comisionada Ponente determinó el cierre de instrucción en términos de la fracción VI del artículo 185 de la Ley de Transparencia y Acceso a la Información Pública del Estado de México y Municipios</w:t>
      </w:r>
      <w:r w:rsidR="006A267D" w:rsidRPr="00D4456A">
        <w:rPr>
          <w:rFonts w:ascii="Palatino Linotype" w:eastAsia="Palatino Linotype" w:hAnsi="Palatino Linotype" w:cs="Palatino Linotype"/>
          <w:color w:val="000000"/>
          <w:sz w:val="22"/>
          <w:szCs w:val="22"/>
        </w:rPr>
        <w:t xml:space="preserve">, mediante acuerdo notificado a las partes el veinticuatro de septiembre de dos mil veintiséis. </w:t>
      </w:r>
    </w:p>
    <w:p w14:paraId="52068C57" w14:textId="71AE08E8" w:rsidR="00422AF6" w:rsidRPr="00D4456A" w:rsidRDefault="00286C79" w:rsidP="007368CB">
      <w:pPr>
        <w:pBdr>
          <w:top w:val="nil"/>
          <w:left w:val="nil"/>
          <w:bottom w:val="nil"/>
          <w:right w:val="nil"/>
          <w:between w:val="nil"/>
        </w:pBd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color w:val="000000"/>
          <w:sz w:val="22"/>
          <w:szCs w:val="22"/>
        </w:rPr>
        <w:t xml:space="preserve"> </w:t>
      </w:r>
      <w:r w:rsidR="0067296C" w:rsidRPr="00D4456A">
        <w:rPr>
          <w:rFonts w:ascii="Palatino Linotype" w:eastAsia="Palatino Linotype" w:hAnsi="Palatino Linotype" w:cs="Palatino Linotype"/>
          <w:sz w:val="22"/>
          <w:szCs w:val="22"/>
        </w:rPr>
        <w:t xml:space="preserve">Debido a que fue debidamente sustanciado </w:t>
      </w:r>
      <w:r w:rsidR="007613B2" w:rsidRPr="00D4456A">
        <w:rPr>
          <w:rFonts w:ascii="Palatino Linotype" w:eastAsia="Palatino Linotype" w:hAnsi="Palatino Linotype" w:cs="Palatino Linotype"/>
          <w:sz w:val="22"/>
          <w:szCs w:val="22"/>
        </w:rPr>
        <w:t>el</w:t>
      </w:r>
      <w:r w:rsidR="0067296C" w:rsidRPr="00D4456A">
        <w:rPr>
          <w:rFonts w:ascii="Palatino Linotype" w:eastAsia="Palatino Linotype" w:hAnsi="Palatino Linotype" w:cs="Palatino Linotype"/>
          <w:sz w:val="22"/>
          <w:szCs w:val="22"/>
        </w:rPr>
        <w:t xml:space="preserve"> expediente electrónico y no existe diligencia pendiente de desahogo, se emite la Resolución que conforme a Derecho proceda, de acuerdo con los siguientes: </w:t>
      </w:r>
    </w:p>
    <w:p w14:paraId="7DB13352" w14:textId="4E243599" w:rsidR="00422AF6" w:rsidRPr="00D4456A" w:rsidRDefault="0067296C" w:rsidP="007368CB">
      <w:pPr>
        <w:tabs>
          <w:tab w:val="left" w:pos="2552"/>
        </w:tabs>
        <w:spacing w:before="240" w:after="240" w:line="360" w:lineRule="auto"/>
        <w:ind w:right="49"/>
        <w:jc w:val="center"/>
        <w:rPr>
          <w:rFonts w:ascii="Palatino Linotype" w:eastAsia="Palatino Linotype" w:hAnsi="Palatino Linotype" w:cs="Palatino Linotype"/>
          <w:b/>
          <w:sz w:val="22"/>
          <w:szCs w:val="22"/>
        </w:rPr>
      </w:pPr>
      <w:r w:rsidRPr="00D4456A">
        <w:rPr>
          <w:rFonts w:ascii="Palatino Linotype" w:eastAsia="Palatino Linotype" w:hAnsi="Palatino Linotype" w:cs="Palatino Linotype"/>
          <w:b/>
          <w:sz w:val="22"/>
          <w:szCs w:val="22"/>
        </w:rPr>
        <w:t>II.</w:t>
      </w:r>
      <w:r w:rsidR="00B5759E" w:rsidRPr="00D4456A">
        <w:rPr>
          <w:rFonts w:ascii="Palatino Linotype" w:eastAsia="Palatino Linotype" w:hAnsi="Palatino Linotype" w:cs="Palatino Linotype"/>
          <w:b/>
          <w:sz w:val="22"/>
          <w:szCs w:val="22"/>
        </w:rPr>
        <w:t xml:space="preserve"> </w:t>
      </w:r>
      <w:r w:rsidRPr="00D4456A">
        <w:rPr>
          <w:rFonts w:ascii="Palatino Linotype" w:eastAsia="Palatino Linotype" w:hAnsi="Palatino Linotype" w:cs="Palatino Linotype"/>
          <w:b/>
          <w:sz w:val="22"/>
          <w:szCs w:val="22"/>
        </w:rPr>
        <w:t>C O N S I D E R A N D O:</w:t>
      </w:r>
    </w:p>
    <w:p w14:paraId="44792C97" w14:textId="4C6B2BB3"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Primero. Competencia.</w:t>
      </w:r>
      <w:r w:rsidRPr="00D4456A">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1E15BB" w:rsidRPr="00D4456A">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fracción I, 186 y 188 de la Ley Transparencia y Acceso a la Información Pública del Estado de México y Municipios</w:t>
      </w:r>
      <w:r w:rsidRPr="00D4456A">
        <w:rPr>
          <w:rFonts w:ascii="Palatino Linotype" w:eastAsia="Palatino Linotype" w:hAnsi="Palatino Linotype" w:cs="Palatino Linotype"/>
          <w:sz w:val="22"/>
          <w:szCs w:val="22"/>
        </w:rPr>
        <w:t>; 9, fracciones I y XXIII y 11 del Reglamento Interior del Instituto de Transparencia, Acceso a la Información Pública y Protección de Datos Personales del Estado de México y Municipios.</w:t>
      </w:r>
    </w:p>
    <w:p w14:paraId="77B06994" w14:textId="77777777"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 xml:space="preserve">Segundo. Oportunidad y Procedibilidad del Recurso de Revisión. </w:t>
      </w:r>
      <w:r w:rsidRPr="00D4456A">
        <w:rPr>
          <w:rFonts w:ascii="Palatino Linotype" w:eastAsia="Palatino Linotype" w:hAnsi="Palatino Linotype" w:cs="Palatino Linotype"/>
          <w:sz w:val="22"/>
          <w:szCs w:val="22"/>
        </w:rPr>
        <w:t>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45CF52F8" w14:textId="77777777"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Al respecto la Ley de Transparencia y Acceso a la Información Pública del Estado de México y Municipios, establece lo siguiente:</w:t>
      </w:r>
    </w:p>
    <w:p w14:paraId="3DAEC5D7" w14:textId="77777777" w:rsidR="00422AF6" w:rsidRPr="00D4456A" w:rsidRDefault="0067296C" w:rsidP="007368CB">
      <w:pPr>
        <w:tabs>
          <w:tab w:val="left" w:pos="2552"/>
        </w:tabs>
        <w:spacing w:before="240" w:after="240" w:line="360" w:lineRule="auto"/>
        <w:ind w:left="851" w:right="90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 xml:space="preserve">“Artículo 178. </w:t>
      </w:r>
      <w:r w:rsidRPr="00D4456A">
        <w:rPr>
          <w:rFonts w:ascii="Palatino Linotype" w:eastAsia="Palatino Linotype" w:hAnsi="Palatino Linotype" w:cs="Palatino Linotype"/>
          <w:i/>
          <w:sz w:val="22"/>
          <w:szCs w:val="22"/>
        </w:rPr>
        <w:t>El solicitante podrá interponer, por sí mismo o a través de su representante, de manera directa o por medios electrónicos, recurso de revisión ante el Instituto o ante la Unidad de Transparencia que haya conocido de la solicitud dentro de los quince días hábiles, siguientes a la fecha de la notificación de la respuesta.</w:t>
      </w:r>
    </w:p>
    <w:p w14:paraId="74E8A976" w14:textId="338A2145" w:rsidR="00422AF6" w:rsidRPr="00D4456A" w:rsidRDefault="0067296C" w:rsidP="007368CB">
      <w:pPr>
        <w:tabs>
          <w:tab w:val="left" w:pos="2552"/>
        </w:tabs>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Del precepto legal transcrito, se desprende que cuando los solicitantes de información en el ejercicio del derecho de acceso a la información no se encuentren satisfechos con la información entregada por los sujetos obligados, podrán interponer recurso de revisión de manera directa o por medios electrónicos dentro de los quince días hábiles siguientes a la fecha de notificación de la respuesta, y, toda vez que el </w:t>
      </w:r>
      <w:r w:rsidR="00B5759E" w:rsidRPr="00D4456A">
        <w:rPr>
          <w:rFonts w:ascii="Palatino Linotype" w:eastAsia="Palatino Linotype" w:hAnsi="Palatino Linotype" w:cs="Palatino Linotype"/>
          <w:b/>
          <w:sz w:val="22"/>
          <w:szCs w:val="22"/>
        </w:rPr>
        <w:t>Sujeto Obligado</w:t>
      </w:r>
      <w:r w:rsidR="00B5759E" w:rsidRPr="00D4456A">
        <w:rPr>
          <w:rFonts w:ascii="Palatino Linotype" w:eastAsia="Palatino Linotype" w:hAnsi="Palatino Linotype" w:cs="Palatino Linotype"/>
          <w:sz w:val="22"/>
          <w:szCs w:val="22"/>
        </w:rPr>
        <w:t xml:space="preserve"> </w:t>
      </w:r>
      <w:r w:rsidRPr="00D4456A">
        <w:rPr>
          <w:rFonts w:ascii="Palatino Linotype" w:eastAsia="Palatino Linotype" w:hAnsi="Palatino Linotype" w:cs="Palatino Linotype"/>
          <w:sz w:val="22"/>
          <w:szCs w:val="22"/>
        </w:rPr>
        <w:t xml:space="preserve">remitió la respuesta a la solicitud de información </w:t>
      </w:r>
      <w:r w:rsidR="004718C5" w:rsidRPr="00D4456A">
        <w:rPr>
          <w:rFonts w:ascii="Palatino Linotype" w:eastAsia="Palatino Linotype" w:hAnsi="Palatino Linotype" w:cs="Palatino Linotype"/>
          <w:sz w:val="22"/>
          <w:szCs w:val="22"/>
        </w:rPr>
        <w:t xml:space="preserve">el </w:t>
      </w:r>
      <w:r w:rsidR="003A79E5" w:rsidRPr="00D4456A">
        <w:rPr>
          <w:rFonts w:ascii="Palatino Linotype" w:eastAsia="Palatino Linotype" w:hAnsi="Palatino Linotype" w:cs="Palatino Linotype"/>
          <w:b/>
          <w:sz w:val="22"/>
          <w:szCs w:val="22"/>
        </w:rPr>
        <w:t>trece</w:t>
      </w:r>
      <w:r w:rsidR="00535223" w:rsidRPr="00D4456A">
        <w:rPr>
          <w:rFonts w:ascii="Palatino Linotype" w:eastAsia="Palatino Linotype" w:hAnsi="Palatino Linotype" w:cs="Palatino Linotype"/>
          <w:b/>
          <w:bCs/>
          <w:sz w:val="22"/>
          <w:szCs w:val="22"/>
        </w:rPr>
        <w:t xml:space="preserve"> de </w:t>
      </w:r>
      <w:r w:rsidR="00BD11D5" w:rsidRPr="00D4456A">
        <w:rPr>
          <w:rFonts w:ascii="Palatino Linotype" w:eastAsia="Palatino Linotype" w:hAnsi="Palatino Linotype" w:cs="Palatino Linotype"/>
          <w:b/>
          <w:bCs/>
          <w:sz w:val="22"/>
          <w:szCs w:val="22"/>
        </w:rPr>
        <w:t>julio</w:t>
      </w:r>
      <w:r w:rsidR="001E15BB" w:rsidRPr="00D4456A">
        <w:rPr>
          <w:rFonts w:ascii="Palatino Linotype" w:eastAsia="Palatino Linotype" w:hAnsi="Palatino Linotype" w:cs="Palatino Linotype"/>
          <w:b/>
          <w:bCs/>
          <w:sz w:val="22"/>
          <w:szCs w:val="22"/>
        </w:rPr>
        <w:t xml:space="preserve"> de dos mil veintiséis</w:t>
      </w:r>
      <w:r w:rsidRPr="00D4456A">
        <w:rPr>
          <w:rFonts w:ascii="Palatino Linotype" w:eastAsia="Palatino Linotype" w:hAnsi="Palatino Linotype" w:cs="Palatino Linotype"/>
          <w:b/>
          <w:sz w:val="22"/>
          <w:szCs w:val="22"/>
        </w:rPr>
        <w:t xml:space="preserve">, </w:t>
      </w:r>
      <w:r w:rsidRPr="00D4456A">
        <w:rPr>
          <w:rFonts w:ascii="Palatino Linotype" w:eastAsia="Palatino Linotype" w:hAnsi="Palatino Linotype" w:cs="Palatino Linotype"/>
          <w:sz w:val="22"/>
          <w:szCs w:val="22"/>
        </w:rPr>
        <w:t xml:space="preserve">mientras que el recurso de revisión interpuesto por la parte </w:t>
      </w:r>
      <w:r w:rsidR="001E15BB" w:rsidRPr="00D4456A">
        <w:rPr>
          <w:rFonts w:ascii="Palatino Linotype" w:eastAsia="Palatino Linotype" w:hAnsi="Palatino Linotype" w:cs="Palatino Linotype"/>
          <w:b/>
          <w:sz w:val="22"/>
          <w:szCs w:val="22"/>
        </w:rPr>
        <w:t>Recurrente</w:t>
      </w:r>
      <w:r w:rsidRPr="00D4456A">
        <w:rPr>
          <w:rFonts w:ascii="Palatino Linotype" w:eastAsia="Palatino Linotype" w:hAnsi="Palatino Linotype" w:cs="Palatino Linotype"/>
          <w:sz w:val="22"/>
          <w:szCs w:val="22"/>
        </w:rPr>
        <w:t>, se tuv</w:t>
      </w:r>
      <w:r w:rsidR="004718C5" w:rsidRPr="00D4456A">
        <w:rPr>
          <w:rFonts w:ascii="Palatino Linotype" w:eastAsia="Palatino Linotype" w:hAnsi="Palatino Linotype" w:cs="Palatino Linotype"/>
          <w:sz w:val="22"/>
          <w:szCs w:val="22"/>
        </w:rPr>
        <w:t>o</w:t>
      </w:r>
      <w:r w:rsidRPr="00D4456A">
        <w:rPr>
          <w:rFonts w:ascii="Palatino Linotype" w:eastAsia="Palatino Linotype" w:hAnsi="Palatino Linotype" w:cs="Palatino Linotype"/>
          <w:sz w:val="22"/>
          <w:szCs w:val="22"/>
        </w:rPr>
        <w:t xml:space="preserve"> por presentado el </w:t>
      </w:r>
      <w:r w:rsidR="003A79E5" w:rsidRPr="00D4456A">
        <w:rPr>
          <w:rFonts w:ascii="Palatino Linotype" w:eastAsia="Palatino Linotype" w:hAnsi="Palatino Linotype" w:cs="Palatino Linotype"/>
          <w:b/>
          <w:sz w:val="22"/>
          <w:szCs w:val="22"/>
        </w:rPr>
        <w:t>cinco de agosto</w:t>
      </w:r>
      <w:r w:rsidR="00BD11D5" w:rsidRPr="00D4456A">
        <w:rPr>
          <w:rFonts w:ascii="Palatino Linotype" w:eastAsia="Palatino Linotype" w:hAnsi="Palatino Linotype" w:cs="Palatino Linotype"/>
          <w:b/>
          <w:sz w:val="22"/>
          <w:szCs w:val="22"/>
        </w:rPr>
        <w:t xml:space="preserve"> </w:t>
      </w:r>
      <w:r w:rsidR="001E15BB" w:rsidRPr="00D4456A">
        <w:rPr>
          <w:rFonts w:ascii="Palatino Linotype" w:eastAsia="Palatino Linotype" w:hAnsi="Palatino Linotype" w:cs="Palatino Linotype"/>
          <w:b/>
          <w:sz w:val="22"/>
          <w:szCs w:val="22"/>
        </w:rPr>
        <w:t>dos mil veintiséis</w:t>
      </w:r>
      <w:r w:rsidRPr="00D4456A">
        <w:rPr>
          <w:rFonts w:ascii="Palatino Linotype" w:eastAsia="Palatino Linotype" w:hAnsi="Palatino Linotype" w:cs="Palatino Linotype"/>
          <w:sz w:val="22"/>
          <w:szCs w:val="22"/>
        </w:rPr>
        <w:t xml:space="preserve">; esto es, al </w:t>
      </w:r>
      <w:r w:rsidR="003A79E5" w:rsidRPr="00D4456A">
        <w:rPr>
          <w:rFonts w:ascii="Palatino Linotype" w:eastAsia="Palatino Linotype" w:hAnsi="Palatino Linotype" w:cs="Palatino Linotype"/>
          <w:b/>
          <w:sz w:val="22"/>
          <w:szCs w:val="22"/>
        </w:rPr>
        <w:t>séptimo</w:t>
      </w:r>
      <w:r w:rsidR="00BD11D5" w:rsidRPr="00D4456A">
        <w:rPr>
          <w:rFonts w:ascii="Palatino Linotype" w:eastAsia="Palatino Linotype" w:hAnsi="Palatino Linotype" w:cs="Palatino Linotype"/>
          <w:b/>
          <w:sz w:val="22"/>
          <w:szCs w:val="22"/>
        </w:rPr>
        <w:t xml:space="preserve"> día hábil</w:t>
      </w:r>
      <w:r w:rsidR="00BD11D5" w:rsidRPr="00D4456A">
        <w:rPr>
          <w:rFonts w:ascii="Palatino Linotype" w:eastAsia="Palatino Linotype" w:hAnsi="Palatino Linotype" w:cs="Palatino Linotype"/>
          <w:sz w:val="22"/>
          <w:szCs w:val="22"/>
        </w:rPr>
        <w:t xml:space="preserve"> </w:t>
      </w:r>
      <w:r w:rsidRPr="00D4456A">
        <w:rPr>
          <w:rFonts w:ascii="Palatino Linotype" w:eastAsia="Palatino Linotype" w:hAnsi="Palatino Linotype" w:cs="Palatino Linotype"/>
          <w:sz w:val="22"/>
          <w:szCs w:val="22"/>
        </w:rPr>
        <w:t>siguiente al que se tuvo conocimiento de la respuesta.</w:t>
      </w:r>
    </w:p>
    <w:p w14:paraId="5C457E77" w14:textId="77777777" w:rsidR="003548C3" w:rsidRPr="00D4456A" w:rsidRDefault="003548C3" w:rsidP="007368CB">
      <w:pPr>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En ese sentido, al considerar la fecha en que se formuló la solicitud y la fecha en la que respondió a esta el </w:t>
      </w:r>
      <w:r w:rsidRPr="00D4456A">
        <w:rPr>
          <w:rFonts w:ascii="Palatino Linotype" w:eastAsia="Palatino Linotype" w:hAnsi="Palatino Linotype" w:cs="Palatino Linotype"/>
          <w:b/>
          <w:bCs/>
          <w:sz w:val="22"/>
          <w:szCs w:val="22"/>
        </w:rPr>
        <w:t>SUJETO OBLIGADO</w:t>
      </w:r>
      <w:r w:rsidRPr="00D4456A">
        <w:rPr>
          <w:rFonts w:ascii="Palatino Linotype" w:eastAsia="Palatino Linotype" w:hAnsi="Palatino Linotype" w:cs="Palatino Linotype"/>
          <w:sz w:val="22"/>
          <w:szCs w:val="22"/>
        </w:rPr>
        <w:t>; así como, en la que se interpuso el recurso de revisión, este se encuentra dentro de los márgenes temporales previstos en el citado precepto legal.</w:t>
      </w:r>
    </w:p>
    <w:p w14:paraId="608BE46D" w14:textId="71C70562" w:rsidR="00AD2E08" w:rsidRPr="00D4456A" w:rsidRDefault="005840FD"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Así también, por cuanto hace a la procedibilidad del recurso de revisión, una vez realizado el análisis de los formatos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r w:rsidR="00AD2E08" w:rsidRPr="00D4456A">
        <w:rPr>
          <w:rFonts w:ascii="Palatino Linotype" w:eastAsia="Palatino Linotype" w:hAnsi="Palatino Linotype" w:cs="Palatino Linotype"/>
          <w:sz w:val="22"/>
          <w:szCs w:val="22"/>
        </w:rPr>
        <w:t>.</w:t>
      </w:r>
    </w:p>
    <w:p w14:paraId="6C43969B" w14:textId="007E5315" w:rsidR="003548C3" w:rsidRPr="00D4456A" w:rsidRDefault="003548C3" w:rsidP="007368CB">
      <w:pPr>
        <w:pBdr>
          <w:top w:val="nil"/>
          <w:left w:val="nil"/>
          <w:bottom w:val="nil"/>
          <w:right w:val="nil"/>
          <w:between w:val="nil"/>
        </w:pBdr>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Cabe señalar que, resulta procedente la interposición del recurso, según lo aducido por la parte </w:t>
      </w:r>
      <w:r w:rsidRPr="00D4456A">
        <w:rPr>
          <w:rFonts w:ascii="Palatino Linotype" w:eastAsia="Palatino Linotype" w:hAnsi="Palatino Linotype" w:cs="Palatino Linotype"/>
          <w:b/>
          <w:bCs/>
          <w:sz w:val="22"/>
          <w:szCs w:val="22"/>
        </w:rPr>
        <w:t>RECURRENTE</w:t>
      </w:r>
      <w:r w:rsidRPr="00D4456A">
        <w:rPr>
          <w:rFonts w:ascii="Palatino Linotype" w:eastAsia="Palatino Linotype" w:hAnsi="Palatino Linotype" w:cs="Palatino Linotype"/>
          <w:sz w:val="22"/>
          <w:szCs w:val="22"/>
        </w:rPr>
        <w:t xml:space="preserve"> en sus razones o motivos de inconformidad, de acu</w:t>
      </w:r>
      <w:r w:rsidR="003A79E5" w:rsidRPr="00D4456A">
        <w:rPr>
          <w:rFonts w:ascii="Palatino Linotype" w:eastAsia="Palatino Linotype" w:hAnsi="Palatino Linotype" w:cs="Palatino Linotype"/>
          <w:sz w:val="22"/>
          <w:szCs w:val="22"/>
        </w:rPr>
        <w:t xml:space="preserve">erdo al artículo 179, fracción </w:t>
      </w:r>
      <w:r w:rsidR="00DD0972" w:rsidRPr="00D4456A">
        <w:rPr>
          <w:rFonts w:ascii="Palatino Linotype" w:eastAsia="Palatino Linotype" w:hAnsi="Palatino Linotype" w:cs="Palatino Linotype"/>
          <w:sz w:val="22"/>
          <w:szCs w:val="22"/>
        </w:rPr>
        <w:t>I</w:t>
      </w:r>
      <w:r w:rsidRPr="00D4456A">
        <w:rPr>
          <w:rFonts w:ascii="Palatino Linotype" w:eastAsia="Palatino Linotype" w:hAnsi="Palatino Linotype" w:cs="Palatino Linotype"/>
          <w:sz w:val="22"/>
          <w:szCs w:val="22"/>
        </w:rPr>
        <w:t xml:space="preserve"> de la Ley de Transparencia y Acceso a la Información Pública del Estado de México y Municipios; que a la letra dice:</w:t>
      </w:r>
    </w:p>
    <w:p w14:paraId="77F5A69A" w14:textId="77777777" w:rsidR="003548C3" w:rsidRPr="00D4456A" w:rsidRDefault="003548C3" w:rsidP="00DD0972">
      <w:pPr>
        <w:pBdr>
          <w:top w:val="nil"/>
          <w:left w:val="nil"/>
          <w:bottom w:val="nil"/>
          <w:right w:val="nil"/>
          <w:between w:val="nil"/>
        </w:pBdr>
        <w:spacing w:before="240" w:after="240"/>
        <w:ind w:left="567" w:right="843"/>
        <w:jc w:val="both"/>
        <w:rPr>
          <w:rFonts w:ascii="Palatino Linotype" w:eastAsia="Palatino Linotype" w:hAnsi="Palatino Linotype" w:cs="Palatino Linotype"/>
          <w:i/>
          <w:iCs/>
          <w:sz w:val="22"/>
          <w:szCs w:val="22"/>
        </w:rPr>
      </w:pPr>
      <w:r w:rsidRPr="00D4456A">
        <w:rPr>
          <w:rFonts w:ascii="Palatino Linotype" w:eastAsia="Palatino Linotype" w:hAnsi="Palatino Linotype" w:cs="Palatino Linotype"/>
          <w:b/>
          <w:bCs/>
          <w:i/>
          <w:iCs/>
          <w:sz w:val="22"/>
          <w:szCs w:val="22"/>
        </w:rPr>
        <w:t>“Artículo 179</w:t>
      </w:r>
      <w:r w:rsidRPr="00D4456A">
        <w:rPr>
          <w:rFonts w:ascii="Palatino Linotype" w:eastAsia="Palatino Linotype" w:hAnsi="Palatino Linotype" w:cs="Palatino Linotype"/>
          <w:i/>
          <w:iCs/>
          <w:sz w:val="22"/>
          <w:szCs w:val="22"/>
        </w:rPr>
        <w:t xml:space="preserve">. </w:t>
      </w:r>
      <w:r w:rsidRPr="00D4456A">
        <w:rPr>
          <w:rFonts w:ascii="Palatino Linotype" w:eastAsia="Palatino Linotype" w:hAnsi="Palatino Linotype" w:cs="Palatino Linotype"/>
          <w:b/>
          <w:bCs/>
          <w:i/>
          <w:iCs/>
          <w:sz w:val="22"/>
          <w:szCs w:val="22"/>
        </w:rPr>
        <w:t>El recurso de revisión</w:t>
      </w:r>
      <w:r w:rsidRPr="00D4456A">
        <w:rPr>
          <w:rFonts w:ascii="Palatino Linotype" w:eastAsia="Palatino Linotype" w:hAnsi="Palatino Linotype" w:cs="Palatino Linotype"/>
          <w:i/>
          <w:iCs/>
          <w:sz w:val="22"/>
          <w:szCs w:val="22"/>
        </w:rPr>
        <w:t xml:space="preserve"> es un medio de protección que la Ley otorga a los particulares, para hacer valer su derecho de acceso a la información pública</w:t>
      </w:r>
      <w:r w:rsidRPr="00D4456A">
        <w:rPr>
          <w:rFonts w:ascii="Palatino Linotype" w:eastAsia="Palatino Linotype" w:hAnsi="Palatino Linotype" w:cs="Palatino Linotype"/>
          <w:b/>
          <w:bCs/>
          <w:i/>
          <w:iCs/>
          <w:sz w:val="22"/>
          <w:szCs w:val="22"/>
        </w:rPr>
        <w:t>, y procederá en contra de las siguientes causas</w:t>
      </w:r>
      <w:r w:rsidRPr="00D4456A">
        <w:rPr>
          <w:rFonts w:ascii="Palatino Linotype" w:eastAsia="Palatino Linotype" w:hAnsi="Palatino Linotype" w:cs="Palatino Linotype"/>
          <w:i/>
          <w:iCs/>
          <w:sz w:val="22"/>
          <w:szCs w:val="22"/>
        </w:rPr>
        <w:t>:</w:t>
      </w:r>
    </w:p>
    <w:p w14:paraId="635A18E9" w14:textId="77777777" w:rsidR="003A79E5" w:rsidRPr="00D4456A" w:rsidRDefault="003A79E5" w:rsidP="003A79E5">
      <w:pPr>
        <w:pStyle w:val="Prrafodelista"/>
        <w:numPr>
          <w:ilvl w:val="0"/>
          <w:numId w:val="27"/>
        </w:numPr>
        <w:pBdr>
          <w:top w:val="nil"/>
          <w:left w:val="nil"/>
          <w:bottom w:val="nil"/>
          <w:right w:val="nil"/>
          <w:between w:val="nil"/>
        </w:pBdr>
        <w:spacing w:before="240" w:after="240"/>
        <w:ind w:left="709" w:right="843" w:hanging="153"/>
        <w:jc w:val="both"/>
        <w:rPr>
          <w:rFonts w:ascii="Palatino Linotype" w:eastAsia="Palatino Linotype" w:hAnsi="Palatino Linotype" w:cs="Palatino Linotype"/>
          <w:i/>
          <w:iCs/>
          <w:sz w:val="22"/>
          <w:szCs w:val="22"/>
        </w:rPr>
      </w:pPr>
      <w:r w:rsidRPr="00D4456A">
        <w:rPr>
          <w:rFonts w:ascii="Palatino Linotype" w:eastAsia="Palatino Linotype" w:hAnsi="Palatino Linotype" w:cs="Palatino Linotype"/>
          <w:i/>
          <w:iCs/>
          <w:sz w:val="22"/>
          <w:szCs w:val="22"/>
        </w:rPr>
        <w:t>La negativa a la información solicitada;</w:t>
      </w:r>
    </w:p>
    <w:p w14:paraId="7AB98912" w14:textId="127A8447" w:rsidR="00DD0972" w:rsidRPr="00D4456A" w:rsidRDefault="00DD0972" w:rsidP="003A79E5">
      <w:pPr>
        <w:pBdr>
          <w:top w:val="nil"/>
          <w:left w:val="nil"/>
          <w:bottom w:val="nil"/>
          <w:right w:val="nil"/>
          <w:between w:val="nil"/>
        </w:pBdr>
        <w:spacing w:before="240" w:after="240"/>
        <w:ind w:left="567" w:right="843"/>
        <w:jc w:val="both"/>
        <w:rPr>
          <w:rFonts w:ascii="Palatino Linotype" w:eastAsia="Palatino Linotype" w:hAnsi="Palatino Linotype" w:cs="Palatino Linotype"/>
          <w:i/>
          <w:iCs/>
          <w:sz w:val="22"/>
          <w:szCs w:val="22"/>
        </w:rPr>
      </w:pPr>
      <w:r w:rsidRPr="00D4456A">
        <w:rPr>
          <w:rFonts w:ascii="Palatino Linotype" w:eastAsia="Palatino Linotype" w:hAnsi="Palatino Linotype" w:cs="Palatino Linotype"/>
          <w:i/>
          <w:iCs/>
          <w:sz w:val="22"/>
          <w:szCs w:val="22"/>
        </w:rPr>
        <w:t>…</w:t>
      </w:r>
    </w:p>
    <w:p w14:paraId="7557B6AF" w14:textId="77777777"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 xml:space="preserve">Tercero. Materia de la revisión. </w:t>
      </w:r>
      <w:r w:rsidRPr="00D4456A">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D4456A">
        <w:rPr>
          <w:rFonts w:ascii="Palatino Linotype" w:eastAsia="Palatino Linotype" w:hAnsi="Palatino Linotype" w:cs="Palatino Linotype"/>
          <w:b/>
          <w:sz w:val="22"/>
          <w:szCs w:val="22"/>
        </w:rPr>
        <w:t xml:space="preserve">verificar si la respuesta otorgada por el Sujeto Obligado es adecuada y suficiente para satisfacer el derecho de acceso a la información pública </w:t>
      </w:r>
      <w:r w:rsidRPr="00D4456A">
        <w:rPr>
          <w:rFonts w:ascii="Palatino Linotype" w:eastAsia="Palatino Linotype" w:hAnsi="Palatino Linotype" w:cs="Palatino Linotype"/>
          <w:sz w:val="22"/>
          <w:szCs w:val="22"/>
        </w:rPr>
        <w:t xml:space="preserve">de la parte </w:t>
      </w:r>
      <w:r w:rsidRPr="00D4456A">
        <w:rPr>
          <w:rFonts w:ascii="Palatino Linotype" w:eastAsia="Palatino Linotype" w:hAnsi="Palatino Linotype" w:cs="Palatino Linotype"/>
          <w:b/>
          <w:sz w:val="22"/>
          <w:szCs w:val="22"/>
        </w:rPr>
        <w:t>Recurrente</w:t>
      </w:r>
      <w:r w:rsidRPr="00D4456A">
        <w:rPr>
          <w:rFonts w:ascii="Palatino Linotype" w:eastAsia="Palatino Linotype" w:hAnsi="Palatino Linotype" w:cs="Palatino Linotype"/>
          <w:sz w:val="22"/>
          <w:szCs w:val="22"/>
        </w:rPr>
        <w:t>, o en su defecto, en caso de ser procedente, ordenar la entrega de información.</w:t>
      </w:r>
    </w:p>
    <w:p w14:paraId="41084079" w14:textId="77777777"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 xml:space="preserve">Cuarto. Estudio del asunto. </w:t>
      </w:r>
      <w:r w:rsidRPr="00D4456A">
        <w:rPr>
          <w:rFonts w:ascii="Palatino Linotype" w:eastAsia="Palatino Linotype" w:hAnsi="Palatino Linotype" w:cs="Palatino Linotype"/>
          <w:sz w:val="22"/>
          <w:szCs w:val="22"/>
        </w:rPr>
        <w:t xml:space="preserve">En principio, es conveniente analizar si la respuesta como el informe justificado del </w:t>
      </w:r>
      <w:r w:rsidRPr="00D4456A">
        <w:rPr>
          <w:rFonts w:ascii="Palatino Linotype" w:eastAsia="Palatino Linotype" w:hAnsi="Palatino Linotype" w:cs="Palatino Linotype"/>
          <w:b/>
          <w:sz w:val="22"/>
          <w:szCs w:val="22"/>
        </w:rPr>
        <w:t>SUJETO OBLIGADO</w:t>
      </w:r>
      <w:r w:rsidRPr="00D4456A">
        <w:rPr>
          <w:rFonts w:ascii="Palatino Linotype" w:eastAsia="Palatino Linotype" w:hAnsi="Palatino Linotype" w:cs="Palatino Linotype"/>
          <w:sz w:val="22"/>
          <w:szCs w:val="22"/>
        </w:rPr>
        <w:t xml:space="preserve"> cumple con los requisitos y procedimientos del derecho de acceso a la información pública, en atención a que en la Ley de Transparencia y Acceso a la Información Pública del Estado de México y Municipios en su artículo 4, que dice que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trascribe para un mejor entendimiento:</w:t>
      </w:r>
    </w:p>
    <w:p w14:paraId="771DBF1F"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r w:rsidRPr="00D4456A">
        <w:rPr>
          <w:rFonts w:ascii="Palatino Linotype" w:eastAsia="Palatino Linotype" w:hAnsi="Palatino Linotype" w:cs="Palatino Linotype"/>
          <w:b/>
          <w:i/>
          <w:sz w:val="22"/>
          <w:szCs w:val="22"/>
        </w:rPr>
        <w:t>Artículo 4</w:t>
      </w:r>
      <w:r w:rsidRPr="00D4456A">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4B39FB6D"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D4456A">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0A6F657C"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D4456A">
        <w:rPr>
          <w:rFonts w:ascii="Palatino Linotype" w:eastAsia="Palatino Linotype" w:hAnsi="Palatino Linotype" w:cs="Palatino Linotype"/>
          <w:i/>
          <w:sz w:val="22"/>
          <w:szCs w:val="22"/>
        </w:rPr>
        <w:t>.”</w:t>
      </w:r>
    </w:p>
    <w:p w14:paraId="63694488" w14:textId="77777777"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69516CB0"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“Artículo 12.-</w:t>
      </w:r>
      <w:r w:rsidRPr="00D4456A">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32891FE8"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D4456A">
        <w:rPr>
          <w:rFonts w:ascii="Palatino Linotype" w:eastAsia="Palatino Linotype" w:hAnsi="Palatino Linotype" w:cs="Palatino Linotype"/>
          <w:i/>
          <w:sz w:val="22"/>
          <w:szCs w:val="22"/>
        </w:rPr>
        <w:t xml:space="preserve">. </w:t>
      </w:r>
      <w:r w:rsidRPr="00D4456A">
        <w:rPr>
          <w:rFonts w:ascii="Palatino Linotype" w:eastAsia="Palatino Linotype" w:hAnsi="Palatino Linotype" w:cs="Palatino Linotype"/>
          <w:b/>
          <w:i/>
          <w:sz w:val="22"/>
          <w:szCs w:val="22"/>
        </w:rPr>
        <w:t xml:space="preserve">La obligación de proporcionar información no comprende el procesamiento de la misma, ni el presentarla conforme al interés del solicitante; no estarán obligados a generarla, resumirla, efectuar cálculos o practicar investigaciones.” </w:t>
      </w:r>
    </w:p>
    <w:p w14:paraId="15364CC4" w14:textId="77777777" w:rsidR="00422AF6" w:rsidRPr="00D4456A" w:rsidRDefault="0067296C" w:rsidP="007368CB">
      <w:pPr>
        <w:tabs>
          <w:tab w:val="left" w:pos="2552"/>
        </w:tabs>
        <w:spacing w:before="240" w:after="240" w:line="360" w:lineRule="auto"/>
        <w:ind w:right="-93"/>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solo se concretaran a proporcionar la información solicitada que tengan en su poder en el estado que se encuentran, sin necesidad de concretarse al interés o términos específicos del solicitante.</w:t>
      </w:r>
    </w:p>
    <w:p w14:paraId="2D5FB247" w14:textId="77777777" w:rsidR="00422AF6" w:rsidRPr="00D4456A" w:rsidRDefault="0067296C" w:rsidP="007368CB">
      <w:pPr>
        <w:tabs>
          <w:tab w:val="left" w:pos="2552"/>
        </w:tabs>
        <w:spacing w:before="240" w:after="240" w:line="360" w:lineRule="auto"/>
        <w:ind w:right="-93"/>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Sirve de apoyo a lo anterior, el criterio </w:t>
      </w:r>
      <w:r w:rsidR="00375A7D" w:rsidRPr="00D4456A">
        <w:rPr>
          <w:rFonts w:ascii="Palatino Linotype" w:eastAsia="Palatino Linotype" w:hAnsi="Palatino Linotype" w:cs="Palatino Linotype"/>
          <w:sz w:val="22"/>
          <w:szCs w:val="22"/>
        </w:rPr>
        <w:t xml:space="preserve">orientador </w:t>
      </w:r>
      <w:r w:rsidRPr="00D4456A">
        <w:rPr>
          <w:rFonts w:ascii="Palatino Linotype" w:eastAsia="Palatino Linotype" w:hAnsi="Palatino Linotype" w:cs="Palatino Linotype"/>
          <w:sz w:val="22"/>
          <w:szCs w:val="22"/>
        </w:rPr>
        <w:t xml:space="preserve">03-17, expuesto por el </w:t>
      </w:r>
      <w:r w:rsidR="00375A7D" w:rsidRPr="00D4456A">
        <w:rPr>
          <w:rFonts w:ascii="Palatino Linotype" w:eastAsia="Palatino Linotype" w:hAnsi="Palatino Linotype" w:cs="Palatino Linotype"/>
          <w:sz w:val="22"/>
          <w:szCs w:val="22"/>
        </w:rPr>
        <w:t xml:space="preserve">entonces </w:t>
      </w:r>
      <w:r w:rsidRPr="00D4456A">
        <w:rPr>
          <w:rFonts w:ascii="Palatino Linotype" w:eastAsia="Palatino Linotype" w:hAnsi="Palatino Linotype" w:cs="Palatino Linotype"/>
          <w:sz w:val="22"/>
          <w:szCs w:val="22"/>
        </w:rPr>
        <w:t>Instituto Nacional de Transparencia, Acceso a la Información y Protección de Datos Personales, que dice:</w:t>
      </w:r>
      <w:r w:rsidRPr="00D4456A">
        <w:rPr>
          <w:rFonts w:ascii="Palatino Linotype" w:eastAsia="Palatino Linotype" w:hAnsi="Palatino Linotype" w:cs="Palatino Linotype"/>
          <w:b/>
          <w:sz w:val="22"/>
          <w:szCs w:val="22"/>
        </w:rPr>
        <w:t xml:space="preserve"> </w:t>
      </w:r>
    </w:p>
    <w:p w14:paraId="7F83F4AA"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r w:rsidRPr="00D4456A">
        <w:rPr>
          <w:rFonts w:ascii="Palatino Linotype" w:eastAsia="Palatino Linotype" w:hAnsi="Palatino Linotype" w:cs="Palatino Linotype"/>
          <w:b/>
          <w:i/>
          <w:sz w:val="22"/>
          <w:szCs w:val="22"/>
        </w:rPr>
        <w:t>No existe obligación de elaborar documentos ad hoc para atender las solicitudes de acceso a la información.</w:t>
      </w:r>
      <w:r w:rsidRPr="00D4456A">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42C684CA" w14:textId="77777777"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57EDB76C" w14:textId="77777777" w:rsidR="00422AF6" w:rsidRPr="00D4456A" w:rsidRDefault="0067296C" w:rsidP="007368CB">
      <w:pPr>
        <w:tabs>
          <w:tab w:val="left" w:pos="2552"/>
        </w:tabs>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5A5D9449" w14:textId="77777777"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6FAC1A46"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r w:rsidRPr="00D4456A">
        <w:rPr>
          <w:rFonts w:ascii="Palatino Linotype" w:eastAsia="Palatino Linotype" w:hAnsi="Palatino Linotype" w:cs="Palatino Linotype"/>
          <w:b/>
          <w:i/>
          <w:sz w:val="22"/>
          <w:szCs w:val="22"/>
        </w:rPr>
        <w:t xml:space="preserve">Artículo 3. </w:t>
      </w:r>
      <w:r w:rsidRPr="00D4456A">
        <w:rPr>
          <w:rFonts w:ascii="Palatino Linotype" w:eastAsia="Palatino Linotype" w:hAnsi="Palatino Linotype" w:cs="Palatino Linotype"/>
          <w:i/>
          <w:sz w:val="22"/>
          <w:szCs w:val="22"/>
        </w:rPr>
        <w:t>Para los efectos de la presente Ley se entenderá por:</w:t>
      </w:r>
    </w:p>
    <w:p w14:paraId="3878E0DF"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1057A501" w14:textId="77777777" w:rsidR="00422AF6" w:rsidRPr="00D4456A" w:rsidRDefault="0067296C" w:rsidP="007368CB">
      <w:pPr>
        <w:tabs>
          <w:tab w:val="left" w:pos="2552"/>
        </w:tabs>
        <w:spacing w:before="240" w:after="240" w:line="360" w:lineRule="auto"/>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XI. Documento:</w:t>
      </w:r>
      <w:r w:rsidRPr="00D4456A">
        <w:rPr>
          <w:rFonts w:ascii="Palatino Linotype" w:eastAsia="Palatino Linotype" w:hAnsi="Palatino Linotype" w:cs="Palatino Linotype"/>
          <w:i/>
          <w:sz w:val="22"/>
          <w:szCs w:val="22"/>
        </w:rPr>
        <w:t xml:space="preserve"> Los expedientes, reportes, estudios, actas</w:t>
      </w:r>
      <w:r w:rsidRPr="00D4456A">
        <w:rPr>
          <w:rFonts w:ascii="Palatino Linotype" w:eastAsia="Palatino Linotype" w:hAnsi="Palatino Linotype" w:cs="Palatino Linotype"/>
          <w:b/>
          <w:i/>
          <w:sz w:val="22"/>
          <w:szCs w:val="22"/>
        </w:rPr>
        <w:t>,</w:t>
      </w:r>
      <w:r w:rsidRPr="00D4456A">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7C8CC1D1" w14:textId="77777777" w:rsidR="00422AF6" w:rsidRPr="00D4456A" w:rsidRDefault="0067296C" w:rsidP="007368CB">
      <w:pPr>
        <w:tabs>
          <w:tab w:val="left" w:pos="2552"/>
        </w:tabs>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40B7496A" w14:textId="77777777" w:rsidR="00422AF6" w:rsidRPr="00D4456A" w:rsidRDefault="0067296C" w:rsidP="00B22852">
      <w:pPr>
        <w:tabs>
          <w:tab w:val="left" w:pos="2552"/>
        </w:tabs>
        <w:spacing w:before="240" w:after="240"/>
        <w:ind w:left="567" w:right="616"/>
        <w:jc w:val="both"/>
        <w:rPr>
          <w:rFonts w:ascii="Palatino Linotype" w:eastAsia="Palatino Linotype" w:hAnsi="Palatino Linotype" w:cs="Palatino Linotype"/>
          <w:b/>
          <w:i/>
          <w:sz w:val="22"/>
          <w:szCs w:val="22"/>
        </w:rPr>
      </w:pPr>
      <w:r w:rsidRPr="00D4456A">
        <w:rPr>
          <w:rFonts w:ascii="Palatino Linotype" w:eastAsia="Palatino Linotype" w:hAnsi="Palatino Linotype" w:cs="Palatino Linotype"/>
          <w:b/>
          <w:sz w:val="22"/>
          <w:szCs w:val="22"/>
        </w:rPr>
        <w:t>“</w:t>
      </w:r>
      <w:r w:rsidRPr="00D4456A">
        <w:rPr>
          <w:rFonts w:ascii="Palatino Linotype" w:eastAsia="Palatino Linotype" w:hAnsi="Palatino Linotype" w:cs="Palatino Linotype"/>
          <w:b/>
          <w:i/>
          <w:sz w:val="22"/>
          <w:szCs w:val="22"/>
        </w:rPr>
        <w:t>CRITERIO 0002-11. INFORMACIÓN PÚBLICA, CONCEPTO DE, EN MATERIA DE TRANSPARENCIA. INTERPRETACIÓN SISTEMÁTICA DE LOS ARTÍCULOS 2°, FRACCIÓN V, XV, Y XVI, 3°, 4°, 11 Y 41.</w:t>
      </w:r>
      <w:r w:rsidRPr="00D4456A">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528830A3" w14:textId="77777777" w:rsidR="00422AF6" w:rsidRPr="00D4456A" w:rsidRDefault="0067296C" w:rsidP="00B22852">
      <w:pPr>
        <w:tabs>
          <w:tab w:val="left" w:pos="2552"/>
        </w:tabs>
        <w:spacing w:before="240" w:after="240"/>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4DBEC1D8" w14:textId="77777777" w:rsidR="00422AF6" w:rsidRPr="00D4456A" w:rsidRDefault="0067296C" w:rsidP="00B22852">
      <w:pPr>
        <w:tabs>
          <w:tab w:val="left" w:pos="2552"/>
        </w:tabs>
        <w:spacing w:before="240" w:after="240"/>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2A1F5323" w14:textId="77777777" w:rsidR="00422AF6" w:rsidRPr="00D4456A" w:rsidRDefault="0067296C" w:rsidP="00B22852">
      <w:pPr>
        <w:tabs>
          <w:tab w:val="left" w:pos="2552"/>
        </w:tabs>
        <w:spacing w:before="240" w:after="240"/>
        <w:ind w:left="567" w:right="616"/>
        <w:jc w:val="both"/>
        <w:rPr>
          <w:rFonts w:ascii="Palatino Linotype" w:eastAsia="Palatino Linotype" w:hAnsi="Palatino Linotype" w:cs="Palatino Linotype"/>
          <w:b/>
          <w:i/>
          <w:sz w:val="22"/>
          <w:szCs w:val="22"/>
        </w:rPr>
      </w:pPr>
      <w:r w:rsidRPr="00D4456A">
        <w:rPr>
          <w:rFonts w:ascii="Palatino Linotype" w:eastAsia="Palatino Linotype" w:hAnsi="Palatino Linotype" w:cs="Palatino Linotype"/>
          <w:b/>
          <w:i/>
          <w:sz w:val="22"/>
          <w:szCs w:val="22"/>
        </w:rPr>
        <w:t>2) Que se trate de información registrada en cualquier soporte documental, que en ejercicio de las atribuciones conferidas, sea administrada por los Sujetos Obligados, y</w:t>
      </w:r>
    </w:p>
    <w:p w14:paraId="0EC52D20" w14:textId="77777777" w:rsidR="00422AF6" w:rsidRPr="00D4456A" w:rsidRDefault="0067296C" w:rsidP="00B22852">
      <w:pPr>
        <w:tabs>
          <w:tab w:val="left" w:pos="2552"/>
        </w:tabs>
        <w:spacing w:before="240" w:after="240"/>
        <w:ind w:left="567" w:right="616"/>
        <w:jc w:val="both"/>
        <w:rPr>
          <w:rFonts w:ascii="Palatino Linotype" w:eastAsia="Palatino Linotype" w:hAnsi="Palatino Linotype" w:cs="Palatino Linotype"/>
          <w:b/>
          <w:i/>
          <w:sz w:val="22"/>
          <w:szCs w:val="22"/>
        </w:rPr>
      </w:pPr>
      <w:r w:rsidRPr="00D4456A">
        <w:rPr>
          <w:rFonts w:ascii="Palatino Linotype" w:eastAsia="Palatino Linotype" w:hAnsi="Palatino Linotype" w:cs="Palatino Linotype"/>
          <w:b/>
          <w:i/>
          <w:sz w:val="22"/>
          <w:szCs w:val="22"/>
        </w:rPr>
        <w:t xml:space="preserve">3) Que se trate de información registrada en cualquier soporte documental, que en ejercicio de las atribuciones conferidas, se encuentre en posesión de los Sujetos Obligados.” </w:t>
      </w:r>
    </w:p>
    <w:p w14:paraId="7BB9B8AD" w14:textId="6ABDBF4D" w:rsidR="003548C3" w:rsidRPr="00D4456A" w:rsidRDefault="003548C3" w:rsidP="007368CB">
      <w:pPr>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Ahora bien, el particular solicitó acceso a la información que a continuación se simplifica:</w:t>
      </w:r>
    </w:p>
    <w:p w14:paraId="7FBA5688" w14:textId="1CC6F287" w:rsidR="00B469F2" w:rsidRPr="00D4456A" w:rsidRDefault="00B469F2" w:rsidP="00B469F2">
      <w:pPr>
        <w:numPr>
          <w:ilvl w:val="0"/>
          <w:numId w:val="9"/>
        </w:numPr>
        <w:pBdr>
          <w:top w:val="nil"/>
          <w:left w:val="nil"/>
          <w:bottom w:val="nil"/>
          <w:right w:val="nil"/>
          <w:between w:val="nil"/>
        </w:pBdr>
        <w:spacing w:before="240" w:after="240" w:line="360" w:lineRule="auto"/>
        <w:ind w:right="49"/>
        <w:jc w:val="both"/>
        <w:rPr>
          <w:rFonts w:ascii="Palatino Linotype" w:hAnsi="Palatino Linotype"/>
          <w:i/>
          <w:iCs/>
          <w:sz w:val="22"/>
          <w:szCs w:val="22"/>
        </w:rPr>
      </w:pPr>
      <w:r w:rsidRPr="00D4456A">
        <w:rPr>
          <w:rFonts w:ascii="Palatino Linotype" w:eastAsia="Palatino Linotype" w:hAnsi="Palatino Linotype" w:cs="Palatino Linotype"/>
          <w:i/>
          <w:iCs/>
          <w:sz w:val="22"/>
          <w:szCs w:val="22"/>
        </w:rPr>
        <w:t>Oficios emitidos del uno de enero al veinticuatro de junio por el Titular de la Unidad de Programas y Políticas para la excelencia educativa.</w:t>
      </w:r>
    </w:p>
    <w:p w14:paraId="6FBE6E96" w14:textId="4EDCA7B5" w:rsidR="003A79E5" w:rsidRPr="00D4456A" w:rsidRDefault="007613B2" w:rsidP="00B469F2">
      <w:pPr>
        <w:spacing w:before="240" w:after="240" w:line="360" w:lineRule="auto"/>
        <w:ind w:right="49"/>
        <w:jc w:val="both"/>
        <w:rPr>
          <w:rFonts w:ascii="Palatino Linotype" w:hAnsi="Palatino Linotype"/>
          <w:sz w:val="22"/>
          <w:szCs w:val="22"/>
        </w:rPr>
      </w:pPr>
      <w:r w:rsidRPr="00D4456A">
        <w:rPr>
          <w:rFonts w:ascii="Palatino Linotype" w:hAnsi="Palatino Linotype"/>
          <w:sz w:val="22"/>
          <w:szCs w:val="22"/>
        </w:rPr>
        <w:t xml:space="preserve">En respuesta, el Sujeto Obligado </w:t>
      </w:r>
      <w:r w:rsidR="00B469F2" w:rsidRPr="00D4456A">
        <w:rPr>
          <w:rFonts w:ascii="Palatino Linotype" w:hAnsi="Palatino Linotype"/>
          <w:sz w:val="22"/>
          <w:szCs w:val="22"/>
        </w:rPr>
        <w:t xml:space="preserve">señaló que </w:t>
      </w:r>
      <w:r w:rsidR="003A79E5" w:rsidRPr="00D4456A">
        <w:rPr>
          <w:rFonts w:ascii="Palatino Linotype" w:hAnsi="Palatino Linotype"/>
          <w:sz w:val="22"/>
          <w:szCs w:val="22"/>
        </w:rPr>
        <w:t>no puede entregar la información solicitada, ya que ha sido entregada en diversas solicitudes de acceso a la información formuladas previamente, por lo que se pone en riesgo la estabilidad laboral y emocional del personal por la insistencia focalizada, haciendo un llamado al ejercicio responsable y armónico de los derechos de los ciudadanos.</w:t>
      </w:r>
    </w:p>
    <w:p w14:paraId="0E213CE8" w14:textId="796D9C7F" w:rsidR="009D1764" w:rsidRPr="00D4456A" w:rsidRDefault="009D1764" w:rsidP="00B469F2">
      <w:pPr>
        <w:spacing w:before="240" w:after="240" w:line="360" w:lineRule="auto"/>
        <w:ind w:right="49"/>
        <w:jc w:val="both"/>
        <w:rPr>
          <w:rFonts w:ascii="Palatino Linotype" w:hAnsi="Palatino Linotype"/>
          <w:sz w:val="22"/>
          <w:szCs w:val="22"/>
        </w:rPr>
      </w:pPr>
      <w:r w:rsidRPr="00D4456A">
        <w:rPr>
          <w:rFonts w:ascii="Palatino Linotype" w:hAnsi="Palatino Linotype"/>
          <w:sz w:val="22"/>
          <w:szCs w:val="22"/>
        </w:rPr>
        <w:t>Por su parte, el Recurrente se inconformó por la negativa de la información reconociendo la existencia de la misma.</w:t>
      </w:r>
    </w:p>
    <w:p w14:paraId="15E59CA3" w14:textId="76804A51" w:rsidR="00857E98" w:rsidRPr="00D4456A" w:rsidRDefault="0085756D" w:rsidP="00857E98">
      <w:pPr>
        <w:spacing w:before="240" w:after="240" w:line="360" w:lineRule="auto"/>
        <w:ind w:right="49"/>
        <w:jc w:val="both"/>
        <w:rPr>
          <w:rFonts w:ascii="Palatino Linotype" w:hAnsi="Palatino Linotype"/>
          <w:sz w:val="22"/>
          <w:szCs w:val="22"/>
        </w:rPr>
      </w:pPr>
      <w:r w:rsidRPr="00D4456A">
        <w:rPr>
          <w:rFonts w:ascii="Palatino Linotype" w:hAnsi="Palatino Linotype"/>
          <w:sz w:val="22"/>
          <w:szCs w:val="22"/>
        </w:rPr>
        <w:t>Es de reconocer en primer término que toda la información en posesión de los Sujetos Obligados es de naturaleza pública</w:t>
      </w:r>
      <w:r w:rsidR="00857E98" w:rsidRPr="00D4456A">
        <w:rPr>
          <w:rFonts w:ascii="Palatino Linotype" w:hAnsi="Palatino Linotype"/>
          <w:sz w:val="22"/>
          <w:szCs w:val="22"/>
        </w:rPr>
        <w:t xml:space="preserve"> y sólo puede ser restringido de manera </w:t>
      </w:r>
      <w:r w:rsidR="00857E98" w:rsidRPr="00D4456A">
        <w:rPr>
          <w:rFonts w:ascii="Palatino Linotype" w:hAnsi="Palatino Linotype" w:cs="Arial"/>
          <w:sz w:val="22"/>
          <w:szCs w:val="22"/>
        </w:rPr>
        <w:t>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24B6C6B3" w14:textId="77777777" w:rsidR="00857E98" w:rsidRPr="00D4456A" w:rsidRDefault="00857E98" w:rsidP="00857E98">
      <w:pPr>
        <w:autoSpaceDE w:val="0"/>
        <w:autoSpaceDN w:val="0"/>
        <w:adjustRightInd w:val="0"/>
        <w:ind w:left="851" w:right="900"/>
        <w:jc w:val="both"/>
        <w:rPr>
          <w:rFonts w:ascii="Palatino Linotype" w:hAnsi="Palatino Linotype" w:cs="Arial"/>
          <w:i/>
          <w:sz w:val="22"/>
          <w:szCs w:val="22"/>
        </w:rPr>
      </w:pPr>
      <w:r w:rsidRPr="00D4456A">
        <w:rPr>
          <w:rFonts w:ascii="Palatino Linotype" w:hAnsi="Palatino Linotype" w:cs="Arial"/>
          <w:b/>
          <w:bCs/>
          <w:i/>
          <w:sz w:val="22"/>
          <w:szCs w:val="22"/>
        </w:rPr>
        <w:t xml:space="preserve">“Artículo 91. </w:t>
      </w:r>
      <w:r w:rsidRPr="00D4456A">
        <w:rPr>
          <w:rFonts w:ascii="Palatino Linotype" w:hAnsi="Palatino Linotype" w:cs="Arial"/>
          <w:i/>
          <w:sz w:val="22"/>
          <w:szCs w:val="22"/>
        </w:rPr>
        <w:t>El acceso a la información pública será restringido  excepcionalmente, cuando ésta sea clasificada como reservada o confidencial.”</w:t>
      </w:r>
    </w:p>
    <w:p w14:paraId="12F17E52" w14:textId="77777777" w:rsidR="00857E98" w:rsidRPr="00D4456A" w:rsidRDefault="00857E98" w:rsidP="00857E98">
      <w:pPr>
        <w:autoSpaceDE w:val="0"/>
        <w:autoSpaceDN w:val="0"/>
        <w:adjustRightInd w:val="0"/>
        <w:ind w:left="851" w:right="900"/>
        <w:jc w:val="both"/>
        <w:rPr>
          <w:rFonts w:ascii="Palatino Linotype" w:hAnsi="Palatino Linotype" w:cs="Arial"/>
          <w:i/>
          <w:sz w:val="22"/>
          <w:szCs w:val="22"/>
        </w:rPr>
      </w:pPr>
    </w:p>
    <w:p w14:paraId="5587D998" w14:textId="77777777" w:rsidR="00857E98" w:rsidRPr="00D4456A" w:rsidRDefault="00857E98" w:rsidP="00857E98">
      <w:pPr>
        <w:autoSpaceDE w:val="0"/>
        <w:autoSpaceDN w:val="0"/>
        <w:adjustRightInd w:val="0"/>
        <w:spacing w:before="240" w:after="240" w:line="360" w:lineRule="auto"/>
        <w:jc w:val="both"/>
        <w:rPr>
          <w:rFonts w:ascii="Palatino Linotype" w:hAnsi="Palatino Linotype" w:cs="Arial"/>
          <w:sz w:val="22"/>
          <w:szCs w:val="22"/>
        </w:rPr>
      </w:pPr>
      <w:r w:rsidRPr="00D4456A">
        <w:rPr>
          <w:rFonts w:ascii="Palatino Linotype" w:hAnsi="Palatino Linotype" w:cs="Arial"/>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32AFF2BF" w14:textId="1826359B" w:rsidR="00857E98" w:rsidRPr="00D4456A" w:rsidRDefault="00857E98" w:rsidP="00857E98">
      <w:pPr>
        <w:autoSpaceDE w:val="0"/>
        <w:autoSpaceDN w:val="0"/>
        <w:adjustRightInd w:val="0"/>
        <w:spacing w:before="240" w:after="240" w:line="360" w:lineRule="auto"/>
        <w:jc w:val="both"/>
        <w:rPr>
          <w:rFonts w:ascii="Palatino Linotype" w:hAnsi="Palatino Linotype" w:cs="Arial"/>
          <w:sz w:val="22"/>
          <w:szCs w:val="22"/>
        </w:rPr>
      </w:pPr>
      <w:r w:rsidRPr="00D4456A">
        <w:rPr>
          <w:rFonts w:ascii="Palatino Linotype" w:hAnsi="Palatino Linotype" w:cs="Arial"/>
          <w:sz w:val="22"/>
          <w:szCs w:val="22"/>
        </w:rPr>
        <w:t>Si bien es cierto la información requerida puede contener datos personales, también lo es que al tratarse de servidores públicos y tener una relación laboral con una institución pública y recibir recursos públicos en contraprestación de su relación laboral, es que el régimen de protección sobre su información en posesión del Sujeto Obligado</w:t>
      </w:r>
      <w:r w:rsidR="00C03160" w:rsidRPr="00D4456A">
        <w:rPr>
          <w:rFonts w:ascii="Palatino Linotype" w:hAnsi="Palatino Linotype" w:cs="Arial"/>
          <w:sz w:val="22"/>
          <w:szCs w:val="22"/>
        </w:rPr>
        <w:t xml:space="preserve"> es menor, en comparación a una persona ajena al quehacer gubernamental pues dada la naturaleza de su cargo, la información </w:t>
      </w:r>
      <w:r w:rsidRPr="00D4456A">
        <w:rPr>
          <w:rFonts w:ascii="Palatino Linotype" w:hAnsi="Palatino Linotype" w:cs="Arial"/>
          <w:sz w:val="22"/>
          <w:szCs w:val="22"/>
        </w:rPr>
        <w:t xml:space="preserve">es de interés colectivo y no puede restringirse o negarse su acceso </w:t>
      </w:r>
      <w:r w:rsidR="00C03160" w:rsidRPr="00D4456A">
        <w:rPr>
          <w:rFonts w:ascii="Palatino Linotype" w:hAnsi="Palatino Linotype" w:cs="Arial"/>
          <w:sz w:val="22"/>
          <w:szCs w:val="22"/>
        </w:rPr>
        <w:t>salvo las excepciones que establece la Ley de Transparencia, es decir, confidencialidad o reserva de la información.</w:t>
      </w:r>
    </w:p>
    <w:p w14:paraId="0F75BC56" w14:textId="77777777" w:rsidR="00857E98" w:rsidRPr="00D4456A" w:rsidRDefault="00857E98" w:rsidP="00B469F2">
      <w:pPr>
        <w:spacing w:before="240" w:after="240" w:line="360" w:lineRule="auto"/>
        <w:ind w:right="49"/>
        <w:jc w:val="both"/>
        <w:rPr>
          <w:rFonts w:ascii="Palatino Linotype" w:hAnsi="Palatino Linotype"/>
          <w:sz w:val="22"/>
          <w:szCs w:val="22"/>
        </w:rPr>
      </w:pPr>
    </w:p>
    <w:p w14:paraId="1051983F" w14:textId="20A8E1FA" w:rsidR="00916579" w:rsidRPr="00D4456A" w:rsidRDefault="00C03160" w:rsidP="001E5E7D">
      <w:pPr>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hAnsi="Palatino Linotype"/>
          <w:sz w:val="22"/>
          <w:szCs w:val="22"/>
        </w:rPr>
        <w:t>Dicho lo anterior, es necesario analizar la naturaleza de la información en los siguientes términos:</w:t>
      </w:r>
    </w:p>
    <w:p w14:paraId="2DCB3269" w14:textId="77777777" w:rsidR="00916579" w:rsidRPr="00D4456A" w:rsidRDefault="00916579" w:rsidP="00916579">
      <w:pPr>
        <w:spacing w:line="360" w:lineRule="auto"/>
        <w:jc w:val="both"/>
        <w:rPr>
          <w:rFonts w:ascii="Palatino Linotype" w:hAnsi="Palatino Linotype"/>
          <w:b/>
          <w:sz w:val="22"/>
          <w:szCs w:val="22"/>
        </w:rPr>
      </w:pPr>
      <w:r w:rsidRPr="00D4456A">
        <w:rPr>
          <w:rFonts w:ascii="Palatino Linotype" w:hAnsi="Palatino Linotype"/>
          <w:b/>
          <w:sz w:val="22"/>
          <w:szCs w:val="22"/>
        </w:rPr>
        <w:t>Expediente laboral.</w:t>
      </w:r>
    </w:p>
    <w:p w14:paraId="6759A4A2" w14:textId="77777777" w:rsidR="00916579" w:rsidRPr="00D4456A" w:rsidRDefault="00916579" w:rsidP="00916579">
      <w:pPr>
        <w:spacing w:line="360" w:lineRule="auto"/>
        <w:jc w:val="both"/>
        <w:rPr>
          <w:rFonts w:ascii="Palatino Linotype" w:hAnsi="Palatino Linotype"/>
          <w:b/>
          <w:sz w:val="22"/>
          <w:szCs w:val="22"/>
        </w:rPr>
      </w:pPr>
    </w:p>
    <w:p w14:paraId="750DC76B" w14:textId="77777777" w:rsidR="00916579" w:rsidRPr="00D4456A" w:rsidRDefault="00916579" w:rsidP="00916579">
      <w:pPr>
        <w:tabs>
          <w:tab w:val="left" w:pos="709"/>
        </w:tabs>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En cuanto a la materia de los documentos que integran los expedientes laborales de servidores públicos, se procede a señalar los requisitos generales contenidos en los articulados 47, 48 y 49, de la Ley del Trabado de los Servidores Públicos del Estado de México y Municipios, así como el documento idóneo con el que se pudiera acreditar, son los siguientes:</w:t>
      </w:r>
    </w:p>
    <w:p w14:paraId="2CA85BA5" w14:textId="77777777" w:rsidR="00916579" w:rsidRPr="00D4456A" w:rsidRDefault="00916579" w:rsidP="00916579">
      <w:pPr>
        <w:rPr>
          <w:rFonts w:ascii="Palatino Linotype" w:hAnsi="Palatino Linotype"/>
          <w:sz w:val="22"/>
          <w:szCs w:val="22"/>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7"/>
        <w:gridCol w:w="2607"/>
        <w:gridCol w:w="2410"/>
      </w:tblGrid>
      <w:tr w:rsidR="00916579" w:rsidRPr="00D4456A" w14:paraId="40E98F7A" w14:textId="77777777" w:rsidTr="009360BE">
        <w:trPr>
          <w:tblHeader/>
        </w:trPr>
        <w:tc>
          <w:tcPr>
            <w:tcW w:w="3767" w:type="dxa"/>
            <w:shd w:val="clear" w:color="auto" w:fill="DDD9C4"/>
            <w:vAlign w:val="center"/>
          </w:tcPr>
          <w:p w14:paraId="51D08183"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b/>
                <w:sz w:val="18"/>
                <w:szCs w:val="22"/>
              </w:rPr>
            </w:pPr>
            <w:r w:rsidRPr="00D4456A">
              <w:rPr>
                <w:rFonts w:ascii="Palatino Linotype" w:eastAsia="Palatino Linotype" w:hAnsi="Palatino Linotype" w:cs="Palatino Linotype"/>
                <w:b/>
                <w:sz w:val="18"/>
                <w:szCs w:val="22"/>
              </w:rPr>
              <w:t>Requisito establecido en la Ley del Trabajo de los Servidores Públicos del Estado y Municipios</w:t>
            </w:r>
          </w:p>
        </w:tc>
        <w:tc>
          <w:tcPr>
            <w:tcW w:w="2607" w:type="dxa"/>
            <w:shd w:val="clear" w:color="auto" w:fill="DDD9C4"/>
            <w:vAlign w:val="center"/>
          </w:tcPr>
          <w:p w14:paraId="47055DC0"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b/>
                <w:sz w:val="18"/>
                <w:szCs w:val="22"/>
              </w:rPr>
            </w:pPr>
            <w:r w:rsidRPr="00D4456A">
              <w:rPr>
                <w:rFonts w:ascii="Palatino Linotype" w:eastAsia="Palatino Linotype" w:hAnsi="Palatino Linotype" w:cs="Palatino Linotype"/>
                <w:b/>
                <w:sz w:val="18"/>
                <w:szCs w:val="22"/>
              </w:rPr>
              <w:t>Documento que lo acredita</w:t>
            </w:r>
          </w:p>
        </w:tc>
        <w:tc>
          <w:tcPr>
            <w:tcW w:w="2410" w:type="dxa"/>
            <w:shd w:val="clear" w:color="auto" w:fill="DDD9C4"/>
            <w:vAlign w:val="center"/>
          </w:tcPr>
          <w:p w14:paraId="33EA5C74"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b/>
                <w:sz w:val="18"/>
                <w:szCs w:val="22"/>
              </w:rPr>
            </w:pPr>
            <w:r w:rsidRPr="00D4456A">
              <w:rPr>
                <w:rFonts w:ascii="Palatino Linotype" w:eastAsia="Palatino Linotype" w:hAnsi="Palatino Linotype" w:cs="Palatino Linotype"/>
                <w:b/>
                <w:sz w:val="18"/>
                <w:szCs w:val="22"/>
              </w:rPr>
              <w:t>Clasificación de la Información</w:t>
            </w:r>
          </w:p>
        </w:tc>
      </w:tr>
      <w:tr w:rsidR="00916579" w:rsidRPr="00D4456A" w14:paraId="2F1955F5" w14:textId="77777777" w:rsidTr="009360BE">
        <w:tc>
          <w:tcPr>
            <w:tcW w:w="3767" w:type="dxa"/>
            <w:vAlign w:val="center"/>
          </w:tcPr>
          <w:p w14:paraId="5B322425"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Presentar una solicitud utilizando la forma oficial que se autorice por la institución pública o dependencia correspondiente.</w:t>
            </w:r>
          </w:p>
        </w:tc>
        <w:tc>
          <w:tcPr>
            <w:tcW w:w="2607" w:type="dxa"/>
            <w:vAlign w:val="center"/>
          </w:tcPr>
          <w:p w14:paraId="2DA17DB4"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Solicitud de empleo, ficha curricular, curriculum vitae o documento análogo</w:t>
            </w:r>
          </w:p>
        </w:tc>
        <w:tc>
          <w:tcPr>
            <w:tcW w:w="2410" w:type="dxa"/>
            <w:vAlign w:val="center"/>
          </w:tcPr>
          <w:p w14:paraId="27602933"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En versión pública.</w:t>
            </w:r>
          </w:p>
        </w:tc>
      </w:tr>
      <w:tr w:rsidR="00916579" w:rsidRPr="00D4456A" w14:paraId="13586936" w14:textId="77777777" w:rsidTr="009360BE">
        <w:trPr>
          <w:trHeight w:val="517"/>
        </w:trPr>
        <w:tc>
          <w:tcPr>
            <w:tcW w:w="3767" w:type="dxa"/>
            <w:vAlign w:val="center"/>
          </w:tcPr>
          <w:p w14:paraId="7A0355F7"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Ser de nacionalidad mexicana.</w:t>
            </w:r>
          </w:p>
        </w:tc>
        <w:tc>
          <w:tcPr>
            <w:tcW w:w="2607" w:type="dxa"/>
            <w:vAlign w:val="center"/>
          </w:tcPr>
          <w:p w14:paraId="6D05ED3F"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Acta de nacimiento</w:t>
            </w:r>
          </w:p>
        </w:tc>
        <w:tc>
          <w:tcPr>
            <w:tcW w:w="2410" w:type="dxa"/>
            <w:vAlign w:val="center"/>
          </w:tcPr>
          <w:p w14:paraId="176B884B"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Confidencial</w:t>
            </w:r>
          </w:p>
        </w:tc>
      </w:tr>
      <w:tr w:rsidR="00916579" w:rsidRPr="00D4456A" w14:paraId="750041E9" w14:textId="77777777" w:rsidTr="009360BE">
        <w:tc>
          <w:tcPr>
            <w:tcW w:w="3767" w:type="dxa"/>
            <w:vAlign w:val="center"/>
          </w:tcPr>
          <w:p w14:paraId="41C8E66D"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Estar en pleno ejercicio de sus derechos civiles y políticos.</w:t>
            </w:r>
          </w:p>
        </w:tc>
        <w:tc>
          <w:tcPr>
            <w:tcW w:w="2607" w:type="dxa"/>
            <w:vAlign w:val="center"/>
          </w:tcPr>
          <w:p w14:paraId="533CCB13"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Credencial de elector e Informe o certificado de no antecedentes penales.</w:t>
            </w:r>
          </w:p>
        </w:tc>
        <w:tc>
          <w:tcPr>
            <w:tcW w:w="2410" w:type="dxa"/>
            <w:vAlign w:val="center"/>
          </w:tcPr>
          <w:p w14:paraId="5E476BD2"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En versión pública.</w:t>
            </w:r>
          </w:p>
        </w:tc>
      </w:tr>
      <w:tr w:rsidR="00916579" w:rsidRPr="00D4456A" w14:paraId="2F29F814" w14:textId="77777777" w:rsidTr="009360BE">
        <w:tc>
          <w:tcPr>
            <w:tcW w:w="3767" w:type="dxa"/>
            <w:vAlign w:val="center"/>
          </w:tcPr>
          <w:p w14:paraId="25ED73B1"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Acreditar, cuando proceda, el cumplimiento de la Ley del Servicio Militar Nacional.</w:t>
            </w:r>
          </w:p>
        </w:tc>
        <w:tc>
          <w:tcPr>
            <w:tcW w:w="2607" w:type="dxa"/>
            <w:vAlign w:val="center"/>
          </w:tcPr>
          <w:p w14:paraId="217C2472"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Cartilla del Servicio Militar</w:t>
            </w:r>
          </w:p>
        </w:tc>
        <w:tc>
          <w:tcPr>
            <w:tcW w:w="2410" w:type="dxa"/>
            <w:vAlign w:val="center"/>
          </w:tcPr>
          <w:p w14:paraId="328EE668"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N/A</w:t>
            </w:r>
          </w:p>
        </w:tc>
      </w:tr>
      <w:tr w:rsidR="00916579" w:rsidRPr="00D4456A" w14:paraId="078BF513" w14:textId="77777777" w:rsidTr="009360BE">
        <w:tc>
          <w:tcPr>
            <w:tcW w:w="3767" w:type="dxa"/>
            <w:vAlign w:val="center"/>
          </w:tcPr>
          <w:p w14:paraId="781ED800"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No haber sido separado anteriormente del servicio por las causas previstas en el artículo 93 de la presente ley.</w:t>
            </w:r>
          </w:p>
        </w:tc>
        <w:tc>
          <w:tcPr>
            <w:tcW w:w="2607" w:type="dxa"/>
            <w:vAlign w:val="center"/>
          </w:tcPr>
          <w:p w14:paraId="525175CE"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Constancia de no inhabilitación.</w:t>
            </w:r>
          </w:p>
        </w:tc>
        <w:tc>
          <w:tcPr>
            <w:tcW w:w="2410" w:type="dxa"/>
            <w:vAlign w:val="center"/>
          </w:tcPr>
          <w:p w14:paraId="1A2138C7"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En versión pública</w:t>
            </w:r>
          </w:p>
        </w:tc>
      </w:tr>
      <w:tr w:rsidR="00916579" w:rsidRPr="00D4456A" w14:paraId="3044434A" w14:textId="77777777" w:rsidTr="009360BE">
        <w:tc>
          <w:tcPr>
            <w:tcW w:w="3767" w:type="dxa"/>
            <w:vAlign w:val="center"/>
          </w:tcPr>
          <w:p w14:paraId="1F459805"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Tener buena salud, lo que se comprobará con los certificados médicos.</w:t>
            </w:r>
          </w:p>
        </w:tc>
        <w:tc>
          <w:tcPr>
            <w:tcW w:w="2607" w:type="dxa"/>
            <w:vAlign w:val="center"/>
          </w:tcPr>
          <w:p w14:paraId="4BE5C18C"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Certificado Médico</w:t>
            </w:r>
          </w:p>
        </w:tc>
        <w:tc>
          <w:tcPr>
            <w:tcW w:w="2410" w:type="dxa"/>
            <w:vAlign w:val="center"/>
          </w:tcPr>
          <w:p w14:paraId="483EE782"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Confidencial</w:t>
            </w:r>
          </w:p>
        </w:tc>
      </w:tr>
      <w:tr w:rsidR="00916579" w:rsidRPr="00D4456A" w14:paraId="3152FDB9" w14:textId="77777777" w:rsidTr="009360BE">
        <w:tc>
          <w:tcPr>
            <w:tcW w:w="3767" w:type="dxa"/>
            <w:vAlign w:val="center"/>
          </w:tcPr>
          <w:p w14:paraId="45D63849"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Cumplir con los requisitos que se establezcan para los diferentes puestos.</w:t>
            </w:r>
          </w:p>
        </w:tc>
        <w:tc>
          <w:tcPr>
            <w:tcW w:w="2607" w:type="dxa"/>
            <w:vAlign w:val="center"/>
          </w:tcPr>
          <w:p w14:paraId="463A3085"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CV</w:t>
            </w:r>
          </w:p>
        </w:tc>
        <w:tc>
          <w:tcPr>
            <w:tcW w:w="2410" w:type="dxa"/>
            <w:vAlign w:val="center"/>
          </w:tcPr>
          <w:p w14:paraId="41643CA7"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En versión pública</w:t>
            </w:r>
          </w:p>
          <w:p w14:paraId="3D77A072"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p>
        </w:tc>
      </w:tr>
      <w:tr w:rsidR="00916579" w:rsidRPr="00D4456A" w14:paraId="61E20D6B" w14:textId="77777777" w:rsidTr="009360BE">
        <w:tc>
          <w:tcPr>
            <w:tcW w:w="3767" w:type="dxa"/>
            <w:vAlign w:val="center"/>
          </w:tcPr>
          <w:p w14:paraId="57DC608C"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Acreditar por medio de los exámenes correspondientes los conocimientos y aptitudes necesarios para el desempeño del puesto.</w:t>
            </w:r>
          </w:p>
        </w:tc>
        <w:tc>
          <w:tcPr>
            <w:tcW w:w="2607" w:type="dxa"/>
            <w:vAlign w:val="center"/>
          </w:tcPr>
          <w:p w14:paraId="3C70B97F"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hAnsi="Palatino Linotype"/>
                <w:sz w:val="18"/>
                <w:szCs w:val="22"/>
              </w:rPr>
              <w:t>No se localizó que los servidores públicos adscritos al Sujeto Obligado se encuentren constreñidos a presentar examen de conocimientos y aptitudes para ostentar algún cargo; no obstante, no se descarta la posibilidad de que si cuente con ellos, por lo que, de ser así se deberá entregar el documento que demuestre el resultado global, como aprobado/no aprobado.</w:t>
            </w:r>
          </w:p>
        </w:tc>
        <w:tc>
          <w:tcPr>
            <w:tcW w:w="2410" w:type="dxa"/>
            <w:vAlign w:val="center"/>
          </w:tcPr>
          <w:p w14:paraId="4B89006C"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hAnsi="Palatino Linotype"/>
                <w:sz w:val="18"/>
                <w:szCs w:val="22"/>
              </w:rPr>
              <w:t>En versión pública el resultado global.</w:t>
            </w:r>
          </w:p>
        </w:tc>
      </w:tr>
      <w:tr w:rsidR="00916579" w:rsidRPr="00D4456A" w14:paraId="6FD5279C" w14:textId="77777777" w:rsidTr="009360BE">
        <w:tc>
          <w:tcPr>
            <w:tcW w:w="3767" w:type="dxa"/>
            <w:vAlign w:val="center"/>
          </w:tcPr>
          <w:p w14:paraId="3829A813"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No estar inhabilitado para el ejercicio del servicio público.</w:t>
            </w:r>
          </w:p>
        </w:tc>
        <w:tc>
          <w:tcPr>
            <w:tcW w:w="2607" w:type="dxa"/>
            <w:vAlign w:val="center"/>
          </w:tcPr>
          <w:p w14:paraId="3121B174"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Constancia de no inhabilitación.</w:t>
            </w:r>
          </w:p>
        </w:tc>
        <w:tc>
          <w:tcPr>
            <w:tcW w:w="2410" w:type="dxa"/>
            <w:vAlign w:val="center"/>
          </w:tcPr>
          <w:p w14:paraId="74A16CBB"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En versión Pública.</w:t>
            </w:r>
          </w:p>
        </w:tc>
      </w:tr>
      <w:tr w:rsidR="00916579" w:rsidRPr="00D4456A" w14:paraId="20144BBE" w14:textId="77777777" w:rsidTr="009360BE">
        <w:tc>
          <w:tcPr>
            <w:tcW w:w="3767" w:type="dxa"/>
            <w:vAlign w:val="center"/>
          </w:tcPr>
          <w:p w14:paraId="5F5D783E"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Presentar certificado expedido por la Unidad del Registro de Deudores Alimentarios Morosos en el que conste, si se encuentra inscrito o no en el mismo.</w:t>
            </w:r>
          </w:p>
        </w:tc>
        <w:tc>
          <w:tcPr>
            <w:tcW w:w="2607" w:type="dxa"/>
            <w:vAlign w:val="center"/>
          </w:tcPr>
          <w:p w14:paraId="1FDAC402"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Certificado de No Deudor Alimentario Moroso.</w:t>
            </w:r>
          </w:p>
        </w:tc>
        <w:tc>
          <w:tcPr>
            <w:tcW w:w="2410" w:type="dxa"/>
            <w:vAlign w:val="center"/>
          </w:tcPr>
          <w:p w14:paraId="269E4045"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En versión Pública.</w:t>
            </w:r>
          </w:p>
        </w:tc>
      </w:tr>
      <w:tr w:rsidR="00916579" w:rsidRPr="00D4456A" w14:paraId="03D08D16" w14:textId="77777777" w:rsidTr="009360BE">
        <w:tc>
          <w:tcPr>
            <w:tcW w:w="3767" w:type="dxa"/>
            <w:shd w:val="clear" w:color="auto" w:fill="auto"/>
            <w:vAlign w:val="center"/>
          </w:tcPr>
          <w:p w14:paraId="45AA8619"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Para iniciar la prestación de los servicios</w:t>
            </w:r>
          </w:p>
        </w:tc>
        <w:tc>
          <w:tcPr>
            <w:tcW w:w="2607" w:type="dxa"/>
            <w:shd w:val="clear" w:color="auto" w:fill="auto"/>
            <w:vAlign w:val="center"/>
          </w:tcPr>
          <w:p w14:paraId="39E75143" w14:textId="77777777" w:rsidR="00916579" w:rsidRPr="00D4456A" w:rsidRDefault="00916579" w:rsidP="009360BE">
            <w:pPr>
              <w:tabs>
                <w:tab w:val="left" w:pos="284"/>
                <w:tab w:val="left" w:pos="426"/>
              </w:tabs>
              <w:ind w:right="49"/>
              <w:jc w:val="both"/>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Nombramiento, contrato o formato único de Movimientos de Personal.</w:t>
            </w:r>
          </w:p>
        </w:tc>
        <w:tc>
          <w:tcPr>
            <w:tcW w:w="2410" w:type="dxa"/>
            <w:vAlign w:val="center"/>
          </w:tcPr>
          <w:p w14:paraId="7A254B8E" w14:textId="77777777" w:rsidR="00916579" w:rsidRPr="00D4456A" w:rsidRDefault="00916579" w:rsidP="009360BE">
            <w:pPr>
              <w:tabs>
                <w:tab w:val="left" w:pos="284"/>
                <w:tab w:val="left" w:pos="426"/>
              </w:tabs>
              <w:ind w:right="49"/>
              <w:jc w:val="center"/>
              <w:rPr>
                <w:rFonts w:ascii="Palatino Linotype" w:eastAsia="Palatino Linotype" w:hAnsi="Palatino Linotype" w:cs="Palatino Linotype"/>
                <w:sz w:val="18"/>
                <w:szCs w:val="22"/>
              </w:rPr>
            </w:pPr>
            <w:r w:rsidRPr="00D4456A">
              <w:rPr>
                <w:rFonts w:ascii="Palatino Linotype" w:eastAsia="Palatino Linotype" w:hAnsi="Palatino Linotype" w:cs="Palatino Linotype"/>
                <w:sz w:val="18"/>
                <w:szCs w:val="22"/>
              </w:rPr>
              <w:t>En versión Pública.</w:t>
            </w:r>
          </w:p>
        </w:tc>
      </w:tr>
    </w:tbl>
    <w:p w14:paraId="72C13A43"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p>
    <w:p w14:paraId="79E52229"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De este modo, es de referir que es de interés público de la ciudadanía, conocer que los trabajadores gubernamentales cumplen con todos los requisitos establecidos en la  normatividad respectiva, pues solo así, se puede saber, si los empleados, son aptos para ocupar determinados puestos; por otra parte, la publicidad de la información ayuda a rendir cuentas a la población, respecto a que las dependencias gubernamentales cumplen con lo establecido en los ordenamientos jurídicos, ya que permite a las personas verificar que una Dependencia o Ayuntamiento, contrata a servidores públicos capaces e idóneos para cumplir con sus funciones y cumplen con los requisitos respectivos.</w:t>
      </w:r>
    </w:p>
    <w:p w14:paraId="665C689E"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p>
    <w:p w14:paraId="02265AA1"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En atención a lo anterior, se procede al análisis pormenorizado de las documentales que conforman los expedientes laborales del personal, para efecto de determinar la procedencia de su entrega:</w:t>
      </w:r>
    </w:p>
    <w:p w14:paraId="146F952D"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17BAAC27" w14:textId="77777777" w:rsidR="00916579" w:rsidRPr="00D4456A" w:rsidRDefault="00916579" w:rsidP="00916579">
      <w:pPr>
        <w:numPr>
          <w:ilvl w:val="0"/>
          <w:numId w:val="29"/>
        </w:numPr>
        <w:pBdr>
          <w:top w:val="nil"/>
          <w:left w:val="nil"/>
          <w:bottom w:val="nil"/>
          <w:right w:val="nil"/>
          <w:between w:val="nil"/>
        </w:pBdr>
        <w:tabs>
          <w:tab w:val="left" w:pos="8222"/>
        </w:tabs>
        <w:spacing w:after="160" w:line="360" w:lineRule="auto"/>
        <w:ind w:right="49"/>
        <w:jc w:val="both"/>
        <w:rPr>
          <w:rFonts w:ascii="Palatino Linotype" w:eastAsia="Palatino Linotype" w:hAnsi="Palatino Linotype" w:cs="Palatino Linotype"/>
          <w:b/>
          <w:sz w:val="22"/>
          <w:szCs w:val="22"/>
          <w:u w:val="single"/>
        </w:rPr>
      </w:pPr>
      <w:r w:rsidRPr="00D4456A">
        <w:rPr>
          <w:rFonts w:ascii="Palatino Linotype" w:eastAsia="Palatino Linotype" w:hAnsi="Palatino Linotype" w:cs="Palatino Linotype"/>
          <w:b/>
          <w:sz w:val="22"/>
          <w:szCs w:val="22"/>
          <w:u w:val="single"/>
        </w:rPr>
        <w:t>Solicitud de empleo.</w:t>
      </w:r>
    </w:p>
    <w:p w14:paraId="6F6B259D"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La solicitud de empleo es un documento físico o digital, que se estructura a modo de formulario y tiene como finalidad recoger información que el empleador requiere conocer del aspirante. En ese sentido, es importante mencionar que este documento se constituye por diversos datos personales como: nombre, domicilio particular, correo electrónico y número de teléfono particular e incluso, en ciertos formatos, información de estado de salud, hábitos personales o de consanguíneos, sin embargo, también da cuenta de información que en el presente caso resulta ser de interés público, como experiencia laboral y grados de estudio.</w:t>
      </w:r>
    </w:p>
    <w:p w14:paraId="7C8EE2E1"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p>
    <w:p w14:paraId="10A2D2D8"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Por otro lado, es necesario referir que de acuerdo con el artículo 47 de la Ley de Trabajo de los Servidores Públicos del Estado de México, establece que para ingresar al servicio público se requiere presentar una solicitud de empleo, es decir, la entrega de este documento resulta ser un requisito indispensable para poder prestar servicios dentro de la Administración Pública del Estado de México.</w:t>
      </w:r>
    </w:p>
    <w:p w14:paraId="517F5ABF"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p>
    <w:p w14:paraId="1DC926A8"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Bajo este orden de ideas, este documento si bien, cuenta con datos personales que en nada abonan a la transparencia y rendición de cuentas, ya que atañen únicamente a la esfera privada del servidor público, también lo es que además de contener información que acredita el nivel académico o preparación de los servidores públicos, es un requisito indispensable de ingreso al servicio público, por lo que, su acceso toma relevancia al guardar relación directa con la contratación del servidor público y con el ejercicio de sus atribuciones.</w:t>
      </w:r>
    </w:p>
    <w:p w14:paraId="48DCC9A1"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p>
    <w:p w14:paraId="59301415"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b/>
          <w:sz w:val="22"/>
          <w:szCs w:val="22"/>
        </w:rPr>
      </w:pPr>
      <w:r w:rsidRPr="00D4456A">
        <w:rPr>
          <w:rFonts w:ascii="Palatino Linotype" w:eastAsia="Palatino Linotype" w:hAnsi="Palatino Linotype" w:cs="Palatino Linotype"/>
          <w:sz w:val="22"/>
          <w:szCs w:val="22"/>
        </w:rPr>
        <w:t xml:space="preserve">De esta manera, se trata de un documento de interés público, que contiene datos que actualizan la causal de clasificación parcial de información confidencial establecida en el artículo 143, fracción I, de la Ley de Transparencia y Acceso a la Información Pública del Estado de México y Municipios, </w:t>
      </w:r>
      <w:r w:rsidRPr="00D4456A">
        <w:rPr>
          <w:rFonts w:ascii="Palatino Linotype" w:eastAsia="Palatino Linotype" w:hAnsi="Palatino Linotype" w:cs="Palatino Linotype"/>
          <w:b/>
          <w:sz w:val="22"/>
          <w:szCs w:val="22"/>
        </w:rPr>
        <w:t>por lo tanto, procede su entrega en versión pública.</w:t>
      </w:r>
    </w:p>
    <w:p w14:paraId="247F475E" w14:textId="77777777" w:rsidR="00916579" w:rsidRPr="00D4456A" w:rsidRDefault="00916579" w:rsidP="00916579">
      <w:pPr>
        <w:tabs>
          <w:tab w:val="left" w:pos="8222"/>
        </w:tabs>
        <w:spacing w:line="360" w:lineRule="auto"/>
        <w:ind w:right="49"/>
        <w:jc w:val="both"/>
        <w:rPr>
          <w:rFonts w:ascii="Palatino Linotype" w:eastAsia="Palatino Linotype" w:hAnsi="Palatino Linotype" w:cs="Palatino Linotype"/>
          <w:sz w:val="22"/>
          <w:szCs w:val="22"/>
        </w:rPr>
      </w:pPr>
    </w:p>
    <w:p w14:paraId="41E19D8A" w14:textId="77777777" w:rsidR="00916579" w:rsidRPr="00D4456A" w:rsidRDefault="00916579" w:rsidP="00916579">
      <w:pPr>
        <w:numPr>
          <w:ilvl w:val="0"/>
          <w:numId w:val="29"/>
        </w:numPr>
        <w:pBdr>
          <w:top w:val="nil"/>
          <w:left w:val="nil"/>
          <w:bottom w:val="nil"/>
          <w:right w:val="nil"/>
          <w:between w:val="nil"/>
        </w:pBdr>
        <w:tabs>
          <w:tab w:val="left" w:pos="8222"/>
        </w:tabs>
        <w:spacing w:after="160" w:line="360" w:lineRule="auto"/>
        <w:ind w:right="49"/>
        <w:jc w:val="both"/>
        <w:rPr>
          <w:rFonts w:ascii="Palatino Linotype" w:eastAsia="Palatino Linotype" w:hAnsi="Palatino Linotype" w:cs="Palatino Linotype"/>
          <w:b/>
          <w:sz w:val="22"/>
          <w:szCs w:val="22"/>
          <w:u w:val="single"/>
        </w:rPr>
      </w:pPr>
      <w:r w:rsidRPr="00D4456A">
        <w:rPr>
          <w:rFonts w:ascii="Palatino Linotype" w:eastAsia="Palatino Linotype" w:hAnsi="Palatino Linotype" w:cs="Palatino Linotype"/>
          <w:b/>
          <w:sz w:val="22"/>
          <w:szCs w:val="22"/>
          <w:u w:val="single"/>
        </w:rPr>
        <w:t>Curriculum vitae.</w:t>
      </w:r>
    </w:p>
    <w:p w14:paraId="0765A069"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r w:rsidRPr="00D4456A">
        <w:rPr>
          <w:rFonts w:ascii="Palatino Linotype" w:eastAsia="Palatino Linotype" w:hAnsi="Palatino Linotype" w:cs="Palatino Linotype"/>
          <w:sz w:val="22"/>
          <w:szCs w:val="22"/>
          <w:lang w:eastAsia="en-US"/>
        </w:rPr>
        <w:t xml:space="preserve">El </w:t>
      </w:r>
      <w:r w:rsidRPr="00D4456A">
        <w:rPr>
          <w:rFonts w:ascii="Palatino Linotype" w:eastAsia="Palatino Linotype" w:hAnsi="Palatino Linotype" w:cs="Palatino Linotype"/>
          <w:i/>
          <w:sz w:val="22"/>
          <w:szCs w:val="22"/>
          <w:lang w:eastAsia="en-US"/>
        </w:rPr>
        <w:t>curriculum vitae</w:t>
      </w:r>
      <w:r w:rsidRPr="00D4456A">
        <w:rPr>
          <w:rFonts w:ascii="Palatino Linotype" w:eastAsia="Palatino Linotype" w:hAnsi="Palatino Linotype" w:cs="Palatino Linotype"/>
          <w:sz w:val="22"/>
          <w:szCs w:val="22"/>
          <w:lang w:eastAsia="en-US"/>
        </w:rPr>
        <w:t>, es el documento que las personas elaboran con los datos de identificación y contacto</w:t>
      </w:r>
      <w:r w:rsidRPr="00D4456A">
        <w:rPr>
          <w:rFonts w:ascii="Palatino Linotype" w:eastAsia="Palatino Linotype" w:hAnsi="Palatino Linotype" w:cs="Palatino Linotype"/>
          <w:sz w:val="22"/>
          <w:szCs w:val="22"/>
          <w:u w:val="single"/>
          <w:lang w:eastAsia="en-US"/>
        </w:rPr>
        <w:t xml:space="preserve">, </w:t>
      </w:r>
      <w:r w:rsidRPr="00D4456A">
        <w:rPr>
          <w:rFonts w:ascii="Palatino Linotype" w:eastAsia="Palatino Linotype" w:hAnsi="Palatino Linotype" w:cs="Palatino Linotype"/>
          <w:b/>
          <w:sz w:val="22"/>
          <w:szCs w:val="22"/>
          <w:u w:val="single"/>
          <w:lang w:eastAsia="en-US"/>
        </w:rPr>
        <w:t>preparación académica y experiencia profesion</w:t>
      </w:r>
      <w:r w:rsidRPr="00D4456A">
        <w:rPr>
          <w:rFonts w:ascii="Palatino Linotype" w:eastAsia="Palatino Linotype" w:hAnsi="Palatino Linotype" w:cs="Palatino Linotype"/>
          <w:b/>
          <w:sz w:val="22"/>
          <w:szCs w:val="22"/>
          <w:lang w:eastAsia="en-US"/>
        </w:rPr>
        <w:t>al,</w:t>
      </w:r>
      <w:r w:rsidRPr="00D4456A">
        <w:rPr>
          <w:rFonts w:ascii="Palatino Linotype" w:eastAsia="Palatino Linotype" w:hAnsi="Palatino Linotype" w:cs="Palatino Linotype"/>
          <w:sz w:val="22"/>
          <w:szCs w:val="22"/>
          <w:lang w:eastAsia="en-US"/>
        </w:rPr>
        <w:t xml:space="preserve"> para presentarse ante un posible empleador. En este sentido, los documentos que dan cuenta de la preparación académica sirven como medios de identificación para que a su titular lo relacionen con el nivel de estudios con que cuenta y, por lo que hace al </w:t>
      </w:r>
      <w:r w:rsidRPr="00D4456A">
        <w:rPr>
          <w:rFonts w:ascii="Palatino Linotype" w:eastAsia="Palatino Linotype" w:hAnsi="Palatino Linotype" w:cs="Palatino Linotype"/>
          <w:i/>
          <w:sz w:val="22"/>
          <w:szCs w:val="22"/>
          <w:lang w:eastAsia="en-US"/>
        </w:rPr>
        <w:t>curriculum vitae</w:t>
      </w:r>
      <w:r w:rsidRPr="00D4456A">
        <w:rPr>
          <w:rFonts w:ascii="Palatino Linotype" w:eastAsia="Palatino Linotype" w:hAnsi="Palatino Linotype" w:cs="Palatino Linotype"/>
          <w:b/>
          <w:sz w:val="22"/>
          <w:szCs w:val="22"/>
          <w:u w:val="single"/>
          <w:lang w:eastAsia="en-US"/>
        </w:rPr>
        <w:t>, se le suma la experiencia laboral</w:t>
      </w:r>
      <w:r w:rsidRPr="00D4456A">
        <w:rPr>
          <w:rFonts w:ascii="Palatino Linotype" w:eastAsia="Palatino Linotype" w:hAnsi="Palatino Linotype" w:cs="Palatino Linotype"/>
          <w:sz w:val="22"/>
          <w:szCs w:val="22"/>
          <w:lang w:eastAsia="en-US"/>
        </w:rPr>
        <w:t xml:space="preserve"> </w:t>
      </w:r>
      <w:r w:rsidRPr="00D4456A">
        <w:rPr>
          <w:rFonts w:ascii="Palatino Linotype" w:eastAsia="Palatino Linotype" w:hAnsi="Palatino Linotype" w:cs="Palatino Linotype"/>
          <w:b/>
          <w:sz w:val="22"/>
          <w:szCs w:val="22"/>
          <w:u w:val="single"/>
          <w:lang w:eastAsia="en-US"/>
        </w:rPr>
        <w:t xml:space="preserve">pues permiten identificar el nivel y tipo de preparación de su titular y en su caso su perfil </w:t>
      </w:r>
      <w:r w:rsidRPr="00D4456A">
        <w:rPr>
          <w:rFonts w:ascii="Palatino Linotype" w:eastAsia="Palatino Linotype" w:hAnsi="Palatino Linotype" w:cs="Palatino Linotype"/>
          <w:b/>
          <w:sz w:val="22"/>
          <w:szCs w:val="22"/>
          <w:lang w:eastAsia="en-US"/>
        </w:rPr>
        <w:t xml:space="preserve">profesional </w:t>
      </w:r>
      <w:r w:rsidRPr="00D4456A">
        <w:rPr>
          <w:rFonts w:ascii="Palatino Linotype" w:eastAsia="Palatino Linotype" w:hAnsi="Palatino Linotype" w:cs="Palatino Linotype"/>
          <w:b/>
          <w:sz w:val="22"/>
          <w:szCs w:val="22"/>
          <w:u w:val="single"/>
          <w:lang w:eastAsia="en-US"/>
        </w:rPr>
        <w:t>o laboral.</w:t>
      </w:r>
    </w:p>
    <w:p w14:paraId="60C7977C"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p>
    <w:p w14:paraId="640B6ADA"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r w:rsidRPr="00D4456A">
        <w:rPr>
          <w:rFonts w:ascii="Palatino Linotype" w:eastAsia="Palatino Linotype" w:hAnsi="Palatino Linotype" w:cs="Palatino Linotype"/>
          <w:sz w:val="22"/>
          <w:szCs w:val="22"/>
          <w:lang w:eastAsia="en-US"/>
        </w:rPr>
        <w:t xml:space="preserve">Desde esta perspectiva, a través del currículum vite la persona solicitante puede advertir los estudios realizados o bien el nivel académico, así como la experiencia laboral de los servidores públicos que se encuentran adscritos al </w:t>
      </w:r>
      <w:r w:rsidRPr="00D4456A">
        <w:rPr>
          <w:rFonts w:ascii="Palatino Linotype" w:eastAsia="Palatino Linotype" w:hAnsi="Palatino Linotype" w:cs="Palatino Linotype"/>
          <w:b/>
          <w:sz w:val="22"/>
          <w:szCs w:val="22"/>
          <w:lang w:eastAsia="en-US"/>
        </w:rPr>
        <w:t>Sujeto Obligado</w:t>
      </w:r>
      <w:r w:rsidRPr="00D4456A">
        <w:rPr>
          <w:rFonts w:ascii="Palatino Linotype" w:eastAsia="Palatino Linotype" w:hAnsi="Palatino Linotype" w:cs="Palatino Linotype"/>
          <w:sz w:val="22"/>
          <w:szCs w:val="22"/>
          <w:lang w:eastAsia="en-US"/>
        </w:rPr>
        <w:t xml:space="preserve">, información que es de carácter público de conformidad con el criterio orientador 03/2009, emitido por el entonces Instituto Nacional de Transparencia Acceso a la Información Pública y Protección de Datos Personales (INAI), que establece que una de las formas en que los ciudadanos puedan evaluar las aptitudes de los servidores públicos para desempeñar el cargo público que les ha sido encomendado, </w:t>
      </w:r>
      <w:r w:rsidRPr="00D4456A">
        <w:rPr>
          <w:rFonts w:ascii="Palatino Linotype" w:eastAsia="Palatino Linotype" w:hAnsi="Palatino Linotype" w:cs="Palatino Linotype"/>
          <w:b/>
          <w:sz w:val="22"/>
          <w:szCs w:val="22"/>
          <w:u w:val="single"/>
          <w:lang w:eastAsia="en-US"/>
        </w:rPr>
        <w:t>es mediante la publicidad de ciertos datos contenidos en los currículos, o bien en las solicitudes de empleo,</w:t>
      </w:r>
      <w:r w:rsidRPr="00D4456A">
        <w:rPr>
          <w:rFonts w:ascii="Palatino Linotype" w:eastAsia="Palatino Linotype" w:hAnsi="Palatino Linotype" w:cs="Palatino Linotype"/>
          <w:sz w:val="22"/>
          <w:szCs w:val="22"/>
          <w:lang w:eastAsia="en-US"/>
        </w:rPr>
        <w:t xml:space="preserve"> el cual, para mayor ilustración se transcribe a continuación:</w:t>
      </w:r>
    </w:p>
    <w:p w14:paraId="250F223C"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p>
    <w:p w14:paraId="50A126FF" w14:textId="77777777" w:rsidR="00916579" w:rsidRPr="00D4456A" w:rsidRDefault="00916579" w:rsidP="00916579">
      <w:pPr>
        <w:ind w:left="567" w:right="612"/>
        <w:jc w:val="both"/>
        <w:rPr>
          <w:rFonts w:ascii="Palatino Linotype" w:eastAsia="Palatino Linotype" w:hAnsi="Palatino Linotype" w:cs="Palatino Linotype"/>
          <w:i/>
          <w:sz w:val="22"/>
          <w:szCs w:val="22"/>
          <w:lang w:eastAsia="en-US"/>
        </w:rPr>
      </w:pPr>
      <w:r w:rsidRPr="00D4456A">
        <w:rPr>
          <w:rFonts w:ascii="Palatino Linotype" w:eastAsia="Palatino Linotype" w:hAnsi="Palatino Linotype" w:cs="Palatino Linotype"/>
          <w:i/>
          <w:sz w:val="22"/>
          <w:szCs w:val="22"/>
          <w:lang w:eastAsia="en-US"/>
        </w:rPr>
        <w:t xml:space="preserve"> “</w:t>
      </w:r>
      <w:r w:rsidRPr="00D4456A">
        <w:rPr>
          <w:rFonts w:ascii="Palatino Linotype" w:eastAsia="Palatino Linotype" w:hAnsi="Palatino Linotype" w:cs="Palatino Linotype"/>
          <w:b/>
          <w:i/>
          <w:sz w:val="22"/>
          <w:szCs w:val="22"/>
          <w:lang w:eastAsia="en-US"/>
        </w:rPr>
        <w:t>Curriculum Vitae de servidores públicos.</w:t>
      </w:r>
      <w:r w:rsidRPr="00D4456A">
        <w:rPr>
          <w:rFonts w:ascii="Palatino Linotype" w:eastAsia="Palatino Linotype" w:hAnsi="Palatino Linotype" w:cs="Palatino Linotype"/>
          <w:i/>
          <w:sz w:val="22"/>
          <w:szCs w:val="22"/>
          <w:lang w:eastAsia="en-US"/>
        </w:rPr>
        <w:t xml:space="preserve"> Es obligación de los sujetos obligados otorgar acceso a versiones públicas de los mismos ante una solicitud de acceso. Uno de los objetivos de la Ley Federal de Transparencia y Acceso a la Información Pública Gubernamental, de acuerdo con su artículo 4, fracción IV, es favorecer la rendición de cuentas a las personas, de manera que puedan valorar el desempeño de los sujetos obligados. Si bien en el curriculum vitae se describe información de una persona relacionada con su formación académica, trayectoria profesional, datos de contacto, datos biográficos, entre otros, los cuales constituyen datos personales, de acuerdo con lo previsto en el artículo 3, fracción II de la Ley Federal de Transparencia y Acceso a la Información Pública Gubernamental, y en consecuencia, representan información confidencial, en términos de lo establecido en el artículo 18, fracción II de la Ley Federal de Transparencia y Acceso a la Información Pública Gubernamental, tratándose del curriculum vitae de un servidor público, una de las formas en que los ciudadanos pueden evaluar sus aptitudes para desempeñar el cargo público que le ha sido encomendado, es mediante la publicidad de ciertos datos de los ahí contenidos. En esa tesitura, entre los datos personales del curriculum vitae de un servidor público susceptibles de hacerse del conocimiento público, ante una solicitud de acceso, se encuentran los relativos a su trayectoria académica, profesional, laboral, así como todos aquellos que acrediten su capacidad, habilidades o pericia para ocupar el cargo público.” (Sic)</w:t>
      </w:r>
    </w:p>
    <w:p w14:paraId="5161DE40" w14:textId="77777777" w:rsidR="00916579" w:rsidRPr="00D4456A" w:rsidRDefault="00916579" w:rsidP="00916579">
      <w:pPr>
        <w:spacing w:line="276" w:lineRule="auto"/>
        <w:jc w:val="both"/>
        <w:rPr>
          <w:rFonts w:ascii="Palatino Linotype" w:eastAsia="Palatino Linotype" w:hAnsi="Palatino Linotype" w:cs="Palatino Linotype"/>
          <w:i/>
          <w:sz w:val="22"/>
          <w:szCs w:val="22"/>
          <w:lang w:eastAsia="en-US"/>
        </w:rPr>
      </w:pPr>
    </w:p>
    <w:p w14:paraId="32982062" w14:textId="77777777" w:rsidR="00916579" w:rsidRPr="00D4456A" w:rsidRDefault="00916579" w:rsidP="00916579">
      <w:pPr>
        <w:spacing w:line="360" w:lineRule="auto"/>
        <w:jc w:val="both"/>
        <w:rPr>
          <w:rFonts w:ascii="Palatino Linotype" w:eastAsia="Palatino Linotype" w:hAnsi="Palatino Linotype" w:cs="Palatino Linotype"/>
          <w:b/>
          <w:sz w:val="22"/>
          <w:szCs w:val="22"/>
          <w:lang w:eastAsia="en-US"/>
        </w:rPr>
      </w:pPr>
      <w:r w:rsidRPr="00D4456A">
        <w:rPr>
          <w:rFonts w:ascii="Palatino Linotype" w:eastAsia="Palatino Linotype" w:hAnsi="Palatino Linotype" w:cs="Palatino Linotype"/>
          <w:sz w:val="22"/>
          <w:szCs w:val="22"/>
          <w:lang w:eastAsia="en-US"/>
        </w:rPr>
        <w:t xml:space="preserve">Del cual se advierte que si bien en el currículum vitae se describe información de una persona relacionada con su formación académica, trayectoria profesional y datos de contacto entre otros que pudieran constituir datos personales; tratándose de servidores públicos, el conocimiento de los mismos por los gobernados contribuye a la evaluación de sus aptitudes </w:t>
      </w:r>
      <w:r w:rsidRPr="00D4456A">
        <w:rPr>
          <w:rFonts w:ascii="Palatino Linotype" w:eastAsia="Palatino Linotype" w:hAnsi="Palatino Linotype" w:cs="Palatino Linotype"/>
          <w:b/>
          <w:sz w:val="22"/>
          <w:szCs w:val="22"/>
          <w:lang w:eastAsia="en-US"/>
        </w:rPr>
        <w:t>de acuerdo a su nivel profesional y laboral</w:t>
      </w:r>
      <w:r w:rsidRPr="00D4456A">
        <w:rPr>
          <w:rFonts w:ascii="Palatino Linotype" w:eastAsia="Palatino Linotype" w:hAnsi="Palatino Linotype" w:cs="Palatino Linotype"/>
          <w:sz w:val="22"/>
          <w:szCs w:val="22"/>
          <w:lang w:eastAsia="en-US"/>
        </w:rPr>
        <w:t xml:space="preserve">, para el desempeño de sus funciones en el cargo que ostenten, razón que resulta suficiente para que sean de conocimiento público </w:t>
      </w:r>
      <w:r w:rsidRPr="00D4456A">
        <w:rPr>
          <w:rFonts w:ascii="Palatino Linotype" w:eastAsia="Palatino Linotype" w:hAnsi="Palatino Linotype" w:cs="Palatino Linotype"/>
          <w:sz w:val="22"/>
          <w:szCs w:val="22"/>
          <w:u w:val="single"/>
          <w:lang w:eastAsia="en-US"/>
        </w:rPr>
        <w:t>y si bien es cierto que no existe disposición legal que ordene de manera expresa que el sujeto obligado, deba contar en sus archivos con un documento denominado “currículum vitae”</w:t>
      </w:r>
      <w:r w:rsidRPr="00D4456A">
        <w:rPr>
          <w:rFonts w:ascii="Palatino Linotype" w:eastAsia="Palatino Linotype" w:hAnsi="Palatino Linotype" w:cs="Palatino Linotype"/>
          <w:sz w:val="22"/>
          <w:szCs w:val="22"/>
          <w:lang w:eastAsia="en-US"/>
        </w:rPr>
        <w:t xml:space="preserve"> de sus servidores públicos, </w:t>
      </w:r>
      <w:r w:rsidRPr="00D4456A">
        <w:rPr>
          <w:rFonts w:ascii="Palatino Linotype" w:eastAsia="Palatino Linotype" w:hAnsi="Palatino Linotype" w:cs="Palatino Linotype"/>
          <w:b/>
          <w:sz w:val="22"/>
          <w:szCs w:val="22"/>
          <w:lang w:eastAsia="en-US"/>
        </w:rPr>
        <w:t>también lo es que para el desempeño de un empleo, cargo o comisión en el servicio público sí es requisito, entre otros, presentar una solicitud del empleo, como se desprende del artículo 47 fracción I de la Ley del Trabajo para los Servidores Públicos del Estado y Municipios, a saber:</w:t>
      </w:r>
    </w:p>
    <w:p w14:paraId="111F0EFE" w14:textId="77777777" w:rsidR="00916579" w:rsidRPr="00D4456A" w:rsidRDefault="00916579" w:rsidP="00916579">
      <w:pPr>
        <w:spacing w:line="360" w:lineRule="auto"/>
        <w:jc w:val="both"/>
        <w:rPr>
          <w:rFonts w:ascii="Palatino Linotype" w:eastAsia="Palatino Linotype" w:hAnsi="Palatino Linotype" w:cs="Palatino Linotype"/>
          <w:b/>
          <w:sz w:val="22"/>
          <w:szCs w:val="22"/>
          <w:lang w:eastAsia="en-US"/>
        </w:rPr>
      </w:pPr>
    </w:p>
    <w:p w14:paraId="6F8EF35F" w14:textId="77777777" w:rsidR="00916579" w:rsidRPr="00D4456A" w:rsidRDefault="00916579" w:rsidP="00916579">
      <w:pPr>
        <w:spacing w:line="276" w:lineRule="auto"/>
        <w:ind w:left="567" w:right="560"/>
        <w:jc w:val="both"/>
        <w:rPr>
          <w:rFonts w:ascii="Palatino Linotype" w:eastAsia="Palatino Linotype" w:hAnsi="Palatino Linotype" w:cs="Palatino Linotype"/>
          <w:i/>
          <w:sz w:val="22"/>
          <w:szCs w:val="22"/>
          <w:lang w:eastAsia="en-US"/>
        </w:rPr>
      </w:pPr>
      <w:r w:rsidRPr="00D4456A">
        <w:rPr>
          <w:rFonts w:ascii="Palatino Linotype" w:eastAsia="Palatino Linotype" w:hAnsi="Palatino Linotype" w:cs="Palatino Linotype"/>
          <w:i/>
          <w:sz w:val="22"/>
          <w:szCs w:val="22"/>
          <w:lang w:eastAsia="en-US"/>
        </w:rPr>
        <w:t xml:space="preserve">“ARTÍCULO 47. Para ingresar al servicio público se requiere: </w:t>
      </w:r>
    </w:p>
    <w:p w14:paraId="5A1B8031" w14:textId="77777777" w:rsidR="00916579" w:rsidRPr="00D4456A" w:rsidRDefault="00916579" w:rsidP="00916579">
      <w:pPr>
        <w:spacing w:line="276" w:lineRule="auto"/>
        <w:ind w:left="567" w:right="560"/>
        <w:jc w:val="both"/>
        <w:rPr>
          <w:rFonts w:ascii="Palatino Linotype" w:eastAsia="Palatino Linotype" w:hAnsi="Palatino Linotype" w:cs="Palatino Linotype"/>
          <w:i/>
          <w:sz w:val="22"/>
          <w:szCs w:val="22"/>
          <w:lang w:eastAsia="en-US"/>
        </w:rPr>
      </w:pPr>
      <w:r w:rsidRPr="00D4456A">
        <w:rPr>
          <w:rFonts w:ascii="Palatino Linotype" w:eastAsia="Palatino Linotype" w:hAnsi="Palatino Linotype" w:cs="Palatino Linotype"/>
          <w:i/>
          <w:sz w:val="22"/>
          <w:szCs w:val="22"/>
          <w:lang w:eastAsia="en-US"/>
        </w:rPr>
        <w:t>I. Presentar una solicitud utilizando la forma oficial que se autorice por la institución pública o dependencia correspondiente, a la cual se le prohíbe incluir la fotografía de quien solicita el empleo;[…]”</w:t>
      </w:r>
    </w:p>
    <w:p w14:paraId="6C11BB3A"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p>
    <w:p w14:paraId="7F48A1B1"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r w:rsidRPr="00D4456A">
        <w:rPr>
          <w:rFonts w:ascii="Palatino Linotype" w:eastAsia="Palatino Linotype" w:hAnsi="Palatino Linotype" w:cs="Palatino Linotype"/>
          <w:b/>
          <w:sz w:val="22"/>
          <w:szCs w:val="22"/>
          <w:lang w:eastAsia="en-US"/>
        </w:rPr>
        <w:t>Por lo que es posible determinar que, el currículum vítae, ficha curricular, solicitud de empleo o documento análogo, contienen información relacionada con la trayectoria académica, profesional y laboral,</w:t>
      </w:r>
      <w:r w:rsidRPr="00D4456A">
        <w:rPr>
          <w:rFonts w:ascii="Palatino Linotype" w:eastAsia="Palatino Linotype" w:hAnsi="Palatino Linotype" w:cs="Palatino Linotype"/>
          <w:sz w:val="22"/>
          <w:szCs w:val="22"/>
          <w:lang w:eastAsia="en-US"/>
        </w:rPr>
        <w:t xml:space="preserve"> por medio del cual se acredita la capacidad, habilidades, experiencia o pericia de una persona para ocupar un cargo, puesto o comisión, que permitan realizar una comparación de las actividades que ha realizado con las que habrá de desarrollar, y determinar si cumple con el perfil del cargo a ocupar.</w:t>
      </w:r>
    </w:p>
    <w:p w14:paraId="20700CCC"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p>
    <w:p w14:paraId="05A7AD94"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r w:rsidRPr="00D4456A">
        <w:rPr>
          <w:rFonts w:ascii="Palatino Linotype" w:eastAsia="Palatino Linotype" w:hAnsi="Palatino Linotype" w:cs="Palatino Linotype"/>
          <w:sz w:val="22"/>
          <w:szCs w:val="22"/>
          <w:lang w:eastAsia="en-US"/>
        </w:rPr>
        <w:t xml:space="preserve">En esa tesitura, debe apuntarse que la información curricular constituye una obligación de transparencia, pues </w:t>
      </w:r>
      <w:r w:rsidRPr="00D4456A">
        <w:rPr>
          <w:rFonts w:ascii="Palatino Linotype" w:eastAsia="Palatino Linotype" w:hAnsi="Palatino Linotype" w:cs="Palatino Linotype"/>
          <w:b/>
          <w:sz w:val="22"/>
          <w:szCs w:val="22"/>
          <w:lang w:eastAsia="en-US"/>
        </w:rPr>
        <w:t>el Sujeto Obligado</w:t>
      </w:r>
      <w:r w:rsidRPr="00D4456A">
        <w:rPr>
          <w:rFonts w:ascii="Palatino Linotype" w:eastAsia="Palatino Linotype" w:hAnsi="Palatino Linotype" w:cs="Palatino Linotype"/>
          <w:sz w:val="22"/>
          <w:szCs w:val="22"/>
          <w:lang w:eastAsia="en-US"/>
        </w:rPr>
        <w:t xml:space="preserve"> se encuentra constreñido a poner a disposición del público en su portal de Información Pública de Oficio Mexiquense (IPOMEX), la información curricular de sus servidores públicos, ello con la finalidad de enaltecer los principios de máxima publicidad, transparencia y certeza, como lo estipula  el artículo 92, fracción XXI de la ley aplicable a la materia, que es del tenor literal siguiente: </w:t>
      </w:r>
    </w:p>
    <w:p w14:paraId="0CBAB47A"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p>
    <w:p w14:paraId="71AA5827" w14:textId="77777777" w:rsidR="00916579" w:rsidRPr="00D4456A" w:rsidRDefault="00916579" w:rsidP="00916579">
      <w:pPr>
        <w:ind w:left="567" w:right="612"/>
        <w:jc w:val="both"/>
        <w:rPr>
          <w:rFonts w:ascii="Palatino Linotype" w:eastAsia="Palatino Linotype" w:hAnsi="Palatino Linotype" w:cs="Palatino Linotype"/>
          <w:i/>
          <w:sz w:val="22"/>
          <w:szCs w:val="22"/>
          <w:lang w:eastAsia="en-US"/>
        </w:rPr>
      </w:pPr>
      <w:r w:rsidRPr="00D4456A">
        <w:rPr>
          <w:rFonts w:ascii="Palatino Linotype" w:eastAsia="Palatino Linotype" w:hAnsi="Palatino Linotype" w:cs="Palatino Linotype"/>
          <w:i/>
          <w:sz w:val="22"/>
          <w:szCs w:val="22"/>
          <w:lang w:eastAsia="en-US"/>
        </w:rPr>
        <w:t xml:space="preserve"> “Artículo 92.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2F04B3F9" w14:textId="77777777" w:rsidR="00916579" w:rsidRPr="00D4456A" w:rsidRDefault="00916579" w:rsidP="00916579">
      <w:pPr>
        <w:ind w:left="567" w:right="612"/>
        <w:jc w:val="both"/>
        <w:rPr>
          <w:rFonts w:ascii="Palatino Linotype" w:eastAsia="Palatino Linotype" w:hAnsi="Palatino Linotype" w:cs="Palatino Linotype"/>
          <w:i/>
          <w:sz w:val="22"/>
          <w:szCs w:val="22"/>
          <w:lang w:eastAsia="en-US"/>
        </w:rPr>
      </w:pPr>
      <w:r w:rsidRPr="00D4456A">
        <w:rPr>
          <w:rFonts w:ascii="Palatino Linotype" w:eastAsia="Palatino Linotype" w:hAnsi="Palatino Linotype" w:cs="Palatino Linotype"/>
          <w:i/>
          <w:sz w:val="22"/>
          <w:szCs w:val="22"/>
          <w:lang w:eastAsia="en-US"/>
        </w:rPr>
        <w:t>...</w:t>
      </w:r>
    </w:p>
    <w:p w14:paraId="62792F32" w14:textId="77777777" w:rsidR="00916579" w:rsidRPr="00D4456A" w:rsidRDefault="00916579" w:rsidP="00916579">
      <w:pPr>
        <w:ind w:left="567" w:right="612"/>
        <w:jc w:val="both"/>
        <w:rPr>
          <w:rFonts w:ascii="Palatino Linotype" w:eastAsia="Palatino Linotype" w:hAnsi="Palatino Linotype" w:cs="Palatino Linotype"/>
          <w:i/>
          <w:sz w:val="22"/>
          <w:szCs w:val="22"/>
          <w:lang w:eastAsia="en-US"/>
        </w:rPr>
      </w:pPr>
      <w:r w:rsidRPr="00D4456A">
        <w:rPr>
          <w:rFonts w:ascii="Palatino Linotype" w:eastAsia="Palatino Linotype" w:hAnsi="Palatino Linotype" w:cs="Palatino Linotype"/>
          <w:i/>
          <w:sz w:val="22"/>
          <w:szCs w:val="22"/>
          <w:lang w:eastAsia="en-US"/>
        </w:rPr>
        <w:t>XXI. La información curricular, desde el nivel de jefe de departamento o equivalente, hasta el titular del sujeto obligado, así como, en su caso, las sanciones administrativas de que haya sido objeto;”</w:t>
      </w:r>
    </w:p>
    <w:p w14:paraId="5E1485E7" w14:textId="77777777" w:rsidR="00916579" w:rsidRPr="00D4456A" w:rsidRDefault="00916579" w:rsidP="00916579">
      <w:pPr>
        <w:spacing w:line="360" w:lineRule="auto"/>
        <w:ind w:right="49"/>
        <w:jc w:val="both"/>
        <w:rPr>
          <w:rFonts w:ascii="Palatino Linotype" w:eastAsia="Palatino Linotype" w:hAnsi="Palatino Linotype" w:cs="Palatino Linotype"/>
          <w:sz w:val="22"/>
          <w:szCs w:val="22"/>
          <w:lang w:eastAsia="en-US"/>
        </w:rPr>
      </w:pPr>
    </w:p>
    <w:p w14:paraId="5461C89B" w14:textId="77777777" w:rsidR="00916579" w:rsidRPr="00D4456A" w:rsidRDefault="00916579" w:rsidP="00916579">
      <w:pPr>
        <w:spacing w:line="360" w:lineRule="auto"/>
        <w:jc w:val="both"/>
        <w:rPr>
          <w:rFonts w:ascii="Palatino Linotype" w:eastAsia="Palatino Linotype" w:hAnsi="Palatino Linotype" w:cs="Palatino Linotype"/>
          <w:b/>
          <w:sz w:val="22"/>
          <w:szCs w:val="22"/>
          <w:lang w:eastAsia="en-US"/>
        </w:rPr>
      </w:pPr>
      <w:r w:rsidRPr="00D4456A">
        <w:rPr>
          <w:rFonts w:ascii="Palatino Linotype" w:eastAsia="Palatino Linotype" w:hAnsi="Palatino Linotype" w:cs="Palatino Linotype"/>
          <w:sz w:val="22"/>
          <w:szCs w:val="22"/>
          <w:lang w:eastAsia="en-US"/>
        </w:rPr>
        <w:t xml:space="preserve">En ese contexto, según Islas, Jorge (2016), en la “Ley General de Transparencia y Acceso a la Información Pública Comentada” (p. 244), refirió que el </w:t>
      </w:r>
      <w:r w:rsidRPr="00D4456A">
        <w:rPr>
          <w:rFonts w:ascii="Palatino Linotype" w:eastAsia="Palatino Linotype" w:hAnsi="Palatino Linotype" w:cs="Palatino Linotype"/>
          <w:b/>
          <w:i/>
          <w:sz w:val="22"/>
          <w:szCs w:val="22"/>
          <w:lang w:eastAsia="en-US"/>
        </w:rPr>
        <w:t>curriculum vitae</w:t>
      </w:r>
      <w:r w:rsidRPr="00D4456A">
        <w:rPr>
          <w:rFonts w:ascii="Palatino Linotype" w:eastAsia="Palatino Linotype" w:hAnsi="Palatino Linotype" w:cs="Palatino Linotype"/>
          <w:b/>
          <w:sz w:val="22"/>
          <w:szCs w:val="22"/>
          <w:lang w:eastAsia="en-US"/>
        </w:rPr>
        <w:t xml:space="preserve"> </w:t>
      </w:r>
      <w:r w:rsidRPr="00D4456A">
        <w:rPr>
          <w:rFonts w:ascii="Palatino Linotype" w:eastAsia="Palatino Linotype" w:hAnsi="Palatino Linotype" w:cs="Palatino Linotype"/>
          <w:sz w:val="22"/>
          <w:szCs w:val="22"/>
          <w:lang w:eastAsia="en-US"/>
        </w:rPr>
        <w:t>d</w:t>
      </w:r>
      <w:r w:rsidRPr="00D4456A">
        <w:rPr>
          <w:rFonts w:ascii="Palatino Linotype" w:eastAsia="Palatino Linotype" w:hAnsi="Palatino Linotype" w:cs="Palatino Linotype"/>
          <w:b/>
          <w:sz w:val="22"/>
          <w:szCs w:val="22"/>
          <w:lang w:eastAsia="en-US"/>
        </w:rPr>
        <w:t>e un servidor público, justifica que su formación académica resulta viable para el desempeño eficiente y correcto de su encargo; lo anterior, con el fin de acreditar que dichos trabajadores sean los más capacitados acordes al área solicitada.</w:t>
      </w:r>
    </w:p>
    <w:p w14:paraId="4659CC68"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p>
    <w:p w14:paraId="7E039369" w14:textId="77777777" w:rsidR="00916579" w:rsidRPr="00D4456A" w:rsidRDefault="00916579" w:rsidP="00916579">
      <w:pPr>
        <w:spacing w:line="360" w:lineRule="auto"/>
        <w:jc w:val="both"/>
        <w:rPr>
          <w:rFonts w:ascii="Palatino Linotype" w:eastAsia="Palatino Linotype" w:hAnsi="Palatino Linotype" w:cs="Palatino Linotype"/>
          <w:sz w:val="22"/>
          <w:szCs w:val="22"/>
          <w:lang w:eastAsia="en-US"/>
        </w:rPr>
      </w:pPr>
      <w:r w:rsidRPr="00D4456A">
        <w:rPr>
          <w:rFonts w:ascii="Palatino Linotype" w:eastAsia="Palatino Linotype" w:hAnsi="Palatino Linotype" w:cs="Palatino Linotype"/>
          <w:sz w:val="22"/>
          <w:szCs w:val="22"/>
          <w:lang w:eastAsia="en-US"/>
        </w:rPr>
        <w:t xml:space="preserve">De esta manera, con la entrega que se realice del curriculum vitae, ficha curricular, solicitud de empleo o documento análogo, se colmaría el requisito previsto en la fracción I del artículo 47 de la Ley del Trabajo de la Entidad; </w:t>
      </w:r>
      <w:r w:rsidRPr="00D4456A">
        <w:rPr>
          <w:rFonts w:ascii="Palatino Linotype" w:eastAsia="Palatino Linotype" w:hAnsi="Palatino Linotype" w:cs="Palatino Linotype"/>
          <w:b/>
          <w:sz w:val="22"/>
          <w:szCs w:val="22"/>
          <w:u w:val="single"/>
          <w:lang w:eastAsia="en-US"/>
        </w:rPr>
        <w:t>y por tanto,  procede su entrega en versión pública de advertirse datos de índole confidencial.</w:t>
      </w:r>
    </w:p>
    <w:p w14:paraId="6A3B16FB"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77ED947D" w14:textId="77777777" w:rsidR="00916579" w:rsidRPr="00D4456A" w:rsidRDefault="00916579" w:rsidP="00916579">
      <w:pPr>
        <w:numPr>
          <w:ilvl w:val="0"/>
          <w:numId w:val="29"/>
        </w:numPr>
        <w:pBdr>
          <w:top w:val="nil"/>
          <w:left w:val="nil"/>
          <w:bottom w:val="nil"/>
          <w:right w:val="nil"/>
          <w:between w:val="nil"/>
        </w:pBdr>
        <w:tabs>
          <w:tab w:val="left" w:pos="8222"/>
        </w:tabs>
        <w:spacing w:after="160" w:line="360" w:lineRule="auto"/>
        <w:ind w:right="49"/>
        <w:jc w:val="both"/>
        <w:rPr>
          <w:rFonts w:ascii="Palatino Linotype" w:eastAsia="Palatino Linotype" w:hAnsi="Palatino Linotype" w:cs="Palatino Linotype"/>
          <w:b/>
          <w:sz w:val="22"/>
          <w:szCs w:val="22"/>
          <w:u w:val="single"/>
        </w:rPr>
      </w:pPr>
      <w:r w:rsidRPr="00D4456A">
        <w:rPr>
          <w:rFonts w:ascii="Palatino Linotype" w:eastAsia="Palatino Linotype" w:hAnsi="Palatino Linotype" w:cs="Palatino Linotype"/>
          <w:b/>
          <w:sz w:val="22"/>
          <w:szCs w:val="22"/>
          <w:u w:val="single"/>
        </w:rPr>
        <w:t>Documento que acredite la nacionalidad (acta de nacimiento)</w:t>
      </w:r>
    </w:p>
    <w:p w14:paraId="70668288"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Dentro de la fracción II del artículo 47 de la Ley del Trabajo de los Servidores Públicos del Estado de México, el requisito consiste en ser de nacionalidad mexicana, por lo que el documento que colmaría este punto de la solicitud de manera enunciativa más no limitativa sería </w:t>
      </w:r>
      <w:r w:rsidRPr="00D4456A">
        <w:rPr>
          <w:rFonts w:ascii="Palatino Linotype" w:eastAsia="Palatino Linotype" w:hAnsi="Palatino Linotype" w:cs="Palatino Linotype"/>
          <w:b/>
          <w:sz w:val="22"/>
          <w:szCs w:val="22"/>
          <w:u w:val="single"/>
        </w:rPr>
        <w:t>el acta de nacimiento</w:t>
      </w:r>
      <w:r w:rsidRPr="00D4456A">
        <w:rPr>
          <w:rFonts w:ascii="Palatino Linotype" w:eastAsia="Palatino Linotype" w:hAnsi="Palatino Linotype" w:cs="Palatino Linotype"/>
          <w:sz w:val="22"/>
          <w:szCs w:val="22"/>
        </w:rPr>
        <w:t xml:space="preserve">, es por ello que conviene precisar que las actas emitidas por el Registro Civil dan cuenta de un atributo de la personalidad, tal como lo establece el artículo 2.3 del Código Civil del Estado México. En ese orden de ideas, el artículo 3.5 del citado Código Civil establece que el estado civil de las personas sólo se comprueba con las constancias relativas del Registro Civil, tal como lo es el Acta de Nacimiento. </w:t>
      </w:r>
    </w:p>
    <w:p w14:paraId="27AA96D1"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566889B2"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Ahora bien, de acuerdo con el Formato Único del Acta de Nacimiento publicado por la Secretaría de Gobernación en el enlace </w:t>
      </w:r>
      <w:hyperlink r:id="rId10">
        <w:r w:rsidRPr="00D4456A">
          <w:rPr>
            <w:rFonts w:ascii="Palatino Linotype" w:eastAsia="Palatino Linotype" w:hAnsi="Palatino Linotype" w:cs="Palatino Linotype"/>
            <w:sz w:val="22"/>
            <w:szCs w:val="22"/>
            <w:u w:val="single"/>
          </w:rPr>
          <w:t>http://www.diputados.gob.mx/documentos/N_Acta_Nacimiento.pdf</w:t>
        </w:r>
      </w:hyperlink>
      <w:r w:rsidRPr="00D4456A">
        <w:rPr>
          <w:rFonts w:ascii="Palatino Linotype" w:eastAsia="Palatino Linotype" w:hAnsi="Palatino Linotype" w:cs="Palatino Linotype"/>
          <w:sz w:val="22"/>
          <w:szCs w:val="22"/>
        </w:rPr>
        <w:t xml:space="preserve"> , se advierte que el Acta de Nacimiento se componte de quince elementos siendo los siguientes: </w:t>
      </w:r>
    </w:p>
    <w:p w14:paraId="03774D3B"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12DA829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a) Folio de Impresión.</w:t>
      </w:r>
    </w:p>
    <w:p w14:paraId="63CF95A4"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b) Denominación del Documento.</w:t>
      </w:r>
    </w:p>
    <w:p w14:paraId="2DACB1C9"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c) Identificador Electrónico. </w:t>
      </w:r>
    </w:p>
    <w:p w14:paraId="552D338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d) Elementos del Registro. </w:t>
      </w:r>
    </w:p>
    <w:p w14:paraId="421D9A47"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e) Datos de la Persona Registrada. </w:t>
      </w:r>
    </w:p>
    <w:p w14:paraId="04B47B66"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f) Datos de Filiación de la Persona Registrada. </w:t>
      </w:r>
    </w:p>
    <w:p w14:paraId="1AEEB739"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g) Anotaciones Marginales. </w:t>
      </w:r>
    </w:p>
    <w:p w14:paraId="52F7BDE7"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h) Certificación. </w:t>
      </w:r>
    </w:p>
    <w:p w14:paraId="053D299A"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i) Código Bidimensional QR que contiene información encriptada del acta. </w:t>
      </w:r>
    </w:p>
    <w:p w14:paraId="1671B4E4"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j) Leyenda “Soy México” </w:t>
      </w:r>
    </w:p>
    <w:p w14:paraId="23354E4B"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k) Firma Electrónica Avanzada. </w:t>
      </w:r>
    </w:p>
    <w:p w14:paraId="4F096751"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l) Firma y datos de la autoridad emisora. </w:t>
      </w:r>
    </w:p>
    <w:p w14:paraId="36CD609F"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m) Código QR. </w:t>
      </w:r>
    </w:p>
    <w:p w14:paraId="00009792"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n) Código de Verificación.</w:t>
      </w:r>
    </w:p>
    <w:p w14:paraId="31C36D6B"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o) Leyenda de instrucciones para la verificación del documento. </w:t>
      </w:r>
    </w:p>
    <w:p w14:paraId="3149704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6964085C"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Siendo de suma importancia mencionar que la información relativa a los incisos </w:t>
      </w:r>
      <w:r w:rsidRPr="00D4456A">
        <w:rPr>
          <w:rFonts w:ascii="Palatino Linotype" w:eastAsia="Palatino Linotype" w:hAnsi="Palatino Linotype" w:cs="Palatino Linotype"/>
          <w:b/>
          <w:sz w:val="22"/>
          <w:szCs w:val="22"/>
        </w:rPr>
        <w:t>d) elementos de registro, e) datos de la persona registrada, f) datos de filiación de la persona registrada</w:t>
      </w:r>
      <w:r w:rsidRPr="00D4456A">
        <w:rPr>
          <w:rFonts w:ascii="Palatino Linotype" w:eastAsia="Palatino Linotype" w:hAnsi="Palatino Linotype" w:cs="Palatino Linotype"/>
          <w:sz w:val="22"/>
          <w:szCs w:val="22"/>
        </w:rPr>
        <w:t xml:space="preserve">, </w:t>
      </w:r>
      <w:r w:rsidRPr="00D4456A">
        <w:rPr>
          <w:rFonts w:ascii="Palatino Linotype" w:eastAsia="Palatino Linotype" w:hAnsi="Palatino Linotype" w:cs="Palatino Linotype"/>
          <w:b/>
          <w:sz w:val="22"/>
          <w:szCs w:val="22"/>
        </w:rPr>
        <w:t xml:space="preserve">g), anotaciones marginales </w:t>
      </w:r>
      <w:r w:rsidRPr="00D4456A">
        <w:rPr>
          <w:rFonts w:ascii="Palatino Linotype" w:eastAsia="Palatino Linotype" w:hAnsi="Palatino Linotype" w:cs="Palatino Linotype"/>
          <w:sz w:val="22"/>
          <w:szCs w:val="22"/>
        </w:rPr>
        <w:t>y</w:t>
      </w:r>
      <w:r w:rsidRPr="00D4456A">
        <w:rPr>
          <w:rFonts w:ascii="Palatino Linotype" w:eastAsia="Palatino Linotype" w:hAnsi="Palatino Linotype" w:cs="Palatino Linotype"/>
          <w:b/>
          <w:sz w:val="22"/>
          <w:szCs w:val="22"/>
        </w:rPr>
        <w:t xml:space="preserve"> m) Código QR, </w:t>
      </w:r>
      <w:r w:rsidRPr="00D4456A">
        <w:rPr>
          <w:rFonts w:ascii="Palatino Linotype" w:eastAsia="Palatino Linotype" w:hAnsi="Palatino Linotype" w:cs="Palatino Linotype"/>
          <w:sz w:val="22"/>
          <w:szCs w:val="22"/>
        </w:rPr>
        <w:t>se encuentra intrínsecamente relacionada con la esfera privada de una persona haciéndole identificada o identificable, como al contener los siguientes datos:</w:t>
      </w:r>
    </w:p>
    <w:p w14:paraId="3DA1ABB5" w14:textId="77777777" w:rsidR="00916579" w:rsidRPr="00D4456A" w:rsidRDefault="00916579" w:rsidP="00916579">
      <w:pPr>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noProof/>
          <w:sz w:val="22"/>
          <w:szCs w:val="22"/>
        </w:rPr>
        <w:drawing>
          <wp:inline distT="0" distB="0" distL="0" distR="0" wp14:anchorId="60E680B4" wp14:editId="05E460CC">
            <wp:extent cx="5610225" cy="1476375"/>
            <wp:effectExtent l="0" t="0" r="0" b="0"/>
            <wp:docPr id="21431082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610225" cy="1476375"/>
                    </a:xfrm>
                    <a:prstGeom prst="rect">
                      <a:avLst/>
                    </a:prstGeom>
                    <a:ln/>
                  </pic:spPr>
                </pic:pic>
              </a:graphicData>
            </a:graphic>
          </wp:inline>
        </w:drawing>
      </w:r>
    </w:p>
    <w:p w14:paraId="7E450303" w14:textId="77777777" w:rsidR="00916579" w:rsidRPr="00D4456A" w:rsidRDefault="00916579" w:rsidP="00916579">
      <w:pPr>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noProof/>
          <w:sz w:val="22"/>
          <w:szCs w:val="22"/>
        </w:rPr>
        <w:drawing>
          <wp:inline distT="0" distB="0" distL="0" distR="0" wp14:anchorId="256218B3" wp14:editId="3F5A5369">
            <wp:extent cx="5610225" cy="1695450"/>
            <wp:effectExtent l="0" t="0" r="0" b="0"/>
            <wp:docPr id="21431082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b="60179"/>
                    <a:stretch>
                      <a:fillRect/>
                    </a:stretch>
                  </pic:blipFill>
                  <pic:spPr>
                    <a:xfrm>
                      <a:off x="0" y="0"/>
                      <a:ext cx="5610225" cy="1695450"/>
                    </a:xfrm>
                    <a:prstGeom prst="rect">
                      <a:avLst/>
                    </a:prstGeom>
                    <a:ln/>
                  </pic:spPr>
                </pic:pic>
              </a:graphicData>
            </a:graphic>
          </wp:inline>
        </w:drawing>
      </w:r>
    </w:p>
    <w:p w14:paraId="38917623" w14:textId="77777777" w:rsidR="00916579" w:rsidRPr="00D4456A" w:rsidRDefault="00916579" w:rsidP="00916579">
      <w:pPr>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noProof/>
          <w:sz w:val="22"/>
          <w:szCs w:val="22"/>
        </w:rPr>
        <w:drawing>
          <wp:inline distT="0" distB="0" distL="0" distR="0" wp14:anchorId="073EA875" wp14:editId="09D144A8">
            <wp:extent cx="5610225" cy="1543050"/>
            <wp:effectExtent l="0" t="0" r="0" b="0"/>
            <wp:docPr id="214310826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t="42281" b="-222"/>
                    <a:stretch>
                      <a:fillRect/>
                    </a:stretch>
                  </pic:blipFill>
                  <pic:spPr>
                    <a:xfrm>
                      <a:off x="0" y="0"/>
                      <a:ext cx="5610225" cy="1543050"/>
                    </a:xfrm>
                    <a:prstGeom prst="rect">
                      <a:avLst/>
                    </a:prstGeom>
                    <a:ln/>
                  </pic:spPr>
                </pic:pic>
              </a:graphicData>
            </a:graphic>
          </wp:inline>
        </w:drawing>
      </w:r>
    </w:p>
    <w:p w14:paraId="3F6DF3DB" w14:textId="77777777" w:rsidR="00916579" w:rsidRPr="00D4456A" w:rsidRDefault="00916579" w:rsidP="00916579">
      <w:pPr>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noProof/>
          <w:sz w:val="22"/>
          <w:szCs w:val="22"/>
        </w:rPr>
        <w:drawing>
          <wp:inline distT="0" distB="0" distL="0" distR="0" wp14:anchorId="3C43A4B1" wp14:editId="0A11F4F8">
            <wp:extent cx="5577840" cy="914400"/>
            <wp:effectExtent l="0" t="0" r="0" b="0"/>
            <wp:docPr id="214310826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5577840" cy="914400"/>
                    </a:xfrm>
                    <a:prstGeom prst="rect">
                      <a:avLst/>
                    </a:prstGeom>
                    <a:ln/>
                  </pic:spPr>
                </pic:pic>
              </a:graphicData>
            </a:graphic>
          </wp:inline>
        </w:drawing>
      </w:r>
    </w:p>
    <w:p w14:paraId="7830FBE9"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Dada esta relevancia, al ser el acta de nacimiento un documento mediante el cual se le otorga identidad a una persona, además de tratarse de información que no se encuentra relacionada con el ejercicio de un cargo público, sino con el ejercicio de los derechos personales de su titular, </w:t>
      </w:r>
      <w:r w:rsidRPr="00D4456A">
        <w:rPr>
          <w:rFonts w:ascii="Palatino Linotype" w:eastAsia="Palatino Linotype" w:hAnsi="Palatino Linotype" w:cs="Palatino Linotype"/>
          <w:b/>
          <w:sz w:val="22"/>
          <w:szCs w:val="22"/>
        </w:rPr>
        <w:t>se estima que dicho documento debe ser clasificado como información confidencial en su totalidad,</w:t>
      </w:r>
      <w:r w:rsidRPr="00D4456A">
        <w:rPr>
          <w:rFonts w:ascii="Palatino Linotype" w:eastAsia="Palatino Linotype" w:hAnsi="Palatino Linotype" w:cs="Palatino Linotype"/>
          <w:sz w:val="22"/>
          <w:szCs w:val="22"/>
        </w:rPr>
        <w:t xml:space="preserve"> al considerar que actualiza la causal de clasificación establecida en el artículo 143, fracción I, de la Ley de Transparencia y Acceso a la Información Pública del Estado de México y Municipios.</w:t>
      </w:r>
    </w:p>
    <w:p w14:paraId="0A3D144E" w14:textId="77777777" w:rsidR="00916579" w:rsidRPr="00D4456A" w:rsidRDefault="00916579" w:rsidP="00916579">
      <w:pPr>
        <w:spacing w:line="360" w:lineRule="auto"/>
        <w:jc w:val="both"/>
        <w:rPr>
          <w:rFonts w:ascii="Palatino Linotype" w:eastAsia="Palatino Linotype" w:hAnsi="Palatino Linotype" w:cs="Palatino Linotype"/>
          <w:b/>
          <w:sz w:val="22"/>
          <w:szCs w:val="22"/>
        </w:rPr>
      </w:pPr>
    </w:p>
    <w:p w14:paraId="6440B526"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De esta manera, en cumplimiento a la presente se deberá hacer entrega del acuerdo que sustente la clasificación del acta de nacimiento en su totalidad del servidor público en cuestión.</w:t>
      </w:r>
    </w:p>
    <w:p w14:paraId="21725137"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39A27FBA" w14:textId="77777777" w:rsidR="00916579" w:rsidRPr="00D4456A" w:rsidRDefault="00916579" w:rsidP="00916579">
      <w:pPr>
        <w:numPr>
          <w:ilvl w:val="0"/>
          <w:numId w:val="28"/>
        </w:numPr>
        <w:pBdr>
          <w:top w:val="nil"/>
          <w:left w:val="nil"/>
          <w:bottom w:val="nil"/>
          <w:right w:val="nil"/>
          <w:between w:val="nil"/>
        </w:pBdr>
        <w:spacing w:after="160" w:line="360" w:lineRule="auto"/>
        <w:jc w:val="both"/>
        <w:rPr>
          <w:rFonts w:ascii="Palatino Linotype" w:eastAsia="Palatino Linotype" w:hAnsi="Palatino Linotype" w:cs="Palatino Linotype"/>
          <w:b/>
          <w:sz w:val="22"/>
          <w:szCs w:val="22"/>
          <w:u w:val="single"/>
        </w:rPr>
      </w:pPr>
      <w:r w:rsidRPr="00D4456A">
        <w:rPr>
          <w:rFonts w:ascii="Palatino Linotype" w:eastAsia="Palatino Linotype" w:hAnsi="Palatino Linotype" w:cs="Palatino Linotype"/>
          <w:b/>
          <w:sz w:val="22"/>
          <w:szCs w:val="22"/>
          <w:u w:val="single"/>
        </w:rPr>
        <w:t>La credencial para votar:</w:t>
      </w:r>
    </w:p>
    <w:p w14:paraId="2A0AC6C2"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Por lo que corresponde a dicha documental, se considera que la misma puede colmar el requisito previsto en el artículo 47 fracción III de la Ley del Trabajo de los Servidores Públicos del Estado y Municipios, relativo a “</w:t>
      </w:r>
      <w:r w:rsidRPr="00D4456A">
        <w:rPr>
          <w:rFonts w:ascii="Palatino Linotype" w:eastAsia="Palatino Linotype" w:hAnsi="Palatino Linotype" w:cs="Palatino Linotype"/>
          <w:b/>
          <w:i/>
          <w:sz w:val="22"/>
          <w:szCs w:val="22"/>
        </w:rPr>
        <w:t>Estar en pleno ejercicio de sus derechos civiles y políticos, en su caso</w:t>
      </w:r>
      <w:r w:rsidRPr="00D4456A">
        <w:rPr>
          <w:rFonts w:ascii="Palatino Linotype" w:eastAsia="Palatino Linotype" w:hAnsi="Palatino Linotype" w:cs="Palatino Linotype"/>
          <w:sz w:val="22"/>
          <w:szCs w:val="22"/>
        </w:rPr>
        <w:t>”.</w:t>
      </w:r>
    </w:p>
    <w:p w14:paraId="7A77BF3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5EEE95E9"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Se afirma lo anterior, pues los derechos civiles y políticos son aquellos que garantizan las libertades individuales y la participación de las personas en la vida política y social, en igualdad y sin discriminación.</w:t>
      </w:r>
    </w:p>
    <w:p w14:paraId="01FA070E"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6FED5DC7"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Para efectos de garantizar el ejercicio de dichos derechos, la credencial de elector cumple un papel importante, pues dicha documental al obtenerse a partir de que los ciudadanos mexicanos cumplen la mayoría de edad que es a los 18 años, por tanto, estos últimos adquieren derechos establecidos en nuestra Constitución Política de los Estados Unidos Mexicanos, entre ellos el </w:t>
      </w:r>
      <w:r w:rsidRPr="00D4456A">
        <w:rPr>
          <w:rFonts w:ascii="Palatino Linotype" w:eastAsia="Palatino Linotype" w:hAnsi="Palatino Linotype" w:cs="Palatino Linotype"/>
          <w:b/>
          <w:sz w:val="22"/>
          <w:szCs w:val="22"/>
        </w:rPr>
        <w:t>derecho al voto.</w:t>
      </w:r>
    </w:p>
    <w:p w14:paraId="00339642"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561808DD"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De ahí que la credencial de elector es una documental que puede colmar el requisito antes señalado.</w:t>
      </w:r>
    </w:p>
    <w:p w14:paraId="7318EA8A"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1DEA99B6"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No obstante, no debe perderse de vista que la credencial para votar se constituye de diversos datos personales como el nombre, domicilio, huella digital, fotografía del elector, clave de registro o elector, Clave Única del Registro de Población y firma, tal como se refiere en el artículo 156 numeral 1, incisos d), g) e i) de la Ley General de Instituciones y Procedimientos Electorales que enlista los datos que, cuando menos, debe contener la credencial para votar, como son: </w:t>
      </w:r>
    </w:p>
    <w:p w14:paraId="4C178C0C"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3E64734A" w14:textId="77777777" w:rsidR="00916579" w:rsidRPr="00D4456A" w:rsidRDefault="00916579" w:rsidP="00916579">
      <w:pPr>
        <w:tabs>
          <w:tab w:val="left" w:pos="8222"/>
        </w:tabs>
        <w:ind w:left="851"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r w:rsidRPr="00D4456A">
        <w:rPr>
          <w:rFonts w:ascii="Palatino Linotype" w:eastAsia="Palatino Linotype" w:hAnsi="Palatino Linotype" w:cs="Palatino Linotype"/>
          <w:b/>
          <w:i/>
          <w:sz w:val="22"/>
          <w:szCs w:val="22"/>
        </w:rPr>
        <w:t>Artículo 156</w:t>
      </w:r>
      <w:r w:rsidRPr="00D4456A">
        <w:rPr>
          <w:rFonts w:ascii="Palatino Linotype" w:eastAsia="Palatino Linotype" w:hAnsi="Palatino Linotype" w:cs="Palatino Linotype"/>
          <w:i/>
          <w:sz w:val="22"/>
          <w:szCs w:val="22"/>
        </w:rPr>
        <w:t>.</w:t>
      </w:r>
    </w:p>
    <w:p w14:paraId="2EA7A9F0" w14:textId="77777777" w:rsidR="00916579" w:rsidRPr="00D4456A" w:rsidRDefault="00916579" w:rsidP="00916579">
      <w:pPr>
        <w:tabs>
          <w:tab w:val="left" w:pos="8222"/>
        </w:tabs>
        <w:ind w:left="851"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1.</w:t>
      </w:r>
      <w:r w:rsidRPr="00D4456A">
        <w:rPr>
          <w:rFonts w:ascii="Palatino Linotype" w:eastAsia="Palatino Linotype" w:hAnsi="Palatino Linotype" w:cs="Palatino Linotype"/>
          <w:i/>
          <w:sz w:val="22"/>
          <w:szCs w:val="22"/>
        </w:rPr>
        <w:t xml:space="preserve"> </w:t>
      </w:r>
      <w:r w:rsidRPr="00D4456A">
        <w:rPr>
          <w:rFonts w:ascii="Palatino Linotype" w:eastAsia="Palatino Linotype" w:hAnsi="Palatino Linotype" w:cs="Palatino Linotype"/>
          <w:b/>
          <w:i/>
          <w:sz w:val="22"/>
          <w:szCs w:val="22"/>
          <w:u w:val="single"/>
        </w:rPr>
        <w:t>La credencial para votar deberá contener, cuando menos, los siguientes datos del elector</w:t>
      </w:r>
      <w:r w:rsidRPr="00D4456A">
        <w:rPr>
          <w:rFonts w:ascii="Palatino Linotype" w:eastAsia="Palatino Linotype" w:hAnsi="Palatino Linotype" w:cs="Palatino Linotype"/>
          <w:i/>
          <w:sz w:val="22"/>
          <w:szCs w:val="22"/>
        </w:rPr>
        <w:t>:</w:t>
      </w:r>
    </w:p>
    <w:p w14:paraId="712F1DAC" w14:textId="77777777" w:rsidR="00916579" w:rsidRPr="00D4456A" w:rsidRDefault="00916579" w:rsidP="00916579">
      <w:pPr>
        <w:tabs>
          <w:tab w:val="left" w:pos="8222"/>
        </w:tabs>
        <w:ind w:left="851"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3792463F" w14:textId="77777777" w:rsidR="00916579" w:rsidRPr="00D4456A" w:rsidRDefault="00916579" w:rsidP="00916579">
      <w:pPr>
        <w:tabs>
          <w:tab w:val="left" w:pos="8222"/>
        </w:tabs>
        <w:ind w:left="851"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d) </w:t>
      </w:r>
      <w:r w:rsidRPr="00D4456A">
        <w:rPr>
          <w:rFonts w:ascii="Palatino Linotype" w:eastAsia="Palatino Linotype" w:hAnsi="Palatino Linotype" w:cs="Palatino Linotype"/>
          <w:b/>
          <w:i/>
          <w:sz w:val="22"/>
          <w:szCs w:val="22"/>
          <w:u w:val="single"/>
        </w:rPr>
        <w:t>Domicilio</w:t>
      </w:r>
      <w:r w:rsidRPr="00D4456A">
        <w:rPr>
          <w:rFonts w:ascii="Palatino Linotype" w:eastAsia="Palatino Linotype" w:hAnsi="Palatino Linotype" w:cs="Palatino Linotype"/>
          <w:i/>
          <w:sz w:val="22"/>
          <w:szCs w:val="22"/>
        </w:rPr>
        <w:t>;</w:t>
      </w:r>
    </w:p>
    <w:p w14:paraId="019DB4FC" w14:textId="77777777" w:rsidR="00916579" w:rsidRPr="00D4456A" w:rsidRDefault="00916579" w:rsidP="00916579">
      <w:pPr>
        <w:tabs>
          <w:tab w:val="left" w:pos="8222"/>
        </w:tabs>
        <w:ind w:left="851"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1A34CFB6" w14:textId="77777777" w:rsidR="00916579" w:rsidRPr="00D4456A" w:rsidRDefault="00916579" w:rsidP="00916579">
      <w:pPr>
        <w:tabs>
          <w:tab w:val="left" w:pos="8222"/>
        </w:tabs>
        <w:ind w:left="851"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g) </w:t>
      </w:r>
      <w:r w:rsidRPr="00D4456A">
        <w:rPr>
          <w:rFonts w:ascii="Palatino Linotype" w:eastAsia="Palatino Linotype" w:hAnsi="Palatino Linotype" w:cs="Palatino Linotype"/>
          <w:b/>
          <w:i/>
          <w:sz w:val="22"/>
          <w:szCs w:val="22"/>
        </w:rPr>
        <w:t>Firma</w:t>
      </w:r>
      <w:r w:rsidRPr="00D4456A">
        <w:rPr>
          <w:rFonts w:ascii="Palatino Linotype" w:eastAsia="Palatino Linotype" w:hAnsi="Palatino Linotype" w:cs="Palatino Linotype"/>
          <w:i/>
          <w:sz w:val="22"/>
          <w:szCs w:val="22"/>
        </w:rPr>
        <w:t xml:space="preserve">, </w:t>
      </w:r>
      <w:r w:rsidRPr="00D4456A">
        <w:rPr>
          <w:rFonts w:ascii="Palatino Linotype" w:eastAsia="Palatino Linotype" w:hAnsi="Palatino Linotype" w:cs="Palatino Linotype"/>
          <w:b/>
          <w:i/>
          <w:sz w:val="22"/>
          <w:szCs w:val="22"/>
          <w:u w:val="single"/>
        </w:rPr>
        <w:t>huella digital</w:t>
      </w:r>
      <w:r w:rsidRPr="00D4456A">
        <w:rPr>
          <w:rFonts w:ascii="Palatino Linotype" w:eastAsia="Palatino Linotype" w:hAnsi="Palatino Linotype" w:cs="Palatino Linotype"/>
          <w:i/>
          <w:sz w:val="22"/>
          <w:szCs w:val="22"/>
        </w:rPr>
        <w:t xml:space="preserve"> y </w:t>
      </w:r>
      <w:r w:rsidRPr="00D4456A">
        <w:rPr>
          <w:rFonts w:ascii="Palatino Linotype" w:eastAsia="Palatino Linotype" w:hAnsi="Palatino Linotype" w:cs="Palatino Linotype"/>
          <w:b/>
          <w:i/>
          <w:sz w:val="22"/>
          <w:szCs w:val="22"/>
          <w:u w:val="single"/>
        </w:rPr>
        <w:t>fotografía del elector</w:t>
      </w:r>
      <w:r w:rsidRPr="00D4456A">
        <w:rPr>
          <w:rFonts w:ascii="Palatino Linotype" w:eastAsia="Palatino Linotype" w:hAnsi="Palatino Linotype" w:cs="Palatino Linotype"/>
          <w:i/>
          <w:sz w:val="22"/>
          <w:szCs w:val="22"/>
        </w:rPr>
        <w:t>;</w:t>
      </w:r>
    </w:p>
    <w:p w14:paraId="77113A61" w14:textId="77777777" w:rsidR="00916579" w:rsidRPr="00D4456A" w:rsidRDefault="00916579" w:rsidP="00916579">
      <w:pPr>
        <w:tabs>
          <w:tab w:val="left" w:pos="8222"/>
        </w:tabs>
        <w:ind w:left="851"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6AF98898" w14:textId="77777777" w:rsidR="00916579" w:rsidRPr="00D4456A" w:rsidRDefault="00916579" w:rsidP="00916579">
      <w:pPr>
        <w:tabs>
          <w:tab w:val="left" w:pos="8222"/>
        </w:tabs>
        <w:ind w:left="851"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 </w:t>
      </w:r>
      <w:r w:rsidRPr="00D4456A">
        <w:rPr>
          <w:rFonts w:ascii="Palatino Linotype" w:eastAsia="Palatino Linotype" w:hAnsi="Palatino Linotype" w:cs="Palatino Linotype"/>
          <w:b/>
          <w:i/>
          <w:sz w:val="22"/>
          <w:szCs w:val="22"/>
          <w:u w:val="single"/>
        </w:rPr>
        <w:t>Clave Única del Registro de Población</w:t>
      </w:r>
      <w:r w:rsidRPr="00D4456A">
        <w:rPr>
          <w:rFonts w:ascii="Palatino Linotype" w:eastAsia="Palatino Linotype" w:hAnsi="Palatino Linotype" w:cs="Palatino Linotype"/>
          <w:i/>
          <w:sz w:val="22"/>
          <w:szCs w:val="22"/>
        </w:rPr>
        <w:t>. ” (Sic)</w:t>
      </w:r>
    </w:p>
    <w:p w14:paraId="01FA204A" w14:textId="77777777" w:rsidR="00916579" w:rsidRPr="00D4456A" w:rsidRDefault="00916579" w:rsidP="00916579">
      <w:pPr>
        <w:tabs>
          <w:tab w:val="left" w:pos="8222"/>
        </w:tabs>
        <w:spacing w:line="276" w:lineRule="auto"/>
        <w:ind w:left="851" w:right="851"/>
        <w:jc w:val="both"/>
        <w:rPr>
          <w:rFonts w:ascii="Palatino Linotype" w:eastAsia="Palatino Linotype" w:hAnsi="Palatino Linotype" w:cs="Palatino Linotype"/>
          <w:i/>
          <w:sz w:val="22"/>
          <w:szCs w:val="22"/>
        </w:rPr>
      </w:pPr>
    </w:p>
    <w:p w14:paraId="73B56E1A"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Por tanto, el conocimiento de dichos datos afecta la esfera más íntima de su Titular, en razón de que su utilización indebida pueda dar origen a un riesgo grave para éste.</w:t>
      </w:r>
    </w:p>
    <w:p w14:paraId="124DD6A2"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4F2FC0B8"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Asimismo, en el caso particular de la clave de elector, debe precisarse que es un código alfa numérico compuesto por letras de los apellidos y nombre de la persona, seguido de la fecha de nacimiento y finalmente una serie de números indispensables para su inscripción en el Registro Federal de Electores que, a su vez, hace identificable a la persona que corresponde dicha credencial para votar, tan es así, que el Sistema de Administración Tributaria en su catálogo de trámites contempla como identificación oficial la credencial para votar expedida por el Instituto Nacional Electoral.</w:t>
      </w:r>
    </w:p>
    <w:p w14:paraId="760131B3"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26DC9E95"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Respecto a la edad, número identificador (OCR) y código de barras bidimensional y cifrado contenidos en las credenciales para votar, se advierte que se trata de elementos de información, control y presentación, de conformidad a lo señalado por el Instituto Nacional Electoral, en la página de Internet Institucional, http://portalanterior.ine.mx/archivos2/portal/credencial/pdf credencial/ABC_credenciales_ INE_2015.pdf, como se muestra a continuación, en su parte medular: </w:t>
      </w:r>
    </w:p>
    <w:p w14:paraId="78BC8C06" w14:textId="77777777" w:rsidR="00916579" w:rsidRPr="00D4456A" w:rsidRDefault="00916579" w:rsidP="00916579">
      <w:pPr>
        <w:spacing w:before="240" w:after="240" w:line="360" w:lineRule="auto"/>
        <w:jc w:val="center"/>
        <w:rPr>
          <w:rFonts w:ascii="Palatino Linotype" w:eastAsia="Palatino Linotype" w:hAnsi="Palatino Linotype" w:cs="Palatino Linotype"/>
          <w:sz w:val="22"/>
          <w:szCs w:val="22"/>
        </w:rPr>
      </w:pPr>
      <w:r w:rsidRPr="00D4456A">
        <w:rPr>
          <w:rFonts w:ascii="Palatino Linotype" w:eastAsia="Palatino Linotype" w:hAnsi="Palatino Linotype" w:cs="Palatino Linotype"/>
          <w:noProof/>
          <w:sz w:val="22"/>
          <w:szCs w:val="22"/>
        </w:rPr>
        <w:drawing>
          <wp:inline distT="0" distB="0" distL="0" distR="0" wp14:anchorId="6DEF7953" wp14:editId="170E5DF1">
            <wp:extent cx="5726099" cy="1553002"/>
            <wp:effectExtent l="0" t="0" r="0" b="0"/>
            <wp:docPr id="214310826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5726099" cy="1553002"/>
                    </a:xfrm>
                    <a:prstGeom prst="rect">
                      <a:avLst/>
                    </a:prstGeom>
                    <a:ln/>
                  </pic:spPr>
                </pic:pic>
              </a:graphicData>
            </a:graphic>
          </wp:inline>
        </w:drawing>
      </w:r>
      <w:r w:rsidRPr="00D4456A">
        <w:rPr>
          <w:rFonts w:ascii="Palatino Linotype" w:hAnsi="Palatino Linotype"/>
          <w:noProof/>
          <w:sz w:val="22"/>
          <w:szCs w:val="22"/>
        </w:rPr>
        <mc:AlternateContent>
          <mc:Choice Requires="wps">
            <w:drawing>
              <wp:anchor distT="0" distB="0" distL="114300" distR="114300" simplePos="0" relativeHeight="251659264" behindDoc="0" locked="0" layoutInCell="1" hidden="0" allowOverlap="1" wp14:anchorId="1D369289" wp14:editId="51A05D26">
                <wp:simplePos x="0" y="0"/>
                <wp:positionH relativeFrom="column">
                  <wp:posOffset>1260475</wp:posOffset>
                </wp:positionH>
                <wp:positionV relativeFrom="paragraph">
                  <wp:posOffset>269875</wp:posOffset>
                </wp:positionV>
                <wp:extent cx="2745759" cy="355600"/>
                <wp:effectExtent l="0" t="0" r="0" b="0"/>
                <wp:wrapNone/>
                <wp:docPr id="2143108249" name="Rectángulo 2143108249"/>
                <wp:cNvGraphicFramePr/>
                <a:graphic xmlns:a="http://schemas.openxmlformats.org/drawingml/2006/main">
                  <a:graphicData uri="http://schemas.microsoft.com/office/word/2010/wordprocessingShape">
                    <wps:wsp>
                      <wps:cNvSpPr/>
                      <wps:spPr>
                        <a:xfrm>
                          <a:off x="4001696" y="3630775"/>
                          <a:ext cx="2688609" cy="298450"/>
                        </a:xfrm>
                        <a:prstGeom prst="rect">
                          <a:avLst/>
                        </a:prstGeom>
                        <a:noFill/>
                        <a:ln w="19050" cap="flat" cmpd="sng">
                          <a:solidFill>
                            <a:srgbClr val="FF0000"/>
                          </a:solidFill>
                          <a:prstDash val="solid"/>
                          <a:miter lim="800000"/>
                          <a:headEnd type="none" w="sm" len="sm"/>
                          <a:tailEnd type="none" w="sm" len="sm"/>
                        </a:ln>
                      </wps:spPr>
                      <wps:txbx>
                        <w:txbxContent>
                          <w:p w14:paraId="3D6B5169" w14:textId="77777777" w:rsidR="00916579" w:rsidRDefault="00916579" w:rsidP="00916579">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D369289" id="Rectángulo 2143108249" o:spid="_x0000_s1026" style="position:absolute;left:0;text-align:left;margin-left:99.25pt;margin-top:21.25pt;width:216.2pt;height:2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" filled="f" strokecolor="red" strokeweight="1.5pt">
                <v:stroke startarrowwidth="narrow" startarrowlength="short" endarrowwidth="narrow" endarrowlength="short"/>
                <v:textbox inset="2.53958mm,2.53958mm,2.53958mm,2.53958mm">
                  <w:txbxContent>
                    <w:p w14:paraId="3D6B5169" w14:textId="77777777" w:rsidR="00916579" w:rsidRDefault="00916579" w:rsidP="00916579">
                      <w:pPr>
                        <w:textDirection w:val="btLr"/>
                      </w:pPr>
                    </w:p>
                  </w:txbxContent>
                </v:textbox>
              </v:rect>
            </w:pict>
          </mc:Fallback>
        </mc:AlternateContent>
      </w:r>
      <w:r w:rsidRPr="00D4456A">
        <w:rPr>
          <w:rFonts w:ascii="Palatino Linotype" w:hAnsi="Palatino Linotype"/>
          <w:noProof/>
          <w:sz w:val="22"/>
          <w:szCs w:val="22"/>
        </w:rPr>
        <mc:AlternateContent>
          <mc:Choice Requires="wps">
            <w:drawing>
              <wp:anchor distT="0" distB="0" distL="114300" distR="114300" simplePos="0" relativeHeight="251660288" behindDoc="0" locked="0" layoutInCell="1" hidden="0" allowOverlap="1" wp14:anchorId="10224A4F" wp14:editId="0E896177">
                <wp:simplePos x="0" y="0"/>
                <wp:positionH relativeFrom="column">
                  <wp:posOffset>180975</wp:posOffset>
                </wp:positionH>
                <wp:positionV relativeFrom="paragraph">
                  <wp:posOffset>777875</wp:posOffset>
                </wp:positionV>
                <wp:extent cx="821424" cy="582589"/>
                <wp:effectExtent l="0" t="0" r="0" b="0"/>
                <wp:wrapNone/>
                <wp:docPr id="2143108252" name="Rectángulo 2143108252"/>
                <wp:cNvGraphicFramePr/>
                <a:graphic xmlns:a="http://schemas.openxmlformats.org/drawingml/2006/main">
                  <a:graphicData uri="http://schemas.microsoft.com/office/word/2010/wordprocessingShape">
                    <wps:wsp>
                      <wps:cNvSpPr/>
                      <wps:spPr>
                        <a:xfrm>
                          <a:off x="4963863" y="3517281"/>
                          <a:ext cx="764274" cy="525439"/>
                        </a:xfrm>
                        <a:prstGeom prst="rect">
                          <a:avLst/>
                        </a:prstGeom>
                        <a:noFill/>
                        <a:ln w="19050" cap="flat" cmpd="sng">
                          <a:solidFill>
                            <a:srgbClr val="FF0000"/>
                          </a:solidFill>
                          <a:prstDash val="solid"/>
                          <a:miter lim="800000"/>
                          <a:headEnd type="none" w="sm" len="sm"/>
                          <a:tailEnd type="none" w="sm" len="sm"/>
                        </a:ln>
                      </wps:spPr>
                      <wps:txbx>
                        <w:txbxContent>
                          <w:p w14:paraId="16ED41C6" w14:textId="77777777" w:rsidR="00916579" w:rsidRDefault="00916579" w:rsidP="00916579">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0224A4F" id="Rectángulo 2143108252" o:spid="_x0000_s1027" style="position:absolute;left:0;text-align:left;margin-left:14.25pt;margin-top:61.25pt;width:64.7pt;height:45.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" filled="f" strokecolor="red" strokeweight="1.5pt">
                <v:stroke startarrowwidth="narrow" startarrowlength="short" endarrowwidth="narrow" endarrowlength="short"/>
                <v:textbox inset="2.53958mm,2.53958mm,2.53958mm,2.53958mm">
                  <w:txbxContent>
                    <w:p w14:paraId="16ED41C6" w14:textId="77777777" w:rsidR="00916579" w:rsidRDefault="00916579" w:rsidP="00916579">
                      <w:pPr>
                        <w:textDirection w:val="btLr"/>
                      </w:pPr>
                    </w:p>
                  </w:txbxContent>
                </v:textbox>
              </v:rect>
            </w:pict>
          </mc:Fallback>
        </mc:AlternateContent>
      </w:r>
    </w:p>
    <w:p w14:paraId="7454B079" w14:textId="77777777" w:rsidR="00916579" w:rsidRPr="00D4456A" w:rsidRDefault="00916579" w:rsidP="00916579">
      <w:pPr>
        <w:widowControl w:val="0"/>
        <w:spacing w:before="240" w:after="240" w:line="360" w:lineRule="auto"/>
        <w:jc w:val="center"/>
        <w:rPr>
          <w:rFonts w:ascii="Palatino Linotype" w:eastAsia="Palatino Linotype" w:hAnsi="Palatino Linotype" w:cs="Palatino Linotype"/>
          <w:sz w:val="22"/>
          <w:szCs w:val="22"/>
        </w:rPr>
      </w:pPr>
      <w:r w:rsidRPr="00D4456A">
        <w:rPr>
          <w:rFonts w:ascii="Palatino Linotype" w:hAnsi="Palatino Linotype"/>
          <w:noProof/>
          <w:sz w:val="22"/>
          <w:szCs w:val="22"/>
        </w:rPr>
        <mc:AlternateContent>
          <mc:Choice Requires="wps">
            <w:drawing>
              <wp:anchor distT="0" distB="0" distL="114300" distR="114300" simplePos="0" relativeHeight="251662336" behindDoc="0" locked="0" layoutInCell="1" hidden="0" allowOverlap="1" wp14:anchorId="476CBE83" wp14:editId="31D58ED8">
                <wp:simplePos x="0" y="0"/>
                <wp:positionH relativeFrom="column">
                  <wp:posOffset>1131929</wp:posOffset>
                </wp:positionH>
                <wp:positionV relativeFrom="paragraph">
                  <wp:posOffset>987038</wp:posOffset>
                </wp:positionV>
                <wp:extent cx="2561514" cy="393700"/>
                <wp:effectExtent l="0" t="0" r="0" b="0"/>
                <wp:wrapNone/>
                <wp:docPr id="2143108251" name="Rectángulo 2143108251"/>
                <wp:cNvGraphicFramePr/>
                <a:graphic xmlns:a="http://schemas.openxmlformats.org/drawingml/2006/main">
                  <a:graphicData uri="http://schemas.microsoft.com/office/word/2010/wordprocessingShape">
                    <wps:wsp>
                      <wps:cNvSpPr/>
                      <wps:spPr>
                        <a:xfrm>
                          <a:off x="0" y="0"/>
                          <a:ext cx="2561514" cy="393700"/>
                        </a:xfrm>
                        <a:prstGeom prst="rect">
                          <a:avLst/>
                        </a:prstGeom>
                        <a:noFill/>
                        <a:ln w="19050" cap="flat" cmpd="sng">
                          <a:solidFill>
                            <a:srgbClr val="FF0000"/>
                          </a:solidFill>
                          <a:prstDash val="solid"/>
                          <a:miter lim="800000"/>
                          <a:headEnd type="none" w="sm" len="sm"/>
                          <a:tailEnd type="none" w="sm" len="sm"/>
                        </a:ln>
                      </wps:spPr>
                      <wps:txbx>
                        <w:txbxContent>
                          <w:p w14:paraId="6AD1BF9C" w14:textId="77777777" w:rsidR="00916579" w:rsidRDefault="00916579" w:rsidP="00916579">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76CBE83" id="Rectángulo 2143108251" o:spid="_x0000_s1028" style="position:absolute;left:0;text-align:left;margin-left:89.15pt;margin-top:77.7pt;width:201.7pt;height:3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" filled="f" strokecolor="red" strokeweight="1.5pt">
                <v:stroke startarrowwidth="narrow" startarrowlength="short" endarrowwidth="narrow" endarrowlength="short"/>
                <v:textbox inset="2.53958mm,2.53958mm,2.53958mm,2.53958mm">
                  <w:txbxContent>
                    <w:p w14:paraId="6AD1BF9C" w14:textId="77777777" w:rsidR="00916579" w:rsidRDefault="00916579" w:rsidP="00916579">
                      <w:pPr>
                        <w:textDirection w:val="btLr"/>
                      </w:pPr>
                    </w:p>
                  </w:txbxContent>
                </v:textbox>
              </v:rect>
            </w:pict>
          </mc:Fallback>
        </mc:AlternateContent>
      </w:r>
      <w:r w:rsidRPr="00D4456A">
        <w:rPr>
          <w:rFonts w:ascii="Palatino Linotype" w:hAnsi="Palatino Linotype"/>
          <w:noProof/>
          <w:sz w:val="22"/>
          <w:szCs w:val="22"/>
        </w:rPr>
        <mc:AlternateContent>
          <mc:Choice Requires="wps">
            <w:drawing>
              <wp:anchor distT="0" distB="0" distL="114300" distR="114300" simplePos="0" relativeHeight="251663360" behindDoc="0" locked="0" layoutInCell="1" hidden="0" allowOverlap="1" wp14:anchorId="68D5B37B" wp14:editId="69536CAB">
                <wp:simplePos x="0" y="0"/>
                <wp:positionH relativeFrom="column">
                  <wp:posOffset>343148</wp:posOffset>
                </wp:positionH>
                <wp:positionV relativeFrom="paragraph">
                  <wp:posOffset>348008</wp:posOffset>
                </wp:positionV>
                <wp:extent cx="375285" cy="1280160"/>
                <wp:effectExtent l="0" t="0" r="24765" b="15240"/>
                <wp:wrapNone/>
                <wp:docPr id="2143108248" name="Rectángulo 2143108248"/>
                <wp:cNvGraphicFramePr/>
                <a:graphic xmlns:a="http://schemas.openxmlformats.org/drawingml/2006/main">
                  <a:graphicData uri="http://schemas.microsoft.com/office/word/2010/wordprocessingShape">
                    <wps:wsp>
                      <wps:cNvSpPr/>
                      <wps:spPr>
                        <a:xfrm>
                          <a:off x="0" y="0"/>
                          <a:ext cx="375285" cy="1280160"/>
                        </a:xfrm>
                        <a:prstGeom prst="rect">
                          <a:avLst/>
                        </a:prstGeom>
                        <a:noFill/>
                        <a:ln w="19050" cap="flat" cmpd="sng">
                          <a:solidFill>
                            <a:srgbClr val="FF0000"/>
                          </a:solidFill>
                          <a:prstDash val="solid"/>
                          <a:miter lim="800000"/>
                          <a:headEnd type="none" w="sm" len="sm"/>
                          <a:tailEnd type="none" w="sm" len="sm"/>
                        </a:ln>
                      </wps:spPr>
                      <wps:txbx>
                        <w:txbxContent>
                          <w:p w14:paraId="1215F6A6" w14:textId="77777777" w:rsidR="00916579" w:rsidRDefault="00916579" w:rsidP="00916579">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8D5B37B" id="Rectángulo 2143108248" o:spid="_x0000_s1029" style="position:absolute;left:0;text-align:left;margin-left:27pt;margin-top:27.4pt;width:29.55pt;height:10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" filled="f" strokecolor="red" strokeweight="1.5pt">
                <v:stroke startarrowwidth="narrow" startarrowlength="short" endarrowwidth="narrow" endarrowlength="short"/>
                <v:textbox inset="2.53958mm,2.53958mm,2.53958mm,2.53958mm">
                  <w:txbxContent>
                    <w:p w14:paraId="1215F6A6" w14:textId="77777777" w:rsidR="00916579" w:rsidRDefault="00916579" w:rsidP="00916579">
                      <w:pPr>
                        <w:textDirection w:val="btLr"/>
                      </w:pPr>
                    </w:p>
                  </w:txbxContent>
                </v:textbox>
              </v:rect>
            </w:pict>
          </mc:Fallback>
        </mc:AlternateContent>
      </w:r>
      <w:r w:rsidRPr="00D4456A">
        <w:rPr>
          <w:rFonts w:ascii="Palatino Linotype" w:eastAsia="Palatino Linotype" w:hAnsi="Palatino Linotype" w:cs="Palatino Linotype"/>
          <w:noProof/>
          <w:sz w:val="22"/>
          <w:szCs w:val="22"/>
        </w:rPr>
        <w:drawing>
          <wp:inline distT="0" distB="0" distL="0" distR="0" wp14:anchorId="407CC70B" wp14:editId="0DECD28E">
            <wp:extent cx="5844472" cy="2075290"/>
            <wp:effectExtent l="0" t="0" r="4445" b="1270"/>
            <wp:docPr id="214310826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5871618" cy="2084929"/>
                    </a:xfrm>
                    <a:prstGeom prst="rect">
                      <a:avLst/>
                    </a:prstGeom>
                    <a:ln/>
                  </pic:spPr>
                </pic:pic>
              </a:graphicData>
            </a:graphic>
          </wp:inline>
        </w:drawing>
      </w:r>
      <w:r w:rsidRPr="00D4456A">
        <w:rPr>
          <w:rFonts w:ascii="Palatino Linotype" w:hAnsi="Palatino Linotype"/>
          <w:noProof/>
          <w:sz w:val="22"/>
          <w:szCs w:val="22"/>
        </w:rPr>
        <mc:AlternateContent>
          <mc:Choice Requires="wps">
            <w:drawing>
              <wp:anchor distT="0" distB="0" distL="114300" distR="114300" simplePos="0" relativeHeight="251661312" behindDoc="0" locked="0" layoutInCell="1" hidden="0" allowOverlap="1" wp14:anchorId="51565818" wp14:editId="787E67A2">
                <wp:simplePos x="0" y="0"/>
                <wp:positionH relativeFrom="column">
                  <wp:posOffset>1108075</wp:posOffset>
                </wp:positionH>
                <wp:positionV relativeFrom="paragraph">
                  <wp:posOffset>168275</wp:posOffset>
                </wp:positionV>
                <wp:extent cx="2561514" cy="507526"/>
                <wp:effectExtent l="0" t="0" r="0" b="0"/>
                <wp:wrapNone/>
                <wp:docPr id="2143108250" name="Rectángulo 2143108250"/>
                <wp:cNvGraphicFramePr/>
                <a:graphic xmlns:a="http://schemas.openxmlformats.org/drawingml/2006/main">
                  <a:graphicData uri="http://schemas.microsoft.com/office/word/2010/wordprocessingShape">
                    <wps:wsp>
                      <wps:cNvSpPr/>
                      <wps:spPr>
                        <a:xfrm>
                          <a:off x="4093818" y="3554812"/>
                          <a:ext cx="2504364" cy="450376"/>
                        </a:xfrm>
                        <a:prstGeom prst="rect">
                          <a:avLst/>
                        </a:prstGeom>
                        <a:noFill/>
                        <a:ln w="19050" cap="flat" cmpd="sng">
                          <a:solidFill>
                            <a:srgbClr val="FF0000"/>
                          </a:solidFill>
                          <a:prstDash val="solid"/>
                          <a:miter lim="800000"/>
                          <a:headEnd type="none" w="sm" len="sm"/>
                          <a:tailEnd type="none" w="sm" len="sm"/>
                        </a:ln>
                      </wps:spPr>
                      <wps:txbx>
                        <w:txbxContent>
                          <w:p w14:paraId="020BD9FA" w14:textId="77777777" w:rsidR="00916579" w:rsidRDefault="00916579" w:rsidP="00916579">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1565818" id="Rectángulo 2143108250" o:spid="_x0000_s1030" style="position:absolute;left:0;text-align:left;margin-left:87.25pt;margin-top:13.25pt;width:201.7pt;height:39.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" filled="f" strokecolor="red" strokeweight="1.5pt">
                <v:stroke startarrowwidth="narrow" startarrowlength="short" endarrowwidth="narrow" endarrowlength="short"/>
                <v:textbox inset="2.53958mm,2.53958mm,2.53958mm,2.53958mm">
                  <w:txbxContent>
                    <w:p w14:paraId="020BD9FA" w14:textId="77777777" w:rsidR="00916579" w:rsidRDefault="00916579" w:rsidP="00916579">
                      <w:pPr>
                        <w:textDirection w:val="btLr"/>
                      </w:pPr>
                    </w:p>
                  </w:txbxContent>
                </v:textbox>
              </v:rect>
            </w:pict>
          </mc:Fallback>
        </mc:AlternateContent>
      </w:r>
    </w:p>
    <w:p w14:paraId="7002FA2E" w14:textId="77777777" w:rsidR="00916579" w:rsidRPr="00D4456A" w:rsidRDefault="00916579" w:rsidP="00916579">
      <w:pPr>
        <w:widowControl w:val="0"/>
        <w:spacing w:before="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En esa tesitura, en el caso del número identificador (OCR), debe precisarse que éste es generalmente utilizado en la realización de diversas operaciones bancarias y, en algunos casos, como un medio de identificación de las personas, por lo cual, su conocimiento y utilización, concierne únicamente a su titular. </w:t>
      </w:r>
    </w:p>
    <w:p w14:paraId="3D44AA07"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p>
    <w:p w14:paraId="0E3B9701"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En el caso de la edad, se trata de un dato personal sensible que concierne únicamente a su titular, al corresponder a su esfera más íntima. </w:t>
      </w:r>
    </w:p>
    <w:p w14:paraId="1F1CA748"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p>
    <w:p w14:paraId="294A2530"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El código de barras bidimensional y cifrado, como fue anteriormente mencionado, se trata de un medio de almacenamiento de información, que en el caso de las credenciales para votar, contiene datos e información, utilizada para efectos electorales, misma, que únicamente concierne a las autoridades competentes en la materia y a su propio titular.</w:t>
      </w:r>
    </w:p>
    <w:p w14:paraId="1C81667A"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p>
    <w:p w14:paraId="2B45071A"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Por lo tanto, aún y cuando la credencial de elector puede dar cuenta del requisito previsto en la fracción III del artículo 47 de la Ley del Trabajo de la Entidad, atendiendo los datos personales que la conforman, procede su clasificación en su totalidad.</w:t>
      </w:r>
    </w:p>
    <w:p w14:paraId="122E2D71"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p>
    <w:p w14:paraId="1091F5FC" w14:textId="77777777" w:rsidR="00916579" w:rsidRPr="00D4456A" w:rsidRDefault="00916579" w:rsidP="00916579">
      <w:pPr>
        <w:numPr>
          <w:ilvl w:val="0"/>
          <w:numId w:val="29"/>
        </w:numPr>
        <w:pBdr>
          <w:top w:val="nil"/>
          <w:left w:val="nil"/>
          <w:bottom w:val="nil"/>
          <w:right w:val="nil"/>
          <w:between w:val="nil"/>
        </w:pBdr>
        <w:spacing w:after="240" w:line="360" w:lineRule="auto"/>
        <w:jc w:val="both"/>
        <w:rPr>
          <w:rFonts w:ascii="Palatino Linotype" w:eastAsia="Palatino Linotype" w:hAnsi="Palatino Linotype" w:cs="Palatino Linotype"/>
          <w:b/>
          <w:sz w:val="22"/>
          <w:szCs w:val="22"/>
          <w:u w:val="single"/>
        </w:rPr>
      </w:pPr>
      <w:r w:rsidRPr="00D4456A">
        <w:rPr>
          <w:rFonts w:ascii="Palatino Linotype" w:eastAsia="Palatino Linotype" w:hAnsi="Palatino Linotype" w:cs="Palatino Linotype"/>
          <w:b/>
          <w:sz w:val="22"/>
          <w:szCs w:val="22"/>
          <w:u w:val="single"/>
        </w:rPr>
        <w:t>Informe o Certificado de no antecedentes penales.</w:t>
      </w:r>
    </w:p>
    <w:p w14:paraId="4A968549"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Al respecto, mediante el Decreto Número 109, publicado en el periódico oficial “Gaceta de Gobierno” el 3 de agosto de 2016, se derogó la fracción V del artículo 47 de la Ley del Trabajo de los Servidores Públicos del Estado y Municipios, por lo que derivado de esta reforma ya no se mandata a las personas que deseen ingresar al servicio público a presentar el documento en el que acrediten “no contar con antecedentes penales por delitos intencionales”, lo anterior en virtud de que se contempla como una forma de discriminación, dicha premisa encuentra sustento en el dictamen que obra en la exposición de motivos de dicho decreto, mismo que se inserta a continuación: </w:t>
      </w:r>
    </w:p>
    <w:p w14:paraId="0B8418F7"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65BE6E3B" w14:textId="77777777" w:rsidR="00916579" w:rsidRPr="00D4456A" w:rsidRDefault="00916579" w:rsidP="00916579">
      <w:pPr>
        <w:spacing w:line="276" w:lineRule="auto"/>
        <w:ind w:left="567"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r w:rsidRPr="00D4456A">
        <w:rPr>
          <w:rFonts w:ascii="Palatino Linotype" w:eastAsia="Palatino Linotype" w:hAnsi="Palatino Linotype" w:cs="Palatino Linotype"/>
          <w:b/>
          <w:i/>
          <w:sz w:val="22"/>
          <w:szCs w:val="22"/>
          <w:u w:val="single"/>
        </w:rPr>
        <w:t>Por otra parte, como se menciona en la iniciativa de decreto, reconocemos que el artículo 47 de la Ley del Trabajo para los Servidores Públicos del Estado y Municipios contempla una forma de discriminación que se traduce en lo dispuesto por su fracción V, en virtud que  dicho precepto establece como requisito para ingresar al servicio público el no contar con antecedentes penales por delitos intencionales</w:t>
      </w:r>
      <w:r w:rsidRPr="00D4456A">
        <w:rPr>
          <w:rFonts w:ascii="Palatino Linotype" w:eastAsia="Palatino Linotype" w:hAnsi="Palatino Linotype" w:cs="Palatino Linotype"/>
          <w:i/>
          <w:sz w:val="22"/>
          <w:szCs w:val="22"/>
        </w:rPr>
        <w:t>, lo que se traduce en una violación de derecho y libertades consagrados en nuestra Carta Magna y en la propia Ley Federal para Prevenir y Eliminar la Discriminación, específicamente en su artículo 1, fracción III.</w:t>
      </w:r>
    </w:p>
    <w:p w14:paraId="5597B79B" w14:textId="77777777" w:rsidR="00916579" w:rsidRPr="00D4456A" w:rsidRDefault="00916579" w:rsidP="00916579">
      <w:pPr>
        <w:spacing w:line="276" w:lineRule="auto"/>
        <w:ind w:left="567" w:right="851"/>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u w:val="single"/>
        </w:rPr>
        <w:t>Por ello, resulta procedente derogar la fracción del citado precepto normativo de la Ley del Trabajo de los Servidores Públicos del Estado y Municipios, y suprimir este requisito, y de esta manera, no se distinga negativamente a las personas que deseen ingresar a laborar al  servicio público, ya que quienes hayan compurgado una pena son aptos de reinserción social y deben contar con la oportunidad de obtener  un trabajo que les permita ejercer una forma digna de vida, sin ningún tipo de distinción o discriminación y con ello garantizar el pleno respeto de sus derechos de igualdad y trabajo…</w:t>
      </w:r>
      <w:r w:rsidRPr="00D4456A">
        <w:rPr>
          <w:rFonts w:ascii="Palatino Linotype" w:eastAsia="Palatino Linotype" w:hAnsi="Palatino Linotype" w:cs="Palatino Linotype"/>
          <w:i/>
          <w:sz w:val="22"/>
          <w:szCs w:val="22"/>
        </w:rPr>
        <w:t>” (Énfasis añadido)</w:t>
      </w:r>
    </w:p>
    <w:p w14:paraId="386B9DE9"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1395BD01"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En tal caso, es a partir de la publicación de la derogación de este precepto legal en el periódico oficial “Gaceta de Gobierno”, que la obligación de requerir a los servidores públicos el documento referido como condicionante para ingresar al servicio público es inexistente.</w:t>
      </w:r>
    </w:p>
    <w:p w14:paraId="72807C2B"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46286F4A"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No obstante lo anterior, debe tenerse en cuenta que el artículo 47 de la Ley del Trabajo de los Servidores Públicos del Estado y Municipios, refiere en la fracción III que para ingresar al servicio público, se requiere, estar en pleno ejercicio de sus derechos civiles y políticos, en su caso. </w:t>
      </w:r>
    </w:p>
    <w:p w14:paraId="1842327E"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3E97BFA0"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Bajo este orden de ideas, se tiene que en el caso particular, si bien es cierto, la presentación del certificado de no antecedentes penales ya no es una condicionante para ingresar al servicio público, no menos cierto es que como se refirió anteriormente, el artículo 47 fracción III de la Ley del Trabajo de los Servidores Públicos del Estado de México y Municipios, contempla la acreditación del ejercicio de los derechos civiles y políticos, el cual se puede acreditar de manera enunciativa más no limitativa, mediante el informe o certificado de no antecedentes penales.</w:t>
      </w:r>
    </w:p>
    <w:p w14:paraId="5E9F2B46"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1B4C0794"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u w:val="single"/>
        </w:rPr>
      </w:pPr>
      <w:r w:rsidRPr="00D4456A">
        <w:rPr>
          <w:rFonts w:ascii="Palatino Linotype" w:eastAsia="Palatino Linotype" w:hAnsi="Palatino Linotype" w:cs="Palatino Linotype"/>
          <w:sz w:val="22"/>
          <w:szCs w:val="22"/>
          <w:u w:val="single"/>
        </w:rPr>
        <w:t>Máxime que dichas documentales también dan cuenta del cumplimiento del requisito en cuestión, pues en materia de derecho penal, una persona que tiene la imputación de un delito del cual ha resultado responsable mediante sentencia ejecutoriada y cuya pena haya sido la prisión, por tanto, sus derechos civiles y políticos pueden verse suspendidos.</w:t>
      </w:r>
    </w:p>
    <w:p w14:paraId="4ECB88DD"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714E66CA"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Por lo que, </w:t>
      </w:r>
      <w:r w:rsidRPr="00D4456A">
        <w:rPr>
          <w:rFonts w:ascii="Palatino Linotype" w:eastAsia="Palatino Linotype" w:hAnsi="Palatino Linotype" w:cs="Palatino Linotype"/>
          <w:b/>
          <w:sz w:val="22"/>
          <w:szCs w:val="22"/>
        </w:rPr>
        <w:t>para colmar el requisito de mérito, procede ordenarse la entrega del informe o certificado de no antecedentes penales del servidor público en cuestión</w:t>
      </w:r>
      <w:r w:rsidRPr="00D4456A">
        <w:rPr>
          <w:rFonts w:ascii="Palatino Linotype" w:eastAsia="Palatino Linotype" w:hAnsi="Palatino Linotype" w:cs="Palatino Linotype"/>
          <w:sz w:val="22"/>
          <w:szCs w:val="22"/>
        </w:rPr>
        <w:t>, en versión pública, en virtud de que puede contener datos personales de índole confidencial tales como: el Registro Federal de Contribuyentes y Clave Única de Registro de Población.</w:t>
      </w:r>
    </w:p>
    <w:p w14:paraId="67CA51C9"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57B07657"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Sin embargo, en el supuesto de que la información ordenada no obre en los archivos del </w:t>
      </w:r>
      <w:r w:rsidRPr="00D4456A">
        <w:rPr>
          <w:rFonts w:ascii="Palatino Linotype" w:eastAsia="Palatino Linotype" w:hAnsi="Palatino Linotype" w:cs="Palatino Linotype"/>
          <w:b/>
          <w:sz w:val="22"/>
          <w:szCs w:val="22"/>
        </w:rPr>
        <w:t>Sujeto Obligado</w:t>
      </w:r>
      <w:r w:rsidRPr="00D4456A">
        <w:rPr>
          <w:rFonts w:ascii="Palatino Linotype" w:eastAsia="Palatino Linotype" w:hAnsi="Palatino Linotype" w:cs="Palatino Linotype"/>
          <w:sz w:val="22"/>
          <w:szCs w:val="22"/>
        </w:rPr>
        <w:t xml:space="preserve"> </w:t>
      </w:r>
      <w:r w:rsidRPr="00D4456A">
        <w:rPr>
          <w:rFonts w:ascii="Palatino Linotype" w:eastAsia="Palatino Linotype" w:hAnsi="Palatino Linotype" w:cs="Palatino Linotype"/>
          <w:b/>
          <w:sz w:val="22"/>
          <w:szCs w:val="22"/>
        </w:rPr>
        <w:t>por no haber sido requerido al servidor público al momento de su ingreso al servicio público</w:t>
      </w:r>
      <w:r w:rsidRPr="00D4456A">
        <w:rPr>
          <w:rFonts w:ascii="Palatino Linotype" w:eastAsia="Palatino Linotype" w:hAnsi="Palatino Linotype" w:cs="Palatino Linotype"/>
          <w:sz w:val="22"/>
          <w:szCs w:val="22"/>
        </w:rPr>
        <w:t>, bastará con que así lo haga del conocimiento de la parte Recurrente, de manera fundada y motivada, en términos del artículo 19, párrafo segundo de la Ley de Transparencia y Acceso a la Información Pública del Estado de México y Municipios, para tener por colmado el requerimiento de información.</w:t>
      </w:r>
    </w:p>
    <w:p w14:paraId="27B8DE25" w14:textId="77777777" w:rsidR="00916579" w:rsidRPr="00D4456A" w:rsidRDefault="00916579" w:rsidP="00916579">
      <w:pPr>
        <w:numPr>
          <w:ilvl w:val="0"/>
          <w:numId w:val="29"/>
        </w:num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b/>
          <w:sz w:val="22"/>
          <w:szCs w:val="22"/>
        </w:rPr>
      </w:pPr>
      <w:r w:rsidRPr="00D4456A">
        <w:rPr>
          <w:rFonts w:ascii="Palatino Linotype" w:eastAsia="Palatino Linotype" w:hAnsi="Palatino Linotype" w:cs="Palatino Linotype"/>
          <w:b/>
          <w:sz w:val="22"/>
          <w:szCs w:val="22"/>
          <w:u w:val="single"/>
        </w:rPr>
        <w:t xml:space="preserve">Constancia o certificado médico: </w:t>
      </w:r>
    </w:p>
    <w:p w14:paraId="7A2EF28D" w14:textId="77777777" w:rsidR="00916579" w:rsidRPr="00D4456A" w:rsidRDefault="00916579" w:rsidP="00916579">
      <w:pPr>
        <w:spacing w:before="240" w:after="240" w:line="360" w:lineRule="auto"/>
        <w:ind w:right="51"/>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En principio, es de señalar que cualquier información que dé cuenta del estado de salud de una persona, concierne a su vida íntima y privada; lo anterior, pues el artículo 4°, fracción XII, de la Ley de Protección de Datos Personales en Posesión de Sujetos Obligados del Estado de México y Municipios, establece que los datos personales sensibles, son aquellos cuya utilización indebida, puedan dar origen a discriminación o conlleven a un riesgo grave para éste, entre los cuales se encuentran los que den cuenta del estado de salud, ya sea físico o mental.</w:t>
      </w:r>
    </w:p>
    <w:p w14:paraId="761C0581" w14:textId="77777777" w:rsidR="00916579" w:rsidRPr="00D4456A" w:rsidRDefault="00916579" w:rsidP="00916579">
      <w:pPr>
        <w:spacing w:before="240" w:after="240" w:line="360" w:lineRule="auto"/>
        <w:ind w:right="51"/>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De tales circunstancias, se considera que la información contenida en el certificado médico únicamente identifica el estado de salud físico y mental del servidor público, lo cual guarda el carácter confidencial, en términos del artículo 143, fracción I, de la Ley de Transparencia y Acceso a la Información Pública del Estado de México y Municipios, por lo que si bien es requisito tener buena salud, no se prevé como requisito obligatorio para ingresar al servicio público la entrega de certificado o constancia médica, sino sólo su comprobación mediante dichos documentos.</w:t>
      </w:r>
    </w:p>
    <w:p w14:paraId="2C0C107D" w14:textId="77777777" w:rsidR="00916579" w:rsidRPr="00D4456A" w:rsidRDefault="00916579" w:rsidP="00916579">
      <w:pPr>
        <w:spacing w:before="240" w:after="240" w:line="360" w:lineRule="auto"/>
        <w:ind w:right="51"/>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De ahí que el servidor público de quien se requiere no está constreñido en hacer entrega de dicho documento.</w:t>
      </w:r>
    </w:p>
    <w:p w14:paraId="65E1512B" w14:textId="77777777" w:rsidR="00916579" w:rsidRPr="00D4456A" w:rsidRDefault="00916579" w:rsidP="00916579">
      <w:pPr>
        <w:spacing w:before="240" w:after="240" w:line="360" w:lineRule="auto"/>
        <w:ind w:right="51"/>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Por lo que, de obrar en los archivos dicha información, </w:t>
      </w:r>
      <w:r w:rsidRPr="00D4456A">
        <w:rPr>
          <w:rFonts w:ascii="Palatino Linotype" w:eastAsia="Palatino Linotype" w:hAnsi="Palatino Linotype" w:cs="Palatino Linotype"/>
          <w:b/>
          <w:sz w:val="22"/>
          <w:szCs w:val="22"/>
        </w:rPr>
        <w:t>para colmar el  mismo deberá entregar el acuerdo que sustente la clasificación en su totalidad del certificado médico del servidor público requerido.</w:t>
      </w:r>
    </w:p>
    <w:p w14:paraId="0FF3BC96" w14:textId="77777777" w:rsidR="00916579" w:rsidRPr="00D4456A" w:rsidRDefault="00916579" w:rsidP="00916579">
      <w:pPr>
        <w:numPr>
          <w:ilvl w:val="0"/>
          <w:numId w:val="29"/>
        </w:numPr>
        <w:pBdr>
          <w:top w:val="nil"/>
          <w:left w:val="nil"/>
          <w:bottom w:val="nil"/>
          <w:right w:val="nil"/>
          <w:between w:val="nil"/>
        </w:pBdr>
        <w:spacing w:before="240" w:after="240" w:line="360" w:lineRule="auto"/>
        <w:jc w:val="both"/>
        <w:rPr>
          <w:rFonts w:ascii="Palatino Linotype" w:eastAsia="Palatino Linotype" w:hAnsi="Palatino Linotype" w:cs="Palatino Linotype"/>
          <w:b/>
          <w:sz w:val="22"/>
          <w:szCs w:val="22"/>
          <w:u w:val="single"/>
        </w:rPr>
      </w:pPr>
      <w:r w:rsidRPr="00D4456A">
        <w:rPr>
          <w:rFonts w:ascii="Palatino Linotype" w:eastAsia="Palatino Linotype" w:hAnsi="Palatino Linotype" w:cs="Palatino Linotype"/>
          <w:b/>
          <w:sz w:val="22"/>
          <w:szCs w:val="22"/>
          <w:u w:val="single"/>
        </w:rPr>
        <w:t>Constancia de no inhabilitación.</w:t>
      </w:r>
    </w:p>
    <w:p w14:paraId="1496716E"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Al respecto dicho documento se encuentra regulado en el artículo 27 y 28 de la Ley General de Responsabilidades Administrativas, 28 de la Ley de Responsabilidades Administrativas, 28 quinto párrafo de la Ley de Responsabilidades Administrativas del Estado de México, con relación al 47, fracción X de la Ley del Trabajo de los Servidores públicos del Estado de México y Municipios. </w:t>
      </w:r>
    </w:p>
    <w:p w14:paraId="6A8A3F82"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54B3410E"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Es el documento que expide la Secretaría de la Contraloría del Estado de México por medio del sistema electrónico extranet </w:t>
      </w:r>
      <w:hyperlink r:id="rId16">
        <w:r w:rsidRPr="00D4456A">
          <w:rPr>
            <w:rFonts w:ascii="Palatino Linotype" w:eastAsia="Palatino Linotype" w:hAnsi="Palatino Linotype" w:cs="Palatino Linotype"/>
            <w:sz w:val="22"/>
            <w:szCs w:val="22"/>
            <w:u w:val="single"/>
          </w:rPr>
          <w:t>www.secogem.gob.mx/constancias/</w:t>
        </w:r>
      </w:hyperlink>
      <w:r w:rsidRPr="00D4456A">
        <w:rPr>
          <w:rFonts w:ascii="Palatino Linotype" w:eastAsia="Palatino Linotype" w:hAnsi="Palatino Linotype" w:cs="Palatino Linotype"/>
          <w:sz w:val="22"/>
          <w:szCs w:val="22"/>
        </w:rPr>
        <w:t xml:space="preserve"> en el cual se informa si las personas físicas cuentan con alguna sanción o inhabilitación para ocupar un empleo, cargo o comisión de carácter público. </w:t>
      </w:r>
    </w:p>
    <w:p w14:paraId="7BD3A653"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01A0C21B"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Por lo anterior, este documento es de naturaleza pública, sin embargo, no pasa desapercibido mencionar que puede contener datos que actualizan la causal prevista en la fracción I del artículo 143 de la Ley de Transparencia del Estado de México y Municipios, ya que puede contener datos como la CURP y RFC; y, por tanto, procede su entrega en versión pública.</w:t>
      </w:r>
    </w:p>
    <w:p w14:paraId="0F433458"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203BBFBB" w14:textId="77777777" w:rsidR="00916579" w:rsidRPr="00D4456A" w:rsidRDefault="00916579" w:rsidP="00916579">
      <w:pPr>
        <w:spacing w:line="360" w:lineRule="auto"/>
        <w:ind w:right="51"/>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Además, es de precisar que con la entrega de dicha constancias de no inhabilitación se colma el requisito relativo a “</w:t>
      </w:r>
      <w:r w:rsidRPr="00D4456A">
        <w:rPr>
          <w:rFonts w:ascii="Palatino Linotype" w:eastAsia="Palatino Linotype" w:hAnsi="Palatino Linotype" w:cs="Palatino Linotype"/>
          <w:b/>
          <w:i/>
          <w:sz w:val="22"/>
          <w:szCs w:val="22"/>
        </w:rPr>
        <w:t>No haber sido separado anteriormente del servicio por las causas previstas en el artículo 93 de la Ley de Trabajo de los Servidores Públicos de la Entidad</w:t>
      </w:r>
      <w:r w:rsidRPr="00D4456A">
        <w:rPr>
          <w:rFonts w:ascii="Palatino Linotype" w:eastAsia="Palatino Linotype" w:hAnsi="Palatino Linotype" w:cs="Palatino Linotype"/>
          <w:sz w:val="22"/>
          <w:szCs w:val="22"/>
        </w:rPr>
        <w:t>”.</w:t>
      </w:r>
    </w:p>
    <w:p w14:paraId="2F372AE9" w14:textId="77777777" w:rsidR="00916579" w:rsidRPr="00D4456A" w:rsidRDefault="00916579" w:rsidP="00916579">
      <w:pPr>
        <w:spacing w:line="360" w:lineRule="auto"/>
        <w:jc w:val="both"/>
        <w:rPr>
          <w:rFonts w:ascii="Palatino Linotype" w:eastAsia="Palatino Linotype" w:hAnsi="Palatino Linotype" w:cs="Palatino Linotype"/>
          <w:b/>
          <w:sz w:val="22"/>
          <w:szCs w:val="22"/>
        </w:rPr>
      </w:pPr>
    </w:p>
    <w:p w14:paraId="7275F0CA"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Conviene citar el contenido del artículo 93 de la Ley del Trabajo de la Entidad, en la parte de nuestro interés:</w:t>
      </w:r>
    </w:p>
    <w:p w14:paraId="31A36A29" w14:textId="77777777" w:rsidR="00916579" w:rsidRPr="00D4456A" w:rsidRDefault="00916579" w:rsidP="00916579">
      <w:pPr>
        <w:spacing w:line="360" w:lineRule="auto"/>
        <w:jc w:val="both"/>
        <w:rPr>
          <w:rFonts w:ascii="Palatino Linotype" w:eastAsia="Palatino Linotype" w:hAnsi="Palatino Linotype" w:cs="Palatino Linotype"/>
          <w:b/>
          <w:sz w:val="22"/>
          <w:szCs w:val="22"/>
        </w:rPr>
      </w:pPr>
    </w:p>
    <w:p w14:paraId="652C70FF" w14:textId="77777777" w:rsidR="00916579" w:rsidRPr="00D4456A" w:rsidRDefault="00916579" w:rsidP="00916579">
      <w:pPr>
        <w:ind w:left="567"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r w:rsidRPr="00D4456A">
        <w:rPr>
          <w:rFonts w:ascii="Palatino Linotype" w:eastAsia="Palatino Linotype" w:hAnsi="Palatino Linotype" w:cs="Palatino Linotype"/>
          <w:b/>
          <w:i/>
          <w:sz w:val="22"/>
          <w:szCs w:val="22"/>
        </w:rPr>
        <w:t>ARTÍCULO 93. Son causas de rescisión de la relación laboral, sin responsabilidad para las instituciones públicas:</w:t>
      </w:r>
      <w:r w:rsidRPr="00D4456A">
        <w:rPr>
          <w:rFonts w:ascii="Palatino Linotype" w:eastAsia="Palatino Linotype" w:hAnsi="Palatino Linotype" w:cs="Palatino Linotype"/>
          <w:i/>
          <w:sz w:val="22"/>
          <w:szCs w:val="22"/>
        </w:rPr>
        <w:t xml:space="preserve"> </w:t>
      </w:r>
    </w:p>
    <w:p w14:paraId="74F7D920" w14:textId="77777777" w:rsidR="00916579" w:rsidRPr="00D4456A" w:rsidRDefault="00916579" w:rsidP="00916579">
      <w:pPr>
        <w:ind w:left="567" w:right="560"/>
        <w:jc w:val="both"/>
        <w:rPr>
          <w:rFonts w:ascii="Palatino Linotype" w:eastAsia="Palatino Linotype" w:hAnsi="Palatino Linotype" w:cs="Palatino Linotype"/>
          <w:i/>
          <w:sz w:val="22"/>
          <w:szCs w:val="22"/>
        </w:rPr>
      </w:pPr>
    </w:p>
    <w:p w14:paraId="63518F71" w14:textId="77777777" w:rsidR="00916579" w:rsidRPr="00D4456A" w:rsidRDefault="00916579" w:rsidP="00916579">
      <w:pPr>
        <w:ind w:left="567"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 Engañar el servidor público con documentación o referencias falsas que le atribuyan capacidad, aptitudes o grados académicos de los que carezca. Esta causa dejará de tener efecto después de treinta días naturales de conocido el hecho; </w:t>
      </w:r>
    </w:p>
    <w:p w14:paraId="4AF8D4C4" w14:textId="77777777" w:rsidR="00916579" w:rsidRPr="00D4456A" w:rsidRDefault="00916579" w:rsidP="00916579">
      <w:pPr>
        <w:ind w:left="567" w:right="560"/>
        <w:jc w:val="both"/>
        <w:rPr>
          <w:rFonts w:ascii="Palatino Linotype" w:eastAsia="Palatino Linotype" w:hAnsi="Palatino Linotype" w:cs="Palatino Linotype"/>
          <w:i/>
          <w:sz w:val="22"/>
          <w:szCs w:val="22"/>
        </w:rPr>
      </w:pPr>
    </w:p>
    <w:p w14:paraId="47074090" w14:textId="77777777" w:rsidR="00916579" w:rsidRPr="00D4456A" w:rsidRDefault="00916579" w:rsidP="00916579">
      <w:pPr>
        <w:ind w:left="567"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 Tener asignada más de una plaza en la misma o en diferentes instituciones públicas o dependencias, con las excepciones que esta ley señala, o bien cobrar un sueldo sin desempeñar funciones; </w:t>
      </w:r>
    </w:p>
    <w:p w14:paraId="7C44BA96" w14:textId="77777777" w:rsidR="00916579" w:rsidRPr="00D4456A" w:rsidRDefault="00916579" w:rsidP="00916579">
      <w:pPr>
        <w:ind w:left="567" w:right="560"/>
        <w:jc w:val="both"/>
        <w:rPr>
          <w:rFonts w:ascii="Palatino Linotype" w:eastAsia="Palatino Linotype" w:hAnsi="Palatino Linotype" w:cs="Palatino Linotype"/>
          <w:i/>
          <w:sz w:val="22"/>
          <w:szCs w:val="22"/>
        </w:rPr>
      </w:pPr>
    </w:p>
    <w:p w14:paraId="73B70A5E" w14:textId="77777777" w:rsidR="00916579" w:rsidRPr="00D4456A" w:rsidRDefault="00916579" w:rsidP="00916579">
      <w:pPr>
        <w:ind w:left="567"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III. Incurrir durante sus labores en faltas de probidad u honradez, o bien en actos de violencia, amenazas, injurias o malos tratos en contra de sus superiores, compañeros o familiares de unos u otros, ya sea dentro o fuera de las horas de servicio, salvo que obre en defensa propia; </w:t>
      </w:r>
    </w:p>
    <w:p w14:paraId="5015BE58" w14:textId="77777777" w:rsidR="00916579" w:rsidRPr="00D4456A" w:rsidRDefault="00916579" w:rsidP="00916579">
      <w:pPr>
        <w:ind w:left="567" w:right="560"/>
        <w:jc w:val="both"/>
        <w:rPr>
          <w:rFonts w:ascii="Palatino Linotype" w:eastAsia="Palatino Linotype" w:hAnsi="Palatino Linotype" w:cs="Palatino Linotype"/>
          <w:i/>
          <w:sz w:val="22"/>
          <w:szCs w:val="22"/>
        </w:rPr>
      </w:pPr>
    </w:p>
    <w:p w14:paraId="6D341C18" w14:textId="77777777" w:rsidR="00916579" w:rsidRPr="00D4456A" w:rsidRDefault="00916579" w:rsidP="00916579">
      <w:pPr>
        <w:ind w:left="567"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IV. Incurrir en cuatro o más faltas de asistencia a sus labores sin causa justificada, dentro de un lapso de treinta días; V. Abandonar las labores sin autorización previa o razón plenamente justificada, en contravención a lo establecido en las condiciones generales de trabajo; </w:t>
      </w:r>
    </w:p>
    <w:p w14:paraId="0326B4AA" w14:textId="77777777" w:rsidR="00916579" w:rsidRPr="00D4456A" w:rsidRDefault="00916579" w:rsidP="00916579">
      <w:pPr>
        <w:ind w:left="567" w:right="560"/>
        <w:jc w:val="both"/>
        <w:rPr>
          <w:rFonts w:ascii="Palatino Linotype" w:eastAsia="Palatino Linotype" w:hAnsi="Palatino Linotype" w:cs="Palatino Linotype"/>
          <w:i/>
          <w:sz w:val="22"/>
          <w:szCs w:val="22"/>
        </w:rPr>
      </w:pPr>
    </w:p>
    <w:p w14:paraId="7EED9F9E" w14:textId="77777777" w:rsidR="00916579" w:rsidRPr="00D4456A" w:rsidRDefault="00916579" w:rsidP="00916579">
      <w:pPr>
        <w:ind w:left="567"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VI. Causar daños intencionalmente a edificios, obras, equipo, maquinaria, instrumentos, materias primas y demás objetos relacionados con el trabajo, o por sustraerlos en beneficio propio; </w:t>
      </w:r>
    </w:p>
    <w:p w14:paraId="7D1163A3" w14:textId="77777777" w:rsidR="00916579" w:rsidRPr="00D4456A" w:rsidRDefault="00916579" w:rsidP="00916579">
      <w:pPr>
        <w:ind w:left="567" w:right="560"/>
        <w:jc w:val="both"/>
        <w:rPr>
          <w:rFonts w:ascii="Palatino Linotype" w:eastAsia="Palatino Linotype" w:hAnsi="Palatino Linotype" w:cs="Palatino Linotype"/>
          <w:i/>
          <w:sz w:val="22"/>
          <w:szCs w:val="22"/>
        </w:rPr>
      </w:pPr>
    </w:p>
    <w:p w14:paraId="1F286312" w14:textId="77777777" w:rsidR="00916579" w:rsidRPr="00D4456A" w:rsidRDefault="00916579" w:rsidP="00916579">
      <w:pPr>
        <w:ind w:left="567"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VII. Cometer actos inmorales durante el trabajo; </w:t>
      </w:r>
    </w:p>
    <w:p w14:paraId="6B6D70F2" w14:textId="77777777" w:rsidR="00916579" w:rsidRPr="00D4456A" w:rsidRDefault="00916579" w:rsidP="00916579">
      <w:pPr>
        <w:ind w:left="567" w:right="560"/>
        <w:jc w:val="both"/>
        <w:rPr>
          <w:rFonts w:ascii="Palatino Linotype" w:eastAsia="Palatino Linotype" w:hAnsi="Palatino Linotype" w:cs="Palatino Linotype"/>
          <w:i/>
          <w:sz w:val="22"/>
          <w:szCs w:val="22"/>
        </w:rPr>
      </w:pPr>
    </w:p>
    <w:p w14:paraId="6092D1B9" w14:textId="77777777" w:rsidR="00916579" w:rsidRPr="00D4456A" w:rsidRDefault="00916579" w:rsidP="00916579">
      <w:pPr>
        <w:ind w:left="567" w:right="560"/>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VIII. Revelar los asuntos confidenciales o reservados así calificados por la institución pública o dependencia donde labore, de los cuales tuviese conocimiento con motivo de su trabajo; […]”</w:t>
      </w:r>
    </w:p>
    <w:p w14:paraId="7B848FED" w14:textId="77777777" w:rsidR="00916579" w:rsidRPr="00D4456A" w:rsidRDefault="00916579" w:rsidP="00916579">
      <w:pPr>
        <w:spacing w:line="276" w:lineRule="auto"/>
        <w:ind w:left="567" w:right="560"/>
        <w:jc w:val="both"/>
        <w:rPr>
          <w:rFonts w:ascii="Palatino Linotype" w:eastAsia="Palatino Linotype" w:hAnsi="Palatino Linotype" w:cs="Palatino Linotype"/>
          <w:i/>
          <w:sz w:val="22"/>
          <w:szCs w:val="22"/>
        </w:rPr>
      </w:pPr>
    </w:p>
    <w:p w14:paraId="2792829E" w14:textId="77777777" w:rsidR="00916579" w:rsidRPr="00D4456A" w:rsidRDefault="00916579" w:rsidP="00916579">
      <w:pPr>
        <w:spacing w:line="276" w:lineRule="auto"/>
        <w:ind w:left="567" w:right="560"/>
        <w:jc w:val="right"/>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(Énfasis añadido)</w:t>
      </w:r>
    </w:p>
    <w:p w14:paraId="3AA9A344" w14:textId="77777777" w:rsidR="00916579" w:rsidRPr="00D4456A" w:rsidRDefault="00916579" w:rsidP="00916579">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Por lo que, en el caso, procede, en versión pública, en virtud de que puede contener datos personales de índole confidencial tales como: el Registro Federal de Contribuyentes.</w:t>
      </w:r>
    </w:p>
    <w:p w14:paraId="18E94691" w14:textId="77777777" w:rsidR="00916579" w:rsidRPr="00D4456A" w:rsidRDefault="00916579" w:rsidP="00916579">
      <w:pPr>
        <w:numPr>
          <w:ilvl w:val="0"/>
          <w:numId w:val="29"/>
        </w:numPr>
        <w:pBdr>
          <w:top w:val="nil"/>
          <w:left w:val="nil"/>
          <w:bottom w:val="nil"/>
          <w:right w:val="nil"/>
          <w:between w:val="nil"/>
        </w:pBdr>
        <w:spacing w:before="240" w:after="160" w:line="360" w:lineRule="auto"/>
        <w:jc w:val="both"/>
        <w:rPr>
          <w:rFonts w:ascii="Palatino Linotype" w:eastAsia="Palatino Linotype" w:hAnsi="Palatino Linotype" w:cs="Palatino Linotype"/>
          <w:b/>
          <w:sz w:val="22"/>
          <w:szCs w:val="22"/>
        </w:rPr>
      </w:pPr>
      <w:r w:rsidRPr="00D4456A">
        <w:rPr>
          <w:rFonts w:ascii="Palatino Linotype" w:eastAsia="Palatino Linotype" w:hAnsi="Palatino Linotype" w:cs="Palatino Linotype"/>
          <w:b/>
          <w:sz w:val="22"/>
          <w:szCs w:val="22"/>
        </w:rPr>
        <w:t>Certificado de no deudor alimentario moroso:</w:t>
      </w:r>
    </w:p>
    <w:p w14:paraId="4844DA81"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Por lo que hace los certificados de no deudor alimentario moroso, es de indicar que la Ley General de los Derechos de las Niñas, Niños y Adolescentes </w:t>
      </w:r>
      <w:hyperlink r:id="rId17">
        <w:r w:rsidRPr="00D4456A">
          <w:rPr>
            <w:rFonts w:ascii="Palatino Linotype" w:eastAsia="Palatino Linotype" w:hAnsi="Palatino Linotype" w:cs="Palatino Linotype"/>
            <w:sz w:val="22"/>
            <w:szCs w:val="22"/>
          </w:rPr>
          <w:t>https://www.diputados.gob.mx/LeyesBiblio/pdf/LGDNNA.pdf</w:t>
        </w:r>
      </w:hyperlink>
      <w:r w:rsidRPr="00D4456A">
        <w:rPr>
          <w:rFonts w:ascii="Palatino Linotype" w:eastAsia="Palatino Linotype" w:hAnsi="Palatino Linotype" w:cs="Palatino Linotype"/>
          <w:sz w:val="22"/>
          <w:szCs w:val="22"/>
        </w:rPr>
        <w:t xml:space="preserve"> en sus artículos 1, 13, 18 y 46, regula de manera enunciativa y no limitativa, entre otros derechos, garantizar el pleno ejercicio, respeto, protección y promoción de los derechos humanos, derecho a la vida, a la paz, a la supervivencia y al desarrollo, el recibir alimentos para lograr el sano desarrollo del menor en su ámbito, bio-psico-social, y establece como obligación de los progenitores para con sus hijos, el proporcionarles, apoyo, cuidados, educación y protección a su salud.</w:t>
      </w:r>
    </w:p>
    <w:p w14:paraId="147F58B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747A18E6"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De ahí que, se crea el Registro Nacional de Obligaciones Alimentarias cuyo objeto es concentrar la información de deudores y acreedores de obligaciones alimentarias, a fin de dar efectiva protección y restitución de los derechos de niñas, niños y adolescentes. Los Tribunales Superiores de las entidades federativas y de la Ciudad de México suministrarán, intercambiarán, sistematizarán, consultarán, analizarán y actualizarán, la información que se genere sobre el incumplimiento de las obligaciones alimentarias en el ámbito de sus competencias utilizando los sistemas e instrumentos tecnológicos del Sistema Nacional DIF para que con ella integre al Registro Nacional de Obligaciones.</w:t>
      </w:r>
    </w:p>
    <w:p w14:paraId="0B1A1BE8"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03AD3993"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La calidad de deudor moroso se difundirá en el Registro Nacional de Obligaciones Alimentarias, el cual, será público con base en lo dispuesto en la Ley General de Protección de Datos Personales en Posesión de Sujetos Obligados.</w:t>
      </w:r>
      <w:r w:rsidRPr="00D4456A">
        <w:rPr>
          <w:rFonts w:ascii="Palatino Linotype" w:eastAsia="Palatino Linotype" w:hAnsi="Palatino Linotype" w:cs="Palatino Linotype"/>
          <w:sz w:val="22"/>
          <w:szCs w:val="22"/>
        </w:rPr>
        <w:t xml:space="preserve"> Es de recalcar que las Autoridades de los tres órdenes de gobierno (Federal, Estatal y Municipal) en el ámbito de sus competencias, dispondrán lo necesario a fin de establecer como requisito la presentación del certificado de no inscripción en el Registro Nacional de Obligaciones Alimentarias; es decir, la denominación que se le dio fue el de Registro de Deudores Alimentarios Morosos, ya que, la palabra moroso deriva de mora; la mora es el retraso en el cumplimiento de las obligaciones y se incurre en ella desde el momento en que feneció el plazo que se señaló para el cumplimiento de una obligación.</w:t>
      </w:r>
    </w:p>
    <w:p w14:paraId="278668E9" w14:textId="77777777" w:rsidR="00916579" w:rsidRPr="00D4456A" w:rsidRDefault="00916579" w:rsidP="00916579">
      <w:pPr>
        <w:tabs>
          <w:tab w:val="left" w:pos="4962"/>
        </w:tabs>
        <w:spacing w:line="360" w:lineRule="auto"/>
        <w:jc w:val="both"/>
        <w:rPr>
          <w:rFonts w:ascii="Palatino Linotype" w:eastAsia="Palatino Linotype" w:hAnsi="Palatino Linotype" w:cs="Palatino Linotype"/>
          <w:sz w:val="22"/>
          <w:szCs w:val="22"/>
        </w:rPr>
      </w:pPr>
    </w:p>
    <w:p w14:paraId="6A73886F"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Al respecto, en el Proyecto de Decreto por el que se Reforman y Adicionan Diversas Disposiciones para crear el Registro de Deudores Alimentarios del Estado de México, disponible en la dirección electrónica </w:t>
      </w:r>
      <w:hyperlink r:id="rId18">
        <w:r w:rsidRPr="00D4456A">
          <w:rPr>
            <w:rFonts w:ascii="Palatino Linotype" w:eastAsia="Palatino Linotype" w:hAnsi="Palatino Linotype" w:cs="Palatino Linotype"/>
            <w:sz w:val="22"/>
            <w:szCs w:val="22"/>
          </w:rPr>
          <w:t>https://legislacion.edomex.gob.mx/sites/legislacion.edomex.gob.mx/files/files/pdf/gct/2014/nov144.PDF</w:t>
        </w:r>
      </w:hyperlink>
      <w:r w:rsidRPr="00D4456A">
        <w:rPr>
          <w:rFonts w:ascii="Palatino Linotype" w:eastAsia="Palatino Linotype" w:hAnsi="Palatino Linotype" w:cs="Palatino Linotype"/>
          <w:sz w:val="22"/>
          <w:szCs w:val="22"/>
        </w:rPr>
        <w:t xml:space="preserve">, advierte lo siguiente: </w:t>
      </w:r>
    </w:p>
    <w:p w14:paraId="6D4609B3" w14:textId="77777777" w:rsidR="00916579" w:rsidRPr="00D4456A" w:rsidRDefault="00916579" w:rsidP="00916579">
      <w:pPr>
        <w:spacing w:line="360" w:lineRule="auto"/>
        <w:ind w:left="567" w:right="567"/>
        <w:jc w:val="both"/>
        <w:rPr>
          <w:rFonts w:ascii="Palatino Linotype" w:eastAsia="Palatino Linotype" w:hAnsi="Palatino Linotype" w:cs="Palatino Linotype"/>
          <w:b/>
          <w:i/>
          <w:sz w:val="22"/>
          <w:szCs w:val="22"/>
        </w:rPr>
      </w:pPr>
    </w:p>
    <w:p w14:paraId="32EF1023"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w:t>
      </w:r>
      <w:r w:rsidRPr="00D4456A">
        <w:rPr>
          <w:rFonts w:ascii="Palatino Linotype" w:eastAsia="Palatino Linotype" w:hAnsi="Palatino Linotype" w:cs="Palatino Linotype"/>
          <w:i/>
          <w:sz w:val="22"/>
          <w:szCs w:val="22"/>
        </w:rPr>
        <w:t xml:space="preserve">4.146 Bis.- El área del Registro de Deudores Alimentarios Morosos, es una unidad administrativa del Registro Civil. Actos inscribibles en el Registro de Deudores Alimentarios Morosos </w:t>
      </w:r>
    </w:p>
    <w:p w14:paraId="184AEF26"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0DC555E1"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4.146 Ter.- En el Registro de Deudores Alimentarios Morosos se inscriben a las personas que el Juez de lo Familiar determina en términos del artículo 4.136 del presente Código. </w:t>
      </w:r>
    </w:p>
    <w:p w14:paraId="667C60BE"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Serán objeto de registro los empleadores que incumplan una orden de descuento para alimentos ordenada por el órgano jurisdiccional.</w:t>
      </w:r>
    </w:p>
    <w:p w14:paraId="4C984837"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0917551A"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De los datos que contendrá el Registro de Deudores Alimentarios Morosos </w:t>
      </w:r>
    </w:p>
    <w:p w14:paraId="5F28883B"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30FF2BB5"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Artículo. 4.146 Quáter.- El Registro de Deudores Alimentarios Morosos contendrá: </w:t>
      </w:r>
    </w:p>
    <w:p w14:paraId="483C844A"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54ABD3F0"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 Nombre y Clave Única del Registro de Población del deudor alimentario; </w:t>
      </w:r>
    </w:p>
    <w:p w14:paraId="5EEE7BD9"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 Nombre del acreedor o acreedores alimentarios; </w:t>
      </w:r>
    </w:p>
    <w:p w14:paraId="7E120F9E"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III. Datos del acta que acredite el vínculo entre deudor y acreedor alimentario, en su caso; </w:t>
      </w:r>
    </w:p>
    <w:p w14:paraId="15EE0DCC"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IV. Monto de la pensión decretada o convenida, en su caso, número de pagos incumplidos y monto del adeudo alimentario; </w:t>
      </w:r>
    </w:p>
    <w:p w14:paraId="68940613"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V. Órgano jurisdiccional que ordenó el registro; </w:t>
      </w:r>
    </w:p>
    <w:p w14:paraId="11BA053C"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VI. Datos del expediente jurisdiccional de la que deriva su inscripción. </w:t>
      </w:r>
    </w:p>
    <w:p w14:paraId="28678BB7"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2767B8CF"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Una vez hecha la inscripción a que se refiere el párrafo anterior se girará oficio al Instituto de la Función Registral del Estado de México, a efecto de que se anote el certificado de deudor alimentario en los folios reales de que sea propietario el deudor alimentario. El Instituto de la Función Registral informará al Registro Civil si fue procedente la anotación, en cuyo caso dará aviso al Juez del conocimiento para que el acreedor alimentario haga cobrable las cantidades adeudadas en la vía judicial respectiva.</w:t>
      </w:r>
    </w:p>
    <w:p w14:paraId="5129A20F"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453AF084" w14:textId="77777777" w:rsidR="00916579" w:rsidRPr="00D4456A" w:rsidRDefault="00916579" w:rsidP="00916579">
      <w:pPr>
        <w:ind w:left="567" w:right="567"/>
        <w:jc w:val="both"/>
        <w:rPr>
          <w:rFonts w:ascii="Palatino Linotype" w:eastAsia="Palatino Linotype" w:hAnsi="Palatino Linotype" w:cs="Palatino Linotype"/>
          <w:b/>
          <w:i/>
          <w:sz w:val="22"/>
          <w:szCs w:val="22"/>
        </w:rPr>
      </w:pPr>
      <w:r w:rsidRPr="00D4456A">
        <w:rPr>
          <w:rFonts w:ascii="Palatino Linotype" w:eastAsia="Palatino Linotype" w:hAnsi="Palatino Linotype" w:cs="Palatino Linotype"/>
          <w:b/>
          <w:i/>
          <w:sz w:val="22"/>
          <w:szCs w:val="22"/>
        </w:rPr>
        <w:t xml:space="preserve">Datos del Certificado expedido por la Unidad del Registro de Deudores Alimentarios Morosos </w:t>
      </w:r>
    </w:p>
    <w:p w14:paraId="0129D458"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3CC3E605"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Artículo 4.146 Quinquies.- </w:t>
      </w:r>
      <w:r w:rsidRPr="00D4456A">
        <w:rPr>
          <w:rFonts w:ascii="Palatino Linotype" w:eastAsia="Palatino Linotype" w:hAnsi="Palatino Linotype" w:cs="Palatino Linotype"/>
          <w:b/>
          <w:i/>
          <w:sz w:val="22"/>
          <w:szCs w:val="22"/>
        </w:rPr>
        <w:t>El Certificado expedido por la Unidad del Registro de Deudores Alimentarios Morosos contendrá lo siguiente:</w:t>
      </w:r>
      <w:r w:rsidRPr="00D4456A">
        <w:rPr>
          <w:rFonts w:ascii="Palatino Linotype" w:eastAsia="Palatino Linotype" w:hAnsi="Palatino Linotype" w:cs="Palatino Linotype"/>
          <w:i/>
          <w:sz w:val="22"/>
          <w:szCs w:val="22"/>
        </w:rPr>
        <w:t xml:space="preserve"> </w:t>
      </w:r>
    </w:p>
    <w:p w14:paraId="425C348B"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66589EEC"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 Nombre y Clave Única de Registro de Población del solicitante; </w:t>
      </w:r>
    </w:p>
    <w:p w14:paraId="70D5A92F"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 La información sobre su inscripción o no en el registro de deudores alimentarios morosos.</w:t>
      </w:r>
    </w:p>
    <w:p w14:paraId="4FC86E07"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5731E96B"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De ser el caso que el solicitante se encuentre inscrito en el registro, la constancia incluirá además lo siguiente:</w:t>
      </w:r>
    </w:p>
    <w:p w14:paraId="30D496C6"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66A8E8CB"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 Número de acreedores alimentarios;</w:t>
      </w:r>
    </w:p>
    <w:p w14:paraId="78F79CCB"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 Monto de la pensión alimenticia decretada o convenida;</w:t>
      </w:r>
    </w:p>
    <w:p w14:paraId="4E470AE9"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III. Órgano jurisdiccional que ordenó el registro;</w:t>
      </w:r>
    </w:p>
    <w:p w14:paraId="167A6D88"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IV. Datos del expediente jurisdiccional de la que deriva su inscripción.</w:t>
      </w:r>
    </w:p>
    <w:p w14:paraId="71C8A88F" w14:textId="77777777" w:rsidR="00916579" w:rsidRPr="00D4456A" w:rsidRDefault="00916579" w:rsidP="00916579">
      <w:pPr>
        <w:ind w:left="567" w:right="567"/>
        <w:jc w:val="both"/>
        <w:rPr>
          <w:rFonts w:ascii="Palatino Linotype" w:eastAsia="Palatino Linotype" w:hAnsi="Palatino Linotype" w:cs="Palatino Linotype"/>
          <w:i/>
          <w:sz w:val="22"/>
          <w:szCs w:val="22"/>
        </w:rPr>
      </w:pPr>
    </w:p>
    <w:p w14:paraId="39F771F5"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El Certificado a que se refiere el presente artículo será expedido el mismo día hábil de su solicitud.</w:t>
      </w:r>
    </w:p>
    <w:p w14:paraId="64DB8F28" w14:textId="77777777" w:rsidR="00916579" w:rsidRPr="00D4456A" w:rsidRDefault="00916579" w:rsidP="00916579">
      <w:pPr>
        <w:ind w:left="567" w:right="567"/>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560FD27D"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380AE0E6"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Ahora bien, respecto a aquellos servidores públicos que se encuentren o no inscritos en dicho registro, procede su entrega en versión pública, ya que al ser un requisito </w:t>
      </w:r>
      <w:r w:rsidRPr="00D4456A">
        <w:rPr>
          <w:rFonts w:ascii="Palatino Linotype" w:eastAsia="Palatino Linotype" w:hAnsi="Palatino Linotype" w:cs="Palatino Linotype"/>
          <w:b/>
          <w:i/>
          <w:sz w:val="22"/>
          <w:szCs w:val="22"/>
        </w:rPr>
        <w:t xml:space="preserve">sine qua non </w:t>
      </w:r>
      <w:r w:rsidRPr="00D4456A">
        <w:rPr>
          <w:rFonts w:ascii="Palatino Linotype" w:eastAsia="Palatino Linotype" w:hAnsi="Palatino Linotype" w:cs="Palatino Linotype"/>
          <w:sz w:val="22"/>
          <w:szCs w:val="22"/>
        </w:rPr>
        <w:t xml:space="preserve">para ingresar al servicio público, se convierte en información que da certeza a la ciudadanía de que el Servidor Público que ostenta un cargo de Titular cumplió con los requisitos señalados en la Ley del Trabajo de los Servidores Públicos del Estado y Municipios, tan es así, que se trae a colación lo señalado en la nota periodística </w:t>
      </w:r>
      <w:hyperlink r:id="rId19">
        <w:r w:rsidRPr="00D4456A">
          <w:rPr>
            <w:rFonts w:ascii="Palatino Linotype" w:eastAsia="Palatino Linotype" w:hAnsi="Palatino Linotype" w:cs="Palatino Linotype"/>
            <w:sz w:val="22"/>
            <w:szCs w:val="22"/>
          </w:rPr>
          <w:t>https://www.unionedomex.mx/2023/03/24/busqueda-de-deudores-alimentarios-morosos-estado-de-mexico-2023/</w:t>
        </w:r>
      </w:hyperlink>
      <w:r w:rsidRPr="00D4456A">
        <w:rPr>
          <w:rFonts w:ascii="Palatino Linotype" w:eastAsia="Palatino Linotype" w:hAnsi="Palatino Linotype" w:cs="Palatino Linotype"/>
          <w:sz w:val="22"/>
          <w:szCs w:val="22"/>
        </w:rPr>
        <w:t>, que a manera de referencia, se inserta:</w:t>
      </w:r>
    </w:p>
    <w:p w14:paraId="1462A914"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27FD2FB8"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noProof/>
          <w:sz w:val="22"/>
          <w:szCs w:val="22"/>
        </w:rPr>
        <w:drawing>
          <wp:inline distT="0" distB="0" distL="0" distR="0" wp14:anchorId="245AA6AB" wp14:editId="44B8A87E">
            <wp:extent cx="5706296" cy="2171700"/>
            <wp:effectExtent l="19050" t="19050" r="27940" b="19050"/>
            <wp:docPr id="214310826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t="19894"/>
                    <a:stretch>
                      <a:fillRect/>
                    </a:stretch>
                  </pic:blipFill>
                  <pic:spPr>
                    <a:xfrm>
                      <a:off x="0" y="0"/>
                      <a:ext cx="5708780" cy="2172645"/>
                    </a:xfrm>
                    <a:prstGeom prst="rect">
                      <a:avLst/>
                    </a:prstGeom>
                    <a:ln w="3175">
                      <a:solidFill>
                        <a:srgbClr val="000000"/>
                      </a:solidFill>
                      <a:prstDash val="solid"/>
                    </a:ln>
                  </pic:spPr>
                </pic:pic>
              </a:graphicData>
            </a:graphic>
          </wp:inline>
        </w:drawing>
      </w:r>
    </w:p>
    <w:p w14:paraId="371C7C5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5AD9D41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Derivado de lo anterior, cualquier ciudadano que desee obtener dicha información, podrá ingresar a la Ventanilla Electrónica Única, en la que accederá con su CUTS y contraseña, capturando los datos como son CURP, nombre, primer y segundo apellido, y se comenzará la búsqueda de lo solicitado, en el que arrojará si se encuentra en calidad de deudor o no. </w:t>
      </w:r>
    </w:p>
    <w:p w14:paraId="71A96332"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0A4F58E6"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Ahora, no pasa desapercibido, que el Certificado de No Deudor Alimentario pudiera contener información confidencial, como lo es de manera enunciativa más no limitativa el CURP; por lo tanto, procede su entrega en versión pública.</w:t>
      </w:r>
    </w:p>
    <w:p w14:paraId="514DA62A" w14:textId="77777777" w:rsidR="001D3173" w:rsidRPr="00D4456A" w:rsidRDefault="001D3173" w:rsidP="00916579">
      <w:pPr>
        <w:spacing w:line="360" w:lineRule="auto"/>
        <w:jc w:val="both"/>
        <w:rPr>
          <w:rFonts w:ascii="Palatino Linotype" w:eastAsia="Palatino Linotype" w:hAnsi="Palatino Linotype" w:cs="Palatino Linotype"/>
          <w:sz w:val="22"/>
          <w:szCs w:val="22"/>
        </w:rPr>
      </w:pPr>
    </w:p>
    <w:p w14:paraId="21121A0B" w14:textId="77777777" w:rsidR="00916579" w:rsidRPr="00D4456A" w:rsidRDefault="00916579" w:rsidP="00916579">
      <w:pPr>
        <w:numPr>
          <w:ilvl w:val="0"/>
          <w:numId w:val="29"/>
        </w:numPr>
        <w:pBdr>
          <w:top w:val="nil"/>
          <w:left w:val="nil"/>
          <w:bottom w:val="nil"/>
          <w:right w:val="nil"/>
          <w:between w:val="nil"/>
        </w:pBdr>
        <w:spacing w:after="160" w:line="360" w:lineRule="auto"/>
        <w:jc w:val="both"/>
        <w:rPr>
          <w:rFonts w:ascii="Palatino Linotype" w:eastAsia="Palatino Linotype" w:hAnsi="Palatino Linotype" w:cs="Palatino Linotype"/>
          <w:b/>
          <w:sz w:val="22"/>
          <w:szCs w:val="22"/>
          <w:u w:val="single"/>
        </w:rPr>
      </w:pPr>
      <w:r w:rsidRPr="00D4456A">
        <w:rPr>
          <w:rFonts w:ascii="Palatino Linotype" w:eastAsia="Palatino Linotype" w:hAnsi="Palatino Linotype" w:cs="Palatino Linotype"/>
          <w:b/>
          <w:sz w:val="22"/>
          <w:szCs w:val="22"/>
          <w:u w:val="single"/>
        </w:rPr>
        <w:t>Nombramiento, contrato o formato único de movimientos de personal:</w:t>
      </w:r>
    </w:p>
    <w:p w14:paraId="4E7DCB19"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Conforme los artículos 48 fracción I y 49 de la Ley del Trabajo de los Servidores Públicos del Estado de México y Municipios, se indica que las Instituciones Públicas entre ellas la Secretaría de Movilidad, para acreditar su relación laboral con sus Servidores Públicos, se establecerá mediante </w:t>
      </w:r>
      <w:r w:rsidRPr="00D4456A">
        <w:rPr>
          <w:rFonts w:ascii="Palatino Linotype" w:eastAsia="Palatino Linotype" w:hAnsi="Palatino Linotype" w:cs="Palatino Linotype"/>
          <w:b/>
          <w:sz w:val="22"/>
          <w:szCs w:val="22"/>
        </w:rPr>
        <w:t>nombramiento, formato único de movimiento de personal, contrato</w:t>
      </w:r>
      <w:r w:rsidRPr="00D4456A">
        <w:rPr>
          <w:rFonts w:ascii="Palatino Linotype" w:eastAsia="Palatino Linotype" w:hAnsi="Palatino Linotype" w:cs="Palatino Linotype"/>
          <w:sz w:val="22"/>
          <w:szCs w:val="22"/>
        </w:rPr>
        <w:t xml:space="preserve"> o por cualquier otro acto que tenga como consecuencia la prestación personal subordinada del servicio y la percepción de un sueldo.</w:t>
      </w:r>
    </w:p>
    <w:p w14:paraId="4AE55346"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5AB8926C" w14:textId="77777777" w:rsidR="00916579" w:rsidRPr="00D4456A" w:rsidRDefault="00916579" w:rsidP="00916579">
      <w:pPr>
        <w:tabs>
          <w:tab w:val="left" w:pos="4962"/>
        </w:tabs>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A mayor abundamiento, con relación al Formato Único de Personal, se indica que el servidor público al iniciar la prestación de los servicios se le confiere un formato único de personal (de alta), el cual contiene, entre otra información, el cargo para el que es designado, la fecha de inicio de sus servicios y el lugar de adscripción; asimismo, dicho formato se emite con relación a las bajas en el servicio público, como en cambios de adscripción.</w:t>
      </w:r>
    </w:p>
    <w:p w14:paraId="75D62BF2" w14:textId="77777777" w:rsidR="00916579" w:rsidRPr="00D4456A" w:rsidRDefault="00916579" w:rsidP="00916579">
      <w:pPr>
        <w:tabs>
          <w:tab w:val="left" w:pos="4962"/>
        </w:tabs>
        <w:spacing w:line="360" w:lineRule="auto"/>
        <w:jc w:val="both"/>
        <w:rPr>
          <w:rFonts w:ascii="Palatino Linotype" w:eastAsia="Palatino Linotype" w:hAnsi="Palatino Linotype" w:cs="Palatino Linotype"/>
          <w:sz w:val="22"/>
          <w:szCs w:val="22"/>
        </w:rPr>
      </w:pPr>
    </w:p>
    <w:p w14:paraId="3460E6A4" w14:textId="2AAE059D"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Por tanto, para colmar el requisito de mérito, procede la entrega </w:t>
      </w:r>
      <w:r w:rsidRPr="00D4456A">
        <w:rPr>
          <w:rFonts w:ascii="Palatino Linotype" w:eastAsia="Palatino Linotype" w:hAnsi="Palatino Linotype" w:cs="Palatino Linotype"/>
          <w:b/>
          <w:sz w:val="22"/>
          <w:szCs w:val="22"/>
        </w:rPr>
        <w:t xml:space="preserve">del expediente de personal </w:t>
      </w:r>
      <w:r w:rsidR="001D3173" w:rsidRPr="00D4456A">
        <w:rPr>
          <w:rFonts w:ascii="Palatino Linotype" w:eastAsia="Palatino Linotype" w:hAnsi="Palatino Linotype" w:cs="Palatino Linotype"/>
          <w:b/>
          <w:sz w:val="22"/>
          <w:szCs w:val="22"/>
        </w:rPr>
        <w:t>del servidor público referido en la solicitud</w:t>
      </w:r>
      <w:r w:rsidR="001E5E7D" w:rsidRPr="00D4456A">
        <w:rPr>
          <w:rFonts w:ascii="Palatino Linotype" w:eastAsia="Palatino Linotype" w:hAnsi="Palatino Linotype" w:cs="Palatino Linotype"/>
          <w:b/>
          <w:sz w:val="22"/>
          <w:szCs w:val="22"/>
        </w:rPr>
        <w:t xml:space="preserve"> en versión pública. </w:t>
      </w:r>
    </w:p>
    <w:p w14:paraId="047CE1A5"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p>
    <w:p w14:paraId="45E93608" w14:textId="7B94A69D"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Es necesario señalar que si bien es cierto se so</w:t>
      </w:r>
      <w:r w:rsidR="001D3173" w:rsidRPr="00D4456A">
        <w:rPr>
          <w:rFonts w:ascii="Palatino Linotype" w:eastAsia="Palatino Linotype" w:hAnsi="Palatino Linotype" w:cs="Palatino Linotype"/>
          <w:sz w:val="22"/>
          <w:szCs w:val="22"/>
        </w:rPr>
        <w:t>licitó por cuerdas separadas el nombramiento</w:t>
      </w:r>
      <w:r w:rsidRPr="00D4456A">
        <w:rPr>
          <w:rFonts w:ascii="Palatino Linotype" w:eastAsia="Palatino Linotype" w:hAnsi="Palatino Linotype" w:cs="Palatino Linotype"/>
          <w:sz w:val="22"/>
          <w:szCs w:val="22"/>
        </w:rPr>
        <w:t xml:space="preserve">, </w:t>
      </w:r>
      <w:r w:rsidR="001D3173" w:rsidRPr="00D4456A">
        <w:rPr>
          <w:rFonts w:ascii="Palatino Linotype" w:eastAsia="Palatino Linotype" w:hAnsi="Palatino Linotype" w:cs="Palatino Linotype"/>
          <w:sz w:val="22"/>
          <w:szCs w:val="22"/>
        </w:rPr>
        <w:t xml:space="preserve">contrato o formato único de movimientos de personal, </w:t>
      </w:r>
      <w:r w:rsidRPr="00D4456A">
        <w:rPr>
          <w:rFonts w:ascii="Palatino Linotype" w:eastAsia="Palatino Linotype" w:hAnsi="Palatino Linotype" w:cs="Palatino Linotype"/>
          <w:sz w:val="22"/>
          <w:szCs w:val="22"/>
        </w:rPr>
        <w:t>lo cierto es que forma parte integral del contenido del expediente de personal, por lo que a nada practico conduciría ordenar su entrega por separado, ya que se insiste, es información que forma parte del expediente de personal.</w:t>
      </w:r>
    </w:p>
    <w:p w14:paraId="1ECAA880"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p>
    <w:p w14:paraId="5FAEF6F0" w14:textId="77777777" w:rsidR="00916579" w:rsidRPr="00D4456A" w:rsidRDefault="00916579" w:rsidP="00916579">
      <w:pPr>
        <w:widowControl w:val="0"/>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sz w:val="22"/>
          <w:szCs w:val="22"/>
        </w:rPr>
        <w:t xml:space="preserve">Quinto. Versión Pública. </w:t>
      </w:r>
      <w:r w:rsidRPr="00D4456A">
        <w:rPr>
          <w:rFonts w:ascii="Palatino Linotype" w:eastAsia="Palatino Linotype" w:hAnsi="Palatino Linotype" w:cs="Palatino Linotype"/>
          <w:sz w:val="22"/>
          <w:szCs w:val="22"/>
        </w:rPr>
        <w:t xml:space="preserve">Finalmente, para la entrega de la información que se determina ordenar, el Sujeto Obligado deberá realizar un análisis con la finalidad de advertir si esta contiene datos que deben ser clasificados en los términos que la misma Ley en la materia señala. </w:t>
      </w:r>
    </w:p>
    <w:p w14:paraId="5644371E"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1203634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En ese sentido, el Sujeto Obligado tendrá que elaborar la versión pública de los documentos que vaya a entregar para dar cumplimiento a esta resolución a fin de satisfacer el derecho de acceso a la información pública del recurrente sin menoscabar el derecho a la protección de los datos personales de terceros. </w:t>
      </w:r>
    </w:p>
    <w:p w14:paraId="27035090"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453674A3" w14:textId="77777777" w:rsidR="00916579" w:rsidRPr="00D4456A" w:rsidRDefault="00916579" w:rsidP="00916579">
      <w:pPr>
        <w:spacing w:line="360" w:lineRule="auto"/>
        <w:ind w:right="50"/>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Lo anterior, de conformidad con lo que señalan los artículos 3 fracciones IX, XX, XXI y XLV, 91, 132 fracciones II y III, y 143 de la Ley de Transparencia y Acceso a la Información Pública del Estado de México y Municipios que establecen: </w:t>
      </w:r>
    </w:p>
    <w:p w14:paraId="55256043" w14:textId="77777777" w:rsidR="00916579" w:rsidRPr="00D4456A" w:rsidRDefault="00916579" w:rsidP="00916579">
      <w:pPr>
        <w:spacing w:line="360" w:lineRule="auto"/>
        <w:ind w:right="50"/>
        <w:jc w:val="both"/>
        <w:rPr>
          <w:rFonts w:ascii="Palatino Linotype" w:eastAsia="Palatino Linotype" w:hAnsi="Palatino Linotype" w:cs="Palatino Linotype"/>
          <w:sz w:val="22"/>
          <w:szCs w:val="22"/>
        </w:rPr>
      </w:pPr>
    </w:p>
    <w:p w14:paraId="15EADC62"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r w:rsidRPr="00D4456A">
        <w:rPr>
          <w:rFonts w:ascii="Palatino Linotype" w:eastAsia="Palatino Linotype" w:hAnsi="Palatino Linotype" w:cs="Palatino Linotype"/>
          <w:b/>
          <w:i/>
          <w:sz w:val="22"/>
          <w:szCs w:val="22"/>
        </w:rPr>
        <w:t>Artículo 3.</w:t>
      </w:r>
      <w:r w:rsidRPr="00D4456A">
        <w:rPr>
          <w:rFonts w:ascii="Palatino Linotype" w:eastAsia="Palatino Linotype" w:hAnsi="Palatino Linotype" w:cs="Palatino Linotype"/>
          <w:i/>
          <w:sz w:val="22"/>
          <w:szCs w:val="22"/>
        </w:rPr>
        <w:t xml:space="preserve"> Para los efectos de la presente Ley se entenderá por:</w:t>
      </w:r>
    </w:p>
    <w:p w14:paraId="6E15609C"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452825AD"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IX. Datos personales: La información concerniente a una persona, identificada o identificable según lo dispuesto por la Ley de Protección de Datos Personales del Estado de México; </w:t>
      </w:r>
    </w:p>
    <w:p w14:paraId="303A31FE"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XX. Información clasificada: Aquella considerada por la presente Ley como reservada o confidencial;</w:t>
      </w:r>
    </w:p>
    <w:p w14:paraId="439CB670"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XXI. Información confidencial: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6E0FC65E"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XLV. Versión pública: Documento en el que se elimine, suprime o borra la información clasificada como reservada o confidencial para permitir su acceso.</w:t>
      </w:r>
    </w:p>
    <w:p w14:paraId="6E3A02A0"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4283A558"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Artículo 91.</w:t>
      </w:r>
      <w:r w:rsidRPr="00D4456A">
        <w:rPr>
          <w:rFonts w:ascii="Palatino Linotype" w:eastAsia="Palatino Linotype" w:hAnsi="Palatino Linotype" w:cs="Palatino Linotype"/>
          <w:i/>
          <w:sz w:val="22"/>
          <w:szCs w:val="22"/>
        </w:rPr>
        <w:t xml:space="preserve"> El acceso a la información pública será restringido excepcionalmente, cuando ésta sea clasificada como reservada o confidencial.</w:t>
      </w:r>
    </w:p>
    <w:p w14:paraId="4F6AE620"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Artículo 132.</w:t>
      </w:r>
      <w:r w:rsidRPr="00D4456A">
        <w:rPr>
          <w:rFonts w:ascii="Palatino Linotype" w:eastAsia="Palatino Linotype" w:hAnsi="Palatino Linotype" w:cs="Palatino Linotype"/>
          <w:i/>
          <w:sz w:val="22"/>
          <w:szCs w:val="22"/>
        </w:rPr>
        <w:t xml:space="preserve"> La clasificación de la información se llevará a cabo en el momento en que:</w:t>
      </w:r>
    </w:p>
    <w:p w14:paraId="530B4C90" w14:textId="77777777" w:rsidR="00916579" w:rsidRPr="00D4456A" w:rsidRDefault="00916579" w:rsidP="00916579">
      <w:pPr>
        <w:tabs>
          <w:tab w:val="left" w:pos="1134"/>
        </w:tabs>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 Se reciba una solicitud de acceso a la información;</w:t>
      </w:r>
    </w:p>
    <w:p w14:paraId="73852293" w14:textId="77777777" w:rsidR="00916579" w:rsidRPr="00D4456A" w:rsidRDefault="00916579" w:rsidP="00916579">
      <w:pPr>
        <w:tabs>
          <w:tab w:val="left" w:pos="1134"/>
        </w:tabs>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 Se determine mediante resolución de autoridad competente; o</w:t>
      </w:r>
    </w:p>
    <w:p w14:paraId="558C61AE" w14:textId="77777777" w:rsidR="00916579" w:rsidRPr="00D4456A" w:rsidRDefault="00916579" w:rsidP="00916579">
      <w:pPr>
        <w:tabs>
          <w:tab w:val="left" w:pos="1134"/>
        </w:tabs>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III. Se generen versiones públicas para dar cumplimiento a las obligaciones de transparencia previstas en esta Ley.</w:t>
      </w:r>
    </w:p>
    <w:p w14:paraId="058C28DB"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6D080876"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Artículo 143</w:t>
      </w:r>
      <w:r w:rsidRPr="00D4456A">
        <w:rPr>
          <w:rFonts w:ascii="Palatino Linotype" w:eastAsia="Palatino Linotype" w:hAnsi="Palatino Linotype" w:cs="Palatino Linotype"/>
          <w:i/>
          <w:sz w:val="22"/>
          <w:szCs w:val="22"/>
        </w:rPr>
        <w:t>. Para los efectos de esta Ley se considera información confidencial, la clasificada como tal, de manera permanente, por su naturaleza, cuando:</w:t>
      </w:r>
    </w:p>
    <w:p w14:paraId="68398BD4"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 Se refiera a la información privada y los datos personales concernientes a una persona física o jurídico colectiva identificada o identificable;</w:t>
      </w:r>
    </w:p>
    <w:p w14:paraId="02B632B0"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 Los secretos bancario, fiduciario, industrial, comercial, fiscal, bursátil y postal, cuya titularidad corresponda a particulares, sujetos de derecho internacional o a sujetos obligados cuando no involucren el ejercicio de recursos públicos; y</w:t>
      </w:r>
    </w:p>
    <w:p w14:paraId="22C34848"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III. La que presenten los particulares a los sujetos obligados, de conformidad con lo dispuesto por las leyes o los tratados internacionales.</w:t>
      </w:r>
    </w:p>
    <w:p w14:paraId="38B8AA6E"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1F6F1840"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0402245F" w14:textId="77777777" w:rsidR="00916579" w:rsidRPr="00D4456A" w:rsidRDefault="00916579" w:rsidP="00916579">
      <w:pPr>
        <w:ind w:left="567" w:right="616"/>
        <w:jc w:val="both"/>
        <w:rPr>
          <w:rFonts w:ascii="Palatino Linotype" w:eastAsia="Palatino Linotype" w:hAnsi="Palatino Linotype" w:cs="Palatino Linotype"/>
          <w:i/>
          <w:sz w:val="22"/>
          <w:szCs w:val="22"/>
        </w:rPr>
      </w:pPr>
    </w:p>
    <w:p w14:paraId="613A112C"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Igualmente, los Lineamientos Generales en Materia de Clasificación y Desclasificación de la Información, así como para la elaboración de Versiones Públicas, emitidos por el Consejo Nacional del Sistema Nacional de Transparencia, Acceso a la Información Pública y Protección de Datos Personales, vigentes a la fecha de la solicitud de información,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 </w:t>
      </w:r>
    </w:p>
    <w:p w14:paraId="0BB1BBD3"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3C7F4447"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Ahora bien, es necesario destacar que para el caso que ahora nos ocupa, resulta indispensable, analizar lo siguiente: </w:t>
      </w:r>
    </w:p>
    <w:p w14:paraId="796B1B3A"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1D006C32" w14:textId="77777777" w:rsidR="00916579" w:rsidRPr="00D4456A" w:rsidRDefault="00916579" w:rsidP="00916579">
      <w:pPr>
        <w:pStyle w:val="Prrafodelista"/>
        <w:widowControl w:val="0"/>
        <w:numPr>
          <w:ilvl w:val="0"/>
          <w:numId w:val="30"/>
        </w:numPr>
        <w:autoSpaceDE w:val="0"/>
        <w:autoSpaceDN w:val="0"/>
        <w:adjustRightInd w:val="0"/>
        <w:spacing w:line="360" w:lineRule="auto"/>
        <w:ind w:left="567"/>
        <w:jc w:val="both"/>
        <w:rPr>
          <w:rFonts w:ascii="Palatino Linotype" w:hAnsi="Palatino Linotype"/>
          <w:color w:val="222222"/>
          <w:sz w:val="22"/>
          <w:szCs w:val="22"/>
        </w:rPr>
      </w:pPr>
      <w:r w:rsidRPr="00D4456A">
        <w:rPr>
          <w:rFonts w:ascii="Palatino Linotype" w:eastAsia="Calibri" w:hAnsi="Palatino Linotype" w:cs="Tahoma"/>
          <w:b/>
          <w:bCs/>
          <w:sz w:val="22"/>
          <w:szCs w:val="22"/>
        </w:rPr>
        <w:t xml:space="preserve">Fotografías de los servidores públicos. </w:t>
      </w:r>
      <w:r w:rsidRPr="00D4456A">
        <w:rPr>
          <w:rFonts w:ascii="Palatino Linotype" w:hAnsi="Palatino Linotype"/>
          <w:color w:val="222222"/>
          <w:sz w:val="22"/>
          <w:szCs w:val="22"/>
        </w:rPr>
        <w:t>Fotografía en documento que acredite el último grado de estudios. Por lo que hace a las fotografías,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344371D6" w14:textId="77777777" w:rsidR="00916579" w:rsidRPr="00D4456A" w:rsidRDefault="00916579" w:rsidP="00916579">
      <w:pPr>
        <w:pStyle w:val="Prrafodelista"/>
        <w:widowControl w:val="0"/>
        <w:autoSpaceDE w:val="0"/>
        <w:autoSpaceDN w:val="0"/>
        <w:adjustRightInd w:val="0"/>
        <w:spacing w:line="360" w:lineRule="auto"/>
        <w:ind w:left="567"/>
        <w:jc w:val="both"/>
        <w:rPr>
          <w:rFonts w:ascii="Palatino Linotype" w:hAnsi="Palatino Linotype"/>
          <w:color w:val="222222"/>
          <w:sz w:val="22"/>
          <w:szCs w:val="22"/>
        </w:rPr>
      </w:pPr>
      <w:r w:rsidRPr="00D4456A">
        <w:rPr>
          <w:rFonts w:ascii="Palatino Linotype" w:hAnsi="Palatino Linotype"/>
          <w:color w:val="222222"/>
          <w:sz w:val="22"/>
          <w:szCs w:val="22"/>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1A72F703" w14:textId="77777777" w:rsidR="00916579" w:rsidRPr="00D4456A" w:rsidRDefault="00916579" w:rsidP="00916579">
      <w:pPr>
        <w:pStyle w:val="Prrafodelista"/>
        <w:widowControl w:val="0"/>
        <w:autoSpaceDE w:val="0"/>
        <w:autoSpaceDN w:val="0"/>
        <w:adjustRightInd w:val="0"/>
        <w:spacing w:line="360" w:lineRule="auto"/>
        <w:ind w:left="567"/>
        <w:jc w:val="both"/>
        <w:rPr>
          <w:rFonts w:ascii="Palatino Linotype" w:hAnsi="Palatino Linotype"/>
          <w:color w:val="222222"/>
          <w:sz w:val="22"/>
          <w:szCs w:val="22"/>
        </w:rPr>
      </w:pPr>
      <w:r w:rsidRPr="00D4456A">
        <w:rPr>
          <w:rFonts w:ascii="Palatino Linotype" w:hAnsi="Palatino Linotype"/>
          <w:color w:val="222222"/>
          <w:sz w:val="22"/>
          <w:szCs w:val="22"/>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477AE084" w14:textId="77777777" w:rsidR="00916579" w:rsidRPr="00D4456A" w:rsidRDefault="00916579" w:rsidP="00916579">
      <w:pPr>
        <w:pStyle w:val="Prrafodelista"/>
        <w:widowControl w:val="0"/>
        <w:autoSpaceDE w:val="0"/>
        <w:autoSpaceDN w:val="0"/>
        <w:adjustRightInd w:val="0"/>
        <w:spacing w:line="360" w:lineRule="auto"/>
        <w:ind w:left="567"/>
        <w:jc w:val="both"/>
        <w:rPr>
          <w:rFonts w:ascii="Palatino Linotype" w:hAnsi="Palatino Linotype"/>
          <w:color w:val="222222"/>
          <w:sz w:val="22"/>
          <w:szCs w:val="22"/>
        </w:rPr>
      </w:pPr>
      <w:r w:rsidRPr="00D4456A">
        <w:rPr>
          <w:rFonts w:ascii="Palatino Linotype" w:hAnsi="Palatino Linotype"/>
          <w:color w:val="222222"/>
          <w:sz w:val="22"/>
          <w:szCs w:val="22"/>
        </w:rPr>
        <w:t>En este sentido, resultan aplicables por analogía, los Criterios 15/17 y 1/13 del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50040B28" w14:textId="77777777" w:rsidR="00916579" w:rsidRPr="00D4456A" w:rsidRDefault="00916579" w:rsidP="00916579">
      <w:pPr>
        <w:pStyle w:val="Prrafodelista"/>
        <w:widowControl w:val="0"/>
        <w:autoSpaceDE w:val="0"/>
        <w:autoSpaceDN w:val="0"/>
        <w:adjustRightInd w:val="0"/>
        <w:spacing w:line="360" w:lineRule="auto"/>
        <w:ind w:left="567"/>
        <w:jc w:val="both"/>
        <w:rPr>
          <w:rFonts w:ascii="Palatino Linotype" w:hAnsi="Palatino Linotype"/>
          <w:color w:val="222222"/>
          <w:sz w:val="22"/>
          <w:szCs w:val="22"/>
        </w:rPr>
      </w:pPr>
      <w:r w:rsidRPr="00D4456A">
        <w:rPr>
          <w:rFonts w:ascii="Palatino Linotype" w:hAnsi="Palatino Linotype"/>
          <w:color w:val="222222"/>
          <w:sz w:val="22"/>
          <w:szCs w:val="22"/>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14:paraId="462CEA41" w14:textId="77777777" w:rsidR="00916579" w:rsidRPr="00D4456A" w:rsidRDefault="00916579" w:rsidP="00916579">
      <w:pPr>
        <w:pStyle w:val="Prrafodelista"/>
        <w:widowControl w:val="0"/>
        <w:autoSpaceDE w:val="0"/>
        <w:autoSpaceDN w:val="0"/>
        <w:adjustRightInd w:val="0"/>
        <w:spacing w:line="360" w:lineRule="auto"/>
        <w:ind w:left="567"/>
        <w:jc w:val="both"/>
        <w:rPr>
          <w:rFonts w:ascii="Palatino Linotype" w:hAnsi="Palatino Linotype"/>
          <w:color w:val="222222"/>
          <w:sz w:val="22"/>
          <w:szCs w:val="22"/>
        </w:rPr>
      </w:pPr>
      <w:r w:rsidRPr="00D4456A">
        <w:rPr>
          <w:rFonts w:ascii="Palatino Linotype" w:hAnsi="Palatino Linotype"/>
          <w:color w:val="222222"/>
          <w:sz w:val="22"/>
          <w:szCs w:val="22"/>
        </w:rPr>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44238898" w14:textId="77777777" w:rsidR="00916579" w:rsidRPr="00D4456A" w:rsidRDefault="00916579" w:rsidP="00916579">
      <w:pPr>
        <w:pStyle w:val="Prrafodelista"/>
        <w:widowControl w:val="0"/>
        <w:autoSpaceDE w:val="0"/>
        <w:autoSpaceDN w:val="0"/>
        <w:adjustRightInd w:val="0"/>
        <w:spacing w:line="360" w:lineRule="auto"/>
        <w:ind w:left="567"/>
        <w:jc w:val="both"/>
        <w:rPr>
          <w:rFonts w:ascii="Palatino Linotype" w:hAnsi="Palatino Linotype"/>
          <w:color w:val="222222"/>
          <w:sz w:val="22"/>
          <w:szCs w:val="22"/>
        </w:rPr>
      </w:pPr>
      <w:r w:rsidRPr="00D4456A">
        <w:rPr>
          <w:rFonts w:ascii="Palatino Linotype" w:hAnsi="Palatino Linotype"/>
          <w:color w:val="222222"/>
          <w:sz w:val="22"/>
          <w:szCs w:val="22"/>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223C05EA" w14:textId="77777777" w:rsidR="00916579" w:rsidRPr="00D4456A" w:rsidRDefault="00916579" w:rsidP="00916579">
      <w:pPr>
        <w:pStyle w:val="Prrafodelista"/>
        <w:widowControl w:val="0"/>
        <w:autoSpaceDE w:val="0"/>
        <w:autoSpaceDN w:val="0"/>
        <w:adjustRightInd w:val="0"/>
        <w:spacing w:line="360" w:lineRule="auto"/>
        <w:ind w:left="567"/>
        <w:jc w:val="both"/>
        <w:rPr>
          <w:rFonts w:ascii="Palatino Linotype" w:hAnsi="Palatino Linotype"/>
          <w:color w:val="222222"/>
          <w:sz w:val="22"/>
          <w:szCs w:val="22"/>
        </w:rPr>
      </w:pPr>
      <w:r w:rsidRPr="00D4456A">
        <w:rPr>
          <w:rFonts w:ascii="Palatino Linotype" w:hAnsi="Palatino Linotype"/>
          <w:color w:val="222222"/>
          <w:sz w:val="22"/>
          <w:szCs w:val="22"/>
        </w:rPr>
        <w:t>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 Cabe hacer la aclaración que aquellos documentos que sean clasificados en su totalidad por no revestir de interés público, como lo es la credencial de elector, la fotografía correrá la misma suerte que el documento en cuestión, únicamente para dicha expresión documental. </w:t>
      </w:r>
    </w:p>
    <w:p w14:paraId="73BB9B8D" w14:textId="77777777" w:rsidR="00916579" w:rsidRPr="00D4456A" w:rsidRDefault="00916579" w:rsidP="00916579">
      <w:pPr>
        <w:numPr>
          <w:ilvl w:val="0"/>
          <w:numId w:val="31"/>
        </w:numPr>
        <w:spacing w:line="360" w:lineRule="auto"/>
        <w:ind w:left="567"/>
        <w:jc w:val="both"/>
        <w:rPr>
          <w:rFonts w:ascii="Palatino Linotype" w:eastAsia="Calibri" w:hAnsi="Palatino Linotype" w:cs="Tahoma"/>
          <w:bCs/>
          <w:color w:val="000000"/>
          <w:sz w:val="22"/>
          <w:szCs w:val="22"/>
        </w:rPr>
      </w:pPr>
      <w:r w:rsidRPr="00D4456A">
        <w:rPr>
          <w:rFonts w:ascii="Palatino Linotype" w:eastAsia="Calibri" w:hAnsi="Palatino Linotype" w:cs="Tahoma"/>
          <w:b/>
          <w:color w:val="000000"/>
          <w:sz w:val="22"/>
          <w:szCs w:val="22"/>
        </w:rPr>
        <w:t>Firma de servidores públicos.</w:t>
      </w:r>
      <w:r w:rsidRPr="00D4456A">
        <w:rPr>
          <w:rFonts w:ascii="Palatino Linotype" w:eastAsia="Calibri" w:hAnsi="Palatino Linotype" w:cs="Tahoma"/>
          <w:bCs/>
          <w:color w:val="000000"/>
          <w:sz w:val="22"/>
          <w:szCs w:val="22"/>
        </w:rPr>
        <w:t xml:space="preserve"> </w:t>
      </w:r>
      <w:r w:rsidRPr="00D4456A">
        <w:rPr>
          <w:rFonts w:ascii="Palatino Linotype" w:hAnsi="Palatino Linotype" w:cs="Arial"/>
          <w:sz w:val="22"/>
          <w:szCs w:val="22"/>
        </w:rPr>
        <w:t xml:space="preserve">Tocante al tema de la firma, al tratarse de </w:t>
      </w:r>
      <w:r w:rsidRPr="00D4456A">
        <w:rPr>
          <w:rFonts w:ascii="Palatino Linotype" w:hAnsi="Palatino Linotype"/>
          <w:sz w:val="22"/>
          <w:szCs w:val="22"/>
        </w:rPr>
        <w:t xml:space="preserve">la escritura gráfica o grafo manuscrito que representa al nombre y apellido(s), o título, que una persona escribe de su propia mano, que tiene fines de identificación, jurídicos, </w:t>
      </w:r>
      <w:r w:rsidRPr="00D4456A">
        <w:rPr>
          <w:rFonts w:ascii="Palatino Linotype" w:hAnsi="Palatino Linotype" w:cs="Tahoma"/>
          <w:bCs/>
          <w:iCs/>
          <w:color w:val="000000"/>
          <w:sz w:val="22"/>
          <w:szCs w:val="22"/>
        </w:rPr>
        <w:t>representativos</w:t>
      </w:r>
      <w:r w:rsidRPr="00D4456A">
        <w:rPr>
          <w:rFonts w:ascii="Palatino Linotype" w:hAnsi="Palatino Linotype"/>
          <w:sz w:val="22"/>
          <w:szCs w:val="22"/>
        </w:rPr>
        <w:t xml:space="preserve"> y diplomáticos, a través de los cuales es posible identificar o hacer identificable a su titular, constituye un dato personal que debe ser protegido, sin embargo, en el caso de los servidores públicos, dicho dato es público cuando, en ejercicio de las atribuciones que les fueron conferidas, emiten un acto de autoridad, siendo la firma el medio por el cual se le da validez a dicho acto.</w:t>
      </w:r>
      <w:bookmarkStart w:id="3" w:name="_Hlk96499674"/>
    </w:p>
    <w:p w14:paraId="7F4B5D3D" w14:textId="77777777" w:rsidR="00916579" w:rsidRPr="00D4456A" w:rsidRDefault="00916579" w:rsidP="00916579">
      <w:pPr>
        <w:spacing w:line="360" w:lineRule="auto"/>
        <w:ind w:left="567"/>
        <w:jc w:val="both"/>
        <w:rPr>
          <w:rFonts w:ascii="Palatino Linotype" w:eastAsia="Calibri" w:hAnsi="Palatino Linotype" w:cs="Tahoma"/>
          <w:bCs/>
          <w:color w:val="000000"/>
          <w:sz w:val="22"/>
          <w:szCs w:val="22"/>
        </w:rPr>
      </w:pPr>
      <w:r w:rsidRPr="00D4456A">
        <w:rPr>
          <w:rFonts w:ascii="Palatino Linotype" w:hAnsi="Palatino Linotype"/>
          <w:sz w:val="22"/>
          <w:szCs w:val="22"/>
        </w:rPr>
        <w:t xml:space="preserve">Robustece lo anterior el criterio orientador 02-19 emitido por el Instituto </w:t>
      </w:r>
      <w:r w:rsidRPr="00D4456A">
        <w:rPr>
          <w:rFonts w:ascii="Palatino Linotype" w:hAnsi="Palatino Linotype" w:cs="Arial"/>
          <w:sz w:val="22"/>
          <w:szCs w:val="22"/>
        </w:rPr>
        <w:t>Nacional</w:t>
      </w:r>
      <w:r w:rsidRPr="00D4456A">
        <w:rPr>
          <w:rFonts w:ascii="Palatino Linotype" w:hAnsi="Palatino Linotype"/>
          <w:sz w:val="22"/>
          <w:szCs w:val="22"/>
        </w:rPr>
        <w:t xml:space="preserve"> de Transparencia, Acceso a la Información y Protección de Datos Personales, INAI, el cual refiere:</w:t>
      </w:r>
    </w:p>
    <w:p w14:paraId="0944F875" w14:textId="77777777" w:rsidR="00916579" w:rsidRPr="00D4456A" w:rsidRDefault="00916579" w:rsidP="00916579">
      <w:pPr>
        <w:pStyle w:val="Prrafodelista"/>
        <w:ind w:left="567" w:right="-7"/>
        <w:jc w:val="both"/>
        <w:rPr>
          <w:rFonts w:ascii="Palatino Linotype" w:hAnsi="Palatino Linotype" w:cs="Arial"/>
          <w:i/>
          <w:iCs/>
          <w:sz w:val="22"/>
          <w:szCs w:val="22"/>
        </w:rPr>
      </w:pPr>
      <w:r w:rsidRPr="00D4456A">
        <w:rPr>
          <w:rFonts w:ascii="Palatino Linotype" w:hAnsi="Palatino Linotype"/>
          <w:i/>
          <w:iCs/>
          <w:sz w:val="22"/>
          <w:szCs w:val="22"/>
        </w:rPr>
        <w:t>“</w:t>
      </w:r>
      <w:r w:rsidRPr="00D4456A">
        <w:rPr>
          <w:rFonts w:ascii="Palatino Linotype" w:hAnsi="Palatino Linotype" w:cs="Arial"/>
          <w:b/>
          <w:i/>
          <w:iCs/>
          <w:sz w:val="22"/>
          <w:szCs w:val="22"/>
        </w:rPr>
        <w:t>Firma y rúbrica de servidores públicos.</w:t>
      </w:r>
      <w:r w:rsidRPr="00D4456A">
        <w:rPr>
          <w:rFonts w:ascii="Palatino Linotype" w:hAnsi="Palatino Linotype" w:cs="Arial"/>
          <w:i/>
          <w:iCs/>
          <w:sz w:val="22"/>
          <w:szCs w:val="22"/>
        </w:rPr>
        <w:t xml:space="preserve"> Si bien la firma y la rúbrica son datos personales confidenciales, cuando un servidor público emite un acto como autoridad, en ejercicio de las funciones que tiene conferidas, la firma o rúbrica mediante la cual se valida dicho acto es pública.</w:t>
      </w:r>
      <w:r w:rsidRPr="00D4456A">
        <w:rPr>
          <w:rFonts w:ascii="Palatino Linotype" w:hAnsi="Palatino Linotype"/>
          <w:i/>
          <w:iCs/>
          <w:sz w:val="22"/>
          <w:szCs w:val="22"/>
        </w:rPr>
        <w:t>”</w:t>
      </w:r>
      <w:bookmarkEnd w:id="3"/>
    </w:p>
    <w:p w14:paraId="35FC4765" w14:textId="77777777" w:rsidR="00916579" w:rsidRPr="00D4456A" w:rsidRDefault="00916579" w:rsidP="00916579">
      <w:pPr>
        <w:spacing w:line="360" w:lineRule="auto"/>
        <w:ind w:left="567" w:right="-7"/>
        <w:jc w:val="both"/>
        <w:rPr>
          <w:rFonts w:ascii="Palatino Linotype" w:hAnsi="Palatino Linotype" w:cs="Arial"/>
          <w:sz w:val="22"/>
          <w:szCs w:val="22"/>
        </w:rPr>
      </w:pPr>
      <w:r w:rsidRPr="00D4456A">
        <w:rPr>
          <w:rFonts w:ascii="Palatino Linotype" w:hAnsi="Palatino Linotype"/>
          <w:color w:val="000000"/>
          <w:sz w:val="22"/>
          <w:szCs w:val="22"/>
        </w:rPr>
        <w:t xml:space="preserve">Contexto que en el presente asunto no se actualiza por no realizarse en ejercicio de sus </w:t>
      </w:r>
      <w:r w:rsidRPr="00D4456A">
        <w:rPr>
          <w:rFonts w:ascii="Palatino Linotype" w:hAnsi="Palatino Linotype"/>
          <w:sz w:val="22"/>
          <w:szCs w:val="22"/>
        </w:rPr>
        <w:t>funciones</w:t>
      </w:r>
      <w:r w:rsidRPr="00D4456A">
        <w:rPr>
          <w:rFonts w:ascii="Palatino Linotype" w:hAnsi="Palatino Linotype"/>
          <w:color w:val="000000"/>
          <w:sz w:val="22"/>
          <w:szCs w:val="22"/>
        </w:rPr>
        <w:t xml:space="preserve"> de derecho público; toda vez que e</w:t>
      </w:r>
      <w:r w:rsidRPr="00D4456A">
        <w:rPr>
          <w:rFonts w:ascii="Palatino Linotype" w:hAnsi="Palatino Linotype" w:cs="Arial"/>
          <w:sz w:val="22"/>
          <w:szCs w:val="22"/>
        </w:rPr>
        <w:t>l título profesional o el certificado de estudios corresponden a documentos emitidos por instituciones del Estado, Autónomas, Descentralizadas y Particulares, que tengan reconocimiento de validez oficial de estudios, a favor de una persona que haya concluido sus estudios correspondientes o demostrado tener determinados conocimientos, en términos de los artículos 1° y 8° de la Ley Reglamentaria del Artículo 5° Constitucional, Relativo al Ejercicio de las Profesiones en la Ciudad de México.</w:t>
      </w:r>
    </w:p>
    <w:p w14:paraId="2A4BAB95" w14:textId="77777777" w:rsidR="00916579" w:rsidRPr="00D4456A" w:rsidRDefault="00916579" w:rsidP="00916579">
      <w:pPr>
        <w:spacing w:line="360" w:lineRule="auto"/>
        <w:ind w:left="567" w:right="-7"/>
        <w:jc w:val="both"/>
        <w:rPr>
          <w:rFonts w:ascii="Palatino Linotype" w:hAnsi="Palatino Linotype" w:cs="Arial"/>
          <w:sz w:val="22"/>
          <w:szCs w:val="22"/>
        </w:rPr>
      </w:pPr>
      <w:r w:rsidRPr="00D4456A">
        <w:rPr>
          <w:rFonts w:ascii="Palatino Linotype" w:hAnsi="Palatino Linotype" w:cs="Arial"/>
          <w:sz w:val="22"/>
          <w:szCs w:val="22"/>
        </w:rPr>
        <w:t xml:space="preserve">Por su parte la cédula profesional, es el documento que toda persona a quien legalmente se le haya expedido título profesional o grado académico equivalente, podrá obtener </w:t>
      </w:r>
      <w:r w:rsidRPr="00D4456A">
        <w:rPr>
          <w:rFonts w:ascii="Palatino Linotype" w:hAnsi="Palatino Linotype"/>
          <w:color w:val="000000"/>
          <w:sz w:val="22"/>
          <w:szCs w:val="22"/>
        </w:rPr>
        <w:t>con</w:t>
      </w:r>
      <w:r w:rsidRPr="00D4456A">
        <w:rPr>
          <w:rFonts w:ascii="Palatino Linotype" w:hAnsi="Palatino Linotype" w:cs="Arial"/>
          <w:b/>
          <w:sz w:val="22"/>
          <w:szCs w:val="22"/>
        </w:rPr>
        <w:t xml:space="preserve"> </w:t>
      </w:r>
      <w:r w:rsidRPr="00D4456A">
        <w:rPr>
          <w:rFonts w:ascii="Palatino Linotype" w:hAnsi="Palatino Linotype" w:cs="Arial"/>
          <w:sz w:val="22"/>
          <w:szCs w:val="22"/>
        </w:rPr>
        <w:t>efectos de patente; esta es otorgada por la Dirección General de Profesiones, para identidad en todas las actividades profesionales, de conformidad con los artículos 3° y 23, fracción IV de la Ley Reglamentaria del Artículo 5° Constitucional, Relativo al Ejercicio de las Profesiones en la Ciudad de México. Así, los documentos que dan cuenta de la preparación académica sirven como medios de identificación, para que a su titular lo relacionen con el nivel de estudios con que cuenta independientemente de que estos sean o no medios de identificación oficiales. Luego entonces, no es necesario que el ciudadano acceda a dicho dato personal, ya que actualiza la fracción I, del artículo 143 de la Ley de Transparencia y Acceso a la Información Pública del Estado de México y Municipios.</w:t>
      </w:r>
    </w:p>
    <w:p w14:paraId="34024E51" w14:textId="77777777" w:rsidR="00916579" w:rsidRPr="00D4456A" w:rsidRDefault="00916579" w:rsidP="00916579">
      <w:pPr>
        <w:pStyle w:val="Prrafodelista"/>
        <w:numPr>
          <w:ilvl w:val="0"/>
          <w:numId w:val="30"/>
        </w:numPr>
        <w:spacing w:line="360" w:lineRule="auto"/>
        <w:ind w:left="567"/>
        <w:jc w:val="both"/>
        <w:rPr>
          <w:rFonts w:ascii="Palatino Linotype" w:eastAsia="Palatino Linotype" w:hAnsi="Palatino Linotype" w:cs="Palatino Linotype"/>
          <w:sz w:val="22"/>
          <w:szCs w:val="22"/>
        </w:rPr>
      </w:pPr>
      <w:r w:rsidRPr="00D4456A">
        <w:rPr>
          <w:rFonts w:ascii="Palatino Linotype" w:hAnsi="Palatino Linotype"/>
          <w:b/>
          <w:sz w:val="22"/>
          <w:szCs w:val="22"/>
        </w:rPr>
        <w:t>Calificaciones y promedio (para el caso de los documentos que dan cuenta de nivel escolar).</w:t>
      </w:r>
      <w:r w:rsidRPr="00D4456A">
        <w:rPr>
          <w:rFonts w:ascii="Palatino Linotype" w:hAnsi="Palatino Linotype"/>
          <w:sz w:val="22"/>
          <w:szCs w:val="22"/>
        </w:rPr>
        <w:t xml:space="preserve"> Por lo que hace a la calificación, cabe precisar que dicho dato da cuenta del grado de conocimientos adquiridos, en una materia o durante el desarrollo escolar, los cuales únicamente corresponden únicamente a cuestiones relacionadas con el ámbito privado de las personas, al dar cuenta del desempeño de los alumnos durante el curso de las diversas carreras con las que cuenta el Sujeto Obligado. </w:t>
      </w:r>
    </w:p>
    <w:p w14:paraId="57835570" w14:textId="77777777" w:rsidR="00916579" w:rsidRPr="00D4456A" w:rsidRDefault="00916579" w:rsidP="00916579">
      <w:pPr>
        <w:pStyle w:val="Prrafodelista"/>
        <w:spacing w:line="360" w:lineRule="auto"/>
        <w:ind w:left="567"/>
        <w:jc w:val="both"/>
        <w:rPr>
          <w:rFonts w:ascii="Palatino Linotype" w:eastAsia="Palatino Linotype" w:hAnsi="Palatino Linotype" w:cs="Palatino Linotype"/>
          <w:sz w:val="22"/>
          <w:szCs w:val="22"/>
        </w:rPr>
      </w:pPr>
      <w:r w:rsidRPr="00D4456A">
        <w:rPr>
          <w:rFonts w:ascii="Palatino Linotype" w:hAnsi="Palatino Linotype"/>
          <w:sz w:val="22"/>
          <w:szCs w:val="22"/>
        </w:rPr>
        <w:t>En ese contexto, se trae a colación la tesis aislada número 2a. LXIII/2008, emitida por la Segunda Sala de la Suprema Corte de Justicia de la Nación, publicada en la Gaceta del Semanario Judicial de la Federación, Tomo XXVII, de mayo de 2008, página 229, de la Novena Época, materia constitucional, que prevé la garantía de seguridad jurídica de los individuos a no ser molestados en su persona, familia, papeles o posesiones, salvo cuando medie mandato de autoridad competente debidamente fundado y motivado, de lo que deriva la inviolabilidad del domicilio, y cuya finalidad primordial es el respeto a un ámbito de la vida privada personal y familiar que debe quedar excluido del conocimiento ajeno y de las intromisiones de los demás, con la limitante prevista en la Constitución Política de los Estados Unidos Mexicanos. En atención con lo anterior, se considera que las calificaciones obtenidas por un servidor público, es información íntima de los alumnos, pues corresponde a su desempeño escolar, lo cual únicamente atañe a estos, por lo que se considera que es un dato confidencial. Ahora bien, sobre el promedio es la suma de las calificaciones que obtuvo una persona, durante un determinado curso, carrera, entre otros, por lo que, refleja el grado de conocimientos adquiridos durante el desarrollo escolar, lo cual, corresponde a una cuestión privada del servidor público. Conforme a lo anterior y lo expuesto, se advierte que el desempeño escolar de una persona, es información íntima de este, lo cual concierne también a su vida privada; por lo cual, se considera que las calificaciones, créditos y promedio, son confidenciales, en términos del artículo 143, fracción I, de la Ley de Transparencia y Acceso a la Información Pública del Estado de México y Municipios.</w:t>
      </w:r>
    </w:p>
    <w:p w14:paraId="6471859F" w14:textId="77777777" w:rsidR="00916579" w:rsidRPr="00D4456A" w:rsidRDefault="00916579" w:rsidP="00916579">
      <w:pPr>
        <w:numPr>
          <w:ilvl w:val="0"/>
          <w:numId w:val="30"/>
        </w:numPr>
        <w:spacing w:line="360" w:lineRule="auto"/>
        <w:ind w:left="567"/>
        <w:contextualSpacing/>
        <w:jc w:val="both"/>
        <w:rPr>
          <w:rFonts w:ascii="Palatino Linotype" w:eastAsia="Calibri" w:hAnsi="Palatino Linotype" w:cs="Tahoma"/>
          <w:b/>
          <w:bCs/>
          <w:iCs/>
          <w:sz w:val="22"/>
          <w:szCs w:val="22"/>
          <w:lang w:eastAsia="es-ES_tradnl"/>
        </w:rPr>
      </w:pPr>
      <w:r w:rsidRPr="00D4456A">
        <w:rPr>
          <w:rFonts w:ascii="Palatino Linotype" w:eastAsia="Calibri" w:hAnsi="Palatino Linotype" w:cs="Tahoma"/>
          <w:b/>
          <w:bCs/>
          <w:iCs/>
          <w:sz w:val="22"/>
          <w:szCs w:val="22"/>
          <w:lang w:val="es-ES" w:eastAsia="es-ES_tradnl"/>
        </w:rPr>
        <w:t>Matrícula o número de cuenta, de expediente o de control.</w:t>
      </w:r>
      <w:r w:rsidRPr="00D4456A">
        <w:rPr>
          <w:rFonts w:ascii="Palatino Linotype" w:eastAsia="Calibri" w:hAnsi="Palatino Linotype" w:cs="Tahoma"/>
          <w:b/>
          <w:bCs/>
          <w:iCs/>
          <w:sz w:val="22"/>
          <w:szCs w:val="22"/>
          <w:lang w:eastAsia="es-ES_tradnl"/>
        </w:rPr>
        <w:t xml:space="preserve"> </w:t>
      </w:r>
      <w:r w:rsidRPr="00D4456A">
        <w:rPr>
          <w:rFonts w:ascii="Palatino Linotype" w:eastAsia="Calibri" w:hAnsi="Palatino Linotype" w:cs="Tahoma"/>
          <w:bCs/>
          <w:iCs/>
          <w:sz w:val="22"/>
          <w:szCs w:val="22"/>
          <w:lang w:eastAsia="es-ES_tradnl"/>
        </w:rPr>
        <w:t>Ahora bien, por lo que hace a la matrícula, corresponde a un medio de identificación dentro de una institución educativa o bien, en una materia o asignatura en específico, por lo que, solo le atañe a la Institución Escolar y alumno dicha información, al ser datos meramente administrativos y académicos; además, que pudieran hacer identificables a los estudiantes, con la vinculación de otros datos.</w:t>
      </w:r>
      <w:r w:rsidRPr="00D4456A">
        <w:rPr>
          <w:rFonts w:ascii="Palatino Linotype" w:eastAsia="Calibri" w:hAnsi="Palatino Linotype" w:cs="Tahoma"/>
          <w:b/>
          <w:bCs/>
          <w:iCs/>
          <w:sz w:val="22"/>
          <w:szCs w:val="22"/>
          <w:lang w:eastAsia="es-ES_tradnl"/>
        </w:rPr>
        <w:t xml:space="preserve"> </w:t>
      </w:r>
      <w:r w:rsidRPr="00D4456A">
        <w:rPr>
          <w:rFonts w:ascii="Palatino Linotype" w:eastAsia="Calibri" w:hAnsi="Palatino Linotype" w:cs="Tahoma"/>
          <w:bCs/>
          <w:iCs/>
          <w:sz w:val="22"/>
          <w:szCs w:val="22"/>
          <w:lang w:eastAsia="es-ES_tradnl"/>
        </w:rPr>
        <w:t>De tales circunstancias, se considera que el dato en comento es información confidencial lo cual atañe únicamente a los alumnos y a la institución educativa, por lo que, es clasificado en términos del artículo 143, fracción I de la Ley de la materia.</w:t>
      </w:r>
    </w:p>
    <w:p w14:paraId="72202017"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557C11CF"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Por otro lado, es de destacar que los artículos Quincuagésimo, Quincuagésimo primero, Quincuagésimo segundo, de los Lineamientos Generales en Materia de Clasificación y Desclasificación de la Información, así como para la Elaboración de Versiones Públicas vigentes a la fecha de la solicitud señalan las formalidades que deberá llevar el acuerdo de clasificación que deberá emitir el Sujeto Obligado, siendo estas las siguientes:</w:t>
      </w:r>
    </w:p>
    <w:p w14:paraId="13C40AFE"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62E66F1D"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 “</w:t>
      </w:r>
      <w:r w:rsidRPr="00D4456A">
        <w:rPr>
          <w:rFonts w:ascii="Palatino Linotype" w:eastAsia="Palatino Linotype" w:hAnsi="Palatino Linotype" w:cs="Palatino Linotype"/>
          <w:b/>
          <w:i/>
          <w:sz w:val="22"/>
          <w:szCs w:val="22"/>
        </w:rPr>
        <w:t>Quincuagésimo</w:t>
      </w:r>
      <w:r w:rsidRPr="00D4456A">
        <w:rPr>
          <w:rFonts w:ascii="Palatino Linotype" w:eastAsia="Palatino Linotype" w:hAnsi="Palatino Linotype" w:cs="Palatino Linotype"/>
          <w:i/>
          <w:sz w:val="22"/>
          <w:szCs w:val="22"/>
        </w:rPr>
        <w:t xml:space="preserve">. 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3D419842"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Quincuagésimo primero.</w:t>
      </w:r>
      <w:r w:rsidRPr="00D4456A">
        <w:rPr>
          <w:rFonts w:ascii="Palatino Linotype" w:eastAsia="Palatino Linotype" w:hAnsi="Palatino Linotype" w:cs="Palatino Linotype"/>
          <w:i/>
          <w:sz w:val="22"/>
          <w:szCs w:val="22"/>
        </w:rPr>
        <w:t xml:space="preserve"> Toda acta del Comité de Transparencia deberá contener: </w:t>
      </w:r>
    </w:p>
    <w:p w14:paraId="187AE4F6"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 El número de sesión y fecha; </w:t>
      </w:r>
    </w:p>
    <w:p w14:paraId="3DAE61B2"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 El nombre del área que solicitó la clasificación de información; </w:t>
      </w:r>
    </w:p>
    <w:p w14:paraId="65E6C992"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III. La fundamentación legal y motivación correspondiente; </w:t>
      </w:r>
    </w:p>
    <w:p w14:paraId="61CFD30F"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IV. La resolución o resoluciones aprobadas; y </w:t>
      </w:r>
    </w:p>
    <w:p w14:paraId="7CE0CB4D"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V. La rúbrica o firma digital de cada integrante del Comité de Transparencia. </w:t>
      </w:r>
    </w:p>
    <w:p w14:paraId="56E4358B"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Las resoluciones del Comité en las que se haya determinado confirmar o modificar la clasificación de información pública como reservada, deberán incluir, cuando menos: </w:t>
      </w:r>
    </w:p>
    <w:p w14:paraId="0BE6F6FB"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 Los motivos y razonamientos que sustenten la confirmación o modificación de la prueba de daño;</w:t>
      </w:r>
    </w:p>
    <w:p w14:paraId="369DBAB9"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 Descripción de las partes o secciones reservadas, en caso de clasificación parcial; </w:t>
      </w:r>
    </w:p>
    <w:p w14:paraId="5C11263E"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III. El periodo por el que mantendrá su clasificación y fecha de expiración; y </w:t>
      </w:r>
    </w:p>
    <w:p w14:paraId="18F50CF7"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IV. El nombre del titular y área encargada de realizar la versión pública del documento, en su caso. </w:t>
      </w:r>
    </w:p>
    <w:p w14:paraId="0BFF1D8D"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En los casos en que se clasifique la información como reservada siempre se entregará o anexará la prueba de daño con la respuesta al solicitante. </w:t>
      </w:r>
    </w:p>
    <w:p w14:paraId="551D5814"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61C8D766"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Quincuagésimo segundo.</w:t>
      </w:r>
      <w:r w:rsidRPr="00D4456A">
        <w:rPr>
          <w:rFonts w:ascii="Palatino Linotype" w:eastAsia="Palatino Linotype" w:hAnsi="Palatino Linotype" w:cs="Palatino Linotype"/>
          <w:i/>
          <w:sz w:val="22"/>
          <w:szCs w:val="22"/>
        </w:rPr>
        <w:t xml:space="preserve">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70FC3F9D"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En el caso específico de la clasificación y elaboración de versiones públicas de documentos que contengan información confidencial, las áreas de los sujetos obligados deberán: </w:t>
      </w:r>
    </w:p>
    <w:p w14:paraId="182168E4"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 Fijar la fecha en que se elaboró la versión pública y la fecha en la cual el Comité de Transparencia confirmó dicha versión;</w:t>
      </w:r>
    </w:p>
    <w:p w14:paraId="54C1BA3C"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 Señalar dentro del documento el tipo de información confidencial que fue testada en cada caso específico, de conformidad con el lineamiento trigésimo octavo; y</w:t>
      </w:r>
    </w:p>
    <w:p w14:paraId="27126D9C"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III. Señalar las personas o instancias autorizadas a acceder a la información clasificada.</w:t>
      </w:r>
    </w:p>
    <w:p w14:paraId="0903BD09"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En los documentos de difusión electrónica, señalar en la primera hoja y en el nombre del archivo, que la versión pública corresponde a un documento que contiene información confidencial.”</w:t>
      </w:r>
    </w:p>
    <w:p w14:paraId="6F77C10F"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60363E87"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 xml:space="preserve">De igual forma, deberá observar los Lineamientos Quincuagésimo cuarto, Quincuagésimo quinto, Quincuagésimo séptimo y Quincuagésimo octavo, vigentes a la fecha de la solicitud de información establecen lo siguiente: </w:t>
      </w:r>
    </w:p>
    <w:p w14:paraId="1C09B868"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3BF42ED2" w14:textId="77777777" w:rsidR="00916579" w:rsidRPr="00D4456A" w:rsidRDefault="00916579" w:rsidP="0091657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r w:rsidRPr="00D4456A">
        <w:rPr>
          <w:rFonts w:ascii="Palatino Linotype" w:eastAsia="Palatino Linotype" w:hAnsi="Palatino Linotype" w:cs="Palatino Linotype"/>
          <w:b/>
          <w:i/>
          <w:sz w:val="22"/>
          <w:szCs w:val="22"/>
        </w:rPr>
        <w:t>Quincuagésimo cuarto.</w:t>
      </w:r>
      <w:r w:rsidRPr="00D4456A">
        <w:rPr>
          <w:rFonts w:ascii="Palatino Linotype" w:eastAsia="Palatino Linotype" w:hAnsi="Palatino Linotype" w:cs="Palatino Linotype"/>
          <w:i/>
          <w:sz w:val="22"/>
          <w:szCs w:val="22"/>
        </w:rPr>
        <w:t xml:space="preserve"> 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 </w:t>
      </w:r>
    </w:p>
    <w:p w14:paraId="21B4FB3E"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Quincuagésimo quinto.</w:t>
      </w:r>
      <w:r w:rsidRPr="00D4456A">
        <w:rPr>
          <w:rFonts w:ascii="Palatino Linotype" w:eastAsia="Palatino Linotype" w:hAnsi="Palatino Linotype" w:cs="Palatino Linotype"/>
          <w:i/>
          <w:sz w:val="22"/>
          <w:szCs w:val="22"/>
        </w:rPr>
        <w:t xml:space="preserve"> 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371741E8"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w:t>
      </w:r>
    </w:p>
    <w:p w14:paraId="12482698"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b/>
          <w:i/>
          <w:sz w:val="22"/>
          <w:szCs w:val="22"/>
        </w:rPr>
        <w:t>Quincuagésimo séptimo.</w:t>
      </w:r>
      <w:r w:rsidRPr="00D4456A">
        <w:rPr>
          <w:rFonts w:ascii="Palatino Linotype" w:eastAsia="Palatino Linotype" w:hAnsi="Palatino Linotype" w:cs="Palatino Linotype"/>
          <w:i/>
          <w:sz w:val="22"/>
          <w:szCs w:val="22"/>
        </w:rPr>
        <w:t xml:space="preserve"> Se considera, en principio, como información pública y no podrá omitirse de las versiones públicas la siguiente: </w:t>
      </w:r>
    </w:p>
    <w:p w14:paraId="74FD495E"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 La relativa a las Obligaciones de Transparencia que contempla el Título V de la Ley General y las demás disposiciones legales aplicables; </w:t>
      </w:r>
    </w:p>
    <w:p w14:paraId="33F4852C"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II. El nombre de los integrantes de los sujetos obligados en los documentos, y sus firmas autógrafas o digitales, cuando sean utilizados en el ejercicio de las facultades conferidas para el desempeño del servicio público, y</w:t>
      </w:r>
    </w:p>
    <w:p w14:paraId="46A5C3B9"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III. La información que documente decisiones y los actos de autoridad concluidos de los sujetos obligados, así como el ejercicio de las facultades o actividades de los servidores públicos, de manera que se pueda valorar el desempeño de los mismos. </w:t>
      </w:r>
    </w:p>
    <w:p w14:paraId="605268C5"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 xml:space="preserve">Lo anterior, siempre y cuando no se acredite alguna causal de clasificación, prevista en las leyes o en los tratados internacionales suscritas por el Estado mexicano.  </w:t>
      </w:r>
    </w:p>
    <w:p w14:paraId="548A423B" w14:textId="77777777" w:rsidR="00916579" w:rsidRPr="00D4456A" w:rsidRDefault="00916579" w:rsidP="00916579">
      <w:pPr>
        <w:ind w:left="567" w:right="616"/>
        <w:jc w:val="both"/>
        <w:rPr>
          <w:rFonts w:ascii="Palatino Linotype" w:eastAsia="Palatino Linotype" w:hAnsi="Palatino Linotype" w:cs="Palatino Linotype"/>
          <w:i/>
          <w:sz w:val="22"/>
          <w:szCs w:val="22"/>
        </w:rPr>
      </w:pPr>
      <w:r w:rsidRPr="00D4456A">
        <w:rPr>
          <w:rFonts w:ascii="Palatino Linotype" w:eastAsia="Palatino Linotype" w:hAnsi="Palatino Linotype" w:cs="Palatino Linotype"/>
          <w:i/>
          <w:sz w:val="22"/>
          <w:szCs w:val="22"/>
        </w:rPr>
        <w:t>Quincuagésimo octavo. Los sujetos obligados garantizarán que los sistemas o medios empleados para eliminar la información en las versiones públicas sean irreversibles, de tal forma que no permitan su recuperación o la visualización de la misma.”</w:t>
      </w:r>
    </w:p>
    <w:p w14:paraId="571BA427"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p>
    <w:p w14:paraId="5A755A63" w14:textId="77777777" w:rsidR="00916579" w:rsidRPr="00D4456A" w:rsidRDefault="00916579" w:rsidP="00916579">
      <w:pPr>
        <w:spacing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Es entonces que, la entrega de documentos en su versión pública debe acompañarse necesariamente del Acuerdo del Comité de Transparencia que la sustente, el cual debe estar debidamente fundado y motivado y, deberá exponer los fundamentos y razonamientos que llevaron al Sujeto Obligado a testar, suprimir o eliminar datos de dicho soporte documental, ya que de no hacerlo,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al solicitante en estado de incertidumbre, al no conocer o comprender por qué no aparecen en la documentación respectiva.</w:t>
      </w:r>
    </w:p>
    <w:p w14:paraId="63196938" w14:textId="77777777" w:rsidR="00916579" w:rsidRPr="00D4456A" w:rsidRDefault="00916579" w:rsidP="00916579">
      <w:pPr>
        <w:spacing w:before="240" w:after="240" w:line="360" w:lineRule="auto"/>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sz w:val="22"/>
          <w:szCs w:val="22"/>
        </w:rPr>
        <w:t>Por lo anteriormente expuesto y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y 186 fracción III de la Ley de Transparencia y Acceso a la Información Pública del Estado de México y Municipios, este Pleno:</w:t>
      </w:r>
    </w:p>
    <w:p w14:paraId="44FA8389" w14:textId="77777777" w:rsidR="009966F3" w:rsidRPr="00D4456A" w:rsidRDefault="009966F3" w:rsidP="009966F3">
      <w:pPr>
        <w:spacing w:before="240" w:after="240" w:line="360" w:lineRule="auto"/>
        <w:ind w:right="49"/>
        <w:jc w:val="center"/>
        <w:rPr>
          <w:rFonts w:ascii="Palatino Linotype" w:hAnsi="Palatino Linotype"/>
          <w:sz w:val="22"/>
          <w:szCs w:val="22"/>
        </w:rPr>
      </w:pPr>
      <w:r w:rsidRPr="00D4456A">
        <w:rPr>
          <w:rFonts w:ascii="Palatino Linotype" w:eastAsia="Palatino Linotype" w:hAnsi="Palatino Linotype" w:cs="Palatino Linotype"/>
          <w:b/>
          <w:bCs/>
          <w:sz w:val="22"/>
          <w:szCs w:val="22"/>
        </w:rPr>
        <w:t>III. R E S U E L V E</w:t>
      </w:r>
    </w:p>
    <w:p w14:paraId="5994FAA1" w14:textId="1A4AFE05" w:rsidR="009966F3" w:rsidRPr="00D4456A" w:rsidRDefault="009966F3" w:rsidP="009966F3">
      <w:pPr>
        <w:spacing w:before="240" w:after="240" w:line="360" w:lineRule="auto"/>
        <w:ind w:right="49"/>
        <w:jc w:val="both"/>
        <w:rPr>
          <w:rFonts w:ascii="Palatino Linotype" w:hAnsi="Palatino Linotype"/>
          <w:sz w:val="22"/>
          <w:szCs w:val="22"/>
        </w:rPr>
      </w:pPr>
      <w:r w:rsidRPr="00D4456A">
        <w:rPr>
          <w:rFonts w:ascii="Palatino Linotype" w:eastAsia="Palatino Linotype" w:hAnsi="Palatino Linotype" w:cs="Palatino Linotype"/>
          <w:b/>
          <w:bCs/>
          <w:sz w:val="22"/>
          <w:szCs w:val="22"/>
        </w:rPr>
        <w:t xml:space="preserve">PRIMERO. </w:t>
      </w:r>
      <w:r w:rsidRPr="00D4456A">
        <w:rPr>
          <w:rFonts w:ascii="Palatino Linotype" w:eastAsia="Palatino Linotype" w:hAnsi="Palatino Linotype" w:cs="Palatino Linotype"/>
          <w:sz w:val="22"/>
          <w:szCs w:val="22"/>
        </w:rPr>
        <w:t xml:space="preserve">Resultan </w:t>
      </w:r>
      <w:r w:rsidRPr="00D4456A">
        <w:rPr>
          <w:rFonts w:ascii="Palatino Linotype" w:eastAsia="Palatino Linotype" w:hAnsi="Palatino Linotype" w:cs="Palatino Linotype"/>
          <w:b/>
          <w:bCs/>
          <w:sz w:val="22"/>
          <w:szCs w:val="22"/>
        </w:rPr>
        <w:t>fundadas</w:t>
      </w:r>
      <w:r w:rsidRPr="00D4456A">
        <w:rPr>
          <w:rFonts w:ascii="Palatino Linotype" w:eastAsia="Palatino Linotype" w:hAnsi="Palatino Linotype" w:cs="Palatino Linotype"/>
          <w:sz w:val="22"/>
          <w:szCs w:val="22"/>
        </w:rPr>
        <w:t xml:space="preserve"> las razones o motivos de inconformidad hechos valer por la parte</w:t>
      </w:r>
      <w:r w:rsidRPr="00D4456A">
        <w:rPr>
          <w:rFonts w:ascii="Palatino Linotype" w:eastAsia="Palatino Linotype" w:hAnsi="Palatino Linotype" w:cs="Palatino Linotype"/>
          <w:b/>
          <w:bCs/>
          <w:sz w:val="22"/>
          <w:szCs w:val="22"/>
        </w:rPr>
        <w:t xml:space="preserve"> Recurrente</w:t>
      </w:r>
      <w:r w:rsidRPr="00D4456A">
        <w:rPr>
          <w:rFonts w:ascii="Palatino Linotype" w:eastAsia="Palatino Linotype" w:hAnsi="Palatino Linotype" w:cs="Palatino Linotype"/>
          <w:sz w:val="22"/>
          <w:szCs w:val="22"/>
        </w:rPr>
        <w:t xml:space="preserve"> en el recurso de revisión </w:t>
      </w:r>
      <w:r w:rsidR="00032143" w:rsidRPr="00D4456A">
        <w:rPr>
          <w:rFonts w:ascii="Palatino Linotype" w:eastAsia="Palatino Linotype" w:hAnsi="Palatino Linotype" w:cs="Palatino Linotype"/>
          <w:b/>
          <w:color w:val="000000"/>
          <w:sz w:val="22"/>
          <w:szCs w:val="22"/>
        </w:rPr>
        <w:t>07534/INFOEM/IP/RR/2026</w:t>
      </w:r>
      <w:r w:rsidRPr="00D4456A">
        <w:rPr>
          <w:rFonts w:ascii="Palatino Linotype" w:eastAsia="Palatino Linotype" w:hAnsi="Palatino Linotype" w:cs="Palatino Linotype"/>
          <w:sz w:val="22"/>
          <w:szCs w:val="22"/>
        </w:rPr>
        <w:t xml:space="preserve">; por lo que, en términos del </w:t>
      </w:r>
      <w:r w:rsidRPr="00D4456A">
        <w:rPr>
          <w:rFonts w:ascii="Palatino Linotype" w:eastAsia="Palatino Linotype" w:hAnsi="Palatino Linotype" w:cs="Palatino Linotype"/>
          <w:b/>
          <w:bCs/>
          <w:sz w:val="22"/>
          <w:szCs w:val="22"/>
        </w:rPr>
        <w:t>Considerando</w:t>
      </w:r>
      <w:r w:rsidRPr="00D4456A">
        <w:rPr>
          <w:rFonts w:ascii="Palatino Linotype" w:eastAsia="Palatino Linotype" w:hAnsi="Palatino Linotype" w:cs="Palatino Linotype"/>
          <w:sz w:val="22"/>
          <w:szCs w:val="22"/>
        </w:rPr>
        <w:t xml:space="preserve"> </w:t>
      </w:r>
      <w:r w:rsidRPr="00D4456A">
        <w:rPr>
          <w:rFonts w:ascii="Palatino Linotype" w:eastAsia="Palatino Linotype" w:hAnsi="Palatino Linotype" w:cs="Palatino Linotype"/>
          <w:b/>
          <w:bCs/>
          <w:sz w:val="22"/>
          <w:szCs w:val="22"/>
        </w:rPr>
        <w:t xml:space="preserve">Cuarto </w:t>
      </w:r>
      <w:r w:rsidRPr="00D4456A">
        <w:rPr>
          <w:rFonts w:ascii="Palatino Linotype" w:eastAsia="Palatino Linotype" w:hAnsi="Palatino Linotype" w:cs="Palatino Linotype"/>
          <w:sz w:val="22"/>
          <w:szCs w:val="22"/>
        </w:rPr>
        <w:t xml:space="preserve">de esta resolución, se </w:t>
      </w:r>
      <w:r w:rsidR="0017514C" w:rsidRPr="00D4456A">
        <w:rPr>
          <w:rFonts w:ascii="Palatino Linotype" w:eastAsia="Palatino Linotype" w:hAnsi="Palatino Linotype" w:cs="Palatino Linotype"/>
          <w:b/>
          <w:sz w:val="22"/>
          <w:szCs w:val="22"/>
        </w:rPr>
        <w:t>REVOCA</w:t>
      </w:r>
      <w:r w:rsidRPr="00D4456A">
        <w:rPr>
          <w:rFonts w:ascii="Palatino Linotype" w:eastAsia="Palatino Linotype" w:hAnsi="Palatino Linotype" w:cs="Palatino Linotype"/>
          <w:b/>
          <w:bCs/>
          <w:sz w:val="22"/>
          <w:szCs w:val="22"/>
        </w:rPr>
        <w:t xml:space="preserve"> </w:t>
      </w:r>
      <w:r w:rsidRPr="00D4456A">
        <w:rPr>
          <w:rFonts w:ascii="Palatino Linotype" w:eastAsia="Palatino Linotype" w:hAnsi="Palatino Linotype" w:cs="Palatino Linotype"/>
          <w:sz w:val="22"/>
          <w:szCs w:val="22"/>
        </w:rPr>
        <w:t xml:space="preserve">la respuesta emitida por el </w:t>
      </w:r>
      <w:r w:rsidRPr="00D4456A">
        <w:rPr>
          <w:rFonts w:ascii="Palatino Linotype" w:eastAsia="Palatino Linotype" w:hAnsi="Palatino Linotype" w:cs="Palatino Linotype"/>
          <w:b/>
          <w:bCs/>
          <w:sz w:val="22"/>
          <w:szCs w:val="22"/>
        </w:rPr>
        <w:t>Sujeto Obligado.</w:t>
      </w:r>
    </w:p>
    <w:p w14:paraId="435FE6DA" w14:textId="06947A01" w:rsidR="009966F3" w:rsidRPr="00D4456A" w:rsidRDefault="009966F3" w:rsidP="009966F3">
      <w:pPr>
        <w:spacing w:before="240" w:after="240" w:line="360" w:lineRule="auto"/>
        <w:ind w:right="49"/>
        <w:jc w:val="both"/>
        <w:rPr>
          <w:rFonts w:ascii="Palatino Linotype" w:eastAsia="Palatino Linotype" w:hAnsi="Palatino Linotype" w:cs="Palatino Linotype"/>
          <w:sz w:val="22"/>
          <w:szCs w:val="22"/>
        </w:rPr>
      </w:pPr>
      <w:r w:rsidRPr="00D4456A">
        <w:rPr>
          <w:rFonts w:ascii="Palatino Linotype" w:eastAsia="Palatino Linotype" w:hAnsi="Palatino Linotype" w:cs="Palatino Linotype"/>
          <w:b/>
          <w:bCs/>
          <w:sz w:val="22"/>
          <w:szCs w:val="22"/>
        </w:rPr>
        <w:t xml:space="preserve">SEGUNDO. </w:t>
      </w:r>
      <w:r w:rsidRPr="00D4456A">
        <w:rPr>
          <w:rFonts w:ascii="Palatino Linotype" w:eastAsia="Palatino Linotype" w:hAnsi="Palatino Linotype" w:cs="Palatino Linotype"/>
          <w:sz w:val="22"/>
          <w:szCs w:val="22"/>
        </w:rPr>
        <w:t xml:space="preserve">Se </w:t>
      </w:r>
      <w:r w:rsidRPr="00D4456A">
        <w:rPr>
          <w:rFonts w:ascii="Palatino Linotype" w:eastAsia="Palatino Linotype" w:hAnsi="Palatino Linotype" w:cs="Palatino Linotype"/>
          <w:b/>
          <w:bCs/>
          <w:sz w:val="22"/>
          <w:szCs w:val="22"/>
        </w:rPr>
        <w:t>Ordena</w:t>
      </w:r>
      <w:r w:rsidRPr="00D4456A">
        <w:rPr>
          <w:rFonts w:ascii="Palatino Linotype" w:eastAsia="Palatino Linotype" w:hAnsi="Palatino Linotype" w:cs="Palatino Linotype"/>
          <w:sz w:val="22"/>
          <w:szCs w:val="22"/>
        </w:rPr>
        <w:t xml:space="preserve"> al </w:t>
      </w:r>
      <w:r w:rsidRPr="00D4456A">
        <w:rPr>
          <w:rFonts w:ascii="Palatino Linotype" w:eastAsia="Palatino Linotype" w:hAnsi="Palatino Linotype" w:cs="Palatino Linotype"/>
          <w:b/>
          <w:bCs/>
          <w:sz w:val="22"/>
          <w:szCs w:val="22"/>
        </w:rPr>
        <w:t>Sujeto Obligado</w:t>
      </w:r>
      <w:r w:rsidRPr="00D4456A">
        <w:rPr>
          <w:rFonts w:ascii="Palatino Linotype" w:eastAsia="Palatino Linotype" w:hAnsi="Palatino Linotype" w:cs="Palatino Linotype"/>
          <w:sz w:val="22"/>
          <w:szCs w:val="22"/>
        </w:rPr>
        <w:t xml:space="preserve">, en términos de los considerandos </w:t>
      </w:r>
      <w:r w:rsidRPr="00D4456A">
        <w:rPr>
          <w:rFonts w:ascii="Palatino Linotype" w:eastAsia="Palatino Linotype" w:hAnsi="Palatino Linotype" w:cs="Palatino Linotype"/>
          <w:b/>
          <w:bCs/>
          <w:sz w:val="22"/>
          <w:szCs w:val="22"/>
        </w:rPr>
        <w:t xml:space="preserve">Cuarto y Quinto </w:t>
      </w:r>
      <w:r w:rsidRPr="00D4456A">
        <w:rPr>
          <w:rFonts w:ascii="Palatino Linotype" w:eastAsia="Palatino Linotype" w:hAnsi="Palatino Linotype" w:cs="Palatino Linotype"/>
          <w:sz w:val="22"/>
          <w:szCs w:val="22"/>
        </w:rPr>
        <w:t xml:space="preserve">de esta resolución, previa búsqueda exhaustiva y razonable, </w:t>
      </w:r>
      <w:r w:rsidRPr="00D4456A">
        <w:rPr>
          <w:rFonts w:ascii="Palatino Linotype" w:eastAsia="Palatino Linotype" w:hAnsi="Palatino Linotype" w:cs="Palatino Linotype"/>
          <w:b/>
          <w:bCs/>
          <w:sz w:val="22"/>
          <w:szCs w:val="22"/>
        </w:rPr>
        <w:t xml:space="preserve">haga entrega vía Sistema de Acceso a la Información Mexiquense (SAIMEX), </w:t>
      </w:r>
      <w:r w:rsidRPr="00D4456A">
        <w:rPr>
          <w:rFonts w:ascii="Palatino Linotype" w:eastAsia="Palatino Linotype" w:hAnsi="Palatino Linotype" w:cs="Palatino Linotype"/>
          <w:sz w:val="22"/>
          <w:szCs w:val="22"/>
        </w:rPr>
        <w:t>de ser el caso,</w:t>
      </w:r>
      <w:r w:rsidRPr="00D4456A">
        <w:rPr>
          <w:rFonts w:ascii="Palatino Linotype" w:eastAsia="Palatino Linotype" w:hAnsi="Palatino Linotype" w:cs="Palatino Linotype"/>
          <w:b/>
          <w:bCs/>
          <w:sz w:val="22"/>
          <w:szCs w:val="22"/>
        </w:rPr>
        <w:t xml:space="preserve"> </w:t>
      </w:r>
      <w:r w:rsidRPr="00D4456A">
        <w:rPr>
          <w:rFonts w:ascii="Palatino Linotype" w:eastAsia="Palatino Linotype" w:hAnsi="Palatino Linotype" w:cs="Palatino Linotype"/>
          <w:sz w:val="22"/>
          <w:szCs w:val="22"/>
        </w:rPr>
        <w:t>en versión pública, lo siguiente:</w:t>
      </w:r>
    </w:p>
    <w:p w14:paraId="5CCFD49E" w14:textId="6C186133" w:rsidR="00916579" w:rsidRPr="00D4456A" w:rsidRDefault="00916579" w:rsidP="0017514C">
      <w:pPr>
        <w:pStyle w:val="Prrafodelista"/>
        <w:numPr>
          <w:ilvl w:val="0"/>
          <w:numId w:val="19"/>
        </w:numPr>
        <w:spacing w:line="360" w:lineRule="auto"/>
        <w:rPr>
          <w:rFonts w:ascii="Palatino Linotype" w:hAnsi="Palatino Linotype"/>
          <w:b/>
          <w:bCs/>
          <w:sz w:val="22"/>
          <w:szCs w:val="22"/>
        </w:rPr>
      </w:pPr>
      <w:r w:rsidRPr="00D4456A">
        <w:rPr>
          <w:rFonts w:ascii="Palatino Linotype" w:hAnsi="Palatino Linotype"/>
          <w:b/>
          <w:bCs/>
          <w:sz w:val="22"/>
          <w:szCs w:val="22"/>
        </w:rPr>
        <w:t xml:space="preserve">Expediente de personal </w:t>
      </w:r>
      <w:r w:rsidR="0042205E" w:rsidRPr="00D4456A">
        <w:rPr>
          <w:rFonts w:ascii="Palatino Linotype" w:hAnsi="Palatino Linotype"/>
          <w:b/>
          <w:bCs/>
          <w:sz w:val="22"/>
          <w:szCs w:val="22"/>
        </w:rPr>
        <w:t>del Servidor Público referido en la solicitud al once de junio de dos mil veintiséis.</w:t>
      </w:r>
    </w:p>
    <w:p w14:paraId="6BA9BBE6" w14:textId="77777777" w:rsidR="009966F3" w:rsidRPr="00D4456A" w:rsidRDefault="009966F3" w:rsidP="009966F3">
      <w:pPr>
        <w:spacing w:before="240" w:after="240" w:line="360" w:lineRule="auto"/>
        <w:ind w:left="284" w:right="49"/>
        <w:jc w:val="both"/>
        <w:rPr>
          <w:rFonts w:ascii="Palatino Linotype" w:eastAsia="Palatino Linotype" w:hAnsi="Palatino Linotype" w:cs="Palatino Linotype"/>
          <w:i/>
          <w:iCs/>
          <w:sz w:val="22"/>
          <w:szCs w:val="22"/>
        </w:rPr>
      </w:pPr>
      <w:r w:rsidRPr="00D4456A">
        <w:rPr>
          <w:rFonts w:ascii="Palatino Linotype" w:eastAsia="Palatino Linotype" w:hAnsi="Palatino Linotype" w:cs="Palatino Linotype"/>
          <w:i/>
          <w:iCs/>
          <w:sz w:val="22"/>
          <w:szCs w:val="22"/>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w:t>
      </w:r>
      <w:r w:rsidRPr="00D4456A">
        <w:rPr>
          <w:rFonts w:ascii="Palatino Linotype" w:eastAsia="Palatino Linotype" w:hAnsi="Palatino Linotype" w:cs="Palatino Linotype"/>
          <w:b/>
          <w:bCs/>
          <w:i/>
          <w:iCs/>
          <w:sz w:val="22"/>
          <w:szCs w:val="22"/>
        </w:rPr>
        <w:t>la parte Recurrente</w:t>
      </w:r>
      <w:r w:rsidRPr="00D4456A">
        <w:rPr>
          <w:rFonts w:ascii="Palatino Linotype" w:eastAsia="Palatino Linotype" w:hAnsi="Palatino Linotype" w:cs="Palatino Linotype"/>
          <w:i/>
          <w:iCs/>
          <w:sz w:val="22"/>
          <w:szCs w:val="22"/>
        </w:rPr>
        <w:t>, mismo que igualmente hará de su conocimiento.</w:t>
      </w:r>
    </w:p>
    <w:p w14:paraId="6087F320" w14:textId="77777777" w:rsidR="009966F3" w:rsidRPr="00D4456A" w:rsidRDefault="009966F3" w:rsidP="009966F3">
      <w:pPr>
        <w:spacing w:before="240" w:after="240" w:line="360" w:lineRule="auto"/>
        <w:ind w:right="49"/>
        <w:jc w:val="both"/>
        <w:rPr>
          <w:rFonts w:ascii="Palatino Linotype" w:hAnsi="Palatino Linotype"/>
          <w:sz w:val="22"/>
          <w:szCs w:val="22"/>
        </w:rPr>
      </w:pPr>
      <w:r w:rsidRPr="00D4456A">
        <w:rPr>
          <w:rFonts w:ascii="Palatino Linotype" w:eastAsia="Palatino Linotype" w:hAnsi="Palatino Linotype" w:cs="Palatino Linotype"/>
          <w:b/>
          <w:bCs/>
          <w:sz w:val="22"/>
          <w:szCs w:val="22"/>
        </w:rPr>
        <w:t xml:space="preserve">TERCERO. Notifíquese, </w:t>
      </w:r>
      <w:r w:rsidRPr="00D4456A">
        <w:rPr>
          <w:rFonts w:ascii="Palatino Linotype" w:eastAsia="Palatino Linotype" w:hAnsi="Palatino Linotype" w:cs="Palatino Linotype"/>
          <w:sz w:val="22"/>
          <w:szCs w:val="22"/>
        </w:rPr>
        <w:t xml:space="preserve">vía </w:t>
      </w:r>
      <w:r w:rsidRPr="00D4456A">
        <w:rPr>
          <w:rFonts w:ascii="Palatino Linotype" w:eastAsia="Palatino Linotype" w:hAnsi="Palatino Linotype" w:cs="Palatino Linotype"/>
          <w:b/>
          <w:bCs/>
          <w:sz w:val="22"/>
          <w:szCs w:val="22"/>
        </w:rPr>
        <w:t>SAIMEX</w:t>
      </w:r>
      <w:r w:rsidRPr="00D4456A">
        <w:rPr>
          <w:rFonts w:ascii="Palatino Linotype" w:eastAsia="Palatino Linotype" w:hAnsi="Palatino Linotype" w:cs="Palatino Linotype"/>
          <w:sz w:val="22"/>
          <w:szCs w:val="22"/>
        </w:rPr>
        <w:t xml:space="preserve">, al Titular de la Unidad de Transparencia del </w:t>
      </w:r>
      <w:r w:rsidRPr="00D4456A">
        <w:rPr>
          <w:rFonts w:ascii="Palatino Linotype" w:eastAsia="Palatino Linotype" w:hAnsi="Palatino Linotype" w:cs="Palatino Linotype"/>
          <w:b/>
          <w:bCs/>
          <w:sz w:val="22"/>
          <w:szCs w:val="22"/>
        </w:rPr>
        <w:t>Sujeto Obligado,</w:t>
      </w:r>
      <w:r w:rsidRPr="00D4456A">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5A86FB13" w14:textId="77777777" w:rsidR="009966F3" w:rsidRPr="00D4456A" w:rsidRDefault="009966F3" w:rsidP="009966F3">
      <w:pPr>
        <w:spacing w:before="240" w:after="240" w:line="360" w:lineRule="auto"/>
        <w:ind w:right="49"/>
        <w:jc w:val="both"/>
        <w:rPr>
          <w:rFonts w:ascii="Palatino Linotype" w:hAnsi="Palatino Linotype"/>
          <w:sz w:val="22"/>
          <w:szCs w:val="22"/>
        </w:rPr>
      </w:pPr>
      <w:r w:rsidRPr="00D4456A">
        <w:rPr>
          <w:rFonts w:ascii="Palatino Linotype" w:eastAsia="Palatino Linotype" w:hAnsi="Palatino Linotype" w:cs="Palatino Linotype"/>
          <w:b/>
          <w:bCs/>
          <w:sz w:val="22"/>
          <w:szCs w:val="22"/>
        </w:rPr>
        <w:t>CUARTO.</w:t>
      </w:r>
      <w:r w:rsidRPr="00D4456A">
        <w:rPr>
          <w:rFonts w:ascii="Palatino Linotype" w:eastAsia="Palatino Linotype" w:hAnsi="Palatino Linotype" w:cs="Palatino Linotype"/>
          <w:sz w:val="22"/>
          <w:szCs w:val="22"/>
        </w:rPr>
        <w:t xml:space="preserve"> </w:t>
      </w:r>
      <w:r w:rsidRPr="00D4456A">
        <w:rPr>
          <w:rFonts w:ascii="Palatino Linotype" w:eastAsia="Palatino Linotype" w:hAnsi="Palatino Linotype" w:cs="Palatino Linotype"/>
          <w:b/>
          <w:bCs/>
          <w:sz w:val="22"/>
          <w:szCs w:val="22"/>
        </w:rPr>
        <w:t xml:space="preserve">Notifíquese, </w:t>
      </w:r>
      <w:r w:rsidRPr="00D4456A">
        <w:rPr>
          <w:rFonts w:ascii="Palatino Linotype" w:eastAsia="Palatino Linotype" w:hAnsi="Palatino Linotype" w:cs="Palatino Linotype"/>
          <w:sz w:val="22"/>
          <w:szCs w:val="22"/>
        </w:rPr>
        <w:t xml:space="preserve">vía </w:t>
      </w:r>
      <w:r w:rsidRPr="00D4456A">
        <w:rPr>
          <w:rFonts w:ascii="Palatino Linotype" w:eastAsia="Palatino Linotype" w:hAnsi="Palatino Linotype" w:cs="Palatino Linotype"/>
          <w:b/>
          <w:bCs/>
          <w:sz w:val="22"/>
          <w:szCs w:val="22"/>
        </w:rPr>
        <w:t>SAIMEX</w:t>
      </w:r>
      <w:r w:rsidRPr="00D4456A">
        <w:rPr>
          <w:rFonts w:ascii="Palatino Linotype" w:eastAsia="Palatino Linotype" w:hAnsi="Palatino Linotype" w:cs="Palatino Linotype"/>
          <w:sz w:val="22"/>
          <w:szCs w:val="22"/>
        </w:rPr>
        <w:t xml:space="preserve">, al Titular de la Unidad de Transparencia del </w:t>
      </w:r>
      <w:r w:rsidRPr="00D4456A">
        <w:rPr>
          <w:rFonts w:ascii="Palatino Linotype" w:eastAsia="Palatino Linotype" w:hAnsi="Palatino Linotype" w:cs="Palatino Linotype"/>
          <w:b/>
          <w:bCs/>
          <w:sz w:val="22"/>
          <w:szCs w:val="22"/>
        </w:rPr>
        <w:t>Sujeto Obligado,</w:t>
      </w:r>
      <w:r w:rsidRPr="00D4456A">
        <w:rPr>
          <w:rFonts w:ascii="Palatino Linotype" w:eastAsia="Palatino Linotype" w:hAnsi="Palatino Linotype" w:cs="Palatino Linotype"/>
          <w:sz w:val="22"/>
          <w:szCs w:val="22"/>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14:paraId="075AE9B0" w14:textId="77777777" w:rsidR="009966F3" w:rsidRPr="00D4456A" w:rsidRDefault="009966F3" w:rsidP="009966F3">
      <w:pPr>
        <w:spacing w:before="240" w:after="240" w:line="360" w:lineRule="auto"/>
        <w:ind w:right="49"/>
        <w:jc w:val="both"/>
        <w:rPr>
          <w:rFonts w:ascii="Palatino Linotype" w:hAnsi="Palatino Linotype"/>
          <w:sz w:val="22"/>
          <w:szCs w:val="22"/>
        </w:rPr>
      </w:pPr>
      <w:r w:rsidRPr="00D4456A">
        <w:rPr>
          <w:rFonts w:ascii="Palatino Linotype" w:eastAsia="Palatino Linotype" w:hAnsi="Palatino Linotype" w:cs="Palatino Linotype"/>
          <w:b/>
          <w:bCs/>
          <w:sz w:val="22"/>
          <w:szCs w:val="22"/>
        </w:rPr>
        <w:t xml:space="preserve">QUINTO. Notifíquese vía SAIMEX, </w:t>
      </w:r>
      <w:r w:rsidRPr="00D4456A">
        <w:rPr>
          <w:rFonts w:ascii="Palatino Linotype" w:eastAsia="Palatino Linotype" w:hAnsi="Palatino Linotype" w:cs="Palatino Linotype"/>
          <w:sz w:val="22"/>
          <w:szCs w:val="22"/>
        </w:rPr>
        <w:t xml:space="preserve">la presente resolución a la parte </w:t>
      </w:r>
      <w:r w:rsidRPr="00D4456A">
        <w:rPr>
          <w:rFonts w:ascii="Palatino Linotype" w:eastAsia="Palatino Linotype" w:hAnsi="Palatino Linotype" w:cs="Palatino Linotype"/>
          <w:b/>
          <w:bCs/>
          <w:sz w:val="22"/>
          <w:szCs w:val="22"/>
        </w:rPr>
        <w:t>Recurrente</w:t>
      </w:r>
      <w:r w:rsidRPr="00D4456A">
        <w:rPr>
          <w:rFonts w:ascii="Palatino Linotype" w:eastAsia="Palatino Linotype" w:hAnsi="Palatino Linotype" w:cs="Palatino Linotype"/>
          <w:sz w:val="22"/>
          <w:szCs w:val="22"/>
        </w:rPr>
        <w:t>,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14:paraId="00C2E978" w14:textId="63D2F89B" w:rsidR="009966F3" w:rsidRPr="009966F3" w:rsidRDefault="009966F3" w:rsidP="009966F3">
      <w:pPr>
        <w:spacing w:before="240" w:after="240" w:line="360" w:lineRule="auto"/>
        <w:ind w:right="49"/>
        <w:jc w:val="both"/>
        <w:rPr>
          <w:rFonts w:ascii="Palatino Linotype" w:eastAsia="Palatino Linotype" w:hAnsi="Palatino Linotype" w:cs="Palatino Linotype"/>
          <w:sz w:val="22"/>
          <w:szCs w:val="22"/>
        </w:rPr>
      </w:pPr>
      <w:bookmarkStart w:id="4" w:name="_heading=h.amn57j1rvrm9" w:colFirst="0" w:colLast="0"/>
      <w:bookmarkEnd w:id="4"/>
      <w:r w:rsidRPr="00D4456A">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w:t>
      </w:r>
      <w:r w:rsidR="0048330C" w:rsidRPr="00D4456A">
        <w:rPr>
          <w:rFonts w:ascii="Palatino Linotype" w:eastAsia="Palatino Linotype" w:hAnsi="Palatino Linotype" w:cs="Palatino Linotype"/>
          <w:sz w:val="22"/>
          <w:szCs w:val="22"/>
        </w:rPr>
        <w:t xml:space="preserve">EMITIENDO VOTO PARTICULAR  </w:t>
      </w:r>
      <w:r w:rsidRPr="00D4456A">
        <w:rPr>
          <w:rFonts w:ascii="Palatino Linotype" w:eastAsia="Palatino Linotype" w:hAnsi="Palatino Linotype" w:cs="Palatino Linotype"/>
          <w:sz w:val="22"/>
          <w:szCs w:val="22"/>
        </w:rPr>
        <w:t>Y GUADALUPE RAMÍREZ PEÑA</w:t>
      </w:r>
      <w:r w:rsidR="0048330C" w:rsidRPr="00D4456A">
        <w:rPr>
          <w:rFonts w:ascii="Palatino Linotype" w:eastAsia="Palatino Linotype" w:hAnsi="Palatino Linotype" w:cs="Palatino Linotype"/>
          <w:sz w:val="22"/>
          <w:szCs w:val="22"/>
        </w:rPr>
        <w:t>, EMITIENDO VOTO PARTICULAR</w:t>
      </w:r>
      <w:r w:rsidRPr="00D4456A">
        <w:rPr>
          <w:rFonts w:ascii="Palatino Linotype" w:eastAsia="Palatino Linotype" w:hAnsi="Palatino Linotype" w:cs="Palatino Linotype"/>
          <w:sz w:val="22"/>
          <w:szCs w:val="22"/>
        </w:rPr>
        <w:t xml:space="preserve">; EN LA TRIGÉSIMA </w:t>
      </w:r>
      <w:r w:rsidR="00C7564A" w:rsidRPr="00D4456A">
        <w:rPr>
          <w:rFonts w:ascii="Palatino Linotype" w:eastAsia="Palatino Linotype" w:hAnsi="Palatino Linotype" w:cs="Palatino Linotype"/>
          <w:sz w:val="22"/>
          <w:szCs w:val="22"/>
        </w:rPr>
        <w:t>CUARTA</w:t>
      </w:r>
      <w:r w:rsidR="005C1AAB" w:rsidRPr="00D4456A">
        <w:rPr>
          <w:rFonts w:ascii="Palatino Linotype" w:eastAsia="Palatino Linotype" w:hAnsi="Palatino Linotype" w:cs="Palatino Linotype"/>
          <w:sz w:val="22"/>
          <w:szCs w:val="22"/>
        </w:rPr>
        <w:t xml:space="preserve"> </w:t>
      </w:r>
      <w:r w:rsidR="000956D5" w:rsidRPr="00D4456A">
        <w:rPr>
          <w:rFonts w:ascii="Palatino Linotype" w:eastAsia="Palatino Linotype" w:hAnsi="Palatino Linotype" w:cs="Palatino Linotype"/>
          <w:sz w:val="22"/>
          <w:szCs w:val="22"/>
        </w:rPr>
        <w:t xml:space="preserve">SESIÓN ORDINARIA CELEBRADA EL </w:t>
      </w:r>
      <w:r w:rsidR="00C7564A" w:rsidRPr="00D4456A">
        <w:rPr>
          <w:rFonts w:ascii="Palatino Linotype" w:eastAsia="Palatino Linotype" w:hAnsi="Palatino Linotype" w:cs="Palatino Linotype"/>
          <w:sz w:val="22"/>
          <w:szCs w:val="22"/>
        </w:rPr>
        <w:t>VEINTI</w:t>
      </w:r>
      <w:r w:rsidR="006A267D" w:rsidRPr="00D4456A">
        <w:rPr>
          <w:rFonts w:ascii="Palatino Linotype" w:eastAsia="Palatino Linotype" w:hAnsi="Palatino Linotype" w:cs="Palatino Linotype"/>
          <w:sz w:val="22"/>
          <w:szCs w:val="22"/>
        </w:rPr>
        <w:t>CUATRO</w:t>
      </w:r>
      <w:r w:rsidR="005C1AAB" w:rsidRPr="00D4456A">
        <w:rPr>
          <w:rFonts w:ascii="Palatino Linotype" w:eastAsia="Palatino Linotype" w:hAnsi="Palatino Linotype" w:cs="Palatino Linotype"/>
          <w:sz w:val="22"/>
          <w:szCs w:val="22"/>
        </w:rPr>
        <w:t xml:space="preserve"> DE SEPTIEMBRE </w:t>
      </w:r>
      <w:r w:rsidRPr="00D4456A">
        <w:rPr>
          <w:rFonts w:ascii="Palatino Linotype" w:eastAsia="Palatino Linotype" w:hAnsi="Palatino Linotype" w:cs="Palatino Linotype"/>
          <w:sz w:val="22"/>
          <w:szCs w:val="22"/>
        </w:rPr>
        <w:t>DE DOS MIL VEINTISÉIS, ANTE EL SECRETARIO TÉCNICO DEL PLENO ALEXIS TAPIA RAMÍREZ.</w:t>
      </w:r>
    </w:p>
    <w:p w14:paraId="508349CE" w14:textId="77777777" w:rsidR="009966F3" w:rsidRDefault="009966F3" w:rsidP="009966F3">
      <w:pPr>
        <w:shd w:val="clear" w:color="auto" w:fill="FFFFFF"/>
        <w:spacing w:before="240" w:after="240" w:line="360" w:lineRule="auto"/>
        <w:ind w:right="49"/>
        <w:jc w:val="both"/>
        <w:rPr>
          <w:rFonts w:ascii="Palatino Linotype" w:eastAsia="Palatino Linotype" w:hAnsi="Palatino Linotype" w:cs="Palatino Linotype"/>
        </w:rPr>
      </w:pPr>
    </w:p>
    <w:p w14:paraId="57B339EE" w14:textId="77777777" w:rsidR="009966F3" w:rsidRDefault="009966F3" w:rsidP="009966F3">
      <w:pPr>
        <w:shd w:val="clear" w:color="auto" w:fill="FFFFFF"/>
        <w:spacing w:before="240" w:after="240" w:line="360" w:lineRule="auto"/>
        <w:ind w:right="49"/>
        <w:jc w:val="both"/>
        <w:rPr>
          <w:rFonts w:ascii="Palatino Linotype" w:eastAsia="Palatino Linotype" w:hAnsi="Palatino Linotype" w:cs="Palatino Linotype"/>
        </w:rPr>
      </w:pPr>
    </w:p>
    <w:p w14:paraId="0497E706" w14:textId="5A4C76C4" w:rsidR="0071313B" w:rsidRDefault="0071313B" w:rsidP="007368CB">
      <w:pPr>
        <w:spacing w:line="360" w:lineRule="auto"/>
        <w:rPr>
          <w:rFonts w:ascii="Palatino Linotype" w:hAnsi="Palatino Linotype"/>
          <w:color w:val="000000"/>
          <w:sz w:val="22"/>
          <w:szCs w:val="22"/>
        </w:rPr>
      </w:pPr>
    </w:p>
    <w:p w14:paraId="4275226E" w14:textId="22B6BF03" w:rsidR="0048330C" w:rsidRDefault="0048330C" w:rsidP="007368CB">
      <w:pPr>
        <w:spacing w:line="360" w:lineRule="auto"/>
        <w:rPr>
          <w:rFonts w:ascii="Palatino Linotype" w:hAnsi="Palatino Linotype"/>
          <w:color w:val="000000"/>
          <w:sz w:val="22"/>
          <w:szCs w:val="22"/>
        </w:rPr>
      </w:pPr>
    </w:p>
    <w:p w14:paraId="57CAA2E4" w14:textId="13D7E5A3" w:rsidR="0048330C" w:rsidRDefault="0048330C" w:rsidP="007368CB">
      <w:pPr>
        <w:spacing w:line="360" w:lineRule="auto"/>
        <w:rPr>
          <w:rFonts w:ascii="Palatino Linotype" w:hAnsi="Palatino Linotype"/>
          <w:color w:val="000000"/>
          <w:sz w:val="22"/>
          <w:szCs w:val="22"/>
        </w:rPr>
      </w:pPr>
    </w:p>
    <w:p w14:paraId="5C916BC4" w14:textId="51E017F7" w:rsidR="0048330C" w:rsidRDefault="0048330C" w:rsidP="007368CB">
      <w:pPr>
        <w:spacing w:line="360" w:lineRule="auto"/>
        <w:rPr>
          <w:rFonts w:ascii="Palatino Linotype" w:hAnsi="Palatino Linotype"/>
          <w:color w:val="000000"/>
          <w:sz w:val="22"/>
          <w:szCs w:val="22"/>
        </w:rPr>
      </w:pPr>
    </w:p>
    <w:p w14:paraId="1D044FCD" w14:textId="4976229F" w:rsidR="0048330C" w:rsidRDefault="0048330C" w:rsidP="007368CB">
      <w:pPr>
        <w:spacing w:line="360" w:lineRule="auto"/>
        <w:rPr>
          <w:rFonts w:ascii="Palatino Linotype" w:hAnsi="Palatino Linotype"/>
          <w:color w:val="000000"/>
          <w:sz w:val="22"/>
          <w:szCs w:val="22"/>
        </w:rPr>
      </w:pPr>
    </w:p>
    <w:p w14:paraId="541AFB9C" w14:textId="2A338550" w:rsidR="0048330C" w:rsidRDefault="0048330C" w:rsidP="007368CB">
      <w:pPr>
        <w:spacing w:line="360" w:lineRule="auto"/>
        <w:rPr>
          <w:rFonts w:ascii="Palatino Linotype" w:hAnsi="Palatino Linotype"/>
          <w:color w:val="000000"/>
          <w:sz w:val="22"/>
          <w:szCs w:val="22"/>
        </w:rPr>
      </w:pPr>
    </w:p>
    <w:p w14:paraId="158E0849" w14:textId="04E0912B" w:rsidR="0048330C" w:rsidRDefault="0048330C" w:rsidP="007368CB">
      <w:pPr>
        <w:spacing w:line="360" w:lineRule="auto"/>
        <w:rPr>
          <w:rFonts w:ascii="Palatino Linotype" w:hAnsi="Palatino Linotype"/>
          <w:color w:val="000000"/>
          <w:sz w:val="22"/>
          <w:szCs w:val="22"/>
        </w:rPr>
      </w:pPr>
    </w:p>
    <w:p w14:paraId="362DDE63" w14:textId="18B9458C" w:rsidR="0048330C" w:rsidRDefault="0048330C" w:rsidP="007368CB">
      <w:pPr>
        <w:spacing w:line="360" w:lineRule="auto"/>
        <w:rPr>
          <w:rFonts w:ascii="Palatino Linotype" w:hAnsi="Palatino Linotype"/>
          <w:color w:val="000000"/>
          <w:sz w:val="22"/>
          <w:szCs w:val="22"/>
        </w:rPr>
      </w:pPr>
    </w:p>
    <w:p w14:paraId="16ADCD93" w14:textId="24B43F58" w:rsidR="0048330C" w:rsidRDefault="0048330C" w:rsidP="007368CB">
      <w:pPr>
        <w:spacing w:line="360" w:lineRule="auto"/>
        <w:rPr>
          <w:rFonts w:ascii="Palatino Linotype" w:hAnsi="Palatino Linotype"/>
          <w:color w:val="000000"/>
          <w:sz w:val="22"/>
          <w:szCs w:val="22"/>
        </w:rPr>
      </w:pPr>
    </w:p>
    <w:p w14:paraId="31EEDCA0" w14:textId="3392AECE" w:rsidR="0048330C" w:rsidRDefault="0048330C" w:rsidP="007368CB">
      <w:pPr>
        <w:spacing w:line="360" w:lineRule="auto"/>
        <w:rPr>
          <w:rFonts w:ascii="Palatino Linotype" w:hAnsi="Palatino Linotype"/>
          <w:color w:val="000000"/>
          <w:sz w:val="22"/>
          <w:szCs w:val="22"/>
        </w:rPr>
      </w:pPr>
    </w:p>
    <w:p w14:paraId="1D48F605" w14:textId="1312E7D9" w:rsidR="0048330C" w:rsidRDefault="0048330C" w:rsidP="007368CB">
      <w:pPr>
        <w:spacing w:line="360" w:lineRule="auto"/>
        <w:rPr>
          <w:rFonts w:ascii="Palatino Linotype" w:hAnsi="Palatino Linotype"/>
          <w:color w:val="000000"/>
          <w:sz w:val="22"/>
          <w:szCs w:val="22"/>
        </w:rPr>
      </w:pPr>
    </w:p>
    <w:p w14:paraId="575534FD" w14:textId="7ADEC0D9" w:rsidR="0048330C" w:rsidRDefault="0048330C" w:rsidP="007368CB">
      <w:pPr>
        <w:spacing w:line="360" w:lineRule="auto"/>
        <w:rPr>
          <w:rFonts w:ascii="Palatino Linotype" w:hAnsi="Palatino Linotype"/>
          <w:color w:val="000000"/>
          <w:sz w:val="22"/>
          <w:szCs w:val="22"/>
        </w:rPr>
      </w:pPr>
    </w:p>
    <w:p w14:paraId="4E993719" w14:textId="66E39412" w:rsidR="0048330C" w:rsidRDefault="0048330C" w:rsidP="007368CB">
      <w:pPr>
        <w:spacing w:line="360" w:lineRule="auto"/>
        <w:rPr>
          <w:rFonts w:ascii="Palatino Linotype" w:hAnsi="Palatino Linotype"/>
          <w:color w:val="000000"/>
          <w:sz w:val="22"/>
          <w:szCs w:val="22"/>
        </w:rPr>
      </w:pPr>
    </w:p>
    <w:p w14:paraId="43B45626" w14:textId="7859C0F3" w:rsidR="0048330C" w:rsidRDefault="0048330C" w:rsidP="007368CB">
      <w:pPr>
        <w:spacing w:line="360" w:lineRule="auto"/>
        <w:rPr>
          <w:rFonts w:ascii="Palatino Linotype" w:hAnsi="Palatino Linotype"/>
          <w:color w:val="000000"/>
          <w:sz w:val="22"/>
          <w:szCs w:val="22"/>
        </w:rPr>
      </w:pPr>
    </w:p>
    <w:p w14:paraId="264C1F9E" w14:textId="5165B542" w:rsidR="0048330C" w:rsidRDefault="0048330C" w:rsidP="007368CB">
      <w:pPr>
        <w:spacing w:line="360" w:lineRule="auto"/>
        <w:rPr>
          <w:rFonts w:ascii="Palatino Linotype" w:hAnsi="Palatino Linotype"/>
          <w:color w:val="000000"/>
          <w:sz w:val="22"/>
          <w:szCs w:val="22"/>
        </w:rPr>
      </w:pPr>
    </w:p>
    <w:p w14:paraId="45E77C0B" w14:textId="5C8E8E62" w:rsidR="0048330C" w:rsidRDefault="0048330C" w:rsidP="007368CB">
      <w:pPr>
        <w:spacing w:line="360" w:lineRule="auto"/>
        <w:rPr>
          <w:rFonts w:ascii="Palatino Linotype" w:hAnsi="Palatino Linotype"/>
          <w:color w:val="000000"/>
          <w:sz w:val="22"/>
          <w:szCs w:val="22"/>
        </w:rPr>
      </w:pPr>
    </w:p>
    <w:p w14:paraId="63F91E04" w14:textId="6701662E" w:rsidR="0048330C" w:rsidRDefault="0048330C" w:rsidP="007368CB">
      <w:pPr>
        <w:spacing w:line="360" w:lineRule="auto"/>
        <w:rPr>
          <w:rFonts w:ascii="Palatino Linotype" w:hAnsi="Palatino Linotype"/>
          <w:color w:val="000000"/>
          <w:sz w:val="22"/>
          <w:szCs w:val="22"/>
        </w:rPr>
      </w:pPr>
    </w:p>
    <w:p w14:paraId="3BB9CDAD" w14:textId="62142CF4" w:rsidR="0048330C" w:rsidRDefault="0048330C" w:rsidP="007368CB">
      <w:pPr>
        <w:spacing w:line="360" w:lineRule="auto"/>
        <w:rPr>
          <w:rFonts w:ascii="Palatino Linotype" w:hAnsi="Palatino Linotype"/>
          <w:color w:val="000000"/>
          <w:sz w:val="22"/>
          <w:szCs w:val="22"/>
        </w:rPr>
      </w:pPr>
    </w:p>
    <w:p w14:paraId="3B0D74F1" w14:textId="0E4C1566" w:rsidR="0048330C" w:rsidRDefault="0048330C" w:rsidP="007368CB">
      <w:pPr>
        <w:spacing w:line="360" w:lineRule="auto"/>
        <w:rPr>
          <w:rFonts w:ascii="Palatino Linotype" w:hAnsi="Palatino Linotype"/>
          <w:color w:val="000000"/>
          <w:sz w:val="22"/>
          <w:szCs w:val="22"/>
        </w:rPr>
      </w:pPr>
    </w:p>
    <w:p w14:paraId="17DDA759" w14:textId="2D69CB23" w:rsidR="0048330C" w:rsidRDefault="0048330C" w:rsidP="007368CB">
      <w:pPr>
        <w:spacing w:line="360" w:lineRule="auto"/>
        <w:rPr>
          <w:rFonts w:ascii="Palatino Linotype" w:hAnsi="Palatino Linotype"/>
          <w:color w:val="000000"/>
          <w:sz w:val="22"/>
          <w:szCs w:val="22"/>
        </w:rPr>
      </w:pPr>
    </w:p>
    <w:p w14:paraId="4EA2D455" w14:textId="57B899D1" w:rsidR="0048330C" w:rsidRDefault="0048330C" w:rsidP="007368CB">
      <w:pPr>
        <w:spacing w:line="360" w:lineRule="auto"/>
        <w:rPr>
          <w:rFonts w:ascii="Palatino Linotype" w:hAnsi="Palatino Linotype"/>
          <w:color w:val="000000"/>
          <w:sz w:val="22"/>
          <w:szCs w:val="22"/>
        </w:rPr>
      </w:pPr>
    </w:p>
    <w:p w14:paraId="5FF1D811" w14:textId="5BFAE8A7" w:rsidR="0048330C" w:rsidRDefault="0048330C" w:rsidP="007368CB">
      <w:pPr>
        <w:spacing w:line="360" w:lineRule="auto"/>
        <w:rPr>
          <w:rFonts w:ascii="Palatino Linotype" w:hAnsi="Palatino Linotype"/>
          <w:color w:val="000000"/>
          <w:sz w:val="22"/>
          <w:szCs w:val="22"/>
        </w:rPr>
      </w:pPr>
    </w:p>
    <w:p w14:paraId="43BC3EC3" w14:textId="77777777" w:rsidR="0048330C" w:rsidRPr="007368CB" w:rsidRDefault="0048330C" w:rsidP="007368CB">
      <w:pPr>
        <w:spacing w:line="360" w:lineRule="auto"/>
        <w:rPr>
          <w:rFonts w:ascii="Palatino Linotype" w:hAnsi="Palatino Linotype"/>
          <w:color w:val="000000"/>
          <w:sz w:val="22"/>
          <w:szCs w:val="22"/>
        </w:rPr>
      </w:pPr>
    </w:p>
    <w:sectPr w:rsidR="0048330C" w:rsidRPr="007368CB" w:rsidSect="00B101F0">
      <w:headerReference w:type="default" r:id="rId21"/>
      <w:footerReference w:type="default" r:id="rId22"/>
      <w:headerReference w:type="first" r:id="rId23"/>
      <w:footerReference w:type="first" r:id="rId24"/>
      <w:type w:val="continuous"/>
      <w:pgSz w:w="12240" w:h="15840"/>
      <w:pgMar w:top="2041" w:right="1474"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7341F" w14:textId="77777777" w:rsidR="00813D77" w:rsidRDefault="00813D77">
      <w:r>
        <w:separator/>
      </w:r>
    </w:p>
  </w:endnote>
  <w:endnote w:type="continuationSeparator" w:id="0">
    <w:p w14:paraId="3AF0FBD4" w14:textId="77777777" w:rsidR="00813D77" w:rsidRDefault="00813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52E49" w14:textId="7E6D8BAE" w:rsidR="00AA5BB1" w:rsidRDefault="00AA5BB1">
    <w:pPr>
      <w:pBdr>
        <w:top w:val="nil"/>
        <w:left w:val="nil"/>
        <w:bottom w:val="nil"/>
        <w:right w:val="nil"/>
        <w:between w:val="nil"/>
      </w:pBdr>
      <w:tabs>
        <w:tab w:val="center" w:pos="4419"/>
        <w:tab w:val="right" w:pos="8838"/>
      </w:tabs>
      <w:jc w:val="right"/>
      <w:rPr>
        <w:color w:val="000000"/>
      </w:rPr>
    </w:pPr>
    <w:r>
      <w:rPr>
        <w:color w:val="000000"/>
      </w:rPr>
      <w:t xml:space="preserve">Página </w:t>
    </w:r>
    <w:r>
      <w:rPr>
        <w:b/>
        <w:color w:val="000000"/>
      </w:rPr>
      <w:fldChar w:fldCharType="begin"/>
    </w:r>
    <w:r>
      <w:rPr>
        <w:b/>
        <w:color w:val="000000"/>
      </w:rPr>
      <w:instrText>PAGE</w:instrText>
    </w:r>
    <w:r>
      <w:rPr>
        <w:b/>
        <w:color w:val="000000"/>
      </w:rPr>
      <w:fldChar w:fldCharType="separate"/>
    </w:r>
    <w:r w:rsidR="007070E9">
      <w:rPr>
        <w:b/>
        <w:noProof/>
        <w:color w:val="000000"/>
      </w:rPr>
      <w:t>4</w:t>
    </w:r>
    <w:r>
      <w:rPr>
        <w:b/>
        <w:color w:val="000000"/>
      </w:rPr>
      <w:fldChar w:fldCharType="end"/>
    </w:r>
    <w:r>
      <w:rPr>
        <w:color w:val="000000"/>
      </w:rPr>
      <w:t xml:space="preserve"> de </w:t>
    </w:r>
    <w:r>
      <w:rPr>
        <w:b/>
        <w:color w:val="000000"/>
      </w:rPr>
      <w:fldChar w:fldCharType="begin"/>
    </w:r>
    <w:r>
      <w:rPr>
        <w:b/>
        <w:color w:val="000000"/>
      </w:rPr>
      <w:instrText>NUMPAGES</w:instrText>
    </w:r>
    <w:r>
      <w:rPr>
        <w:b/>
        <w:color w:val="000000"/>
      </w:rPr>
      <w:fldChar w:fldCharType="separate"/>
    </w:r>
    <w:r w:rsidR="007070E9">
      <w:rPr>
        <w:b/>
        <w:noProof/>
        <w:color w:val="000000"/>
      </w:rPr>
      <w:t>47</w:t>
    </w:r>
    <w:r>
      <w:rPr>
        <w:b/>
        <w:color w:val="000000"/>
      </w:rPr>
      <w:fldChar w:fldCharType="end"/>
    </w:r>
  </w:p>
  <w:p w14:paraId="2B0D9DF5" w14:textId="77777777" w:rsidR="00AA5BB1" w:rsidRDefault="00AA5BB1">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1CCD6" w14:textId="5C6F84A9" w:rsidR="00AA5BB1" w:rsidRDefault="00AA5BB1">
    <w:pPr>
      <w:pBdr>
        <w:top w:val="nil"/>
        <w:left w:val="nil"/>
        <w:bottom w:val="nil"/>
        <w:right w:val="nil"/>
        <w:between w:val="nil"/>
      </w:pBdr>
      <w:tabs>
        <w:tab w:val="center" w:pos="4419"/>
        <w:tab w:val="right" w:pos="8838"/>
      </w:tabs>
      <w:jc w:val="right"/>
      <w:rPr>
        <w:color w:val="000000"/>
      </w:rPr>
    </w:pPr>
    <w:r>
      <w:rPr>
        <w:color w:val="000000"/>
      </w:rPr>
      <w:t xml:space="preserve">Página </w:t>
    </w:r>
    <w:r>
      <w:rPr>
        <w:b/>
        <w:color w:val="000000"/>
      </w:rPr>
      <w:fldChar w:fldCharType="begin"/>
    </w:r>
    <w:r>
      <w:rPr>
        <w:b/>
        <w:color w:val="000000"/>
      </w:rPr>
      <w:instrText>PAGE</w:instrText>
    </w:r>
    <w:r>
      <w:rPr>
        <w:b/>
        <w:color w:val="000000"/>
      </w:rPr>
      <w:fldChar w:fldCharType="separate"/>
    </w:r>
    <w:r w:rsidR="007070E9">
      <w:rPr>
        <w:b/>
        <w:noProof/>
        <w:color w:val="000000"/>
      </w:rPr>
      <w:t>1</w:t>
    </w:r>
    <w:r>
      <w:rPr>
        <w:b/>
        <w:color w:val="000000"/>
      </w:rPr>
      <w:fldChar w:fldCharType="end"/>
    </w:r>
    <w:r>
      <w:rPr>
        <w:color w:val="000000"/>
      </w:rPr>
      <w:t xml:space="preserve"> de </w:t>
    </w:r>
    <w:r>
      <w:rPr>
        <w:b/>
        <w:color w:val="000000"/>
      </w:rPr>
      <w:fldChar w:fldCharType="begin"/>
    </w:r>
    <w:r>
      <w:rPr>
        <w:b/>
        <w:color w:val="000000"/>
      </w:rPr>
      <w:instrText>NUMPAGES</w:instrText>
    </w:r>
    <w:r>
      <w:rPr>
        <w:b/>
        <w:color w:val="000000"/>
      </w:rPr>
      <w:fldChar w:fldCharType="separate"/>
    </w:r>
    <w:r w:rsidR="007070E9">
      <w:rPr>
        <w:b/>
        <w:noProof/>
        <w:color w:val="000000"/>
      </w:rPr>
      <w:t>47</w:t>
    </w:r>
    <w:r>
      <w:rPr>
        <w:b/>
        <w:color w:val="000000"/>
      </w:rPr>
      <w:fldChar w:fldCharType="end"/>
    </w:r>
  </w:p>
  <w:p w14:paraId="2A0C30F1" w14:textId="77777777" w:rsidR="00AA5BB1" w:rsidRDefault="00AA5BB1">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118B3" w14:textId="77777777" w:rsidR="00813D77" w:rsidRDefault="00813D77">
      <w:r>
        <w:separator/>
      </w:r>
    </w:p>
  </w:footnote>
  <w:footnote w:type="continuationSeparator" w:id="0">
    <w:p w14:paraId="1B633469" w14:textId="77777777" w:rsidR="00813D77" w:rsidRDefault="00813D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78E72" w14:textId="77777777" w:rsidR="00AA5BB1" w:rsidRDefault="00AA5BB1">
    <w:pPr>
      <w:widowControl w:val="0"/>
      <w:pBdr>
        <w:top w:val="nil"/>
        <w:left w:val="nil"/>
        <w:bottom w:val="nil"/>
        <w:right w:val="nil"/>
        <w:between w:val="nil"/>
      </w:pBdr>
      <w:rPr>
        <w:color w:val="000000"/>
      </w:rPr>
    </w:pPr>
    <w:r>
      <w:rPr>
        <w:noProof/>
      </w:rPr>
      <w:drawing>
        <wp:anchor distT="0" distB="0" distL="0" distR="0" simplePos="0" relativeHeight="251658240" behindDoc="1" locked="0" layoutInCell="1" hidden="0" allowOverlap="1" wp14:anchorId="54F82354" wp14:editId="4E4DA853">
          <wp:simplePos x="0" y="0"/>
          <wp:positionH relativeFrom="column">
            <wp:posOffset>-742950</wp:posOffset>
          </wp:positionH>
          <wp:positionV relativeFrom="paragraph">
            <wp:posOffset>-401320</wp:posOffset>
          </wp:positionV>
          <wp:extent cx="7809876" cy="10165823"/>
          <wp:effectExtent l="0" t="0" r="0" b="0"/>
          <wp:wrapNone/>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76" cy="10165823"/>
                  </a:xfrm>
                  <a:prstGeom prst="rect">
                    <a:avLst/>
                  </a:prstGeom>
                  <a:ln/>
                </pic:spPr>
              </pic:pic>
            </a:graphicData>
          </a:graphic>
        </wp:anchor>
      </w:drawing>
    </w:r>
  </w:p>
  <w:tbl>
    <w:tblPr>
      <w:tblStyle w:val="af4"/>
      <w:tblW w:w="5603" w:type="dxa"/>
      <w:tblInd w:w="3611" w:type="dxa"/>
      <w:tblLayout w:type="fixed"/>
      <w:tblLook w:val="0400" w:firstRow="0" w:lastRow="0" w:firstColumn="0" w:lastColumn="0" w:noHBand="0" w:noVBand="1"/>
    </w:tblPr>
    <w:tblGrid>
      <w:gridCol w:w="2551"/>
      <w:gridCol w:w="3052"/>
    </w:tblGrid>
    <w:tr w:rsidR="00AA5BB1" w:rsidRPr="00873147" w14:paraId="346F1697" w14:textId="77777777">
      <w:tc>
        <w:tcPr>
          <w:tcW w:w="2551" w:type="dxa"/>
          <w:vAlign w:val="center"/>
        </w:tcPr>
        <w:p w14:paraId="59407AB9" w14:textId="10544C60" w:rsidR="00AA5BB1" w:rsidRPr="00873147" w:rsidRDefault="00AA5BB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873147">
            <w:rPr>
              <w:rFonts w:ascii="Palatino Linotype" w:eastAsia="Palatino Linotype" w:hAnsi="Palatino Linotype" w:cs="Palatino Linotype"/>
              <w:b/>
              <w:color w:val="000000"/>
              <w:sz w:val="22"/>
              <w:szCs w:val="22"/>
            </w:rPr>
            <w:t>Recurso de Revisión:</w:t>
          </w:r>
        </w:p>
      </w:tc>
      <w:tc>
        <w:tcPr>
          <w:tcW w:w="3052" w:type="dxa"/>
          <w:vAlign w:val="center"/>
        </w:tcPr>
        <w:p w14:paraId="19B0F336" w14:textId="2B737E92" w:rsidR="00AA5BB1" w:rsidRPr="00873147" w:rsidRDefault="00032143" w:rsidP="00E8732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3303AD">
            <w:rPr>
              <w:rFonts w:ascii="Palatino Linotype" w:eastAsia="Palatino Linotype" w:hAnsi="Palatino Linotype" w:cs="Palatino Linotype"/>
              <w:b/>
              <w:color w:val="000000"/>
              <w:sz w:val="22"/>
              <w:szCs w:val="22"/>
            </w:rPr>
            <w:t>0</w:t>
          </w:r>
          <w:r>
            <w:rPr>
              <w:rFonts w:ascii="Palatino Linotype" w:eastAsia="Palatino Linotype" w:hAnsi="Palatino Linotype" w:cs="Palatino Linotype"/>
              <w:b/>
              <w:color w:val="000000"/>
              <w:sz w:val="22"/>
              <w:szCs w:val="22"/>
            </w:rPr>
            <w:t>7534</w:t>
          </w:r>
          <w:r w:rsidRPr="003303AD">
            <w:rPr>
              <w:rFonts w:ascii="Palatino Linotype" w:eastAsia="Palatino Linotype" w:hAnsi="Palatino Linotype" w:cs="Palatino Linotype"/>
              <w:b/>
              <w:color w:val="000000"/>
              <w:sz w:val="22"/>
              <w:szCs w:val="22"/>
            </w:rPr>
            <w:t>/INFOEM/IP/RR/2026</w:t>
          </w:r>
        </w:p>
      </w:tc>
    </w:tr>
    <w:tr w:rsidR="00AA5BB1" w:rsidRPr="00873147" w14:paraId="7226223B" w14:textId="77777777">
      <w:trPr>
        <w:trHeight w:val="217"/>
      </w:trPr>
      <w:tc>
        <w:tcPr>
          <w:tcW w:w="2551" w:type="dxa"/>
          <w:vAlign w:val="center"/>
        </w:tcPr>
        <w:p w14:paraId="24C26CA2" w14:textId="77777777" w:rsidR="00AA5BB1" w:rsidRPr="00873147" w:rsidRDefault="00AA5BB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873147">
            <w:rPr>
              <w:rFonts w:ascii="Palatino Linotype" w:eastAsia="Palatino Linotype" w:hAnsi="Palatino Linotype" w:cs="Palatino Linotype"/>
              <w:b/>
              <w:color w:val="000000"/>
              <w:sz w:val="22"/>
              <w:szCs w:val="22"/>
            </w:rPr>
            <w:t>Sujeto obligado:</w:t>
          </w:r>
        </w:p>
      </w:tc>
      <w:tc>
        <w:tcPr>
          <w:tcW w:w="3052" w:type="dxa"/>
          <w:vAlign w:val="center"/>
        </w:tcPr>
        <w:p w14:paraId="51CE4B28" w14:textId="4A50B4F4" w:rsidR="00AA5BB1" w:rsidRPr="00873147" w:rsidRDefault="00032143">
          <w:pPr>
            <w:pBdr>
              <w:top w:val="nil"/>
              <w:left w:val="nil"/>
              <w:bottom w:val="nil"/>
              <w:right w:val="nil"/>
              <w:between w:val="nil"/>
            </w:pBdr>
            <w:tabs>
              <w:tab w:val="center" w:pos="4419"/>
              <w:tab w:val="right" w:pos="8838"/>
            </w:tabs>
            <w:ind w:right="168"/>
            <w:jc w:val="both"/>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Ayuntamiento de Juchitepec</w:t>
          </w:r>
        </w:p>
      </w:tc>
    </w:tr>
    <w:tr w:rsidR="00AA5BB1" w:rsidRPr="00873147" w14:paraId="68B735BA" w14:textId="77777777">
      <w:tc>
        <w:tcPr>
          <w:tcW w:w="2551" w:type="dxa"/>
          <w:vAlign w:val="center"/>
        </w:tcPr>
        <w:p w14:paraId="3BFC366F" w14:textId="77777777" w:rsidR="00AA5BB1" w:rsidRPr="00873147" w:rsidRDefault="00AA5BB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873147">
            <w:rPr>
              <w:rFonts w:ascii="Palatino Linotype" w:eastAsia="Palatino Linotype" w:hAnsi="Palatino Linotype" w:cs="Palatino Linotype"/>
              <w:b/>
              <w:color w:val="000000"/>
              <w:sz w:val="22"/>
              <w:szCs w:val="22"/>
            </w:rPr>
            <w:t>Comisionada ponente:</w:t>
          </w:r>
        </w:p>
      </w:tc>
      <w:tc>
        <w:tcPr>
          <w:tcW w:w="3052" w:type="dxa"/>
          <w:vAlign w:val="center"/>
        </w:tcPr>
        <w:p w14:paraId="55C103AF" w14:textId="77777777" w:rsidR="00AA5BB1" w:rsidRPr="00873147" w:rsidRDefault="00AA5BB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873147">
            <w:rPr>
              <w:rFonts w:ascii="Palatino Linotype" w:eastAsia="Palatino Linotype" w:hAnsi="Palatino Linotype" w:cs="Palatino Linotype"/>
              <w:b/>
              <w:color w:val="000000"/>
              <w:sz w:val="22"/>
              <w:szCs w:val="22"/>
            </w:rPr>
            <w:t>Guadalupe Ramírez Peña</w:t>
          </w:r>
        </w:p>
      </w:tc>
    </w:tr>
  </w:tbl>
  <w:p w14:paraId="579502A6" w14:textId="77777777" w:rsidR="00AA5BB1" w:rsidRDefault="00AA5BB1">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BA3EB" w14:textId="77777777" w:rsidR="00AA5BB1" w:rsidRDefault="00AA5BB1">
    <w:pPr>
      <w:widowControl w:val="0"/>
      <w:pBdr>
        <w:top w:val="nil"/>
        <w:left w:val="nil"/>
        <w:bottom w:val="nil"/>
        <w:right w:val="nil"/>
        <w:between w:val="nil"/>
      </w:pBdr>
      <w:rPr>
        <w:rFonts w:ascii="Palatino Linotype" w:eastAsia="Palatino Linotype" w:hAnsi="Palatino Linotype" w:cs="Palatino Linotype"/>
        <w:sz w:val="22"/>
        <w:szCs w:val="22"/>
      </w:rPr>
    </w:pPr>
    <w:r>
      <w:rPr>
        <w:noProof/>
      </w:rPr>
      <w:drawing>
        <wp:anchor distT="0" distB="0" distL="0" distR="0" simplePos="0" relativeHeight="251659264" behindDoc="1" locked="0" layoutInCell="1" hidden="0" allowOverlap="1" wp14:anchorId="3F7781AC" wp14:editId="66B66DF6">
          <wp:simplePos x="0" y="0"/>
          <wp:positionH relativeFrom="column">
            <wp:posOffset>-929005</wp:posOffset>
          </wp:positionH>
          <wp:positionV relativeFrom="paragraph">
            <wp:posOffset>-644525</wp:posOffset>
          </wp:positionV>
          <wp:extent cx="7809865" cy="10165715"/>
          <wp:effectExtent l="0" t="0" r="0" b="0"/>
          <wp:wrapNone/>
          <wp:docPr id="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5"/>
      <w:tblW w:w="6243" w:type="dxa"/>
      <w:tblInd w:w="2829" w:type="dxa"/>
      <w:tblLayout w:type="fixed"/>
      <w:tblLook w:val="0400" w:firstRow="0" w:lastRow="0" w:firstColumn="0" w:lastColumn="0" w:noHBand="0" w:noVBand="1"/>
    </w:tblPr>
    <w:tblGrid>
      <w:gridCol w:w="2551"/>
      <w:gridCol w:w="3692"/>
    </w:tblGrid>
    <w:tr w:rsidR="00AA5BB1" w:rsidRPr="003303AD" w14:paraId="413FCE3E" w14:textId="77777777" w:rsidTr="002652DF">
      <w:tc>
        <w:tcPr>
          <w:tcW w:w="2551" w:type="dxa"/>
          <w:vAlign w:val="center"/>
        </w:tcPr>
        <w:p w14:paraId="48AB6C8F" w14:textId="58D03EAE" w:rsidR="00AA5BB1" w:rsidRPr="003303AD" w:rsidRDefault="00AA5BB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3303AD">
            <w:rPr>
              <w:rFonts w:ascii="Palatino Linotype" w:eastAsia="Palatino Linotype" w:hAnsi="Palatino Linotype" w:cs="Palatino Linotype"/>
              <w:b/>
              <w:color w:val="000000"/>
              <w:sz w:val="22"/>
              <w:szCs w:val="22"/>
            </w:rPr>
            <w:t>Recurso de Revisión:</w:t>
          </w:r>
        </w:p>
      </w:tc>
      <w:tc>
        <w:tcPr>
          <w:tcW w:w="3692" w:type="dxa"/>
        </w:tcPr>
        <w:p w14:paraId="73709638" w14:textId="7841B2E7" w:rsidR="00AA5BB1" w:rsidRPr="003303AD" w:rsidRDefault="00AA5BB1" w:rsidP="00032143">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3303AD">
            <w:rPr>
              <w:rFonts w:ascii="Palatino Linotype" w:eastAsia="Palatino Linotype" w:hAnsi="Palatino Linotype" w:cs="Palatino Linotype"/>
              <w:b/>
              <w:color w:val="000000"/>
              <w:sz w:val="22"/>
              <w:szCs w:val="22"/>
            </w:rPr>
            <w:t>0</w:t>
          </w:r>
          <w:r>
            <w:rPr>
              <w:rFonts w:ascii="Palatino Linotype" w:eastAsia="Palatino Linotype" w:hAnsi="Palatino Linotype" w:cs="Palatino Linotype"/>
              <w:b/>
              <w:color w:val="000000"/>
              <w:sz w:val="22"/>
              <w:szCs w:val="22"/>
            </w:rPr>
            <w:t>7</w:t>
          </w:r>
          <w:r w:rsidR="00032143">
            <w:rPr>
              <w:rFonts w:ascii="Palatino Linotype" w:eastAsia="Palatino Linotype" w:hAnsi="Palatino Linotype" w:cs="Palatino Linotype"/>
              <w:b/>
              <w:color w:val="000000"/>
              <w:sz w:val="22"/>
              <w:szCs w:val="22"/>
            </w:rPr>
            <w:t>534</w:t>
          </w:r>
          <w:r w:rsidRPr="003303AD">
            <w:rPr>
              <w:rFonts w:ascii="Palatino Linotype" w:eastAsia="Palatino Linotype" w:hAnsi="Palatino Linotype" w:cs="Palatino Linotype"/>
              <w:b/>
              <w:color w:val="000000"/>
              <w:sz w:val="22"/>
              <w:szCs w:val="22"/>
            </w:rPr>
            <w:t>/INFOEM/IP/RR/2026</w:t>
          </w:r>
        </w:p>
      </w:tc>
    </w:tr>
    <w:tr w:rsidR="00AA5BB1" w:rsidRPr="003303AD" w14:paraId="51052162" w14:textId="77777777" w:rsidTr="002652DF">
      <w:tc>
        <w:tcPr>
          <w:tcW w:w="2551" w:type="dxa"/>
          <w:vAlign w:val="center"/>
        </w:tcPr>
        <w:p w14:paraId="47D7E994" w14:textId="77777777" w:rsidR="00AA5BB1" w:rsidRPr="003303AD" w:rsidRDefault="00AA5BB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3303AD">
            <w:rPr>
              <w:rFonts w:ascii="Palatino Linotype" w:eastAsia="Palatino Linotype" w:hAnsi="Palatino Linotype" w:cs="Palatino Linotype"/>
              <w:b/>
              <w:color w:val="000000"/>
              <w:sz w:val="22"/>
              <w:szCs w:val="22"/>
            </w:rPr>
            <w:t>Recurrente:</w:t>
          </w:r>
        </w:p>
      </w:tc>
      <w:tc>
        <w:tcPr>
          <w:tcW w:w="3692" w:type="dxa"/>
          <w:vAlign w:val="center"/>
        </w:tcPr>
        <w:p w14:paraId="4128B06D" w14:textId="4F53F348" w:rsidR="00AA5BB1" w:rsidRPr="003303AD" w:rsidRDefault="007070E9" w:rsidP="007070E9">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7070E9">
            <w:rPr>
              <w:rFonts w:ascii="Palatino Linotype" w:eastAsia="Palatino Linotype" w:hAnsi="Palatino Linotype" w:cs="Palatino Linotype"/>
              <w:b/>
              <w:color w:val="000000"/>
              <w:sz w:val="22"/>
              <w:szCs w:val="22"/>
            </w:rPr>
            <w:t>XXXXXX XXXXXX XXXX</w:t>
          </w:r>
        </w:p>
      </w:tc>
    </w:tr>
    <w:tr w:rsidR="00AA5BB1" w:rsidRPr="003303AD" w14:paraId="277EE8BB" w14:textId="77777777" w:rsidTr="002652DF">
      <w:trPr>
        <w:trHeight w:val="152"/>
      </w:trPr>
      <w:tc>
        <w:tcPr>
          <w:tcW w:w="2551" w:type="dxa"/>
          <w:vAlign w:val="center"/>
        </w:tcPr>
        <w:p w14:paraId="12C6ACF9" w14:textId="0B168C34" w:rsidR="00AA5BB1" w:rsidRPr="003303AD" w:rsidRDefault="00AA5BB1">
          <w:pPr>
            <w:tabs>
              <w:tab w:val="center" w:pos="4419"/>
              <w:tab w:val="right" w:pos="8838"/>
            </w:tabs>
            <w:rPr>
              <w:rFonts w:ascii="Palatino Linotype" w:eastAsia="Palatino Linotype" w:hAnsi="Palatino Linotype" w:cs="Palatino Linotype"/>
              <w:b/>
              <w:color w:val="000000"/>
              <w:sz w:val="22"/>
              <w:szCs w:val="22"/>
            </w:rPr>
          </w:pPr>
          <w:r w:rsidRPr="003303AD">
            <w:rPr>
              <w:rFonts w:ascii="Palatino Linotype" w:eastAsia="Palatino Linotype" w:hAnsi="Palatino Linotype" w:cs="Palatino Linotype"/>
              <w:b/>
              <w:color w:val="000000"/>
              <w:sz w:val="22"/>
              <w:szCs w:val="22"/>
            </w:rPr>
            <w:t>Sujeto obligado</w:t>
          </w:r>
        </w:p>
      </w:tc>
      <w:tc>
        <w:tcPr>
          <w:tcW w:w="3692" w:type="dxa"/>
        </w:tcPr>
        <w:p w14:paraId="6AE67E0F" w14:textId="4B57AE9F" w:rsidR="00AA5BB1" w:rsidRPr="003303AD" w:rsidRDefault="00032143" w:rsidP="00DF6858">
          <w:pPr>
            <w:pBdr>
              <w:top w:val="nil"/>
              <w:left w:val="nil"/>
              <w:bottom w:val="nil"/>
              <w:right w:val="nil"/>
              <w:between w:val="nil"/>
            </w:pBdr>
            <w:tabs>
              <w:tab w:val="center" w:pos="4419"/>
              <w:tab w:val="right" w:pos="8838"/>
            </w:tabs>
            <w:ind w:right="174"/>
            <w:jc w:val="both"/>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Ayuntamiento de Juchitepec</w:t>
          </w:r>
        </w:p>
      </w:tc>
    </w:tr>
    <w:tr w:rsidR="00AA5BB1" w:rsidRPr="003303AD" w14:paraId="49ED4B7C" w14:textId="77777777" w:rsidTr="002652DF">
      <w:tc>
        <w:tcPr>
          <w:tcW w:w="2551" w:type="dxa"/>
          <w:vAlign w:val="center"/>
        </w:tcPr>
        <w:p w14:paraId="4AB31B56" w14:textId="77777777" w:rsidR="00AA5BB1" w:rsidRPr="003303AD" w:rsidRDefault="00AA5BB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3303AD">
            <w:rPr>
              <w:rFonts w:ascii="Palatino Linotype" w:eastAsia="Palatino Linotype" w:hAnsi="Palatino Linotype" w:cs="Palatino Linotype"/>
              <w:b/>
              <w:color w:val="000000"/>
              <w:sz w:val="22"/>
              <w:szCs w:val="22"/>
            </w:rPr>
            <w:t>Comisionada ponente:</w:t>
          </w:r>
        </w:p>
      </w:tc>
      <w:tc>
        <w:tcPr>
          <w:tcW w:w="3692" w:type="dxa"/>
          <w:vAlign w:val="center"/>
        </w:tcPr>
        <w:p w14:paraId="542C7E12" w14:textId="77777777" w:rsidR="00AA5BB1" w:rsidRPr="003303AD" w:rsidRDefault="00AA5BB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3303AD">
            <w:rPr>
              <w:rFonts w:ascii="Palatino Linotype" w:eastAsia="Palatino Linotype" w:hAnsi="Palatino Linotype" w:cs="Palatino Linotype"/>
              <w:b/>
              <w:color w:val="000000"/>
              <w:sz w:val="22"/>
              <w:szCs w:val="22"/>
            </w:rPr>
            <w:t>Guadalupe Ramírez Peña</w:t>
          </w:r>
        </w:p>
      </w:tc>
    </w:tr>
  </w:tbl>
  <w:p w14:paraId="2F75B0CF" w14:textId="77777777" w:rsidR="00AA5BB1" w:rsidRDefault="00AA5BB1">
    <w:pPr>
      <w:rPr>
        <w:color w:val="000000"/>
        <w:sz w:val="22"/>
        <w:szCs w:val="22"/>
      </w:rPr>
    </w:pPr>
    <w:r>
      <w:rPr>
        <w:color w:val="000000"/>
        <w:sz w:val="22"/>
        <w:szCs w:val="2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1838"/>
    <w:multiLevelType w:val="multilevel"/>
    <w:tmpl w:val="BD5017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712D4C"/>
    <w:multiLevelType w:val="multilevel"/>
    <w:tmpl w:val="06A8D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E752D9"/>
    <w:multiLevelType w:val="hybridMultilevel"/>
    <w:tmpl w:val="40626B42"/>
    <w:lvl w:ilvl="0" w:tplc="3C3C5B4E">
      <w:start w:val="2"/>
      <w:numFmt w:val="bullet"/>
      <w:lvlText w:val="-"/>
      <w:lvlJc w:val="left"/>
      <w:pPr>
        <w:ind w:left="720" w:hanging="360"/>
      </w:pPr>
      <w:rPr>
        <w:rFonts w:ascii="Palatino Linotype" w:eastAsia="Palatino Linotype" w:hAnsi="Palatino Linotype"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46C4C9C"/>
    <w:multiLevelType w:val="multilevel"/>
    <w:tmpl w:val="7FE280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125BBA"/>
    <w:multiLevelType w:val="multilevel"/>
    <w:tmpl w:val="6F1E29B2"/>
    <w:lvl w:ilvl="0">
      <w:start w:val="1"/>
      <w:numFmt w:val="lowerLetter"/>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1AE15B6F"/>
    <w:multiLevelType w:val="hybridMultilevel"/>
    <w:tmpl w:val="17E2A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BA60E1"/>
    <w:multiLevelType w:val="hybridMultilevel"/>
    <w:tmpl w:val="833C01C6"/>
    <w:lvl w:ilvl="0" w:tplc="087AAEF6">
      <w:numFmt w:val="bullet"/>
      <w:lvlText w:val="-"/>
      <w:lvlJc w:val="left"/>
      <w:pPr>
        <w:ind w:left="720" w:hanging="360"/>
      </w:pPr>
      <w:rPr>
        <w:rFonts w:ascii="Palatino Linotype" w:eastAsia="Times New Roman" w:hAnsi="Palatino Linotype"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02B4D73"/>
    <w:multiLevelType w:val="multilevel"/>
    <w:tmpl w:val="17600E4A"/>
    <w:lvl w:ilvl="0">
      <w:start w:val="2"/>
      <w:numFmt w:val="bullet"/>
      <w:lvlText w:val="●"/>
      <w:lvlJc w:val="left"/>
      <w:pPr>
        <w:ind w:left="360" w:hanging="360"/>
      </w:pPr>
      <w:rPr>
        <w:rFonts w:ascii="Noto Sans Symbols" w:eastAsia="Noto Sans Symbols" w:hAnsi="Noto Sans Symbols" w:cs="Noto Sans Symbols"/>
        <w:b/>
        <w:i w:val="0"/>
        <w:color w:val="0D0D0D"/>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080067D"/>
    <w:multiLevelType w:val="hybridMultilevel"/>
    <w:tmpl w:val="37400D30"/>
    <w:lvl w:ilvl="0" w:tplc="04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24661F42"/>
    <w:multiLevelType w:val="hybridMultilevel"/>
    <w:tmpl w:val="A928D3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AC5D45"/>
    <w:multiLevelType w:val="hybridMultilevel"/>
    <w:tmpl w:val="DB6EA44C"/>
    <w:lvl w:ilvl="0" w:tplc="04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A912A95"/>
    <w:multiLevelType w:val="multilevel"/>
    <w:tmpl w:val="A74A492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338"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570ADF"/>
    <w:multiLevelType w:val="multilevel"/>
    <w:tmpl w:val="6546C0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6AE7BB5"/>
    <w:multiLevelType w:val="multilevel"/>
    <w:tmpl w:val="60F289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8E5785F"/>
    <w:multiLevelType w:val="hybridMultilevel"/>
    <w:tmpl w:val="713EFA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E3528ED"/>
    <w:multiLevelType w:val="multilevel"/>
    <w:tmpl w:val="863A078A"/>
    <w:lvl w:ilvl="0">
      <w:start w:val="1"/>
      <w:numFmt w:val="bullet"/>
      <w:lvlText w:val="●"/>
      <w:lvlJc w:val="left"/>
      <w:pPr>
        <w:ind w:left="720" w:hanging="360"/>
      </w:pPr>
      <w:rPr>
        <w:rFonts w:ascii="Noto Sans Symbols" w:eastAsia="Noto Sans Symbols" w:hAnsi="Noto Sans Symbols" w:cs="Noto Sans Symbols"/>
      </w:rPr>
    </w:lvl>
    <w:lvl w:ilvl="1">
      <w:start w:val="1"/>
      <w:numFmt w:val="upperRoman"/>
      <w:lvlText w:val="%2."/>
      <w:lvlJc w:val="right"/>
      <w:pPr>
        <w:ind w:left="1440" w:hanging="360"/>
      </w:p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210EB1"/>
    <w:multiLevelType w:val="hybridMultilevel"/>
    <w:tmpl w:val="A38CB710"/>
    <w:lvl w:ilvl="0" w:tplc="40E2A57C">
      <w:start w:val="2"/>
      <w:numFmt w:val="bullet"/>
      <w:lvlText w:val="-"/>
      <w:lvlJc w:val="left"/>
      <w:pPr>
        <w:ind w:left="1080" w:hanging="360"/>
      </w:pPr>
      <w:rPr>
        <w:rFonts w:ascii="Palatino Linotype" w:eastAsia="Palatino Linotype" w:hAnsi="Palatino Linotype" w:cs="Palatino Linotype"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44E1E85"/>
    <w:multiLevelType w:val="multilevel"/>
    <w:tmpl w:val="FA80A45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right"/>
      <w:pPr>
        <w:ind w:left="3338"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4692C15"/>
    <w:multiLevelType w:val="multilevel"/>
    <w:tmpl w:val="9EC68A8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322915"/>
    <w:multiLevelType w:val="hybridMultilevel"/>
    <w:tmpl w:val="A91AC31C"/>
    <w:lvl w:ilvl="0" w:tplc="6DCC8B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8AE11EE"/>
    <w:multiLevelType w:val="multilevel"/>
    <w:tmpl w:val="1BCCDE56"/>
    <w:lvl w:ilvl="0">
      <w:start w:val="1"/>
      <w:numFmt w:val="bullet"/>
      <w:pStyle w:val="Listaconvieta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D6097B"/>
    <w:multiLevelType w:val="multilevel"/>
    <w:tmpl w:val="DF6CA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E722DE8"/>
    <w:multiLevelType w:val="multilevel"/>
    <w:tmpl w:val="CBEC90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3302F63"/>
    <w:multiLevelType w:val="multilevel"/>
    <w:tmpl w:val="5804031E"/>
    <w:lvl w:ilvl="0">
      <w:start w:val="1"/>
      <w:numFmt w:val="decimal"/>
      <w:pStyle w:val="Listaconvieta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C834718"/>
    <w:multiLevelType w:val="hybridMultilevel"/>
    <w:tmpl w:val="66D0AB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EC7487F"/>
    <w:multiLevelType w:val="multilevel"/>
    <w:tmpl w:val="E9BEB3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F805E99"/>
    <w:multiLevelType w:val="multilevel"/>
    <w:tmpl w:val="A58690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19093B"/>
    <w:multiLevelType w:val="hybridMultilevel"/>
    <w:tmpl w:val="CB922862"/>
    <w:lvl w:ilvl="0" w:tplc="E346B13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8" w15:restartNumberingAfterBreak="0">
    <w:nsid w:val="7D462977"/>
    <w:multiLevelType w:val="hybridMultilevel"/>
    <w:tmpl w:val="FBD22DF6"/>
    <w:lvl w:ilvl="0" w:tplc="40E2A57C">
      <w:start w:val="2"/>
      <w:numFmt w:val="bullet"/>
      <w:lvlText w:val="-"/>
      <w:lvlJc w:val="left"/>
      <w:pPr>
        <w:ind w:left="1080" w:hanging="360"/>
      </w:pPr>
      <w:rPr>
        <w:rFonts w:ascii="Palatino Linotype" w:eastAsia="Palatino Linotype" w:hAnsi="Palatino Linotype" w:cs="Palatino Linotype" w:hint="default"/>
        <w:b/>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9" w15:restartNumberingAfterBreak="0">
    <w:nsid w:val="7D684536"/>
    <w:multiLevelType w:val="multilevel"/>
    <w:tmpl w:val="D01A2B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DF61044"/>
    <w:multiLevelType w:val="multilevel"/>
    <w:tmpl w:val="8202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4"/>
  </w:num>
  <w:num w:numId="3">
    <w:abstractNumId w:val="20"/>
  </w:num>
  <w:num w:numId="4">
    <w:abstractNumId w:val="4"/>
  </w:num>
  <w:num w:numId="5">
    <w:abstractNumId w:val="19"/>
  </w:num>
  <w:num w:numId="6">
    <w:abstractNumId w:val="11"/>
  </w:num>
  <w:num w:numId="7">
    <w:abstractNumId w:val="12"/>
  </w:num>
  <w:num w:numId="8">
    <w:abstractNumId w:val="0"/>
  </w:num>
  <w:num w:numId="9">
    <w:abstractNumId w:val="15"/>
  </w:num>
  <w:num w:numId="10">
    <w:abstractNumId w:val="22"/>
  </w:num>
  <w:num w:numId="11">
    <w:abstractNumId w:val="29"/>
  </w:num>
  <w:num w:numId="12">
    <w:abstractNumId w:val="13"/>
  </w:num>
  <w:num w:numId="13">
    <w:abstractNumId w:val="26"/>
  </w:num>
  <w:num w:numId="14">
    <w:abstractNumId w:val="1"/>
  </w:num>
  <w:num w:numId="15">
    <w:abstractNumId w:val="17"/>
  </w:num>
  <w:num w:numId="16">
    <w:abstractNumId w:val="3"/>
  </w:num>
  <w:num w:numId="17">
    <w:abstractNumId w:val="30"/>
  </w:num>
  <w:num w:numId="18">
    <w:abstractNumId w:val="18"/>
  </w:num>
  <w:num w:numId="19">
    <w:abstractNumId w:val="25"/>
  </w:num>
  <w:num w:numId="20">
    <w:abstractNumId w:val="5"/>
  </w:num>
  <w:num w:numId="21">
    <w:abstractNumId w:val="9"/>
  </w:num>
  <w:num w:numId="22">
    <w:abstractNumId w:val="28"/>
  </w:num>
  <w:num w:numId="23">
    <w:abstractNumId w:val="16"/>
  </w:num>
  <w:num w:numId="24">
    <w:abstractNumId w:val="8"/>
  </w:num>
  <w:num w:numId="25">
    <w:abstractNumId w:val="10"/>
  </w:num>
  <w:num w:numId="26">
    <w:abstractNumId w:val="14"/>
  </w:num>
  <w:num w:numId="27">
    <w:abstractNumId w:val="27"/>
  </w:num>
  <w:num w:numId="28">
    <w:abstractNumId w:val="7"/>
  </w:num>
  <w:num w:numId="29">
    <w:abstractNumId w:val="21"/>
  </w:num>
  <w:num w:numId="30">
    <w:abstractNumId w:val="2"/>
  </w:num>
  <w:num w:numId="3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AF6"/>
    <w:rsid w:val="00000608"/>
    <w:rsid w:val="0000150F"/>
    <w:rsid w:val="00002360"/>
    <w:rsid w:val="000125CC"/>
    <w:rsid w:val="00014020"/>
    <w:rsid w:val="00023873"/>
    <w:rsid w:val="00023D55"/>
    <w:rsid w:val="000317C0"/>
    <w:rsid w:val="00032143"/>
    <w:rsid w:val="0003407F"/>
    <w:rsid w:val="0003640A"/>
    <w:rsid w:val="00054C8F"/>
    <w:rsid w:val="00056A9D"/>
    <w:rsid w:val="00063DFC"/>
    <w:rsid w:val="00064572"/>
    <w:rsid w:val="000656AF"/>
    <w:rsid w:val="000709AF"/>
    <w:rsid w:val="0007184F"/>
    <w:rsid w:val="0007681E"/>
    <w:rsid w:val="00082CD7"/>
    <w:rsid w:val="000849C2"/>
    <w:rsid w:val="000873AC"/>
    <w:rsid w:val="0009129C"/>
    <w:rsid w:val="000956D5"/>
    <w:rsid w:val="000A2012"/>
    <w:rsid w:val="000A77B7"/>
    <w:rsid w:val="000B7704"/>
    <w:rsid w:val="000C08F1"/>
    <w:rsid w:val="000C1EE6"/>
    <w:rsid w:val="000C510F"/>
    <w:rsid w:val="000D3582"/>
    <w:rsid w:val="000D6840"/>
    <w:rsid w:val="000F0CA3"/>
    <w:rsid w:val="000F29F8"/>
    <w:rsid w:val="0010177C"/>
    <w:rsid w:val="00104527"/>
    <w:rsid w:val="001055C2"/>
    <w:rsid w:val="00106F84"/>
    <w:rsid w:val="00110383"/>
    <w:rsid w:val="00113C35"/>
    <w:rsid w:val="001146E4"/>
    <w:rsid w:val="0014233B"/>
    <w:rsid w:val="0014314D"/>
    <w:rsid w:val="001469FF"/>
    <w:rsid w:val="00146B67"/>
    <w:rsid w:val="00154B25"/>
    <w:rsid w:val="00155282"/>
    <w:rsid w:val="00156521"/>
    <w:rsid w:val="001624D4"/>
    <w:rsid w:val="00167D40"/>
    <w:rsid w:val="0017514C"/>
    <w:rsid w:val="00176503"/>
    <w:rsid w:val="0017685E"/>
    <w:rsid w:val="001834A9"/>
    <w:rsid w:val="00184F9B"/>
    <w:rsid w:val="00190F95"/>
    <w:rsid w:val="001948DF"/>
    <w:rsid w:val="00194B59"/>
    <w:rsid w:val="001A1CCE"/>
    <w:rsid w:val="001B5418"/>
    <w:rsid w:val="001B5846"/>
    <w:rsid w:val="001B7558"/>
    <w:rsid w:val="001C0BB1"/>
    <w:rsid w:val="001C109B"/>
    <w:rsid w:val="001D3173"/>
    <w:rsid w:val="001D7D72"/>
    <w:rsid w:val="001E15BB"/>
    <w:rsid w:val="001E5E7D"/>
    <w:rsid w:val="001E7890"/>
    <w:rsid w:val="001F0EED"/>
    <w:rsid w:val="001F57A9"/>
    <w:rsid w:val="001F6EB0"/>
    <w:rsid w:val="00202C32"/>
    <w:rsid w:val="002044E8"/>
    <w:rsid w:val="0020719B"/>
    <w:rsid w:val="00207AC3"/>
    <w:rsid w:val="00207F1F"/>
    <w:rsid w:val="002160C0"/>
    <w:rsid w:val="002177CF"/>
    <w:rsid w:val="0023013E"/>
    <w:rsid w:val="00231CF0"/>
    <w:rsid w:val="002360E1"/>
    <w:rsid w:val="00250ACC"/>
    <w:rsid w:val="002535E9"/>
    <w:rsid w:val="00255DC2"/>
    <w:rsid w:val="00256D57"/>
    <w:rsid w:val="002619DF"/>
    <w:rsid w:val="00263B3C"/>
    <w:rsid w:val="002652DF"/>
    <w:rsid w:val="002751F8"/>
    <w:rsid w:val="00280438"/>
    <w:rsid w:val="00282485"/>
    <w:rsid w:val="002827E8"/>
    <w:rsid w:val="002841E4"/>
    <w:rsid w:val="00286C79"/>
    <w:rsid w:val="00291FFA"/>
    <w:rsid w:val="002940E1"/>
    <w:rsid w:val="0029612C"/>
    <w:rsid w:val="00296444"/>
    <w:rsid w:val="002A1B4D"/>
    <w:rsid w:val="002A7BA3"/>
    <w:rsid w:val="002B5B0D"/>
    <w:rsid w:val="002C08AB"/>
    <w:rsid w:val="002C162E"/>
    <w:rsid w:val="002C3C29"/>
    <w:rsid w:val="002C6E28"/>
    <w:rsid w:val="002C7602"/>
    <w:rsid w:val="002D4DE7"/>
    <w:rsid w:val="002D4FEA"/>
    <w:rsid w:val="002D59AB"/>
    <w:rsid w:val="002D661A"/>
    <w:rsid w:val="002F0356"/>
    <w:rsid w:val="002F1313"/>
    <w:rsid w:val="002F3D3E"/>
    <w:rsid w:val="003038C3"/>
    <w:rsid w:val="003043D4"/>
    <w:rsid w:val="00322B54"/>
    <w:rsid w:val="003303AD"/>
    <w:rsid w:val="00332227"/>
    <w:rsid w:val="003349EB"/>
    <w:rsid w:val="00335E5C"/>
    <w:rsid w:val="00341110"/>
    <w:rsid w:val="00350BAF"/>
    <w:rsid w:val="003548C3"/>
    <w:rsid w:val="003612F0"/>
    <w:rsid w:val="00366BB7"/>
    <w:rsid w:val="00375A7D"/>
    <w:rsid w:val="00391891"/>
    <w:rsid w:val="0039338F"/>
    <w:rsid w:val="003A79E5"/>
    <w:rsid w:val="003B0B95"/>
    <w:rsid w:val="003C18F2"/>
    <w:rsid w:val="003D5848"/>
    <w:rsid w:val="003D5EEE"/>
    <w:rsid w:val="003E1B93"/>
    <w:rsid w:val="003E2309"/>
    <w:rsid w:val="003E6BB6"/>
    <w:rsid w:val="003F31DA"/>
    <w:rsid w:val="003F500C"/>
    <w:rsid w:val="004058E5"/>
    <w:rsid w:val="004139C9"/>
    <w:rsid w:val="004157A2"/>
    <w:rsid w:val="0042205E"/>
    <w:rsid w:val="00422AF6"/>
    <w:rsid w:val="004259E4"/>
    <w:rsid w:val="00426C51"/>
    <w:rsid w:val="00442706"/>
    <w:rsid w:val="00463D80"/>
    <w:rsid w:val="00464620"/>
    <w:rsid w:val="00465BB2"/>
    <w:rsid w:val="004700E6"/>
    <w:rsid w:val="004718C5"/>
    <w:rsid w:val="00476E1C"/>
    <w:rsid w:val="00476ECB"/>
    <w:rsid w:val="0048308A"/>
    <w:rsid w:val="0048330C"/>
    <w:rsid w:val="00494C60"/>
    <w:rsid w:val="004A1051"/>
    <w:rsid w:val="004A3472"/>
    <w:rsid w:val="004B2EA4"/>
    <w:rsid w:val="004B4004"/>
    <w:rsid w:val="004B5DBB"/>
    <w:rsid w:val="004B73BE"/>
    <w:rsid w:val="004C54A5"/>
    <w:rsid w:val="004D186A"/>
    <w:rsid w:val="004D754A"/>
    <w:rsid w:val="004E0C7B"/>
    <w:rsid w:val="004E0CAE"/>
    <w:rsid w:val="004E7911"/>
    <w:rsid w:val="004E7FF3"/>
    <w:rsid w:val="004F2883"/>
    <w:rsid w:val="004F4573"/>
    <w:rsid w:val="005008AC"/>
    <w:rsid w:val="00501A75"/>
    <w:rsid w:val="00507D93"/>
    <w:rsid w:val="005275F3"/>
    <w:rsid w:val="00535223"/>
    <w:rsid w:val="005533F7"/>
    <w:rsid w:val="00570473"/>
    <w:rsid w:val="005744DE"/>
    <w:rsid w:val="005840FD"/>
    <w:rsid w:val="005842D0"/>
    <w:rsid w:val="00584AF5"/>
    <w:rsid w:val="00591707"/>
    <w:rsid w:val="005938DD"/>
    <w:rsid w:val="005B1456"/>
    <w:rsid w:val="005B307D"/>
    <w:rsid w:val="005B3916"/>
    <w:rsid w:val="005C1AAB"/>
    <w:rsid w:val="005C64C3"/>
    <w:rsid w:val="005D201D"/>
    <w:rsid w:val="005E08A1"/>
    <w:rsid w:val="00601822"/>
    <w:rsid w:val="00602DE7"/>
    <w:rsid w:val="006243AC"/>
    <w:rsid w:val="0063216D"/>
    <w:rsid w:val="006379D6"/>
    <w:rsid w:val="0064392B"/>
    <w:rsid w:val="00643B45"/>
    <w:rsid w:val="00644DAC"/>
    <w:rsid w:val="00645DE2"/>
    <w:rsid w:val="00653524"/>
    <w:rsid w:val="00654BA7"/>
    <w:rsid w:val="00663C5A"/>
    <w:rsid w:val="00671A66"/>
    <w:rsid w:val="0067296C"/>
    <w:rsid w:val="00681746"/>
    <w:rsid w:val="00684422"/>
    <w:rsid w:val="00686EFA"/>
    <w:rsid w:val="00687E30"/>
    <w:rsid w:val="00696D6E"/>
    <w:rsid w:val="006975C2"/>
    <w:rsid w:val="0069784E"/>
    <w:rsid w:val="006A267D"/>
    <w:rsid w:val="006A7747"/>
    <w:rsid w:val="006B2B88"/>
    <w:rsid w:val="006B7439"/>
    <w:rsid w:val="006C680B"/>
    <w:rsid w:val="006D069A"/>
    <w:rsid w:val="006D0725"/>
    <w:rsid w:val="006D6ED0"/>
    <w:rsid w:val="006E0064"/>
    <w:rsid w:val="006E46F2"/>
    <w:rsid w:val="006E6052"/>
    <w:rsid w:val="006E6A64"/>
    <w:rsid w:val="006F462A"/>
    <w:rsid w:val="007070E9"/>
    <w:rsid w:val="00712F32"/>
    <w:rsid w:val="0071313B"/>
    <w:rsid w:val="00724B0D"/>
    <w:rsid w:val="00725114"/>
    <w:rsid w:val="007264EB"/>
    <w:rsid w:val="00727D7D"/>
    <w:rsid w:val="007326B7"/>
    <w:rsid w:val="00735C6B"/>
    <w:rsid w:val="007368CB"/>
    <w:rsid w:val="00742B5B"/>
    <w:rsid w:val="00744135"/>
    <w:rsid w:val="007613B2"/>
    <w:rsid w:val="00764455"/>
    <w:rsid w:val="00767701"/>
    <w:rsid w:val="0077331F"/>
    <w:rsid w:val="007812EC"/>
    <w:rsid w:val="007818A4"/>
    <w:rsid w:val="007838F9"/>
    <w:rsid w:val="007851C1"/>
    <w:rsid w:val="007868A7"/>
    <w:rsid w:val="00786B03"/>
    <w:rsid w:val="0078769C"/>
    <w:rsid w:val="00793E42"/>
    <w:rsid w:val="007A2E83"/>
    <w:rsid w:val="007A3E1B"/>
    <w:rsid w:val="007B483B"/>
    <w:rsid w:val="007B5441"/>
    <w:rsid w:val="007C00B1"/>
    <w:rsid w:val="007C181E"/>
    <w:rsid w:val="007D17A7"/>
    <w:rsid w:val="007D6AED"/>
    <w:rsid w:val="007D7F0D"/>
    <w:rsid w:val="007E1D48"/>
    <w:rsid w:val="007E5661"/>
    <w:rsid w:val="007E657F"/>
    <w:rsid w:val="007E794E"/>
    <w:rsid w:val="00800866"/>
    <w:rsid w:val="00802E2D"/>
    <w:rsid w:val="008070E5"/>
    <w:rsid w:val="00813594"/>
    <w:rsid w:val="00813D77"/>
    <w:rsid w:val="00825828"/>
    <w:rsid w:val="008415A2"/>
    <w:rsid w:val="00845EE6"/>
    <w:rsid w:val="00851344"/>
    <w:rsid w:val="008553A7"/>
    <w:rsid w:val="0085756D"/>
    <w:rsid w:val="00857AB7"/>
    <w:rsid w:val="00857E98"/>
    <w:rsid w:val="008664CC"/>
    <w:rsid w:val="00873147"/>
    <w:rsid w:val="0087368F"/>
    <w:rsid w:val="0088533A"/>
    <w:rsid w:val="008861B3"/>
    <w:rsid w:val="00891B5B"/>
    <w:rsid w:val="008A075B"/>
    <w:rsid w:val="008A4450"/>
    <w:rsid w:val="008B51C0"/>
    <w:rsid w:val="008D237D"/>
    <w:rsid w:val="008D607E"/>
    <w:rsid w:val="008E068B"/>
    <w:rsid w:val="008F0EC3"/>
    <w:rsid w:val="008F2A0B"/>
    <w:rsid w:val="0090604E"/>
    <w:rsid w:val="00916579"/>
    <w:rsid w:val="0092180B"/>
    <w:rsid w:val="00923BD9"/>
    <w:rsid w:val="009465AF"/>
    <w:rsid w:val="00953E66"/>
    <w:rsid w:val="00956FEC"/>
    <w:rsid w:val="00956FEE"/>
    <w:rsid w:val="00961490"/>
    <w:rsid w:val="0096173F"/>
    <w:rsid w:val="00967B90"/>
    <w:rsid w:val="0097039E"/>
    <w:rsid w:val="009713D5"/>
    <w:rsid w:val="00981184"/>
    <w:rsid w:val="009943E1"/>
    <w:rsid w:val="009966F3"/>
    <w:rsid w:val="009B25BA"/>
    <w:rsid w:val="009D1764"/>
    <w:rsid w:val="009D4B6B"/>
    <w:rsid w:val="009D68F9"/>
    <w:rsid w:val="009D7D9D"/>
    <w:rsid w:val="009E27C7"/>
    <w:rsid w:val="009E43E0"/>
    <w:rsid w:val="009E4C02"/>
    <w:rsid w:val="009E5B2D"/>
    <w:rsid w:val="009F1BC8"/>
    <w:rsid w:val="009F454D"/>
    <w:rsid w:val="00A05857"/>
    <w:rsid w:val="00A13AB1"/>
    <w:rsid w:val="00A33A05"/>
    <w:rsid w:val="00A446BE"/>
    <w:rsid w:val="00A46C8B"/>
    <w:rsid w:val="00A553A2"/>
    <w:rsid w:val="00A64FA6"/>
    <w:rsid w:val="00A74930"/>
    <w:rsid w:val="00A80A73"/>
    <w:rsid w:val="00AA114E"/>
    <w:rsid w:val="00AA4F04"/>
    <w:rsid w:val="00AA5BB1"/>
    <w:rsid w:val="00AA5CCF"/>
    <w:rsid w:val="00AA5E65"/>
    <w:rsid w:val="00AB1FF7"/>
    <w:rsid w:val="00AC27CC"/>
    <w:rsid w:val="00AD1072"/>
    <w:rsid w:val="00AD2746"/>
    <w:rsid w:val="00AD2E08"/>
    <w:rsid w:val="00AD5727"/>
    <w:rsid w:val="00AE03DA"/>
    <w:rsid w:val="00AE7630"/>
    <w:rsid w:val="00AF4708"/>
    <w:rsid w:val="00B04AE3"/>
    <w:rsid w:val="00B101F0"/>
    <w:rsid w:val="00B21CC9"/>
    <w:rsid w:val="00B22852"/>
    <w:rsid w:val="00B27B95"/>
    <w:rsid w:val="00B34AF2"/>
    <w:rsid w:val="00B469F2"/>
    <w:rsid w:val="00B56638"/>
    <w:rsid w:val="00B5759E"/>
    <w:rsid w:val="00B601D6"/>
    <w:rsid w:val="00B62F80"/>
    <w:rsid w:val="00B672B6"/>
    <w:rsid w:val="00B730BB"/>
    <w:rsid w:val="00B86C06"/>
    <w:rsid w:val="00B94935"/>
    <w:rsid w:val="00B96862"/>
    <w:rsid w:val="00B976CB"/>
    <w:rsid w:val="00BB1A7A"/>
    <w:rsid w:val="00BB65F1"/>
    <w:rsid w:val="00BC26D6"/>
    <w:rsid w:val="00BC3E7A"/>
    <w:rsid w:val="00BC59DC"/>
    <w:rsid w:val="00BD11D5"/>
    <w:rsid w:val="00BD37FA"/>
    <w:rsid w:val="00BF149E"/>
    <w:rsid w:val="00BF180E"/>
    <w:rsid w:val="00BF4E3E"/>
    <w:rsid w:val="00C0251E"/>
    <w:rsid w:val="00C03160"/>
    <w:rsid w:val="00C04758"/>
    <w:rsid w:val="00C06DD9"/>
    <w:rsid w:val="00C06FC1"/>
    <w:rsid w:val="00C07CBC"/>
    <w:rsid w:val="00C132AD"/>
    <w:rsid w:val="00C15B64"/>
    <w:rsid w:val="00C17999"/>
    <w:rsid w:val="00C31B9A"/>
    <w:rsid w:val="00C33B66"/>
    <w:rsid w:val="00C34E90"/>
    <w:rsid w:val="00C372DF"/>
    <w:rsid w:val="00C41841"/>
    <w:rsid w:val="00C42A40"/>
    <w:rsid w:val="00C45E68"/>
    <w:rsid w:val="00C47E90"/>
    <w:rsid w:val="00C50360"/>
    <w:rsid w:val="00C52C07"/>
    <w:rsid w:val="00C52D17"/>
    <w:rsid w:val="00C63C2E"/>
    <w:rsid w:val="00C718CE"/>
    <w:rsid w:val="00C7564A"/>
    <w:rsid w:val="00C82E66"/>
    <w:rsid w:val="00C83DA4"/>
    <w:rsid w:val="00C84C09"/>
    <w:rsid w:val="00C863F0"/>
    <w:rsid w:val="00C877E8"/>
    <w:rsid w:val="00C954B2"/>
    <w:rsid w:val="00CA1A88"/>
    <w:rsid w:val="00CA3787"/>
    <w:rsid w:val="00CC0C77"/>
    <w:rsid w:val="00CE3534"/>
    <w:rsid w:val="00CF29B7"/>
    <w:rsid w:val="00CF4675"/>
    <w:rsid w:val="00D00F27"/>
    <w:rsid w:val="00D057EC"/>
    <w:rsid w:val="00D12B14"/>
    <w:rsid w:val="00D26839"/>
    <w:rsid w:val="00D33DF9"/>
    <w:rsid w:val="00D4456A"/>
    <w:rsid w:val="00D47781"/>
    <w:rsid w:val="00D54F36"/>
    <w:rsid w:val="00D61860"/>
    <w:rsid w:val="00D6595E"/>
    <w:rsid w:val="00D7152A"/>
    <w:rsid w:val="00D81CD3"/>
    <w:rsid w:val="00D86ABE"/>
    <w:rsid w:val="00D91F65"/>
    <w:rsid w:val="00DA0063"/>
    <w:rsid w:val="00DA65BF"/>
    <w:rsid w:val="00DD0972"/>
    <w:rsid w:val="00DD5EC3"/>
    <w:rsid w:val="00DE20E2"/>
    <w:rsid w:val="00DF200F"/>
    <w:rsid w:val="00DF603C"/>
    <w:rsid w:val="00DF6858"/>
    <w:rsid w:val="00DF7E93"/>
    <w:rsid w:val="00E0369E"/>
    <w:rsid w:val="00E04B31"/>
    <w:rsid w:val="00E06B42"/>
    <w:rsid w:val="00E1200E"/>
    <w:rsid w:val="00E165B6"/>
    <w:rsid w:val="00E2037D"/>
    <w:rsid w:val="00E234F3"/>
    <w:rsid w:val="00E3722B"/>
    <w:rsid w:val="00E6083A"/>
    <w:rsid w:val="00E64DE0"/>
    <w:rsid w:val="00E66F70"/>
    <w:rsid w:val="00E751DB"/>
    <w:rsid w:val="00E7583B"/>
    <w:rsid w:val="00E7651B"/>
    <w:rsid w:val="00E84B88"/>
    <w:rsid w:val="00E854C8"/>
    <w:rsid w:val="00E87321"/>
    <w:rsid w:val="00E95404"/>
    <w:rsid w:val="00E971CE"/>
    <w:rsid w:val="00E97D6F"/>
    <w:rsid w:val="00EA1F3E"/>
    <w:rsid w:val="00EA4146"/>
    <w:rsid w:val="00EA4C1B"/>
    <w:rsid w:val="00EA6B80"/>
    <w:rsid w:val="00EB5D3C"/>
    <w:rsid w:val="00EC2FAC"/>
    <w:rsid w:val="00EC6D62"/>
    <w:rsid w:val="00ED16F4"/>
    <w:rsid w:val="00ED2D52"/>
    <w:rsid w:val="00ED55B0"/>
    <w:rsid w:val="00EE2DA0"/>
    <w:rsid w:val="00EE2EB8"/>
    <w:rsid w:val="00EE3038"/>
    <w:rsid w:val="00EE4162"/>
    <w:rsid w:val="00EF05C1"/>
    <w:rsid w:val="00EF580B"/>
    <w:rsid w:val="00F065EC"/>
    <w:rsid w:val="00F06653"/>
    <w:rsid w:val="00F114D0"/>
    <w:rsid w:val="00F20CD6"/>
    <w:rsid w:val="00F22384"/>
    <w:rsid w:val="00F41285"/>
    <w:rsid w:val="00F569E4"/>
    <w:rsid w:val="00F6138D"/>
    <w:rsid w:val="00F65AC0"/>
    <w:rsid w:val="00F751EC"/>
    <w:rsid w:val="00F76799"/>
    <w:rsid w:val="00F8173D"/>
    <w:rsid w:val="00F94CDD"/>
    <w:rsid w:val="00F96BBB"/>
    <w:rsid w:val="00F97577"/>
    <w:rsid w:val="00FA1F77"/>
    <w:rsid w:val="00FA6C44"/>
    <w:rsid w:val="00FA7039"/>
    <w:rsid w:val="00FB37F8"/>
    <w:rsid w:val="00FC0385"/>
    <w:rsid w:val="00FC6A40"/>
    <w:rsid w:val="00FD2743"/>
    <w:rsid w:val="00FD2C77"/>
    <w:rsid w:val="00FD32D2"/>
    <w:rsid w:val="00FE0BFB"/>
    <w:rsid w:val="00FE59DC"/>
    <w:rsid w:val="00FE5ABE"/>
    <w:rsid w:val="00FE7178"/>
    <w:rsid w:val="00FE7F51"/>
    <w:rsid w:val="00FE7F77"/>
    <w:rsid w:val="00FF2C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8798FA"/>
  <w15:docId w15:val="{3912A0F5-CAB8-4693-BFF4-979D0A82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Encabezado">
    <w:name w:val="header"/>
    <w:basedOn w:val="Normal"/>
    <w:link w:val="EncabezadoCar"/>
    <w:uiPriority w:val="99"/>
    <w:unhideWhenUsed/>
    <w:rsid w:val="00CD74AE"/>
    <w:pPr>
      <w:tabs>
        <w:tab w:val="center" w:pos="4419"/>
        <w:tab w:val="right" w:pos="8838"/>
      </w:tabs>
    </w:pPr>
  </w:style>
  <w:style w:type="character" w:customStyle="1" w:styleId="EncabezadoCar">
    <w:name w:val="Encabezado Car"/>
    <w:basedOn w:val="Fuentedeprrafopredeter"/>
    <w:link w:val="Encabezado"/>
    <w:uiPriority w:val="99"/>
    <w:rsid w:val="00CD74AE"/>
  </w:style>
  <w:style w:type="paragraph" w:styleId="Piedepgina">
    <w:name w:val="footer"/>
    <w:basedOn w:val="Normal"/>
    <w:link w:val="PiedepginaCar"/>
    <w:uiPriority w:val="99"/>
    <w:unhideWhenUsed/>
    <w:rsid w:val="00CD74AE"/>
    <w:pPr>
      <w:tabs>
        <w:tab w:val="center" w:pos="4419"/>
        <w:tab w:val="right" w:pos="8838"/>
      </w:tabs>
    </w:pPr>
  </w:style>
  <w:style w:type="character" w:customStyle="1" w:styleId="PiedepginaCar">
    <w:name w:val="Pie de página Car"/>
    <w:basedOn w:val="Fuentedeprrafopredeter"/>
    <w:link w:val="Piedepgina"/>
    <w:uiPriority w:val="99"/>
    <w:rsid w:val="00CD74AE"/>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1"/>
    <w:qFormat/>
    <w:rsid w:val="00CD74AE"/>
    <w:pPr>
      <w:ind w:left="720"/>
      <w:contextualSpacing/>
    </w:pPr>
  </w:style>
  <w:style w:type="character" w:styleId="Hipervnculo">
    <w:name w:val="Hyperlink"/>
    <w:aliases w:val="Hipervínculo1,Hipervínculo11,Hipervínculo12,Hipervínculo13,Hipervínculo14,Hipervínculo15"/>
    <w:basedOn w:val="Fuentedeprrafopredeter"/>
    <w:uiPriority w:val="99"/>
    <w:unhideWhenUsed/>
    <w:qFormat/>
    <w:rsid w:val="00CD74AE"/>
    <w:rPr>
      <w:color w:val="0563C1" w:themeColor="hyperlink"/>
      <w:u w:val="single"/>
    </w:rPr>
  </w:style>
  <w:style w:type="table" w:styleId="Tablaconcuadrcula">
    <w:name w:val="Table Grid"/>
    <w:basedOn w:val="Tablanormal"/>
    <w:uiPriority w:val="39"/>
    <w:rsid w:val="009C1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2AA5"/>
    <w:pPr>
      <w:spacing w:before="100" w:beforeAutospacing="1" w:after="100" w:afterAutospacing="1"/>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F3FE6"/>
  </w:style>
  <w:style w:type="table" w:customStyle="1" w:styleId="6">
    <w:name w:val="6"/>
    <w:basedOn w:val="TableNormal10"/>
    <w:tblPr>
      <w:tblStyleRowBandSize w:val="1"/>
      <w:tblStyleColBandSize w:val="1"/>
      <w:tblCellMar>
        <w:top w:w="15" w:type="dxa"/>
        <w:left w:w="15" w:type="dxa"/>
        <w:bottom w:w="15" w:type="dxa"/>
        <w:right w:w="15" w:type="dxa"/>
      </w:tblCellMar>
    </w:tblPr>
  </w:style>
  <w:style w:type="table" w:customStyle="1" w:styleId="5">
    <w:name w:val="5"/>
    <w:basedOn w:val="TableNormal10"/>
    <w:tblPr>
      <w:tblStyleRowBandSize w:val="1"/>
      <w:tblStyleColBandSize w:val="1"/>
      <w:tblCellMar>
        <w:left w:w="115" w:type="dxa"/>
        <w:right w:w="115" w:type="dxa"/>
      </w:tblCellMar>
    </w:tblPr>
  </w:style>
  <w:style w:type="table" w:customStyle="1" w:styleId="4">
    <w:name w:val="4"/>
    <w:basedOn w:val="TableNormal10"/>
    <w:tblPr>
      <w:tblStyleRowBandSize w:val="1"/>
      <w:tblStyleColBandSize w:val="1"/>
      <w:tblCellMar>
        <w:left w:w="115" w:type="dxa"/>
        <w:right w:w="115" w:type="dxa"/>
      </w:tblCellMar>
    </w:tblPr>
  </w:style>
  <w:style w:type="table" w:customStyle="1" w:styleId="3">
    <w:name w:val="3"/>
    <w:basedOn w:val="TableNormal10"/>
    <w:tblPr>
      <w:tblStyleRowBandSize w:val="1"/>
      <w:tblStyleColBandSize w:val="1"/>
      <w:tblCellMar>
        <w:top w:w="15" w:type="dxa"/>
        <w:left w:w="115" w:type="dxa"/>
        <w:bottom w:w="15" w:type="dxa"/>
        <w:right w:w="115" w:type="dxa"/>
      </w:tblCellMar>
    </w:tblPr>
  </w:style>
  <w:style w:type="table" w:customStyle="1" w:styleId="2">
    <w:name w:val="2"/>
    <w:basedOn w:val="TableNormal10"/>
    <w:tblPr>
      <w:tblStyleRowBandSize w:val="1"/>
      <w:tblStyleColBandSize w:val="1"/>
      <w:tblCellMar>
        <w:top w:w="15" w:type="dxa"/>
        <w:left w:w="115" w:type="dxa"/>
        <w:bottom w:w="15" w:type="dxa"/>
        <w:right w:w="115" w:type="dxa"/>
      </w:tblCellMar>
    </w:tblPr>
  </w:style>
  <w:style w:type="table" w:customStyle="1" w:styleId="1">
    <w:name w:val="1"/>
    <w:basedOn w:val="TableNormal10"/>
    <w:tblPr>
      <w:tblStyleRowBandSize w:val="1"/>
      <w:tblStyleColBandSize w:val="1"/>
      <w:tblCellMar>
        <w:top w:w="15" w:type="dxa"/>
        <w:left w:w="115" w:type="dxa"/>
        <w:bottom w:w="15" w:type="dxa"/>
        <w:right w:w="115" w:type="dxa"/>
      </w:tblCellMar>
    </w:tblPr>
  </w:style>
  <w:style w:type="character" w:customStyle="1" w:styleId="Mencinsinresolver1">
    <w:name w:val="Mención sin resolver1"/>
    <w:basedOn w:val="Fuentedeprrafopredeter"/>
    <w:uiPriority w:val="99"/>
    <w:semiHidden/>
    <w:unhideWhenUsed/>
    <w:rsid w:val="00B63FC6"/>
    <w:rPr>
      <w:color w:val="605E5C"/>
      <w:shd w:val="clear" w:color="auto" w:fill="E1DFDD"/>
    </w:rPr>
  </w:style>
  <w:style w:type="character" w:customStyle="1" w:styleId="Mencinsinresolver2">
    <w:name w:val="Mención sin resolver2"/>
    <w:basedOn w:val="Fuentedeprrafopredeter"/>
    <w:uiPriority w:val="99"/>
    <w:semiHidden/>
    <w:unhideWhenUsed/>
    <w:rsid w:val="00AC79ED"/>
    <w:rPr>
      <w:color w:val="605E5C"/>
      <w:shd w:val="clear" w:color="auto" w:fill="E1DFDD"/>
    </w:rPr>
  </w:style>
  <w:style w:type="paragraph" w:customStyle="1" w:styleId="Default">
    <w:name w:val="Default"/>
    <w:rsid w:val="00A27592"/>
    <w:pPr>
      <w:autoSpaceDE w:val="0"/>
      <w:autoSpaceDN w:val="0"/>
      <w:adjustRightInd w:val="0"/>
    </w:pPr>
    <w:rPr>
      <w:rFonts w:ascii="Arial" w:hAnsi="Arial" w:cs="Arial"/>
      <w:color w:val="000000"/>
    </w:rPr>
  </w:style>
  <w:style w:type="character" w:customStyle="1" w:styleId="normaltextrun">
    <w:name w:val="normaltextrun"/>
    <w:basedOn w:val="Fuentedeprrafopredeter"/>
    <w:rsid w:val="002F3C2D"/>
  </w:style>
  <w:style w:type="paragraph" w:styleId="Sinespaciado">
    <w:name w:val="No Spacing"/>
    <w:aliases w:val="Francesa,INAI"/>
    <w:link w:val="SinespaciadoCar"/>
    <w:uiPriority w:val="1"/>
    <w:qFormat/>
    <w:rsid w:val="00F01E4E"/>
    <w:rPr>
      <w:lang w:val="es-ES" w:eastAsia="es-ES"/>
    </w:rPr>
  </w:style>
  <w:style w:type="character" w:customStyle="1" w:styleId="SinespaciadoCar">
    <w:name w:val="Sin espaciado Car"/>
    <w:aliases w:val="Francesa Car,INAI Car"/>
    <w:link w:val="Sinespaciado"/>
    <w:uiPriority w:val="1"/>
    <w:locked/>
    <w:rsid w:val="00F01E4E"/>
    <w:rPr>
      <w:rFonts w:ascii="Times New Roman" w:eastAsia="Times New Roman" w:hAnsi="Times New Roman" w:cs="Times New Roman"/>
      <w:sz w:val="24"/>
      <w:szCs w:val="24"/>
      <w:lang w:val="es-ES" w:eastAsia="es-ES"/>
    </w:rPr>
  </w:style>
  <w:style w:type="table" w:customStyle="1" w:styleId="9">
    <w:name w:val="9"/>
    <w:basedOn w:val="TableNormal20"/>
    <w:tblPr>
      <w:tblStyleRowBandSize w:val="1"/>
      <w:tblStyleColBandSize w:val="1"/>
      <w:tblCellMar>
        <w:left w:w="108" w:type="dxa"/>
        <w:right w:w="108" w:type="dxa"/>
      </w:tblCellMar>
    </w:tblPr>
  </w:style>
  <w:style w:type="table" w:customStyle="1" w:styleId="8">
    <w:name w:val="8"/>
    <w:basedOn w:val="TableNormal20"/>
    <w:tblPr>
      <w:tblStyleRowBandSize w:val="1"/>
      <w:tblStyleColBandSize w:val="1"/>
      <w:tblCellMar>
        <w:top w:w="15" w:type="dxa"/>
        <w:left w:w="115" w:type="dxa"/>
        <w:bottom w:w="15" w:type="dxa"/>
        <w:right w:w="115" w:type="dxa"/>
      </w:tblCellMar>
    </w:tblPr>
  </w:style>
  <w:style w:type="table" w:customStyle="1" w:styleId="7">
    <w:name w:val="7"/>
    <w:basedOn w:val="TableNormal20"/>
    <w:tblPr>
      <w:tblStyleRowBandSize w:val="1"/>
      <w:tblStyleColBandSize w:val="1"/>
      <w:tblCellMar>
        <w:top w:w="15" w:type="dxa"/>
        <w:left w:w="115" w:type="dxa"/>
        <w:bottom w:w="15" w:type="dxa"/>
        <w:right w:w="115" w:type="dxa"/>
      </w:tblCellMar>
    </w:tblPr>
  </w:style>
  <w:style w:type="character" w:customStyle="1" w:styleId="Mencinsinresolver3">
    <w:name w:val="Mención sin resolver3"/>
    <w:basedOn w:val="Fuentedeprrafopredeter"/>
    <w:uiPriority w:val="99"/>
    <w:semiHidden/>
    <w:unhideWhenUsed/>
    <w:rsid w:val="00B91EC4"/>
    <w:rPr>
      <w:color w:val="605E5C"/>
      <w:shd w:val="clear" w:color="auto" w:fill="E1DFDD"/>
    </w:rPr>
  </w:style>
  <w:style w:type="character" w:styleId="Refdecomentario">
    <w:name w:val="annotation reference"/>
    <w:basedOn w:val="Fuentedeprrafopredeter"/>
    <w:uiPriority w:val="99"/>
    <w:semiHidden/>
    <w:unhideWhenUsed/>
    <w:rsid w:val="007266CA"/>
    <w:rPr>
      <w:sz w:val="16"/>
      <w:szCs w:val="16"/>
    </w:rPr>
  </w:style>
  <w:style w:type="paragraph" w:styleId="Textocomentario">
    <w:name w:val="annotation text"/>
    <w:basedOn w:val="Normal"/>
    <w:link w:val="TextocomentarioCar"/>
    <w:uiPriority w:val="99"/>
    <w:semiHidden/>
    <w:unhideWhenUsed/>
    <w:rsid w:val="007266CA"/>
    <w:rPr>
      <w:sz w:val="20"/>
      <w:szCs w:val="20"/>
    </w:rPr>
  </w:style>
  <w:style w:type="character" w:customStyle="1" w:styleId="TextocomentarioCar">
    <w:name w:val="Texto comentario Car"/>
    <w:basedOn w:val="Fuentedeprrafopredeter"/>
    <w:link w:val="Textocomentario"/>
    <w:uiPriority w:val="99"/>
    <w:semiHidden/>
    <w:rsid w:val="007266CA"/>
    <w:rPr>
      <w:rFonts w:eastAsia="Times New Roman" w:cs="Times New Roman"/>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7266CA"/>
    <w:rPr>
      <w:b/>
      <w:bCs/>
    </w:rPr>
  </w:style>
  <w:style w:type="character" w:customStyle="1" w:styleId="AsuntodelcomentarioCar">
    <w:name w:val="Asunto del comentario Car"/>
    <w:basedOn w:val="TextocomentarioCar"/>
    <w:link w:val="Asuntodelcomentario"/>
    <w:uiPriority w:val="99"/>
    <w:semiHidden/>
    <w:rsid w:val="007266CA"/>
    <w:rPr>
      <w:rFonts w:eastAsia="Times New Roman" w:cs="Times New Roman"/>
      <w:b/>
      <w:bCs/>
      <w:sz w:val="20"/>
      <w:szCs w:val="20"/>
      <w:lang w:eastAsia="en-US"/>
    </w:rPr>
  </w:style>
  <w:style w:type="character" w:styleId="Textodelmarcadordeposicin">
    <w:name w:val="Placeholder Text"/>
    <w:basedOn w:val="Fuentedeprrafopredeter"/>
    <w:uiPriority w:val="99"/>
    <w:semiHidden/>
    <w:rsid w:val="007266CA"/>
    <w:rPr>
      <w:color w:val="808080"/>
    </w:rPr>
  </w:style>
  <w:style w:type="character" w:styleId="Hipervnculovisitado">
    <w:name w:val="FollowedHyperlink"/>
    <w:basedOn w:val="Fuentedeprrafopredeter"/>
    <w:uiPriority w:val="99"/>
    <w:semiHidden/>
    <w:unhideWhenUsed/>
    <w:rsid w:val="00FC1F2B"/>
    <w:rPr>
      <w:color w:val="954F72" w:themeColor="followed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C1F2B"/>
    <w:rPr>
      <w:rFonts w:asciiTheme="minorHAnsi" w:eastAsiaTheme="minorHAnsi" w:hAnsiTheme="minorHAnsi" w:cstheme="minorBidi"/>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FC1F2B"/>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FC1F2B"/>
    <w:rPr>
      <w:vertAlign w:val="superscript"/>
    </w:rPr>
  </w:style>
  <w:style w:type="character" w:customStyle="1" w:styleId="PuestoCar">
    <w:name w:val="Puesto Car"/>
    <w:aliases w:val="Cita textual Car"/>
    <w:basedOn w:val="Fuentedeprrafopredeter"/>
    <w:uiPriority w:val="10"/>
    <w:rsid w:val="00EC101D"/>
    <w:rPr>
      <w:rFonts w:eastAsia="Times New Roman" w:cs="Times New Roman"/>
      <w:b/>
      <w:sz w:val="72"/>
      <w:szCs w:val="72"/>
      <w:lang w:eastAsia="en-US"/>
    </w:rPr>
  </w:style>
  <w:style w:type="table" w:customStyle="1" w:styleId="Tablanormal11">
    <w:name w:val="Tabla normal 11"/>
    <w:basedOn w:val="Tablanormal"/>
    <w:uiPriority w:val="41"/>
    <w:rsid w:val="009A0A8D"/>
    <w:rPr>
      <w:rFonts w:asciiTheme="minorHAnsi" w:eastAsiaTheme="minorHAnsi"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basedOn w:val="TableNormal3"/>
    <w:tblPr>
      <w:tblStyleRowBandSize w:val="1"/>
      <w:tblStyleColBandSize w:val="1"/>
      <w:tblCellMar>
        <w:left w:w="115" w:type="dxa"/>
        <w:right w:w="115" w:type="dxa"/>
      </w:tblCellMar>
    </w:tblPr>
  </w:style>
  <w:style w:type="table" w:customStyle="1" w:styleId="a0">
    <w:basedOn w:val="TableNormal3"/>
    <w:tblPr>
      <w:tblStyleRowBandSize w:val="1"/>
      <w:tblStyleColBandSize w:val="1"/>
      <w:tblCellMar>
        <w:left w:w="115" w:type="dxa"/>
        <w:right w:w="115" w:type="dxa"/>
      </w:tblCellMar>
    </w:tblPr>
  </w:style>
  <w:style w:type="table" w:customStyle="1" w:styleId="a1">
    <w:basedOn w:val="TableNormal3"/>
    <w:tblPr>
      <w:tblStyleRowBandSize w:val="1"/>
      <w:tblStyleColBandSize w:val="1"/>
      <w:tblCellMar>
        <w:left w:w="115" w:type="dxa"/>
        <w:right w:w="115" w:type="dxa"/>
      </w:tblCellMar>
    </w:tblPr>
  </w:style>
  <w:style w:type="table" w:customStyle="1" w:styleId="a2">
    <w:basedOn w:val="TableNormal3"/>
    <w:tblPr>
      <w:tblStyleRowBandSize w:val="1"/>
      <w:tblStyleColBandSize w:val="1"/>
      <w:tblCellMar>
        <w:left w:w="115" w:type="dxa"/>
        <w:right w:w="115" w:type="dxa"/>
      </w:tblCellMar>
    </w:tblPr>
  </w:style>
  <w:style w:type="table" w:customStyle="1" w:styleId="a3">
    <w:basedOn w:val="TableNormal3"/>
    <w:tblPr>
      <w:tblStyleRowBandSize w:val="1"/>
      <w:tblStyleColBandSize w:val="1"/>
      <w:tblCellMar>
        <w:top w:w="15" w:type="dxa"/>
        <w:left w:w="115" w:type="dxa"/>
        <w:bottom w:w="15" w:type="dxa"/>
        <w:right w:w="115" w:type="dxa"/>
      </w:tblCellMar>
    </w:tblPr>
  </w:style>
  <w:style w:type="table" w:customStyle="1" w:styleId="a4">
    <w:basedOn w:val="TableNormal3"/>
    <w:tblPr>
      <w:tblStyleRowBandSize w:val="1"/>
      <w:tblStyleColBandSize w:val="1"/>
      <w:tblCellMar>
        <w:top w:w="15" w:type="dxa"/>
        <w:left w:w="115" w:type="dxa"/>
        <w:bottom w:w="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top w:w="15" w:type="dxa"/>
        <w:left w:w="115" w:type="dxa"/>
        <w:bottom w:w="15" w:type="dxa"/>
        <w:right w:w="115" w:type="dxa"/>
      </w:tblCellMar>
    </w:tblPr>
  </w:style>
  <w:style w:type="table" w:customStyle="1" w:styleId="aa">
    <w:basedOn w:val="TableNormal2"/>
    <w:tblPr>
      <w:tblStyleRowBandSize w:val="1"/>
      <w:tblStyleColBandSize w:val="1"/>
      <w:tblCellMar>
        <w:top w:w="15" w:type="dxa"/>
        <w:left w:w="115" w:type="dxa"/>
        <w:bottom w:w="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top w:w="15" w:type="dxa"/>
        <w:left w:w="115" w:type="dxa"/>
        <w:bottom w:w="15" w:type="dxa"/>
        <w:right w:w="115" w:type="dxa"/>
      </w:tblCellMar>
    </w:tblPr>
  </w:style>
  <w:style w:type="table" w:customStyle="1" w:styleId="af2">
    <w:basedOn w:val="TableNormal1"/>
    <w:tblPr>
      <w:tblStyleRowBandSize w:val="1"/>
      <w:tblStyleColBandSize w:val="1"/>
      <w:tblCellMar>
        <w:top w:w="15" w:type="dxa"/>
        <w:left w:w="115" w:type="dxa"/>
        <w:bottom w:w="15" w:type="dxa"/>
        <w:right w:w="115" w:type="dxa"/>
      </w:tblCellMar>
    </w:tblPr>
  </w:style>
  <w:style w:type="character" w:styleId="Textoennegrita">
    <w:name w:val="Strong"/>
    <w:basedOn w:val="Fuentedeprrafopredeter"/>
    <w:uiPriority w:val="22"/>
    <w:qFormat/>
    <w:rsid w:val="00AC6527"/>
    <w:rPr>
      <w:b/>
      <w:bCs/>
    </w:rPr>
  </w:style>
  <w:style w:type="character" w:customStyle="1" w:styleId="apple-tab-span">
    <w:name w:val="apple-tab-span"/>
    <w:basedOn w:val="Fuentedeprrafopredeter"/>
    <w:rsid w:val="00EB58F7"/>
  </w:style>
  <w:style w:type="paragraph" w:styleId="Listaconvietas3">
    <w:name w:val="List Bullet 3"/>
    <w:basedOn w:val="Normal"/>
    <w:uiPriority w:val="99"/>
    <w:unhideWhenUsed/>
    <w:rsid w:val="00AF720B"/>
    <w:pPr>
      <w:numPr>
        <w:numId w:val="1"/>
      </w:numPr>
      <w:contextualSpacing/>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top w:w="15" w:type="dxa"/>
        <w:left w:w="115" w:type="dxa"/>
        <w:bottom w:w="15" w:type="dxa"/>
        <w:right w:w="115" w:type="dxa"/>
      </w:tblCellMar>
    </w:tblPr>
  </w:style>
  <w:style w:type="table" w:customStyle="1" w:styleId="af5">
    <w:basedOn w:val="TableNormal0"/>
    <w:tblPr>
      <w:tblStyleRowBandSize w:val="1"/>
      <w:tblStyleColBandSize w:val="1"/>
      <w:tblCellMar>
        <w:top w:w="15" w:type="dxa"/>
        <w:left w:w="115" w:type="dxa"/>
        <w:bottom w:w="15" w:type="dxa"/>
        <w:right w:w="115" w:type="dxa"/>
      </w:tblCellMar>
    </w:tblPr>
  </w:style>
  <w:style w:type="paragraph" w:styleId="Listaconvietas">
    <w:name w:val="List Bullet"/>
    <w:basedOn w:val="Normal"/>
    <w:uiPriority w:val="99"/>
    <w:unhideWhenUsed/>
    <w:rsid w:val="00E97D6F"/>
    <w:pPr>
      <w:numPr>
        <w:numId w:val="3"/>
      </w:numPr>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7508">
      <w:bodyDiv w:val="1"/>
      <w:marLeft w:val="0"/>
      <w:marRight w:val="0"/>
      <w:marTop w:val="0"/>
      <w:marBottom w:val="0"/>
      <w:divBdr>
        <w:top w:val="none" w:sz="0" w:space="0" w:color="auto"/>
        <w:left w:val="none" w:sz="0" w:space="0" w:color="auto"/>
        <w:bottom w:val="none" w:sz="0" w:space="0" w:color="auto"/>
        <w:right w:val="none" w:sz="0" w:space="0" w:color="auto"/>
      </w:divBdr>
    </w:div>
    <w:div w:id="31002409">
      <w:bodyDiv w:val="1"/>
      <w:marLeft w:val="0"/>
      <w:marRight w:val="0"/>
      <w:marTop w:val="0"/>
      <w:marBottom w:val="0"/>
      <w:divBdr>
        <w:top w:val="none" w:sz="0" w:space="0" w:color="auto"/>
        <w:left w:val="none" w:sz="0" w:space="0" w:color="auto"/>
        <w:bottom w:val="none" w:sz="0" w:space="0" w:color="auto"/>
        <w:right w:val="none" w:sz="0" w:space="0" w:color="auto"/>
      </w:divBdr>
    </w:div>
    <w:div w:id="127281228">
      <w:bodyDiv w:val="1"/>
      <w:marLeft w:val="0"/>
      <w:marRight w:val="0"/>
      <w:marTop w:val="0"/>
      <w:marBottom w:val="0"/>
      <w:divBdr>
        <w:top w:val="none" w:sz="0" w:space="0" w:color="auto"/>
        <w:left w:val="none" w:sz="0" w:space="0" w:color="auto"/>
        <w:bottom w:val="none" w:sz="0" w:space="0" w:color="auto"/>
        <w:right w:val="none" w:sz="0" w:space="0" w:color="auto"/>
      </w:divBdr>
    </w:div>
    <w:div w:id="159007955">
      <w:bodyDiv w:val="1"/>
      <w:marLeft w:val="0"/>
      <w:marRight w:val="0"/>
      <w:marTop w:val="0"/>
      <w:marBottom w:val="0"/>
      <w:divBdr>
        <w:top w:val="none" w:sz="0" w:space="0" w:color="auto"/>
        <w:left w:val="none" w:sz="0" w:space="0" w:color="auto"/>
        <w:bottom w:val="none" w:sz="0" w:space="0" w:color="auto"/>
        <w:right w:val="none" w:sz="0" w:space="0" w:color="auto"/>
      </w:divBdr>
    </w:div>
    <w:div w:id="159319736">
      <w:bodyDiv w:val="1"/>
      <w:marLeft w:val="0"/>
      <w:marRight w:val="0"/>
      <w:marTop w:val="0"/>
      <w:marBottom w:val="0"/>
      <w:divBdr>
        <w:top w:val="none" w:sz="0" w:space="0" w:color="auto"/>
        <w:left w:val="none" w:sz="0" w:space="0" w:color="auto"/>
        <w:bottom w:val="none" w:sz="0" w:space="0" w:color="auto"/>
        <w:right w:val="none" w:sz="0" w:space="0" w:color="auto"/>
      </w:divBdr>
    </w:div>
    <w:div w:id="209388327">
      <w:bodyDiv w:val="1"/>
      <w:marLeft w:val="0"/>
      <w:marRight w:val="0"/>
      <w:marTop w:val="0"/>
      <w:marBottom w:val="0"/>
      <w:divBdr>
        <w:top w:val="none" w:sz="0" w:space="0" w:color="auto"/>
        <w:left w:val="none" w:sz="0" w:space="0" w:color="auto"/>
        <w:bottom w:val="none" w:sz="0" w:space="0" w:color="auto"/>
        <w:right w:val="none" w:sz="0" w:space="0" w:color="auto"/>
      </w:divBdr>
      <w:divsChild>
        <w:div w:id="831069968">
          <w:marLeft w:val="2008"/>
          <w:marRight w:val="899"/>
          <w:marTop w:val="0"/>
          <w:marBottom w:val="101"/>
          <w:divBdr>
            <w:top w:val="none" w:sz="0" w:space="0" w:color="auto"/>
            <w:left w:val="none" w:sz="0" w:space="0" w:color="auto"/>
            <w:bottom w:val="none" w:sz="0" w:space="0" w:color="auto"/>
            <w:right w:val="none" w:sz="0" w:space="0" w:color="auto"/>
          </w:divBdr>
        </w:div>
        <w:div w:id="937907235">
          <w:marLeft w:val="142"/>
          <w:marRight w:val="0"/>
          <w:marTop w:val="0"/>
          <w:marBottom w:val="101"/>
          <w:divBdr>
            <w:top w:val="none" w:sz="0" w:space="0" w:color="auto"/>
            <w:left w:val="none" w:sz="0" w:space="0" w:color="auto"/>
            <w:bottom w:val="none" w:sz="0" w:space="0" w:color="auto"/>
            <w:right w:val="none" w:sz="0" w:space="0" w:color="auto"/>
          </w:divBdr>
        </w:div>
        <w:div w:id="1678117466">
          <w:marLeft w:val="142"/>
          <w:marRight w:val="0"/>
          <w:marTop w:val="0"/>
          <w:marBottom w:val="101"/>
          <w:divBdr>
            <w:top w:val="none" w:sz="0" w:space="0" w:color="auto"/>
            <w:left w:val="none" w:sz="0" w:space="0" w:color="auto"/>
            <w:bottom w:val="none" w:sz="0" w:space="0" w:color="auto"/>
            <w:right w:val="none" w:sz="0" w:space="0" w:color="auto"/>
          </w:divBdr>
        </w:div>
        <w:div w:id="922689946">
          <w:marLeft w:val="1134"/>
          <w:marRight w:val="0"/>
          <w:marTop w:val="0"/>
          <w:marBottom w:val="101"/>
          <w:divBdr>
            <w:top w:val="none" w:sz="0" w:space="0" w:color="auto"/>
            <w:left w:val="none" w:sz="0" w:space="0" w:color="auto"/>
            <w:bottom w:val="none" w:sz="0" w:space="0" w:color="auto"/>
            <w:right w:val="none" w:sz="0" w:space="0" w:color="auto"/>
          </w:divBdr>
        </w:div>
        <w:div w:id="717438264">
          <w:marLeft w:val="1134"/>
          <w:marRight w:val="0"/>
          <w:marTop w:val="0"/>
          <w:marBottom w:val="90"/>
          <w:divBdr>
            <w:top w:val="none" w:sz="0" w:space="0" w:color="auto"/>
            <w:left w:val="none" w:sz="0" w:space="0" w:color="auto"/>
            <w:bottom w:val="none" w:sz="0" w:space="0" w:color="auto"/>
            <w:right w:val="none" w:sz="0" w:space="0" w:color="auto"/>
          </w:divBdr>
        </w:div>
        <w:div w:id="361058649">
          <w:marLeft w:val="1134"/>
          <w:marRight w:val="0"/>
          <w:marTop w:val="0"/>
          <w:marBottom w:val="90"/>
          <w:divBdr>
            <w:top w:val="none" w:sz="0" w:space="0" w:color="auto"/>
            <w:left w:val="none" w:sz="0" w:space="0" w:color="auto"/>
            <w:bottom w:val="none" w:sz="0" w:space="0" w:color="auto"/>
            <w:right w:val="none" w:sz="0" w:space="0" w:color="auto"/>
          </w:divBdr>
        </w:div>
        <w:div w:id="1498837083">
          <w:marLeft w:val="1134"/>
          <w:marRight w:val="0"/>
          <w:marTop w:val="0"/>
          <w:marBottom w:val="90"/>
          <w:divBdr>
            <w:top w:val="none" w:sz="0" w:space="0" w:color="auto"/>
            <w:left w:val="none" w:sz="0" w:space="0" w:color="auto"/>
            <w:bottom w:val="none" w:sz="0" w:space="0" w:color="auto"/>
            <w:right w:val="none" w:sz="0" w:space="0" w:color="auto"/>
          </w:divBdr>
        </w:div>
        <w:div w:id="1873807354">
          <w:marLeft w:val="1134"/>
          <w:marRight w:val="0"/>
          <w:marTop w:val="0"/>
          <w:marBottom w:val="90"/>
          <w:divBdr>
            <w:top w:val="none" w:sz="0" w:space="0" w:color="auto"/>
            <w:left w:val="none" w:sz="0" w:space="0" w:color="auto"/>
            <w:bottom w:val="none" w:sz="0" w:space="0" w:color="auto"/>
            <w:right w:val="none" w:sz="0" w:space="0" w:color="auto"/>
          </w:divBdr>
        </w:div>
        <w:div w:id="2118330463">
          <w:marLeft w:val="1134"/>
          <w:marRight w:val="0"/>
          <w:marTop w:val="0"/>
          <w:marBottom w:val="90"/>
          <w:divBdr>
            <w:top w:val="none" w:sz="0" w:space="0" w:color="auto"/>
            <w:left w:val="none" w:sz="0" w:space="0" w:color="auto"/>
            <w:bottom w:val="none" w:sz="0" w:space="0" w:color="auto"/>
            <w:right w:val="none" w:sz="0" w:space="0" w:color="auto"/>
          </w:divBdr>
        </w:div>
        <w:div w:id="1776057233">
          <w:marLeft w:val="0"/>
          <w:marRight w:val="0"/>
          <w:marTop w:val="0"/>
          <w:marBottom w:val="90"/>
          <w:divBdr>
            <w:top w:val="none" w:sz="0" w:space="0" w:color="auto"/>
            <w:left w:val="none" w:sz="0" w:space="0" w:color="auto"/>
            <w:bottom w:val="none" w:sz="0" w:space="0" w:color="auto"/>
            <w:right w:val="none" w:sz="0" w:space="0" w:color="auto"/>
          </w:divBdr>
        </w:div>
        <w:div w:id="625046997">
          <w:marLeft w:val="0"/>
          <w:marRight w:val="0"/>
          <w:marTop w:val="0"/>
          <w:marBottom w:val="90"/>
          <w:divBdr>
            <w:top w:val="none" w:sz="0" w:space="0" w:color="auto"/>
            <w:left w:val="none" w:sz="0" w:space="0" w:color="auto"/>
            <w:bottom w:val="none" w:sz="0" w:space="0" w:color="auto"/>
            <w:right w:val="none" w:sz="0" w:space="0" w:color="auto"/>
          </w:divBdr>
        </w:div>
        <w:div w:id="132993266">
          <w:marLeft w:val="0"/>
          <w:marRight w:val="0"/>
          <w:marTop w:val="0"/>
          <w:marBottom w:val="90"/>
          <w:divBdr>
            <w:top w:val="none" w:sz="0" w:space="0" w:color="auto"/>
            <w:left w:val="none" w:sz="0" w:space="0" w:color="auto"/>
            <w:bottom w:val="none" w:sz="0" w:space="0" w:color="auto"/>
            <w:right w:val="none" w:sz="0" w:space="0" w:color="auto"/>
          </w:divBdr>
        </w:div>
        <w:div w:id="62333474">
          <w:marLeft w:val="0"/>
          <w:marRight w:val="0"/>
          <w:marTop w:val="0"/>
          <w:marBottom w:val="90"/>
          <w:divBdr>
            <w:top w:val="none" w:sz="0" w:space="0" w:color="auto"/>
            <w:left w:val="none" w:sz="0" w:space="0" w:color="auto"/>
            <w:bottom w:val="none" w:sz="0" w:space="0" w:color="auto"/>
            <w:right w:val="none" w:sz="0" w:space="0" w:color="auto"/>
          </w:divBdr>
        </w:div>
        <w:div w:id="2107578680">
          <w:marLeft w:val="0"/>
          <w:marRight w:val="0"/>
          <w:marTop w:val="0"/>
          <w:marBottom w:val="90"/>
          <w:divBdr>
            <w:top w:val="none" w:sz="0" w:space="0" w:color="auto"/>
            <w:left w:val="none" w:sz="0" w:space="0" w:color="auto"/>
            <w:bottom w:val="none" w:sz="0" w:space="0" w:color="auto"/>
            <w:right w:val="none" w:sz="0" w:space="0" w:color="auto"/>
          </w:divBdr>
        </w:div>
        <w:div w:id="384765357">
          <w:marLeft w:val="0"/>
          <w:marRight w:val="0"/>
          <w:marTop w:val="0"/>
          <w:marBottom w:val="90"/>
          <w:divBdr>
            <w:top w:val="none" w:sz="0" w:space="0" w:color="auto"/>
            <w:left w:val="none" w:sz="0" w:space="0" w:color="auto"/>
            <w:bottom w:val="none" w:sz="0" w:space="0" w:color="auto"/>
            <w:right w:val="none" w:sz="0" w:space="0" w:color="auto"/>
          </w:divBdr>
        </w:div>
        <w:div w:id="1156459453">
          <w:marLeft w:val="0"/>
          <w:marRight w:val="0"/>
          <w:marTop w:val="0"/>
          <w:marBottom w:val="90"/>
          <w:divBdr>
            <w:top w:val="none" w:sz="0" w:space="0" w:color="auto"/>
            <w:left w:val="none" w:sz="0" w:space="0" w:color="auto"/>
            <w:bottom w:val="none" w:sz="0" w:space="0" w:color="auto"/>
            <w:right w:val="none" w:sz="0" w:space="0" w:color="auto"/>
          </w:divBdr>
        </w:div>
        <w:div w:id="133448775">
          <w:marLeft w:val="0"/>
          <w:marRight w:val="0"/>
          <w:marTop w:val="0"/>
          <w:marBottom w:val="90"/>
          <w:divBdr>
            <w:top w:val="none" w:sz="0" w:space="0" w:color="auto"/>
            <w:left w:val="none" w:sz="0" w:space="0" w:color="auto"/>
            <w:bottom w:val="none" w:sz="0" w:space="0" w:color="auto"/>
            <w:right w:val="none" w:sz="0" w:space="0" w:color="auto"/>
          </w:divBdr>
        </w:div>
        <w:div w:id="1774783119">
          <w:marLeft w:val="284"/>
          <w:marRight w:val="899"/>
          <w:marTop w:val="0"/>
          <w:marBottom w:val="90"/>
          <w:divBdr>
            <w:top w:val="none" w:sz="0" w:space="0" w:color="auto"/>
            <w:left w:val="none" w:sz="0" w:space="0" w:color="auto"/>
            <w:bottom w:val="none" w:sz="0" w:space="0" w:color="auto"/>
            <w:right w:val="none" w:sz="0" w:space="0" w:color="auto"/>
          </w:divBdr>
        </w:div>
        <w:div w:id="392853931">
          <w:marLeft w:val="1701"/>
          <w:marRight w:val="899"/>
          <w:marTop w:val="0"/>
          <w:marBottom w:val="90"/>
          <w:divBdr>
            <w:top w:val="none" w:sz="0" w:space="0" w:color="auto"/>
            <w:left w:val="none" w:sz="0" w:space="0" w:color="auto"/>
            <w:bottom w:val="none" w:sz="0" w:space="0" w:color="auto"/>
            <w:right w:val="none" w:sz="0" w:space="0" w:color="auto"/>
          </w:divBdr>
        </w:div>
        <w:div w:id="977882467">
          <w:marLeft w:val="1701"/>
          <w:marRight w:val="899"/>
          <w:marTop w:val="0"/>
          <w:marBottom w:val="90"/>
          <w:divBdr>
            <w:top w:val="none" w:sz="0" w:space="0" w:color="auto"/>
            <w:left w:val="none" w:sz="0" w:space="0" w:color="auto"/>
            <w:bottom w:val="none" w:sz="0" w:space="0" w:color="auto"/>
            <w:right w:val="none" w:sz="0" w:space="0" w:color="auto"/>
          </w:divBdr>
        </w:div>
        <w:div w:id="1527601971">
          <w:marLeft w:val="1700"/>
          <w:marRight w:val="893"/>
          <w:marTop w:val="0"/>
          <w:marBottom w:val="90"/>
          <w:divBdr>
            <w:top w:val="none" w:sz="0" w:space="0" w:color="auto"/>
            <w:left w:val="none" w:sz="0" w:space="0" w:color="auto"/>
            <w:bottom w:val="none" w:sz="0" w:space="0" w:color="auto"/>
            <w:right w:val="none" w:sz="0" w:space="0" w:color="auto"/>
          </w:divBdr>
        </w:div>
        <w:div w:id="1297225945">
          <w:marLeft w:val="1700"/>
          <w:marRight w:val="893"/>
          <w:marTop w:val="0"/>
          <w:marBottom w:val="90"/>
          <w:divBdr>
            <w:top w:val="none" w:sz="0" w:space="0" w:color="auto"/>
            <w:left w:val="none" w:sz="0" w:space="0" w:color="auto"/>
            <w:bottom w:val="none" w:sz="0" w:space="0" w:color="auto"/>
            <w:right w:val="none" w:sz="0" w:space="0" w:color="auto"/>
          </w:divBdr>
        </w:div>
        <w:div w:id="1058431180">
          <w:marLeft w:val="1700"/>
          <w:marRight w:val="893"/>
          <w:marTop w:val="0"/>
          <w:marBottom w:val="90"/>
          <w:divBdr>
            <w:top w:val="none" w:sz="0" w:space="0" w:color="auto"/>
            <w:left w:val="none" w:sz="0" w:space="0" w:color="auto"/>
            <w:bottom w:val="none" w:sz="0" w:space="0" w:color="auto"/>
            <w:right w:val="none" w:sz="0" w:space="0" w:color="auto"/>
          </w:divBdr>
        </w:div>
        <w:div w:id="595527591">
          <w:marLeft w:val="1700"/>
          <w:marRight w:val="893"/>
          <w:marTop w:val="0"/>
          <w:marBottom w:val="90"/>
          <w:divBdr>
            <w:top w:val="none" w:sz="0" w:space="0" w:color="auto"/>
            <w:left w:val="none" w:sz="0" w:space="0" w:color="auto"/>
            <w:bottom w:val="none" w:sz="0" w:space="0" w:color="auto"/>
            <w:right w:val="none" w:sz="0" w:space="0" w:color="auto"/>
          </w:divBdr>
        </w:div>
        <w:div w:id="397022278">
          <w:marLeft w:val="1700"/>
          <w:marRight w:val="893"/>
          <w:marTop w:val="0"/>
          <w:marBottom w:val="90"/>
          <w:divBdr>
            <w:top w:val="none" w:sz="0" w:space="0" w:color="auto"/>
            <w:left w:val="none" w:sz="0" w:space="0" w:color="auto"/>
            <w:bottom w:val="none" w:sz="0" w:space="0" w:color="auto"/>
            <w:right w:val="none" w:sz="0" w:space="0" w:color="auto"/>
          </w:divBdr>
        </w:div>
        <w:div w:id="1527063520">
          <w:marLeft w:val="1700"/>
          <w:marRight w:val="893"/>
          <w:marTop w:val="0"/>
          <w:marBottom w:val="90"/>
          <w:divBdr>
            <w:top w:val="none" w:sz="0" w:space="0" w:color="auto"/>
            <w:left w:val="none" w:sz="0" w:space="0" w:color="auto"/>
            <w:bottom w:val="none" w:sz="0" w:space="0" w:color="auto"/>
            <w:right w:val="none" w:sz="0" w:space="0" w:color="auto"/>
          </w:divBdr>
        </w:div>
        <w:div w:id="1764760232">
          <w:marLeft w:val="1700"/>
          <w:marRight w:val="893"/>
          <w:marTop w:val="0"/>
          <w:marBottom w:val="90"/>
          <w:divBdr>
            <w:top w:val="none" w:sz="0" w:space="0" w:color="auto"/>
            <w:left w:val="none" w:sz="0" w:space="0" w:color="auto"/>
            <w:bottom w:val="none" w:sz="0" w:space="0" w:color="auto"/>
            <w:right w:val="none" w:sz="0" w:space="0" w:color="auto"/>
          </w:divBdr>
        </w:div>
        <w:div w:id="519204345">
          <w:marLeft w:val="1700"/>
          <w:marRight w:val="893"/>
          <w:marTop w:val="0"/>
          <w:marBottom w:val="90"/>
          <w:divBdr>
            <w:top w:val="none" w:sz="0" w:space="0" w:color="auto"/>
            <w:left w:val="none" w:sz="0" w:space="0" w:color="auto"/>
            <w:bottom w:val="none" w:sz="0" w:space="0" w:color="auto"/>
            <w:right w:val="none" w:sz="0" w:space="0" w:color="auto"/>
          </w:divBdr>
        </w:div>
        <w:div w:id="321664269">
          <w:marLeft w:val="1701"/>
          <w:marRight w:val="899"/>
          <w:marTop w:val="0"/>
          <w:marBottom w:val="90"/>
          <w:divBdr>
            <w:top w:val="none" w:sz="0" w:space="0" w:color="auto"/>
            <w:left w:val="none" w:sz="0" w:space="0" w:color="auto"/>
            <w:bottom w:val="none" w:sz="0" w:space="0" w:color="auto"/>
            <w:right w:val="none" w:sz="0" w:space="0" w:color="auto"/>
          </w:divBdr>
        </w:div>
        <w:div w:id="1248224715">
          <w:marLeft w:val="1701"/>
          <w:marRight w:val="899"/>
          <w:marTop w:val="0"/>
          <w:marBottom w:val="101"/>
          <w:divBdr>
            <w:top w:val="none" w:sz="0" w:space="0" w:color="auto"/>
            <w:left w:val="none" w:sz="0" w:space="0" w:color="auto"/>
            <w:bottom w:val="none" w:sz="0" w:space="0" w:color="auto"/>
            <w:right w:val="none" w:sz="0" w:space="0" w:color="auto"/>
          </w:divBdr>
        </w:div>
        <w:div w:id="889077230">
          <w:marLeft w:val="1701"/>
          <w:marRight w:val="899"/>
          <w:marTop w:val="0"/>
          <w:marBottom w:val="101"/>
          <w:divBdr>
            <w:top w:val="none" w:sz="0" w:space="0" w:color="auto"/>
            <w:left w:val="none" w:sz="0" w:space="0" w:color="auto"/>
            <w:bottom w:val="none" w:sz="0" w:space="0" w:color="auto"/>
            <w:right w:val="none" w:sz="0" w:space="0" w:color="auto"/>
          </w:divBdr>
        </w:div>
        <w:div w:id="1954239455">
          <w:marLeft w:val="1701"/>
          <w:marRight w:val="899"/>
          <w:marTop w:val="0"/>
          <w:marBottom w:val="101"/>
          <w:divBdr>
            <w:top w:val="none" w:sz="0" w:space="0" w:color="auto"/>
            <w:left w:val="none" w:sz="0" w:space="0" w:color="auto"/>
            <w:bottom w:val="none" w:sz="0" w:space="0" w:color="auto"/>
            <w:right w:val="none" w:sz="0" w:space="0" w:color="auto"/>
          </w:divBdr>
        </w:div>
        <w:div w:id="563756713">
          <w:marLeft w:val="1701"/>
          <w:marRight w:val="899"/>
          <w:marTop w:val="0"/>
          <w:marBottom w:val="101"/>
          <w:divBdr>
            <w:top w:val="none" w:sz="0" w:space="0" w:color="auto"/>
            <w:left w:val="none" w:sz="0" w:space="0" w:color="auto"/>
            <w:bottom w:val="none" w:sz="0" w:space="0" w:color="auto"/>
            <w:right w:val="none" w:sz="0" w:space="0" w:color="auto"/>
          </w:divBdr>
        </w:div>
        <w:div w:id="1691948491">
          <w:marLeft w:val="1701"/>
          <w:marRight w:val="899"/>
          <w:marTop w:val="0"/>
          <w:marBottom w:val="101"/>
          <w:divBdr>
            <w:top w:val="none" w:sz="0" w:space="0" w:color="auto"/>
            <w:left w:val="none" w:sz="0" w:space="0" w:color="auto"/>
            <w:bottom w:val="none" w:sz="0" w:space="0" w:color="auto"/>
            <w:right w:val="none" w:sz="0" w:space="0" w:color="auto"/>
          </w:divBdr>
        </w:div>
        <w:div w:id="337268331">
          <w:marLeft w:val="1701"/>
          <w:marRight w:val="899"/>
          <w:marTop w:val="0"/>
          <w:marBottom w:val="101"/>
          <w:divBdr>
            <w:top w:val="none" w:sz="0" w:space="0" w:color="auto"/>
            <w:left w:val="none" w:sz="0" w:space="0" w:color="auto"/>
            <w:bottom w:val="none" w:sz="0" w:space="0" w:color="auto"/>
            <w:right w:val="none" w:sz="0" w:space="0" w:color="auto"/>
          </w:divBdr>
        </w:div>
        <w:div w:id="1971325485">
          <w:marLeft w:val="1701"/>
          <w:marRight w:val="899"/>
          <w:marTop w:val="0"/>
          <w:marBottom w:val="101"/>
          <w:divBdr>
            <w:top w:val="none" w:sz="0" w:space="0" w:color="auto"/>
            <w:left w:val="none" w:sz="0" w:space="0" w:color="auto"/>
            <w:bottom w:val="none" w:sz="0" w:space="0" w:color="auto"/>
            <w:right w:val="none" w:sz="0" w:space="0" w:color="auto"/>
          </w:divBdr>
        </w:div>
        <w:div w:id="1798059708">
          <w:marLeft w:val="1701"/>
          <w:marRight w:val="899"/>
          <w:marTop w:val="0"/>
          <w:marBottom w:val="101"/>
          <w:divBdr>
            <w:top w:val="none" w:sz="0" w:space="0" w:color="auto"/>
            <w:left w:val="none" w:sz="0" w:space="0" w:color="auto"/>
            <w:bottom w:val="none" w:sz="0" w:space="0" w:color="auto"/>
            <w:right w:val="none" w:sz="0" w:space="0" w:color="auto"/>
          </w:divBdr>
        </w:div>
        <w:div w:id="1858736981">
          <w:marLeft w:val="1701"/>
          <w:marRight w:val="899"/>
          <w:marTop w:val="0"/>
          <w:marBottom w:val="101"/>
          <w:divBdr>
            <w:top w:val="none" w:sz="0" w:space="0" w:color="auto"/>
            <w:left w:val="none" w:sz="0" w:space="0" w:color="auto"/>
            <w:bottom w:val="none" w:sz="0" w:space="0" w:color="auto"/>
            <w:right w:val="none" w:sz="0" w:space="0" w:color="auto"/>
          </w:divBdr>
        </w:div>
        <w:div w:id="1147355357">
          <w:marLeft w:val="1701"/>
          <w:marRight w:val="899"/>
          <w:marTop w:val="0"/>
          <w:marBottom w:val="101"/>
          <w:divBdr>
            <w:top w:val="none" w:sz="0" w:space="0" w:color="auto"/>
            <w:left w:val="none" w:sz="0" w:space="0" w:color="auto"/>
            <w:bottom w:val="none" w:sz="0" w:space="0" w:color="auto"/>
            <w:right w:val="none" w:sz="0" w:space="0" w:color="auto"/>
          </w:divBdr>
        </w:div>
        <w:div w:id="1806854428">
          <w:marLeft w:val="1701"/>
          <w:marRight w:val="899"/>
          <w:marTop w:val="0"/>
          <w:marBottom w:val="101"/>
          <w:divBdr>
            <w:top w:val="none" w:sz="0" w:space="0" w:color="auto"/>
            <w:left w:val="none" w:sz="0" w:space="0" w:color="auto"/>
            <w:bottom w:val="none" w:sz="0" w:space="0" w:color="auto"/>
            <w:right w:val="none" w:sz="0" w:space="0" w:color="auto"/>
          </w:divBdr>
        </w:div>
        <w:div w:id="1949315085">
          <w:marLeft w:val="1701"/>
          <w:marRight w:val="899"/>
          <w:marTop w:val="0"/>
          <w:marBottom w:val="101"/>
          <w:divBdr>
            <w:top w:val="none" w:sz="0" w:space="0" w:color="auto"/>
            <w:left w:val="none" w:sz="0" w:space="0" w:color="auto"/>
            <w:bottom w:val="none" w:sz="0" w:space="0" w:color="auto"/>
            <w:right w:val="none" w:sz="0" w:space="0" w:color="auto"/>
          </w:divBdr>
        </w:div>
        <w:div w:id="1838154922">
          <w:marLeft w:val="1701"/>
          <w:marRight w:val="899"/>
          <w:marTop w:val="0"/>
          <w:marBottom w:val="101"/>
          <w:divBdr>
            <w:top w:val="none" w:sz="0" w:space="0" w:color="auto"/>
            <w:left w:val="none" w:sz="0" w:space="0" w:color="auto"/>
            <w:bottom w:val="none" w:sz="0" w:space="0" w:color="auto"/>
            <w:right w:val="none" w:sz="0" w:space="0" w:color="auto"/>
          </w:divBdr>
        </w:div>
        <w:div w:id="1832141729">
          <w:marLeft w:val="1701"/>
          <w:marRight w:val="899"/>
          <w:marTop w:val="0"/>
          <w:marBottom w:val="101"/>
          <w:divBdr>
            <w:top w:val="none" w:sz="0" w:space="0" w:color="auto"/>
            <w:left w:val="none" w:sz="0" w:space="0" w:color="auto"/>
            <w:bottom w:val="none" w:sz="0" w:space="0" w:color="auto"/>
            <w:right w:val="none" w:sz="0" w:space="0" w:color="auto"/>
          </w:divBdr>
        </w:div>
        <w:div w:id="395595366">
          <w:marLeft w:val="1701"/>
          <w:marRight w:val="899"/>
          <w:marTop w:val="0"/>
          <w:marBottom w:val="101"/>
          <w:divBdr>
            <w:top w:val="none" w:sz="0" w:space="0" w:color="auto"/>
            <w:left w:val="none" w:sz="0" w:space="0" w:color="auto"/>
            <w:bottom w:val="none" w:sz="0" w:space="0" w:color="auto"/>
            <w:right w:val="none" w:sz="0" w:space="0" w:color="auto"/>
          </w:divBdr>
        </w:div>
        <w:div w:id="757991551">
          <w:marLeft w:val="1701"/>
          <w:marRight w:val="899"/>
          <w:marTop w:val="0"/>
          <w:marBottom w:val="101"/>
          <w:divBdr>
            <w:top w:val="none" w:sz="0" w:space="0" w:color="auto"/>
            <w:left w:val="none" w:sz="0" w:space="0" w:color="auto"/>
            <w:bottom w:val="none" w:sz="0" w:space="0" w:color="auto"/>
            <w:right w:val="none" w:sz="0" w:space="0" w:color="auto"/>
          </w:divBdr>
        </w:div>
      </w:divsChild>
    </w:div>
    <w:div w:id="297299677">
      <w:bodyDiv w:val="1"/>
      <w:marLeft w:val="0"/>
      <w:marRight w:val="0"/>
      <w:marTop w:val="0"/>
      <w:marBottom w:val="0"/>
      <w:divBdr>
        <w:top w:val="none" w:sz="0" w:space="0" w:color="auto"/>
        <w:left w:val="none" w:sz="0" w:space="0" w:color="auto"/>
        <w:bottom w:val="none" w:sz="0" w:space="0" w:color="auto"/>
        <w:right w:val="none" w:sz="0" w:space="0" w:color="auto"/>
      </w:divBdr>
    </w:div>
    <w:div w:id="314575055">
      <w:bodyDiv w:val="1"/>
      <w:marLeft w:val="0"/>
      <w:marRight w:val="0"/>
      <w:marTop w:val="0"/>
      <w:marBottom w:val="0"/>
      <w:divBdr>
        <w:top w:val="none" w:sz="0" w:space="0" w:color="auto"/>
        <w:left w:val="none" w:sz="0" w:space="0" w:color="auto"/>
        <w:bottom w:val="none" w:sz="0" w:space="0" w:color="auto"/>
        <w:right w:val="none" w:sz="0" w:space="0" w:color="auto"/>
      </w:divBdr>
    </w:div>
    <w:div w:id="317155364">
      <w:bodyDiv w:val="1"/>
      <w:marLeft w:val="0"/>
      <w:marRight w:val="0"/>
      <w:marTop w:val="0"/>
      <w:marBottom w:val="0"/>
      <w:divBdr>
        <w:top w:val="none" w:sz="0" w:space="0" w:color="auto"/>
        <w:left w:val="none" w:sz="0" w:space="0" w:color="auto"/>
        <w:bottom w:val="none" w:sz="0" w:space="0" w:color="auto"/>
        <w:right w:val="none" w:sz="0" w:space="0" w:color="auto"/>
      </w:divBdr>
    </w:div>
    <w:div w:id="336614060">
      <w:bodyDiv w:val="1"/>
      <w:marLeft w:val="0"/>
      <w:marRight w:val="0"/>
      <w:marTop w:val="0"/>
      <w:marBottom w:val="0"/>
      <w:divBdr>
        <w:top w:val="none" w:sz="0" w:space="0" w:color="auto"/>
        <w:left w:val="none" w:sz="0" w:space="0" w:color="auto"/>
        <w:bottom w:val="none" w:sz="0" w:space="0" w:color="auto"/>
        <w:right w:val="none" w:sz="0" w:space="0" w:color="auto"/>
      </w:divBdr>
    </w:div>
    <w:div w:id="525294623">
      <w:bodyDiv w:val="1"/>
      <w:marLeft w:val="0"/>
      <w:marRight w:val="0"/>
      <w:marTop w:val="0"/>
      <w:marBottom w:val="0"/>
      <w:divBdr>
        <w:top w:val="none" w:sz="0" w:space="0" w:color="auto"/>
        <w:left w:val="none" w:sz="0" w:space="0" w:color="auto"/>
        <w:bottom w:val="none" w:sz="0" w:space="0" w:color="auto"/>
        <w:right w:val="none" w:sz="0" w:space="0" w:color="auto"/>
      </w:divBdr>
    </w:div>
    <w:div w:id="580795488">
      <w:bodyDiv w:val="1"/>
      <w:marLeft w:val="0"/>
      <w:marRight w:val="0"/>
      <w:marTop w:val="0"/>
      <w:marBottom w:val="0"/>
      <w:divBdr>
        <w:top w:val="none" w:sz="0" w:space="0" w:color="auto"/>
        <w:left w:val="none" w:sz="0" w:space="0" w:color="auto"/>
        <w:bottom w:val="none" w:sz="0" w:space="0" w:color="auto"/>
        <w:right w:val="none" w:sz="0" w:space="0" w:color="auto"/>
      </w:divBdr>
    </w:div>
    <w:div w:id="634993855">
      <w:bodyDiv w:val="1"/>
      <w:marLeft w:val="0"/>
      <w:marRight w:val="0"/>
      <w:marTop w:val="0"/>
      <w:marBottom w:val="0"/>
      <w:divBdr>
        <w:top w:val="none" w:sz="0" w:space="0" w:color="auto"/>
        <w:left w:val="none" w:sz="0" w:space="0" w:color="auto"/>
        <w:bottom w:val="none" w:sz="0" w:space="0" w:color="auto"/>
        <w:right w:val="none" w:sz="0" w:space="0" w:color="auto"/>
      </w:divBdr>
    </w:div>
    <w:div w:id="735543259">
      <w:bodyDiv w:val="1"/>
      <w:marLeft w:val="0"/>
      <w:marRight w:val="0"/>
      <w:marTop w:val="0"/>
      <w:marBottom w:val="0"/>
      <w:divBdr>
        <w:top w:val="none" w:sz="0" w:space="0" w:color="auto"/>
        <w:left w:val="none" w:sz="0" w:space="0" w:color="auto"/>
        <w:bottom w:val="none" w:sz="0" w:space="0" w:color="auto"/>
        <w:right w:val="none" w:sz="0" w:space="0" w:color="auto"/>
      </w:divBdr>
    </w:div>
    <w:div w:id="752818789">
      <w:bodyDiv w:val="1"/>
      <w:marLeft w:val="0"/>
      <w:marRight w:val="0"/>
      <w:marTop w:val="0"/>
      <w:marBottom w:val="0"/>
      <w:divBdr>
        <w:top w:val="none" w:sz="0" w:space="0" w:color="auto"/>
        <w:left w:val="none" w:sz="0" w:space="0" w:color="auto"/>
        <w:bottom w:val="none" w:sz="0" w:space="0" w:color="auto"/>
        <w:right w:val="none" w:sz="0" w:space="0" w:color="auto"/>
      </w:divBdr>
    </w:div>
    <w:div w:id="767047531">
      <w:bodyDiv w:val="1"/>
      <w:marLeft w:val="0"/>
      <w:marRight w:val="0"/>
      <w:marTop w:val="0"/>
      <w:marBottom w:val="0"/>
      <w:divBdr>
        <w:top w:val="none" w:sz="0" w:space="0" w:color="auto"/>
        <w:left w:val="none" w:sz="0" w:space="0" w:color="auto"/>
        <w:bottom w:val="none" w:sz="0" w:space="0" w:color="auto"/>
        <w:right w:val="none" w:sz="0" w:space="0" w:color="auto"/>
      </w:divBdr>
    </w:div>
    <w:div w:id="881939350">
      <w:bodyDiv w:val="1"/>
      <w:marLeft w:val="0"/>
      <w:marRight w:val="0"/>
      <w:marTop w:val="0"/>
      <w:marBottom w:val="0"/>
      <w:divBdr>
        <w:top w:val="none" w:sz="0" w:space="0" w:color="auto"/>
        <w:left w:val="none" w:sz="0" w:space="0" w:color="auto"/>
        <w:bottom w:val="none" w:sz="0" w:space="0" w:color="auto"/>
        <w:right w:val="none" w:sz="0" w:space="0" w:color="auto"/>
      </w:divBdr>
    </w:div>
    <w:div w:id="889072379">
      <w:bodyDiv w:val="1"/>
      <w:marLeft w:val="0"/>
      <w:marRight w:val="0"/>
      <w:marTop w:val="0"/>
      <w:marBottom w:val="0"/>
      <w:divBdr>
        <w:top w:val="none" w:sz="0" w:space="0" w:color="auto"/>
        <w:left w:val="none" w:sz="0" w:space="0" w:color="auto"/>
        <w:bottom w:val="none" w:sz="0" w:space="0" w:color="auto"/>
        <w:right w:val="none" w:sz="0" w:space="0" w:color="auto"/>
      </w:divBdr>
    </w:div>
    <w:div w:id="892040195">
      <w:bodyDiv w:val="1"/>
      <w:marLeft w:val="0"/>
      <w:marRight w:val="0"/>
      <w:marTop w:val="0"/>
      <w:marBottom w:val="0"/>
      <w:divBdr>
        <w:top w:val="none" w:sz="0" w:space="0" w:color="auto"/>
        <w:left w:val="none" w:sz="0" w:space="0" w:color="auto"/>
        <w:bottom w:val="none" w:sz="0" w:space="0" w:color="auto"/>
        <w:right w:val="none" w:sz="0" w:space="0" w:color="auto"/>
      </w:divBdr>
    </w:div>
    <w:div w:id="899441852">
      <w:bodyDiv w:val="1"/>
      <w:marLeft w:val="0"/>
      <w:marRight w:val="0"/>
      <w:marTop w:val="0"/>
      <w:marBottom w:val="0"/>
      <w:divBdr>
        <w:top w:val="none" w:sz="0" w:space="0" w:color="auto"/>
        <w:left w:val="none" w:sz="0" w:space="0" w:color="auto"/>
        <w:bottom w:val="none" w:sz="0" w:space="0" w:color="auto"/>
        <w:right w:val="none" w:sz="0" w:space="0" w:color="auto"/>
      </w:divBdr>
    </w:div>
    <w:div w:id="1046443562">
      <w:bodyDiv w:val="1"/>
      <w:marLeft w:val="0"/>
      <w:marRight w:val="0"/>
      <w:marTop w:val="0"/>
      <w:marBottom w:val="0"/>
      <w:divBdr>
        <w:top w:val="none" w:sz="0" w:space="0" w:color="auto"/>
        <w:left w:val="none" w:sz="0" w:space="0" w:color="auto"/>
        <w:bottom w:val="none" w:sz="0" w:space="0" w:color="auto"/>
        <w:right w:val="none" w:sz="0" w:space="0" w:color="auto"/>
      </w:divBdr>
    </w:div>
    <w:div w:id="1059284532">
      <w:bodyDiv w:val="1"/>
      <w:marLeft w:val="0"/>
      <w:marRight w:val="0"/>
      <w:marTop w:val="0"/>
      <w:marBottom w:val="0"/>
      <w:divBdr>
        <w:top w:val="none" w:sz="0" w:space="0" w:color="auto"/>
        <w:left w:val="none" w:sz="0" w:space="0" w:color="auto"/>
        <w:bottom w:val="none" w:sz="0" w:space="0" w:color="auto"/>
        <w:right w:val="none" w:sz="0" w:space="0" w:color="auto"/>
      </w:divBdr>
    </w:div>
    <w:div w:id="1079257866">
      <w:bodyDiv w:val="1"/>
      <w:marLeft w:val="0"/>
      <w:marRight w:val="0"/>
      <w:marTop w:val="0"/>
      <w:marBottom w:val="0"/>
      <w:divBdr>
        <w:top w:val="none" w:sz="0" w:space="0" w:color="auto"/>
        <w:left w:val="none" w:sz="0" w:space="0" w:color="auto"/>
        <w:bottom w:val="none" w:sz="0" w:space="0" w:color="auto"/>
        <w:right w:val="none" w:sz="0" w:space="0" w:color="auto"/>
      </w:divBdr>
    </w:div>
    <w:div w:id="1094588612">
      <w:bodyDiv w:val="1"/>
      <w:marLeft w:val="0"/>
      <w:marRight w:val="0"/>
      <w:marTop w:val="0"/>
      <w:marBottom w:val="0"/>
      <w:divBdr>
        <w:top w:val="none" w:sz="0" w:space="0" w:color="auto"/>
        <w:left w:val="none" w:sz="0" w:space="0" w:color="auto"/>
        <w:bottom w:val="none" w:sz="0" w:space="0" w:color="auto"/>
        <w:right w:val="none" w:sz="0" w:space="0" w:color="auto"/>
      </w:divBdr>
    </w:div>
    <w:div w:id="1095400542">
      <w:bodyDiv w:val="1"/>
      <w:marLeft w:val="0"/>
      <w:marRight w:val="0"/>
      <w:marTop w:val="0"/>
      <w:marBottom w:val="0"/>
      <w:divBdr>
        <w:top w:val="none" w:sz="0" w:space="0" w:color="auto"/>
        <w:left w:val="none" w:sz="0" w:space="0" w:color="auto"/>
        <w:bottom w:val="none" w:sz="0" w:space="0" w:color="auto"/>
        <w:right w:val="none" w:sz="0" w:space="0" w:color="auto"/>
      </w:divBdr>
    </w:div>
    <w:div w:id="1100372235">
      <w:bodyDiv w:val="1"/>
      <w:marLeft w:val="0"/>
      <w:marRight w:val="0"/>
      <w:marTop w:val="0"/>
      <w:marBottom w:val="0"/>
      <w:divBdr>
        <w:top w:val="none" w:sz="0" w:space="0" w:color="auto"/>
        <w:left w:val="none" w:sz="0" w:space="0" w:color="auto"/>
        <w:bottom w:val="none" w:sz="0" w:space="0" w:color="auto"/>
        <w:right w:val="none" w:sz="0" w:space="0" w:color="auto"/>
      </w:divBdr>
    </w:div>
    <w:div w:id="1101608025">
      <w:bodyDiv w:val="1"/>
      <w:marLeft w:val="0"/>
      <w:marRight w:val="0"/>
      <w:marTop w:val="0"/>
      <w:marBottom w:val="0"/>
      <w:divBdr>
        <w:top w:val="none" w:sz="0" w:space="0" w:color="auto"/>
        <w:left w:val="none" w:sz="0" w:space="0" w:color="auto"/>
        <w:bottom w:val="none" w:sz="0" w:space="0" w:color="auto"/>
        <w:right w:val="none" w:sz="0" w:space="0" w:color="auto"/>
      </w:divBdr>
    </w:div>
    <w:div w:id="1129938219">
      <w:bodyDiv w:val="1"/>
      <w:marLeft w:val="0"/>
      <w:marRight w:val="0"/>
      <w:marTop w:val="0"/>
      <w:marBottom w:val="0"/>
      <w:divBdr>
        <w:top w:val="none" w:sz="0" w:space="0" w:color="auto"/>
        <w:left w:val="none" w:sz="0" w:space="0" w:color="auto"/>
        <w:bottom w:val="none" w:sz="0" w:space="0" w:color="auto"/>
        <w:right w:val="none" w:sz="0" w:space="0" w:color="auto"/>
      </w:divBdr>
    </w:div>
    <w:div w:id="1157723575">
      <w:bodyDiv w:val="1"/>
      <w:marLeft w:val="0"/>
      <w:marRight w:val="0"/>
      <w:marTop w:val="0"/>
      <w:marBottom w:val="0"/>
      <w:divBdr>
        <w:top w:val="none" w:sz="0" w:space="0" w:color="auto"/>
        <w:left w:val="none" w:sz="0" w:space="0" w:color="auto"/>
        <w:bottom w:val="none" w:sz="0" w:space="0" w:color="auto"/>
        <w:right w:val="none" w:sz="0" w:space="0" w:color="auto"/>
      </w:divBdr>
    </w:div>
    <w:div w:id="1161189841">
      <w:bodyDiv w:val="1"/>
      <w:marLeft w:val="0"/>
      <w:marRight w:val="0"/>
      <w:marTop w:val="0"/>
      <w:marBottom w:val="0"/>
      <w:divBdr>
        <w:top w:val="none" w:sz="0" w:space="0" w:color="auto"/>
        <w:left w:val="none" w:sz="0" w:space="0" w:color="auto"/>
        <w:bottom w:val="none" w:sz="0" w:space="0" w:color="auto"/>
        <w:right w:val="none" w:sz="0" w:space="0" w:color="auto"/>
      </w:divBdr>
    </w:div>
    <w:div w:id="1227686494">
      <w:bodyDiv w:val="1"/>
      <w:marLeft w:val="0"/>
      <w:marRight w:val="0"/>
      <w:marTop w:val="0"/>
      <w:marBottom w:val="0"/>
      <w:divBdr>
        <w:top w:val="none" w:sz="0" w:space="0" w:color="auto"/>
        <w:left w:val="none" w:sz="0" w:space="0" w:color="auto"/>
        <w:bottom w:val="none" w:sz="0" w:space="0" w:color="auto"/>
        <w:right w:val="none" w:sz="0" w:space="0" w:color="auto"/>
      </w:divBdr>
    </w:div>
    <w:div w:id="1269049244">
      <w:bodyDiv w:val="1"/>
      <w:marLeft w:val="0"/>
      <w:marRight w:val="0"/>
      <w:marTop w:val="0"/>
      <w:marBottom w:val="0"/>
      <w:divBdr>
        <w:top w:val="none" w:sz="0" w:space="0" w:color="auto"/>
        <w:left w:val="none" w:sz="0" w:space="0" w:color="auto"/>
        <w:bottom w:val="none" w:sz="0" w:space="0" w:color="auto"/>
        <w:right w:val="none" w:sz="0" w:space="0" w:color="auto"/>
      </w:divBdr>
    </w:div>
    <w:div w:id="1285191620">
      <w:bodyDiv w:val="1"/>
      <w:marLeft w:val="0"/>
      <w:marRight w:val="0"/>
      <w:marTop w:val="0"/>
      <w:marBottom w:val="0"/>
      <w:divBdr>
        <w:top w:val="none" w:sz="0" w:space="0" w:color="auto"/>
        <w:left w:val="none" w:sz="0" w:space="0" w:color="auto"/>
        <w:bottom w:val="none" w:sz="0" w:space="0" w:color="auto"/>
        <w:right w:val="none" w:sz="0" w:space="0" w:color="auto"/>
      </w:divBdr>
    </w:div>
    <w:div w:id="1299606495">
      <w:bodyDiv w:val="1"/>
      <w:marLeft w:val="0"/>
      <w:marRight w:val="0"/>
      <w:marTop w:val="0"/>
      <w:marBottom w:val="0"/>
      <w:divBdr>
        <w:top w:val="none" w:sz="0" w:space="0" w:color="auto"/>
        <w:left w:val="none" w:sz="0" w:space="0" w:color="auto"/>
        <w:bottom w:val="none" w:sz="0" w:space="0" w:color="auto"/>
        <w:right w:val="none" w:sz="0" w:space="0" w:color="auto"/>
      </w:divBdr>
    </w:div>
    <w:div w:id="1317223524">
      <w:bodyDiv w:val="1"/>
      <w:marLeft w:val="0"/>
      <w:marRight w:val="0"/>
      <w:marTop w:val="0"/>
      <w:marBottom w:val="0"/>
      <w:divBdr>
        <w:top w:val="none" w:sz="0" w:space="0" w:color="auto"/>
        <w:left w:val="none" w:sz="0" w:space="0" w:color="auto"/>
        <w:bottom w:val="none" w:sz="0" w:space="0" w:color="auto"/>
        <w:right w:val="none" w:sz="0" w:space="0" w:color="auto"/>
      </w:divBdr>
    </w:div>
    <w:div w:id="1333528386">
      <w:bodyDiv w:val="1"/>
      <w:marLeft w:val="0"/>
      <w:marRight w:val="0"/>
      <w:marTop w:val="0"/>
      <w:marBottom w:val="0"/>
      <w:divBdr>
        <w:top w:val="none" w:sz="0" w:space="0" w:color="auto"/>
        <w:left w:val="none" w:sz="0" w:space="0" w:color="auto"/>
        <w:bottom w:val="none" w:sz="0" w:space="0" w:color="auto"/>
        <w:right w:val="none" w:sz="0" w:space="0" w:color="auto"/>
      </w:divBdr>
    </w:div>
    <w:div w:id="1334606221">
      <w:bodyDiv w:val="1"/>
      <w:marLeft w:val="0"/>
      <w:marRight w:val="0"/>
      <w:marTop w:val="0"/>
      <w:marBottom w:val="0"/>
      <w:divBdr>
        <w:top w:val="none" w:sz="0" w:space="0" w:color="auto"/>
        <w:left w:val="none" w:sz="0" w:space="0" w:color="auto"/>
        <w:bottom w:val="none" w:sz="0" w:space="0" w:color="auto"/>
        <w:right w:val="none" w:sz="0" w:space="0" w:color="auto"/>
      </w:divBdr>
    </w:div>
    <w:div w:id="1366439556">
      <w:bodyDiv w:val="1"/>
      <w:marLeft w:val="0"/>
      <w:marRight w:val="0"/>
      <w:marTop w:val="0"/>
      <w:marBottom w:val="0"/>
      <w:divBdr>
        <w:top w:val="none" w:sz="0" w:space="0" w:color="auto"/>
        <w:left w:val="none" w:sz="0" w:space="0" w:color="auto"/>
        <w:bottom w:val="none" w:sz="0" w:space="0" w:color="auto"/>
        <w:right w:val="none" w:sz="0" w:space="0" w:color="auto"/>
      </w:divBdr>
    </w:div>
    <w:div w:id="1391347587">
      <w:bodyDiv w:val="1"/>
      <w:marLeft w:val="0"/>
      <w:marRight w:val="0"/>
      <w:marTop w:val="0"/>
      <w:marBottom w:val="0"/>
      <w:divBdr>
        <w:top w:val="none" w:sz="0" w:space="0" w:color="auto"/>
        <w:left w:val="none" w:sz="0" w:space="0" w:color="auto"/>
        <w:bottom w:val="none" w:sz="0" w:space="0" w:color="auto"/>
        <w:right w:val="none" w:sz="0" w:space="0" w:color="auto"/>
      </w:divBdr>
    </w:div>
    <w:div w:id="1407264735">
      <w:bodyDiv w:val="1"/>
      <w:marLeft w:val="0"/>
      <w:marRight w:val="0"/>
      <w:marTop w:val="0"/>
      <w:marBottom w:val="0"/>
      <w:divBdr>
        <w:top w:val="none" w:sz="0" w:space="0" w:color="auto"/>
        <w:left w:val="none" w:sz="0" w:space="0" w:color="auto"/>
        <w:bottom w:val="none" w:sz="0" w:space="0" w:color="auto"/>
        <w:right w:val="none" w:sz="0" w:space="0" w:color="auto"/>
      </w:divBdr>
    </w:div>
    <w:div w:id="1444420955">
      <w:bodyDiv w:val="1"/>
      <w:marLeft w:val="0"/>
      <w:marRight w:val="0"/>
      <w:marTop w:val="0"/>
      <w:marBottom w:val="0"/>
      <w:divBdr>
        <w:top w:val="none" w:sz="0" w:space="0" w:color="auto"/>
        <w:left w:val="none" w:sz="0" w:space="0" w:color="auto"/>
        <w:bottom w:val="none" w:sz="0" w:space="0" w:color="auto"/>
        <w:right w:val="none" w:sz="0" w:space="0" w:color="auto"/>
      </w:divBdr>
    </w:div>
    <w:div w:id="1490291442">
      <w:bodyDiv w:val="1"/>
      <w:marLeft w:val="0"/>
      <w:marRight w:val="0"/>
      <w:marTop w:val="0"/>
      <w:marBottom w:val="0"/>
      <w:divBdr>
        <w:top w:val="none" w:sz="0" w:space="0" w:color="auto"/>
        <w:left w:val="none" w:sz="0" w:space="0" w:color="auto"/>
        <w:bottom w:val="none" w:sz="0" w:space="0" w:color="auto"/>
        <w:right w:val="none" w:sz="0" w:space="0" w:color="auto"/>
      </w:divBdr>
    </w:div>
    <w:div w:id="1589122115">
      <w:bodyDiv w:val="1"/>
      <w:marLeft w:val="0"/>
      <w:marRight w:val="0"/>
      <w:marTop w:val="0"/>
      <w:marBottom w:val="0"/>
      <w:divBdr>
        <w:top w:val="none" w:sz="0" w:space="0" w:color="auto"/>
        <w:left w:val="none" w:sz="0" w:space="0" w:color="auto"/>
        <w:bottom w:val="none" w:sz="0" w:space="0" w:color="auto"/>
        <w:right w:val="none" w:sz="0" w:space="0" w:color="auto"/>
      </w:divBdr>
    </w:div>
    <w:div w:id="1652639351">
      <w:bodyDiv w:val="1"/>
      <w:marLeft w:val="0"/>
      <w:marRight w:val="0"/>
      <w:marTop w:val="0"/>
      <w:marBottom w:val="0"/>
      <w:divBdr>
        <w:top w:val="none" w:sz="0" w:space="0" w:color="auto"/>
        <w:left w:val="none" w:sz="0" w:space="0" w:color="auto"/>
        <w:bottom w:val="none" w:sz="0" w:space="0" w:color="auto"/>
        <w:right w:val="none" w:sz="0" w:space="0" w:color="auto"/>
      </w:divBdr>
    </w:div>
    <w:div w:id="1707023684">
      <w:bodyDiv w:val="1"/>
      <w:marLeft w:val="0"/>
      <w:marRight w:val="0"/>
      <w:marTop w:val="0"/>
      <w:marBottom w:val="0"/>
      <w:divBdr>
        <w:top w:val="none" w:sz="0" w:space="0" w:color="auto"/>
        <w:left w:val="none" w:sz="0" w:space="0" w:color="auto"/>
        <w:bottom w:val="none" w:sz="0" w:space="0" w:color="auto"/>
        <w:right w:val="none" w:sz="0" w:space="0" w:color="auto"/>
      </w:divBdr>
    </w:div>
    <w:div w:id="1752892627">
      <w:bodyDiv w:val="1"/>
      <w:marLeft w:val="0"/>
      <w:marRight w:val="0"/>
      <w:marTop w:val="0"/>
      <w:marBottom w:val="0"/>
      <w:divBdr>
        <w:top w:val="none" w:sz="0" w:space="0" w:color="auto"/>
        <w:left w:val="none" w:sz="0" w:space="0" w:color="auto"/>
        <w:bottom w:val="none" w:sz="0" w:space="0" w:color="auto"/>
        <w:right w:val="none" w:sz="0" w:space="0" w:color="auto"/>
      </w:divBdr>
    </w:div>
    <w:div w:id="1766615008">
      <w:bodyDiv w:val="1"/>
      <w:marLeft w:val="0"/>
      <w:marRight w:val="0"/>
      <w:marTop w:val="0"/>
      <w:marBottom w:val="0"/>
      <w:divBdr>
        <w:top w:val="none" w:sz="0" w:space="0" w:color="auto"/>
        <w:left w:val="none" w:sz="0" w:space="0" w:color="auto"/>
        <w:bottom w:val="none" w:sz="0" w:space="0" w:color="auto"/>
        <w:right w:val="none" w:sz="0" w:space="0" w:color="auto"/>
      </w:divBdr>
    </w:div>
    <w:div w:id="1773354949">
      <w:bodyDiv w:val="1"/>
      <w:marLeft w:val="0"/>
      <w:marRight w:val="0"/>
      <w:marTop w:val="0"/>
      <w:marBottom w:val="0"/>
      <w:divBdr>
        <w:top w:val="none" w:sz="0" w:space="0" w:color="auto"/>
        <w:left w:val="none" w:sz="0" w:space="0" w:color="auto"/>
        <w:bottom w:val="none" w:sz="0" w:space="0" w:color="auto"/>
        <w:right w:val="none" w:sz="0" w:space="0" w:color="auto"/>
      </w:divBdr>
    </w:div>
    <w:div w:id="1784613162">
      <w:bodyDiv w:val="1"/>
      <w:marLeft w:val="0"/>
      <w:marRight w:val="0"/>
      <w:marTop w:val="0"/>
      <w:marBottom w:val="0"/>
      <w:divBdr>
        <w:top w:val="none" w:sz="0" w:space="0" w:color="auto"/>
        <w:left w:val="none" w:sz="0" w:space="0" w:color="auto"/>
        <w:bottom w:val="none" w:sz="0" w:space="0" w:color="auto"/>
        <w:right w:val="none" w:sz="0" w:space="0" w:color="auto"/>
      </w:divBdr>
    </w:div>
    <w:div w:id="1792896478">
      <w:bodyDiv w:val="1"/>
      <w:marLeft w:val="0"/>
      <w:marRight w:val="0"/>
      <w:marTop w:val="0"/>
      <w:marBottom w:val="0"/>
      <w:divBdr>
        <w:top w:val="none" w:sz="0" w:space="0" w:color="auto"/>
        <w:left w:val="none" w:sz="0" w:space="0" w:color="auto"/>
        <w:bottom w:val="none" w:sz="0" w:space="0" w:color="auto"/>
        <w:right w:val="none" w:sz="0" w:space="0" w:color="auto"/>
      </w:divBdr>
    </w:div>
    <w:div w:id="1810246953">
      <w:bodyDiv w:val="1"/>
      <w:marLeft w:val="0"/>
      <w:marRight w:val="0"/>
      <w:marTop w:val="0"/>
      <w:marBottom w:val="0"/>
      <w:divBdr>
        <w:top w:val="none" w:sz="0" w:space="0" w:color="auto"/>
        <w:left w:val="none" w:sz="0" w:space="0" w:color="auto"/>
        <w:bottom w:val="none" w:sz="0" w:space="0" w:color="auto"/>
        <w:right w:val="none" w:sz="0" w:space="0" w:color="auto"/>
      </w:divBdr>
    </w:div>
    <w:div w:id="1812820642">
      <w:bodyDiv w:val="1"/>
      <w:marLeft w:val="0"/>
      <w:marRight w:val="0"/>
      <w:marTop w:val="0"/>
      <w:marBottom w:val="0"/>
      <w:divBdr>
        <w:top w:val="none" w:sz="0" w:space="0" w:color="auto"/>
        <w:left w:val="none" w:sz="0" w:space="0" w:color="auto"/>
        <w:bottom w:val="none" w:sz="0" w:space="0" w:color="auto"/>
        <w:right w:val="none" w:sz="0" w:space="0" w:color="auto"/>
      </w:divBdr>
    </w:div>
    <w:div w:id="1834369209">
      <w:bodyDiv w:val="1"/>
      <w:marLeft w:val="0"/>
      <w:marRight w:val="0"/>
      <w:marTop w:val="0"/>
      <w:marBottom w:val="0"/>
      <w:divBdr>
        <w:top w:val="none" w:sz="0" w:space="0" w:color="auto"/>
        <w:left w:val="none" w:sz="0" w:space="0" w:color="auto"/>
        <w:bottom w:val="none" w:sz="0" w:space="0" w:color="auto"/>
        <w:right w:val="none" w:sz="0" w:space="0" w:color="auto"/>
      </w:divBdr>
    </w:div>
    <w:div w:id="1866364557">
      <w:bodyDiv w:val="1"/>
      <w:marLeft w:val="0"/>
      <w:marRight w:val="0"/>
      <w:marTop w:val="0"/>
      <w:marBottom w:val="0"/>
      <w:divBdr>
        <w:top w:val="none" w:sz="0" w:space="0" w:color="auto"/>
        <w:left w:val="none" w:sz="0" w:space="0" w:color="auto"/>
        <w:bottom w:val="none" w:sz="0" w:space="0" w:color="auto"/>
        <w:right w:val="none" w:sz="0" w:space="0" w:color="auto"/>
      </w:divBdr>
    </w:div>
    <w:div w:id="1875120523">
      <w:bodyDiv w:val="1"/>
      <w:marLeft w:val="0"/>
      <w:marRight w:val="0"/>
      <w:marTop w:val="0"/>
      <w:marBottom w:val="0"/>
      <w:divBdr>
        <w:top w:val="none" w:sz="0" w:space="0" w:color="auto"/>
        <w:left w:val="none" w:sz="0" w:space="0" w:color="auto"/>
        <w:bottom w:val="none" w:sz="0" w:space="0" w:color="auto"/>
        <w:right w:val="none" w:sz="0" w:space="0" w:color="auto"/>
      </w:divBdr>
    </w:div>
    <w:div w:id="1885218498">
      <w:bodyDiv w:val="1"/>
      <w:marLeft w:val="0"/>
      <w:marRight w:val="0"/>
      <w:marTop w:val="0"/>
      <w:marBottom w:val="0"/>
      <w:divBdr>
        <w:top w:val="none" w:sz="0" w:space="0" w:color="auto"/>
        <w:left w:val="none" w:sz="0" w:space="0" w:color="auto"/>
        <w:bottom w:val="none" w:sz="0" w:space="0" w:color="auto"/>
        <w:right w:val="none" w:sz="0" w:space="0" w:color="auto"/>
      </w:divBdr>
    </w:div>
    <w:div w:id="1896698678">
      <w:bodyDiv w:val="1"/>
      <w:marLeft w:val="0"/>
      <w:marRight w:val="0"/>
      <w:marTop w:val="0"/>
      <w:marBottom w:val="0"/>
      <w:divBdr>
        <w:top w:val="none" w:sz="0" w:space="0" w:color="auto"/>
        <w:left w:val="none" w:sz="0" w:space="0" w:color="auto"/>
        <w:bottom w:val="none" w:sz="0" w:space="0" w:color="auto"/>
        <w:right w:val="none" w:sz="0" w:space="0" w:color="auto"/>
      </w:divBdr>
    </w:div>
    <w:div w:id="2132701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legislacion.edomex.gob.mx/sites/legislacion.edomex.gob.mx/files/files/pdf/gct/2014/nov144.PDF"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www.diputados.gob.mx/LeyesBiblio/pdf/LGDNNA.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ecogem.gob.mx/constancias/"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hyperlink" Target="http://www.diputados.gob.mx/documentos/N_Acta_Nacimiento.pdf" TargetMode="External"/><Relationship Id="rId19" Type="http://schemas.openxmlformats.org/officeDocument/2006/relationships/hyperlink" Target="https://www.unionedomex.mx/2023/03/24/busqueda-de-deudores-alimentarios-morosos-estado-de-mexico-202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oAQFtBYMY1XaEqqC7L3lrJYjhg==">CgMxLjAyCWguMWZvYjl0ZTIJaC4zem55c2g3Mg5oLmozcHB5eHdsYjFzMjIIaC50eWpjd3QyDmguemdtenJ1ZXp3bGNvMg1oLmpsMGRsYXNvdDRmOAByITFhbW1ZRFRwRW9VTUVIVnAwT25ldjVCYkZ0R3pFUThneQ==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D5FE52C-9697-4E21-B3D3-FE36E7D09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12829</Words>
  <Characters>70564</Characters>
  <Application>Microsoft Office Word</Application>
  <DocSecurity>0</DocSecurity>
  <Lines>588</Lines>
  <Paragraphs>166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Cuenta Microsoft</dc:creator>
  <cp:lastModifiedBy>Maricela Villagómez Martínez</cp:lastModifiedBy>
  <cp:revision>2</cp:revision>
  <cp:lastPrinted>2026-09-25T18:09:00Z</cp:lastPrinted>
  <dcterms:created xsi:type="dcterms:W3CDTF">2026-09-28T16:19:00Z</dcterms:created>
  <dcterms:modified xsi:type="dcterms:W3CDTF">2026-09-28T16:19:00Z</dcterms:modified>
</cp:coreProperties>
</file>