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FE640" w14:textId="74C11C12"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AB120E">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w:t>
      </w:r>
      <w:r w:rsidR="00FB77D5" w:rsidRPr="00AB120E">
        <w:rPr>
          <w:rFonts w:ascii="Palatino Linotype" w:eastAsia="Palatino Linotype" w:hAnsi="Palatino Linotype" w:cs="Palatino Linotype"/>
          <w:sz w:val="22"/>
          <w:szCs w:val="22"/>
        </w:rPr>
        <w:t xml:space="preserve">tepec, Estado de México, a </w:t>
      </w:r>
      <w:r w:rsidR="0001490F" w:rsidRPr="00AB120E">
        <w:rPr>
          <w:rFonts w:ascii="Palatino Linotype" w:eastAsia="Palatino Linotype" w:hAnsi="Palatino Linotype" w:cs="Palatino Linotype"/>
          <w:sz w:val="22"/>
          <w:szCs w:val="22"/>
        </w:rPr>
        <w:t>veinticinco de marzo de dos mil veintiséis</w:t>
      </w:r>
      <w:r w:rsidRPr="00AB120E">
        <w:rPr>
          <w:rFonts w:ascii="Palatino Linotype" w:eastAsia="Palatino Linotype" w:hAnsi="Palatino Linotype" w:cs="Palatino Linotype"/>
          <w:sz w:val="22"/>
          <w:szCs w:val="22"/>
        </w:rPr>
        <w:t xml:space="preserve">. </w:t>
      </w:r>
    </w:p>
    <w:p w14:paraId="30E0E444" w14:textId="43C43E19" w:rsidR="005A75CA" w:rsidRPr="00AB120E" w:rsidRDefault="00E96B90" w:rsidP="00D7204E">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AB120E">
        <w:rPr>
          <w:rFonts w:ascii="Palatino Linotype" w:eastAsia="Palatino Linotype" w:hAnsi="Palatino Linotype" w:cs="Palatino Linotype"/>
          <w:b/>
          <w:sz w:val="22"/>
          <w:szCs w:val="22"/>
        </w:rPr>
        <w:t>VISTO</w:t>
      </w:r>
      <w:r w:rsidRPr="00AB120E">
        <w:rPr>
          <w:rFonts w:ascii="Palatino Linotype" w:eastAsia="Palatino Linotype" w:hAnsi="Palatino Linotype" w:cs="Palatino Linotype"/>
          <w:sz w:val="22"/>
          <w:szCs w:val="22"/>
        </w:rPr>
        <w:t xml:space="preserve"> el expediente formado con motivo del recurso de revisión </w:t>
      </w:r>
      <w:r w:rsidR="0001490F" w:rsidRPr="00AB120E">
        <w:rPr>
          <w:rFonts w:ascii="Palatino Linotype" w:eastAsia="Palatino Linotype" w:hAnsi="Palatino Linotype" w:cs="Palatino Linotype"/>
          <w:b/>
          <w:sz w:val="22"/>
          <w:szCs w:val="22"/>
        </w:rPr>
        <w:t>00034/INFOEM/IP/RR/2026</w:t>
      </w:r>
      <w:r w:rsidRPr="00AB120E">
        <w:rPr>
          <w:rFonts w:ascii="Palatino Linotype" w:eastAsia="Palatino Linotype" w:hAnsi="Palatino Linotype" w:cs="Palatino Linotype"/>
          <w:sz w:val="22"/>
          <w:szCs w:val="22"/>
        </w:rPr>
        <w:t>, interpuesto por</w:t>
      </w:r>
      <w:r w:rsidR="002A24B3" w:rsidRPr="002A24B3">
        <w:rPr>
          <w:rFonts w:ascii="Palatino Linotype" w:eastAsia="Palatino Linotype" w:hAnsi="Palatino Linotype" w:cs="Palatino Linotype"/>
          <w:b/>
          <w:sz w:val="21"/>
          <w:szCs w:val="21"/>
          <w:lang w:val="es-ES"/>
        </w:rPr>
        <w:t xml:space="preserve"> </w:t>
      </w:r>
      <w:r w:rsidR="002A24B3">
        <w:rPr>
          <w:rFonts w:ascii="Palatino Linotype" w:eastAsia="Palatino Linotype" w:hAnsi="Palatino Linotype" w:cs="Palatino Linotype"/>
          <w:b/>
          <w:sz w:val="21"/>
          <w:szCs w:val="21"/>
          <w:lang w:val="es-ES"/>
        </w:rPr>
        <w:t>XXXXX XXXXXXX XXXXX</w:t>
      </w:r>
      <w:r w:rsidRPr="00AB120E">
        <w:rPr>
          <w:rFonts w:ascii="Palatino Linotype" w:eastAsia="Palatino Linotype" w:hAnsi="Palatino Linotype" w:cs="Palatino Linotype"/>
          <w:b/>
          <w:sz w:val="22"/>
          <w:szCs w:val="22"/>
        </w:rPr>
        <w:t>,</w:t>
      </w:r>
      <w:r w:rsidRPr="00AB120E">
        <w:rPr>
          <w:rFonts w:ascii="Palatino Linotype" w:eastAsia="Palatino Linotype" w:hAnsi="Palatino Linotype" w:cs="Palatino Linotype"/>
          <w:sz w:val="22"/>
          <w:szCs w:val="22"/>
        </w:rPr>
        <w:t xml:space="preserve"> en lo sucesivo</w:t>
      </w:r>
      <w:r w:rsidRPr="00AB120E">
        <w:rPr>
          <w:rFonts w:ascii="Palatino Linotype" w:eastAsia="Palatino Linotype" w:hAnsi="Palatino Linotype" w:cs="Palatino Linotype"/>
          <w:b/>
          <w:sz w:val="22"/>
          <w:szCs w:val="22"/>
        </w:rPr>
        <w:t xml:space="preserve"> </w:t>
      </w:r>
      <w:r w:rsidRPr="00AB120E">
        <w:rPr>
          <w:rFonts w:ascii="Palatino Linotype" w:eastAsia="Palatino Linotype" w:hAnsi="Palatino Linotype" w:cs="Palatino Linotype"/>
          <w:sz w:val="22"/>
          <w:szCs w:val="22"/>
        </w:rPr>
        <w:t xml:space="preserve">la parte </w:t>
      </w:r>
      <w:r w:rsidRPr="00AB120E">
        <w:rPr>
          <w:rFonts w:ascii="Palatino Linotype" w:eastAsia="Palatino Linotype" w:hAnsi="Palatino Linotype" w:cs="Palatino Linotype"/>
          <w:b/>
          <w:sz w:val="22"/>
          <w:szCs w:val="22"/>
        </w:rPr>
        <w:t>Recurrente,</w:t>
      </w:r>
      <w:r w:rsidRPr="00AB120E">
        <w:rPr>
          <w:rFonts w:ascii="Palatino Linotype" w:eastAsia="Palatino Linotype" w:hAnsi="Palatino Linotype" w:cs="Palatino Linotype"/>
          <w:sz w:val="22"/>
          <w:szCs w:val="22"/>
        </w:rPr>
        <w:t xml:space="preserve"> en contra de la falta de respuesta a la solicitud de información con número de folio</w:t>
      </w:r>
      <w:r w:rsidRPr="00AB120E">
        <w:rPr>
          <w:rFonts w:ascii="Palatino Linotype" w:eastAsia="Palatino Linotype" w:hAnsi="Palatino Linotype" w:cs="Palatino Linotype"/>
          <w:b/>
          <w:sz w:val="22"/>
          <w:szCs w:val="22"/>
        </w:rPr>
        <w:t xml:space="preserve"> </w:t>
      </w:r>
      <w:r w:rsidR="0001490F" w:rsidRPr="00AB120E">
        <w:rPr>
          <w:rFonts w:ascii="Palatino Linotype" w:eastAsia="Palatino Linotype" w:hAnsi="Palatino Linotype" w:cs="Palatino Linotype"/>
          <w:b/>
          <w:sz w:val="22"/>
          <w:szCs w:val="22"/>
        </w:rPr>
        <w:t>01396/TEPOTZOT/IP/2025</w:t>
      </w:r>
      <w:r w:rsidRPr="00AB120E">
        <w:rPr>
          <w:rFonts w:ascii="Palatino Linotype" w:eastAsia="Palatino Linotype" w:hAnsi="Palatino Linotype" w:cs="Palatino Linotype"/>
          <w:b/>
          <w:sz w:val="22"/>
          <w:szCs w:val="22"/>
        </w:rPr>
        <w:t xml:space="preserve">, </w:t>
      </w:r>
      <w:r w:rsidRPr="00AB120E">
        <w:rPr>
          <w:rFonts w:ascii="Palatino Linotype" w:eastAsia="Palatino Linotype" w:hAnsi="Palatino Linotype" w:cs="Palatino Linotype"/>
          <w:sz w:val="22"/>
          <w:szCs w:val="22"/>
        </w:rPr>
        <w:t xml:space="preserve">por parte del </w:t>
      </w:r>
      <w:r w:rsidR="0001490F" w:rsidRPr="00AB120E">
        <w:rPr>
          <w:rFonts w:ascii="Palatino Linotype" w:eastAsia="Palatino Linotype" w:hAnsi="Palatino Linotype" w:cs="Palatino Linotype"/>
          <w:b/>
          <w:sz w:val="22"/>
          <w:szCs w:val="22"/>
        </w:rPr>
        <w:t>Ayuntamiento de Tepotzotlán</w:t>
      </w:r>
      <w:r w:rsidRPr="00AB120E">
        <w:rPr>
          <w:rFonts w:ascii="Palatino Linotype" w:eastAsia="Palatino Linotype" w:hAnsi="Palatino Linotype" w:cs="Palatino Linotype"/>
          <w:b/>
          <w:sz w:val="22"/>
          <w:szCs w:val="22"/>
        </w:rPr>
        <w:t xml:space="preserve">, </w:t>
      </w:r>
      <w:r w:rsidRPr="00AB120E">
        <w:rPr>
          <w:rFonts w:ascii="Palatino Linotype" w:eastAsia="Palatino Linotype" w:hAnsi="Palatino Linotype" w:cs="Palatino Linotype"/>
          <w:sz w:val="22"/>
          <w:szCs w:val="22"/>
        </w:rPr>
        <w:t xml:space="preserve">en lo sucesivo el </w:t>
      </w:r>
      <w:r w:rsidRPr="00AB120E">
        <w:rPr>
          <w:rFonts w:ascii="Palatino Linotype" w:eastAsia="Palatino Linotype" w:hAnsi="Palatino Linotype" w:cs="Palatino Linotype"/>
          <w:b/>
          <w:sz w:val="22"/>
          <w:szCs w:val="22"/>
        </w:rPr>
        <w:t xml:space="preserve">Sujeto Obligado, </w:t>
      </w:r>
      <w:r w:rsidRPr="00AB120E">
        <w:rPr>
          <w:rFonts w:ascii="Palatino Linotype" w:eastAsia="Palatino Linotype" w:hAnsi="Palatino Linotype" w:cs="Palatino Linotype"/>
          <w:sz w:val="22"/>
          <w:szCs w:val="22"/>
        </w:rPr>
        <w:t xml:space="preserve">se procede a dictar la presente resolución con base en los siguientes: </w:t>
      </w:r>
    </w:p>
    <w:p w14:paraId="3EA1D554" w14:textId="77777777" w:rsidR="005A75CA" w:rsidRPr="00AB120E" w:rsidRDefault="00E96B90" w:rsidP="00D7204E">
      <w:pPr>
        <w:spacing w:before="240" w:after="240" w:line="360" w:lineRule="auto"/>
        <w:jc w:val="center"/>
        <w:rPr>
          <w:rFonts w:ascii="Palatino Linotype" w:eastAsia="Palatino Linotype" w:hAnsi="Palatino Linotype" w:cs="Palatino Linotype"/>
          <w:b/>
          <w:sz w:val="22"/>
          <w:szCs w:val="22"/>
        </w:rPr>
      </w:pPr>
      <w:r w:rsidRPr="00AB120E">
        <w:rPr>
          <w:rFonts w:ascii="Palatino Linotype" w:eastAsia="Palatino Linotype" w:hAnsi="Palatino Linotype" w:cs="Palatino Linotype"/>
          <w:b/>
          <w:sz w:val="22"/>
          <w:szCs w:val="22"/>
        </w:rPr>
        <w:t>I. A N T E C E D E N T E S</w:t>
      </w:r>
    </w:p>
    <w:p w14:paraId="6181BC13" w14:textId="3F4262CD"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AB120E">
        <w:rPr>
          <w:rFonts w:ascii="Palatino Linotype" w:eastAsia="Palatino Linotype" w:hAnsi="Palatino Linotype" w:cs="Palatino Linotype"/>
          <w:b/>
          <w:sz w:val="22"/>
          <w:szCs w:val="22"/>
        </w:rPr>
        <w:t>1. Solicitud de acceso a la información.</w:t>
      </w:r>
      <w:r w:rsidRPr="00AB120E">
        <w:rPr>
          <w:rFonts w:ascii="Palatino Linotype" w:eastAsia="Palatino Linotype" w:hAnsi="Palatino Linotype" w:cs="Palatino Linotype"/>
          <w:sz w:val="22"/>
          <w:szCs w:val="22"/>
        </w:rPr>
        <w:t xml:space="preserve"> El </w:t>
      </w:r>
      <w:r w:rsidR="0001490F" w:rsidRPr="00AB120E">
        <w:rPr>
          <w:rFonts w:ascii="Palatino Linotype" w:eastAsia="Palatino Linotype" w:hAnsi="Palatino Linotype" w:cs="Palatino Linotype"/>
          <w:b/>
          <w:sz w:val="22"/>
          <w:szCs w:val="22"/>
        </w:rPr>
        <w:t>veintisiete de noviembre</w:t>
      </w:r>
      <w:r w:rsidR="0058690B" w:rsidRPr="00AB120E">
        <w:rPr>
          <w:rFonts w:ascii="Palatino Linotype" w:eastAsia="Palatino Linotype" w:hAnsi="Palatino Linotype" w:cs="Palatino Linotype"/>
          <w:b/>
          <w:sz w:val="22"/>
          <w:szCs w:val="22"/>
        </w:rPr>
        <w:t xml:space="preserve"> </w:t>
      </w:r>
      <w:r w:rsidRPr="00AB120E">
        <w:rPr>
          <w:rFonts w:ascii="Palatino Linotype" w:eastAsia="Palatino Linotype" w:hAnsi="Palatino Linotype" w:cs="Palatino Linotype"/>
          <w:b/>
          <w:sz w:val="22"/>
          <w:szCs w:val="22"/>
        </w:rPr>
        <w:t>de dos mil veinticinco,</w:t>
      </w:r>
      <w:r w:rsidRPr="00AB120E">
        <w:rPr>
          <w:rFonts w:ascii="Palatino Linotype" w:eastAsia="Palatino Linotype" w:hAnsi="Palatino Linotype" w:cs="Palatino Linotype"/>
          <w:sz w:val="22"/>
          <w:szCs w:val="22"/>
        </w:rPr>
        <w:t xml:space="preserve"> la parte </w:t>
      </w:r>
      <w:r w:rsidRPr="00AB120E">
        <w:rPr>
          <w:rFonts w:ascii="Palatino Linotype" w:eastAsia="Palatino Linotype" w:hAnsi="Palatino Linotype" w:cs="Palatino Linotype"/>
          <w:b/>
          <w:sz w:val="22"/>
          <w:szCs w:val="22"/>
        </w:rPr>
        <w:t xml:space="preserve">Recurrente </w:t>
      </w:r>
      <w:r w:rsidRPr="00AB120E">
        <w:rPr>
          <w:rFonts w:ascii="Palatino Linotype" w:eastAsia="Palatino Linotype" w:hAnsi="Palatino Linotype" w:cs="Palatino Linotype"/>
          <w:sz w:val="22"/>
          <w:szCs w:val="22"/>
        </w:rPr>
        <w:t xml:space="preserve">presentó la solicitud de acceso a la información pública ante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a través del Sistema de Acceso a la Información Mexiquense, en lo subsecuente el </w:t>
      </w:r>
      <w:r w:rsidRPr="00AB120E">
        <w:rPr>
          <w:rFonts w:ascii="Palatino Linotype" w:eastAsia="Palatino Linotype" w:hAnsi="Palatino Linotype" w:cs="Palatino Linotype"/>
          <w:b/>
          <w:sz w:val="22"/>
          <w:szCs w:val="22"/>
        </w:rPr>
        <w:t>SAIMEX,</w:t>
      </w:r>
      <w:r w:rsidR="0058690B" w:rsidRPr="00AB120E">
        <w:rPr>
          <w:rFonts w:ascii="Palatino Linotype" w:eastAsia="Palatino Linotype" w:hAnsi="Palatino Linotype" w:cs="Palatino Linotype"/>
          <w:b/>
          <w:sz w:val="22"/>
          <w:szCs w:val="22"/>
        </w:rPr>
        <w:t xml:space="preserve"> </w:t>
      </w:r>
      <w:r w:rsidRPr="00AB120E">
        <w:rPr>
          <w:rFonts w:ascii="Palatino Linotype" w:eastAsia="Palatino Linotype" w:hAnsi="Palatino Linotype" w:cs="Palatino Linotype"/>
          <w:sz w:val="22"/>
          <w:szCs w:val="22"/>
        </w:rPr>
        <w:t>mediante la cual requirió lo siguiente:</w:t>
      </w:r>
    </w:p>
    <w:p w14:paraId="49190675" w14:textId="7A8FE50E" w:rsidR="005A75CA" w:rsidRPr="00AB120E" w:rsidRDefault="00E96B90" w:rsidP="00D7204E">
      <w:pPr>
        <w:spacing w:before="120" w:after="120"/>
        <w:ind w:left="851" w:right="902"/>
        <w:jc w:val="both"/>
        <w:rPr>
          <w:rFonts w:ascii="Palatino Linotype" w:eastAsia="Palatino Linotype" w:hAnsi="Palatino Linotype" w:cs="Palatino Linotype"/>
          <w:b/>
          <w:i/>
          <w:sz w:val="22"/>
          <w:szCs w:val="22"/>
        </w:rPr>
      </w:pPr>
      <w:r w:rsidRPr="00AB120E">
        <w:rPr>
          <w:rFonts w:ascii="Palatino Linotype" w:eastAsia="Palatino Linotype" w:hAnsi="Palatino Linotype" w:cs="Palatino Linotype"/>
          <w:i/>
          <w:sz w:val="22"/>
          <w:szCs w:val="22"/>
        </w:rPr>
        <w:t xml:space="preserve"> “</w:t>
      </w:r>
      <w:r w:rsidR="0001490F" w:rsidRPr="00AB120E">
        <w:rPr>
          <w:rFonts w:ascii="Palatino Linotype" w:eastAsia="Palatino Linotype" w:hAnsi="Palatino Linotype" w:cs="Palatino Linotype"/>
          <w:i/>
          <w:sz w:val="22"/>
          <w:szCs w:val="22"/>
        </w:rPr>
        <w:t>Con fundamento en el artículo 3, solicito el inventario actualizado del patrimonio municipal de Tepotzotlán, incluyendo bienes muebles, inmuebles, equipo, vehículos y cualquier bien adquirido o dado de baja en los últimos tres años. De</w:t>
      </w:r>
      <w:r w:rsidRPr="00AB120E">
        <w:rPr>
          <w:rFonts w:ascii="Palatino Linotype" w:eastAsia="Palatino Linotype" w:hAnsi="Palatino Linotype" w:cs="Palatino Linotype"/>
          <w:b/>
          <w:i/>
          <w:sz w:val="22"/>
          <w:szCs w:val="22"/>
        </w:rPr>
        <w:t>”</w:t>
      </w:r>
      <w:r w:rsidRPr="00AB120E">
        <w:rPr>
          <w:rFonts w:ascii="Palatino Linotype" w:eastAsia="Palatino Linotype" w:hAnsi="Palatino Linotype" w:cs="Palatino Linotype"/>
          <w:i/>
          <w:sz w:val="22"/>
          <w:szCs w:val="22"/>
        </w:rPr>
        <w:t xml:space="preserve"> (sic) </w:t>
      </w:r>
    </w:p>
    <w:p w14:paraId="6019A360"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AB120E">
        <w:rPr>
          <w:rFonts w:ascii="Palatino Linotype" w:eastAsia="Palatino Linotype" w:hAnsi="Palatino Linotype" w:cs="Palatino Linotype"/>
          <w:b/>
          <w:sz w:val="22"/>
          <w:szCs w:val="22"/>
        </w:rPr>
        <w:t>Modalidad de Entrega:</w:t>
      </w:r>
      <w:r w:rsidRPr="00AB120E">
        <w:rPr>
          <w:rFonts w:ascii="Palatino Linotype" w:eastAsia="Palatino Linotype" w:hAnsi="Palatino Linotype" w:cs="Palatino Linotype"/>
          <w:sz w:val="22"/>
          <w:szCs w:val="22"/>
        </w:rPr>
        <w:t xml:space="preserve"> a través del</w:t>
      </w:r>
      <w:r w:rsidRPr="00AB120E">
        <w:rPr>
          <w:rFonts w:ascii="Palatino Linotype" w:eastAsia="Palatino Linotype" w:hAnsi="Palatino Linotype" w:cs="Palatino Linotype"/>
          <w:b/>
          <w:sz w:val="22"/>
          <w:szCs w:val="22"/>
        </w:rPr>
        <w:t xml:space="preserve"> SAIMEX.</w:t>
      </w:r>
    </w:p>
    <w:p w14:paraId="1DE89602" w14:textId="03AB07FF" w:rsidR="0001490F" w:rsidRPr="00AB120E" w:rsidRDefault="00E96B90" w:rsidP="0001490F">
      <w:pPr>
        <w:pBdr>
          <w:top w:val="nil"/>
          <w:left w:val="nil"/>
          <w:bottom w:val="nil"/>
          <w:right w:val="nil"/>
          <w:between w:val="nil"/>
        </w:pBdr>
        <w:tabs>
          <w:tab w:val="left" w:pos="3119"/>
        </w:tabs>
        <w:spacing w:before="240" w:after="240" w:line="360" w:lineRule="auto"/>
        <w:jc w:val="both"/>
        <w:rPr>
          <w:rFonts w:ascii="Palatino Linotype" w:hAnsi="Palatino Linotype"/>
          <w:sz w:val="22"/>
          <w:szCs w:val="22"/>
        </w:rPr>
      </w:pPr>
      <w:r w:rsidRPr="00AB120E">
        <w:rPr>
          <w:rFonts w:ascii="Palatino Linotype" w:eastAsia="Palatino Linotype" w:hAnsi="Palatino Linotype" w:cs="Palatino Linotype"/>
          <w:b/>
          <w:sz w:val="22"/>
          <w:szCs w:val="22"/>
        </w:rPr>
        <w:t xml:space="preserve">2. </w:t>
      </w:r>
      <w:r w:rsidR="0001490F" w:rsidRPr="00AB120E">
        <w:rPr>
          <w:rFonts w:ascii="Palatino Linotype" w:eastAsia="Palatino Linotype" w:hAnsi="Palatino Linotype" w:cs="Palatino Linotype"/>
          <w:b/>
          <w:bCs/>
          <w:sz w:val="22"/>
          <w:szCs w:val="22"/>
        </w:rPr>
        <w:t xml:space="preserve">Respuesta. </w:t>
      </w:r>
      <w:r w:rsidR="0001490F" w:rsidRPr="00AB120E">
        <w:rPr>
          <w:rFonts w:ascii="Palatino Linotype" w:hAnsi="Palatino Linotype"/>
          <w:sz w:val="22"/>
          <w:szCs w:val="22"/>
        </w:rPr>
        <w:t xml:space="preserve">De las constancias que obran en SAIMEX, se observa que el </w:t>
      </w:r>
      <w:r w:rsidR="0001490F" w:rsidRPr="00AB120E">
        <w:rPr>
          <w:rFonts w:ascii="Palatino Linotype" w:hAnsi="Palatino Linotype"/>
          <w:b/>
          <w:bCs/>
          <w:sz w:val="22"/>
          <w:szCs w:val="22"/>
        </w:rPr>
        <w:t>Sujeto Obligado</w:t>
      </w:r>
      <w:r w:rsidR="0001490F" w:rsidRPr="00AB120E">
        <w:rPr>
          <w:rFonts w:ascii="Palatino Linotype" w:hAnsi="Palatino Linotype"/>
          <w:sz w:val="22"/>
          <w:szCs w:val="22"/>
        </w:rPr>
        <w:t xml:space="preserve"> no emitió respuesta a la solicitud de información formulada por la persona solicitante.</w:t>
      </w:r>
    </w:p>
    <w:p w14:paraId="7CFCEA31" w14:textId="5DDF45F4" w:rsidR="005A75CA" w:rsidRPr="00AB120E" w:rsidRDefault="0001490F" w:rsidP="00D7204E">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b/>
          <w:sz w:val="22"/>
          <w:szCs w:val="22"/>
        </w:rPr>
        <w:t>3</w:t>
      </w:r>
      <w:r w:rsidR="00E96B90" w:rsidRPr="00AB120E">
        <w:rPr>
          <w:rFonts w:ascii="Palatino Linotype" w:eastAsia="Palatino Linotype" w:hAnsi="Palatino Linotype" w:cs="Palatino Linotype"/>
          <w:b/>
          <w:sz w:val="22"/>
          <w:szCs w:val="22"/>
        </w:rPr>
        <w:t xml:space="preserve">. Interposición del recurso de revisión. </w:t>
      </w:r>
      <w:r w:rsidR="00E96B90" w:rsidRPr="00AB120E">
        <w:rPr>
          <w:rFonts w:ascii="Palatino Linotype" w:eastAsia="Palatino Linotype" w:hAnsi="Palatino Linotype" w:cs="Palatino Linotype"/>
          <w:sz w:val="22"/>
          <w:szCs w:val="22"/>
        </w:rPr>
        <w:t xml:space="preserve">Inconforme con los términos de la respuesta emitida por parte del </w:t>
      </w:r>
      <w:r w:rsidR="00E96B90" w:rsidRPr="00AB120E">
        <w:rPr>
          <w:rFonts w:ascii="Palatino Linotype" w:eastAsia="Palatino Linotype" w:hAnsi="Palatino Linotype" w:cs="Palatino Linotype"/>
          <w:b/>
          <w:sz w:val="22"/>
          <w:szCs w:val="22"/>
        </w:rPr>
        <w:t xml:space="preserve">Sujeto Obligado, el </w:t>
      </w:r>
      <w:r w:rsidR="008C0431" w:rsidRPr="00AB120E">
        <w:rPr>
          <w:rFonts w:ascii="Palatino Linotype" w:eastAsia="Palatino Linotype" w:hAnsi="Palatino Linotype" w:cs="Palatino Linotype"/>
          <w:b/>
          <w:sz w:val="22"/>
          <w:szCs w:val="22"/>
        </w:rPr>
        <w:t xml:space="preserve">veintiséis </w:t>
      </w:r>
      <w:r w:rsidRPr="00AB120E">
        <w:rPr>
          <w:rFonts w:ascii="Palatino Linotype" w:eastAsia="Palatino Linotype" w:hAnsi="Palatino Linotype" w:cs="Palatino Linotype"/>
          <w:b/>
          <w:sz w:val="22"/>
          <w:szCs w:val="22"/>
        </w:rPr>
        <w:t xml:space="preserve">de diciembre </w:t>
      </w:r>
      <w:r w:rsidR="00E96B90" w:rsidRPr="00AB120E">
        <w:rPr>
          <w:rFonts w:ascii="Palatino Linotype" w:eastAsia="Palatino Linotype" w:hAnsi="Palatino Linotype" w:cs="Palatino Linotype"/>
          <w:b/>
          <w:sz w:val="22"/>
          <w:szCs w:val="22"/>
        </w:rPr>
        <w:t>de dos mil veinticinco,</w:t>
      </w:r>
      <w:r w:rsidR="00E96B90" w:rsidRPr="00AB120E">
        <w:rPr>
          <w:rFonts w:ascii="Palatino Linotype" w:eastAsia="Palatino Linotype" w:hAnsi="Palatino Linotype" w:cs="Palatino Linotype"/>
          <w:sz w:val="22"/>
          <w:szCs w:val="22"/>
        </w:rPr>
        <w:t xml:space="preserve"> </w:t>
      </w:r>
      <w:r w:rsidR="00E96B90" w:rsidRPr="00AB120E">
        <w:rPr>
          <w:rFonts w:ascii="Palatino Linotype" w:eastAsia="Palatino Linotype" w:hAnsi="Palatino Linotype" w:cs="Palatino Linotype"/>
          <w:sz w:val="22"/>
          <w:szCs w:val="22"/>
        </w:rPr>
        <w:lastRenderedPageBreak/>
        <w:t xml:space="preserve">la parte </w:t>
      </w:r>
      <w:r w:rsidR="00E96B90" w:rsidRPr="00AB120E">
        <w:rPr>
          <w:rFonts w:ascii="Palatino Linotype" w:eastAsia="Palatino Linotype" w:hAnsi="Palatino Linotype" w:cs="Palatino Linotype"/>
          <w:b/>
          <w:sz w:val="22"/>
          <w:szCs w:val="22"/>
        </w:rPr>
        <w:t>Recurrente</w:t>
      </w:r>
      <w:r w:rsidR="00E96B90" w:rsidRPr="00AB120E">
        <w:rPr>
          <w:rFonts w:ascii="Palatino Linotype" w:eastAsia="Palatino Linotype" w:hAnsi="Palatino Linotype" w:cs="Palatino Linotype"/>
          <w:sz w:val="22"/>
          <w:szCs w:val="22"/>
        </w:rPr>
        <w:t xml:space="preserve"> interpuso el recurso de revisión a través de </w:t>
      </w:r>
      <w:r w:rsidR="00E96B90" w:rsidRPr="00AB120E">
        <w:rPr>
          <w:rFonts w:ascii="Palatino Linotype" w:eastAsia="Palatino Linotype" w:hAnsi="Palatino Linotype" w:cs="Palatino Linotype"/>
          <w:b/>
          <w:sz w:val="22"/>
          <w:szCs w:val="22"/>
        </w:rPr>
        <w:t xml:space="preserve">SAIMEX, </w:t>
      </w:r>
      <w:r w:rsidRPr="00AB120E">
        <w:rPr>
          <w:rFonts w:ascii="Palatino Linotype" w:eastAsia="Palatino Linotype" w:hAnsi="Palatino Linotype" w:cs="Palatino Linotype"/>
          <w:sz w:val="22"/>
          <w:szCs w:val="22"/>
        </w:rPr>
        <w:t xml:space="preserve">sin embargo, al corresponder con un día inhábil, se tuvo por presentado el </w:t>
      </w:r>
      <w:r w:rsidRPr="00AB120E">
        <w:rPr>
          <w:rFonts w:ascii="Palatino Linotype" w:eastAsia="Palatino Linotype" w:hAnsi="Palatino Linotype" w:cs="Palatino Linotype"/>
          <w:b/>
          <w:sz w:val="22"/>
          <w:szCs w:val="22"/>
        </w:rPr>
        <w:t>doce de enero de dos mil veintiséis</w:t>
      </w:r>
      <w:r w:rsidRPr="00AB120E">
        <w:rPr>
          <w:rFonts w:ascii="Palatino Linotype" w:eastAsia="Palatino Linotype" w:hAnsi="Palatino Linotype" w:cs="Palatino Linotype"/>
          <w:sz w:val="22"/>
          <w:szCs w:val="22"/>
        </w:rPr>
        <w:t xml:space="preserve">, </w:t>
      </w:r>
      <w:r w:rsidR="00E96B90" w:rsidRPr="00AB120E">
        <w:rPr>
          <w:rFonts w:ascii="Palatino Linotype" w:eastAsia="Palatino Linotype" w:hAnsi="Palatino Linotype" w:cs="Palatino Linotype"/>
          <w:sz w:val="22"/>
          <w:szCs w:val="22"/>
        </w:rPr>
        <w:t>en donde se manifestó de la siguiente manera:</w:t>
      </w:r>
    </w:p>
    <w:p w14:paraId="0DB160D3" w14:textId="77777777" w:rsidR="005A75CA" w:rsidRPr="00AB120E" w:rsidRDefault="00E96B90" w:rsidP="00D7204E">
      <w:pPr>
        <w:spacing w:before="240" w:after="240" w:line="360" w:lineRule="auto"/>
        <w:ind w:right="49"/>
        <w:jc w:val="both"/>
        <w:rPr>
          <w:rFonts w:ascii="Palatino Linotype" w:eastAsia="Palatino Linotype" w:hAnsi="Palatino Linotype" w:cs="Palatino Linotype"/>
          <w:b/>
          <w:sz w:val="22"/>
          <w:szCs w:val="22"/>
        </w:rPr>
      </w:pPr>
      <w:r w:rsidRPr="00AB120E">
        <w:rPr>
          <w:rFonts w:ascii="Palatino Linotype" w:eastAsia="Palatino Linotype" w:hAnsi="Palatino Linotype" w:cs="Palatino Linotype"/>
          <w:b/>
          <w:sz w:val="22"/>
          <w:szCs w:val="22"/>
        </w:rPr>
        <w:t xml:space="preserve">Acto impugnado: </w:t>
      </w:r>
    </w:p>
    <w:p w14:paraId="68DC3E6A" w14:textId="293DC7C6" w:rsidR="005A75CA" w:rsidRPr="00AB120E" w:rsidRDefault="00E96B90" w:rsidP="00D7204E">
      <w:pPr>
        <w:tabs>
          <w:tab w:val="left" w:pos="2745"/>
        </w:tabs>
        <w:spacing w:before="240" w:after="240"/>
        <w:ind w:left="851" w:right="900"/>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0001490F" w:rsidRPr="00AB120E">
        <w:rPr>
          <w:rFonts w:ascii="Palatino Linotype" w:eastAsia="Palatino Linotype" w:hAnsi="Palatino Linotype" w:cs="Palatino Linotype"/>
          <w:i/>
          <w:sz w:val="22"/>
          <w:szCs w:val="22"/>
        </w:rPr>
        <w:t>solicito el inventario actualizado del patrimonio municipal de Tepotzotlán, incluyendo bienes muebles, inmuebles, equipo, vehículos y cualquier bien adquirido o dado de baja en los últimos tres años.</w:t>
      </w:r>
      <w:r w:rsidRPr="00AB120E">
        <w:rPr>
          <w:rFonts w:ascii="Palatino Linotype" w:eastAsia="Palatino Linotype" w:hAnsi="Palatino Linotype" w:cs="Palatino Linotype"/>
          <w:i/>
          <w:sz w:val="22"/>
          <w:szCs w:val="22"/>
        </w:rPr>
        <w:t>” (sic)</w:t>
      </w:r>
    </w:p>
    <w:p w14:paraId="64535873" w14:textId="77777777" w:rsidR="005A75CA" w:rsidRPr="00AB120E" w:rsidRDefault="00E96B90" w:rsidP="00D7204E">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AB120E">
        <w:rPr>
          <w:rFonts w:ascii="Palatino Linotype" w:eastAsia="Palatino Linotype" w:hAnsi="Palatino Linotype" w:cs="Palatino Linotype"/>
          <w:b/>
          <w:sz w:val="22"/>
          <w:szCs w:val="22"/>
        </w:rPr>
        <w:t>Y, Razones o motivos de inconformidad</w:t>
      </w:r>
      <w:r w:rsidRPr="00AB120E">
        <w:rPr>
          <w:rFonts w:ascii="Palatino Linotype" w:eastAsia="Palatino Linotype" w:hAnsi="Palatino Linotype" w:cs="Palatino Linotype"/>
          <w:sz w:val="22"/>
          <w:szCs w:val="22"/>
        </w:rPr>
        <w:t>:</w:t>
      </w:r>
    </w:p>
    <w:p w14:paraId="6C751BDA" w14:textId="66444E7D" w:rsidR="005A75CA" w:rsidRPr="00AB120E" w:rsidRDefault="00E96B90" w:rsidP="00D7204E">
      <w:pPr>
        <w:tabs>
          <w:tab w:val="left" w:pos="2745"/>
        </w:tabs>
        <w:spacing w:before="240" w:after="240"/>
        <w:ind w:left="851" w:right="900"/>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0001490F" w:rsidRPr="00AB120E">
        <w:rPr>
          <w:rFonts w:ascii="Palatino Linotype" w:eastAsia="Palatino Linotype" w:hAnsi="Palatino Linotype" w:cs="Palatino Linotype"/>
          <w:i/>
          <w:sz w:val="22"/>
          <w:szCs w:val="22"/>
        </w:rPr>
        <w:t xml:space="preserve">El Ayuntamiento de Tepotzotlán vulnera mis derechos de acceso a la información al NO emitir respuesta en tiempo, NO fundar ni motivar una inexistencia, reserva o clasificación. NO proporcionar los documentos solicitados. NO orientar, turnar ni emitir ampliación justificada. La conducta del sujeto obligado constituye una obstrucción del derecho de acceso a la información, afectándome directamente como persona solicitante, al dejarme en estado de incertidumbre jurídica sin resolución válida. En términos del articulo 6 y 8 constitucional tengo derecho a realizar mi petición y tener acceso a la información pública, así mismo de conformidad al articulo 4, 11, 15, 92, 111, 112, 150, 151, 152, 160, 162, 176, 177, 178, 179, 180, de la Ley de Transparencia y Acceso a la Información Publica del Estado de México y Municipios se hace de su conocimiento que transcurrido el plazo para darme una respuesta el ayuntamiento hizo caso omiso y nunca contesto mi solicitud de información publica por lo que exijo una respuesta ya que se supone deben hacer una revisión exhaustiva para buscar los documentos públicos solicitados. Solicito respetuosamente que el INFOEM determine la omisión del Sujeto Obligado al no responder mi solicitud de información dentro del plazo legal, lo cual constituye una infracción conforme a los artículos de la Ley de Transparencia del Estado de México y Municipios. De igual forma solicito que se otorgue vista al Órgano Interno de Control del Ayuntamiento para que, conforme a los artículos 194, 195, 196, 200, 213, 214, 215, 222, 223 y 224 de la citada ley, así como 49, 50, 57 y 76–81 de la Ley de Responsabilidades Administrativas del Estado de México y Municipios, lleve a cabo el procedimiento correspondiente e imponga las sanciones, multas o apercibimientos que resulten aplicables contra el servidor público responsable de la omisión. Solicito también que el INFOEM aperciba a la Unidad de Transparencia del Ayuntamiento para que dé cumplimiento inmediato </w:t>
      </w:r>
      <w:r w:rsidR="0001490F" w:rsidRPr="00AB120E">
        <w:rPr>
          <w:rFonts w:ascii="Palatino Linotype" w:eastAsia="Palatino Linotype" w:hAnsi="Palatino Linotype" w:cs="Palatino Linotype"/>
          <w:i/>
          <w:sz w:val="22"/>
          <w:szCs w:val="22"/>
        </w:rPr>
        <w:lastRenderedPageBreak/>
        <w:t>a la entrega de la información requerida. Solicito que, de conformidad con la ley, se impongan las sanciones correspondientes a los funcionarios responsables por incumplimiento de los plazos de respuesta. En caso de inexistencia (que debe ser demostrada), se requiera al Comité de Transparencia seguir el procedimiento de verificación. En caso de que la información solicitada contenga datos personales, clasificados o confidenciales, requiero que el sujeto obligado elabore y entregue versión pública debidamente testada garantizando mi derecho de acceso a la información sin afectar los datos protegidos. Se solicita que el testado sea estricto, proporcional y justificado, acompañado del acta del Comité de Transparencia donde conste la clasificación o determinación correspondiente.</w:t>
      </w:r>
      <w:r w:rsidRPr="00AB120E">
        <w:rPr>
          <w:rFonts w:ascii="Palatino Linotype" w:eastAsia="Palatino Linotype" w:hAnsi="Palatino Linotype" w:cs="Palatino Linotype"/>
          <w:i/>
          <w:sz w:val="22"/>
          <w:szCs w:val="22"/>
        </w:rPr>
        <w:t>” (sic)</w:t>
      </w:r>
    </w:p>
    <w:p w14:paraId="63BA5F7F" w14:textId="1B85B6F7" w:rsidR="005A75CA" w:rsidRPr="00AB120E" w:rsidRDefault="0001490F" w:rsidP="00D7204E">
      <w:pPr>
        <w:spacing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b/>
          <w:sz w:val="22"/>
          <w:szCs w:val="22"/>
        </w:rPr>
        <w:t>4</w:t>
      </w:r>
      <w:r w:rsidR="00E96B90" w:rsidRPr="00AB120E">
        <w:rPr>
          <w:rFonts w:ascii="Palatino Linotype" w:eastAsia="Palatino Linotype" w:hAnsi="Palatino Linotype" w:cs="Palatino Linotype"/>
          <w:b/>
          <w:sz w:val="22"/>
          <w:szCs w:val="22"/>
        </w:rPr>
        <w:t xml:space="preserve">. Turno. </w:t>
      </w:r>
      <w:r w:rsidR="00E96B90" w:rsidRPr="00AB120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E96B90" w:rsidRPr="00AB120E">
        <w:rPr>
          <w:rFonts w:ascii="Palatino Linotype" w:eastAsia="Palatino Linotype" w:hAnsi="Palatino Linotype" w:cs="Palatino Linotype"/>
          <w:b/>
          <w:sz w:val="22"/>
          <w:szCs w:val="22"/>
        </w:rPr>
        <w:t xml:space="preserve">Guadalupe Ramírez Peña, </w:t>
      </w:r>
      <w:r w:rsidR="00E96B90" w:rsidRPr="00AB120E">
        <w:rPr>
          <w:rFonts w:ascii="Palatino Linotype" w:eastAsia="Palatino Linotype" w:hAnsi="Palatino Linotype" w:cs="Palatino Linotype"/>
          <w:sz w:val="22"/>
          <w:szCs w:val="22"/>
        </w:rPr>
        <w:t>a efecto de que analizara sobre su admisión o su desechamiento.</w:t>
      </w:r>
    </w:p>
    <w:p w14:paraId="7FEE7B27" w14:textId="3F849E4E" w:rsidR="005A75CA" w:rsidRPr="00AB120E" w:rsidRDefault="0001490F" w:rsidP="00D7204E">
      <w:pPr>
        <w:spacing w:before="240" w:after="240" w:line="360" w:lineRule="auto"/>
        <w:jc w:val="both"/>
        <w:rPr>
          <w:rFonts w:ascii="Palatino Linotype" w:eastAsia="Palatino Linotype" w:hAnsi="Palatino Linotype" w:cs="Palatino Linotype"/>
          <w:b/>
          <w:sz w:val="22"/>
          <w:szCs w:val="22"/>
        </w:rPr>
      </w:pPr>
      <w:r w:rsidRPr="00AB120E">
        <w:rPr>
          <w:rFonts w:ascii="Palatino Linotype" w:eastAsia="Palatino Linotype" w:hAnsi="Palatino Linotype" w:cs="Palatino Linotype"/>
          <w:b/>
          <w:sz w:val="22"/>
          <w:szCs w:val="22"/>
        </w:rPr>
        <w:t>5.</w:t>
      </w:r>
      <w:r w:rsidR="00E96B90" w:rsidRPr="00AB120E">
        <w:rPr>
          <w:rFonts w:ascii="Palatino Linotype" w:eastAsia="Palatino Linotype" w:hAnsi="Palatino Linotype" w:cs="Palatino Linotype"/>
          <w:b/>
          <w:sz w:val="22"/>
          <w:szCs w:val="22"/>
        </w:rPr>
        <w:t xml:space="preserve"> Admisión del Recurso de revisión.</w:t>
      </w:r>
      <w:r w:rsidR="00E96B90" w:rsidRPr="00AB120E">
        <w:rPr>
          <w:rFonts w:ascii="Palatino Linotype" w:eastAsia="Palatino Linotype" w:hAnsi="Palatino Linotype" w:cs="Palatino Linotype"/>
          <w:sz w:val="22"/>
          <w:szCs w:val="22"/>
        </w:rPr>
        <w:t xml:space="preserve"> El</w:t>
      </w:r>
      <w:r w:rsidR="008C0431" w:rsidRPr="00AB120E">
        <w:rPr>
          <w:rFonts w:ascii="Palatino Linotype" w:eastAsia="Palatino Linotype" w:hAnsi="Palatino Linotype" w:cs="Palatino Linotype"/>
          <w:sz w:val="22"/>
          <w:szCs w:val="22"/>
        </w:rPr>
        <w:t xml:space="preserve"> </w:t>
      </w:r>
      <w:r w:rsidR="008C0431" w:rsidRPr="00AB120E">
        <w:rPr>
          <w:rFonts w:ascii="Palatino Linotype" w:eastAsia="Palatino Linotype" w:hAnsi="Palatino Linotype" w:cs="Palatino Linotype"/>
          <w:b/>
          <w:sz w:val="22"/>
          <w:szCs w:val="22"/>
        </w:rPr>
        <w:t xml:space="preserve">trece de enero de dos mil veintiséis, </w:t>
      </w:r>
      <w:r w:rsidR="00E96B90" w:rsidRPr="00AB120E">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E96B90" w:rsidRPr="00AB120E">
        <w:rPr>
          <w:rFonts w:ascii="Palatino Linotype" w:eastAsia="Palatino Linotype" w:hAnsi="Palatino Linotype" w:cs="Palatino Linotype"/>
          <w:b/>
          <w:sz w:val="22"/>
          <w:szCs w:val="22"/>
        </w:rPr>
        <w:t xml:space="preserve">Sujeto Obligado </w:t>
      </w:r>
      <w:r w:rsidR="00E96B90" w:rsidRPr="00AB120E">
        <w:rPr>
          <w:rFonts w:ascii="Palatino Linotype" w:eastAsia="Palatino Linotype" w:hAnsi="Palatino Linotype" w:cs="Palatino Linotype"/>
          <w:sz w:val="22"/>
          <w:szCs w:val="22"/>
        </w:rPr>
        <w:t>presentara su informe justificado.</w:t>
      </w:r>
    </w:p>
    <w:p w14:paraId="0E97A986" w14:textId="77777777" w:rsidR="0001490F" w:rsidRPr="00AB120E" w:rsidRDefault="0058690B" w:rsidP="00837327">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AB120E">
        <w:rPr>
          <w:rFonts w:ascii="Palatino Linotype" w:eastAsia="Palatino Linotype" w:hAnsi="Palatino Linotype" w:cs="Palatino Linotype"/>
          <w:b/>
          <w:sz w:val="22"/>
          <w:szCs w:val="22"/>
        </w:rPr>
        <w:t>6</w:t>
      </w:r>
      <w:r w:rsidR="00E96B90" w:rsidRPr="00AB120E">
        <w:rPr>
          <w:rFonts w:ascii="Palatino Linotype" w:eastAsia="Palatino Linotype" w:hAnsi="Palatino Linotype" w:cs="Palatino Linotype"/>
          <w:b/>
          <w:sz w:val="22"/>
          <w:szCs w:val="22"/>
        </w:rPr>
        <w:t>. Manifestaciones</w:t>
      </w:r>
      <w:r w:rsidR="00E96B90" w:rsidRPr="00AB120E">
        <w:rPr>
          <w:rFonts w:ascii="Palatino Linotype" w:eastAsia="Palatino Linotype" w:hAnsi="Palatino Linotype" w:cs="Palatino Linotype"/>
          <w:sz w:val="22"/>
          <w:szCs w:val="22"/>
        </w:rPr>
        <w:t xml:space="preserve">. El </w:t>
      </w:r>
      <w:r w:rsidR="0001490F" w:rsidRPr="00AB120E">
        <w:rPr>
          <w:rFonts w:ascii="Palatino Linotype" w:eastAsia="Palatino Linotype" w:hAnsi="Palatino Linotype" w:cs="Palatino Linotype"/>
          <w:b/>
          <w:sz w:val="22"/>
          <w:szCs w:val="22"/>
        </w:rPr>
        <w:t>diecisiete de enero</w:t>
      </w:r>
      <w:r w:rsidRPr="00AB120E">
        <w:rPr>
          <w:rFonts w:ascii="Palatino Linotype" w:eastAsia="Palatino Linotype" w:hAnsi="Palatino Linotype" w:cs="Palatino Linotype"/>
          <w:b/>
          <w:sz w:val="22"/>
          <w:szCs w:val="22"/>
        </w:rPr>
        <w:t xml:space="preserve"> </w:t>
      </w:r>
      <w:r w:rsidR="00C62D06" w:rsidRPr="00AB120E">
        <w:rPr>
          <w:rFonts w:ascii="Palatino Linotype" w:eastAsia="Palatino Linotype" w:hAnsi="Palatino Linotype" w:cs="Palatino Linotype"/>
          <w:b/>
          <w:sz w:val="22"/>
          <w:szCs w:val="22"/>
        </w:rPr>
        <w:t>d</w:t>
      </w:r>
      <w:r w:rsidR="00E96B90" w:rsidRPr="00AB120E">
        <w:rPr>
          <w:rFonts w:ascii="Palatino Linotype" w:eastAsia="Palatino Linotype" w:hAnsi="Palatino Linotype" w:cs="Palatino Linotype"/>
          <w:b/>
          <w:sz w:val="22"/>
          <w:szCs w:val="22"/>
        </w:rPr>
        <w:t>e dos mil veinti</w:t>
      </w:r>
      <w:r w:rsidR="0001490F" w:rsidRPr="00AB120E">
        <w:rPr>
          <w:rFonts w:ascii="Palatino Linotype" w:eastAsia="Palatino Linotype" w:hAnsi="Palatino Linotype" w:cs="Palatino Linotype"/>
          <w:b/>
          <w:sz w:val="22"/>
          <w:szCs w:val="22"/>
        </w:rPr>
        <w:t>séis</w:t>
      </w:r>
      <w:r w:rsidR="00E96B90" w:rsidRPr="00AB120E">
        <w:rPr>
          <w:rFonts w:ascii="Palatino Linotype" w:eastAsia="Palatino Linotype" w:hAnsi="Palatino Linotype" w:cs="Palatino Linotype"/>
          <w:b/>
          <w:sz w:val="22"/>
          <w:szCs w:val="22"/>
        </w:rPr>
        <w:t xml:space="preserve">, </w:t>
      </w:r>
      <w:r w:rsidR="00E96B90" w:rsidRPr="00AB120E">
        <w:rPr>
          <w:rFonts w:ascii="Palatino Linotype" w:eastAsia="Palatino Linotype" w:hAnsi="Palatino Linotype" w:cs="Palatino Linotype"/>
          <w:sz w:val="22"/>
          <w:szCs w:val="22"/>
        </w:rPr>
        <w:t xml:space="preserve">el </w:t>
      </w:r>
      <w:r w:rsidR="00E96B90" w:rsidRPr="00AB120E">
        <w:rPr>
          <w:rFonts w:ascii="Palatino Linotype" w:eastAsia="Palatino Linotype" w:hAnsi="Palatino Linotype" w:cs="Palatino Linotype"/>
          <w:b/>
          <w:sz w:val="22"/>
          <w:szCs w:val="22"/>
        </w:rPr>
        <w:t>Sujeto Obligado</w:t>
      </w:r>
      <w:r w:rsidR="00E96B90" w:rsidRPr="00AB120E">
        <w:rPr>
          <w:rFonts w:ascii="Palatino Linotype" w:eastAsia="Palatino Linotype" w:hAnsi="Palatino Linotype" w:cs="Palatino Linotype"/>
          <w:sz w:val="22"/>
          <w:szCs w:val="22"/>
        </w:rPr>
        <w:t xml:space="preserve"> remitió, a través del SAIMEX, </w:t>
      </w:r>
      <w:r w:rsidR="0001490F" w:rsidRPr="00AB120E">
        <w:rPr>
          <w:rFonts w:ascii="Palatino Linotype" w:eastAsia="Palatino Linotype" w:hAnsi="Palatino Linotype" w:cs="Palatino Linotype"/>
          <w:sz w:val="22"/>
          <w:szCs w:val="22"/>
        </w:rPr>
        <w:t>el oficio número JPM/274/2025, mediante el cual la Jefa de Patrimonio Municipal proporcionó una dirección electrónica en formato cerrado para efectos de la consulta de la información requerida en la solicitud 01396/ТЕРOTZOT/IP/2025.</w:t>
      </w:r>
    </w:p>
    <w:p w14:paraId="228EC591" w14:textId="6B4F3A0A" w:rsidR="00B63576" w:rsidRPr="00AB120E" w:rsidRDefault="00B278DC" w:rsidP="00837327">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 xml:space="preserve">Una vez analizada la información, </w:t>
      </w:r>
      <w:r w:rsidR="005B6BEF" w:rsidRPr="00AB120E">
        <w:rPr>
          <w:rFonts w:ascii="Palatino Linotype" w:eastAsia="Palatino Linotype" w:hAnsi="Palatino Linotype" w:cs="Palatino Linotype"/>
          <w:sz w:val="22"/>
          <w:szCs w:val="22"/>
        </w:rPr>
        <w:t>únicamente se</w:t>
      </w:r>
      <w:r w:rsidRPr="00AB120E">
        <w:rPr>
          <w:rFonts w:ascii="Palatino Linotype" w:eastAsia="Palatino Linotype" w:hAnsi="Palatino Linotype" w:cs="Palatino Linotype"/>
          <w:sz w:val="22"/>
          <w:szCs w:val="22"/>
        </w:rPr>
        <w:t xml:space="preserve"> hizo del conocimiento de la persona</w:t>
      </w:r>
      <w:r w:rsidR="005B6BEF" w:rsidRPr="00AB120E">
        <w:rPr>
          <w:rFonts w:ascii="Palatino Linotype" w:eastAsia="Palatino Linotype" w:hAnsi="Palatino Linotype" w:cs="Palatino Linotype"/>
          <w:sz w:val="22"/>
          <w:szCs w:val="22"/>
        </w:rPr>
        <w:t xml:space="preserve">, </w:t>
      </w:r>
      <w:r w:rsidR="0095701F" w:rsidRPr="00AB120E">
        <w:rPr>
          <w:rFonts w:ascii="Palatino Linotype" w:eastAsia="Palatino Linotype" w:hAnsi="Palatino Linotype" w:cs="Palatino Linotype"/>
          <w:sz w:val="22"/>
          <w:szCs w:val="22"/>
        </w:rPr>
        <w:t xml:space="preserve">a efecto de que manifestara lo que a su derecho estimara conveniente, </w:t>
      </w:r>
      <w:r w:rsidR="00837327" w:rsidRPr="00AB120E">
        <w:rPr>
          <w:rFonts w:ascii="Palatino Linotype" w:eastAsia="Palatino Linotype" w:hAnsi="Palatino Linotype" w:cs="Palatino Linotype"/>
          <w:sz w:val="22"/>
          <w:szCs w:val="22"/>
        </w:rPr>
        <w:t>sin embargo, fue omisa en ejercer dicha prerrogativa.</w:t>
      </w:r>
    </w:p>
    <w:p w14:paraId="04508E1E" w14:textId="0AF039B4" w:rsidR="00CD4734" w:rsidRPr="00AB120E" w:rsidRDefault="007E6096" w:rsidP="00CD4734">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b/>
          <w:sz w:val="22"/>
          <w:szCs w:val="22"/>
        </w:rPr>
        <w:t>7</w:t>
      </w:r>
      <w:r w:rsidR="00CD4734" w:rsidRPr="00AB120E">
        <w:rPr>
          <w:rFonts w:ascii="Palatino Linotype" w:eastAsia="Palatino Linotype" w:hAnsi="Palatino Linotype" w:cs="Palatino Linotype"/>
          <w:b/>
          <w:sz w:val="22"/>
          <w:szCs w:val="22"/>
        </w:rPr>
        <w:t>. Ampliación del término para resolver</w:t>
      </w:r>
      <w:r w:rsidR="00CD4734" w:rsidRPr="00AB120E">
        <w:rPr>
          <w:rFonts w:ascii="Palatino Linotype" w:eastAsia="Palatino Linotype" w:hAnsi="Palatino Linotype" w:cs="Palatino Linotype"/>
          <w:sz w:val="22"/>
          <w:szCs w:val="22"/>
        </w:rPr>
        <w:t xml:space="preserve">. El </w:t>
      </w:r>
      <w:r w:rsidR="00CD4734" w:rsidRPr="00AB120E">
        <w:rPr>
          <w:rFonts w:ascii="Palatino Linotype" w:eastAsia="Palatino Linotype" w:hAnsi="Palatino Linotype" w:cs="Palatino Linotype"/>
          <w:b/>
          <w:bCs/>
          <w:sz w:val="22"/>
          <w:szCs w:val="22"/>
        </w:rPr>
        <w:t>diecisiete de marzo de dos mil veintiséis</w:t>
      </w:r>
      <w:r w:rsidR="00CD4734" w:rsidRPr="00AB120E">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2168C8D3" w14:textId="77777777" w:rsidR="00CD4734" w:rsidRPr="00AB120E" w:rsidRDefault="00CD4734" w:rsidP="00CD4734">
      <w:pPr>
        <w:widowControl w:val="0"/>
        <w:spacing w:before="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BED1BC5" w14:textId="77777777" w:rsidR="00CD4734" w:rsidRPr="00AB120E" w:rsidRDefault="00CD4734" w:rsidP="00CD4734">
      <w:pPr>
        <w:widowControl w:val="0"/>
        <w:spacing w:before="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24F3B97" w14:textId="77777777" w:rsidR="00CD4734" w:rsidRPr="00AB120E" w:rsidRDefault="00CD4734" w:rsidP="00CD4734">
      <w:pPr>
        <w:widowControl w:val="0"/>
        <w:spacing w:before="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E06B2" w14:textId="77777777" w:rsidR="00CD4734" w:rsidRPr="00AB120E" w:rsidRDefault="00CD4734" w:rsidP="00CD4734">
      <w:pPr>
        <w:widowControl w:val="0"/>
        <w:spacing w:before="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3439149" w14:textId="77777777" w:rsidR="00CD4734" w:rsidRPr="00AB120E" w:rsidRDefault="00CD4734" w:rsidP="00CD4734">
      <w:pPr>
        <w:widowControl w:val="0"/>
        <w:spacing w:before="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02298753" w14:textId="77777777" w:rsidR="00CD4734" w:rsidRPr="00AB120E" w:rsidRDefault="00CD4734" w:rsidP="00CD4734">
      <w:pPr>
        <w:widowControl w:val="0"/>
        <w:numPr>
          <w:ilvl w:val="0"/>
          <w:numId w:val="6"/>
        </w:numPr>
        <w:tabs>
          <w:tab w:val="left" w:pos="851"/>
        </w:tabs>
        <w:spacing w:before="240" w:line="360" w:lineRule="auto"/>
        <w:ind w:left="567" w:firstLine="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0E391A8D" w14:textId="77777777" w:rsidR="00CD4734" w:rsidRPr="00AB120E" w:rsidRDefault="00CD4734" w:rsidP="00CD4734">
      <w:pPr>
        <w:widowControl w:val="0"/>
        <w:numPr>
          <w:ilvl w:val="0"/>
          <w:numId w:val="6"/>
        </w:numPr>
        <w:tabs>
          <w:tab w:val="left" w:pos="851"/>
        </w:tabs>
        <w:spacing w:before="240" w:line="360" w:lineRule="auto"/>
        <w:ind w:left="567" w:firstLine="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Actividad Procesal del interesado. Acciones u omisiones del interesado.</w:t>
      </w:r>
    </w:p>
    <w:p w14:paraId="3FBC4AD2" w14:textId="77777777" w:rsidR="00CD4734" w:rsidRPr="00AB120E" w:rsidRDefault="00CD4734" w:rsidP="00CD4734">
      <w:pPr>
        <w:widowControl w:val="0"/>
        <w:numPr>
          <w:ilvl w:val="0"/>
          <w:numId w:val="6"/>
        </w:numPr>
        <w:tabs>
          <w:tab w:val="left" w:pos="851"/>
        </w:tabs>
        <w:spacing w:before="240" w:line="360" w:lineRule="auto"/>
        <w:ind w:left="567" w:firstLine="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358F4297" w14:textId="77777777" w:rsidR="00CD4734" w:rsidRPr="00AB120E" w:rsidRDefault="00CD4734" w:rsidP="00CD4734">
      <w:pPr>
        <w:widowControl w:val="0"/>
        <w:tabs>
          <w:tab w:val="left" w:pos="851"/>
        </w:tabs>
        <w:spacing w:before="240" w:line="360" w:lineRule="auto"/>
        <w:ind w:left="567"/>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53FA6EB3" w14:textId="77777777" w:rsidR="00CD4734" w:rsidRPr="00AB120E" w:rsidRDefault="00CD4734" w:rsidP="00CD4734">
      <w:pPr>
        <w:widowControl w:val="0"/>
        <w:spacing w:before="240" w:line="360" w:lineRule="auto"/>
        <w:jc w:val="both"/>
        <w:rPr>
          <w:rFonts w:ascii="Palatino Linotype" w:eastAsia="Palatino Linotype" w:hAnsi="Palatino Linotype" w:cs="Palatino Linotype"/>
          <w:bCs/>
          <w:sz w:val="22"/>
          <w:szCs w:val="22"/>
        </w:rPr>
      </w:pPr>
      <w:r w:rsidRPr="00AB120E">
        <w:rPr>
          <w:rFonts w:ascii="Palatino Linotype" w:eastAsia="Palatino Linotype" w:hAnsi="Palatino Linotype" w:cs="Palatino Linotype"/>
          <w:bCs/>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75ACAF" w14:textId="77777777" w:rsidR="00CD4734" w:rsidRPr="00AB120E" w:rsidRDefault="00CD4734" w:rsidP="00CD4734">
      <w:pPr>
        <w:widowControl w:val="0"/>
        <w:spacing w:before="240" w:line="360" w:lineRule="auto"/>
        <w:jc w:val="both"/>
        <w:rPr>
          <w:rFonts w:ascii="Palatino Linotype" w:eastAsia="Palatino Linotype" w:hAnsi="Palatino Linotype" w:cs="Palatino Linotype"/>
          <w:bCs/>
          <w:sz w:val="22"/>
          <w:szCs w:val="22"/>
        </w:rPr>
      </w:pPr>
      <w:r w:rsidRPr="00AB120E">
        <w:rPr>
          <w:rFonts w:ascii="Palatino Linotype" w:eastAsia="Palatino Linotype" w:hAnsi="Palatino Linotype" w:cs="Palatino Linotype"/>
          <w:bCs/>
          <w:sz w:val="22"/>
          <w:szCs w:val="22"/>
        </w:rPr>
        <w:t xml:space="preserve">Argumento que encuentra sustento en la jurisprudencia P./J. 32/92 emitida por el Pleno de la Suprema Corte de Justicia de la Nación de rubro </w:t>
      </w:r>
      <w:r w:rsidRPr="00AB120E">
        <w:rPr>
          <w:rFonts w:ascii="Palatino Linotype" w:eastAsia="Palatino Linotype" w:hAnsi="Palatino Linotype" w:cs="Palatino Linotype"/>
          <w:bCs/>
          <w:i/>
          <w:sz w:val="22"/>
          <w:szCs w:val="22"/>
        </w:rPr>
        <w:t>“TÉRMINOS PROCESALES. PARA DETERMINAR SI UN FUNCIONARIO JUDICIAL ACTUÓ INDEBIDAMENTE POR NO RESPETARLOS SE DEBE ATENDER AL PRESUPUESTO QUE CONSIDERÓ EL LEGISLADOR AL FIJARLOS Y LAS CARACTERÍSTICAS DEL CASO.”</w:t>
      </w:r>
      <w:r w:rsidRPr="00AB120E">
        <w:rPr>
          <w:rFonts w:ascii="Palatino Linotype" w:eastAsia="Palatino Linotype" w:hAnsi="Palatino Linotype" w:cs="Palatino Linotype"/>
          <w:bCs/>
          <w:sz w:val="22"/>
          <w:szCs w:val="22"/>
        </w:rPr>
        <w:t>, visible en la Gaceta del Seminario Judicial de la Federación con el registro digital 205635.</w:t>
      </w:r>
    </w:p>
    <w:p w14:paraId="426E7F61" w14:textId="77777777" w:rsidR="00CD4734" w:rsidRPr="00AB120E" w:rsidRDefault="00CD4734" w:rsidP="00CD4734">
      <w:pPr>
        <w:widowControl w:val="0"/>
        <w:spacing w:before="240" w:line="360" w:lineRule="auto"/>
        <w:jc w:val="both"/>
        <w:rPr>
          <w:rFonts w:ascii="Palatino Linotype" w:eastAsia="Palatino Linotype" w:hAnsi="Palatino Linotype" w:cs="Palatino Linotype"/>
          <w:bCs/>
          <w:sz w:val="22"/>
          <w:szCs w:val="22"/>
        </w:rPr>
      </w:pPr>
      <w:r w:rsidRPr="00AB120E">
        <w:rPr>
          <w:rFonts w:ascii="Palatino Linotype" w:eastAsia="Palatino Linotype" w:hAnsi="Palatino Linotype" w:cs="Palatino Linotype"/>
          <w:bCs/>
          <w:sz w:val="22"/>
          <w:szCs w:val="22"/>
        </w:rPr>
        <w:t xml:space="preserve">Razones por las cuales cabe concluir que, la resolución al recurso de revisión se solventa hasta esta fecha, debido a que existe una excesiva carga de trabajo en desproporción a la </w:t>
      </w:r>
      <w:r w:rsidRPr="00AB120E">
        <w:rPr>
          <w:rFonts w:ascii="Palatino Linotype" w:eastAsia="Palatino Linotype" w:hAnsi="Palatino Linotype" w:cs="Palatino Linotype"/>
          <w:bCs/>
          <w:sz w:val="22"/>
          <w:szCs w:val="22"/>
        </w:rPr>
        <w:lastRenderedPageBreak/>
        <w:t>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1982DB" w14:textId="77777777" w:rsidR="00CD4734" w:rsidRPr="00AB120E" w:rsidRDefault="00CD4734" w:rsidP="00CD4734">
      <w:pPr>
        <w:widowControl w:val="0"/>
        <w:spacing w:before="240" w:line="360" w:lineRule="auto"/>
        <w:jc w:val="both"/>
        <w:rPr>
          <w:rFonts w:ascii="Palatino Linotype" w:eastAsia="Palatino Linotype" w:hAnsi="Palatino Linotype" w:cs="Palatino Linotype"/>
          <w:bCs/>
          <w:sz w:val="22"/>
          <w:szCs w:val="22"/>
        </w:rPr>
      </w:pPr>
      <w:r w:rsidRPr="00AB120E">
        <w:rPr>
          <w:rFonts w:ascii="Palatino Linotype" w:eastAsia="Palatino Linotype" w:hAnsi="Palatino Linotype" w:cs="Palatino Linotype"/>
          <w:bCs/>
          <w:sz w:val="22"/>
          <w:szCs w:val="22"/>
        </w:rPr>
        <w:t>Al respecto, también son de considerar los criterios sostenidos por el Cuarto Tribunal Colegiado en Materia Administrativa del Primer Circuito, cuyos rubros y datos de identificación son los siguientes:</w:t>
      </w:r>
    </w:p>
    <w:p w14:paraId="01BDE481" w14:textId="77777777" w:rsidR="00CD4734" w:rsidRPr="00AB120E" w:rsidRDefault="00CD4734" w:rsidP="00CD4734">
      <w:pPr>
        <w:widowControl w:val="0"/>
        <w:spacing w:before="240"/>
        <w:ind w:left="851" w:right="900"/>
        <w:jc w:val="both"/>
        <w:rPr>
          <w:rFonts w:ascii="Palatino Linotype" w:eastAsia="Palatino Linotype" w:hAnsi="Palatino Linotype" w:cs="Palatino Linotype"/>
          <w:bCs/>
          <w:sz w:val="22"/>
          <w:szCs w:val="22"/>
        </w:rPr>
      </w:pPr>
      <w:r w:rsidRPr="00AB120E">
        <w:rPr>
          <w:rFonts w:ascii="Palatino Linotype" w:eastAsia="Palatino Linotype" w:hAnsi="Palatino Linotype" w:cs="Palatino Linotype"/>
          <w:bCs/>
          <w:sz w:val="22"/>
          <w:szCs w:val="22"/>
        </w:rPr>
        <w:t xml:space="preserve"> </w:t>
      </w:r>
      <w:r w:rsidRPr="00AB120E">
        <w:rPr>
          <w:rFonts w:ascii="Palatino Linotype" w:eastAsia="Palatino Linotype" w:hAnsi="Palatino Linotype" w:cs="Palatino Linotype"/>
          <w:bCs/>
          <w:i/>
          <w:sz w:val="22"/>
          <w:szCs w:val="22"/>
        </w:rPr>
        <w:t>“</w:t>
      </w:r>
      <w:r w:rsidRPr="00AB120E">
        <w:rPr>
          <w:rFonts w:ascii="Palatino Linotype" w:eastAsia="Palatino Linotype" w:hAnsi="Palatino Linotype" w:cs="Palatino Linotype"/>
          <w:b/>
          <w:i/>
          <w:sz w:val="22"/>
          <w:szCs w:val="22"/>
        </w:rPr>
        <w:t>PLAZO RAZONABLE PARA RESOLVER. DIMENSIÓN Y EFECTOS DE ESTE CONCEPTO CUANDO SE ADUCE EXCESIVA CARGA DE TRABAJO.”</w:t>
      </w:r>
      <w:r w:rsidRPr="00AB120E">
        <w:rPr>
          <w:rFonts w:ascii="Palatino Linotype" w:eastAsia="Palatino Linotype" w:hAnsi="Palatino Linotype" w:cs="Palatino Linotype"/>
          <w:bCs/>
          <w:sz w:val="22"/>
          <w:szCs w:val="22"/>
        </w:rPr>
        <w:t xml:space="preserve"> consultable en el Seminario Judicial de la Federación y su gaceta, con el registro digital 2002351.</w:t>
      </w:r>
    </w:p>
    <w:p w14:paraId="6CF3CD47" w14:textId="77777777" w:rsidR="00CD4734" w:rsidRPr="00AB120E" w:rsidRDefault="00CD4734" w:rsidP="00CD4734">
      <w:pPr>
        <w:widowControl w:val="0"/>
        <w:spacing w:before="240"/>
        <w:ind w:left="851" w:right="900"/>
        <w:jc w:val="both"/>
        <w:rPr>
          <w:rFonts w:ascii="Palatino Linotype" w:eastAsia="Palatino Linotype" w:hAnsi="Palatino Linotype" w:cs="Palatino Linotype"/>
          <w:bCs/>
          <w:sz w:val="22"/>
          <w:szCs w:val="22"/>
        </w:rPr>
      </w:pPr>
      <w:r w:rsidRPr="00AB120E">
        <w:rPr>
          <w:rFonts w:ascii="Palatino Linotype" w:eastAsia="Palatino Linotype" w:hAnsi="Palatino Linotype" w:cs="Palatino Linotype"/>
          <w:bCs/>
          <w:i/>
          <w:sz w:val="22"/>
          <w:szCs w:val="22"/>
        </w:rPr>
        <w:t>“</w:t>
      </w:r>
      <w:r w:rsidRPr="00AB120E">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AB120E">
        <w:rPr>
          <w:rFonts w:ascii="Palatino Linotype" w:eastAsia="Palatino Linotype" w:hAnsi="Palatino Linotype" w:cs="Palatino Linotype"/>
          <w:bCs/>
          <w:i/>
          <w:sz w:val="22"/>
          <w:szCs w:val="22"/>
        </w:rPr>
        <w:t>.”</w:t>
      </w:r>
      <w:r w:rsidRPr="00AB120E">
        <w:rPr>
          <w:rFonts w:ascii="Palatino Linotype" w:eastAsia="Palatino Linotype" w:hAnsi="Palatino Linotype" w:cs="Palatino Linotype"/>
          <w:bCs/>
          <w:sz w:val="22"/>
          <w:szCs w:val="22"/>
        </w:rPr>
        <w:t>, visible en el Seminario Judicial de la Federación y su gaceta, con el registro digital 2002350.</w:t>
      </w:r>
    </w:p>
    <w:p w14:paraId="60170146" w14:textId="77777777" w:rsidR="00CD4734" w:rsidRPr="00AB120E" w:rsidRDefault="00CD4734" w:rsidP="00CD4734">
      <w:pPr>
        <w:widowControl w:val="0"/>
        <w:spacing w:before="240" w:line="360" w:lineRule="auto"/>
        <w:jc w:val="both"/>
        <w:rPr>
          <w:rFonts w:ascii="Palatino Linotype" w:eastAsia="Palatino Linotype" w:hAnsi="Palatino Linotype" w:cs="Palatino Linotype"/>
          <w:bCs/>
          <w:sz w:val="22"/>
          <w:szCs w:val="22"/>
        </w:rPr>
      </w:pPr>
      <w:r w:rsidRPr="00AB120E">
        <w:rPr>
          <w:rFonts w:ascii="Palatino Linotype" w:eastAsia="Palatino Linotype" w:hAnsi="Palatino Linotype" w:cs="Palatino Linotype"/>
          <w:bCs/>
          <w:sz w:val="22"/>
          <w:szCs w:val="22"/>
        </w:rPr>
        <w:t>Por ello, este Organismo Garante comprometido con la tutela de los derechos humanos confiados, señala que este exceso del plazo legal para resolver el presente asunto, resulta de carácter excepcional.</w:t>
      </w:r>
    </w:p>
    <w:p w14:paraId="5227E676" w14:textId="0CEA36EE" w:rsidR="007E6096" w:rsidRPr="00AB120E" w:rsidRDefault="007E6096" w:rsidP="007E6096">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8.</w:t>
      </w:r>
      <w:r w:rsidRPr="00AB120E">
        <w:rPr>
          <w:rFonts w:ascii="Palatino Linotype" w:eastAsia="Palatino Linotype" w:hAnsi="Palatino Linotype" w:cs="Palatino Linotype"/>
          <w:b/>
          <w:sz w:val="22"/>
          <w:szCs w:val="22"/>
        </w:rPr>
        <w:t xml:space="preserve"> Cierre de instrucción. </w:t>
      </w:r>
      <w:r w:rsidRPr="00AB120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AB120E">
        <w:rPr>
          <w:rFonts w:ascii="Palatino Linotype" w:eastAsia="Palatino Linotype" w:hAnsi="Palatino Linotype" w:cs="Palatino Linotype"/>
          <w:b/>
          <w:bCs/>
          <w:sz w:val="22"/>
          <w:szCs w:val="22"/>
        </w:rPr>
        <w:t>diecisiete de marzo</w:t>
      </w:r>
      <w:r w:rsidRPr="00AB120E">
        <w:rPr>
          <w:rFonts w:ascii="Palatino Linotype" w:eastAsia="Palatino Linotype" w:hAnsi="Palatino Linotype" w:cs="Palatino Linotype"/>
          <w:b/>
          <w:sz w:val="22"/>
          <w:szCs w:val="22"/>
        </w:rPr>
        <w:t xml:space="preserve"> de dos mil veintiséis</w:t>
      </w:r>
      <w:r w:rsidRPr="00AB120E">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A66F519"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2AD56F5D" w14:textId="77777777" w:rsidR="005A75CA" w:rsidRPr="00AB120E" w:rsidRDefault="00E96B90" w:rsidP="001205A1">
      <w:pPr>
        <w:widowControl w:val="0"/>
        <w:spacing w:before="240" w:after="240" w:line="360" w:lineRule="auto"/>
        <w:jc w:val="center"/>
        <w:rPr>
          <w:rFonts w:ascii="Palatino Linotype" w:eastAsia="Palatino Linotype" w:hAnsi="Palatino Linotype" w:cs="Palatino Linotype"/>
          <w:b/>
          <w:sz w:val="22"/>
          <w:szCs w:val="22"/>
        </w:rPr>
      </w:pPr>
      <w:r w:rsidRPr="00AB120E">
        <w:rPr>
          <w:rFonts w:ascii="Palatino Linotype" w:eastAsia="Palatino Linotype" w:hAnsi="Palatino Linotype" w:cs="Palatino Linotype"/>
          <w:b/>
          <w:sz w:val="22"/>
          <w:szCs w:val="22"/>
        </w:rPr>
        <w:t>II. C O N S I D E R A N D O S</w:t>
      </w:r>
    </w:p>
    <w:p w14:paraId="591E0DDD" w14:textId="70ECD718"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b/>
          <w:sz w:val="22"/>
          <w:szCs w:val="22"/>
        </w:rPr>
        <w:t>Primero. Competencia.</w:t>
      </w:r>
      <w:r w:rsidRPr="00AB120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w:t>
      </w:r>
      <w:r w:rsidR="00170F4F" w:rsidRPr="00AB120E">
        <w:rPr>
          <w:rFonts w:ascii="Palatino Linotype" w:eastAsia="Palatino Linotype" w:hAnsi="Palatino Linotype" w:cs="Palatino Linotype"/>
          <w:sz w:val="22"/>
          <w:szCs w:val="22"/>
        </w:rPr>
        <w:t xml:space="preserve"> 5 párrafos cuadragésimo cuarto, cuadragésimo quinto y cuadragésimo sexto, fracciones IV y V de la Constitución Política del Estado Libre y Soberano de México; transitorio Cuarto del Decreto número 198 de la “LXII” Legislatura del Estado de México</w:t>
      </w:r>
      <w:r w:rsidRPr="00AB120E">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106B145"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AB120E">
        <w:rPr>
          <w:rFonts w:ascii="Palatino Linotype" w:eastAsia="Palatino Linotype" w:hAnsi="Palatino Linotype" w:cs="Palatino Linotype"/>
          <w:b/>
          <w:sz w:val="22"/>
          <w:szCs w:val="22"/>
        </w:rPr>
        <w:t xml:space="preserve">Segundo. Oportunidad y Procedibilidad. </w:t>
      </w:r>
      <w:r w:rsidRPr="00AB120E">
        <w:rPr>
          <w:rFonts w:ascii="Palatino Linotype" w:eastAsia="Palatino Linotype" w:hAnsi="Palatino Linotype" w:cs="Palatino Linotype"/>
          <w:sz w:val="22"/>
          <w:szCs w:val="22"/>
        </w:rPr>
        <w:t>Es de precisar que la</w:t>
      </w:r>
      <w:r w:rsidRPr="00AB120E">
        <w:rPr>
          <w:rFonts w:ascii="Palatino Linotype" w:eastAsia="Palatino Linotype" w:hAnsi="Palatino Linotype" w:cs="Palatino Linotype"/>
          <w:b/>
          <w:sz w:val="22"/>
          <w:szCs w:val="22"/>
        </w:rPr>
        <w:t xml:space="preserve"> </w:t>
      </w:r>
      <w:r w:rsidRPr="00AB120E">
        <w:rPr>
          <w:rFonts w:ascii="Palatino Linotype" w:eastAsia="Palatino Linotype" w:hAnsi="Palatino Linotype" w:cs="Palatino Linotype"/>
          <w:sz w:val="22"/>
          <w:szCs w:val="22"/>
        </w:rPr>
        <w:t xml:space="preserve">Ley de Transparencia y Acceso a la Información Pública del Estado de México y Municipios, describe el mecanismo de procedencia de los recursos de revisión, como se dispone en los artículos 163 y 166, del tenor literal siguiente: </w:t>
      </w:r>
    </w:p>
    <w:p w14:paraId="28CBAA0A" w14:textId="77777777" w:rsidR="005A75CA" w:rsidRPr="00AB120E" w:rsidRDefault="00E96B90" w:rsidP="00D7204E">
      <w:pPr>
        <w:ind w:left="851" w:right="851"/>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Pr="00AB120E">
        <w:rPr>
          <w:rFonts w:ascii="Palatino Linotype" w:eastAsia="Palatino Linotype" w:hAnsi="Palatino Linotype" w:cs="Palatino Linotype"/>
          <w:b/>
          <w:i/>
          <w:sz w:val="22"/>
          <w:szCs w:val="22"/>
        </w:rPr>
        <w:t xml:space="preserve">Artículo 163. </w:t>
      </w:r>
      <w:r w:rsidRPr="00AB120E">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284712C8" w14:textId="77777777" w:rsidR="005A75CA" w:rsidRPr="00AB120E" w:rsidRDefault="00E96B90" w:rsidP="00D7204E">
      <w:pPr>
        <w:ind w:left="851" w:right="851"/>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p>
    <w:p w14:paraId="49A851A1" w14:textId="77777777" w:rsidR="005A75CA" w:rsidRPr="00AB120E" w:rsidRDefault="00E96B90" w:rsidP="00D7204E">
      <w:pPr>
        <w:ind w:left="851" w:right="851"/>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Artículo 166.</w:t>
      </w:r>
      <w:r w:rsidRPr="00AB120E">
        <w:rPr>
          <w:rFonts w:ascii="Palatino Linotype" w:eastAsia="Palatino Linotype" w:hAnsi="Palatino Linotype" w:cs="Palatino Linotype"/>
          <w:i/>
          <w:sz w:val="22"/>
          <w:szCs w:val="22"/>
        </w:rPr>
        <w:t xml:space="preserve"> […]</w:t>
      </w:r>
    </w:p>
    <w:p w14:paraId="5950788F" w14:textId="77777777" w:rsidR="005A75CA" w:rsidRPr="00AB120E" w:rsidRDefault="00E96B90" w:rsidP="00D7204E">
      <w:pPr>
        <w:ind w:left="851" w:right="851"/>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lastRenderedPageBreak/>
        <w:t xml:space="preserve">Cuando el sujeto obligado no entregue la respuesta a la solicitud dentro del plazo previsto en la Ley, la solicitud se entenderá negada y el solicitante podrá interponer el recurso de revisión previsto en este ordenamiento.” </w:t>
      </w:r>
    </w:p>
    <w:p w14:paraId="7F2DF570"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 la persona solicitante le asiste el derecho para presentar el recurso de revisión.</w:t>
      </w:r>
    </w:p>
    <w:p w14:paraId="212DD4AF"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7644EEF3" w14:textId="77777777" w:rsidR="005A75CA" w:rsidRPr="00AB120E" w:rsidRDefault="00E96B90" w:rsidP="00D7204E">
      <w:pPr>
        <w:spacing w:before="240" w:after="240" w:line="360" w:lineRule="auto"/>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sz w:val="22"/>
          <w:szCs w:val="22"/>
        </w:rPr>
        <w:t>Por su parte, el artículo 178 del citado ordenamiento, establece:</w:t>
      </w:r>
    </w:p>
    <w:p w14:paraId="4D8FD504" w14:textId="77777777" w:rsidR="005A75CA" w:rsidRPr="00AB120E" w:rsidRDefault="00E96B90" w:rsidP="00D7204E">
      <w:pPr>
        <w:spacing w:before="120" w:after="120"/>
        <w:ind w:left="851" w:right="851"/>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Pr="00AB120E">
        <w:rPr>
          <w:rFonts w:ascii="Palatino Linotype" w:eastAsia="Palatino Linotype" w:hAnsi="Palatino Linotype" w:cs="Palatino Linotype"/>
          <w:b/>
          <w:i/>
          <w:sz w:val="22"/>
          <w:szCs w:val="22"/>
        </w:rPr>
        <w:t xml:space="preserve">Artículo 178. </w:t>
      </w:r>
      <w:r w:rsidRPr="00AB120E">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1EBD44B" w14:textId="77777777" w:rsidR="005A75CA" w:rsidRPr="00AB120E" w:rsidRDefault="00E96B90" w:rsidP="00D7204E">
      <w:pPr>
        <w:spacing w:before="120" w:after="120"/>
        <w:ind w:left="851" w:right="851"/>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F3C12EA"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De lo anterior, se advierte que el recurso de revisión se ha de interponer dentro del plazo de quince días hábiles, a partir de la fecha en que el </w:t>
      </w:r>
      <w:r w:rsidRPr="00AB120E">
        <w:rPr>
          <w:rFonts w:ascii="Palatino Linotype" w:eastAsia="Palatino Linotype" w:hAnsi="Palatino Linotype" w:cs="Palatino Linotype"/>
          <w:b/>
          <w:sz w:val="22"/>
          <w:szCs w:val="22"/>
        </w:rPr>
        <w:t xml:space="preserve">Sujeto Obligado </w:t>
      </w:r>
      <w:r w:rsidRPr="00AB120E">
        <w:rPr>
          <w:rFonts w:ascii="Palatino Linotype" w:eastAsia="Palatino Linotype" w:hAnsi="Palatino Linotype" w:cs="Palatino Linotype"/>
          <w:sz w:val="22"/>
          <w:szCs w:val="22"/>
        </w:rPr>
        <w:t>da respuesta a la solicitud de información; sin embargo, tratándose de negativa ficta no existe resolución que se haga del conocimiento de la persona solicitante a partir de la cual pueda computarse dicho plazo, por lo que se concluye que la interposición del recurso de revisión puede ser en cualquier momento.</w:t>
      </w:r>
    </w:p>
    <w:p w14:paraId="6EAE9AC2"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 xml:space="preserve">La negativa ficta constituye una presunción legal, en el entendido de que donde no hubo respuesta por parte del </w:t>
      </w:r>
      <w:r w:rsidRPr="00AB120E">
        <w:rPr>
          <w:rFonts w:ascii="Palatino Linotype" w:eastAsia="Palatino Linotype" w:hAnsi="Palatino Linotype" w:cs="Palatino Linotype"/>
          <w:b/>
          <w:sz w:val="22"/>
          <w:szCs w:val="22"/>
        </w:rPr>
        <w:t xml:space="preserve">Sujeto Obligado </w:t>
      </w:r>
      <w:r w:rsidRPr="00AB120E">
        <w:rPr>
          <w:rFonts w:ascii="Palatino Linotype" w:eastAsia="Palatino Linotype" w:hAnsi="Palatino Linotype" w:cs="Palatino Linotype"/>
          <w:sz w:val="22"/>
          <w:szCs w:val="22"/>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3B73F924"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14:paraId="6B29ACDF" w14:textId="77777777" w:rsidR="005A75CA" w:rsidRPr="00AB120E" w:rsidRDefault="00E96B90" w:rsidP="00D7204E">
      <w:pPr>
        <w:spacing w:before="240" w:after="240" w:line="360" w:lineRule="auto"/>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sz w:val="22"/>
          <w:szCs w:val="22"/>
        </w:rPr>
        <w:t xml:space="preserve">Por lo tanto, con la finalidad de no reducir ni limitar el derecho de acceso a la información y concederle una protección más eficaz al solicitante para impugnar el silencio del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38D9DC33" w14:textId="77777777" w:rsidR="005A75CA" w:rsidRPr="00AB120E" w:rsidRDefault="00E96B90" w:rsidP="00D7204E">
      <w:pPr>
        <w:ind w:left="851" w:right="851"/>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lastRenderedPageBreak/>
        <w:t>“CRITERIO 0001-15. NEGATIVA FICTA. PLAZO PARA INTERPONER EL RECURSO DE REVISIÓN TRATÁNDOSE DE</w:t>
      </w:r>
      <w:r w:rsidRPr="00AB120E">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4FE04A86" w14:textId="77777777" w:rsidR="006C72C4" w:rsidRPr="00AB120E" w:rsidRDefault="006C72C4" w:rsidP="00D7204E">
      <w:pPr>
        <w:spacing w:line="360" w:lineRule="auto"/>
        <w:jc w:val="both"/>
        <w:rPr>
          <w:rFonts w:ascii="Palatino Linotype" w:eastAsia="Palatino Linotype" w:hAnsi="Palatino Linotype" w:cs="Palatino Linotype"/>
          <w:sz w:val="22"/>
          <w:szCs w:val="22"/>
        </w:rPr>
      </w:pPr>
    </w:p>
    <w:p w14:paraId="30081B66" w14:textId="77777777" w:rsidR="00DE0050" w:rsidRPr="00AB120E" w:rsidRDefault="00DE0050" w:rsidP="00DE0050">
      <w:pPr>
        <w:spacing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B38E422" w14:textId="4DC781BC"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14:paraId="7094A9DD" w14:textId="77777777" w:rsidR="005A75CA" w:rsidRPr="00AB120E" w:rsidRDefault="00E96B90" w:rsidP="00E3627B">
      <w:pPr>
        <w:ind w:left="851" w:right="851"/>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Pr="00AB120E">
        <w:rPr>
          <w:rFonts w:ascii="Palatino Linotype" w:eastAsia="Palatino Linotype" w:hAnsi="Palatino Linotype" w:cs="Palatino Linotype"/>
          <w:b/>
          <w:i/>
          <w:sz w:val="22"/>
          <w:szCs w:val="22"/>
        </w:rPr>
        <w:t xml:space="preserve">Artículo 179. </w:t>
      </w:r>
      <w:r w:rsidRPr="00AB120E">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245885C" w14:textId="77777777" w:rsidR="005A75CA" w:rsidRPr="00AB120E" w:rsidRDefault="00E96B90" w:rsidP="00E3627B">
      <w:pPr>
        <w:ind w:left="851" w:right="851"/>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p>
    <w:p w14:paraId="108CFBAE" w14:textId="77777777" w:rsidR="005A75CA" w:rsidRPr="00AB120E" w:rsidRDefault="00E96B90" w:rsidP="00E3627B">
      <w:pPr>
        <w:ind w:left="851" w:right="851"/>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 xml:space="preserve">VII. </w:t>
      </w:r>
      <w:r w:rsidRPr="00AB120E">
        <w:rPr>
          <w:rFonts w:ascii="Palatino Linotype" w:eastAsia="Palatino Linotype" w:hAnsi="Palatino Linotype" w:cs="Palatino Linotype"/>
          <w:i/>
          <w:sz w:val="22"/>
          <w:szCs w:val="22"/>
        </w:rPr>
        <w:t>La falta de respuesta a una solicitud de acceso a la información;”</w:t>
      </w:r>
    </w:p>
    <w:p w14:paraId="0B9FF5EA"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El precepto legal citado, establece como supuesto de procedencia del recurso de revisión, en aquellos casos en que la parte </w:t>
      </w:r>
      <w:r w:rsidRPr="00AB120E">
        <w:rPr>
          <w:rFonts w:ascii="Palatino Linotype" w:eastAsia="Palatino Linotype" w:hAnsi="Palatino Linotype" w:cs="Palatino Linotype"/>
          <w:b/>
          <w:sz w:val="22"/>
          <w:szCs w:val="22"/>
        </w:rPr>
        <w:t xml:space="preserve">Recurrente </w:t>
      </w:r>
      <w:r w:rsidRPr="00AB120E">
        <w:rPr>
          <w:rFonts w:ascii="Palatino Linotype" w:eastAsia="Palatino Linotype" w:hAnsi="Palatino Linotype" w:cs="Palatino Linotype"/>
          <w:sz w:val="22"/>
          <w:szCs w:val="22"/>
        </w:rPr>
        <w:t xml:space="preserve">estime negado el acceso a la información por la </w:t>
      </w:r>
      <w:r w:rsidRPr="00AB120E">
        <w:rPr>
          <w:rFonts w:ascii="Palatino Linotype" w:eastAsia="Palatino Linotype" w:hAnsi="Palatino Linotype" w:cs="Palatino Linotype"/>
          <w:sz w:val="22"/>
          <w:szCs w:val="22"/>
        </w:rPr>
        <w:lastRenderedPageBreak/>
        <w:t xml:space="preserve">falta de respuesta por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en este asunto se actualiza la hipótesis jurídica citada, en atención a que la parte </w:t>
      </w:r>
      <w:r w:rsidRPr="00AB120E">
        <w:rPr>
          <w:rFonts w:ascii="Palatino Linotype" w:eastAsia="Palatino Linotype" w:hAnsi="Palatino Linotype" w:cs="Palatino Linotype"/>
          <w:b/>
          <w:sz w:val="22"/>
          <w:szCs w:val="22"/>
        </w:rPr>
        <w:t>Recurrente</w:t>
      </w:r>
      <w:r w:rsidRPr="00AB120E">
        <w:rPr>
          <w:rFonts w:ascii="Palatino Linotype" w:eastAsia="Palatino Linotype" w:hAnsi="Palatino Linotype" w:cs="Palatino Linotype"/>
          <w:sz w:val="22"/>
          <w:szCs w:val="22"/>
        </w:rPr>
        <w:t xml:space="preserve"> combate falta de trámite por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y expresa motivos de inconformidad en contra de dicha circunstancia.</w:t>
      </w:r>
    </w:p>
    <w:p w14:paraId="12A9D239" w14:textId="77777777" w:rsidR="005A75CA" w:rsidRPr="00AB120E" w:rsidRDefault="00E96B90" w:rsidP="00D7204E">
      <w:pPr>
        <w:spacing w:before="240" w:after="240" w:line="360" w:lineRule="auto"/>
        <w:jc w:val="both"/>
        <w:rPr>
          <w:rFonts w:ascii="Palatino Linotype" w:eastAsia="Palatino Linotype" w:hAnsi="Palatino Linotype" w:cs="Palatino Linotype"/>
          <w:b/>
          <w:sz w:val="22"/>
          <w:szCs w:val="22"/>
        </w:rPr>
      </w:pPr>
      <w:r w:rsidRPr="00AB120E">
        <w:rPr>
          <w:rFonts w:ascii="Palatino Linotype" w:eastAsia="Palatino Linotype" w:hAnsi="Palatino Linotype" w:cs="Palatino Linotype"/>
          <w:b/>
          <w:sz w:val="22"/>
          <w:szCs w:val="22"/>
        </w:rPr>
        <w:t xml:space="preserve">Tercero. Materia de la revisión. </w:t>
      </w:r>
      <w:r w:rsidRPr="00AB120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AB120E">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AB120E">
        <w:rPr>
          <w:rFonts w:ascii="Palatino Linotype" w:eastAsia="Palatino Linotype" w:hAnsi="Palatino Linotype" w:cs="Palatino Linotype"/>
          <w:sz w:val="22"/>
          <w:szCs w:val="22"/>
        </w:rPr>
        <w:t xml:space="preserve">de la parte </w:t>
      </w:r>
      <w:r w:rsidRPr="00AB120E">
        <w:rPr>
          <w:rFonts w:ascii="Palatino Linotype" w:eastAsia="Palatino Linotype" w:hAnsi="Palatino Linotype" w:cs="Palatino Linotype"/>
          <w:b/>
          <w:sz w:val="22"/>
          <w:szCs w:val="22"/>
        </w:rPr>
        <w:t>Recurrente</w:t>
      </w:r>
      <w:r w:rsidRPr="00AB120E">
        <w:rPr>
          <w:rFonts w:ascii="Palatino Linotype" w:eastAsia="Palatino Linotype" w:hAnsi="Palatino Linotype" w:cs="Palatino Linotype"/>
          <w:sz w:val="22"/>
          <w:szCs w:val="22"/>
        </w:rPr>
        <w:t>, o en su defecto, en caso de ser procedente, ordenar la entrega de información.</w:t>
      </w:r>
    </w:p>
    <w:p w14:paraId="17F2A1BC"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AB120E">
        <w:rPr>
          <w:rFonts w:ascii="Palatino Linotype" w:eastAsia="Palatino Linotype" w:hAnsi="Palatino Linotype" w:cs="Palatino Linotype"/>
          <w:b/>
          <w:sz w:val="22"/>
          <w:szCs w:val="22"/>
        </w:rPr>
        <w:t xml:space="preserve">Cuarto. Estudio del asunto. </w:t>
      </w:r>
      <w:r w:rsidRPr="00AB120E">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23378A5" w14:textId="77777777" w:rsidR="005A75CA" w:rsidRPr="00AB120E" w:rsidRDefault="00E96B90" w:rsidP="00D7204E">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Pr="00AB120E">
        <w:rPr>
          <w:rFonts w:ascii="Palatino Linotype" w:eastAsia="Palatino Linotype" w:hAnsi="Palatino Linotype" w:cs="Palatino Linotype"/>
          <w:b/>
          <w:i/>
          <w:sz w:val="22"/>
          <w:szCs w:val="22"/>
        </w:rPr>
        <w:t>Artículo 4</w:t>
      </w:r>
      <w:r w:rsidRPr="00AB120E">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BA8397F" w14:textId="77777777" w:rsidR="005A75CA" w:rsidRPr="00AB120E" w:rsidRDefault="00E96B90" w:rsidP="00D7204E">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B120E">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w:t>
      </w:r>
      <w:r w:rsidRPr="00AB120E">
        <w:rPr>
          <w:rFonts w:ascii="Palatino Linotype" w:eastAsia="Palatino Linotype" w:hAnsi="Palatino Linotype" w:cs="Palatino Linotype"/>
          <w:i/>
          <w:sz w:val="22"/>
          <w:szCs w:val="22"/>
        </w:rPr>
        <w:lastRenderedPageBreak/>
        <w:t>por razones de interés público, en los términos de las causas legítimas y estrictamente necesarias previstas por esta Ley.</w:t>
      </w:r>
    </w:p>
    <w:p w14:paraId="1FB271AA" w14:textId="77777777" w:rsidR="005A75CA" w:rsidRPr="00AB120E" w:rsidRDefault="00E96B90" w:rsidP="00D7204E">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AB120E">
        <w:rPr>
          <w:rFonts w:ascii="Palatino Linotype" w:eastAsia="Palatino Linotype" w:hAnsi="Palatino Linotype" w:cs="Palatino Linotype"/>
          <w:i/>
          <w:sz w:val="22"/>
          <w:szCs w:val="22"/>
        </w:rPr>
        <w:t>.”</w:t>
      </w:r>
    </w:p>
    <w:p w14:paraId="1BBF46E6"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40FAB9E" w14:textId="77777777" w:rsidR="005A75CA" w:rsidRPr="00AB120E" w:rsidRDefault="00E96B90" w:rsidP="00D7204E">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“Artículo 12.-</w:t>
      </w:r>
      <w:r w:rsidRPr="00AB120E">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8377982" w14:textId="77777777" w:rsidR="005A75CA" w:rsidRPr="00AB120E" w:rsidRDefault="00E96B90" w:rsidP="00D7204E">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B120E">
        <w:rPr>
          <w:rFonts w:ascii="Palatino Linotype" w:eastAsia="Palatino Linotype" w:hAnsi="Palatino Linotype" w:cs="Palatino Linotype"/>
          <w:i/>
          <w:sz w:val="22"/>
          <w:szCs w:val="22"/>
        </w:rPr>
        <w:t xml:space="preserve">. </w:t>
      </w:r>
      <w:r w:rsidRPr="00AB120E">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433D310A" w14:textId="77777777" w:rsidR="005A75CA" w:rsidRPr="00AB120E" w:rsidRDefault="00E96B90" w:rsidP="00D7204E">
      <w:pPr>
        <w:spacing w:before="240" w:after="240" w:line="360" w:lineRule="auto"/>
        <w:ind w:right="-93"/>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D8F2B0B" w14:textId="77777777" w:rsidR="005A75CA" w:rsidRPr="00AB120E" w:rsidRDefault="00E96B90" w:rsidP="00D7204E">
      <w:pPr>
        <w:spacing w:before="240" w:after="240" w:line="360" w:lineRule="auto"/>
        <w:jc w:val="both"/>
        <w:rPr>
          <w:rFonts w:ascii="Palatino Linotype" w:eastAsia="Palatino Linotype" w:hAnsi="Palatino Linotype" w:cs="Palatino Linotype"/>
          <w:b/>
          <w:sz w:val="22"/>
          <w:szCs w:val="22"/>
        </w:rPr>
      </w:pPr>
      <w:r w:rsidRPr="00AB120E">
        <w:rPr>
          <w:rFonts w:ascii="Palatino Linotype" w:eastAsia="Palatino Linotype" w:hAnsi="Palatino Linotype" w:cs="Palatino Linotype"/>
          <w:sz w:val="22"/>
          <w:szCs w:val="22"/>
        </w:rPr>
        <w:lastRenderedPageBreak/>
        <w:t>Sirve de apoyo a lo anterior, el criterio orientador con clave de control SO/003/2017, emitido por el entonces Instituto Nacional de Transparencia, Acceso a la Información y Protección de Datos Personales, que por rubro y texto, dispone lo siguiente:</w:t>
      </w:r>
      <w:r w:rsidRPr="00AB120E">
        <w:rPr>
          <w:rFonts w:ascii="Palatino Linotype" w:eastAsia="Palatino Linotype" w:hAnsi="Palatino Linotype" w:cs="Palatino Linotype"/>
          <w:b/>
          <w:sz w:val="22"/>
          <w:szCs w:val="22"/>
        </w:rPr>
        <w:t xml:space="preserve"> </w:t>
      </w:r>
    </w:p>
    <w:p w14:paraId="187319BE" w14:textId="77777777" w:rsidR="005A75CA" w:rsidRPr="00AB120E" w:rsidRDefault="00E96B90" w:rsidP="00D7204E">
      <w:pPr>
        <w:spacing w:before="120" w:after="120"/>
        <w:ind w:left="1134"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 xml:space="preserve"> “</w:t>
      </w:r>
      <w:r w:rsidRPr="00AB120E">
        <w:rPr>
          <w:rFonts w:ascii="Palatino Linotype" w:eastAsia="Palatino Linotype" w:hAnsi="Palatino Linotype" w:cs="Palatino Linotype"/>
          <w:b/>
          <w:i/>
          <w:sz w:val="22"/>
          <w:szCs w:val="22"/>
        </w:rPr>
        <w:t>No existe obligación de elaborar documentos ad hoc para atender las solicitudes de acceso a la información.</w:t>
      </w:r>
      <w:r w:rsidRPr="00AB120E">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2AF5236" w14:textId="77777777" w:rsidR="005A75CA" w:rsidRPr="00AB120E" w:rsidRDefault="00E96B90" w:rsidP="00D7204E">
      <w:pPr>
        <w:spacing w:before="120" w:after="12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AF1A054" w14:textId="77777777" w:rsidR="005A75CA" w:rsidRPr="00AB120E" w:rsidRDefault="00E96B90" w:rsidP="00D7204E">
      <w:pPr>
        <w:spacing w:before="120" w:after="12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A0B7FE" w14:textId="77777777" w:rsidR="005A75CA" w:rsidRPr="00AB120E" w:rsidRDefault="00E96B90" w:rsidP="00E3627B">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Pr="00AB120E">
        <w:rPr>
          <w:rFonts w:ascii="Palatino Linotype" w:eastAsia="Palatino Linotype" w:hAnsi="Palatino Linotype" w:cs="Palatino Linotype"/>
          <w:b/>
          <w:i/>
          <w:sz w:val="22"/>
          <w:szCs w:val="22"/>
        </w:rPr>
        <w:t xml:space="preserve">Artículo 3. </w:t>
      </w:r>
      <w:r w:rsidRPr="00AB120E">
        <w:rPr>
          <w:rFonts w:ascii="Palatino Linotype" w:eastAsia="Palatino Linotype" w:hAnsi="Palatino Linotype" w:cs="Palatino Linotype"/>
          <w:i/>
          <w:sz w:val="22"/>
          <w:szCs w:val="22"/>
        </w:rPr>
        <w:t>Para los efectos de la presente Ley se entenderá por:</w:t>
      </w:r>
    </w:p>
    <w:p w14:paraId="7ABF6050" w14:textId="77777777" w:rsidR="005A75CA" w:rsidRPr="00AB120E" w:rsidRDefault="00E96B90" w:rsidP="00E3627B">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lastRenderedPageBreak/>
        <w:t>…</w:t>
      </w:r>
    </w:p>
    <w:p w14:paraId="1ADEE37D" w14:textId="77777777" w:rsidR="005A75CA" w:rsidRPr="00AB120E" w:rsidRDefault="00E96B90" w:rsidP="00E3627B">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XI. Documento:</w:t>
      </w:r>
      <w:r w:rsidRPr="00AB120E">
        <w:rPr>
          <w:rFonts w:ascii="Palatino Linotype" w:eastAsia="Palatino Linotype" w:hAnsi="Palatino Linotype" w:cs="Palatino Linotype"/>
          <w:i/>
          <w:sz w:val="22"/>
          <w:szCs w:val="22"/>
        </w:rPr>
        <w:t xml:space="preserve"> Los expedientes, reportes, estudios, actas</w:t>
      </w:r>
      <w:r w:rsidRPr="00AB120E">
        <w:rPr>
          <w:rFonts w:ascii="Palatino Linotype" w:eastAsia="Palatino Linotype" w:hAnsi="Palatino Linotype" w:cs="Palatino Linotype"/>
          <w:b/>
          <w:i/>
          <w:sz w:val="22"/>
          <w:szCs w:val="22"/>
        </w:rPr>
        <w:t>,</w:t>
      </w:r>
      <w:r w:rsidRPr="00AB120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3C9E0CA"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C18FEF" w14:textId="77777777" w:rsidR="005A75CA" w:rsidRPr="00AB120E" w:rsidRDefault="00E96B90" w:rsidP="00E3627B">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sz w:val="22"/>
          <w:szCs w:val="22"/>
        </w:rPr>
        <w:t>“</w:t>
      </w:r>
      <w:r w:rsidRPr="00AB120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B120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BB82B0" w14:textId="77777777" w:rsidR="005A75CA" w:rsidRPr="00AB120E" w:rsidRDefault="00E96B90" w:rsidP="00E3627B">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29182FD" w14:textId="77777777" w:rsidR="005A75CA" w:rsidRPr="00AB120E" w:rsidRDefault="00E96B90" w:rsidP="00E3627B">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35AF0DC" w14:textId="77777777" w:rsidR="005A75CA" w:rsidRPr="00AB120E" w:rsidRDefault="00E96B90" w:rsidP="00E3627B">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2D716AC" w14:textId="77777777" w:rsidR="005A75CA" w:rsidRPr="00AB120E" w:rsidRDefault="00E96B90" w:rsidP="00E3627B">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108D6395" w14:textId="77777777" w:rsidR="005A75CA" w:rsidRPr="00AB120E" w:rsidRDefault="00E96B90" w:rsidP="00D7204E">
      <w:pPr>
        <w:spacing w:before="240" w:after="240" w:line="360" w:lineRule="auto"/>
        <w:ind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B320D38"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A31EFC3" w14:textId="22E4EC6D" w:rsidR="005A75CA" w:rsidRPr="00AB120E" w:rsidRDefault="00E96B90" w:rsidP="00D7204E">
      <w:pPr>
        <w:spacing w:before="280" w:after="28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Acotado lo anterior, del análisis de las constancias que integran el expediente se concluye que los motivos de inconformidad vertidos por la parte </w:t>
      </w:r>
      <w:r w:rsidRPr="00AB120E">
        <w:rPr>
          <w:rFonts w:ascii="Palatino Linotype" w:eastAsia="Palatino Linotype" w:hAnsi="Palatino Linotype" w:cs="Palatino Linotype"/>
          <w:b/>
          <w:sz w:val="22"/>
          <w:szCs w:val="22"/>
        </w:rPr>
        <w:t>Recurrente</w:t>
      </w:r>
      <w:r w:rsidRPr="00AB120E">
        <w:rPr>
          <w:rFonts w:ascii="Palatino Linotype" w:eastAsia="Palatino Linotype" w:hAnsi="Palatino Linotype" w:cs="Palatino Linotype"/>
          <w:sz w:val="22"/>
          <w:szCs w:val="22"/>
        </w:rPr>
        <w:t xml:space="preserve"> resultan fundados, en virtud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omitió dar contestación a la solicitud de información, mediante la cual se requirió la siguiente información:</w:t>
      </w:r>
    </w:p>
    <w:p w14:paraId="097446F7" w14:textId="26912B4E" w:rsidR="003D4046" w:rsidRPr="00AB120E" w:rsidRDefault="008178BC" w:rsidP="00BB34F7">
      <w:pPr>
        <w:spacing w:before="120" w:after="120" w:line="360" w:lineRule="auto"/>
        <w:ind w:left="426" w:right="49"/>
        <w:jc w:val="both"/>
        <w:rPr>
          <w:rFonts w:ascii="Palatino Linotype" w:eastAsia="Palatino Linotype" w:hAnsi="Palatino Linotype" w:cs="Palatino Linotype"/>
          <w:b/>
          <w:iCs/>
          <w:sz w:val="22"/>
          <w:szCs w:val="22"/>
        </w:rPr>
      </w:pPr>
      <w:r w:rsidRPr="00AB120E">
        <w:rPr>
          <w:rFonts w:ascii="Palatino Linotype" w:eastAsia="Palatino Linotype" w:hAnsi="Palatino Linotype" w:cs="Palatino Linotype"/>
          <w:sz w:val="22"/>
          <w:szCs w:val="22"/>
        </w:rPr>
        <w:lastRenderedPageBreak/>
        <w:t xml:space="preserve">1. </w:t>
      </w:r>
      <w:r w:rsidR="00EE2187" w:rsidRPr="00AB120E">
        <w:rPr>
          <w:rFonts w:ascii="Palatino Linotype" w:eastAsia="Palatino Linotype" w:hAnsi="Palatino Linotype" w:cs="Palatino Linotype"/>
          <w:sz w:val="22"/>
          <w:szCs w:val="22"/>
        </w:rPr>
        <w:t>E</w:t>
      </w:r>
      <w:r w:rsidR="00EE2187" w:rsidRPr="00AB120E">
        <w:rPr>
          <w:rFonts w:ascii="Palatino Linotype" w:eastAsia="Palatino Linotype" w:hAnsi="Palatino Linotype" w:cs="Palatino Linotype"/>
          <w:iCs/>
          <w:sz w:val="22"/>
          <w:szCs w:val="22"/>
        </w:rPr>
        <w:t>l inventario actualizado del patrimonio municipal de Tepotzotlán, incluyendo bienes muebles, inmuebles, equipo, vehículos y cualquier bien adquirido o dado de baja en los últimos tres años.</w:t>
      </w:r>
      <w:r w:rsidR="00ED3BAD" w:rsidRPr="00AB120E">
        <w:rPr>
          <w:rFonts w:ascii="Palatino Linotype" w:eastAsia="Palatino Linotype" w:hAnsi="Palatino Linotype" w:cs="Palatino Linotype"/>
          <w:iCs/>
          <w:sz w:val="22"/>
          <w:szCs w:val="22"/>
        </w:rPr>
        <w:t xml:space="preserve"> </w:t>
      </w:r>
    </w:p>
    <w:p w14:paraId="210FAC9B" w14:textId="77777777" w:rsidR="00C81703" w:rsidRPr="00AB120E" w:rsidRDefault="00C81703" w:rsidP="00C81703">
      <w:pPr>
        <w:spacing w:before="280" w:after="28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Situación que motivó la interposición del recurso de revisión que nos ocupa, donde la persona solicitante alegó medularmente la negativa de la información.</w:t>
      </w:r>
    </w:p>
    <w:p w14:paraId="6C6A86BF" w14:textId="5742AE61" w:rsidR="009A715D" w:rsidRPr="00AB120E" w:rsidRDefault="00C81703" w:rsidP="00C81703">
      <w:pPr>
        <w:tabs>
          <w:tab w:val="left" w:pos="709"/>
        </w:tabs>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Ahora bien, en la etapa de manifestaciones</w:t>
      </w:r>
      <w:r w:rsidR="007136F9" w:rsidRPr="00AB120E">
        <w:rPr>
          <w:rFonts w:ascii="Palatino Linotype" w:eastAsia="Palatino Linotype" w:hAnsi="Palatino Linotype" w:cs="Palatino Linotype"/>
          <w:sz w:val="22"/>
          <w:szCs w:val="22"/>
        </w:rPr>
        <w:t xml:space="preserve"> la Jefa de Patrimonio Municipal proporcionó una dirección electrónica en formato cerrado para efectos de la consulta de la información requerida</w:t>
      </w:r>
      <w:r w:rsidR="009A715D" w:rsidRPr="00AB120E">
        <w:rPr>
          <w:rFonts w:ascii="Palatino Linotype" w:eastAsia="Palatino Linotype" w:hAnsi="Palatino Linotype" w:cs="Palatino Linotype"/>
          <w:sz w:val="22"/>
          <w:szCs w:val="22"/>
        </w:rPr>
        <w:t xml:space="preserve">, como se observa a continuación: </w:t>
      </w:r>
    </w:p>
    <w:p w14:paraId="1D4AA844" w14:textId="5425E9B5" w:rsidR="009A715D" w:rsidRPr="00AB120E" w:rsidRDefault="009A715D" w:rsidP="009A715D">
      <w:pPr>
        <w:tabs>
          <w:tab w:val="left" w:pos="709"/>
        </w:tabs>
        <w:spacing w:before="240" w:after="240" w:line="360" w:lineRule="auto"/>
        <w:jc w:val="center"/>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drawing>
          <wp:inline distT="0" distB="0" distL="0" distR="0" wp14:anchorId="4D8396A6" wp14:editId="4C374C99">
            <wp:extent cx="4500000" cy="9614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0000" cy="961471"/>
                    </a:xfrm>
                    <a:prstGeom prst="rect">
                      <a:avLst/>
                    </a:prstGeom>
                  </pic:spPr>
                </pic:pic>
              </a:graphicData>
            </a:graphic>
          </wp:inline>
        </w:drawing>
      </w:r>
    </w:p>
    <w:p w14:paraId="24EFE082" w14:textId="77777777" w:rsidR="007136F9" w:rsidRPr="00AB120E" w:rsidRDefault="007136F9" w:rsidP="007136F9">
      <w:pPr>
        <w:spacing w:before="240" w:after="240" w:line="360" w:lineRule="auto"/>
        <w:ind w:right="49"/>
        <w:jc w:val="both"/>
        <w:rPr>
          <w:rFonts w:ascii="Palatino Linotype" w:eastAsia="Palatino Linotype" w:hAnsi="Palatino Linotype" w:cs="Palatino Linotype"/>
          <w:bCs/>
          <w:sz w:val="22"/>
          <w:szCs w:val="22"/>
        </w:rPr>
      </w:pPr>
      <w:r w:rsidRPr="00AB120E">
        <w:rPr>
          <w:rFonts w:ascii="Palatino Linotype" w:eastAsia="Palatino Linotype" w:hAnsi="Palatino Linotype" w:cs="Palatino Linotype"/>
          <w:bCs/>
          <w:sz w:val="22"/>
          <w:szCs w:val="22"/>
        </w:rPr>
        <w:t>Dicha información se hizo del conocimiento de la parte</w:t>
      </w:r>
      <w:r w:rsidRPr="00AB120E">
        <w:rPr>
          <w:rFonts w:ascii="Palatino Linotype" w:eastAsia="Palatino Linotype" w:hAnsi="Palatino Linotype" w:cs="Palatino Linotype"/>
          <w:b/>
          <w:sz w:val="22"/>
          <w:szCs w:val="22"/>
        </w:rPr>
        <w:t xml:space="preserve"> Recurrente </w:t>
      </w:r>
      <w:r w:rsidRPr="00AB120E">
        <w:rPr>
          <w:rFonts w:ascii="Palatino Linotype" w:eastAsia="Palatino Linotype" w:hAnsi="Palatino Linotype" w:cs="Palatino Linotype"/>
          <w:bCs/>
          <w:sz w:val="22"/>
          <w:szCs w:val="22"/>
        </w:rPr>
        <w:t>con la finalidad de que manifestara lo que a su derecho estimara conveniente, sin embargo, fue omisa en ejercer dicha prerrogativa como se señaló anteriormente.</w:t>
      </w:r>
    </w:p>
    <w:p w14:paraId="1577EA95" w14:textId="77777777" w:rsidR="007136F9" w:rsidRPr="00AB120E" w:rsidRDefault="007136F9" w:rsidP="007136F9">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Una vez establecidas las posturas de las partes,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346F0855" w14:textId="77777777" w:rsidR="007136F9" w:rsidRPr="00AB120E" w:rsidRDefault="007136F9" w:rsidP="007136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w:t>
      </w:r>
      <w:r w:rsidRPr="00AB120E">
        <w:rPr>
          <w:rFonts w:ascii="Palatino Linotype" w:eastAsia="Palatino Linotype" w:hAnsi="Palatino Linotype" w:cs="Palatino Linotype"/>
          <w:sz w:val="22"/>
          <w:szCs w:val="22"/>
        </w:rPr>
        <w:lastRenderedPageBreak/>
        <w:t>tiene bajo su resguardo la misma, de conformidad con los artículos 53, fracciones II y IV y 162 de la Ley de Transparencia y Acceso a la Información Pública del Estado de México y Municipios.</w:t>
      </w:r>
    </w:p>
    <w:p w14:paraId="229F732E" w14:textId="77777777" w:rsidR="007136F9" w:rsidRPr="00AB120E" w:rsidRDefault="007136F9" w:rsidP="007136F9">
      <w:pPr>
        <w:spacing w:before="240" w:after="240" w:line="360" w:lineRule="auto"/>
        <w:ind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Sujetos Obligados,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5A127E6E" w14:textId="77777777" w:rsidR="007136F9" w:rsidRPr="00AB120E" w:rsidRDefault="007136F9" w:rsidP="007136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2870CBEF" w14:textId="1D4A0466" w:rsidR="00AA4F89" w:rsidRPr="00AB120E" w:rsidRDefault="007136F9" w:rsidP="00AA4F89">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Al respecto, es de suma importancia mencionar que, derivado del análisis de las constancias que obran en el expediente electrónico en el que se actúa, se advirtió que la Unidad de </w:t>
      </w:r>
      <w:r w:rsidRPr="00AB120E">
        <w:rPr>
          <w:rFonts w:ascii="Palatino Linotype" w:eastAsia="Palatino Linotype" w:hAnsi="Palatino Linotype" w:cs="Palatino Linotype"/>
          <w:sz w:val="22"/>
          <w:szCs w:val="22"/>
        </w:rPr>
        <w:lastRenderedPageBreak/>
        <w:t>Transparencia turno la solicitud a la</w:t>
      </w:r>
      <w:r w:rsidR="00AA4F89" w:rsidRPr="00AB120E">
        <w:rPr>
          <w:rFonts w:ascii="Palatino Linotype" w:eastAsia="Palatino Linotype" w:hAnsi="Palatino Linotype" w:cs="Palatino Linotype"/>
          <w:sz w:val="22"/>
          <w:szCs w:val="22"/>
        </w:rPr>
        <w:t xml:space="preserve"> Jefatura de Patrimonio Municipal,</w:t>
      </w:r>
      <w:r w:rsidR="001E5062" w:rsidRPr="00AB120E">
        <w:rPr>
          <w:rFonts w:ascii="Palatino Linotype" w:eastAsia="Palatino Linotype" w:hAnsi="Palatino Linotype" w:cs="Palatino Linotype"/>
          <w:sz w:val="22"/>
          <w:szCs w:val="22"/>
        </w:rPr>
        <w:t xml:space="preserve"> dependiente de la Secretaria del Ayuntamiento,</w:t>
      </w:r>
      <w:r w:rsidR="00AA4F89" w:rsidRPr="00AB120E">
        <w:rPr>
          <w:rFonts w:ascii="Palatino Linotype" w:eastAsia="Palatino Linotype" w:hAnsi="Palatino Linotype" w:cs="Palatino Linotype"/>
          <w:sz w:val="22"/>
          <w:szCs w:val="22"/>
        </w:rPr>
        <w:t xml:space="preserve"> como el área competente para conocer de la información que es del interés de la persona solicitante.</w:t>
      </w:r>
    </w:p>
    <w:p w14:paraId="1B0588A5" w14:textId="47D97A77" w:rsidR="0023698F" w:rsidRPr="00AB120E" w:rsidRDefault="001E5062" w:rsidP="00AA4F89">
      <w:pPr>
        <w:spacing w:before="240" w:after="240" w:line="360" w:lineRule="auto"/>
        <w:ind w:right="49"/>
        <w:jc w:val="both"/>
        <w:rPr>
          <w:rFonts w:ascii="Palatino Linotype" w:hAnsi="Palatino Linotype"/>
          <w:sz w:val="22"/>
          <w:szCs w:val="22"/>
        </w:rPr>
      </w:pPr>
      <w:r w:rsidRPr="00AB120E">
        <w:rPr>
          <w:rFonts w:ascii="Palatino Linotype" w:eastAsia="Palatino Linotype" w:hAnsi="Palatino Linotype" w:cs="Palatino Linotype"/>
          <w:sz w:val="22"/>
          <w:szCs w:val="22"/>
        </w:rPr>
        <w:t>Cabe señalar que de conformidad con el numeral 1.3 del Manual de Organización de la Secretaría del Ayuntamiento, la Jefatura de Patrimonio Municipal</w:t>
      </w:r>
      <w:r w:rsidR="0023698F" w:rsidRPr="00AB120E">
        <w:rPr>
          <w:rFonts w:ascii="Palatino Linotype" w:eastAsia="Palatino Linotype" w:hAnsi="Palatino Linotype" w:cs="Palatino Linotype"/>
          <w:sz w:val="22"/>
          <w:szCs w:val="22"/>
        </w:rPr>
        <w:t xml:space="preserve"> cuyo objetivo consiste en aplicar </w:t>
      </w:r>
      <w:r w:rsidR="0023698F" w:rsidRPr="00AB120E">
        <w:rPr>
          <w:rFonts w:ascii="Palatino Linotype" w:hAnsi="Palatino Linotype"/>
          <w:sz w:val="22"/>
          <w:szCs w:val="22"/>
        </w:rPr>
        <w:t>las políticas y determinaciones de la Administración Pública Municipal, para llevar registro de altas y bajas de los bienes municipales, aplicando los lineamientos de control interno, tiene encomendadas las siguientes atribuciones:</w:t>
      </w:r>
    </w:p>
    <w:p w14:paraId="7D3C0F61" w14:textId="1E0D40ED" w:rsidR="0023698F" w:rsidRPr="00AB120E" w:rsidRDefault="0023698F" w:rsidP="0023698F">
      <w:pPr>
        <w:spacing w:before="240" w:after="240" w:line="360" w:lineRule="auto"/>
        <w:ind w:left="284" w:right="49"/>
        <w:jc w:val="both"/>
        <w:rPr>
          <w:rFonts w:ascii="Palatino Linotype" w:hAnsi="Palatino Linotype"/>
          <w:sz w:val="22"/>
          <w:szCs w:val="22"/>
        </w:rPr>
      </w:pPr>
      <w:r w:rsidRPr="00AB120E">
        <w:rPr>
          <w:rFonts w:ascii="Palatino Linotype" w:hAnsi="Palatino Linotype"/>
          <w:sz w:val="22"/>
          <w:szCs w:val="22"/>
        </w:rPr>
        <w:t>- Establecer las políticas y actividades de control y resguardo de los bienes municipales, así como su alta y baja ajustándose a la normatividad aplicable;</w:t>
      </w:r>
    </w:p>
    <w:p w14:paraId="4FC71EA8" w14:textId="6BA08B3D" w:rsidR="007136F9" w:rsidRPr="00AB120E" w:rsidRDefault="0023698F" w:rsidP="0023698F">
      <w:pPr>
        <w:spacing w:before="240" w:after="240" w:line="360" w:lineRule="auto"/>
        <w:ind w:left="284" w:right="49"/>
        <w:jc w:val="both"/>
        <w:rPr>
          <w:rFonts w:ascii="Palatino Linotype" w:hAnsi="Palatino Linotype"/>
          <w:sz w:val="22"/>
          <w:szCs w:val="22"/>
        </w:rPr>
      </w:pPr>
      <w:r w:rsidRPr="00AB120E">
        <w:rPr>
          <w:rFonts w:ascii="Palatino Linotype" w:hAnsi="Palatino Linotype"/>
          <w:sz w:val="22"/>
          <w:szCs w:val="22"/>
        </w:rPr>
        <w:t>- Establecer estrategias que permitan crear un i</w:t>
      </w:r>
      <w:r w:rsidRPr="00AB120E">
        <w:rPr>
          <w:rFonts w:ascii="Palatino Linotype" w:hAnsi="Palatino Linotype"/>
          <w:b/>
          <w:sz w:val="22"/>
          <w:szCs w:val="22"/>
        </w:rPr>
        <w:t xml:space="preserve">nventario confiable y verídico del acervo patrimonial, </w:t>
      </w:r>
      <w:r w:rsidRPr="00AB120E">
        <w:rPr>
          <w:rFonts w:ascii="Palatino Linotype" w:hAnsi="Palatino Linotype"/>
          <w:sz w:val="22"/>
          <w:szCs w:val="22"/>
        </w:rPr>
        <w:t xml:space="preserve">a través del </w:t>
      </w:r>
      <w:r w:rsidRPr="00AB120E">
        <w:rPr>
          <w:rFonts w:ascii="Palatino Linotype" w:hAnsi="Palatino Linotype"/>
          <w:b/>
          <w:sz w:val="22"/>
          <w:szCs w:val="22"/>
        </w:rPr>
        <w:t>Inventario de Bienes, Cedulas de alta, Baja y Transferencia</w:t>
      </w:r>
      <w:r w:rsidRPr="00AB120E">
        <w:rPr>
          <w:rFonts w:ascii="Palatino Linotype" w:hAnsi="Palatino Linotype"/>
          <w:sz w:val="22"/>
          <w:szCs w:val="22"/>
        </w:rPr>
        <w:t>, de conformidad con lo dispuesto por el Articulo 91 de la Ley Orgánica Municipal del Estado de México.</w:t>
      </w:r>
    </w:p>
    <w:p w14:paraId="253629E5" w14:textId="3E96C5B2" w:rsidR="0023698F" w:rsidRPr="00AB120E" w:rsidRDefault="0023698F" w:rsidP="0023698F">
      <w:pPr>
        <w:spacing w:before="240" w:after="240" w:line="360" w:lineRule="auto"/>
        <w:ind w:left="284" w:right="49"/>
        <w:jc w:val="both"/>
        <w:rPr>
          <w:rFonts w:ascii="Palatino Linotype" w:hAnsi="Palatino Linotype"/>
          <w:b/>
          <w:sz w:val="22"/>
          <w:szCs w:val="22"/>
        </w:rPr>
      </w:pPr>
      <w:r w:rsidRPr="00AB120E">
        <w:rPr>
          <w:rFonts w:ascii="Palatino Linotype" w:hAnsi="Palatino Linotype"/>
          <w:sz w:val="22"/>
          <w:szCs w:val="22"/>
        </w:rPr>
        <w:t xml:space="preserve">- Coordinar con el Departamento de Control Vehicular del Municipio, dependiente de la Dirección General de Administración, </w:t>
      </w:r>
      <w:r w:rsidRPr="00AB120E">
        <w:rPr>
          <w:rFonts w:ascii="Palatino Linotype" w:hAnsi="Palatino Linotype"/>
          <w:b/>
          <w:sz w:val="22"/>
          <w:szCs w:val="22"/>
        </w:rPr>
        <w:t>un inventario y resguardo de los vehículos del Municipio;</w:t>
      </w:r>
    </w:p>
    <w:p w14:paraId="392B24D7" w14:textId="0C064DEE" w:rsidR="0023698F" w:rsidRPr="00AB120E" w:rsidRDefault="0023698F" w:rsidP="0023698F">
      <w:pPr>
        <w:spacing w:before="240" w:after="240" w:line="360" w:lineRule="auto"/>
        <w:ind w:left="284" w:right="49"/>
        <w:jc w:val="both"/>
        <w:rPr>
          <w:rFonts w:ascii="Palatino Linotype" w:eastAsia="Palatino Linotype" w:hAnsi="Palatino Linotype" w:cs="Palatino Linotype"/>
          <w:b/>
          <w:sz w:val="22"/>
          <w:szCs w:val="22"/>
        </w:rPr>
      </w:pPr>
      <w:r w:rsidRPr="00AB120E">
        <w:rPr>
          <w:rFonts w:ascii="Palatino Linotype" w:hAnsi="Palatino Linotype"/>
          <w:b/>
          <w:sz w:val="22"/>
          <w:szCs w:val="22"/>
        </w:rPr>
        <w:t xml:space="preserve">- </w:t>
      </w:r>
      <w:r w:rsidRPr="00AB120E">
        <w:rPr>
          <w:rFonts w:ascii="Palatino Linotype" w:hAnsi="Palatino Linotype"/>
          <w:sz w:val="22"/>
          <w:szCs w:val="22"/>
        </w:rPr>
        <w:t>Participar con todas las dependencias administrativas del municipio, en los actos de entrega-recepción; y en el levantamiento físico del Inventario.</w:t>
      </w:r>
    </w:p>
    <w:p w14:paraId="1F78C8F0" w14:textId="145ACED0" w:rsidR="00EE2187" w:rsidRPr="00AB120E" w:rsidRDefault="00F67B5E" w:rsidP="00D26C1D">
      <w:pPr>
        <w:tabs>
          <w:tab w:val="left" w:pos="709"/>
        </w:tabs>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En este sentido, la Unidad de Transparencia turnó la solicitud al área competente para contar con la información que es del interés de la persona solicitante.</w:t>
      </w:r>
    </w:p>
    <w:p w14:paraId="47F07244" w14:textId="77777777" w:rsidR="00434EB5" w:rsidRPr="00AB120E" w:rsidRDefault="00F67B5E" w:rsidP="00434EB5">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Ahora bien,</w:t>
      </w:r>
      <w:r w:rsidR="009A715D" w:rsidRPr="00AB120E">
        <w:rPr>
          <w:rFonts w:ascii="Palatino Linotype" w:eastAsia="Palatino Linotype" w:hAnsi="Palatino Linotype" w:cs="Palatino Linotype"/>
          <w:sz w:val="22"/>
          <w:szCs w:val="22"/>
        </w:rPr>
        <w:t xml:space="preserve"> recordemos que </w:t>
      </w:r>
      <w:r w:rsidRPr="00AB120E">
        <w:rPr>
          <w:rFonts w:ascii="Palatino Linotype" w:eastAsia="Palatino Linotype" w:hAnsi="Palatino Linotype" w:cs="Palatino Linotype"/>
          <w:sz w:val="22"/>
          <w:szCs w:val="22"/>
        </w:rPr>
        <w:t>en atención a la solicitud</w:t>
      </w:r>
      <w:r w:rsidR="009A715D" w:rsidRPr="00AB120E">
        <w:rPr>
          <w:rFonts w:ascii="Palatino Linotype" w:eastAsia="Palatino Linotype" w:hAnsi="Palatino Linotype" w:cs="Palatino Linotype"/>
          <w:sz w:val="22"/>
          <w:szCs w:val="22"/>
        </w:rPr>
        <w:t xml:space="preserve"> </w:t>
      </w:r>
      <w:r w:rsidR="00444CAE" w:rsidRPr="00AB120E">
        <w:rPr>
          <w:rFonts w:ascii="Palatino Linotype" w:eastAsia="Palatino Linotype" w:hAnsi="Palatino Linotype" w:cs="Palatino Linotype"/>
          <w:sz w:val="22"/>
          <w:szCs w:val="22"/>
        </w:rPr>
        <w:t>la persona servidora pública habilitada</w:t>
      </w:r>
      <w:r w:rsidR="009A715D" w:rsidRPr="00AB120E">
        <w:rPr>
          <w:rFonts w:ascii="Palatino Linotype" w:eastAsia="Palatino Linotype" w:hAnsi="Palatino Linotype" w:cs="Palatino Linotype"/>
          <w:sz w:val="22"/>
          <w:szCs w:val="22"/>
        </w:rPr>
        <w:t xml:space="preserve"> hizo entrega de una dirección electrónica a través de un documento digitalizado </w:t>
      </w:r>
      <w:r w:rsidR="009A715D" w:rsidRPr="00AB120E">
        <w:rPr>
          <w:rFonts w:ascii="Palatino Linotype" w:eastAsia="Palatino Linotype" w:hAnsi="Palatino Linotype" w:cs="Palatino Linotype"/>
          <w:sz w:val="22"/>
          <w:szCs w:val="22"/>
        </w:rPr>
        <w:lastRenderedPageBreak/>
        <w:t>en formato cerrado que al no permitir editar, modificar o procesar su contenido, es decir, no permitir la reutilización de la información o la interoperabilidad de la misma, requiere que la liga electrónica sea capturada carácter por carácter, tarea que se dificulta en gran medida ya que al componerse de diversos caracteres, esto es, letras, números, signos, espacios, etcétera, existe una gran probabilidad de cometer errores en la captura, lo cual implicaría invariablemente la imposibilidad de acceder a la información, razón por la cual no puede tenerse por válida</w:t>
      </w:r>
      <w:r w:rsidR="00CA7851" w:rsidRPr="00AB120E">
        <w:rPr>
          <w:rFonts w:ascii="Palatino Linotype" w:eastAsia="Palatino Linotype" w:hAnsi="Palatino Linotype" w:cs="Palatino Linotype"/>
          <w:sz w:val="22"/>
          <w:szCs w:val="22"/>
        </w:rPr>
        <w:t>.</w:t>
      </w:r>
    </w:p>
    <w:p w14:paraId="3A3EF1D1" w14:textId="412A405C" w:rsidR="009A715D" w:rsidRPr="00AB120E" w:rsidRDefault="00CA7851" w:rsidP="00434EB5">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No obstante, </w:t>
      </w:r>
      <w:r w:rsidR="009A715D" w:rsidRPr="00AB120E">
        <w:rPr>
          <w:rFonts w:ascii="Palatino Linotype" w:eastAsia="Palatino Linotype" w:hAnsi="Palatino Linotype" w:cs="Palatino Linotype"/>
          <w:sz w:val="22"/>
          <w:szCs w:val="22"/>
        </w:rPr>
        <w:t>se insta</w:t>
      </w:r>
      <w:r w:rsidRPr="00AB120E">
        <w:rPr>
          <w:rFonts w:ascii="Palatino Linotype" w:eastAsia="Palatino Linotype" w:hAnsi="Palatino Linotype" w:cs="Palatino Linotype"/>
          <w:sz w:val="22"/>
          <w:szCs w:val="22"/>
        </w:rPr>
        <w:t xml:space="preserve"> al </w:t>
      </w:r>
      <w:r w:rsidRPr="00AB120E">
        <w:rPr>
          <w:rFonts w:ascii="Palatino Linotype" w:eastAsia="Palatino Linotype" w:hAnsi="Palatino Linotype" w:cs="Palatino Linotype"/>
          <w:b/>
          <w:sz w:val="22"/>
          <w:szCs w:val="22"/>
        </w:rPr>
        <w:t>Sujeto Obligado</w:t>
      </w:r>
      <w:r w:rsidR="009A715D" w:rsidRPr="00AB120E">
        <w:rPr>
          <w:rFonts w:ascii="Palatino Linotype" w:eastAsia="Palatino Linotype" w:hAnsi="Palatino Linotype" w:cs="Palatino Linotype"/>
          <w:sz w:val="22"/>
          <w:szCs w:val="22"/>
        </w:rPr>
        <w:t xml:space="preserve"> 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w:t>
      </w:r>
      <w:r w:rsidR="009A715D" w:rsidRPr="00AB120E">
        <w:rPr>
          <w:rFonts w:ascii="Palatino Linotype" w:eastAsia="Palatino Linotype" w:hAnsi="Palatino Linotype" w:cs="Palatino Linotype"/>
          <w:b/>
          <w:sz w:val="22"/>
          <w:szCs w:val="22"/>
          <w:u w:val="single"/>
        </w:rPr>
        <w:t>preferentemente a través de enlaces o hipervínculos, que permitan la conexión directa a la página o sitio en el que se aloja la información, al dar clic al mismo</w:t>
      </w:r>
      <w:r w:rsidR="009A715D" w:rsidRPr="00AB120E">
        <w:rPr>
          <w:rFonts w:ascii="Palatino Linotype" w:eastAsia="Palatino Linotype" w:hAnsi="Palatino Linotype" w:cs="Palatino Linotype"/>
          <w:sz w:val="22"/>
          <w:szCs w:val="22"/>
        </w:rPr>
        <w:t xml:space="preserve">, con la finalidad de asegurar el acceso a la </w:t>
      </w:r>
      <w:r w:rsidR="00434EB5" w:rsidRPr="00AB120E">
        <w:rPr>
          <w:rFonts w:ascii="Palatino Linotype" w:eastAsia="Palatino Linotype" w:hAnsi="Palatino Linotype" w:cs="Palatino Linotype"/>
          <w:sz w:val="22"/>
          <w:szCs w:val="22"/>
        </w:rPr>
        <w:t>información que es de su interés.</w:t>
      </w:r>
    </w:p>
    <w:p w14:paraId="5B84237A" w14:textId="77777777" w:rsidR="00434EB5" w:rsidRPr="00AB120E" w:rsidRDefault="00434EB5" w:rsidP="00434EB5">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Además, dicha orientación debe cumplir con lo establecido en el artículo 161 de la Ley de Transparencia y Acceso a la Información Pública del Estado de México y Municipios</w:t>
      </w:r>
      <w:r w:rsidRPr="00AB120E">
        <w:rPr>
          <w:rFonts w:ascii="Palatino Linotype" w:eastAsia="Palatino Linotype" w:hAnsi="Palatino Linotype" w:cs="Palatino Linotype"/>
          <w:i/>
          <w:sz w:val="22"/>
          <w:szCs w:val="22"/>
        </w:rPr>
        <w:t xml:space="preserve">, </w:t>
      </w:r>
      <w:r w:rsidRPr="00AB120E">
        <w:rPr>
          <w:rFonts w:ascii="Palatino Linotype" w:eastAsia="Palatino Linotype" w:hAnsi="Palatino Linotype" w:cs="Palatino Linotype"/>
          <w:sz w:val="22"/>
          <w:szCs w:val="22"/>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7751E97E" w14:textId="77777777" w:rsidR="00434EB5" w:rsidRPr="00AB120E" w:rsidRDefault="00434EB5" w:rsidP="00434EB5">
      <w:pPr>
        <w:spacing w:before="120" w:after="120" w:line="276" w:lineRule="auto"/>
        <w:ind w:left="284"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 La fuente</w:t>
      </w:r>
    </w:p>
    <w:p w14:paraId="1C776F60" w14:textId="77777777" w:rsidR="00434EB5" w:rsidRPr="00AB120E" w:rsidRDefault="00434EB5" w:rsidP="00434EB5">
      <w:pPr>
        <w:spacing w:before="120" w:after="120" w:line="276" w:lineRule="auto"/>
        <w:ind w:left="284"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b) El lugar y</w:t>
      </w:r>
    </w:p>
    <w:p w14:paraId="2CF87F3B" w14:textId="77777777" w:rsidR="00434EB5" w:rsidRPr="00AB120E" w:rsidRDefault="00434EB5" w:rsidP="00434EB5">
      <w:pPr>
        <w:spacing w:before="120" w:after="120" w:line="276" w:lineRule="auto"/>
        <w:ind w:left="284"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c) La forma</w:t>
      </w:r>
    </w:p>
    <w:p w14:paraId="5435CD9A" w14:textId="77777777" w:rsidR="00434EB5" w:rsidRPr="00AB120E" w:rsidRDefault="00434EB5" w:rsidP="00434EB5">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Asimismo, se establece que la fuente de la información deberá ser:</w:t>
      </w:r>
    </w:p>
    <w:p w14:paraId="2F1D7E9D" w14:textId="77777777" w:rsidR="00434EB5" w:rsidRPr="00AB120E" w:rsidRDefault="00434EB5" w:rsidP="00434EB5">
      <w:pPr>
        <w:spacing w:before="120" w:after="120" w:line="276" w:lineRule="auto"/>
        <w:ind w:left="284"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 Precisa</w:t>
      </w:r>
    </w:p>
    <w:p w14:paraId="198F1592" w14:textId="77777777" w:rsidR="00434EB5" w:rsidRPr="00AB120E" w:rsidRDefault="00434EB5" w:rsidP="00434EB5">
      <w:pPr>
        <w:spacing w:before="120" w:after="120" w:line="276" w:lineRule="auto"/>
        <w:ind w:left="284"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b) Concreta</w:t>
      </w:r>
    </w:p>
    <w:p w14:paraId="213B2EEC" w14:textId="77777777" w:rsidR="00434EB5" w:rsidRPr="00AB120E" w:rsidRDefault="00434EB5" w:rsidP="00434EB5">
      <w:pPr>
        <w:spacing w:before="120" w:after="120" w:line="276" w:lineRule="auto"/>
        <w:ind w:left="284"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c) Y no debe implicar que el solicitante realice una búsqueda en toda la información que se encuentre disponible.</w:t>
      </w:r>
    </w:p>
    <w:p w14:paraId="7683E601" w14:textId="77777777" w:rsidR="00434EB5" w:rsidRPr="00AB120E" w:rsidRDefault="00434EB5" w:rsidP="00434EB5">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Imperativos legales que establecen el procedimiento que deben seguir los Sujetos Obligados para que pueda tomarse como válida su orientación sobre la forma en que puede consultar la información requerida.</w:t>
      </w:r>
    </w:p>
    <w:p w14:paraId="0CF3E0DE" w14:textId="4BBA889D" w:rsidR="00434EB5" w:rsidRPr="00AB120E" w:rsidRDefault="00D4788B" w:rsidP="00434EB5">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En este tenor, </w:t>
      </w:r>
      <w:r w:rsidR="00C971B2" w:rsidRPr="00AB120E">
        <w:rPr>
          <w:rFonts w:ascii="Palatino Linotype" w:eastAsia="Palatino Linotype" w:hAnsi="Palatino Linotype" w:cs="Palatino Linotype"/>
          <w:sz w:val="22"/>
          <w:szCs w:val="22"/>
        </w:rPr>
        <w:t>dado que el Derecho de acceso de la persona solicitante no ha quedado satisfecho, se estima dable ordenar que previa búsqueda exhaustiva y razonable, se haga entrega del inventario de bienes muebles e inmuebles actualizado al veintisiete de noviembre de dos mil veinticinco,</w:t>
      </w:r>
      <w:r w:rsidR="00906D09" w:rsidRPr="00AB120E">
        <w:rPr>
          <w:rFonts w:ascii="Palatino Linotype" w:eastAsia="Palatino Linotype" w:hAnsi="Palatino Linotype" w:cs="Palatino Linotype"/>
          <w:sz w:val="22"/>
          <w:szCs w:val="22"/>
        </w:rPr>
        <w:t xml:space="preserve"> que incluya bienes muebles, inmuebles, equipo, vehículos y cualquier bien adquirido o dado de baja en los últimos tres años, en versión pública de ser procedente.</w:t>
      </w:r>
    </w:p>
    <w:p w14:paraId="4E17DD8E" w14:textId="21A4BF5A" w:rsidR="00906D09" w:rsidRPr="00AB120E" w:rsidRDefault="00906D09" w:rsidP="00434EB5">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No obsta mencionar que la información que es materia de estudio es considerada una obligación de transparencia, según lo previsto en el artículo </w:t>
      </w:r>
    </w:p>
    <w:p w14:paraId="3BB0A3F9" w14:textId="31182B0E" w:rsidR="00906D09" w:rsidRPr="00AB120E" w:rsidRDefault="00906D09" w:rsidP="00906D09">
      <w:pPr>
        <w:spacing w:before="120" w:after="120"/>
        <w:ind w:left="851" w:right="902"/>
        <w:jc w:val="both"/>
        <w:rPr>
          <w:rFonts w:ascii="Palatino Linotype" w:hAnsi="Palatino Linotype"/>
          <w:i/>
          <w:sz w:val="22"/>
          <w:szCs w:val="22"/>
        </w:rPr>
      </w:pPr>
      <w:r w:rsidRPr="00AB120E">
        <w:rPr>
          <w:rFonts w:ascii="Palatino Linotype" w:hAnsi="Palatino Linotype"/>
          <w:b/>
          <w:i/>
          <w:sz w:val="22"/>
          <w:szCs w:val="22"/>
        </w:rPr>
        <w:t xml:space="preserve">“Artículo 92. </w:t>
      </w:r>
      <w:r w:rsidRPr="00AB120E">
        <w:rPr>
          <w:rFonts w:ascii="Palatino Linotype" w:hAnsi="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84DAB13" w14:textId="45CEFFE6" w:rsidR="00906D09" w:rsidRPr="00AB120E" w:rsidRDefault="00906D09" w:rsidP="00906D09">
      <w:pPr>
        <w:spacing w:before="120" w:after="120"/>
        <w:ind w:left="851" w:right="902"/>
        <w:jc w:val="both"/>
        <w:rPr>
          <w:rFonts w:ascii="Palatino Linotype" w:eastAsia="Palatino Linotype" w:hAnsi="Palatino Linotype" w:cs="Palatino Linotype"/>
          <w:i/>
          <w:sz w:val="22"/>
          <w:szCs w:val="22"/>
        </w:rPr>
      </w:pPr>
      <w:r w:rsidRPr="00AB120E">
        <w:rPr>
          <w:rFonts w:ascii="Palatino Linotype" w:hAnsi="Palatino Linotype"/>
          <w:i/>
          <w:sz w:val="22"/>
          <w:szCs w:val="22"/>
        </w:rPr>
        <w:t>...</w:t>
      </w:r>
    </w:p>
    <w:p w14:paraId="66A8C766" w14:textId="115C0546" w:rsidR="00906D09" w:rsidRPr="00AB120E" w:rsidRDefault="00906D09" w:rsidP="00906D09">
      <w:pPr>
        <w:spacing w:before="120" w:after="120"/>
        <w:ind w:left="851" w:right="902"/>
        <w:jc w:val="both"/>
        <w:rPr>
          <w:rFonts w:ascii="Palatino Linotype" w:eastAsia="Palatino Linotype" w:hAnsi="Palatino Linotype" w:cs="Palatino Linotype"/>
          <w:i/>
          <w:sz w:val="22"/>
          <w:szCs w:val="22"/>
        </w:rPr>
      </w:pPr>
      <w:r w:rsidRPr="00AB120E">
        <w:rPr>
          <w:rFonts w:ascii="Palatino Linotype" w:hAnsi="Palatino Linotype"/>
          <w:b/>
          <w:i/>
          <w:sz w:val="22"/>
          <w:szCs w:val="22"/>
        </w:rPr>
        <w:t>XXXVIII.</w:t>
      </w:r>
      <w:r w:rsidRPr="00AB120E">
        <w:rPr>
          <w:rFonts w:ascii="Palatino Linotype" w:hAnsi="Palatino Linotype"/>
          <w:i/>
          <w:sz w:val="22"/>
          <w:szCs w:val="22"/>
        </w:rPr>
        <w:t xml:space="preserve"> El inventario de bienes muebles e inmuebles en posesión y propiedad;”</w:t>
      </w:r>
    </w:p>
    <w:p w14:paraId="342B072F" w14:textId="48BE9980" w:rsidR="00F017AA" w:rsidRPr="00AB120E" w:rsidRDefault="00F017AA" w:rsidP="00936CF1">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El inventario de bienes muebles e inmuebles  deberá ser publicado en atención a los “Lineamientos Técnicos Generales para la Publicación, Homologación y Estandarización de la Información de las Obligaciones establecidas en el Título Quinto y en la Fracción IV, del </w:t>
      </w:r>
      <w:r w:rsidRPr="00AB120E">
        <w:rPr>
          <w:rFonts w:ascii="Palatino Linotype" w:eastAsia="Palatino Linotype" w:hAnsi="Palatino Linotype" w:cs="Palatino Linotype"/>
          <w:sz w:val="22"/>
          <w:szCs w:val="22"/>
        </w:rPr>
        <w:lastRenderedPageBreak/>
        <w:t>artículo 31, de la Ley General de Transparencia y Acceso a la Información Pública, que deberán difundir los Sujetos Obligados en los Portales de Internet y en la Plataforma Nacional de Transparencia”</w:t>
      </w:r>
      <w:r w:rsidRPr="00AB120E">
        <w:rPr>
          <w:rFonts w:ascii="Palatino Linotype" w:eastAsia="Palatino Linotype" w:hAnsi="Palatino Linotype" w:cs="Palatino Linotype"/>
          <w:i/>
          <w:sz w:val="22"/>
          <w:szCs w:val="22"/>
        </w:rPr>
        <w:t xml:space="preserve"> </w:t>
      </w:r>
      <w:r w:rsidR="00936CF1" w:rsidRPr="00AB120E">
        <w:rPr>
          <w:rFonts w:ascii="Palatino Linotype" w:eastAsia="Palatino Linotype" w:hAnsi="Palatino Linotype" w:cs="Palatino Linotype"/>
          <w:sz w:val="22"/>
          <w:szCs w:val="22"/>
        </w:rPr>
        <w:t>los cuales establecen lo siguiente en su parte conducente:</w:t>
      </w:r>
    </w:p>
    <w:p w14:paraId="4CC81B53" w14:textId="3353FB19" w:rsidR="00F017AA" w:rsidRPr="00AB120E" w:rsidRDefault="00F017AA" w:rsidP="00F017AA">
      <w:pPr>
        <w:spacing w:before="120" w:after="120"/>
        <w:ind w:left="851" w:right="902"/>
        <w:jc w:val="both"/>
        <w:rPr>
          <w:rFonts w:ascii="Palatino Linotype" w:hAnsi="Palatino Linotype"/>
          <w:i/>
          <w:sz w:val="22"/>
          <w:szCs w:val="22"/>
        </w:rPr>
      </w:pPr>
      <w:r w:rsidRPr="00AB120E">
        <w:rPr>
          <w:rFonts w:ascii="Palatino Linotype" w:eastAsia="Palatino Linotype" w:hAnsi="Palatino Linotype" w:cs="Palatino Linotype"/>
          <w:i/>
          <w:sz w:val="22"/>
          <w:szCs w:val="22"/>
        </w:rPr>
        <w:t>“</w:t>
      </w:r>
      <w:r w:rsidRPr="00AB120E">
        <w:rPr>
          <w:rFonts w:ascii="Palatino Linotype" w:hAnsi="Palatino Linotype"/>
          <w:i/>
          <w:sz w:val="22"/>
          <w:szCs w:val="22"/>
        </w:rPr>
        <w:t xml:space="preserve">Los sujetos obligados publicarán el inventario de bienes muebles e inmuebles que utilicen, tengan a su cargo y/o les hayan sido asignados para el ejercicio de sus funciones; que destinen a un servicio público conforme a la normatividad aplicable o por cualquier concepto, tanto si son propiedad del sujeto obligado como que se encuentren en posesión de éstos. </w:t>
      </w:r>
    </w:p>
    <w:p w14:paraId="5D2526E0" w14:textId="77777777" w:rsidR="00F017AA" w:rsidRPr="00AB120E" w:rsidRDefault="00F017AA" w:rsidP="00F017AA">
      <w:pPr>
        <w:spacing w:before="120" w:after="120"/>
        <w:ind w:left="851" w:right="902"/>
        <w:jc w:val="both"/>
        <w:rPr>
          <w:rFonts w:ascii="Palatino Linotype" w:hAnsi="Palatino Linotype"/>
          <w:i/>
          <w:sz w:val="22"/>
          <w:szCs w:val="22"/>
        </w:rPr>
      </w:pPr>
      <w:r w:rsidRPr="00AB120E">
        <w:rPr>
          <w:rFonts w:ascii="Palatino Linotype" w:hAnsi="Palatino Linotype"/>
          <w:i/>
          <w:sz w:val="22"/>
          <w:szCs w:val="22"/>
        </w:rPr>
        <w:t>Respecto de los bienes muebles se registrará tanto el mobiliario y equipo –incluido el de cómputo– como los vehículos y demás bienes muebles al servicio de los sujetos obligados, de conformidad con la Ley General de Contabilidad Gubernamental.</w:t>
      </w:r>
    </w:p>
    <w:p w14:paraId="1E29F8EC" w14:textId="4C3FD449" w:rsidR="00F017AA" w:rsidRPr="00AB120E" w:rsidRDefault="00F017AA" w:rsidP="00F017AA">
      <w:pPr>
        <w:spacing w:before="120" w:after="120"/>
        <w:ind w:left="851" w:right="902"/>
        <w:jc w:val="both"/>
        <w:rPr>
          <w:rFonts w:ascii="Palatino Linotype" w:hAnsi="Palatino Linotype"/>
          <w:i/>
          <w:sz w:val="22"/>
          <w:szCs w:val="22"/>
        </w:rPr>
      </w:pPr>
      <w:r w:rsidRPr="00AB120E">
        <w:rPr>
          <w:rFonts w:ascii="Palatino Linotype" w:hAnsi="Palatino Linotype"/>
          <w:i/>
          <w:sz w:val="22"/>
          <w:szCs w:val="22"/>
        </w:rPr>
        <w:t>El inventario se organizará de conformidad con lo establecido en la normatividad emitida por el Consejo Nacional de Armonización Contable como lo son los Lineamientos para la elaboración del Catálogo de Bienes Inmuebles que permita la interrelación automática con el Clasificador por Objeto del Gasto y la Lista de Cuentas, publicados el 13 de diciembre de 2011, y en los Lineamientos mínimos relativos al diseño e integración del registro en los Libros Diario, Mayor e Inventarios y Balances (Registro Electrónico), publicados el 7 de julio de 2011, y el Acuerdo por el que se determina la norma para establecer la estructura del formato de la relación de bienes que componen el patrimonio del ente público, publicado el 8 de agosto de 2013. Asimismo, el inventario contará con algunos de los elementos establecidos en el Acuerdo por el cual se emiten las Normas y Procedimientos para la Integración y Actualización del Sistema de Información Inmobiliaria Federal y Paraestatal, así como en la Ley General de Contabilidad Gubernamental publicado en el Diario Oficial de la Federación el 26 de julio de 2012.</w:t>
      </w:r>
    </w:p>
    <w:p w14:paraId="47BFC72A" w14:textId="7F7BD378" w:rsidR="00F017AA" w:rsidRPr="00AB120E" w:rsidRDefault="00F017AA" w:rsidP="00F017AA">
      <w:pPr>
        <w:spacing w:before="120" w:after="120"/>
        <w:ind w:left="851" w:right="902"/>
        <w:jc w:val="both"/>
        <w:rPr>
          <w:rFonts w:ascii="Palatino Linotype" w:hAnsi="Palatino Linotype"/>
          <w:i/>
          <w:sz w:val="22"/>
          <w:szCs w:val="22"/>
        </w:rPr>
      </w:pPr>
      <w:r w:rsidRPr="00AB120E">
        <w:rPr>
          <w:rFonts w:ascii="Palatino Linotype" w:hAnsi="Palatino Linotype"/>
          <w:i/>
          <w:sz w:val="22"/>
          <w:szCs w:val="22"/>
        </w:rPr>
        <w:t>También se registrarán los bienes muebles o inmuebles que, por su naturaleza sean inalienables e imprescriptibles, como pueden serlo los monumentos arqueológicos, históricos y artísticos de acuerdo con el registro auxiliar correspondiente.</w:t>
      </w:r>
    </w:p>
    <w:p w14:paraId="28B94D7C" w14:textId="6A228C65" w:rsidR="00F017AA" w:rsidRPr="00AB120E" w:rsidRDefault="00F017AA" w:rsidP="00F017AA">
      <w:pPr>
        <w:spacing w:before="120" w:after="120"/>
        <w:ind w:left="851" w:right="902"/>
        <w:jc w:val="both"/>
        <w:rPr>
          <w:rFonts w:ascii="Palatino Linotype" w:hAnsi="Palatino Linotype"/>
          <w:i/>
          <w:sz w:val="22"/>
          <w:szCs w:val="22"/>
        </w:rPr>
      </w:pPr>
      <w:r w:rsidRPr="00AB120E">
        <w:rPr>
          <w:rFonts w:ascii="Palatino Linotype" w:hAnsi="Palatino Linotype"/>
          <w:i/>
          <w:sz w:val="22"/>
          <w:szCs w:val="22"/>
        </w:rPr>
        <w:t>...</w:t>
      </w:r>
    </w:p>
    <w:p w14:paraId="4C6CAA5D" w14:textId="64D3B450" w:rsidR="00F017AA" w:rsidRPr="00AB120E" w:rsidRDefault="00F017AA" w:rsidP="00F017AA">
      <w:pPr>
        <w:spacing w:before="120" w:after="120"/>
        <w:ind w:left="851" w:right="902"/>
        <w:jc w:val="both"/>
        <w:rPr>
          <w:rFonts w:ascii="Palatino Linotype" w:hAnsi="Palatino Linotype"/>
          <w:i/>
          <w:sz w:val="22"/>
          <w:szCs w:val="22"/>
        </w:rPr>
      </w:pPr>
      <w:r w:rsidRPr="00AB120E">
        <w:rPr>
          <w:rFonts w:ascii="Palatino Linotype" w:hAnsi="Palatino Linotype"/>
          <w:i/>
          <w:sz w:val="22"/>
          <w:szCs w:val="22"/>
        </w:rPr>
        <w:t xml:space="preserve">Adicionalmente </w:t>
      </w:r>
      <w:r w:rsidRPr="00AB120E">
        <w:rPr>
          <w:rFonts w:ascii="Palatino Linotype" w:hAnsi="Palatino Linotype"/>
          <w:b/>
          <w:i/>
          <w:sz w:val="22"/>
          <w:szCs w:val="22"/>
        </w:rPr>
        <w:t xml:space="preserve">se incluirá un inventario de altas, </w:t>
      </w:r>
      <w:r w:rsidRPr="00AB120E">
        <w:rPr>
          <w:rFonts w:ascii="Palatino Linotype" w:hAnsi="Palatino Linotype"/>
          <w:b/>
          <w:i/>
          <w:sz w:val="22"/>
          <w:szCs w:val="22"/>
          <w:u w:val="single"/>
        </w:rPr>
        <w:t>bajas</w:t>
      </w:r>
      <w:r w:rsidRPr="00AB120E">
        <w:rPr>
          <w:rFonts w:ascii="Palatino Linotype" w:hAnsi="Palatino Linotype"/>
          <w:b/>
          <w:i/>
          <w:sz w:val="22"/>
          <w:szCs w:val="22"/>
        </w:rPr>
        <w:t xml:space="preserve"> y donaciones</w:t>
      </w:r>
      <w:r w:rsidRPr="00AB120E">
        <w:rPr>
          <w:rFonts w:ascii="Palatino Linotype" w:hAnsi="Palatino Linotype"/>
          <w:i/>
          <w:sz w:val="22"/>
          <w:szCs w:val="22"/>
        </w:rPr>
        <w:t xml:space="preserve"> que se hagan al sujeto obligado de bienes muebles e inmuebles, en caso de haberlas. También se dará a conocer el nombre de la persona servidora pública y/o toda persona que desempeñe un empleo, cargo o comisión y/o ejerza actos de autoridad, </w:t>
      </w:r>
      <w:r w:rsidRPr="00AB120E">
        <w:rPr>
          <w:rFonts w:ascii="Palatino Linotype" w:hAnsi="Palatino Linotype"/>
          <w:i/>
          <w:sz w:val="22"/>
          <w:szCs w:val="22"/>
        </w:rPr>
        <w:lastRenderedPageBreak/>
        <w:t>que funge como responsable inmobiliario, es decir, la persona encargada de la administración de los recursos materiales de las dependencias.</w:t>
      </w:r>
    </w:p>
    <w:p w14:paraId="4A70F9CC" w14:textId="36384B9B" w:rsidR="00F017AA" w:rsidRPr="00AB120E" w:rsidRDefault="00F017AA" w:rsidP="00F017AA">
      <w:pPr>
        <w:spacing w:before="120" w:after="120"/>
        <w:ind w:left="851" w:right="902"/>
        <w:jc w:val="both"/>
        <w:rPr>
          <w:rFonts w:ascii="Palatino Linotype" w:eastAsia="Palatino Linotype" w:hAnsi="Palatino Linotype" w:cs="Palatino Linotype"/>
          <w:i/>
          <w:sz w:val="22"/>
          <w:szCs w:val="22"/>
        </w:rPr>
      </w:pPr>
      <w:r w:rsidRPr="00AB120E">
        <w:rPr>
          <w:rFonts w:ascii="Palatino Linotype" w:hAnsi="Palatino Linotype"/>
          <w:i/>
          <w:sz w:val="22"/>
          <w:szCs w:val="22"/>
        </w:rPr>
        <w:t>En caso de que algún sujeto obligado utilice o tenga a su cargo bienes muebles o inmuebles sobre los cuales reportar su tenencia y se encuentren reservados por motivos de Seguridad Nacional, Seguridad Pública o de interés público, en la "Descripción del bien" o "Denominación del inmueble", según corresponda, se especificará mediante una nota en la que se refiera el “bien número #”, indicando el número que se le asigne cronológicamente a cada bien, el cual no podrá ser el mismo para ningún otro del sujeto obligado por motivos de identificación única de éstos. A continuación, se registrará en el criterio adjetivo "Nota", la fundamentación y motivación de la reserva de dicha información, acompañada de la resolución del Comité de Transparencia en la que se hubiera aprobado la clasificación de información. Cuando la clasificación de información se haya realizado para más de un bien mueble y/o inmueble, se incluirá una nota en cada registro que así corresponda, con la respectiva resolución del Comité de Transparencia.”</w:t>
      </w:r>
    </w:p>
    <w:p w14:paraId="0B71A88D" w14:textId="4592165F" w:rsidR="00F017AA" w:rsidRPr="00AB120E" w:rsidRDefault="00F017AA" w:rsidP="00D26C1D">
      <w:pPr>
        <w:tabs>
          <w:tab w:val="left" w:pos="709"/>
        </w:tabs>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Asimismo, para el cumplimiento de dicha obligación se emplean los siguientes formatos:</w:t>
      </w:r>
      <w:r w:rsidRPr="00AB120E">
        <w:rPr>
          <w:rFonts w:ascii="Palatino Linotype" w:eastAsia="Palatino Linotype" w:hAnsi="Palatino Linotype" w:cs="Palatino Linotype"/>
          <w:noProof/>
          <w:sz w:val="22"/>
          <w:szCs w:val="22"/>
        </w:rPr>
        <w:drawing>
          <wp:anchor distT="0" distB="0" distL="114300" distR="114300" simplePos="0" relativeHeight="251659264" behindDoc="0" locked="0" layoutInCell="1" allowOverlap="1" wp14:anchorId="3745E6AF" wp14:editId="0FAFAB02">
            <wp:simplePos x="0" y="0"/>
            <wp:positionH relativeFrom="column">
              <wp:posOffset>0</wp:posOffset>
            </wp:positionH>
            <wp:positionV relativeFrom="paragraph">
              <wp:posOffset>438150</wp:posOffset>
            </wp:positionV>
            <wp:extent cx="5612130" cy="3268980"/>
            <wp:effectExtent l="0" t="0" r="762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3268980"/>
                    </a:xfrm>
                    <a:prstGeom prst="rect">
                      <a:avLst/>
                    </a:prstGeom>
                  </pic:spPr>
                </pic:pic>
              </a:graphicData>
            </a:graphic>
          </wp:anchor>
        </w:drawing>
      </w:r>
    </w:p>
    <w:p w14:paraId="42E59276" w14:textId="0BE04A90" w:rsidR="00F017AA" w:rsidRPr="00AB120E" w:rsidRDefault="00F017AA" w:rsidP="00D26C1D">
      <w:pPr>
        <w:tabs>
          <w:tab w:val="left" w:pos="709"/>
        </w:tabs>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 </w:t>
      </w:r>
      <w:r w:rsidRPr="00AB120E">
        <w:rPr>
          <w:rFonts w:ascii="Palatino Linotype" w:eastAsia="Palatino Linotype" w:hAnsi="Palatino Linotype" w:cs="Palatino Linotype"/>
          <w:sz w:val="22"/>
          <w:szCs w:val="22"/>
        </w:rPr>
        <w:br w:type="textWrapping" w:clear="all"/>
      </w:r>
    </w:p>
    <w:p w14:paraId="5352845A" w14:textId="2FB04252" w:rsidR="00F017AA" w:rsidRPr="00AB120E" w:rsidRDefault="00F017AA" w:rsidP="00D26C1D">
      <w:pPr>
        <w:tabs>
          <w:tab w:val="left" w:pos="709"/>
        </w:tabs>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lastRenderedPageBreak/>
        <w:drawing>
          <wp:inline distT="0" distB="0" distL="0" distR="0" wp14:anchorId="17ED195C" wp14:editId="32A5521C">
            <wp:extent cx="5612130" cy="691578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915785"/>
                    </a:xfrm>
                    <a:prstGeom prst="rect">
                      <a:avLst/>
                    </a:prstGeom>
                  </pic:spPr>
                </pic:pic>
              </a:graphicData>
            </a:graphic>
          </wp:inline>
        </w:drawing>
      </w:r>
    </w:p>
    <w:p w14:paraId="0B4BB964" w14:textId="5C30B611" w:rsidR="00F017AA" w:rsidRPr="00AB120E" w:rsidRDefault="00F017AA" w:rsidP="00D26C1D">
      <w:pPr>
        <w:tabs>
          <w:tab w:val="left" w:pos="709"/>
        </w:tabs>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lastRenderedPageBreak/>
        <w:drawing>
          <wp:inline distT="0" distB="0" distL="0" distR="0" wp14:anchorId="53C58703" wp14:editId="685458B9">
            <wp:extent cx="5612130" cy="6219825"/>
            <wp:effectExtent l="0" t="0" r="762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219825"/>
                    </a:xfrm>
                    <a:prstGeom prst="rect">
                      <a:avLst/>
                    </a:prstGeom>
                  </pic:spPr>
                </pic:pic>
              </a:graphicData>
            </a:graphic>
          </wp:inline>
        </w:drawing>
      </w:r>
    </w:p>
    <w:p w14:paraId="595C3EE4" w14:textId="77777777" w:rsidR="00F017AA" w:rsidRPr="00AB120E" w:rsidRDefault="00F017AA" w:rsidP="00D26C1D">
      <w:pPr>
        <w:tabs>
          <w:tab w:val="left" w:pos="709"/>
        </w:tabs>
        <w:spacing w:before="240" w:after="240" w:line="360" w:lineRule="auto"/>
        <w:jc w:val="both"/>
        <w:rPr>
          <w:rFonts w:ascii="Palatino Linotype" w:eastAsia="Palatino Linotype" w:hAnsi="Palatino Linotype" w:cs="Palatino Linotype"/>
          <w:sz w:val="22"/>
          <w:szCs w:val="22"/>
        </w:rPr>
      </w:pPr>
    </w:p>
    <w:p w14:paraId="36992A50" w14:textId="10650DF8" w:rsidR="00F017AA" w:rsidRPr="00AB120E" w:rsidRDefault="00F017AA" w:rsidP="00D26C1D">
      <w:pPr>
        <w:tabs>
          <w:tab w:val="left" w:pos="709"/>
        </w:tabs>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lastRenderedPageBreak/>
        <w:drawing>
          <wp:inline distT="0" distB="0" distL="0" distR="0" wp14:anchorId="0FD59646" wp14:editId="2E059C6B">
            <wp:extent cx="5612130" cy="391668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916680"/>
                    </a:xfrm>
                    <a:prstGeom prst="rect">
                      <a:avLst/>
                    </a:prstGeom>
                  </pic:spPr>
                </pic:pic>
              </a:graphicData>
            </a:graphic>
          </wp:inline>
        </w:drawing>
      </w:r>
    </w:p>
    <w:p w14:paraId="40FC4B6B" w14:textId="1F630106" w:rsidR="00936CF1" w:rsidRPr="00AB120E" w:rsidRDefault="00936CF1" w:rsidP="00936CF1">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Además, el </w:t>
      </w:r>
      <w:r w:rsidRPr="00AB120E">
        <w:rPr>
          <w:rFonts w:ascii="Palatino Linotype" w:eastAsia="Palatino Linotype" w:hAnsi="Palatino Linotype" w:cs="Palatino Linotype"/>
          <w:b/>
          <w:sz w:val="22"/>
          <w:szCs w:val="22"/>
        </w:rPr>
        <w:t xml:space="preserve">Sujeto Obligado </w:t>
      </w:r>
      <w:r w:rsidRPr="00AB120E">
        <w:rPr>
          <w:rFonts w:ascii="Palatino Linotype" w:eastAsia="Palatino Linotype" w:hAnsi="Palatino Linotype" w:cs="Palatino Linotype"/>
          <w:sz w:val="22"/>
          <w:szCs w:val="22"/>
        </w:rPr>
        <w:t xml:space="preserve">se encuentra constreñido a entregar al Órgano Superior de Fiscalización del Estado de México, como parte de los informes trimestrales, </w:t>
      </w:r>
      <w:r w:rsidR="006604EC" w:rsidRPr="00AB120E">
        <w:rPr>
          <w:rFonts w:ascii="Palatino Linotype" w:eastAsia="Palatino Linotype" w:hAnsi="Palatino Linotype" w:cs="Palatino Linotype"/>
          <w:sz w:val="22"/>
          <w:szCs w:val="22"/>
        </w:rPr>
        <w:t xml:space="preserve">los reportes de movimientos de bienes muebles e inmuebles </w:t>
      </w:r>
      <w:r w:rsidR="006604EC" w:rsidRPr="00AB120E">
        <w:rPr>
          <w:rFonts w:ascii="Palatino Linotype" w:eastAsia="Palatino Linotype" w:hAnsi="Palatino Linotype" w:cs="Palatino Linotype"/>
          <w:i/>
          <w:sz w:val="22"/>
          <w:szCs w:val="22"/>
        </w:rPr>
        <w:t>de forma trimestral,</w:t>
      </w:r>
      <w:r w:rsidR="006604EC" w:rsidRPr="00AB120E">
        <w:rPr>
          <w:rFonts w:ascii="Palatino Linotype" w:eastAsia="Palatino Linotype" w:hAnsi="Palatino Linotype" w:cs="Palatino Linotype"/>
          <w:sz w:val="22"/>
          <w:szCs w:val="22"/>
        </w:rPr>
        <w:t xml:space="preserve"> así como los </w:t>
      </w:r>
      <w:r w:rsidRPr="00AB120E">
        <w:rPr>
          <w:rFonts w:ascii="Palatino Linotype" w:eastAsia="Palatino Linotype" w:hAnsi="Palatino Linotype" w:cs="Palatino Linotype"/>
          <w:sz w:val="22"/>
          <w:szCs w:val="22"/>
        </w:rPr>
        <w:t>inventario</w:t>
      </w:r>
      <w:r w:rsidR="006604EC" w:rsidRPr="00AB120E">
        <w:rPr>
          <w:rFonts w:ascii="Palatino Linotype" w:eastAsia="Palatino Linotype" w:hAnsi="Palatino Linotype" w:cs="Palatino Linotype"/>
          <w:sz w:val="22"/>
          <w:szCs w:val="22"/>
        </w:rPr>
        <w:t>s</w:t>
      </w:r>
      <w:r w:rsidRPr="00AB120E">
        <w:rPr>
          <w:rFonts w:ascii="Palatino Linotype" w:eastAsia="Palatino Linotype" w:hAnsi="Palatino Linotype" w:cs="Palatino Linotype"/>
          <w:sz w:val="22"/>
          <w:szCs w:val="22"/>
        </w:rPr>
        <w:t xml:space="preserve"> de bienes </w:t>
      </w:r>
      <w:r w:rsidR="006604EC" w:rsidRPr="00AB120E">
        <w:rPr>
          <w:rFonts w:ascii="Palatino Linotype" w:eastAsia="Palatino Linotype" w:hAnsi="Palatino Linotype" w:cs="Palatino Linotype"/>
          <w:sz w:val="22"/>
          <w:szCs w:val="22"/>
        </w:rPr>
        <w:t xml:space="preserve">muebles e </w:t>
      </w:r>
      <w:r w:rsidRPr="00AB120E">
        <w:rPr>
          <w:rFonts w:ascii="Palatino Linotype" w:eastAsia="Palatino Linotype" w:hAnsi="Palatino Linotype" w:cs="Palatino Linotype"/>
          <w:sz w:val="22"/>
          <w:szCs w:val="22"/>
        </w:rPr>
        <w:t xml:space="preserve">inmuebles </w:t>
      </w:r>
      <w:r w:rsidR="006604EC" w:rsidRPr="00AB120E">
        <w:rPr>
          <w:rFonts w:ascii="Palatino Linotype" w:eastAsia="Palatino Linotype" w:hAnsi="Palatino Linotype" w:cs="Palatino Linotype"/>
          <w:i/>
          <w:sz w:val="22"/>
          <w:szCs w:val="22"/>
        </w:rPr>
        <w:t>de forma semestral</w:t>
      </w:r>
      <w:r w:rsidR="006604EC" w:rsidRPr="00AB120E">
        <w:rPr>
          <w:rFonts w:ascii="Palatino Linotype" w:eastAsia="Palatino Linotype" w:hAnsi="Palatino Linotype" w:cs="Palatino Linotype"/>
          <w:sz w:val="22"/>
          <w:szCs w:val="22"/>
        </w:rPr>
        <w:t xml:space="preserve">, </w:t>
      </w:r>
      <w:r w:rsidRPr="00AB120E">
        <w:rPr>
          <w:rFonts w:ascii="Palatino Linotype" w:eastAsia="Palatino Linotype" w:hAnsi="Palatino Linotype" w:cs="Palatino Linotype"/>
          <w:sz w:val="22"/>
          <w:szCs w:val="22"/>
        </w:rPr>
        <w:t>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w:t>
      </w:r>
    </w:p>
    <w:p w14:paraId="29E62EC0" w14:textId="77777777" w:rsidR="00936CF1" w:rsidRPr="00AB120E" w:rsidRDefault="00936CF1" w:rsidP="00936CF1">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De conformidad con los Lineamientos del ejercicio 2025, la información que generan los entes fiscalizables de carácter municipal con motivo del inventario de bienes inmuebles se encuentra contenida en el Módulo 4 Información Administrativa, Submódulo Información de Bienes Muebles e Inmuebles, (Plataforma Digital), como se muestra a continuación:</w:t>
      </w:r>
    </w:p>
    <w:p w14:paraId="7E9C3E48" w14:textId="77777777" w:rsidR="00936CF1" w:rsidRPr="00AB120E" w:rsidRDefault="00936CF1" w:rsidP="00936CF1">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lastRenderedPageBreak/>
        <w:drawing>
          <wp:inline distT="0" distB="0" distL="0" distR="0" wp14:anchorId="5B9259AF" wp14:editId="18876A84">
            <wp:extent cx="5612130" cy="2810510"/>
            <wp:effectExtent l="0" t="0" r="0" b="0"/>
            <wp:docPr id="21401318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612130" cy="2810510"/>
                    </a:xfrm>
                    <a:prstGeom prst="rect">
                      <a:avLst/>
                    </a:prstGeom>
                    <a:ln/>
                  </pic:spPr>
                </pic:pic>
              </a:graphicData>
            </a:graphic>
          </wp:inline>
        </w:drawing>
      </w:r>
    </w:p>
    <w:p w14:paraId="4B0E5BBF" w14:textId="77777777" w:rsidR="00936CF1" w:rsidRPr="00AB120E" w:rsidRDefault="00936CF1" w:rsidP="00936CF1">
      <w:pPr>
        <w:spacing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drawing>
          <wp:inline distT="0" distB="0" distL="0" distR="0" wp14:anchorId="1E0DF890" wp14:editId="19055F0B">
            <wp:extent cx="5612130" cy="1713865"/>
            <wp:effectExtent l="0" t="0" r="0" b="0"/>
            <wp:docPr id="21401318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612130" cy="1713865"/>
                    </a:xfrm>
                    <a:prstGeom prst="rect">
                      <a:avLst/>
                    </a:prstGeom>
                    <a:ln/>
                  </pic:spPr>
                </pic:pic>
              </a:graphicData>
            </a:graphic>
          </wp:inline>
        </w:drawing>
      </w:r>
    </w:p>
    <w:p w14:paraId="00E29784" w14:textId="460EA2A3" w:rsidR="00936CF1" w:rsidRPr="00AB120E" w:rsidRDefault="00936CF1" w:rsidP="00936CF1">
      <w:pPr>
        <w:spacing w:line="360" w:lineRule="auto"/>
        <w:jc w:val="both"/>
        <w:rPr>
          <w:rFonts w:ascii="Palatino Linotype" w:eastAsia="Palatino Linotype" w:hAnsi="Palatino Linotype" w:cs="Palatino Linotype"/>
          <w:sz w:val="22"/>
          <w:szCs w:val="22"/>
        </w:rPr>
      </w:pPr>
      <w:r w:rsidRPr="00AB120E">
        <w:rPr>
          <w:rFonts w:ascii="Palatino Linotype" w:hAnsi="Palatino Linotype"/>
          <w:noProof/>
          <w:sz w:val="22"/>
          <w:szCs w:val="22"/>
        </w:rPr>
        <mc:AlternateContent>
          <mc:Choice Requires="wps">
            <w:drawing>
              <wp:anchor distT="0" distB="0" distL="114300" distR="114300" simplePos="0" relativeHeight="251661312" behindDoc="0" locked="0" layoutInCell="1" hidden="0" allowOverlap="1" wp14:anchorId="50A0C898" wp14:editId="6C2D7515">
                <wp:simplePos x="0" y="0"/>
                <wp:positionH relativeFrom="column">
                  <wp:posOffset>501015</wp:posOffset>
                </wp:positionH>
                <wp:positionV relativeFrom="paragraph">
                  <wp:posOffset>19686</wp:posOffset>
                </wp:positionV>
                <wp:extent cx="5095875" cy="1581150"/>
                <wp:effectExtent l="19050" t="19050" r="28575" b="19050"/>
                <wp:wrapNone/>
                <wp:docPr id="2140131844" name="Rectángulo 2140131844"/>
                <wp:cNvGraphicFramePr/>
                <a:graphic xmlns:a="http://schemas.openxmlformats.org/drawingml/2006/main">
                  <a:graphicData uri="http://schemas.microsoft.com/office/word/2010/wordprocessingShape">
                    <wps:wsp>
                      <wps:cNvSpPr/>
                      <wps:spPr>
                        <a:xfrm>
                          <a:off x="0" y="0"/>
                          <a:ext cx="5095875" cy="1581150"/>
                        </a:xfrm>
                        <a:prstGeom prst="rect">
                          <a:avLst/>
                        </a:prstGeom>
                        <a:noFill/>
                        <a:ln w="38100" cap="flat" cmpd="sng">
                          <a:solidFill>
                            <a:srgbClr val="C00000"/>
                          </a:solidFill>
                          <a:prstDash val="solid"/>
                          <a:miter lim="800000"/>
                          <a:headEnd type="none" w="sm" len="sm"/>
                          <a:tailEnd type="none" w="sm" len="sm"/>
                        </a:ln>
                      </wps:spPr>
                      <wps:txbx>
                        <w:txbxContent>
                          <w:p w14:paraId="3CAA885A" w14:textId="77777777" w:rsidR="00936CF1" w:rsidRDefault="00936CF1" w:rsidP="00936CF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0A0C898" id="Rectángulo 2140131844" o:spid="_x0000_s1026" style="position:absolute;left:0;text-align:left;margin-left:39.45pt;margin-top:1.55pt;width:401.25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" filled="f" strokecolor="#c00000" strokeweight="3pt">
                <v:stroke startarrowwidth="narrow" startarrowlength="short" endarrowwidth="narrow" endarrowlength="short"/>
                <v:textbox inset="2.53958mm,2.53958mm,2.53958mm,2.53958mm">
                  <w:txbxContent>
                    <w:p w14:paraId="3CAA885A" w14:textId="77777777" w:rsidR="00936CF1" w:rsidRDefault="00936CF1" w:rsidP="00936CF1">
                      <w:pPr>
                        <w:textDirection w:val="btLr"/>
                      </w:pPr>
                    </w:p>
                  </w:txbxContent>
                </v:textbox>
              </v:rect>
            </w:pict>
          </mc:Fallback>
        </mc:AlternateContent>
      </w:r>
      <w:r w:rsidRPr="00AB120E">
        <w:rPr>
          <w:rFonts w:ascii="Palatino Linotype" w:eastAsia="Palatino Linotype" w:hAnsi="Palatino Linotype" w:cs="Palatino Linotype"/>
          <w:noProof/>
          <w:sz w:val="22"/>
          <w:szCs w:val="22"/>
        </w:rPr>
        <w:drawing>
          <wp:inline distT="0" distB="0" distL="0" distR="0" wp14:anchorId="7E1BDB58" wp14:editId="3A82155E">
            <wp:extent cx="5612130" cy="1917065"/>
            <wp:effectExtent l="0" t="0" r="0" b="0"/>
            <wp:docPr id="21401318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2130" cy="1917065"/>
                    </a:xfrm>
                    <a:prstGeom prst="rect">
                      <a:avLst/>
                    </a:prstGeom>
                    <a:ln/>
                  </pic:spPr>
                </pic:pic>
              </a:graphicData>
            </a:graphic>
          </wp:inline>
        </w:drawing>
      </w:r>
    </w:p>
    <w:p w14:paraId="4A632ADC" w14:textId="29A659A4" w:rsidR="004306A8" w:rsidRPr="00AB120E" w:rsidRDefault="004306A8" w:rsidP="00B03297">
      <w:pPr>
        <w:spacing w:before="240" w:after="240" w:line="360" w:lineRule="auto"/>
        <w:jc w:val="both"/>
        <w:rPr>
          <w:rFonts w:ascii="Palatino Linotype" w:hAnsi="Palatino Linotype"/>
          <w:sz w:val="22"/>
          <w:szCs w:val="22"/>
        </w:rPr>
      </w:pPr>
      <w:r w:rsidRPr="00AB120E">
        <w:rPr>
          <w:rFonts w:ascii="Palatino Linotype" w:eastAsia="Palatino Linotype" w:hAnsi="Palatino Linotype" w:cs="Palatino Linotype"/>
          <w:sz w:val="22"/>
          <w:szCs w:val="22"/>
        </w:rPr>
        <w:t xml:space="preserve">La finalidad del Reporte de Movimientos de Bienes Inmuebles consiste en registrar las adquisiciones y/o bajas de bienes inmuebles realizadas durante el trimestre ordenado, </w:t>
      </w:r>
      <w:r w:rsidRPr="00AB120E">
        <w:rPr>
          <w:rFonts w:ascii="Palatino Linotype" w:eastAsia="Palatino Linotype" w:hAnsi="Palatino Linotype" w:cs="Palatino Linotype"/>
          <w:sz w:val="22"/>
          <w:szCs w:val="22"/>
        </w:rPr>
        <w:lastRenderedPageBreak/>
        <w:t xml:space="preserve">mientras que la finalidad del Reporte de Movimientos de Bienes Muebles consiste en registrar </w:t>
      </w:r>
      <w:r w:rsidRPr="00AB120E">
        <w:rPr>
          <w:rFonts w:ascii="Palatino Linotype" w:hAnsi="Palatino Linotype"/>
          <w:sz w:val="22"/>
          <w:szCs w:val="22"/>
        </w:rPr>
        <w:t>las adquisiciones y/o bajas de bienes muebles realizadas durante el trimestre ord</w:t>
      </w:r>
      <w:r w:rsidR="00B03297" w:rsidRPr="00AB120E">
        <w:rPr>
          <w:rFonts w:ascii="Palatino Linotype" w:hAnsi="Palatino Linotype"/>
          <w:sz w:val="22"/>
          <w:szCs w:val="22"/>
        </w:rPr>
        <w:t>enado progresivamente por fecha, y se presentan a través de los siguientes formatos:</w:t>
      </w:r>
    </w:p>
    <w:p w14:paraId="6DC9BAB2" w14:textId="6B9FF308" w:rsidR="00B03297" w:rsidRPr="00AB120E" w:rsidRDefault="00B03297" w:rsidP="00B03297">
      <w:pPr>
        <w:spacing w:before="240" w:after="240" w:line="360" w:lineRule="auto"/>
        <w:jc w:val="center"/>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drawing>
          <wp:inline distT="0" distB="0" distL="0" distR="0" wp14:anchorId="723B5CCF" wp14:editId="4CFE6A65">
            <wp:extent cx="4320000" cy="2854034"/>
            <wp:effectExtent l="0" t="0" r="444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879"/>
                    <a:stretch/>
                  </pic:blipFill>
                  <pic:spPr bwMode="auto">
                    <a:xfrm>
                      <a:off x="0" y="0"/>
                      <a:ext cx="4320000" cy="2854034"/>
                    </a:xfrm>
                    <a:prstGeom prst="rect">
                      <a:avLst/>
                    </a:prstGeom>
                    <a:ln>
                      <a:noFill/>
                    </a:ln>
                    <a:extLst>
                      <a:ext uri="{53640926-AAD7-44D8-BBD7-CCE9431645EC}">
                        <a14:shadowObscured xmlns:a14="http://schemas.microsoft.com/office/drawing/2010/main"/>
                      </a:ext>
                    </a:extLst>
                  </pic:spPr>
                </pic:pic>
              </a:graphicData>
            </a:graphic>
          </wp:inline>
        </w:drawing>
      </w:r>
    </w:p>
    <w:p w14:paraId="0FCDB72E" w14:textId="13801416" w:rsidR="00B03297" w:rsidRPr="00AB120E" w:rsidRDefault="00B03297" w:rsidP="00B03297">
      <w:pPr>
        <w:spacing w:before="240" w:after="240" w:line="360" w:lineRule="auto"/>
        <w:jc w:val="center"/>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drawing>
          <wp:inline distT="0" distB="0" distL="0" distR="0" wp14:anchorId="338F4E42" wp14:editId="625DC2D4">
            <wp:extent cx="4320000" cy="3089206"/>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3089206"/>
                    </a:xfrm>
                    <a:prstGeom prst="rect">
                      <a:avLst/>
                    </a:prstGeom>
                  </pic:spPr>
                </pic:pic>
              </a:graphicData>
            </a:graphic>
          </wp:inline>
        </w:drawing>
      </w:r>
    </w:p>
    <w:p w14:paraId="0F42DB0C" w14:textId="77777777" w:rsidR="00756ED3" w:rsidRPr="00AB120E" w:rsidRDefault="00756ED3" w:rsidP="00756ED3">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Para el llenado se deben observar las siguientes especificaciones:</w:t>
      </w:r>
    </w:p>
    <w:p w14:paraId="1AE1AB2B" w14:textId="66381C91" w:rsidR="00B03297" w:rsidRPr="00AB120E" w:rsidRDefault="00756ED3" w:rsidP="00936CF1">
      <w:pPr>
        <w:spacing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drawing>
          <wp:inline distT="0" distB="0" distL="0" distR="0" wp14:anchorId="11ACE336" wp14:editId="3F381A4F">
            <wp:extent cx="5612130" cy="506920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5069205"/>
                    </a:xfrm>
                    <a:prstGeom prst="rect">
                      <a:avLst/>
                    </a:prstGeom>
                  </pic:spPr>
                </pic:pic>
              </a:graphicData>
            </a:graphic>
          </wp:inline>
        </w:drawing>
      </w:r>
    </w:p>
    <w:p w14:paraId="5B24F992" w14:textId="40D48174" w:rsidR="00756ED3" w:rsidRPr="00AB120E" w:rsidRDefault="00756ED3" w:rsidP="00936CF1">
      <w:pPr>
        <w:spacing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mc:AlternateContent>
          <mc:Choice Requires="wps">
            <w:drawing>
              <wp:anchor distT="0" distB="0" distL="114300" distR="114300" simplePos="0" relativeHeight="251662336" behindDoc="0" locked="0" layoutInCell="1" allowOverlap="1" wp14:anchorId="33771FCD" wp14:editId="29922DF9">
                <wp:simplePos x="0" y="0"/>
                <wp:positionH relativeFrom="margin">
                  <wp:align>right</wp:align>
                </wp:positionH>
                <wp:positionV relativeFrom="paragraph">
                  <wp:posOffset>48260</wp:posOffset>
                </wp:positionV>
                <wp:extent cx="5505450" cy="185737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5505450" cy="1857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611B72" id="Conector recto 11"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8pt" to="815.8pt,1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" strokecolor="black [3200]" strokeweight="2pt">
                <v:shadow on="t" color="black" opacity="24903f" origin=",.5" offset="0,.55556mm"/>
                <w10:wrap anchorx="margin"/>
              </v:line>
            </w:pict>
          </mc:Fallback>
        </mc:AlternateContent>
      </w:r>
    </w:p>
    <w:p w14:paraId="6656210A" w14:textId="1AF1288E" w:rsidR="00756ED3" w:rsidRPr="00AB120E" w:rsidRDefault="00756ED3" w:rsidP="00936CF1">
      <w:pPr>
        <w:spacing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lastRenderedPageBreak/>
        <w:drawing>
          <wp:inline distT="0" distB="0" distL="0" distR="0" wp14:anchorId="30AD7F51" wp14:editId="4C4DAE4F">
            <wp:extent cx="5612130" cy="457263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572635"/>
                    </a:xfrm>
                    <a:prstGeom prst="rect">
                      <a:avLst/>
                    </a:prstGeom>
                  </pic:spPr>
                </pic:pic>
              </a:graphicData>
            </a:graphic>
          </wp:inline>
        </w:drawing>
      </w:r>
    </w:p>
    <w:p w14:paraId="2C8259A2" w14:textId="59BD60D0" w:rsidR="00756ED3" w:rsidRPr="00AB120E" w:rsidRDefault="00756ED3" w:rsidP="00756ED3">
      <w:pPr>
        <w:spacing w:before="240" w:after="240" w:line="360" w:lineRule="auto"/>
        <w:jc w:val="both"/>
        <w:rPr>
          <w:rFonts w:ascii="Palatino Linotype" w:hAnsi="Palatino Linotype"/>
          <w:sz w:val="22"/>
          <w:szCs w:val="22"/>
        </w:rPr>
      </w:pPr>
      <w:r w:rsidRPr="00AB120E">
        <w:rPr>
          <w:rFonts w:ascii="Palatino Linotype" w:eastAsia="Palatino Linotype" w:hAnsi="Palatino Linotype" w:cs="Palatino Linotype"/>
          <w:sz w:val="22"/>
          <w:szCs w:val="22"/>
        </w:rPr>
        <w:t>Por otro lado, l</w:t>
      </w:r>
      <w:r w:rsidR="00936CF1" w:rsidRPr="00AB120E">
        <w:rPr>
          <w:rFonts w:ascii="Palatino Linotype" w:eastAsia="Palatino Linotype" w:hAnsi="Palatino Linotype" w:cs="Palatino Linotype"/>
          <w:sz w:val="22"/>
          <w:szCs w:val="22"/>
        </w:rPr>
        <w:t xml:space="preserve">a finalidad del Inventario de Bienes Inmuebles consiste en registrar los bienes inmuebles con los que cuenta la entidad municipal, mientras que la finalidad del Inventario de Bienes Muebles consiste en registrar los bienes muebles con los </w:t>
      </w:r>
      <w:r w:rsidRPr="00AB120E">
        <w:rPr>
          <w:rFonts w:ascii="Palatino Linotype" w:eastAsia="Palatino Linotype" w:hAnsi="Palatino Linotype" w:cs="Palatino Linotype"/>
          <w:sz w:val="22"/>
          <w:szCs w:val="22"/>
        </w:rPr>
        <w:t xml:space="preserve">que cuenta la entidad municipal, </w:t>
      </w:r>
      <w:r w:rsidRPr="00AB120E">
        <w:rPr>
          <w:rFonts w:ascii="Palatino Linotype" w:hAnsi="Palatino Linotype"/>
          <w:sz w:val="22"/>
          <w:szCs w:val="22"/>
        </w:rPr>
        <w:t>y se presentan a través de los siguientes formatos:</w:t>
      </w:r>
    </w:p>
    <w:p w14:paraId="6129FAB9" w14:textId="5137F762" w:rsidR="00936CF1" w:rsidRPr="00AB120E" w:rsidRDefault="00756ED3" w:rsidP="00936CF1">
      <w:pPr>
        <w:spacing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mc:AlternateContent>
          <mc:Choice Requires="wps">
            <w:drawing>
              <wp:anchor distT="0" distB="0" distL="114300" distR="114300" simplePos="0" relativeHeight="251664384" behindDoc="0" locked="0" layoutInCell="1" allowOverlap="1" wp14:anchorId="371F581A" wp14:editId="14A12EB0">
                <wp:simplePos x="0" y="0"/>
                <wp:positionH relativeFrom="margin">
                  <wp:align>right</wp:align>
                </wp:positionH>
                <wp:positionV relativeFrom="paragraph">
                  <wp:posOffset>52070</wp:posOffset>
                </wp:positionV>
                <wp:extent cx="5514975" cy="1323975"/>
                <wp:effectExtent l="38100" t="38100" r="66675" b="85725"/>
                <wp:wrapNone/>
                <wp:docPr id="12" name="Conector recto 12"/>
                <wp:cNvGraphicFramePr/>
                <a:graphic xmlns:a="http://schemas.openxmlformats.org/drawingml/2006/main">
                  <a:graphicData uri="http://schemas.microsoft.com/office/word/2010/wordprocessingShape">
                    <wps:wsp>
                      <wps:cNvCnPr/>
                      <wps:spPr>
                        <a:xfrm>
                          <a:off x="0" y="0"/>
                          <a:ext cx="5514975" cy="1323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5D476" id="Conector recto 12"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4.1pt" to="817.3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" strokecolor="black [3200]" strokeweight="2pt">
                <v:shadow on="t" color="black" opacity="24903f" origin=",.5" offset="0,.55556mm"/>
                <w10:wrap anchorx="margin"/>
              </v:line>
            </w:pict>
          </mc:Fallback>
        </mc:AlternateContent>
      </w:r>
    </w:p>
    <w:p w14:paraId="75A52999" w14:textId="77777777" w:rsidR="00936CF1" w:rsidRPr="00AB120E" w:rsidRDefault="00936CF1" w:rsidP="00936CF1">
      <w:pPr>
        <w:spacing w:before="240" w:line="360" w:lineRule="auto"/>
        <w:ind w:right="49"/>
        <w:jc w:val="center"/>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lastRenderedPageBreak/>
        <w:drawing>
          <wp:inline distT="0" distB="0" distL="0" distR="0" wp14:anchorId="7941C7D6" wp14:editId="6B9C51A1">
            <wp:extent cx="4500000" cy="2520367"/>
            <wp:effectExtent l="0" t="0" r="0" b="0"/>
            <wp:docPr id="21401318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b="45049"/>
                    <a:stretch>
                      <a:fillRect/>
                    </a:stretch>
                  </pic:blipFill>
                  <pic:spPr>
                    <a:xfrm>
                      <a:off x="0" y="0"/>
                      <a:ext cx="4500000" cy="2520367"/>
                    </a:xfrm>
                    <a:prstGeom prst="rect">
                      <a:avLst/>
                    </a:prstGeom>
                    <a:ln/>
                  </pic:spPr>
                </pic:pic>
              </a:graphicData>
            </a:graphic>
          </wp:inline>
        </w:drawing>
      </w:r>
    </w:p>
    <w:p w14:paraId="74341ECA" w14:textId="07046704" w:rsidR="00936CF1" w:rsidRPr="00AB120E" w:rsidRDefault="00936CF1" w:rsidP="00936CF1">
      <w:pPr>
        <w:spacing w:before="240" w:after="240" w:line="360" w:lineRule="auto"/>
        <w:ind w:right="49"/>
        <w:jc w:val="center"/>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drawing>
          <wp:inline distT="0" distB="0" distL="0" distR="0" wp14:anchorId="3D549F56" wp14:editId="04BB8C67">
            <wp:extent cx="4500000" cy="2720468"/>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0000" cy="2720468"/>
                    </a:xfrm>
                    <a:prstGeom prst="rect">
                      <a:avLst/>
                    </a:prstGeom>
                  </pic:spPr>
                </pic:pic>
              </a:graphicData>
            </a:graphic>
          </wp:inline>
        </w:drawing>
      </w:r>
    </w:p>
    <w:p w14:paraId="0688D1F5" w14:textId="4EF0BE26" w:rsidR="00756ED3" w:rsidRPr="00AB120E" w:rsidRDefault="00756ED3" w:rsidP="00936CF1">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mc:AlternateContent>
          <mc:Choice Requires="wps">
            <w:drawing>
              <wp:anchor distT="0" distB="0" distL="114300" distR="114300" simplePos="0" relativeHeight="251666432" behindDoc="0" locked="0" layoutInCell="1" allowOverlap="1" wp14:anchorId="6B7E0F78" wp14:editId="45380ABC">
                <wp:simplePos x="0" y="0"/>
                <wp:positionH relativeFrom="margin">
                  <wp:align>right</wp:align>
                </wp:positionH>
                <wp:positionV relativeFrom="paragraph">
                  <wp:posOffset>52070</wp:posOffset>
                </wp:positionV>
                <wp:extent cx="5514975" cy="1704975"/>
                <wp:effectExtent l="38100" t="38100" r="66675" b="85725"/>
                <wp:wrapNone/>
                <wp:docPr id="13" name="Conector recto 13"/>
                <wp:cNvGraphicFramePr/>
                <a:graphic xmlns:a="http://schemas.openxmlformats.org/drawingml/2006/main">
                  <a:graphicData uri="http://schemas.microsoft.com/office/word/2010/wordprocessingShape">
                    <wps:wsp>
                      <wps:cNvCnPr/>
                      <wps:spPr>
                        <a:xfrm>
                          <a:off x="0" y="0"/>
                          <a:ext cx="5514975" cy="1704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39B27" id="Conector recto 13"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4.1pt" to="817.3pt,1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" strokecolor="black [3200]" strokeweight="2pt">
                <v:shadow on="t" color="black" opacity="24903f" origin=",.5" offset="0,.55556mm"/>
                <w10:wrap anchorx="margin"/>
              </v:line>
            </w:pict>
          </mc:Fallback>
        </mc:AlternateContent>
      </w:r>
    </w:p>
    <w:p w14:paraId="49EB6A70" w14:textId="565C8223" w:rsidR="00756ED3" w:rsidRPr="00AB120E" w:rsidRDefault="00756ED3" w:rsidP="00936CF1">
      <w:pPr>
        <w:spacing w:before="240" w:after="240" w:line="360" w:lineRule="auto"/>
        <w:ind w:right="49"/>
        <w:jc w:val="both"/>
        <w:rPr>
          <w:rFonts w:ascii="Palatino Linotype" w:eastAsia="Palatino Linotype" w:hAnsi="Palatino Linotype" w:cs="Palatino Linotype"/>
          <w:sz w:val="22"/>
          <w:szCs w:val="22"/>
        </w:rPr>
      </w:pPr>
    </w:p>
    <w:p w14:paraId="675F1AA2" w14:textId="77777777" w:rsidR="00756ED3" w:rsidRPr="00AB120E" w:rsidRDefault="00756ED3" w:rsidP="00936CF1">
      <w:pPr>
        <w:spacing w:before="240" w:after="240" w:line="360" w:lineRule="auto"/>
        <w:ind w:right="49"/>
        <w:jc w:val="both"/>
        <w:rPr>
          <w:rFonts w:ascii="Palatino Linotype" w:eastAsia="Palatino Linotype" w:hAnsi="Palatino Linotype" w:cs="Palatino Linotype"/>
          <w:sz w:val="22"/>
          <w:szCs w:val="22"/>
        </w:rPr>
      </w:pPr>
    </w:p>
    <w:p w14:paraId="468DB1C9" w14:textId="77777777" w:rsidR="00756ED3" w:rsidRPr="00AB120E" w:rsidRDefault="00756ED3" w:rsidP="00936CF1">
      <w:pPr>
        <w:spacing w:before="240" w:after="240" w:line="360" w:lineRule="auto"/>
        <w:ind w:right="49"/>
        <w:jc w:val="both"/>
        <w:rPr>
          <w:rFonts w:ascii="Palatino Linotype" w:eastAsia="Palatino Linotype" w:hAnsi="Palatino Linotype" w:cs="Palatino Linotype"/>
          <w:sz w:val="22"/>
          <w:szCs w:val="22"/>
        </w:rPr>
      </w:pPr>
    </w:p>
    <w:p w14:paraId="5C39B782" w14:textId="0E8E26CB" w:rsidR="00936CF1" w:rsidRPr="00AB120E" w:rsidRDefault="00936CF1" w:rsidP="00936CF1">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Para el llenado se deben observar las siguientes especificaciones:</w:t>
      </w:r>
    </w:p>
    <w:p w14:paraId="2D41E9D8" w14:textId="2C2E7C41" w:rsidR="00936CF1" w:rsidRPr="00AB120E" w:rsidRDefault="00936CF1" w:rsidP="00936CF1">
      <w:pPr>
        <w:spacing w:line="360" w:lineRule="auto"/>
        <w:jc w:val="center"/>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drawing>
          <wp:inline distT="0" distB="0" distL="0" distR="0" wp14:anchorId="66F4751D" wp14:editId="4B3DBB77">
            <wp:extent cx="5220000" cy="5284379"/>
            <wp:effectExtent l="0" t="0" r="0" b="0"/>
            <wp:docPr id="21401318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220000" cy="5284379"/>
                    </a:xfrm>
                    <a:prstGeom prst="rect">
                      <a:avLst/>
                    </a:prstGeom>
                    <a:ln/>
                  </pic:spPr>
                </pic:pic>
              </a:graphicData>
            </a:graphic>
          </wp:inline>
        </w:drawing>
      </w:r>
    </w:p>
    <w:p w14:paraId="54B4C15C" w14:textId="0E61A687" w:rsidR="00936CF1" w:rsidRPr="00AB120E" w:rsidRDefault="00936CF1" w:rsidP="00936CF1">
      <w:pPr>
        <w:spacing w:line="360" w:lineRule="auto"/>
        <w:jc w:val="center"/>
        <w:rPr>
          <w:rFonts w:ascii="Palatino Linotype" w:eastAsia="Palatino Linotype" w:hAnsi="Palatino Linotype" w:cs="Palatino Linotype"/>
          <w:sz w:val="22"/>
          <w:szCs w:val="22"/>
        </w:rPr>
      </w:pPr>
      <w:r w:rsidRPr="00AB120E">
        <w:rPr>
          <w:rFonts w:ascii="Palatino Linotype" w:eastAsia="Palatino Linotype" w:hAnsi="Palatino Linotype" w:cs="Palatino Linotype"/>
          <w:noProof/>
          <w:sz w:val="22"/>
          <w:szCs w:val="22"/>
        </w:rPr>
        <w:drawing>
          <wp:inline distT="0" distB="0" distL="0" distR="0" wp14:anchorId="4B9A2DE5" wp14:editId="74DF89DF">
            <wp:extent cx="5220000" cy="1017653"/>
            <wp:effectExtent l="0" t="0" r="0" b="0"/>
            <wp:docPr id="21401318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220000" cy="1017653"/>
                    </a:xfrm>
                    <a:prstGeom prst="rect">
                      <a:avLst/>
                    </a:prstGeom>
                    <a:ln/>
                  </pic:spPr>
                </pic:pic>
              </a:graphicData>
            </a:graphic>
          </wp:inline>
        </w:drawing>
      </w:r>
    </w:p>
    <w:p w14:paraId="533E4582" w14:textId="77777777" w:rsidR="00936CF1" w:rsidRPr="00AB120E" w:rsidRDefault="00936CF1" w:rsidP="00936CF1">
      <w:pPr>
        <w:spacing w:before="240" w:after="240" w:line="360" w:lineRule="auto"/>
        <w:jc w:val="both"/>
        <w:rPr>
          <w:rFonts w:ascii="Palatino Linotype" w:eastAsia="Palatino Linotype" w:hAnsi="Palatino Linotype" w:cs="Palatino Linotype"/>
          <w:sz w:val="22"/>
          <w:szCs w:val="22"/>
        </w:rPr>
      </w:pPr>
    </w:p>
    <w:p w14:paraId="55BB1A51" w14:textId="77777777" w:rsidR="00936CF1" w:rsidRPr="00AB120E" w:rsidRDefault="00936CF1" w:rsidP="00936CF1">
      <w:pPr>
        <w:spacing w:before="240" w:after="240" w:line="360" w:lineRule="auto"/>
        <w:jc w:val="center"/>
        <w:rPr>
          <w:rFonts w:ascii="Palatino Linotype" w:eastAsia="Palatino Linotype" w:hAnsi="Palatino Linotype" w:cs="Palatino Linotype"/>
          <w:sz w:val="22"/>
          <w:szCs w:val="22"/>
        </w:rPr>
      </w:pPr>
      <w:r w:rsidRPr="00AB120E">
        <w:rPr>
          <w:rFonts w:ascii="Palatino Linotype" w:hAnsi="Palatino Linotype"/>
          <w:noProof/>
          <w:sz w:val="22"/>
          <w:szCs w:val="22"/>
        </w:rPr>
        <w:lastRenderedPageBreak/>
        <w:drawing>
          <wp:inline distT="0" distB="0" distL="0" distR="0" wp14:anchorId="6838CF37" wp14:editId="66726737">
            <wp:extent cx="5220000" cy="4855578"/>
            <wp:effectExtent l="0" t="0" r="0" b="2540"/>
            <wp:docPr id="1161129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29378" name=""/>
                    <pic:cNvPicPr/>
                  </pic:nvPicPr>
                  <pic:blipFill>
                    <a:blip r:embed="rId24"/>
                    <a:stretch>
                      <a:fillRect/>
                    </a:stretch>
                  </pic:blipFill>
                  <pic:spPr>
                    <a:xfrm>
                      <a:off x="0" y="0"/>
                      <a:ext cx="5220000" cy="4855578"/>
                    </a:xfrm>
                    <a:prstGeom prst="rect">
                      <a:avLst/>
                    </a:prstGeom>
                  </pic:spPr>
                </pic:pic>
              </a:graphicData>
            </a:graphic>
          </wp:inline>
        </w:drawing>
      </w:r>
    </w:p>
    <w:p w14:paraId="356AC19C" w14:textId="7D876674" w:rsidR="00936CF1" w:rsidRPr="00AB120E" w:rsidRDefault="00936CF1" w:rsidP="00936CF1">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Con base en lo anterior, se estima que</w:t>
      </w:r>
      <w:r w:rsidR="009105D0" w:rsidRPr="00AB120E">
        <w:rPr>
          <w:rFonts w:ascii="Palatino Linotype" w:eastAsia="Palatino Linotype" w:hAnsi="Palatino Linotype" w:cs="Palatino Linotype"/>
          <w:sz w:val="22"/>
          <w:szCs w:val="22"/>
        </w:rPr>
        <w:t xml:space="preserve"> a través d</w:t>
      </w:r>
      <w:r w:rsidRPr="00AB120E">
        <w:rPr>
          <w:rFonts w:ascii="Palatino Linotype" w:eastAsia="Palatino Linotype" w:hAnsi="Palatino Linotype" w:cs="Palatino Linotype"/>
          <w:sz w:val="22"/>
          <w:szCs w:val="22"/>
        </w:rPr>
        <w:t>e</w:t>
      </w:r>
      <w:r w:rsidR="003B4D06" w:rsidRPr="00AB120E">
        <w:rPr>
          <w:rFonts w:ascii="Palatino Linotype" w:eastAsia="Palatino Linotype" w:hAnsi="Palatino Linotype" w:cs="Palatino Linotype"/>
          <w:sz w:val="22"/>
          <w:szCs w:val="22"/>
        </w:rPr>
        <w:t xml:space="preserve"> </w:t>
      </w:r>
      <w:r w:rsidRPr="00AB120E">
        <w:rPr>
          <w:rFonts w:ascii="Palatino Linotype" w:eastAsia="Palatino Linotype" w:hAnsi="Palatino Linotype" w:cs="Palatino Linotype"/>
          <w:sz w:val="22"/>
          <w:szCs w:val="22"/>
        </w:rPr>
        <w:t>l</w:t>
      </w:r>
      <w:r w:rsidR="003B4D06" w:rsidRPr="00AB120E">
        <w:rPr>
          <w:rFonts w:ascii="Palatino Linotype" w:eastAsia="Palatino Linotype" w:hAnsi="Palatino Linotype" w:cs="Palatino Linotype"/>
          <w:sz w:val="22"/>
          <w:szCs w:val="22"/>
        </w:rPr>
        <w:t>os reportes de movimientos de bienes muebles e inmuebles</w:t>
      </w:r>
      <w:r w:rsidR="00E8604C" w:rsidRPr="00AB120E">
        <w:rPr>
          <w:rFonts w:ascii="Palatino Linotype" w:eastAsia="Palatino Linotype" w:hAnsi="Palatino Linotype" w:cs="Palatino Linotype"/>
          <w:sz w:val="22"/>
          <w:szCs w:val="22"/>
        </w:rPr>
        <w:t xml:space="preserve"> generados al veintisiete de noviembre de dos mil veintitrés, de dos mil veinticuatro y de dos mil veinticinco</w:t>
      </w:r>
      <w:r w:rsidR="003B4D06" w:rsidRPr="00AB120E">
        <w:rPr>
          <w:rFonts w:ascii="Palatino Linotype" w:eastAsia="Palatino Linotype" w:hAnsi="Palatino Linotype" w:cs="Palatino Linotype"/>
          <w:sz w:val="22"/>
          <w:szCs w:val="22"/>
        </w:rPr>
        <w:t>, y los</w:t>
      </w:r>
      <w:r w:rsidRPr="00AB120E">
        <w:rPr>
          <w:rFonts w:ascii="Palatino Linotype" w:eastAsia="Palatino Linotype" w:hAnsi="Palatino Linotype" w:cs="Palatino Linotype"/>
          <w:sz w:val="22"/>
          <w:szCs w:val="22"/>
        </w:rPr>
        <w:t xml:space="preserve"> </w:t>
      </w:r>
      <w:r w:rsidR="009105D0" w:rsidRPr="00AB120E">
        <w:rPr>
          <w:rFonts w:ascii="Palatino Linotype" w:eastAsia="Palatino Linotype" w:hAnsi="Palatino Linotype" w:cs="Palatino Linotype"/>
          <w:sz w:val="22"/>
          <w:szCs w:val="22"/>
        </w:rPr>
        <w:t>inventario</w:t>
      </w:r>
      <w:r w:rsidR="003B4D06" w:rsidRPr="00AB120E">
        <w:rPr>
          <w:rFonts w:ascii="Palatino Linotype" w:eastAsia="Palatino Linotype" w:hAnsi="Palatino Linotype" w:cs="Palatino Linotype"/>
          <w:sz w:val="22"/>
          <w:szCs w:val="22"/>
        </w:rPr>
        <w:t>s</w:t>
      </w:r>
      <w:r w:rsidR="009105D0" w:rsidRPr="00AB120E">
        <w:rPr>
          <w:rFonts w:ascii="Palatino Linotype" w:eastAsia="Palatino Linotype" w:hAnsi="Palatino Linotype" w:cs="Palatino Linotype"/>
          <w:sz w:val="22"/>
          <w:szCs w:val="22"/>
        </w:rPr>
        <w:t xml:space="preserve"> de bienes muebles e inmuebles</w:t>
      </w:r>
      <w:r w:rsidR="003B4D06" w:rsidRPr="00AB120E">
        <w:rPr>
          <w:rFonts w:ascii="Palatino Linotype" w:eastAsia="Palatino Linotype" w:hAnsi="Palatino Linotype" w:cs="Palatino Linotype"/>
          <w:sz w:val="22"/>
          <w:szCs w:val="22"/>
        </w:rPr>
        <w:t xml:space="preserve"> vigentes al veintisiete de noviembre de dos mil veinticinco</w:t>
      </w:r>
      <w:r w:rsidRPr="00AB120E">
        <w:rPr>
          <w:rFonts w:ascii="Palatino Linotype" w:eastAsia="Palatino Linotype" w:hAnsi="Palatino Linotype" w:cs="Palatino Linotype"/>
          <w:sz w:val="22"/>
          <w:szCs w:val="22"/>
        </w:rPr>
        <w:t xml:space="preserve">,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puede dar cumplim</w:t>
      </w:r>
      <w:r w:rsidR="009105D0" w:rsidRPr="00AB120E">
        <w:rPr>
          <w:rFonts w:ascii="Palatino Linotype" w:eastAsia="Palatino Linotype" w:hAnsi="Palatino Linotype" w:cs="Palatino Linotype"/>
          <w:sz w:val="22"/>
          <w:szCs w:val="22"/>
        </w:rPr>
        <w:t>iento a la presente resolución</w:t>
      </w:r>
      <w:r w:rsidR="00F17B75" w:rsidRPr="00AB120E">
        <w:rPr>
          <w:rFonts w:ascii="Palatino Linotype" w:eastAsia="Palatino Linotype" w:hAnsi="Palatino Linotype" w:cs="Palatino Linotype"/>
          <w:sz w:val="22"/>
          <w:szCs w:val="22"/>
        </w:rPr>
        <w:t>, información que deberá proporcionar en versión pública de ser procedente.</w:t>
      </w:r>
    </w:p>
    <w:p w14:paraId="7E33315C" w14:textId="2B01C9E2" w:rsidR="00B40B8A" w:rsidRPr="00AB120E" w:rsidRDefault="00B40B8A" w:rsidP="00B40B8A">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Finalmente, respecto de las manifestaciones realizadas por la parte </w:t>
      </w:r>
      <w:r w:rsidRPr="00AB120E">
        <w:rPr>
          <w:rFonts w:ascii="Palatino Linotype" w:eastAsia="Palatino Linotype" w:hAnsi="Palatino Linotype" w:cs="Palatino Linotype"/>
          <w:b/>
          <w:sz w:val="22"/>
          <w:szCs w:val="22"/>
        </w:rPr>
        <w:t>Recurrente</w:t>
      </w:r>
      <w:r w:rsidRPr="00AB120E">
        <w:rPr>
          <w:rFonts w:ascii="Palatino Linotype" w:eastAsia="Palatino Linotype" w:hAnsi="Palatino Linotype" w:cs="Palatino Linotype"/>
          <w:sz w:val="22"/>
          <w:szCs w:val="22"/>
        </w:rPr>
        <w:t xml:space="preserve"> como razones o motivos de inconformidad, consistentes en “…</w:t>
      </w:r>
      <w:r w:rsidRPr="00AB120E">
        <w:rPr>
          <w:rFonts w:ascii="Palatino Linotype" w:eastAsia="Palatino Linotype" w:hAnsi="Palatino Linotype" w:cs="Palatino Linotype"/>
          <w:i/>
          <w:sz w:val="22"/>
          <w:szCs w:val="22"/>
        </w:rPr>
        <w:t xml:space="preserve">Solicito que, de conformidad con la </w:t>
      </w:r>
      <w:r w:rsidRPr="00AB120E">
        <w:rPr>
          <w:rFonts w:ascii="Palatino Linotype" w:eastAsia="Palatino Linotype" w:hAnsi="Palatino Linotype" w:cs="Palatino Linotype"/>
          <w:i/>
          <w:sz w:val="22"/>
          <w:szCs w:val="22"/>
        </w:rPr>
        <w:lastRenderedPageBreak/>
        <w:t>ley, se impongan las sanciones correspondientes a los funcionarios responsables por incumplimiento de los plazos de respuesta</w:t>
      </w:r>
      <w:r w:rsidRPr="00AB120E">
        <w:rPr>
          <w:rFonts w:ascii="Palatino Linotype" w:eastAsia="Palatino Linotype" w:hAnsi="Palatino Linotype" w:cs="Palatino Linotype"/>
          <w:sz w:val="22"/>
          <w:szCs w:val="22"/>
        </w:rPr>
        <w:t>…” (sic); y derivado que el Recurso de Revisión no es el medio para sancionar, este Organismo Garante sugiere a la persona solicitante, interponer su queja o denuncia ante la autoridad competente.</w:t>
      </w:r>
    </w:p>
    <w:p w14:paraId="5D4B12EC" w14:textId="3A9C2894" w:rsidR="00B40B8A" w:rsidRPr="00AB120E" w:rsidRDefault="00B40B8A" w:rsidP="00B40B8A">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Asimismo, toda  vez que el presente recurso derivó de la omisión por parte del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en proporcionar la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w:t>
      </w:r>
      <w:r w:rsidRPr="00AB120E">
        <w:rPr>
          <w:rFonts w:ascii="Palatino Linotype" w:eastAsia="Palatino Linotype" w:hAnsi="Palatino Linotype" w:cs="Palatino Linotype"/>
          <w:b/>
          <w:sz w:val="22"/>
          <w:szCs w:val="22"/>
        </w:rPr>
        <w:t>Secretaría Técnica del Pleno</w:t>
      </w:r>
      <w:r w:rsidRPr="00AB120E">
        <w:rPr>
          <w:rFonts w:ascii="Palatino Linotype" w:eastAsia="Palatino Linotype" w:hAnsi="Palatino Linotype" w:cs="Palatino Linotype"/>
          <w:sz w:val="22"/>
          <w:szCs w:val="22"/>
        </w:rPr>
        <w:t xml:space="preserve">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 </w:t>
      </w:r>
    </w:p>
    <w:p w14:paraId="2A28C7BC" w14:textId="10DEAC05" w:rsidR="005A75CA" w:rsidRPr="00AB120E" w:rsidRDefault="00E96B90" w:rsidP="00C84A28">
      <w:pPr>
        <w:spacing w:before="240" w:after="240" w:line="360" w:lineRule="auto"/>
        <w:ind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En mérito de todo lo expuesto, ante las razones o motivos de inconformidad hechos valer por la parte</w:t>
      </w:r>
      <w:r w:rsidRPr="00AB120E">
        <w:rPr>
          <w:rFonts w:ascii="Palatino Linotype" w:eastAsia="Palatino Linotype" w:hAnsi="Palatino Linotype" w:cs="Palatino Linotype"/>
          <w:b/>
          <w:sz w:val="22"/>
          <w:szCs w:val="22"/>
        </w:rPr>
        <w:t xml:space="preserve"> Recurrente, </w:t>
      </w:r>
      <w:r w:rsidRPr="00AB120E">
        <w:rPr>
          <w:rFonts w:ascii="Palatino Linotype" w:eastAsia="Palatino Linotype" w:hAnsi="Palatino Linotype" w:cs="Palatino Linotype"/>
          <w:sz w:val="22"/>
          <w:szCs w:val="22"/>
        </w:rPr>
        <w:t xml:space="preserve">este Instituto estima que lo dable es </w:t>
      </w:r>
      <w:r w:rsidRPr="00AB120E">
        <w:rPr>
          <w:rFonts w:ascii="Palatino Linotype" w:eastAsia="Palatino Linotype" w:hAnsi="Palatino Linotype" w:cs="Palatino Linotype"/>
          <w:i/>
          <w:sz w:val="22"/>
          <w:szCs w:val="22"/>
        </w:rPr>
        <w:t>Ordenar</w:t>
      </w:r>
      <w:r w:rsidRPr="00AB120E">
        <w:rPr>
          <w:rFonts w:ascii="Palatino Linotype" w:eastAsia="Palatino Linotype" w:hAnsi="Palatino Linotype" w:cs="Palatino Linotype"/>
          <w:sz w:val="22"/>
          <w:szCs w:val="22"/>
        </w:rPr>
        <w:t xml:space="preserve"> al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atienda la solicitud de acceso a la información en los términos ya precisados.</w:t>
      </w:r>
    </w:p>
    <w:p w14:paraId="06C67EEE" w14:textId="77777777" w:rsidR="00B40B8A" w:rsidRPr="00AB120E" w:rsidRDefault="00B40B8A" w:rsidP="00B40B8A">
      <w:pPr>
        <w:spacing w:before="240" w:after="240" w:line="360" w:lineRule="auto"/>
        <w:ind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b/>
          <w:sz w:val="22"/>
          <w:szCs w:val="22"/>
        </w:rPr>
        <w:t xml:space="preserve">Quinto. Versión Pública. </w:t>
      </w:r>
      <w:r w:rsidRPr="00AB120E">
        <w:rPr>
          <w:rFonts w:ascii="Palatino Linotype" w:eastAsia="Palatino Linotype" w:hAnsi="Palatino Linotype" w:cs="Palatino Linotype"/>
          <w:sz w:val="22"/>
          <w:szCs w:val="22"/>
        </w:rPr>
        <w:t>Como fue debidamente apuntado,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800169A" w14:textId="77777777" w:rsidR="00B40B8A" w:rsidRPr="00AB120E" w:rsidRDefault="00B40B8A" w:rsidP="00B40B8A">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w:t>
      </w:r>
      <w:r w:rsidRPr="00AB120E">
        <w:rPr>
          <w:rFonts w:ascii="Palatino Linotype" w:eastAsia="Palatino Linotype" w:hAnsi="Palatino Linotype" w:cs="Palatino Linotype"/>
          <w:sz w:val="22"/>
          <w:szCs w:val="22"/>
        </w:rPr>
        <w:lastRenderedPageBreak/>
        <w:t>den a conocer aquéllos que garanticen la rendición de cuentas y la transparencia en el ejercicio de las atribuciones que tienen conferidas.</w:t>
      </w:r>
    </w:p>
    <w:p w14:paraId="066FD6E2" w14:textId="77777777" w:rsidR="00B40B8A" w:rsidRPr="00AB120E" w:rsidRDefault="00B40B8A" w:rsidP="00B40B8A">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0B9353C7" w14:textId="77777777" w:rsidR="00B40B8A" w:rsidRPr="00AB120E" w:rsidRDefault="00B40B8A" w:rsidP="00B40B8A">
      <w:pPr>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2E01AB32"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sz w:val="22"/>
          <w:szCs w:val="22"/>
        </w:rPr>
        <w:t> </w:t>
      </w:r>
      <w:r w:rsidRPr="00AB120E">
        <w:rPr>
          <w:rFonts w:ascii="Palatino Linotype" w:eastAsia="Palatino Linotype" w:hAnsi="Palatino Linotype" w:cs="Palatino Linotype"/>
          <w:i/>
          <w:sz w:val="22"/>
          <w:szCs w:val="22"/>
        </w:rPr>
        <w:t>“</w:t>
      </w:r>
      <w:r w:rsidRPr="00AB120E">
        <w:rPr>
          <w:rFonts w:ascii="Palatino Linotype" w:eastAsia="Palatino Linotype" w:hAnsi="Palatino Linotype" w:cs="Palatino Linotype"/>
          <w:b/>
          <w:i/>
          <w:sz w:val="22"/>
          <w:szCs w:val="22"/>
        </w:rPr>
        <w:t>Artículo 3.</w:t>
      </w:r>
      <w:r w:rsidRPr="00AB120E">
        <w:rPr>
          <w:rFonts w:ascii="Palatino Linotype" w:eastAsia="Palatino Linotype" w:hAnsi="Palatino Linotype" w:cs="Palatino Linotype"/>
          <w:i/>
          <w:sz w:val="22"/>
          <w:szCs w:val="22"/>
        </w:rPr>
        <w:t xml:space="preserve"> Para los efectos de la presente Ley se entenderá por:</w:t>
      </w:r>
    </w:p>
    <w:p w14:paraId="111175F5" w14:textId="77777777" w:rsidR="00B40B8A" w:rsidRPr="00AB120E" w:rsidRDefault="00B40B8A" w:rsidP="003B4D06">
      <w:pPr>
        <w:tabs>
          <w:tab w:val="left" w:pos="1276"/>
        </w:tabs>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p>
    <w:p w14:paraId="65E6F4D8" w14:textId="77777777" w:rsidR="00B40B8A" w:rsidRPr="00AB120E" w:rsidRDefault="00B40B8A" w:rsidP="003B4D06">
      <w:pPr>
        <w:tabs>
          <w:tab w:val="left" w:pos="1276"/>
        </w:tabs>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IX. Datos personales</w:t>
      </w:r>
      <w:r w:rsidRPr="00AB120E">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84BEF30" w14:textId="77777777" w:rsidR="00B40B8A" w:rsidRPr="00AB120E" w:rsidRDefault="00B40B8A" w:rsidP="003B4D06">
      <w:pPr>
        <w:tabs>
          <w:tab w:val="left" w:pos="1276"/>
        </w:tabs>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p>
    <w:p w14:paraId="4423F3C8" w14:textId="77777777" w:rsidR="00B40B8A" w:rsidRPr="00AB120E" w:rsidRDefault="00B40B8A" w:rsidP="003B4D06">
      <w:pPr>
        <w:tabs>
          <w:tab w:val="left" w:pos="1276"/>
        </w:tabs>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XX. Información clasificada</w:t>
      </w:r>
      <w:r w:rsidRPr="00AB120E">
        <w:rPr>
          <w:rFonts w:ascii="Palatino Linotype" w:eastAsia="Palatino Linotype" w:hAnsi="Palatino Linotype" w:cs="Palatino Linotype"/>
          <w:i/>
          <w:sz w:val="22"/>
          <w:szCs w:val="22"/>
        </w:rPr>
        <w:t>: Aquella considerada por la presente Ley como reservada o confidencial;</w:t>
      </w:r>
    </w:p>
    <w:p w14:paraId="324C1659" w14:textId="77777777" w:rsidR="00B40B8A" w:rsidRPr="00AB120E" w:rsidRDefault="00B40B8A" w:rsidP="003B4D06">
      <w:pPr>
        <w:tabs>
          <w:tab w:val="left" w:pos="1276"/>
        </w:tabs>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XXI. Información confidencial</w:t>
      </w:r>
      <w:r w:rsidRPr="00AB120E">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C02343E" w14:textId="77777777" w:rsidR="00B40B8A" w:rsidRPr="00AB120E" w:rsidRDefault="00B40B8A" w:rsidP="003B4D06">
      <w:pPr>
        <w:tabs>
          <w:tab w:val="left" w:pos="1276"/>
        </w:tabs>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p>
    <w:p w14:paraId="6B9AF52E" w14:textId="77777777" w:rsidR="00B40B8A" w:rsidRPr="00AB120E" w:rsidRDefault="00B40B8A" w:rsidP="003B4D06">
      <w:pPr>
        <w:tabs>
          <w:tab w:val="left" w:pos="1276"/>
        </w:tabs>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XXXII. Protección de Datos Personales</w:t>
      </w:r>
      <w:r w:rsidRPr="00AB120E">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32BCCA91" w14:textId="77777777" w:rsidR="00B40B8A" w:rsidRPr="00AB120E" w:rsidRDefault="00B40B8A" w:rsidP="003B4D06">
      <w:pPr>
        <w:tabs>
          <w:tab w:val="left" w:pos="1276"/>
        </w:tabs>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p>
    <w:p w14:paraId="0FB3E309" w14:textId="77777777" w:rsidR="00B40B8A" w:rsidRPr="00AB120E" w:rsidRDefault="00B40B8A" w:rsidP="003B4D06">
      <w:pPr>
        <w:tabs>
          <w:tab w:val="left" w:pos="1276"/>
        </w:tabs>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XLV. Versión pública</w:t>
      </w:r>
      <w:r w:rsidRPr="00AB120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3199941"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 Artículo 6</w:t>
      </w:r>
      <w:r w:rsidRPr="00AB120E">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w:t>
      </w:r>
      <w:r w:rsidRPr="00AB120E">
        <w:rPr>
          <w:rFonts w:ascii="Palatino Linotype" w:eastAsia="Palatino Linotype" w:hAnsi="Palatino Linotype" w:cs="Palatino Linotype"/>
          <w:i/>
          <w:sz w:val="22"/>
          <w:szCs w:val="22"/>
        </w:rPr>
        <w:lastRenderedPageBreak/>
        <w:t>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81902F2" w14:textId="77777777" w:rsidR="00B40B8A" w:rsidRPr="00AB120E" w:rsidRDefault="00B40B8A" w:rsidP="00B40B8A">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p>
    <w:p w14:paraId="4292B776" w14:textId="77777777" w:rsidR="00B40B8A" w:rsidRPr="00AB120E" w:rsidRDefault="00B40B8A" w:rsidP="00B40B8A">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Artículo 91.</w:t>
      </w:r>
      <w:r w:rsidRPr="00AB120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AB120E">
        <w:rPr>
          <w:rFonts w:ascii="Palatino Linotype" w:eastAsia="Palatino Linotype" w:hAnsi="Palatino Linotype" w:cs="Palatino Linotype"/>
          <w:i/>
          <w:sz w:val="22"/>
          <w:szCs w:val="22"/>
        </w:rPr>
        <w:br/>
        <w:t>…</w:t>
      </w:r>
    </w:p>
    <w:p w14:paraId="11950785"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Artículo 132.</w:t>
      </w:r>
      <w:r w:rsidRPr="00AB120E">
        <w:rPr>
          <w:rFonts w:ascii="Palatino Linotype" w:eastAsia="Palatino Linotype" w:hAnsi="Palatino Linotype" w:cs="Palatino Linotype"/>
          <w:i/>
          <w:sz w:val="22"/>
          <w:szCs w:val="22"/>
        </w:rPr>
        <w:t xml:space="preserve"> La clasificación de la información se llevará a cabo en el momento en que:</w:t>
      </w:r>
    </w:p>
    <w:p w14:paraId="1D4E45D2"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w:t>
      </w:r>
      <w:r w:rsidRPr="00AB120E">
        <w:rPr>
          <w:rFonts w:ascii="Palatino Linotype" w:eastAsia="Palatino Linotype" w:hAnsi="Palatino Linotype" w:cs="Palatino Linotype"/>
          <w:i/>
          <w:sz w:val="22"/>
          <w:szCs w:val="22"/>
        </w:rPr>
        <w:t>. Se reciba una solicitud de acceso a la información;</w:t>
      </w:r>
    </w:p>
    <w:p w14:paraId="5ED94E39"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II.</w:t>
      </w:r>
      <w:r w:rsidRPr="00AB120E">
        <w:rPr>
          <w:rFonts w:ascii="Palatino Linotype" w:eastAsia="Palatino Linotype" w:hAnsi="Palatino Linotype" w:cs="Palatino Linotype"/>
          <w:i/>
          <w:sz w:val="22"/>
          <w:szCs w:val="22"/>
        </w:rPr>
        <w:t xml:space="preserve"> Se determine mediante resolución de autoridad competente; o</w:t>
      </w:r>
    </w:p>
    <w:p w14:paraId="519ABEBE"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III.</w:t>
      </w:r>
      <w:r w:rsidRPr="00AB120E">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3894574A" w14:textId="77777777" w:rsidR="00B40B8A" w:rsidRPr="00AB120E" w:rsidRDefault="00B40B8A" w:rsidP="00B40B8A">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w:t>
      </w:r>
    </w:p>
    <w:p w14:paraId="2DE58AAD" w14:textId="77777777" w:rsidR="00B40B8A" w:rsidRPr="00AB120E" w:rsidRDefault="00B40B8A" w:rsidP="00B40B8A">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Artículo 137.</w:t>
      </w:r>
      <w:r w:rsidRPr="00AB120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A05CBB0"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 Artículo 143.</w:t>
      </w:r>
      <w:r w:rsidRPr="00AB120E">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2B640BA9"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w:t>
      </w:r>
      <w:r w:rsidRPr="00AB120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8201B60" w14:textId="77777777" w:rsidR="00B40B8A" w:rsidRPr="00AB120E" w:rsidRDefault="00B40B8A" w:rsidP="00B40B8A">
      <w:pPr>
        <w:spacing w:before="240" w:after="240" w:line="360" w:lineRule="auto"/>
        <w:ind w:right="5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w:t>
      </w:r>
      <w:r w:rsidRPr="00AB120E">
        <w:rPr>
          <w:rFonts w:ascii="Palatino Linotype" w:eastAsia="Palatino Linotype" w:hAnsi="Palatino Linotype" w:cs="Palatino Linotype"/>
          <w:sz w:val="22"/>
          <w:szCs w:val="22"/>
        </w:rPr>
        <w:lastRenderedPageBreak/>
        <w:t>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2C70891" w14:textId="77777777" w:rsidR="00B40B8A" w:rsidRPr="00AB120E" w:rsidRDefault="00B40B8A" w:rsidP="00B40B8A">
      <w:pPr>
        <w:spacing w:before="240" w:after="240" w:line="360" w:lineRule="auto"/>
        <w:ind w:right="5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8A08295" w14:textId="77777777" w:rsidR="00B40B8A" w:rsidRPr="00AB120E" w:rsidRDefault="00B40B8A" w:rsidP="00B40B8A">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De esta manera, la información que se ordena pudiera contener, entre otros datos, información de los predios colindantes, es decir, de los predios contiguos o que limitan con determinado bien inmueble; como lo es de manera enunciativa, más no limitativa, el nombre de los propietarios.</w:t>
      </w:r>
    </w:p>
    <w:p w14:paraId="70BE7B26" w14:textId="77777777" w:rsidR="00B40B8A" w:rsidRPr="00AB120E" w:rsidRDefault="00B40B8A" w:rsidP="00B40B8A">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En tal sentido, para el caso de que los documentos mediante los cuales se dará cumplimiento a la presente resolución contengan el nombre de personas físicas identificadas o identificables, en su carácter de propietarias de predios colindantes con bienes inmuebles de las instituciones públicas, así como de los bienes de dominio público, dicho dato deberá ser clasificado como confidencial.</w:t>
      </w:r>
    </w:p>
    <w:p w14:paraId="568745A8" w14:textId="77777777" w:rsidR="00B40B8A" w:rsidRPr="00AB120E" w:rsidRDefault="00B40B8A" w:rsidP="00B40B8A">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Al respecto, es conveniente señalar que el nombre de una persona física, al ser uno de los atributos de la personalidad y la manifestación principal del derecho subjetivo a la identidad, es un dato personal que, por regla general, debe considerarse como un dato confidencial en términos del artículo 143, fracción I de la Ley de Transparencia y Acceso a la Información Pública del Estado de México y Municipios, cuando esta no se desempeña en la función pública, o bien, no celebra actos en el ámbito del derecho público, ya que por </w:t>
      </w:r>
      <w:r w:rsidRPr="00AB120E">
        <w:rPr>
          <w:rFonts w:ascii="Palatino Linotype" w:eastAsia="Palatino Linotype" w:hAnsi="Palatino Linotype" w:cs="Palatino Linotype"/>
          <w:sz w:val="22"/>
          <w:szCs w:val="22"/>
        </w:rPr>
        <w:lastRenderedPageBreak/>
        <w:t>sí solo es un dato que identifica a su titular o lo hace identificable, por lo que con su publicidad se vulneraría su ámbito de privacidad.</w:t>
      </w:r>
    </w:p>
    <w:p w14:paraId="1E882AC1" w14:textId="77777777" w:rsidR="00B40B8A" w:rsidRPr="00AB120E" w:rsidRDefault="00B40B8A" w:rsidP="00B40B8A">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Asimismo, cabe señalar que las medidas y colindancias de los bienes inmuebles, en sí, no corren la misma suerte que el nombre de sus propietarios, toda vez que la finalidad de dichos datos, basados generalmente en los puntos cardinales, consiste únicamente en delimitar el área de determinado predio, esto es, su extensión y límites o linderos, respecto de los predios contiguos o adyacentes al mismo, por lo que no son propiamente datos personales susceptibles de ser clasificados de conformidad con las leyes de la materia.</w:t>
      </w:r>
    </w:p>
    <w:p w14:paraId="587248CE" w14:textId="791A8A16"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Por cuanto hace a las patrullas municipales y equipo de seguridad, se considera que el Ayuntamiento, deberá entregar el acuerdo de clasificación emitido por el Comité de Transparencia, en donde de manera fundada y motivada, a través de una prueba de daño, confirme la clasificación como reservada, en términos del artículo 140, fracción I de la Ley de Transparencia y Acceso a la Información Pública del Estado de México y Municipios, para el caso de que el soporte documental mediante el cual se dará cumplimiento a la presente resolución incluya </w:t>
      </w:r>
      <w:r w:rsidRPr="00AB120E">
        <w:rPr>
          <w:rFonts w:ascii="Palatino Linotype" w:eastAsia="Palatino Linotype" w:hAnsi="Palatino Linotype"/>
          <w:b/>
          <w:sz w:val="22"/>
          <w:szCs w:val="22"/>
          <w:u w:val="single"/>
        </w:rPr>
        <w:t xml:space="preserve">las </w:t>
      </w:r>
      <w:r w:rsidRPr="00AB120E">
        <w:rPr>
          <w:rFonts w:ascii="Palatino Linotype" w:eastAsia="Palatino Linotype" w:hAnsi="Palatino Linotype" w:cs="Palatino Linotype"/>
          <w:b/>
          <w:sz w:val="22"/>
          <w:szCs w:val="22"/>
          <w:u w:val="single"/>
        </w:rPr>
        <w:t>especificaciones técnicas y equipamiento,</w:t>
      </w:r>
      <w:r w:rsidRPr="00AB120E">
        <w:rPr>
          <w:rFonts w:ascii="Palatino Linotype" w:eastAsia="Palatino Linotype" w:hAnsi="Palatino Linotype" w:cs="Palatino Linotype"/>
          <w:sz w:val="22"/>
          <w:szCs w:val="22"/>
        </w:rPr>
        <w:t xml:space="preserve"> a través de la versión pública que entregue.</w:t>
      </w:r>
    </w:p>
    <w:p w14:paraId="3D72D2AA"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Lo anterior, sin perder de vista que la Constitución Política de los Estados Unidos Mexicanos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0348FB59" w14:textId="79089F8B"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Asimismo, es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14:paraId="21DF2FF8"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0A3FFE23" w14:textId="77777777" w:rsidR="002E39F9" w:rsidRPr="00AB120E" w:rsidRDefault="002E39F9" w:rsidP="002E39F9">
      <w:pPr>
        <w:tabs>
          <w:tab w:val="left" w:pos="7938"/>
        </w:tabs>
        <w:ind w:left="851" w:right="900"/>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Pr="00AB120E">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AB120E">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5405424E"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Por todo lo anterior, la reserva de la información implica una clasificación, la cual debe entenderse como el proceso mediante el cual el</w:t>
      </w:r>
      <w:r w:rsidRPr="00AB120E">
        <w:rPr>
          <w:rFonts w:ascii="Palatino Linotype" w:eastAsia="Palatino Linotype" w:hAnsi="Palatino Linotype" w:cs="Palatino Linotype"/>
          <w:b/>
          <w:sz w:val="22"/>
          <w:szCs w:val="22"/>
        </w:rPr>
        <w:t xml:space="preserve"> Sujeto Obligado</w:t>
      </w:r>
      <w:r w:rsidRPr="00AB120E">
        <w:rPr>
          <w:rFonts w:ascii="Palatino Linotype" w:eastAsia="Palatino Linotype" w:hAnsi="Palatino Linotype" w:cs="Palatino Linotype"/>
          <w:sz w:val="22"/>
          <w:szCs w:val="22"/>
        </w:rPr>
        <w:t xml:space="preserve"> determina que la </w:t>
      </w:r>
      <w:r w:rsidRPr="00AB120E">
        <w:rPr>
          <w:rFonts w:ascii="Palatino Linotype" w:eastAsia="Palatino Linotype" w:hAnsi="Palatino Linotype" w:cs="Palatino Linotype"/>
          <w:sz w:val="22"/>
          <w:szCs w:val="22"/>
        </w:rPr>
        <w:lastRenderedPageBreak/>
        <w:t>información en su poder actualiza alguno de los supuestos conforme a las normas aplicables.</w:t>
      </w:r>
    </w:p>
    <w:p w14:paraId="68CD9003"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el</w:t>
      </w:r>
      <w:r w:rsidRPr="00AB120E">
        <w:rPr>
          <w:rFonts w:ascii="Palatino Linotype" w:eastAsia="Palatino Linotype" w:hAnsi="Palatino Linotype" w:cs="Palatino Linotype"/>
          <w:b/>
          <w:sz w:val="22"/>
          <w:szCs w:val="22"/>
        </w:rPr>
        <w:t xml:space="preserve"> Sujeto Obligado</w:t>
      </w:r>
      <w:r w:rsidRPr="00AB120E">
        <w:rPr>
          <w:rFonts w:ascii="Palatino Linotype" w:eastAsia="Palatino Linotype" w:hAnsi="Palatino Linotype" w:cs="Palatino Linotype"/>
          <w:sz w:val="22"/>
          <w:szCs w:val="22"/>
        </w:rPr>
        <w:t xml:space="preserve"> debe, en todo momento, aplicar una prueba de daño.</w:t>
      </w:r>
    </w:p>
    <w:p w14:paraId="311AAF96"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67CEE7EE"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7A47885" w14:textId="77777777" w:rsidR="002E39F9" w:rsidRPr="00AB120E" w:rsidRDefault="002E39F9" w:rsidP="002E39F9">
      <w:pPr>
        <w:numPr>
          <w:ilvl w:val="0"/>
          <w:numId w:val="8"/>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Se reciba una solicitud de acceso a la información;</w:t>
      </w:r>
    </w:p>
    <w:p w14:paraId="4BB03EBD" w14:textId="77777777" w:rsidR="002E39F9" w:rsidRPr="00AB120E" w:rsidRDefault="002E39F9" w:rsidP="002E39F9">
      <w:pPr>
        <w:numPr>
          <w:ilvl w:val="0"/>
          <w:numId w:val="8"/>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Se determine mediante resolución de autoridad competente; y/o</w:t>
      </w:r>
    </w:p>
    <w:p w14:paraId="4363A9E2" w14:textId="77777777" w:rsidR="002E39F9" w:rsidRPr="00AB120E" w:rsidRDefault="002E39F9" w:rsidP="002E39F9">
      <w:pPr>
        <w:numPr>
          <w:ilvl w:val="0"/>
          <w:numId w:val="8"/>
        </w:numPr>
        <w:tabs>
          <w:tab w:val="left" w:pos="709"/>
          <w:tab w:val="left" w:pos="851"/>
        </w:tabs>
        <w:spacing w:before="240" w:after="240" w:line="360" w:lineRule="auto"/>
        <w:ind w:left="284" w:firstLine="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Se generen versiones públicas para dar cumplimiento a las obligaciones de transparencia previstas en la Ley.</w:t>
      </w:r>
    </w:p>
    <w:p w14:paraId="6179190B"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Situación que se robustece con el artículo 141 de la misma Ley, que señala que las causales de reserva previstas, se deberán fundar y motivar, a través de la aplicación de la prueba de daño.</w:t>
      </w:r>
    </w:p>
    <w:p w14:paraId="7DC2A1F2"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2ECBB0C9" w14:textId="77777777" w:rsidR="002E39F9" w:rsidRPr="00AB120E" w:rsidRDefault="002E39F9" w:rsidP="002E39F9">
      <w:pPr>
        <w:numPr>
          <w:ilvl w:val="0"/>
          <w:numId w:val="7"/>
        </w:numPr>
        <w:spacing w:before="240" w:after="240" w:line="360" w:lineRule="auto"/>
        <w:ind w:left="284" w:firstLine="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La divulgación de la información representa un </w:t>
      </w:r>
      <w:r w:rsidRPr="00AB120E">
        <w:rPr>
          <w:rFonts w:ascii="Palatino Linotype" w:eastAsia="Palatino Linotype" w:hAnsi="Palatino Linotype" w:cs="Palatino Linotype"/>
          <w:b/>
          <w:sz w:val="22"/>
          <w:szCs w:val="22"/>
        </w:rPr>
        <w:t>riesgo real, demostrable e identificable del perjuicio significativo al interés público o a la seguridad pública</w:t>
      </w:r>
      <w:r w:rsidRPr="00AB120E">
        <w:rPr>
          <w:rFonts w:ascii="Palatino Linotype" w:eastAsia="Palatino Linotype" w:hAnsi="Palatino Linotype" w:cs="Palatino Linotype"/>
          <w:sz w:val="22"/>
          <w:szCs w:val="22"/>
        </w:rPr>
        <w:t>;</w:t>
      </w:r>
    </w:p>
    <w:p w14:paraId="5749C9D6" w14:textId="77777777" w:rsidR="002E39F9" w:rsidRPr="00AB120E" w:rsidRDefault="002E39F9" w:rsidP="002E39F9">
      <w:pPr>
        <w:numPr>
          <w:ilvl w:val="0"/>
          <w:numId w:val="7"/>
        </w:numPr>
        <w:spacing w:before="240" w:after="240" w:line="360" w:lineRule="auto"/>
        <w:ind w:left="284" w:firstLine="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El riesgo de perjuicio que supondría la divulgación supera el interés público general de que se difunda; y,</w:t>
      </w:r>
    </w:p>
    <w:p w14:paraId="44D10722" w14:textId="77777777" w:rsidR="002E39F9" w:rsidRPr="00AB120E" w:rsidRDefault="002E39F9" w:rsidP="002E39F9">
      <w:pPr>
        <w:numPr>
          <w:ilvl w:val="0"/>
          <w:numId w:val="7"/>
        </w:numPr>
        <w:spacing w:before="240" w:after="240" w:line="360" w:lineRule="auto"/>
        <w:ind w:left="284" w:firstLine="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220B8EE0" w14:textId="77777777" w:rsidR="002E39F9" w:rsidRPr="00AB120E" w:rsidRDefault="002E39F9" w:rsidP="002E39F9">
      <w:pPr>
        <w:widowControl w:val="0"/>
        <w:tabs>
          <w:tab w:val="left" w:pos="1276"/>
          <w:tab w:val="left" w:pos="1701"/>
          <w:tab w:val="left" w:pos="1843"/>
        </w:tabs>
        <w:spacing w:before="240" w:after="240" w:line="360" w:lineRule="auto"/>
        <w:ind w:right="49"/>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3074F3F4" w14:textId="77777777" w:rsidR="002E39F9" w:rsidRPr="00AB120E" w:rsidRDefault="002E39F9" w:rsidP="002E39F9">
      <w:pPr>
        <w:spacing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lastRenderedPageBreak/>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11BFA38C" w14:textId="77777777" w:rsidR="002E39F9" w:rsidRPr="00AB120E" w:rsidRDefault="002E39F9" w:rsidP="002E39F9">
      <w:pPr>
        <w:ind w:left="851" w:right="567"/>
        <w:jc w:val="both"/>
        <w:rPr>
          <w:rFonts w:ascii="Palatino Linotype" w:eastAsia="Palatino Linotype" w:hAnsi="Palatino Linotype" w:cs="Palatino Linotype"/>
          <w:b/>
          <w:i/>
          <w:sz w:val="22"/>
          <w:szCs w:val="22"/>
        </w:rPr>
      </w:pPr>
      <w:r w:rsidRPr="00AB120E">
        <w:rPr>
          <w:rFonts w:ascii="Palatino Linotype" w:eastAsia="Palatino Linotype" w:hAnsi="Palatino Linotype" w:cs="Palatino Linotype"/>
          <w:b/>
          <w:i/>
          <w:sz w:val="22"/>
          <w:szCs w:val="22"/>
        </w:rPr>
        <w:t>“…</w:t>
      </w:r>
    </w:p>
    <w:p w14:paraId="7FF1E568" w14:textId="77777777" w:rsidR="002E39F9" w:rsidRPr="00AB120E" w:rsidRDefault="002E39F9" w:rsidP="002E39F9">
      <w:pPr>
        <w:ind w:left="851" w:right="567"/>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XXIV. Información reservada:</w:t>
      </w:r>
      <w:r w:rsidRPr="00AB120E">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w:t>
      </w:r>
    </w:p>
    <w:p w14:paraId="7DFAC5C8"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w:t>
      </w:r>
      <w:r w:rsidRPr="00AB120E">
        <w:rPr>
          <w:rFonts w:ascii="Palatino Linotype" w:eastAsia="Palatino Linotype" w:hAnsi="Palatino Linotype" w:cs="Palatino Linotype"/>
          <w:b/>
          <w:sz w:val="22"/>
          <w:szCs w:val="22"/>
        </w:rPr>
        <w:t>la obligación de proteger los datos personales contenidos en la información en su poder</w:t>
      </w:r>
      <w:r w:rsidRPr="00AB120E">
        <w:rPr>
          <w:rFonts w:ascii="Palatino Linotype" w:eastAsia="Palatino Linotype" w:hAnsi="Palatino Linotype" w:cs="Palatino Linotype"/>
          <w:sz w:val="22"/>
          <w:szCs w:val="22"/>
        </w:rPr>
        <w:t xml:space="preserve">, así como </w:t>
      </w:r>
      <w:r w:rsidRPr="00AB120E">
        <w:rPr>
          <w:rFonts w:ascii="Palatino Linotype" w:eastAsia="Palatino Linotype" w:hAnsi="Palatino Linotype" w:cs="Palatino Linotype"/>
          <w:b/>
          <w:sz w:val="22"/>
          <w:szCs w:val="22"/>
        </w:rPr>
        <w:t>aquella que recaiga en alguna causal de reserva que señale la Ley</w:t>
      </w:r>
      <w:r w:rsidRPr="00AB120E">
        <w:rPr>
          <w:rFonts w:ascii="Palatino Linotype" w:eastAsia="Palatino Linotype" w:hAnsi="Palatino Linotype" w:cs="Palatino Linotype"/>
          <w:sz w:val="22"/>
          <w:szCs w:val="22"/>
        </w:rPr>
        <w:t>.</w:t>
      </w:r>
    </w:p>
    <w:p w14:paraId="1882855E"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Con base en lo expuesto, se insiste que en la versión pública de los documentos que se ordenan se deben testar aquellos elementos señalados en la presente resolución, en el entendido de que debe ser pública toda la demás información relacionada que no encuadre en los conceptos anteriores.</w:t>
      </w:r>
    </w:p>
    <w:p w14:paraId="6243166D" w14:textId="77777777" w:rsidR="002E39F9" w:rsidRPr="00AB120E" w:rsidRDefault="002E39F9" w:rsidP="002E39F9">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Asimismo, se destaca que la versión pública que elabore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w:t>
      </w:r>
      <w:r w:rsidRPr="00AB120E">
        <w:rPr>
          <w:rFonts w:ascii="Palatino Linotype" w:eastAsia="Palatino Linotype" w:hAnsi="Palatino Linotype" w:cs="Palatino Linotype"/>
          <w:sz w:val="22"/>
          <w:szCs w:val="22"/>
        </w:rPr>
        <w:lastRenderedPageBreak/>
        <w:t>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AB120E">
        <w:rPr>
          <w:rFonts w:ascii="Palatino Linotype" w:eastAsia="Palatino Linotype" w:hAnsi="Palatino Linotype" w:cs="Palatino Linotype"/>
          <w:b/>
          <w:sz w:val="22"/>
          <w:szCs w:val="22"/>
        </w:rPr>
        <w:t>Recurrente</w:t>
      </w:r>
      <w:r w:rsidRPr="00AB120E">
        <w:rPr>
          <w:rFonts w:ascii="Palatino Linotype" w:eastAsia="Palatino Linotype" w:hAnsi="Palatino Linotype" w:cs="Palatino Linotype"/>
          <w:sz w:val="22"/>
          <w:szCs w:val="22"/>
        </w:rPr>
        <w:t>.</w:t>
      </w:r>
    </w:p>
    <w:p w14:paraId="4776E5E9" w14:textId="77777777" w:rsidR="002E39F9" w:rsidRPr="00AB120E" w:rsidRDefault="002E39F9" w:rsidP="00B40B8A">
      <w:pPr>
        <w:spacing w:before="240" w:after="240" w:line="360" w:lineRule="auto"/>
        <w:jc w:val="both"/>
        <w:rPr>
          <w:rFonts w:ascii="Palatino Linotype" w:eastAsia="Palatino Linotype" w:hAnsi="Palatino Linotype" w:cs="Palatino Linotype"/>
          <w:sz w:val="22"/>
          <w:szCs w:val="22"/>
        </w:rPr>
      </w:pPr>
    </w:p>
    <w:p w14:paraId="68DCF717" w14:textId="77777777" w:rsidR="00B40B8A" w:rsidRPr="00AB120E" w:rsidRDefault="00B40B8A" w:rsidP="00B40B8A">
      <w:pPr>
        <w:spacing w:before="240" w:after="240" w:line="360" w:lineRule="auto"/>
        <w:ind w:right="5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0002A6A"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“Artículo 49.</w:t>
      </w:r>
      <w:r w:rsidRPr="00AB120E">
        <w:rPr>
          <w:rFonts w:ascii="Palatino Linotype" w:eastAsia="Palatino Linotype" w:hAnsi="Palatino Linotype" w:cs="Palatino Linotype"/>
          <w:i/>
          <w:sz w:val="22"/>
          <w:szCs w:val="22"/>
        </w:rPr>
        <w:t xml:space="preserve"> </w:t>
      </w:r>
      <w:r w:rsidRPr="00AB120E">
        <w:rPr>
          <w:rFonts w:ascii="Palatino Linotype" w:eastAsia="Palatino Linotype" w:hAnsi="Palatino Linotype" w:cs="Palatino Linotype"/>
          <w:b/>
          <w:i/>
          <w:sz w:val="22"/>
          <w:szCs w:val="22"/>
        </w:rPr>
        <w:t>Los Comités de Transparencia</w:t>
      </w:r>
      <w:r w:rsidRPr="00AB120E">
        <w:rPr>
          <w:rFonts w:ascii="Palatino Linotype" w:eastAsia="Palatino Linotype" w:hAnsi="Palatino Linotype" w:cs="Palatino Linotype"/>
          <w:i/>
          <w:sz w:val="22"/>
          <w:szCs w:val="22"/>
        </w:rPr>
        <w:t xml:space="preserve"> tendrán las siguientes atribuciones:</w:t>
      </w:r>
    </w:p>
    <w:p w14:paraId="2167DE0E"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VIII. Aprobar, modificar o revocar la clasificación de la información</w:t>
      </w:r>
      <w:r w:rsidRPr="00AB120E">
        <w:rPr>
          <w:rFonts w:ascii="Palatino Linotype" w:eastAsia="Palatino Linotype" w:hAnsi="Palatino Linotype" w:cs="Palatino Linotype"/>
          <w:i/>
          <w:sz w:val="22"/>
          <w:szCs w:val="22"/>
        </w:rPr>
        <w:t>…”</w:t>
      </w:r>
    </w:p>
    <w:p w14:paraId="28BE85BF"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Pr="00AB120E">
        <w:rPr>
          <w:rFonts w:ascii="Palatino Linotype" w:eastAsia="Palatino Linotype" w:hAnsi="Palatino Linotype" w:cs="Palatino Linotype"/>
          <w:b/>
          <w:i/>
          <w:sz w:val="22"/>
          <w:szCs w:val="22"/>
        </w:rPr>
        <w:t>Artículo 53.</w:t>
      </w:r>
      <w:r w:rsidRPr="00AB120E">
        <w:rPr>
          <w:rFonts w:ascii="Palatino Linotype" w:eastAsia="Palatino Linotype" w:hAnsi="Palatino Linotype" w:cs="Palatino Linotype"/>
          <w:i/>
          <w:sz w:val="22"/>
          <w:szCs w:val="22"/>
        </w:rPr>
        <w:t xml:space="preserve"> Las </w:t>
      </w:r>
      <w:r w:rsidRPr="00AB120E">
        <w:rPr>
          <w:rFonts w:ascii="Palatino Linotype" w:eastAsia="Palatino Linotype" w:hAnsi="Palatino Linotype" w:cs="Palatino Linotype"/>
          <w:b/>
          <w:i/>
          <w:sz w:val="22"/>
          <w:szCs w:val="22"/>
        </w:rPr>
        <w:t>Unidades de Transparencia</w:t>
      </w:r>
      <w:r w:rsidRPr="00AB120E">
        <w:rPr>
          <w:rFonts w:ascii="Palatino Linotype" w:eastAsia="Palatino Linotype" w:hAnsi="Palatino Linotype" w:cs="Palatino Linotype"/>
          <w:i/>
          <w:sz w:val="22"/>
          <w:szCs w:val="22"/>
        </w:rPr>
        <w:t xml:space="preserve"> tendrán las siguientes </w:t>
      </w:r>
      <w:r w:rsidRPr="00AB120E">
        <w:rPr>
          <w:rFonts w:ascii="Palatino Linotype" w:eastAsia="Palatino Linotype" w:hAnsi="Palatino Linotype" w:cs="Palatino Linotype"/>
          <w:b/>
          <w:i/>
          <w:sz w:val="22"/>
          <w:szCs w:val="22"/>
        </w:rPr>
        <w:t>funciones</w:t>
      </w:r>
      <w:r w:rsidRPr="00AB120E">
        <w:rPr>
          <w:rFonts w:ascii="Palatino Linotype" w:eastAsia="Palatino Linotype" w:hAnsi="Palatino Linotype" w:cs="Palatino Linotype"/>
          <w:i/>
          <w:sz w:val="22"/>
          <w:szCs w:val="22"/>
        </w:rPr>
        <w:t>:</w:t>
      </w:r>
    </w:p>
    <w:p w14:paraId="301DBCAA"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X. Presentar ante el Comité, el proyecto de clasificación de información</w:t>
      </w:r>
      <w:r w:rsidRPr="00AB120E">
        <w:rPr>
          <w:rFonts w:ascii="Palatino Linotype" w:eastAsia="Palatino Linotype" w:hAnsi="Palatino Linotype" w:cs="Palatino Linotype"/>
          <w:i/>
          <w:sz w:val="22"/>
          <w:szCs w:val="22"/>
        </w:rPr>
        <w:t xml:space="preserve">…” </w:t>
      </w:r>
    </w:p>
    <w:p w14:paraId="7FDB9C26"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“Artículo 59.</w:t>
      </w:r>
      <w:r w:rsidRPr="00AB120E">
        <w:rPr>
          <w:rFonts w:ascii="Palatino Linotype" w:eastAsia="Palatino Linotype" w:hAnsi="Palatino Linotype" w:cs="Palatino Linotype"/>
          <w:i/>
          <w:sz w:val="22"/>
          <w:szCs w:val="22"/>
        </w:rPr>
        <w:t xml:space="preserve"> Los </w:t>
      </w:r>
      <w:r w:rsidRPr="00AB120E">
        <w:rPr>
          <w:rFonts w:ascii="Palatino Linotype" w:eastAsia="Palatino Linotype" w:hAnsi="Palatino Linotype" w:cs="Palatino Linotype"/>
          <w:b/>
          <w:i/>
          <w:sz w:val="22"/>
          <w:szCs w:val="22"/>
        </w:rPr>
        <w:t>servidores públicos habilitados</w:t>
      </w:r>
      <w:r w:rsidRPr="00AB120E">
        <w:rPr>
          <w:rFonts w:ascii="Palatino Linotype" w:eastAsia="Palatino Linotype" w:hAnsi="Palatino Linotype" w:cs="Palatino Linotype"/>
          <w:i/>
          <w:sz w:val="22"/>
          <w:szCs w:val="22"/>
        </w:rPr>
        <w:t xml:space="preserve"> tendrán las </w:t>
      </w:r>
      <w:r w:rsidRPr="00AB120E">
        <w:rPr>
          <w:rFonts w:ascii="Palatino Linotype" w:eastAsia="Palatino Linotype" w:hAnsi="Palatino Linotype" w:cs="Palatino Linotype"/>
          <w:b/>
          <w:i/>
          <w:sz w:val="22"/>
          <w:szCs w:val="22"/>
        </w:rPr>
        <w:t>funciones</w:t>
      </w:r>
      <w:r w:rsidRPr="00AB120E">
        <w:rPr>
          <w:rFonts w:ascii="Palatino Linotype" w:eastAsia="Palatino Linotype" w:hAnsi="Palatino Linotype" w:cs="Palatino Linotype"/>
          <w:i/>
          <w:sz w:val="22"/>
          <w:szCs w:val="22"/>
        </w:rPr>
        <w:t xml:space="preserve"> siguientes:</w:t>
      </w:r>
    </w:p>
    <w:p w14:paraId="27024834"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AB120E">
        <w:rPr>
          <w:rFonts w:ascii="Palatino Linotype" w:eastAsia="Palatino Linotype" w:hAnsi="Palatino Linotype" w:cs="Palatino Linotype"/>
          <w:i/>
          <w:sz w:val="22"/>
          <w:szCs w:val="22"/>
        </w:rPr>
        <w:t>, la cual tendrá los fundamentos y argumentos en que se basa dicha propuesta…”</w:t>
      </w:r>
    </w:p>
    <w:p w14:paraId="1D98CA09" w14:textId="77777777" w:rsidR="00B40B8A" w:rsidRPr="00AB120E" w:rsidRDefault="00B40B8A" w:rsidP="00B40B8A">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w:t>
      </w:r>
      <w:r w:rsidRPr="00AB120E">
        <w:rPr>
          <w:rFonts w:ascii="Palatino Linotype" w:eastAsia="Palatino Linotype" w:hAnsi="Palatino Linotype" w:cs="Palatino Linotype"/>
          <w:sz w:val="22"/>
          <w:szCs w:val="22"/>
        </w:rPr>
        <w:lastRenderedPageBreak/>
        <w:t>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98B7844" w14:textId="77777777" w:rsidR="00B40B8A" w:rsidRPr="00AB120E" w:rsidRDefault="00B40B8A" w:rsidP="00B40B8A">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69176A2" w14:textId="77777777" w:rsidR="00B40B8A" w:rsidRPr="00AB120E" w:rsidRDefault="00B40B8A" w:rsidP="00B40B8A">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Pr="00AB120E">
        <w:rPr>
          <w:rFonts w:ascii="Palatino Linotype" w:eastAsia="Palatino Linotype" w:hAnsi="Palatino Linotype" w:cs="Palatino Linotype"/>
          <w:b/>
          <w:i/>
          <w:sz w:val="22"/>
          <w:szCs w:val="22"/>
        </w:rPr>
        <w:t>Artículo 149.</w:t>
      </w:r>
      <w:r w:rsidRPr="00AB120E">
        <w:rPr>
          <w:rFonts w:ascii="Palatino Linotype" w:eastAsia="Palatino Linotype" w:hAnsi="Palatino Linotype" w:cs="Palatino Linotype"/>
          <w:i/>
          <w:sz w:val="22"/>
          <w:szCs w:val="22"/>
        </w:rPr>
        <w:t xml:space="preserve"> El </w:t>
      </w:r>
      <w:r w:rsidRPr="00AB120E">
        <w:rPr>
          <w:rFonts w:ascii="Palatino Linotype" w:eastAsia="Palatino Linotype" w:hAnsi="Palatino Linotype" w:cs="Palatino Linotype"/>
          <w:b/>
          <w:i/>
          <w:sz w:val="22"/>
          <w:szCs w:val="22"/>
        </w:rPr>
        <w:t>acuerdo que clasifique la información como confidencial</w:t>
      </w:r>
      <w:r w:rsidRPr="00AB120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55810BF4" w14:textId="77777777" w:rsidR="00B40B8A" w:rsidRPr="00AB120E" w:rsidRDefault="00B40B8A" w:rsidP="00B40B8A">
      <w:pPr>
        <w:spacing w:before="240" w:after="240" w:line="360" w:lineRule="auto"/>
        <w:ind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Es decir,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52B46715" w14:textId="77777777" w:rsidR="00B40B8A" w:rsidRPr="00AB120E" w:rsidRDefault="00B40B8A" w:rsidP="00B40B8A">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6DE3697E" w14:textId="77777777" w:rsidR="00B40B8A" w:rsidRPr="00AB120E" w:rsidRDefault="00B40B8A" w:rsidP="00B40B8A">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 xml:space="preserve"> “Quincuagésimo. </w:t>
      </w:r>
      <w:r w:rsidRPr="00AB120E">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w:t>
      </w:r>
      <w:r w:rsidRPr="00AB120E">
        <w:rPr>
          <w:rFonts w:ascii="Palatino Linotype" w:eastAsia="Palatino Linotype" w:hAnsi="Palatino Linotype" w:cs="Palatino Linotype"/>
          <w:i/>
          <w:sz w:val="22"/>
          <w:szCs w:val="22"/>
        </w:rPr>
        <w:lastRenderedPageBreak/>
        <w:t xml:space="preserve">públicas de documentos o expedientes, siempre y cuando cumplan lo establecido en los presentes Lineamientos, así como en las correspondientes Leyes Generales. </w:t>
      </w:r>
    </w:p>
    <w:p w14:paraId="4852F0F2"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 xml:space="preserve">Quincuagésimo primero. </w:t>
      </w:r>
      <w:r w:rsidRPr="00AB120E">
        <w:rPr>
          <w:rFonts w:ascii="Palatino Linotype" w:eastAsia="Palatino Linotype" w:hAnsi="Palatino Linotype" w:cs="Palatino Linotype"/>
          <w:i/>
          <w:sz w:val="22"/>
          <w:szCs w:val="22"/>
        </w:rPr>
        <w:t xml:space="preserve">Toda acta del Comité de Transparencia deberá contener: </w:t>
      </w:r>
    </w:p>
    <w:p w14:paraId="30F25C97"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w:t>
      </w:r>
      <w:r w:rsidRPr="00AB120E">
        <w:rPr>
          <w:rFonts w:ascii="Palatino Linotype" w:eastAsia="Palatino Linotype" w:hAnsi="Palatino Linotype" w:cs="Palatino Linotype"/>
          <w:i/>
          <w:sz w:val="22"/>
          <w:szCs w:val="22"/>
        </w:rPr>
        <w:t xml:space="preserve"> El número de sesión y fecha; </w:t>
      </w:r>
    </w:p>
    <w:p w14:paraId="5CD6DD2D"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II</w:t>
      </w:r>
      <w:r w:rsidRPr="00AB120E">
        <w:rPr>
          <w:rFonts w:ascii="Palatino Linotype" w:eastAsia="Palatino Linotype" w:hAnsi="Palatino Linotype" w:cs="Palatino Linotype"/>
          <w:i/>
          <w:sz w:val="22"/>
          <w:szCs w:val="22"/>
        </w:rPr>
        <w:t xml:space="preserve">. El nombre del área que solicitó la clasificación de información; </w:t>
      </w:r>
    </w:p>
    <w:p w14:paraId="39EFFCC3"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III</w:t>
      </w:r>
      <w:r w:rsidRPr="00AB120E">
        <w:rPr>
          <w:rFonts w:ascii="Palatino Linotype" w:eastAsia="Palatino Linotype" w:hAnsi="Palatino Linotype" w:cs="Palatino Linotype"/>
          <w:i/>
          <w:sz w:val="22"/>
          <w:szCs w:val="22"/>
        </w:rPr>
        <w:t xml:space="preserve">. La fundamentación legal y motivación correspondiente; </w:t>
      </w:r>
    </w:p>
    <w:p w14:paraId="46C09084"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IV</w:t>
      </w:r>
      <w:r w:rsidRPr="00AB120E">
        <w:rPr>
          <w:rFonts w:ascii="Palatino Linotype" w:eastAsia="Palatino Linotype" w:hAnsi="Palatino Linotype" w:cs="Palatino Linotype"/>
          <w:i/>
          <w:sz w:val="22"/>
          <w:szCs w:val="22"/>
        </w:rPr>
        <w:t xml:space="preserve">. La resolución o resoluciones aprobadas; y </w:t>
      </w:r>
    </w:p>
    <w:p w14:paraId="64750353"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V</w:t>
      </w:r>
      <w:r w:rsidRPr="00AB120E">
        <w:rPr>
          <w:rFonts w:ascii="Palatino Linotype" w:eastAsia="Palatino Linotype" w:hAnsi="Palatino Linotype" w:cs="Palatino Linotype"/>
          <w:i/>
          <w:sz w:val="22"/>
          <w:szCs w:val="22"/>
        </w:rPr>
        <w:t xml:space="preserve">. La rúbrica o firma digital de cada integrante del Comité de Transparencia. </w:t>
      </w:r>
    </w:p>
    <w:p w14:paraId="780D6C27"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35FB0EAD"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w:t>
      </w:r>
      <w:r w:rsidRPr="00AB120E">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B6EDC15"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AB120E">
        <w:rPr>
          <w:rFonts w:ascii="Palatino Linotype" w:eastAsia="Palatino Linotype" w:hAnsi="Palatino Linotype" w:cs="Palatino Linotype"/>
          <w:b/>
          <w:i/>
          <w:sz w:val="22"/>
          <w:szCs w:val="22"/>
        </w:rPr>
        <w:t>II</w:t>
      </w:r>
      <w:r w:rsidRPr="00AB120E">
        <w:rPr>
          <w:rFonts w:ascii="Palatino Linotype" w:eastAsia="Palatino Linotype" w:hAnsi="Palatino Linotype" w:cs="Palatino Linotype"/>
          <w:i/>
          <w:sz w:val="22"/>
          <w:szCs w:val="22"/>
        </w:rPr>
        <w:t>. Descripción de las partes o secciones reservadas, en caso de clasificación parcial</w:t>
      </w:r>
      <w:r w:rsidRPr="00AB120E">
        <w:rPr>
          <w:rFonts w:ascii="Palatino Linotype" w:eastAsia="Palatino Linotype" w:hAnsi="Palatino Linotype" w:cs="Palatino Linotype"/>
          <w:b/>
          <w:i/>
          <w:sz w:val="22"/>
          <w:szCs w:val="22"/>
        </w:rPr>
        <w:t xml:space="preserve">; </w:t>
      </w:r>
    </w:p>
    <w:p w14:paraId="66FE1EA4"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III.</w:t>
      </w:r>
      <w:r w:rsidRPr="00AB120E">
        <w:rPr>
          <w:rFonts w:ascii="Palatino Linotype" w:eastAsia="Palatino Linotype" w:hAnsi="Palatino Linotype" w:cs="Palatino Linotype"/>
          <w:i/>
          <w:sz w:val="22"/>
          <w:szCs w:val="22"/>
        </w:rPr>
        <w:t xml:space="preserve"> El periodo por el que mantendrá su clasificación y fecha de expiración; y </w:t>
      </w:r>
    </w:p>
    <w:p w14:paraId="3DEA7416"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IV.</w:t>
      </w:r>
      <w:r w:rsidRPr="00AB120E">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66744928"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6276338" w14:textId="77777777" w:rsidR="00B40B8A" w:rsidRPr="00AB120E" w:rsidRDefault="00B40B8A" w:rsidP="003B4D06">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0160D1A" w14:textId="77777777" w:rsidR="00B40B8A" w:rsidRPr="00AB120E" w:rsidRDefault="00B40B8A" w:rsidP="00B40B8A">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690142EF" w14:textId="77777777" w:rsidR="00B40B8A" w:rsidRPr="00AB120E" w:rsidRDefault="00B40B8A" w:rsidP="00B40B8A">
      <w:pPr>
        <w:spacing w:before="120" w:after="120"/>
        <w:ind w:left="851" w:right="900"/>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r w:rsidRPr="00AB120E">
        <w:rPr>
          <w:rFonts w:ascii="Palatino Linotype" w:eastAsia="Palatino Linotype" w:hAnsi="Palatino Linotype" w:cs="Palatino Linotype"/>
          <w:b/>
          <w:i/>
          <w:sz w:val="22"/>
          <w:szCs w:val="22"/>
        </w:rPr>
        <w:t>Quincuagésimo segundo</w:t>
      </w:r>
      <w:r w:rsidRPr="00AB120E">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w:t>
      </w:r>
      <w:r w:rsidRPr="00AB120E">
        <w:rPr>
          <w:rFonts w:ascii="Palatino Linotype" w:eastAsia="Palatino Linotype" w:hAnsi="Palatino Linotype" w:cs="Palatino Linotype"/>
          <w:i/>
          <w:sz w:val="22"/>
          <w:szCs w:val="22"/>
        </w:rPr>
        <w:lastRenderedPageBreak/>
        <w:t>pertinentes tendientes a asegurar que el espacio utilizado para testar la información no podrá ser empleado para la sobreposición de contenido distinto al autorizado por el Comité.</w:t>
      </w:r>
    </w:p>
    <w:p w14:paraId="7071B645" w14:textId="77777777" w:rsidR="00B40B8A" w:rsidRPr="00AB120E" w:rsidRDefault="00B40B8A" w:rsidP="003B4D06">
      <w:pPr>
        <w:spacing w:before="120" w:after="120"/>
        <w:ind w:left="851" w:right="900"/>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556A6EAD" w14:textId="77777777" w:rsidR="00B40B8A" w:rsidRPr="00AB120E" w:rsidRDefault="00B40B8A" w:rsidP="003B4D06">
      <w:pPr>
        <w:spacing w:before="120" w:after="120"/>
        <w:ind w:left="851" w:right="900"/>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w:t>
      </w:r>
      <w:r w:rsidRPr="00AB120E">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F24B531" w14:textId="77777777" w:rsidR="00B40B8A" w:rsidRPr="00AB120E" w:rsidRDefault="00B40B8A" w:rsidP="003B4D06">
      <w:pPr>
        <w:spacing w:before="120" w:after="120"/>
        <w:ind w:left="851" w:right="900"/>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II.</w:t>
      </w:r>
      <w:r w:rsidRPr="00AB120E">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6E480A8A" w14:textId="77777777" w:rsidR="00B40B8A" w:rsidRPr="00AB120E" w:rsidRDefault="00B40B8A" w:rsidP="003B4D06">
      <w:pPr>
        <w:spacing w:before="120" w:after="120"/>
        <w:ind w:left="851" w:right="900"/>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III.</w:t>
      </w:r>
      <w:r w:rsidRPr="00AB120E">
        <w:rPr>
          <w:rFonts w:ascii="Palatino Linotype" w:eastAsia="Palatino Linotype" w:hAnsi="Palatino Linotype" w:cs="Palatino Linotype"/>
          <w:i/>
          <w:sz w:val="22"/>
          <w:szCs w:val="22"/>
        </w:rPr>
        <w:t xml:space="preserve"> Señalar las personas o instancias autorizadas a acceder a la información clasificada.</w:t>
      </w:r>
    </w:p>
    <w:p w14:paraId="5CC94625" w14:textId="77777777" w:rsidR="00B40B8A" w:rsidRPr="00AB120E" w:rsidRDefault="00B40B8A" w:rsidP="003B4D06">
      <w:pPr>
        <w:spacing w:before="120" w:after="120"/>
        <w:ind w:left="851" w:right="900"/>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3094D694" w14:textId="77777777" w:rsidR="00B40B8A" w:rsidRPr="00AB120E" w:rsidRDefault="00B40B8A" w:rsidP="00B40B8A">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w:t>
      </w:r>
    </w:p>
    <w:p w14:paraId="58F8BD23" w14:textId="77777777" w:rsidR="00B40B8A" w:rsidRPr="00AB120E" w:rsidRDefault="00B40B8A" w:rsidP="00B40B8A">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AB120E">
        <w:rPr>
          <w:rFonts w:ascii="Palatino Linotype" w:eastAsia="Palatino Linotype" w:hAnsi="Palatino Linotype" w:cs="Palatino Linotype"/>
          <w:b/>
          <w:i/>
          <w:sz w:val="22"/>
          <w:szCs w:val="22"/>
        </w:rPr>
        <w:t xml:space="preserve">Quincuagésimo cuarto. </w:t>
      </w:r>
      <w:r w:rsidRPr="00AB120E">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AB120E">
        <w:rPr>
          <w:rFonts w:ascii="Palatino Linotype" w:eastAsia="Palatino Linotype" w:hAnsi="Palatino Linotype" w:cs="Palatino Linotype"/>
          <w:b/>
          <w:i/>
          <w:sz w:val="22"/>
          <w:szCs w:val="22"/>
        </w:rPr>
        <w:t xml:space="preserve"> </w:t>
      </w:r>
    </w:p>
    <w:p w14:paraId="597CCB98" w14:textId="77777777" w:rsidR="00B40B8A" w:rsidRPr="00AB120E" w:rsidRDefault="00B40B8A" w:rsidP="00B40B8A">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 xml:space="preserve">Quincuagésimo quinto. </w:t>
      </w:r>
      <w:r w:rsidRPr="00AB120E">
        <w:rPr>
          <w:rFonts w:ascii="Palatino Linotype" w:eastAsia="Palatino Linotype" w:hAnsi="Palatino Linotype" w:cs="Palatino Linotype"/>
          <w:i/>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239B64EE" w14:textId="77777777" w:rsidR="00B40B8A" w:rsidRPr="00AB120E" w:rsidRDefault="00B40B8A" w:rsidP="00B40B8A">
      <w:pPr>
        <w:spacing w:before="120" w:after="120"/>
        <w:ind w:left="851" w:right="902"/>
        <w:jc w:val="both"/>
        <w:rPr>
          <w:rFonts w:ascii="Palatino Linotype" w:eastAsia="Palatino Linotype" w:hAnsi="Palatino Linotype" w:cs="Palatino Linotype"/>
          <w:b/>
          <w:i/>
          <w:sz w:val="22"/>
          <w:szCs w:val="22"/>
        </w:rPr>
      </w:pPr>
      <w:r w:rsidRPr="00AB120E">
        <w:rPr>
          <w:rFonts w:ascii="Palatino Linotype" w:eastAsia="Palatino Linotype" w:hAnsi="Palatino Linotype" w:cs="Palatino Linotype"/>
          <w:b/>
          <w:i/>
          <w:sz w:val="22"/>
          <w:szCs w:val="22"/>
        </w:rPr>
        <w:t>...</w:t>
      </w:r>
    </w:p>
    <w:p w14:paraId="1B7BC8B8"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Quincuagésimo séptimo</w:t>
      </w:r>
      <w:r w:rsidRPr="00AB120E">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6CFEE8B"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w:t>
      </w:r>
      <w:r w:rsidRPr="00AB120E">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1FF3113"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lastRenderedPageBreak/>
        <w:t>II.</w:t>
      </w:r>
      <w:r w:rsidRPr="00AB120E">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60A7301"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III</w:t>
      </w:r>
      <w:r w:rsidRPr="00AB120E">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9EAC3AE"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6E61CDA3" w14:textId="77777777" w:rsidR="00B40B8A" w:rsidRPr="00AB120E" w:rsidRDefault="00B40B8A" w:rsidP="003B4D06">
      <w:pPr>
        <w:spacing w:before="120" w:after="120"/>
        <w:ind w:left="851" w:right="902"/>
        <w:jc w:val="both"/>
        <w:rPr>
          <w:rFonts w:ascii="Palatino Linotype" w:eastAsia="Palatino Linotype" w:hAnsi="Palatino Linotype" w:cs="Palatino Linotype"/>
          <w:i/>
          <w:sz w:val="22"/>
          <w:szCs w:val="22"/>
        </w:rPr>
      </w:pPr>
      <w:r w:rsidRPr="00AB120E">
        <w:rPr>
          <w:rFonts w:ascii="Palatino Linotype" w:eastAsia="Palatino Linotype" w:hAnsi="Palatino Linotype" w:cs="Palatino Linotype"/>
          <w:b/>
          <w:i/>
          <w:sz w:val="22"/>
          <w:szCs w:val="22"/>
        </w:rPr>
        <w:t>Quincuagésimo octavo</w:t>
      </w:r>
      <w:r w:rsidRPr="00AB120E">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D424BB3" w14:textId="0D633A59"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Así, con fundamento en lo prescrito en los artículos 5</w:t>
      </w:r>
      <w:r w:rsidR="00FD0FF9" w:rsidRPr="00AB120E">
        <w:rPr>
          <w:rFonts w:ascii="Palatino Linotype" w:eastAsia="Palatino Linotype" w:hAnsi="Palatino Linotype" w:cs="Palatino Linotype"/>
          <w:sz w:val="22"/>
          <w:szCs w:val="22"/>
        </w:rPr>
        <w:t xml:space="preserve">, </w:t>
      </w:r>
      <w:r w:rsidR="00170F4F" w:rsidRPr="00AB120E">
        <w:rPr>
          <w:rFonts w:ascii="Palatino Linotype" w:eastAsia="Palatino Linotype" w:hAnsi="Palatino Linotype" w:cs="Palatino Linotype"/>
          <w:sz w:val="22"/>
          <w:szCs w:val="22"/>
        </w:rPr>
        <w:t>párrafos cuadragésimo cuarto, cuadragésimo quinto y cuadragésimo sexto, fracciones IV y V de la Constitución Política del Estado Libre y Soberano de México; transitorio Cuarto del Decreto número 198 de la “LXII” Legislatura del Estado de México</w:t>
      </w:r>
      <w:r w:rsidRPr="00AB120E">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635EEE69" w14:textId="77777777" w:rsidR="005A75CA" w:rsidRPr="00AB120E" w:rsidRDefault="00E96B90" w:rsidP="00D7204E">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AB120E">
        <w:rPr>
          <w:rFonts w:ascii="Palatino Linotype" w:eastAsia="Palatino Linotype" w:hAnsi="Palatino Linotype" w:cs="Palatino Linotype"/>
          <w:b/>
          <w:sz w:val="22"/>
          <w:szCs w:val="22"/>
        </w:rPr>
        <w:t>III. R E S U E L V E</w:t>
      </w:r>
    </w:p>
    <w:p w14:paraId="4BED30EC" w14:textId="77777777" w:rsidR="005A75CA" w:rsidRPr="00AB120E" w:rsidRDefault="00E96B90" w:rsidP="00D7204E">
      <w:pPr>
        <w:spacing w:before="240" w:after="240" w:line="360" w:lineRule="auto"/>
        <w:ind w:right="49"/>
        <w:jc w:val="both"/>
        <w:rPr>
          <w:rFonts w:ascii="Palatino Linotype" w:eastAsia="Palatino Linotype" w:hAnsi="Palatino Linotype" w:cs="Palatino Linotype"/>
          <w:sz w:val="22"/>
          <w:szCs w:val="22"/>
        </w:rPr>
      </w:pPr>
      <w:bookmarkStart w:id="8" w:name="_heading=h.1t3h5sf" w:colFirst="0" w:colLast="0"/>
      <w:bookmarkEnd w:id="8"/>
      <w:r w:rsidRPr="00AB120E">
        <w:rPr>
          <w:rFonts w:ascii="Palatino Linotype" w:eastAsia="Palatino Linotype" w:hAnsi="Palatino Linotype" w:cs="Palatino Linotype"/>
          <w:b/>
          <w:sz w:val="22"/>
          <w:szCs w:val="22"/>
        </w:rPr>
        <w:t xml:space="preserve">Primero. </w:t>
      </w:r>
      <w:r w:rsidRPr="00AB120E">
        <w:rPr>
          <w:rFonts w:ascii="Palatino Linotype" w:eastAsia="Palatino Linotype" w:hAnsi="Palatino Linotype" w:cs="Palatino Linotype"/>
          <w:sz w:val="22"/>
          <w:szCs w:val="22"/>
        </w:rPr>
        <w:t xml:space="preserve">Resultan </w:t>
      </w:r>
      <w:r w:rsidRPr="00AB120E">
        <w:rPr>
          <w:rFonts w:ascii="Palatino Linotype" w:eastAsia="Palatino Linotype" w:hAnsi="Palatino Linotype" w:cs="Palatino Linotype"/>
          <w:b/>
          <w:sz w:val="22"/>
          <w:szCs w:val="22"/>
        </w:rPr>
        <w:t>fundados</w:t>
      </w:r>
      <w:r w:rsidRPr="00AB120E">
        <w:rPr>
          <w:rFonts w:ascii="Palatino Linotype" w:eastAsia="Palatino Linotype" w:hAnsi="Palatino Linotype" w:cs="Palatino Linotype"/>
          <w:sz w:val="22"/>
          <w:szCs w:val="22"/>
        </w:rPr>
        <w:t xml:space="preserve"> los motivos de inconformidad de la parte </w:t>
      </w:r>
      <w:r w:rsidRPr="00AB120E">
        <w:rPr>
          <w:rFonts w:ascii="Palatino Linotype" w:eastAsia="Palatino Linotype" w:hAnsi="Palatino Linotype" w:cs="Palatino Linotype"/>
          <w:b/>
          <w:sz w:val="22"/>
          <w:szCs w:val="22"/>
        </w:rPr>
        <w:t>Recurrente</w:t>
      </w:r>
      <w:r w:rsidRPr="00AB120E">
        <w:rPr>
          <w:rFonts w:ascii="Palatino Linotype" w:eastAsia="Palatino Linotype" w:hAnsi="Palatino Linotype" w:cs="Palatino Linotype"/>
          <w:sz w:val="22"/>
          <w:szCs w:val="22"/>
        </w:rPr>
        <w:t xml:space="preserve">, en términos del Considerando </w:t>
      </w:r>
      <w:r w:rsidRPr="00AB120E">
        <w:rPr>
          <w:rFonts w:ascii="Palatino Linotype" w:eastAsia="Palatino Linotype" w:hAnsi="Palatino Linotype" w:cs="Palatino Linotype"/>
          <w:b/>
          <w:sz w:val="22"/>
          <w:szCs w:val="22"/>
        </w:rPr>
        <w:t>Cuarto</w:t>
      </w:r>
      <w:r w:rsidRPr="00AB120E">
        <w:rPr>
          <w:rFonts w:ascii="Palatino Linotype" w:eastAsia="Palatino Linotype" w:hAnsi="Palatino Linotype" w:cs="Palatino Linotype"/>
          <w:sz w:val="22"/>
          <w:szCs w:val="22"/>
        </w:rPr>
        <w:t xml:space="preserve"> de la presente resolución.</w:t>
      </w:r>
    </w:p>
    <w:p w14:paraId="657AB476" w14:textId="572F1BCD"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b/>
          <w:sz w:val="22"/>
          <w:szCs w:val="22"/>
        </w:rPr>
        <w:t xml:space="preserve">Segundo. </w:t>
      </w:r>
      <w:r w:rsidRPr="00AB120E">
        <w:rPr>
          <w:rFonts w:ascii="Palatino Linotype" w:eastAsia="Palatino Linotype" w:hAnsi="Palatino Linotype" w:cs="Palatino Linotype"/>
          <w:sz w:val="22"/>
          <w:szCs w:val="22"/>
        </w:rPr>
        <w:t>Se</w:t>
      </w:r>
      <w:r w:rsidRPr="00AB120E">
        <w:rPr>
          <w:rFonts w:ascii="Palatino Linotype" w:eastAsia="Palatino Linotype" w:hAnsi="Palatino Linotype" w:cs="Palatino Linotype"/>
          <w:b/>
          <w:sz w:val="22"/>
          <w:szCs w:val="22"/>
        </w:rPr>
        <w:t xml:space="preserve"> Ordena </w:t>
      </w:r>
      <w:r w:rsidRPr="00AB120E">
        <w:rPr>
          <w:rFonts w:ascii="Palatino Linotype" w:eastAsia="Palatino Linotype" w:hAnsi="Palatino Linotype" w:cs="Palatino Linotype"/>
          <w:sz w:val="22"/>
          <w:szCs w:val="22"/>
        </w:rPr>
        <w:t xml:space="preserve">al </w:t>
      </w:r>
      <w:r w:rsidRPr="00AB120E">
        <w:rPr>
          <w:rFonts w:ascii="Palatino Linotype" w:eastAsia="Palatino Linotype" w:hAnsi="Palatino Linotype" w:cs="Palatino Linotype"/>
          <w:b/>
          <w:sz w:val="22"/>
          <w:szCs w:val="22"/>
        </w:rPr>
        <w:t xml:space="preserve">Sujeto Obligado </w:t>
      </w:r>
      <w:r w:rsidRPr="00AB120E">
        <w:rPr>
          <w:rFonts w:ascii="Palatino Linotype" w:eastAsia="Palatino Linotype" w:hAnsi="Palatino Linotype" w:cs="Palatino Linotype"/>
          <w:sz w:val="22"/>
          <w:szCs w:val="22"/>
        </w:rPr>
        <w:t>dé trámite a la solicitud de acceso a la información pública</w:t>
      </w:r>
      <w:r w:rsidR="00205B67" w:rsidRPr="00AB120E">
        <w:rPr>
          <w:rFonts w:ascii="Palatino Linotype" w:eastAsia="Palatino Linotype" w:hAnsi="Palatino Linotype" w:cs="Palatino Linotype"/>
          <w:sz w:val="22"/>
          <w:szCs w:val="22"/>
        </w:rPr>
        <w:t xml:space="preserve"> </w:t>
      </w:r>
      <w:r w:rsidR="00B40B8A" w:rsidRPr="00AB120E">
        <w:rPr>
          <w:rFonts w:ascii="Palatino Linotype" w:eastAsia="Palatino Linotype" w:hAnsi="Palatino Linotype" w:cs="Palatino Linotype"/>
          <w:b/>
          <w:sz w:val="22"/>
          <w:szCs w:val="22"/>
        </w:rPr>
        <w:t>01396/TEPOTZOT/IP/2025</w:t>
      </w:r>
      <w:r w:rsidRPr="00AB120E">
        <w:rPr>
          <w:rFonts w:ascii="Palatino Linotype" w:eastAsia="Palatino Linotype" w:hAnsi="Palatino Linotype" w:cs="Palatino Linotype"/>
          <w:b/>
          <w:sz w:val="22"/>
          <w:szCs w:val="22"/>
        </w:rPr>
        <w:t xml:space="preserve">, </w:t>
      </w:r>
      <w:r w:rsidRPr="00AB120E">
        <w:rPr>
          <w:rFonts w:ascii="Palatino Linotype" w:eastAsia="Palatino Linotype" w:hAnsi="Palatino Linotype" w:cs="Palatino Linotype"/>
          <w:sz w:val="22"/>
          <w:szCs w:val="22"/>
        </w:rPr>
        <w:t xml:space="preserve">que dio origen al recurso de revisión </w:t>
      </w:r>
      <w:r w:rsidR="00B40B8A" w:rsidRPr="00AB120E">
        <w:rPr>
          <w:rFonts w:ascii="Palatino Linotype" w:eastAsia="Palatino Linotype" w:hAnsi="Palatino Linotype" w:cs="Palatino Linotype"/>
          <w:b/>
          <w:sz w:val="22"/>
          <w:szCs w:val="22"/>
        </w:rPr>
        <w:t>00034/INFOEM/IP/RR/2026</w:t>
      </w:r>
      <w:r w:rsidRPr="00AB120E">
        <w:rPr>
          <w:rFonts w:ascii="Palatino Linotype" w:eastAsia="Palatino Linotype" w:hAnsi="Palatino Linotype" w:cs="Palatino Linotype"/>
          <w:sz w:val="22"/>
          <w:szCs w:val="22"/>
        </w:rPr>
        <w:t>,</w:t>
      </w:r>
      <w:r w:rsidRPr="00AB120E">
        <w:rPr>
          <w:rFonts w:ascii="Palatino Linotype" w:eastAsia="Palatino Linotype" w:hAnsi="Palatino Linotype" w:cs="Palatino Linotype"/>
          <w:b/>
          <w:sz w:val="22"/>
          <w:szCs w:val="22"/>
        </w:rPr>
        <w:t xml:space="preserve"> </w:t>
      </w:r>
      <w:r w:rsidRPr="00AB120E">
        <w:rPr>
          <w:rFonts w:ascii="Palatino Linotype" w:eastAsia="Palatino Linotype" w:hAnsi="Palatino Linotype" w:cs="Palatino Linotype"/>
          <w:sz w:val="22"/>
          <w:szCs w:val="22"/>
        </w:rPr>
        <w:t>y</w:t>
      </w:r>
      <w:r w:rsidRPr="00AB120E">
        <w:rPr>
          <w:rFonts w:ascii="Palatino Linotype" w:eastAsia="Palatino Linotype" w:hAnsi="Palatino Linotype" w:cs="Palatino Linotype"/>
          <w:b/>
          <w:sz w:val="22"/>
          <w:szCs w:val="22"/>
        </w:rPr>
        <w:t xml:space="preserve"> </w:t>
      </w:r>
      <w:r w:rsidRPr="00AB120E">
        <w:rPr>
          <w:rFonts w:ascii="Palatino Linotype" w:eastAsia="Palatino Linotype" w:hAnsi="Palatino Linotype" w:cs="Palatino Linotype"/>
          <w:sz w:val="22"/>
          <w:szCs w:val="22"/>
        </w:rPr>
        <w:t>en términos de los Considerandos</w:t>
      </w:r>
      <w:r w:rsidRPr="00AB120E">
        <w:rPr>
          <w:rFonts w:ascii="Palatino Linotype" w:eastAsia="Palatino Linotype" w:hAnsi="Palatino Linotype" w:cs="Palatino Linotype"/>
          <w:b/>
          <w:sz w:val="22"/>
          <w:szCs w:val="22"/>
        </w:rPr>
        <w:t xml:space="preserve"> Cuarto </w:t>
      </w:r>
      <w:r w:rsidRPr="00AB120E">
        <w:rPr>
          <w:rFonts w:ascii="Palatino Linotype" w:eastAsia="Palatino Linotype" w:hAnsi="Palatino Linotype" w:cs="Palatino Linotype"/>
          <w:sz w:val="22"/>
          <w:szCs w:val="22"/>
        </w:rPr>
        <w:t xml:space="preserve">y </w:t>
      </w:r>
      <w:r w:rsidRPr="00AB120E">
        <w:rPr>
          <w:rFonts w:ascii="Palatino Linotype" w:eastAsia="Palatino Linotype" w:hAnsi="Palatino Linotype" w:cs="Palatino Linotype"/>
          <w:b/>
          <w:sz w:val="22"/>
          <w:szCs w:val="22"/>
        </w:rPr>
        <w:t>Quinto</w:t>
      </w:r>
      <w:r w:rsidRPr="00AB120E">
        <w:rPr>
          <w:rFonts w:ascii="Palatino Linotype" w:eastAsia="Palatino Linotype" w:hAnsi="Palatino Linotype" w:cs="Palatino Linotype"/>
          <w:sz w:val="22"/>
          <w:szCs w:val="22"/>
        </w:rPr>
        <w:t xml:space="preserve"> de esta resolución, haga entrega, vía </w:t>
      </w:r>
      <w:r w:rsidRPr="00AB120E">
        <w:rPr>
          <w:rFonts w:ascii="Palatino Linotype" w:eastAsia="Palatino Linotype" w:hAnsi="Palatino Linotype" w:cs="Palatino Linotype"/>
          <w:b/>
          <w:sz w:val="22"/>
          <w:szCs w:val="22"/>
        </w:rPr>
        <w:t>SAIMEX</w:t>
      </w:r>
      <w:r w:rsidRPr="00AB120E">
        <w:rPr>
          <w:rFonts w:ascii="Palatino Linotype" w:eastAsia="Palatino Linotype" w:hAnsi="Palatino Linotype" w:cs="Palatino Linotype"/>
          <w:sz w:val="22"/>
          <w:szCs w:val="22"/>
        </w:rPr>
        <w:t>,</w:t>
      </w:r>
      <w:r w:rsidR="009474F2" w:rsidRPr="00AB120E">
        <w:rPr>
          <w:rFonts w:ascii="Palatino Linotype" w:eastAsia="Palatino Linotype" w:hAnsi="Palatino Linotype" w:cs="Palatino Linotype"/>
          <w:sz w:val="22"/>
          <w:szCs w:val="22"/>
        </w:rPr>
        <w:t xml:space="preserve"> previa búsqueda exhaustiva y razonable, en versión pública de ser procedente, de</w:t>
      </w:r>
      <w:r w:rsidRPr="00AB120E">
        <w:rPr>
          <w:rFonts w:ascii="Palatino Linotype" w:eastAsia="Palatino Linotype" w:hAnsi="Palatino Linotype" w:cs="Palatino Linotype"/>
          <w:sz w:val="22"/>
          <w:szCs w:val="22"/>
        </w:rPr>
        <w:t xml:space="preserve"> lo siguiente:</w:t>
      </w:r>
      <w:r w:rsidR="009474F2" w:rsidRPr="00AB120E">
        <w:rPr>
          <w:rFonts w:ascii="Palatino Linotype" w:eastAsia="Palatino Linotype" w:hAnsi="Palatino Linotype" w:cs="Palatino Linotype"/>
          <w:sz w:val="22"/>
          <w:szCs w:val="22"/>
        </w:rPr>
        <w:t xml:space="preserve"> </w:t>
      </w:r>
    </w:p>
    <w:p w14:paraId="6A621A6C" w14:textId="1882D0D4" w:rsidR="003B4D06" w:rsidRPr="00AB120E" w:rsidRDefault="003B4D06" w:rsidP="00913064">
      <w:pPr>
        <w:pStyle w:val="Prrafodelista"/>
        <w:numPr>
          <w:ilvl w:val="0"/>
          <w:numId w:val="5"/>
        </w:numPr>
        <w:tabs>
          <w:tab w:val="left" w:pos="567"/>
        </w:tabs>
        <w:spacing w:before="240" w:after="240" w:line="360" w:lineRule="auto"/>
        <w:ind w:left="284" w:right="49" w:firstLine="0"/>
        <w:contextualSpacing w:val="0"/>
        <w:jc w:val="both"/>
        <w:rPr>
          <w:rFonts w:ascii="Palatino Linotype" w:eastAsia="Palatino Linotype" w:hAnsi="Palatino Linotype" w:cs="Palatino Linotype"/>
          <w:sz w:val="22"/>
          <w:szCs w:val="22"/>
        </w:rPr>
      </w:pPr>
      <w:bookmarkStart w:id="9" w:name="_heading=h.hnzxsch5gysz" w:colFirst="0" w:colLast="0"/>
      <w:bookmarkEnd w:id="9"/>
      <w:r w:rsidRPr="00AB120E">
        <w:rPr>
          <w:rFonts w:ascii="Palatino Linotype" w:eastAsia="Palatino Linotype" w:hAnsi="Palatino Linotype" w:cs="Palatino Linotype"/>
          <w:sz w:val="22"/>
          <w:szCs w:val="22"/>
        </w:rPr>
        <w:lastRenderedPageBreak/>
        <w:t xml:space="preserve">El reporte de movimientos de bienes muebles e inmuebles </w:t>
      </w:r>
      <w:r w:rsidR="00CA3847" w:rsidRPr="00AB120E">
        <w:rPr>
          <w:rFonts w:ascii="Palatino Linotype" w:eastAsia="Palatino Linotype" w:hAnsi="Palatino Linotype" w:cs="Palatino Linotype"/>
          <w:sz w:val="22"/>
          <w:szCs w:val="22"/>
        </w:rPr>
        <w:t>generados al veintisiete de noviembre de dos mil veinticinco.</w:t>
      </w:r>
    </w:p>
    <w:p w14:paraId="3E7BEEE0" w14:textId="52519C98" w:rsidR="00FC649F" w:rsidRPr="00AB120E" w:rsidRDefault="00B40B8A" w:rsidP="00913064">
      <w:pPr>
        <w:pStyle w:val="Prrafodelista"/>
        <w:numPr>
          <w:ilvl w:val="0"/>
          <w:numId w:val="5"/>
        </w:numPr>
        <w:tabs>
          <w:tab w:val="left" w:pos="567"/>
        </w:tabs>
        <w:spacing w:before="240" w:after="240" w:line="360" w:lineRule="auto"/>
        <w:ind w:left="284" w:right="49" w:firstLine="0"/>
        <w:contextualSpacing w:val="0"/>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sz w:val="22"/>
          <w:szCs w:val="22"/>
        </w:rPr>
        <w:t xml:space="preserve">El inventario de bienes muebles e inmuebles </w:t>
      </w:r>
      <w:r w:rsidR="00FC649F" w:rsidRPr="00AB120E">
        <w:rPr>
          <w:rFonts w:ascii="Palatino Linotype" w:eastAsia="Palatino Linotype" w:hAnsi="Palatino Linotype" w:cs="Palatino Linotype"/>
          <w:sz w:val="22"/>
          <w:szCs w:val="22"/>
        </w:rPr>
        <w:t>vigente al veintisiete de noviembre de dos mil veinticinco</w:t>
      </w:r>
      <w:r w:rsidR="00C84A28" w:rsidRPr="00AB120E">
        <w:rPr>
          <w:rFonts w:ascii="Palatino Linotype" w:eastAsia="Palatino Linotype" w:hAnsi="Palatino Linotype" w:cs="Palatino Linotype"/>
          <w:sz w:val="22"/>
          <w:szCs w:val="22"/>
        </w:rPr>
        <w:t>.</w:t>
      </w:r>
    </w:p>
    <w:p w14:paraId="0001342D" w14:textId="77777777" w:rsidR="00FD0FF9" w:rsidRPr="00AB120E" w:rsidRDefault="00FD0FF9" w:rsidP="00FD0FF9">
      <w:pPr>
        <w:spacing w:before="120" w:after="120"/>
        <w:ind w:left="284"/>
        <w:jc w:val="both"/>
        <w:rPr>
          <w:rFonts w:ascii="Palatino Linotype" w:eastAsia="Palatino Linotype" w:hAnsi="Palatino Linotype" w:cs="Palatino Linotype"/>
          <w:i/>
          <w:sz w:val="20"/>
          <w:szCs w:val="22"/>
        </w:rPr>
      </w:pPr>
      <w:r w:rsidRPr="00AB120E">
        <w:rPr>
          <w:rFonts w:ascii="Palatino Linotype" w:eastAsia="Palatino Linotype" w:hAnsi="Palatino Linotype" w:cs="Palatino Linotype"/>
          <w:i/>
          <w:sz w:val="20"/>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o de los documentos clasificados en su totalidad,  y se ponga a disposición de la parte </w:t>
      </w:r>
      <w:r w:rsidRPr="00AB120E">
        <w:rPr>
          <w:rFonts w:ascii="Palatino Linotype" w:eastAsia="Palatino Linotype" w:hAnsi="Palatino Linotype" w:cs="Palatino Linotype"/>
          <w:b/>
          <w:i/>
          <w:sz w:val="20"/>
          <w:szCs w:val="22"/>
        </w:rPr>
        <w:t>Recurrente</w:t>
      </w:r>
      <w:r w:rsidRPr="00AB120E">
        <w:rPr>
          <w:rFonts w:ascii="Palatino Linotype" w:eastAsia="Palatino Linotype" w:hAnsi="Palatino Linotype" w:cs="Palatino Linotype"/>
          <w:i/>
          <w:sz w:val="20"/>
          <w:szCs w:val="22"/>
        </w:rPr>
        <w:t>, en términos de los artículos 49, fracción VIII, de la Ley de Transparencia y Acceso a la Información Pública del Estado de México y Municipios.</w:t>
      </w:r>
    </w:p>
    <w:p w14:paraId="5DEC3C58"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b/>
          <w:sz w:val="22"/>
          <w:szCs w:val="22"/>
        </w:rPr>
        <w:t xml:space="preserve">Tercero. Notifíquese, </w:t>
      </w:r>
      <w:r w:rsidRPr="00AB120E">
        <w:rPr>
          <w:rFonts w:ascii="Palatino Linotype" w:eastAsia="Palatino Linotype" w:hAnsi="Palatino Linotype" w:cs="Palatino Linotype"/>
          <w:sz w:val="22"/>
          <w:szCs w:val="22"/>
        </w:rPr>
        <w:t xml:space="preserve">vía </w:t>
      </w:r>
      <w:r w:rsidRPr="00AB120E">
        <w:rPr>
          <w:rFonts w:ascii="Palatino Linotype" w:eastAsia="Palatino Linotype" w:hAnsi="Palatino Linotype" w:cs="Palatino Linotype"/>
          <w:b/>
          <w:sz w:val="22"/>
          <w:szCs w:val="22"/>
        </w:rPr>
        <w:t>SAIMEX</w:t>
      </w:r>
      <w:r w:rsidRPr="00AB120E">
        <w:rPr>
          <w:rFonts w:ascii="Palatino Linotype" w:eastAsia="Palatino Linotype" w:hAnsi="Palatino Linotype" w:cs="Palatino Linotype"/>
          <w:sz w:val="22"/>
          <w:szCs w:val="22"/>
        </w:rPr>
        <w:t xml:space="preserve">, al Titular de la Unidad de Transparencia del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AD3F62D"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bookmarkStart w:id="10" w:name="_heading=h.ot3qq6vxa08f" w:colFirst="0" w:colLast="0"/>
      <w:bookmarkEnd w:id="10"/>
      <w:r w:rsidRPr="00AB120E">
        <w:rPr>
          <w:rFonts w:ascii="Palatino Linotype" w:eastAsia="Palatino Linotype" w:hAnsi="Palatino Linotype" w:cs="Palatino Linotype"/>
          <w:b/>
          <w:sz w:val="22"/>
          <w:szCs w:val="22"/>
        </w:rPr>
        <w:t xml:space="preserve">Cuarto.  Notifíquese, </w:t>
      </w:r>
      <w:r w:rsidRPr="00AB120E">
        <w:rPr>
          <w:rFonts w:ascii="Palatino Linotype" w:eastAsia="Palatino Linotype" w:hAnsi="Palatino Linotype" w:cs="Palatino Linotype"/>
          <w:sz w:val="22"/>
          <w:szCs w:val="22"/>
        </w:rPr>
        <w:t xml:space="preserve">vía </w:t>
      </w:r>
      <w:r w:rsidRPr="00AB120E">
        <w:rPr>
          <w:rFonts w:ascii="Palatino Linotype" w:eastAsia="Palatino Linotype" w:hAnsi="Palatino Linotype" w:cs="Palatino Linotype"/>
          <w:b/>
          <w:sz w:val="22"/>
          <w:szCs w:val="22"/>
        </w:rPr>
        <w:t>SAIMEX</w:t>
      </w:r>
      <w:r w:rsidRPr="00AB120E">
        <w:rPr>
          <w:rFonts w:ascii="Palatino Linotype" w:eastAsia="Palatino Linotype" w:hAnsi="Palatino Linotype" w:cs="Palatino Linotype"/>
          <w:sz w:val="22"/>
          <w:szCs w:val="22"/>
        </w:rPr>
        <w:t xml:space="preserve"> a la parte </w:t>
      </w:r>
      <w:r w:rsidRPr="00AB120E">
        <w:rPr>
          <w:rFonts w:ascii="Palatino Linotype" w:eastAsia="Palatino Linotype" w:hAnsi="Palatino Linotype" w:cs="Palatino Linotype"/>
          <w:b/>
          <w:sz w:val="22"/>
          <w:szCs w:val="22"/>
        </w:rPr>
        <w:t>Recurrente</w:t>
      </w:r>
      <w:r w:rsidRPr="00AB120E">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0980001" w14:textId="77777777" w:rsidR="005A75CA" w:rsidRPr="00AB120E" w:rsidRDefault="00E96B90" w:rsidP="00D7204E">
      <w:pPr>
        <w:spacing w:before="240" w:after="240" w:line="360" w:lineRule="auto"/>
        <w:jc w:val="both"/>
        <w:rPr>
          <w:rFonts w:ascii="Palatino Linotype" w:eastAsia="Palatino Linotype" w:hAnsi="Palatino Linotype" w:cs="Palatino Linotype"/>
          <w:sz w:val="22"/>
          <w:szCs w:val="22"/>
        </w:rPr>
      </w:pPr>
      <w:r w:rsidRPr="00AB120E">
        <w:rPr>
          <w:rFonts w:ascii="Palatino Linotype" w:eastAsia="Palatino Linotype" w:hAnsi="Palatino Linotype" w:cs="Palatino Linotype"/>
          <w:b/>
          <w:sz w:val="22"/>
          <w:szCs w:val="22"/>
        </w:rPr>
        <w:t xml:space="preserve">Quinto. Hágase, </w:t>
      </w:r>
      <w:r w:rsidRPr="00AB120E">
        <w:rPr>
          <w:rFonts w:ascii="Palatino Linotype" w:eastAsia="Palatino Linotype" w:hAnsi="Palatino Linotype" w:cs="Palatino Linotype"/>
          <w:sz w:val="22"/>
          <w:szCs w:val="22"/>
        </w:rPr>
        <w:t xml:space="preserve">de conocimiento de la parte </w:t>
      </w:r>
      <w:r w:rsidRPr="00AB120E">
        <w:rPr>
          <w:rFonts w:ascii="Palatino Linotype" w:eastAsia="Palatino Linotype" w:hAnsi="Palatino Linotype" w:cs="Palatino Linotype"/>
          <w:b/>
          <w:sz w:val="22"/>
          <w:szCs w:val="22"/>
        </w:rPr>
        <w:t xml:space="preserve">Recurrente, </w:t>
      </w:r>
      <w:r w:rsidRPr="00AB120E">
        <w:rPr>
          <w:rFonts w:ascii="Palatino Linotype" w:eastAsia="Palatino Linotype" w:hAnsi="Palatino Linotype" w:cs="Palatino Linotype"/>
          <w:sz w:val="22"/>
          <w:szCs w:val="22"/>
        </w:rPr>
        <w:t xml:space="preserve">que la respuesta que dé el </w:t>
      </w:r>
      <w:r w:rsidRPr="00AB120E">
        <w:rPr>
          <w:rFonts w:ascii="Palatino Linotype" w:eastAsia="Palatino Linotype" w:hAnsi="Palatino Linotype" w:cs="Palatino Linotype"/>
          <w:b/>
          <w:sz w:val="22"/>
          <w:szCs w:val="22"/>
        </w:rPr>
        <w:t>Sujeto Obligado</w:t>
      </w:r>
      <w:r w:rsidRPr="00AB120E">
        <w:rPr>
          <w:rFonts w:ascii="Palatino Linotype" w:eastAsia="Palatino Linotype" w:hAnsi="Palatino Linotype" w:cs="Palatino Linotype"/>
          <w:sz w:val="22"/>
          <w:szCs w:val="22"/>
        </w:rPr>
        <w:t xml:space="preserve"> derivada de la presente resolución es susceptible de ser impugnada nuevamente, mediante recurso de revisión, ante el Instituto, en términos del artículo 179, último párrafo </w:t>
      </w:r>
      <w:r w:rsidRPr="00AB120E">
        <w:rPr>
          <w:rFonts w:ascii="Palatino Linotype" w:eastAsia="Palatino Linotype" w:hAnsi="Palatino Linotype" w:cs="Palatino Linotype"/>
          <w:sz w:val="22"/>
          <w:szCs w:val="22"/>
        </w:rPr>
        <w:lastRenderedPageBreak/>
        <w:t>de la Ley de Transparencia y Acceso a la Información Pública del Estado de México y Municipios.</w:t>
      </w:r>
    </w:p>
    <w:p w14:paraId="593DE27C" w14:textId="77777777" w:rsidR="002D7C95" w:rsidRPr="00AB120E" w:rsidRDefault="002D7C95" w:rsidP="002D7C95">
      <w:pPr>
        <w:spacing w:line="360" w:lineRule="auto"/>
        <w:jc w:val="both"/>
        <w:rPr>
          <w:rFonts w:ascii="Palatino Linotype" w:eastAsia="Palatino Linotype" w:hAnsi="Palatino Linotype" w:cs="Palatino Linotype"/>
          <w:b/>
          <w:sz w:val="22"/>
          <w:szCs w:val="22"/>
        </w:rPr>
      </w:pPr>
      <w:r w:rsidRPr="00AB120E">
        <w:rPr>
          <w:rFonts w:ascii="Palatino Linotype" w:eastAsia="Palatino Linotype" w:hAnsi="Palatino Linotype" w:cs="Palatino Linotype"/>
          <w:b/>
          <w:sz w:val="22"/>
          <w:szCs w:val="22"/>
        </w:rPr>
        <w:t xml:space="preserve">Sexto. Gírese </w:t>
      </w:r>
      <w:r w:rsidRPr="00AB120E">
        <w:rPr>
          <w:rFonts w:ascii="Palatino Linotype" w:eastAsia="Palatino Linotype" w:hAnsi="Palatino Linotype" w:cs="Palatino Linotype"/>
          <w:sz w:val="22"/>
          <w:szCs w:val="22"/>
        </w:rPr>
        <w:t xml:space="preserve">oficio a la </w:t>
      </w:r>
      <w:r w:rsidRPr="00AB120E">
        <w:rPr>
          <w:rFonts w:ascii="Palatino Linotype" w:eastAsia="Palatino Linotype" w:hAnsi="Palatino Linotype" w:cs="Palatino Linotype"/>
          <w:b/>
          <w:sz w:val="22"/>
          <w:szCs w:val="22"/>
        </w:rPr>
        <w:t>Secretaría Técnica del Pleno</w:t>
      </w:r>
      <w:r w:rsidRPr="00AB120E">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AB120E">
        <w:rPr>
          <w:rFonts w:ascii="Palatino Linotype" w:eastAsia="Palatino Linotype" w:hAnsi="Palatino Linotype" w:cs="Palatino Linotype"/>
          <w:b/>
          <w:sz w:val="22"/>
          <w:szCs w:val="22"/>
        </w:rPr>
        <w:t xml:space="preserve"> </w:t>
      </w:r>
      <w:r w:rsidRPr="00AB120E">
        <w:rPr>
          <w:rFonts w:ascii="Palatino Linotype" w:eastAsia="Palatino Linotype" w:hAnsi="Palatino Linotype" w:cs="Palatino Linotype"/>
          <w:sz w:val="22"/>
          <w:szCs w:val="22"/>
        </w:rPr>
        <w:t>de la presente resolución.</w:t>
      </w:r>
      <w:r w:rsidRPr="00AB120E">
        <w:rPr>
          <w:rFonts w:ascii="Palatino Linotype" w:eastAsia="Palatino Linotype" w:hAnsi="Palatino Linotype" w:cs="Palatino Linotype"/>
          <w:b/>
          <w:sz w:val="22"/>
          <w:szCs w:val="22"/>
        </w:rPr>
        <w:t xml:space="preserve"> </w:t>
      </w:r>
    </w:p>
    <w:p w14:paraId="49BE783D" w14:textId="14378B48" w:rsidR="005A75CA" w:rsidRPr="00AB120E" w:rsidRDefault="00E96B90" w:rsidP="00D7204E">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1" w:name="_heading=h.lnxbz9" w:colFirst="0" w:colLast="0"/>
      <w:bookmarkEnd w:id="11"/>
      <w:r w:rsidRPr="00AB120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43659" w:rsidRPr="00AB120E">
        <w:rPr>
          <w:rFonts w:ascii="Palatino Linotype" w:eastAsia="Palatino Linotype" w:hAnsi="Palatino Linotype" w:cs="Palatino Linotype"/>
          <w:sz w:val="22"/>
          <w:szCs w:val="22"/>
        </w:rPr>
        <w:t xml:space="preserve"> EMITIENDO VOTO PARTICULAR</w:t>
      </w:r>
      <w:r w:rsidRPr="00AB120E">
        <w:rPr>
          <w:rFonts w:ascii="Palatino Linotype" w:eastAsia="Palatino Linotype" w:hAnsi="Palatino Linotype" w:cs="Palatino Linotype"/>
          <w:sz w:val="22"/>
          <w:szCs w:val="22"/>
        </w:rPr>
        <w:t xml:space="preserve"> Y GUADALUPE RAMÍREZ PEÑA,</w:t>
      </w:r>
      <w:r w:rsidR="00743659" w:rsidRPr="00AB120E">
        <w:rPr>
          <w:rFonts w:ascii="Palatino Linotype" w:eastAsia="Palatino Linotype" w:hAnsi="Palatino Linotype" w:cs="Palatino Linotype"/>
          <w:sz w:val="22"/>
          <w:szCs w:val="22"/>
        </w:rPr>
        <w:t xml:space="preserve"> EMITIENDO VOTO PARTICULAR</w:t>
      </w:r>
      <w:r w:rsidRPr="00AB120E">
        <w:rPr>
          <w:rFonts w:ascii="Palatino Linotype" w:eastAsia="Palatino Linotype" w:hAnsi="Palatino Linotype" w:cs="Palatino Linotype"/>
          <w:sz w:val="22"/>
          <w:szCs w:val="22"/>
        </w:rPr>
        <w:t xml:space="preserve"> EN LA </w:t>
      </w:r>
      <w:r w:rsidR="0001490F" w:rsidRPr="00AB120E">
        <w:rPr>
          <w:rFonts w:ascii="Palatino Linotype" w:eastAsia="Palatino Linotype" w:hAnsi="Palatino Linotype" w:cs="Palatino Linotype"/>
          <w:sz w:val="22"/>
          <w:szCs w:val="22"/>
        </w:rPr>
        <w:t>DÉCIMA PRIMERA</w:t>
      </w:r>
      <w:r w:rsidRPr="00AB120E">
        <w:rPr>
          <w:rFonts w:ascii="Palatino Linotype" w:eastAsia="Palatino Linotype" w:hAnsi="Palatino Linotype" w:cs="Palatino Linotype"/>
          <w:sz w:val="22"/>
          <w:szCs w:val="22"/>
        </w:rPr>
        <w:t xml:space="preserve"> SESIÓN ORDINARIA CELEBRADA EL </w:t>
      </w:r>
      <w:r w:rsidR="0001490F" w:rsidRPr="00AB120E">
        <w:rPr>
          <w:rFonts w:ascii="Palatino Linotype" w:eastAsia="Palatino Linotype" w:hAnsi="Palatino Linotype" w:cs="Palatino Linotype"/>
          <w:sz w:val="22"/>
          <w:szCs w:val="22"/>
        </w:rPr>
        <w:t>VEINTICINCO DE MARZO</w:t>
      </w:r>
      <w:r w:rsidRPr="00AB120E">
        <w:rPr>
          <w:rFonts w:ascii="Palatino Linotype" w:eastAsia="Palatino Linotype" w:hAnsi="Palatino Linotype" w:cs="Palatino Linotype"/>
          <w:sz w:val="22"/>
          <w:szCs w:val="22"/>
        </w:rPr>
        <w:t xml:space="preserve"> DE DOS MIL VEINTI</w:t>
      </w:r>
      <w:r w:rsidR="0001490F" w:rsidRPr="00AB120E">
        <w:rPr>
          <w:rFonts w:ascii="Palatino Linotype" w:eastAsia="Palatino Linotype" w:hAnsi="Palatino Linotype" w:cs="Palatino Linotype"/>
          <w:sz w:val="22"/>
          <w:szCs w:val="22"/>
        </w:rPr>
        <w:t>SÉIS</w:t>
      </w:r>
      <w:r w:rsidRPr="00AB120E">
        <w:rPr>
          <w:rFonts w:ascii="Palatino Linotype" w:eastAsia="Palatino Linotype" w:hAnsi="Palatino Linotype" w:cs="Palatino Linotype"/>
          <w:sz w:val="22"/>
          <w:szCs w:val="22"/>
        </w:rPr>
        <w:t>, ANTE EL SECRETARIO TÉCNICO DEL PLENO ALEXIS TAPIA RAMÍREZ.</w:t>
      </w:r>
    </w:p>
    <w:p w14:paraId="2B17951A"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42BFD139"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53CA5C2F"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153F672B"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3C65AC45"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238EB021"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3407AC65"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256D6055"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701554D9"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7D64FCF8"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2649A4EA"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7248715B"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1CDC395F" w14:textId="77777777" w:rsidR="00033F56" w:rsidRPr="00AB120E" w:rsidRDefault="00033F56" w:rsidP="00D7204E">
      <w:pPr>
        <w:spacing w:line="360" w:lineRule="auto"/>
        <w:jc w:val="both"/>
        <w:rPr>
          <w:rFonts w:ascii="Palatino Linotype" w:eastAsia="Palatino Linotype" w:hAnsi="Palatino Linotype" w:cs="Palatino Linotype"/>
          <w:sz w:val="22"/>
          <w:szCs w:val="22"/>
        </w:rPr>
      </w:pPr>
    </w:p>
    <w:p w14:paraId="4791ACC8" w14:textId="77777777" w:rsidR="00033F56" w:rsidRPr="00AB120E" w:rsidRDefault="00033F56" w:rsidP="00D7204E">
      <w:pPr>
        <w:spacing w:line="360" w:lineRule="auto"/>
        <w:jc w:val="both"/>
        <w:rPr>
          <w:rFonts w:ascii="Palatino Linotype" w:eastAsia="Palatino Linotype" w:hAnsi="Palatino Linotype" w:cs="Palatino Linotype"/>
          <w:sz w:val="22"/>
          <w:szCs w:val="22"/>
        </w:rPr>
      </w:pPr>
    </w:p>
    <w:p w14:paraId="3A9E4222" w14:textId="77777777" w:rsidR="00033F56" w:rsidRPr="00AB120E" w:rsidRDefault="00033F56" w:rsidP="00D7204E">
      <w:pPr>
        <w:spacing w:line="360" w:lineRule="auto"/>
        <w:jc w:val="both"/>
        <w:rPr>
          <w:rFonts w:ascii="Palatino Linotype" w:eastAsia="Palatino Linotype" w:hAnsi="Palatino Linotype" w:cs="Palatino Linotype"/>
          <w:sz w:val="22"/>
          <w:szCs w:val="22"/>
        </w:rPr>
      </w:pPr>
    </w:p>
    <w:p w14:paraId="645BE525" w14:textId="77777777" w:rsidR="00033F56" w:rsidRPr="00AB120E" w:rsidRDefault="00033F56" w:rsidP="00D7204E">
      <w:pPr>
        <w:spacing w:line="360" w:lineRule="auto"/>
        <w:jc w:val="both"/>
        <w:rPr>
          <w:rFonts w:ascii="Palatino Linotype" w:eastAsia="Palatino Linotype" w:hAnsi="Palatino Linotype" w:cs="Palatino Linotype"/>
          <w:sz w:val="22"/>
          <w:szCs w:val="22"/>
        </w:rPr>
      </w:pPr>
    </w:p>
    <w:p w14:paraId="3472B1A1" w14:textId="77777777" w:rsidR="00033F56" w:rsidRPr="00AB120E" w:rsidRDefault="00033F56" w:rsidP="00D7204E">
      <w:pPr>
        <w:spacing w:line="360" w:lineRule="auto"/>
        <w:jc w:val="both"/>
        <w:rPr>
          <w:rFonts w:ascii="Palatino Linotype" w:eastAsia="Palatino Linotype" w:hAnsi="Palatino Linotype" w:cs="Palatino Linotype"/>
          <w:sz w:val="22"/>
          <w:szCs w:val="22"/>
        </w:rPr>
      </w:pPr>
    </w:p>
    <w:p w14:paraId="2F154AA0" w14:textId="77777777" w:rsidR="00033F56" w:rsidRPr="00AB120E" w:rsidRDefault="00033F56" w:rsidP="00D7204E">
      <w:pPr>
        <w:spacing w:line="360" w:lineRule="auto"/>
        <w:jc w:val="both"/>
        <w:rPr>
          <w:rFonts w:ascii="Palatino Linotype" w:eastAsia="Palatino Linotype" w:hAnsi="Palatino Linotype" w:cs="Palatino Linotype"/>
          <w:sz w:val="22"/>
          <w:szCs w:val="22"/>
        </w:rPr>
      </w:pPr>
    </w:p>
    <w:p w14:paraId="5EDCAD7F" w14:textId="77777777" w:rsidR="00033F56" w:rsidRPr="00AB120E" w:rsidRDefault="00033F56" w:rsidP="00D7204E">
      <w:pPr>
        <w:spacing w:line="360" w:lineRule="auto"/>
        <w:jc w:val="both"/>
        <w:rPr>
          <w:rFonts w:ascii="Palatino Linotype" w:eastAsia="Palatino Linotype" w:hAnsi="Palatino Linotype" w:cs="Palatino Linotype"/>
          <w:sz w:val="22"/>
          <w:szCs w:val="22"/>
        </w:rPr>
      </w:pPr>
    </w:p>
    <w:p w14:paraId="52F8C504" w14:textId="77777777" w:rsidR="00033F56" w:rsidRPr="00AB120E" w:rsidRDefault="00033F56" w:rsidP="00D7204E">
      <w:pPr>
        <w:spacing w:line="360" w:lineRule="auto"/>
        <w:jc w:val="both"/>
        <w:rPr>
          <w:rFonts w:ascii="Palatino Linotype" w:eastAsia="Palatino Linotype" w:hAnsi="Palatino Linotype" w:cs="Palatino Linotype"/>
          <w:sz w:val="22"/>
          <w:szCs w:val="22"/>
        </w:rPr>
      </w:pPr>
    </w:p>
    <w:p w14:paraId="2CAB092A" w14:textId="77777777" w:rsidR="00033F56" w:rsidRPr="00AB120E" w:rsidRDefault="00033F56" w:rsidP="00D7204E">
      <w:pPr>
        <w:spacing w:line="360" w:lineRule="auto"/>
        <w:jc w:val="both"/>
        <w:rPr>
          <w:rFonts w:ascii="Palatino Linotype" w:eastAsia="Palatino Linotype" w:hAnsi="Palatino Linotype" w:cs="Palatino Linotype"/>
          <w:sz w:val="22"/>
          <w:szCs w:val="22"/>
        </w:rPr>
      </w:pPr>
    </w:p>
    <w:p w14:paraId="6031B3C8"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6DCAE615"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1BE99916"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6BA2925E" w14:textId="77777777" w:rsidR="005A75CA" w:rsidRPr="00AB120E" w:rsidRDefault="005A75CA" w:rsidP="00D7204E">
      <w:pPr>
        <w:spacing w:line="360" w:lineRule="auto"/>
        <w:jc w:val="both"/>
        <w:rPr>
          <w:rFonts w:ascii="Palatino Linotype" w:eastAsia="Palatino Linotype" w:hAnsi="Palatino Linotype" w:cs="Palatino Linotype"/>
          <w:sz w:val="22"/>
          <w:szCs w:val="22"/>
        </w:rPr>
      </w:pPr>
    </w:p>
    <w:p w14:paraId="17C11245" w14:textId="3D7A6E0A" w:rsidR="005A75CA" w:rsidRPr="00AB120E" w:rsidRDefault="005A75CA" w:rsidP="00D7204E">
      <w:pPr>
        <w:spacing w:line="360" w:lineRule="auto"/>
        <w:jc w:val="both"/>
        <w:rPr>
          <w:rFonts w:ascii="Palatino Linotype" w:eastAsia="Palatino Linotype" w:hAnsi="Palatino Linotype" w:cs="Palatino Linotype"/>
          <w:sz w:val="22"/>
          <w:szCs w:val="22"/>
        </w:rPr>
      </w:pPr>
    </w:p>
    <w:p w14:paraId="56C32FE7" w14:textId="77777777" w:rsidR="002456A1" w:rsidRPr="00AB120E" w:rsidRDefault="002456A1" w:rsidP="00D7204E">
      <w:pPr>
        <w:spacing w:line="360" w:lineRule="auto"/>
        <w:jc w:val="both"/>
        <w:rPr>
          <w:rFonts w:ascii="Palatino Linotype" w:eastAsia="Palatino Linotype" w:hAnsi="Palatino Linotype" w:cs="Palatino Linotype"/>
          <w:sz w:val="22"/>
          <w:szCs w:val="22"/>
        </w:rPr>
      </w:pPr>
    </w:p>
    <w:p w14:paraId="116A91A3" w14:textId="77777777" w:rsidR="00A0077E" w:rsidRPr="00AB120E" w:rsidRDefault="00A0077E">
      <w:pPr>
        <w:spacing w:line="360" w:lineRule="auto"/>
        <w:jc w:val="both"/>
        <w:rPr>
          <w:rFonts w:ascii="Palatino Linotype" w:eastAsia="Palatino Linotype" w:hAnsi="Palatino Linotype" w:cs="Palatino Linotype"/>
          <w:sz w:val="22"/>
          <w:szCs w:val="22"/>
        </w:rPr>
      </w:pPr>
    </w:p>
    <w:sectPr w:rsidR="00A0077E" w:rsidRPr="00AB120E">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F934A" w14:textId="77777777" w:rsidR="00AA069E" w:rsidRDefault="00AA069E">
      <w:r>
        <w:separator/>
      </w:r>
    </w:p>
  </w:endnote>
  <w:endnote w:type="continuationSeparator" w:id="0">
    <w:p w14:paraId="58EE9E2D" w14:textId="77777777" w:rsidR="00AA069E" w:rsidRDefault="00AA0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22F03" w14:textId="77777777" w:rsidR="00F017AA" w:rsidRDefault="00F017A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B1F1E">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B1F1E">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0C3274EA" w14:textId="77777777" w:rsidR="00F017AA" w:rsidRDefault="00F017AA">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83AB2" w14:textId="77777777" w:rsidR="00F017AA" w:rsidRDefault="00F017A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B1F1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B1F1E">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14:paraId="75507642" w14:textId="77777777" w:rsidR="00F017AA" w:rsidRDefault="00F017AA">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BF70A" w14:textId="77777777" w:rsidR="00AA069E" w:rsidRDefault="00AA069E">
      <w:r>
        <w:separator/>
      </w:r>
    </w:p>
  </w:footnote>
  <w:footnote w:type="continuationSeparator" w:id="0">
    <w:p w14:paraId="75531A8B" w14:textId="77777777" w:rsidR="00AA069E" w:rsidRDefault="00AA06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CA3C9" w14:textId="6169BA1A" w:rsidR="00F017AA" w:rsidRDefault="00F017AA">
    <w:pPr>
      <w:rPr>
        <w:rFonts w:ascii="Cambria" w:eastAsia="Cambria" w:hAnsi="Cambria" w:cs="Cambria"/>
        <w:color w:val="000000"/>
      </w:rPr>
    </w:pPr>
  </w:p>
  <w:tbl>
    <w:tblPr>
      <w:tblStyle w:val="affa"/>
      <w:tblW w:w="5953" w:type="dxa"/>
      <w:tblInd w:w="3261" w:type="dxa"/>
      <w:tblLayout w:type="fixed"/>
      <w:tblLook w:val="0400" w:firstRow="0" w:lastRow="0" w:firstColumn="0" w:lastColumn="0" w:noHBand="0" w:noVBand="1"/>
    </w:tblPr>
    <w:tblGrid>
      <w:gridCol w:w="2489"/>
      <w:gridCol w:w="3464"/>
    </w:tblGrid>
    <w:tr w:rsidR="00F017AA" w14:paraId="7D7A7303" w14:textId="77777777">
      <w:tc>
        <w:tcPr>
          <w:tcW w:w="2489" w:type="dxa"/>
        </w:tcPr>
        <w:p w14:paraId="0E742E37" w14:textId="77777777" w:rsidR="00F017AA" w:rsidRDefault="00F01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1A1D9F71" w14:textId="659413D5" w:rsidR="00F017AA" w:rsidRDefault="00F017AA" w:rsidP="00FB77D5">
          <w:pPr>
            <w:ind w:right="175"/>
            <w:jc w:val="both"/>
            <w:rPr>
              <w:rFonts w:ascii="Palatino Linotype" w:eastAsia="Palatino Linotype" w:hAnsi="Palatino Linotype" w:cs="Palatino Linotype"/>
              <w:b/>
              <w:sz w:val="22"/>
              <w:szCs w:val="22"/>
            </w:rPr>
          </w:pPr>
          <w:r>
            <w:rPr>
              <w:noProof/>
            </w:rPr>
            <w:drawing>
              <wp:anchor distT="0" distB="0" distL="0" distR="0" simplePos="0" relativeHeight="251658240" behindDoc="1" locked="0" layoutInCell="1" hidden="0" allowOverlap="1" wp14:anchorId="72FFB153" wp14:editId="3405BE90">
                <wp:simplePos x="0" y="0"/>
                <wp:positionH relativeFrom="column">
                  <wp:posOffset>-4800600</wp:posOffset>
                </wp:positionH>
                <wp:positionV relativeFrom="paragraph">
                  <wp:posOffset>-641985</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sz w:val="22"/>
              <w:szCs w:val="22"/>
            </w:rPr>
            <w:t>00034/INFOEM/IP/RR/2026</w:t>
          </w:r>
        </w:p>
      </w:tc>
    </w:tr>
    <w:tr w:rsidR="00F017AA" w14:paraId="3CD5D37A" w14:textId="77777777">
      <w:trPr>
        <w:trHeight w:val="228"/>
      </w:trPr>
      <w:tc>
        <w:tcPr>
          <w:tcW w:w="2489" w:type="dxa"/>
          <w:vAlign w:val="center"/>
        </w:tcPr>
        <w:p w14:paraId="5D9B266F" w14:textId="77777777" w:rsidR="00F017AA" w:rsidRDefault="00F01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241E6357" w14:textId="7150143A" w:rsidR="00F017AA" w:rsidRDefault="00F017AA">
          <w:pPr>
            <w:ind w:left="-45" w:right="176"/>
            <w:jc w:val="both"/>
            <w:rPr>
              <w:rFonts w:ascii="Palatino Linotype" w:eastAsia="Palatino Linotype" w:hAnsi="Palatino Linotype" w:cs="Palatino Linotype"/>
              <w:b/>
              <w:sz w:val="22"/>
              <w:szCs w:val="22"/>
            </w:rPr>
          </w:pPr>
          <w:r w:rsidRPr="0001490F">
            <w:rPr>
              <w:rFonts w:ascii="Palatino Linotype" w:eastAsia="Palatino Linotype" w:hAnsi="Palatino Linotype" w:cs="Palatino Linotype"/>
              <w:b/>
              <w:sz w:val="22"/>
              <w:szCs w:val="22"/>
            </w:rPr>
            <w:t>Ayuntamiento de Tepotzotlán</w:t>
          </w:r>
        </w:p>
      </w:tc>
    </w:tr>
    <w:tr w:rsidR="00F017AA" w14:paraId="4A406CF8" w14:textId="77777777">
      <w:tc>
        <w:tcPr>
          <w:tcW w:w="2489" w:type="dxa"/>
          <w:vAlign w:val="center"/>
        </w:tcPr>
        <w:p w14:paraId="721EC51C" w14:textId="77777777" w:rsidR="00F017AA" w:rsidRDefault="00F017A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217CC28D" w14:textId="77777777" w:rsidR="00F017AA" w:rsidRDefault="00F017A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4A14674" w14:textId="77777777" w:rsidR="00F017AA" w:rsidRDefault="00F017AA">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45FF" w14:textId="77777777" w:rsidR="00F017AA" w:rsidRDefault="00F017A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5664C077" wp14:editId="72386D7E">
          <wp:simplePos x="0" y="0"/>
          <wp:positionH relativeFrom="column">
            <wp:posOffset>-1080134</wp:posOffset>
          </wp:positionH>
          <wp:positionV relativeFrom="paragraph">
            <wp:posOffset>-369892</wp:posOffset>
          </wp:positionV>
          <wp:extent cx="7809865" cy="10165715"/>
          <wp:effectExtent l="0" t="0" r="0" b="0"/>
          <wp:wrapNone/>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953" w:type="dxa"/>
      <w:tblInd w:w="3261" w:type="dxa"/>
      <w:tblLayout w:type="fixed"/>
      <w:tblLook w:val="0400" w:firstRow="0" w:lastRow="0" w:firstColumn="0" w:lastColumn="0" w:noHBand="0" w:noVBand="1"/>
    </w:tblPr>
    <w:tblGrid>
      <w:gridCol w:w="2489"/>
      <w:gridCol w:w="3464"/>
    </w:tblGrid>
    <w:tr w:rsidR="00F017AA" w14:paraId="7EB27161" w14:textId="77777777">
      <w:tc>
        <w:tcPr>
          <w:tcW w:w="2489" w:type="dxa"/>
        </w:tcPr>
        <w:p w14:paraId="31032DEA" w14:textId="77777777" w:rsidR="00F017AA" w:rsidRDefault="00F01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vAlign w:val="center"/>
        </w:tcPr>
        <w:p w14:paraId="62054199" w14:textId="384DBB54" w:rsidR="00F017AA" w:rsidRDefault="00F017AA" w:rsidP="00FB77D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00034/INFOEM/IP/RR/2026</w:t>
          </w:r>
        </w:p>
      </w:tc>
    </w:tr>
    <w:tr w:rsidR="00F017AA" w14:paraId="3DB6A4A9" w14:textId="77777777">
      <w:tc>
        <w:tcPr>
          <w:tcW w:w="2489" w:type="dxa"/>
        </w:tcPr>
        <w:p w14:paraId="1EB49E89" w14:textId="77777777" w:rsidR="00F017AA" w:rsidRDefault="00F01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vAlign w:val="center"/>
        </w:tcPr>
        <w:p w14:paraId="1232B0D5" w14:textId="4A259029" w:rsidR="00F017AA" w:rsidRDefault="002A24B3" w:rsidP="0001490F">
          <w:pPr>
            <w:ind w:right="17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1"/>
              <w:szCs w:val="21"/>
              <w:lang w:val="es-ES"/>
            </w:rPr>
            <w:t>XXXXX XXXXXXX XXXXX</w:t>
          </w:r>
        </w:p>
      </w:tc>
    </w:tr>
    <w:tr w:rsidR="00F017AA" w14:paraId="6C9948E1" w14:textId="77777777">
      <w:trPr>
        <w:trHeight w:val="228"/>
      </w:trPr>
      <w:tc>
        <w:tcPr>
          <w:tcW w:w="2489" w:type="dxa"/>
          <w:vAlign w:val="center"/>
        </w:tcPr>
        <w:p w14:paraId="22D7B399" w14:textId="77777777" w:rsidR="00F017AA" w:rsidRDefault="00F017A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vAlign w:val="center"/>
        </w:tcPr>
        <w:p w14:paraId="4811C401" w14:textId="704ED352" w:rsidR="00F017AA" w:rsidRDefault="00F017AA">
          <w:pPr>
            <w:ind w:left="-45" w:right="176"/>
            <w:jc w:val="both"/>
            <w:rPr>
              <w:rFonts w:ascii="Palatino Linotype" w:eastAsia="Palatino Linotype" w:hAnsi="Palatino Linotype" w:cs="Palatino Linotype"/>
              <w:b/>
              <w:sz w:val="22"/>
              <w:szCs w:val="22"/>
            </w:rPr>
          </w:pPr>
          <w:r w:rsidRPr="0001490F">
            <w:rPr>
              <w:rFonts w:ascii="Palatino Linotype" w:eastAsia="Palatino Linotype" w:hAnsi="Palatino Linotype" w:cs="Palatino Linotype"/>
              <w:b/>
              <w:sz w:val="22"/>
              <w:szCs w:val="22"/>
            </w:rPr>
            <w:t>Ayuntamiento de Tepotzotlán</w:t>
          </w:r>
        </w:p>
      </w:tc>
    </w:tr>
    <w:tr w:rsidR="00F017AA" w14:paraId="2B1C1852" w14:textId="77777777">
      <w:tc>
        <w:tcPr>
          <w:tcW w:w="2489" w:type="dxa"/>
          <w:vAlign w:val="center"/>
        </w:tcPr>
        <w:p w14:paraId="4F8DDCDE" w14:textId="77777777" w:rsidR="00F017AA" w:rsidRDefault="00F017A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vAlign w:val="center"/>
        </w:tcPr>
        <w:p w14:paraId="105F17AE" w14:textId="77777777" w:rsidR="00F017AA" w:rsidRDefault="00F017A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FDDDEC6" w14:textId="77777777" w:rsidR="00F017AA" w:rsidRDefault="00F017A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65543"/>
    <w:multiLevelType w:val="multilevel"/>
    <w:tmpl w:val="41889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FF6193"/>
    <w:multiLevelType w:val="multilevel"/>
    <w:tmpl w:val="42AADD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AD561E3"/>
    <w:multiLevelType w:val="multilevel"/>
    <w:tmpl w:val="0F1047C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 w15:restartNumberingAfterBreak="0">
    <w:nsid w:val="325938D9"/>
    <w:multiLevelType w:val="multilevel"/>
    <w:tmpl w:val="4E10266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0912925"/>
    <w:multiLevelType w:val="multilevel"/>
    <w:tmpl w:val="6EAE7F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7FB0EAA"/>
    <w:multiLevelType w:val="hybridMultilevel"/>
    <w:tmpl w:val="B03ED44C"/>
    <w:lvl w:ilvl="0" w:tplc="4F086008">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15:restartNumberingAfterBreak="0">
    <w:nsid w:val="7BD4592D"/>
    <w:multiLevelType w:val="multilevel"/>
    <w:tmpl w:val="BB5A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4146162">
    <w:abstractNumId w:val="4"/>
  </w:num>
  <w:num w:numId="2" w16cid:durableId="37702545">
    <w:abstractNumId w:val="1"/>
  </w:num>
  <w:num w:numId="3" w16cid:durableId="1748453986">
    <w:abstractNumId w:val="5"/>
  </w:num>
  <w:num w:numId="4" w16cid:durableId="1372151530">
    <w:abstractNumId w:val="3"/>
  </w:num>
  <w:num w:numId="5" w16cid:durableId="1437291193">
    <w:abstractNumId w:val="6"/>
  </w:num>
  <w:num w:numId="6" w16cid:durableId="19144694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7604509">
    <w:abstractNumId w:val="7"/>
  </w:num>
  <w:num w:numId="8" w16cid:durableId="1555501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5CA"/>
    <w:rsid w:val="0001490F"/>
    <w:rsid w:val="0002597E"/>
    <w:rsid w:val="0003239B"/>
    <w:rsid w:val="00033F56"/>
    <w:rsid w:val="00055422"/>
    <w:rsid w:val="00056155"/>
    <w:rsid w:val="00062182"/>
    <w:rsid w:val="00075ABA"/>
    <w:rsid w:val="00081B2B"/>
    <w:rsid w:val="000911CE"/>
    <w:rsid w:val="00091354"/>
    <w:rsid w:val="000B08E2"/>
    <w:rsid w:val="000B1F1E"/>
    <w:rsid w:val="000B7422"/>
    <w:rsid w:val="000E5B26"/>
    <w:rsid w:val="000F4C63"/>
    <w:rsid w:val="00114A40"/>
    <w:rsid w:val="00117765"/>
    <w:rsid w:val="001205A1"/>
    <w:rsid w:val="001267DD"/>
    <w:rsid w:val="00133F88"/>
    <w:rsid w:val="00150A37"/>
    <w:rsid w:val="00156CBB"/>
    <w:rsid w:val="00165B01"/>
    <w:rsid w:val="00170F4F"/>
    <w:rsid w:val="001749F1"/>
    <w:rsid w:val="0017599F"/>
    <w:rsid w:val="00184296"/>
    <w:rsid w:val="001952E1"/>
    <w:rsid w:val="001E5062"/>
    <w:rsid w:val="001F7FD6"/>
    <w:rsid w:val="00203F01"/>
    <w:rsid w:val="002045B4"/>
    <w:rsid w:val="00205B67"/>
    <w:rsid w:val="00213E19"/>
    <w:rsid w:val="0023698F"/>
    <w:rsid w:val="002456A1"/>
    <w:rsid w:val="00252329"/>
    <w:rsid w:val="002A24B3"/>
    <w:rsid w:val="002D3FC3"/>
    <w:rsid w:val="002D7C95"/>
    <w:rsid w:val="002E39F9"/>
    <w:rsid w:val="00334509"/>
    <w:rsid w:val="003455A7"/>
    <w:rsid w:val="00394119"/>
    <w:rsid w:val="003B4D06"/>
    <w:rsid w:val="003C3C01"/>
    <w:rsid w:val="003D1488"/>
    <w:rsid w:val="003D3C3A"/>
    <w:rsid w:val="003D4046"/>
    <w:rsid w:val="003E5305"/>
    <w:rsid w:val="00403FFC"/>
    <w:rsid w:val="00421F6D"/>
    <w:rsid w:val="004306A8"/>
    <w:rsid w:val="00434EB5"/>
    <w:rsid w:val="00440948"/>
    <w:rsid w:val="00444CAE"/>
    <w:rsid w:val="0049521E"/>
    <w:rsid w:val="004B6C62"/>
    <w:rsid w:val="004F41CB"/>
    <w:rsid w:val="00565B39"/>
    <w:rsid w:val="0057455B"/>
    <w:rsid w:val="0058265C"/>
    <w:rsid w:val="0058690B"/>
    <w:rsid w:val="005A75CA"/>
    <w:rsid w:val="005B6BEF"/>
    <w:rsid w:val="005C23D5"/>
    <w:rsid w:val="005E0FFF"/>
    <w:rsid w:val="005F3716"/>
    <w:rsid w:val="00605FD6"/>
    <w:rsid w:val="00614AF9"/>
    <w:rsid w:val="00616184"/>
    <w:rsid w:val="00621E51"/>
    <w:rsid w:val="00626BB5"/>
    <w:rsid w:val="006270EE"/>
    <w:rsid w:val="00632C2A"/>
    <w:rsid w:val="00635B4A"/>
    <w:rsid w:val="00636524"/>
    <w:rsid w:val="006367B1"/>
    <w:rsid w:val="006604EC"/>
    <w:rsid w:val="00697A8E"/>
    <w:rsid w:val="006B5BE3"/>
    <w:rsid w:val="006C3C73"/>
    <w:rsid w:val="006C5AD6"/>
    <w:rsid w:val="006C72C4"/>
    <w:rsid w:val="006D4370"/>
    <w:rsid w:val="006E0E72"/>
    <w:rsid w:val="007136F9"/>
    <w:rsid w:val="007360BF"/>
    <w:rsid w:val="00743659"/>
    <w:rsid w:val="00745FCC"/>
    <w:rsid w:val="00750797"/>
    <w:rsid w:val="0075611B"/>
    <w:rsid w:val="00756ED3"/>
    <w:rsid w:val="00786F36"/>
    <w:rsid w:val="007D142D"/>
    <w:rsid w:val="007E1455"/>
    <w:rsid w:val="007E6096"/>
    <w:rsid w:val="007E62E7"/>
    <w:rsid w:val="00811223"/>
    <w:rsid w:val="008178BC"/>
    <w:rsid w:val="008243D4"/>
    <w:rsid w:val="00837327"/>
    <w:rsid w:val="008416B3"/>
    <w:rsid w:val="00853F61"/>
    <w:rsid w:val="00871C8E"/>
    <w:rsid w:val="00893EF4"/>
    <w:rsid w:val="008C0431"/>
    <w:rsid w:val="008C1BA6"/>
    <w:rsid w:val="008C3A86"/>
    <w:rsid w:val="008E0084"/>
    <w:rsid w:val="00906D09"/>
    <w:rsid w:val="009105D0"/>
    <w:rsid w:val="00913064"/>
    <w:rsid w:val="00936CF1"/>
    <w:rsid w:val="00944957"/>
    <w:rsid w:val="009474F2"/>
    <w:rsid w:val="00950232"/>
    <w:rsid w:val="0095701F"/>
    <w:rsid w:val="00967195"/>
    <w:rsid w:val="00997932"/>
    <w:rsid w:val="009A64CC"/>
    <w:rsid w:val="009A715D"/>
    <w:rsid w:val="009B2FB9"/>
    <w:rsid w:val="009C67A9"/>
    <w:rsid w:val="009D254A"/>
    <w:rsid w:val="00A0077E"/>
    <w:rsid w:val="00A011FF"/>
    <w:rsid w:val="00A1535E"/>
    <w:rsid w:val="00A16DBC"/>
    <w:rsid w:val="00A3292F"/>
    <w:rsid w:val="00A424AD"/>
    <w:rsid w:val="00A63EAB"/>
    <w:rsid w:val="00A754BF"/>
    <w:rsid w:val="00A77106"/>
    <w:rsid w:val="00A82127"/>
    <w:rsid w:val="00AA069E"/>
    <w:rsid w:val="00AA167F"/>
    <w:rsid w:val="00AA28D8"/>
    <w:rsid w:val="00AA4F89"/>
    <w:rsid w:val="00AB120E"/>
    <w:rsid w:val="00AC0437"/>
    <w:rsid w:val="00AE1BCD"/>
    <w:rsid w:val="00B01291"/>
    <w:rsid w:val="00B03297"/>
    <w:rsid w:val="00B116E9"/>
    <w:rsid w:val="00B11F9E"/>
    <w:rsid w:val="00B24416"/>
    <w:rsid w:val="00B27559"/>
    <w:rsid w:val="00B278DC"/>
    <w:rsid w:val="00B40B8A"/>
    <w:rsid w:val="00B63576"/>
    <w:rsid w:val="00B76B3B"/>
    <w:rsid w:val="00B8367A"/>
    <w:rsid w:val="00B95B0A"/>
    <w:rsid w:val="00BA3CC9"/>
    <w:rsid w:val="00BB1D53"/>
    <w:rsid w:val="00BB34F7"/>
    <w:rsid w:val="00BC2E4B"/>
    <w:rsid w:val="00BD4336"/>
    <w:rsid w:val="00BE57AC"/>
    <w:rsid w:val="00BE6FDF"/>
    <w:rsid w:val="00BF1453"/>
    <w:rsid w:val="00BF27F2"/>
    <w:rsid w:val="00BF3FF9"/>
    <w:rsid w:val="00BF4BA8"/>
    <w:rsid w:val="00C14B18"/>
    <w:rsid w:val="00C15A66"/>
    <w:rsid w:val="00C15E24"/>
    <w:rsid w:val="00C410B3"/>
    <w:rsid w:val="00C62D06"/>
    <w:rsid w:val="00C6372B"/>
    <w:rsid w:val="00C710B0"/>
    <w:rsid w:val="00C81703"/>
    <w:rsid w:val="00C84A28"/>
    <w:rsid w:val="00C971B2"/>
    <w:rsid w:val="00CA3847"/>
    <w:rsid w:val="00CA7851"/>
    <w:rsid w:val="00CC7C4F"/>
    <w:rsid w:val="00CD1803"/>
    <w:rsid w:val="00CD4734"/>
    <w:rsid w:val="00D132EC"/>
    <w:rsid w:val="00D26C1D"/>
    <w:rsid w:val="00D3676B"/>
    <w:rsid w:val="00D4788B"/>
    <w:rsid w:val="00D535F2"/>
    <w:rsid w:val="00D70B41"/>
    <w:rsid w:val="00D7204E"/>
    <w:rsid w:val="00DE0050"/>
    <w:rsid w:val="00E120D6"/>
    <w:rsid w:val="00E135F5"/>
    <w:rsid w:val="00E2315B"/>
    <w:rsid w:val="00E3627B"/>
    <w:rsid w:val="00E57A87"/>
    <w:rsid w:val="00E67226"/>
    <w:rsid w:val="00E83DE2"/>
    <w:rsid w:val="00E84081"/>
    <w:rsid w:val="00E8604C"/>
    <w:rsid w:val="00E96B90"/>
    <w:rsid w:val="00EA2325"/>
    <w:rsid w:val="00EB3728"/>
    <w:rsid w:val="00EB5561"/>
    <w:rsid w:val="00EC41AA"/>
    <w:rsid w:val="00EC48FD"/>
    <w:rsid w:val="00ED3BAD"/>
    <w:rsid w:val="00ED6BA6"/>
    <w:rsid w:val="00EE2187"/>
    <w:rsid w:val="00EE6C05"/>
    <w:rsid w:val="00EF3EED"/>
    <w:rsid w:val="00F017AA"/>
    <w:rsid w:val="00F115B4"/>
    <w:rsid w:val="00F1296D"/>
    <w:rsid w:val="00F17B75"/>
    <w:rsid w:val="00F4152A"/>
    <w:rsid w:val="00F44777"/>
    <w:rsid w:val="00F5550B"/>
    <w:rsid w:val="00F67B5E"/>
    <w:rsid w:val="00F73AA9"/>
    <w:rsid w:val="00F75F39"/>
    <w:rsid w:val="00F76AB4"/>
    <w:rsid w:val="00F82B96"/>
    <w:rsid w:val="00F93D65"/>
    <w:rsid w:val="00FA1156"/>
    <w:rsid w:val="00FB513B"/>
    <w:rsid w:val="00FB7638"/>
    <w:rsid w:val="00FB77D5"/>
    <w:rsid w:val="00FC4F4F"/>
    <w:rsid w:val="00FC649F"/>
    <w:rsid w:val="00FD0FF9"/>
    <w:rsid w:val="00FE6677"/>
    <w:rsid w:val="00FF4216"/>
    <w:rsid w:val="00FF6D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CB5C60"/>
  <w15:docId w15:val="{1A4982B5-CB8A-451E-A332-C2694A25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a">
    <w:basedOn w:val="TableNormalf1"/>
    <w:tblPr>
      <w:tblStyleRowBandSize w:val="1"/>
      <w:tblStyleColBandSize w:val="1"/>
      <w:tblCellMar>
        <w:left w:w="115" w:type="dxa"/>
        <w:right w:w="115" w:type="dxa"/>
      </w:tblCellMar>
    </w:tblPr>
  </w:style>
  <w:style w:type="table" w:customStyle="1" w:styleId="a0">
    <w:basedOn w:val="TableNormalf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0"/>
    <w:tblPr>
      <w:tblStyleRowBandSize w:val="1"/>
      <w:tblStyleColBandSize w:val="1"/>
      <w:tblCellMar>
        <w:left w:w="115" w:type="dxa"/>
        <w:right w:w="115" w:type="dxa"/>
      </w:tblCellMar>
    </w:tblPr>
  </w:style>
  <w:style w:type="table" w:customStyle="1" w:styleId="a4">
    <w:basedOn w:val="TableNormalf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
    <w:tblPr>
      <w:tblStyleRowBandSize w:val="1"/>
      <w:tblStyleColBandSize w:val="1"/>
      <w:tblCellMar>
        <w:left w:w="108" w:type="dxa"/>
        <w:right w:w="108" w:type="dxa"/>
      </w:tblCellMar>
    </w:tblPr>
  </w:style>
  <w:style w:type="table" w:customStyle="1" w:styleId="a6">
    <w:basedOn w:val="TableNormalf"/>
    <w:tblPr>
      <w:tblStyleRowBandSize w:val="1"/>
      <w:tblStyleColBandSize w:val="1"/>
      <w:tblCellMar>
        <w:left w:w="108" w:type="dxa"/>
        <w:right w:w="108" w:type="dxa"/>
      </w:tblCellMar>
    </w:tblPr>
  </w:style>
  <w:style w:type="table" w:customStyle="1" w:styleId="a7">
    <w:basedOn w:val="TableNormalf"/>
    <w:tblPr>
      <w:tblStyleRowBandSize w:val="1"/>
      <w:tblStyleColBandSize w:val="1"/>
      <w:tblCellMar>
        <w:left w:w="108" w:type="dxa"/>
        <w:right w:w="108" w:type="dxa"/>
      </w:tblCellMar>
    </w:tblPr>
  </w:style>
  <w:style w:type="table" w:customStyle="1" w:styleId="a8">
    <w:basedOn w:val="TableNormalf"/>
    <w:tblPr>
      <w:tblStyleRowBandSize w:val="1"/>
      <w:tblStyleColBandSize w:val="1"/>
      <w:tblCellMar>
        <w:left w:w="108" w:type="dxa"/>
        <w:right w:w="108" w:type="dxa"/>
      </w:tblCellMar>
    </w:tblPr>
  </w:style>
  <w:style w:type="table" w:customStyle="1" w:styleId="a9">
    <w:basedOn w:val="TableNormalf"/>
    <w:tblPr>
      <w:tblStyleRowBandSize w:val="1"/>
      <w:tblStyleColBandSize w:val="1"/>
      <w:tblCellMar>
        <w:left w:w="108" w:type="dxa"/>
        <w:right w:w="108" w:type="dxa"/>
      </w:tblCellMar>
    </w:tblPr>
  </w:style>
  <w:style w:type="table" w:customStyle="1" w:styleId="aa">
    <w:basedOn w:val="TableNormalf"/>
    <w:tblPr>
      <w:tblStyleRowBandSize w:val="1"/>
      <w:tblStyleColBandSize w:val="1"/>
      <w:tblCellMar>
        <w:left w:w="115" w:type="dxa"/>
        <w:right w:w="115" w:type="dxa"/>
      </w:tblCellMar>
    </w:tblPr>
  </w:style>
  <w:style w:type="table" w:customStyle="1" w:styleId="ab">
    <w:basedOn w:val="TableNormalf"/>
    <w:tblPr>
      <w:tblStyleRowBandSize w:val="1"/>
      <w:tblStyleColBandSize w:val="1"/>
      <w:tblCellMar>
        <w:left w:w="115" w:type="dxa"/>
        <w:right w:w="115" w:type="dxa"/>
      </w:tblCellMar>
    </w:tblPr>
  </w:style>
  <w:style w:type="table" w:customStyle="1" w:styleId="ac">
    <w:basedOn w:val="TableNormale"/>
    <w:tblPr>
      <w:tblStyleRowBandSize w:val="1"/>
      <w:tblStyleColBandSize w:val="1"/>
      <w:tblCellMar>
        <w:left w:w="108" w:type="dxa"/>
        <w:right w:w="108" w:type="dxa"/>
      </w:tblCellMar>
    </w:tblPr>
  </w:style>
  <w:style w:type="table" w:customStyle="1" w:styleId="ad">
    <w:basedOn w:val="TableNormale"/>
    <w:tblPr>
      <w:tblStyleRowBandSize w:val="1"/>
      <w:tblStyleColBandSize w:val="1"/>
      <w:tblCellMar>
        <w:left w:w="115" w:type="dxa"/>
        <w:right w:w="115" w:type="dxa"/>
      </w:tblCellMar>
    </w:tblPr>
  </w:style>
  <w:style w:type="table" w:customStyle="1" w:styleId="ae">
    <w:basedOn w:val="TableNormale"/>
    <w:tblPr>
      <w:tblStyleRowBandSize w:val="1"/>
      <w:tblStyleColBandSize w:val="1"/>
      <w:tblCellMar>
        <w:left w:w="115" w:type="dxa"/>
        <w:right w:w="115" w:type="dxa"/>
      </w:tblCellMar>
    </w:tblPr>
  </w:style>
  <w:style w:type="table" w:customStyle="1" w:styleId="af">
    <w:basedOn w:val="TableNormald"/>
    <w:tblPr>
      <w:tblStyleRowBandSize w:val="1"/>
      <w:tblStyleColBandSize w:val="1"/>
      <w:tblCellMar>
        <w:left w:w="115" w:type="dxa"/>
        <w:right w:w="115" w:type="dxa"/>
      </w:tblCellMar>
    </w:tblPr>
  </w:style>
  <w:style w:type="table" w:customStyle="1" w:styleId="af0">
    <w:basedOn w:val="TableNormald"/>
    <w:tblPr>
      <w:tblStyleRowBandSize w:val="1"/>
      <w:tblStyleColBandSize w:val="1"/>
      <w:tblCellMar>
        <w:left w:w="115" w:type="dxa"/>
        <w:right w:w="115" w:type="dxa"/>
      </w:tblCellMar>
    </w:tblPr>
  </w:style>
  <w:style w:type="table" w:customStyle="1" w:styleId="af1">
    <w:basedOn w:val="TableNormald"/>
    <w:tblPr>
      <w:tblStyleRowBandSize w:val="1"/>
      <w:tblStyleColBandSize w:val="1"/>
      <w:tblCellMar>
        <w:left w:w="115" w:type="dxa"/>
        <w:right w:w="115" w:type="dxa"/>
      </w:tblCellMar>
    </w:tblPr>
  </w:style>
  <w:style w:type="table" w:customStyle="1" w:styleId="af2">
    <w:basedOn w:val="TableNormalc"/>
    <w:tblPr>
      <w:tblStyleRowBandSize w:val="1"/>
      <w:tblStyleColBandSize w:val="1"/>
      <w:tblCellMar>
        <w:left w:w="115" w:type="dxa"/>
        <w:right w:w="115" w:type="dxa"/>
      </w:tblCellMar>
    </w:tblPr>
  </w:style>
  <w:style w:type="table" w:customStyle="1" w:styleId="af3">
    <w:basedOn w:val="TableNormalc"/>
    <w:tblPr>
      <w:tblStyleRowBandSize w:val="1"/>
      <w:tblStyleColBandSize w:val="1"/>
      <w:tblCellMar>
        <w:left w:w="115" w:type="dxa"/>
        <w:right w:w="115" w:type="dxa"/>
      </w:tblCellMar>
    </w:tblPr>
  </w:style>
  <w:style w:type="table" w:customStyle="1" w:styleId="af4">
    <w:basedOn w:val="TableNormalb"/>
    <w:tblPr>
      <w:tblStyleRowBandSize w:val="1"/>
      <w:tblStyleColBandSize w:val="1"/>
      <w:tblCellMar>
        <w:left w:w="115" w:type="dxa"/>
        <w:right w:w="115" w:type="dxa"/>
      </w:tblCellMar>
    </w:tblPr>
  </w:style>
  <w:style w:type="table" w:customStyle="1" w:styleId="af5">
    <w:basedOn w:val="TableNormalb"/>
    <w:tblPr>
      <w:tblStyleRowBandSize w:val="1"/>
      <w:tblStyleColBandSize w:val="1"/>
      <w:tblCellMar>
        <w:left w:w="115" w:type="dxa"/>
        <w:right w:w="115" w:type="dxa"/>
      </w:tblCellMar>
    </w:tblPr>
  </w:style>
  <w:style w:type="table" w:customStyle="1" w:styleId="af6">
    <w:basedOn w:val="TableNormala"/>
    <w:tblPr>
      <w:tblStyleRowBandSize w:val="1"/>
      <w:tblStyleColBandSize w:val="1"/>
      <w:tblCellMar>
        <w:left w:w="115" w:type="dxa"/>
        <w:right w:w="115" w:type="dxa"/>
      </w:tblCellMar>
    </w:tblPr>
  </w:style>
  <w:style w:type="table" w:customStyle="1" w:styleId="af7">
    <w:basedOn w:val="TableNormala"/>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8"/>
    <w:tblPr>
      <w:tblStyleRowBandSize w:val="1"/>
      <w:tblStyleColBandSize w:val="1"/>
      <w:tblCellMar>
        <w:left w:w="115" w:type="dxa"/>
        <w:right w:w="115" w:type="dxa"/>
      </w:tblCellMar>
    </w:tblPr>
  </w:style>
  <w:style w:type="table" w:customStyle="1" w:styleId="afb">
    <w:basedOn w:val="TableNormal8"/>
    <w:tblPr>
      <w:tblStyleRowBandSize w:val="1"/>
      <w:tblStyleColBandSize w:val="1"/>
      <w:tblCellMar>
        <w:left w:w="115" w:type="dxa"/>
        <w:right w:w="115" w:type="dxa"/>
      </w:tblCellMar>
    </w:tblPr>
  </w:style>
  <w:style w:type="table" w:customStyle="1" w:styleId="afc">
    <w:basedOn w:val="TableNormal7"/>
    <w:tblPr>
      <w:tblStyleRowBandSize w:val="1"/>
      <w:tblStyleColBandSize w:val="1"/>
      <w:tblCellMar>
        <w:left w:w="115" w:type="dxa"/>
        <w:right w:w="115" w:type="dxa"/>
      </w:tblCellMar>
    </w:tblPr>
  </w:style>
  <w:style w:type="table" w:customStyle="1" w:styleId="afd">
    <w:basedOn w:val="TableNormal7"/>
    <w:tblPr>
      <w:tblStyleRowBandSize w:val="1"/>
      <w:tblStyleColBandSize w:val="1"/>
      <w:tblCellMar>
        <w:left w:w="115" w:type="dxa"/>
        <w:right w:w="115" w:type="dxa"/>
      </w:tblCellMar>
    </w:tblPr>
  </w:style>
  <w:style w:type="table" w:customStyle="1" w:styleId="afe">
    <w:basedOn w:val="TableNormal6"/>
    <w:tblPr>
      <w:tblStyleRowBandSize w:val="1"/>
      <w:tblStyleColBandSize w:val="1"/>
      <w:tblCellMar>
        <w:left w:w="115" w:type="dxa"/>
        <w:right w:w="115" w:type="dxa"/>
      </w:tblCellMar>
    </w:tblPr>
  </w:style>
  <w:style w:type="table" w:customStyle="1" w:styleId="aff">
    <w:basedOn w:val="TableNormal6"/>
    <w:tblPr>
      <w:tblStyleRowBandSize w:val="1"/>
      <w:tblStyleColBandSize w:val="1"/>
      <w:tblCellMar>
        <w:left w:w="115" w:type="dxa"/>
        <w:right w:w="115" w:type="dxa"/>
      </w:tblCellMar>
    </w:tblPr>
  </w:style>
  <w:style w:type="table" w:customStyle="1" w:styleId="aff0">
    <w:basedOn w:val="TableNormal5"/>
    <w:tblPr>
      <w:tblStyleRowBandSize w:val="1"/>
      <w:tblStyleColBandSize w:val="1"/>
      <w:tblCellMar>
        <w:left w:w="115" w:type="dxa"/>
        <w:right w:w="115" w:type="dxa"/>
      </w:tblCellMar>
    </w:tblPr>
  </w:style>
  <w:style w:type="table" w:customStyle="1" w:styleId="aff1">
    <w:basedOn w:val="TableNormal5"/>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3"/>
    <w:tblPr>
      <w:tblStyleRowBandSize w:val="1"/>
      <w:tblStyleColBandSize w:val="1"/>
      <w:tblCellMar>
        <w:left w:w="115" w:type="dxa"/>
        <w:right w:w="115" w:type="dxa"/>
      </w:tblCellMar>
    </w:tblPr>
  </w:style>
  <w:style w:type="table" w:customStyle="1" w:styleId="aff5">
    <w:basedOn w:val="TableNormal3"/>
    <w:tblPr>
      <w:tblStyleRowBandSize w:val="1"/>
      <w:tblStyleColBandSize w:val="1"/>
      <w:tblCellMar>
        <w:left w:w="115" w:type="dxa"/>
        <w:right w:w="115" w:type="dxa"/>
      </w:tblCellMar>
    </w:tblPr>
  </w:style>
  <w:style w:type="table" w:customStyle="1" w:styleId="aff6">
    <w:basedOn w:val="TableNormal2"/>
    <w:tblPr>
      <w:tblStyleRowBandSize w:val="1"/>
      <w:tblStyleColBandSize w:val="1"/>
      <w:tblCellMar>
        <w:left w:w="115" w:type="dxa"/>
        <w:right w:w="115" w:type="dxa"/>
      </w:tblCellMar>
    </w:tblPr>
  </w:style>
  <w:style w:type="table" w:customStyle="1" w:styleId="aff7">
    <w:basedOn w:val="TableNormal2"/>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27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Qr8oyXmASkkdxUHD/BHbVPS6g==">CgMxLjAyCWguM3JkY3JqbjIOaC5kYWozajJ4bzZxNjYyCGguZ2pkZ3hzMgloLjNkeTZ2a20yCWguMzBqMHpsbDIJaC4yczhleW8xMgloLjN6bnlzaDcyCWguMmV0OTJwMDIJaC4xdDNoNXNmMg5oLmhuenhzY2g1Z3lzejIOaC5vdDNxcTZ2eGEwOGYyCGgubG54Yno5OAByITEycGNwNjJrZDZCbW00M09JLWdXbTBFLTItNFhnWVJKag==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11758</Words>
  <Characters>64675</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ADRIANA INFOEM</cp:lastModifiedBy>
  <cp:revision>2</cp:revision>
  <cp:lastPrinted>2025-12-12T17:21:00Z</cp:lastPrinted>
  <dcterms:created xsi:type="dcterms:W3CDTF">2026-03-27T19:45:00Z</dcterms:created>
  <dcterms:modified xsi:type="dcterms:W3CDTF">2026-03-27T19:45:00Z</dcterms:modified>
</cp:coreProperties>
</file>