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C12" w:rsidRDefault="00F5103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6B3B54">
        <w:rPr>
          <w:rFonts w:ascii="Palatino Linotype" w:eastAsia="Palatino Linotype" w:hAnsi="Palatino Linotype" w:cs="Palatino Linotype"/>
          <w:b/>
          <w:bCs/>
          <w:color w:val="000000"/>
        </w:rPr>
        <w:t>veintisiete</w:t>
      </w:r>
      <w:r w:rsidR="002C5AB2">
        <w:rPr>
          <w:rFonts w:ascii="Palatino Linotype" w:eastAsia="Palatino Linotype" w:hAnsi="Palatino Linotype" w:cs="Palatino Linotype"/>
          <w:b/>
          <w:bCs/>
          <w:color w:val="000000"/>
        </w:rPr>
        <w:t xml:space="preserve"> (27)</w:t>
      </w:r>
      <w:r w:rsidR="006B3B54">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color w:val="000000"/>
        </w:rPr>
        <w:t>de mayo de dos mil veintiséis.</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71C12" w:rsidRDefault="00F5103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0" w:name="_heading=h.r1iex7ihi7og" w:colFirst="0" w:colLast="0"/>
      <w:bookmarkEnd w:id="0"/>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Recursos de Revisión </w:t>
      </w:r>
      <w:r>
        <w:rPr>
          <w:rFonts w:ascii="Palatino Linotype" w:eastAsia="Palatino Linotype" w:hAnsi="Palatino Linotype" w:cs="Palatino Linotype"/>
          <w:b/>
          <w:bCs/>
          <w:color w:val="000000"/>
        </w:rPr>
        <w:t xml:space="preserve">01843/INFOEM/IP/RR/2026 </w:t>
      </w:r>
      <w:r>
        <w:rPr>
          <w:rFonts w:ascii="Palatino Linotype" w:eastAsia="Palatino Linotype" w:hAnsi="Palatino Linotype" w:cs="Palatino Linotype"/>
          <w:color w:val="000000"/>
        </w:rPr>
        <w:t xml:space="preserve">promovido por </w:t>
      </w:r>
      <w:r w:rsidR="002A05AE">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la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Ayuntamiento de Valle de Bravo</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bookmarkStart w:id="1" w:name="_GoBack"/>
      <w:bookmarkEnd w:id="1"/>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71C12" w:rsidRDefault="00F51032">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N T E C E D E N T E S</w:t>
      </w:r>
    </w:p>
    <w:p w:rsidR="00571C12" w:rsidRDefault="00571C12">
      <w:pPr>
        <w:spacing w:line="360" w:lineRule="auto"/>
        <w:ind w:right="-787"/>
        <w:rPr>
          <w:rFonts w:ascii="Palatino Linotype" w:eastAsia="Palatino Linotype" w:hAnsi="Palatino Linotype" w:cs="Palatino Linotype"/>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veinte de febrero de dos mil veintiséis,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 solicitud de información pública registrada con el número </w:t>
      </w:r>
      <w:r w:rsidRPr="006B3B54">
        <w:rPr>
          <w:rFonts w:ascii="Palatino Linotype" w:eastAsia="Palatino Linotype" w:hAnsi="Palatino Linotype" w:cs="Palatino Linotype"/>
          <w:b/>
          <w:bCs/>
          <w:color w:val="000000" w:themeColor="text1"/>
        </w:rPr>
        <w:t>00020/VABRAVO/IP/2026</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 xml:space="preserve"> se pretende acceder a la siguiente información:</w:t>
      </w:r>
    </w:p>
    <w:p w:rsidR="00571C12" w:rsidRDefault="00571C12">
      <w:pPr>
        <w:ind w:right="-787"/>
        <w:jc w:val="both"/>
        <w:rPr>
          <w:rFonts w:ascii="Palatino Linotype" w:eastAsia="Palatino Linotype" w:hAnsi="Palatino Linotype" w:cs="Palatino Linotype"/>
          <w:i/>
          <w:iCs/>
        </w:rPr>
      </w:pPr>
    </w:p>
    <w:p w:rsidR="00571C12" w:rsidRDefault="00F51032">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recibos de nómina del ayuntamiento de valle de bravo de todo el mes de diciembre de 2025, recibos de aguinaldo,recibos de prima vacacional, gratificaciones de todas las áreas del ayuntamiento. Así como la nómina general del mes de diciembre de 2025.”</w:t>
      </w:r>
    </w:p>
    <w:p w:rsidR="00571C12" w:rsidRDefault="00571C12">
      <w:pPr>
        <w:pBdr>
          <w:top w:val="nil"/>
          <w:left w:val="nil"/>
          <w:bottom w:val="nil"/>
          <w:right w:val="nil"/>
          <w:between w:val="nil"/>
        </w:pBdr>
        <w:ind w:left="1134" w:right="-787"/>
        <w:jc w:val="both"/>
        <w:rPr>
          <w:rFonts w:ascii="Palatino Linotype" w:eastAsia="Palatino Linotype" w:hAnsi="Palatino Linotype" w:cs="Palatino Linotype"/>
          <w:i/>
          <w:iCs/>
        </w:rPr>
      </w:pPr>
    </w:p>
    <w:p w:rsidR="00571C12" w:rsidRDefault="00571C12">
      <w:pPr>
        <w:pBdr>
          <w:top w:val="nil"/>
          <w:left w:val="nil"/>
          <w:bottom w:val="nil"/>
          <w:right w:val="nil"/>
          <w:between w:val="nil"/>
        </w:pBdr>
        <w:ind w:left="1134" w:right="-787"/>
        <w:jc w:val="both"/>
        <w:rPr>
          <w:rFonts w:ascii="Palatino Linotype" w:eastAsia="Palatino Linotype" w:hAnsi="Palatino Linotype" w:cs="Palatino Linotype"/>
          <w:i/>
          <w:iCs/>
        </w:rPr>
      </w:pPr>
    </w:p>
    <w:p w:rsidR="00571C12" w:rsidRDefault="00571C12">
      <w:pPr>
        <w:pBdr>
          <w:top w:val="nil"/>
          <w:left w:val="nil"/>
          <w:bottom w:val="nil"/>
          <w:right w:val="nil"/>
          <w:between w:val="nil"/>
        </w:pBdr>
        <w:ind w:left="1134" w:right="-787"/>
        <w:jc w:val="both"/>
        <w:rPr>
          <w:rFonts w:ascii="Palatino Linotype" w:eastAsia="Palatino Linotype" w:hAnsi="Palatino Linotype" w:cs="Palatino Linotype"/>
          <w:i/>
          <w:iCs/>
        </w:rPr>
      </w:pPr>
    </w:p>
    <w:p w:rsidR="00571C12" w:rsidRDefault="00F51032">
      <w:pPr>
        <w:numPr>
          <w:ilvl w:val="0"/>
          <w:numId w:val="1"/>
        </w:numPr>
        <w:pBdr>
          <w:top w:val="nil"/>
          <w:left w:val="nil"/>
          <w:bottom w:val="nil"/>
          <w:right w:val="nil"/>
          <w:between w:val="nil"/>
        </w:pBdr>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Modalidad de entrega</w:t>
      </w:r>
      <w:r>
        <w:rPr>
          <w:rFonts w:ascii="Palatino Linotype" w:eastAsia="Palatino Linotype" w:hAnsi="Palatino Linotype" w:cs="Palatino Linotype"/>
          <w:color w:val="000000"/>
        </w:rPr>
        <w:t xml:space="preserve">: Sistema de Acceso a la Información </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Posteriormente, el </w:t>
      </w:r>
      <w:r>
        <w:rPr>
          <w:rFonts w:ascii="Palatino Linotype" w:eastAsia="Palatino Linotype" w:hAnsi="Palatino Linotype" w:cs="Palatino Linotype"/>
          <w:b/>
          <w:bCs/>
          <w:color w:val="000000"/>
        </w:rPr>
        <w:t xml:space="preserve">veintiuno de enero de dos mil veintiséis, </w:t>
      </w:r>
      <w:r>
        <w:rPr>
          <w:rFonts w:ascii="Palatino Linotype" w:eastAsia="Palatino Linotype" w:hAnsi="Palatino Linotype" w:cs="Palatino Linotype"/>
          <w:color w:val="000000"/>
        </w:rPr>
        <w:t xml:space="preserve">el Titular de la Unidad de Transparencia </w:t>
      </w:r>
      <w:r>
        <w:rPr>
          <w:rFonts w:ascii="Palatino Linotype" w:eastAsia="Palatino Linotype" w:hAnsi="Palatino Linotype" w:cs="Palatino Linotype"/>
        </w:rPr>
        <w:t>giró</w:t>
      </w:r>
      <w:r>
        <w:rPr>
          <w:rFonts w:ascii="Palatino Linotype" w:eastAsia="Palatino Linotype" w:hAnsi="Palatino Linotype" w:cs="Palatino Linotype"/>
          <w:color w:val="000000"/>
        </w:rPr>
        <w:t xml:space="preserve"> el requerimiento de información, para que fuera atendida la solicitud de información </w:t>
      </w:r>
      <w:r>
        <w:rPr>
          <w:rFonts w:ascii="Palatino Linotype" w:eastAsia="Palatino Linotype" w:hAnsi="Palatino Linotype" w:cs="Palatino Linotype"/>
          <w:b/>
          <w:bCs/>
          <w:color w:val="0563C1"/>
        </w:rPr>
        <w:t>00020/VABRAVO/IP/2026</w:t>
      </w:r>
      <w:r>
        <w:rPr>
          <w:rFonts w:ascii="Palatino Linotype" w:eastAsia="Palatino Linotype" w:hAnsi="Palatino Linotype" w:cs="Palatino Linotype"/>
          <w:color w:val="000000"/>
        </w:rPr>
        <w:t xml:space="preserve">. </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trece de marzo de dos mil veinticinco,</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dio respuesta a la solicitud de información mediante cuatro archivos electrónicos en formato pdf, cuyo contenido grosso modo es el siguiente.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TRANSPARENCIA .pdf: </w:t>
      </w:r>
      <w:r>
        <w:rPr>
          <w:rFonts w:ascii="Palatino Linotype" w:eastAsia="Palatino Linotype" w:hAnsi="Palatino Linotype" w:cs="Palatino Linotype"/>
          <w:i/>
          <w:iCs/>
        </w:rPr>
        <w:t xml:space="preserve">oficio de la Titular de la Unidad de Transparencia, mediante el cual informa que se pone a disposición la información en consulta directa.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 TESORERIA.pdf: </w:t>
      </w:r>
      <w:r>
        <w:rPr>
          <w:rFonts w:ascii="Palatino Linotype" w:eastAsia="Palatino Linotype" w:hAnsi="Palatino Linotype" w:cs="Palatino Linotype"/>
          <w:i/>
          <w:iCs/>
        </w:rPr>
        <w:t xml:space="preserve">oficio de la Tesorera Municipal, mediante el cual informa que remite la información solicitada y requiere se cite al Comité de Transparencia para clasificar como confidencial los datos relativos a RFC, número de clave Issemym, cadena y sello digital, CURP, folio fiscal,  código QR y cadena original.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SESION CT .pdf: </w:t>
      </w:r>
      <w:r>
        <w:rPr>
          <w:rFonts w:ascii="Palatino Linotype" w:eastAsia="Palatino Linotype" w:hAnsi="Palatino Linotype" w:cs="Palatino Linotype"/>
          <w:i/>
          <w:iCs/>
        </w:rPr>
        <w:t xml:space="preserve">Acta del Comité de Transparencia de Valle de Bravo, mediante el cual clasifican los datos RFC, número de clave Issemym, cadena y sello digital, CURP, folio fiscal,  código QR y cadena original.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INFOEM.pdf: </w:t>
      </w:r>
      <w:r>
        <w:rPr>
          <w:rFonts w:ascii="Palatino Linotype" w:eastAsia="Palatino Linotype" w:hAnsi="Palatino Linotype" w:cs="Palatino Linotype"/>
          <w:i/>
          <w:iCs/>
        </w:rPr>
        <w:t xml:space="preserve">incidencia técnica firmada por el Director General de Informática mediante el cual aprueba el peso de información. </w:t>
      </w:r>
    </w:p>
    <w:p w:rsidR="00571C12" w:rsidRDefault="00571C12">
      <w:pPr>
        <w:ind w:left="1134" w:right="-787"/>
        <w:jc w:val="both"/>
        <w:rPr>
          <w:rFonts w:ascii="Palatino Linotype" w:eastAsia="Palatino Linotype" w:hAnsi="Palatino Linotype" w:cs="Palatino Linotype"/>
        </w:rPr>
      </w:pPr>
    </w:p>
    <w:p w:rsidR="00571C12" w:rsidRDefault="00571C12">
      <w:pPr>
        <w:ind w:left="1134" w:right="-787"/>
        <w:jc w:val="both"/>
        <w:rPr>
          <w:rFonts w:ascii="Palatino Linotype" w:eastAsia="Palatino Linotype" w:hAnsi="Palatino Linotype" w:cs="Palatino Linotype"/>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trece de febrero de dos mil veintiséis</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563C1"/>
        </w:rPr>
        <w:t xml:space="preserve">00020/VABRAVO/IP/2026,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571C12" w:rsidRDefault="00571C12">
      <w:pPr>
        <w:pBdr>
          <w:top w:val="nil"/>
          <w:left w:val="nil"/>
          <w:bottom w:val="nil"/>
          <w:right w:val="nil"/>
          <w:between w:val="nil"/>
        </w:pBdr>
        <w:ind w:right="-787"/>
        <w:jc w:val="both"/>
        <w:rPr>
          <w:rFonts w:ascii="Palatino Linotype" w:eastAsia="Palatino Linotype" w:hAnsi="Palatino Linotype" w:cs="Palatino Linotype"/>
          <w:color w:val="000000"/>
        </w:rPr>
      </w:pPr>
    </w:p>
    <w:p w:rsidR="00571C12" w:rsidRDefault="00571C12">
      <w:pPr>
        <w:pBdr>
          <w:top w:val="nil"/>
          <w:left w:val="nil"/>
          <w:bottom w:val="nil"/>
          <w:right w:val="nil"/>
          <w:between w:val="nil"/>
        </w:pBdr>
        <w:ind w:right="-787"/>
        <w:jc w:val="both"/>
        <w:rPr>
          <w:rFonts w:ascii="Palatino Linotype" w:eastAsia="Palatino Linotype" w:hAnsi="Palatino Linotype" w:cs="Palatino Linotype"/>
          <w:color w:val="000000"/>
        </w:rPr>
      </w:pPr>
      <w:bookmarkStart w:id="2" w:name="_heading=h.eewz1jpl1hus" w:colFirst="0" w:colLast="0"/>
      <w:bookmarkEnd w:id="2"/>
    </w:p>
    <w:p w:rsidR="00571C12" w:rsidRDefault="00F51032">
      <w:pPr>
        <w:numPr>
          <w:ilvl w:val="0"/>
          <w:numId w:val="1"/>
        </w:numPr>
        <w:pBdr>
          <w:top w:val="nil"/>
          <w:left w:val="nil"/>
          <w:bottom w:val="nil"/>
          <w:right w:val="nil"/>
          <w:between w:val="nil"/>
        </w:pBdr>
        <w:ind w:right="-787"/>
        <w:jc w:val="both"/>
        <w:rPr>
          <w:rFonts w:ascii="Palatino Linotype" w:eastAsia="Palatino Linotype" w:hAnsi="Palatino Linotype" w:cs="Palatino Linotype"/>
          <w:i/>
          <w:iCs/>
          <w:color w:val="000000"/>
        </w:rPr>
      </w:pPr>
      <w:bookmarkStart w:id="3" w:name="_heading=h.71pfcin3neph" w:colFirst="0" w:colLast="0"/>
      <w:bookmarkEnd w:id="3"/>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“no me da la nformación que solicito”</w:t>
      </w:r>
    </w:p>
    <w:p w:rsidR="00571C12" w:rsidRDefault="00571C12">
      <w:pPr>
        <w:pBdr>
          <w:top w:val="nil"/>
          <w:left w:val="nil"/>
          <w:bottom w:val="nil"/>
          <w:right w:val="nil"/>
          <w:between w:val="nil"/>
        </w:pBdr>
        <w:ind w:left="1146" w:right="-787"/>
        <w:jc w:val="both"/>
        <w:rPr>
          <w:rFonts w:ascii="Palatino Linotype" w:eastAsia="Palatino Linotype" w:hAnsi="Palatino Linotype" w:cs="Palatino Linotype"/>
          <w:i/>
          <w:iCs/>
          <w:color w:val="000000"/>
        </w:rPr>
      </w:pPr>
    </w:p>
    <w:p w:rsidR="00571C12" w:rsidRDefault="00F51032">
      <w:pPr>
        <w:numPr>
          <w:ilvl w:val="0"/>
          <w:numId w:val="4"/>
        </w:numPr>
        <w:pBdr>
          <w:top w:val="nil"/>
          <w:left w:val="nil"/>
          <w:bottom w:val="nil"/>
          <w:right w:val="nil"/>
          <w:between w:val="nil"/>
        </w:pBdr>
        <w:ind w:left="1134" w:right="-787"/>
        <w:jc w:val="both"/>
        <w:rPr>
          <w:rFonts w:ascii="Palatino Linotype" w:eastAsia="Palatino Linotype" w:hAnsi="Palatino Linotype" w:cs="Palatino Linotype"/>
          <w:i/>
          <w:iCs/>
          <w:color w:val="000000"/>
        </w:rPr>
      </w:pPr>
      <w:bookmarkStart w:id="4" w:name="_heading=h.a6ixd9awlxsr" w:colFirst="0" w:colLast="0"/>
      <w:bookmarkEnd w:id="4"/>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“no me da la nformación que solicito.”</w:t>
      </w: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Consecutivamente</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Pr>
          <w:rFonts w:ascii="Palatino Linotype" w:eastAsia="Palatino Linotype" w:hAnsi="Palatino Linotype" w:cs="Palatino Linotype"/>
          <w:b/>
          <w:bCs/>
          <w:color w:val="000000"/>
        </w:rPr>
        <w:t>Comisionada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María del Rosario Mejía Ayala</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para</w:t>
      </w:r>
      <w:r>
        <w:rPr>
          <w:rFonts w:ascii="Palatino Linotype" w:eastAsia="Palatino Linotype" w:hAnsi="Palatino Linotype" w:cs="Palatino Linotype"/>
          <w:color w:val="000000"/>
        </w:rPr>
        <w:t xml:space="preserve"> su análisis.</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del </w:t>
      </w:r>
      <w:r>
        <w:rPr>
          <w:rFonts w:ascii="Palatino Linotype" w:eastAsia="Palatino Linotype" w:hAnsi="Palatino Linotype" w:cs="Palatino Linotype"/>
          <w:b/>
          <w:bCs/>
          <w:color w:val="000000"/>
        </w:rPr>
        <w:t xml:space="preserve">diecisiete de febrero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571C12" w:rsidRDefault="00571C12">
      <w:pPr>
        <w:pBdr>
          <w:top w:val="nil"/>
          <w:left w:val="nil"/>
          <w:bottom w:val="nil"/>
          <w:right w:val="nil"/>
          <w:between w:val="nil"/>
        </w:pBdr>
        <w:ind w:left="708" w:right="-787"/>
        <w:rPr>
          <w:rFonts w:ascii="Palatino Linotype" w:eastAsia="Palatino Linotype" w:hAnsi="Palatino Linotype" w:cs="Palatino Linotype"/>
          <w:color w:val="000000"/>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En esa línea, tal y como se observa en el expediente electrónico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veinticinco de febrero de dos mil veintiséis, </w:t>
      </w:r>
      <w:r>
        <w:rPr>
          <w:rFonts w:ascii="Palatino Linotype" w:eastAsia="Palatino Linotype" w:hAnsi="Palatino Linotype" w:cs="Palatino Linotype"/>
          <w:color w:val="000000"/>
        </w:rPr>
        <w:t xml:space="preserve">anexo un archivo electrónico en formato PDF, cuyo contenido grosso modo es el siguiente. </w:t>
      </w:r>
    </w:p>
    <w:p w:rsidR="00571C12" w:rsidRDefault="00F51032">
      <w:pPr>
        <w:pBdr>
          <w:top w:val="nil"/>
          <w:left w:val="nil"/>
          <w:bottom w:val="nil"/>
          <w:right w:val="nil"/>
          <w:between w:val="nil"/>
        </w:pBdr>
        <w:ind w:left="1134" w:right="-787"/>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Escáner_20260225.pdf: </w:t>
      </w:r>
      <w:r>
        <w:rPr>
          <w:rFonts w:ascii="Palatino Linotype" w:eastAsia="Palatino Linotype" w:hAnsi="Palatino Linotype" w:cs="Palatino Linotype"/>
          <w:i/>
          <w:iCs/>
          <w:color w:val="000000"/>
        </w:rPr>
        <w:t xml:space="preserve">documento mediante el cual se ratifica la respuesta inicial, agregándose una captura de pantalla donde refiere que la cantidad de hojas es de 2,418 archivos. </w:t>
      </w:r>
    </w:p>
    <w:p w:rsidR="00571C12" w:rsidRDefault="00571C12">
      <w:pPr>
        <w:pBdr>
          <w:top w:val="nil"/>
          <w:left w:val="nil"/>
          <w:bottom w:val="nil"/>
          <w:right w:val="nil"/>
          <w:between w:val="nil"/>
        </w:pBdr>
        <w:ind w:left="1134" w:right="-787"/>
        <w:rPr>
          <w:rFonts w:ascii="Palatino Linotype" w:eastAsia="Palatino Linotype" w:hAnsi="Palatino Linotype" w:cs="Palatino Linotype"/>
          <w:i/>
          <w:iCs/>
        </w:rPr>
      </w:pPr>
    </w:p>
    <w:p w:rsidR="00571C12" w:rsidRDefault="00571C12">
      <w:pPr>
        <w:pBdr>
          <w:top w:val="nil"/>
          <w:left w:val="nil"/>
          <w:bottom w:val="nil"/>
          <w:right w:val="nil"/>
          <w:between w:val="nil"/>
        </w:pBdr>
        <w:ind w:left="1134" w:right="-787"/>
        <w:rPr>
          <w:rFonts w:ascii="Palatino Linotype" w:eastAsia="Palatino Linotype" w:hAnsi="Palatino Linotype" w:cs="Palatino Linotype"/>
          <w:i/>
          <w:iCs/>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fue omiso en manifestar lo que a su derecho conviniera y asistiera. </w:t>
      </w:r>
    </w:p>
    <w:p w:rsidR="00571C12" w:rsidRDefault="00571C12">
      <w:pPr>
        <w:ind w:right="-787"/>
        <w:rPr>
          <w:rFonts w:ascii="Palatino Linotype" w:eastAsia="Palatino Linotype" w:hAnsi="Palatino Linotype" w:cs="Palatino Linotype"/>
          <w:b/>
          <w:bCs/>
          <w:color w:val="000000"/>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bookmarkStart w:id="5" w:name="_heading=h.a04k2rjplerd" w:colFirst="0" w:colLast="0"/>
      <w:bookmarkEnd w:id="5"/>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veintiuno de mayo de dos mil veintiséis</w:t>
      </w:r>
      <w:r>
        <w:rPr>
          <w:rFonts w:ascii="Palatino Linotype" w:eastAsia="Palatino Linotype" w:hAnsi="Palatino Linotype" w:cs="Palatino Linotype"/>
          <w:color w:val="000000"/>
        </w:rPr>
        <w:t xml:space="preserve">, la Comisionada Ponente notificó el acuerdo de ampliación para emitir resolución, en términos del artículo 181 párrafo tercero </w:t>
      </w:r>
      <w:r>
        <w:rPr>
          <w:rFonts w:ascii="Palatino Linotype" w:eastAsia="Palatino Linotype" w:hAnsi="Palatino Linotype" w:cs="Palatino Linotype"/>
          <w:color w:val="000000"/>
        </w:rPr>
        <w:lastRenderedPageBreak/>
        <w:t>de la Ley de Transparencia y Acceso a la Información Pública del Estado de México y Municipios</w:t>
      </w:r>
      <w:r>
        <w:rPr>
          <w:rFonts w:ascii="Palatino Linotype" w:eastAsia="Palatino Linotype" w:hAnsi="Palatino Linotype" w:cs="Palatino Linotype"/>
        </w:rPr>
        <w:t>.</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71C12" w:rsidRDefault="00F51032">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Finalmente, la Comisionada Ponente mediante acuerdo de fecha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color w:val="000000"/>
          <w:highlight w:val="white"/>
        </w:rPr>
        <w:t>veintisiete de mayo de dos mil veintiséis</w:t>
      </w:r>
      <w:r>
        <w:rPr>
          <w:rFonts w:ascii="Palatino Linotype" w:eastAsia="Palatino Linotype" w:hAnsi="Palatino Linotype" w:cs="Palatino Linotype"/>
          <w:color w:val="000000"/>
          <w:highlight w:val="white"/>
        </w:rPr>
        <w:t>, decretó el cierre de instrucción d</w:t>
      </w:r>
      <w:r>
        <w:rPr>
          <w:rFonts w:ascii="Palatino Linotype" w:eastAsia="Palatino Linotype" w:hAnsi="Palatino Linotype" w:cs="Palatino Linotype"/>
          <w:color w:val="000000"/>
        </w:rPr>
        <w:t>e los expedientes, por lo que no habiendo más que hacer constar, y</w:t>
      </w:r>
    </w:p>
    <w:p w:rsidR="00571C12" w:rsidRDefault="00571C12">
      <w:pPr>
        <w:spacing w:line="360" w:lineRule="auto"/>
        <w:ind w:right="-787"/>
        <w:rPr>
          <w:rFonts w:ascii="Palatino Linotype" w:eastAsia="Palatino Linotype" w:hAnsi="Palatino Linotype" w:cs="Palatino Linotype"/>
          <w:b/>
          <w:bCs/>
          <w:color w:val="000000"/>
        </w:rPr>
      </w:pPr>
    </w:p>
    <w:p w:rsidR="00571C12" w:rsidRDefault="00F51032">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571C12" w:rsidRDefault="00F51032">
      <w:pPr>
        <w:pStyle w:val="Ttulo2"/>
        <w:spacing w:before="0" w:line="360" w:lineRule="auto"/>
        <w:ind w:right="-787"/>
        <w:rPr>
          <w:rFonts w:ascii="Palatino Linotype" w:eastAsia="Palatino Linotype" w:hAnsi="Palatino Linotype" w:cs="Palatino Linotype"/>
          <w:b/>
          <w:bCs/>
          <w:color w:val="000000"/>
          <w:sz w:val="24"/>
          <w:szCs w:val="24"/>
        </w:rPr>
      </w:pPr>
      <w:bookmarkStart w:id="6" w:name="_heading=h.scojqfngiw0" w:colFirst="0" w:colLast="0"/>
      <w:bookmarkEnd w:id="6"/>
      <w:r>
        <w:rPr>
          <w:rFonts w:ascii="Palatino Linotype" w:eastAsia="Palatino Linotype" w:hAnsi="Palatino Linotype" w:cs="Palatino Linotype"/>
          <w:b/>
          <w:bCs/>
          <w:color w:val="000000"/>
          <w:sz w:val="24"/>
          <w:szCs w:val="24"/>
        </w:rPr>
        <w:t>PRIMERO. De la competencia</w:t>
      </w: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71C12" w:rsidRDefault="00571C12">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bookmarkStart w:id="7" w:name="_heading=h.cu5lr8z80sjy" w:colFirst="0" w:colLast="0"/>
      <w:bookmarkEnd w:id="7"/>
    </w:p>
    <w:p w:rsidR="00571C12" w:rsidRDefault="00F51032">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bookmarkStart w:id="8" w:name="_heading=h.1wllxl93h2od" w:colFirst="0" w:colLast="0"/>
      <w:bookmarkEnd w:id="8"/>
      <w:r>
        <w:rPr>
          <w:rFonts w:ascii="Palatino Linotype" w:eastAsia="Palatino Linotype" w:hAnsi="Palatino Linotype" w:cs="Palatino Linotype"/>
          <w:b/>
          <w:bCs/>
          <w:color w:val="000000"/>
        </w:rPr>
        <w:t>SEGUNDO. De la oportunidad y procedencia.</w:t>
      </w: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bookmarkStart w:id="9" w:name="_heading=h.ud9pi9fpaxzs" w:colFirst="0" w:colLast="0"/>
      <w:bookmarkEnd w:id="9"/>
      <w:r>
        <w:rPr>
          <w:rFonts w:ascii="Palatino Linotype" w:eastAsia="Palatino Linotype" w:hAnsi="Palatino Linotype" w:cs="Palatino Linotype"/>
          <w:color w:val="000000"/>
        </w:rPr>
        <w:t xml:space="preserve">Los medios de impugnación fueron presentados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w:t>
      </w:r>
      <w:r>
        <w:rPr>
          <w:rFonts w:ascii="Palatino Linotype" w:eastAsia="Palatino Linotype" w:hAnsi="Palatino Linotype" w:cs="Palatino Linotype"/>
          <w:color w:val="000000"/>
        </w:rPr>
        <w:lastRenderedPageBreak/>
        <w:t xml:space="preserve">respuesta el </w:t>
      </w:r>
      <w:r>
        <w:rPr>
          <w:rFonts w:ascii="Palatino Linotype" w:eastAsia="Palatino Linotype" w:hAnsi="Palatino Linotype" w:cs="Palatino Linotype"/>
          <w:b/>
          <w:bCs/>
          <w:color w:val="000000"/>
        </w:rPr>
        <w:t>diez de febrero de dos mil veintiséis</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once de febrero al cuatro de marzo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sus inconformidades el día </w:t>
      </w:r>
      <w:r>
        <w:rPr>
          <w:rFonts w:ascii="Palatino Linotype" w:eastAsia="Palatino Linotype" w:hAnsi="Palatino Linotype" w:cs="Palatino Linotype"/>
          <w:b/>
          <w:bCs/>
          <w:color w:val="000000"/>
        </w:rPr>
        <w:t>trece de febrero de dos mil veintiséis</w:t>
      </w:r>
      <w:r>
        <w:rPr>
          <w:rFonts w:ascii="Palatino Linotype" w:eastAsia="Palatino Linotype" w:hAnsi="Palatino Linotype" w:cs="Palatino Linotype"/>
          <w:color w:val="000000"/>
        </w:rPr>
        <w:t>; es decir dentro del lapso legalmente establecido para tal efecto.</w:t>
      </w:r>
    </w:p>
    <w:p w:rsidR="00571C12" w:rsidRDefault="00571C12">
      <w:pPr>
        <w:pBdr>
          <w:top w:val="nil"/>
          <w:left w:val="nil"/>
          <w:bottom w:val="nil"/>
          <w:right w:val="nil"/>
          <w:between w:val="nil"/>
        </w:pBdr>
        <w:spacing w:line="360" w:lineRule="auto"/>
        <w:ind w:left="360" w:right="-787"/>
        <w:jc w:val="both"/>
        <w:rPr>
          <w:rFonts w:ascii="Palatino Linotype" w:eastAsia="Palatino Linotype" w:hAnsi="Palatino Linotype" w:cs="Palatino Linotype"/>
        </w:rPr>
      </w:pPr>
      <w:bookmarkStart w:id="10" w:name="_heading=h.jclma4armlr" w:colFirst="0" w:colLast="0"/>
      <w:bookmarkEnd w:id="10"/>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71C12" w:rsidRDefault="00571C12">
      <w:pPr>
        <w:spacing w:line="360" w:lineRule="auto"/>
        <w:ind w:right="-787"/>
        <w:rPr>
          <w:rFonts w:ascii="Palatino Linotype" w:eastAsia="Palatino Linotype" w:hAnsi="Palatino Linotype" w:cs="Palatino Linotype"/>
        </w:rPr>
      </w:pPr>
    </w:p>
    <w:p w:rsidR="00571C12" w:rsidRDefault="00F51032">
      <w:pPr>
        <w:pStyle w:val="Ttulo1"/>
        <w:spacing w:before="0" w:line="360" w:lineRule="auto"/>
        <w:ind w:right="-787"/>
        <w:rPr>
          <w:rFonts w:ascii="Palatino Linotype" w:eastAsia="Palatino Linotype" w:hAnsi="Palatino Linotype" w:cs="Palatino Linotype"/>
          <w:b/>
          <w:bCs/>
          <w:color w:val="000000"/>
          <w:sz w:val="24"/>
          <w:szCs w:val="24"/>
        </w:rPr>
      </w:pPr>
      <w:bookmarkStart w:id="11" w:name="_heading=h.ncnxr2fxf78y" w:colFirst="0" w:colLast="0"/>
      <w:bookmarkEnd w:id="11"/>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571C12" w:rsidRDefault="00F51032">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571C12" w:rsidRDefault="00F51032">
      <w:pPr>
        <w:numPr>
          <w:ilvl w:val="0"/>
          <w:numId w:val="7"/>
        </w:numPr>
        <w:pBdr>
          <w:top w:val="nil"/>
          <w:left w:val="nil"/>
          <w:bottom w:val="nil"/>
          <w:right w:val="nil"/>
          <w:between w:val="nil"/>
        </w:pBdr>
        <w:ind w:left="1416" w:right="-787" w:hanging="642"/>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Recibos de nómina del ayuntamiento de valle de bravo de todo el mes de diciembre de 2025</w:t>
      </w:r>
    </w:p>
    <w:p w:rsidR="00571C12" w:rsidRDefault="00F51032">
      <w:pPr>
        <w:numPr>
          <w:ilvl w:val="0"/>
          <w:numId w:val="7"/>
        </w:numPr>
        <w:pBdr>
          <w:top w:val="nil"/>
          <w:left w:val="nil"/>
          <w:bottom w:val="nil"/>
          <w:right w:val="nil"/>
          <w:between w:val="nil"/>
        </w:pBdr>
        <w:ind w:left="1416" w:right="-787" w:hanging="642"/>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Recibos de aguinaldo, recibos de prima vacacional, gratificaciones de todas las áreas del ayuntamiento</w:t>
      </w:r>
    </w:p>
    <w:p w:rsidR="00571C12" w:rsidRDefault="00F51032">
      <w:pPr>
        <w:numPr>
          <w:ilvl w:val="0"/>
          <w:numId w:val="7"/>
        </w:numPr>
        <w:pBdr>
          <w:top w:val="nil"/>
          <w:left w:val="nil"/>
          <w:bottom w:val="nil"/>
          <w:right w:val="nil"/>
          <w:between w:val="nil"/>
        </w:pBdr>
        <w:ind w:left="1416" w:right="-787" w:hanging="642"/>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La nómina general del mes de diciembre de dos mil veinticinco </w:t>
      </w:r>
    </w:p>
    <w:p w:rsidR="00571C12" w:rsidRDefault="00571C12">
      <w:pPr>
        <w:spacing w:line="360" w:lineRule="auto"/>
        <w:ind w:left="708" w:right="-787" w:hanging="708"/>
        <w:jc w:val="both"/>
        <w:rPr>
          <w:rFonts w:ascii="Palatino Linotype" w:eastAsia="Palatino Linotype" w:hAnsi="Palatino Linotype" w:cs="Palatino Linotype"/>
          <w:b/>
          <w:bCs/>
          <w:i/>
          <w:iCs/>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la información que fue descrita en el párrafo cuatro de la presente resolución.</w:t>
      </w:r>
    </w:p>
    <w:p w:rsidR="00571C12" w:rsidRDefault="00571C12">
      <w:pPr>
        <w:ind w:right="-787"/>
        <w:jc w:val="both"/>
        <w:rPr>
          <w:rFonts w:ascii="Palatino Linotype" w:eastAsia="Palatino Linotype" w:hAnsi="Palatino Linotype" w:cs="Palatino Linotype"/>
          <w:i/>
          <w:iCs/>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w:t>
      </w:r>
      <w:r>
        <w:rPr>
          <w:rFonts w:ascii="Palatino Linotype" w:eastAsia="Palatino Linotype" w:hAnsi="Palatino Linotype" w:cs="Palatino Linotype"/>
          <w:b/>
          <w:bCs/>
          <w:color w:val="000000"/>
        </w:rPr>
        <w:lastRenderedPageBreak/>
        <w:t xml:space="preserve">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De modo tal que el presente recurso de revisión se abocara en determinar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571C12" w:rsidRDefault="00571C12">
      <w:pPr>
        <w:pBdr>
          <w:top w:val="nil"/>
          <w:left w:val="nil"/>
          <w:bottom w:val="nil"/>
          <w:right w:val="nil"/>
          <w:between w:val="nil"/>
        </w:pBdr>
        <w:spacing w:line="360" w:lineRule="auto"/>
        <w:ind w:left="709" w:right="-787"/>
        <w:rPr>
          <w:rFonts w:ascii="Palatino Linotype" w:eastAsia="Palatino Linotype" w:hAnsi="Palatino Linotype" w:cs="Palatino Linotype"/>
          <w:color w:val="000000"/>
        </w:rPr>
      </w:pPr>
    </w:p>
    <w:p w:rsidR="00571C12" w:rsidRDefault="00F51032">
      <w:pPr>
        <w:keepNext/>
        <w:keepLines/>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estudio.</w:t>
      </w:r>
    </w:p>
    <w:p w:rsidR="00571C12" w:rsidRDefault="00F51032">
      <w:pPr>
        <w:keepNext/>
        <w:keepLines/>
        <w:numPr>
          <w:ilvl w:val="0"/>
          <w:numId w:val="5"/>
        </w:numPr>
        <w:spacing w:after="240" w:line="360" w:lineRule="auto"/>
        <w:ind w:left="786" w:right="-787"/>
        <w:rPr>
          <w:rFonts w:ascii="Palatino Linotype" w:eastAsia="Palatino Linotype" w:hAnsi="Palatino Linotype" w:cs="Palatino Linotype"/>
          <w:b/>
          <w:bCs/>
          <w:color w:val="000000"/>
        </w:rPr>
      </w:pPr>
      <w:bookmarkStart w:id="12" w:name="_heading=h.1t3h5sf" w:colFirst="0" w:colLast="0"/>
      <w:bookmarkEnd w:id="12"/>
      <w:r>
        <w:rPr>
          <w:rFonts w:ascii="Palatino Linotype" w:eastAsia="Palatino Linotype" w:hAnsi="Palatino Linotype" w:cs="Palatino Linotype"/>
          <w:b/>
          <w:bCs/>
          <w:color w:val="000000"/>
        </w:rPr>
        <w:t>Del derecho de acceso a la información.</w:t>
      </w:r>
    </w:p>
    <w:p w:rsidR="00571C12" w:rsidRDefault="00F51032">
      <w:pPr>
        <w:numPr>
          <w:ilvl w:val="0"/>
          <w:numId w:val="3"/>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571C12" w:rsidRDefault="00F51032">
      <w:pPr>
        <w:numPr>
          <w:ilvl w:val="0"/>
          <w:numId w:val="3"/>
        </w:numPr>
        <w:spacing w:before="240" w:line="360" w:lineRule="auto"/>
        <w:ind w:left="0" w:right="-787" w:firstLine="0"/>
        <w:jc w:val="both"/>
      </w:pPr>
      <w:r>
        <w:rPr>
          <w:rFonts w:ascii="Palatino Linotype" w:eastAsia="Palatino Linotype" w:hAnsi="Palatino Linotype" w:cs="Palatino Linotype"/>
        </w:rPr>
        <w:lastRenderedPageBreak/>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rPr>
        <w:t>”.</w:t>
      </w:r>
    </w:p>
    <w:p w:rsidR="002C5AB2" w:rsidRDefault="002C5AB2">
      <w:pPr>
        <w:ind w:left="1134"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71C12" w:rsidRDefault="00F51032">
      <w:pPr>
        <w:spacing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571C12" w:rsidRDefault="00F51032">
      <w:pPr>
        <w:spacing w:before="240"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571C12" w:rsidRDefault="00F51032">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71C12" w:rsidRDefault="00F51032">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571C12" w:rsidRDefault="00F51032">
      <w:pPr>
        <w:spacing w:before="240"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571C12" w:rsidRDefault="00F51032">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 rvada temporalmente por razones de interés público y seguridad nacional, en los términos que fijen las leyes. </w:t>
      </w:r>
      <w:r>
        <w:rPr>
          <w:rFonts w:ascii="Palatino Linotype" w:eastAsia="Palatino Linotype" w:hAnsi="Palatino Linotype" w:cs="Palatino Linotype"/>
          <w:b/>
          <w:bCs/>
          <w:i/>
          <w:iCs/>
        </w:rPr>
        <w:t xml:space="preserve">En la interpretación de este derecho deberá prevalecer el principio de máxima </w:t>
      </w:r>
      <w:r>
        <w:rPr>
          <w:rFonts w:ascii="Palatino Linotype" w:eastAsia="Palatino Linotype" w:hAnsi="Palatino Linotype" w:cs="Palatino Linotype"/>
          <w:b/>
          <w:bCs/>
          <w:i/>
          <w:iCs/>
        </w:rPr>
        <w:lastRenderedPageBreak/>
        <w:t>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571C12" w:rsidRDefault="00571C12">
      <w:pPr>
        <w:pBdr>
          <w:top w:val="nil"/>
          <w:left w:val="nil"/>
          <w:bottom w:val="nil"/>
          <w:right w:val="nil"/>
          <w:between w:val="nil"/>
        </w:pBdr>
        <w:tabs>
          <w:tab w:val="left" w:pos="567"/>
        </w:tabs>
        <w:spacing w:before="240" w:after="240"/>
        <w:ind w:left="1134" w:right="-787"/>
        <w:jc w:val="both"/>
        <w:rPr>
          <w:rFonts w:ascii="Palatino Linotype" w:eastAsia="Palatino Linotype" w:hAnsi="Palatino Linotype" w:cs="Palatino Linotype"/>
          <w:b/>
          <w:bCs/>
          <w:i/>
          <w:iCs/>
          <w:color w:val="000000"/>
        </w:rPr>
      </w:pPr>
    </w:p>
    <w:p w:rsidR="00571C12" w:rsidRDefault="00F51032">
      <w:pPr>
        <w:spacing w:before="240"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571C12" w:rsidRDefault="00F51032">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571C12" w:rsidRDefault="00F51032">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71C12" w:rsidRDefault="00F51032">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571C12" w:rsidRDefault="00F51032">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71C12" w:rsidRDefault="00F51032">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571C12" w:rsidRDefault="00F51032">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571C12" w:rsidRDefault="00F51032">
      <w:pPr>
        <w:numPr>
          <w:ilvl w:val="0"/>
          <w:numId w:val="3"/>
        </w:numPr>
        <w:spacing w:before="240" w:line="360" w:lineRule="auto"/>
        <w:ind w:left="0" w:right="-787" w:firstLine="0"/>
        <w:jc w:val="both"/>
      </w:pPr>
      <w:r>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bookmarkStart w:id="13" w:name="_heading=h.4d34og8" w:colFirst="0" w:colLast="0"/>
      <w:bookmarkEnd w:id="13"/>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pStyle w:val="Ttulo1"/>
        <w:spacing w:before="0" w:after="240" w:line="360" w:lineRule="auto"/>
        <w:ind w:right="-787"/>
        <w:rPr>
          <w:rFonts w:ascii="Palatino Linotype" w:eastAsia="Palatino Linotype" w:hAnsi="Palatino Linotype" w:cs="Palatino Linotype"/>
          <w:b/>
          <w:bCs/>
          <w:color w:val="000000"/>
          <w:sz w:val="24"/>
          <w:szCs w:val="24"/>
        </w:rPr>
      </w:pPr>
      <w:bookmarkStart w:id="14" w:name="_heading=h.2s8eyo1" w:colFirst="0" w:colLast="0"/>
      <w:bookmarkEnd w:id="14"/>
      <w:r>
        <w:rPr>
          <w:rFonts w:ascii="Palatino Linotype" w:eastAsia="Palatino Linotype" w:hAnsi="Palatino Linotype" w:cs="Palatino Linotype"/>
          <w:b/>
          <w:bCs/>
          <w:color w:val="000000"/>
          <w:sz w:val="24"/>
          <w:szCs w:val="24"/>
        </w:rPr>
        <w:t>II. De la información solicitada y la respuesta del SUJETO OBLIGADO</w:t>
      </w: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En ese sentido, es importante realizar la siguiente tabla de análisis para establecer si con la respuesta fue colmado el derecho de acceso a la información del </w:t>
      </w:r>
      <w:r>
        <w:rPr>
          <w:rFonts w:ascii="Palatino Linotype" w:eastAsia="Palatino Linotype" w:hAnsi="Palatino Linotype" w:cs="Palatino Linotype"/>
          <w:b/>
          <w:bCs/>
        </w:rPr>
        <w:t xml:space="preserve">RECURRENTE. </w:t>
      </w:r>
    </w:p>
    <w:p w:rsidR="00571C12" w:rsidRDefault="00571C12">
      <w:pPr>
        <w:pBdr>
          <w:top w:val="nil"/>
          <w:left w:val="nil"/>
          <w:bottom w:val="nil"/>
          <w:right w:val="nil"/>
          <w:between w:val="nil"/>
        </w:pBdr>
        <w:ind w:left="708" w:right="-787"/>
        <w:rPr>
          <w:rFonts w:ascii="Palatino Linotype" w:eastAsia="Palatino Linotype" w:hAnsi="Palatino Linotype" w:cs="Palatino Linotype"/>
          <w:color w:val="000000"/>
        </w:rPr>
      </w:pPr>
    </w:p>
    <w:tbl>
      <w:tblPr>
        <w:tblStyle w:val="a"/>
        <w:tblW w:w="96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0"/>
        <w:gridCol w:w="2955"/>
        <w:gridCol w:w="2220"/>
        <w:gridCol w:w="1680"/>
      </w:tblGrid>
      <w:tr w:rsidR="00571C12">
        <w:tc>
          <w:tcPr>
            <w:tcW w:w="2820" w:type="dxa"/>
          </w:tcPr>
          <w:p w:rsidR="00571C12" w:rsidRDefault="00F51032" w:rsidP="002C5AB2">
            <w:pPr>
              <w:ind w:right="-76"/>
              <w:jc w:val="center"/>
              <w:rPr>
                <w:rFonts w:ascii="Palatino Linotype" w:eastAsia="Palatino Linotype" w:hAnsi="Palatino Linotype" w:cs="Palatino Linotype"/>
                <w:i/>
                <w:iCs/>
              </w:rPr>
            </w:pPr>
            <w:r>
              <w:rPr>
                <w:rFonts w:ascii="Palatino Linotype" w:eastAsia="Palatino Linotype" w:hAnsi="Palatino Linotype" w:cs="Palatino Linotype"/>
                <w:i/>
                <w:iCs/>
              </w:rPr>
              <w:t>Información solicitada</w:t>
            </w:r>
          </w:p>
        </w:tc>
        <w:tc>
          <w:tcPr>
            <w:tcW w:w="2955" w:type="dxa"/>
          </w:tcPr>
          <w:p w:rsidR="00571C12" w:rsidRDefault="00F51032" w:rsidP="002C5AB2">
            <w:pPr>
              <w:ind w:right="-76"/>
              <w:jc w:val="center"/>
              <w:rPr>
                <w:rFonts w:ascii="Palatino Linotype" w:eastAsia="Palatino Linotype" w:hAnsi="Palatino Linotype" w:cs="Palatino Linotype"/>
                <w:i/>
                <w:iCs/>
              </w:rPr>
            </w:pPr>
            <w:r>
              <w:rPr>
                <w:rFonts w:ascii="Palatino Linotype" w:eastAsia="Palatino Linotype" w:hAnsi="Palatino Linotype" w:cs="Palatino Linotype"/>
                <w:i/>
                <w:iCs/>
              </w:rPr>
              <w:t>Respuesta inicial</w:t>
            </w:r>
          </w:p>
        </w:tc>
        <w:tc>
          <w:tcPr>
            <w:tcW w:w="2220" w:type="dxa"/>
          </w:tcPr>
          <w:p w:rsidR="00571C12" w:rsidRDefault="00F51032" w:rsidP="002C5AB2">
            <w:pPr>
              <w:ind w:right="-76"/>
              <w:jc w:val="center"/>
              <w:rPr>
                <w:rFonts w:ascii="Palatino Linotype" w:eastAsia="Palatino Linotype" w:hAnsi="Palatino Linotype" w:cs="Palatino Linotype"/>
                <w:i/>
                <w:iCs/>
              </w:rPr>
            </w:pPr>
            <w:r>
              <w:rPr>
                <w:rFonts w:ascii="Palatino Linotype" w:eastAsia="Palatino Linotype" w:hAnsi="Palatino Linotype" w:cs="Palatino Linotype"/>
                <w:i/>
                <w:iCs/>
              </w:rPr>
              <w:t>Informe justificado</w:t>
            </w:r>
          </w:p>
        </w:tc>
        <w:tc>
          <w:tcPr>
            <w:tcW w:w="1680" w:type="dxa"/>
          </w:tcPr>
          <w:p w:rsidR="00571C12" w:rsidRDefault="00F51032" w:rsidP="002C5AB2">
            <w:pPr>
              <w:ind w:right="-76"/>
              <w:jc w:val="center"/>
              <w:rPr>
                <w:rFonts w:ascii="Palatino Linotype" w:eastAsia="Palatino Linotype" w:hAnsi="Palatino Linotype" w:cs="Palatino Linotype"/>
                <w:i/>
                <w:iCs/>
              </w:rPr>
            </w:pPr>
            <w:r>
              <w:rPr>
                <w:rFonts w:ascii="Palatino Linotype" w:eastAsia="Palatino Linotype" w:hAnsi="Palatino Linotype" w:cs="Palatino Linotype"/>
                <w:i/>
                <w:iCs/>
              </w:rPr>
              <w:t>Colma</w:t>
            </w:r>
          </w:p>
        </w:tc>
      </w:tr>
      <w:tr w:rsidR="00571C12">
        <w:tc>
          <w:tcPr>
            <w:tcW w:w="2820" w:type="dxa"/>
          </w:tcPr>
          <w:p w:rsidR="00571C12" w:rsidRDefault="00F51032">
            <w:pPr>
              <w:ind w:right="-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1.- Recibos de nómina del ayuntamiento de valle de bravo de todo el mes de diciembre de 2025</w:t>
            </w:r>
          </w:p>
        </w:tc>
        <w:tc>
          <w:tcPr>
            <w:tcW w:w="2955" w:type="dxa"/>
          </w:tcPr>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TRANSPARENCIA .pdf: </w:t>
            </w:r>
            <w:r>
              <w:rPr>
                <w:rFonts w:ascii="Palatino Linotype" w:eastAsia="Palatino Linotype" w:hAnsi="Palatino Linotype" w:cs="Palatino Linotype"/>
                <w:i/>
                <w:iCs/>
              </w:rPr>
              <w:t xml:space="preserve">oficio de la Titular de la Unidad de Transparencia, mediante el cual informa que se pone a disposición la </w:t>
            </w:r>
            <w:r>
              <w:rPr>
                <w:rFonts w:ascii="Palatino Linotype" w:eastAsia="Palatino Linotype" w:hAnsi="Palatino Linotype" w:cs="Palatino Linotype"/>
                <w:i/>
                <w:iCs/>
              </w:rPr>
              <w:lastRenderedPageBreak/>
              <w:t xml:space="preserve">información en consulta directa. </w:t>
            </w:r>
          </w:p>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 TESORERIA.pdf: </w:t>
            </w:r>
            <w:r>
              <w:rPr>
                <w:rFonts w:ascii="Palatino Linotype" w:eastAsia="Palatino Linotype" w:hAnsi="Palatino Linotype" w:cs="Palatino Linotype"/>
                <w:i/>
                <w:iCs/>
              </w:rPr>
              <w:t xml:space="preserve">oficio de la Tesorera Municipal, mediante el cual informa que remite la información solicitada y requiere se cite al Comité de Transparencia para clasificar como confidencial los datos relativos a RFC, número de clave Issemym, cadena y sello digital, CURP, folio fiscal,  código QR y cadena original. </w:t>
            </w:r>
          </w:p>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SESION CT .pdf: </w:t>
            </w:r>
            <w:r>
              <w:rPr>
                <w:rFonts w:ascii="Palatino Linotype" w:eastAsia="Palatino Linotype" w:hAnsi="Palatino Linotype" w:cs="Palatino Linotype"/>
                <w:i/>
                <w:iCs/>
              </w:rPr>
              <w:t xml:space="preserve">Acta del Comité de Transparencia de Valle de Bravo, mediante el cual clasifican los datos RFC, número de clave Issemym, cadena y sello digital, CURP, folio fiscal,  código QR y cadena original. </w:t>
            </w:r>
          </w:p>
          <w:p w:rsidR="00571C12" w:rsidRDefault="00571C12">
            <w:pPr>
              <w:ind w:right="-76"/>
              <w:jc w:val="both"/>
              <w:rPr>
                <w:rFonts w:ascii="Palatino Linotype" w:eastAsia="Palatino Linotype" w:hAnsi="Palatino Linotype" w:cs="Palatino Linotype"/>
                <w:i/>
                <w:iCs/>
              </w:rPr>
            </w:pPr>
          </w:p>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INFOEM.pdf: </w:t>
            </w:r>
            <w:r>
              <w:rPr>
                <w:rFonts w:ascii="Palatino Linotype" w:eastAsia="Palatino Linotype" w:hAnsi="Palatino Linotype" w:cs="Palatino Linotype"/>
                <w:i/>
                <w:iCs/>
              </w:rPr>
              <w:t xml:space="preserve">incidencia técnica firmada por el Director General de Informática mediante el cual aprueba el peso de información. </w:t>
            </w:r>
          </w:p>
          <w:p w:rsidR="00571C12" w:rsidRDefault="00571C12">
            <w:pPr>
              <w:ind w:right="-76"/>
              <w:jc w:val="both"/>
              <w:rPr>
                <w:rFonts w:ascii="Palatino Linotype" w:eastAsia="Palatino Linotype" w:hAnsi="Palatino Linotype" w:cs="Palatino Linotype"/>
                <w:i/>
                <w:iCs/>
              </w:rPr>
            </w:pPr>
          </w:p>
        </w:tc>
        <w:tc>
          <w:tcPr>
            <w:tcW w:w="2220" w:type="dxa"/>
          </w:tcPr>
          <w:p w:rsidR="00571C12" w:rsidRDefault="00F51032">
            <w:pPr>
              <w:ind w:right="-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Ratifica su respuesta inicial </w:t>
            </w:r>
          </w:p>
          <w:p w:rsidR="00571C12" w:rsidRDefault="00571C12">
            <w:pPr>
              <w:ind w:right="-76"/>
              <w:rPr>
                <w:rFonts w:ascii="Palatino Linotype" w:eastAsia="Palatino Linotype" w:hAnsi="Palatino Linotype" w:cs="Palatino Linotype"/>
              </w:rPr>
            </w:pPr>
          </w:p>
          <w:p w:rsidR="00571C12" w:rsidRDefault="00571C12">
            <w:pPr>
              <w:ind w:right="-76"/>
              <w:jc w:val="both"/>
              <w:rPr>
                <w:rFonts w:ascii="Palatino Linotype" w:eastAsia="Palatino Linotype" w:hAnsi="Palatino Linotype" w:cs="Palatino Linotype"/>
                <w:i/>
                <w:iCs/>
              </w:rPr>
            </w:pPr>
          </w:p>
        </w:tc>
        <w:tc>
          <w:tcPr>
            <w:tcW w:w="1680" w:type="dxa"/>
          </w:tcPr>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la cantidad de hojas no sobre pasa la </w:t>
            </w:r>
            <w:r>
              <w:rPr>
                <w:rFonts w:ascii="Palatino Linotype" w:eastAsia="Palatino Linotype" w:hAnsi="Palatino Linotype" w:cs="Palatino Linotype"/>
                <w:i/>
                <w:iCs/>
              </w:rPr>
              <w:lastRenderedPageBreak/>
              <w:t xml:space="preserve">capacidad del sistema SAIMEX, además de que solo se están solicitando los recibos de nómina del mes de diciembre. </w:t>
            </w:r>
          </w:p>
        </w:tc>
      </w:tr>
      <w:tr w:rsidR="00571C12">
        <w:tc>
          <w:tcPr>
            <w:tcW w:w="2820" w:type="dxa"/>
          </w:tcPr>
          <w:p w:rsidR="00571C12" w:rsidRDefault="00F51032">
            <w:pPr>
              <w:pBdr>
                <w:top w:val="nil"/>
                <w:left w:val="nil"/>
                <w:bottom w:val="nil"/>
                <w:right w:val="nil"/>
                <w:between w:val="nil"/>
              </w:pBdr>
              <w:ind w:right="-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2.- Recibos de aguinaldo, recibos de prima vacacional, gratificaciones de todas </w:t>
            </w:r>
            <w:r>
              <w:rPr>
                <w:rFonts w:ascii="Palatino Linotype" w:eastAsia="Palatino Linotype" w:hAnsi="Palatino Linotype" w:cs="Palatino Linotype"/>
                <w:b/>
                <w:bCs/>
                <w:i/>
                <w:iCs/>
                <w:color w:val="000000"/>
              </w:rPr>
              <w:lastRenderedPageBreak/>
              <w:t>las áreas del ayuntamiento</w:t>
            </w:r>
          </w:p>
          <w:p w:rsidR="00571C12" w:rsidRDefault="00571C12">
            <w:pPr>
              <w:ind w:right="-76"/>
              <w:jc w:val="both"/>
              <w:rPr>
                <w:rFonts w:ascii="Palatino Linotype" w:eastAsia="Palatino Linotype" w:hAnsi="Palatino Linotype" w:cs="Palatino Linotype"/>
                <w:i/>
                <w:iCs/>
              </w:rPr>
            </w:pPr>
          </w:p>
        </w:tc>
        <w:tc>
          <w:tcPr>
            <w:tcW w:w="2955" w:type="dxa"/>
          </w:tcPr>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TRANSPARENCIA .pdf: </w:t>
            </w:r>
            <w:r>
              <w:rPr>
                <w:rFonts w:ascii="Palatino Linotype" w:eastAsia="Palatino Linotype" w:hAnsi="Palatino Linotype" w:cs="Palatino Linotype"/>
                <w:i/>
                <w:iCs/>
              </w:rPr>
              <w:t xml:space="preserve">oficio de la Titular de la Unidad de Transparencia, mediante el cual informa que se pone a disposición la </w:t>
            </w:r>
            <w:r>
              <w:rPr>
                <w:rFonts w:ascii="Palatino Linotype" w:eastAsia="Palatino Linotype" w:hAnsi="Palatino Linotype" w:cs="Palatino Linotype"/>
                <w:i/>
                <w:iCs/>
              </w:rPr>
              <w:lastRenderedPageBreak/>
              <w:t xml:space="preserve">información en consulta directa. </w:t>
            </w:r>
          </w:p>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 TESORERIA.pdf: </w:t>
            </w:r>
            <w:r>
              <w:rPr>
                <w:rFonts w:ascii="Palatino Linotype" w:eastAsia="Palatino Linotype" w:hAnsi="Palatino Linotype" w:cs="Palatino Linotype"/>
                <w:i/>
                <w:iCs/>
              </w:rPr>
              <w:t xml:space="preserve">oficio de la Tesorera Municipal, mediante el cual informa que remite la información solicitada y requiere se cite al Comité de Transparencia para clasificar como confidencial los datos relativos a RFC, número de clave Issemym, cadena y sello digital, CURP, folio fiscal,  código QR y cadena original. </w:t>
            </w:r>
          </w:p>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SESION CT .pdf: </w:t>
            </w:r>
            <w:r>
              <w:rPr>
                <w:rFonts w:ascii="Palatino Linotype" w:eastAsia="Palatino Linotype" w:hAnsi="Palatino Linotype" w:cs="Palatino Linotype"/>
                <w:i/>
                <w:iCs/>
              </w:rPr>
              <w:t xml:space="preserve">Acta del Comité de Transparencia de Valle de Bravo, mediante el cual clasifican los datos RFC, número de clave Issemym, cadena y sello digital, CURP, folio fiscal,  código QR y cadena original. </w:t>
            </w:r>
          </w:p>
          <w:p w:rsidR="00571C12" w:rsidRDefault="00571C12">
            <w:pPr>
              <w:ind w:right="-76"/>
              <w:jc w:val="both"/>
              <w:rPr>
                <w:rFonts w:ascii="Palatino Linotype" w:eastAsia="Palatino Linotype" w:hAnsi="Palatino Linotype" w:cs="Palatino Linotype"/>
                <w:i/>
                <w:iCs/>
              </w:rPr>
            </w:pPr>
          </w:p>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INFOEM.pdf: </w:t>
            </w:r>
            <w:r>
              <w:rPr>
                <w:rFonts w:ascii="Palatino Linotype" w:eastAsia="Palatino Linotype" w:hAnsi="Palatino Linotype" w:cs="Palatino Linotype"/>
                <w:i/>
                <w:iCs/>
              </w:rPr>
              <w:t xml:space="preserve">incidencia técnica firmada por el Director General de Informática mediante el cual aprueba el peso de información. </w:t>
            </w:r>
          </w:p>
          <w:p w:rsidR="00571C12" w:rsidRDefault="00571C12">
            <w:pPr>
              <w:ind w:right="-76"/>
              <w:jc w:val="both"/>
              <w:rPr>
                <w:rFonts w:ascii="Palatino Linotype" w:eastAsia="Palatino Linotype" w:hAnsi="Palatino Linotype" w:cs="Palatino Linotype"/>
                <w:i/>
                <w:iCs/>
              </w:rPr>
            </w:pPr>
          </w:p>
        </w:tc>
        <w:tc>
          <w:tcPr>
            <w:tcW w:w="2220" w:type="dxa"/>
          </w:tcPr>
          <w:p w:rsidR="00571C12" w:rsidRDefault="00F51032">
            <w:pPr>
              <w:ind w:right="-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Ratifica su respuesta inicial </w:t>
            </w:r>
          </w:p>
          <w:p w:rsidR="00571C12" w:rsidRDefault="00571C12">
            <w:pPr>
              <w:ind w:right="-76"/>
              <w:rPr>
                <w:rFonts w:ascii="Palatino Linotype" w:eastAsia="Palatino Linotype" w:hAnsi="Palatino Linotype" w:cs="Palatino Linotype"/>
              </w:rPr>
            </w:pPr>
          </w:p>
          <w:p w:rsidR="00571C12" w:rsidRDefault="00571C12">
            <w:pPr>
              <w:ind w:right="-76"/>
              <w:jc w:val="both"/>
              <w:rPr>
                <w:rFonts w:ascii="Palatino Linotype" w:eastAsia="Palatino Linotype" w:hAnsi="Palatino Linotype" w:cs="Palatino Linotype"/>
                <w:i/>
                <w:iCs/>
                <w:color w:val="000000"/>
              </w:rPr>
            </w:pPr>
          </w:p>
        </w:tc>
        <w:tc>
          <w:tcPr>
            <w:tcW w:w="1680" w:type="dxa"/>
          </w:tcPr>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la cantidad de hojas no sobre pasa la </w:t>
            </w:r>
            <w:r>
              <w:rPr>
                <w:rFonts w:ascii="Palatino Linotype" w:eastAsia="Palatino Linotype" w:hAnsi="Palatino Linotype" w:cs="Palatino Linotype"/>
                <w:i/>
                <w:iCs/>
              </w:rPr>
              <w:lastRenderedPageBreak/>
              <w:t>capacidad del sistema SAIMEX, además se debe de señalar que los recibos de nómina ya incluyen los pagos de prima vacacional y de aguinaldo</w:t>
            </w:r>
          </w:p>
        </w:tc>
      </w:tr>
      <w:tr w:rsidR="00571C12">
        <w:tc>
          <w:tcPr>
            <w:tcW w:w="2820" w:type="dxa"/>
          </w:tcPr>
          <w:p w:rsidR="00571C12" w:rsidRDefault="00F51032">
            <w:pPr>
              <w:ind w:right="-76"/>
              <w:jc w:val="both"/>
              <w:rPr>
                <w:rFonts w:ascii="Palatino Linotype" w:eastAsia="Palatino Linotype" w:hAnsi="Palatino Linotype" w:cs="Palatino Linotype"/>
                <w:b/>
                <w:bCs/>
                <w:i/>
                <w:iCs/>
              </w:rPr>
            </w:pPr>
            <w:r>
              <w:rPr>
                <w:rFonts w:ascii="Palatino Linotype" w:eastAsia="Palatino Linotype" w:hAnsi="Palatino Linotype" w:cs="Palatino Linotype"/>
                <w:i/>
                <w:iCs/>
              </w:rPr>
              <w:lastRenderedPageBreak/>
              <w:t xml:space="preserve">3.- </w:t>
            </w:r>
            <w:r>
              <w:rPr>
                <w:rFonts w:ascii="Palatino Linotype" w:eastAsia="Palatino Linotype" w:hAnsi="Palatino Linotype" w:cs="Palatino Linotype"/>
                <w:b/>
                <w:bCs/>
                <w:i/>
                <w:iCs/>
              </w:rPr>
              <w:t xml:space="preserve">La nómina general del mes de diciembre de dos mil veinticinco </w:t>
            </w:r>
          </w:p>
          <w:p w:rsidR="00571C12" w:rsidRDefault="00571C12">
            <w:pPr>
              <w:ind w:right="-76"/>
              <w:jc w:val="both"/>
              <w:rPr>
                <w:rFonts w:ascii="Palatino Linotype" w:eastAsia="Palatino Linotype" w:hAnsi="Palatino Linotype" w:cs="Palatino Linotype"/>
                <w:i/>
                <w:iCs/>
              </w:rPr>
            </w:pPr>
          </w:p>
        </w:tc>
        <w:tc>
          <w:tcPr>
            <w:tcW w:w="2955" w:type="dxa"/>
          </w:tcPr>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i/>
                <w:iCs/>
              </w:rPr>
              <w:t>No hay pronunciamiento</w:t>
            </w:r>
          </w:p>
        </w:tc>
        <w:tc>
          <w:tcPr>
            <w:tcW w:w="2220" w:type="dxa"/>
          </w:tcPr>
          <w:p w:rsidR="00571C12" w:rsidRDefault="00F51032">
            <w:pPr>
              <w:ind w:right="-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hay pronunciamiento</w:t>
            </w:r>
          </w:p>
          <w:p w:rsidR="00571C12" w:rsidRDefault="00571C12">
            <w:pPr>
              <w:ind w:right="-76"/>
              <w:rPr>
                <w:rFonts w:ascii="Palatino Linotype" w:eastAsia="Palatino Linotype" w:hAnsi="Palatino Linotype" w:cs="Palatino Linotype"/>
              </w:rPr>
            </w:pPr>
          </w:p>
          <w:p w:rsidR="00571C12" w:rsidRDefault="00571C12">
            <w:pPr>
              <w:ind w:right="-76"/>
              <w:jc w:val="both"/>
              <w:rPr>
                <w:rFonts w:ascii="Palatino Linotype" w:eastAsia="Palatino Linotype" w:hAnsi="Palatino Linotype" w:cs="Palatino Linotype"/>
                <w:i/>
                <w:iCs/>
                <w:color w:val="000000"/>
              </w:rPr>
            </w:pPr>
          </w:p>
        </w:tc>
        <w:tc>
          <w:tcPr>
            <w:tcW w:w="1680" w:type="dxa"/>
          </w:tcPr>
          <w:p w:rsidR="00571C12" w:rsidRDefault="00F51032">
            <w:pPr>
              <w:ind w:right="-76"/>
              <w:jc w:val="both"/>
              <w:rPr>
                <w:rFonts w:ascii="Palatino Linotype" w:eastAsia="Palatino Linotype" w:hAnsi="Palatino Linotype" w:cs="Palatino Linotype"/>
                <w:i/>
                <w:iCs/>
              </w:rPr>
            </w:pPr>
            <w:r>
              <w:rPr>
                <w:rFonts w:ascii="Palatino Linotype" w:eastAsia="Palatino Linotype" w:hAnsi="Palatino Linotype" w:cs="Palatino Linotype"/>
                <w:i/>
                <w:iCs/>
              </w:rPr>
              <w:t>No colma</w:t>
            </w:r>
          </w:p>
        </w:tc>
      </w:tr>
    </w:tbl>
    <w:p w:rsidR="00571C12" w:rsidRDefault="00571C12">
      <w:pP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lastRenderedPageBreak/>
        <w:t xml:space="preserve">De lo anterior, se debe de precisar que la respuesta entregadas no colma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toda vez que no se hace la entrega de lo solicitado, sin embargo, se colige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asume contar con la información que es de interés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toda vez que  al ponerla en la modalidad de </w:t>
      </w:r>
      <w:r>
        <w:rPr>
          <w:rFonts w:ascii="Palatino Linotype" w:eastAsia="Palatino Linotype" w:hAnsi="Palatino Linotype" w:cs="Palatino Linotype"/>
          <w:b/>
          <w:bCs/>
        </w:rPr>
        <w:t xml:space="preserve">CONSULTA DIRECTA </w:t>
      </w:r>
      <w:r>
        <w:rPr>
          <w:rFonts w:ascii="Palatino Linotype" w:eastAsia="Palatino Linotype" w:hAnsi="Palatino Linotype" w:cs="Palatino Linotype"/>
        </w:rPr>
        <w:t xml:space="preserve">asume que se administra en sus archivos, situación por la cual se hace el siguiente análisis en cuanto al recibo de nómina. </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numPr>
          <w:ilvl w:val="0"/>
          <w:numId w:val="9"/>
        </w:numPr>
        <w:tabs>
          <w:tab w:val="left" w:pos="284"/>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Recibos de Nomina</w:t>
      </w: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En ese sentido, se debe precisar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Como </w:t>
      </w:r>
      <w:r>
        <w:rPr>
          <w:rFonts w:ascii="Palatino Linotype" w:eastAsia="Palatino Linotype" w:hAnsi="Palatino Linotype" w:cs="Palatino Linotype"/>
          <w:color w:val="000000"/>
        </w:rPr>
        <w:t>ya</w:t>
      </w:r>
      <w:r>
        <w:rPr>
          <w:rFonts w:ascii="Palatino Linotype" w:eastAsia="Palatino Linotype" w:hAnsi="Palatino Linotype" w:cs="Palatino Linotype"/>
        </w:rPr>
        <w:t xml:space="preserve"> se apuntó, si bien es cierto nuestra legislación no establece la definición de “nómina”, este término es mencionado en diferentes ordenamientos legales, así el artículo 804 fracción II de la Ley Federal de Trabajo, señala lo siguiente: </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Artículo 804.-</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El patrón tiene obligación de conservar y exhibir en juicio los documentos que a continuación se precisan</w:t>
      </w:r>
      <w:r>
        <w:rPr>
          <w:rFonts w:ascii="Palatino Linotype" w:eastAsia="Palatino Linotype" w:hAnsi="Palatino Linotype" w:cs="Palatino Linotype"/>
          <w:i/>
          <w:iCs/>
        </w:rPr>
        <w:t xml:space="preserve">: </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Listas de raya o </w:t>
      </w:r>
      <w:r>
        <w:rPr>
          <w:rFonts w:ascii="Palatino Linotype" w:eastAsia="Palatino Linotype" w:hAnsi="Palatino Linotype" w:cs="Palatino Linotype"/>
          <w:b/>
          <w:bCs/>
          <w:i/>
          <w:iCs/>
        </w:rPr>
        <w:t>nómina de personal</w:t>
      </w:r>
      <w:r>
        <w:rPr>
          <w:rFonts w:ascii="Palatino Linotype" w:eastAsia="Palatino Linotype" w:hAnsi="Palatino Linotype" w:cs="Palatino Linotype"/>
          <w:i/>
          <w:iCs/>
        </w:rPr>
        <w:t xml:space="preserve">, cuando se lleven en el centro de trabajo; o recibos de pagos de salarios; </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Los documentos</w:t>
      </w:r>
      <w:r>
        <w:rPr>
          <w:rFonts w:ascii="Palatino Linotype" w:eastAsia="Palatino Linotype" w:hAnsi="Palatino Linotype" w:cs="Palatino Linotype"/>
          <w:i/>
          <w:iCs/>
        </w:rPr>
        <w:t xml:space="preserve"> señalados en la fracción I </w:t>
      </w:r>
      <w:r>
        <w:rPr>
          <w:rFonts w:ascii="Palatino Linotype" w:eastAsia="Palatino Linotype" w:hAnsi="Palatino Linotype" w:cs="Palatino Linotype"/>
          <w:b/>
          <w:bCs/>
          <w:i/>
          <w:iCs/>
        </w:rPr>
        <w:t>deberán conservarse</w:t>
      </w:r>
      <w:r>
        <w:rPr>
          <w:rFonts w:ascii="Palatino Linotype" w:eastAsia="Palatino Linotype" w:hAnsi="Palatino Linotype" w:cs="Palatino Linotype"/>
          <w:i/>
          <w:iCs/>
        </w:rPr>
        <w:t xml:space="preserve"> mientras dure la relación laboral y hasta un año después; los </w:t>
      </w:r>
      <w:r>
        <w:rPr>
          <w:rFonts w:ascii="Palatino Linotype" w:eastAsia="Palatino Linotype" w:hAnsi="Palatino Linotype" w:cs="Palatino Linotype"/>
          <w:b/>
          <w:bCs/>
          <w:i/>
          <w:iCs/>
        </w:rPr>
        <w:t>señalados en las fracciones II</w:t>
      </w:r>
      <w:r>
        <w:rPr>
          <w:rFonts w:ascii="Palatino Linotype" w:eastAsia="Palatino Linotype" w:hAnsi="Palatino Linotype" w:cs="Palatino Linotype"/>
          <w:i/>
          <w:iCs/>
        </w:rPr>
        <w:t xml:space="preserve">, III y IV, </w:t>
      </w:r>
      <w:r>
        <w:rPr>
          <w:rFonts w:ascii="Palatino Linotype" w:eastAsia="Palatino Linotype" w:hAnsi="Palatino Linotype" w:cs="Palatino Linotype"/>
          <w:b/>
          <w:bCs/>
          <w:i/>
          <w:iCs/>
        </w:rPr>
        <w:t>durante el último año y un año después de que se extinga la relación laboral</w:t>
      </w:r>
      <w:r>
        <w:rPr>
          <w:rFonts w:ascii="Palatino Linotype" w:eastAsia="Palatino Linotype" w:hAnsi="Palatino Linotype" w:cs="Palatino Linotype"/>
          <w:i/>
          <w:iCs/>
        </w:rPr>
        <w:t>; y los mencionados en la fracción V, conforme lo señalen las Leyes que los rijan.</w:t>
      </w:r>
    </w:p>
    <w:p w:rsidR="00571C12" w:rsidRDefault="00F51032">
      <w:pPr>
        <w:spacing w:before="120" w:after="120"/>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71C12" w:rsidRDefault="00571C12">
      <w:pPr>
        <w:spacing w:before="120" w:after="120"/>
        <w:ind w:left="709"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Atento a lo transcrito, es que resulta dable señalar que la nómina es el listado de los trabajadores de una institución para realizar los pagos periódicos de los trabajadores, que deberá incluir las percepciones brutas, deducciones y el neto a recibir.</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De igual forma, la Constitución Política del Estado Libre y Soberano de México dispone en lo relativo a las remuneraciones de los servidores públicos, lo </w:t>
      </w:r>
      <w:r>
        <w:rPr>
          <w:rFonts w:ascii="Palatino Linotype" w:eastAsia="Palatino Linotype" w:hAnsi="Palatino Linotype" w:cs="Palatino Linotype"/>
          <w:color w:val="000000"/>
        </w:rPr>
        <w:t>siguiente</w:t>
      </w:r>
      <w:r>
        <w:rPr>
          <w:rFonts w:ascii="Palatino Linotype" w:eastAsia="Palatino Linotype" w:hAnsi="Palatino Linotype" w:cs="Palatino Linotype"/>
        </w:rPr>
        <w:t>:</w:t>
      </w:r>
    </w:p>
    <w:p w:rsidR="00571C12" w:rsidRDefault="00F51032">
      <w:pPr>
        <w:spacing w:before="120" w:after="12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147.- </w:t>
      </w:r>
      <w:r>
        <w:rPr>
          <w:rFonts w:ascii="Palatino Linotype" w:eastAsia="Palatino Linotype" w:hAnsi="Palatino Linotype" w:cs="Palatino Linotype"/>
          <w:i/>
          <w:iCs/>
        </w:rPr>
        <w:t xml:space="preserve">El Gobernador, los diputados, los magistrados de los Tribunales Superior de Justicia y de lo Contencioso Administrativo, los miembros del Consejo de la Judicatura, los trabajadores al servicio del Estado, los integrantes y servidores de los organismos autónomos, así como los miembros de los ayuntamientos y demás servidores públicos municipales </w:t>
      </w:r>
      <w:r>
        <w:rPr>
          <w:rFonts w:ascii="Palatino Linotype" w:eastAsia="Palatino Linotype" w:hAnsi="Palatino Linotype" w:cs="Palatino Linotype"/>
          <w:b/>
          <w:bCs/>
          <w:i/>
          <w:iCs/>
        </w:rPr>
        <w:t>recibirán una retribución adecuada e irrenunciable por el desempeño de su empleo, cargo o comisión, que será determinada en el presupuesto de egresos que corresponda.”</w:t>
      </w:r>
    </w:p>
    <w:p w:rsidR="00571C12" w:rsidRDefault="00571C12">
      <w:pPr>
        <w:spacing w:before="120" w:after="120"/>
        <w:ind w:left="1134" w:right="-787"/>
        <w:jc w:val="both"/>
        <w:rPr>
          <w:rFonts w:ascii="Palatino Linotype" w:eastAsia="Palatino Linotype" w:hAnsi="Palatino Linotype" w:cs="Palatino Linotype"/>
          <w:b/>
          <w:bCs/>
          <w:i/>
          <w:iCs/>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En</w:t>
      </w:r>
      <w:r>
        <w:rPr>
          <w:rFonts w:ascii="Palatino Linotype" w:eastAsia="Palatino Linotype" w:hAnsi="Palatino Linotype" w:cs="Palatino Linotype"/>
        </w:rPr>
        <w:t xml:space="preserve"> este contexto, el Código Financiero del Estado de México y Municipios, establece que todos los servidores públicos tienen derecho a recibir una remuneración irrenunciable </w:t>
      </w:r>
      <w:r>
        <w:rPr>
          <w:rFonts w:ascii="Palatino Linotype" w:eastAsia="Palatino Linotype" w:hAnsi="Palatino Linotype" w:cs="Palatino Linotype"/>
        </w:rPr>
        <w:lastRenderedPageBreak/>
        <w:t>por el desempeño de su empleo, cargo o comisión, el cual será en función a las responsabilidades asumidas, esto es así, según lo previsto por el artículo 3 fracción XXXII, que es del tenor literal siguiente:</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xml:space="preserve"> Para efectos de este Código, Ley de Ingresos del Estado y del Presupuesto de Egresos se entenderá por:</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XXXII. Remuneración: </w:t>
      </w:r>
      <w:r>
        <w:rPr>
          <w:rFonts w:ascii="Palatino Linotype" w:eastAsia="Palatino Linotype" w:hAnsi="Palatino Linotype" w:cs="Palatino Linotype"/>
          <w:i/>
          <w:iCs/>
        </w:rPr>
        <w:t>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rsidR="00571C12" w:rsidRDefault="00571C12">
      <w:pPr>
        <w:spacing w:before="120" w:after="120"/>
        <w:ind w:left="709" w:right="-787"/>
        <w:jc w:val="both"/>
        <w:rPr>
          <w:rFonts w:ascii="Palatino Linotype" w:eastAsia="Palatino Linotype" w:hAnsi="Palatino Linotype" w:cs="Palatino Linotype"/>
          <w:i/>
          <w:iCs/>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Al respecto, la Ley de Transparencia y Acceso a la Información Pública del Estado </w:t>
      </w: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México y Municipios, dispone en su penúltimo párrafo del artículo 23, que los Sujetos Obligados deberán hacer pública toda aquella información relativa a los montos y personas a las que entreguen recursos, atento a ello es que surge la obligación de generar la información relacionada con las gratificaciones solicitadas.</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tratándose de servidores públicos de los Municipios la Ley del Trabajo de los Servidores Públicos del Estado y Municipios, en su artículo 220-K fracciones II y IV y último párrafo, establecen lo siguiente:</w:t>
      </w:r>
    </w:p>
    <w:p w:rsidR="00571C12" w:rsidRDefault="00F51032">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220 K.-</w:t>
      </w:r>
      <w:r>
        <w:rPr>
          <w:rFonts w:ascii="Palatino Linotype" w:eastAsia="Palatino Linotype" w:hAnsi="Palatino Linotype" w:cs="Palatino Linotype"/>
          <w:i/>
          <w:iCs/>
        </w:rPr>
        <w:t xml:space="preserve"> La institución o dependencia pública tiene la obligación de conservar y exhibir en el proceso los documentos que a continuación se precisan:</w:t>
      </w:r>
    </w:p>
    <w:p w:rsidR="00571C12" w:rsidRDefault="00F51032">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71C12" w:rsidRDefault="00F51032">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IV.</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Recibos o las constancias de depósito o del medio de información magnética o electrónica que sean utilizadas para el pago de</w:t>
      </w:r>
      <w:r>
        <w:rPr>
          <w:rFonts w:ascii="Palatino Linotype" w:eastAsia="Palatino Linotype" w:hAnsi="Palatino Linotype" w:cs="Palatino Linotype"/>
          <w:i/>
          <w:iCs/>
        </w:rPr>
        <w:t xml:space="preserve"> salarios, prima vacacional,</w:t>
      </w:r>
      <w:r>
        <w:rPr>
          <w:rFonts w:ascii="Palatino Linotype" w:eastAsia="Palatino Linotype" w:hAnsi="Palatino Linotype" w:cs="Palatino Linotype"/>
          <w:b/>
          <w:bCs/>
          <w:i/>
          <w:iCs/>
        </w:rPr>
        <w:t xml:space="preserve"> aguinaldo y demás prestaciones</w:t>
      </w:r>
      <w:r>
        <w:rPr>
          <w:rFonts w:ascii="Palatino Linotype" w:eastAsia="Palatino Linotype" w:hAnsi="Palatino Linotype" w:cs="Palatino Linotype"/>
          <w:i/>
          <w:iCs/>
        </w:rPr>
        <w:t xml:space="preserve"> establecidas en la presente ley; y</w:t>
      </w:r>
    </w:p>
    <w:p w:rsidR="00571C12" w:rsidRDefault="00F51032">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documentos señalados en la fracción I de este artículo, deberán conservarse mientras dure la relación laboral y hasta un año después; los señalados por las fracciones </w:t>
      </w:r>
      <w:r>
        <w:rPr>
          <w:rFonts w:ascii="Palatino Linotype" w:eastAsia="Palatino Linotype" w:hAnsi="Palatino Linotype" w:cs="Palatino Linotype"/>
          <w:b/>
          <w:bCs/>
          <w:i/>
          <w:iCs/>
        </w:rPr>
        <w:t>II, III, IV durante el último año y un año después de que se extinga la relación laboral,</w:t>
      </w:r>
      <w:r>
        <w:rPr>
          <w:rFonts w:ascii="Palatino Linotype" w:eastAsia="Palatino Linotype" w:hAnsi="Palatino Linotype" w:cs="Palatino Linotype"/>
          <w:i/>
          <w:iCs/>
        </w:rPr>
        <w:t xml:space="preserve"> y los mencionados en la fracción V, conforme lo señalen las leyes que los rijan.</w:t>
      </w:r>
    </w:p>
    <w:p w:rsidR="00571C12" w:rsidRDefault="00F51032">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rsidR="00571C12" w:rsidRDefault="00F51032">
      <w:pPr>
        <w:spacing w:before="160" w:after="16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El incumplimiento por lo dispuesto por este artículo, establecerá la presunción de ser ciertos los hechos que el actor exprese en su demanda, en relación con tales documentos, salvo prueba en contrario.”</w:t>
      </w:r>
    </w:p>
    <w:p w:rsidR="00571C12" w:rsidRDefault="00F51032">
      <w:pPr>
        <w:spacing w:before="160" w:after="160"/>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71C12" w:rsidRDefault="00571C12">
      <w:pPr>
        <w:spacing w:before="160" w:after="160"/>
        <w:ind w:left="1134"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De lo anterior, se advierte que toda institución pública o dependencia pública del Estado de México debe conservar los recibos o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el artículo 350 del Código Financiero del Estado de México dispone lo que se transcribe a continuación:</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Artículo 350.-</w:t>
      </w:r>
      <w:r>
        <w:rPr>
          <w:rFonts w:ascii="Palatino Linotype" w:eastAsia="Palatino Linotype" w:hAnsi="Palatino Linotype" w:cs="Palatino Linotype"/>
          <w:i/>
          <w:iCs/>
        </w:rPr>
        <w:t xml:space="preserve"> Mensualmente </w:t>
      </w:r>
      <w:r>
        <w:rPr>
          <w:rFonts w:ascii="Palatino Linotype" w:eastAsia="Palatino Linotype" w:hAnsi="Palatino Linotype" w:cs="Palatino Linotype"/>
          <w:b/>
          <w:bCs/>
          <w:i/>
          <w:iCs/>
        </w:rPr>
        <w:t>dentro de los primeros veinte días hábiles</w:t>
      </w:r>
      <w:r>
        <w:rPr>
          <w:rFonts w:ascii="Palatino Linotype" w:eastAsia="Palatino Linotype" w:hAnsi="Palatino Linotype" w:cs="Palatino Linotype"/>
          <w:i/>
          <w:iCs/>
        </w:rPr>
        <w:t xml:space="preserve">, la Secretaría y </w:t>
      </w:r>
      <w:r>
        <w:rPr>
          <w:rFonts w:ascii="Palatino Linotype" w:eastAsia="Palatino Linotype" w:hAnsi="Palatino Linotype" w:cs="Palatino Linotype"/>
          <w:b/>
          <w:bCs/>
          <w:i/>
          <w:iCs/>
        </w:rPr>
        <w:t>las Tesorerías, enviarán para su análisis y evaluación al Órgano Superior de Fiscalización del Estado de México, la siguiente información</w:t>
      </w:r>
      <w:r>
        <w:rPr>
          <w:rFonts w:ascii="Palatino Linotype" w:eastAsia="Palatino Linotype" w:hAnsi="Palatino Linotype" w:cs="Palatino Linotype"/>
          <w:i/>
          <w:iCs/>
        </w:rPr>
        <w:t xml:space="preserve">: </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71C12" w:rsidRDefault="00F51032">
      <w:pPr>
        <w:spacing w:before="120" w:after="12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IV. Información de nómina</w:t>
      </w:r>
      <w:r>
        <w:rPr>
          <w:rFonts w:ascii="Palatino Linotype" w:eastAsia="Palatino Linotype" w:hAnsi="Palatino Linotype" w:cs="Palatino Linotype"/>
          <w:i/>
          <w:iCs/>
        </w:rPr>
        <w:t>.”</w:t>
      </w:r>
    </w:p>
    <w:p w:rsidR="00571C12" w:rsidRDefault="00F51032">
      <w:pPr>
        <w:spacing w:before="120" w:after="120"/>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71C12" w:rsidRDefault="00571C12">
      <w:pPr>
        <w:spacing w:before="120" w:after="120"/>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De igual forma, las disposiciones administrativas que rigen a las Entidades </w:t>
      </w:r>
      <w:r>
        <w:rPr>
          <w:rFonts w:ascii="Palatino Linotype" w:eastAsia="Palatino Linotype" w:hAnsi="Palatino Linotype" w:cs="Palatino Linotype"/>
          <w:color w:val="000000"/>
        </w:rPr>
        <w:t>Fiscalizables</w:t>
      </w:r>
      <w:r>
        <w:rPr>
          <w:rFonts w:ascii="Palatino Linotype" w:eastAsia="Palatino Linotype" w:hAnsi="Palatino Linotype" w:cs="Palatino Linotype"/>
        </w:rPr>
        <w:t xml:space="preserve"> en el Estado de México, se encuentran los Lineamientos para la integración del 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Así, los Lineamientos en comento sirven para definir los criterios, formatos y documentación necesaria para presentar los informes mensuales. Entre los criterios que se manejan en tales Lineamientos está aquel que se refiere a la integración de información de nómina, tal y como se muestra en la siguiente captura: </w:t>
      </w:r>
    </w:p>
    <w:p w:rsidR="00571C12" w:rsidRDefault="00F51032">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4305316" cy="2705771"/>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05316" cy="2705771"/>
                    </a:xfrm>
                    <a:prstGeom prst="rect">
                      <a:avLst/>
                    </a:prstGeom>
                    <a:ln/>
                  </pic:spPr>
                </pic:pic>
              </a:graphicData>
            </a:graphic>
          </wp:inline>
        </w:drawing>
      </w:r>
    </w:p>
    <w:p w:rsidR="002C5AB2" w:rsidRDefault="002C5AB2">
      <w:pPr>
        <w:spacing w:line="360" w:lineRule="auto"/>
        <w:ind w:right="-787"/>
        <w:jc w:val="center"/>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De la imagen insertada, se desprende que, se puede obtener la información requerida por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puesto que resulta claro que existe la obligación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realizar los informes para que remita los reportes mensuales al Órgano Superior de Fiscalización del Estado de México de conformidad con el artículo 32 de la Ley de Fiscalización Superior del Estado de México, en los cuales se incluyen los </w:t>
      </w:r>
      <w:r>
        <w:rPr>
          <w:rFonts w:ascii="Palatino Linotype" w:eastAsia="Palatino Linotype" w:hAnsi="Palatino Linotype" w:cs="Palatino Linotype"/>
          <w:b/>
          <w:bCs/>
        </w:rPr>
        <w:t>Comprobantes Fiscales Digitales por Internet por concepto de nómina</w:t>
      </w:r>
      <w:r>
        <w:rPr>
          <w:rFonts w:ascii="Palatino Linotype" w:eastAsia="Palatino Linotype" w:hAnsi="Palatino Linotype" w:cs="Palatino Linotype"/>
        </w:rPr>
        <w:t xml:space="preserve">, que comprende la información relativa </w:t>
      </w:r>
      <w:r>
        <w:rPr>
          <w:rFonts w:ascii="Palatino Linotype" w:eastAsia="Palatino Linotype" w:hAnsi="Palatino Linotype" w:cs="Palatino Linotype"/>
          <w:b/>
          <w:bCs/>
        </w:rPr>
        <w:t>al pago de las remuneraciones de cada uno de los servidores públicos correspondiente a un periodo determinado, incluyendo el aguinaldo y las gratificaciones;</w:t>
      </w:r>
      <w:r>
        <w:rPr>
          <w:rFonts w:ascii="Palatino Linotype" w:eastAsia="Palatino Linotype" w:hAnsi="Palatino Linotype" w:cs="Palatino Linotype"/>
        </w:rPr>
        <w:t xml:space="preserve"> en consecuencia, la información solicitada puede ser colmada por el </w:t>
      </w:r>
      <w:r>
        <w:rPr>
          <w:rFonts w:ascii="Palatino Linotype" w:eastAsia="Palatino Linotype" w:hAnsi="Palatino Linotype" w:cs="Palatino Linotype"/>
          <w:b/>
          <w:bCs/>
        </w:rPr>
        <w:t xml:space="preserve">SUJETO OBLIGADO, toda vez que  los Comprobantes Fiscales Digitales por Internet se emite quincenalmente. </w:t>
      </w:r>
    </w:p>
    <w:p w:rsidR="00571C12" w:rsidRDefault="00571C12">
      <w:pPr>
        <w:spacing w:before="120" w:after="120"/>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Sirve de sustento por analogía, para justificar la publicidad sobre los datos </w:t>
      </w:r>
      <w:r>
        <w:rPr>
          <w:rFonts w:ascii="Palatino Linotype" w:eastAsia="Palatino Linotype" w:hAnsi="Palatino Linotype" w:cs="Palatino Linotype"/>
          <w:color w:val="000000"/>
        </w:rPr>
        <w:t>relativos</w:t>
      </w:r>
      <w:r>
        <w:rPr>
          <w:rFonts w:ascii="Palatino Linotype" w:eastAsia="Palatino Linotype" w:hAnsi="Palatino Linotype" w:cs="Palatino Linotype"/>
        </w:rPr>
        <w:t xml:space="preserve"> a los montos por concepto de pago de las remuneraciones, los criterios 01/2003 y 02/2003 </w:t>
      </w:r>
      <w:r>
        <w:rPr>
          <w:rFonts w:ascii="Palatino Linotype" w:eastAsia="Palatino Linotype" w:hAnsi="Palatino Linotype" w:cs="Palatino Linotype"/>
        </w:rPr>
        <w:lastRenderedPageBreak/>
        <w:t xml:space="preserve">emitidos por el Comité de Acceso a la Información Pública y Protección de Datos Personales de la Suprema Corte de Justicia de la Nación que a continuación se citan: </w:t>
      </w:r>
    </w:p>
    <w:p w:rsidR="00571C12" w:rsidRDefault="00F51032">
      <w:pPr>
        <w:spacing w:before="160" w:after="20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Criterio 01/2003.</w:t>
      </w:r>
    </w:p>
    <w:p w:rsidR="00571C12" w:rsidRDefault="00F51032">
      <w:pPr>
        <w:spacing w:before="160" w:after="20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CONSTITUYEN INFORMACIÓN PÚBLICA AÚN Y CUANDO SU DIFUSIÓN PUEDE AFECTAR LA VIDA O LA SEGURIDAD DE AQUELLOS.</w:t>
      </w:r>
      <w:r>
        <w:rPr>
          <w:rFonts w:ascii="Palatino Linotype" w:eastAsia="Palatino Linotype" w:hAnsi="Palatino Linotype" w:cs="Palatino Linotype"/>
          <w:i/>
          <w:iC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Pr>
          <w:rFonts w:ascii="Palatino Linotype" w:eastAsia="Palatino Linotype" w:hAnsi="Palatino Linotype" w:cs="Palatino Linotype"/>
          <w:b/>
          <w:bCs/>
          <w:i/>
          <w:iCs/>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 </w:t>
      </w:r>
      <w:r>
        <w:rPr>
          <w:rFonts w:ascii="Palatino Linotype" w:eastAsia="Palatino Linotype" w:hAnsi="Palatino Linotype" w:cs="Palatino Linotype"/>
          <w:i/>
          <w:iCs/>
        </w:rPr>
        <w:t>…”</w:t>
      </w:r>
    </w:p>
    <w:p w:rsidR="00571C12" w:rsidRDefault="00F51032">
      <w:pPr>
        <w:spacing w:before="360" w:after="20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Criterio 02/2003.</w:t>
      </w:r>
    </w:p>
    <w:p w:rsidR="00571C12" w:rsidRDefault="00F51032">
      <w:pPr>
        <w:spacing w:before="160" w:after="20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SON INFORMACIÓN PÚBLICA AÚN Y CUANDO CONSTITUYEN DATOS PERSONALES QUE SE REFIEREN AL PATRIMONIO DE AQUÉLLOS.</w:t>
      </w:r>
      <w:r>
        <w:rPr>
          <w:rFonts w:ascii="Palatino Linotype" w:eastAsia="Palatino Linotype" w:hAnsi="Palatino Linotype" w:cs="Palatino Linotype"/>
          <w:i/>
          <w:iCs/>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Pr>
          <w:rFonts w:ascii="Palatino Linotype" w:eastAsia="Palatino Linotype" w:hAnsi="Palatino Linotype" w:cs="Palatino Linotype"/>
          <w:b/>
          <w:bCs/>
          <w:i/>
          <w:iCs/>
        </w:rPr>
        <w:t xml:space="preserve">lo que deriva del hecho de que en términos de los previsto en el citado ordenamiento deben ponerse a disposición del público a través de medios remotos o locales de comunicación </w:t>
      </w:r>
      <w:r>
        <w:rPr>
          <w:rFonts w:ascii="Palatino Linotype" w:eastAsia="Palatino Linotype" w:hAnsi="Palatino Linotype" w:cs="Palatino Linotype"/>
          <w:b/>
          <w:bCs/>
          <w:i/>
          <w:iCs/>
        </w:rPr>
        <w:lastRenderedPageBreak/>
        <w:t>electrónica, tanto el directorio de servidores públicos como las remuneraciones mensuales por puesto incluso</w:t>
      </w:r>
      <w:r>
        <w:rPr>
          <w:rFonts w:ascii="Palatino Linotype" w:eastAsia="Palatino Linotype" w:hAnsi="Palatino Linotype" w:cs="Palatino Linotype"/>
          <w:i/>
          <w:iCs/>
        </w:rPr>
        <w:t xml:space="preserve"> el sistema de compensación …”</w:t>
      </w:r>
    </w:p>
    <w:p w:rsidR="00571C12" w:rsidRDefault="00F51032">
      <w:pPr>
        <w:spacing w:before="160" w:after="200"/>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Luego entonces, este Órgano Garante determina que para colmar el derecho de </w:t>
      </w:r>
      <w:r>
        <w:rPr>
          <w:rFonts w:ascii="Palatino Linotype" w:eastAsia="Palatino Linotype" w:hAnsi="Palatino Linotype" w:cs="Palatino Linotype"/>
          <w:color w:val="000000"/>
        </w:rPr>
        <w:t>acceso</w:t>
      </w:r>
      <w:r>
        <w:rPr>
          <w:rFonts w:ascii="Palatino Linotype" w:eastAsia="Palatino Linotype" w:hAnsi="Palatino Linotype" w:cs="Palatino Linotype"/>
        </w:rPr>
        <w:t xml:space="preserve"> a la información del hoy </w:t>
      </w:r>
      <w:r>
        <w:rPr>
          <w:rFonts w:ascii="Palatino Linotype" w:eastAsia="Palatino Linotype" w:hAnsi="Palatino Linotype" w:cs="Palatino Linotype"/>
          <w:b/>
          <w:bCs/>
        </w:rPr>
        <w:t>RECURRENTE, el SUJETO OBLIGADO</w:t>
      </w:r>
      <w:r>
        <w:rPr>
          <w:rFonts w:ascii="Palatino Linotype" w:eastAsia="Palatino Linotype" w:hAnsi="Palatino Linotype" w:cs="Palatino Linotype"/>
        </w:rPr>
        <w:t xml:space="preserve"> deberá entregar los recibos de nómina del personal adscrito al </w:t>
      </w:r>
      <w:r>
        <w:rPr>
          <w:rFonts w:ascii="Palatino Linotype" w:eastAsia="Palatino Linotype" w:hAnsi="Palatino Linotype" w:cs="Palatino Linotype"/>
          <w:b/>
          <w:bCs/>
        </w:rPr>
        <w:t>Ayuntamiento de Valle de Bravo</w:t>
      </w:r>
      <w:r>
        <w:rPr>
          <w:rFonts w:ascii="Palatino Linotype" w:eastAsia="Palatino Linotype" w:hAnsi="Palatino Linotype" w:cs="Palatino Linotype"/>
        </w:rPr>
        <w:t xml:space="preserve">, toda vez que como se señaló en párrafos anteriores las remuneraciones forman parte de las obligaciones de transparencia común. </w:t>
      </w:r>
    </w:p>
    <w:p w:rsidR="00571C12" w:rsidRDefault="00571C12">
      <w:pPr>
        <w:pBdr>
          <w:top w:val="nil"/>
          <w:left w:val="nil"/>
          <w:bottom w:val="nil"/>
          <w:right w:val="nil"/>
          <w:between w:val="nil"/>
        </w:pBdr>
        <w:ind w:left="708" w:right="-787"/>
        <w:rPr>
          <w:rFonts w:ascii="Palatino Linotype" w:eastAsia="Palatino Linotype" w:hAnsi="Palatino Linotype" w:cs="Palatino Linotype"/>
          <w:color w:val="000000"/>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Ahora bien, se debe de analizar que del recibo de nómina o comprobante fiscal, así como recibo de pago que entregue </w:t>
      </w:r>
      <w:r>
        <w:rPr>
          <w:rFonts w:ascii="Palatino Linotype" w:eastAsia="Palatino Linotype" w:hAnsi="Palatino Linotype" w:cs="Palatino Linotype"/>
          <w:color w:val="000000"/>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satisfacer el derecho de acceso a la información del </w:t>
      </w:r>
      <w:r>
        <w:rPr>
          <w:rFonts w:ascii="Palatino Linotype" w:eastAsia="Palatino Linotype" w:hAnsi="Palatino Linotype" w:cs="Palatino Linotype"/>
          <w:b/>
          <w:bCs/>
        </w:rPr>
        <w:t>RECURRENTE</w:t>
      </w:r>
      <w:r>
        <w:rPr>
          <w:rFonts w:ascii="Palatino Linotype" w:eastAsia="Palatino Linotype" w:hAnsi="Palatino Linotype" w:cs="Palatino Linotype"/>
        </w:rPr>
        <w:t>, deberá analizar los datos personales susceptibles de ser clasificados como confidenciales.</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En el caso específico, los recibos de nómina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w:t>
      </w:r>
      <w:r>
        <w:rPr>
          <w:rFonts w:ascii="Palatino Linotype" w:eastAsia="Palatino Linotype" w:hAnsi="Palatino Linotype" w:cs="Palatino Linotype"/>
        </w:rPr>
        <w:lastRenderedPageBreak/>
        <w:t>relacionados con los impuestos o las cuotas por seguridad social, número de cuenta o cualquier otro dato que ponga en riesgo la vida, seguridad y salud de dichas personas.</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Por </w:t>
      </w:r>
      <w:r>
        <w:rPr>
          <w:rFonts w:ascii="Palatino Linotype" w:eastAsia="Palatino Linotype" w:hAnsi="Palatino Linotype" w:cs="Palatino Linotype"/>
          <w:color w:val="000000"/>
        </w:rPr>
        <w:t>cuanto</w:t>
      </w:r>
      <w:r>
        <w:rPr>
          <w:rFonts w:ascii="Palatino Linotype" w:eastAsia="Palatino Linotype" w:hAnsi="Palatino Linotype" w:cs="Palatino Linotype"/>
        </w:rPr>
        <w:t xml:space="preserve"> hace al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Ahora bien, las personas físicas tramitan su inscripción en el registro con el </w:t>
      </w:r>
      <w:r>
        <w:rPr>
          <w:rFonts w:ascii="Palatino Linotype" w:eastAsia="Palatino Linotype" w:hAnsi="Palatino Linotype" w:cs="Palatino Linotype"/>
          <w:color w:val="000000"/>
        </w:rPr>
        <w:t>propósito</w:t>
      </w:r>
      <w:r>
        <w:rPr>
          <w:rFonts w:ascii="Palatino Linotype" w:eastAsia="Palatino Linotype" w:hAnsi="Palatino Linotype" w:cs="Palatino Linotype"/>
        </w:rPr>
        <w:t xml:space="preserve"> de realizar —mediante esa clave de identificación— operaciones o actividades de naturaleza fiscal, la cual, les permite hacerse identificables respecto de una situación fiscal determinada.</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Lo anterior es compartido por el entonces Instituto Federal de Acceso a 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Pública y Protección de Datos Personales (IFAI) a través del Criterio 19/17, que utilizado de manera orientadora y que a la fecha de la solicitud se encontraba vigente, el cual refiere lo siguiente:</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“Registro Federal de Contribuyentes (RFC) de personas físicas</w:t>
      </w:r>
      <w:r>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rsidR="00571C12" w:rsidRDefault="00571C12">
      <w:pPr>
        <w:ind w:left="567" w:right="-787"/>
        <w:jc w:val="both"/>
        <w:rPr>
          <w:rFonts w:ascii="Palatino Linotype" w:eastAsia="Palatino Linotype" w:hAnsi="Palatino Linotype" w:cs="Palatino Linotype"/>
          <w:i/>
          <w:iCs/>
        </w:rPr>
      </w:pPr>
    </w:p>
    <w:p w:rsidR="00571C12" w:rsidRDefault="00571C12">
      <w:pPr>
        <w:ind w:left="567" w:right="-787"/>
        <w:jc w:val="both"/>
        <w:rPr>
          <w:rFonts w:ascii="Palatino Linotype" w:eastAsia="Palatino Linotype" w:hAnsi="Palatino Linotype" w:cs="Palatino Linotype"/>
          <w:i/>
          <w:iCs/>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Así, el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xml:space="preserve">, se vincula al nombre de su titular y permite identificar la edad de la persona, su fecha de nacimiento, así como su homoclave, </w:t>
      </w:r>
      <w:r>
        <w:rPr>
          <w:rFonts w:ascii="Palatino Linotype" w:eastAsia="Palatino Linotype" w:hAnsi="Palatino Linotype" w:cs="Palatino Linotype"/>
        </w:rPr>
        <w:lastRenderedPageBreak/>
        <w:t>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igual manera la </w:t>
      </w:r>
      <w:r>
        <w:rPr>
          <w:rFonts w:ascii="Palatino Linotype" w:eastAsia="Palatino Linotype" w:hAnsi="Palatino Linotype" w:cs="Palatino Linotype"/>
          <w:b/>
          <w:bCs/>
        </w:rPr>
        <w:t>Clave Única de Registro de Población (CURP),</w:t>
      </w:r>
      <w:r>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Argumento</w:t>
      </w:r>
      <w:r>
        <w:rPr>
          <w:rFonts w:ascii="Palatino Linotype" w:eastAsia="Palatino Linotype" w:hAnsi="Palatino Linotype" w:cs="Palatino Linotype"/>
        </w:rPr>
        <w:t xml:space="preserve"> que es compartido por el Instituto Nacional de Transparencia, Acceso a la Información y Protección de Datos Personales, INAI, conforme al criterio 18/17, que utilizado de manera orientadora, </w:t>
      </w:r>
      <w:r>
        <w:rPr>
          <w:rFonts w:ascii="Palatino Linotype" w:eastAsia="Palatino Linotype" w:hAnsi="Palatino Linotype" w:cs="Palatino Linotype"/>
          <w:b/>
          <w:bCs/>
        </w:rPr>
        <w:t>toda vez que a la fecha de la solicitud de encontraba vigente, mismo que refiere</w:t>
      </w:r>
      <w:r>
        <w:rPr>
          <w:rFonts w:ascii="Palatino Linotype" w:eastAsia="Palatino Linotype" w:hAnsi="Palatino Linotype" w:cs="Palatino Linotype"/>
        </w:rPr>
        <w:t xml:space="preserve">: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“Clave Única de Registro de Población (CURP). </w:t>
      </w:r>
      <w:r>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lastRenderedPageBreak/>
        <w:t xml:space="preserve">Por </w:t>
      </w:r>
      <w:r>
        <w:rPr>
          <w:rFonts w:ascii="Palatino Linotype" w:eastAsia="Palatino Linotype" w:hAnsi="Palatino Linotype" w:cs="Palatino Linotype"/>
          <w:color w:val="000000"/>
        </w:rPr>
        <w:t>cuanto</w:t>
      </w:r>
      <w:r>
        <w:rPr>
          <w:rFonts w:ascii="Palatino Linotype" w:eastAsia="Palatino Linotype" w:hAnsi="Palatino Linotype" w:cs="Palatino Linotype"/>
        </w:rPr>
        <w:t xml:space="preserve"> hace a la </w:t>
      </w:r>
      <w:r>
        <w:rPr>
          <w:rFonts w:ascii="Palatino Linotype" w:eastAsia="Palatino Linotype" w:hAnsi="Palatino Linotype" w:cs="Palatino Linotype"/>
          <w:b/>
          <w:bCs/>
        </w:rPr>
        <w:t>Clave de cualquier tipo de seguridad social (ISSEMyM, u otros</w:t>
      </w:r>
      <w:r>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Como se advierte, la clave ISSEMYM es un dato personal que permite </w:t>
      </w:r>
      <w:r>
        <w:rPr>
          <w:rFonts w:ascii="Palatino Linotype" w:eastAsia="Palatino Linotype" w:hAnsi="Palatino Linotype" w:cs="Palatino Linotype"/>
          <w:color w:val="000000"/>
        </w:rPr>
        <w:t>identificar</w:t>
      </w:r>
      <w:r>
        <w:rPr>
          <w:rFonts w:ascii="Palatino Linotype" w:eastAsia="Palatino Linotype" w:hAnsi="Palatino Linotype" w:cs="Palatino Linotype"/>
        </w:rPr>
        <w:t xml:space="preserve"> que una persona ya trabajó o trabaja en alguna institución pública del Estado de México, por la que tiene o tuvo derecho a esta prestación de seguridad social; es de destacar que la clave </w:t>
      </w:r>
      <w:r>
        <w:rPr>
          <w:rFonts w:ascii="Palatino Linotype" w:eastAsia="Palatino Linotype" w:hAnsi="Palatino Linotype" w:cs="Palatino Linotype"/>
        </w:rPr>
        <w:lastRenderedPageBreak/>
        <w:t xml:space="preserve">ISSEMYM no cambia, aunque el trabajador se dé de baja y alta en diversas ocasiones, con motivo de haber trabajado en diferentes instituciones públicas de la Entidad. </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Contar con la prestación de seguridad social que brinda el ISSEMYM no es una </w:t>
      </w:r>
      <w:r>
        <w:rPr>
          <w:rFonts w:ascii="Palatino Linotype" w:eastAsia="Palatino Linotype" w:hAnsi="Palatino Linotype" w:cs="Palatino Linotype"/>
          <w:color w:val="000000"/>
        </w:rPr>
        <w:t>obligación</w:t>
      </w:r>
      <w:r>
        <w:rPr>
          <w:rFonts w:ascii="Palatino Linotype" w:eastAsia="Palatino Linotype" w:hAnsi="Palatino Linotype" w:cs="Palatino Linotype"/>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Respecto de los préstamos o descuentos de carácter personal, estos no deben tener relación con la prestación del servicio; es decir, son confidenciales los </w:t>
      </w:r>
      <w:r>
        <w:rPr>
          <w:rFonts w:ascii="Palatino Linotype" w:eastAsia="Palatino Linotype" w:hAnsi="Palatino Linotype" w:cs="Palatino Linotype"/>
          <w:color w:val="000000"/>
        </w:rPr>
        <w:t>préstamos</w:t>
      </w:r>
      <w:r>
        <w:rPr>
          <w:rFonts w:ascii="Palatino Linotype" w:eastAsia="Palatino Linotype" w:hAnsi="Palatino Linotype" w:cs="Palatino Linotype"/>
        </w:rPr>
        <w:t xml:space="preserve">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Por </w:t>
      </w:r>
      <w:r>
        <w:rPr>
          <w:rFonts w:ascii="Palatino Linotype" w:eastAsia="Palatino Linotype" w:hAnsi="Palatino Linotype" w:cs="Palatino Linotype"/>
          <w:color w:val="000000"/>
        </w:rPr>
        <w:t>su</w:t>
      </w:r>
      <w:r>
        <w:rPr>
          <w:rFonts w:ascii="Palatino Linotype" w:eastAsia="Palatino Linotype" w:hAnsi="Palatino Linotype" w:cs="Palatino Linotype"/>
        </w:rPr>
        <w:t xml:space="preserve"> parte, el artículo 84 de la Ley del Trabajo de los Servidores Públicos del Estado y Municipios, señala:</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ARTICULO 84. Sólo podrán hacerse retenciones, descuentos o deducciones al sueldo de los servidores públicos por concepto de:</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I. Gravámenes fiscales relacionados con el sueldo;</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lastRenderedPageBreak/>
        <w:t>II. Deudas contraídas con las instituciones públicas o dependencias</w:t>
      </w:r>
      <w:r>
        <w:rPr>
          <w:rFonts w:ascii="Palatino Linotype" w:eastAsia="Palatino Linotype" w:hAnsi="Palatino Linotype" w:cs="Palatino Linotype"/>
          <w:i/>
          <w:iCs/>
        </w:rPr>
        <w:t xml:space="preserve"> por concepto de anticipos de sueldo, pagos hechos con exceso, errores o pérdidas debidamente comprobados;</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t>III. Cuotas sindicales</w:t>
      </w:r>
      <w:r>
        <w:rPr>
          <w:rFonts w:ascii="Palatino Linotype" w:eastAsia="Palatino Linotype" w:hAnsi="Palatino Linotype" w:cs="Palatino Linotype"/>
          <w:i/>
          <w:iCs/>
        </w:rPr>
        <w:t>;</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IV. Cuotas de aportación a fondos para la constitución de cooperativas y de cajas de ahorro, siempre que el servidor público hubiese manifestado previamente, de manera expresa, su conformidad;</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V. Descuentos ordenados por el Instituto de Seguridad Social del Estado de México y Municipios, con motivo de cuotas y obligaciones contraídas con éste por los servidores públicos;</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t>VI. Obligaciones a cargo del servidor público con las que haya consentido</w:t>
      </w:r>
      <w:r>
        <w:rPr>
          <w:rFonts w:ascii="Palatino Linotype" w:eastAsia="Palatino Linotype" w:hAnsi="Palatino Linotype" w:cs="Palatino Linotype"/>
          <w:i/>
          <w:iCs/>
        </w:rPr>
        <w:t>, derivadas de la adquisición o del uso de habitaciones consideradas como de interés social;</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VII. Faltas de puntualidad o de asistencia injustificadas;</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t>VIII. Pensiones alimenticias ordenadas por la autoridad judicial;</w:t>
      </w:r>
      <w:r>
        <w:rPr>
          <w:rFonts w:ascii="Palatino Linotype" w:eastAsia="Palatino Linotype" w:hAnsi="Palatino Linotype" w:cs="Palatino Linotype"/>
          <w:i/>
          <w:iCs/>
        </w:rPr>
        <w:t xml:space="preserve"> o</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b/>
          <w:bCs/>
          <w:i/>
          <w:iCs/>
        </w:rPr>
        <w:t>IX. Cualquier otro convenido con instituciones de servicios y aceptado por el servidor público.</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571C12" w:rsidRDefault="00F51032">
      <w:pPr>
        <w:ind w:left="1134" w:right="-78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71C12" w:rsidRDefault="00571C12">
      <w:pPr>
        <w:spacing w:line="360" w:lineRule="auto"/>
        <w:ind w:left="851"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Derivado</w:t>
      </w:r>
      <w:r>
        <w:rPr>
          <w:rFonts w:ascii="Palatino Linotype" w:eastAsia="Palatino Linotype" w:hAnsi="Palatino Linotype" w:cs="Palatino Linotype"/>
        </w:rPr>
        <w:t xml:space="preserve"> de lo anterior, la ley establece claramente cuáles son esos descuentos o gravámenes que directamente se relacionan con las obligaciones adquiridas como servidores públicos y aquéllos que </w:t>
      </w:r>
      <w:r>
        <w:rPr>
          <w:rFonts w:ascii="Palatino Linotype" w:eastAsia="Palatino Linotype" w:hAnsi="Palatino Linotype" w:cs="Palatino Linotype"/>
          <w:b/>
          <w:bCs/>
        </w:rPr>
        <w:t>únicamente inciden en su vida privada</w:t>
      </w:r>
      <w:r>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lastRenderedPageBreak/>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Sirven de sustento a lo anterior, las tesis jurisprudenciales P. LX/2000 y 2a. XLIII/2008 emitidas por el Peno y la Segunda Sala de la Suprema Corte de Justicia de la Nación, respectivamente, que son del tenor literal siguiente:</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“DERECHO A LA INFORMACIÓN. SU EJERCICIO SE ENCUENTRA LIMITADO TANTO POR LOS INTERESES NACIONALES Y DE LA SOCIEDAD, COMO POR LOS DERECHOS DE TERCEROS. </w:t>
      </w:r>
      <w:r>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Pr>
          <w:rFonts w:ascii="Palatino Linotype" w:eastAsia="Palatino Linotype" w:hAnsi="Palatino Linotype" w:cs="Palatino Linotype"/>
          <w:i/>
          <w:iCs/>
        </w:rPr>
        <w:t>.”</w:t>
      </w:r>
    </w:p>
    <w:p w:rsidR="00571C12" w:rsidRDefault="00571C12">
      <w:pPr>
        <w:ind w:left="1134" w:right="-787"/>
        <w:jc w:val="both"/>
        <w:rPr>
          <w:rFonts w:ascii="Palatino Linotype" w:eastAsia="Palatino Linotype" w:hAnsi="Palatino Linotype" w:cs="Palatino Linotype"/>
          <w:i/>
          <w:iCs/>
        </w:rPr>
      </w:pP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“TRANSPARENCIA Y ACCESO A LA INFORMACIÓN PÚBLICA GUBERNAMENTAL. EL ARTÍCULO 14, FRACCIÓN I, DE LA LEY FEDERAL RELATIVA, NO VIOLA LA GARANTÍA DE ACCESO A LA INFORMACIÓN. </w:t>
      </w:r>
      <w:r>
        <w:rPr>
          <w:rFonts w:ascii="Palatino Linotype" w:eastAsia="Palatino Linotype" w:hAnsi="Palatino Linotype" w:cs="Palatino Linotype"/>
          <w:i/>
          <w:iC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571C12" w:rsidRDefault="00571C12">
      <w:pPr>
        <w:ind w:left="1134" w:right="-787"/>
        <w:jc w:val="both"/>
        <w:rPr>
          <w:rFonts w:ascii="Palatino Linotype" w:eastAsia="Palatino Linotype" w:hAnsi="Palatino Linotype" w:cs="Palatino Linotype"/>
          <w:i/>
          <w:iCs/>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También</w:t>
      </w:r>
      <w:r>
        <w:rPr>
          <w:rFonts w:ascii="Palatino Linotype" w:eastAsia="Palatino Linotype" w:hAnsi="Palatino Linotype" w:cs="Palatino Linotype"/>
        </w:rPr>
        <w:t xml:space="preserve">, el número de cuenta bancario, en el Criterio 10/17 emitido por el Pleno del Instituto Nacional de Transparencia, Acceso a la Información y Protección de Datos Personales , que en el presente asunto se refiere como criterio orientador, toda vez que a la fecha de la solicitud se encontraba vigente. </w:t>
      </w:r>
    </w:p>
    <w:p w:rsidR="00571C12" w:rsidRDefault="00F51032">
      <w:pPr>
        <w:shd w:val="clear" w:color="auto" w:fill="FFFFFF"/>
        <w:ind w:left="1134" w:right="-787"/>
        <w:jc w:val="both"/>
        <w:rPr>
          <w:rFonts w:ascii="Palatino Linotype" w:eastAsia="Palatino Linotype" w:hAnsi="Palatino Linotype" w:cs="Palatino Linotype"/>
        </w:rPr>
      </w:pPr>
      <w:r>
        <w:rPr>
          <w:rFonts w:ascii="Palatino Linotype" w:eastAsia="Palatino Linotype" w:hAnsi="Palatino Linotype" w:cs="Palatino Linotype"/>
        </w:rPr>
        <w:t>“</w:t>
      </w:r>
      <w:r>
        <w:rPr>
          <w:rFonts w:ascii="Palatino Linotype" w:eastAsia="Palatino Linotype" w:hAnsi="Palatino Linotype" w:cs="Palatino Linotype"/>
          <w:b/>
          <w:bCs/>
          <w:i/>
          <w:iCs/>
        </w:rPr>
        <w:t>Cuentas bancarias y/o CLABE interbancaria de personas físicas y morales privadas.</w:t>
      </w:r>
      <w:r>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w:t>
      </w:r>
      <w:r>
        <w:rPr>
          <w:rFonts w:ascii="Palatino Linotype" w:eastAsia="Palatino Linotype" w:hAnsi="Palatino Linotype" w:cs="Palatino Linotype"/>
          <w:i/>
          <w:iCs/>
        </w:rPr>
        <w:lastRenderedPageBreak/>
        <w:t>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Pr>
          <w:rFonts w:ascii="Palatino Linotype" w:eastAsia="Palatino Linotype" w:hAnsi="Palatino Linotype" w:cs="Palatino Linotype"/>
        </w:rPr>
        <w:t>.”</w:t>
      </w:r>
    </w:p>
    <w:p w:rsidR="00571C12" w:rsidRDefault="00571C12">
      <w:pPr>
        <w:ind w:left="1134"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Esta </w:t>
      </w:r>
      <w:r>
        <w:rPr>
          <w:rFonts w:ascii="Palatino Linotype" w:eastAsia="Palatino Linotype" w:hAnsi="Palatino Linotype" w:cs="Palatino Linotype"/>
          <w:color w:val="000000"/>
        </w:rPr>
        <w:t>cuenta</w:t>
      </w:r>
      <w:r>
        <w:rPr>
          <w:rFonts w:ascii="Palatino Linotype" w:eastAsia="Palatino Linotype" w:hAnsi="Palatino Linotype" w:cs="Palatino Linotype"/>
        </w:rPr>
        <w:t xml:space="preserve">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Código de barras bidimensional (QR</w:t>
      </w:r>
      <w:r>
        <w:rPr>
          <w:rFonts w:ascii="Palatino Linotype" w:eastAsia="Palatino Linotype" w:hAnsi="Palatino Linotype" w:cs="Palatino Linotype"/>
        </w:rPr>
        <w:t xml:space="preserve">), resulta necesario señalar que los </w:t>
      </w:r>
      <w:r>
        <w:rPr>
          <w:rFonts w:ascii="Palatino Linotype" w:eastAsia="Palatino Linotype" w:hAnsi="Palatino Linotype" w:cs="Palatino Linotype"/>
          <w:color w:val="000000"/>
        </w:rPr>
        <w:t>comprobantes</w:t>
      </w:r>
      <w:r>
        <w:rPr>
          <w:rFonts w:ascii="Palatino Linotype" w:eastAsia="Palatino Linotype" w:hAnsi="Palatino Linotype" w:cs="Palatino Linotype"/>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9">
        <w:r>
          <w:rPr>
            <w:rFonts w:ascii="Palatino Linotype" w:eastAsia="Palatino Linotype" w:hAnsi="Palatino Linotype" w:cs="Palatino Linotype"/>
          </w:rPr>
          <w:t>http://dof.gob.mx/nota_detalle.php?codigo=5492254&amp;fecha=28/07/2017</w:t>
        </w:r>
      </w:hyperlink>
      <w:r>
        <w:rPr>
          <w:rFonts w:ascii="Palatino Linotype" w:eastAsia="Palatino Linotype" w:hAnsi="Palatino Linotype" w:cs="Palatino Linotype"/>
        </w:rPr>
        <w:t xml:space="preserve">. Incluso con la captura de dicho código, a través de la aplicación móvil del Servicio de Administración </w:t>
      </w:r>
      <w:r>
        <w:rPr>
          <w:rFonts w:ascii="Palatino Linotype" w:eastAsia="Palatino Linotype" w:hAnsi="Palatino Linotype" w:cs="Palatino Linotype"/>
        </w:rPr>
        <w:lastRenderedPageBreak/>
        <w:t>Tributaria, permite el acceso al Registro Federal de Contribuyentes, como del Sujeto Obligado, como de la persona física o moral correspondiente.</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De </w:t>
      </w:r>
      <w:r>
        <w:rPr>
          <w:rFonts w:ascii="Palatino Linotype" w:eastAsia="Palatino Linotype" w:hAnsi="Palatino Linotype" w:cs="Palatino Linotype"/>
          <w:color w:val="000000"/>
        </w:rPr>
        <w:t>tales</w:t>
      </w:r>
      <w:r>
        <w:rPr>
          <w:rFonts w:ascii="Palatino Linotype" w:eastAsia="Palatino Linotype" w:hAnsi="Palatino Linotype" w:cs="Palatino Linotype"/>
        </w:rPr>
        <w:t xml:space="preserve">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siendo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rsidR="00571C12" w:rsidRDefault="00F51032">
      <w:pPr>
        <w:shd w:val="clear" w:color="auto" w:fill="FFFFFF"/>
        <w:ind w:left="1134" w:right="-787"/>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“El número de ficha de identificación única de los trabajadores es información de carácter confidencial.</w:t>
      </w:r>
      <w:r>
        <w:rPr>
          <w:rFonts w:ascii="Palatino Linotype" w:eastAsia="Palatino Linotype" w:hAnsi="Palatino Linotype" w:cs="Palatino Linotype"/>
          <w:i/>
          <w:iCs/>
          <w:color w:val="222222"/>
        </w:rPr>
        <w:t> 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 dicha información es susceptible de clasificarse con el carácter de confidencial, en términos de lo establecido en el artículo 18, fracción II de la Ley Federal de Transparencia y Acceso a la Información Pública Gubernamental, en virtud de que a través de la misma es posible conocer información personal de su titular.”</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222222"/>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lastRenderedPageBreak/>
        <w:t>Ahora</w:t>
      </w:r>
      <w:r>
        <w:rPr>
          <w:rFonts w:ascii="Palatino Linotype" w:eastAsia="Palatino Linotype" w:hAnsi="Palatino Linotype" w:cs="Palatino Linotype"/>
        </w:rPr>
        <w:t xml:space="preserve"> bien, también es necesario indicar que hay información dentro de los recibos de nómina que no contienen datos personales por lo cual su entrega no deberá de ser clasificada, siendo los siguientes. </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Lo anterior se precisa porque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en su Acta del Comité de Transparencia clasificó los siguientes datos. </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Por </w:t>
      </w:r>
      <w:r>
        <w:rPr>
          <w:rFonts w:ascii="Palatino Linotype" w:eastAsia="Palatino Linotype" w:hAnsi="Palatino Linotype" w:cs="Palatino Linotype"/>
          <w:color w:val="000000"/>
        </w:rPr>
        <w:t>cuanto</w:t>
      </w:r>
      <w:r>
        <w:rPr>
          <w:rFonts w:ascii="Palatino Linotype" w:eastAsia="Palatino Linotype" w:hAnsi="Palatino Linotype" w:cs="Palatino Linotype"/>
        </w:rPr>
        <w:t xml:space="preserve"> hace </w:t>
      </w:r>
      <w:r>
        <w:rPr>
          <w:rFonts w:ascii="Palatino Linotype" w:eastAsia="Palatino Linotype" w:hAnsi="Palatino Linotype" w:cs="Palatino Linotype"/>
          <w:b/>
          <w:bCs/>
        </w:rPr>
        <w:t>al Folio Fiscal</w:t>
      </w:r>
      <w:r>
        <w:rPr>
          <w:rFonts w:ascii="Palatino Linotype" w:eastAsia="Palatino Linotype" w:hAnsi="Palatino Linotype" w:cs="Palatino Linotype"/>
        </w:rPr>
        <w:t>,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571C12" w:rsidRDefault="00F51032">
      <w:pPr>
        <w:pBdr>
          <w:top w:val="nil"/>
          <w:left w:val="nil"/>
          <w:bottom w:val="nil"/>
          <w:right w:val="nil"/>
          <w:between w:val="nil"/>
        </w:pBdr>
        <w:spacing w:line="360" w:lineRule="auto"/>
        <w:ind w:right="-78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4667250" cy="11811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b="32787"/>
                    <a:stretch>
                      <a:fillRect/>
                    </a:stretch>
                  </pic:blipFill>
                  <pic:spPr>
                    <a:xfrm>
                      <a:off x="0" y="0"/>
                      <a:ext cx="4667250" cy="1181100"/>
                    </a:xfrm>
                    <a:prstGeom prst="rect">
                      <a:avLst/>
                    </a:prstGeom>
                    <a:ln/>
                  </pic:spPr>
                </pic:pic>
              </a:graphicData>
            </a:graphic>
          </wp:inline>
        </w:drawing>
      </w:r>
    </w:p>
    <w:p w:rsidR="00571C12" w:rsidRDefault="00571C12">
      <w:pPr>
        <w:pBdr>
          <w:top w:val="nil"/>
          <w:left w:val="nil"/>
          <w:bottom w:val="nil"/>
          <w:right w:val="nil"/>
          <w:between w:val="nil"/>
        </w:pBdr>
        <w:spacing w:line="360" w:lineRule="auto"/>
        <w:ind w:right="-787"/>
        <w:jc w:val="center"/>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En</w:t>
      </w:r>
      <w:r>
        <w:rPr>
          <w:rFonts w:ascii="Palatino Linotype" w:eastAsia="Palatino Linotype" w:hAnsi="Palatino Linotype" w:cs="Palatino Linotype"/>
        </w:rPr>
        <w:t xml:space="preserve"> ese contexto, el folio fiscal, no contiene datos personales del emisor y tampoco se puede obtener información confidencial con el mismo, pues solamente es un identificador del emisor, del cual su transparencia ayuda a legitimar que el documento cumple con todos </w:t>
      </w:r>
      <w:r>
        <w:rPr>
          <w:rFonts w:ascii="Palatino Linotype" w:eastAsia="Palatino Linotype" w:hAnsi="Palatino Linotype" w:cs="Palatino Linotype"/>
        </w:rPr>
        <w:lastRenderedPageBreak/>
        <w:t>los requisitos establecidos en la normatividad aplicable, sin necesidad de algún dato personal, por lo que, no se actualiza la clasificación, en términos del artículo 143, fracción I de la Ley de la materia.</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En </w:t>
      </w:r>
      <w:r>
        <w:rPr>
          <w:rFonts w:ascii="Palatino Linotype" w:eastAsia="Palatino Linotype" w:hAnsi="Palatino Linotype" w:cs="Palatino Linotype"/>
          <w:color w:val="000000"/>
        </w:rPr>
        <w:t>esa</w:t>
      </w:r>
      <w:r>
        <w:rPr>
          <w:rFonts w:ascii="Palatino Linotype" w:eastAsia="Palatino Linotype" w:hAnsi="Palatino Linotype" w:cs="Palatino Linotype"/>
        </w:rPr>
        <w:t xml:space="preserve"> línea de estudio, las cadenas originales y sellos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“Elementos utilizados en la generación de Sellos Digitales:</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Cadena Original, el elemento a sellar, en este caso de un comprobante fiscal digital a través de Internet.</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Certificado de Sello Digital y su correspondiente clave privada.</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Algoritmos de criptografía de clave pública para firma electrónica avanzada.</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Especificaciones de conversión de la firma electrónica avanzada a Base 64.</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Para la generación de sellos digitales se utiliza criptografía de clave pública aplicada a una cadena original.</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Criptografía de la Clave Pública</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571C12" w:rsidRDefault="00571C12">
      <w:pPr>
        <w:ind w:right="-787"/>
        <w:jc w:val="both"/>
        <w:rPr>
          <w:rFonts w:ascii="Palatino Linotype" w:eastAsia="Palatino Linotype" w:hAnsi="Palatino Linotype" w:cs="Palatino Linotype"/>
          <w:i/>
          <w:iCs/>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Es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decir</w:t>
      </w:r>
      <w:r>
        <w:rPr>
          <w:rFonts w:ascii="Palatino Linotype" w:eastAsia="Palatino Linotype" w:hAnsi="Palatino Linotype" w:cs="Palatino Linotype"/>
        </w:rPr>
        <w:t xml:space="preserve">, por sí solos las cadenas originales y los sellos originales no contienen datos personales confidenciales, por lo que se considera que </w:t>
      </w:r>
      <w:r>
        <w:rPr>
          <w:rFonts w:ascii="Palatino Linotype" w:eastAsia="Palatino Linotype" w:hAnsi="Palatino Linotype" w:cs="Palatino Linotype"/>
          <w:b/>
          <w:bCs/>
        </w:rPr>
        <w:t>no actualizan el supuesto de confidencialidad previsto en el artículo 143, fracción I</w:t>
      </w:r>
      <w:r>
        <w:rPr>
          <w:rFonts w:ascii="Palatino Linotype" w:eastAsia="Palatino Linotype" w:hAnsi="Palatino Linotype" w:cs="Palatino Linotype"/>
        </w:rPr>
        <w:t xml:space="preserve">, de la Ley de Transparencia y </w:t>
      </w:r>
      <w:r>
        <w:rPr>
          <w:rFonts w:ascii="Palatino Linotype" w:eastAsia="Palatino Linotype" w:hAnsi="Palatino Linotype" w:cs="Palatino Linotype"/>
        </w:rPr>
        <w:lastRenderedPageBreak/>
        <w:t>Acceso a la Información Pública del Estado de México y Municipios y, por el contrario, son información que permite corroborar la legitimidad de la factura, de ser el caso, por lo que guardan el carácter de público.</w:t>
      </w:r>
    </w:p>
    <w:p w:rsidR="00571C12" w:rsidRDefault="00571C12">
      <w:pPr>
        <w:spacing w:line="360" w:lineRule="auto"/>
        <w:ind w:right="-787"/>
        <w:jc w:val="both"/>
        <w:rPr>
          <w:rFonts w:ascii="Palatino Linotype" w:eastAsia="Palatino Linotype" w:hAnsi="Palatino Linotype" w:cs="Palatino Linotype"/>
          <w:b/>
          <w:bCs/>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la clasificación, en términos del artículo 143, fracción I, de la Ley de la materia.</w:t>
      </w:r>
    </w:p>
    <w:p w:rsidR="00571C12" w:rsidRDefault="00571C12">
      <w:pPr>
        <w:pBdr>
          <w:top w:val="nil"/>
          <w:left w:val="nil"/>
          <w:bottom w:val="nil"/>
          <w:right w:val="nil"/>
          <w:between w:val="nil"/>
        </w:pBdr>
        <w:ind w:left="708" w:right="-787"/>
        <w:rPr>
          <w:rFonts w:ascii="Palatino Linotype" w:eastAsia="Palatino Linotype" w:hAnsi="Palatino Linotype" w:cs="Palatino Linotype"/>
          <w:color w:val="000000"/>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Por</w:t>
      </w:r>
      <w:r>
        <w:rPr>
          <w:rFonts w:ascii="Palatino Linotype" w:eastAsia="Palatino Linotype" w:hAnsi="Palatino Linotype" w:cs="Palatino Linotype"/>
        </w:rPr>
        <w:t xml:space="preserve"> otra parte, por lo que hace al </w:t>
      </w:r>
      <w:r>
        <w:rPr>
          <w:rFonts w:ascii="Palatino Linotype" w:eastAsia="Palatino Linotype" w:hAnsi="Palatino Linotype" w:cs="Palatino Linotype"/>
          <w:b/>
          <w:bCs/>
        </w:rPr>
        <w:t>número de serie de los certificados de Sello Digitales del emisor y del Servicio de Administración Tributaria</w:t>
      </w:r>
      <w:r>
        <w:rPr>
          <w:rFonts w:ascii="Palatino Linotype" w:eastAsia="Palatino Linotype" w:hAnsi="Palatino Linotype" w:cs="Palatino Linotype"/>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1">
        <w:r>
          <w:rPr>
            <w:rFonts w:ascii="Palatino Linotype" w:eastAsia="Palatino Linotype" w:hAnsi="Palatino Linotype" w:cs="Palatino Linotype"/>
          </w:rPr>
          <w:t>https://portalanterior.ine.mx/archivos2/tutoriales/sistemas/ApoyoInstitucional/SIF/docs/candidatos/folioFiscalFactura.pdf</w:t>
        </w:r>
      </w:hyperlink>
      <w:r>
        <w:rPr>
          <w:rFonts w:ascii="Palatino Linotype" w:eastAsia="Palatino Linotype" w:hAnsi="Palatino Linotype" w:cs="Palatino Linotype"/>
        </w:rPr>
        <w:t>), en la cual se advierte que únicamente se encuentra conformado por números, se muestra a continuación:</w:t>
      </w:r>
    </w:p>
    <w:p w:rsidR="00571C12" w:rsidRDefault="00F51032">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5189855" cy="100965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189855" cy="1009650"/>
                    </a:xfrm>
                    <a:prstGeom prst="rect">
                      <a:avLst/>
                    </a:prstGeom>
                    <a:ln/>
                  </pic:spPr>
                </pic:pic>
              </a:graphicData>
            </a:graphic>
          </wp:inline>
        </w:drawing>
      </w:r>
      <w:r>
        <w:rPr>
          <w:noProof/>
          <w:lang w:val="es-MX"/>
        </w:rPr>
        <mc:AlternateContent>
          <mc:Choice Requires="wpg">
            <w:drawing>
              <wp:anchor distT="0" distB="0" distL="114300" distR="114300" simplePos="0" relativeHeight="251658240" behindDoc="0" locked="0" layoutInCell="1" hidden="0" allowOverlap="1">
                <wp:simplePos x="0" y="0"/>
                <wp:positionH relativeFrom="column">
                  <wp:posOffset>632530</wp:posOffset>
                </wp:positionH>
                <wp:positionV relativeFrom="paragraph">
                  <wp:posOffset>649316</wp:posOffset>
                </wp:positionV>
                <wp:extent cx="3571875" cy="352425"/>
                <wp:effectExtent l="0" t="0" r="0" b="0"/>
                <wp:wrapNone/>
                <wp:docPr id="1" name="Rectángulo 1"/>
                <wp:cNvGraphicFramePr/>
                <a:graphic xmlns:a="http://schemas.openxmlformats.org/drawingml/2006/main">
                  <a:graphicData uri="http://schemas.microsoft.com/office/word/2010/wordprocessingShape">
                    <wps:wsp>
                      <wps:cNvSpPr/>
                      <wps:spPr>
                        <a:xfrm>
                          <a:off x="3574350" y="3618075"/>
                          <a:ext cx="3543300" cy="323850"/>
                        </a:xfrm>
                        <a:prstGeom prst="rect">
                          <a:avLst/>
                        </a:prstGeom>
                        <a:noFill/>
                        <a:ln w="28575" cap="flat" cmpd="sng">
                          <a:solidFill>
                            <a:srgbClr val="000000"/>
                          </a:solidFill>
                          <a:prstDash val="solid"/>
                          <a:miter lim="800000"/>
                          <a:headEnd type="none" w="sm" len="sm"/>
                          <a:tailEnd type="none" w="sm" len="sm"/>
                        </a:ln>
                      </wps:spPr>
                      <wps:txbx>
                        <w:txbxContent>
                          <w:p w:rsidR="00571C12" w:rsidRDefault="00571C1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632530</wp:posOffset>
                </wp:positionH>
                <wp:positionV relativeFrom="paragraph">
                  <wp:posOffset>649316</wp:posOffset>
                </wp:positionV>
                <wp:extent cx="3571875" cy="352425"/>
                <wp:effectExtent b="0" l="0" r="0" t="0"/>
                <wp:wrapNone/>
                <wp:docPr id="1"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3571875" cy="352425"/>
                        </a:xfrm>
                        <a:prstGeom prst="rect"/>
                        <a:ln/>
                      </pic:spPr>
                    </pic:pic>
                  </a:graphicData>
                </a:graphic>
              </wp:anchor>
            </w:drawing>
          </mc:Fallback>
        </mc:AlternateContent>
      </w:r>
    </w:p>
    <w:p w:rsidR="00571C12" w:rsidRDefault="00571C12">
      <w:pPr>
        <w:spacing w:line="360" w:lineRule="auto"/>
        <w:ind w:right="-787"/>
        <w:jc w:val="center"/>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Cómo se logra observar, los números de serie del certificado de sello digital no contiene datos personales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rsidR="00571C12" w:rsidRDefault="00571C12">
      <w:pPr>
        <w:tabs>
          <w:tab w:val="left" w:pos="284"/>
        </w:tabs>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En ese sentido,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emitir el Acuerdo del </w:t>
      </w:r>
      <w:r>
        <w:rPr>
          <w:rFonts w:ascii="Palatino Linotype" w:eastAsia="Palatino Linotype" w:hAnsi="Palatino Linotype" w:cs="Palatino Linotype"/>
          <w:color w:val="000000"/>
        </w:rPr>
        <w:t>Comité</w:t>
      </w:r>
      <w:r>
        <w:rPr>
          <w:rFonts w:ascii="Palatino Linotype" w:eastAsia="Palatino Linotype" w:hAnsi="Palatino Linotype" w:cs="Palatino Linotype"/>
        </w:rPr>
        <w:t xml:space="preserve"> de Transparencia, mediante el cual de manera fundada y motivada establezca las razones por las cuales se clasifican como confidenciales los datos expuestos con anterioridad. </w:t>
      </w:r>
    </w:p>
    <w:p w:rsidR="00571C12" w:rsidRDefault="00571C12">
      <w:pPr>
        <w:ind w:right="-787"/>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 xml:space="preserve">Seguidamente, no debe de perderse de vista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propuso el cambio de modalidad a consulta directa, situación por la cual se hace el siguiente </w:t>
      </w:r>
      <w:r>
        <w:rPr>
          <w:rFonts w:ascii="Palatino Linotype" w:eastAsia="Palatino Linotype" w:hAnsi="Palatino Linotype" w:cs="Palatino Linotype"/>
        </w:rPr>
        <w:t>análisis</w:t>
      </w:r>
      <w:r>
        <w:rPr>
          <w:rFonts w:ascii="Palatino Linotype" w:eastAsia="Palatino Linotype" w:hAnsi="Palatino Linotype" w:cs="Palatino Linotype"/>
          <w:color w:val="000000"/>
        </w:rPr>
        <w:t xml:space="preserve">. </w:t>
      </w:r>
    </w:p>
    <w:p w:rsidR="00571C12" w:rsidRDefault="00571C12">
      <w:pPr>
        <w:pBdr>
          <w:top w:val="nil"/>
          <w:left w:val="nil"/>
          <w:bottom w:val="nil"/>
          <w:right w:val="nil"/>
          <w:between w:val="nil"/>
        </w:pBdr>
        <w:ind w:right="-787"/>
        <w:rPr>
          <w:rFonts w:ascii="Palatino Linotype" w:eastAsia="Palatino Linotype" w:hAnsi="Palatino Linotype" w:cs="Palatino Linotype"/>
          <w:b/>
          <w:bCs/>
          <w:color w:val="000000"/>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En esa línea, debe de precisarse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mediante la etapa de manifestaciones informó que la cantidad de archivos es de 2418, fojas que si alcanzan a cargarse en el Sistema SAIMEX, </w:t>
      </w:r>
      <w:r>
        <w:rPr>
          <w:rFonts w:ascii="Palatino Linotype" w:eastAsia="Palatino Linotype" w:hAnsi="Palatino Linotype" w:cs="Palatino Linotype"/>
          <w:b/>
          <w:bCs/>
        </w:rPr>
        <w:t xml:space="preserve">toda vez que el sistema soporta hasta 8,000 fojas, lo que trae consigo que el escáner puede ser en escalas de grises más bajo. </w:t>
      </w:r>
    </w:p>
    <w:p w:rsidR="00571C12" w:rsidRDefault="00F51032">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2567240" cy="2148081"/>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2567240" cy="2148081"/>
                    </a:xfrm>
                    <a:prstGeom prst="rect">
                      <a:avLst/>
                    </a:prstGeom>
                    <a:ln/>
                  </pic:spPr>
                </pic:pic>
              </a:graphicData>
            </a:graphic>
          </wp:inline>
        </w:drawing>
      </w:r>
    </w:p>
    <w:p w:rsidR="00571C12" w:rsidRDefault="00571C12">
      <w:pPr>
        <w:spacing w:line="360" w:lineRule="auto"/>
        <w:ind w:right="-787"/>
        <w:jc w:val="center"/>
        <w:rPr>
          <w:rFonts w:ascii="Palatino Linotype" w:eastAsia="Palatino Linotype" w:hAnsi="Palatino Linotype" w:cs="Palatino Linotype"/>
        </w:rPr>
      </w:pPr>
    </w:p>
    <w:p w:rsidR="00571C12" w:rsidRPr="00DC6F71"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En consecuencia,  debe de mencionarse que respecto al cambio de modalidad el artículo 155</w:t>
      </w:r>
      <w:r>
        <w:rPr>
          <w:rFonts w:ascii="Palatino Linotype" w:eastAsia="Palatino Linotype" w:hAnsi="Palatino Linotype" w:cs="Palatino Linotype"/>
        </w:rPr>
        <w:t xml:space="preserve">, fracción V, de la Ley de Transparencia y Acceso a la Información Pública del Estado de México y Municipios, precisa que para presentar una solicitud, la particular podrá señalar </w:t>
      </w:r>
      <w:r>
        <w:rPr>
          <w:rFonts w:ascii="Palatino Linotype" w:eastAsia="Palatino Linotype" w:hAnsi="Palatino Linotype" w:cs="Palatino Linotype"/>
          <w:b/>
          <w:bCs/>
        </w:rPr>
        <w:t>la modalidad en la que prefiere se otorgue el acceso a la información</w:t>
      </w:r>
      <w:r>
        <w:rPr>
          <w:rFonts w:ascii="Palatino Linotype" w:eastAsia="Palatino Linotype" w:hAnsi="Palatino Linotype" w:cs="Palatino Linotype"/>
        </w:rPr>
        <w:t>, la cual podrá ser verbal, siempre y cuando sea para fines de orientación, mediante consulta directa, mediante la expedición de copias simples o certificadas o la reproducción en cualquier otro medio, incluidos los electrónicos.</w:t>
      </w:r>
    </w:p>
    <w:p w:rsidR="00DC6F71" w:rsidRDefault="00DC6F71" w:rsidP="00DC6F71">
      <w:pPr>
        <w:spacing w:line="360" w:lineRule="auto"/>
        <w:ind w:right="-787"/>
        <w:jc w:val="both"/>
      </w:pP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artículo</w:t>
      </w:r>
      <w:r>
        <w:rPr>
          <w:rFonts w:ascii="Palatino Linotype" w:eastAsia="Palatino Linotype" w:hAnsi="Palatino Linotype" w:cs="Palatino Linotype"/>
        </w:rPr>
        <w:t xml:space="preserve"> 158, dispone que, de manera excepcional, cuando de manera fundada y motivada lo determine el Sujeto Obligado, </w:t>
      </w:r>
      <w:r>
        <w:rPr>
          <w:rFonts w:ascii="Palatino Linotype" w:eastAsia="Palatino Linotype" w:hAnsi="Palatino Linotype" w:cs="Palatino Linotype"/>
          <w:b/>
          <w:bCs/>
        </w:rPr>
        <w:t>en los casos en que la entrega de la información que se encuentre a su disposición, sobrepase las capacidades técnicas, administrativas y humanas del Sujeto Obligado para cumplir con la solicitud,  podrá poner a disposición del solicitante la información en consulta directa.</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b/>
          <w:bCs/>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lastRenderedPageBreak/>
        <w:t xml:space="preserve">En </w:t>
      </w:r>
      <w:r>
        <w:rPr>
          <w:rFonts w:ascii="Palatino Linotype" w:eastAsia="Palatino Linotype" w:hAnsi="Palatino Linotype" w:cs="Palatino Linotype"/>
          <w:color w:val="000000"/>
        </w:rPr>
        <w:t>ese</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orden</w:t>
      </w:r>
      <w:r>
        <w:rPr>
          <w:rFonts w:ascii="Palatino Linotype" w:eastAsia="Palatino Linotype" w:hAnsi="Palatino Linotype" w:cs="Palatino Linotype"/>
        </w:rPr>
        <w:t xml:space="preserve"> de ideas, el artículo 164 de dicho ordenamiento jurídico, prevé que el acceso se dará en la modalidad de entrega y, en su caso, de envío elegidos por el solicitante. </w:t>
      </w:r>
      <w:r>
        <w:rPr>
          <w:rFonts w:ascii="Palatino Linotype" w:eastAsia="Palatino Linotype" w:hAnsi="Palatino Linotype" w:cs="Palatino Linotype"/>
          <w:b/>
          <w:bCs/>
        </w:rPr>
        <w:t>Cuando la información no pueda entregarse o enviarse en la modalidad elegida, el sujeto obligado deberá ofrecer otra u otras modalidades de entrega.</w:t>
      </w:r>
      <w:r>
        <w:rPr>
          <w:rFonts w:ascii="Palatino Linotype" w:eastAsia="Palatino Linotype" w:hAnsi="Palatino Linotype" w:cs="Palatino Linotype"/>
        </w:rPr>
        <w:t xml:space="preserve"> En cualquier caso, </w:t>
      </w:r>
      <w:r>
        <w:rPr>
          <w:rFonts w:ascii="Palatino Linotype" w:eastAsia="Palatino Linotype" w:hAnsi="Palatino Linotype" w:cs="Palatino Linotype"/>
          <w:b/>
          <w:bCs/>
        </w:rPr>
        <w:t>se deberá fundar y motivar</w:t>
      </w:r>
      <w:r>
        <w:rPr>
          <w:rFonts w:ascii="Palatino Linotype" w:eastAsia="Palatino Linotype" w:hAnsi="Palatino Linotype" w:cs="Palatino Linotype"/>
        </w:rPr>
        <w:t xml:space="preserve"> la necesidad de ofrecer otras modalidades.</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Para lo cual, conforme al artículo 174 de la Ley de la materia, indica que los costos de </w:t>
      </w:r>
      <w:r>
        <w:rPr>
          <w:rFonts w:ascii="Palatino Linotype" w:eastAsia="Palatino Linotype" w:hAnsi="Palatino Linotype" w:cs="Palatino Linotype"/>
          <w:color w:val="000000"/>
        </w:rPr>
        <w:t>reproducción</w:t>
      </w:r>
      <w:r>
        <w:rPr>
          <w:rFonts w:ascii="Palatino Linotype" w:eastAsia="Palatino Linotype" w:hAnsi="Palatino Linotype" w:cs="Palatino Linotype"/>
        </w:rPr>
        <w:t xml:space="preserve"> y, en su caso, de envío para la obtención de la información deberán ser cubiertos por el solicitante de manera previa a la entrega por parte del Sujeto Obligado. En tales consideraciones, la entrega deberá hacerse, </w:t>
      </w:r>
      <w:r>
        <w:rPr>
          <w:rFonts w:ascii="Palatino Linotype" w:eastAsia="Palatino Linotype" w:hAnsi="Palatino Linotype" w:cs="Palatino Linotype"/>
          <w:b/>
          <w:bCs/>
        </w:rPr>
        <w:t>en la medida de lo posible, en la forma solicitada por el interesado, salvo que exista un impedimento justificado para atenderla</w:t>
      </w:r>
      <w:r>
        <w:rPr>
          <w:rFonts w:ascii="Palatino Linotype" w:eastAsia="Palatino Linotype" w:hAnsi="Palatino Linotype" w:cs="Palatino Linotype"/>
        </w:rPr>
        <w:t xml:space="preserve">, en cuyo caso, deberán exponerse las razones por las cuales no es posible utilizar el medio de reproducción solicitado; en este sentido, la entrega de la información en una modalidad distinta a la elegida por la particular </w:t>
      </w:r>
      <w:r>
        <w:rPr>
          <w:rFonts w:ascii="Palatino Linotype" w:eastAsia="Palatino Linotype" w:hAnsi="Palatino Linotype" w:cs="Palatino Linotype"/>
          <w:b/>
          <w:bCs/>
        </w:rPr>
        <w:t>sólo procede, en caso de que se acredite la imposibilidad de atenderla.</w:t>
      </w:r>
      <w:r>
        <w:rPr>
          <w:rFonts w:ascii="Palatino Linotype" w:eastAsia="Palatino Linotype" w:hAnsi="Palatino Linotype" w:cs="Palatino Linotype"/>
        </w:rPr>
        <w:t xml:space="preserve"> </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Así, cuando se justifique el impedimento, los Sujetos Obligados deberán ofrecer al</w:t>
      </w:r>
      <w:r>
        <w:rPr>
          <w:rFonts w:ascii="Palatino Linotype" w:eastAsia="Palatino Linotype" w:hAnsi="Palatino Linotype" w:cs="Palatino Linotype"/>
          <w:b/>
          <w:bCs/>
        </w:rPr>
        <w:t xml:space="preserve"> particular otras modalidades de entrega que permita la información</w:t>
      </w:r>
      <w:r>
        <w:rPr>
          <w:rFonts w:ascii="Palatino Linotype" w:eastAsia="Palatino Linotype" w:hAnsi="Palatino Linotype" w:cs="Palatino Linotype"/>
        </w:rPr>
        <w:t>, como consulta directa en las oficinas de la Unidad de Transparencia; lo anterior, es robustecido con el Criterio 08/17, emitido por el Pleno del Instituto Nacional de Transparencia, Acceso a la Información y Protección de Datos Personales, vigente a la fecha de la solicitud de información, el cual establece lo siguiente:</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“Modalidad de entrega. Procedencia de proporcionar la información solicitada en una diversa a la elegida por el solicitante.</w:t>
      </w:r>
      <w:r>
        <w:rPr>
          <w:rFonts w:ascii="Palatino Linotype" w:eastAsia="Palatino Linotype" w:hAnsi="Palatino Linotype" w:cs="Palatino Linotype"/>
          <w:i/>
          <w:iCs/>
        </w:rPr>
        <w:t xml:space="preserve"> De una interpretación a los artículos </w:t>
      </w:r>
      <w:r>
        <w:rPr>
          <w:rFonts w:ascii="Palatino Linotype" w:eastAsia="Palatino Linotype" w:hAnsi="Palatino Linotype" w:cs="Palatino Linotype"/>
          <w:i/>
          <w:iCs/>
        </w:rPr>
        <w:lastRenderedPageBreak/>
        <w:t>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rsidR="00571C12" w:rsidRDefault="00571C12">
      <w:pPr>
        <w:ind w:left="1134" w:right="-787"/>
        <w:jc w:val="both"/>
        <w:rPr>
          <w:rFonts w:ascii="Palatino Linotype" w:eastAsia="Palatino Linotype" w:hAnsi="Palatino Linotype" w:cs="Palatino Linotype"/>
        </w:rPr>
      </w:pPr>
    </w:p>
    <w:p w:rsidR="00571C12" w:rsidRDefault="00571C12">
      <w:pPr>
        <w:ind w:left="1134"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Del citado criterio, se desprende que cuando no sea posible atender la modalidad elegida por los solicitantes,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obligación de acceso a la información se tendrá por cumplida cuando el Sujeto Obligado justifique el impedimento para atender la misma y se notifique al particular la puesta a disposición de la </w:t>
      </w:r>
      <w:r>
        <w:rPr>
          <w:rFonts w:ascii="Palatino Linotype" w:eastAsia="Palatino Linotype" w:hAnsi="Palatino Linotype" w:cs="Palatino Linotype"/>
          <w:b/>
          <w:bCs/>
        </w:rPr>
        <w:t>información en todas las modalidades que lo permitan, procurando reducir los costos de entrega.</w:t>
      </w:r>
    </w:p>
    <w:p w:rsidR="00571C12" w:rsidRDefault="00571C12">
      <w:pPr>
        <w:spacing w:line="360" w:lineRule="auto"/>
        <w:ind w:right="-787"/>
        <w:jc w:val="both"/>
        <w:rPr>
          <w:rFonts w:ascii="Palatino Linotype" w:eastAsia="Palatino Linotype" w:hAnsi="Palatino Linotype" w:cs="Palatino Linotype"/>
          <w:b/>
          <w:bCs/>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Además, según Calero, Natalia (2016), en la “Ley General de Transparencia y Acceso a la Información Pública Comentada”,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rsidR="00571C12" w:rsidRDefault="00F51032">
      <w:pPr>
        <w:numPr>
          <w:ilvl w:val="0"/>
          <w:numId w:val="8"/>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razones por las cuales la información implicaba un análisis, estudio o procesamiento de datos;</w:t>
      </w:r>
    </w:p>
    <w:p w:rsidR="00571C12" w:rsidRDefault="00F51032">
      <w:pPr>
        <w:numPr>
          <w:ilvl w:val="0"/>
          <w:numId w:val="8"/>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tiempo no es suficiente para atender la solicitud en la modalidad elegida, y</w:t>
      </w:r>
    </w:p>
    <w:p w:rsidR="00571C12" w:rsidRDefault="00F51032">
      <w:pPr>
        <w:numPr>
          <w:ilvl w:val="0"/>
          <w:numId w:val="8"/>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cantidad de recursos humanos y materiales con los que cuenta el Sujeto Obligado son insuficientes.</w:t>
      </w:r>
    </w:p>
    <w:p w:rsidR="00571C12" w:rsidRDefault="00571C12">
      <w:pPr>
        <w:pBdr>
          <w:top w:val="nil"/>
          <w:left w:val="nil"/>
          <w:bottom w:val="nil"/>
          <w:right w:val="nil"/>
          <w:between w:val="nil"/>
        </w:pBdr>
        <w:spacing w:line="360" w:lineRule="auto"/>
        <w:ind w:left="720" w:right="-787"/>
        <w:jc w:val="both"/>
        <w:rPr>
          <w:rFonts w:ascii="Palatino Linotype" w:eastAsia="Palatino Linotype" w:hAnsi="Palatino Linotype" w:cs="Palatino Linotype"/>
          <w:color w:val="000000"/>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lastRenderedPageBreak/>
        <w:t xml:space="preserve">En ese contexto, este Instituto considera que la cantidad de archivos si son susceptibles de entregarse por medio del Sistema SAIMEX, situación por la cual no se puede tener por validado el cambio de modalidad a consulta directa que propone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por lo cual la información solicitada deberá de ser entregada por medio del Sistema SAIMEX, toda vez que fue la modalidad elegida por el </w:t>
      </w:r>
      <w:r>
        <w:rPr>
          <w:rFonts w:ascii="Palatino Linotype" w:eastAsia="Palatino Linotype" w:hAnsi="Palatino Linotype" w:cs="Palatino Linotype"/>
          <w:b/>
          <w:bCs/>
        </w:rPr>
        <w:t xml:space="preserve">RECURRENTE. </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 xml:space="preserve">Es de hacer hincapié, que en todo momento se debe privilegiar la modalidad escogida por el Particular, dicha manifestación además encuentra sustento dentro diversas </w:t>
      </w:r>
      <w:r>
        <w:rPr>
          <w:rFonts w:ascii="Palatino Linotype" w:eastAsia="Palatino Linotype" w:hAnsi="Palatino Linotype" w:cs="Palatino Linotype"/>
          <w:color w:val="000000"/>
        </w:rPr>
        <w:t>resoluciones</w:t>
      </w:r>
      <w:r>
        <w:rPr>
          <w:rFonts w:ascii="Palatino Linotype" w:eastAsia="Palatino Linotype" w:hAnsi="Palatino Linotype" w:cs="Palatino Linotype"/>
        </w:rPr>
        <w:t xml:space="preserve"> de los Recursos de Inconformidad emitidas por el Organismo Garante Nacional, por enunciar algunas, RIA 136/20, RIA 140/20, RIA 153/20 RIA 237/20, RIA 257/20, RIA 258/20, entre otros, en los que ha considerado que no resulta suficiente argumentar una imposibilidad técnica para acreditar un cambio de modalidad, sino que es necesario demostrar otros impedimentos, que fuera de imposible reproducción en el medio elegido por el Solicitante, que la información amerita el cruce de información en los sistemas de datos, entre otros, ello con el fin de privilegiar el Principio de Gratuidad y Máxima Publicidad, sin embargo, el Sujeto Obligado puede proporcionar otras modalidades para de la entrega de la información, a través del Sistema de Acceso a la Información Mexiquense (SAIMEX); tales como copia simple o certificada; o bien a través de disco compacto, medios de almacenamiento (USB), e incluso su envió a través de correo certificado previo pago de los costos de reproducción correspondientes.</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 xml:space="preserve">Al respecto de las modalidades de entrega, se debe de mencionar que de acuerdo Criterio número 8/2013 del entonces Instituto Federal de Acceso a la Información, el </w:t>
      </w:r>
      <w:r>
        <w:rPr>
          <w:rFonts w:ascii="Palatino Linotype" w:eastAsia="Palatino Linotype" w:hAnsi="Palatino Linotype" w:cs="Palatino Linotype"/>
          <w:b/>
          <w:bCs/>
          <w:color w:val="000000"/>
        </w:rPr>
        <w:lastRenderedPageBreak/>
        <w:t xml:space="preserve">SUJETO OBLIGADO </w:t>
      </w:r>
      <w:r>
        <w:rPr>
          <w:rFonts w:ascii="Palatino Linotype" w:eastAsia="Palatino Linotype" w:hAnsi="Palatino Linotype" w:cs="Palatino Linotype"/>
          <w:color w:val="000000"/>
        </w:rPr>
        <w:t>debe de ofrecer todas las opciones de modalidades de consulta, mismo que se encontraba vigente a la fecha de la solicitud, el cual considera:</w:t>
      </w:r>
    </w:p>
    <w:p w:rsidR="00571C12" w:rsidRDefault="00F51032">
      <w:pPr>
        <w:pBdr>
          <w:top w:val="nil"/>
          <w:left w:val="nil"/>
          <w:bottom w:val="nil"/>
          <w:right w:val="nil"/>
          <w:between w:val="nil"/>
        </w:pBdr>
        <w:tabs>
          <w:tab w:val="left" w:pos="851"/>
        </w:tabs>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Cuando exista impedimento justificado de atender la modalidad de entrega elegida por el solicitante, procede ofrecer todas las demás opciones previstas en la Ley.</w:t>
      </w:r>
      <w:r>
        <w:rPr>
          <w:rFonts w:ascii="Palatino Linotype" w:eastAsia="Palatino Linotype" w:hAnsi="Palatino Linotype" w:cs="Palatino Linotype"/>
          <w:i/>
          <w:iCs/>
        </w:rPr>
        <w:t xml:space="preserve"> De conformidad con lo dispuesto en los artículos 42 y 44 de la Ley Federal de Transparencia y Acceso a la Información Pública Gubernamental, y 54 de su Reglamento, la entrega de la información debe hacerse, en la medida de lo posible, en la forma solicitada por el interesado, salvo que exista un impedimento justificado para atenderla, en cuyo caso, deberán exponerse las razones por las cuales no es posible utilizar el medio de reproducción solicitado. 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 Así, cuando se justifique el impedimento, los sujetos obligados deberán notificar al particular la disposición de la información en todas las </w:t>
      </w:r>
      <w:r>
        <w:rPr>
          <w:rFonts w:ascii="Palatino Linotype" w:eastAsia="Palatino Linotype" w:hAnsi="Palatino Linotype" w:cs="Palatino Linotype"/>
          <w:b/>
          <w:bCs/>
          <w:i/>
          <w:iCs/>
        </w:rPr>
        <w:t>modalidades de entrega que permita el documento, tales como consulta directa, copias simples y certificadas, así como la reproducción en cualquier otro medio e indicarle</w:t>
      </w:r>
      <w:r>
        <w:rPr>
          <w:rFonts w:ascii="Palatino Linotype" w:eastAsia="Palatino Linotype" w:hAnsi="Palatino Linotype" w:cs="Palatino Linotype"/>
          <w:i/>
          <w:iCs/>
        </w:rPr>
        <w:t xml:space="preserve">, en su caso, los costos de reproducción y envío, para que pueda estar en aptitud de elegir la que sea de su interés o la que más le convenga. En estos casos, los sujetos obligados deberán intentar reducir, en todo momento, los costos de entrega de la información y garantizar el debido equilibrio entre el legítimo derecho de acceso a la información y las posibilidades materiales de otorgar acceso a los documentos.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Resoluciones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RDA 2012/12. Interpuesto en contra de la Secretaría de Comunicaciones y Transportes. Comisionada Ponente Jacqueline Peschard Mariscal.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RDA 0973/12. Interpuesto en contra de la Secretaría de Educación Pública. Comisionada Ponente Sigrid Arzt Colunga.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RDA 0112/12. Interpuesto en contra de Petróleos Mexicanos. Comisionado Ponente Ángel Trinidad Zaldívar.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RDA 0085/12. Interpuesto en contra del Instituto Nacional de Ciencias Médicas y Nutrición Salvador Zubirán. Comisionada Ponente Sigrid Arzt Colunga. </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3068/11. Interpuesto en contra de la Presidencia de la República. Comisionada Ponente María Elena Pérez-Jaén Zermeño. “</w:t>
      </w:r>
    </w:p>
    <w:p w:rsidR="00571C12" w:rsidRDefault="00571C12">
      <w:pPr>
        <w:ind w:left="1134" w:right="-787"/>
        <w:jc w:val="both"/>
        <w:rPr>
          <w:rFonts w:ascii="Palatino Linotype" w:eastAsia="Palatino Linotype" w:hAnsi="Palatino Linotype" w:cs="Palatino Linotype"/>
          <w:i/>
          <w:iCs/>
        </w:rPr>
      </w:pP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02/2004 INFORMACIÓN DISPERSA</w:t>
      </w:r>
      <w:r>
        <w:rPr>
          <w:rFonts w:ascii="Palatino Linotype" w:eastAsia="Palatino Linotype" w:hAnsi="Palatino Linotype" w:cs="Palatino Linotype"/>
          <w:b/>
          <w:bCs/>
        </w:rPr>
        <w:t xml:space="preserve"> </w:t>
      </w:r>
      <w:r>
        <w:rPr>
          <w:rFonts w:ascii="Palatino Linotype" w:eastAsia="Palatino Linotype" w:hAnsi="Palatino Linotype" w:cs="Palatino Linotype"/>
          <w:b/>
          <w:bCs/>
          <w:i/>
          <w:iCs/>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Pr>
          <w:rFonts w:ascii="Palatino Linotype" w:eastAsia="Palatino Linotype" w:hAnsi="Palatino Linotype" w:cs="Palatino Linotype"/>
          <w:i/>
          <w:iCs/>
        </w:rPr>
        <w:t xml:space="preserve"> 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como lo prevé el artículo 29 del Reglamento de la Suprema Corte de Justicia de la Nación y del Consejo de la Judicatura Federal para la aplicación de la Ley Federal de Transparencia y Acceso a la Información Pública Gubernamental, 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con lo que además se reconoce que para realizar la referida consulta física el solicitante enfrentará limitantes temporales y económicas que difícilmente podrá superar, lo que finalmente le impedirá conocer los datos que le permitan evaluar las actividades desarrolladas por el respectivo órgano del Estado. Clasificación de Información 6/2004-J. 29 de abril de 2004. Unanimidad de votos.”</w:t>
      </w:r>
    </w:p>
    <w:p w:rsidR="00571C12" w:rsidRDefault="00F51032">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(Énfasis añadido)</w:t>
      </w:r>
    </w:p>
    <w:p w:rsidR="00571C12" w:rsidRDefault="00571C12">
      <w:pPr>
        <w:ind w:left="1134" w:right="-787"/>
        <w:jc w:val="both"/>
        <w:rPr>
          <w:rFonts w:ascii="Palatino Linotype" w:eastAsia="Palatino Linotype" w:hAnsi="Palatino Linotype" w:cs="Palatino Linotype"/>
          <w:i/>
          <w:iCs/>
        </w:rPr>
      </w:pP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Ahora bien,  se debe de analizar lo relacionado con la </w:t>
      </w:r>
      <w:r>
        <w:rPr>
          <w:rFonts w:ascii="Palatino Linotype" w:eastAsia="Palatino Linotype" w:hAnsi="Palatino Linotype" w:cs="Palatino Linotype"/>
          <w:b/>
          <w:bCs/>
        </w:rPr>
        <w:t xml:space="preserve">nómina general del mes de diciembre de dos mil veinticinco, </w:t>
      </w:r>
      <w:r>
        <w:rPr>
          <w:rFonts w:ascii="Palatino Linotype" w:eastAsia="Palatino Linotype" w:hAnsi="Palatino Linotype" w:cs="Palatino Linotype"/>
        </w:rPr>
        <w:t xml:space="preserve">mediante los siguientes párrafos. </w:t>
      </w:r>
    </w:p>
    <w:p w:rsidR="00571C12" w:rsidRDefault="00571C12">
      <w:pPr>
        <w:spacing w:line="360" w:lineRule="auto"/>
        <w:ind w:right="-787"/>
        <w:jc w:val="both"/>
        <w:rPr>
          <w:rFonts w:ascii="Palatino Linotype" w:eastAsia="Palatino Linotype" w:hAnsi="Palatino Linotype" w:cs="Palatino Linotype"/>
          <w:b/>
          <w:bCs/>
        </w:rPr>
      </w:pPr>
    </w:p>
    <w:p w:rsidR="00571C12" w:rsidRPr="00896563" w:rsidRDefault="00F51032">
      <w:pPr>
        <w:numPr>
          <w:ilvl w:val="0"/>
          <w:numId w:val="3"/>
        </w:numPr>
        <w:spacing w:line="360" w:lineRule="auto"/>
        <w:ind w:left="0" w:right="-787" w:firstLine="0"/>
        <w:jc w:val="both"/>
        <w:rPr>
          <w:color w:val="000000"/>
        </w:rPr>
      </w:pPr>
      <w:r w:rsidRPr="00896563">
        <w:rPr>
          <w:rFonts w:ascii="Palatino Linotype" w:eastAsia="Palatino Linotype" w:hAnsi="Palatino Linotype" w:cs="Palatino Linotype"/>
          <w:color w:val="000000"/>
        </w:rPr>
        <w:t xml:space="preserve">En lo que </w:t>
      </w:r>
      <w:r w:rsidRPr="00896563">
        <w:rPr>
          <w:rFonts w:ascii="Palatino Linotype" w:eastAsia="Palatino Linotype" w:hAnsi="Palatino Linotype" w:cs="Palatino Linotype"/>
        </w:rPr>
        <w:t>corresponde</w:t>
      </w:r>
      <w:r w:rsidR="00B5552C" w:rsidRPr="00896563">
        <w:rPr>
          <w:rFonts w:ascii="Palatino Linotype" w:eastAsia="Palatino Linotype" w:hAnsi="Palatino Linotype" w:cs="Palatino Linotype"/>
          <w:color w:val="000000"/>
        </w:rPr>
        <w:t xml:space="preserve"> a Modulo 4</w:t>
      </w:r>
      <w:r w:rsidRPr="00896563">
        <w:rPr>
          <w:rFonts w:ascii="Palatino Linotype" w:eastAsia="Palatino Linotype" w:hAnsi="Palatino Linotype" w:cs="Palatino Linotype"/>
          <w:color w:val="000000"/>
        </w:rPr>
        <w:t xml:space="preserve"> de </w:t>
      </w:r>
      <w:r w:rsidRPr="00896563">
        <w:rPr>
          <w:rFonts w:ascii="Palatino Linotype" w:eastAsia="Palatino Linotype" w:hAnsi="Palatino Linotype" w:cs="Palatino Linotype"/>
          <w:b/>
          <w:bCs/>
          <w:color w:val="000000"/>
        </w:rPr>
        <w:t>‘</w:t>
      </w:r>
      <w:r w:rsidR="00B5552C" w:rsidRPr="00896563">
        <w:rPr>
          <w:rFonts w:ascii="Palatino Linotype" w:eastAsia="Palatino Linotype" w:hAnsi="Palatino Linotype" w:cs="Palatino Linotype"/>
          <w:b/>
          <w:bCs/>
          <w:color w:val="000000"/>
        </w:rPr>
        <w:t>Información Administrativa</w:t>
      </w:r>
      <w:r w:rsidRPr="00896563">
        <w:rPr>
          <w:rFonts w:ascii="Palatino Linotype" w:eastAsia="Palatino Linotype" w:hAnsi="Palatino Linotype" w:cs="Palatino Linotype"/>
          <w:b/>
          <w:bCs/>
          <w:color w:val="000000"/>
        </w:rPr>
        <w:t>,</w:t>
      </w:r>
      <w:r w:rsidRPr="00896563">
        <w:rPr>
          <w:rFonts w:ascii="Palatino Linotype" w:eastAsia="Palatino Linotype" w:hAnsi="Palatino Linotype" w:cs="Palatino Linotype"/>
          <w:color w:val="000000"/>
        </w:rPr>
        <w:t xml:space="preserve"> se advierte que el </w:t>
      </w:r>
      <w:r w:rsidRPr="00896563">
        <w:rPr>
          <w:rFonts w:ascii="Palatino Linotype" w:eastAsia="Palatino Linotype" w:hAnsi="Palatino Linotype" w:cs="Palatino Linotype"/>
          <w:b/>
          <w:bCs/>
          <w:color w:val="000000"/>
        </w:rPr>
        <w:t>SUJETO OBLIGADO,</w:t>
      </w:r>
      <w:r w:rsidRPr="00896563">
        <w:rPr>
          <w:rFonts w:ascii="Palatino Linotype" w:eastAsia="Palatino Linotype" w:hAnsi="Palatino Linotype" w:cs="Palatino Linotype"/>
          <w:color w:val="000000"/>
        </w:rPr>
        <w:t xml:space="preserve"> deberá integrar, en formato </w:t>
      </w:r>
      <w:r w:rsidRPr="00896563">
        <w:rPr>
          <w:rFonts w:ascii="Palatino Linotype" w:eastAsia="Palatino Linotype" w:hAnsi="Palatino Linotype" w:cs="Palatino Linotype"/>
          <w:i/>
          <w:iCs/>
          <w:color w:val="000000"/>
        </w:rPr>
        <w:t>.pdf</w:t>
      </w:r>
      <w:r w:rsidRPr="00896563">
        <w:rPr>
          <w:rFonts w:ascii="Palatino Linotype" w:eastAsia="Palatino Linotype" w:hAnsi="Palatino Linotype" w:cs="Palatino Linotype"/>
          <w:color w:val="000000"/>
        </w:rPr>
        <w:t xml:space="preserve">, y </w:t>
      </w:r>
      <w:r w:rsidR="00B5552C" w:rsidRPr="00896563">
        <w:rPr>
          <w:rFonts w:ascii="Palatino Linotype" w:eastAsia="Palatino Linotype" w:hAnsi="Palatino Linotype" w:cs="Palatino Linotype"/>
          <w:color w:val="000000"/>
        </w:rPr>
        <w:t>entregarlo de manera mensual</w:t>
      </w:r>
      <w:r w:rsidRPr="00896563">
        <w:rPr>
          <w:rFonts w:ascii="Palatino Linotype" w:eastAsia="Palatino Linotype" w:hAnsi="Palatino Linotype" w:cs="Palatino Linotype"/>
          <w:color w:val="000000"/>
        </w:rPr>
        <w:t xml:space="preserve">, </w:t>
      </w:r>
      <w:r w:rsidRPr="00896563">
        <w:rPr>
          <w:rFonts w:ascii="Palatino Linotype" w:eastAsia="Palatino Linotype" w:hAnsi="Palatino Linotype" w:cs="Palatino Linotype"/>
          <w:color w:val="000000"/>
        </w:rPr>
        <w:lastRenderedPageBreak/>
        <w:t xml:space="preserve">el documento titulado </w:t>
      </w:r>
      <w:r w:rsidRPr="00896563">
        <w:rPr>
          <w:rFonts w:ascii="Palatino Linotype" w:eastAsia="Palatino Linotype" w:hAnsi="Palatino Linotype" w:cs="Palatino Linotype"/>
          <w:b/>
          <w:bCs/>
          <w:color w:val="000000"/>
        </w:rPr>
        <w:t>Conciliación de Nómina Mensual</w:t>
      </w:r>
      <w:r w:rsidRPr="00896563">
        <w:rPr>
          <w:rFonts w:ascii="Palatino Linotype" w:eastAsia="Palatino Linotype" w:hAnsi="Palatino Linotype" w:cs="Palatino Linotype"/>
          <w:color w:val="000000"/>
        </w:rPr>
        <w:t xml:space="preserve">; tal como </w:t>
      </w:r>
      <w:r w:rsidR="00B5552C" w:rsidRPr="00896563">
        <w:rPr>
          <w:rFonts w:ascii="Palatino Linotype" w:eastAsia="Palatino Linotype" w:hAnsi="Palatino Linotype" w:cs="Palatino Linotype"/>
          <w:color w:val="000000"/>
        </w:rPr>
        <w:t xml:space="preserve">se observa en la siguiente </w:t>
      </w:r>
      <w:r w:rsidR="00C23237" w:rsidRPr="00896563">
        <w:rPr>
          <w:rFonts w:ascii="Palatino Linotype" w:eastAsia="Palatino Linotype" w:hAnsi="Palatino Linotype" w:cs="Palatino Linotype"/>
          <w:color w:val="000000"/>
        </w:rPr>
        <w:t>imagen.</w:t>
      </w:r>
    </w:p>
    <w:p w:rsidR="00DC6F71" w:rsidRPr="00C23237" w:rsidRDefault="00DC6F71" w:rsidP="00C23237">
      <w:pPr>
        <w:pStyle w:val="Prrafodelista"/>
        <w:pBdr>
          <w:top w:val="nil"/>
          <w:left w:val="nil"/>
          <w:bottom w:val="nil"/>
          <w:right w:val="nil"/>
          <w:between w:val="nil"/>
        </w:pBdr>
        <w:tabs>
          <w:tab w:val="left" w:pos="426"/>
        </w:tabs>
        <w:spacing w:line="360" w:lineRule="auto"/>
        <w:ind w:left="360" w:right="-787"/>
        <w:jc w:val="center"/>
        <w:rPr>
          <w:rFonts w:ascii="Palatino Linotype" w:eastAsia="Palatino Linotype" w:hAnsi="Palatino Linotype" w:cs="Palatino Linotype"/>
          <w:color w:val="000000"/>
        </w:rPr>
      </w:pPr>
      <w:r>
        <w:rPr>
          <w:noProof/>
          <w:lang w:val="es-MX"/>
        </w:rPr>
        <mc:AlternateContent>
          <mc:Choice Requires="wps">
            <w:drawing>
              <wp:anchor distT="0" distB="0" distL="114300" distR="114300" simplePos="0" relativeHeight="251659264" behindDoc="0" locked="0" layoutInCell="1" hidden="0" allowOverlap="1">
                <wp:simplePos x="0" y="0"/>
                <wp:positionH relativeFrom="column">
                  <wp:posOffset>1192217</wp:posOffset>
                </wp:positionH>
                <wp:positionV relativeFrom="paragraph">
                  <wp:posOffset>1387835</wp:posOffset>
                </wp:positionV>
                <wp:extent cx="3705367" cy="286603"/>
                <wp:effectExtent l="0" t="0" r="28575" b="18415"/>
                <wp:wrapNone/>
                <wp:docPr id="4" name="Rectángulo 4"/>
                <wp:cNvGraphicFramePr/>
                <a:graphic xmlns:a="http://schemas.openxmlformats.org/drawingml/2006/main">
                  <a:graphicData uri="http://schemas.microsoft.com/office/word/2010/wordprocessingShape">
                    <wps:wsp>
                      <wps:cNvSpPr/>
                      <wps:spPr>
                        <a:xfrm>
                          <a:off x="0" y="0"/>
                          <a:ext cx="3705367" cy="286603"/>
                        </a:xfrm>
                        <a:prstGeom prst="rect">
                          <a:avLst/>
                        </a:prstGeom>
                        <a:noFill/>
                        <a:ln w="19050" cap="flat" cmpd="sng">
                          <a:solidFill>
                            <a:srgbClr val="FF0000"/>
                          </a:solidFill>
                          <a:prstDash val="solid"/>
                          <a:miter lim="800000"/>
                          <a:headEnd type="none" w="sm" len="sm"/>
                          <a:tailEnd type="none" w="sm" len="sm"/>
                        </a:ln>
                      </wps:spPr>
                      <wps:txbx>
                        <w:txbxContent>
                          <w:p w:rsidR="00571C12" w:rsidRDefault="00571C12">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Rectángulo 4" o:spid="_x0000_s1027" style="position:absolute;left:0;text-align:left;margin-left:93.9pt;margin-top:109.3pt;width:291.7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" filled="f" strokecolor="red" strokeweight="1.5pt">
                <v:stroke startarrowwidth="narrow" startarrowlength="short" endarrowwidth="narrow" endarrowlength="short"/>
                <v:textbox inset="2.53958mm,2.53958mm,2.53958mm,2.53958mm">
                  <w:txbxContent>
                    <w:p w:rsidR="00571C12" w:rsidRDefault="00571C12">
                      <w:pPr>
                        <w:textDirection w:val="btLr"/>
                      </w:pPr>
                    </w:p>
                  </w:txbxContent>
                </v:textbox>
              </v:rect>
            </w:pict>
          </mc:Fallback>
        </mc:AlternateContent>
      </w:r>
      <w:r w:rsidRPr="00DC6F71">
        <w:rPr>
          <w:rFonts w:ascii="Palatino Linotype" w:eastAsia="Palatino Linotype" w:hAnsi="Palatino Linotype" w:cs="Palatino Linotype"/>
          <w:noProof/>
          <w:color w:val="000000"/>
          <w:lang w:val="es-MX"/>
        </w:rPr>
        <w:drawing>
          <wp:inline distT="0" distB="0" distL="0" distR="0" wp14:anchorId="54760ADE" wp14:editId="136FFE52">
            <wp:extent cx="3692415" cy="4606119"/>
            <wp:effectExtent l="152400" t="152400" r="365760" b="36639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97271" cy="4612176"/>
                    </a:xfrm>
                    <a:prstGeom prst="rect">
                      <a:avLst/>
                    </a:prstGeom>
                    <a:ln>
                      <a:noFill/>
                    </a:ln>
                    <a:effectLst>
                      <a:outerShdw blurRad="292100" dist="139700" dir="2700000" algn="tl" rotWithShape="0">
                        <a:srgbClr val="333333">
                          <a:alpha val="65000"/>
                        </a:srgbClr>
                      </a:outerShdw>
                    </a:effectLst>
                  </pic:spPr>
                </pic:pic>
              </a:graphicData>
            </a:graphic>
          </wp:inline>
        </w:drawing>
      </w:r>
    </w:p>
    <w:p w:rsidR="00571C1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 xml:space="preserve">Al </w:t>
      </w:r>
      <w:r>
        <w:rPr>
          <w:rFonts w:ascii="Palatino Linotype" w:eastAsia="Palatino Linotype" w:hAnsi="Palatino Linotype" w:cs="Palatino Linotype"/>
        </w:rPr>
        <w:t>respecto</w:t>
      </w:r>
      <w:r>
        <w:rPr>
          <w:rFonts w:ascii="Palatino Linotype" w:eastAsia="Palatino Linotype" w:hAnsi="Palatino Linotype" w:cs="Palatino Linotype"/>
          <w:color w:val="000000"/>
        </w:rPr>
        <w:t xml:space="preserve">, conviene referir que la Conciliación de Nómina Mensual es un documento en el que se detalla, entre otros, </w:t>
      </w:r>
      <w:r>
        <w:rPr>
          <w:rFonts w:ascii="Palatino Linotype" w:eastAsia="Palatino Linotype" w:hAnsi="Palatino Linotype" w:cs="Palatino Linotype"/>
          <w:b/>
          <w:bCs/>
          <w:color w:val="000000"/>
        </w:rPr>
        <w:t xml:space="preserve">el nombre, puesto funcional, área de </w:t>
      </w:r>
      <w:r>
        <w:rPr>
          <w:rFonts w:ascii="Palatino Linotype" w:eastAsia="Palatino Linotype" w:hAnsi="Palatino Linotype" w:cs="Palatino Linotype"/>
          <w:b/>
          <w:bCs/>
          <w:color w:val="000000"/>
        </w:rPr>
        <w:lastRenderedPageBreak/>
        <w:t>adscripción, categoría, así como todas las percepciones y deducciones que recibe cada servidor público que labora en la entidad</w:t>
      </w:r>
      <w:r>
        <w:rPr>
          <w:rFonts w:ascii="Palatino Linotype" w:eastAsia="Palatino Linotype" w:hAnsi="Palatino Linotype" w:cs="Palatino Linotype"/>
          <w:b/>
          <w:bCs/>
          <w:color w:val="000000"/>
          <w:vertAlign w:val="superscript"/>
        </w:rPr>
        <w:footnoteReference w:id="5"/>
      </w:r>
      <w:r>
        <w:rPr>
          <w:rFonts w:ascii="Palatino Linotype" w:eastAsia="Palatino Linotype" w:hAnsi="Palatino Linotype" w:cs="Palatino Linotype"/>
          <w:color w:val="000000"/>
        </w:rPr>
        <w:t xml:space="preserve">. </w:t>
      </w:r>
    </w:p>
    <w:p w:rsidR="00571C12" w:rsidRDefault="00571C12">
      <w:pPr>
        <w:spacing w:line="360" w:lineRule="auto"/>
        <w:ind w:right="-787"/>
        <w:jc w:val="both"/>
        <w:rPr>
          <w:rFonts w:ascii="Palatino Linotype" w:eastAsia="Palatino Linotype" w:hAnsi="Palatino Linotype" w:cs="Palatino Linotype"/>
          <w:color w:val="000000"/>
        </w:rPr>
      </w:pPr>
    </w:p>
    <w:p w:rsidR="00571C1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Aunado</w:t>
      </w:r>
      <w:r>
        <w:rPr>
          <w:rFonts w:ascii="Palatino Linotype" w:eastAsia="Palatino Linotype" w:hAnsi="Palatino Linotype" w:cs="Palatino Linotype"/>
        </w:rPr>
        <w:t xml:space="preserve"> a </w:t>
      </w:r>
      <w:r>
        <w:rPr>
          <w:rFonts w:ascii="Palatino Linotype" w:eastAsia="Palatino Linotype" w:hAnsi="Palatino Linotype" w:cs="Palatino Linotype"/>
          <w:color w:val="000000"/>
        </w:rPr>
        <w:t xml:space="preserve">lo anterior, las Políticas para la Integración del Informe Trimestral de los Sujetos de </w:t>
      </w:r>
      <w:r>
        <w:rPr>
          <w:rFonts w:ascii="Palatino Linotype" w:eastAsia="Palatino Linotype" w:hAnsi="Palatino Linotype" w:cs="Palatino Linotype"/>
        </w:rPr>
        <w:t>Fiscalización</w:t>
      </w:r>
      <w:r>
        <w:rPr>
          <w:rFonts w:ascii="Palatino Linotype" w:eastAsia="Palatino Linotype" w:hAnsi="Palatino Linotype" w:cs="Palatino Linotype"/>
          <w:color w:val="000000"/>
        </w:rPr>
        <w:t xml:space="preserve"> Municipales, que elabora el Órgano Superior de Fiscalización del Estado de México, refieren que el formato en cuestión </w:t>
      </w:r>
      <w:r>
        <w:rPr>
          <w:rFonts w:ascii="Palatino Linotype" w:eastAsia="Palatino Linotype" w:hAnsi="Palatino Linotype" w:cs="Palatino Linotype"/>
        </w:rPr>
        <w:t>contempla</w:t>
      </w:r>
      <w:r>
        <w:rPr>
          <w:rFonts w:ascii="Palatino Linotype" w:eastAsia="Palatino Linotype" w:hAnsi="Palatino Linotype" w:cs="Palatino Linotype"/>
          <w:color w:val="000000"/>
        </w:rPr>
        <w:t xml:space="preserve"> un total de 26 elementos, a saber:</w:t>
      </w:r>
    </w:p>
    <w:p w:rsidR="00571C12" w:rsidRDefault="00571C12">
      <w:pPr>
        <w:pBdr>
          <w:top w:val="nil"/>
          <w:left w:val="nil"/>
          <w:bottom w:val="nil"/>
          <w:right w:val="nil"/>
          <w:between w:val="nil"/>
        </w:pBdr>
        <w:tabs>
          <w:tab w:val="left" w:pos="426"/>
        </w:tabs>
        <w:spacing w:before="240" w:line="360" w:lineRule="auto"/>
        <w:ind w:right="-787"/>
        <w:jc w:val="both"/>
        <w:rPr>
          <w:rFonts w:ascii="Palatino Linotype" w:eastAsia="Palatino Linotype" w:hAnsi="Palatino Linotype" w:cs="Palatino Linotype"/>
          <w:color w:val="000000"/>
        </w:rPr>
      </w:pPr>
    </w:p>
    <w:p w:rsidR="00571C12" w:rsidRDefault="00F51032">
      <w:pPr>
        <w:pBdr>
          <w:top w:val="nil"/>
          <w:left w:val="nil"/>
          <w:bottom w:val="nil"/>
          <w:right w:val="nil"/>
          <w:between w:val="nil"/>
        </w:pBdr>
        <w:tabs>
          <w:tab w:val="left" w:pos="426"/>
        </w:tabs>
        <w:spacing w:line="360" w:lineRule="auto"/>
        <w:ind w:right="-78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114300" distR="114300">
            <wp:extent cx="4852035" cy="2743200"/>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4852035" cy="2743200"/>
                    </a:xfrm>
                    <a:prstGeom prst="rect">
                      <a:avLst/>
                    </a:prstGeom>
                    <a:ln/>
                  </pic:spPr>
                </pic:pic>
              </a:graphicData>
            </a:graphic>
          </wp:inline>
        </w:drawing>
      </w:r>
      <w:r>
        <w:rPr>
          <w:noProof/>
          <w:lang w:val="es-MX"/>
        </w:rPr>
        <mc:AlternateContent>
          <mc:Choice Requires="wpg">
            <w:drawing>
              <wp:anchor distT="0" distB="0" distL="114300" distR="114300" simplePos="0" relativeHeight="251660288" behindDoc="0" locked="0" layoutInCell="1" hidden="0" allowOverlap="1">
                <wp:simplePos x="0" y="0"/>
                <wp:positionH relativeFrom="column">
                  <wp:posOffset>3541713</wp:posOffset>
                </wp:positionH>
                <wp:positionV relativeFrom="paragraph">
                  <wp:posOffset>468313</wp:posOffset>
                </wp:positionV>
                <wp:extent cx="528125" cy="1430117"/>
                <wp:effectExtent l="0" t="0" r="0" b="0"/>
                <wp:wrapNone/>
                <wp:docPr id="2" name="Rectángulo 2"/>
                <wp:cNvGraphicFramePr/>
                <a:graphic xmlns:a="http://schemas.openxmlformats.org/drawingml/2006/main">
                  <a:graphicData uri="http://schemas.microsoft.com/office/word/2010/wordprocessingShape">
                    <wps:wsp>
                      <wps:cNvSpPr/>
                      <wps:spPr>
                        <a:xfrm>
                          <a:off x="5110513" y="3093517"/>
                          <a:ext cx="470975" cy="1372967"/>
                        </a:xfrm>
                        <a:prstGeom prst="rect">
                          <a:avLst/>
                        </a:prstGeom>
                        <a:noFill/>
                        <a:ln w="28575" cap="flat" cmpd="sng">
                          <a:solidFill>
                            <a:srgbClr val="FF0000"/>
                          </a:solidFill>
                          <a:prstDash val="solid"/>
                          <a:miter lim="800000"/>
                          <a:headEnd type="none" w="sm" len="sm"/>
                          <a:tailEnd type="none" w="sm" len="sm"/>
                        </a:ln>
                      </wps:spPr>
                      <wps:txbx>
                        <w:txbxContent>
                          <w:p w:rsidR="00571C12" w:rsidRDefault="00571C1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3541713</wp:posOffset>
                </wp:positionH>
                <wp:positionV relativeFrom="paragraph">
                  <wp:posOffset>468313</wp:posOffset>
                </wp:positionV>
                <wp:extent cx="528125" cy="1430117"/>
                <wp:effectExtent b="0" l="0" r="0" t="0"/>
                <wp:wrapNone/>
                <wp:docPr id="2" name="image11.png"/>
                <a:graphic>
                  <a:graphicData uri="http://schemas.openxmlformats.org/drawingml/2006/picture">
                    <pic:pic>
                      <pic:nvPicPr>
                        <pic:cNvPr id="0" name="image11.png"/>
                        <pic:cNvPicPr preferRelativeResize="0"/>
                      </pic:nvPicPr>
                      <pic:blipFill>
                        <a:blip r:embed="rId13"/>
                        <a:srcRect/>
                        <a:stretch>
                          <a:fillRect/>
                        </a:stretch>
                      </pic:blipFill>
                      <pic:spPr>
                        <a:xfrm>
                          <a:off x="0" y="0"/>
                          <a:ext cx="528125" cy="1430117"/>
                        </a:xfrm>
                        <a:prstGeom prst="rect"/>
                        <a:ln/>
                      </pic:spPr>
                    </pic:pic>
                  </a:graphicData>
                </a:graphic>
              </wp:anchor>
            </w:drawing>
          </mc:Fallback>
        </mc:AlternateContent>
      </w:r>
      <w:r>
        <w:rPr>
          <w:noProof/>
          <w:lang w:val="es-MX"/>
        </w:rPr>
        <mc:AlternateContent>
          <mc:Choice Requires="wpg">
            <w:drawing>
              <wp:anchor distT="0" distB="0" distL="114300" distR="114300" simplePos="0" relativeHeight="251661312" behindDoc="0" locked="0" layoutInCell="1" hidden="0" allowOverlap="1">
                <wp:simplePos x="0" y="0"/>
                <wp:positionH relativeFrom="column">
                  <wp:posOffset>2589213</wp:posOffset>
                </wp:positionH>
                <wp:positionV relativeFrom="paragraph">
                  <wp:posOffset>442913</wp:posOffset>
                </wp:positionV>
                <wp:extent cx="408280" cy="1430117"/>
                <wp:effectExtent l="0" t="0" r="0" b="0"/>
                <wp:wrapNone/>
                <wp:docPr id="3" name="Rectángulo 3"/>
                <wp:cNvGraphicFramePr/>
                <a:graphic xmlns:a="http://schemas.openxmlformats.org/drawingml/2006/main">
                  <a:graphicData uri="http://schemas.microsoft.com/office/word/2010/wordprocessingShape">
                    <wps:wsp>
                      <wps:cNvSpPr/>
                      <wps:spPr>
                        <a:xfrm>
                          <a:off x="5170435" y="3093517"/>
                          <a:ext cx="351130" cy="1372967"/>
                        </a:xfrm>
                        <a:prstGeom prst="rect">
                          <a:avLst/>
                        </a:prstGeom>
                        <a:noFill/>
                        <a:ln w="28575" cap="flat" cmpd="sng">
                          <a:solidFill>
                            <a:srgbClr val="FF0000"/>
                          </a:solidFill>
                          <a:prstDash val="solid"/>
                          <a:miter lim="800000"/>
                          <a:headEnd type="none" w="sm" len="sm"/>
                          <a:tailEnd type="none" w="sm" len="sm"/>
                        </a:ln>
                      </wps:spPr>
                      <wps:txbx>
                        <w:txbxContent>
                          <w:p w:rsidR="00571C12" w:rsidRDefault="00571C1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2589213</wp:posOffset>
                </wp:positionH>
                <wp:positionV relativeFrom="paragraph">
                  <wp:posOffset>442913</wp:posOffset>
                </wp:positionV>
                <wp:extent cx="408280" cy="1430117"/>
                <wp:effectExtent b="0" l="0" r="0" t="0"/>
                <wp:wrapNone/>
                <wp:docPr id="3" name="image12.png"/>
                <a:graphic>
                  <a:graphicData uri="http://schemas.openxmlformats.org/drawingml/2006/picture">
                    <pic:pic>
                      <pic:nvPicPr>
                        <pic:cNvPr id="0" name="image12.png"/>
                        <pic:cNvPicPr preferRelativeResize="0"/>
                      </pic:nvPicPr>
                      <pic:blipFill>
                        <a:blip r:embed="rId13"/>
                        <a:srcRect/>
                        <a:stretch>
                          <a:fillRect/>
                        </a:stretch>
                      </pic:blipFill>
                      <pic:spPr>
                        <a:xfrm>
                          <a:off x="0" y="0"/>
                          <a:ext cx="408280" cy="1430117"/>
                        </a:xfrm>
                        <a:prstGeom prst="rect"/>
                        <a:ln/>
                      </pic:spPr>
                    </pic:pic>
                  </a:graphicData>
                </a:graphic>
              </wp:anchor>
            </w:drawing>
          </mc:Fallback>
        </mc:AlternateContent>
      </w:r>
    </w:p>
    <w:p w:rsidR="00571C12" w:rsidRDefault="00F51032">
      <w:pPr>
        <w:pBdr>
          <w:top w:val="nil"/>
          <w:left w:val="nil"/>
          <w:bottom w:val="nil"/>
          <w:right w:val="nil"/>
          <w:between w:val="nil"/>
        </w:pBdr>
        <w:tabs>
          <w:tab w:val="left" w:pos="426"/>
        </w:tabs>
        <w:spacing w:line="360" w:lineRule="auto"/>
        <w:ind w:right="-78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lastRenderedPageBreak/>
        <w:drawing>
          <wp:inline distT="0" distB="0" distL="114300" distR="114300">
            <wp:extent cx="4872990" cy="2859405"/>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4872990" cy="2859405"/>
                    </a:xfrm>
                    <a:prstGeom prst="rect">
                      <a:avLst/>
                    </a:prstGeom>
                    <a:ln/>
                  </pic:spPr>
                </pic:pic>
              </a:graphicData>
            </a:graphic>
          </wp:inline>
        </w:drawing>
      </w:r>
    </w:p>
    <w:p w:rsidR="00571C12" w:rsidRDefault="00F51032">
      <w:pPr>
        <w:pBdr>
          <w:top w:val="nil"/>
          <w:left w:val="nil"/>
          <w:bottom w:val="nil"/>
          <w:right w:val="nil"/>
          <w:between w:val="nil"/>
        </w:pBdr>
        <w:tabs>
          <w:tab w:val="left" w:pos="426"/>
        </w:tabs>
        <w:spacing w:line="360" w:lineRule="auto"/>
        <w:ind w:right="-78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114300" distR="114300">
            <wp:extent cx="4878705" cy="1522095"/>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4878705" cy="1522095"/>
                    </a:xfrm>
                    <a:prstGeom prst="rect">
                      <a:avLst/>
                    </a:prstGeom>
                    <a:ln/>
                  </pic:spPr>
                </pic:pic>
              </a:graphicData>
            </a:graphic>
          </wp:inline>
        </w:drawing>
      </w:r>
    </w:p>
    <w:p w:rsidR="00571C12" w:rsidRDefault="00571C12">
      <w:pPr>
        <w:pBdr>
          <w:top w:val="nil"/>
          <w:left w:val="nil"/>
          <w:bottom w:val="nil"/>
          <w:right w:val="nil"/>
          <w:between w:val="nil"/>
        </w:pBdr>
        <w:tabs>
          <w:tab w:val="left" w:pos="426"/>
        </w:tabs>
        <w:spacing w:line="360" w:lineRule="auto"/>
        <w:ind w:right="-787"/>
        <w:jc w:val="center"/>
        <w:rPr>
          <w:rFonts w:ascii="Palatino Linotype" w:eastAsia="Palatino Linotype" w:hAnsi="Palatino Linotype" w:cs="Palatino Linotype"/>
          <w:color w:val="000000"/>
        </w:rPr>
      </w:pPr>
    </w:p>
    <w:p w:rsidR="00571C1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las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imágenes</w:t>
      </w:r>
      <w:r>
        <w:rPr>
          <w:rFonts w:ascii="Palatino Linotype" w:eastAsia="Palatino Linotype" w:hAnsi="Palatino Linotype" w:cs="Palatino Linotype"/>
          <w:color w:val="000000"/>
        </w:rPr>
        <w:t xml:space="preserve"> anteriores, podemos identificar a la </w:t>
      </w:r>
      <w:r>
        <w:rPr>
          <w:rFonts w:ascii="Palatino Linotype" w:eastAsia="Palatino Linotype" w:hAnsi="Palatino Linotype" w:cs="Palatino Linotype"/>
          <w:b/>
          <w:bCs/>
          <w:color w:val="000000"/>
        </w:rPr>
        <w:t xml:space="preserve">Conciliación de Nómina </w:t>
      </w:r>
      <w:r>
        <w:rPr>
          <w:rFonts w:ascii="Palatino Linotype" w:eastAsia="Palatino Linotype" w:hAnsi="Palatino Linotype" w:cs="Palatino Linotype"/>
          <w:color w:val="000000"/>
        </w:rPr>
        <w:t xml:space="preserve">como el documento </w:t>
      </w:r>
      <w:r>
        <w:rPr>
          <w:rFonts w:ascii="Palatino Linotype" w:eastAsia="Palatino Linotype" w:hAnsi="Palatino Linotype" w:cs="Palatino Linotype"/>
          <w:b/>
          <w:bCs/>
          <w:color w:val="000000"/>
        </w:rPr>
        <w:t>idóneo</w:t>
      </w:r>
      <w:r>
        <w:rPr>
          <w:rFonts w:ascii="Palatino Linotype" w:eastAsia="Palatino Linotype" w:hAnsi="Palatino Linotype" w:cs="Palatino Linotype"/>
          <w:color w:val="000000"/>
        </w:rPr>
        <w:t xml:space="preserve"> que puede satisfacer los requerimientos del particular, pues como se ha analizado en párrafos previos, </w:t>
      </w:r>
      <w:r>
        <w:rPr>
          <w:rFonts w:ascii="Palatino Linotype" w:eastAsia="Palatino Linotype" w:hAnsi="Palatino Linotype" w:cs="Palatino Linotype"/>
          <w:b/>
          <w:bCs/>
          <w:color w:val="000000"/>
        </w:rPr>
        <w:t>la Conciliación de Nómina de los servidores públicos consiste en el conjunto de percepciones y deducciones que se generan con motivo de la relación laboral</w:t>
      </w:r>
      <w:r>
        <w:rPr>
          <w:rFonts w:ascii="Palatino Linotype" w:eastAsia="Palatino Linotype" w:hAnsi="Palatino Linotype" w:cs="Palatino Linotype"/>
          <w:color w:val="000000"/>
        </w:rPr>
        <w:t xml:space="preserve">, asimismo </w:t>
      </w:r>
      <w:r>
        <w:rPr>
          <w:rFonts w:ascii="Palatino Linotype" w:eastAsia="Palatino Linotype" w:hAnsi="Palatino Linotype" w:cs="Palatino Linotype"/>
          <w:b/>
          <w:bCs/>
          <w:color w:val="000000"/>
        </w:rPr>
        <w:t>contiene la fecha de alta</w:t>
      </w:r>
      <w:r>
        <w:rPr>
          <w:rFonts w:ascii="Palatino Linotype" w:eastAsia="Palatino Linotype" w:hAnsi="Palatino Linotype" w:cs="Palatino Linotype"/>
          <w:color w:val="000000"/>
        </w:rPr>
        <w:t xml:space="preserve"> y fecha de baja de los servidores públicos;</w:t>
      </w:r>
      <w:r>
        <w:rPr>
          <w:rFonts w:ascii="Palatino Linotype" w:eastAsia="Palatino Linotype" w:hAnsi="Palatino Linotype" w:cs="Palatino Linotype"/>
          <w:b/>
          <w:bCs/>
          <w:color w:val="000000"/>
        </w:rPr>
        <w:t xml:space="preserve"> su nombre; puesto; área de adscripción </w:t>
      </w:r>
      <w:r>
        <w:rPr>
          <w:rFonts w:ascii="Palatino Linotype" w:eastAsia="Palatino Linotype" w:hAnsi="Palatino Linotype" w:cs="Palatino Linotype"/>
          <w:color w:val="000000"/>
        </w:rPr>
        <w:t>y</w:t>
      </w:r>
      <w:r>
        <w:rPr>
          <w:rFonts w:ascii="Palatino Linotype" w:eastAsia="Palatino Linotype" w:hAnsi="Palatino Linotype" w:cs="Palatino Linotype"/>
          <w:b/>
          <w:bCs/>
          <w:color w:val="000000"/>
        </w:rPr>
        <w:t xml:space="preserve"> categoría.</w:t>
      </w:r>
    </w:p>
    <w:p w:rsidR="00571C12" w:rsidRDefault="00571C12">
      <w:pPr>
        <w:spacing w:line="360" w:lineRule="auto"/>
        <w:ind w:right="-787"/>
        <w:jc w:val="both"/>
        <w:rPr>
          <w:rFonts w:ascii="Palatino Linotype" w:eastAsia="Palatino Linotype" w:hAnsi="Palatino Linotype" w:cs="Palatino Linotype"/>
          <w:color w:val="000000"/>
        </w:rPr>
      </w:pP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De lo anteriormente analizado, se tiene que la conciliación de nómina es el documento idóneo para colmar el derecho de acceso a la información del </w:t>
      </w:r>
      <w:r>
        <w:rPr>
          <w:rFonts w:ascii="Palatino Linotype" w:eastAsia="Palatino Linotype" w:hAnsi="Palatino Linotype" w:cs="Palatino Linotype"/>
          <w:b/>
          <w:bCs/>
          <w:color w:val="000000"/>
        </w:rPr>
        <w:t xml:space="preserve">RECURRENTE, toda vez que contiene la información solicitada, </w:t>
      </w:r>
      <w:r>
        <w:rPr>
          <w:rFonts w:ascii="Palatino Linotype" w:eastAsia="Palatino Linotype" w:hAnsi="Palatino Linotype" w:cs="Palatino Linotype"/>
          <w:color w:val="000000"/>
        </w:rPr>
        <w:t xml:space="preserve">respecto de todas las percepciones, incluyendo </w:t>
      </w:r>
      <w:r>
        <w:rPr>
          <w:rFonts w:ascii="Palatino Linotype" w:eastAsia="Palatino Linotype" w:hAnsi="Palatino Linotype" w:cs="Palatino Linotype"/>
          <w:b/>
          <w:bCs/>
          <w:color w:val="000000"/>
        </w:rPr>
        <w:t xml:space="preserve">sueldos, prestaciones, gratificaciones, primas, comisiones, dietas, bonos, estímulos, ingresos y sistemas de compensación, señalando la periodicidad de dicha remuneración. </w:t>
      </w:r>
    </w:p>
    <w:p w:rsidR="00571C12" w:rsidRDefault="00571C12">
      <w:pPr>
        <w:pBdr>
          <w:top w:val="nil"/>
          <w:left w:val="nil"/>
          <w:bottom w:val="nil"/>
          <w:right w:val="nil"/>
          <w:between w:val="nil"/>
        </w:pBdr>
        <w:ind w:left="708" w:right="-787"/>
        <w:rPr>
          <w:rFonts w:ascii="Palatino Linotype" w:eastAsia="Palatino Linotype" w:hAnsi="Palatino Linotype" w:cs="Palatino Linotype"/>
          <w:b/>
          <w:bCs/>
          <w:color w:val="000000"/>
        </w:rPr>
      </w:pP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esa línea, se tiene que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solicita la información de primas vacacionales y aguinaldos, mismos que se pagan a los servidores públicos en dos exhibiciones, que suelen ser en los meses de marzo o abril para el primer pago de aguinaldo y el mes de diciembre para el segundo pago de aguinaldo y el mes de julio para el primer pago de la primera vacacional y diciembre para el pago del segundo pago de la prima vacacional, situación por la cual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remitir las conciliaciones de nómina que contengan dicha información. </w:t>
      </w:r>
    </w:p>
    <w:p w:rsidR="00571C12" w:rsidRDefault="00571C12">
      <w:pPr>
        <w:pBdr>
          <w:top w:val="nil"/>
          <w:left w:val="nil"/>
          <w:bottom w:val="nil"/>
          <w:right w:val="nil"/>
          <w:between w:val="nil"/>
        </w:pBdr>
        <w:ind w:left="708" w:right="-787"/>
        <w:rPr>
          <w:rFonts w:ascii="Palatino Linotype" w:eastAsia="Palatino Linotype" w:hAnsi="Palatino Linotype" w:cs="Palatino Linotype"/>
          <w:b/>
          <w:bCs/>
          <w:color w:val="000000"/>
        </w:rPr>
      </w:pP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Ahora bien, para el caso de </w:t>
      </w:r>
      <w:r>
        <w:rPr>
          <w:rFonts w:ascii="Palatino Linotype" w:eastAsia="Palatino Linotype" w:hAnsi="Palatino Linotype" w:cs="Palatino Linotype"/>
          <w:b/>
          <w:bCs/>
          <w:color w:val="000000"/>
        </w:rPr>
        <w:t xml:space="preserve">gratificaciones, primas, comisiones, dietas, bonos, estímulos, </w:t>
      </w:r>
      <w:r>
        <w:rPr>
          <w:rFonts w:ascii="Palatino Linotype" w:eastAsia="Palatino Linotype" w:hAnsi="Palatino Linotype" w:cs="Palatino Linotype"/>
        </w:rPr>
        <w:t>ingresos</w:t>
      </w:r>
      <w:r>
        <w:rPr>
          <w:rFonts w:ascii="Palatino Linotype" w:eastAsia="Palatino Linotype" w:hAnsi="Palatino Linotype" w:cs="Palatino Linotype"/>
          <w:b/>
          <w:bCs/>
          <w:color w:val="000000"/>
        </w:rPr>
        <w:t xml:space="preserve"> y sistemas de compensación, </w:t>
      </w:r>
      <w:r>
        <w:rPr>
          <w:rFonts w:ascii="Palatino Linotype" w:eastAsia="Palatino Linotype" w:hAnsi="Palatino Linotype" w:cs="Palatino Linotype"/>
          <w:color w:val="000000"/>
        </w:rPr>
        <w:t xml:space="preserve">se debe de referir que son datos que integran las conciliaciones, situación por la cual de ser el caso que se hubieran realizado pagos relacionados a servidores públicos con dichos conceptos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remitir las conciliaciones de nómina en las se observen dichos pagos, sin embargo de ser el caso que no se hubieran generado pagos por dichos a conceptos a servidores públicos durante el año dos mil veinticinco bastará con que se haga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de conformidad con el artículo 19 párrafo segundo de la Ley de Transparencia y Acceso a la Información Pública del Estado de México y Municipios. </w:t>
      </w: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Por lo anterior, se tiene que para colmar el derecho de acceso a la información de la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entregar la conciliación de nómina del mes de diciembre de dos mil veinticinco. </w:t>
      </w:r>
    </w:p>
    <w:p w:rsidR="00571C12" w:rsidRDefault="00571C12">
      <w:pPr>
        <w:pBdr>
          <w:top w:val="nil"/>
          <w:left w:val="nil"/>
          <w:bottom w:val="nil"/>
          <w:right w:val="nil"/>
          <w:between w:val="nil"/>
        </w:pBdr>
        <w:ind w:left="708" w:right="-787"/>
        <w:rPr>
          <w:rFonts w:ascii="Palatino Linotype" w:eastAsia="Palatino Linotype" w:hAnsi="Palatino Linotype" w:cs="Palatino Linotype"/>
          <w:b/>
          <w:bCs/>
          <w:color w:val="000000"/>
        </w:rPr>
      </w:pP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se debe de precisar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considerar el análisis de los datos que deban de ser clasificados como confidenciales de acuerdo con el artículo 143 fracción I de la Ley de Transparencia y Acceso a la Información Pública del Estado de México y Municipios, que se realizó en párrafos anteriores en el estudio de recibos de nómina. </w:t>
      </w:r>
    </w:p>
    <w:p w:rsidR="00571C12" w:rsidRDefault="00571C12">
      <w:pPr>
        <w:pBdr>
          <w:top w:val="nil"/>
          <w:left w:val="nil"/>
          <w:bottom w:val="nil"/>
          <w:right w:val="nil"/>
          <w:between w:val="nil"/>
        </w:pBdr>
        <w:ind w:left="708" w:right="-787"/>
        <w:rPr>
          <w:rFonts w:ascii="Palatino Linotype" w:eastAsia="Palatino Linotype" w:hAnsi="Palatino Linotype" w:cs="Palatino Linotype"/>
          <w:b/>
          <w:bCs/>
          <w:color w:val="000000"/>
        </w:rPr>
      </w:pP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Por otro lado se debe de establecer que de la información que se entregue contiene datos del personal de seguridad,</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situación por la cual el </w:t>
      </w:r>
      <w:r>
        <w:rPr>
          <w:rFonts w:ascii="Palatino Linotype" w:eastAsia="Palatino Linotype" w:hAnsi="Palatino Linotype" w:cs="Palatino Linotype"/>
          <w:b/>
          <w:bCs/>
        </w:rPr>
        <w:t xml:space="preserve">SUJETO </w:t>
      </w:r>
      <w:r>
        <w:rPr>
          <w:rFonts w:ascii="Palatino Linotype" w:eastAsia="Palatino Linotype" w:hAnsi="Palatino Linotype" w:cs="Palatino Linotype"/>
          <w:color w:val="000000"/>
        </w:rPr>
        <w:t>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deberá de proceder a la clasificación del nombre del personal Operativo adscrito a la </w:t>
      </w:r>
      <w:r>
        <w:rPr>
          <w:rFonts w:ascii="Palatino Linotype" w:eastAsia="Palatino Linotype" w:hAnsi="Palatino Linotype" w:cs="Palatino Linotype"/>
          <w:b/>
          <w:bCs/>
          <w:i/>
          <w:iCs/>
        </w:rPr>
        <w:t>Dirección de Seguridad Pública, Tránsito y Movilidad</w:t>
      </w:r>
      <w:r>
        <w:rPr>
          <w:rFonts w:ascii="Palatino Linotype" w:eastAsia="Palatino Linotype" w:hAnsi="Palatino Linotype" w:cs="Palatino Linotype"/>
        </w:rPr>
        <w:t xml:space="preserve">, de acuerdo con lo siguiente. </w:t>
      </w:r>
    </w:p>
    <w:p w:rsidR="00571C12" w:rsidRDefault="00571C12">
      <w:pPr>
        <w:ind w:right="-787"/>
        <w:rPr>
          <w:rFonts w:ascii="Palatino Linotype" w:eastAsia="Palatino Linotype" w:hAnsi="Palatino Linotype" w:cs="Palatino Linotype"/>
          <w:b/>
          <w:bCs/>
          <w:i/>
          <w:iCs/>
        </w:rPr>
      </w:pPr>
    </w:p>
    <w:p w:rsidR="00571C1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 xml:space="preserve">En ese orden de ideas si bien por regla general los nombres de los trabajadores gubernamentales son información pública de oficio, existe una excepción relativa a aquellos que </w:t>
      </w:r>
      <w:r>
        <w:rPr>
          <w:rFonts w:ascii="Palatino Linotype" w:eastAsia="Palatino Linotype" w:hAnsi="Palatino Linotype" w:cs="Palatino Linotype"/>
        </w:rPr>
        <w:t>realicen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actividades operativas en materia de seguridad</w:t>
      </w:r>
      <w:r>
        <w:rPr>
          <w:rFonts w:ascii="Palatino Linotype" w:eastAsia="Palatino Linotype" w:hAnsi="Palatino Linotype" w:cs="Palatino Linotype"/>
          <w:color w:val="000000"/>
        </w:rPr>
        <w:t>, como es el caso de los elementos operativos y la policía municipal.</w:t>
      </w:r>
    </w:p>
    <w:p w:rsidR="00571C12" w:rsidRDefault="00571C12">
      <w:pPr>
        <w:pBdr>
          <w:top w:val="nil"/>
          <w:left w:val="nil"/>
          <w:bottom w:val="nil"/>
          <w:right w:val="nil"/>
          <w:between w:val="nil"/>
        </w:pBdr>
        <w:ind w:left="720" w:right="-787"/>
        <w:rPr>
          <w:rFonts w:ascii="Palatino Linotype" w:eastAsia="Palatino Linotype" w:hAnsi="Palatino Linotype" w:cs="Palatino Linotype"/>
          <w:color w:val="000000"/>
        </w:rPr>
      </w:pPr>
    </w:p>
    <w:p w:rsidR="00571C12" w:rsidRPr="002C5AB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 xml:space="preserve">Por lo que dar a conocer el nombre de las personas,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w:t>
      </w:r>
      <w:r>
        <w:rPr>
          <w:rFonts w:ascii="Palatino Linotype" w:eastAsia="Palatino Linotype" w:hAnsi="Palatino Linotype" w:cs="Palatino Linotype"/>
        </w:rPr>
        <w:t>que</w:t>
      </w:r>
      <w:r>
        <w:rPr>
          <w:rFonts w:ascii="Palatino Linotype" w:eastAsia="Palatino Linotype" w:hAnsi="Palatino Linotype" w:cs="Palatino Linotype"/>
          <w:color w:val="000000"/>
        </w:rPr>
        <w:t xml:space="preserve"> lleve a cabo actividades de prevención y salvaguarda de la </w:t>
      </w:r>
      <w:r>
        <w:rPr>
          <w:rFonts w:ascii="Palatino Linotype" w:eastAsia="Palatino Linotype" w:hAnsi="Palatino Linotype" w:cs="Palatino Linotype"/>
          <w:color w:val="000000"/>
        </w:rPr>
        <w:lastRenderedPageBreak/>
        <w:t>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rsidR="002C5AB2" w:rsidRDefault="002C5AB2" w:rsidP="002C5AB2">
      <w:pPr>
        <w:spacing w:line="360" w:lineRule="auto"/>
        <w:ind w:right="-787"/>
        <w:jc w:val="both"/>
        <w:rPr>
          <w:color w:val="000000"/>
        </w:rPr>
      </w:pPr>
    </w:p>
    <w:p w:rsidR="00571C1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 xml:space="preserve">De tal situación, se considera que dar a conocer el nombre de los elementos operativos, que incluye a los policías municipales, puede poner en riesgo la vida, seguridad y salud de estos, de </w:t>
      </w:r>
      <w:r>
        <w:rPr>
          <w:rFonts w:ascii="Palatino Linotype" w:eastAsia="Palatino Linotype" w:hAnsi="Palatino Linotype" w:cs="Palatino Linotype"/>
        </w:rPr>
        <w:t>sus</w:t>
      </w:r>
      <w:r>
        <w:rPr>
          <w:rFonts w:ascii="Palatino Linotype" w:eastAsia="Palatino Linotype" w:hAnsi="Palatino Linotype" w:cs="Palatino Linotype"/>
          <w:color w:val="000000"/>
        </w:rPr>
        <w:t xml:space="preserve">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rsidR="00571C12" w:rsidRDefault="00571C1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color w:val="000000"/>
        </w:rPr>
        <w:t>Por</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tales</w:t>
      </w:r>
      <w:r>
        <w:rPr>
          <w:rFonts w:ascii="Palatino Linotype" w:eastAsia="Palatino Linotype" w:hAnsi="Palatino Linotype" w:cs="Palatino Linotype"/>
        </w:rPr>
        <w:t xml:space="preserve"> consideraciones, resulta procedente la reserva del </w:t>
      </w:r>
      <w:r>
        <w:rPr>
          <w:rFonts w:ascii="Palatino Linotype" w:eastAsia="Palatino Linotype" w:hAnsi="Palatino Linotype" w:cs="Palatino Linotype"/>
          <w:b/>
          <w:bCs/>
        </w:rPr>
        <w:t>nombre de los elementos operativos</w:t>
      </w:r>
      <w:r>
        <w:rPr>
          <w:rFonts w:ascii="Palatino Linotype" w:eastAsia="Palatino Linotype" w:hAnsi="Palatino Linotype" w:cs="Palatino Linotype"/>
        </w:rPr>
        <w:t xml:space="preserve"> de la </w:t>
      </w:r>
      <w:r>
        <w:rPr>
          <w:rFonts w:ascii="Palatino Linotype" w:eastAsia="Palatino Linotype" w:hAnsi="Palatino Linotype" w:cs="Palatino Linotype"/>
          <w:b/>
          <w:bCs/>
          <w:i/>
          <w:iCs/>
        </w:rPr>
        <w:t>Dirección de Seguridad Pública, Tránsito y Movilidad</w:t>
      </w:r>
      <w:r>
        <w:rPr>
          <w:rFonts w:ascii="Palatino Linotype" w:eastAsia="Palatino Linotype" w:hAnsi="Palatino Linotype" w:cs="Palatino Linotype"/>
        </w:rPr>
        <w:t xml:space="preserve">, en términos del artículo </w:t>
      </w:r>
      <w:r>
        <w:rPr>
          <w:rFonts w:ascii="Palatino Linotype" w:eastAsia="Palatino Linotype" w:hAnsi="Palatino Linotype" w:cs="Palatino Linotype"/>
          <w:color w:val="000000"/>
        </w:rPr>
        <w:t>140</w:t>
      </w:r>
      <w:r>
        <w:rPr>
          <w:rFonts w:ascii="Palatino Linotype" w:eastAsia="Palatino Linotype" w:hAnsi="Palatino Linotype" w:cs="Palatino Linotype"/>
        </w:rPr>
        <w:t xml:space="preserve">, fracción IV,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Ley de Transparencia y Acceso a la Información Pública del Estado de México y Municipios.</w:t>
      </w:r>
    </w:p>
    <w:p w:rsidR="00571C12" w:rsidRDefault="00571C12">
      <w:pPr>
        <w:spacing w:line="360" w:lineRule="auto"/>
        <w:ind w:right="-787"/>
        <w:jc w:val="both"/>
        <w:rPr>
          <w:rFonts w:ascii="Palatino Linotype" w:eastAsia="Palatino Linotype" w:hAnsi="Palatino Linotype" w:cs="Palatino Linotype"/>
          <w:b/>
          <w:bCs/>
        </w:rPr>
      </w:pPr>
    </w:p>
    <w:p w:rsidR="00571C12" w:rsidRDefault="00F51032">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De lo analizado, se establece que </w:t>
      </w:r>
      <w:r>
        <w:rPr>
          <w:rFonts w:ascii="Palatino Linotype" w:eastAsia="Palatino Linotype" w:hAnsi="Palatino Linotype" w:cs="Palatino Linotype"/>
        </w:rPr>
        <w:t xml:space="preserve">las razones o motivos de inconformidad hechos valer por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resultan </w:t>
      </w:r>
      <w:r>
        <w:rPr>
          <w:rFonts w:ascii="Palatino Linotype" w:eastAsia="Palatino Linotype" w:hAnsi="Palatino Linotype" w:cs="Palatino Linotype"/>
          <w:b/>
          <w:bCs/>
        </w:rPr>
        <w:t>fundadas y procedentes</w:t>
      </w:r>
      <w:r>
        <w:rPr>
          <w:rFonts w:ascii="Palatino Linotype" w:eastAsia="Palatino Linotype" w:hAnsi="Palatino Linotype" w:cs="Palatino Linotype"/>
        </w:rPr>
        <w:t xml:space="preserve">, debido 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acredito el </w:t>
      </w:r>
      <w:r>
        <w:rPr>
          <w:rFonts w:ascii="Palatino Linotype" w:eastAsia="Palatino Linotype" w:hAnsi="Palatino Linotype" w:cs="Palatino Linotype"/>
          <w:color w:val="000000"/>
        </w:rPr>
        <w:t>cambio</w:t>
      </w:r>
      <w:r>
        <w:rPr>
          <w:rFonts w:ascii="Palatino Linotype" w:eastAsia="Palatino Linotype" w:hAnsi="Palatino Linotype" w:cs="Palatino Linotype"/>
        </w:rPr>
        <w:t xml:space="preserve"> de modalidad dentro de la solicitud de información  </w:t>
      </w:r>
      <w:r>
        <w:rPr>
          <w:rFonts w:ascii="Palatino Linotype" w:eastAsia="Palatino Linotype" w:hAnsi="Palatino Linotype" w:cs="Palatino Linotype"/>
          <w:b/>
          <w:bCs/>
        </w:rPr>
        <w:t>00020/VABRAVO/IP/2026</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keepNext/>
        <w:keepLines/>
        <w:spacing w:after="160"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 De la versión pública.</w:t>
      </w:r>
    </w:p>
    <w:p w:rsidR="00571C12" w:rsidRDefault="00F51032">
      <w:pPr>
        <w:keepNext/>
        <w:keepLines/>
        <w:numPr>
          <w:ilvl w:val="0"/>
          <w:numId w:val="6"/>
        </w:numPr>
        <w:tabs>
          <w:tab w:val="left" w:pos="284"/>
        </w:tabs>
        <w:spacing w:after="160" w:line="360" w:lineRule="auto"/>
        <w:ind w:left="0" w:right="-787" w:firstLine="0"/>
        <w:rPr>
          <w:rFonts w:ascii="Palatino Linotype" w:eastAsia="Palatino Linotype" w:hAnsi="Palatino Linotype" w:cs="Palatino Linotype"/>
          <w:b/>
          <w:bCs/>
          <w:color w:val="000000"/>
        </w:rPr>
      </w:pPr>
      <w:bookmarkStart w:id="15" w:name="_heading=h.lnxbz9" w:colFirst="0" w:colLast="0"/>
      <w:bookmarkEnd w:id="15"/>
      <w:r>
        <w:rPr>
          <w:rFonts w:ascii="Palatino Linotype" w:eastAsia="Palatino Linotype" w:hAnsi="Palatino Linotype" w:cs="Palatino Linotype"/>
          <w:b/>
          <w:bCs/>
          <w:color w:val="000000"/>
        </w:rPr>
        <w:t xml:space="preserve">Nociones generales. </w:t>
      </w:r>
    </w:p>
    <w:p w:rsidR="00571C1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571C12" w:rsidRDefault="00571C12">
      <w:pPr>
        <w:tabs>
          <w:tab w:val="left" w:pos="0"/>
          <w:tab w:val="left" w:pos="284"/>
        </w:tabs>
        <w:spacing w:line="360" w:lineRule="auto"/>
        <w:ind w:right="-787"/>
        <w:jc w:val="both"/>
        <w:rPr>
          <w:rFonts w:ascii="Palatino Linotype" w:eastAsia="Palatino Linotype" w:hAnsi="Palatino Linotype" w:cs="Palatino Linotype"/>
          <w:highlight w:val="yellow"/>
        </w:rPr>
      </w:pPr>
    </w:p>
    <w:p w:rsidR="00571C1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71C12" w:rsidRDefault="00571C12">
      <w:pPr>
        <w:tabs>
          <w:tab w:val="left" w:pos="284"/>
        </w:tabs>
        <w:spacing w:after="160" w:line="360" w:lineRule="auto"/>
        <w:ind w:right="-787"/>
        <w:jc w:val="both"/>
        <w:rPr>
          <w:rFonts w:ascii="Palatino Linotype" w:eastAsia="Palatino Linotype" w:hAnsi="Palatino Linotype" w:cs="Palatino Linotype"/>
          <w:color w:val="000000"/>
        </w:rPr>
      </w:pPr>
    </w:p>
    <w:tbl>
      <w:tblPr>
        <w:tblStyle w:val="a0"/>
        <w:tblW w:w="972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5"/>
        <w:gridCol w:w="6885"/>
      </w:tblGrid>
      <w:tr w:rsidR="00571C12">
        <w:tc>
          <w:tcPr>
            <w:tcW w:w="2835" w:type="dxa"/>
          </w:tcPr>
          <w:p w:rsidR="00571C12" w:rsidRDefault="00F51032">
            <w:pPr>
              <w:tabs>
                <w:tab w:val="left" w:pos="284"/>
              </w:tabs>
              <w:spacing w:line="360" w:lineRule="auto"/>
              <w:ind w:right="43"/>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885" w:type="dxa"/>
          </w:tcPr>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Al hacerlo tienen que precisar de qué información se trata, señalando el supuesto de clasificación (confidencialidad o reserva).</w:t>
            </w:r>
          </w:p>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571C12" w:rsidRDefault="00F51032">
            <w:pPr>
              <w:tabs>
                <w:tab w:val="left" w:pos="284"/>
              </w:tabs>
              <w:spacing w:line="360" w:lineRule="auto"/>
              <w:ind w:right="43"/>
              <w:jc w:val="both"/>
              <w:rPr>
                <w:rFonts w:ascii="Palatino Linotype" w:eastAsia="Palatino Linotype" w:hAnsi="Palatino Linotype" w:cs="Palatino Linotype"/>
              </w:rPr>
            </w:pPr>
            <w:r>
              <w:rPr>
                <w:rFonts w:ascii="Palatino Linotype" w:eastAsia="Palatino Linotype" w:hAnsi="Palatino Linotype" w:cs="Palatino Linotype"/>
                <w:color w:val="000000"/>
              </w:rPr>
              <w:t>El último de estos requisitos previos consiste en que no se pueden emitir acuerdos de carácter general ni particular, esto es, no se puede hacer un acuerdo para clasificar de manera general todos los documentos de un expediente o área, sin individualizar su análisis y tampoco se puede hacer un acuerdo por cada dato que se vaya a clasificar dentro de un documento con diez datos, por ejemplo, susceptibles de ser clasificados.</w:t>
            </w:r>
          </w:p>
        </w:tc>
      </w:tr>
      <w:tr w:rsidR="00571C12">
        <w:tc>
          <w:tcPr>
            <w:tcW w:w="2835" w:type="dxa"/>
          </w:tcPr>
          <w:p w:rsidR="00571C12" w:rsidRDefault="00F51032">
            <w:pPr>
              <w:tabs>
                <w:tab w:val="left" w:pos="284"/>
              </w:tabs>
              <w:spacing w:line="360" w:lineRule="auto"/>
              <w:ind w:right="43"/>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885" w:type="dxa"/>
          </w:tcPr>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w:t>
            </w:r>
            <w:r>
              <w:rPr>
                <w:rFonts w:ascii="Palatino Linotype" w:eastAsia="Palatino Linotype" w:hAnsi="Palatino Linotype" w:cs="Palatino Linotype"/>
                <w:color w:val="000000"/>
              </w:rPr>
              <w:lastRenderedPageBreak/>
              <w:t>debe acreditarse que se cumple con esta condición y no se pueden ampliar las excepciones o supuestos de clasificación aduciendo analogía o mayoría de razón.</w:t>
            </w:r>
          </w:p>
          <w:p w:rsidR="00571C12" w:rsidRDefault="00F51032">
            <w:pPr>
              <w:tabs>
                <w:tab w:val="left" w:pos="284"/>
              </w:tabs>
              <w:spacing w:line="360" w:lineRule="auto"/>
              <w:ind w:right="4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71C12">
        <w:tc>
          <w:tcPr>
            <w:tcW w:w="2835" w:type="dxa"/>
          </w:tcPr>
          <w:p w:rsidR="00571C12" w:rsidRDefault="00F51032">
            <w:pPr>
              <w:tabs>
                <w:tab w:val="left" w:pos="284"/>
              </w:tabs>
              <w:spacing w:line="360" w:lineRule="auto"/>
              <w:ind w:right="43"/>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885" w:type="dxa"/>
          </w:tcPr>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571C12" w:rsidRDefault="00F51032">
            <w:pPr>
              <w:tabs>
                <w:tab w:val="left" w:pos="284"/>
              </w:tabs>
              <w:spacing w:line="360" w:lineRule="auto"/>
              <w:ind w:right="4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w:t>
            </w:r>
            <w:r>
              <w:rPr>
                <w:rFonts w:ascii="Palatino Linotype" w:eastAsia="Palatino Linotype" w:hAnsi="Palatino Linotype" w:cs="Palatino Linotype"/>
                <w:color w:val="000000"/>
              </w:rPr>
              <w:lastRenderedPageBreak/>
              <w:t>de áreas y que son sujetas a control, en primera instancia, por el Comité de Transparencia.</w:t>
            </w:r>
          </w:p>
        </w:tc>
      </w:tr>
      <w:tr w:rsidR="00571C12">
        <w:tc>
          <w:tcPr>
            <w:tcW w:w="2835" w:type="dxa"/>
          </w:tcPr>
          <w:p w:rsidR="00571C12" w:rsidRDefault="00571C12">
            <w:pPr>
              <w:tabs>
                <w:tab w:val="left" w:pos="284"/>
              </w:tabs>
              <w:spacing w:line="360" w:lineRule="auto"/>
              <w:ind w:right="43"/>
              <w:rPr>
                <w:rFonts w:ascii="Palatino Linotype" w:eastAsia="Palatino Linotype" w:hAnsi="Palatino Linotype" w:cs="Palatino Linotype"/>
              </w:rPr>
            </w:pPr>
          </w:p>
          <w:p w:rsidR="00571C12" w:rsidRDefault="00F51032">
            <w:pPr>
              <w:tabs>
                <w:tab w:val="left" w:pos="284"/>
              </w:tabs>
              <w:spacing w:line="360" w:lineRule="auto"/>
              <w:ind w:right="4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885" w:type="dxa"/>
          </w:tcPr>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w:t>
            </w:r>
            <w:r>
              <w:rPr>
                <w:rFonts w:ascii="Palatino Linotype" w:eastAsia="Palatino Linotype" w:hAnsi="Palatino Linotype" w:cs="Palatino Linotype"/>
                <w:color w:val="000000"/>
              </w:rPr>
              <w:lastRenderedPageBreak/>
              <w:t>De este modo, la persona que se sienta afectada pueda impugnar la decisión, permitiéndole una real y auténtica defensa.</w:t>
            </w:r>
          </w:p>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71C12">
        <w:tc>
          <w:tcPr>
            <w:tcW w:w="2835" w:type="dxa"/>
          </w:tcPr>
          <w:p w:rsidR="00571C12" w:rsidRDefault="00F51032">
            <w:pPr>
              <w:tabs>
                <w:tab w:val="left" w:pos="284"/>
              </w:tabs>
              <w:spacing w:line="360" w:lineRule="auto"/>
              <w:ind w:right="43"/>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885" w:type="dxa"/>
          </w:tcPr>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571C12" w:rsidRDefault="00F51032">
            <w:pPr>
              <w:tabs>
                <w:tab w:val="left" w:pos="284"/>
              </w:tabs>
              <w:spacing w:line="360"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w:t>
            </w:r>
            <w:r>
              <w:rPr>
                <w:rFonts w:ascii="Palatino Linotype" w:eastAsia="Palatino Linotype" w:hAnsi="Palatino Linotype" w:cs="Palatino Linotype"/>
                <w:color w:val="000000"/>
              </w:rPr>
              <w:lastRenderedPageBreak/>
              <w:t xml:space="preserve">Corte de Justicia de la Nación, los servidores públicos nos encontramos sujetos a un régimen menor de protección. </w:t>
            </w:r>
          </w:p>
          <w:p w:rsidR="00571C12" w:rsidRDefault="00F51032">
            <w:pPr>
              <w:tabs>
                <w:tab w:val="left" w:pos="284"/>
              </w:tabs>
              <w:spacing w:line="360" w:lineRule="auto"/>
              <w:ind w:right="43"/>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71C12" w:rsidRDefault="00571C12">
      <w:pPr>
        <w:tabs>
          <w:tab w:val="left" w:pos="284"/>
        </w:tabs>
        <w:spacing w:line="360" w:lineRule="auto"/>
        <w:ind w:right="-787"/>
        <w:jc w:val="both"/>
        <w:rPr>
          <w:rFonts w:ascii="Palatino Linotype" w:eastAsia="Palatino Linotype" w:hAnsi="Palatino Linotype" w:cs="Palatino Linotype"/>
          <w:color w:val="000000"/>
        </w:rPr>
      </w:pPr>
    </w:p>
    <w:p w:rsidR="00571C12" w:rsidRDefault="00F51032">
      <w:pPr>
        <w:numPr>
          <w:ilvl w:val="0"/>
          <w:numId w:val="3"/>
        </w:numPr>
        <w:spacing w:line="360" w:lineRule="auto"/>
        <w:ind w:left="0" w:right="-787" w:firstLine="0"/>
        <w:jc w:val="both"/>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571C12" w:rsidRDefault="00571C12">
      <w:pPr>
        <w:spacing w:line="360" w:lineRule="auto"/>
        <w:ind w:right="-787"/>
        <w:jc w:val="both"/>
        <w:rPr>
          <w:rFonts w:ascii="Palatino Linotype" w:eastAsia="Palatino Linotype" w:hAnsi="Palatino Linotype" w:cs="Palatino Linotype"/>
          <w:color w:val="000000"/>
        </w:rPr>
      </w:pPr>
    </w:p>
    <w:p w:rsidR="00571C12" w:rsidRPr="002C5AB2" w:rsidRDefault="00F51032">
      <w:pPr>
        <w:numPr>
          <w:ilvl w:val="0"/>
          <w:numId w:val="3"/>
        </w:numPr>
        <w:spacing w:line="360" w:lineRule="auto"/>
        <w:ind w:left="0" w:right="-787" w:firstLine="0"/>
        <w:jc w:val="both"/>
        <w:rPr>
          <w:color w:val="000000"/>
        </w:rPr>
      </w:pPr>
      <w:r>
        <w:rPr>
          <w:rFonts w:ascii="Palatino Linotype" w:eastAsia="Palatino Linotype" w:hAnsi="Palatino Linotype" w:cs="Palatino Linotype"/>
        </w:rPr>
        <w:t>Por lo anteriormente expuesto, este Órgano Garante considera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smallCaps/>
        </w:rPr>
        <w:t xml:space="preserve">REVOCAR </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r w:rsidR="002C5AB2">
        <w:rPr>
          <w:rFonts w:ascii="Palatino Linotype" w:eastAsia="Palatino Linotype" w:hAnsi="Palatino Linotype" w:cs="Palatino Linotype"/>
          <w:color w:val="000000"/>
        </w:rPr>
        <w:t xml:space="preserve"> ------------</w:t>
      </w:r>
    </w:p>
    <w:p w:rsidR="002C5AB2" w:rsidRDefault="002C5AB2" w:rsidP="002C5AB2">
      <w:pPr>
        <w:pStyle w:val="Prrafodelista"/>
        <w:rPr>
          <w:color w:val="000000"/>
        </w:rPr>
      </w:pPr>
    </w:p>
    <w:p w:rsidR="002C5AB2" w:rsidRDefault="002C5AB2" w:rsidP="002C5AB2">
      <w:pPr>
        <w:spacing w:line="360" w:lineRule="auto"/>
        <w:ind w:right="-787"/>
        <w:jc w:val="both"/>
        <w:rPr>
          <w:color w:val="000000"/>
        </w:rPr>
      </w:pPr>
    </w:p>
    <w:p w:rsidR="00571C12" w:rsidRDefault="00571C12">
      <w:pPr>
        <w:pBdr>
          <w:top w:val="nil"/>
          <w:left w:val="nil"/>
          <w:bottom w:val="nil"/>
          <w:right w:val="nil"/>
          <w:between w:val="nil"/>
        </w:pBdr>
        <w:ind w:left="720" w:right="-787"/>
        <w:rPr>
          <w:rFonts w:ascii="Palatino Linotype" w:eastAsia="Palatino Linotype" w:hAnsi="Palatino Linotype" w:cs="Palatino Linotype"/>
          <w:color w:val="000000"/>
        </w:rPr>
      </w:pPr>
    </w:p>
    <w:p w:rsidR="00571C12" w:rsidRDefault="00571C12">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rsidR="00571C12" w:rsidRDefault="00F51032">
      <w:pPr>
        <w:pStyle w:val="Ttulo1"/>
        <w:spacing w:before="0" w:line="360" w:lineRule="auto"/>
        <w:ind w:right="-787"/>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R E S O L U T I V O S</w:t>
      </w:r>
    </w:p>
    <w:p w:rsidR="00571C12" w:rsidRDefault="00571C12">
      <w:pPr>
        <w:spacing w:line="360" w:lineRule="auto"/>
        <w:ind w:right="-787"/>
        <w:rPr>
          <w:rFonts w:ascii="Palatino Linotype" w:eastAsia="Palatino Linotype" w:hAnsi="Palatino Linotype" w:cs="Palatino Linotype"/>
        </w:rPr>
      </w:pPr>
    </w:p>
    <w:p w:rsidR="00571C12" w:rsidRDefault="00F51032">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 de Revisión  </w:t>
      </w:r>
      <w:r>
        <w:rPr>
          <w:rFonts w:ascii="Palatino Linotype" w:eastAsia="Palatino Linotype" w:hAnsi="Palatino Linotype" w:cs="Palatino Linotype"/>
          <w:b/>
          <w:bCs/>
        </w:rPr>
        <w:t xml:space="preserve">01843/INFOEM/IP/RR/2026,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spacing w:line="360" w:lineRule="auto"/>
        <w:ind w:right="-787"/>
        <w:jc w:val="both"/>
        <w:rPr>
          <w:rFonts w:ascii="Palatino Linotype" w:eastAsia="Palatino Linotype" w:hAnsi="Palatino Linotype" w:cs="Palatino Linotype"/>
        </w:rPr>
      </w:pPr>
      <w:bookmarkStart w:id="16" w:name="_heading=h.1ksv4uv" w:colFirst="0" w:colLast="0"/>
      <w:bookmarkEnd w:id="16"/>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Ayuntamiento de Valle de Bravo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w:t>
      </w:r>
      <w:r>
        <w:rPr>
          <w:rFonts w:ascii="Palatino Linotype" w:eastAsia="Palatino Linotype" w:hAnsi="Palatino Linotype" w:cs="Palatino Linotype"/>
        </w:rPr>
        <w:t xml:space="preserve"> en versión pública:</w:t>
      </w:r>
    </w:p>
    <w:p w:rsidR="00571C12" w:rsidRDefault="00571C12">
      <w:pPr>
        <w:spacing w:line="360" w:lineRule="auto"/>
        <w:ind w:right="-787"/>
        <w:jc w:val="both"/>
        <w:rPr>
          <w:rFonts w:ascii="Palatino Linotype" w:eastAsia="Palatino Linotype" w:hAnsi="Palatino Linotype" w:cs="Palatino Linotype"/>
        </w:rPr>
      </w:pPr>
    </w:p>
    <w:p w:rsidR="00571C12" w:rsidRDefault="00F51032" w:rsidP="006E3CC2">
      <w:pPr>
        <w:numPr>
          <w:ilvl w:val="0"/>
          <w:numId w:val="2"/>
        </w:numPr>
        <w:ind w:left="1134" w:right="900" w:hanging="282"/>
        <w:jc w:val="both"/>
        <w:rPr>
          <w:rFonts w:ascii="Palatino Linotype" w:eastAsia="Palatino Linotype" w:hAnsi="Palatino Linotype" w:cs="Palatino Linotype"/>
          <w:b/>
          <w:bCs/>
          <w:i/>
          <w:iCs/>
        </w:rPr>
      </w:pPr>
      <w:bookmarkStart w:id="17" w:name="_heading=h.jz1sqpgtor0i" w:colFirst="0" w:colLast="0"/>
      <w:bookmarkEnd w:id="17"/>
      <w:r>
        <w:rPr>
          <w:rFonts w:ascii="Palatino Linotype" w:eastAsia="Palatino Linotype" w:hAnsi="Palatino Linotype" w:cs="Palatino Linotype"/>
          <w:b/>
          <w:bCs/>
          <w:i/>
          <w:iCs/>
        </w:rPr>
        <w:t xml:space="preserve">Recibos de nómina del mes de diciembre de dos mil veinticinco, referidos en la solicitud de información 00020/VABRAVO/IP/2026; </w:t>
      </w:r>
    </w:p>
    <w:p w:rsidR="00571C12" w:rsidRDefault="00571C12" w:rsidP="006E3CC2">
      <w:pPr>
        <w:ind w:left="1134" w:right="900"/>
        <w:jc w:val="both"/>
        <w:rPr>
          <w:rFonts w:ascii="Palatino Linotype" w:eastAsia="Palatino Linotype" w:hAnsi="Palatino Linotype" w:cs="Palatino Linotype"/>
          <w:b/>
          <w:bCs/>
          <w:i/>
          <w:iCs/>
        </w:rPr>
      </w:pPr>
    </w:p>
    <w:p w:rsidR="00571C12" w:rsidRDefault="00F51032" w:rsidP="006E3CC2">
      <w:pPr>
        <w:numPr>
          <w:ilvl w:val="0"/>
          <w:numId w:val="2"/>
        </w:numPr>
        <w:ind w:left="1134" w:right="900" w:firstLine="0"/>
        <w:jc w:val="both"/>
        <w:rPr>
          <w:rFonts w:ascii="Palatino Linotype" w:eastAsia="Palatino Linotype" w:hAnsi="Palatino Linotype" w:cs="Palatino Linotype"/>
          <w:b/>
          <w:bCs/>
          <w:i/>
          <w:iCs/>
        </w:rPr>
      </w:pPr>
      <w:bookmarkStart w:id="18" w:name="_heading=h.ckla43bmg6gi" w:colFirst="0" w:colLast="0"/>
      <w:bookmarkEnd w:id="18"/>
      <w:r>
        <w:rPr>
          <w:rFonts w:ascii="Palatino Linotype" w:eastAsia="Palatino Linotype" w:hAnsi="Palatino Linotype" w:cs="Palatino Linotype"/>
          <w:b/>
          <w:bCs/>
          <w:i/>
          <w:iCs/>
        </w:rPr>
        <w:t>Recibos de nómina donde conste y se advierta el pago de aguinaldo, de prima vacacional y gratificaciones, del personal adscrito a Ayuntamiento de Valle de Bravo, referidos en la solicitud de información 00020/VABRAVO/IP/2026; y</w:t>
      </w:r>
    </w:p>
    <w:p w:rsidR="00571C12" w:rsidRDefault="00571C12" w:rsidP="006E3CC2">
      <w:pPr>
        <w:pBdr>
          <w:top w:val="nil"/>
          <w:left w:val="nil"/>
          <w:bottom w:val="nil"/>
          <w:right w:val="nil"/>
          <w:between w:val="nil"/>
        </w:pBdr>
        <w:ind w:left="1134" w:right="900"/>
        <w:rPr>
          <w:rFonts w:ascii="Palatino Linotype" w:eastAsia="Palatino Linotype" w:hAnsi="Palatino Linotype" w:cs="Palatino Linotype"/>
          <w:b/>
          <w:bCs/>
          <w:i/>
          <w:iCs/>
          <w:color w:val="000000"/>
        </w:rPr>
      </w:pPr>
    </w:p>
    <w:p w:rsidR="00571C12" w:rsidRPr="00896563" w:rsidRDefault="00C23237" w:rsidP="006E3CC2">
      <w:pPr>
        <w:numPr>
          <w:ilvl w:val="0"/>
          <w:numId w:val="2"/>
        </w:numPr>
        <w:ind w:left="1134" w:right="900" w:firstLine="0"/>
        <w:jc w:val="both"/>
        <w:rPr>
          <w:rFonts w:ascii="Palatino Linotype" w:eastAsia="Palatino Linotype" w:hAnsi="Palatino Linotype" w:cs="Palatino Linotype"/>
          <w:b/>
          <w:bCs/>
          <w:i/>
          <w:iCs/>
        </w:rPr>
      </w:pPr>
      <w:r w:rsidRPr="00896563">
        <w:rPr>
          <w:rFonts w:ascii="Palatino Linotype" w:eastAsia="Palatino Linotype" w:hAnsi="Palatino Linotype" w:cs="Palatino Linotype"/>
          <w:b/>
          <w:bCs/>
          <w:i/>
          <w:iCs/>
        </w:rPr>
        <w:t>La Conciliación de nómina</w:t>
      </w:r>
      <w:r w:rsidR="00F51032" w:rsidRPr="00896563">
        <w:rPr>
          <w:rFonts w:ascii="Palatino Linotype" w:eastAsia="Palatino Linotype" w:hAnsi="Palatino Linotype" w:cs="Palatino Linotype"/>
          <w:b/>
          <w:bCs/>
          <w:i/>
          <w:iCs/>
        </w:rPr>
        <w:t xml:space="preserve"> del mes de d</w:t>
      </w:r>
      <w:r w:rsidR="002456E2" w:rsidRPr="00896563">
        <w:rPr>
          <w:rFonts w:ascii="Palatino Linotype" w:eastAsia="Palatino Linotype" w:hAnsi="Palatino Linotype" w:cs="Palatino Linotype"/>
          <w:b/>
          <w:bCs/>
          <w:i/>
          <w:iCs/>
        </w:rPr>
        <w:t xml:space="preserve">iciembre de dos mil veinticinco. </w:t>
      </w:r>
    </w:p>
    <w:p w:rsidR="00571C12" w:rsidRDefault="00571C12">
      <w:pPr>
        <w:ind w:left="1211" w:right="-787"/>
        <w:jc w:val="both"/>
        <w:rPr>
          <w:rFonts w:ascii="Palatino Linotype" w:eastAsia="Palatino Linotype" w:hAnsi="Palatino Linotype" w:cs="Palatino Linotype"/>
          <w:b/>
          <w:bCs/>
          <w:i/>
          <w:iCs/>
        </w:rPr>
      </w:pPr>
    </w:p>
    <w:p w:rsidR="00571C12" w:rsidRDefault="00571C12">
      <w:pPr>
        <w:ind w:right="-787"/>
        <w:jc w:val="both"/>
        <w:rPr>
          <w:rFonts w:ascii="Palatino Linotype" w:eastAsia="Palatino Linotype" w:hAnsi="Palatino Linotype" w:cs="Palatino Linotype"/>
          <w:b/>
          <w:bCs/>
        </w:rPr>
      </w:pPr>
    </w:p>
    <w:p w:rsidR="00571C12" w:rsidRDefault="00F51032">
      <w:pPr>
        <w:tabs>
          <w:tab w:val="left" w:pos="8080"/>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rsidR="00571C12" w:rsidRDefault="00F51032">
      <w:pPr>
        <w:tabs>
          <w:tab w:val="left" w:pos="8080"/>
        </w:tabs>
        <w:spacing w:line="360" w:lineRule="auto"/>
        <w:ind w:right="-787"/>
        <w:jc w:val="both"/>
        <w:rPr>
          <w:rFonts w:ascii="Palatino Linotype" w:eastAsia="Palatino Linotype" w:hAnsi="Palatino Linotype" w:cs="Palatino Linotype"/>
          <w:color w:val="222222"/>
        </w:rPr>
      </w:pPr>
      <w:r>
        <w:rPr>
          <w:rFonts w:ascii="Palatino Linotype" w:eastAsia="Palatino Linotype" w:hAnsi="Palatino Linotype" w:cs="Palatino Linotype"/>
          <w:b/>
          <w:bCs/>
        </w:rPr>
        <w:lastRenderedPageBreak/>
        <w:t xml:space="preserve">TERCERO. </w:t>
      </w:r>
      <w:r>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571C12" w:rsidRDefault="00571C12">
      <w:pPr>
        <w:tabs>
          <w:tab w:val="left" w:pos="8080"/>
        </w:tabs>
        <w:spacing w:line="360" w:lineRule="auto"/>
        <w:ind w:right="-787"/>
        <w:jc w:val="both"/>
        <w:rPr>
          <w:rFonts w:ascii="Palatino Linotype" w:eastAsia="Palatino Linotype" w:hAnsi="Palatino Linotype" w:cs="Palatino Linotype"/>
          <w:color w:val="222222"/>
        </w:rPr>
      </w:pPr>
    </w:p>
    <w:p w:rsidR="00571C12" w:rsidRDefault="00F51032">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571C12" w:rsidRDefault="00571C12">
      <w:pPr>
        <w:spacing w:line="360" w:lineRule="auto"/>
        <w:ind w:right="-787"/>
        <w:jc w:val="both"/>
        <w:rPr>
          <w:rFonts w:ascii="Palatino Linotype" w:eastAsia="Palatino Linotype" w:hAnsi="Palatino Linotype" w:cs="Palatino Linotype"/>
        </w:rPr>
      </w:pPr>
    </w:p>
    <w:p w:rsidR="00571C12" w:rsidRDefault="00F51032">
      <w:pPr>
        <w:shd w:val="clear" w:color="auto" w:fill="FFFFFF"/>
        <w:spacing w:line="360" w:lineRule="auto"/>
        <w:ind w:right="-787"/>
        <w:jc w:val="both"/>
        <w:rPr>
          <w:rFonts w:ascii="Palatino Linotype" w:eastAsia="Palatino Linotype" w:hAnsi="Palatino Linotype" w:cs="Palatino Linotype"/>
        </w:rPr>
      </w:pPr>
      <w:bookmarkStart w:id="19" w:name="_heading=h.2jxsxqh" w:colFirst="0" w:colLast="0"/>
      <w:bookmarkEnd w:id="19"/>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571C12" w:rsidRDefault="00571C12">
      <w:pPr>
        <w:shd w:val="clear" w:color="auto" w:fill="FFFFFF"/>
        <w:spacing w:line="360" w:lineRule="auto"/>
        <w:ind w:right="-787"/>
        <w:jc w:val="both"/>
        <w:rPr>
          <w:rFonts w:ascii="Palatino Linotype" w:eastAsia="Palatino Linotype" w:hAnsi="Palatino Linotype" w:cs="Palatino Linotype"/>
        </w:rPr>
      </w:pPr>
    </w:p>
    <w:p w:rsidR="00571C12" w:rsidRDefault="00F51032">
      <w:pPr>
        <w:shd w:val="clear" w:color="auto" w:fill="FFFFFF"/>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6B3B54" w:rsidRDefault="006B3B54">
      <w:pPr>
        <w:shd w:val="clear" w:color="auto" w:fill="FFFFFF"/>
        <w:spacing w:line="360" w:lineRule="auto"/>
        <w:ind w:right="-787"/>
        <w:jc w:val="both"/>
        <w:rPr>
          <w:rFonts w:ascii="Palatino Linotype" w:eastAsia="Palatino Linotype" w:hAnsi="Palatino Linotype" w:cs="Palatino Linotype"/>
        </w:rPr>
      </w:pPr>
    </w:p>
    <w:p w:rsidR="006B3B54" w:rsidRPr="003E2295" w:rsidRDefault="006B3B54" w:rsidP="006B3B54">
      <w:pPr>
        <w:spacing w:before="240" w:after="240" w:line="360" w:lineRule="auto"/>
        <w:ind w:right="-801" w:firstLine="1"/>
        <w:jc w:val="both"/>
        <w:rPr>
          <w:rFonts w:ascii="Palatino Linotype" w:hAnsi="Palatino Linotype"/>
        </w:rPr>
      </w:pPr>
      <w:bookmarkStart w:id="20" w:name="_Hlk99014733"/>
      <w:r w:rsidRPr="003E2295">
        <w:rPr>
          <w:rFonts w:ascii="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w:t>
      </w:r>
      <w:r w:rsidR="008E4A56">
        <w:rPr>
          <w:rFonts w:ascii="Palatino Linotype" w:hAnsi="Palatino Linotype" w:cs="Palatino Linotype"/>
        </w:rPr>
        <w:t xml:space="preserve">EMITIENDO VOTO PARTICULAR </w:t>
      </w:r>
      <w:r w:rsidRPr="003E2295">
        <w:rPr>
          <w:rFonts w:ascii="Palatino Linotype" w:hAnsi="Palatino Linotype" w:cs="Palatino Linotype"/>
        </w:rPr>
        <w:t>Y GUADALUPE RAMÍREZ PEÑA</w:t>
      </w:r>
      <w:r w:rsidR="008E4A56">
        <w:rPr>
          <w:rFonts w:ascii="Palatino Linotype" w:hAnsi="Palatino Linotype" w:cs="Palatino Linotype"/>
        </w:rPr>
        <w:t xml:space="preserve"> EMITIENDO VOTO PARTICULAR</w:t>
      </w:r>
      <w:r w:rsidRPr="003E2295">
        <w:rPr>
          <w:rFonts w:ascii="Palatino Linotype" w:hAnsi="Palatino Linotype" w:cs="Palatino Linotype"/>
        </w:rPr>
        <w:t xml:space="preserve">;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20"/>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p w:rsidR="00571C12" w:rsidRDefault="00571C12">
      <w:pPr>
        <w:ind w:right="-787"/>
        <w:rPr>
          <w:rFonts w:ascii="Palatino Linotype" w:eastAsia="Palatino Linotype" w:hAnsi="Palatino Linotype" w:cs="Palatino Linotype"/>
        </w:rPr>
      </w:pPr>
    </w:p>
    <w:sectPr w:rsidR="00571C12">
      <w:headerReference w:type="default" r:id="rId19"/>
      <w:footerReference w:type="default" r:id="rId20"/>
      <w:headerReference w:type="first" r:id="rId21"/>
      <w:footerReference w:type="first" r:id="rId22"/>
      <w:pgSz w:w="12240" w:h="15840"/>
      <w:pgMar w:top="2410"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078" w:rsidRDefault="00F12078">
      <w:r>
        <w:separator/>
      </w:r>
    </w:p>
  </w:endnote>
  <w:endnote w:type="continuationSeparator" w:id="0">
    <w:p w:rsidR="00F12078" w:rsidRDefault="00F12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15459CD9-B188-48F6-97BB-41660964BC35}"/>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B146265E-A5FD-41A8-8EE7-513DC20CF868}"/>
    <w:embedBold r:id="rId3" w:fontKey="{01C7ED32-DD05-4A5F-8F2D-E4B38144F44F}"/>
    <w:embedItalic r:id="rId4" w:fontKey="{1BE4F77E-11A9-434E-B0AF-5A764D5636E4}"/>
    <w:embedBoldItalic r:id="rId5" w:fontKey="{496CE205-D678-401D-974D-6D412E7515CD}"/>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1A0DAA0-8B87-41E4-B4A0-3BF70FA9CAE9}"/>
  </w:font>
  <w:font w:name="Georgia">
    <w:panose1 w:val="02040502050405020303"/>
    <w:charset w:val="00"/>
    <w:family w:val="roman"/>
    <w:pitch w:val="variable"/>
    <w:sig w:usb0="00000287" w:usb1="00000000" w:usb2="00000000" w:usb3="00000000" w:csb0="0000009F" w:csb1="00000000"/>
    <w:embedItalic r:id="rId7" w:fontKey="{73E8D3F5-48DC-402A-933C-1C1041BDB0E5}"/>
  </w:font>
  <w:font w:name="Cambria">
    <w:panose1 w:val="02040503050406030204"/>
    <w:charset w:val="00"/>
    <w:family w:val="roman"/>
    <w:pitch w:val="variable"/>
    <w:sig w:usb0="E00006FF" w:usb1="420024FF" w:usb2="02000000" w:usb3="00000000" w:csb0="0000019F" w:csb1="00000000"/>
    <w:embedRegular r:id="rId8" w:fontKey="{E793BB3F-F1D7-472C-A16B-352CC472BE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C12" w:rsidRDefault="00F5103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A05AE">
      <w:rPr>
        <w:rFonts w:ascii="Palatino Linotype" w:eastAsia="Palatino Linotype" w:hAnsi="Palatino Linotype" w:cs="Palatino Linotype"/>
        <w:b/>
        <w:bCs/>
        <w:noProof/>
        <w:color w:val="000000"/>
        <w:sz w:val="22"/>
        <w:szCs w:val="22"/>
      </w:rPr>
      <w:t>6</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A05AE">
      <w:rPr>
        <w:rFonts w:ascii="Palatino Linotype" w:eastAsia="Palatino Linotype" w:hAnsi="Palatino Linotype" w:cs="Palatino Linotype"/>
        <w:b/>
        <w:bCs/>
        <w:noProof/>
        <w:color w:val="000000"/>
        <w:sz w:val="22"/>
        <w:szCs w:val="22"/>
      </w:rPr>
      <w:t>55</w:t>
    </w:r>
    <w:r>
      <w:rPr>
        <w:rFonts w:ascii="Palatino Linotype" w:eastAsia="Palatino Linotype" w:hAnsi="Palatino Linotype" w:cs="Palatino Linotype"/>
        <w:b/>
        <w:bCs/>
        <w:color w:val="000000"/>
        <w:sz w:val="22"/>
        <w:szCs w:val="22"/>
      </w:rPr>
      <w:fldChar w:fldCharType="end"/>
    </w:r>
  </w:p>
  <w:p w:rsidR="00571C12" w:rsidRDefault="00571C12">
    <w:pPr>
      <w:pBdr>
        <w:top w:val="nil"/>
        <w:left w:val="nil"/>
        <w:bottom w:val="nil"/>
        <w:right w:val="nil"/>
        <w:between w:val="nil"/>
      </w:pBdr>
      <w:tabs>
        <w:tab w:val="center" w:pos="4252"/>
        <w:tab w:val="right" w:pos="8504"/>
      </w:tabs>
      <w:rPr>
        <w:color w:val="000000"/>
      </w:rPr>
    </w:pPr>
  </w:p>
  <w:p w:rsidR="00571C12" w:rsidRDefault="00571C12">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C12" w:rsidRDefault="00F5103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A05AE">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A05AE">
      <w:rPr>
        <w:rFonts w:ascii="Palatino Linotype" w:eastAsia="Palatino Linotype" w:hAnsi="Palatino Linotype" w:cs="Palatino Linotype"/>
        <w:b/>
        <w:bCs/>
        <w:noProof/>
        <w:color w:val="000000"/>
        <w:sz w:val="22"/>
        <w:szCs w:val="22"/>
      </w:rPr>
      <w:t>55</w:t>
    </w:r>
    <w:r>
      <w:rPr>
        <w:rFonts w:ascii="Palatino Linotype" w:eastAsia="Palatino Linotype" w:hAnsi="Palatino Linotype" w:cs="Palatino Linotype"/>
        <w:b/>
        <w:bCs/>
        <w:color w:val="000000"/>
        <w:sz w:val="22"/>
        <w:szCs w:val="22"/>
      </w:rPr>
      <w:fldChar w:fldCharType="end"/>
    </w:r>
  </w:p>
  <w:p w:rsidR="00571C12" w:rsidRDefault="00571C12">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078" w:rsidRDefault="00F12078">
      <w:r>
        <w:separator/>
      </w:r>
    </w:p>
  </w:footnote>
  <w:footnote w:type="continuationSeparator" w:id="0">
    <w:p w:rsidR="00F12078" w:rsidRDefault="00F12078">
      <w:r>
        <w:continuationSeparator/>
      </w:r>
    </w:p>
  </w:footnote>
  <w:footnote w:id="1">
    <w:p w:rsidR="00571C12" w:rsidRDefault="00F510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571C12" w:rsidRDefault="00F510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571C12" w:rsidRDefault="00F510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571C12" w:rsidRDefault="00F510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571C12" w:rsidRDefault="00F510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Políticas para la Integración del Informe Trimestral de los Sujetos de Fiscalización Municipales, OSFEM.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230" w:type="dxa"/>
      <w:tblInd w:w="3119" w:type="dxa"/>
      <w:tblLayout w:type="fixed"/>
      <w:tblLook w:val="0400" w:firstRow="0" w:lastRow="0" w:firstColumn="0" w:lastColumn="0" w:noHBand="0" w:noVBand="1"/>
    </w:tblPr>
    <w:tblGrid>
      <w:gridCol w:w="2934"/>
      <w:gridCol w:w="4296"/>
    </w:tblGrid>
    <w:tr w:rsidR="00571C12">
      <w:tc>
        <w:tcPr>
          <w:tcW w:w="2934" w:type="dxa"/>
          <w:vAlign w:val="center"/>
        </w:tcPr>
        <w:p w:rsidR="00571C12" w:rsidRDefault="00F51032">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96" w:type="dxa"/>
          <w:vAlign w:val="center"/>
        </w:tcPr>
        <w:p w:rsidR="00571C12" w:rsidRDefault="00F51032">
          <w:pPr>
            <w:jc w:val="both"/>
            <w:rPr>
              <w:rFonts w:ascii="Palatino Linotype" w:eastAsia="Palatino Linotype" w:hAnsi="Palatino Linotype" w:cs="Palatino Linotype"/>
            </w:rPr>
          </w:pPr>
          <w:r>
            <w:rPr>
              <w:rFonts w:ascii="Palatino Linotype" w:eastAsia="Palatino Linotype" w:hAnsi="Palatino Linotype" w:cs="Palatino Linotype"/>
            </w:rPr>
            <w:t>01843/INFOEM/IP/RR/2026</w:t>
          </w:r>
        </w:p>
      </w:tc>
    </w:tr>
    <w:tr w:rsidR="00571C12">
      <w:trPr>
        <w:trHeight w:val="228"/>
      </w:trPr>
      <w:tc>
        <w:tcPr>
          <w:tcW w:w="2934" w:type="dxa"/>
          <w:vAlign w:val="center"/>
        </w:tcPr>
        <w:p w:rsidR="00571C12" w:rsidRDefault="00F51032">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96" w:type="dxa"/>
          <w:shd w:val="clear" w:color="auto" w:fill="auto"/>
          <w:vAlign w:val="center"/>
        </w:tcPr>
        <w:p w:rsidR="00571C12" w:rsidRDefault="00F51032">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Valle de Bravo</w:t>
          </w:r>
        </w:p>
      </w:tc>
    </w:tr>
    <w:tr w:rsidR="00571C12">
      <w:tc>
        <w:tcPr>
          <w:tcW w:w="2934" w:type="dxa"/>
          <w:vAlign w:val="center"/>
        </w:tcPr>
        <w:p w:rsidR="00571C12" w:rsidRDefault="00F51032">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96" w:type="dxa"/>
          <w:vAlign w:val="center"/>
        </w:tcPr>
        <w:p w:rsidR="00571C12" w:rsidRDefault="00F51032">
          <w:pPr>
            <w:ind w:right="-53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571C12" w:rsidRDefault="00F51032">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simplePos x="0" y="0"/>
          <wp:positionH relativeFrom="column">
            <wp:posOffset>-1213484</wp:posOffset>
          </wp:positionH>
          <wp:positionV relativeFrom="paragraph">
            <wp:posOffset>-1219834</wp:posOffset>
          </wp:positionV>
          <wp:extent cx="7813085" cy="1017000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185" w:type="dxa"/>
      <w:tblInd w:w="3119" w:type="dxa"/>
      <w:tblLayout w:type="fixed"/>
      <w:tblLook w:val="0400" w:firstRow="0" w:lastRow="0" w:firstColumn="0" w:lastColumn="0" w:noHBand="0" w:noVBand="1"/>
    </w:tblPr>
    <w:tblGrid>
      <w:gridCol w:w="2934"/>
      <w:gridCol w:w="4251"/>
    </w:tblGrid>
    <w:tr w:rsidR="00571C12">
      <w:tc>
        <w:tcPr>
          <w:tcW w:w="2934" w:type="dxa"/>
          <w:vAlign w:val="center"/>
        </w:tcPr>
        <w:p w:rsidR="00571C12" w:rsidRDefault="00F51032">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51" w:type="dxa"/>
          <w:vAlign w:val="center"/>
        </w:tcPr>
        <w:p w:rsidR="00571C12" w:rsidRDefault="00F51032">
          <w:pPr>
            <w:jc w:val="both"/>
            <w:rPr>
              <w:rFonts w:ascii="Palatino Linotype" w:eastAsia="Palatino Linotype" w:hAnsi="Palatino Linotype" w:cs="Palatino Linotype"/>
            </w:rPr>
          </w:pPr>
          <w:r>
            <w:rPr>
              <w:rFonts w:ascii="Palatino Linotype" w:eastAsia="Palatino Linotype" w:hAnsi="Palatino Linotype" w:cs="Palatino Linotype"/>
            </w:rPr>
            <w:t>01843/INFOEM/IP/RR/2026</w:t>
          </w:r>
        </w:p>
      </w:tc>
    </w:tr>
    <w:tr w:rsidR="00571C12">
      <w:tc>
        <w:tcPr>
          <w:tcW w:w="2934" w:type="dxa"/>
          <w:vAlign w:val="center"/>
        </w:tcPr>
        <w:p w:rsidR="00571C12" w:rsidRDefault="00F51032">
          <w:pPr>
            <w:ind w:left="35" w:hanging="3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51" w:type="dxa"/>
          <w:shd w:val="clear" w:color="auto" w:fill="auto"/>
          <w:vAlign w:val="center"/>
        </w:tcPr>
        <w:p w:rsidR="00571C12" w:rsidRDefault="002A05AE">
          <w:pPr>
            <w:rPr>
              <w:rFonts w:ascii="Palatino Linotype" w:eastAsia="Palatino Linotype" w:hAnsi="Palatino Linotype" w:cs="Palatino Linotype"/>
            </w:rPr>
          </w:pPr>
          <w:r>
            <w:rPr>
              <w:rFonts w:ascii="Palatino Linotype" w:eastAsia="Palatino Linotype" w:hAnsi="Palatino Linotype" w:cs="Palatino Linotype"/>
            </w:rPr>
            <w:t>XXXX</w:t>
          </w:r>
        </w:p>
      </w:tc>
    </w:tr>
    <w:tr w:rsidR="00571C12">
      <w:trPr>
        <w:trHeight w:val="228"/>
      </w:trPr>
      <w:tc>
        <w:tcPr>
          <w:tcW w:w="2934" w:type="dxa"/>
          <w:vAlign w:val="center"/>
        </w:tcPr>
        <w:p w:rsidR="00571C12" w:rsidRDefault="00F51032">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51" w:type="dxa"/>
          <w:shd w:val="clear" w:color="auto" w:fill="auto"/>
          <w:vAlign w:val="center"/>
        </w:tcPr>
        <w:p w:rsidR="00571C12" w:rsidRDefault="00F51032">
          <w:pPr>
            <w:ind w:left="35" w:hanging="35"/>
            <w:jc w:val="both"/>
            <w:rPr>
              <w:rFonts w:ascii="Palatino Linotype" w:eastAsia="Palatino Linotype" w:hAnsi="Palatino Linotype" w:cs="Palatino Linotype"/>
            </w:rPr>
          </w:pPr>
          <w:r>
            <w:rPr>
              <w:rFonts w:ascii="Palatino Linotype" w:eastAsia="Palatino Linotype" w:hAnsi="Palatino Linotype" w:cs="Palatino Linotype"/>
            </w:rPr>
            <w:t>Ayuntamiento de Valle de Bravo</w:t>
          </w:r>
        </w:p>
      </w:tc>
    </w:tr>
    <w:tr w:rsidR="00571C12">
      <w:tc>
        <w:tcPr>
          <w:tcW w:w="2934" w:type="dxa"/>
          <w:vAlign w:val="center"/>
        </w:tcPr>
        <w:p w:rsidR="00571C12" w:rsidRDefault="00F51032">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51" w:type="dxa"/>
          <w:vAlign w:val="center"/>
        </w:tcPr>
        <w:p w:rsidR="00571C12" w:rsidRDefault="00F51032">
          <w:pPr>
            <w:ind w:right="-53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571C12" w:rsidRDefault="002C5AB2">
    <w:pPr>
      <w:pBdr>
        <w:top w:val="nil"/>
        <w:left w:val="nil"/>
        <w:bottom w:val="nil"/>
        <w:right w:val="nil"/>
        <w:between w:val="nil"/>
      </w:pBdr>
      <w:tabs>
        <w:tab w:val="center" w:pos="4252"/>
        <w:tab w:val="right" w:pos="8504"/>
      </w:tabs>
      <w:rPr>
        <w:rFonts w:ascii="Calibri" w:eastAsia="Calibri" w:hAnsi="Calibri" w:cs="Calibri"/>
        <w:color w:val="000000"/>
      </w:rPr>
    </w:pPr>
    <w:r>
      <w:rPr>
        <w:noProof/>
        <w:lang w:val="es-MX"/>
      </w:rPr>
      <w:drawing>
        <wp:anchor distT="0" distB="0" distL="0" distR="0" simplePos="0" relativeHeight="251659264" behindDoc="1" locked="0" layoutInCell="1" hidden="0" allowOverlap="1">
          <wp:simplePos x="0" y="0"/>
          <wp:positionH relativeFrom="page">
            <wp:posOffset>41455</wp:posOffset>
          </wp:positionH>
          <wp:positionV relativeFrom="paragraph">
            <wp:posOffset>-1272277</wp:posOffset>
          </wp:positionV>
          <wp:extent cx="7813040" cy="10169525"/>
          <wp:effectExtent l="0" t="0" r="0" b="3175"/>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40" cy="1016952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58BD"/>
    <w:multiLevelType w:val="multilevel"/>
    <w:tmpl w:val="0AE664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9915CB"/>
    <w:multiLevelType w:val="multilevel"/>
    <w:tmpl w:val="69845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E00C18"/>
    <w:multiLevelType w:val="multilevel"/>
    <w:tmpl w:val="54F46CCE"/>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881C73"/>
    <w:multiLevelType w:val="multilevel"/>
    <w:tmpl w:val="17AED48E"/>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48C01EB3"/>
    <w:multiLevelType w:val="multilevel"/>
    <w:tmpl w:val="C518D55A"/>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5" w15:restartNumberingAfterBreak="0">
    <w:nsid w:val="60557A9B"/>
    <w:multiLevelType w:val="multilevel"/>
    <w:tmpl w:val="9CF6F636"/>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6E6A1664"/>
    <w:multiLevelType w:val="multilevel"/>
    <w:tmpl w:val="6F58F232"/>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 w15:restartNumberingAfterBreak="0">
    <w:nsid w:val="716219C4"/>
    <w:multiLevelType w:val="multilevel"/>
    <w:tmpl w:val="3C3057F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71FE63AF"/>
    <w:multiLevelType w:val="multilevel"/>
    <w:tmpl w:val="0F3A9C9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2"/>
  </w:num>
  <w:num w:numId="4">
    <w:abstractNumId w:val="4"/>
  </w:num>
  <w:num w:numId="5">
    <w:abstractNumId w:val="3"/>
  </w:num>
  <w:num w:numId="6">
    <w:abstractNumId w:val="8"/>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C12"/>
    <w:rsid w:val="000E4DBD"/>
    <w:rsid w:val="002456E2"/>
    <w:rsid w:val="002A05AE"/>
    <w:rsid w:val="002C5AB2"/>
    <w:rsid w:val="00461085"/>
    <w:rsid w:val="004653C0"/>
    <w:rsid w:val="00571C12"/>
    <w:rsid w:val="00635218"/>
    <w:rsid w:val="006B3B54"/>
    <w:rsid w:val="006E3CC2"/>
    <w:rsid w:val="00870FCD"/>
    <w:rsid w:val="00896563"/>
    <w:rsid w:val="008E4A56"/>
    <w:rsid w:val="00970323"/>
    <w:rsid w:val="009C01A1"/>
    <w:rsid w:val="00B5552C"/>
    <w:rsid w:val="00C23237"/>
    <w:rsid w:val="00DC6F71"/>
    <w:rsid w:val="00EE35D5"/>
    <w:rsid w:val="00F12078"/>
    <w:rsid w:val="00F510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2FCF15-3754-4FDD-8486-B980C6DB5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DC6F71"/>
    <w:pPr>
      <w:ind w:left="720"/>
      <w:contextualSpacing/>
    </w:pPr>
  </w:style>
  <w:style w:type="paragraph" w:styleId="Encabezado">
    <w:name w:val="header"/>
    <w:basedOn w:val="Normal"/>
    <w:link w:val="EncabezadoCar"/>
    <w:uiPriority w:val="99"/>
    <w:unhideWhenUsed/>
    <w:rsid w:val="002C5AB2"/>
    <w:pPr>
      <w:tabs>
        <w:tab w:val="center" w:pos="4419"/>
        <w:tab w:val="right" w:pos="8838"/>
      </w:tabs>
    </w:pPr>
  </w:style>
  <w:style w:type="character" w:customStyle="1" w:styleId="EncabezadoCar">
    <w:name w:val="Encabezado Car"/>
    <w:basedOn w:val="Fuentedeprrafopredeter"/>
    <w:link w:val="Encabezado"/>
    <w:uiPriority w:val="99"/>
    <w:rsid w:val="002C5AB2"/>
  </w:style>
  <w:style w:type="paragraph" w:styleId="Piedepgina">
    <w:name w:val="footer"/>
    <w:basedOn w:val="Normal"/>
    <w:link w:val="PiedepginaCar"/>
    <w:uiPriority w:val="99"/>
    <w:unhideWhenUsed/>
    <w:rsid w:val="002C5AB2"/>
    <w:pPr>
      <w:tabs>
        <w:tab w:val="center" w:pos="4419"/>
        <w:tab w:val="right" w:pos="8838"/>
      </w:tabs>
    </w:pPr>
  </w:style>
  <w:style w:type="character" w:customStyle="1" w:styleId="PiedepginaCar">
    <w:name w:val="Pie de página Car"/>
    <w:basedOn w:val="Fuentedeprrafopredeter"/>
    <w:link w:val="Piedepgina"/>
    <w:uiPriority w:val="99"/>
    <w:rsid w:val="002C5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anterior.ine.mx/archivos2/tutoriales/sistemas/ApoyoInstitucional/SIF/docs/candidatos/folioFiscalFactura.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f.gob.mx/nota_detalle.php?codigo=5492254&amp;fecha=28/07/2017" TargetMode="External"/><Relationship Id="rId14" Type="http://schemas.openxmlformats.org/officeDocument/2006/relationships/image" Target="media/image4.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qyp2P3uT3yFTrPe3Wkbqv6SJQ==">CgMxLjAyDmgucjFpZXg3aWhpN29nMg5oLmVld3oxanBsMWh1czIOaC43MXBmY2luM25lcGgyDmguYTZpeGQ5YXdseHNyMg5oLmEwNGsycmpwbGVyZDINaC5zY29qcWZuZ2l3MDIOaC5jdTVscjh6ODBzankyDmguMXdsbHhsOTNoMm9kMg5oLnVkOXBpOWZwYXh6czINaC5qY2xtYTRhcm1scjIOaC5uY254cjJmeGY3OHkyCWguMXQzaDVzZjIJaC40ZDM0b2c4MgloLjJzOGV5bzEyCGgubG54Yno5MgloLjFrc3Y0dXYyDmguanoxc3FwZ3RvcjBpMg5oLmNrbGE0M2JtZzZnaTIJaC4yanhzeHFoOAByITFJMlBPTGZlODAxdjZiYkpaZzV0bFQ0M0RXa3ZHTW5f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55</Pages>
  <Words>12532</Words>
  <Characters>68932</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2026-05-29T00:06:00Z</cp:lastPrinted>
  <dcterms:created xsi:type="dcterms:W3CDTF">2026-05-25T18:56:00Z</dcterms:created>
  <dcterms:modified xsi:type="dcterms:W3CDTF">2026-06-02T23:13:00Z</dcterms:modified>
</cp:coreProperties>
</file>