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DFA2C" w14:textId="77777777" w:rsidR="0084780C" w:rsidRPr="00CE3371" w:rsidRDefault="0084780C" w:rsidP="0084780C">
      <w:pPr>
        <w:pBdr>
          <w:top w:val="nil"/>
          <w:left w:val="nil"/>
          <w:bottom w:val="nil"/>
          <w:right w:val="nil"/>
          <w:between w:val="nil"/>
        </w:pBdr>
        <w:contextualSpacing/>
        <w:rPr>
          <w:rFonts w:eastAsia="Palatino Linotype" w:cs="Palatino Linotype"/>
          <w:color w:val="000000"/>
          <w:szCs w:val="24"/>
        </w:rPr>
      </w:pPr>
      <w:r w:rsidRPr="00CE3371">
        <w:rPr>
          <w:rFonts w:eastAsia="Palatino Linotype" w:cs="Palatino Linotype"/>
          <w:color w:val="000000"/>
          <w:szCs w:val="24"/>
        </w:rPr>
        <w:t xml:space="preserve">Resolución del Pleno del Instituto de Transparencia, Acceso a la Información Pública y Protección de Datos Personales del Estado de México y Municipios, con domicilio en Metepec, Estado de México, a </w:t>
      </w:r>
      <w:r w:rsidR="00CA1950" w:rsidRPr="00CE3371">
        <w:rPr>
          <w:rFonts w:eastAsia="Palatino Linotype" w:cs="Palatino Linotype"/>
          <w:b/>
          <w:bCs/>
          <w:color w:val="000000"/>
          <w:szCs w:val="24"/>
        </w:rPr>
        <w:t>quince de jul</w:t>
      </w:r>
      <w:r w:rsidRPr="00CE3371">
        <w:rPr>
          <w:rFonts w:eastAsia="Palatino Linotype" w:cs="Palatino Linotype"/>
          <w:b/>
          <w:bCs/>
          <w:color w:val="000000"/>
          <w:szCs w:val="24"/>
        </w:rPr>
        <w:t>io de dos mil veintiséis</w:t>
      </w:r>
      <w:r w:rsidRPr="00CE3371">
        <w:rPr>
          <w:rFonts w:eastAsia="Palatino Linotype" w:cs="Palatino Linotype"/>
          <w:color w:val="000000"/>
          <w:szCs w:val="24"/>
        </w:rPr>
        <w:t>.</w:t>
      </w:r>
    </w:p>
    <w:p w14:paraId="0BE36A1E" w14:textId="77777777" w:rsidR="0084780C" w:rsidRPr="00CE3371" w:rsidRDefault="0084780C" w:rsidP="0084780C">
      <w:pPr>
        <w:pBdr>
          <w:top w:val="nil"/>
          <w:left w:val="nil"/>
          <w:bottom w:val="nil"/>
          <w:right w:val="nil"/>
          <w:between w:val="nil"/>
        </w:pBdr>
        <w:contextualSpacing/>
        <w:rPr>
          <w:rFonts w:eastAsia="Palatino Linotype" w:cs="Palatino Linotype"/>
          <w:color w:val="000000"/>
          <w:szCs w:val="24"/>
        </w:rPr>
      </w:pPr>
    </w:p>
    <w:p w14:paraId="2E6AA564" w14:textId="2ED4F48E" w:rsidR="0084780C" w:rsidRPr="00CE3371" w:rsidRDefault="0084780C" w:rsidP="0084780C">
      <w:pPr>
        <w:pBdr>
          <w:top w:val="nil"/>
          <w:left w:val="nil"/>
          <w:bottom w:val="nil"/>
          <w:right w:val="nil"/>
          <w:between w:val="nil"/>
        </w:pBdr>
        <w:contextualSpacing/>
        <w:rPr>
          <w:rFonts w:eastAsia="Palatino Linotype" w:cs="Palatino Linotype"/>
          <w:color w:val="000000"/>
          <w:szCs w:val="24"/>
        </w:rPr>
      </w:pPr>
      <w:r w:rsidRPr="00CE3371">
        <w:rPr>
          <w:rFonts w:eastAsia="Palatino Linotype" w:cs="Palatino Linotype"/>
          <w:b/>
          <w:color w:val="000000"/>
          <w:szCs w:val="24"/>
        </w:rPr>
        <w:t>VISTO</w:t>
      </w:r>
      <w:r w:rsidRPr="00CE3371">
        <w:rPr>
          <w:rFonts w:eastAsia="Palatino Linotype" w:cs="Palatino Linotype"/>
          <w:color w:val="000000"/>
          <w:szCs w:val="24"/>
        </w:rPr>
        <w:t xml:space="preserve"> el expediente electrónico formado con motivo del recurso de revisión número </w:t>
      </w:r>
      <w:bookmarkStart w:id="0" w:name="_GoBack"/>
      <w:r w:rsidRPr="00CE3371">
        <w:rPr>
          <w:rFonts w:eastAsia="Palatino Linotype" w:cs="Palatino Linotype"/>
          <w:b/>
          <w:color w:val="000000"/>
          <w:szCs w:val="24"/>
        </w:rPr>
        <w:t>01220/INFOEM/IP/RR/2026</w:t>
      </w:r>
      <w:bookmarkEnd w:id="0"/>
      <w:r w:rsidRPr="00CE3371">
        <w:rPr>
          <w:rFonts w:eastAsia="Palatino Linotype" w:cs="Palatino Linotype"/>
          <w:color w:val="000000"/>
          <w:szCs w:val="24"/>
        </w:rPr>
        <w:t>, interpuesto por</w:t>
      </w:r>
      <w:r w:rsidRPr="00CE3371">
        <w:rPr>
          <w:rFonts w:cs="Arial"/>
          <w:b/>
          <w:szCs w:val="24"/>
        </w:rPr>
        <w:t xml:space="preserve"> </w:t>
      </w:r>
      <w:r w:rsidR="00D800FA">
        <w:rPr>
          <w:rFonts w:cs="Arial"/>
          <w:b/>
          <w:szCs w:val="24"/>
        </w:rPr>
        <w:t>xxxxxxxxxxxxxxxxxx</w:t>
      </w:r>
      <w:r w:rsidRPr="00CE3371">
        <w:rPr>
          <w:rFonts w:cs="Arial"/>
          <w:b/>
          <w:szCs w:val="24"/>
        </w:rPr>
        <w:t xml:space="preserve"> </w:t>
      </w:r>
      <w:r w:rsidRPr="00CE3371">
        <w:rPr>
          <w:rFonts w:eastAsia="Palatino Linotype" w:cs="Palatino Linotype"/>
          <w:color w:val="000000"/>
          <w:szCs w:val="24"/>
        </w:rPr>
        <w:t xml:space="preserve">en lo sucesivo el </w:t>
      </w:r>
      <w:r w:rsidRPr="00CE3371">
        <w:rPr>
          <w:rFonts w:eastAsia="Palatino Linotype" w:cs="Palatino Linotype"/>
          <w:b/>
          <w:color w:val="000000"/>
          <w:szCs w:val="24"/>
        </w:rPr>
        <w:t>Recurrente</w:t>
      </w:r>
      <w:r w:rsidRPr="00CE3371">
        <w:rPr>
          <w:rFonts w:eastAsia="Palatino Linotype" w:cs="Palatino Linotype"/>
          <w:color w:val="000000"/>
          <w:szCs w:val="24"/>
        </w:rPr>
        <w:t>, en contra de la respuesta del</w:t>
      </w:r>
      <w:r w:rsidRPr="00CE3371">
        <w:rPr>
          <w:rFonts w:eastAsia="Palatino Linotype" w:cs="Palatino Linotype"/>
          <w:b/>
          <w:color w:val="000000"/>
          <w:szCs w:val="24"/>
        </w:rPr>
        <w:t xml:space="preserve"> </w:t>
      </w:r>
      <w:r w:rsidRPr="00CE3371">
        <w:rPr>
          <w:b/>
          <w:bCs/>
          <w:color w:val="000000"/>
          <w:szCs w:val="24"/>
        </w:rPr>
        <w:t xml:space="preserve">Fiscalía General de Justicia del Estado de México </w:t>
      </w:r>
      <w:r w:rsidRPr="00CE3371">
        <w:rPr>
          <w:rFonts w:eastAsia="Palatino Linotype" w:cs="Palatino Linotype"/>
          <w:color w:val="000000"/>
          <w:szCs w:val="24"/>
        </w:rPr>
        <w:t xml:space="preserve"> en lo subsecuente</w:t>
      </w:r>
      <w:r w:rsidRPr="00CE3371">
        <w:rPr>
          <w:rFonts w:eastAsia="Palatino Linotype" w:cs="Palatino Linotype"/>
          <w:b/>
          <w:color w:val="000000"/>
          <w:szCs w:val="24"/>
        </w:rPr>
        <w:t xml:space="preserve"> </w:t>
      </w:r>
      <w:r w:rsidRPr="00CE3371">
        <w:rPr>
          <w:rFonts w:eastAsia="Palatino Linotype" w:cs="Palatino Linotype"/>
          <w:color w:val="000000"/>
          <w:szCs w:val="24"/>
        </w:rPr>
        <w:t>el</w:t>
      </w:r>
      <w:r w:rsidRPr="00CE3371">
        <w:rPr>
          <w:rFonts w:eastAsia="Palatino Linotype" w:cs="Palatino Linotype"/>
          <w:b/>
          <w:color w:val="000000"/>
          <w:szCs w:val="24"/>
        </w:rPr>
        <w:t xml:space="preserve"> Sujeto Obligado, </w:t>
      </w:r>
      <w:r w:rsidRPr="00CE3371">
        <w:rPr>
          <w:rFonts w:eastAsia="Palatino Linotype" w:cs="Palatino Linotype"/>
          <w:color w:val="000000"/>
          <w:szCs w:val="24"/>
        </w:rPr>
        <w:t xml:space="preserve">se procede a dictar la presente resolución. </w:t>
      </w:r>
    </w:p>
    <w:p w14:paraId="4C57B269" w14:textId="77777777" w:rsidR="0084780C" w:rsidRPr="00CE3371" w:rsidRDefault="0084780C" w:rsidP="0084780C">
      <w:pPr>
        <w:pBdr>
          <w:top w:val="nil"/>
          <w:left w:val="nil"/>
          <w:bottom w:val="nil"/>
          <w:right w:val="nil"/>
          <w:between w:val="nil"/>
        </w:pBdr>
        <w:contextualSpacing/>
        <w:rPr>
          <w:rFonts w:eastAsia="Palatino Linotype" w:cs="Palatino Linotype"/>
          <w:color w:val="000000"/>
          <w:szCs w:val="24"/>
        </w:rPr>
      </w:pPr>
    </w:p>
    <w:p w14:paraId="5B64521D" w14:textId="77777777" w:rsidR="0084780C" w:rsidRPr="00CE3371" w:rsidRDefault="0084780C" w:rsidP="0084780C">
      <w:pPr>
        <w:pStyle w:val="Ttulo1"/>
        <w:jc w:val="center"/>
        <w:rPr>
          <w:rFonts w:ascii="Palatino Linotype" w:eastAsia="Palatino Linotype" w:hAnsi="Palatino Linotype"/>
          <w:b/>
          <w:bCs/>
          <w:color w:val="auto"/>
          <w:sz w:val="28"/>
          <w:szCs w:val="28"/>
        </w:rPr>
      </w:pPr>
      <w:r w:rsidRPr="00CE3371">
        <w:rPr>
          <w:rFonts w:ascii="Palatino Linotype" w:eastAsia="Palatino Linotype" w:hAnsi="Palatino Linotype"/>
          <w:b/>
          <w:bCs/>
          <w:color w:val="auto"/>
          <w:sz w:val="28"/>
          <w:szCs w:val="28"/>
        </w:rPr>
        <w:t>A N T E C E D E N T E S</w:t>
      </w:r>
    </w:p>
    <w:p w14:paraId="32AF18EC" w14:textId="77777777" w:rsidR="0084780C" w:rsidRPr="00CE3371" w:rsidRDefault="0084780C" w:rsidP="0084780C">
      <w:pPr>
        <w:pBdr>
          <w:top w:val="nil"/>
          <w:left w:val="nil"/>
          <w:bottom w:val="nil"/>
          <w:right w:val="nil"/>
          <w:between w:val="nil"/>
        </w:pBdr>
        <w:contextualSpacing/>
        <w:rPr>
          <w:rFonts w:eastAsia="Palatino Linotype" w:cs="Palatino Linotype"/>
          <w:b/>
          <w:bCs/>
          <w:szCs w:val="24"/>
        </w:rPr>
      </w:pPr>
    </w:p>
    <w:p w14:paraId="025BEF47" w14:textId="77777777" w:rsidR="0084780C" w:rsidRPr="00CE3371" w:rsidRDefault="0084780C" w:rsidP="0084780C">
      <w:pPr>
        <w:pStyle w:val="Ttulo2"/>
        <w:rPr>
          <w:rFonts w:eastAsia="Palatino Linotype"/>
          <w:b/>
          <w:bCs/>
        </w:rPr>
      </w:pPr>
      <w:r w:rsidRPr="00CE3371">
        <w:rPr>
          <w:rFonts w:ascii="Palatino Linotype" w:eastAsia="Palatino Linotype" w:hAnsi="Palatino Linotype"/>
          <w:b/>
          <w:bCs/>
          <w:color w:val="auto"/>
          <w:sz w:val="24"/>
          <w:szCs w:val="24"/>
        </w:rPr>
        <w:t>PRIMERO. De la Solicitud de Información</w:t>
      </w:r>
      <w:r w:rsidRPr="00CE3371">
        <w:rPr>
          <w:rFonts w:eastAsia="Palatino Linotype"/>
          <w:b/>
          <w:bCs/>
        </w:rPr>
        <w:t>.</w:t>
      </w:r>
    </w:p>
    <w:p w14:paraId="1BF72C98" w14:textId="77777777" w:rsidR="0084780C" w:rsidRPr="00CE3371" w:rsidRDefault="0084780C" w:rsidP="0084780C">
      <w:pPr>
        <w:pBdr>
          <w:top w:val="nil"/>
          <w:left w:val="nil"/>
          <w:bottom w:val="nil"/>
          <w:right w:val="nil"/>
          <w:between w:val="nil"/>
        </w:pBdr>
        <w:contextualSpacing/>
        <w:rPr>
          <w:rFonts w:eastAsia="Palatino Linotype" w:cs="Palatino Linotype"/>
          <w:color w:val="000000"/>
          <w:szCs w:val="24"/>
        </w:rPr>
      </w:pPr>
      <w:r w:rsidRPr="00CE3371">
        <w:rPr>
          <w:rFonts w:eastAsia="Palatino Linotype" w:cs="Palatino Linotype"/>
          <w:color w:val="000000"/>
          <w:szCs w:val="24"/>
        </w:rPr>
        <w:t xml:space="preserve">Con fecha </w:t>
      </w:r>
      <w:r w:rsidR="00775416" w:rsidRPr="00CE3371">
        <w:rPr>
          <w:rFonts w:eastAsia="Palatino Linotype" w:cs="Palatino Linotype"/>
          <w:color w:val="000000"/>
          <w:szCs w:val="24"/>
        </w:rPr>
        <w:t>doce de enero</w:t>
      </w:r>
      <w:r w:rsidRPr="00CE3371">
        <w:rPr>
          <w:rFonts w:eastAsia="Palatino Linotype" w:cs="Palatino Linotype"/>
          <w:color w:val="000000"/>
          <w:szCs w:val="24"/>
        </w:rPr>
        <w:t xml:space="preserve"> de dos mil veintiséis el Recurrente presentó mediante el Sistema de Acceso a la Información Mexiquense (SAIMEX), solicitud de información registrada con el número de </w:t>
      </w:r>
      <w:r w:rsidRPr="00CE3371">
        <w:rPr>
          <w:rFonts w:eastAsia="Palatino Linotype" w:cs="Palatino Linotype"/>
          <w:szCs w:val="24"/>
        </w:rPr>
        <w:t>expediente</w:t>
      </w:r>
      <w:r w:rsidRPr="00CE3371">
        <w:rPr>
          <w:b/>
          <w:bCs/>
        </w:rPr>
        <w:t> </w:t>
      </w:r>
      <w:r w:rsidRPr="00CE3371">
        <w:rPr>
          <w:rFonts w:ascii="Verdana" w:hAnsi="Verdana"/>
          <w:b/>
          <w:bCs/>
          <w:color w:val="FF0000"/>
        </w:rPr>
        <w:t> </w:t>
      </w:r>
      <w:r w:rsidR="00775416" w:rsidRPr="00CE3371">
        <w:rPr>
          <w:b/>
          <w:bCs/>
        </w:rPr>
        <w:t>00008/FGJ/IP/2026</w:t>
      </w:r>
      <w:r w:rsidRPr="00CE3371">
        <w:rPr>
          <w:rFonts w:eastAsia="Palatino Linotype" w:cs="Palatino Linotype"/>
          <w:szCs w:val="24"/>
        </w:rPr>
        <w:t>,</w:t>
      </w:r>
      <w:r w:rsidRPr="00CE3371">
        <w:rPr>
          <w:rFonts w:eastAsia="Palatino Linotype" w:cs="Palatino Linotype"/>
          <w:b/>
          <w:szCs w:val="24"/>
        </w:rPr>
        <w:t xml:space="preserve"> </w:t>
      </w:r>
      <w:r w:rsidRPr="00CE3371">
        <w:rPr>
          <w:rFonts w:eastAsia="Palatino Linotype" w:cs="Palatino Linotype"/>
          <w:color w:val="000000"/>
          <w:szCs w:val="24"/>
        </w:rPr>
        <w:t>mediante la cual solicitó información en el tenor siguiente:</w:t>
      </w:r>
    </w:p>
    <w:p w14:paraId="747686BB" w14:textId="77777777" w:rsidR="0084780C" w:rsidRPr="00CE3371" w:rsidRDefault="0084780C" w:rsidP="0084780C">
      <w:pPr>
        <w:pStyle w:val="Fundamentos"/>
        <w:spacing w:line="360" w:lineRule="auto"/>
        <w:rPr>
          <w:sz w:val="24"/>
        </w:rPr>
      </w:pPr>
      <w:r w:rsidRPr="00CE3371">
        <w:rPr>
          <w:sz w:val="24"/>
        </w:rPr>
        <w:t>“</w:t>
      </w:r>
      <w:r w:rsidR="00775416" w:rsidRPr="00CE3371">
        <w:rPr>
          <w:sz w:val="24"/>
        </w:rPr>
        <w:t xml:space="preserve">Solicito informacion publica relacionada con los hechos ocurridos el dia 1 de enero de 2025, cuando asesinaron a una familia, padre, madre e hijo, en la colonia bellavista municipio de cuautitlan izcalli, estadom de mexico. Especificamente requiero saber si existen carpetas de investigacion iniciadas, boletines oficiales emitidos, personas detenidas, audiencias celebradas o vinculaciones a proceso relacionadas con dichos hechos. Asimismo, solicito se indique la autoridad competente que conoce del caso y el </w:t>
      </w:r>
      <w:r w:rsidR="00775416" w:rsidRPr="00CE3371">
        <w:rPr>
          <w:sz w:val="24"/>
        </w:rPr>
        <w:lastRenderedPageBreak/>
        <w:t>estatus actual del mismo. La informacion solicitada es de caracter publico y no se requiere la entrega de datos personales. Gracias por su atencion</w:t>
      </w:r>
      <w:r w:rsidRPr="00CE3371">
        <w:rPr>
          <w:rFonts w:ascii="Verdana" w:hAnsi="Verdana"/>
          <w:sz w:val="14"/>
          <w:szCs w:val="14"/>
        </w:rPr>
        <w:t>.</w:t>
      </w:r>
      <w:r w:rsidRPr="00CE3371">
        <w:rPr>
          <w:sz w:val="24"/>
        </w:rPr>
        <w:t>” (Sic)</w:t>
      </w:r>
    </w:p>
    <w:p w14:paraId="021B97AB" w14:textId="77777777" w:rsidR="0084780C" w:rsidRPr="00CE3371" w:rsidRDefault="0084780C" w:rsidP="0084780C">
      <w:pPr>
        <w:pStyle w:val="Fundamentos"/>
        <w:spacing w:line="360" w:lineRule="auto"/>
        <w:rPr>
          <w:sz w:val="24"/>
        </w:rPr>
      </w:pPr>
    </w:p>
    <w:p w14:paraId="7796259A" w14:textId="77777777" w:rsidR="0084780C" w:rsidRPr="00CE3371" w:rsidRDefault="0084780C" w:rsidP="0084780C">
      <w:pPr>
        <w:pBdr>
          <w:top w:val="nil"/>
          <w:left w:val="nil"/>
          <w:bottom w:val="nil"/>
          <w:right w:val="nil"/>
          <w:between w:val="nil"/>
        </w:pBdr>
        <w:contextualSpacing/>
        <w:rPr>
          <w:rFonts w:eastAsia="Palatino Linotype" w:cs="Palatino Linotype"/>
          <w:b/>
          <w:color w:val="000000"/>
          <w:szCs w:val="24"/>
        </w:rPr>
      </w:pPr>
      <w:r w:rsidRPr="00CE3371">
        <w:rPr>
          <w:rFonts w:eastAsia="Palatino Linotype" w:cs="Palatino Linotype"/>
          <w:color w:val="000000"/>
          <w:szCs w:val="24"/>
        </w:rPr>
        <w:t xml:space="preserve">Modalidad de entrega: </w:t>
      </w:r>
      <w:r w:rsidRPr="00CE3371">
        <w:rPr>
          <w:rFonts w:eastAsia="Palatino Linotype" w:cs="Palatino Linotype"/>
          <w:b/>
          <w:color w:val="000000"/>
          <w:szCs w:val="24"/>
        </w:rPr>
        <w:t>A través del SAIMEX</w:t>
      </w:r>
      <w:r w:rsidRPr="00CE3371">
        <w:rPr>
          <w:rFonts w:eastAsia="Palatino Linotype" w:cs="Palatino Linotype"/>
          <w:color w:val="000000"/>
          <w:szCs w:val="24"/>
        </w:rPr>
        <w:t>.</w:t>
      </w:r>
    </w:p>
    <w:p w14:paraId="562D84C6" w14:textId="77777777" w:rsidR="0084780C" w:rsidRPr="00CE3371" w:rsidRDefault="0084780C" w:rsidP="0084780C">
      <w:pPr>
        <w:pBdr>
          <w:top w:val="nil"/>
          <w:left w:val="nil"/>
          <w:bottom w:val="nil"/>
          <w:right w:val="nil"/>
          <w:between w:val="nil"/>
        </w:pBdr>
        <w:contextualSpacing/>
        <w:rPr>
          <w:rFonts w:eastAsia="Palatino Linotype" w:cs="Palatino Linotype"/>
          <w:color w:val="000000"/>
          <w:szCs w:val="24"/>
        </w:rPr>
      </w:pPr>
    </w:p>
    <w:p w14:paraId="2B4B8C34" w14:textId="77777777" w:rsidR="0084780C" w:rsidRPr="00CE3371" w:rsidRDefault="0084780C" w:rsidP="0084780C">
      <w:pPr>
        <w:pStyle w:val="Ttulo2"/>
        <w:rPr>
          <w:rFonts w:ascii="Palatino Linotype" w:eastAsia="Palatino Linotype" w:hAnsi="Palatino Linotype"/>
          <w:b/>
          <w:bCs/>
          <w:color w:val="auto"/>
          <w:sz w:val="28"/>
          <w:szCs w:val="28"/>
        </w:rPr>
      </w:pPr>
      <w:r w:rsidRPr="00CE3371">
        <w:rPr>
          <w:rFonts w:ascii="Palatino Linotype" w:eastAsia="Palatino Linotype" w:hAnsi="Palatino Linotype"/>
          <w:b/>
          <w:bCs/>
          <w:color w:val="auto"/>
          <w:sz w:val="28"/>
          <w:szCs w:val="28"/>
        </w:rPr>
        <w:t>SEGUNDO. De la Respuesta del Sujeto Obligado.</w:t>
      </w:r>
    </w:p>
    <w:p w14:paraId="0C4E6C6D" w14:textId="77777777" w:rsidR="0084780C" w:rsidRPr="00CE3371" w:rsidRDefault="0084780C" w:rsidP="00775416">
      <w:pPr>
        <w:pBdr>
          <w:top w:val="nil"/>
          <w:left w:val="nil"/>
          <w:bottom w:val="nil"/>
          <w:right w:val="nil"/>
          <w:between w:val="nil"/>
        </w:pBdr>
        <w:contextualSpacing/>
        <w:rPr>
          <w:rFonts w:eastAsia="Palatino Linotype" w:cs="Palatino Linotype"/>
          <w:color w:val="000000"/>
          <w:sz w:val="22"/>
        </w:rPr>
      </w:pPr>
      <w:r w:rsidRPr="00CE3371">
        <w:rPr>
          <w:rFonts w:eastAsia="Palatino Linotype" w:cs="Palatino Linotype"/>
          <w:color w:val="000000"/>
          <w:szCs w:val="24"/>
        </w:rPr>
        <w:t xml:space="preserve">De las constancias que obran en el expediente electrónico, se observa que el </w:t>
      </w:r>
      <w:r w:rsidR="00775416" w:rsidRPr="00CE3371">
        <w:rPr>
          <w:rFonts w:eastAsia="Palatino Linotype" w:cs="Palatino Linotype"/>
          <w:color w:val="000000"/>
          <w:szCs w:val="24"/>
        </w:rPr>
        <w:t>veintinueve de enero</w:t>
      </w:r>
      <w:r w:rsidRPr="00CE3371">
        <w:rPr>
          <w:rFonts w:eastAsia="Palatino Linotype" w:cs="Palatino Linotype"/>
          <w:color w:val="000000"/>
          <w:szCs w:val="24"/>
        </w:rPr>
        <w:t xml:space="preserve"> de dos mil veintiséis el Sujeto Obligado dio respuesta a la solicitud de información </w:t>
      </w:r>
      <w:r w:rsidR="00775416" w:rsidRPr="00CE3371">
        <w:rPr>
          <w:rFonts w:eastAsia="Palatino Linotype" w:cs="Palatino Linotype"/>
          <w:color w:val="000000"/>
          <w:szCs w:val="24"/>
        </w:rPr>
        <w:t xml:space="preserve">mediante el archivo electrónico denominado </w:t>
      </w:r>
      <w:r w:rsidR="00775416" w:rsidRPr="00CE3371">
        <w:rPr>
          <w:rFonts w:cs="Arial"/>
          <w:b/>
          <w:bCs/>
          <w:i/>
          <w:szCs w:val="24"/>
        </w:rPr>
        <w:t xml:space="preserve">Respuesta 00008_2025_01_24_19_38_57_020.pdf </w:t>
      </w:r>
      <w:r w:rsidR="00775416" w:rsidRPr="00CE3371">
        <w:rPr>
          <w:rFonts w:cs="Arial"/>
          <w:bCs/>
          <w:szCs w:val="24"/>
        </w:rPr>
        <w:t xml:space="preserve"> el cual no es reproducido por ser del conocimiento de las partes sin embargo, será analizado en el considerando correspondiente.</w:t>
      </w:r>
    </w:p>
    <w:p w14:paraId="37A25AA7" w14:textId="77777777" w:rsidR="0084780C" w:rsidRPr="00CE3371" w:rsidRDefault="0084780C" w:rsidP="0084780C">
      <w:pPr>
        <w:pBdr>
          <w:top w:val="nil"/>
          <w:left w:val="nil"/>
          <w:bottom w:val="nil"/>
          <w:right w:val="nil"/>
          <w:between w:val="nil"/>
        </w:pBdr>
        <w:contextualSpacing/>
        <w:rPr>
          <w:rFonts w:eastAsia="Palatino Linotype" w:cs="Palatino Linotype"/>
          <w:color w:val="000000"/>
          <w:szCs w:val="24"/>
        </w:rPr>
      </w:pPr>
    </w:p>
    <w:p w14:paraId="6A7C9653" w14:textId="77777777" w:rsidR="0084780C" w:rsidRPr="00CE3371" w:rsidRDefault="0084780C" w:rsidP="0084780C">
      <w:pPr>
        <w:pStyle w:val="Ttulo2"/>
        <w:rPr>
          <w:rFonts w:ascii="Palatino Linotype" w:eastAsia="Palatino Linotype" w:hAnsi="Palatino Linotype"/>
          <w:color w:val="auto"/>
          <w:sz w:val="28"/>
          <w:szCs w:val="28"/>
        </w:rPr>
      </w:pPr>
      <w:r w:rsidRPr="00CE3371">
        <w:rPr>
          <w:rFonts w:ascii="Palatino Linotype" w:eastAsia="Palatino Linotype" w:hAnsi="Palatino Linotype"/>
          <w:b/>
          <w:bCs/>
          <w:color w:val="auto"/>
          <w:sz w:val="28"/>
          <w:szCs w:val="28"/>
        </w:rPr>
        <w:t>TERCERO. Del recurso de revisión</w:t>
      </w:r>
      <w:r w:rsidRPr="00CE3371">
        <w:rPr>
          <w:rFonts w:ascii="Palatino Linotype" w:eastAsia="Palatino Linotype" w:hAnsi="Palatino Linotype"/>
          <w:color w:val="auto"/>
          <w:sz w:val="28"/>
          <w:szCs w:val="28"/>
        </w:rPr>
        <w:t>.</w:t>
      </w:r>
    </w:p>
    <w:p w14:paraId="489FF04D" w14:textId="77777777" w:rsidR="0084780C" w:rsidRPr="00CE3371" w:rsidRDefault="0084780C" w:rsidP="0084780C">
      <w:pPr>
        <w:pBdr>
          <w:top w:val="nil"/>
          <w:left w:val="nil"/>
          <w:bottom w:val="nil"/>
          <w:right w:val="nil"/>
          <w:between w:val="nil"/>
        </w:pBdr>
        <w:contextualSpacing/>
        <w:rPr>
          <w:rFonts w:eastAsia="Palatino Linotype" w:cs="Palatino Linotype"/>
          <w:color w:val="000000"/>
          <w:szCs w:val="24"/>
        </w:rPr>
      </w:pPr>
      <w:r w:rsidRPr="00CE3371">
        <w:rPr>
          <w:rFonts w:eastAsia="Palatino Linotype" w:cs="Palatino Linotype"/>
          <w:color w:val="000000"/>
          <w:szCs w:val="24"/>
        </w:rPr>
        <w:t xml:space="preserve">Inconforme con la respuesta emitida por el Sujeto Obligado, el Recurrente interpuso el presente recurso de revisión el día </w:t>
      </w:r>
      <w:r w:rsidR="00775416" w:rsidRPr="00CE3371">
        <w:rPr>
          <w:rFonts w:eastAsia="Palatino Linotype" w:cs="Palatino Linotype"/>
          <w:b/>
          <w:color w:val="000000"/>
          <w:szCs w:val="24"/>
        </w:rPr>
        <w:t>tres de febrero</w:t>
      </w:r>
      <w:r w:rsidRPr="00CE3371">
        <w:rPr>
          <w:rFonts w:eastAsia="Palatino Linotype" w:cs="Palatino Linotype"/>
          <w:b/>
          <w:color w:val="000000"/>
          <w:szCs w:val="24"/>
        </w:rPr>
        <w:t xml:space="preserve"> de dos mil veintiséis</w:t>
      </w:r>
      <w:r w:rsidRPr="00CE3371">
        <w:rPr>
          <w:rFonts w:eastAsia="Palatino Linotype" w:cs="Palatino Linotype"/>
          <w:color w:val="000000"/>
          <w:szCs w:val="24"/>
        </w:rPr>
        <w:t xml:space="preserve">, el cual se registró con el expediente número </w:t>
      </w:r>
      <w:r w:rsidRPr="00CE3371">
        <w:rPr>
          <w:rFonts w:eastAsia="Palatino Linotype" w:cs="Palatino Linotype"/>
          <w:b/>
          <w:color w:val="000000"/>
          <w:szCs w:val="24"/>
        </w:rPr>
        <w:t>0</w:t>
      </w:r>
      <w:r w:rsidR="00775416" w:rsidRPr="00CE3371">
        <w:rPr>
          <w:rFonts w:eastAsia="Palatino Linotype" w:cs="Palatino Linotype"/>
          <w:b/>
          <w:color w:val="000000"/>
          <w:szCs w:val="24"/>
        </w:rPr>
        <w:t>1220</w:t>
      </w:r>
      <w:r w:rsidRPr="00CE3371">
        <w:rPr>
          <w:rFonts w:eastAsia="Palatino Linotype" w:cs="Palatino Linotype"/>
          <w:b/>
          <w:color w:val="000000"/>
          <w:szCs w:val="24"/>
        </w:rPr>
        <w:t>/INFOEM/IP/RR/2026</w:t>
      </w:r>
      <w:r w:rsidRPr="00CE3371">
        <w:rPr>
          <w:rFonts w:eastAsia="Palatino Linotype" w:cs="Palatino Linotype"/>
          <w:color w:val="000000"/>
          <w:szCs w:val="24"/>
        </w:rPr>
        <w:t>, manifestando lo siguiente:</w:t>
      </w:r>
    </w:p>
    <w:p w14:paraId="3AD2A75E" w14:textId="77777777" w:rsidR="0084780C" w:rsidRPr="00CE3371" w:rsidRDefault="0084780C" w:rsidP="0084780C">
      <w:pPr>
        <w:pBdr>
          <w:top w:val="nil"/>
          <w:left w:val="nil"/>
          <w:bottom w:val="nil"/>
          <w:right w:val="nil"/>
          <w:between w:val="nil"/>
        </w:pBdr>
        <w:contextualSpacing/>
        <w:rPr>
          <w:rFonts w:eastAsia="Palatino Linotype" w:cs="Palatino Linotype"/>
          <w:color w:val="000000"/>
          <w:szCs w:val="24"/>
        </w:rPr>
      </w:pPr>
    </w:p>
    <w:p w14:paraId="3E6BA27B" w14:textId="77777777" w:rsidR="0084780C" w:rsidRPr="00CE3371" w:rsidRDefault="0084780C" w:rsidP="0084780C">
      <w:pPr>
        <w:contextualSpacing/>
        <w:rPr>
          <w:rFonts w:eastAsia="Palatino Linotype" w:cs="Palatino Linotype"/>
          <w:b/>
        </w:rPr>
      </w:pPr>
      <w:r w:rsidRPr="00CE3371">
        <w:rPr>
          <w:rFonts w:eastAsia="Palatino Linotype" w:cs="Palatino Linotype"/>
          <w:b/>
        </w:rPr>
        <w:t>Acto Impugnado</w:t>
      </w:r>
    </w:p>
    <w:p w14:paraId="424520A6" w14:textId="77777777" w:rsidR="0084780C" w:rsidRPr="00CE3371" w:rsidRDefault="0084780C" w:rsidP="00775416">
      <w:pPr>
        <w:spacing w:line="240" w:lineRule="auto"/>
        <w:ind w:left="708"/>
        <w:rPr>
          <w:rFonts w:ascii="Times New Roman" w:eastAsia="Times New Roman" w:hAnsi="Times New Roman" w:cs="Times New Roman"/>
          <w:szCs w:val="24"/>
          <w:lang w:val="es-MX"/>
        </w:rPr>
      </w:pPr>
      <w:r w:rsidRPr="00CE3371">
        <w:rPr>
          <w:rFonts w:eastAsia="Times New Roman" w:cs="Times New Roman"/>
          <w:i/>
          <w:szCs w:val="24"/>
          <w:lang w:val="es-MX"/>
        </w:rPr>
        <w:t>“</w:t>
      </w:r>
      <w:r w:rsidR="00775416" w:rsidRPr="00CE3371">
        <w:rPr>
          <w:rFonts w:eastAsia="Times New Roman" w:cs="Times New Roman"/>
          <w:i/>
          <w:szCs w:val="24"/>
          <w:lang w:val="es-MX"/>
        </w:rPr>
        <w:t>La respuesta emitida por la Fiscalía General de Justicia del Estado de México mediante la cual negó la información solicitada, invocando el artículo 12 y el artículo 143 fracción I de la Ley de Transparencia, argumentando la protección de datos personales y la no obligación de generar información</w:t>
      </w:r>
      <w:r w:rsidRPr="00CE3371">
        <w:rPr>
          <w:i/>
          <w:color w:val="000000"/>
          <w:sz w:val="22"/>
        </w:rPr>
        <w:t>.</w:t>
      </w:r>
      <w:r w:rsidRPr="00CE3371">
        <w:rPr>
          <w:i/>
          <w:iCs/>
          <w:sz w:val="22"/>
        </w:rPr>
        <w:t>”</w:t>
      </w:r>
      <w:r w:rsidRPr="00CE3371">
        <w:rPr>
          <w:i/>
          <w:iCs/>
          <w:szCs w:val="24"/>
        </w:rPr>
        <w:t xml:space="preserve"> (Sic)</w:t>
      </w:r>
    </w:p>
    <w:p w14:paraId="71026395" w14:textId="77777777" w:rsidR="0084780C" w:rsidRPr="00CE3371" w:rsidRDefault="0084780C" w:rsidP="0084780C">
      <w:pPr>
        <w:contextualSpacing/>
        <w:rPr>
          <w:rFonts w:eastAsia="Palatino Linotype" w:cs="Palatino Linotype"/>
          <w:b/>
        </w:rPr>
      </w:pPr>
    </w:p>
    <w:p w14:paraId="03B33ED2" w14:textId="77777777" w:rsidR="0084780C" w:rsidRPr="00CE3371" w:rsidRDefault="0084780C" w:rsidP="0084780C">
      <w:pPr>
        <w:contextualSpacing/>
        <w:rPr>
          <w:rFonts w:eastAsia="Palatino Linotype" w:cs="Palatino Linotype"/>
          <w:b/>
        </w:rPr>
      </w:pPr>
      <w:r w:rsidRPr="00CE3371">
        <w:rPr>
          <w:rFonts w:eastAsia="Palatino Linotype" w:cs="Palatino Linotype"/>
          <w:b/>
        </w:rPr>
        <w:t xml:space="preserve">  y Razones o Motivos de Inconformidad</w:t>
      </w:r>
    </w:p>
    <w:p w14:paraId="0E7DC327" w14:textId="77777777" w:rsidR="00775416" w:rsidRPr="00CE3371" w:rsidRDefault="0084780C" w:rsidP="00775416">
      <w:pPr>
        <w:spacing w:line="240" w:lineRule="auto"/>
        <w:ind w:left="708"/>
        <w:rPr>
          <w:i/>
          <w:color w:val="000000"/>
          <w:szCs w:val="24"/>
        </w:rPr>
      </w:pPr>
      <w:r w:rsidRPr="00CE3371">
        <w:rPr>
          <w:i/>
          <w:szCs w:val="24"/>
        </w:rPr>
        <w:lastRenderedPageBreak/>
        <w:t>“</w:t>
      </w:r>
      <w:r w:rsidR="00775416" w:rsidRPr="00CE3371">
        <w:rPr>
          <w:i/>
          <w:color w:val="000000"/>
          <w:szCs w:val="24"/>
        </w:rPr>
        <w:t xml:space="preserve">La respuesta emitida por la Fiscalía General de Justicia del Estado de México vulnera mi derecho de acceso a la información, ya que la autoridad fundamenta su negativa en el artículo 143 fracción 1 de la Ley de Transparencia </w:t>
      </w:r>
      <w:r w:rsidR="00775416" w:rsidRPr="00CE3371">
        <w:rPr>
          <w:rFonts w:cs="Cambria"/>
          <w:i/>
          <w:color w:val="000000"/>
          <w:szCs w:val="24"/>
        </w:rPr>
        <w:t>у</w:t>
      </w:r>
      <w:r w:rsidR="00775416" w:rsidRPr="00CE3371">
        <w:rPr>
          <w:i/>
          <w:color w:val="000000"/>
          <w:szCs w:val="24"/>
        </w:rPr>
        <w:t xml:space="preserve"> Acceso a la Informaci</w:t>
      </w:r>
      <w:r w:rsidR="00775416" w:rsidRPr="00CE3371">
        <w:rPr>
          <w:rFonts w:cs="OCR A Extended"/>
          <w:i/>
          <w:color w:val="000000"/>
          <w:szCs w:val="24"/>
        </w:rPr>
        <w:t>ó</w:t>
      </w:r>
      <w:r w:rsidR="00775416" w:rsidRPr="00CE3371">
        <w:rPr>
          <w:i/>
          <w:color w:val="000000"/>
          <w:szCs w:val="24"/>
        </w:rPr>
        <w:t>n P</w:t>
      </w:r>
      <w:r w:rsidR="00775416" w:rsidRPr="00CE3371">
        <w:rPr>
          <w:rFonts w:cs="OCR A Extended"/>
          <w:i/>
          <w:color w:val="000000"/>
          <w:szCs w:val="24"/>
        </w:rPr>
        <w:t>ú</w:t>
      </w:r>
      <w:r w:rsidR="00775416" w:rsidRPr="00CE3371">
        <w:rPr>
          <w:i/>
          <w:color w:val="000000"/>
          <w:szCs w:val="24"/>
        </w:rPr>
        <w:t xml:space="preserve">blica del Estado de México y Municipios, relativo a la protección de datos personales. Sin embargo, en ningún momento solicité datos personales de víctimas o imputados, sino información de carácter público y estadístico, como: • Existencia de carpetas de investigación • Número de personas detenidas • Número de personas vinculadas a proceso • Estatus procesal general • Existencia de boletines oficiales La autoridad confunde información confidencial con información pública susceptible de entregarse en versión pública o de forma estadística. Asimismo, la autoridad invoca el artículo 12 de la Ley para señalar que no está obligada a generar información; no obstante, lo solicitado no implica la generación de información nueva, sino la entrega de datos que obran en sus sistemas institucionales. Adicionalmente, la autoridad no acredita: • La existencia de un acuerdo de clasificación de información como reservada. • La aplicación de la prueba de daño correspondiente. • Que la entrega de información estadística afecte una investigación en curso. En términos del principio de máxima publicidad previsto en el artículo 6º Constitucional y en la Ley de Transparencia, la autoridad debió privilegiar la entrega de información en versión pública o estadística. Por lo anterior, solicito se revoque la respuesta impugnada </w:t>
      </w:r>
      <w:r w:rsidR="00775416" w:rsidRPr="00CE3371">
        <w:rPr>
          <w:rFonts w:cs="Cambria"/>
          <w:i/>
          <w:color w:val="000000"/>
          <w:szCs w:val="24"/>
        </w:rPr>
        <w:t>у</w:t>
      </w:r>
      <w:r w:rsidR="00775416" w:rsidRPr="00CE3371">
        <w:rPr>
          <w:i/>
          <w:color w:val="000000"/>
          <w:szCs w:val="24"/>
        </w:rPr>
        <w:t xml:space="preserve"> se ordene a la autoridad realizar una nueva b</w:t>
      </w:r>
      <w:r w:rsidR="00775416" w:rsidRPr="00CE3371">
        <w:rPr>
          <w:rFonts w:cs="OCR A Extended"/>
          <w:i/>
          <w:color w:val="000000"/>
          <w:szCs w:val="24"/>
        </w:rPr>
        <w:t>ú</w:t>
      </w:r>
      <w:r w:rsidR="00775416" w:rsidRPr="00CE3371">
        <w:rPr>
          <w:i/>
          <w:color w:val="000000"/>
          <w:szCs w:val="24"/>
        </w:rPr>
        <w:t>squeda exhaustiva y emitir respuesta debidamente fundada y motivada.</w:t>
      </w:r>
      <w:r w:rsidRPr="00CE3371">
        <w:rPr>
          <w:i/>
          <w:color w:val="000000"/>
          <w:szCs w:val="24"/>
        </w:rPr>
        <w:t>”</w:t>
      </w:r>
      <w:r w:rsidRPr="00CE3371">
        <w:rPr>
          <w:i/>
          <w:iCs/>
          <w:szCs w:val="24"/>
        </w:rPr>
        <w:t xml:space="preserve"> (Sic)</w:t>
      </w:r>
    </w:p>
    <w:p w14:paraId="09B45FE0" w14:textId="77777777" w:rsidR="00775416" w:rsidRPr="00CE3371" w:rsidRDefault="00775416" w:rsidP="00775416">
      <w:pPr>
        <w:spacing w:line="240" w:lineRule="auto"/>
        <w:rPr>
          <w:i/>
          <w:color w:val="000000"/>
          <w:szCs w:val="24"/>
        </w:rPr>
      </w:pPr>
    </w:p>
    <w:p w14:paraId="67CECA65" w14:textId="77777777" w:rsidR="00775416" w:rsidRPr="00CE3371" w:rsidRDefault="00775416" w:rsidP="00775416">
      <w:pPr>
        <w:numPr>
          <w:ilvl w:val="0"/>
          <w:numId w:val="6"/>
        </w:numPr>
        <w:spacing w:before="100" w:beforeAutospacing="1" w:after="100" w:afterAutospacing="1" w:line="240" w:lineRule="auto"/>
        <w:rPr>
          <w:rFonts w:eastAsia="Times New Roman" w:cs="Arial"/>
          <w:color w:val="333333"/>
          <w:szCs w:val="24"/>
          <w:lang w:val="es-MX"/>
        </w:rPr>
      </w:pPr>
      <w:r w:rsidRPr="00CE3371">
        <w:rPr>
          <w:rFonts w:cs="Arial"/>
          <w:bCs/>
          <w:color w:val="333333"/>
          <w:szCs w:val="24"/>
        </w:rPr>
        <w:t xml:space="preserve">El Recurrente anexo a la interposición de su garantía secundaria el documento denominado </w:t>
      </w:r>
      <w:r w:rsidRPr="00CE3371">
        <w:rPr>
          <w:rFonts w:cs="Arial"/>
          <w:b/>
          <w:bCs/>
          <w:color w:val="333333"/>
          <w:szCs w:val="24"/>
        </w:rPr>
        <w:t xml:space="preserve">Fiscalía respuesta.pdf </w:t>
      </w:r>
      <w:r w:rsidRPr="00CE3371">
        <w:rPr>
          <w:rFonts w:cs="Arial"/>
          <w:bCs/>
          <w:color w:val="333333"/>
          <w:szCs w:val="24"/>
        </w:rPr>
        <w:t xml:space="preserve"> en el que se advierte la respuesta proporcionada por el Sujeto Obligado. </w:t>
      </w:r>
    </w:p>
    <w:p w14:paraId="03378379" w14:textId="77777777" w:rsidR="00775416" w:rsidRPr="00CE3371" w:rsidRDefault="00775416" w:rsidP="0084780C">
      <w:pPr>
        <w:pBdr>
          <w:top w:val="nil"/>
          <w:left w:val="nil"/>
          <w:bottom w:val="nil"/>
          <w:right w:val="nil"/>
          <w:between w:val="nil"/>
        </w:pBdr>
        <w:contextualSpacing/>
        <w:rPr>
          <w:rFonts w:eastAsia="Palatino Linotype" w:cs="Palatino Linotype"/>
          <w:i/>
          <w:color w:val="000000"/>
          <w:szCs w:val="24"/>
        </w:rPr>
      </w:pPr>
    </w:p>
    <w:p w14:paraId="03BB7953" w14:textId="77777777" w:rsidR="0084780C" w:rsidRPr="00CE3371" w:rsidRDefault="0084780C" w:rsidP="0084780C">
      <w:pPr>
        <w:pStyle w:val="Ttulo2"/>
        <w:rPr>
          <w:rFonts w:ascii="Palatino Linotype" w:eastAsia="Palatino Linotype" w:hAnsi="Palatino Linotype"/>
          <w:b/>
          <w:bCs/>
          <w:color w:val="auto"/>
          <w:sz w:val="28"/>
          <w:szCs w:val="28"/>
        </w:rPr>
      </w:pPr>
      <w:r w:rsidRPr="00CE3371">
        <w:rPr>
          <w:rFonts w:ascii="Palatino Linotype" w:eastAsia="Palatino Linotype" w:hAnsi="Palatino Linotype"/>
          <w:b/>
          <w:bCs/>
          <w:color w:val="auto"/>
          <w:sz w:val="28"/>
          <w:szCs w:val="28"/>
        </w:rPr>
        <w:t>CUARTO. Del turno y admisión del recurso de revisión.</w:t>
      </w:r>
    </w:p>
    <w:p w14:paraId="4A2A19C1" w14:textId="77777777" w:rsidR="0084780C" w:rsidRPr="00CE3371" w:rsidRDefault="0084780C" w:rsidP="0084780C">
      <w:pPr>
        <w:pBdr>
          <w:top w:val="nil"/>
          <w:left w:val="nil"/>
          <w:bottom w:val="nil"/>
          <w:right w:val="nil"/>
          <w:between w:val="nil"/>
        </w:pBdr>
        <w:contextualSpacing/>
        <w:rPr>
          <w:rFonts w:eastAsia="Palatino Linotype" w:cs="Palatino Linotype"/>
          <w:color w:val="000000"/>
          <w:szCs w:val="24"/>
        </w:rPr>
      </w:pPr>
      <w:r w:rsidRPr="00CE3371">
        <w:rPr>
          <w:rFonts w:eastAsia="Palatino Linotype" w:cs="Palatino Linotype"/>
          <w:color w:val="000000"/>
          <w:szCs w:val="24"/>
        </w:rPr>
        <w:t xml:space="preserve">Medio de impugnación que le fue turnado al </w:t>
      </w:r>
      <w:r w:rsidRPr="00CE3371">
        <w:rPr>
          <w:rFonts w:eastAsia="Palatino Linotype" w:cs="Palatino Linotype"/>
          <w:b/>
          <w:color w:val="000000"/>
          <w:szCs w:val="24"/>
        </w:rPr>
        <w:t>Comisionado Presidente José Martínez Vilchis</w:t>
      </w:r>
      <w:r w:rsidRPr="00CE3371">
        <w:rPr>
          <w:rFonts w:eastAsia="Palatino Linotype" w:cs="Palatino Linotype"/>
          <w:color w:val="000000"/>
          <w:szCs w:val="24"/>
        </w:rPr>
        <w:t>, por medio del sistema electrónico en términos del numeral 185 fracción I de la Ley de Transparencia y Acceso a la información Pública del Estado de México y Municipios, al cual recayó acuerdo de admisión de fecha</w:t>
      </w:r>
      <w:r w:rsidRPr="00CE3371">
        <w:rPr>
          <w:rFonts w:eastAsia="Palatino Linotype" w:cs="Palatino Linotype"/>
          <w:b/>
          <w:bCs/>
          <w:color w:val="000000"/>
          <w:szCs w:val="24"/>
        </w:rPr>
        <w:t xml:space="preserve"> </w:t>
      </w:r>
      <w:r w:rsidR="00775416" w:rsidRPr="00CE3371">
        <w:rPr>
          <w:rFonts w:eastAsia="Palatino Linotype" w:cs="Palatino Linotype"/>
          <w:b/>
          <w:bCs/>
          <w:color w:val="000000"/>
          <w:szCs w:val="24"/>
        </w:rPr>
        <w:t>treinta y uno de enero</w:t>
      </w:r>
      <w:r w:rsidRPr="00CE3371">
        <w:rPr>
          <w:rFonts w:eastAsia="Palatino Linotype" w:cs="Palatino Linotype"/>
          <w:b/>
          <w:bCs/>
          <w:color w:val="000000"/>
          <w:szCs w:val="24"/>
        </w:rPr>
        <w:t xml:space="preserve"> de dos </w:t>
      </w:r>
      <w:r w:rsidRPr="00CE3371">
        <w:rPr>
          <w:rFonts w:eastAsia="Palatino Linotype" w:cs="Palatino Linotype"/>
          <w:b/>
          <w:bCs/>
          <w:color w:val="000000"/>
          <w:szCs w:val="24"/>
        </w:rPr>
        <w:lastRenderedPageBreak/>
        <w:t>mil veintiséis</w:t>
      </w:r>
      <w:r w:rsidRPr="00CE3371">
        <w:rPr>
          <w:rFonts w:eastAsia="Palatino Linotype" w:cs="Palatino Linotype"/>
          <w:color w:val="000000"/>
          <w:szCs w:val="24"/>
        </w:rPr>
        <w:t xml:space="preserve">, </w:t>
      </w:r>
      <w:r w:rsidRPr="00CE3371">
        <w:rPr>
          <w:rFonts w:eastAsia="Palatino Linotype" w:cs="Palatino Linotype"/>
          <w:szCs w:val="24"/>
        </w:rPr>
        <w:t>otorgándose</w:t>
      </w:r>
      <w:r w:rsidRPr="00CE3371">
        <w:rPr>
          <w:rFonts w:eastAsia="Palatino Linotype" w:cs="Palatino Linotype"/>
          <w:color w:val="000000"/>
          <w:szCs w:val="24"/>
        </w:rPr>
        <w:t xml:space="preserve"> en él un plazo de siete días para que las partes manifestaran lo que a su derecho corresponda en términos del numeral ya citado.</w:t>
      </w:r>
    </w:p>
    <w:p w14:paraId="4C2ADF37" w14:textId="77777777" w:rsidR="0084780C" w:rsidRPr="00CE3371" w:rsidRDefault="0084780C" w:rsidP="0084780C">
      <w:pPr>
        <w:pBdr>
          <w:top w:val="nil"/>
          <w:left w:val="nil"/>
          <w:bottom w:val="nil"/>
          <w:right w:val="nil"/>
          <w:between w:val="nil"/>
        </w:pBdr>
        <w:contextualSpacing/>
        <w:rPr>
          <w:rFonts w:eastAsia="Palatino Linotype" w:cs="Palatino Linotype"/>
          <w:color w:val="000000"/>
          <w:szCs w:val="24"/>
        </w:rPr>
      </w:pPr>
    </w:p>
    <w:p w14:paraId="23C210EE" w14:textId="77777777" w:rsidR="0084780C" w:rsidRPr="00CE3371" w:rsidRDefault="0084780C" w:rsidP="0084780C">
      <w:pPr>
        <w:pStyle w:val="Ttulo2"/>
        <w:rPr>
          <w:rFonts w:ascii="Palatino Linotype" w:eastAsia="Palatino Linotype" w:hAnsi="Palatino Linotype"/>
          <w:b/>
          <w:bCs/>
          <w:color w:val="auto"/>
          <w:sz w:val="28"/>
          <w:szCs w:val="28"/>
        </w:rPr>
      </w:pPr>
      <w:r w:rsidRPr="00CE3371">
        <w:rPr>
          <w:rFonts w:ascii="Palatino Linotype" w:eastAsia="Palatino Linotype" w:hAnsi="Palatino Linotype"/>
          <w:b/>
          <w:bCs/>
          <w:color w:val="auto"/>
          <w:sz w:val="28"/>
          <w:szCs w:val="28"/>
        </w:rPr>
        <w:t>QUINTO. De la etapa de instrucción.</w:t>
      </w:r>
    </w:p>
    <w:p w14:paraId="67104D08" w14:textId="77777777" w:rsidR="0084780C" w:rsidRPr="00CE3371" w:rsidRDefault="0084780C" w:rsidP="0084780C">
      <w:pPr>
        <w:pBdr>
          <w:top w:val="nil"/>
          <w:left w:val="nil"/>
          <w:bottom w:val="nil"/>
          <w:right w:val="nil"/>
          <w:between w:val="nil"/>
        </w:pBdr>
        <w:contextualSpacing/>
        <w:rPr>
          <w:rFonts w:eastAsia="Palatino Linotype" w:cs="Palatino Linotype"/>
          <w:color w:val="000000"/>
          <w:szCs w:val="24"/>
        </w:rPr>
      </w:pPr>
      <w:r w:rsidRPr="00CE3371">
        <w:rPr>
          <w:rFonts w:eastAsia="Palatino Linotype" w:cs="Palatino Linotype"/>
          <w:color w:val="000000"/>
          <w:szCs w:val="24"/>
        </w:rPr>
        <w:t xml:space="preserve">Una vez abierta la etapa de instrucción, el Sujeto Obligado rindió su informe justificado en fecha </w:t>
      </w:r>
      <w:r w:rsidR="00775416" w:rsidRPr="00CE3371">
        <w:rPr>
          <w:rFonts w:eastAsia="Palatino Linotype" w:cs="Palatino Linotype"/>
          <w:color w:val="000000"/>
          <w:szCs w:val="24"/>
        </w:rPr>
        <w:t>dieciséis y diecinueve de febrero</w:t>
      </w:r>
      <w:r w:rsidRPr="00CE3371">
        <w:rPr>
          <w:rFonts w:eastAsia="Palatino Linotype" w:cs="Palatino Linotype"/>
          <w:color w:val="000000"/>
          <w:szCs w:val="24"/>
        </w:rPr>
        <w:t xml:space="preserve"> de dos mil veintiséis por lo que en fecha </w:t>
      </w:r>
      <w:r w:rsidR="00775416" w:rsidRPr="00CE3371">
        <w:rPr>
          <w:rFonts w:eastAsia="Palatino Linotype" w:cs="Palatino Linotype"/>
          <w:color w:val="000000"/>
          <w:szCs w:val="24"/>
        </w:rPr>
        <w:t>veintinueve de junio</w:t>
      </w:r>
      <w:r w:rsidRPr="00CE3371">
        <w:rPr>
          <w:rFonts w:eastAsia="Palatino Linotype" w:cs="Palatino Linotype"/>
          <w:color w:val="000000"/>
          <w:szCs w:val="24"/>
        </w:rPr>
        <w:t xml:space="preserve"> del año en curso se puso a la vista del Recurrente para que se manifestara conforme su derecho</w:t>
      </w:r>
      <w:r w:rsidR="00775416" w:rsidRPr="00CE3371">
        <w:rPr>
          <w:rFonts w:eastAsia="Palatino Linotype" w:cs="Palatino Linotype"/>
          <w:color w:val="000000"/>
          <w:szCs w:val="24"/>
        </w:rPr>
        <w:t>. Por su parte, el Recurrente</w:t>
      </w:r>
      <w:r w:rsidRPr="00CE3371">
        <w:rPr>
          <w:rFonts w:eastAsia="Palatino Linotype" w:cs="Palatino Linotype"/>
          <w:color w:val="000000"/>
          <w:szCs w:val="24"/>
        </w:rPr>
        <w:t xml:space="preserve"> realizó manifestaciones, vertió alegatos ni presentó pruebas que a su derecho convinieran. </w:t>
      </w:r>
    </w:p>
    <w:p w14:paraId="77680C30" w14:textId="77777777" w:rsidR="0084780C" w:rsidRPr="00CE3371" w:rsidRDefault="0084780C" w:rsidP="0084780C">
      <w:pPr>
        <w:pBdr>
          <w:top w:val="nil"/>
          <w:left w:val="nil"/>
          <w:bottom w:val="nil"/>
          <w:right w:val="nil"/>
          <w:between w:val="nil"/>
        </w:pBdr>
        <w:contextualSpacing/>
        <w:rPr>
          <w:rFonts w:eastAsia="Palatino Linotype" w:cs="Palatino Linotype"/>
          <w:color w:val="000000"/>
          <w:szCs w:val="24"/>
        </w:rPr>
      </w:pPr>
    </w:p>
    <w:p w14:paraId="6DA876EF" w14:textId="77777777" w:rsidR="0084780C" w:rsidRPr="00CE3371" w:rsidRDefault="0084780C" w:rsidP="0084780C">
      <w:pPr>
        <w:pStyle w:val="Ttulo2"/>
        <w:rPr>
          <w:rFonts w:ascii="Palatino Linotype" w:eastAsia="Palatino Linotype" w:hAnsi="Palatino Linotype"/>
          <w:b/>
          <w:bCs/>
          <w:color w:val="auto"/>
          <w:sz w:val="28"/>
          <w:szCs w:val="28"/>
        </w:rPr>
      </w:pPr>
      <w:r w:rsidRPr="00CE3371">
        <w:rPr>
          <w:rFonts w:ascii="Palatino Linotype" w:eastAsia="Palatino Linotype" w:hAnsi="Palatino Linotype"/>
          <w:b/>
          <w:bCs/>
          <w:color w:val="auto"/>
          <w:sz w:val="28"/>
          <w:szCs w:val="28"/>
        </w:rPr>
        <w:t>SEXTO. Del cierre de instrucción.</w:t>
      </w:r>
    </w:p>
    <w:p w14:paraId="72E7A56F" w14:textId="77777777" w:rsidR="0084780C" w:rsidRPr="00CE3371" w:rsidRDefault="0084780C" w:rsidP="0084780C">
      <w:pPr>
        <w:pBdr>
          <w:top w:val="nil"/>
          <w:left w:val="nil"/>
          <w:bottom w:val="nil"/>
          <w:right w:val="nil"/>
          <w:between w:val="nil"/>
        </w:pBdr>
        <w:contextualSpacing/>
        <w:rPr>
          <w:rFonts w:eastAsia="Palatino Linotype" w:cs="Palatino Linotype"/>
          <w:color w:val="000000"/>
          <w:szCs w:val="24"/>
        </w:rPr>
      </w:pPr>
      <w:r w:rsidRPr="00CE3371">
        <w:rPr>
          <w:rFonts w:eastAsia="Palatino Linotype" w:cs="Palatino Linotype"/>
          <w:color w:val="000000"/>
          <w:szCs w:val="24"/>
        </w:rPr>
        <w:t>Así, una vez transcurrido el término legal, se decretó el cierre de instrucción en fecha</w:t>
      </w:r>
      <w:r w:rsidRPr="00CE3371">
        <w:rPr>
          <w:rFonts w:eastAsia="Palatino Linotype" w:cs="Palatino Linotype"/>
          <w:b/>
          <w:color w:val="000000"/>
          <w:szCs w:val="24"/>
        </w:rPr>
        <w:t xml:space="preserve"> </w:t>
      </w:r>
      <w:r w:rsidR="00244467" w:rsidRPr="00CE3371">
        <w:rPr>
          <w:rFonts w:eastAsia="Palatino Linotype" w:cs="Palatino Linotype"/>
          <w:b/>
          <w:color w:val="000000"/>
          <w:szCs w:val="24"/>
        </w:rPr>
        <w:t>quin</w:t>
      </w:r>
      <w:r w:rsidR="00BA01AC" w:rsidRPr="00CE3371">
        <w:rPr>
          <w:rFonts w:eastAsia="Palatino Linotype" w:cs="Palatino Linotype"/>
          <w:b/>
          <w:color w:val="000000"/>
          <w:szCs w:val="24"/>
        </w:rPr>
        <w:t>c</w:t>
      </w:r>
      <w:r w:rsidR="00244467" w:rsidRPr="00CE3371">
        <w:rPr>
          <w:rFonts w:eastAsia="Palatino Linotype" w:cs="Palatino Linotype"/>
          <w:b/>
          <w:color w:val="000000"/>
          <w:szCs w:val="24"/>
        </w:rPr>
        <w:t>e de julio</w:t>
      </w:r>
      <w:r w:rsidRPr="00CE3371">
        <w:rPr>
          <w:rFonts w:eastAsia="Palatino Linotype" w:cs="Palatino Linotype"/>
          <w:b/>
          <w:color w:val="000000"/>
          <w:szCs w:val="24"/>
        </w:rPr>
        <w:t xml:space="preserve"> de dos mil veintiséis</w:t>
      </w:r>
      <w:r w:rsidRPr="00CE3371">
        <w:rPr>
          <w:rFonts w:eastAsia="Palatino Linotype" w:cs="Palatino Linotype"/>
          <w:color w:val="000000"/>
          <w:szCs w:val="24"/>
        </w:rPr>
        <w:t>, en términos del artículo 185 fracción VI de la Ley de Transparencia y Acceso a la Información Pública del Estado de México y Municipios, iniciando el término legal para dictar resolución definitiva del asunto.</w:t>
      </w:r>
    </w:p>
    <w:p w14:paraId="3BC281D8" w14:textId="77777777" w:rsidR="0084780C" w:rsidRPr="00CE3371" w:rsidRDefault="0084780C" w:rsidP="0084780C">
      <w:pPr>
        <w:pBdr>
          <w:top w:val="nil"/>
          <w:left w:val="nil"/>
          <w:bottom w:val="nil"/>
          <w:right w:val="nil"/>
          <w:between w:val="nil"/>
        </w:pBdr>
        <w:contextualSpacing/>
        <w:rPr>
          <w:rFonts w:eastAsiaTheme="minorHAnsi" w:cstheme="minorBidi"/>
          <w:szCs w:val="24"/>
          <w:lang w:eastAsia="en-US"/>
        </w:rPr>
      </w:pPr>
    </w:p>
    <w:p w14:paraId="2FFC1250" w14:textId="77777777" w:rsidR="0084780C" w:rsidRPr="00CE3371" w:rsidRDefault="0084780C" w:rsidP="0084780C">
      <w:pPr>
        <w:keepNext/>
        <w:keepLines/>
        <w:outlineLvl w:val="1"/>
        <w:rPr>
          <w:rFonts w:cs="Palatino Linotype"/>
          <w:color w:val="000000"/>
        </w:rPr>
      </w:pPr>
      <w:r w:rsidRPr="00CE3371">
        <w:rPr>
          <w:b/>
          <w:color w:val="000000" w:themeColor="text1"/>
          <w:sz w:val="28"/>
          <w:szCs w:val="28"/>
        </w:rPr>
        <w:t xml:space="preserve">SÉPTIMO. </w:t>
      </w:r>
      <w:r w:rsidRPr="00CE3371">
        <w:rPr>
          <w:rFonts w:cs="Arial"/>
          <w:b/>
          <w:sz w:val="28"/>
        </w:rPr>
        <w:t>De la ampliación del término para resolver.</w:t>
      </w:r>
    </w:p>
    <w:p w14:paraId="74574E8B" w14:textId="77777777" w:rsidR="0084780C" w:rsidRPr="00CE3371" w:rsidRDefault="0084780C" w:rsidP="0084780C">
      <w:pPr>
        <w:contextualSpacing/>
      </w:pPr>
      <w:r w:rsidRPr="00CE3371">
        <w:t>De las constancias que integran el expediente electrónico, se advierte que han transcurrido los términos de Ley, para la emisión de la resolución en el presente recurso de revisión, por lo que en fecha</w:t>
      </w:r>
      <w:r w:rsidRPr="00CE3371">
        <w:rPr>
          <w:b/>
        </w:rPr>
        <w:t xml:space="preserve"> </w:t>
      </w:r>
      <w:r w:rsidR="00F14F1F" w:rsidRPr="00CE3371">
        <w:rPr>
          <w:rFonts w:eastAsia="Palatino Linotype" w:cs="Palatino Linotype"/>
          <w:b/>
          <w:color w:val="000000"/>
          <w:szCs w:val="24"/>
        </w:rPr>
        <w:t>siet</w:t>
      </w:r>
      <w:r w:rsidR="00244467" w:rsidRPr="00CE3371">
        <w:rPr>
          <w:rFonts w:eastAsia="Palatino Linotype" w:cs="Palatino Linotype"/>
          <w:b/>
          <w:color w:val="000000"/>
          <w:szCs w:val="24"/>
        </w:rPr>
        <w:t xml:space="preserve">e </w:t>
      </w:r>
      <w:r w:rsidR="00775416" w:rsidRPr="00CE3371">
        <w:rPr>
          <w:rFonts w:eastAsia="Palatino Linotype" w:cs="Palatino Linotype"/>
          <w:b/>
          <w:color w:val="000000"/>
          <w:szCs w:val="24"/>
        </w:rPr>
        <w:t>de julio</w:t>
      </w:r>
      <w:r w:rsidRPr="00CE3371">
        <w:rPr>
          <w:rFonts w:eastAsia="Palatino Linotype" w:cs="Palatino Linotype"/>
          <w:b/>
          <w:color w:val="000000"/>
          <w:szCs w:val="24"/>
        </w:rPr>
        <w:t xml:space="preserve"> de dos mil veintiséis</w:t>
      </w:r>
      <w:r w:rsidRPr="00CE3371">
        <w:t xml:space="preserve">, se notificó a las partes el acuerdo por el que se ordena ampliar el plazo para la emisión de la resolución, en términos del artículo 181 párrafo tercero de la Ley de Transparencia y Acceso a la </w:t>
      </w:r>
      <w:r w:rsidRPr="00CE3371">
        <w:lastRenderedPageBreak/>
        <w:t>Información Pública del Estado de México y Municipios, ordenándose turnar los expedientes a la resolución que en derecho proceda.</w:t>
      </w:r>
    </w:p>
    <w:p w14:paraId="546D0F46" w14:textId="77777777" w:rsidR="0084780C" w:rsidRPr="00CE3371" w:rsidRDefault="0084780C" w:rsidP="0084780C">
      <w:pPr>
        <w:contextualSpacing/>
      </w:pPr>
    </w:p>
    <w:p w14:paraId="76EFD61B" w14:textId="77777777" w:rsidR="00775416" w:rsidRPr="00CE3371" w:rsidRDefault="00775416" w:rsidP="0084780C">
      <w:pPr>
        <w:contextualSpacing/>
      </w:pPr>
    </w:p>
    <w:p w14:paraId="69F5B64D" w14:textId="77777777" w:rsidR="0084780C" w:rsidRPr="00CE3371" w:rsidRDefault="0084780C" w:rsidP="0084780C">
      <w:pPr>
        <w:pStyle w:val="Ttulo1"/>
        <w:jc w:val="center"/>
        <w:rPr>
          <w:rFonts w:ascii="Palatino Linotype" w:eastAsia="Palatino Linotype" w:hAnsi="Palatino Linotype"/>
          <w:b/>
          <w:bCs/>
          <w:color w:val="auto"/>
          <w:sz w:val="28"/>
          <w:szCs w:val="28"/>
        </w:rPr>
      </w:pPr>
      <w:r w:rsidRPr="00CE3371">
        <w:rPr>
          <w:rFonts w:ascii="Palatino Linotype" w:eastAsia="Palatino Linotype" w:hAnsi="Palatino Linotype"/>
          <w:b/>
          <w:bCs/>
          <w:color w:val="auto"/>
          <w:sz w:val="28"/>
          <w:szCs w:val="28"/>
        </w:rPr>
        <w:t>C O N S I D E R A N D O</w:t>
      </w:r>
    </w:p>
    <w:p w14:paraId="125FA8C7" w14:textId="77777777" w:rsidR="00775416" w:rsidRPr="00CE3371" w:rsidRDefault="00775416" w:rsidP="00775416"/>
    <w:p w14:paraId="7ADA96FB" w14:textId="77777777" w:rsidR="0084780C" w:rsidRPr="00CE3371" w:rsidRDefault="0084780C" w:rsidP="0084780C"/>
    <w:p w14:paraId="2EDF2055" w14:textId="77777777" w:rsidR="0084780C" w:rsidRPr="00CE3371" w:rsidRDefault="0084780C" w:rsidP="0084780C">
      <w:pPr>
        <w:pStyle w:val="Ttulo2"/>
        <w:rPr>
          <w:rFonts w:ascii="Palatino Linotype" w:eastAsia="Palatino Linotype" w:hAnsi="Palatino Linotype"/>
          <w:b/>
          <w:bCs/>
          <w:color w:val="auto"/>
          <w:sz w:val="28"/>
          <w:szCs w:val="28"/>
        </w:rPr>
      </w:pPr>
      <w:r w:rsidRPr="00CE3371">
        <w:rPr>
          <w:rFonts w:ascii="Palatino Linotype" w:eastAsia="Palatino Linotype" w:hAnsi="Palatino Linotype"/>
          <w:b/>
          <w:bCs/>
          <w:color w:val="auto"/>
          <w:sz w:val="28"/>
          <w:szCs w:val="28"/>
        </w:rPr>
        <w:t>PRIMERO. De la competencia.</w:t>
      </w:r>
    </w:p>
    <w:p w14:paraId="40E82E2D" w14:textId="77777777" w:rsidR="0084780C" w:rsidRPr="00CE3371" w:rsidRDefault="0084780C" w:rsidP="0084780C">
      <w:pPr>
        <w:pBdr>
          <w:top w:val="nil"/>
          <w:left w:val="nil"/>
          <w:bottom w:val="nil"/>
          <w:right w:val="nil"/>
          <w:between w:val="nil"/>
        </w:pBdr>
        <w:contextualSpacing/>
        <w:rPr>
          <w:rFonts w:eastAsia="Palatino Linotype" w:cs="Palatino Linotype"/>
          <w:color w:val="000000"/>
          <w:szCs w:val="24"/>
        </w:rPr>
      </w:pPr>
      <w:r w:rsidRPr="00CE3371">
        <w:rPr>
          <w:rFonts w:eastAsia="Palatino Linotype" w:cs="Palatino Linotype"/>
          <w:color w:val="000000"/>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6405143" w14:textId="77777777" w:rsidR="0084780C" w:rsidRPr="00CE3371" w:rsidRDefault="0084780C" w:rsidP="0084780C">
      <w:pPr>
        <w:pBdr>
          <w:top w:val="nil"/>
          <w:left w:val="nil"/>
          <w:bottom w:val="nil"/>
          <w:right w:val="nil"/>
          <w:between w:val="nil"/>
        </w:pBdr>
        <w:contextualSpacing/>
        <w:rPr>
          <w:rFonts w:eastAsia="Palatino Linotype" w:cs="Palatino Linotype"/>
          <w:color w:val="000000"/>
          <w:szCs w:val="24"/>
        </w:rPr>
      </w:pPr>
    </w:p>
    <w:p w14:paraId="0C7A33CF" w14:textId="77777777" w:rsidR="0084780C" w:rsidRPr="00CE3371" w:rsidRDefault="0084780C" w:rsidP="0084780C">
      <w:pPr>
        <w:pStyle w:val="Ttulo2"/>
        <w:rPr>
          <w:rFonts w:ascii="Palatino Linotype" w:eastAsia="Palatino Linotype" w:hAnsi="Palatino Linotype"/>
          <w:b/>
          <w:bCs/>
          <w:color w:val="auto"/>
          <w:sz w:val="28"/>
          <w:szCs w:val="28"/>
        </w:rPr>
      </w:pPr>
      <w:r w:rsidRPr="00CE3371">
        <w:rPr>
          <w:rFonts w:ascii="Palatino Linotype" w:eastAsia="Palatino Linotype" w:hAnsi="Palatino Linotype"/>
          <w:b/>
          <w:bCs/>
          <w:color w:val="auto"/>
          <w:sz w:val="28"/>
          <w:szCs w:val="28"/>
        </w:rPr>
        <w:lastRenderedPageBreak/>
        <w:t xml:space="preserve">SEGUNDO. Sobre los alcances del recurso de revisión. </w:t>
      </w:r>
    </w:p>
    <w:p w14:paraId="47225614" w14:textId="77777777" w:rsidR="0084780C" w:rsidRPr="00CE3371" w:rsidRDefault="0084780C" w:rsidP="0084780C">
      <w:r w:rsidRPr="00CE3371">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B4D1ADB" w14:textId="77777777" w:rsidR="0084780C" w:rsidRPr="00CE3371" w:rsidRDefault="0084780C" w:rsidP="0084780C"/>
    <w:p w14:paraId="280BF204" w14:textId="77777777" w:rsidR="0084780C" w:rsidRPr="00CE3371" w:rsidRDefault="0084780C" w:rsidP="0084780C">
      <w:pPr>
        <w:autoSpaceDE w:val="0"/>
        <w:autoSpaceDN w:val="0"/>
        <w:adjustRightInd w:val="0"/>
        <w:spacing w:before="240" w:line="240" w:lineRule="auto"/>
        <w:rPr>
          <w:rFonts w:eastAsia="Times New Roman" w:cs="Arial"/>
          <w:b/>
          <w:szCs w:val="24"/>
          <w:lang w:val="es-ES" w:eastAsia="es-ES"/>
        </w:rPr>
      </w:pPr>
      <w:r w:rsidRPr="00CE3371">
        <w:rPr>
          <w:rFonts w:cs="Arial"/>
          <w:b/>
          <w:sz w:val="28"/>
        </w:rPr>
        <w:t xml:space="preserve">TERCERO. </w:t>
      </w:r>
      <w:r w:rsidRPr="00CE3371">
        <w:rPr>
          <w:rFonts w:eastAsia="Times New Roman" w:cs="Arial"/>
          <w:b/>
          <w:sz w:val="28"/>
          <w:szCs w:val="28"/>
          <w:lang w:val="es-ES" w:eastAsia="es-ES"/>
        </w:rPr>
        <w:t>Cuestiones de previo y especial pronunciamiento</w:t>
      </w:r>
    </w:p>
    <w:p w14:paraId="6D504E9B" w14:textId="77777777" w:rsidR="0084780C" w:rsidRPr="00CE3371" w:rsidRDefault="0084780C" w:rsidP="0084780C">
      <w:pPr>
        <w:autoSpaceDE w:val="0"/>
        <w:autoSpaceDN w:val="0"/>
        <w:adjustRightInd w:val="0"/>
        <w:spacing w:before="240"/>
        <w:rPr>
          <w:rFonts w:eastAsia="Times New Roman" w:cs="Times New Roman"/>
          <w:szCs w:val="24"/>
        </w:rPr>
      </w:pPr>
      <w:r w:rsidRPr="00CE3371">
        <w:rPr>
          <w:rFonts w:eastAsia="Times New Roman" w:cs="Times New Roman"/>
          <w:szCs w:val="24"/>
        </w:rPr>
        <w:t>El Recurso de Revisión en estudio contiene los elementos normativos de validez exigidos en la Ley de Transparencia y Acceso a la Información Pública del Estado de México y Municipios, establecidos en el artículo 180 que enuncia:</w:t>
      </w:r>
    </w:p>
    <w:p w14:paraId="3CE47144" w14:textId="77777777" w:rsidR="0084780C" w:rsidRPr="00CE3371" w:rsidRDefault="0084780C" w:rsidP="0084780C">
      <w:pPr>
        <w:autoSpaceDE w:val="0"/>
        <w:autoSpaceDN w:val="0"/>
        <w:adjustRightInd w:val="0"/>
        <w:spacing w:before="240"/>
        <w:ind w:left="360" w:firstLine="348"/>
        <w:rPr>
          <w:rFonts w:eastAsia="Times New Roman" w:cs="Times New Roman"/>
          <w:i/>
          <w:sz w:val="22"/>
        </w:rPr>
      </w:pPr>
      <w:r w:rsidRPr="00CE3371">
        <w:rPr>
          <w:rFonts w:eastAsia="Times New Roman" w:cs="Times New Roman"/>
          <w:i/>
          <w:sz w:val="22"/>
        </w:rPr>
        <w:t>“Artículo 180. El recurso de revisión contendrá:</w:t>
      </w:r>
    </w:p>
    <w:p w14:paraId="22DA1958" w14:textId="77777777" w:rsidR="0084780C" w:rsidRPr="00CE3371" w:rsidRDefault="0084780C" w:rsidP="0084780C">
      <w:pPr>
        <w:numPr>
          <w:ilvl w:val="0"/>
          <w:numId w:val="1"/>
        </w:numPr>
        <w:autoSpaceDE w:val="0"/>
        <w:autoSpaceDN w:val="0"/>
        <w:adjustRightInd w:val="0"/>
        <w:spacing w:before="240"/>
        <w:rPr>
          <w:rFonts w:eastAsia="Times New Roman" w:cs="Times New Roman"/>
          <w:i/>
          <w:sz w:val="22"/>
          <w:lang w:val="es-ES" w:eastAsia="es-ES"/>
        </w:rPr>
      </w:pPr>
      <w:r w:rsidRPr="00CE3371">
        <w:rPr>
          <w:rFonts w:eastAsia="Times New Roman" w:cs="Times New Roman"/>
          <w:i/>
          <w:sz w:val="22"/>
          <w:lang w:val="es-ES" w:eastAsia="es-ES"/>
        </w:rPr>
        <w:t>EL sujeto obligado ante la cual se presentó la solicitud;</w:t>
      </w:r>
    </w:p>
    <w:p w14:paraId="240AFE11" w14:textId="77777777" w:rsidR="0084780C" w:rsidRPr="00CE3371" w:rsidRDefault="0084780C" w:rsidP="0084780C">
      <w:pPr>
        <w:numPr>
          <w:ilvl w:val="0"/>
          <w:numId w:val="1"/>
        </w:numPr>
        <w:autoSpaceDE w:val="0"/>
        <w:autoSpaceDN w:val="0"/>
        <w:adjustRightInd w:val="0"/>
        <w:spacing w:before="240"/>
        <w:rPr>
          <w:rFonts w:eastAsia="Times New Roman" w:cs="Times New Roman"/>
          <w:i/>
          <w:sz w:val="22"/>
          <w:lang w:val="es-ES" w:eastAsia="es-ES"/>
        </w:rPr>
      </w:pPr>
      <w:r w:rsidRPr="00CE3371">
        <w:rPr>
          <w:rFonts w:eastAsia="Times New Roman" w:cs="Times New Roman"/>
          <w:i/>
          <w:sz w:val="22"/>
          <w:lang w:val="es-ES" w:eastAsia="es-ES"/>
        </w:rPr>
        <w:t>El nombre del solicitante que recurre o de su representante y, en su caso, del tercero interesado, así como la dirección o medio que señale para recibir notificaciones;</w:t>
      </w:r>
    </w:p>
    <w:p w14:paraId="54C19563" w14:textId="77777777" w:rsidR="0084780C" w:rsidRPr="00CE3371" w:rsidRDefault="0084780C" w:rsidP="0084780C">
      <w:pPr>
        <w:numPr>
          <w:ilvl w:val="0"/>
          <w:numId w:val="1"/>
        </w:numPr>
        <w:autoSpaceDE w:val="0"/>
        <w:autoSpaceDN w:val="0"/>
        <w:adjustRightInd w:val="0"/>
        <w:spacing w:before="240"/>
        <w:rPr>
          <w:rFonts w:eastAsia="Times New Roman" w:cs="Times New Roman"/>
          <w:i/>
          <w:sz w:val="22"/>
          <w:lang w:val="es-ES" w:eastAsia="es-ES"/>
        </w:rPr>
      </w:pPr>
      <w:r w:rsidRPr="00CE3371">
        <w:rPr>
          <w:rFonts w:eastAsia="Times New Roman" w:cs="Times New Roman"/>
          <w:i/>
          <w:sz w:val="22"/>
          <w:lang w:val="es-ES" w:eastAsia="es-ES"/>
        </w:rPr>
        <w:t>El número de folio de respuesta de la solicitud de acceso;</w:t>
      </w:r>
    </w:p>
    <w:p w14:paraId="218CCE2F" w14:textId="77777777" w:rsidR="0084780C" w:rsidRPr="00CE3371" w:rsidRDefault="0084780C" w:rsidP="0084780C">
      <w:pPr>
        <w:autoSpaceDE w:val="0"/>
        <w:autoSpaceDN w:val="0"/>
        <w:adjustRightInd w:val="0"/>
        <w:spacing w:before="240"/>
        <w:ind w:left="1080"/>
        <w:rPr>
          <w:rFonts w:eastAsia="Times New Roman" w:cs="Times New Roman"/>
          <w:i/>
          <w:sz w:val="22"/>
        </w:rPr>
      </w:pPr>
      <w:r w:rsidRPr="00CE3371">
        <w:rPr>
          <w:rFonts w:eastAsia="Times New Roman" w:cs="Times New Roman"/>
          <w:i/>
          <w:sz w:val="22"/>
        </w:rPr>
        <w:t>IV. La fecha en que fue notificada la respuesta al solicitante o tuvo conocimiento del acto reclamado, o de presentación de la solicitud, en caso de falta de respuesta;</w:t>
      </w:r>
    </w:p>
    <w:p w14:paraId="31CEA509" w14:textId="77777777" w:rsidR="0084780C" w:rsidRPr="00CE3371" w:rsidRDefault="0084780C" w:rsidP="0084780C">
      <w:pPr>
        <w:autoSpaceDE w:val="0"/>
        <w:autoSpaceDN w:val="0"/>
        <w:adjustRightInd w:val="0"/>
        <w:spacing w:before="240"/>
        <w:ind w:left="732" w:firstLine="348"/>
        <w:rPr>
          <w:rFonts w:eastAsia="Times New Roman" w:cs="Times New Roman"/>
          <w:i/>
          <w:sz w:val="22"/>
        </w:rPr>
      </w:pPr>
      <w:r w:rsidRPr="00CE3371">
        <w:rPr>
          <w:rFonts w:eastAsia="Times New Roman" w:cs="Times New Roman"/>
          <w:i/>
          <w:sz w:val="22"/>
        </w:rPr>
        <w:lastRenderedPageBreak/>
        <w:t>V. El acto que se recurre;</w:t>
      </w:r>
    </w:p>
    <w:p w14:paraId="5F9E1A71" w14:textId="77777777" w:rsidR="0084780C" w:rsidRPr="00CE3371" w:rsidRDefault="0084780C" w:rsidP="0084780C">
      <w:pPr>
        <w:autoSpaceDE w:val="0"/>
        <w:autoSpaceDN w:val="0"/>
        <w:adjustRightInd w:val="0"/>
        <w:spacing w:before="240"/>
        <w:ind w:left="732" w:firstLine="348"/>
        <w:rPr>
          <w:rFonts w:eastAsia="Times New Roman" w:cs="Times New Roman"/>
          <w:i/>
          <w:sz w:val="22"/>
        </w:rPr>
      </w:pPr>
      <w:r w:rsidRPr="00CE3371">
        <w:rPr>
          <w:rFonts w:eastAsia="Times New Roman" w:cs="Times New Roman"/>
          <w:i/>
          <w:sz w:val="22"/>
        </w:rPr>
        <w:t>VI. Las razones o motivos de inconformidad;</w:t>
      </w:r>
    </w:p>
    <w:p w14:paraId="4F694887" w14:textId="77777777" w:rsidR="0084780C" w:rsidRPr="00CE3371" w:rsidRDefault="0084780C" w:rsidP="0084780C">
      <w:pPr>
        <w:autoSpaceDE w:val="0"/>
        <w:autoSpaceDN w:val="0"/>
        <w:adjustRightInd w:val="0"/>
        <w:spacing w:before="240"/>
        <w:ind w:left="1080"/>
        <w:rPr>
          <w:rFonts w:eastAsia="Times New Roman" w:cs="Times New Roman"/>
          <w:i/>
          <w:sz w:val="22"/>
        </w:rPr>
      </w:pPr>
      <w:r w:rsidRPr="00CE3371">
        <w:rPr>
          <w:rFonts w:eastAsia="Times New Roman" w:cs="Times New Roman"/>
          <w:i/>
          <w:sz w:val="22"/>
        </w:rPr>
        <w:t>VII. La copia de la respuesta que se impugna y, en su caso, de la notificación correspondiente, en el caso de respuesta de la solicitud; y</w:t>
      </w:r>
    </w:p>
    <w:p w14:paraId="151036F7" w14:textId="77777777" w:rsidR="0084780C" w:rsidRPr="00CE3371" w:rsidRDefault="0084780C" w:rsidP="0084780C">
      <w:pPr>
        <w:autoSpaceDE w:val="0"/>
        <w:autoSpaceDN w:val="0"/>
        <w:adjustRightInd w:val="0"/>
        <w:spacing w:before="240"/>
        <w:ind w:left="732" w:firstLine="348"/>
        <w:rPr>
          <w:rFonts w:eastAsia="Times New Roman" w:cs="Times New Roman"/>
          <w:i/>
          <w:sz w:val="22"/>
        </w:rPr>
      </w:pPr>
      <w:r w:rsidRPr="00CE3371">
        <w:rPr>
          <w:rFonts w:eastAsia="Times New Roman" w:cs="Times New Roman"/>
          <w:i/>
          <w:sz w:val="22"/>
        </w:rPr>
        <w:t>VIII. Firma del recurrente, en su caso, cuando se presente por escrito, requisito sin el cual se dará trámite al recurso.</w:t>
      </w:r>
    </w:p>
    <w:p w14:paraId="2A1965FE" w14:textId="77777777" w:rsidR="0084780C" w:rsidRPr="00CE3371" w:rsidRDefault="0084780C" w:rsidP="0084780C">
      <w:pPr>
        <w:autoSpaceDE w:val="0"/>
        <w:autoSpaceDN w:val="0"/>
        <w:adjustRightInd w:val="0"/>
        <w:spacing w:before="240"/>
        <w:ind w:left="1080"/>
        <w:rPr>
          <w:rFonts w:eastAsia="Times New Roman" w:cs="Times New Roman"/>
          <w:i/>
          <w:sz w:val="22"/>
        </w:rPr>
      </w:pPr>
      <w:r w:rsidRPr="00CE3371">
        <w:rPr>
          <w:rFonts w:eastAsia="Times New Roman" w:cs="Times New Roman"/>
          <w:i/>
          <w:sz w:val="22"/>
        </w:rPr>
        <w:t>Adicionalmente, se podrán anexar las pruebas y demás elementos que considere procedentes someter a juicio del Instituto.</w:t>
      </w:r>
    </w:p>
    <w:p w14:paraId="2B6A86F5" w14:textId="77777777" w:rsidR="0084780C" w:rsidRPr="00CE3371" w:rsidRDefault="0084780C" w:rsidP="0084780C">
      <w:pPr>
        <w:autoSpaceDE w:val="0"/>
        <w:autoSpaceDN w:val="0"/>
        <w:adjustRightInd w:val="0"/>
        <w:spacing w:before="240"/>
        <w:ind w:left="732" w:firstLine="348"/>
        <w:rPr>
          <w:rFonts w:eastAsia="Times New Roman" w:cs="Times New Roman"/>
          <w:i/>
          <w:sz w:val="22"/>
        </w:rPr>
      </w:pPr>
      <w:r w:rsidRPr="00CE3371">
        <w:rPr>
          <w:rFonts w:eastAsia="Times New Roman" w:cs="Times New Roman"/>
          <w:i/>
          <w:sz w:val="22"/>
        </w:rPr>
        <w:t>En ningún caso será necesario que el particular ratifique el recurso de revisión interpuesto.</w:t>
      </w:r>
    </w:p>
    <w:p w14:paraId="30C83BFF" w14:textId="77777777" w:rsidR="0084780C" w:rsidRPr="00CE3371" w:rsidRDefault="0084780C" w:rsidP="0084780C">
      <w:pPr>
        <w:autoSpaceDE w:val="0"/>
        <w:autoSpaceDN w:val="0"/>
        <w:adjustRightInd w:val="0"/>
        <w:spacing w:before="240"/>
        <w:ind w:left="1080"/>
        <w:rPr>
          <w:rFonts w:eastAsia="Times New Roman" w:cs="Times New Roman"/>
          <w:b/>
          <w:i/>
          <w:sz w:val="22"/>
          <w:u w:val="single"/>
        </w:rPr>
      </w:pPr>
      <w:r w:rsidRPr="00CE3371">
        <w:rPr>
          <w:rFonts w:eastAsia="Times New Roman" w:cs="Times New Roman"/>
          <w:b/>
          <w:i/>
          <w:sz w:val="22"/>
          <w:u w:val="single"/>
        </w:rPr>
        <w:t>En caso de que el recurso se interponga de manera electrónica no será indispensable que contengan los requisitos establecidos en las fracciones II, IV, VII y VIII.” [Sic]</w:t>
      </w:r>
    </w:p>
    <w:p w14:paraId="0CB27B0F" w14:textId="77777777" w:rsidR="0084780C" w:rsidRPr="00CE3371" w:rsidRDefault="0084780C" w:rsidP="0084780C">
      <w:pPr>
        <w:autoSpaceDE w:val="0"/>
        <w:autoSpaceDN w:val="0"/>
        <w:adjustRightInd w:val="0"/>
        <w:spacing w:before="240"/>
        <w:ind w:left="1080"/>
        <w:rPr>
          <w:rFonts w:eastAsia="Times New Roman" w:cs="Times New Roman"/>
          <w:b/>
          <w:i/>
          <w:sz w:val="22"/>
          <w:u w:val="single"/>
        </w:rPr>
      </w:pPr>
    </w:p>
    <w:p w14:paraId="3627A4A0" w14:textId="77777777" w:rsidR="0084780C" w:rsidRPr="00CE3371" w:rsidRDefault="0084780C" w:rsidP="0084780C">
      <w:pPr>
        <w:rPr>
          <w:rFonts w:eastAsia="Times New Roman" w:cs="Arial"/>
          <w:szCs w:val="24"/>
          <w:lang w:val="es-ES" w:eastAsia="es-ES"/>
        </w:rPr>
      </w:pPr>
      <w:r w:rsidRPr="00CE3371">
        <w:rPr>
          <w:rFonts w:eastAsia="Times New Roman" w:cs="Segoe UI"/>
          <w:szCs w:val="24"/>
          <w:lang w:val="es-ES" w:eastAsia="es-ES"/>
        </w:rPr>
        <w:t xml:space="preserve">Cabe señalar que </w:t>
      </w:r>
      <w:r w:rsidRPr="00CE3371">
        <w:rPr>
          <w:rFonts w:eastAsia="Times New Roman" w:cs="Segoe UI"/>
          <w:b/>
          <w:szCs w:val="24"/>
          <w:lang w:val="es-ES" w:eastAsia="es-ES"/>
        </w:rPr>
        <w:t>El Recurrente</w:t>
      </w:r>
      <w:r w:rsidRPr="00CE3371">
        <w:rPr>
          <w:rFonts w:eastAsia="Times New Roman" w:cs="Segoe UI"/>
          <w:szCs w:val="24"/>
          <w:lang w:val="es-ES" w:eastAsia="es-ES"/>
        </w:rPr>
        <w:t xml:space="preserve"> ejerció </w:t>
      </w:r>
      <w:r w:rsidRPr="00CE3371">
        <w:rPr>
          <w:rFonts w:eastAsia="Times New Roman" w:cs="Segoe UI"/>
          <w:szCs w:val="24"/>
          <w:u w:val="single"/>
          <w:lang w:val="es-ES" w:eastAsia="es-ES"/>
        </w:rPr>
        <w:t>mediante su nombre, de haberlo realizado de manera anónima</w:t>
      </w:r>
      <w:r w:rsidRPr="00CE3371">
        <w:rPr>
          <w:rFonts w:eastAsia="Times New Roman" w:cs="Segoe UI"/>
          <w:szCs w:val="24"/>
          <w:lang w:val="es-ES" w:eastAsia="es-ES"/>
        </w:rPr>
        <w:t xml:space="preserve"> </w:t>
      </w:r>
      <w:r w:rsidRPr="00CE3371">
        <w:rPr>
          <w:rFonts w:eastAsia="Times New Roman" w:cs="Times New Roman"/>
          <w:szCs w:val="24"/>
          <w:lang w:val="es-ES" w:eastAsia="es-ES"/>
        </w:rPr>
        <w:t xml:space="preserve">no sería motivo para desechar las </w:t>
      </w:r>
      <w:r w:rsidRPr="00CE3371">
        <w:rPr>
          <w:rFonts w:eastAsia="Times New Roman" w:cs="Arial"/>
          <w:szCs w:val="24"/>
          <w:lang w:val="es-ES" w:eastAsia="es-ES"/>
        </w:rPr>
        <w:t>solicitudes de acceso a la información pública conforme a lo previsto en el artículo 155, penúltimo párrafo de la Ley de Transparencia y Acceso a la Información Pública del Estado de México y Municipios que señala lo siguiente:</w:t>
      </w:r>
    </w:p>
    <w:p w14:paraId="29E34E1E" w14:textId="77777777" w:rsidR="0084780C" w:rsidRPr="00CE3371" w:rsidRDefault="0084780C" w:rsidP="0084780C">
      <w:pPr>
        <w:spacing w:before="240"/>
        <w:ind w:left="851" w:right="851"/>
        <w:rPr>
          <w:rFonts w:eastAsia="Times New Roman" w:cs="Arial"/>
          <w:b/>
          <w:i/>
          <w:sz w:val="22"/>
          <w:lang w:val="es-ES" w:eastAsia="es-ES"/>
        </w:rPr>
      </w:pPr>
      <w:r w:rsidRPr="00CE3371">
        <w:rPr>
          <w:rFonts w:eastAsia="Times New Roman" w:cs="Arial"/>
          <w:i/>
          <w:sz w:val="22"/>
          <w:lang w:val="es-ES"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CE3371">
        <w:rPr>
          <w:rFonts w:eastAsia="Times New Roman" w:cs="Arial"/>
          <w:b/>
          <w:i/>
          <w:sz w:val="22"/>
          <w:lang w:val="es-ES" w:eastAsia="es-ES"/>
        </w:rPr>
        <w:t>[Sic]</w:t>
      </w:r>
    </w:p>
    <w:p w14:paraId="10388D06" w14:textId="77777777" w:rsidR="0084780C" w:rsidRPr="00CE3371" w:rsidRDefault="0084780C" w:rsidP="0084780C">
      <w:pPr>
        <w:spacing w:before="240"/>
        <w:ind w:left="851" w:right="851"/>
        <w:rPr>
          <w:rFonts w:eastAsia="Times New Roman" w:cs="Arial"/>
          <w:b/>
          <w:i/>
          <w:sz w:val="22"/>
          <w:lang w:val="es-ES" w:eastAsia="es-ES"/>
        </w:rPr>
      </w:pPr>
    </w:p>
    <w:p w14:paraId="6486D487" w14:textId="77777777" w:rsidR="0084780C" w:rsidRPr="00CE3371" w:rsidRDefault="0084780C" w:rsidP="0084780C">
      <w:pPr>
        <w:rPr>
          <w:rFonts w:eastAsia="Times New Roman" w:cs="Times New Roman"/>
          <w:szCs w:val="24"/>
          <w:lang w:val="es-ES" w:eastAsia="es-ES"/>
        </w:rPr>
      </w:pPr>
      <w:r w:rsidRPr="00CE3371">
        <w:rPr>
          <w:rFonts w:eastAsia="Times New Roman" w:cs="Times New Roman"/>
          <w:szCs w:val="24"/>
          <w:lang w:val="es-ES" w:eastAsia="es-ES"/>
        </w:rPr>
        <w:lastRenderedPageBreak/>
        <w:t xml:space="preserve">Robusteciendo lo anterior se encuentra lo dispuesto en el artículo 5 párrafos </w:t>
      </w:r>
      <w:r w:rsidRPr="00CE3371">
        <w:rPr>
          <w:rFonts w:eastAsia="Times New Roman" w:cs="Arial"/>
          <w:szCs w:val="24"/>
          <w:lang w:val="es-ES" w:eastAsia="es-ES"/>
        </w:rPr>
        <w:t>vigésimo, vigésimo primero</w:t>
      </w:r>
      <w:r w:rsidRPr="00CE3371">
        <w:rPr>
          <w:rFonts w:eastAsia="Times New Roman" w:cs="Arial"/>
          <w:szCs w:val="24"/>
          <w:lang w:eastAsia="es-ES"/>
        </w:rPr>
        <w:t xml:space="preserve"> y vigésimo segundo</w:t>
      </w:r>
      <w:r w:rsidRPr="00CE3371">
        <w:rPr>
          <w:rFonts w:eastAsia="Times New Roman" w:cs="Times New Roman"/>
          <w:szCs w:val="24"/>
          <w:lang w:val="es-ES" w:eastAsia="es-ES"/>
        </w:rPr>
        <w:t>, de la Constitución Política del Estado Libre y Soberano de México, se establece lo siguiente:</w:t>
      </w:r>
    </w:p>
    <w:p w14:paraId="23942579" w14:textId="77777777" w:rsidR="0084780C" w:rsidRPr="00CE3371" w:rsidRDefault="0084780C" w:rsidP="0084780C">
      <w:pPr>
        <w:spacing w:before="240"/>
        <w:ind w:left="851" w:right="851"/>
        <w:rPr>
          <w:rFonts w:eastAsia="Times New Roman" w:cs="Times New Roman"/>
          <w:b/>
          <w:i/>
          <w:sz w:val="22"/>
          <w:u w:val="single"/>
          <w:lang w:val="es-ES" w:eastAsia="es-ES"/>
        </w:rPr>
      </w:pPr>
      <w:r w:rsidRPr="00CE3371">
        <w:rPr>
          <w:rFonts w:eastAsia="Times New Roman" w:cs="Times New Roman"/>
          <w:b/>
          <w:i/>
          <w:sz w:val="22"/>
          <w:u w:val="single"/>
          <w:lang w:val="es-ES" w:eastAsia="es-ES"/>
        </w:rPr>
        <w:t>Constitución Política del Estado Libre y Soberano de México</w:t>
      </w:r>
    </w:p>
    <w:p w14:paraId="056E520D" w14:textId="77777777" w:rsidR="0084780C" w:rsidRPr="00CE3371" w:rsidRDefault="0084780C" w:rsidP="0084780C">
      <w:pPr>
        <w:spacing w:before="240"/>
        <w:ind w:left="851" w:right="851"/>
        <w:rPr>
          <w:rFonts w:eastAsia="Times New Roman" w:cs="Times New Roman"/>
          <w:i/>
          <w:sz w:val="22"/>
          <w:lang w:val="es-ES" w:eastAsia="es-ES"/>
        </w:rPr>
      </w:pPr>
      <w:r w:rsidRPr="00CE3371">
        <w:rPr>
          <w:rFonts w:eastAsia="Times New Roman" w:cs="Times New Roman"/>
          <w:i/>
          <w:sz w:val="22"/>
          <w:lang w:val="es-ES" w:eastAsia="es-ES"/>
        </w:rPr>
        <w:t>“</w:t>
      </w:r>
      <w:r w:rsidRPr="00CE3371">
        <w:rPr>
          <w:rFonts w:eastAsia="Times New Roman" w:cs="Times New Roman"/>
          <w:b/>
          <w:i/>
          <w:sz w:val="22"/>
          <w:lang w:val="es-ES" w:eastAsia="es-ES"/>
        </w:rPr>
        <w:t>Artículo 5</w:t>
      </w:r>
      <w:r w:rsidRPr="00CE3371">
        <w:rPr>
          <w:rFonts w:eastAsia="Times New Roman" w:cs="Times New Roman"/>
          <w:i/>
          <w:sz w:val="22"/>
          <w:lang w:val="es-ES"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44E6DF3" w14:textId="77777777" w:rsidR="0084780C" w:rsidRPr="00CE3371" w:rsidRDefault="0084780C" w:rsidP="0084780C">
      <w:pPr>
        <w:spacing w:before="240"/>
        <w:ind w:left="851" w:right="851"/>
        <w:rPr>
          <w:rFonts w:eastAsia="Times New Roman" w:cs="Times New Roman"/>
          <w:i/>
          <w:sz w:val="22"/>
          <w:lang w:val="es-ES" w:eastAsia="es-ES"/>
        </w:rPr>
      </w:pPr>
      <w:r w:rsidRPr="00CE3371">
        <w:rPr>
          <w:rFonts w:eastAsia="Times New Roman" w:cs="Times New Roman"/>
          <w:i/>
          <w:sz w:val="22"/>
          <w:lang w:val="es-ES" w:eastAsia="es-ES"/>
        </w:rPr>
        <w:t>(…)</w:t>
      </w:r>
    </w:p>
    <w:p w14:paraId="7FDCEA13" w14:textId="77777777" w:rsidR="0084780C" w:rsidRPr="00CE3371" w:rsidRDefault="0084780C" w:rsidP="0084780C">
      <w:pPr>
        <w:spacing w:before="240"/>
        <w:ind w:left="851" w:right="851"/>
        <w:rPr>
          <w:rFonts w:eastAsia="Times New Roman" w:cs="Times New Roman"/>
          <w:b/>
          <w:i/>
          <w:sz w:val="22"/>
          <w:lang w:val="es-ES" w:eastAsia="es-ES"/>
        </w:rPr>
      </w:pPr>
      <w:r w:rsidRPr="00CE3371">
        <w:rPr>
          <w:rFonts w:eastAsia="Times New Roman" w:cs="Times New Roman"/>
          <w:i/>
          <w:sz w:val="22"/>
          <w:lang w:val="es-ES" w:eastAsia="es-ES"/>
        </w:rPr>
        <w:t xml:space="preserve">transparencia, acceso a la información pública y a la protección de datos personales en posesión de los sujetos obligados en los términos que establezca la ley. (…)” </w:t>
      </w:r>
      <w:r w:rsidRPr="00CE3371">
        <w:rPr>
          <w:rFonts w:eastAsia="Times New Roman" w:cs="Times New Roman"/>
          <w:b/>
          <w:i/>
          <w:sz w:val="22"/>
          <w:lang w:val="es-ES" w:eastAsia="es-ES"/>
        </w:rPr>
        <w:t>[Sic]</w:t>
      </w:r>
    </w:p>
    <w:p w14:paraId="590CE332" w14:textId="77777777" w:rsidR="0084780C" w:rsidRPr="00CE3371" w:rsidRDefault="0084780C" w:rsidP="0084780C">
      <w:pPr>
        <w:autoSpaceDE w:val="0"/>
        <w:autoSpaceDN w:val="0"/>
        <w:adjustRightInd w:val="0"/>
        <w:spacing w:before="240"/>
        <w:rPr>
          <w:rFonts w:eastAsia="Times New Roman" w:cs="Arial"/>
          <w:szCs w:val="24"/>
          <w:lang w:val="es-ES"/>
        </w:rPr>
      </w:pPr>
      <w:r w:rsidRPr="00CE3371">
        <w:rPr>
          <w:rFonts w:eastAsia="Times New Roman" w:cs="Times New Roman"/>
          <w:szCs w:val="24"/>
          <w:lang w:val="es-ES"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CE3371">
        <w:rPr>
          <w:rFonts w:eastAsia="Times New Roman" w:cs="Times New Roman"/>
          <w:b/>
          <w:szCs w:val="24"/>
          <w:u w:val="single"/>
          <w:lang w:val="es-ES" w:eastAsia="es-ES"/>
        </w:rPr>
        <w:t>incluso, la solicitud de acceso a la información pueda ser anónima</w:t>
      </w:r>
      <w:r w:rsidRPr="00CE3371">
        <w:rPr>
          <w:rFonts w:eastAsia="Times New Roman" w:cs="Times New Roman"/>
          <w:szCs w:val="24"/>
          <w:lang w:val="es-ES" w:eastAsia="es-ES"/>
        </w:rPr>
        <w:t xml:space="preserve"> o no contener un nombre que identifique al solicitante o que permita tener certeza sobre su identidad. </w:t>
      </w:r>
      <w:r w:rsidRPr="00CE3371">
        <w:rPr>
          <w:rFonts w:eastAsia="Times New Roman" w:cs="Arial"/>
          <w:szCs w:val="24"/>
          <w:lang w:val="es-ES"/>
        </w:rPr>
        <w:t>En conclusión, se cubrieron los requisitos de procedencia y procedibilidad y conforme a las constancias que obran en el expediente.</w:t>
      </w:r>
    </w:p>
    <w:p w14:paraId="5E74DE96" w14:textId="77777777" w:rsidR="0084780C" w:rsidRPr="00CE3371" w:rsidRDefault="0084780C" w:rsidP="0084780C">
      <w:pPr>
        <w:pStyle w:val="Prrafodelista"/>
        <w:autoSpaceDE w:val="0"/>
        <w:autoSpaceDN w:val="0"/>
        <w:adjustRightInd w:val="0"/>
        <w:spacing w:before="240" w:after="160"/>
        <w:ind w:left="0"/>
        <w:rPr>
          <w:rFonts w:cs="Arial"/>
          <w:b/>
          <w:sz w:val="28"/>
        </w:rPr>
      </w:pPr>
      <w:r w:rsidRPr="00CE3371">
        <w:rPr>
          <w:rFonts w:cs="Arial"/>
          <w:b/>
          <w:sz w:val="28"/>
        </w:rPr>
        <w:lastRenderedPageBreak/>
        <w:t>CUARTO. De las causas de improcedencia.</w:t>
      </w:r>
    </w:p>
    <w:p w14:paraId="448C1023" w14:textId="77777777" w:rsidR="0084780C" w:rsidRPr="00CE3371" w:rsidRDefault="0084780C" w:rsidP="0084780C">
      <w:pPr>
        <w:pStyle w:val="Prrafodelista"/>
        <w:autoSpaceDE w:val="0"/>
        <w:autoSpaceDN w:val="0"/>
        <w:adjustRightInd w:val="0"/>
        <w:ind w:left="0"/>
        <w:rPr>
          <w:rFonts w:cs="Arial"/>
        </w:rPr>
      </w:pPr>
      <w:r w:rsidRPr="00CE3371">
        <w:rPr>
          <w:rFonts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4C53DAEB" w14:textId="77777777" w:rsidR="0084780C" w:rsidRPr="00CE3371" w:rsidRDefault="0084780C" w:rsidP="0084780C">
      <w:pPr>
        <w:pStyle w:val="Prrafodelista"/>
        <w:autoSpaceDE w:val="0"/>
        <w:autoSpaceDN w:val="0"/>
        <w:adjustRightInd w:val="0"/>
        <w:ind w:left="0"/>
        <w:rPr>
          <w:rFonts w:cs="Arial"/>
        </w:rPr>
      </w:pPr>
    </w:p>
    <w:p w14:paraId="480238CB" w14:textId="77777777" w:rsidR="0084780C" w:rsidRPr="00CE3371" w:rsidRDefault="0084780C" w:rsidP="0084780C">
      <w:pPr>
        <w:pStyle w:val="Prrafodelista"/>
        <w:autoSpaceDE w:val="0"/>
        <w:autoSpaceDN w:val="0"/>
        <w:adjustRightInd w:val="0"/>
        <w:ind w:left="0"/>
        <w:rPr>
          <w:rFonts w:cs="Arial"/>
        </w:rPr>
      </w:pPr>
      <w:r w:rsidRPr="00CE3371">
        <w:rPr>
          <w:rFonts w:cs="Arial"/>
        </w:rPr>
        <w:t>De lo anterior, 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CE3371">
        <w:rPr>
          <w:rStyle w:val="Refdenotaalpie"/>
          <w:rFonts w:cs="Arial"/>
        </w:rPr>
        <w:footnoteReference w:id="1"/>
      </w:r>
      <w:r w:rsidRPr="00CE3371">
        <w:rPr>
          <w:rFonts w:cs="Arial"/>
        </w:rPr>
        <w:t>.</w:t>
      </w:r>
    </w:p>
    <w:p w14:paraId="1849B245" w14:textId="77777777" w:rsidR="0084780C" w:rsidRPr="00CE3371" w:rsidRDefault="0084780C" w:rsidP="0084780C">
      <w:pPr>
        <w:pStyle w:val="Prrafodelista"/>
        <w:autoSpaceDE w:val="0"/>
        <w:autoSpaceDN w:val="0"/>
        <w:adjustRightInd w:val="0"/>
        <w:ind w:left="0"/>
        <w:rPr>
          <w:rFonts w:cs="Arial"/>
        </w:rPr>
      </w:pPr>
      <w:r w:rsidRPr="00CE3371">
        <w:rPr>
          <w:rFonts w:cs="Arial"/>
        </w:rPr>
        <w:lastRenderedPageBreak/>
        <w:t xml:space="preserve">Así las cosas, en la especie, no se actualiza ninguna causa de improcedencia de las referidas en el artículo 191 de la Ley de Transparencia y Acceso a la Información Pública del Estado de México y Municipios, encontrándose actualizados todos los supuestos procesales para atender el fondo del asunto, en los términos del considerando posterior. </w:t>
      </w:r>
    </w:p>
    <w:p w14:paraId="5E48B178" w14:textId="77777777" w:rsidR="0084780C" w:rsidRPr="00CE3371" w:rsidRDefault="0084780C" w:rsidP="0084780C">
      <w:pPr>
        <w:pStyle w:val="Prrafodelista"/>
        <w:autoSpaceDE w:val="0"/>
        <w:autoSpaceDN w:val="0"/>
        <w:adjustRightInd w:val="0"/>
        <w:ind w:left="0"/>
        <w:rPr>
          <w:rFonts w:cs="Arial"/>
        </w:rPr>
      </w:pPr>
    </w:p>
    <w:p w14:paraId="25CD2F79" w14:textId="77777777" w:rsidR="0084780C" w:rsidRPr="00CE3371" w:rsidRDefault="0084780C" w:rsidP="0084780C">
      <w:pPr>
        <w:pStyle w:val="Ttulo2"/>
        <w:rPr>
          <w:rFonts w:ascii="Palatino Linotype" w:eastAsia="Palatino Linotype" w:hAnsi="Palatino Linotype"/>
          <w:b/>
          <w:bCs/>
          <w:color w:val="auto"/>
          <w:sz w:val="28"/>
          <w:szCs w:val="28"/>
        </w:rPr>
      </w:pPr>
      <w:r w:rsidRPr="00CE3371">
        <w:rPr>
          <w:rFonts w:ascii="Palatino Linotype" w:eastAsia="Palatino Linotype" w:hAnsi="Palatino Linotype"/>
          <w:b/>
          <w:bCs/>
          <w:color w:val="auto"/>
          <w:sz w:val="28"/>
          <w:szCs w:val="28"/>
        </w:rPr>
        <w:t>QUINTO. Estudio y resolución del asunto.</w:t>
      </w:r>
    </w:p>
    <w:p w14:paraId="4BA2F77E" w14:textId="77777777" w:rsidR="0084780C" w:rsidRPr="00CE3371" w:rsidRDefault="0084780C" w:rsidP="0084780C">
      <w:pPr>
        <w:pBdr>
          <w:top w:val="nil"/>
          <w:left w:val="nil"/>
          <w:bottom w:val="nil"/>
          <w:right w:val="nil"/>
          <w:between w:val="nil"/>
        </w:pBdr>
        <w:contextualSpacing/>
        <w:rPr>
          <w:rFonts w:eastAsia="Palatino Linotype" w:cs="Palatino Linotype"/>
          <w:color w:val="000000"/>
          <w:szCs w:val="24"/>
        </w:rPr>
      </w:pPr>
      <w:r w:rsidRPr="00CE3371">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45FD8200" w14:textId="77777777" w:rsidR="0084780C" w:rsidRPr="00CE3371" w:rsidRDefault="0084780C" w:rsidP="0084780C">
      <w:pPr>
        <w:pBdr>
          <w:top w:val="nil"/>
          <w:left w:val="nil"/>
          <w:bottom w:val="nil"/>
          <w:right w:val="nil"/>
          <w:between w:val="nil"/>
        </w:pBdr>
        <w:contextualSpacing/>
        <w:rPr>
          <w:rFonts w:eastAsia="Palatino Linotype" w:cs="Palatino Linotype"/>
          <w:color w:val="000000"/>
          <w:szCs w:val="24"/>
        </w:rPr>
      </w:pPr>
    </w:p>
    <w:p w14:paraId="2971230D" w14:textId="77777777" w:rsidR="0084780C" w:rsidRPr="00CE3371" w:rsidRDefault="0084780C" w:rsidP="0084780C">
      <w:pPr>
        <w:pBdr>
          <w:top w:val="nil"/>
          <w:left w:val="nil"/>
          <w:bottom w:val="nil"/>
          <w:right w:val="nil"/>
          <w:between w:val="nil"/>
        </w:pBdr>
        <w:contextualSpacing/>
        <w:rPr>
          <w:rFonts w:eastAsia="Palatino Linotype" w:cs="Palatino Linotype"/>
          <w:color w:val="000000"/>
          <w:szCs w:val="24"/>
        </w:rPr>
      </w:pPr>
      <w:r w:rsidRPr="00CE3371">
        <w:rPr>
          <w:rFonts w:eastAsia="Palatino Linotype" w:cs="Palatino Linotype"/>
          <w:color w:val="000000"/>
          <w:szCs w:val="24"/>
        </w:rPr>
        <w:t>Por tanto, es conveniente recordar que el hoy Recurrente requirió del Sujeto Obligado, lo siguiente:</w:t>
      </w:r>
    </w:p>
    <w:p w14:paraId="745A7685" w14:textId="77777777" w:rsidR="00775416" w:rsidRPr="00CE3371" w:rsidRDefault="00775416" w:rsidP="0084780C">
      <w:pPr>
        <w:pStyle w:val="Prrafodelista"/>
        <w:numPr>
          <w:ilvl w:val="0"/>
          <w:numId w:val="7"/>
        </w:numPr>
        <w:pBdr>
          <w:top w:val="nil"/>
          <w:left w:val="nil"/>
          <w:bottom w:val="nil"/>
          <w:right w:val="nil"/>
          <w:between w:val="nil"/>
        </w:pBdr>
        <w:rPr>
          <w:rFonts w:eastAsia="Palatino Linotype" w:cs="Palatino Linotype"/>
          <w:color w:val="000000"/>
          <w:szCs w:val="24"/>
        </w:rPr>
      </w:pPr>
      <w:r w:rsidRPr="00CE3371">
        <w:rPr>
          <w:color w:val="000000"/>
          <w:szCs w:val="24"/>
        </w:rPr>
        <w:lastRenderedPageBreak/>
        <w:t>De los hechos ocurridos el día 1 de enero de 2025, cuando asesinaron a una familia, padre, madre e hijo, en la colonia bellavista municipi</w:t>
      </w:r>
      <w:r w:rsidR="002D0FA5" w:rsidRPr="00CE3371">
        <w:rPr>
          <w:color w:val="000000"/>
          <w:szCs w:val="24"/>
        </w:rPr>
        <w:t>o de Cuautitlan I</w:t>
      </w:r>
      <w:r w:rsidRPr="00CE3371">
        <w:rPr>
          <w:color w:val="000000"/>
          <w:szCs w:val="24"/>
        </w:rPr>
        <w:t xml:space="preserve">zcalli, Estado de México, lo siguientes; </w:t>
      </w:r>
    </w:p>
    <w:p w14:paraId="4D81D37D" w14:textId="77777777" w:rsidR="00775416" w:rsidRPr="00CE3371" w:rsidRDefault="00775416" w:rsidP="00775416">
      <w:pPr>
        <w:pStyle w:val="Prrafodelista"/>
        <w:numPr>
          <w:ilvl w:val="0"/>
          <w:numId w:val="8"/>
        </w:numPr>
        <w:pBdr>
          <w:top w:val="nil"/>
          <w:left w:val="nil"/>
          <w:bottom w:val="nil"/>
          <w:right w:val="nil"/>
          <w:between w:val="nil"/>
        </w:pBdr>
        <w:rPr>
          <w:rFonts w:eastAsia="Palatino Linotype" w:cs="Palatino Linotype"/>
          <w:color w:val="000000"/>
          <w:szCs w:val="24"/>
        </w:rPr>
      </w:pPr>
      <w:r w:rsidRPr="00CE3371">
        <w:rPr>
          <w:color w:val="000000"/>
          <w:szCs w:val="24"/>
        </w:rPr>
        <w:t xml:space="preserve">Si existen carpetas de investigación iniciadas, boletines oficiales emitidos, personas detenidas, audiencias celebradas o vinculaciones a proceso relacionadas con dichos hechos. </w:t>
      </w:r>
    </w:p>
    <w:p w14:paraId="089B2FF7" w14:textId="77777777" w:rsidR="00775416" w:rsidRPr="00CE3371" w:rsidRDefault="00775416" w:rsidP="00775416">
      <w:pPr>
        <w:pStyle w:val="Prrafodelista"/>
        <w:numPr>
          <w:ilvl w:val="0"/>
          <w:numId w:val="8"/>
        </w:numPr>
        <w:pBdr>
          <w:top w:val="nil"/>
          <w:left w:val="nil"/>
          <w:bottom w:val="nil"/>
          <w:right w:val="nil"/>
          <w:between w:val="nil"/>
        </w:pBdr>
        <w:rPr>
          <w:rFonts w:eastAsia="Palatino Linotype" w:cs="Palatino Linotype"/>
          <w:color w:val="000000"/>
          <w:szCs w:val="24"/>
        </w:rPr>
      </w:pPr>
      <w:r w:rsidRPr="00CE3371">
        <w:rPr>
          <w:color w:val="000000"/>
          <w:szCs w:val="24"/>
        </w:rPr>
        <w:t>Que se indique la autoridad competente que conoce del caso y el estatus actual del mismo.</w:t>
      </w:r>
    </w:p>
    <w:p w14:paraId="448BCA22" w14:textId="77777777" w:rsidR="00775416" w:rsidRPr="00CE3371" w:rsidRDefault="00775416" w:rsidP="0084780C">
      <w:pPr>
        <w:pBdr>
          <w:top w:val="nil"/>
          <w:left w:val="nil"/>
          <w:bottom w:val="nil"/>
          <w:right w:val="nil"/>
          <w:between w:val="nil"/>
        </w:pBdr>
        <w:rPr>
          <w:rFonts w:eastAsia="Palatino Linotype" w:cs="Palatino Linotype"/>
          <w:color w:val="000000"/>
          <w:szCs w:val="24"/>
        </w:rPr>
      </w:pPr>
    </w:p>
    <w:p w14:paraId="41D6450E" w14:textId="77777777" w:rsidR="00775416" w:rsidRPr="00CE3371" w:rsidRDefault="0084780C" w:rsidP="0084780C">
      <w:pPr>
        <w:pBdr>
          <w:top w:val="nil"/>
          <w:left w:val="nil"/>
          <w:bottom w:val="nil"/>
          <w:right w:val="nil"/>
          <w:between w:val="nil"/>
        </w:pBdr>
        <w:contextualSpacing/>
      </w:pPr>
      <w:r w:rsidRPr="00CE3371">
        <w:rPr>
          <w:rFonts w:eastAsia="Palatino Linotype" w:cs="Palatino Linotype"/>
          <w:color w:val="000000"/>
          <w:szCs w:val="24"/>
        </w:rPr>
        <w:t>Por lo que atento a la solicitud de información el Sujeto Obligado</w:t>
      </w:r>
      <w:r w:rsidRPr="00CE3371">
        <w:t xml:space="preserve"> emitió su respuesta en los términos siguientes; </w:t>
      </w:r>
    </w:p>
    <w:p w14:paraId="54240798" w14:textId="77777777" w:rsidR="00775416" w:rsidRPr="00CE3371" w:rsidRDefault="00775416" w:rsidP="00775416">
      <w:pPr>
        <w:pStyle w:val="Prrafodelista"/>
        <w:numPr>
          <w:ilvl w:val="0"/>
          <w:numId w:val="6"/>
        </w:numPr>
        <w:pBdr>
          <w:top w:val="nil"/>
          <w:left w:val="nil"/>
          <w:bottom w:val="nil"/>
          <w:right w:val="nil"/>
          <w:between w:val="nil"/>
        </w:pBdr>
        <w:rPr>
          <w:rFonts w:eastAsia="Palatino Linotype" w:cs="Palatino Linotype"/>
          <w:color w:val="000000"/>
          <w:szCs w:val="24"/>
        </w:rPr>
      </w:pPr>
      <w:r w:rsidRPr="00CE3371">
        <w:rPr>
          <w:rFonts w:cs="Arial"/>
          <w:b/>
          <w:bCs/>
          <w:szCs w:val="24"/>
        </w:rPr>
        <w:t>Respuesta 00008_2025_01_24_19_38_57_020.pdf:</w:t>
      </w:r>
      <w:r w:rsidRPr="00CE3371">
        <w:rPr>
          <w:rFonts w:cs="Arial"/>
          <w:bCs/>
          <w:szCs w:val="24"/>
        </w:rPr>
        <w:t xml:space="preserve">Soporte documental que consta de una foja en formato PDF por medio del cual la Dirección General de Tecnología de la Información y Comunicaciones manifestó que los datos proporcionados son insuficientes para realizar la búsqueda especifica en los sistemas de carpetas de investigación. </w:t>
      </w:r>
    </w:p>
    <w:p w14:paraId="05444670" w14:textId="77777777" w:rsidR="007E4268" w:rsidRPr="00CE3371" w:rsidRDefault="007E4268" w:rsidP="007E4268">
      <w:pPr>
        <w:pStyle w:val="Prrafodelista"/>
        <w:pBdr>
          <w:top w:val="nil"/>
          <w:left w:val="nil"/>
          <w:bottom w:val="nil"/>
          <w:right w:val="nil"/>
          <w:between w:val="nil"/>
        </w:pBdr>
        <w:rPr>
          <w:rFonts w:eastAsia="Palatino Linotype" w:cs="Palatino Linotype"/>
          <w:color w:val="000000"/>
          <w:szCs w:val="24"/>
        </w:rPr>
      </w:pPr>
    </w:p>
    <w:p w14:paraId="274EDF9A" w14:textId="77777777" w:rsidR="00775416" w:rsidRPr="00CE3371" w:rsidRDefault="00775416" w:rsidP="00775416">
      <w:pPr>
        <w:pStyle w:val="Prrafodelista"/>
        <w:pBdr>
          <w:top w:val="nil"/>
          <w:left w:val="nil"/>
          <w:bottom w:val="nil"/>
          <w:right w:val="nil"/>
          <w:between w:val="nil"/>
        </w:pBdr>
        <w:rPr>
          <w:rFonts w:eastAsia="Palatino Linotype" w:cs="Palatino Linotype"/>
          <w:color w:val="000000"/>
          <w:szCs w:val="24"/>
        </w:rPr>
      </w:pPr>
      <w:r w:rsidRPr="00CE3371">
        <w:rPr>
          <w:rFonts w:cs="Arial"/>
          <w:bCs/>
          <w:szCs w:val="24"/>
        </w:rPr>
        <w:t xml:space="preserve">Por lo que el Sujeto Obligado manifiesta que en caso de contar con mayores datos que permitan identificar el asunto de interés de investigación, informa que la Dirección se encuentra imposibilitada para pronunciarse respecto la existencia o no de carpetas de investigación </w:t>
      </w:r>
    </w:p>
    <w:p w14:paraId="17E4D12B" w14:textId="77777777" w:rsidR="00775416" w:rsidRPr="00CE3371" w:rsidRDefault="00775416" w:rsidP="0084780C">
      <w:pPr>
        <w:pBdr>
          <w:top w:val="nil"/>
          <w:left w:val="nil"/>
          <w:bottom w:val="nil"/>
          <w:right w:val="nil"/>
          <w:between w:val="nil"/>
        </w:pBdr>
        <w:contextualSpacing/>
        <w:rPr>
          <w:rFonts w:eastAsia="Palatino Linotype" w:cs="Palatino Linotype"/>
          <w:color w:val="000000"/>
          <w:szCs w:val="24"/>
        </w:rPr>
      </w:pPr>
    </w:p>
    <w:p w14:paraId="40391744" w14:textId="77777777" w:rsidR="00004363" w:rsidRPr="00CE3371" w:rsidRDefault="0084780C" w:rsidP="0084780C">
      <w:pPr>
        <w:pBdr>
          <w:top w:val="nil"/>
          <w:left w:val="nil"/>
          <w:bottom w:val="nil"/>
          <w:right w:val="nil"/>
          <w:between w:val="nil"/>
        </w:pBdr>
        <w:contextualSpacing/>
        <w:rPr>
          <w:i/>
          <w:color w:val="000000"/>
          <w:sz w:val="22"/>
        </w:rPr>
      </w:pPr>
      <w:r w:rsidRPr="00CE3371">
        <w:rPr>
          <w:rFonts w:eastAsia="Palatino Linotype" w:cs="Palatino Linotype"/>
          <w:color w:val="000000"/>
          <w:szCs w:val="24"/>
        </w:rPr>
        <w:t xml:space="preserve">Ante la respuesta emitida por el Sujeto Obligado, el Recurrente consideró que su derecho a la información pública había sido conculcado, por lo que interpuso el recurso de </w:t>
      </w:r>
      <w:r w:rsidRPr="00CE3371">
        <w:rPr>
          <w:rFonts w:eastAsia="Palatino Linotype" w:cs="Palatino Linotype"/>
          <w:color w:val="000000"/>
          <w:szCs w:val="24"/>
        </w:rPr>
        <w:lastRenderedPageBreak/>
        <w:t>revisión al rubro citado, señalando como acto impugnado</w:t>
      </w:r>
      <w:r w:rsidRPr="00CE3371">
        <w:rPr>
          <w:color w:val="000000"/>
          <w:szCs w:val="24"/>
        </w:rPr>
        <w:t xml:space="preserve"> </w:t>
      </w:r>
      <w:r w:rsidRPr="00CE3371">
        <w:rPr>
          <w:i/>
          <w:color w:val="000000"/>
          <w:szCs w:val="24"/>
        </w:rPr>
        <w:t>“</w:t>
      </w:r>
      <w:r w:rsidR="006928A8" w:rsidRPr="00CE3371">
        <w:rPr>
          <w:i/>
          <w:color w:val="000000"/>
          <w:szCs w:val="24"/>
        </w:rPr>
        <w:t>La respuesta emitida por la Fiscalía General de Justicia del Estado de México mediante la cual negó la información solicitada, invocando el artículo 12 y el artículo 143 fracción I de la Ley de Transparencia, argumentando la protección de datos personales y la no obligación de generar información</w:t>
      </w:r>
      <w:r w:rsidRPr="00CE3371">
        <w:rPr>
          <w:i/>
          <w:color w:val="000000"/>
          <w:szCs w:val="24"/>
        </w:rPr>
        <w:t>.</w:t>
      </w:r>
      <w:r w:rsidRPr="00CE3371">
        <w:rPr>
          <w:i/>
          <w:iCs/>
          <w:color w:val="000000"/>
          <w:szCs w:val="24"/>
        </w:rPr>
        <w:t xml:space="preserve">” </w:t>
      </w:r>
      <w:r w:rsidRPr="00CE3371">
        <w:rPr>
          <w:iCs/>
          <w:color w:val="000000"/>
          <w:szCs w:val="24"/>
        </w:rPr>
        <w:t xml:space="preserve"> Y como razones o motivos de inconformidad </w:t>
      </w:r>
      <w:r w:rsidRPr="00CE3371">
        <w:rPr>
          <w:i/>
          <w:iCs/>
          <w:color w:val="000000"/>
          <w:sz w:val="22"/>
        </w:rPr>
        <w:t>“</w:t>
      </w:r>
      <w:r w:rsidR="006928A8" w:rsidRPr="00CE3371">
        <w:rPr>
          <w:i/>
          <w:color w:val="000000"/>
          <w:szCs w:val="24"/>
        </w:rPr>
        <w:t xml:space="preserve">La respuesta emitida por la Fiscalía General de Justicia del Estado de México vulnera mi derecho de acceso a la información, ya que la autoridad fundamenta su negativa en el artículo 143 fracción 1 de la Ley de Transparencia у Acceso a la Información Pública del Estado de México y Municipios, relativo a la protección de datos personales. Sin embargo, en ningún momento solicité datos personales de víctimas o imputados, sino información de carácter público y estadístico, como: • </w:t>
      </w:r>
      <w:r w:rsidR="006928A8" w:rsidRPr="00CE3371">
        <w:rPr>
          <w:i/>
          <w:color w:val="000000"/>
          <w:szCs w:val="24"/>
          <w:u w:val="single"/>
        </w:rPr>
        <w:t>Existencia de carpetas de investigación</w:t>
      </w:r>
      <w:r w:rsidR="006928A8" w:rsidRPr="00CE3371">
        <w:rPr>
          <w:i/>
          <w:color w:val="000000"/>
          <w:szCs w:val="24"/>
        </w:rPr>
        <w:t xml:space="preserve"> • </w:t>
      </w:r>
      <w:r w:rsidR="006928A8" w:rsidRPr="00CE3371">
        <w:rPr>
          <w:b/>
          <w:i/>
          <w:color w:val="000000"/>
          <w:szCs w:val="24"/>
        </w:rPr>
        <w:t xml:space="preserve">Número de personas detenidas • Número de personas vinculadas a proceso </w:t>
      </w:r>
      <w:r w:rsidR="006928A8" w:rsidRPr="00CE3371">
        <w:rPr>
          <w:i/>
          <w:color w:val="000000"/>
          <w:szCs w:val="24"/>
        </w:rPr>
        <w:t xml:space="preserve">• </w:t>
      </w:r>
      <w:r w:rsidR="006928A8" w:rsidRPr="00CE3371">
        <w:rPr>
          <w:b/>
          <w:i/>
          <w:color w:val="000000"/>
          <w:szCs w:val="24"/>
        </w:rPr>
        <w:t>Estatus procesal general</w:t>
      </w:r>
      <w:r w:rsidR="006928A8" w:rsidRPr="00CE3371">
        <w:rPr>
          <w:i/>
          <w:color w:val="000000"/>
          <w:szCs w:val="24"/>
        </w:rPr>
        <w:t xml:space="preserve"> • </w:t>
      </w:r>
      <w:r w:rsidR="006928A8" w:rsidRPr="00CE3371">
        <w:rPr>
          <w:i/>
          <w:color w:val="000000"/>
          <w:szCs w:val="24"/>
          <w:u w:val="single"/>
        </w:rPr>
        <w:t>Existencia de boletines oficiales</w:t>
      </w:r>
      <w:r w:rsidR="006928A8" w:rsidRPr="00CE3371">
        <w:rPr>
          <w:i/>
          <w:color w:val="000000"/>
          <w:szCs w:val="24"/>
        </w:rPr>
        <w:t xml:space="preserve"> La autoridad confunde información confidencial con información pública susceptible de entregarse en versión pública o de forma estadística. Asimismo, la autoridad invoca el artículo 12 de la Ley para señalar que no está obligada a generar información; no obstante, lo solicitado no implica la generación de información nueva, sino la entrega de datos que obran en sus sistemas institucionales. Adicionalmente, la autoridad no acredita: • La existencia de un acuerdo de clasificación de información como reservada. • La aplicación de la prueba de daño correspondiente. • Que la entrega de información estadística afecte una investigación en curso. En términos del principio de máxima publicidad previsto en el artículo 6º Constitucional y en la Ley de Transparencia, la autoridad debió privilegiar la entrega de información en versión pública o estadística. Por lo anterior, solicito se revoque la respuesta impugnada у se ordene a la autoridad realizar una nueva búsqueda exhaustiva y emitir respuesta debidamente fundada y motivada</w:t>
      </w:r>
      <w:r w:rsidRPr="00CE3371">
        <w:rPr>
          <w:i/>
          <w:color w:val="000000"/>
          <w:szCs w:val="24"/>
        </w:rPr>
        <w:t xml:space="preserve">.”, </w:t>
      </w:r>
      <w:r w:rsidRPr="00CE3371">
        <w:rPr>
          <w:color w:val="000000"/>
          <w:szCs w:val="24"/>
        </w:rPr>
        <w:t xml:space="preserve"> en este sentido la Recurrente considero que el Sujeto Obligado no le dio cuenta de</w:t>
      </w:r>
      <w:r w:rsidR="007E4268" w:rsidRPr="00CE3371">
        <w:rPr>
          <w:color w:val="000000"/>
          <w:szCs w:val="24"/>
        </w:rPr>
        <w:t xml:space="preserve"> lo requerido</w:t>
      </w:r>
      <w:r w:rsidR="006928A8" w:rsidRPr="00CE3371">
        <w:rPr>
          <w:color w:val="000000"/>
          <w:szCs w:val="24"/>
        </w:rPr>
        <w:t xml:space="preserve">. </w:t>
      </w:r>
    </w:p>
    <w:p w14:paraId="693E71D4" w14:textId="77777777" w:rsidR="0084780C" w:rsidRPr="00CE3371" w:rsidRDefault="0084780C" w:rsidP="0084780C">
      <w:pPr>
        <w:pBdr>
          <w:top w:val="nil"/>
          <w:left w:val="nil"/>
          <w:bottom w:val="nil"/>
          <w:right w:val="nil"/>
          <w:between w:val="nil"/>
        </w:pBdr>
        <w:rPr>
          <w:rFonts w:eastAsia="Palatino Linotype" w:cs="Palatino Linotype"/>
          <w:szCs w:val="24"/>
        </w:rPr>
      </w:pPr>
      <w:r w:rsidRPr="00CE3371">
        <w:rPr>
          <w:rFonts w:eastAsia="Palatino Linotype" w:cs="Palatino Linotype"/>
          <w:szCs w:val="24"/>
        </w:rPr>
        <w:lastRenderedPageBreak/>
        <w:t xml:space="preserve">Sin que pase por desapercibido por este Instituto que en harás de garantizar el derecho al acceso a la información pública del Recurrente el Sujeto Obligado emitió su informe justificado </w:t>
      </w:r>
      <w:r w:rsidR="00B24BDB" w:rsidRPr="00CE3371">
        <w:rPr>
          <w:rFonts w:eastAsia="Palatino Linotype" w:cs="Palatino Linotype"/>
          <w:szCs w:val="24"/>
        </w:rPr>
        <w:t xml:space="preserve">mediante el cual </w:t>
      </w:r>
      <w:r w:rsidR="00A5078B" w:rsidRPr="00CE3371">
        <w:rPr>
          <w:rFonts w:eastAsia="Palatino Linotype" w:cs="Palatino Linotype"/>
          <w:szCs w:val="24"/>
        </w:rPr>
        <w:t xml:space="preserve">manifiesta que </w:t>
      </w:r>
      <w:r w:rsidR="00A5078B" w:rsidRPr="00CE3371">
        <w:rPr>
          <w:rFonts w:eastAsia="Palatino Linotype" w:cs="Palatino Linotype"/>
          <w:b/>
          <w:szCs w:val="24"/>
        </w:rPr>
        <w:t xml:space="preserve">respecto la información solicitada con los datos proporcionados no fue localizada en los sistemas de carpetas </w:t>
      </w:r>
      <w:r w:rsidR="00261EF2" w:rsidRPr="00CE3371">
        <w:rPr>
          <w:rFonts w:eastAsia="Palatino Linotype" w:cs="Palatino Linotype"/>
          <w:b/>
          <w:szCs w:val="24"/>
        </w:rPr>
        <w:t>d</w:t>
      </w:r>
      <w:r w:rsidR="00A5078B" w:rsidRPr="00CE3371">
        <w:rPr>
          <w:rFonts w:eastAsia="Palatino Linotype" w:cs="Palatino Linotype"/>
          <w:b/>
          <w:szCs w:val="24"/>
        </w:rPr>
        <w:t>e investigación.</w:t>
      </w:r>
      <w:r w:rsidR="00B24BDB" w:rsidRPr="00CE3371">
        <w:rPr>
          <w:rFonts w:eastAsia="Palatino Linotype" w:cs="Palatino Linotype"/>
          <w:szCs w:val="24"/>
        </w:rPr>
        <w:t xml:space="preserve"> </w:t>
      </w:r>
      <w:r w:rsidRPr="00CE3371">
        <w:rPr>
          <w:rFonts w:eastAsia="Palatino Linotype" w:cs="Palatino Linotype"/>
          <w:szCs w:val="24"/>
        </w:rPr>
        <w:t xml:space="preserve"> </w:t>
      </w:r>
    </w:p>
    <w:p w14:paraId="1BA1C1F6" w14:textId="77777777" w:rsidR="00B24BDB" w:rsidRPr="00CE3371" w:rsidRDefault="00B24BDB" w:rsidP="0084780C">
      <w:pPr>
        <w:tabs>
          <w:tab w:val="left" w:pos="709"/>
        </w:tabs>
        <w:contextualSpacing/>
        <w:rPr>
          <w:rFonts w:eastAsia="Times New Roman" w:cs="Arial"/>
        </w:rPr>
      </w:pPr>
    </w:p>
    <w:p w14:paraId="279ABC15" w14:textId="77777777" w:rsidR="0084780C" w:rsidRPr="00CE3371" w:rsidRDefault="0084780C" w:rsidP="0084780C">
      <w:pPr>
        <w:tabs>
          <w:tab w:val="left" w:pos="709"/>
        </w:tabs>
        <w:contextualSpacing/>
        <w:rPr>
          <w:rFonts w:eastAsia="Times New Roman" w:cs="Arial"/>
        </w:rPr>
      </w:pPr>
      <w:r w:rsidRPr="00CE3371">
        <w:rPr>
          <w:rFonts w:eastAsia="Times New Roman" w:cs="Arial"/>
        </w:rPr>
        <w:t xml:space="preserve">En esta misma tesitura, el derecho de acceso a la información pública, consiste en que la información solicitada conste en un soporte documental en cualquiera de sus formas, a saber: </w:t>
      </w:r>
      <w:r w:rsidRPr="00CE3371">
        <w:rPr>
          <w:rFonts w:eastAsia="Times New Roman"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CE3371">
        <w:rPr>
          <w:rFonts w:eastAsia="Times New Roman"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762E3091" w14:textId="77777777" w:rsidR="0084780C" w:rsidRPr="00CE3371" w:rsidRDefault="0084780C" w:rsidP="0084780C">
      <w:pPr>
        <w:ind w:left="567" w:right="616"/>
        <w:rPr>
          <w:rFonts w:eastAsia="Times New Roman" w:cs="Arial"/>
          <w:i/>
          <w:sz w:val="22"/>
        </w:rPr>
      </w:pPr>
      <w:r w:rsidRPr="00CE3371">
        <w:rPr>
          <w:rFonts w:eastAsia="Times New Roman" w:cs="Arial"/>
          <w:i/>
          <w:sz w:val="22"/>
        </w:rPr>
        <w:t>“</w:t>
      </w:r>
      <w:r w:rsidRPr="00CE3371">
        <w:rPr>
          <w:rFonts w:eastAsia="Times New Roman" w:cs="Arial"/>
          <w:b/>
          <w:i/>
          <w:sz w:val="22"/>
        </w:rPr>
        <w:t xml:space="preserve">Artículo 3. </w:t>
      </w:r>
      <w:r w:rsidRPr="00CE3371">
        <w:rPr>
          <w:rFonts w:eastAsia="Times New Roman" w:cs="Arial"/>
          <w:i/>
          <w:sz w:val="22"/>
        </w:rPr>
        <w:t>Para los efectos de la presente Ley se entenderá por:</w:t>
      </w:r>
    </w:p>
    <w:p w14:paraId="650A1AB1" w14:textId="77777777" w:rsidR="0084780C" w:rsidRPr="00CE3371" w:rsidRDefault="0084780C" w:rsidP="0084780C">
      <w:pPr>
        <w:ind w:left="567" w:right="616"/>
        <w:rPr>
          <w:rFonts w:eastAsia="Times New Roman" w:cs="Arial"/>
          <w:i/>
          <w:sz w:val="22"/>
        </w:rPr>
      </w:pPr>
      <w:r w:rsidRPr="00CE3371">
        <w:rPr>
          <w:rFonts w:eastAsia="Times New Roman" w:cs="Arial"/>
          <w:i/>
          <w:sz w:val="22"/>
        </w:rPr>
        <w:t>(…)</w:t>
      </w:r>
    </w:p>
    <w:p w14:paraId="4FAEE76B" w14:textId="77777777" w:rsidR="0084780C" w:rsidRPr="00CE3371" w:rsidRDefault="0084780C" w:rsidP="0084780C">
      <w:pPr>
        <w:ind w:left="567" w:right="616"/>
        <w:rPr>
          <w:rFonts w:eastAsia="Times New Roman" w:cs="Arial"/>
          <w:i/>
          <w:sz w:val="22"/>
        </w:rPr>
      </w:pPr>
      <w:r w:rsidRPr="00CE3371">
        <w:rPr>
          <w:rFonts w:eastAsia="Times New Roman" w:cs="Arial"/>
          <w:b/>
          <w:i/>
          <w:sz w:val="22"/>
        </w:rPr>
        <w:t>XI. Documento:</w:t>
      </w:r>
      <w:r w:rsidRPr="00CE3371">
        <w:rPr>
          <w:rFonts w:eastAsia="Times New Roman" w:cs="Arial"/>
          <w:i/>
          <w:sz w:val="22"/>
        </w:rPr>
        <w:t xml:space="preserve"> Los expedientes, reportes, estudios, actas, resoluciones, oficios, correspondencia, acuerdos, directivas, directrices, circulares, contratos, convenios, instructivos, notas, memorandos, estadísticas o bien, cualquier otro </w:t>
      </w:r>
      <w:r w:rsidRPr="00CE3371">
        <w:rPr>
          <w:rFonts w:eastAsia="Times New Roman" w:cs="Arial"/>
          <w:b/>
          <w:i/>
          <w:sz w:val="22"/>
          <w:u w:val="single"/>
        </w:rPr>
        <w:t>registro que documente el ejercicio de las facultades, funciones y competencias de los sujetos obligados</w:t>
      </w:r>
      <w:r w:rsidRPr="00CE3371">
        <w:rPr>
          <w:rFonts w:eastAsia="Times New Roman" w:cs="Arial"/>
          <w:i/>
          <w:sz w:val="22"/>
          <w:u w:val="single"/>
        </w:rPr>
        <w:t>,</w:t>
      </w:r>
      <w:r w:rsidRPr="00CE3371">
        <w:rPr>
          <w:rFonts w:eastAsia="Times New Roman" w:cs="Arial"/>
          <w:i/>
          <w:sz w:val="22"/>
        </w:rPr>
        <w:t xml:space="preserve"> sus servidores públicos e integrantes, </w:t>
      </w:r>
      <w:r w:rsidRPr="00CE3371">
        <w:rPr>
          <w:rFonts w:eastAsia="Times New Roman" w:cs="Arial"/>
          <w:b/>
          <w:i/>
          <w:sz w:val="22"/>
          <w:u w:val="single"/>
        </w:rPr>
        <w:t>sin importar su fuente o fecha de elaboración.</w:t>
      </w:r>
      <w:r w:rsidRPr="00CE3371">
        <w:rPr>
          <w:rFonts w:eastAsia="Times New Roman" w:cs="Arial"/>
          <w:i/>
          <w:sz w:val="22"/>
        </w:rPr>
        <w:t xml:space="preserve"> Los documentos podrán estar en cualquier medio, sea escrito, impreso, sonoro, visual, electrónico, informático u holográfico;</w:t>
      </w:r>
    </w:p>
    <w:p w14:paraId="03F0DC07" w14:textId="77777777" w:rsidR="0084780C" w:rsidRPr="00CE3371" w:rsidRDefault="0084780C" w:rsidP="0084780C">
      <w:pPr>
        <w:ind w:left="567" w:right="616"/>
        <w:rPr>
          <w:rFonts w:eastAsia="Times New Roman" w:cs="Arial"/>
          <w:i/>
          <w:sz w:val="22"/>
        </w:rPr>
      </w:pPr>
      <w:r w:rsidRPr="00CE3371">
        <w:rPr>
          <w:rFonts w:eastAsia="Times New Roman" w:cs="Arial"/>
          <w:i/>
          <w:sz w:val="22"/>
        </w:rPr>
        <w:t>(…)”</w:t>
      </w:r>
    </w:p>
    <w:p w14:paraId="4A359816" w14:textId="77777777" w:rsidR="00B679FB" w:rsidRPr="00CE3371" w:rsidRDefault="00B679FB" w:rsidP="0084780C">
      <w:pPr>
        <w:spacing w:before="240" w:after="240"/>
        <w:ind w:right="49"/>
        <w:contextualSpacing/>
        <w:rPr>
          <w:rFonts w:eastAsia="Times New Roman" w:cs="Arial"/>
        </w:rPr>
      </w:pPr>
    </w:p>
    <w:p w14:paraId="05186FE5" w14:textId="77777777" w:rsidR="0084780C" w:rsidRPr="00CE3371" w:rsidRDefault="0084780C" w:rsidP="0084780C">
      <w:pPr>
        <w:spacing w:before="240" w:after="240"/>
        <w:ind w:right="49"/>
        <w:contextualSpacing/>
        <w:rPr>
          <w:rFonts w:eastAsia="MS Mincho"/>
        </w:rPr>
      </w:pPr>
      <w:r w:rsidRPr="00CE3371">
        <w:rPr>
          <w:rFonts w:eastAsia="Times New Roman" w:cs="Arial"/>
        </w:rPr>
        <w:lastRenderedPageBreak/>
        <w:t xml:space="preserve">Además, </w:t>
      </w:r>
      <w:r w:rsidRPr="00CE3371">
        <w:rPr>
          <w:rFonts w:eastAsia="MS Mincho"/>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158946E3" w14:textId="77777777" w:rsidR="0084780C" w:rsidRPr="00CE3371" w:rsidRDefault="0084780C" w:rsidP="0084780C">
      <w:pPr>
        <w:spacing w:before="240" w:after="240"/>
        <w:ind w:right="49"/>
        <w:contextualSpacing/>
        <w:rPr>
          <w:rFonts w:eastAsia="MS Mincho"/>
        </w:rPr>
      </w:pPr>
    </w:p>
    <w:p w14:paraId="4E7129C3" w14:textId="77777777" w:rsidR="00B24BDB" w:rsidRPr="00CE3371" w:rsidRDefault="0084780C" w:rsidP="00B24BDB">
      <w:pPr>
        <w:rPr>
          <w:szCs w:val="24"/>
        </w:rPr>
      </w:pPr>
      <w:r w:rsidRPr="00CE3371">
        <w:rPr>
          <w:szCs w:val="24"/>
        </w:rPr>
        <w:t xml:space="preserve">Ahora bien, en términos de lo dispuesto por el </w:t>
      </w:r>
      <w:r w:rsidR="00BB4CDB" w:rsidRPr="00CE3371">
        <w:rPr>
          <w:szCs w:val="24"/>
        </w:rPr>
        <w:t>artículo 24 del Reglamento de la Ley de la Fiscalía General de Justicia del Estado de México a efecto de advertir que le corresponde a la Coordinación General de Información y Políticas Públicas elaborar comunicados, resultados y decisiones de la Fiscalía General así como administrar las plataformas digitales institucionales de la Fiscalía General como se advierte a continuación;</w:t>
      </w:r>
    </w:p>
    <w:p w14:paraId="665BF9A0" w14:textId="77777777" w:rsidR="00B24BDB" w:rsidRPr="00CE3371" w:rsidRDefault="00860164" w:rsidP="00860164">
      <w:pPr>
        <w:ind w:left="708"/>
        <w:rPr>
          <w:i/>
          <w:sz w:val="22"/>
        </w:rPr>
      </w:pPr>
      <w:r w:rsidRPr="00CE3371">
        <w:rPr>
          <w:b/>
          <w:i/>
          <w:sz w:val="22"/>
        </w:rPr>
        <w:t>Artículo 24.</w:t>
      </w:r>
      <w:r w:rsidRPr="00CE3371">
        <w:rPr>
          <w:i/>
          <w:sz w:val="22"/>
        </w:rPr>
        <w:t xml:space="preserve"> Al frente de la Coordinación General de Información y Políticas Públicas habrá una persona titular, quien se auxiliará de las unidades administrativas y personas servidoras públicas que le sean adscritas y aquellas que le sean asignadas.</w:t>
      </w:r>
    </w:p>
    <w:p w14:paraId="71845C85" w14:textId="77777777" w:rsidR="00860164" w:rsidRPr="00CE3371" w:rsidRDefault="00860164" w:rsidP="00860164">
      <w:pPr>
        <w:ind w:left="1416"/>
        <w:rPr>
          <w:i/>
          <w:sz w:val="22"/>
        </w:rPr>
      </w:pPr>
      <w:r w:rsidRPr="00CE3371">
        <w:rPr>
          <w:i/>
          <w:sz w:val="22"/>
        </w:rPr>
        <w:t xml:space="preserve">I. </w:t>
      </w:r>
      <w:r w:rsidRPr="00CE3371">
        <w:rPr>
          <w:b/>
          <w:i/>
          <w:sz w:val="22"/>
        </w:rPr>
        <w:t>Elaborar y difundir comunicados, boletines o cualquier material informativo</w:t>
      </w:r>
      <w:r w:rsidRPr="00CE3371">
        <w:rPr>
          <w:i/>
          <w:sz w:val="22"/>
        </w:rPr>
        <w:t xml:space="preserve"> o publicitario sobre las actividades, programas, </w:t>
      </w:r>
      <w:r w:rsidRPr="00CE3371">
        <w:rPr>
          <w:b/>
          <w:i/>
          <w:sz w:val="22"/>
        </w:rPr>
        <w:t>resultados y decisiones de la Fiscalía General</w:t>
      </w:r>
      <w:r w:rsidRPr="00CE3371">
        <w:rPr>
          <w:i/>
          <w:sz w:val="22"/>
        </w:rPr>
        <w:t>.</w:t>
      </w:r>
    </w:p>
    <w:p w14:paraId="7DDE3BA5" w14:textId="77777777" w:rsidR="00BB4CDB" w:rsidRPr="00CE3371" w:rsidRDefault="00BB4CDB" w:rsidP="00860164">
      <w:pPr>
        <w:ind w:left="1416"/>
        <w:rPr>
          <w:i/>
          <w:sz w:val="22"/>
        </w:rPr>
      </w:pPr>
      <w:r w:rsidRPr="00CE3371">
        <w:rPr>
          <w:i/>
          <w:sz w:val="22"/>
        </w:rPr>
        <w:t>…</w:t>
      </w:r>
    </w:p>
    <w:p w14:paraId="51A32758" w14:textId="77777777" w:rsidR="00C2327B" w:rsidRPr="00CE3371" w:rsidRDefault="00BB4CDB" w:rsidP="00C2327B">
      <w:pPr>
        <w:ind w:left="1416"/>
        <w:rPr>
          <w:i/>
          <w:sz w:val="22"/>
        </w:rPr>
      </w:pPr>
      <w:r w:rsidRPr="00CE3371">
        <w:rPr>
          <w:i/>
          <w:sz w:val="22"/>
        </w:rPr>
        <w:lastRenderedPageBreak/>
        <w:t xml:space="preserve">III. Administrar las redes sociales y </w:t>
      </w:r>
      <w:r w:rsidRPr="00CE3371">
        <w:rPr>
          <w:b/>
          <w:i/>
          <w:sz w:val="22"/>
        </w:rPr>
        <w:t>plataformas digitales institucionales de la Fiscalía General</w:t>
      </w:r>
      <w:r w:rsidRPr="00CE3371">
        <w:rPr>
          <w:i/>
          <w:sz w:val="22"/>
        </w:rPr>
        <w:t xml:space="preserve"> y/o de la persona titular de la Fiscalía General, que incidan en el cumplimiento de las atribuciones</w:t>
      </w:r>
      <w:r w:rsidR="00C2327B" w:rsidRPr="00CE3371">
        <w:rPr>
          <w:i/>
          <w:sz w:val="22"/>
        </w:rPr>
        <w:t xml:space="preserve"> de esta Unidad Administrativa.</w:t>
      </w:r>
    </w:p>
    <w:p w14:paraId="7B29454A" w14:textId="77777777" w:rsidR="00B24BDB" w:rsidRPr="00CE3371" w:rsidRDefault="00860164" w:rsidP="00C2327B">
      <w:pPr>
        <w:ind w:left="1416"/>
        <w:rPr>
          <w:i/>
          <w:sz w:val="22"/>
        </w:rPr>
      </w:pPr>
      <w:r w:rsidRPr="00CE3371">
        <w:rPr>
          <w:szCs w:val="24"/>
        </w:rPr>
        <w:t xml:space="preserve"> </w:t>
      </w:r>
      <w:r w:rsidR="002A20B5" w:rsidRPr="00CE3371">
        <w:rPr>
          <w:szCs w:val="24"/>
        </w:rPr>
        <w:t xml:space="preserve">   </w:t>
      </w:r>
      <w:r w:rsidR="00B033DA" w:rsidRPr="00CE3371">
        <w:rPr>
          <w:szCs w:val="24"/>
        </w:rPr>
        <w:t xml:space="preserve"> </w:t>
      </w:r>
    </w:p>
    <w:p w14:paraId="79541E6B" w14:textId="77777777" w:rsidR="00C2327B" w:rsidRPr="00CE3371" w:rsidRDefault="00C2327B" w:rsidP="0084780C">
      <w:pPr>
        <w:rPr>
          <w:rFonts w:cs="Arial"/>
          <w:szCs w:val="24"/>
        </w:rPr>
      </w:pPr>
      <w:r w:rsidRPr="00CE3371">
        <w:rPr>
          <w:szCs w:val="24"/>
        </w:rPr>
        <w:t>Del reglamento en cita le</w:t>
      </w:r>
      <w:r w:rsidR="00BB4CDB" w:rsidRPr="00CE3371">
        <w:rPr>
          <w:szCs w:val="24"/>
        </w:rPr>
        <w:t xml:space="preserve"> corresponde a la Dirección General de Tecnologías de la Información y Comunicaciones</w:t>
      </w:r>
      <w:r w:rsidRPr="00CE3371">
        <w:rPr>
          <w:szCs w:val="24"/>
        </w:rPr>
        <w:t xml:space="preserve"> supervisar el correcto funcionamiento del sistema informático de gestión institucional y coordinar la mesa de ayuda para proporcionar apoyo técnico sobre los incidentes de uso que tengan los servidores público</w:t>
      </w:r>
      <w:r w:rsidR="00004363" w:rsidRPr="00CE3371">
        <w:rPr>
          <w:szCs w:val="24"/>
        </w:rPr>
        <w:t>s</w:t>
      </w:r>
      <w:r w:rsidRPr="00CE3371">
        <w:rPr>
          <w:szCs w:val="24"/>
        </w:rPr>
        <w:t xml:space="preserve"> como se advierte a continuación;</w:t>
      </w:r>
    </w:p>
    <w:p w14:paraId="2B1FD680" w14:textId="77777777" w:rsidR="00B24BDB" w:rsidRPr="00CE3371" w:rsidRDefault="00BB4CDB" w:rsidP="00BB4CDB">
      <w:pPr>
        <w:ind w:left="708"/>
        <w:rPr>
          <w:i/>
          <w:sz w:val="22"/>
        </w:rPr>
      </w:pPr>
      <w:r w:rsidRPr="00CE3371">
        <w:rPr>
          <w:b/>
          <w:i/>
          <w:sz w:val="22"/>
        </w:rPr>
        <w:t>Artículo 101</w:t>
      </w:r>
      <w:r w:rsidRPr="00CE3371">
        <w:rPr>
          <w:i/>
          <w:sz w:val="22"/>
        </w:rPr>
        <w:t>. Al frente de la Dirección General de Tecnologías de la Información y Comunicaciones habrá una persona titular, quien se auxiliará de las unidades administrativas previstas en la presente Sección y demás que resulten necesarias, así como de las personas servidoras públicas que le sean adscritas y aquellas que le sean asignadas.</w:t>
      </w:r>
    </w:p>
    <w:p w14:paraId="7F74A810" w14:textId="77777777" w:rsidR="00BB4CDB" w:rsidRPr="00CE3371" w:rsidRDefault="00BB4CDB" w:rsidP="00BB4CDB">
      <w:pPr>
        <w:ind w:left="1416"/>
      </w:pPr>
      <w:r w:rsidRPr="00CE3371">
        <w:rPr>
          <w:i/>
          <w:sz w:val="22"/>
        </w:rPr>
        <w:t>XIX. Supervisar el correcto funcionamiento del sistema informático de gestión institucional y coordinar la mesa de ayuda para proporcionar apoyo técnico sobre los incidentes de uso que tengan los servidores públicos</w:t>
      </w:r>
      <w:r w:rsidRPr="00CE3371">
        <w:t>.</w:t>
      </w:r>
    </w:p>
    <w:p w14:paraId="39607D87" w14:textId="77777777" w:rsidR="00BB4CDB" w:rsidRPr="00CE3371" w:rsidRDefault="00BB4CDB" w:rsidP="00BB4CDB"/>
    <w:p w14:paraId="45BC6681" w14:textId="77777777" w:rsidR="00004363" w:rsidRPr="00CE3371" w:rsidRDefault="00BB4CDB" w:rsidP="00004363">
      <w:r w:rsidRPr="00CE3371">
        <w:t xml:space="preserve">Al respecto este Instituto considera imprescindible precisar que el Sujeto Obligado se auxilia del </w:t>
      </w:r>
      <w:r w:rsidRPr="00CE3371">
        <w:rPr>
          <w:b/>
        </w:rPr>
        <w:t>Sistema Informático de Gestión Institucional</w:t>
      </w:r>
      <w:r w:rsidRPr="00CE3371">
        <w:t>, el cual es el mecanismo que utiliza todo el personal operativo de la Fiscalía General, p</w:t>
      </w:r>
      <w:r w:rsidRPr="00CE3371">
        <w:rPr>
          <w:b/>
        </w:rPr>
        <w:t>ara registrar todas las actuaciones en las investigaciones y procesos penales substanciados conforme al Código Nacional, la Ley Nacional de Mecanismos Alternativos de Solución de Controversias en Materia Penal, la Ley Nacional del Sistema Integral de Justicia Penal para Adolescent</w:t>
      </w:r>
      <w:r w:rsidRPr="00CE3371">
        <w:t>es, así como los juicios de amparo indirecto y directo en los que intervenga o tenga noticia el Ministerio Público.</w:t>
      </w:r>
    </w:p>
    <w:p w14:paraId="67B5411F" w14:textId="77777777" w:rsidR="0084780C" w:rsidRPr="00CE3371" w:rsidRDefault="0084780C" w:rsidP="0084780C">
      <w:pPr>
        <w:rPr>
          <w:rFonts w:cs="Arial"/>
          <w:szCs w:val="24"/>
        </w:rPr>
      </w:pPr>
      <w:r w:rsidRPr="00CE3371">
        <w:rPr>
          <w:rFonts w:cs="Arial"/>
          <w:szCs w:val="24"/>
        </w:rPr>
        <w:lastRenderedPageBreak/>
        <w:t>Ahora bien, este Instituto debe trae</w:t>
      </w:r>
      <w:r w:rsidR="00A5078B" w:rsidRPr="00CE3371">
        <w:rPr>
          <w:rFonts w:cs="Arial"/>
          <w:szCs w:val="24"/>
        </w:rPr>
        <w:t>r</w:t>
      </w:r>
      <w:r w:rsidRPr="00CE3371">
        <w:rPr>
          <w:rFonts w:cs="Arial"/>
          <w:szCs w:val="24"/>
        </w:rPr>
        <w:t xml:space="preserve"> a colación el </w:t>
      </w:r>
      <w:r w:rsidRPr="00CE3371">
        <w:rPr>
          <w:rFonts w:cs="Arial"/>
          <w:b/>
          <w:szCs w:val="24"/>
        </w:rPr>
        <w:t>Criterio 16/2017</w:t>
      </w:r>
      <w:r w:rsidRPr="00CE3371">
        <w:rPr>
          <w:rFonts w:cs="Arial"/>
          <w:szCs w:val="24"/>
        </w:rPr>
        <w:t xml:space="preserve"> emitido por el entonces </w:t>
      </w:r>
      <w:r w:rsidRPr="00CE3371">
        <w:rPr>
          <w:rFonts w:cs="Arial"/>
          <w:b/>
          <w:szCs w:val="24"/>
        </w:rPr>
        <w:t>Máximo Órgano Garante</w:t>
      </w:r>
      <w:r w:rsidRPr="00CE3371">
        <w:rPr>
          <w:rFonts w:cs="Arial"/>
          <w:szCs w:val="24"/>
        </w:rPr>
        <w:t xml:space="preserve"> a efecto de establecer que le corresponde a los sujetos obligados brindarle una interpretación documental de las solicitudes de información cuando no se identifique de forma precisa la documentación, como se advierte a continuación;</w:t>
      </w:r>
    </w:p>
    <w:p w14:paraId="2F902F6F" w14:textId="77777777" w:rsidR="0084780C" w:rsidRPr="00CE3371" w:rsidRDefault="0084780C" w:rsidP="0084780C">
      <w:pPr>
        <w:ind w:left="708"/>
        <w:rPr>
          <w:rFonts w:cs="Arial"/>
          <w:bCs/>
          <w:i/>
          <w:sz w:val="22"/>
        </w:rPr>
      </w:pPr>
      <w:r w:rsidRPr="00CE3371">
        <w:rPr>
          <w:rFonts w:cs="Arial"/>
          <w:bCs/>
          <w:i/>
          <w:sz w:val="22"/>
        </w:rPr>
        <w:t>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p>
    <w:p w14:paraId="497881C0" w14:textId="77777777" w:rsidR="00A5078B" w:rsidRPr="00CE3371" w:rsidRDefault="00A5078B" w:rsidP="0084780C">
      <w:pPr>
        <w:rPr>
          <w:rFonts w:cs="Arial"/>
          <w:bCs/>
          <w:szCs w:val="24"/>
        </w:rPr>
      </w:pPr>
    </w:p>
    <w:p w14:paraId="2F168715" w14:textId="77777777" w:rsidR="00A5078B" w:rsidRPr="00CE3371" w:rsidRDefault="00A5078B" w:rsidP="00A5078B">
      <w:pPr>
        <w:rPr>
          <w:b/>
          <w:szCs w:val="24"/>
        </w:rPr>
      </w:pPr>
      <w:r w:rsidRPr="00CE3371">
        <w:rPr>
          <w:rFonts w:cs="Arial"/>
          <w:bCs/>
          <w:szCs w:val="24"/>
        </w:rPr>
        <w:t xml:space="preserve">Lo anterior en virtud del pronunciamiento del Servidor Público Habilitado de </w:t>
      </w:r>
      <w:r w:rsidRPr="00CE3371">
        <w:rPr>
          <w:szCs w:val="24"/>
        </w:rPr>
        <w:t>la Dirección General de Tecnologías de la Información y Comunicaciones</w:t>
      </w:r>
      <w:r w:rsidRPr="00CE3371">
        <w:rPr>
          <w:rFonts w:cs="Arial"/>
          <w:bCs/>
          <w:szCs w:val="24"/>
        </w:rPr>
        <w:t xml:space="preserve"> </w:t>
      </w:r>
      <w:r w:rsidRPr="00CE3371">
        <w:rPr>
          <w:szCs w:val="24"/>
        </w:rPr>
        <w:t xml:space="preserve">manifiesto mediante respuesta e informe justificado que </w:t>
      </w:r>
      <w:r w:rsidRPr="00CE3371">
        <w:rPr>
          <w:b/>
          <w:szCs w:val="24"/>
        </w:rPr>
        <w:t>la información solicitada con los datos proporcionados por el Recurrente no fue localizada en los sistemas de carpetas de investigación la información</w:t>
      </w:r>
      <w:r w:rsidRPr="00CE3371">
        <w:rPr>
          <w:szCs w:val="24"/>
        </w:rPr>
        <w:t xml:space="preserve">, </w:t>
      </w:r>
      <w:r w:rsidRPr="00CE3371">
        <w:rPr>
          <w:rFonts w:eastAsia="Palatino Linotype" w:cs="Palatino Linotype"/>
          <w:szCs w:val="24"/>
        </w:rPr>
        <w:t>resultando aplicable la siguiente tesis:</w:t>
      </w:r>
      <w:r w:rsidRPr="00CE3371">
        <w:rPr>
          <w:rFonts w:eastAsia="Palatino Linotype" w:cs="Palatino Linotype"/>
        </w:rPr>
        <w:t xml:space="preserve"> </w:t>
      </w:r>
    </w:p>
    <w:p w14:paraId="0E48EC6D" w14:textId="77777777" w:rsidR="00A5078B" w:rsidRPr="00CE3371" w:rsidRDefault="00A5078B" w:rsidP="00A5078B">
      <w:pPr>
        <w:pBdr>
          <w:top w:val="nil"/>
          <w:left w:val="nil"/>
          <w:bottom w:val="nil"/>
          <w:right w:val="nil"/>
          <w:between w:val="nil"/>
        </w:pBdr>
        <w:ind w:left="1134" w:right="900"/>
        <w:rPr>
          <w:rFonts w:eastAsia="Palatino Linotype" w:cs="Palatino Linotype"/>
          <w:i/>
          <w:color w:val="000000"/>
          <w:sz w:val="22"/>
        </w:rPr>
      </w:pPr>
      <w:r w:rsidRPr="00CE3371">
        <w:rPr>
          <w:rFonts w:eastAsia="Palatino Linotype" w:cs="Palatino Linotype"/>
          <w:b/>
          <w:i/>
          <w:color w:val="000000"/>
          <w:sz w:val="22"/>
        </w:rPr>
        <w:t>HECHOS NEGATIVOS, NO SON SUSCEPTIBLES DE DEMOSTRACIÓN.</w:t>
      </w:r>
    </w:p>
    <w:p w14:paraId="1EA2C321" w14:textId="77777777" w:rsidR="00A5078B" w:rsidRPr="00CE3371" w:rsidRDefault="00A5078B" w:rsidP="00A5078B">
      <w:pPr>
        <w:pBdr>
          <w:top w:val="nil"/>
          <w:left w:val="nil"/>
          <w:bottom w:val="nil"/>
          <w:right w:val="nil"/>
          <w:between w:val="nil"/>
        </w:pBdr>
        <w:ind w:left="1134" w:right="900"/>
        <w:rPr>
          <w:rFonts w:eastAsia="Palatino Linotype" w:cs="Palatino Linotype"/>
          <w:i/>
          <w:color w:val="000000"/>
          <w:sz w:val="22"/>
        </w:rPr>
      </w:pPr>
      <w:r w:rsidRPr="00CE3371">
        <w:rPr>
          <w:rFonts w:eastAsia="Palatino Linotype" w:cs="Palatino Linotype"/>
          <w:i/>
          <w:color w:val="000000"/>
          <w:sz w:val="22"/>
        </w:rPr>
        <w:t>Tratándose de un hecho negativo, el Juez no tiene por qué invocar prueba alguna de la que se desprenda, ya que es bien sabido que esta clase de hechos no son susceptibles de demostración.</w:t>
      </w:r>
    </w:p>
    <w:p w14:paraId="65247EEF" w14:textId="77777777" w:rsidR="00A5078B" w:rsidRPr="00CE3371" w:rsidRDefault="00A5078B" w:rsidP="00A5078B">
      <w:pPr>
        <w:pBdr>
          <w:top w:val="nil"/>
          <w:left w:val="nil"/>
          <w:bottom w:val="nil"/>
          <w:right w:val="nil"/>
          <w:between w:val="nil"/>
        </w:pBdr>
        <w:ind w:left="1134" w:right="900"/>
        <w:rPr>
          <w:rFonts w:eastAsia="Palatino Linotype" w:cs="Palatino Linotype"/>
          <w:i/>
          <w:color w:val="000000"/>
          <w:sz w:val="16"/>
          <w:szCs w:val="16"/>
        </w:rPr>
      </w:pPr>
      <w:r w:rsidRPr="00CE3371">
        <w:rPr>
          <w:rFonts w:eastAsia="Palatino Linotype" w:cs="Palatino Linotype"/>
          <w:i/>
          <w:color w:val="000000"/>
          <w:sz w:val="16"/>
          <w:szCs w:val="16"/>
        </w:rPr>
        <w:t>Amparo en revisión 2022/61. José García Florín (Menor). 9 de octubre de 1961. Cinco votos. Ponente: José Rivera Pérez Campos</w:t>
      </w:r>
    </w:p>
    <w:p w14:paraId="44268EA2" w14:textId="77777777" w:rsidR="00A5078B" w:rsidRPr="00CE3371" w:rsidRDefault="00A5078B" w:rsidP="00A5078B">
      <w:pPr>
        <w:rPr>
          <w:rFonts w:eastAsia="Palatino Linotype" w:cs="Palatino Linotype"/>
          <w:color w:val="000000"/>
        </w:rPr>
      </w:pPr>
    </w:p>
    <w:p w14:paraId="163AC7B4" w14:textId="77777777" w:rsidR="00A5078B" w:rsidRPr="00CE3371" w:rsidRDefault="00A5078B" w:rsidP="00A5078B">
      <w:pPr>
        <w:rPr>
          <w:rFonts w:cs="Tahoma"/>
          <w:bCs/>
          <w:szCs w:val="24"/>
          <w:lang w:eastAsia="es-ES"/>
        </w:rPr>
      </w:pPr>
      <w:r w:rsidRPr="00CE3371">
        <w:rPr>
          <w:rFonts w:eastAsia="Palatino Linotype" w:cs="Palatino Linotype"/>
          <w:szCs w:val="24"/>
        </w:rPr>
        <w:t xml:space="preserve">De lo que se desprende que es materialmente imposible realizar la entrega de alguna documental que no ha generado el </w:t>
      </w:r>
      <w:r w:rsidRPr="00CE3371">
        <w:rPr>
          <w:rFonts w:eastAsia="Palatino Linotype" w:cs="Palatino Linotype"/>
          <w:b/>
          <w:szCs w:val="24"/>
        </w:rPr>
        <w:t>SUJETO OBLIGADO</w:t>
      </w:r>
      <w:r w:rsidRPr="00CE3371">
        <w:rPr>
          <w:rFonts w:eastAsia="Palatino Linotype" w:cs="Palatino Linotype"/>
          <w:szCs w:val="24"/>
        </w:rPr>
        <w:t>.</w:t>
      </w:r>
      <w:r w:rsidRPr="00CE3371">
        <w:rPr>
          <w:rFonts w:eastAsia="Palatino Linotype" w:cs="Palatino Linotype"/>
          <w:color w:val="000000"/>
          <w:szCs w:val="24"/>
        </w:rPr>
        <w:t xml:space="preserve"> En este sentido este Instituto carece de facultades para dudar de la veracidad de la respuesta emitida pues no está </w:t>
      </w:r>
      <w:r w:rsidRPr="00CE3371">
        <w:rPr>
          <w:rFonts w:eastAsia="Palatino Linotype" w:cs="Palatino Linotype"/>
          <w:color w:val="000000"/>
          <w:szCs w:val="24"/>
        </w:rPr>
        <w:lastRenderedPageBreak/>
        <w:t>facultado para pronunciarse sobre la veracidad de la información que los Sujetos Obligados ponen a disposición de los solicitantes; situación que se aleja de las atribuciones de este Instituto.</w:t>
      </w:r>
      <w:r w:rsidRPr="00CE3371">
        <w:rPr>
          <w:rFonts w:cs="Tahoma"/>
          <w:bCs/>
          <w:szCs w:val="24"/>
          <w:lang w:eastAsia="es-ES"/>
        </w:rPr>
        <w:t xml:space="preserve"> </w:t>
      </w:r>
    </w:p>
    <w:p w14:paraId="680BF89D" w14:textId="77777777" w:rsidR="00B679FB" w:rsidRPr="00CE3371" w:rsidRDefault="00B679FB" w:rsidP="0084780C">
      <w:pPr>
        <w:rPr>
          <w:rFonts w:cs="Arial"/>
          <w:bCs/>
          <w:szCs w:val="24"/>
        </w:rPr>
      </w:pPr>
    </w:p>
    <w:p w14:paraId="2E4D9007" w14:textId="77777777" w:rsidR="007E77E2" w:rsidRPr="00CE3371" w:rsidRDefault="00B679FB" w:rsidP="0084780C">
      <w:pPr>
        <w:rPr>
          <w:rFonts w:cs="Arial"/>
          <w:bCs/>
          <w:szCs w:val="24"/>
        </w:rPr>
      </w:pPr>
      <w:r w:rsidRPr="00CE3371">
        <w:rPr>
          <w:rFonts w:cs="Arial"/>
          <w:bCs/>
          <w:szCs w:val="24"/>
        </w:rPr>
        <w:t xml:space="preserve">Entonces de la manifestación en sentido negativo este Instituto debe tener por colmado parcialmente el derecho al acceso a la información del Recurrente </w:t>
      </w:r>
      <w:r w:rsidR="007E77E2" w:rsidRPr="00CE3371">
        <w:rPr>
          <w:rFonts w:cs="Arial"/>
          <w:bCs/>
          <w:szCs w:val="24"/>
        </w:rPr>
        <w:t xml:space="preserve">pues se reitera este Órgano Garante carece de facultades y atribuciones para dudar de la veracidad del pronunciamiento del Sujeto Obligado por lo que se trae a colación el criterio reiterado 003/2017 emitido por el entonces Máximo Órgano Garante, en los términos siguientes; </w:t>
      </w:r>
    </w:p>
    <w:p w14:paraId="709B3315" w14:textId="77777777" w:rsidR="00B679FB" w:rsidRPr="00CE3371" w:rsidRDefault="007E77E2" w:rsidP="007E77E2">
      <w:pPr>
        <w:ind w:left="708"/>
        <w:rPr>
          <w:rFonts w:cs="Arial"/>
          <w:bCs/>
          <w:i/>
          <w:sz w:val="22"/>
        </w:rPr>
      </w:pPr>
      <w:r w:rsidRPr="00CE3371">
        <w:rPr>
          <w:rFonts w:cs="Arial"/>
          <w:bCs/>
          <w:i/>
          <w:sz w:val="22"/>
        </w:rPr>
        <w:t xml:space="preserve">No existe obligación de elaborar documentos ad hoc para atender las solicitudes de acceso a la información.  </w:t>
      </w:r>
    </w:p>
    <w:p w14:paraId="0D03A4F8" w14:textId="77777777" w:rsidR="00B679FB" w:rsidRPr="00CE3371" w:rsidRDefault="00B679FB" w:rsidP="0084780C">
      <w:pPr>
        <w:rPr>
          <w:rFonts w:cs="Arial"/>
          <w:bCs/>
          <w:szCs w:val="24"/>
        </w:rPr>
      </w:pPr>
    </w:p>
    <w:p w14:paraId="5FDC66C7" w14:textId="77777777" w:rsidR="00696AFD" w:rsidRPr="00CE3371" w:rsidRDefault="007E4268" w:rsidP="00696AFD">
      <w:pPr>
        <w:rPr>
          <w:color w:val="000000"/>
          <w:szCs w:val="24"/>
        </w:rPr>
      </w:pPr>
      <w:r w:rsidRPr="00CE3371">
        <w:rPr>
          <w:rFonts w:cs="Arial"/>
          <w:bCs/>
          <w:szCs w:val="24"/>
        </w:rPr>
        <w:t xml:space="preserve">Por lo que del pronunciamiento del Servidor Público Habilitado de </w:t>
      </w:r>
      <w:r w:rsidRPr="00CE3371">
        <w:rPr>
          <w:szCs w:val="24"/>
        </w:rPr>
        <w:t xml:space="preserve">la Dirección General de Tecnologías de la Información y Comunicaciones este Órgano Garante advierte que al no tener </w:t>
      </w:r>
      <w:r w:rsidR="00696AFD" w:rsidRPr="00CE3371">
        <w:rPr>
          <w:szCs w:val="24"/>
        </w:rPr>
        <w:t>registro</w:t>
      </w:r>
      <w:r w:rsidRPr="00CE3371">
        <w:rPr>
          <w:szCs w:val="24"/>
        </w:rPr>
        <w:t xml:space="preserve"> en el</w:t>
      </w:r>
      <w:r w:rsidRPr="00CE3371">
        <w:rPr>
          <w:b/>
        </w:rPr>
        <w:t xml:space="preserve"> </w:t>
      </w:r>
      <w:r w:rsidRPr="00CE3371">
        <w:t>Sistema Informático de Gestión Institucional</w:t>
      </w:r>
      <w:r w:rsidRPr="00CE3371">
        <w:rPr>
          <w:b/>
        </w:rPr>
        <w:t xml:space="preserve"> (SIGI) </w:t>
      </w:r>
      <w:r w:rsidRPr="00CE3371">
        <w:t xml:space="preserve">respecto el hecho delictivo referido en solicitud </w:t>
      </w:r>
      <w:r w:rsidRPr="00CE3371">
        <w:rPr>
          <w:b/>
        </w:rPr>
        <w:t>el Sujeto Obligado no genera, posee o administra</w:t>
      </w:r>
      <w:r w:rsidRPr="00CE3371">
        <w:t xml:space="preserve"> información </w:t>
      </w:r>
      <w:r w:rsidRPr="00CE3371">
        <w:rPr>
          <w:u w:val="single"/>
        </w:rPr>
        <w:t xml:space="preserve">respecto a </w:t>
      </w:r>
      <w:r w:rsidR="00696AFD" w:rsidRPr="00CE3371">
        <w:rPr>
          <w:u w:val="single"/>
        </w:rPr>
        <w:t xml:space="preserve">la existencia de </w:t>
      </w:r>
      <w:r w:rsidR="00696AFD" w:rsidRPr="00CE3371">
        <w:rPr>
          <w:color w:val="000000"/>
          <w:szCs w:val="24"/>
          <w:u w:val="single"/>
        </w:rPr>
        <w:t>carpetas de investigación iniciadas, número de personas detenidas, núm</w:t>
      </w:r>
      <w:r w:rsidR="00E10AF6" w:rsidRPr="00CE3371">
        <w:rPr>
          <w:color w:val="000000"/>
          <w:szCs w:val="24"/>
          <w:u w:val="single"/>
        </w:rPr>
        <w:t xml:space="preserve">eros de audiencias celebradas, </w:t>
      </w:r>
      <w:r w:rsidR="00696AFD" w:rsidRPr="00CE3371">
        <w:rPr>
          <w:color w:val="000000"/>
          <w:szCs w:val="24"/>
          <w:u w:val="single"/>
        </w:rPr>
        <w:t>número de vinculaciones a proceso relacionadas con dichos hechos</w:t>
      </w:r>
      <w:r w:rsidR="00696AFD" w:rsidRPr="00CE3371">
        <w:rPr>
          <w:color w:val="000000"/>
          <w:szCs w:val="24"/>
        </w:rPr>
        <w:t xml:space="preserve">. </w:t>
      </w:r>
    </w:p>
    <w:p w14:paraId="255FD256" w14:textId="77777777" w:rsidR="007E4268" w:rsidRPr="00CE3371" w:rsidRDefault="007E4268" w:rsidP="0084780C">
      <w:pPr>
        <w:rPr>
          <w:szCs w:val="24"/>
        </w:rPr>
      </w:pPr>
    </w:p>
    <w:p w14:paraId="6814F240" w14:textId="77777777" w:rsidR="00004363" w:rsidRPr="00CE3371" w:rsidRDefault="00696AFD" w:rsidP="0084780C">
      <w:r w:rsidRPr="00CE3371">
        <w:rPr>
          <w:rFonts w:cs="Arial"/>
          <w:bCs/>
          <w:szCs w:val="24"/>
        </w:rPr>
        <w:t xml:space="preserve">Lo anterior en virtud que es a través del Sistema </w:t>
      </w:r>
      <w:r w:rsidRPr="00CE3371">
        <w:t>Informático de Gestión Institucional</w:t>
      </w:r>
      <w:r w:rsidRPr="00CE3371">
        <w:rPr>
          <w:rFonts w:cs="Arial"/>
          <w:bCs/>
          <w:szCs w:val="24"/>
        </w:rPr>
        <w:t xml:space="preserve"> en el que se </w:t>
      </w:r>
      <w:r w:rsidRPr="00CE3371">
        <w:t>registran</w:t>
      </w:r>
      <w:r w:rsidR="007E4268" w:rsidRPr="00CE3371">
        <w:t xml:space="preserve"> </w:t>
      </w:r>
      <w:r w:rsidR="007E4268" w:rsidRPr="00CE3371">
        <w:rPr>
          <w:b/>
        </w:rPr>
        <w:t>todas las actuaciones en las investigaciones y procesos penales</w:t>
      </w:r>
      <w:r w:rsidR="007E4268" w:rsidRPr="00CE3371">
        <w:t xml:space="preserve"> substanciados conforme al Código Nacional, la Ley Nacional de Mecanismos Alternativos de Solución de Controversias en Materia Penal, la Ley Nacional del Sistema </w:t>
      </w:r>
      <w:r w:rsidR="007E4268" w:rsidRPr="00CE3371">
        <w:lastRenderedPageBreak/>
        <w:t>Integral de Justicia Penal para Adolescentes, así como los juicios de amparo indirecto y directo en los que intervenga o ten</w:t>
      </w:r>
      <w:r w:rsidRPr="00CE3371">
        <w:t>ga noticia el Ministerio Público.</w:t>
      </w:r>
    </w:p>
    <w:p w14:paraId="069E6642" w14:textId="77777777" w:rsidR="00696AFD" w:rsidRPr="00CE3371" w:rsidRDefault="00696AFD" w:rsidP="0084780C"/>
    <w:p w14:paraId="05C59FC3" w14:textId="77777777" w:rsidR="00B316AC" w:rsidRPr="00CE3371" w:rsidRDefault="00696AFD" w:rsidP="00696AFD">
      <w:r w:rsidRPr="00CE3371">
        <w:t xml:space="preserve">Robustece lo anterior </w:t>
      </w:r>
      <w:r w:rsidR="00A8616A" w:rsidRPr="00CE3371">
        <w:t>el artículo 211 del Código Nacional de Procedimientos Penales del cual este Instituto reitera que al haberse realizado un pronunciamiento en sentido negativo respecto el hecho delictivo referido en solicitud</w:t>
      </w:r>
      <w:r w:rsidR="00B316AC" w:rsidRPr="00CE3371">
        <w:t>,</w:t>
      </w:r>
      <w:r w:rsidR="00E10AF6" w:rsidRPr="00CE3371">
        <w:t xml:space="preserve"> así mismo de la respuesta proporcionada se advierte que el Sujeto Obligado es el competente para conocer respecto los hechos delictivos suscitados en la entidad sin embargo</w:t>
      </w:r>
      <w:r w:rsidR="00B316AC" w:rsidRPr="00CE3371">
        <w:t xml:space="preserve"> no se dio inicio a la acción penal a la fecha la solicitud;</w:t>
      </w:r>
    </w:p>
    <w:p w14:paraId="098EAEA5" w14:textId="77777777" w:rsidR="00696AFD" w:rsidRPr="00CE3371" w:rsidRDefault="00BE5AB3" w:rsidP="00BE5AB3">
      <w:pPr>
        <w:ind w:firstLine="708"/>
        <w:rPr>
          <w:b/>
          <w:i/>
          <w:sz w:val="22"/>
        </w:rPr>
      </w:pPr>
      <w:r w:rsidRPr="00CE3371">
        <w:rPr>
          <w:b/>
          <w:i/>
          <w:sz w:val="22"/>
        </w:rPr>
        <w:t xml:space="preserve">Artículo 211 </w:t>
      </w:r>
      <w:r w:rsidR="00696AFD" w:rsidRPr="00CE3371">
        <w:rPr>
          <w:b/>
          <w:i/>
          <w:sz w:val="22"/>
        </w:rPr>
        <w:t>Etapas del procedimiento penal</w:t>
      </w:r>
    </w:p>
    <w:p w14:paraId="41CEA943" w14:textId="77777777" w:rsidR="00696AFD" w:rsidRPr="00CE3371" w:rsidRDefault="00696AFD" w:rsidP="00696AFD">
      <w:pPr>
        <w:ind w:firstLine="708"/>
        <w:rPr>
          <w:b/>
          <w:i/>
          <w:sz w:val="22"/>
        </w:rPr>
      </w:pPr>
      <w:r w:rsidRPr="00CE3371">
        <w:rPr>
          <w:b/>
          <w:i/>
          <w:sz w:val="22"/>
        </w:rPr>
        <w:t>El procedimiento penal comprende las siguientes etapas:</w:t>
      </w:r>
    </w:p>
    <w:p w14:paraId="30404775" w14:textId="77777777" w:rsidR="00696AFD" w:rsidRPr="00CE3371" w:rsidRDefault="00696AFD" w:rsidP="00696AFD">
      <w:pPr>
        <w:ind w:firstLine="708"/>
        <w:rPr>
          <w:i/>
          <w:sz w:val="22"/>
        </w:rPr>
      </w:pPr>
      <w:r w:rsidRPr="00CE3371">
        <w:rPr>
          <w:i/>
          <w:sz w:val="22"/>
        </w:rPr>
        <w:t>I. La de investigación, que comprende las siguientes fases:</w:t>
      </w:r>
    </w:p>
    <w:p w14:paraId="2D021E5C" w14:textId="77777777" w:rsidR="00696AFD" w:rsidRPr="00CE3371" w:rsidRDefault="00696AFD" w:rsidP="00B316AC">
      <w:pPr>
        <w:ind w:left="1416"/>
        <w:rPr>
          <w:i/>
          <w:sz w:val="22"/>
        </w:rPr>
      </w:pPr>
      <w:r w:rsidRPr="00CE3371">
        <w:rPr>
          <w:i/>
          <w:sz w:val="22"/>
        </w:rPr>
        <w:t>a) Investigación inicial, que comienza con la presentación de la denuncia, querella u otro requisito equivalente y concluye cuando el imputado queda a disposición del Juez de control para que se le formule imputación, e</w:t>
      </w:r>
    </w:p>
    <w:p w14:paraId="45537481" w14:textId="77777777" w:rsidR="00696AFD" w:rsidRPr="00CE3371" w:rsidRDefault="00696AFD" w:rsidP="00B316AC">
      <w:pPr>
        <w:ind w:left="1416"/>
        <w:rPr>
          <w:i/>
          <w:sz w:val="22"/>
        </w:rPr>
      </w:pPr>
      <w:r w:rsidRPr="00CE3371">
        <w:rPr>
          <w:i/>
          <w:sz w:val="22"/>
        </w:rPr>
        <w:t>b) Investigación complementaria, que comprende desde la formulación de la imputación y se agota una vez que se haya cerrado la investigación;</w:t>
      </w:r>
    </w:p>
    <w:p w14:paraId="2DA964D6" w14:textId="77777777" w:rsidR="00696AFD" w:rsidRPr="00CE3371" w:rsidRDefault="00696AFD" w:rsidP="00696AFD">
      <w:pPr>
        <w:ind w:left="708"/>
        <w:rPr>
          <w:i/>
          <w:sz w:val="22"/>
        </w:rPr>
      </w:pPr>
      <w:r w:rsidRPr="00CE3371">
        <w:rPr>
          <w:i/>
          <w:sz w:val="22"/>
        </w:rPr>
        <w:t>II. La intermedia o de preparación del juicio, que comprende desde la formulación de la acusación hasta el auto de apertura del juicio, y</w:t>
      </w:r>
    </w:p>
    <w:p w14:paraId="568E35C4" w14:textId="77777777" w:rsidR="00696AFD" w:rsidRPr="00CE3371" w:rsidRDefault="00696AFD" w:rsidP="00696AFD">
      <w:pPr>
        <w:ind w:left="708"/>
        <w:rPr>
          <w:i/>
          <w:sz w:val="22"/>
        </w:rPr>
      </w:pPr>
      <w:r w:rsidRPr="00CE3371">
        <w:rPr>
          <w:i/>
          <w:sz w:val="22"/>
        </w:rPr>
        <w:t>III. La de juicio, que comprende desde que se recibe el auto de apertura a juicio hasta la sentencia emitida por el Tribunal de enjuiciamiento.</w:t>
      </w:r>
    </w:p>
    <w:p w14:paraId="28B179BF" w14:textId="77777777" w:rsidR="00696AFD" w:rsidRPr="00CE3371" w:rsidRDefault="00696AFD" w:rsidP="00696AFD">
      <w:pPr>
        <w:ind w:left="708"/>
        <w:rPr>
          <w:i/>
          <w:sz w:val="22"/>
        </w:rPr>
      </w:pPr>
    </w:p>
    <w:p w14:paraId="3B984A30" w14:textId="77777777" w:rsidR="00B316AC" w:rsidRPr="00CE3371" w:rsidRDefault="00696AFD" w:rsidP="00B316AC">
      <w:pPr>
        <w:ind w:left="708"/>
        <w:rPr>
          <w:i/>
          <w:sz w:val="22"/>
        </w:rPr>
      </w:pPr>
      <w:r w:rsidRPr="00CE3371">
        <w:rPr>
          <w:i/>
          <w:sz w:val="22"/>
        </w:rPr>
        <w:t xml:space="preserve">La investigación no se interrumpe ni se suspende durante el tiempo en que se lleve a cabo la audiencia inicial hasta su conclusión o durante la víspera de la ejecución de una orden de aprehensión. El ejercicio de la acción inicia con la solicitud de citatorio a audiencia inicial, puesta </w:t>
      </w:r>
      <w:r w:rsidRPr="00CE3371">
        <w:rPr>
          <w:i/>
          <w:sz w:val="22"/>
        </w:rPr>
        <w:lastRenderedPageBreak/>
        <w:t>a disposición del detenido ante la autoridad judicial o cuando se solicita la orden de aprehensión o comparecencia, con lo cual el Ministerio Público no perderá la</w:t>
      </w:r>
      <w:r w:rsidR="00B316AC" w:rsidRPr="00CE3371">
        <w:rPr>
          <w:i/>
          <w:sz w:val="22"/>
        </w:rPr>
        <w:t xml:space="preserve"> dirección de la investigación.</w:t>
      </w:r>
    </w:p>
    <w:p w14:paraId="5C62D6F2" w14:textId="77777777" w:rsidR="00696AFD" w:rsidRPr="00CE3371" w:rsidRDefault="00696AFD" w:rsidP="00B316AC">
      <w:pPr>
        <w:ind w:left="708"/>
        <w:rPr>
          <w:sz w:val="22"/>
        </w:rPr>
      </w:pPr>
      <w:r w:rsidRPr="00CE3371">
        <w:rPr>
          <w:i/>
          <w:sz w:val="22"/>
        </w:rPr>
        <w:t>El proceso dará inicio con la audiencia inicial, y terminará con la sentencia firme</w:t>
      </w:r>
      <w:r w:rsidRPr="00CE3371">
        <w:rPr>
          <w:sz w:val="22"/>
        </w:rPr>
        <w:t>.</w:t>
      </w:r>
    </w:p>
    <w:p w14:paraId="56DCF501" w14:textId="77777777" w:rsidR="00696AFD" w:rsidRPr="00CE3371" w:rsidRDefault="00696AFD" w:rsidP="0084780C"/>
    <w:p w14:paraId="75B00133" w14:textId="77777777" w:rsidR="00025041" w:rsidRPr="00CE3371" w:rsidRDefault="00025041" w:rsidP="0084780C">
      <w:pPr>
        <w:rPr>
          <w:color w:val="000000"/>
          <w:szCs w:val="24"/>
        </w:rPr>
      </w:pPr>
      <w:r w:rsidRPr="00CE3371">
        <w:t xml:space="preserve">De lo anterior </w:t>
      </w:r>
      <w:r w:rsidR="007E77E2" w:rsidRPr="00CE3371">
        <w:t xml:space="preserve">el Sujeto Obligado </w:t>
      </w:r>
      <w:r w:rsidRPr="00CE3371">
        <w:t xml:space="preserve">no </w:t>
      </w:r>
      <w:r w:rsidR="007E77E2" w:rsidRPr="00CE3371">
        <w:t xml:space="preserve">se pronunció del requerimiento de información restante correspondiente a </w:t>
      </w:r>
      <w:r w:rsidR="007E77E2" w:rsidRPr="00CE3371">
        <w:rPr>
          <w:color w:val="000000"/>
          <w:szCs w:val="24"/>
        </w:rPr>
        <w:t xml:space="preserve">boletines oficiales, pues del estudio previo se logra advertir que </w:t>
      </w:r>
      <w:r w:rsidR="007E77E2" w:rsidRPr="00CE3371">
        <w:rPr>
          <w:color w:val="000000"/>
          <w:szCs w:val="24"/>
          <w:u w:val="single"/>
        </w:rPr>
        <w:t>la solicitud de información no fue turnada a todas las unidades administrativas que en el ámbito de sus competencias y atribuciones podrían generar, poseer o generar la i</w:t>
      </w:r>
      <w:r w:rsidRPr="00CE3371">
        <w:rPr>
          <w:color w:val="000000"/>
          <w:szCs w:val="24"/>
          <w:u w:val="single"/>
        </w:rPr>
        <w:t>nformación faltante</w:t>
      </w:r>
      <w:r w:rsidRPr="00CE3371">
        <w:rPr>
          <w:color w:val="000000"/>
          <w:szCs w:val="24"/>
        </w:rPr>
        <w:t>, sin embargo como se advierte en respuesta e informe justificado el Sujeto Obligado al no tener elementos para</w:t>
      </w:r>
      <w:r w:rsidRPr="00CE3371">
        <w:rPr>
          <w:b/>
        </w:rPr>
        <w:t xml:space="preserve">  generar, poseer o administrar</w:t>
      </w:r>
      <w:r w:rsidRPr="00CE3371">
        <w:t xml:space="preserve"> la información requerida</w:t>
      </w:r>
      <w:r w:rsidR="008C1FFF" w:rsidRPr="00CE3371">
        <w:t xml:space="preserve">, </w:t>
      </w:r>
      <w:r w:rsidR="008C1FFF" w:rsidRPr="00CE3371">
        <w:rPr>
          <w:b/>
        </w:rPr>
        <w:t>tampoco generó a la fecha de la solicitud boletines o comunicados oficiales</w:t>
      </w:r>
      <w:r w:rsidR="008C1FFF" w:rsidRPr="00CE3371">
        <w:t xml:space="preserve">. </w:t>
      </w:r>
    </w:p>
    <w:p w14:paraId="7C2AF98F" w14:textId="77777777" w:rsidR="00B679FB" w:rsidRPr="00CE3371" w:rsidRDefault="00B679FB" w:rsidP="00B679FB">
      <w:pPr>
        <w:pStyle w:val="Prrafodelista"/>
        <w:tabs>
          <w:tab w:val="left" w:pos="426"/>
        </w:tabs>
        <w:spacing w:before="240" w:after="240"/>
        <w:ind w:left="0" w:right="51"/>
        <w:rPr>
          <w:color w:val="000000" w:themeColor="text1"/>
          <w:szCs w:val="24"/>
        </w:rPr>
      </w:pPr>
    </w:p>
    <w:p w14:paraId="17B4E2DB" w14:textId="77777777" w:rsidR="00B679FB" w:rsidRPr="00CE3371" w:rsidRDefault="00B679FB" w:rsidP="00B679FB">
      <w:pPr>
        <w:pStyle w:val="Prrafodelista"/>
        <w:tabs>
          <w:tab w:val="left" w:pos="426"/>
        </w:tabs>
        <w:spacing w:before="240" w:after="240"/>
        <w:ind w:left="0" w:right="51"/>
        <w:rPr>
          <w:rFonts w:eastAsia="MS Mincho"/>
          <w:color w:val="000000"/>
          <w:szCs w:val="24"/>
        </w:rPr>
      </w:pPr>
      <w:r w:rsidRPr="00CE3371">
        <w:rPr>
          <w:szCs w:val="24"/>
        </w:rPr>
        <w:t xml:space="preserve">De </w:t>
      </w:r>
      <w:r w:rsidRPr="00CE3371">
        <w:rPr>
          <w:rFonts w:eastAsia="MS Mincho"/>
          <w:color w:val="000000"/>
          <w:szCs w:val="24"/>
        </w:rPr>
        <w:t>conformidad con lo dispuesto por el artículo 53 de la Ley de Transparencia y Acceso a la Información Pública del Estado de México y Municipios, las Unidades de Transparencia tendrán, entre sus atribuciones, las siguientes:</w:t>
      </w:r>
    </w:p>
    <w:p w14:paraId="116FA16F" w14:textId="77777777" w:rsidR="00B679FB" w:rsidRPr="00CE3371" w:rsidRDefault="00B679FB" w:rsidP="00B679FB">
      <w:pPr>
        <w:pStyle w:val="Prrafodelista"/>
        <w:numPr>
          <w:ilvl w:val="1"/>
          <w:numId w:val="10"/>
        </w:numPr>
        <w:tabs>
          <w:tab w:val="left" w:pos="426"/>
        </w:tabs>
        <w:spacing w:before="240" w:after="240"/>
        <w:ind w:left="1134" w:right="51"/>
        <w:rPr>
          <w:rFonts w:eastAsia="MS Mincho"/>
          <w:i/>
          <w:iCs/>
          <w:color w:val="000000"/>
          <w:sz w:val="22"/>
        </w:rPr>
      </w:pPr>
      <w:r w:rsidRPr="00CE3371">
        <w:rPr>
          <w:rFonts w:eastAsia="MS Mincho"/>
          <w:i/>
          <w:iCs/>
          <w:color w:val="000000"/>
          <w:sz w:val="22"/>
        </w:rPr>
        <w:t>Recibir, tramitar y dar respuesta a las solicitudes de acceso a la información;</w:t>
      </w:r>
    </w:p>
    <w:p w14:paraId="0290E9CF" w14:textId="77777777" w:rsidR="00B679FB" w:rsidRPr="00CE3371" w:rsidRDefault="00B679FB" w:rsidP="00B679FB">
      <w:pPr>
        <w:pStyle w:val="Prrafodelista"/>
        <w:numPr>
          <w:ilvl w:val="1"/>
          <w:numId w:val="10"/>
        </w:numPr>
        <w:tabs>
          <w:tab w:val="left" w:pos="426"/>
        </w:tabs>
        <w:spacing w:before="240" w:after="240"/>
        <w:ind w:left="1134" w:right="51"/>
        <w:rPr>
          <w:rFonts w:eastAsia="MS Mincho"/>
          <w:i/>
          <w:iCs/>
          <w:color w:val="000000"/>
          <w:sz w:val="22"/>
        </w:rPr>
      </w:pPr>
      <w:r w:rsidRPr="00CE3371">
        <w:rPr>
          <w:rFonts w:eastAsia="MS Mincho"/>
          <w:i/>
          <w:iCs/>
          <w:color w:val="000000"/>
          <w:sz w:val="22"/>
        </w:rPr>
        <w:t xml:space="preserve">Realizar, con efectividad, los trámites internos necesarios para la atención de las solicitudes de acceso a la información; </w:t>
      </w:r>
    </w:p>
    <w:p w14:paraId="0C664C72" w14:textId="77777777" w:rsidR="00B679FB" w:rsidRPr="00CE3371" w:rsidRDefault="00B679FB" w:rsidP="00B679FB">
      <w:pPr>
        <w:pStyle w:val="Prrafodelista"/>
        <w:numPr>
          <w:ilvl w:val="1"/>
          <w:numId w:val="10"/>
        </w:numPr>
        <w:tabs>
          <w:tab w:val="left" w:pos="426"/>
        </w:tabs>
        <w:spacing w:before="240" w:after="240"/>
        <w:ind w:left="1134" w:right="51"/>
        <w:rPr>
          <w:rFonts w:eastAsia="MS Mincho"/>
          <w:i/>
          <w:iCs/>
          <w:color w:val="000000"/>
          <w:sz w:val="22"/>
        </w:rPr>
      </w:pPr>
      <w:r w:rsidRPr="00CE3371">
        <w:rPr>
          <w:rFonts w:eastAsia="MS Mincho"/>
          <w:i/>
          <w:iCs/>
          <w:color w:val="000000"/>
          <w:sz w:val="22"/>
        </w:rPr>
        <w:t xml:space="preserve">Entregar, en su caso, a los particulares la información solicitada; y </w:t>
      </w:r>
    </w:p>
    <w:p w14:paraId="4B8F6544" w14:textId="77777777" w:rsidR="00B679FB" w:rsidRPr="00CE3371" w:rsidRDefault="00B679FB" w:rsidP="00B679FB">
      <w:pPr>
        <w:pStyle w:val="Prrafodelista"/>
        <w:numPr>
          <w:ilvl w:val="1"/>
          <w:numId w:val="10"/>
        </w:numPr>
        <w:tabs>
          <w:tab w:val="left" w:pos="426"/>
        </w:tabs>
        <w:spacing w:before="240" w:after="240"/>
        <w:ind w:left="1134" w:right="51"/>
        <w:rPr>
          <w:i/>
          <w:iCs/>
          <w:color w:val="000000" w:themeColor="text1"/>
          <w:sz w:val="22"/>
        </w:rPr>
      </w:pPr>
      <w:r w:rsidRPr="00CE3371">
        <w:rPr>
          <w:rFonts w:eastAsia="MS Mincho"/>
          <w:i/>
          <w:iCs/>
          <w:color w:val="000000"/>
          <w:sz w:val="22"/>
        </w:rPr>
        <w:t>Efectuar las notificaciones a los solicitantes.</w:t>
      </w:r>
    </w:p>
    <w:p w14:paraId="572CC6D9" w14:textId="77777777" w:rsidR="00B679FB" w:rsidRPr="00CE3371" w:rsidRDefault="00B679FB" w:rsidP="00B679FB"/>
    <w:p w14:paraId="6BD545A0" w14:textId="77777777" w:rsidR="00B679FB" w:rsidRPr="00CE3371" w:rsidRDefault="00B679FB" w:rsidP="00B679FB">
      <w:pPr>
        <w:rPr>
          <w:rFonts w:eastAsia="MS Mincho"/>
          <w:color w:val="000000"/>
          <w:szCs w:val="24"/>
        </w:rPr>
      </w:pPr>
      <w:r w:rsidRPr="00CE3371">
        <w:rPr>
          <w:szCs w:val="24"/>
        </w:rPr>
        <w:t xml:space="preserve">De tal </w:t>
      </w:r>
      <w:r w:rsidRPr="00CE3371">
        <w:rPr>
          <w:rFonts w:eastAsia="MS Mincho"/>
          <w:color w:val="000000"/>
          <w:szCs w:val="24"/>
        </w:rPr>
        <w:t xml:space="preserve">manera que cada una de las áreas administrativas del </w:t>
      </w:r>
      <w:r w:rsidRPr="00CE3371">
        <w:rPr>
          <w:rFonts w:eastAsia="MS Mincho"/>
          <w:b/>
          <w:bCs/>
          <w:color w:val="000000"/>
          <w:szCs w:val="24"/>
        </w:rPr>
        <w:t>SUJETO OBLIGADO</w:t>
      </w:r>
      <w:r w:rsidRPr="00CE3371">
        <w:rPr>
          <w:rFonts w:eastAsia="MS Mincho"/>
          <w:color w:val="000000"/>
          <w:szCs w:val="24"/>
        </w:rPr>
        <w:t xml:space="preserve"> deberá contar con un servidor público habilitado, quien será, a su vez, el enlace entre la Unidad de Transparencia y el área administrativa, y se encargará de buscar, localizar y </w:t>
      </w:r>
      <w:r w:rsidRPr="00CE3371">
        <w:rPr>
          <w:rFonts w:eastAsia="MS Mincho"/>
          <w:color w:val="000000"/>
          <w:szCs w:val="24"/>
        </w:rPr>
        <w:lastRenderedPageBreak/>
        <w:t>proporcionar la información que se requiera a través de las solicitudes de acceso a la información.</w:t>
      </w:r>
    </w:p>
    <w:p w14:paraId="6FDD004F" w14:textId="77777777" w:rsidR="008C1FFF" w:rsidRPr="00CE3371" w:rsidRDefault="008C1FFF" w:rsidP="00025041">
      <w:pPr>
        <w:autoSpaceDE w:val="0"/>
        <w:autoSpaceDN w:val="0"/>
        <w:adjustRightInd w:val="0"/>
        <w:rPr>
          <w:rFonts w:eastAsia="MS Mincho"/>
          <w:color w:val="000000"/>
          <w:szCs w:val="24"/>
        </w:rPr>
      </w:pPr>
    </w:p>
    <w:p w14:paraId="0C61DA34" w14:textId="77777777" w:rsidR="00025041" w:rsidRPr="00CE3371" w:rsidRDefault="00025041" w:rsidP="00025041">
      <w:pPr>
        <w:autoSpaceDE w:val="0"/>
        <w:autoSpaceDN w:val="0"/>
        <w:adjustRightInd w:val="0"/>
        <w:rPr>
          <w:rFonts w:cs="Arial"/>
        </w:rPr>
      </w:pPr>
      <w:r w:rsidRPr="00CE3371">
        <w:rPr>
          <w:rFonts w:cs="Arial"/>
        </w:rPr>
        <w:t xml:space="preserve">Por lo tanto, este Instituto advierte que se ve colmado el Derecho al acceso a la Información mediante el pronunciamiento en </w:t>
      </w:r>
      <w:r w:rsidR="008C1FFF" w:rsidRPr="00CE3371">
        <w:rPr>
          <w:rFonts w:cs="Arial"/>
        </w:rPr>
        <w:t xml:space="preserve">respuesta e </w:t>
      </w:r>
      <w:r w:rsidRPr="00CE3371">
        <w:rPr>
          <w:rFonts w:cs="Arial"/>
        </w:rPr>
        <w:t>informe justificado por lo que se advierte que en el presente recurso de revisión se actualiza el supuesto pr</w:t>
      </w:r>
      <w:r w:rsidR="008C1FFF" w:rsidRPr="00CE3371">
        <w:rPr>
          <w:rFonts w:cs="Arial"/>
        </w:rPr>
        <w:t>evisto en la fracción V</w:t>
      </w:r>
      <w:r w:rsidRPr="00CE3371">
        <w:rPr>
          <w:rFonts w:cs="Arial"/>
        </w:rPr>
        <w:t>, del artículo 192, de la Ley de Transparencia y Acceso a la Información Pública del Estado de México y Municipios en vigor:</w:t>
      </w:r>
    </w:p>
    <w:p w14:paraId="20FCA7FA" w14:textId="77777777" w:rsidR="00025041" w:rsidRPr="00CE3371" w:rsidRDefault="00025041" w:rsidP="00025041">
      <w:pPr>
        <w:autoSpaceDE w:val="0"/>
        <w:autoSpaceDN w:val="0"/>
        <w:adjustRightInd w:val="0"/>
        <w:ind w:left="708"/>
        <w:rPr>
          <w:i/>
          <w:sz w:val="22"/>
        </w:rPr>
      </w:pPr>
      <w:r w:rsidRPr="00CE3371">
        <w:rPr>
          <w:i/>
          <w:sz w:val="22"/>
        </w:rPr>
        <w:t>“</w:t>
      </w:r>
      <w:r w:rsidRPr="00CE3371">
        <w:rPr>
          <w:b/>
          <w:i/>
          <w:sz w:val="22"/>
        </w:rPr>
        <w:t xml:space="preserve">Artículo 192. </w:t>
      </w:r>
      <w:r w:rsidRPr="00CE3371">
        <w:rPr>
          <w:b/>
          <w:i/>
          <w:sz w:val="22"/>
          <w:u w:val="single"/>
        </w:rPr>
        <w:t>El recurso será sobreseído, en todo o en parte, cuando una vez admitido, se actualicen alguno de los siguientes supuestos</w:t>
      </w:r>
      <w:r w:rsidRPr="00CE3371">
        <w:rPr>
          <w:i/>
          <w:sz w:val="22"/>
        </w:rPr>
        <w:t>:</w:t>
      </w:r>
    </w:p>
    <w:p w14:paraId="17C4E64F" w14:textId="77777777" w:rsidR="00025041" w:rsidRPr="00CE3371" w:rsidRDefault="00025041" w:rsidP="00025041">
      <w:pPr>
        <w:numPr>
          <w:ilvl w:val="0"/>
          <w:numId w:val="16"/>
        </w:numPr>
        <w:autoSpaceDE w:val="0"/>
        <w:autoSpaceDN w:val="0"/>
        <w:adjustRightInd w:val="0"/>
        <w:spacing w:line="240" w:lineRule="auto"/>
        <w:rPr>
          <w:i/>
          <w:sz w:val="22"/>
        </w:rPr>
      </w:pPr>
      <w:r w:rsidRPr="00CE3371">
        <w:rPr>
          <w:i/>
          <w:sz w:val="22"/>
        </w:rPr>
        <w:t xml:space="preserve">El recurrente se desista expresamente del recurso; </w:t>
      </w:r>
    </w:p>
    <w:p w14:paraId="77C418EC" w14:textId="77777777" w:rsidR="00025041" w:rsidRPr="00CE3371" w:rsidRDefault="00025041" w:rsidP="00025041">
      <w:pPr>
        <w:numPr>
          <w:ilvl w:val="0"/>
          <w:numId w:val="16"/>
        </w:numPr>
        <w:autoSpaceDE w:val="0"/>
        <w:autoSpaceDN w:val="0"/>
        <w:adjustRightInd w:val="0"/>
        <w:spacing w:line="240" w:lineRule="auto"/>
        <w:rPr>
          <w:rFonts w:cs="Arial"/>
          <w:i/>
          <w:sz w:val="22"/>
        </w:rPr>
      </w:pPr>
      <w:r w:rsidRPr="00CE3371">
        <w:rPr>
          <w:i/>
          <w:sz w:val="22"/>
        </w:rPr>
        <w:t xml:space="preserve">El recurrente fallezca o, tratándose de personas jurídicas colectivas, se disuelva; </w:t>
      </w:r>
    </w:p>
    <w:p w14:paraId="38FD06BA" w14:textId="77777777" w:rsidR="00025041" w:rsidRPr="00CE3371" w:rsidRDefault="00025041" w:rsidP="00025041">
      <w:pPr>
        <w:numPr>
          <w:ilvl w:val="0"/>
          <w:numId w:val="16"/>
        </w:numPr>
        <w:autoSpaceDE w:val="0"/>
        <w:autoSpaceDN w:val="0"/>
        <w:adjustRightInd w:val="0"/>
        <w:spacing w:line="240" w:lineRule="auto"/>
        <w:rPr>
          <w:rFonts w:cs="Arial"/>
          <w:i/>
          <w:sz w:val="22"/>
        </w:rPr>
      </w:pPr>
      <w:r w:rsidRPr="00CE3371">
        <w:rPr>
          <w:i/>
          <w:sz w:val="22"/>
        </w:rPr>
        <w:t xml:space="preserve">El sujeto obligado responsable del acto lo modifique o revoque de tal manera que el recurso de revisión quede sin materia; </w:t>
      </w:r>
    </w:p>
    <w:p w14:paraId="5DF7E41C" w14:textId="77777777" w:rsidR="00025041" w:rsidRPr="00CE3371" w:rsidRDefault="00025041" w:rsidP="00025041">
      <w:pPr>
        <w:numPr>
          <w:ilvl w:val="0"/>
          <w:numId w:val="16"/>
        </w:numPr>
        <w:autoSpaceDE w:val="0"/>
        <w:autoSpaceDN w:val="0"/>
        <w:adjustRightInd w:val="0"/>
        <w:spacing w:line="240" w:lineRule="auto"/>
        <w:rPr>
          <w:rFonts w:cs="Arial"/>
          <w:i/>
          <w:sz w:val="22"/>
        </w:rPr>
      </w:pPr>
      <w:r w:rsidRPr="00CE3371">
        <w:rPr>
          <w:i/>
          <w:sz w:val="22"/>
        </w:rPr>
        <w:t xml:space="preserve">Admitido el recurso de revisión, aparezca alguna causal de improcedencia en los términos de la presente Ley; y </w:t>
      </w:r>
    </w:p>
    <w:p w14:paraId="09F6FE83" w14:textId="77777777" w:rsidR="00025041" w:rsidRPr="00CE3371" w:rsidRDefault="00025041" w:rsidP="00025041">
      <w:pPr>
        <w:numPr>
          <w:ilvl w:val="0"/>
          <w:numId w:val="16"/>
        </w:numPr>
        <w:autoSpaceDE w:val="0"/>
        <w:autoSpaceDN w:val="0"/>
        <w:adjustRightInd w:val="0"/>
        <w:spacing w:line="240" w:lineRule="auto"/>
        <w:rPr>
          <w:rFonts w:cs="Arial"/>
          <w:i/>
          <w:sz w:val="22"/>
        </w:rPr>
      </w:pPr>
      <w:r w:rsidRPr="00CE3371">
        <w:rPr>
          <w:b/>
          <w:i/>
          <w:sz w:val="22"/>
          <w:u w:val="single"/>
        </w:rPr>
        <w:t>Cuando por cualquier motivo quede sin materia el recurso</w:t>
      </w:r>
      <w:r w:rsidRPr="00CE3371">
        <w:rPr>
          <w:i/>
          <w:sz w:val="22"/>
        </w:rPr>
        <w:t>.”</w:t>
      </w:r>
    </w:p>
    <w:p w14:paraId="638E9020" w14:textId="77777777" w:rsidR="00025041" w:rsidRPr="00CE3371" w:rsidRDefault="00025041" w:rsidP="00025041">
      <w:pPr>
        <w:spacing w:before="240" w:after="240"/>
      </w:pPr>
    </w:p>
    <w:p w14:paraId="6F3BFFBA" w14:textId="77777777" w:rsidR="00025041" w:rsidRPr="00CE3371" w:rsidRDefault="00025041" w:rsidP="00025041">
      <w:pPr>
        <w:ind w:right="51"/>
        <w:rPr>
          <w:rFonts w:cs="Arial"/>
          <w:bCs/>
        </w:rPr>
      </w:pPr>
      <w:r w:rsidRPr="00CE3371">
        <w:rPr>
          <w:rFonts w:cs="Arial"/>
        </w:rPr>
        <w:t>En mérito de lo expuesto en líneas anteriores</w:t>
      </w:r>
      <w:r w:rsidRPr="00CE3371">
        <w:rPr>
          <w:noProof/>
        </w:rPr>
        <w:t xml:space="preserve">, resultan improcedentes los motivos de inconformidad que arguye </w:t>
      </w:r>
      <w:r w:rsidRPr="00CE3371">
        <w:rPr>
          <w:b/>
          <w:noProof/>
        </w:rPr>
        <w:t>el Recurrente</w:t>
      </w:r>
      <w:r w:rsidRPr="00CE3371">
        <w:rPr>
          <w:noProof/>
        </w:rPr>
        <w:t xml:space="preserve"> en su medio de impugnación que fue materia de estudio, </w:t>
      </w:r>
      <w:r w:rsidRPr="00CE3371">
        <w:rPr>
          <w:rFonts w:cs="Arial"/>
        </w:rPr>
        <w:t xml:space="preserve">por ello con fundamento en el artículo 186, fracción I, en concordancia con el artículo 192, fracción V, de la Ley de Transparencia y Acceso a la Información Pública del Estado de México y Municipios, se </w:t>
      </w:r>
      <w:r w:rsidRPr="00CE3371">
        <w:rPr>
          <w:rFonts w:cs="Arial"/>
          <w:b/>
        </w:rPr>
        <w:t>SOBRESEE</w:t>
      </w:r>
      <w:r w:rsidRPr="00CE3371">
        <w:rPr>
          <w:rFonts w:cs="Arial"/>
        </w:rPr>
        <w:t xml:space="preserve"> el recurso de revisión </w:t>
      </w:r>
      <w:r w:rsidRPr="00CE3371">
        <w:rPr>
          <w:rFonts w:cs="Arial"/>
          <w:b/>
        </w:rPr>
        <w:t>01220</w:t>
      </w:r>
      <w:r w:rsidRPr="00CE3371">
        <w:rPr>
          <w:rFonts w:eastAsiaTheme="minorEastAsia"/>
          <w:b/>
        </w:rPr>
        <w:t>/INFOEM/IP/RR/2026</w:t>
      </w:r>
      <w:r w:rsidRPr="00CE3371">
        <w:rPr>
          <w:rFonts w:eastAsiaTheme="minorEastAsia"/>
        </w:rPr>
        <w:t>,</w:t>
      </w:r>
      <w:r w:rsidRPr="00CE3371">
        <w:rPr>
          <w:rFonts w:eastAsiaTheme="minorEastAsia"/>
          <w:b/>
        </w:rPr>
        <w:t xml:space="preserve"> </w:t>
      </w:r>
      <w:r w:rsidRPr="00CE3371">
        <w:rPr>
          <w:rFonts w:cs="Arial"/>
          <w:bCs/>
        </w:rPr>
        <w:t>que ha sido materia del presente fallo.</w:t>
      </w:r>
    </w:p>
    <w:p w14:paraId="6BCE762F" w14:textId="77777777" w:rsidR="00025041" w:rsidRPr="00CE3371" w:rsidRDefault="00025041" w:rsidP="00025041">
      <w:pPr>
        <w:tabs>
          <w:tab w:val="left" w:pos="8931"/>
        </w:tabs>
        <w:ind w:right="51"/>
      </w:pPr>
      <w:r w:rsidRPr="00CE3371">
        <w:t>Por lo antes expuesto y fundado es de resolverse y,</w:t>
      </w:r>
    </w:p>
    <w:p w14:paraId="6A98CD67" w14:textId="77777777" w:rsidR="00025041" w:rsidRPr="00CE3371" w:rsidRDefault="00025041" w:rsidP="00025041">
      <w:pPr>
        <w:tabs>
          <w:tab w:val="left" w:pos="8931"/>
        </w:tabs>
        <w:ind w:right="51"/>
      </w:pPr>
    </w:p>
    <w:p w14:paraId="030CCAA7" w14:textId="77777777" w:rsidR="00025041" w:rsidRPr="00CE3371" w:rsidRDefault="00025041" w:rsidP="00025041">
      <w:pPr>
        <w:jc w:val="center"/>
        <w:rPr>
          <w:b/>
          <w:bCs/>
          <w:spacing w:val="60"/>
          <w:sz w:val="28"/>
        </w:rPr>
      </w:pPr>
      <w:r w:rsidRPr="00CE3371">
        <w:rPr>
          <w:b/>
          <w:bCs/>
          <w:spacing w:val="60"/>
          <w:sz w:val="28"/>
        </w:rPr>
        <w:lastRenderedPageBreak/>
        <w:t>SE    RESUELVE</w:t>
      </w:r>
    </w:p>
    <w:p w14:paraId="1CC7212B" w14:textId="77777777" w:rsidR="00025041" w:rsidRPr="00CE3371" w:rsidRDefault="00025041" w:rsidP="00025041">
      <w:pPr>
        <w:jc w:val="center"/>
        <w:rPr>
          <w:b/>
          <w:bCs/>
          <w:spacing w:val="60"/>
          <w:sz w:val="28"/>
        </w:rPr>
      </w:pPr>
    </w:p>
    <w:p w14:paraId="1E502074" w14:textId="77777777" w:rsidR="00025041" w:rsidRPr="00CE3371" w:rsidRDefault="00025041" w:rsidP="00025041">
      <w:pPr>
        <w:jc w:val="center"/>
        <w:rPr>
          <w:b/>
          <w:bCs/>
          <w:spacing w:val="60"/>
        </w:rPr>
      </w:pPr>
    </w:p>
    <w:p w14:paraId="02F9C49B" w14:textId="77777777" w:rsidR="00025041" w:rsidRPr="00CE3371" w:rsidRDefault="00025041" w:rsidP="00025041">
      <w:pPr>
        <w:rPr>
          <w:rFonts w:eastAsiaTheme="minorEastAsia"/>
        </w:rPr>
      </w:pPr>
      <w:r w:rsidRPr="00CE3371">
        <w:rPr>
          <w:b/>
          <w:bCs/>
          <w:sz w:val="28"/>
        </w:rPr>
        <w:t>PRIMERO</w:t>
      </w:r>
      <w:r w:rsidRPr="00CE3371">
        <w:rPr>
          <w:sz w:val="28"/>
        </w:rPr>
        <w:t xml:space="preserve">. </w:t>
      </w:r>
      <w:r w:rsidRPr="00CE3371">
        <w:rPr>
          <w:rFonts w:cs="Arial"/>
        </w:rPr>
        <w:t xml:space="preserve">Se </w:t>
      </w:r>
      <w:r w:rsidRPr="00CE3371">
        <w:rPr>
          <w:rFonts w:cs="Arial"/>
          <w:b/>
        </w:rPr>
        <w:t>SOBRESEE</w:t>
      </w:r>
      <w:r w:rsidRPr="00CE3371">
        <w:rPr>
          <w:rFonts w:cs="Arial"/>
        </w:rPr>
        <w:t xml:space="preserve"> el recurso de revisión número </w:t>
      </w:r>
      <w:r w:rsidRPr="00CE3371">
        <w:rPr>
          <w:rFonts w:cs="Arial"/>
          <w:b/>
        </w:rPr>
        <w:t>01220</w:t>
      </w:r>
      <w:r w:rsidRPr="00CE3371">
        <w:rPr>
          <w:rFonts w:eastAsiaTheme="minorEastAsia"/>
          <w:b/>
        </w:rPr>
        <w:t>/INFOEM/IP/RR/2026</w:t>
      </w:r>
      <w:r w:rsidRPr="00CE3371">
        <w:rPr>
          <w:rFonts w:eastAsiaTheme="minorEastAsia"/>
        </w:rPr>
        <w:t xml:space="preserve">, por haberse quedado sin materia en términos del artículo 192, fracción V, de la Ley de Transparencia y Acceso a la Información Pública del Estado de México y Municipios, y en términos del Considerando </w:t>
      </w:r>
      <w:r w:rsidRPr="00CE3371">
        <w:rPr>
          <w:rFonts w:eastAsiaTheme="minorEastAsia"/>
          <w:b/>
        </w:rPr>
        <w:t xml:space="preserve">QUINTO </w:t>
      </w:r>
      <w:r w:rsidRPr="00CE3371">
        <w:rPr>
          <w:rFonts w:eastAsiaTheme="minorEastAsia"/>
        </w:rPr>
        <w:t>de la presente resolución.</w:t>
      </w:r>
    </w:p>
    <w:p w14:paraId="42F82635" w14:textId="77777777" w:rsidR="00025041" w:rsidRPr="00CE3371" w:rsidRDefault="00025041" w:rsidP="00025041">
      <w:pPr>
        <w:rPr>
          <w:rFonts w:eastAsiaTheme="minorEastAsia"/>
          <w:szCs w:val="24"/>
        </w:rPr>
      </w:pPr>
    </w:p>
    <w:p w14:paraId="44DE8610" w14:textId="77777777" w:rsidR="00025041" w:rsidRPr="00CE3371" w:rsidRDefault="00025041" w:rsidP="00025041">
      <w:pPr>
        <w:rPr>
          <w:szCs w:val="24"/>
        </w:rPr>
      </w:pPr>
      <w:r w:rsidRPr="00CE3371">
        <w:rPr>
          <w:b/>
          <w:sz w:val="28"/>
          <w:szCs w:val="24"/>
        </w:rPr>
        <w:t>SEGUNDO</w:t>
      </w:r>
      <w:r w:rsidRPr="00CE3371">
        <w:rPr>
          <w:b/>
          <w:szCs w:val="24"/>
        </w:rPr>
        <w:t>.</w:t>
      </w:r>
      <w:r w:rsidRPr="00CE3371">
        <w:rPr>
          <w:rFonts w:cs="Arial"/>
          <w:szCs w:val="24"/>
        </w:rPr>
        <w:t xml:space="preserve"> </w:t>
      </w:r>
      <w:r w:rsidRPr="00CE3371">
        <w:rPr>
          <w:b/>
          <w:szCs w:val="24"/>
        </w:rPr>
        <w:t>NOTIFÍQUESE</w:t>
      </w:r>
      <w:r w:rsidRPr="00CE3371">
        <w:rPr>
          <w:szCs w:val="24"/>
        </w:rPr>
        <w:t xml:space="preserve"> vía </w:t>
      </w:r>
      <w:r w:rsidRPr="00CE3371">
        <w:rPr>
          <w:b/>
          <w:szCs w:val="24"/>
        </w:rPr>
        <w:t>Sistema de Acceso a la Información Mexiquense (SAIMEX)</w:t>
      </w:r>
      <w:r w:rsidRPr="00CE3371">
        <w:rPr>
          <w:szCs w:val="24"/>
        </w:rPr>
        <w:t xml:space="preserve">, la presente resolución al Titular de la Unidad de Transparencia del </w:t>
      </w:r>
      <w:r w:rsidRPr="00CE3371">
        <w:rPr>
          <w:b/>
          <w:szCs w:val="24"/>
        </w:rPr>
        <w:t>Sujeto Obligado</w:t>
      </w:r>
      <w:r w:rsidRPr="00CE3371">
        <w:rPr>
          <w:szCs w:val="24"/>
        </w:rPr>
        <w:t>.</w:t>
      </w:r>
    </w:p>
    <w:p w14:paraId="27C9F73F" w14:textId="77777777" w:rsidR="00025041" w:rsidRPr="00CE3371" w:rsidRDefault="00025041" w:rsidP="00025041">
      <w:pPr>
        <w:rPr>
          <w:szCs w:val="24"/>
        </w:rPr>
      </w:pPr>
    </w:p>
    <w:p w14:paraId="0A1EE0CA" w14:textId="77777777" w:rsidR="00025041" w:rsidRPr="00CE3371" w:rsidRDefault="00025041" w:rsidP="00025041">
      <w:pPr>
        <w:rPr>
          <w:szCs w:val="24"/>
        </w:rPr>
      </w:pPr>
      <w:r w:rsidRPr="00CE3371">
        <w:rPr>
          <w:rFonts w:cs="Arial"/>
          <w:b/>
          <w:sz w:val="28"/>
          <w:szCs w:val="24"/>
        </w:rPr>
        <w:t>TERCERO.</w:t>
      </w:r>
      <w:r w:rsidRPr="00CE3371">
        <w:rPr>
          <w:rFonts w:cs="Arial"/>
          <w:b/>
          <w:szCs w:val="24"/>
        </w:rPr>
        <w:t xml:space="preserve"> </w:t>
      </w:r>
      <w:r w:rsidRPr="00CE3371">
        <w:rPr>
          <w:b/>
          <w:szCs w:val="24"/>
        </w:rPr>
        <w:t>NOTIFÍQUESE</w:t>
      </w:r>
      <w:r w:rsidRPr="00CE3371">
        <w:rPr>
          <w:szCs w:val="24"/>
        </w:rPr>
        <w:t xml:space="preserve"> al </w:t>
      </w:r>
      <w:r w:rsidRPr="00CE3371">
        <w:rPr>
          <w:b/>
          <w:szCs w:val="24"/>
        </w:rPr>
        <w:t xml:space="preserve">Recurrente </w:t>
      </w:r>
      <w:r w:rsidRPr="00CE3371">
        <w:rPr>
          <w:szCs w:val="24"/>
        </w:rPr>
        <w:t xml:space="preserve">la presente resolución vía Sistema de Acceso a la Información Mexiquense </w:t>
      </w:r>
      <w:r w:rsidRPr="00CE3371">
        <w:rPr>
          <w:b/>
          <w:szCs w:val="24"/>
        </w:rPr>
        <w:t>(SAIMEX)</w:t>
      </w:r>
      <w:r w:rsidRPr="00CE3371">
        <w:rPr>
          <w:szCs w:val="24"/>
        </w:rPr>
        <w:t xml:space="preserve">, y </w:t>
      </w:r>
      <w:r w:rsidRPr="00CE3371">
        <w:rPr>
          <w:rFonts w:cs="Arial"/>
          <w:szCs w:val="24"/>
        </w:rPr>
        <w:t>hágase</w:t>
      </w:r>
      <w:r w:rsidRPr="00CE3371">
        <w:rPr>
          <w:szCs w:val="24"/>
        </w:rPr>
        <w:t xml:space="preserve"> de su conocimiento que en caso de que considere que le cause algún perjuicio la presente resolución, podrá promover el Juicio de Amparo en los términos de las leyes aplicables, de acuerdo a lo estipulado por el artículo 196, de la Ley de Transparencia y Acceso a la Información Pública del Estado de México y Municipios.</w:t>
      </w:r>
    </w:p>
    <w:p w14:paraId="5DA26200" w14:textId="77777777" w:rsidR="00025041" w:rsidRPr="00CE3371" w:rsidRDefault="00025041" w:rsidP="0084780C">
      <w:pPr>
        <w:rPr>
          <w:rFonts w:cs="Arial"/>
          <w:color w:val="000000"/>
          <w:szCs w:val="24"/>
        </w:rPr>
      </w:pPr>
    </w:p>
    <w:p w14:paraId="399671D1" w14:textId="099DEFA0" w:rsidR="0084780C" w:rsidRPr="00F73A41" w:rsidRDefault="0084780C" w:rsidP="0084780C">
      <w:pPr>
        <w:rPr>
          <w:rFonts w:cs="Arial"/>
          <w:szCs w:val="24"/>
          <w:lang w:val="es-MX"/>
        </w:rPr>
      </w:pPr>
      <w:r w:rsidRPr="00CE3371">
        <w:rPr>
          <w:rFonts w:cs="Arial"/>
          <w:szCs w:val="24"/>
        </w:rPr>
        <w:t xml:space="preserve">ASÍ LO RESUELVE, POR </w:t>
      </w:r>
      <w:r w:rsidR="00C57EBB" w:rsidRPr="00CE3371">
        <w:rPr>
          <w:rFonts w:cs="Arial"/>
          <w:b/>
          <w:bCs/>
          <w:szCs w:val="24"/>
        </w:rPr>
        <w:t>MAYORÍA</w:t>
      </w:r>
      <w:r w:rsidRPr="00CE3371">
        <w:rPr>
          <w:rFonts w:cs="Arial"/>
          <w:b/>
          <w:bCs/>
          <w:szCs w:val="24"/>
        </w:rPr>
        <w:t xml:space="preserve"> DE VOTOS</w:t>
      </w:r>
      <w:r w:rsidRPr="00CE3371">
        <w:rPr>
          <w:rFonts w:cs="Arial"/>
          <w:szCs w:val="24"/>
        </w:rPr>
        <w:t xml:space="preserve"> EL PLENO DEL</w:t>
      </w:r>
      <w:r w:rsidRPr="00CE3371">
        <w:rPr>
          <w:rFonts w:eastAsia="Arial Unicode MS" w:cs="Arial"/>
          <w:szCs w:val="24"/>
        </w:rPr>
        <w:t xml:space="preserve"> INSTITUTO DE TRANSPARENCIA, ACCESO A LA INFORMACIÓN PÚBLICA Y PROTECCIÓN DE DATOS PERSONALES DEL ESTADO DE MÉXICO Y MUNICIPIOS</w:t>
      </w:r>
      <w:r w:rsidRPr="00CE3371">
        <w:rPr>
          <w:rFonts w:cs="Arial"/>
          <w:szCs w:val="24"/>
        </w:rPr>
        <w:t xml:space="preserve">, CONFORMADO POR LOS COMISIONADOS JOSÉ MARTÍNEZ VILCHIS, MARÍA DEL ROSARIO MEJÍA </w:t>
      </w:r>
      <w:r w:rsidRPr="00CE3371">
        <w:rPr>
          <w:rFonts w:cs="Arial"/>
          <w:szCs w:val="24"/>
        </w:rPr>
        <w:lastRenderedPageBreak/>
        <w:t>AYALA</w:t>
      </w:r>
      <w:r w:rsidR="00CA1950" w:rsidRPr="00CE3371">
        <w:rPr>
          <w:rFonts w:cs="Arial"/>
          <w:szCs w:val="24"/>
        </w:rPr>
        <w:t xml:space="preserve"> (</w:t>
      </w:r>
      <w:r w:rsidR="00CA1950" w:rsidRPr="00CE3371">
        <w:rPr>
          <w:rFonts w:cs="Arial"/>
          <w:szCs w:val="24"/>
          <w:u w:val="single"/>
        </w:rPr>
        <w:t>AUSENCIA JUSTIFICADA)</w:t>
      </w:r>
      <w:r w:rsidRPr="00CE3371">
        <w:rPr>
          <w:rFonts w:cs="Arial"/>
          <w:szCs w:val="24"/>
        </w:rPr>
        <w:t>, SHARON CRISTINA MORALES MARTÍNEZ, LUIS GUSTAVO PARRA NORIEGA Y GUADALUPE RAMÍREZ PEÑA</w:t>
      </w:r>
      <w:r w:rsidR="00CA1950" w:rsidRPr="00CE3371">
        <w:rPr>
          <w:rFonts w:cs="Arial"/>
          <w:szCs w:val="24"/>
        </w:rPr>
        <w:t xml:space="preserve"> (</w:t>
      </w:r>
      <w:r w:rsidR="00CA1950" w:rsidRPr="00CE3371">
        <w:rPr>
          <w:rFonts w:cs="Arial"/>
          <w:szCs w:val="24"/>
          <w:u w:val="single"/>
        </w:rPr>
        <w:t>VOTO DISIDENTE)</w:t>
      </w:r>
      <w:r w:rsidRPr="00CE3371">
        <w:rPr>
          <w:rFonts w:cs="Arial"/>
          <w:szCs w:val="24"/>
          <w:u w:val="single"/>
        </w:rPr>
        <w:t>,</w:t>
      </w:r>
      <w:r w:rsidRPr="00CE3371">
        <w:rPr>
          <w:rFonts w:cs="Arial"/>
          <w:szCs w:val="24"/>
        </w:rPr>
        <w:t xml:space="preserve"> EN LA </w:t>
      </w:r>
      <w:r w:rsidRPr="00CE3371">
        <w:rPr>
          <w:rFonts w:cs="Arial"/>
          <w:b/>
          <w:bCs/>
          <w:szCs w:val="24"/>
          <w:lang w:val="es-419"/>
        </w:rPr>
        <w:t>VIGÉSIMA</w:t>
      </w:r>
      <w:r w:rsidR="00CA1950" w:rsidRPr="00CE3371">
        <w:rPr>
          <w:rFonts w:cs="Arial"/>
          <w:b/>
          <w:bCs/>
          <w:szCs w:val="24"/>
          <w:lang w:val="es-419"/>
        </w:rPr>
        <w:t xml:space="preserve"> SEXTA</w:t>
      </w:r>
      <w:r w:rsidRPr="00CE3371">
        <w:rPr>
          <w:rFonts w:cs="Arial"/>
          <w:b/>
          <w:bCs/>
          <w:szCs w:val="24"/>
          <w:lang w:val="es-419"/>
        </w:rPr>
        <w:t xml:space="preserve"> </w:t>
      </w:r>
      <w:r w:rsidRPr="00CE3371">
        <w:rPr>
          <w:rFonts w:cs="Arial"/>
          <w:b/>
          <w:bCs/>
          <w:szCs w:val="24"/>
        </w:rPr>
        <w:t xml:space="preserve">SESIÓN ORDINARIA CELEBRADA EL </w:t>
      </w:r>
      <w:r w:rsidR="00CA1950" w:rsidRPr="00CE3371">
        <w:rPr>
          <w:rFonts w:cs="Arial"/>
          <w:b/>
          <w:bCs/>
          <w:szCs w:val="24"/>
        </w:rPr>
        <w:t>QUINCE  DE JUL</w:t>
      </w:r>
      <w:r w:rsidRPr="00CE3371">
        <w:rPr>
          <w:rFonts w:cs="Arial"/>
          <w:b/>
          <w:bCs/>
          <w:szCs w:val="24"/>
        </w:rPr>
        <w:t>IO DE DOS MIL VEINTISÉIS</w:t>
      </w:r>
      <w:r w:rsidRPr="00CE3371">
        <w:rPr>
          <w:rFonts w:cs="Arial"/>
          <w:szCs w:val="24"/>
        </w:rPr>
        <w:t>, ANTE EL SECRETARIO TÉCNICO DEL PLENO, ALEXIS TAPIA RAMÍREZ. --------------------------------------------------------------------------------------------------------------------------------------------------------------------------------------------------------------------------------------------------------------------------------------------------------------------------------------------------------------------------------------------------------------------------------------------------------------------------------------------------------------------------------------------------------------------------------------------------------</w:t>
      </w:r>
      <w:r w:rsidRPr="00CE3371">
        <w:rPr>
          <w:rFonts w:cs="Arial"/>
          <w:szCs w:val="24"/>
          <w:lang w:val="es-MX"/>
        </w:rPr>
        <w:t xml:space="preserve"> </w:t>
      </w:r>
      <w:r w:rsidRPr="00CE3371">
        <w:rPr>
          <w:rFonts w:cs="Arial"/>
          <w:sz w:val="20"/>
        </w:rPr>
        <w:t>JMV/CCR/NJMB</w:t>
      </w:r>
    </w:p>
    <w:p w14:paraId="5B993445" w14:textId="77777777" w:rsidR="0084780C" w:rsidRDefault="0084780C" w:rsidP="0084780C">
      <w:pPr>
        <w:rPr>
          <w:rFonts w:cs="Arial"/>
          <w:sz w:val="20"/>
        </w:rPr>
      </w:pPr>
    </w:p>
    <w:p w14:paraId="1F7710A3" w14:textId="77777777" w:rsidR="0084780C" w:rsidRDefault="0084780C" w:rsidP="0084780C">
      <w:pPr>
        <w:rPr>
          <w:rFonts w:cs="Arial"/>
          <w:sz w:val="20"/>
        </w:rPr>
      </w:pPr>
    </w:p>
    <w:p w14:paraId="35C60153" w14:textId="77777777" w:rsidR="0084780C" w:rsidRPr="004B7011" w:rsidRDefault="0084780C" w:rsidP="0084780C">
      <w:pPr>
        <w:pBdr>
          <w:top w:val="nil"/>
          <w:left w:val="nil"/>
          <w:bottom w:val="nil"/>
          <w:right w:val="nil"/>
          <w:between w:val="nil"/>
        </w:pBdr>
        <w:contextualSpacing/>
        <w:rPr>
          <w:rFonts w:eastAsia="Palatino Linotype" w:cs="Palatino Linotype"/>
          <w:color w:val="000000"/>
          <w:sz w:val="20"/>
          <w:szCs w:val="20"/>
        </w:rPr>
      </w:pPr>
    </w:p>
    <w:p w14:paraId="082DAB44" w14:textId="77777777" w:rsidR="0084780C" w:rsidRPr="004B7011" w:rsidRDefault="0084780C" w:rsidP="0084780C">
      <w:pPr>
        <w:pBdr>
          <w:top w:val="nil"/>
          <w:left w:val="nil"/>
          <w:bottom w:val="nil"/>
          <w:right w:val="nil"/>
          <w:between w:val="nil"/>
        </w:pBdr>
        <w:contextualSpacing/>
        <w:rPr>
          <w:rFonts w:eastAsia="Palatino Linotype" w:cs="Palatino Linotype"/>
          <w:color w:val="000000"/>
          <w:sz w:val="20"/>
          <w:szCs w:val="20"/>
        </w:rPr>
      </w:pPr>
    </w:p>
    <w:p w14:paraId="5B100893" w14:textId="77777777" w:rsidR="0084780C" w:rsidRPr="004B7011" w:rsidRDefault="0084780C" w:rsidP="0084780C">
      <w:pPr>
        <w:pBdr>
          <w:top w:val="nil"/>
          <w:left w:val="nil"/>
          <w:bottom w:val="nil"/>
          <w:right w:val="nil"/>
          <w:between w:val="nil"/>
        </w:pBdr>
        <w:contextualSpacing/>
        <w:rPr>
          <w:rFonts w:eastAsia="Palatino Linotype" w:cs="Palatino Linotype"/>
          <w:color w:val="000000"/>
          <w:sz w:val="20"/>
          <w:szCs w:val="20"/>
        </w:rPr>
      </w:pPr>
    </w:p>
    <w:p w14:paraId="1125C413" w14:textId="77777777" w:rsidR="0084780C" w:rsidRPr="004B7011" w:rsidRDefault="0084780C" w:rsidP="0084780C">
      <w:pPr>
        <w:pBdr>
          <w:top w:val="nil"/>
          <w:left w:val="nil"/>
          <w:bottom w:val="nil"/>
          <w:right w:val="nil"/>
          <w:between w:val="nil"/>
        </w:pBdr>
        <w:contextualSpacing/>
        <w:rPr>
          <w:rFonts w:eastAsia="Palatino Linotype" w:cs="Palatino Linotype"/>
          <w:color w:val="000000"/>
          <w:sz w:val="20"/>
          <w:szCs w:val="20"/>
        </w:rPr>
      </w:pPr>
    </w:p>
    <w:p w14:paraId="70DFCA1E" w14:textId="77777777" w:rsidR="0084780C" w:rsidRPr="004B7011" w:rsidRDefault="0084780C" w:rsidP="0084780C">
      <w:pPr>
        <w:pBdr>
          <w:top w:val="nil"/>
          <w:left w:val="nil"/>
          <w:bottom w:val="nil"/>
          <w:right w:val="nil"/>
          <w:between w:val="nil"/>
        </w:pBdr>
        <w:contextualSpacing/>
        <w:rPr>
          <w:rFonts w:eastAsia="Palatino Linotype" w:cs="Palatino Linotype"/>
          <w:color w:val="000000"/>
          <w:sz w:val="20"/>
          <w:szCs w:val="20"/>
        </w:rPr>
      </w:pPr>
    </w:p>
    <w:p w14:paraId="5459CA19" w14:textId="77777777" w:rsidR="0084780C" w:rsidRPr="004B7011" w:rsidRDefault="0084780C" w:rsidP="0084780C">
      <w:pPr>
        <w:pBdr>
          <w:top w:val="nil"/>
          <w:left w:val="nil"/>
          <w:bottom w:val="nil"/>
          <w:right w:val="nil"/>
          <w:between w:val="nil"/>
        </w:pBdr>
        <w:contextualSpacing/>
        <w:rPr>
          <w:rFonts w:eastAsia="Palatino Linotype" w:cs="Palatino Linotype"/>
          <w:color w:val="000000"/>
          <w:sz w:val="20"/>
          <w:szCs w:val="20"/>
        </w:rPr>
      </w:pPr>
    </w:p>
    <w:p w14:paraId="13AAFBD3" w14:textId="77777777" w:rsidR="0084780C" w:rsidRPr="004B7011" w:rsidRDefault="0084780C" w:rsidP="0084780C">
      <w:pPr>
        <w:pBdr>
          <w:top w:val="nil"/>
          <w:left w:val="nil"/>
          <w:bottom w:val="nil"/>
          <w:right w:val="nil"/>
          <w:between w:val="nil"/>
        </w:pBdr>
        <w:contextualSpacing/>
        <w:rPr>
          <w:rFonts w:eastAsia="Palatino Linotype" w:cs="Palatino Linotype"/>
          <w:color w:val="000000"/>
          <w:sz w:val="20"/>
          <w:szCs w:val="20"/>
        </w:rPr>
      </w:pPr>
    </w:p>
    <w:p w14:paraId="218B7FDB" w14:textId="77777777" w:rsidR="0084780C" w:rsidRPr="004B7011" w:rsidRDefault="0084780C" w:rsidP="0084780C">
      <w:pPr>
        <w:pBdr>
          <w:top w:val="nil"/>
          <w:left w:val="nil"/>
          <w:bottom w:val="nil"/>
          <w:right w:val="nil"/>
          <w:between w:val="nil"/>
        </w:pBdr>
        <w:contextualSpacing/>
        <w:rPr>
          <w:rFonts w:eastAsia="Palatino Linotype" w:cs="Palatino Linotype"/>
          <w:color w:val="000000"/>
          <w:sz w:val="20"/>
          <w:szCs w:val="20"/>
        </w:rPr>
      </w:pPr>
    </w:p>
    <w:p w14:paraId="7FB4C2DB" w14:textId="77777777" w:rsidR="0084780C" w:rsidRPr="004B7011" w:rsidRDefault="0084780C" w:rsidP="0084780C">
      <w:pPr>
        <w:pBdr>
          <w:top w:val="nil"/>
          <w:left w:val="nil"/>
          <w:bottom w:val="nil"/>
          <w:right w:val="nil"/>
          <w:between w:val="nil"/>
        </w:pBdr>
        <w:contextualSpacing/>
        <w:rPr>
          <w:rFonts w:eastAsia="Palatino Linotype" w:cs="Palatino Linotype"/>
          <w:color w:val="000000"/>
          <w:sz w:val="20"/>
          <w:szCs w:val="20"/>
        </w:rPr>
      </w:pPr>
    </w:p>
    <w:p w14:paraId="54A444A4" w14:textId="77777777" w:rsidR="0084780C" w:rsidRPr="004B7011" w:rsidRDefault="0084780C" w:rsidP="0084780C"/>
    <w:p w14:paraId="3CEA35CC" w14:textId="77777777" w:rsidR="0084780C" w:rsidRDefault="0084780C" w:rsidP="0084780C"/>
    <w:p w14:paraId="001EB45F" w14:textId="77777777" w:rsidR="0084780C" w:rsidRDefault="0084780C" w:rsidP="0084780C"/>
    <w:p w14:paraId="34FA4B26" w14:textId="77777777" w:rsidR="0084780C" w:rsidRDefault="0084780C" w:rsidP="0084780C"/>
    <w:p w14:paraId="0121B1D9" w14:textId="77777777" w:rsidR="0084780C" w:rsidRDefault="0084780C" w:rsidP="0084780C"/>
    <w:p w14:paraId="04B086CF" w14:textId="77777777" w:rsidR="0084780C" w:rsidRDefault="0084780C" w:rsidP="0084780C"/>
    <w:p w14:paraId="033076CA" w14:textId="77777777" w:rsidR="0084780C" w:rsidRPr="005350DB" w:rsidRDefault="0084780C" w:rsidP="0084780C"/>
    <w:p w14:paraId="7549DC35" w14:textId="77777777" w:rsidR="0084780C" w:rsidRDefault="0084780C" w:rsidP="0084780C"/>
    <w:p w14:paraId="2D91E05C" w14:textId="77777777" w:rsidR="0084780C" w:rsidRPr="001C5572" w:rsidRDefault="0084780C" w:rsidP="0084780C"/>
    <w:p w14:paraId="5058EF2E" w14:textId="77777777" w:rsidR="0084780C" w:rsidRDefault="0084780C" w:rsidP="0084780C"/>
    <w:p w14:paraId="7EDC95AB" w14:textId="77777777" w:rsidR="0084780C" w:rsidRDefault="0084780C" w:rsidP="0084780C"/>
    <w:p w14:paraId="6F66B8C7" w14:textId="77777777" w:rsidR="0084780C" w:rsidRDefault="0084780C" w:rsidP="0084780C"/>
    <w:p w14:paraId="52CBADA4" w14:textId="77777777" w:rsidR="0084780C" w:rsidRDefault="0084780C" w:rsidP="0084780C"/>
    <w:p w14:paraId="6AD15673" w14:textId="77777777" w:rsidR="0084780C" w:rsidRDefault="0084780C" w:rsidP="0084780C"/>
    <w:p w14:paraId="7BEE6CDD" w14:textId="77777777" w:rsidR="00611141" w:rsidRDefault="00611141"/>
    <w:sectPr w:rsidR="00611141" w:rsidSect="00775416">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8C5B8" w14:textId="77777777" w:rsidR="003C1E03" w:rsidRDefault="003C1E03" w:rsidP="0084780C">
      <w:pPr>
        <w:spacing w:line="240" w:lineRule="auto"/>
      </w:pPr>
      <w:r>
        <w:separator/>
      </w:r>
    </w:p>
  </w:endnote>
  <w:endnote w:type="continuationSeparator" w:id="0">
    <w:p w14:paraId="0584C577" w14:textId="77777777" w:rsidR="003C1E03" w:rsidRDefault="003C1E03" w:rsidP="008478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OCR A Extended">
    <w:panose1 w:val="02010509020102010303"/>
    <w:charset w:val="00"/>
    <w:family w:val="moder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D733D" w14:textId="77777777" w:rsidR="00A8616A" w:rsidRPr="00871A91" w:rsidRDefault="00A8616A" w:rsidP="00775416">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800FA">
      <w:rPr>
        <w:rFonts w:ascii="Palatino Linotype" w:hAnsi="Palatino Linotype"/>
        <w:b/>
        <w:bCs/>
        <w:noProof/>
        <w:sz w:val="20"/>
      </w:rPr>
      <w:t>13</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800FA">
      <w:rPr>
        <w:rFonts w:ascii="Palatino Linotype" w:hAnsi="Palatino Linotype"/>
        <w:b/>
        <w:bCs/>
        <w:noProof/>
        <w:sz w:val="20"/>
      </w:rPr>
      <w:t>23</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4CC5D" w14:textId="77777777" w:rsidR="00A8616A" w:rsidRPr="00871A91" w:rsidRDefault="00A8616A" w:rsidP="00775416">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800FA">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800FA">
      <w:rPr>
        <w:rFonts w:ascii="Palatino Linotype" w:hAnsi="Palatino Linotype"/>
        <w:b/>
        <w:bCs/>
        <w:noProof/>
        <w:sz w:val="20"/>
      </w:rPr>
      <w:t>23</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C17C8D" w14:textId="77777777" w:rsidR="003C1E03" w:rsidRDefault="003C1E03" w:rsidP="0084780C">
      <w:pPr>
        <w:spacing w:line="240" w:lineRule="auto"/>
      </w:pPr>
      <w:r>
        <w:separator/>
      </w:r>
    </w:p>
  </w:footnote>
  <w:footnote w:type="continuationSeparator" w:id="0">
    <w:p w14:paraId="2712112C" w14:textId="77777777" w:rsidR="003C1E03" w:rsidRDefault="003C1E03" w:rsidP="0084780C">
      <w:pPr>
        <w:spacing w:line="240" w:lineRule="auto"/>
      </w:pPr>
      <w:r>
        <w:continuationSeparator/>
      </w:r>
    </w:p>
  </w:footnote>
  <w:footnote w:id="1">
    <w:p w14:paraId="5D616BAD" w14:textId="77777777" w:rsidR="00A8616A" w:rsidRPr="00481AAF" w:rsidRDefault="00A8616A" w:rsidP="0084780C">
      <w:pPr>
        <w:spacing w:line="240" w:lineRule="auto"/>
        <w:rPr>
          <w:rFonts w:eastAsia="Times New Roman"/>
          <w:b/>
          <w:bCs/>
          <w:i/>
          <w:sz w:val="20"/>
          <w:szCs w:val="20"/>
        </w:rPr>
      </w:pPr>
      <w:r>
        <w:rPr>
          <w:rStyle w:val="Refdenotaalpie"/>
        </w:rPr>
        <w:footnoteRef/>
      </w:r>
      <w:r>
        <w:t xml:space="preserve"> </w:t>
      </w:r>
      <w:r w:rsidRPr="00946E1F">
        <w:rPr>
          <w:b/>
          <w:bCs/>
          <w:i/>
          <w:sz w:val="20"/>
          <w:szCs w:val="20"/>
        </w:rPr>
        <w:t xml:space="preserve">IMPROCEDENCIA Y SOBRESEIMIENTO EN EL JUICIO DE AMPARO. LAS CAUSAS PREVISTAS EN LOS ARTÍCULOS 73 Y 74 DE LA LEY DE LA MATERIA, RESPECTIVAMENTE, NO SON INCOMPATIBLES CON EL ARTÍCULO 25.1 DE LA CONVENCIÓN AMERICANA SOBRE </w:t>
      </w:r>
      <w:r w:rsidRPr="00481AAF">
        <w:rPr>
          <w:b/>
          <w:bCs/>
          <w:i/>
          <w:sz w:val="20"/>
          <w:szCs w:val="20"/>
        </w:rPr>
        <w:t>DERECHOS HUMANOS.</w:t>
      </w:r>
    </w:p>
    <w:p w14:paraId="7D6CC6CD" w14:textId="77777777" w:rsidR="00A8616A" w:rsidRPr="00946E1F" w:rsidRDefault="00A8616A" w:rsidP="0084780C">
      <w:pPr>
        <w:spacing w:line="240" w:lineRule="auto"/>
        <w:rPr>
          <w:i/>
          <w:sz w:val="20"/>
          <w:szCs w:val="20"/>
        </w:rPr>
      </w:pPr>
      <w:r w:rsidRPr="00481AAF">
        <w:rPr>
          <w:i/>
          <w:sz w:val="20"/>
          <w:szCs w:val="20"/>
        </w:rPr>
        <w:t>Del examen de compatibilidad de los artículos</w:t>
      </w:r>
      <w:r w:rsidRPr="00481AAF">
        <w:rPr>
          <w:rStyle w:val="apple-converted-space"/>
          <w:i/>
          <w:sz w:val="20"/>
          <w:szCs w:val="20"/>
        </w:rPr>
        <w:t> </w:t>
      </w:r>
      <w:hyperlink r:id="rId1" w:history="1">
        <w:r w:rsidRPr="00481AAF">
          <w:rPr>
            <w:rStyle w:val="Hipervnculo"/>
            <w:i/>
          </w:rPr>
          <w:t>73 y 74 de la Ley de Amparo</w:t>
        </w:r>
      </w:hyperlink>
      <w:r w:rsidRPr="00481AAF">
        <w:rPr>
          <w:rStyle w:val="apple-converted-space"/>
          <w:i/>
          <w:sz w:val="20"/>
          <w:szCs w:val="20"/>
        </w:rPr>
        <w:t> </w:t>
      </w:r>
      <w:r w:rsidRPr="00481AAF">
        <w:rPr>
          <w:i/>
          <w:sz w:val="20"/>
          <w:szCs w:val="20"/>
        </w:rPr>
        <w:t>con el artículo</w:t>
      </w:r>
      <w:r w:rsidRPr="00481AAF">
        <w:rPr>
          <w:rStyle w:val="apple-converted-space"/>
          <w:i/>
          <w:sz w:val="20"/>
          <w:szCs w:val="20"/>
        </w:rPr>
        <w:t> </w:t>
      </w:r>
      <w:hyperlink r:id="rId2" w:history="1">
        <w:r w:rsidRPr="00481AAF">
          <w:rPr>
            <w:rStyle w:val="Hipervnculo"/>
            <w:i/>
          </w:rPr>
          <w:t>25.1 de la Convención Americana sobre Derechos Humanos</w:t>
        </w:r>
      </w:hyperlink>
      <w:r w:rsidRPr="00481AAF">
        <w:rPr>
          <w:rStyle w:val="apple-converted-space"/>
          <w:i/>
          <w:sz w:val="20"/>
          <w:szCs w:val="20"/>
        </w:rPr>
        <w:t> </w:t>
      </w:r>
      <w:r w:rsidRPr="00481AAF">
        <w:rPr>
          <w:b/>
          <w:i/>
          <w:sz w:val="20"/>
          <w:szCs w:val="20"/>
          <w:u w:val="single"/>
        </w:rPr>
        <w:t xml:space="preserve">no se advierte que el derecho interno desatienda los estándares que pretenden proteger los derechos humanos en dicho tratado, por regular causas de improcedencia y sobreseimiento que impiden abordar el estudio de fondo del asunto en el juicio </w:t>
      </w:r>
      <w:r w:rsidRPr="00946E1F">
        <w:rPr>
          <w:b/>
          <w:i/>
          <w:sz w:val="20"/>
          <w:szCs w:val="20"/>
          <w:u w:val="single"/>
        </w:rPr>
        <w:t>de amparo,</w:t>
      </w:r>
      <w:r w:rsidRPr="00946E1F">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7A182" w14:textId="77777777" w:rsidR="00A8616A" w:rsidRDefault="003C1E03">
    <w:pPr>
      <w:pStyle w:val="Encabezado"/>
    </w:pPr>
    <w:r>
      <w:rPr>
        <w:noProof/>
        <w:lang w:val="es-MX" w:eastAsia="es-MX"/>
      </w:rPr>
      <w:pict w14:anchorId="004B16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8752;mso-wrap-edited:f;mso-position-horizontal:center;mso-position-horizontal-relative:margin;mso-position-vertical:center;mso-position-vertical-relative:margin"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temporary/>
      <w:showingPlcHdr/>
      <w15:appearance w15:val="hidden"/>
    </w:sdtPr>
    <w:sdtEndPr/>
    <w:sdtContent>
      <w:p w14:paraId="0C33B76D" w14:textId="77777777" w:rsidR="00A8616A" w:rsidRDefault="00A8616A">
        <w:pPr>
          <w:pStyle w:val="Encabezado"/>
        </w:pPr>
        <w:r>
          <w:t>[Escriba aquí]</w:t>
        </w:r>
      </w:p>
    </w:sdtContent>
  </w:sdt>
  <w:tbl>
    <w:tblPr>
      <w:tblW w:w="9498" w:type="dxa"/>
      <w:tblLayout w:type="fixed"/>
      <w:tblCellMar>
        <w:left w:w="70" w:type="dxa"/>
        <w:right w:w="70" w:type="dxa"/>
      </w:tblCellMar>
      <w:tblLook w:val="04A0" w:firstRow="1" w:lastRow="0" w:firstColumn="1" w:lastColumn="0" w:noHBand="0" w:noVBand="1"/>
    </w:tblPr>
    <w:tblGrid>
      <w:gridCol w:w="5103"/>
      <w:gridCol w:w="4395"/>
    </w:tblGrid>
    <w:tr w:rsidR="00A8616A" w:rsidRPr="00B17577" w14:paraId="6B2A7D70" w14:textId="77777777" w:rsidTr="00775416">
      <w:trPr>
        <w:trHeight w:val="227"/>
      </w:trPr>
      <w:tc>
        <w:tcPr>
          <w:tcW w:w="5103" w:type="dxa"/>
          <w:hideMark/>
        </w:tcPr>
        <w:p w14:paraId="37109156" w14:textId="77777777" w:rsidR="00A8616A" w:rsidRPr="00096248" w:rsidRDefault="00A8616A" w:rsidP="00775416">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11A467B0" w14:textId="77777777" w:rsidR="00A8616A" w:rsidRPr="00BA5235" w:rsidRDefault="00A8616A" w:rsidP="00775416">
          <w:pPr>
            <w:spacing w:after="120" w:line="240" w:lineRule="auto"/>
            <w:ind w:right="71"/>
            <w:jc w:val="right"/>
            <w:rPr>
              <w:rFonts w:cs="Arial"/>
              <w:b/>
              <w:bCs/>
              <w:szCs w:val="24"/>
            </w:rPr>
          </w:pPr>
          <w:r>
            <w:rPr>
              <w:rFonts w:cs="Arial"/>
              <w:b/>
              <w:bCs/>
              <w:szCs w:val="24"/>
            </w:rPr>
            <w:t>01220</w:t>
          </w:r>
          <w:r w:rsidRPr="00096248">
            <w:rPr>
              <w:rFonts w:cs="Arial"/>
              <w:b/>
              <w:bCs/>
              <w:szCs w:val="24"/>
            </w:rPr>
            <w:t>/INFOEM/IP/RR/202</w:t>
          </w:r>
          <w:r>
            <w:rPr>
              <w:rFonts w:cs="Arial"/>
              <w:b/>
              <w:bCs/>
              <w:szCs w:val="24"/>
            </w:rPr>
            <w:t>6</w:t>
          </w:r>
        </w:p>
      </w:tc>
    </w:tr>
    <w:tr w:rsidR="00A8616A" w14:paraId="1F4550E8" w14:textId="77777777" w:rsidTr="00775416">
      <w:trPr>
        <w:trHeight w:val="242"/>
      </w:trPr>
      <w:tc>
        <w:tcPr>
          <w:tcW w:w="5103" w:type="dxa"/>
          <w:hideMark/>
        </w:tcPr>
        <w:p w14:paraId="581B1BDC" w14:textId="77777777" w:rsidR="00A8616A" w:rsidRPr="00096248" w:rsidRDefault="00A8616A" w:rsidP="00775416">
          <w:pPr>
            <w:spacing w:after="120" w:line="240" w:lineRule="auto"/>
            <w:ind w:right="69"/>
            <w:jc w:val="right"/>
            <w:rPr>
              <w:rFonts w:cs="Arial"/>
              <w:b/>
              <w:szCs w:val="24"/>
            </w:rPr>
          </w:pPr>
          <w:r w:rsidRPr="00096248">
            <w:rPr>
              <w:rFonts w:cs="Arial"/>
              <w:b/>
              <w:szCs w:val="24"/>
            </w:rPr>
            <w:t>Sujeto Obligado:</w:t>
          </w:r>
        </w:p>
      </w:tc>
      <w:tc>
        <w:tcPr>
          <w:tcW w:w="4395" w:type="dxa"/>
          <w:hideMark/>
        </w:tcPr>
        <w:p w14:paraId="2308AF99" w14:textId="77777777" w:rsidR="00A8616A" w:rsidRPr="00096248" w:rsidRDefault="00A8616A" w:rsidP="00775416">
          <w:pPr>
            <w:spacing w:after="120" w:line="240" w:lineRule="auto"/>
            <w:ind w:left="-81" w:right="71"/>
            <w:jc w:val="right"/>
            <w:rPr>
              <w:rFonts w:cs="Arial"/>
              <w:szCs w:val="24"/>
            </w:rPr>
          </w:pPr>
          <w:r w:rsidRPr="0084780C">
            <w:rPr>
              <w:b/>
              <w:bCs/>
              <w:color w:val="000000"/>
              <w:szCs w:val="24"/>
            </w:rPr>
            <w:t>Fiscalía General de Justicia del Estado de México</w:t>
          </w:r>
        </w:p>
      </w:tc>
    </w:tr>
    <w:tr w:rsidR="00A8616A" w:rsidRPr="00F63239" w14:paraId="6909BD14" w14:textId="77777777" w:rsidTr="00775416">
      <w:trPr>
        <w:trHeight w:val="342"/>
      </w:trPr>
      <w:tc>
        <w:tcPr>
          <w:tcW w:w="5103" w:type="dxa"/>
          <w:hideMark/>
        </w:tcPr>
        <w:p w14:paraId="413DA355" w14:textId="77777777" w:rsidR="00A8616A" w:rsidRPr="00096248" w:rsidRDefault="00A8616A" w:rsidP="00775416">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74AFBF8E" w14:textId="77777777" w:rsidR="00A8616A" w:rsidRDefault="00A8616A" w:rsidP="00775416">
          <w:pPr>
            <w:spacing w:after="120" w:line="240" w:lineRule="auto"/>
            <w:ind w:left="-486" w:right="71" w:firstLine="567"/>
            <w:jc w:val="right"/>
            <w:rPr>
              <w:rFonts w:cs="Arial"/>
              <w:szCs w:val="24"/>
            </w:rPr>
          </w:pPr>
          <w:r w:rsidRPr="00096248">
            <w:rPr>
              <w:rFonts w:cs="Arial"/>
              <w:szCs w:val="24"/>
            </w:rPr>
            <w:t>José Martínez Vilchis</w:t>
          </w:r>
        </w:p>
        <w:p w14:paraId="155495F6" w14:textId="77777777" w:rsidR="00A8616A" w:rsidRPr="00711916" w:rsidRDefault="00A8616A" w:rsidP="00775416">
          <w:pPr>
            <w:spacing w:after="120" w:line="240" w:lineRule="auto"/>
            <w:ind w:left="-486" w:right="71" w:firstLine="567"/>
            <w:jc w:val="right"/>
            <w:rPr>
              <w:rFonts w:cs="Arial"/>
              <w:sz w:val="2"/>
              <w:szCs w:val="2"/>
            </w:rPr>
          </w:pPr>
        </w:p>
      </w:tc>
    </w:tr>
  </w:tbl>
  <w:p w14:paraId="35A7A9BE" w14:textId="77777777" w:rsidR="00A8616A" w:rsidRPr="00871A91" w:rsidRDefault="003C1E03">
    <w:pPr>
      <w:pStyle w:val="Encabezado"/>
      <w:rPr>
        <w:sz w:val="2"/>
      </w:rPr>
    </w:pPr>
    <w:r>
      <w:rPr>
        <w:noProof/>
        <w:lang w:val="es-MX" w:eastAsia="es-MX"/>
      </w:rPr>
      <w:pict w14:anchorId="5BBC2E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4pt;margin-top:-141.3pt;width:609.4pt;height:793.75pt;z-index:-251657728;mso-wrap-edited:f;mso-position-horizontal-relative:margin;mso-position-vertical-relative:margin" o:allowincell="f">
          <v:imagedata r:id="rId1" o:title="infoem"/>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12DAE" w14:textId="77777777" w:rsidR="00A8616A" w:rsidRDefault="00A8616A">
    <w:pPr>
      <w:pStyle w:val="Encabezado"/>
    </w:pPr>
  </w:p>
  <w:tbl>
    <w:tblPr>
      <w:tblW w:w="9356" w:type="dxa"/>
      <w:tblLayout w:type="fixed"/>
      <w:tblCellMar>
        <w:left w:w="70" w:type="dxa"/>
        <w:right w:w="70" w:type="dxa"/>
      </w:tblCellMar>
      <w:tblLook w:val="04A0" w:firstRow="1" w:lastRow="0" w:firstColumn="1" w:lastColumn="0" w:noHBand="0" w:noVBand="1"/>
    </w:tblPr>
    <w:tblGrid>
      <w:gridCol w:w="5103"/>
      <w:gridCol w:w="4253"/>
    </w:tblGrid>
    <w:tr w:rsidR="00A8616A" w14:paraId="7AFA31AD" w14:textId="77777777" w:rsidTr="00775416">
      <w:trPr>
        <w:trHeight w:val="227"/>
      </w:trPr>
      <w:tc>
        <w:tcPr>
          <w:tcW w:w="5103" w:type="dxa"/>
          <w:hideMark/>
        </w:tcPr>
        <w:p w14:paraId="4E32514A" w14:textId="77777777" w:rsidR="00A8616A" w:rsidRPr="00663A37" w:rsidRDefault="00A8616A" w:rsidP="00775416">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253" w:type="dxa"/>
          <w:hideMark/>
        </w:tcPr>
        <w:p w14:paraId="7B655EFE" w14:textId="77777777" w:rsidR="00A8616A" w:rsidRPr="00BA5235" w:rsidRDefault="00A8616A" w:rsidP="00775416">
          <w:pPr>
            <w:spacing w:after="120" w:line="240" w:lineRule="auto"/>
            <w:ind w:left="-486" w:right="68" w:firstLine="558"/>
            <w:jc w:val="right"/>
            <w:rPr>
              <w:rFonts w:cs="Arial"/>
              <w:b/>
              <w:bCs/>
              <w:szCs w:val="24"/>
            </w:rPr>
          </w:pPr>
          <w:r>
            <w:rPr>
              <w:rFonts w:cs="Arial"/>
              <w:b/>
              <w:bCs/>
              <w:szCs w:val="24"/>
            </w:rPr>
            <w:t>01220/INFOEM/IP/RR/2026</w:t>
          </w:r>
        </w:p>
      </w:tc>
    </w:tr>
    <w:tr w:rsidR="00A8616A" w:rsidRPr="001F57CD" w14:paraId="7162D8D7" w14:textId="77777777" w:rsidTr="00775416">
      <w:trPr>
        <w:trHeight w:val="196"/>
      </w:trPr>
      <w:tc>
        <w:tcPr>
          <w:tcW w:w="5103" w:type="dxa"/>
          <w:hideMark/>
        </w:tcPr>
        <w:p w14:paraId="6B50C057" w14:textId="77777777" w:rsidR="00A8616A" w:rsidRPr="00663A37" w:rsidRDefault="00A8616A" w:rsidP="00775416">
          <w:pPr>
            <w:spacing w:after="120" w:line="240" w:lineRule="auto"/>
            <w:ind w:right="68"/>
            <w:jc w:val="right"/>
            <w:rPr>
              <w:rFonts w:cs="Arial"/>
              <w:b/>
              <w:szCs w:val="24"/>
            </w:rPr>
          </w:pPr>
          <w:r w:rsidRPr="00663A37">
            <w:rPr>
              <w:rFonts w:cs="Arial"/>
              <w:b/>
              <w:szCs w:val="24"/>
            </w:rPr>
            <w:t>Recurrente:</w:t>
          </w:r>
          <w:r>
            <w:rPr>
              <w:rFonts w:cs="Arial"/>
              <w:b/>
              <w:szCs w:val="24"/>
            </w:rPr>
            <w:t xml:space="preserve">     </w:t>
          </w:r>
        </w:p>
      </w:tc>
      <w:tc>
        <w:tcPr>
          <w:tcW w:w="4253" w:type="dxa"/>
          <w:hideMark/>
        </w:tcPr>
        <w:p w14:paraId="13EFCB9C" w14:textId="0B354FE8" w:rsidR="00A8616A" w:rsidRPr="00663A37" w:rsidRDefault="00D800FA" w:rsidP="00775416">
          <w:pPr>
            <w:spacing w:after="120" w:line="240" w:lineRule="auto"/>
            <w:ind w:right="68"/>
            <w:jc w:val="right"/>
            <w:rPr>
              <w:rFonts w:cs="Arial"/>
              <w:szCs w:val="24"/>
            </w:rPr>
          </w:pPr>
          <w:r>
            <w:rPr>
              <w:rFonts w:cs="Arial"/>
              <w:szCs w:val="24"/>
            </w:rPr>
            <w:t>xxxxxxxxxxxxxxxxxx</w:t>
          </w:r>
          <w:r w:rsidR="00A8616A">
            <w:rPr>
              <w:rFonts w:cs="Arial"/>
              <w:szCs w:val="24"/>
            </w:rPr>
            <w:t xml:space="preserve"> </w:t>
          </w:r>
        </w:p>
      </w:tc>
    </w:tr>
    <w:tr w:rsidR="00A8616A" w14:paraId="0D109A93" w14:textId="77777777" w:rsidTr="00775416">
      <w:trPr>
        <w:trHeight w:val="242"/>
      </w:trPr>
      <w:tc>
        <w:tcPr>
          <w:tcW w:w="5103" w:type="dxa"/>
          <w:hideMark/>
        </w:tcPr>
        <w:p w14:paraId="7825A0A5" w14:textId="77777777" w:rsidR="00A8616A" w:rsidRPr="00663A37" w:rsidRDefault="00A8616A" w:rsidP="00775416">
          <w:pPr>
            <w:spacing w:after="120" w:line="240" w:lineRule="auto"/>
            <w:ind w:right="68"/>
            <w:jc w:val="right"/>
            <w:rPr>
              <w:rFonts w:cs="Arial"/>
              <w:b/>
              <w:szCs w:val="24"/>
            </w:rPr>
          </w:pPr>
          <w:r w:rsidRPr="00663A37">
            <w:rPr>
              <w:rFonts w:cs="Arial"/>
              <w:b/>
              <w:szCs w:val="24"/>
            </w:rPr>
            <w:t>Sujeto Obligado:</w:t>
          </w:r>
        </w:p>
      </w:tc>
      <w:tc>
        <w:tcPr>
          <w:tcW w:w="4253" w:type="dxa"/>
          <w:hideMark/>
        </w:tcPr>
        <w:p w14:paraId="5690D38D" w14:textId="77777777" w:rsidR="00A8616A" w:rsidRPr="0084780C" w:rsidRDefault="00A8616A" w:rsidP="0084780C">
          <w:pPr>
            <w:spacing w:after="120" w:line="240" w:lineRule="auto"/>
            <w:ind w:left="-70" w:right="68"/>
            <w:jc w:val="right"/>
            <w:rPr>
              <w:rFonts w:cs="Arial"/>
              <w:b/>
              <w:bCs/>
              <w:szCs w:val="24"/>
            </w:rPr>
          </w:pPr>
          <w:r>
            <w:rPr>
              <w:bCs/>
              <w:color w:val="000000"/>
              <w:szCs w:val="24"/>
            </w:rPr>
            <w:t xml:space="preserve">          </w:t>
          </w:r>
          <w:r w:rsidRPr="0084780C">
            <w:rPr>
              <w:b/>
              <w:bCs/>
              <w:color w:val="000000"/>
              <w:szCs w:val="24"/>
            </w:rPr>
            <w:t>Fiscalía General de Justicia del Estado de México</w:t>
          </w:r>
        </w:p>
      </w:tc>
    </w:tr>
    <w:tr w:rsidR="00A8616A" w14:paraId="1F7D91A3" w14:textId="77777777" w:rsidTr="00775416">
      <w:trPr>
        <w:trHeight w:val="342"/>
      </w:trPr>
      <w:tc>
        <w:tcPr>
          <w:tcW w:w="5103" w:type="dxa"/>
          <w:hideMark/>
        </w:tcPr>
        <w:p w14:paraId="51069E6B" w14:textId="77777777" w:rsidR="00A8616A" w:rsidRPr="00663A37" w:rsidRDefault="00A8616A" w:rsidP="00775416">
          <w:pPr>
            <w:tabs>
              <w:tab w:val="left" w:pos="4892"/>
            </w:tabs>
            <w:spacing w:after="120" w:line="240" w:lineRule="auto"/>
            <w:ind w:right="68"/>
            <w:jc w:val="right"/>
            <w:rPr>
              <w:rFonts w:cs="Arial"/>
              <w:b/>
              <w:szCs w:val="24"/>
            </w:rPr>
          </w:pPr>
          <w:r w:rsidRPr="00663A37">
            <w:rPr>
              <w:rFonts w:cs="Arial"/>
              <w:b/>
              <w:szCs w:val="24"/>
            </w:rPr>
            <w:t>Comisionado Ponente:</w:t>
          </w:r>
        </w:p>
      </w:tc>
      <w:tc>
        <w:tcPr>
          <w:tcW w:w="4253" w:type="dxa"/>
          <w:hideMark/>
        </w:tcPr>
        <w:p w14:paraId="05F83E60" w14:textId="77777777" w:rsidR="00A8616A" w:rsidRPr="00663A37" w:rsidRDefault="00A8616A" w:rsidP="00775416">
          <w:pPr>
            <w:spacing w:after="120" w:line="240" w:lineRule="auto"/>
            <w:ind w:left="-486" w:right="68" w:firstLine="567"/>
            <w:jc w:val="right"/>
            <w:rPr>
              <w:rFonts w:cs="Arial"/>
              <w:szCs w:val="24"/>
            </w:rPr>
          </w:pPr>
          <w:r w:rsidRPr="00663A37">
            <w:rPr>
              <w:rFonts w:cs="Arial"/>
              <w:szCs w:val="24"/>
            </w:rPr>
            <w:t>José Martínez Vilchis</w:t>
          </w:r>
        </w:p>
      </w:tc>
    </w:tr>
  </w:tbl>
  <w:p w14:paraId="2F48ECDD" w14:textId="77777777" w:rsidR="00A8616A" w:rsidRPr="00871A91" w:rsidRDefault="00A8616A">
    <w:pPr>
      <w:pStyle w:val="Encabezado"/>
      <w:rPr>
        <w:sz w:val="2"/>
      </w:rPr>
    </w:pPr>
    <w:r>
      <w:rPr>
        <w:noProof/>
        <w:sz w:val="2"/>
        <w:lang w:val="es-MX" w:eastAsia="es-MX"/>
        <w14:ligatures w14:val="standardContextual"/>
      </w:rPr>
      <w:drawing>
        <wp:anchor distT="0" distB="0" distL="114300" distR="114300" simplePos="0" relativeHeight="251656704" behindDoc="1" locked="0" layoutInCell="0" allowOverlap="1" wp14:anchorId="7C2FCB10" wp14:editId="508E19ED">
          <wp:simplePos x="0" y="0"/>
          <wp:positionH relativeFrom="margin">
            <wp:posOffset>-883285</wp:posOffset>
          </wp:positionH>
          <wp:positionV relativeFrom="margin">
            <wp:posOffset>-1663065</wp:posOffset>
          </wp:positionV>
          <wp:extent cx="5690235" cy="7411720"/>
          <wp:effectExtent l="0" t="0" r="5715" b="0"/>
          <wp:wrapNone/>
          <wp:docPr id="8972545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0235" cy="74117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878D1"/>
    <w:multiLevelType w:val="multilevel"/>
    <w:tmpl w:val="5D2E3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F5379"/>
    <w:multiLevelType w:val="hybridMultilevel"/>
    <w:tmpl w:val="5A6414C8"/>
    <w:lvl w:ilvl="0" w:tplc="EB6088D2">
      <w:start w:val="1"/>
      <w:numFmt w:val="decimal"/>
      <w:lvlText w:val="%1."/>
      <w:lvlJc w:val="left"/>
      <w:pPr>
        <w:ind w:left="1080" w:hanging="360"/>
      </w:pPr>
      <w:rPr>
        <w:rFonts w:eastAsia="Calibri" w:cs="Calibri"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28480502"/>
    <w:multiLevelType w:val="hybridMultilevel"/>
    <w:tmpl w:val="5A6414C8"/>
    <w:lvl w:ilvl="0" w:tplc="EB6088D2">
      <w:start w:val="1"/>
      <w:numFmt w:val="decimal"/>
      <w:lvlText w:val="%1."/>
      <w:lvlJc w:val="left"/>
      <w:pPr>
        <w:ind w:left="1080" w:hanging="360"/>
      </w:pPr>
      <w:rPr>
        <w:rFonts w:eastAsia="Calibri" w:cs="Calibri"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4"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5" w15:restartNumberingAfterBreak="0">
    <w:nsid w:val="3F0B59AE"/>
    <w:multiLevelType w:val="hybridMultilevel"/>
    <w:tmpl w:val="5A6414C8"/>
    <w:lvl w:ilvl="0" w:tplc="EB6088D2">
      <w:start w:val="1"/>
      <w:numFmt w:val="decimal"/>
      <w:lvlText w:val="%1."/>
      <w:lvlJc w:val="left"/>
      <w:pPr>
        <w:ind w:left="1080" w:hanging="360"/>
      </w:pPr>
      <w:rPr>
        <w:rFonts w:eastAsia="Calibri" w:cs="Calibri"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BBF1A5C"/>
    <w:multiLevelType w:val="hybridMultilevel"/>
    <w:tmpl w:val="FDE85CB4"/>
    <w:lvl w:ilvl="0" w:tplc="EE9A423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F8A1D7E"/>
    <w:multiLevelType w:val="multilevel"/>
    <w:tmpl w:val="42C4B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823712"/>
    <w:multiLevelType w:val="hybridMultilevel"/>
    <w:tmpl w:val="A870442A"/>
    <w:lvl w:ilvl="0" w:tplc="00FC3F2A">
      <w:start w:val="5"/>
      <w:numFmt w:val="bullet"/>
      <w:lvlText w:val="-"/>
      <w:lvlJc w:val="left"/>
      <w:pPr>
        <w:ind w:left="1080" w:hanging="360"/>
      </w:pPr>
      <w:rPr>
        <w:rFonts w:ascii="Palatino Linotype" w:eastAsia="Calibri" w:hAnsi="Palatino Linotype"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56D85F8D"/>
    <w:multiLevelType w:val="hybridMultilevel"/>
    <w:tmpl w:val="5A6414C8"/>
    <w:lvl w:ilvl="0" w:tplc="EB6088D2">
      <w:start w:val="1"/>
      <w:numFmt w:val="decimal"/>
      <w:lvlText w:val="%1."/>
      <w:lvlJc w:val="left"/>
      <w:pPr>
        <w:ind w:left="1080" w:hanging="360"/>
      </w:pPr>
      <w:rPr>
        <w:rFonts w:eastAsia="Calibri" w:cs="Calibri"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5B00676F"/>
    <w:multiLevelType w:val="hybridMultilevel"/>
    <w:tmpl w:val="BA6C7412"/>
    <w:lvl w:ilvl="0" w:tplc="DB1C5D46">
      <w:start w:val="5"/>
      <w:numFmt w:val="bullet"/>
      <w:lvlText w:val=""/>
      <w:lvlJc w:val="left"/>
      <w:pPr>
        <w:ind w:left="720" w:hanging="360"/>
      </w:pPr>
      <w:rPr>
        <w:rFonts w:ascii="Symbol" w:eastAsia="Calibri"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E9A71B4"/>
    <w:multiLevelType w:val="hybridMultilevel"/>
    <w:tmpl w:val="E13A263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F9A586B"/>
    <w:multiLevelType w:val="hybridMultilevel"/>
    <w:tmpl w:val="E1C24A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3116171"/>
    <w:multiLevelType w:val="hybridMultilevel"/>
    <w:tmpl w:val="5A6414C8"/>
    <w:lvl w:ilvl="0" w:tplc="EB6088D2">
      <w:start w:val="1"/>
      <w:numFmt w:val="decimal"/>
      <w:lvlText w:val="%1."/>
      <w:lvlJc w:val="left"/>
      <w:pPr>
        <w:ind w:left="1080" w:hanging="360"/>
      </w:pPr>
      <w:rPr>
        <w:rFonts w:eastAsia="Calibri" w:cs="Calibri"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77152B73"/>
    <w:multiLevelType w:val="hybridMultilevel"/>
    <w:tmpl w:val="1EE8F530"/>
    <w:lvl w:ilvl="0" w:tplc="F4FCF80A">
      <w:start w:val="1"/>
      <w:numFmt w:val="upperRoman"/>
      <w:lvlText w:val="%1."/>
      <w:lvlJc w:val="left"/>
      <w:pPr>
        <w:ind w:left="1800" w:hanging="720"/>
      </w:pPr>
      <w:rPr>
        <w:rFonts w:eastAsia="Calibri" w:cs="Calibri"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abstractNumId w:val="3"/>
  </w:num>
  <w:num w:numId="2">
    <w:abstractNumId w:val="13"/>
  </w:num>
  <w:num w:numId="3">
    <w:abstractNumId w:val="11"/>
  </w:num>
  <w:num w:numId="4">
    <w:abstractNumId w:val="9"/>
  </w:num>
  <w:num w:numId="5">
    <w:abstractNumId w:val="15"/>
  </w:num>
  <w:num w:numId="6">
    <w:abstractNumId w:val="8"/>
  </w:num>
  <w:num w:numId="7">
    <w:abstractNumId w:val="12"/>
  </w:num>
  <w:num w:numId="8">
    <w:abstractNumId w:val="1"/>
  </w:num>
  <w:num w:numId="9">
    <w:abstractNumId w:val="5"/>
  </w:num>
  <w:num w:numId="10">
    <w:abstractNumId w:val="6"/>
  </w:num>
  <w:num w:numId="11">
    <w:abstractNumId w:val="7"/>
  </w:num>
  <w:num w:numId="12">
    <w:abstractNumId w:val="10"/>
  </w:num>
  <w:num w:numId="13">
    <w:abstractNumId w:val="14"/>
  </w:num>
  <w:num w:numId="14">
    <w:abstractNumId w:val="2"/>
  </w:num>
  <w:num w:numId="15">
    <w:abstractNumId w:val="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80C"/>
    <w:rsid w:val="00004363"/>
    <w:rsid w:val="00025041"/>
    <w:rsid w:val="000767A4"/>
    <w:rsid w:val="000F160A"/>
    <w:rsid w:val="0015523E"/>
    <w:rsid w:val="00176068"/>
    <w:rsid w:val="00211AD8"/>
    <w:rsid w:val="00244467"/>
    <w:rsid w:val="00261EF2"/>
    <w:rsid w:val="002A20B5"/>
    <w:rsid w:val="002D0FA5"/>
    <w:rsid w:val="003C1E03"/>
    <w:rsid w:val="004B0FDB"/>
    <w:rsid w:val="00530D97"/>
    <w:rsid w:val="005B58CB"/>
    <w:rsid w:val="005D3163"/>
    <w:rsid w:val="00611141"/>
    <w:rsid w:val="006270EF"/>
    <w:rsid w:val="00640FC1"/>
    <w:rsid w:val="00682617"/>
    <w:rsid w:val="006928A8"/>
    <w:rsid w:val="00696AFD"/>
    <w:rsid w:val="00775416"/>
    <w:rsid w:val="007E4268"/>
    <w:rsid w:val="007E77E2"/>
    <w:rsid w:val="0084780C"/>
    <w:rsid w:val="00860164"/>
    <w:rsid w:val="008719F8"/>
    <w:rsid w:val="008C1FFF"/>
    <w:rsid w:val="009D1806"/>
    <w:rsid w:val="009E6EDF"/>
    <w:rsid w:val="00A5078B"/>
    <w:rsid w:val="00A52A87"/>
    <w:rsid w:val="00A8616A"/>
    <w:rsid w:val="00B033DA"/>
    <w:rsid w:val="00B24BDB"/>
    <w:rsid w:val="00B316AC"/>
    <w:rsid w:val="00B353F1"/>
    <w:rsid w:val="00B4053E"/>
    <w:rsid w:val="00B679FB"/>
    <w:rsid w:val="00BA01AC"/>
    <w:rsid w:val="00BB4CDB"/>
    <w:rsid w:val="00BE5AB3"/>
    <w:rsid w:val="00BF75AA"/>
    <w:rsid w:val="00C2327B"/>
    <w:rsid w:val="00C26C6B"/>
    <w:rsid w:val="00C57EBB"/>
    <w:rsid w:val="00CA1950"/>
    <w:rsid w:val="00CC7154"/>
    <w:rsid w:val="00CE3371"/>
    <w:rsid w:val="00D00A99"/>
    <w:rsid w:val="00D45BFE"/>
    <w:rsid w:val="00D54F78"/>
    <w:rsid w:val="00D800FA"/>
    <w:rsid w:val="00D84193"/>
    <w:rsid w:val="00E10AF6"/>
    <w:rsid w:val="00E30C9A"/>
    <w:rsid w:val="00E62B04"/>
    <w:rsid w:val="00EC4F54"/>
    <w:rsid w:val="00F14F1F"/>
    <w:rsid w:val="00F22235"/>
    <w:rsid w:val="00F71703"/>
    <w:rsid w:val="00FB79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C9071A9"/>
  <w15:chartTrackingRefBased/>
  <w15:docId w15:val="{16FDDDD9-FFA5-4F9A-B6BC-E0C12221B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80C"/>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8478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aliases w:val="Subtítulos"/>
    <w:basedOn w:val="Normal"/>
    <w:next w:val="Normal"/>
    <w:link w:val="Ttulo2Car"/>
    <w:uiPriority w:val="9"/>
    <w:unhideWhenUsed/>
    <w:qFormat/>
    <w:rsid w:val="008478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Res Car"/>
    <w:basedOn w:val="Fuentedeprrafopredeter"/>
    <w:link w:val="Ttulo1"/>
    <w:uiPriority w:val="9"/>
    <w:rsid w:val="0084780C"/>
    <w:rPr>
      <w:rFonts w:asciiTheme="majorHAnsi" w:eastAsiaTheme="majorEastAsia" w:hAnsiTheme="majorHAnsi" w:cstheme="majorBidi"/>
      <w:color w:val="2E74B5" w:themeColor="accent1" w:themeShade="BF"/>
      <w:sz w:val="40"/>
      <w:szCs w:val="40"/>
      <w:lang w:val="es-ES_tradnl" w:eastAsia="es-MX"/>
    </w:rPr>
  </w:style>
  <w:style w:type="character" w:customStyle="1" w:styleId="Ttulo2Car">
    <w:name w:val="Título 2 Car"/>
    <w:aliases w:val="Subtítulos Car"/>
    <w:basedOn w:val="Fuentedeprrafopredeter"/>
    <w:link w:val="Ttulo2"/>
    <w:uiPriority w:val="9"/>
    <w:rsid w:val="0084780C"/>
    <w:rPr>
      <w:rFonts w:asciiTheme="majorHAnsi" w:eastAsiaTheme="majorEastAsia" w:hAnsiTheme="majorHAnsi" w:cstheme="majorBidi"/>
      <w:color w:val="2E74B5" w:themeColor="accent1" w:themeShade="BF"/>
      <w:sz w:val="32"/>
      <w:szCs w:val="32"/>
      <w:lang w:val="es-ES_tradnl"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4780C"/>
    <w:pPr>
      <w:ind w:left="720"/>
      <w:contextualSpacing/>
    </w:pPr>
  </w:style>
  <w:style w:type="paragraph" w:styleId="Encabezado">
    <w:name w:val="header"/>
    <w:basedOn w:val="Normal"/>
    <w:link w:val="EncabezadoCar"/>
    <w:uiPriority w:val="99"/>
    <w:unhideWhenUsed/>
    <w:rsid w:val="0084780C"/>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84780C"/>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84780C"/>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84780C"/>
    <w:rPr>
      <w:rFonts w:ascii="Times New Roman" w:eastAsia="Calibri"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84780C"/>
    <w:rPr>
      <w:rFonts w:ascii="Palatino Linotype" w:eastAsia="Calibri" w:hAnsi="Palatino Linotype" w:cs="Calibri"/>
      <w:sz w:val="24"/>
      <w:lang w:val="es-ES_tradnl" w:eastAsia="es-MX"/>
    </w:rPr>
  </w:style>
  <w:style w:type="character" w:customStyle="1" w:styleId="apple-converted-space">
    <w:name w:val="apple-converted-space"/>
    <w:basedOn w:val="Fuentedeprrafopredeter"/>
    <w:rsid w:val="0084780C"/>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84780C"/>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84780C"/>
    <w:rPr>
      <w:color w:val="0563C1" w:themeColor="hyperlink"/>
      <w:u w:val="single"/>
    </w:rPr>
  </w:style>
  <w:style w:type="paragraph" w:customStyle="1" w:styleId="Fundamentos">
    <w:name w:val="Fundamentos"/>
    <w:basedOn w:val="Normal"/>
    <w:qFormat/>
    <w:rsid w:val="0084780C"/>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679FB"/>
    <w:pPr>
      <w:spacing w:line="240" w:lineRule="auto"/>
      <w:jc w:val="left"/>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B679FB"/>
    <w:rPr>
      <w:rFonts w:ascii="Times New Roman" w:eastAsia="Times New Roman" w:hAnsi="Times New Roman" w:cs="Times New Roman"/>
      <w:sz w:val="20"/>
      <w:szCs w:val="20"/>
      <w:lang w:val="es-ES" w:eastAsia="es-ES"/>
    </w:rPr>
  </w:style>
  <w:style w:type="paragraph" w:styleId="NormalWeb">
    <w:name w:val="Normal (Web)"/>
    <w:basedOn w:val="Normal"/>
    <w:uiPriority w:val="99"/>
    <w:semiHidden/>
    <w:unhideWhenUsed/>
    <w:rsid w:val="00696AF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styleId="Textoennegrita">
    <w:name w:val="Strong"/>
    <w:basedOn w:val="Fuentedeprrafopredeter"/>
    <w:uiPriority w:val="22"/>
    <w:qFormat/>
    <w:rsid w:val="00696AFD"/>
    <w:rPr>
      <w:b/>
      <w:bCs/>
    </w:rPr>
  </w:style>
  <w:style w:type="character" w:styleId="Hipervnculovisitado">
    <w:name w:val="FollowedHyperlink"/>
    <w:basedOn w:val="Fuentedeprrafopredeter"/>
    <w:uiPriority w:val="99"/>
    <w:semiHidden/>
    <w:unhideWhenUsed/>
    <w:rsid w:val="00F222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152175">
      <w:bodyDiv w:val="1"/>
      <w:marLeft w:val="0"/>
      <w:marRight w:val="0"/>
      <w:marTop w:val="0"/>
      <w:marBottom w:val="0"/>
      <w:divBdr>
        <w:top w:val="none" w:sz="0" w:space="0" w:color="auto"/>
        <w:left w:val="none" w:sz="0" w:space="0" w:color="auto"/>
        <w:bottom w:val="none" w:sz="0" w:space="0" w:color="auto"/>
        <w:right w:val="none" w:sz="0" w:space="0" w:color="auto"/>
      </w:divBdr>
    </w:div>
    <w:div w:id="1010255942">
      <w:bodyDiv w:val="1"/>
      <w:marLeft w:val="0"/>
      <w:marRight w:val="0"/>
      <w:marTop w:val="0"/>
      <w:marBottom w:val="0"/>
      <w:divBdr>
        <w:top w:val="none" w:sz="0" w:space="0" w:color="auto"/>
        <w:left w:val="none" w:sz="0" w:space="0" w:color="auto"/>
        <w:bottom w:val="none" w:sz="0" w:space="0" w:color="auto"/>
        <w:right w:val="none" w:sz="0" w:space="0" w:color="auto"/>
      </w:divBdr>
    </w:div>
    <w:div w:id="179405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81367-BE81-40FB-AA4C-A6D9A40A0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23</Pages>
  <Words>5191</Words>
  <Characters>28554</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37</cp:revision>
  <cp:lastPrinted>2026-07-17T16:05:00Z</cp:lastPrinted>
  <dcterms:created xsi:type="dcterms:W3CDTF">2026-07-06T21:28:00Z</dcterms:created>
  <dcterms:modified xsi:type="dcterms:W3CDTF">2026-08-04T17:36:00Z</dcterms:modified>
</cp:coreProperties>
</file>