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B8FED" w14:textId="6D53140F"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r w:rsidRPr="001C57F7">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México, a </w:t>
      </w:r>
      <w:r w:rsidR="009257B6" w:rsidRPr="001C57F7">
        <w:rPr>
          <w:rFonts w:eastAsia="Palatino Linotype" w:cs="Palatino Linotype"/>
          <w:b/>
          <w:bCs/>
          <w:color w:val="000000"/>
          <w:szCs w:val="24"/>
        </w:rPr>
        <w:t>tres de junio de dos mil veintiséis</w:t>
      </w:r>
      <w:r w:rsidRPr="001C57F7">
        <w:rPr>
          <w:rFonts w:eastAsia="Palatino Linotype" w:cs="Palatino Linotype"/>
          <w:color w:val="000000"/>
          <w:szCs w:val="24"/>
        </w:rPr>
        <w:t>.</w:t>
      </w:r>
    </w:p>
    <w:p w14:paraId="675D4C97"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p>
    <w:p w14:paraId="0150205D" w14:textId="171B96E3"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r w:rsidRPr="001C57F7">
        <w:rPr>
          <w:rFonts w:eastAsia="Palatino Linotype" w:cs="Palatino Linotype"/>
          <w:b/>
          <w:color w:val="000000"/>
          <w:szCs w:val="24"/>
        </w:rPr>
        <w:t>VISTO</w:t>
      </w:r>
      <w:r w:rsidRPr="001C57F7">
        <w:rPr>
          <w:rFonts w:eastAsia="Palatino Linotype" w:cs="Palatino Linotype"/>
          <w:color w:val="000000"/>
          <w:szCs w:val="24"/>
        </w:rPr>
        <w:t xml:space="preserve"> el expediente electrónico formado con motivo del recurso de revisión número </w:t>
      </w:r>
      <w:bookmarkStart w:id="0" w:name="_GoBack"/>
      <w:r w:rsidRPr="001C57F7">
        <w:rPr>
          <w:rFonts w:eastAsia="Palatino Linotype" w:cs="Palatino Linotype"/>
          <w:b/>
          <w:color w:val="000000"/>
          <w:szCs w:val="24"/>
        </w:rPr>
        <w:t>03850/INFOEM/IP/RR/2026</w:t>
      </w:r>
      <w:bookmarkEnd w:id="0"/>
      <w:r w:rsidRPr="001C57F7">
        <w:rPr>
          <w:rFonts w:eastAsia="Palatino Linotype" w:cs="Palatino Linotype"/>
          <w:color w:val="000000"/>
          <w:szCs w:val="24"/>
        </w:rPr>
        <w:t>, interpuesto por</w:t>
      </w:r>
      <w:r w:rsidRPr="001C57F7">
        <w:rPr>
          <w:rFonts w:cs="Arial"/>
          <w:b/>
          <w:szCs w:val="24"/>
        </w:rPr>
        <w:t xml:space="preserve"> </w:t>
      </w:r>
      <w:r w:rsidR="00DF3B0C">
        <w:rPr>
          <w:rFonts w:cs="Arial"/>
          <w:b/>
          <w:szCs w:val="24"/>
        </w:rPr>
        <w:t>XXXXXXXXXXXXXXXXXXXXXXXX</w:t>
      </w:r>
      <w:r w:rsidRPr="001C57F7">
        <w:rPr>
          <w:rFonts w:eastAsia="Palatino Linotype" w:cs="Palatino Linotype"/>
          <w:color w:val="000000"/>
          <w:szCs w:val="24"/>
        </w:rPr>
        <w:t xml:space="preserve"> en lo sucesivo el </w:t>
      </w:r>
      <w:r w:rsidRPr="001C57F7">
        <w:rPr>
          <w:rFonts w:eastAsia="Palatino Linotype" w:cs="Palatino Linotype"/>
          <w:b/>
          <w:color w:val="000000"/>
          <w:szCs w:val="24"/>
        </w:rPr>
        <w:t>Recurrente</w:t>
      </w:r>
      <w:r w:rsidRPr="001C57F7">
        <w:rPr>
          <w:rFonts w:eastAsia="Palatino Linotype" w:cs="Palatino Linotype"/>
          <w:color w:val="000000"/>
          <w:szCs w:val="24"/>
        </w:rPr>
        <w:t>, en contra de la respuesta del</w:t>
      </w:r>
      <w:r w:rsidRPr="001C57F7">
        <w:rPr>
          <w:rFonts w:eastAsia="Palatino Linotype" w:cs="Palatino Linotype"/>
          <w:b/>
          <w:color w:val="000000"/>
          <w:szCs w:val="24"/>
        </w:rPr>
        <w:t xml:space="preserve"> </w:t>
      </w:r>
      <w:r w:rsidRPr="001C57F7">
        <w:rPr>
          <w:b/>
          <w:bCs/>
          <w:color w:val="000000"/>
          <w:szCs w:val="24"/>
        </w:rPr>
        <w:t>Ayuntamiento de Papalotla</w:t>
      </w:r>
      <w:r w:rsidRPr="001C57F7">
        <w:rPr>
          <w:rFonts w:eastAsia="Palatino Linotype" w:cs="Palatino Linotype"/>
          <w:color w:val="000000"/>
          <w:szCs w:val="24"/>
        </w:rPr>
        <w:t xml:space="preserve"> en lo subsecuente</w:t>
      </w:r>
      <w:r w:rsidRPr="001C57F7">
        <w:rPr>
          <w:rFonts w:eastAsia="Palatino Linotype" w:cs="Palatino Linotype"/>
          <w:b/>
          <w:color w:val="000000"/>
          <w:szCs w:val="24"/>
        </w:rPr>
        <w:t xml:space="preserve"> </w:t>
      </w:r>
      <w:r w:rsidRPr="001C57F7">
        <w:rPr>
          <w:rFonts w:eastAsia="Palatino Linotype" w:cs="Palatino Linotype"/>
          <w:color w:val="000000"/>
          <w:szCs w:val="24"/>
        </w:rPr>
        <w:t>el</w:t>
      </w:r>
      <w:r w:rsidRPr="001C57F7">
        <w:rPr>
          <w:rFonts w:eastAsia="Palatino Linotype" w:cs="Palatino Linotype"/>
          <w:b/>
          <w:color w:val="000000"/>
          <w:szCs w:val="24"/>
        </w:rPr>
        <w:t xml:space="preserve"> Sujeto Obligado, </w:t>
      </w:r>
      <w:r w:rsidRPr="001C57F7">
        <w:rPr>
          <w:rFonts w:eastAsia="Palatino Linotype" w:cs="Palatino Linotype"/>
          <w:color w:val="000000"/>
          <w:szCs w:val="24"/>
        </w:rPr>
        <w:t>se procede a dictar la presente resolución.</w:t>
      </w:r>
    </w:p>
    <w:p w14:paraId="79F64BA6"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p>
    <w:p w14:paraId="78C12486" w14:textId="77777777" w:rsidR="00435F08" w:rsidRPr="001C57F7" w:rsidRDefault="00435F08" w:rsidP="00435F08">
      <w:pPr>
        <w:pStyle w:val="Ttulo1"/>
        <w:jc w:val="center"/>
        <w:rPr>
          <w:rFonts w:ascii="Palatino Linotype" w:eastAsia="Palatino Linotype" w:hAnsi="Palatino Linotype"/>
          <w:b/>
          <w:bCs/>
          <w:color w:val="auto"/>
          <w:sz w:val="28"/>
          <w:szCs w:val="28"/>
        </w:rPr>
      </w:pPr>
      <w:r w:rsidRPr="001C57F7">
        <w:rPr>
          <w:rFonts w:ascii="Palatino Linotype" w:eastAsia="Palatino Linotype" w:hAnsi="Palatino Linotype"/>
          <w:b/>
          <w:bCs/>
          <w:color w:val="auto"/>
          <w:sz w:val="28"/>
          <w:szCs w:val="28"/>
        </w:rPr>
        <w:t>A N T E C E D E N T E S</w:t>
      </w:r>
    </w:p>
    <w:p w14:paraId="24A332C6" w14:textId="77777777" w:rsidR="00435F08" w:rsidRPr="001C57F7" w:rsidRDefault="00435F08" w:rsidP="00435F08">
      <w:pPr>
        <w:pBdr>
          <w:top w:val="nil"/>
          <w:left w:val="nil"/>
          <w:bottom w:val="nil"/>
          <w:right w:val="nil"/>
          <w:between w:val="nil"/>
        </w:pBdr>
        <w:contextualSpacing/>
        <w:rPr>
          <w:rFonts w:eastAsia="Palatino Linotype" w:cs="Palatino Linotype"/>
          <w:b/>
          <w:bCs/>
          <w:szCs w:val="24"/>
        </w:rPr>
      </w:pPr>
    </w:p>
    <w:p w14:paraId="23DFA6C8" w14:textId="77777777" w:rsidR="00435F08" w:rsidRPr="001C57F7" w:rsidRDefault="00435F08" w:rsidP="00435F08">
      <w:pPr>
        <w:pStyle w:val="Ttulo2"/>
        <w:rPr>
          <w:rFonts w:eastAsia="Palatino Linotype"/>
          <w:b/>
          <w:bCs/>
        </w:rPr>
      </w:pPr>
      <w:r w:rsidRPr="001C57F7">
        <w:rPr>
          <w:rFonts w:ascii="Palatino Linotype" w:eastAsia="Palatino Linotype" w:hAnsi="Palatino Linotype"/>
          <w:b/>
          <w:bCs/>
          <w:color w:val="auto"/>
          <w:sz w:val="24"/>
          <w:szCs w:val="24"/>
        </w:rPr>
        <w:t>PRIMERO. De la Solicitud de Información</w:t>
      </w:r>
      <w:r w:rsidRPr="001C57F7">
        <w:rPr>
          <w:rFonts w:eastAsia="Palatino Linotype"/>
          <w:b/>
          <w:bCs/>
        </w:rPr>
        <w:t>.</w:t>
      </w:r>
    </w:p>
    <w:p w14:paraId="560DF9C2"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r w:rsidRPr="001C57F7">
        <w:rPr>
          <w:rFonts w:eastAsia="Palatino Linotype" w:cs="Palatino Linotype"/>
          <w:color w:val="000000"/>
          <w:szCs w:val="24"/>
        </w:rPr>
        <w:t xml:space="preserve">Con fecha tres de marzo de dos mil veintiséis, el Recurrente presentó mediante el Sistema de Acceso a la Información Mexiquense (SAIMEX), solicitud de información registrada con el número de </w:t>
      </w:r>
      <w:r w:rsidRPr="001C57F7">
        <w:rPr>
          <w:rFonts w:eastAsia="Palatino Linotype" w:cs="Palatino Linotype"/>
          <w:szCs w:val="24"/>
        </w:rPr>
        <w:t>expediente</w:t>
      </w:r>
      <w:r w:rsidRPr="001C57F7">
        <w:rPr>
          <w:b/>
          <w:bCs/>
        </w:rPr>
        <w:t> 00042/PAPALO/IP/2026</w:t>
      </w:r>
      <w:r w:rsidRPr="001C57F7">
        <w:rPr>
          <w:rFonts w:eastAsia="Palatino Linotype" w:cs="Palatino Linotype"/>
          <w:szCs w:val="24"/>
        </w:rPr>
        <w:t>,</w:t>
      </w:r>
      <w:r w:rsidRPr="001C57F7">
        <w:rPr>
          <w:rFonts w:eastAsia="Palatino Linotype" w:cs="Palatino Linotype"/>
          <w:b/>
          <w:szCs w:val="24"/>
        </w:rPr>
        <w:t xml:space="preserve"> </w:t>
      </w:r>
      <w:r w:rsidRPr="001C57F7">
        <w:rPr>
          <w:rFonts w:eastAsia="Palatino Linotype" w:cs="Palatino Linotype"/>
          <w:color w:val="000000"/>
          <w:szCs w:val="24"/>
        </w:rPr>
        <w:t>mediante la cual solicitó información en el tenor siguiente:</w:t>
      </w:r>
    </w:p>
    <w:p w14:paraId="71335CAB" w14:textId="77777777" w:rsidR="00435F08" w:rsidRPr="001C57F7" w:rsidRDefault="00435F08" w:rsidP="00435F08">
      <w:pPr>
        <w:pStyle w:val="Fundamentos"/>
        <w:spacing w:line="360" w:lineRule="auto"/>
        <w:rPr>
          <w:sz w:val="24"/>
        </w:rPr>
      </w:pPr>
      <w:r w:rsidRPr="001C57F7">
        <w:rPr>
          <w:sz w:val="24"/>
        </w:rPr>
        <w:t xml:space="preserve">“Con base en la «línea de acción 1.4.1.2», que a la letra dice: «[…] Establecer la actualización del Bando Municipal y Reglamentos para su difusión de unificada incluyendo un compendio normative accesible a la ciudadanía [sic. …]», la cual aparece en el «Plan de Desarrollo Municipal 2025-2027», página 130, se solicita una copia digital —versión pública— del (los) documento (s) que contenga (n) la evidencia de la cumplimentación (o, en su caso, avance) de la línea de acción ya mencionada. Es </w:t>
      </w:r>
      <w:r w:rsidRPr="001C57F7">
        <w:rPr>
          <w:sz w:val="24"/>
        </w:rPr>
        <w:lastRenderedPageBreak/>
        <w:t>de mencionarse que el documento utilizado para realizar la presente solicitud corresponde al «Plan de Desarrollo Municipal 2025-2027» cuya presentación y contenido se desarrollan en 440 p. En el supuesto de que la información solicitada ya se encuentre publicada, indicar con PRECISIÓN el lugar donde puede ser consultada. Todo lo anterior para los ejercicios fiscales de 2025 y 2026.“ (Sic)</w:t>
      </w:r>
    </w:p>
    <w:p w14:paraId="5A76FA1D"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p>
    <w:p w14:paraId="21661D41" w14:textId="77777777" w:rsidR="00435F08" w:rsidRPr="001C57F7" w:rsidRDefault="00435F08" w:rsidP="00435F08">
      <w:pPr>
        <w:pBdr>
          <w:top w:val="nil"/>
          <w:left w:val="nil"/>
          <w:bottom w:val="nil"/>
          <w:right w:val="nil"/>
          <w:between w:val="nil"/>
        </w:pBdr>
        <w:contextualSpacing/>
        <w:rPr>
          <w:rFonts w:eastAsia="Palatino Linotype" w:cs="Palatino Linotype"/>
          <w:b/>
          <w:color w:val="000000"/>
          <w:szCs w:val="24"/>
        </w:rPr>
      </w:pPr>
      <w:r w:rsidRPr="001C57F7">
        <w:rPr>
          <w:rFonts w:eastAsia="Palatino Linotype" w:cs="Palatino Linotype"/>
          <w:color w:val="000000"/>
          <w:szCs w:val="24"/>
        </w:rPr>
        <w:t xml:space="preserve">Modalidad de entrega: </w:t>
      </w:r>
      <w:r w:rsidRPr="001C57F7">
        <w:rPr>
          <w:rFonts w:eastAsia="Palatino Linotype" w:cs="Palatino Linotype"/>
          <w:b/>
          <w:color w:val="000000"/>
          <w:szCs w:val="24"/>
        </w:rPr>
        <w:t>A través del SAIMEX</w:t>
      </w:r>
      <w:r w:rsidRPr="001C57F7">
        <w:rPr>
          <w:rFonts w:eastAsia="Palatino Linotype" w:cs="Palatino Linotype"/>
          <w:color w:val="000000"/>
          <w:szCs w:val="24"/>
        </w:rPr>
        <w:t>.</w:t>
      </w:r>
    </w:p>
    <w:p w14:paraId="657CFD9C"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p>
    <w:p w14:paraId="071A2FF4" w14:textId="77777777" w:rsidR="00435F08" w:rsidRPr="001C57F7" w:rsidRDefault="00435F08" w:rsidP="00435F08">
      <w:pPr>
        <w:pStyle w:val="Ttulo2"/>
        <w:rPr>
          <w:rFonts w:ascii="Palatino Linotype" w:eastAsia="Palatino Linotype" w:hAnsi="Palatino Linotype"/>
          <w:b/>
          <w:bCs/>
          <w:color w:val="auto"/>
          <w:sz w:val="28"/>
          <w:szCs w:val="28"/>
        </w:rPr>
      </w:pPr>
      <w:r w:rsidRPr="001C57F7">
        <w:rPr>
          <w:rFonts w:ascii="Palatino Linotype" w:eastAsia="Palatino Linotype" w:hAnsi="Palatino Linotype"/>
          <w:b/>
          <w:bCs/>
          <w:color w:val="auto"/>
          <w:sz w:val="28"/>
          <w:szCs w:val="28"/>
        </w:rPr>
        <w:t>SEGUNDO. De la Respuesta del Sujeto Obligado.</w:t>
      </w:r>
    </w:p>
    <w:p w14:paraId="12AE54CC" w14:textId="77777777" w:rsidR="00435F08" w:rsidRPr="001C57F7" w:rsidRDefault="00435F08" w:rsidP="00435F08">
      <w:pPr>
        <w:pBdr>
          <w:top w:val="nil"/>
          <w:left w:val="nil"/>
          <w:bottom w:val="nil"/>
          <w:right w:val="nil"/>
          <w:between w:val="nil"/>
        </w:pBdr>
        <w:contextualSpacing/>
        <w:rPr>
          <w:rFonts w:cs="Arial"/>
          <w:b/>
          <w:bCs/>
          <w:szCs w:val="24"/>
        </w:rPr>
      </w:pPr>
      <w:r w:rsidRPr="001C57F7">
        <w:rPr>
          <w:rFonts w:eastAsia="Palatino Linotype" w:cs="Palatino Linotype"/>
          <w:color w:val="000000"/>
          <w:szCs w:val="24"/>
        </w:rPr>
        <w:t>De las constancias que obran en el expediente electrónico, se observa que el día veinticuatro de marzo de dos mil veintiséis, el Sujeto Obligado dio respuesta a la solicitud de información anexando el documento electrónico denominado “</w:t>
      </w:r>
      <w:r w:rsidRPr="001C57F7">
        <w:rPr>
          <w:rFonts w:cs="Arial"/>
          <w:b/>
          <w:bCs/>
          <w:i/>
          <w:szCs w:val="24"/>
        </w:rPr>
        <w:t>R. SOLICITUD 42.pdf</w:t>
      </w:r>
      <w:r w:rsidRPr="001C57F7">
        <w:rPr>
          <w:rFonts w:cs="Arial"/>
          <w:b/>
          <w:bCs/>
          <w:szCs w:val="24"/>
        </w:rPr>
        <w:t>”, “</w:t>
      </w:r>
      <w:r w:rsidRPr="001C57F7">
        <w:rPr>
          <w:rFonts w:cs="Arial"/>
          <w:b/>
          <w:bCs/>
          <w:i/>
          <w:szCs w:val="24"/>
        </w:rPr>
        <w:t>bando_municipal_2026.pdf</w:t>
      </w:r>
      <w:r w:rsidRPr="001C57F7">
        <w:rPr>
          <w:rFonts w:cs="Arial"/>
          <w:b/>
          <w:bCs/>
          <w:szCs w:val="24"/>
        </w:rPr>
        <w:t>” y “</w:t>
      </w:r>
      <w:r w:rsidRPr="001C57F7">
        <w:rPr>
          <w:rFonts w:cs="Arial"/>
          <w:b/>
          <w:bCs/>
          <w:i/>
          <w:szCs w:val="24"/>
        </w:rPr>
        <w:t>1erinformegobierno2025.pdf</w:t>
      </w:r>
      <w:r w:rsidRPr="001C57F7">
        <w:rPr>
          <w:rFonts w:cs="Arial"/>
          <w:b/>
          <w:bCs/>
          <w:szCs w:val="24"/>
        </w:rPr>
        <w:t xml:space="preserve">” </w:t>
      </w:r>
      <w:r w:rsidRPr="001C57F7">
        <w:rPr>
          <w:rFonts w:cs="Arial"/>
          <w:szCs w:val="24"/>
        </w:rPr>
        <w:t xml:space="preserve">el cual será analizado en el considerando respectivo. </w:t>
      </w:r>
    </w:p>
    <w:p w14:paraId="44F7CF94"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p>
    <w:p w14:paraId="71E346D1" w14:textId="77777777" w:rsidR="00435F08" w:rsidRPr="001C57F7" w:rsidRDefault="00435F08" w:rsidP="00435F08">
      <w:pPr>
        <w:pStyle w:val="Ttulo2"/>
        <w:rPr>
          <w:rFonts w:ascii="Palatino Linotype" w:eastAsia="Palatino Linotype" w:hAnsi="Palatino Linotype"/>
          <w:color w:val="auto"/>
          <w:sz w:val="28"/>
          <w:szCs w:val="28"/>
        </w:rPr>
      </w:pPr>
      <w:r w:rsidRPr="001C57F7">
        <w:rPr>
          <w:rFonts w:ascii="Palatino Linotype" w:eastAsia="Palatino Linotype" w:hAnsi="Palatino Linotype"/>
          <w:b/>
          <w:bCs/>
          <w:color w:val="auto"/>
          <w:sz w:val="28"/>
          <w:szCs w:val="28"/>
        </w:rPr>
        <w:t>TERCERO. Del recurso de revisión</w:t>
      </w:r>
      <w:r w:rsidRPr="001C57F7">
        <w:rPr>
          <w:rFonts w:ascii="Palatino Linotype" w:eastAsia="Palatino Linotype" w:hAnsi="Palatino Linotype"/>
          <w:color w:val="auto"/>
          <w:sz w:val="28"/>
          <w:szCs w:val="28"/>
        </w:rPr>
        <w:t>.</w:t>
      </w:r>
    </w:p>
    <w:p w14:paraId="3720A8E7"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r w:rsidRPr="001C57F7">
        <w:rPr>
          <w:rFonts w:eastAsia="Palatino Linotype" w:cs="Palatino Linotype"/>
          <w:color w:val="000000"/>
          <w:szCs w:val="24"/>
        </w:rPr>
        <w:t xml:space="preserve">Inconforme con la respuesta emitida por el Sujeto Obligado, el Recurrente interpuso el presente recurso de revisión el día </w:t>
      </w:r>
      <w:r w:rsidRPr="001C57F7">
        <w:rPr>
          <w:rFonts w:eastAsia="Palatino Linotype" w:cs="Palatino Linotype"/>
          <w:b/>
          <w:color w:val="000000"/>
          <w:szCs w:val="24"/>
        </w:rPr>
        <w:t>diez de abril de dos mil veintiséis</w:t>
      </w:r>
      <w:r w:rsidRPr="001C57F7">
        <w:rPr>
          <w:rFonts w:eastAsia="Palatino Linotype" w:cs="Palatino Linotype"/>
          <w:color w:val="000000"/>
          <w:szCs w:val="24"/>
        </w:rPr>
        <w:t xml:space="preserve">, el cual se registró con el expediente número </w:t>
      </w:r>
      <w:r w:rsidRPr="001C57F7">
        <w:rPr>
          <w:rFonts w:eastAsia="Palatino Linotype" w:cs="Palatino Linotype"/>
          <w:b/>
          <w:color w:val="000000"/>
          <w:szCs w:val="24"/>
        </w:rPr>
        <w:t>03850/INFOEM/IP/RR/2026</w:t>
      </w:r>
      <w:r w:rsidRPr="001C57F7">
        <w:rPr>
          <w:rFonts w:eastAsia="Palatino Linotype" w:cs="Palatino Linotype"/>
          <w:color w:val="000000"/>
          <w:szCs w:val="24"/>
        </w:rPr>
        <w:t>, manifestando lo siguiente:</w:t>
      </w:r>
    </w:p>
    <w:p w14:paraId="7AFC6BD3"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p>
    <w:p w14:paraId="40C1698D" w14:textId="77777777" w:rsidR="00435F08" w:rsidRPr="001C57F7" w:rsidRDefault="00435F08" w:rsidP="00435F08">
      <w:pPr>
        <w:contextualSpacing/>
        <w:rPr>
          <w:rFonts w:eastAsia="Palatino Linotype" w:cs="Palatino Linotype"/>
          <w:b/>
        </w:rPr>
      </w:pPr>
      <w:r w:rsidRPr="001C57F7">
        <w:rPr>
          <w:rFonts w:eastAsia="Palatino Linotype" w:cs="Palatino Linotype"/>
          <w:b/>
        </w:rPr>
        <w:t>Acto Impugnado</w:t>
      </w:r>
    </w:p>
    <w:p w14:paraId="56FB0F47" w14:textId="77777777" w:rsidR="00435F08" w:rsidRPr="001C57F7" w:rsidRDefault="00435F08" w:rsidP="00435F08">
      <w:pPr>
        <w:spacing w:line="240" w:lineRule="auto"/>
        <w:rPr>
          <w:rFonts w:ascii="Times New Roman" w:eastAsia="Times New Roman" w:hAnsi="Times New Roman" w:cs="Times New Roman"/>
          <w:szCs w:val="24"/>
          <w:lang w:val="es-MX"/>
        </w:rPr>
      </w:pPr>
      <w:r w:rsidRPr="001C57F7">
        <w:rPr>
          <w:rFonts w:eastAsia="Times New Roman" w:cs="Times New Roman"/>
          <w:i/>
          <w:szCs w:val="24"/>
          <w:lang w:val="es-MX"/>
        </w:rPr>
        <w:t>“Respuesta de la Solicitud 248 entregada por el Municipio de Metepec</w:t>
      </w:r>
      <w:r w:rsidRPr="001C57F7">
        <w:rPr>
          <w:i/>
          <w:iCs/>
          <w:szCs w:val="24"/>
        </w:rPr>
        <w:t>” (Sic)</w:t>
      </w:r>
    </w:p>
    <w:p w14:paraId="7885F473" w14:textId="77777777" w:rsidR="00435F08" w:rsidRPr="001C57F7" w:rsidRDefault="00435F08" w:rsidP="00435F08">
      <w:pPr>
        <w:contextualSpacing/>
        <w:rPr>
          <w:rFonts w:eastAsia="Palatino Linotype" w:cs="Palatino Linotype"/>
          <w:b/>
        </w:rPr>
      </w:pPr>
    </w:p>
    <w:p w14:paraId="45FFE1EE" w14:textId="77777777" w:rsidR="00435F08" w:rsidRPr="001C57F7" w:rsidRDefault="00435F08" w:rsidP="00435F08">
      <w:pPr>
        <w:contextualSpacing/>
        <w:rPr>
          <w:rFonts w:eastAsia="Palatino Linotype" w:cs="Palatino Linotype"/>
          <w:b/>
        </w:rPr>
      </w:pPr>
      <w:r w:rsidRPr="001C57F7">
        <w:rPr>
          <w:rFonts w:eastAsia="Palatino Linotype" w:cs="Palatino Linotype"/>
          <w:b/>
        </w:rPr>
        <w:lastRenderedPageBreak/>
        <w:t xml:space="preserve">  y Razones o Motivos de Inconformidad</w:t>
      </w:r>
    </w:p>
    <w:p w14:paraId="048B2E92" w14:textId="77777777" w:rsidR="00435F08" w:rsidRPr="001C57F7" w:rsidRDefault="00435F08" w:rsidP="00435F08">
      <w:pPr>
        <w:spacing w:line="240" w:lineRule="auto"/>
        <w:rPr>
          <w:rFonts w:eastAsia="Times New Roman" w:cs="Times New Roman"/>
          <w:i/>
          <w:iCs/>
          <w:szCs w:val="24"/>
          <w:lang w:val="es-MX"/>
        </w:rPr>
      </w:pPr>
      <w:r w:rsidRPr="001C57F7">
        <w:rPr>
          <w:i/>
          <w:szCs w:val="24"/>
        </w:rPr>
        <w:t>“</w:t>
      </w:r>
      <w:r w:rsidRPr="001C57F7">
        <w:rPr>
          <w:i/>
          <w:color w:val="000000"/>
          <w:szCs w:val="24"/>
        </w:rPr>
        <w:t>1. la respuesta redirige a un un sitio web en el que la información se encuentra publica de conformidad en el articulo 161 la respuesta tuvo que haberse brindado dentro de los cinco días posteriores a la que ingreso la solicitud, por lo que no se esta dando atención a lo estipulado por la Ley, por lo que de conformidad a lo estipulado por lo que con fundamento en el articulo 222 fracciones I, III Y X SE DEBERÍA DAR VISTO A LA CONTRALORÌA PARA LOS TRÁMITES CONDUCENTES. 2.la respuesta vienen en formato pdf que hace imposible poder acceder al sitio al que mandan por lo que al no venir en datos abiertos se me niega el acceso a la información. 3. dentro del cuerpo de su respuesta viene unas capturas de pantalla poco legibles que no permite tener certeza de que la ruta que indican me lleve realmente a lo solicitado</w:t>
      </w:r>
      <w:r w:rsidRPr="001C57F7">
        <w:rPr>
          <w:rFonts w:ascii="Verdana" w:hAnsi="Verdana"/>
          <w:color w:val="000000"/>
          <w:sz w:val="14"/>
          <w:szCs w:val="14"/>
        </w:rPr>
        <w:t>.</w:t>
      </w:r>
      <w:r w:rsidRPr="001C57F7">
        <w:rPr>
          <w:i/>
          <w:iCs/>
          <w:szCs w:val="24"/>
        </w:rPr>
        <w:t>” (Sic)</w:t>
      </w:r>
    </w:p>
    <w:p w14:paraId="6A8658F9" w14:textId="77777777" w:rsidR="00435F08" w:rsidRPr="001C57F7" w:rsidRDefault="00435F08" w:rsidP="00435F08">
      <w:pPr>
        <w:pBdr>
          <w:top w:val="nil"/>
          <w:left w:val="nil"/>
          <w:bottom w:val="nil"/>
          <w:right w:val="nil"/>
          <w:between w:val="nil"/>
        </w:pBdr>
        <w:contextualSpacing/>
        <w:rPr>
          <w:rFonts w:eastAsia="Palatino Linotype" w:cs="Palatino Linotype"/>
        </w:rPr>
      </w:pPr>
    </w:p>
    <w:p w14:paraId="3F1042AA"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r w:rsidRPr="001C57F7">
        <w:rPr>
          <w:rFonts w:eastAsia="Palatino Linotype" w:cs="Palatino Linotype"/>
          <w:color w:val="000000"/>
          <w:szCs w:val="24"/>
        </w:rPr>
        <w:t xml:space="preserve">De lo anterior el Recurrente anexo a su garantía secundaria un documento electrónico que consta de cuatro fojas en formato PDF en las cuales manifiesta lo siguiente; </w:t>
      </w:r>
    </w:p>
    <w:p w14:paraId="6DDA5769" w14:textId="77777777" w:rsidR="00435F08" w:rsidRPr="001C57F7" w:rsidRDefault="00435F08" w:rsidP="00435F08">
      <w:pPr>
        <w:pBdr>
          <w:top w:val="nil"/>
          <w:left w:val="nil"/>
          <w:bottom w:val="nil"/>
          <w:right w:val="nil"/>
          <w:between w:val="nil"/>
        </w:pBdr>
        <w:ind w:left="708"/>
        <w:contextualSpacing/>
        <w:rPr>
          <w:i/>
          <w:sz w:val="22"/>
        </w:rPr>
      </w:pPr>
      <w:r w:rsidRPr="001C57F7">
        <w:rPr>
          <w:i/>
          <w:sz w:val="22"/>
        </w:rPr>
        <w:t xml:space="preserve">1. En la solicitud de información pública número 00042/PAPALO/IP/2026, se pidió una copia digital (versión pública) de la documentación cuyo contenido versara sobre la EVIDENCIA de lo propuesto en la línea de acción 1.4.1.2, la cual aparece en la página 130 del Plan de Desarrollo Municipal 2025-2027. 1 </w:t>
      </w:r>
    </w:p>
    <w:p w14:paraId="6C58474F" w14:textId="77777777" w:rsidR="00435F08" w:rsidRPr="001C57F7" w:rsidRDefault="00435F08" w:rsidP="00435F08">
      <w:pPr>
        <w:pBdr>
          <w:top w:val="nil"/>
          <w:left w:val="nil"/>
          <w:bottom w:val="nil"/>
          <w:right w:val="nil"/>
          <w:between w:val="nil"/>
        </w:pBdr>
        <w:ind w:left="708"/>
        <w:contextualSpacing/>
        <w:rPr>
          <w:i/>
          <w:sz w:val="22"/>
        </w:rPr>
      </w:pPr>
      <w:r w:rsidRPr="001C57F7">
        <w:rPr>
          <w:i/>
          <w:sz w:val="22"/>
        </w:rPr>
        <w:t xml:space="preserve">2. De esta manera, lo que se solicita es la EVIDENCIA DOCUMENTAL del cumplimento o, en su caso, avance, concerniente al establecimiento de la actualización del Bando Municipal y Reglamentos para su difusión unificada incluyendo un compendio normativo accesible a la ciudadanía. </w:t>
      </w:r>
    </w:p>
    <w:p w14:paraId="11B49EC2" w14:textId="77777777" w:rsidR="00435F08" w:rsidRPr="001C57F7" w:rsidRDefault="00435F08" w:rsidP="00435F08">
      <w:pPr>
        <w:pBdr>
          <w:top w:val="nil"/>
          <w:left w:val="nil"/>
          <w:bottom w:val="nil"/>
          <w:right w:val="nil"/>
          <w:between w:val="nil"/>
        </w:pBdr>
        <w:ind w:left="708"/>
        <w:contextualSpacing/>
        <w:rPr>
          <w:i/>
          <w:sz w:val="22"/>
        </w:rPr>
      </w:pPr>
      <w:r w:rsidRPr="001C57F7">
        <w:rPr>
          <w:i/>
          <w:sz w:val="22"/>
        </w:rPr>
        <w:t xml:space="preserve">3. El Sujeto Obligado (SO), en su respuesta admite que la línea de acción 1.4.1.2 sí fue implementada, esto durante el ejercicio fiscal 2025. </w:t>
      </w:r>
    </w:p>
    <w:p w14:paraId="593B3218" w14:textId="77777777" w:rsidR="00435F08" w:rsidRPr="001C57F7" w:rsidRDefault="00435F08" w:rsidP="00435F08">
      <w:pPr>
        <w:pBdr>
          <w:top w:val="nil"/>
          <w:left w:val="nil"/>
          <w:bottom w:val="nil"/>
          <w:right w:val="nil"/>
          <w:between w:val="nil"/>
        </w:pBdr>
        <w:ind w:left="708"/>
        <w:contextualSpacing/>
        <w:rPr>
          <w:i/>
          <w:sz w:val="22"/>
        </w:rPr>
      </w:pPr>
      <w:r w:rsidRPr="001C57F7">
        <w:rPr>
          <w:i/>
          <w:sz w:val="22"/>
        </w:rPr>
        <w:t xml:space="preserve">4. El SO sostiene que el cumplimiento de la línea de acción 1.4.1.2 se encuentra documentado en el Primer Informe de Gobierno Papalotla 2025, dentro del apartado denominado «Eje 1. Cero corrupción y gobierno del pueblo para el pueblo. “Estado de derecho y austeridad”». </w:t>
      </w:r>
    </w:p>
    <w:p w14:paraId="4EFDB6B5" w14:textId="77777777" w:rsidR="00435F08" w:rsidRPr="001C57F7" w:rsidRDefault="00435F08" w:rsidP="00435F08">
      <w:pPr>
        <w:pBdr>
          <w:top w:val="nil"/>
          <w:left w:val="nil"/>
          <w:bottom w:val="nil"/>
          <w:right w:val="nil"/>
          <w:between w:val="nil"/>
        </w:pBdr>
        <w:ind w:left="708"/>
        <w:contextualSpacing/>
        <w:rPr>
          <w:i/>
          <w:sz w:val="22"/>
        </w:rPr>
      </w:pPr>
      <w:r w:rsidRPr="001C57F7">
        <w:rPr>
          <w:i/>
          <w:sz w:val="22"/>
        </w:rPr>
        <w:t xml:space="preserve">5. Con miras de clarificar los términos de lo solicitado, es que un servidor acudió al Diccionario de la lengua española para verificar el sentido del sustantivo masculino «informe», el cual, en su </w:t>
      </w:r>
      <w:r w:rsidRPr="001C57F7">
        <w:rPr>
          <w:i/>
          <w:sz w:val="22"/>
        </w:rPr>
        <w:lastRenderedPageBreak/>
        <w:t>primera acepción, consiste en la «[…] Descripción, oral o escrita, de las características y circunstancias de un suceso o asunto […]»2</w:t>
      </w:r>
    </w:p>
    <w:p w14:paraId="76571E7C" w14:textId="77777777" w:rsidR="00435F08" w:rsidRPr="001C57F7" w:rsidRDefault="00435F08" w:rsidP="00435F08">
      <w:pPr>
        <w:pBdr>
          <w:top w:val="nil"/>
          <w:left w:val="nil"/>
          <w:bottom w:val="nil"/>
          <w:right w:val="nil"/>
          <w:between w:val="nil"/>
        </w:pBdr>
        <w:ind w:left="708"/>
        <w:contextualSpacing/>
        <w:rPr>
          <w:i/>
          <w:sz w:val="22"/>
        </w:rPr>
      </w:pPr>
      <w:r w:rsidRPr="001C57F7">
        <w:rPr>
          <w:i/>
          <w:sz w:val="22"/>
        </w:rPr>
        <w:t xml:space="preserve"> 6. Con relación al sustantivo femenino de «evidencia», el Diccionario panhispánico del español jurídico, nos dice que éste corresponde a la «[…] Prueba de un hecho […]».3 </w:t>
      </w:r>
    </w:p>
    <w:p w14:paraId="073967FF" w14:textId="77777777" w:rsidR="00435F08" w:rsidRPr="001C57F7" w:rsidRDefault="00435F08" w:rsidP="00435F08">
      <w:pPr>
        <w:pBdr>
          <w:top w:val="nil"/>
          <w:left w:val="nil"/>
          <w:bottom w:val="nil"/>
          <w:right w:val="nil"/>
          <w:between w:val="nil"/>
        </w:pBdr>
        <w:ind w:left="708"/>
        <w:contextualSpacing/>
        <w:rPr>
          <w:i/>
          <w:sz w:val="22"/>
        </w:rPr>
      </w:pPr>
      <w:r w:rsidRPr="001C57F7">
        <w:rPr>
          <w:i/>
          <w:sz w:val="22"/>
        </w:rPr>
        <w:t xml:space="preserve">7. Asimismo, no se soslaye que la línea de acción 1.4.1.2 se circunscribe al Eje general para el desarrollo 1. «Cero corrupción y gobierno del pueblo y para el pueblo. “Estado de derecho y austeridad”», inciso d. «Estado de derecho y cultura de la legalidad». Es decir, todo el contenido del Eje general para el desarrollo 1, entre otras cosas, redunda en la transparencia, la rendición de cuentas, la participación ciudadana, la cultura de la egalidad, el respeto al Estado de derecho y la coordinación municipal e interestatal. </w:t>
      </w:r>
    </w:p>
    <w:p w14:paraId="4057594F" w14:textId="77777777" w:rsidR="00435F08" w:rsidRPr="001C57F7" w:rsidRDefault="00435F08" w:rsidP="00435F08">
      <w:pPr>
        <w:pBdr>
          <w:top w:val="nil"/>
          <w:left w:val="nil"/>
          <w:bottom w:val="nil"/>
          <w:right w:val="nil"/>
          <w:between w:val="nil"/>
        </w:pBdr>
        <w:ind w:left="708"/>
        <w:contextualSpacing/>
        <w:rPr>
          <w:i/>
          <w:sz w:val="22"/>
        </w:rPr>
      </w:pPr>
      <w:r w:rsidRPr="001C57F7">
        <w:rPr>
          <w:i/>
          <w:sz w:val="22"/>
        </w:rPr>
        <w:t xml:space="preserve">8. Ahora bien, y en relación con las atribuciones del presidente municipal, la fracción XV, del artículo 48, de la Ley orgánica municipal del Estado de México, que a la letra dice: «[…] Entregar por escrito y en medio electrónico al ayuntamiento, dentro de los primeros cinco días hábiles del mes de diciembre de cada año, en sesión solemne de cabildo, un informe del estado que guarda la administración pública municipal y de las labores realizadas durante el ejercicio […]»4 , se debe mencionar que el presidente municipal entregó al ayuntamiento un INFORME que, como ya se vio, no presenta EVIDENCIAS OBJETIVAS de su contenido sino sólo acotaciones acompañadas, en ocasiones, de imágenes y tablas informativas. No podía ser de otra manera, pues la razón de ser del Primer informe de gobierno Papalotla 2025 es el de señalar el estado que guarda la administración, así como la mención de logros alcanzados. No es función de un informe de estas características el probar (EVIDENCIAR) su contenido: esto último se podrá hallar en otro tipo de documentos. </w:t>
      </w:r>
    </w:p>
    <w:p w14:paraId="720A03F6" w14:textId="77777777" w:rsidR="00435F08" w:rsidRPr="001C57F7" w:rsidRDefault="00435F08" w:rsidP="00435F08">
      <w:pPr>
        <w:pBdr>
          <w:top w:val="nil"/>
          <w:left w:val="nil"/>
          <w:bottom w:val="nil"/>
          <w:right w:val="nil"/>
          <w:between w:val="nil"/>
        </w:pBdr>
        <w:ind w:left="708"/>
        <w:contextualSpacing/>
        <w:rPr>
          <w:rFonts w:eastAsia="Palatino Linotype" w:cs="Palatino Linotype"/>
          <w:i/>
          <w:color w:val="000000"/>
          <w:sz w:val="22"/>
        </w:rPr>
      </w:pPr>
      <w:r w:rsidRPr="001C57F7">
        <w:rPr>
          <w:i/>
          <w:sz w:val="22"/>
        </w:rPr>
        <w:t xml:space="preserve">9. Consecuentemente, en el informe aludido no se pudieron encontrar las evidencias que sustentaran la cumplimentación, o avance, de la línea de acción 1.4.1.2 (como afirma el SO), línea que aparece en el ya citado Plan de desarrollo municipal 2025-2027. En base a todo lo expuesto hasta aquí, es que se solicita — amable y respetuosamente— se revoque la respuesta del SO por no </w:t>
      </w:r>
      <w:r w:rsidRPr="001C57F7">
        <w:rPr>
          <w:i/>
          <w:sz w:val="22"/>
        </w:rPr>
        <w:lastRenderedPageBreak/>
        <w:t>corresponder a lo que se le solicita indicándole, asimismo, que haga entrega de la información pública solicitada conforme a derecho.</w:t>
      </w:r>
    </w:p>
    <w:p w14:paraId="0546F386"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p>
    <w:p w14:paraId="0DF9189A" w14:textId="77777777" w:rsidR="00435F08" w:rsidRPr="001C57F7" w:rsidRDefault="00435F08" w:rsidP="00435F08">
      <w:pPr>
        <w:pStyle w:val="Ttulo2"/>
        <w:rPr>
          <w:rFonts w:ascii="Palatino Linotype" w:eastAsia="Palatino Linotype" w:hAnsi="Palatino Linotype"/>
          <w:b/>
          <w:bCs/>
          <w:color w:val="auto"/>
          <w:sz w:val="28"/>
          <w:szCs w:val="28"/>
        </w:rPr>
      </w:pPr>
      <w:r w:rsidRPr="001C57F7">
        <w:rPr>
          <w:rFonts w:ascii="Palatino Linotype" w:eastAsia="Palatino Linotype" w:hAnsi="Palatino Linotype"/>
          <w:b/>
          <w:bCs/>
          <w:color w:val="auto"/>
          <w:sz w:val="28"/>
          <w:szCs w:val="28"/>
        </w:rPr>
        <w:t>CUARTO. Del turno y admisión del recurso de revisión.</w:t>
      </w:r>
    </w:p>
    <w:p w14:paraId="283172E9"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r w:rsidRPr="001C57F7">
        <w:rPr>
          <w:rFonts w:eastAsia="Palatino Linotype" w:cs="Palatino Linotype"/>
          <w:color w:val="000000"/>
          <w:szCs w:val="24"/>
        </w:rPr>
        <w:t xml:space="preserve">Medio de impugnación que le fue turnado al </w:t>
      </w:r>
      <w:r w:rsidRPr="001C57F7">
        <w:rPr>
          <w:rFonts w:eastAsia="Palatino Linotype" w:cs="Palatino Linotype"/>
          <w:b/>
          <w:color w:val="000000"/>
          <w:szCs w:val="24"/>
        </w:rPr>
        <w:t>Comisionado Presidente José Martínez Vilchis</w:t>
      </w:r>
      <w:r w:rsidRPr="001C57F7">
        <w:rPr>
          <w:rFonts w:eastAsia="Palatino Linotype" w:cs="Palatino Linotype"/>
          <w:color w:val="000000"/>
          <w:szCs w:val="24"/>
        </w:rPr>
        <w:t>, por medio del sistema electrónico en términos del numeral 185 fracción I de la Ley de Transparencia y Acceso a la información Pública del Estado de México y Municipios, al cual recayó acuerdo de admisión de fecha</w:t>
      </w:r>
      <w:r w:rsidRPr="001C57F7">
        <w:rPr>
          <w:rFonts w:eastAsia="Palatino Linotype" w:cs="Palatino Linotype"/>
          <w:b/>
          <w:bCs/>
          <w:color w:val="000000"/>
          <w:szCs w:val="24"/>
        </w:rPr>
        <w:t xml:space="preserve"> catorce de abril de dos mil veintiséis</w:t>
      </w:r>
      <w:r w:rsidRPr="001C57F7">
        <w:rPr>
          <w:rFonts w:eastAsia="Palatino Linotype" w:cs="Palatino Linotype"/>
          <w:color w:val="000000"/>
          <w:szCs w:val="24"/>
        </w:rPr>
        <w:t xml:space="preserve">, </w:t>
      </w:r>
      <w:r w:rsidRPr="001C57F7">
        <w:rPr>
          <w:rFonts w:eastAsia="Palatino Linotype" w:cs="Palatino Linotype"/>
          <w:szCs w:val="24"/>
        </w:rPr>
        <w:t>otorgándose</w:t>
      </w:r>
      <w:r w:rsidRPr="001C57F7">
        <w:rPr>
          <w:rFonts w:eastAsia="Palatino Linotype" w:cs="Palatino Linotype"/>
          <w:color w:val="000000"/>
          <w:szCs w:val="24"/>
        </w:rPr>
        <w:t xml:space="preserve"> en él un plazo de siete días para que las partes manifestaran lo que a su derecho corresponda en términos del numeral ya citado.</w:t>
      </w:r>
    </w:p>
    <w:p w14:paraId="0C121982"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p>
    <w:p w14:paraId="2D6940EE" w14:textId="77777777" w:rsidR="00435F08" w:rsidRPr="001C57F7" w:rsidRDefault="00435F08" w:rsidP="00435F08">
      <w:pPr>
        <w:pStyle w:val="Ttulo2"/>
        <w:rPr>
          <w:rFonts w:ascii="Palatino Linotype" w:eastAsia="Palatino Linotype" w:hAnsi="Palatino Linotype"/>
          <w:b/>
          <w:bCs/>
          <w:color w:val="auto"/>
          <w:sz w:val="28"/>
          <w:szCs w:val="28"/>
        </w:rPr>
      </w:pPr>
      <w:r w:rsidRPr="001C57F7">
        <w:rPr>
          <w:rFonts w:ascii="Palatino Linotype" w:eastAsia="Palatino Linotype" w:hAnsi="Palatino Linotype"/>
          <w:b/>
          <w:bCs/>
          <w:color w:val="auto"/>
          <w:sz w:val="28"/>
          <w:szCs w:val="28"/>
        </w:rPr>
        <w:t>QUINTO. De la etapa de instrucción.</w:t>
      </w:r>
    </w:p>
    <w:p w14:paraId="39ECC6D9"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r w:rsidRPr="001C57F7">
        <w:rPr>
          <w:rFonts w:eastAsia="Palatino Linotype" w:cs="Palatino Linotype"/>
          <w:color w:val="000000"/>
          <w:szCs w:val="24"/>
        </w:rPr>
        <w:t xml:space="preserve">Una vez abierta la etapa de instrucción, el Sujeto Obligado </w:t>
      </w:r>
      <w:r w:rsidRPr="001C57F7">
        <w:rPr>
          <w:rFonts w:eastAsia="Palatino Linotype" w:cs="Palatino Linotype"/>
          <w:b/>
          <w:color w:val="000000"/>
          <w:szCs w:val="24"/>
        </w:rPr>
        <w:t>fue omiso para rendir su informe justificado</w:t>
      </w:r>
      <w:r w:rsidRPr="001C57F7">
        <w:rPr>
          <w:rFonts w:eastAsia="Palatino Linotype" w:cs="Palatino Linotype"/>
          <w:color w:val="000000"/>
          <w:szCs w:val="24"/>
        </w:rPr>
        <w:t xml:space="preserve">. Por su parte, el Recurrente no realizó manifestaciones, vertió alegatos ni presentó pruebas que a su derecho convinieran. </w:t>
      </w:r>
    </w:p>
    <w:p w14:paraId="4B954B3F"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p>
    <w:p w14:paraId="3974969D" w14:textId="77777777" w:rsidR="00435F08" w:rsidRPr="001C57F7" w:rsidRDefault="00435F08" w:rsidP="00435F08">
      <w:pPr>
        <w:pStyle w:val="Ttulo2"/>
        <w:rPr>
          <w:rFonts w:ascii="Palatino Linotype" w:eastAsia="Palatino Linotype" w:hAnsi="Palatino Linotype"/>
          <w:b/>
          <w:bCs/>
          <w:color w:val="auto"/>
          <w:sz w:val="28"/>
          <w:szCs w:val="28"/>
        </w:rPr>
      </w:pPr>
      <w:r w:rsidRPr="001C57F7">
        <w:rPr>
          <w:rFonts w:ascii="Palatino Linotype" w:eastAsia="Palatino Linotype" w:hAnsi="Palatino Linotype"/>
          <w:b/>
          <w:bCs/>
          <w:color w:val="auto"/>
          <w:sz w:val="28"/>
          <w:szCs w:val="28"/>
        </w:rPr>
        <w:t>SEXTO. Del cierre de instrucción.</w:t>
      </w:r>
    </w:p>
    <w:p w14:paraId="48C2DFFF" w14:textId="681D5D12"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r w:rsidRPr="001C57F7">
        <w:rPr>
          <w:rFonts w:eastAsia="Palatino Linotype" w:cs="Palatino Linotype"/>
          <w:color w:val="000000"/>
          <w:szCs w:val="24"/>
        </w:rPr>
        <w:t>Así, una vez transcurrido el término legal, se decretó el cierre de instrucción en fecha</w:t>
      </w:r>
      <w:r w:rsidRPr="001C57F7">
        <w:rPr>
          <w:rFonts w:eastAsia="Palatino Linotype" w:cs="Palatino Linotype"/>
          <w:b/>
          <w:color w:val="000000"/>
          <w:szCs w:val="24"/>
        </w:rPr>
        <w:t xml:space="preserve"> catorce de mayo</w:t>
      </w:r>
      <w:r w:rsidR="009257B6" w:rsidRPr="001C57F7">
        <w:rPr>
          <w:rFonts w:eastAsia="Palatino Linotype" w:cs="Palatino Linotype"/>
          <w:b/>
          <w:color w:val="000000"/>
          <w:szCs w:val="24"/>
        </w:rPr>
        <w:t xml:space="preserve"> de dos mil veintiséis</w:t>
      </w:r>
      <w:r w:rsidRPr="001C57F7">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7718271B" w14:textId="77777777" w:rsidR="00435F08" w:rsidRPr="001C57F7" w:rsidRDefault="00435F08" w:rsidP="00435F08">
      <w:pPr>
        <w:pBdr>
          <w:top w:val="nil"/>
          <w:left w:val="nil"/>
          <w:bottom w:val="nil"/>
          <w:right w:val="nil"/>
          <w:between w:val="nil"/>
        </w:pBdr>
        <w:contextualSpacing/>
        <w:rPr>
          <w:rFonts w:eastAsiaTheme="minorHAnsi" w:cstheme="minorBidi"/>
          <w:szCs w:val="24"/>
          <w:lang w:eastAsia="en-US"/>
        </w:rPr>
      </w:pPr>
    </w:p>
    <w:p w14:paraId="74A11F1B" w14:textId="77777777" w:rsidR="00435F08" w:rsidRPr="001C57F7" w:rsidRDefault="00435F08" w:rsidP="00435F08">
      <w:pPr>
        <w:keepNext/>
        <w:keepLines/>
        <w:outlineLvl w:val="1"/>
        <w:rPr>
          <w:rFonts w:cs="Palatino Linotype"/>
          <w:color w:val="000000"/>
        </w:rPr>
      </w:pPr>
      <w:r w:rsidRPr="001C57F7">
        <w:rPr>
          <w:b/>
          <w:color w:val="000000" w:themeColor="text1"/>
          <w:sz w:val="28"/>
          <w:szCs w:val="28"/>
        </w:rPr>
        <w:lastRenderedPageBreak/>
        <w:t xml:space="preserve">SÉPTIMO. </w:t>
      </w:r>
      <w:r w:rsidRPr="001C57F7">
        <w:rPr>
          <w:rFonts w:cs="Arial"/>
          <w:b/>
          <w:sz w:val="28"/>
        </w:rPr>
        <w:t>De la ampliación del término para resolver.</w:t>
      </w:r>
    </w:p>
    <w:p w14:paraId="64334904" w14:textId="6F1C6C51" w:rsidR="00435F08" w:rsidRPr="001C57F7" w:rsidRDefault="00435F08" w:rsidP="00435F08">
      <w:pPr>
        <w:contextualSpacing/>
      </w:pPr>
      <w:r w:rsidRPr="001C57F7">
        <w:t>De las constancias que integran el expediente electrónico, se advierte que han transcurrido los términos de Ley, para la emisión de la resolución en el presente recurso de revisión, por lo que en fecha</w:t>
      </w:r>
      <w:r w:rsidRPr="001C57F7">
        <w:rPr>
          <w:b/>
        </w:rPr>
        <w:t xml:space="preserve"> </w:t>
      </w:r>
      <w:r w:rsidR="009257B6" w:rsidRPr="001C57F7">
        <w:rPr>
          <w:b/>
        </w:rPr>
        <w:t>tres de junio de dos mil veintiséis</w:t>
      </w:r>
      <w:r w:rsidRPr="001C57F7">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E85022F" w14:textId="77777777" w:rsidR="00435F08" w:rsidRPr="001C57F7" w:rsidRDefault="00435F08" w:rsidP="00435F08">
      <w:pPr>
        <w:contextualSpacing/>
      </w:pPr>
    </w:p>
    <w:p w14:paraId="6FB195D8" w14:textId="77777777" w:rsidR="00435F08" w:rsidRPr="001C57F7" w:rsidRDefault="00435F08" w:rsidP="00435F08">
      <w:pPr>
        <w:pStyle w:val="Ttulo1"/>
        <w:jc w:val="center"/>
        <w:rPr>
          <w:rFonts w:ascii="Palatino Linotype" w:eastAsia="Palatino Linotype" w:hAnsi="Palatino Linotype"/>
          <w:b/>
          <w:bCs/>
          <w:color w:val="auto"/>
          <w:sz w:val="28"/>
          <w:szCs w:val="28"/>
        </w:rPr>
      </w:pPr>
      <w:r w:rsidRPr="001C57F7">
        <w:rPr>
          <w:rFonts w:ascii="Palatino Linotype" w:eastAsia="Palatino Linotype" w:hAnsi="Palatino Linotype"/>
          <w:b/>
          <w:bCs/>
          <w:color w:val="auto"/>
          <w:sz w:val="28"/>
          <w:szCs w:val="28"/>
        </w:rPr>
        <w:t>C O N S I D E R A N D O</w:t>
      </w:r>
    </w:p>
    <w:p w14:paraId="0ACE7855" w14:textId="77777777" w:rsidR="00435F08" w:rsidRPr="001C57F7" w:rsidRDefault="00435F08" w:rsidP="00435F08"/>
    <w:p w14:paraId="2DEB07E8" w14:textId="77777777" w:rsidR="00435F08" w:rsidRPr="001C57F7" w:rsidRDefault="00435F08" w:rsidP="00435F08">
      <w:pPr>
        <w:pStyle w:val="Ttulo2"/>
        <w:rPr>
          <w:rFonts w:ascii="Palatino Linotype" w:eastAsia="Palatino Linotype" w:hAnsi="Palatino Linotype"/>
          <w:b/>
          <w:bCs/>
          <w:color w:val="auto"/>
          <w:sz w:val="28"/>
          <w:szCs w:val="28"/>
        </w:rPr>
      </w:pPr>
      <w:r w:rsidRPr="001C57F7">
        <w:rPr>
          <w:rFonts w:ascii="Palatino Linotype" w:eastAsia="Palatino Linotype" w:hAnsi="Palatino Linotype"/>
          <w:b/>
          <w:bCs/>
          <w:color w:val="auto"/>
          <w:sz w:val="28"/>
          <w:szCs w:val="28"/>
        </w:rPr>
        <w:t>PRIMERO. De la competencia.</w:t>
      </w:r>
    </w:p>
    <w:p w14:paraId="2C9B1D82"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r w:rsidRPr="001C57F7">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5C7CFFA" w14:textId="77777777" w:rsidR="00435F08" w:rsidRPr="001C57F7" w:rsidRDefault="00435F08" w:rsidP="00435F08">
      <w:pPr>
        <w:pStyle w:val="Ttulo2"/>
        <w:rPr>
          <w:rFonts w:ascii="Palatino Linotype" w:eastAsia="Palatino Linotype" w:hAnsi="Palatino Linotype"/>
          <w:b/>
          <w:bCs/>
          <w:color w:val="auto"/>
          <w:sz w:val="28"/>
          <w:szCs w:val="28"/>
        </w:rPr>
      </w:pPr>
      <w:r w:rsidRPr="001C57F7">
        <w:rPr>
          <w:rFonts w:ascii="Palatino Linotype" w:eastAsia="Palatino Linotype" w:hAnsi="Palatino Linotype"/>
          <w:b/>
          <w:bCs/>
          <w:color w:val="auto"/>
          <w:sz w:val="28"/>
          <w:szCs w:val="28"/>
        </w:rPr>
        <w:lastRenderedPageBreak/>
        <w:t xml:space="preserve">SEGUNDO. Sobre los alcances del recurso de revisión. </w:t>
      </w:r>
    </w:p>
    <w:p w14:paraId="6D829C29" w14:textId="77777777" w:rsidR="00435F08" w:rsidRPr="001C57F7" w:rsidRDefault="00435F08" w:rsidP="00435F08">
      <w:r w:rsidRPr="001C57F7">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6ADB1C7" w14:textId="77777777" w:rsidR="00435F08" w:rsidRPr="001C57F7" w:rsidRDefault="00435F08" w:rsidP="00435F08"/>
    <w:p w14:paraId="1089F3E4" w14:textId="77777777" w:rsidR="00435F08" w:rsidRPr="001C57F7" w:rsidRDefault="00435F08" w:rsidP="00435F08">
      <w:pPr>
        <w:autoSpaceDE w:val="0"/>
        <w:autoSpaceDN w:val="0"/>
        <w:adjustRightInd w:val="0"/>
        <w:spacing w:before="240" w:line="240" w:lineRule="auto"/>
        <w:rPr>
          <w:rFonts w:eastAsia="Times New Roman" w:cs="Arial"/>
          <w:b/>
          <w:szCs w:val="24"/>
          <w:lang w:val="es-ES" w:eastAsia="es-ES"/>
        </w:rPr>
      </w:pPr>
      <w:r w:rsidRPr="001C57F7">
        <w:rPr>
          <w:rFonts w:cs="Arial"/>
          <w:b/>
          <w:sz w:val="28"/>
        </w:rPr>
        <w:t xml:space="preserve">TERCERO. </w:t>
      </w:r>
      <w:r w:rsidRPr="001C57F7">
        <w:rPr>
          <w:rFonts w:eastAsia="Times New Roman" w:cs="Arial"/>
          <w:b/>
          <w:sz w:val="28"/>
          <w:szCs w:val="28"/>
          <w:lang w:val="es-ES" w:eastAsia="es-ES"/>
        </w:rPr>
        <w:t>Cuestiones de previo y especial pronunciamiento</w:t>
      </w:r>
    </w:p>
    <w:p w14:paraId="175E2814" w14:textId="77777777" w:rsidR="00435F08" w:rsidRPr="001C57F7" w:rsidRDefault="00435F08" w:rsidP="00435F08">
      <w:pPr>
        <w:autoSpaceDE w:val="0"/>
        <w:autoSpaceDN w:val="0"/>
        <w:adjustRightInd w:val="0"/>
        <w:spacing w:before="240"/>
        <w:rPr>
          <w:rFonts w:eastAsia="Times New Roman" w:cs="Times New Roman"/>
          <w:szCs w:val="24"/>
        </w:rPr>
      </w:pPr>
      <w:r w:rsidRPr="001C57F7">
        <w:rPr>
          <w:rFonts w:eastAsia="Times New Roman" w:cs="Times New Roman"/>
          <w:szCs w:val="24"/>
        </w:rPr>
        <w:t>El Recurso de Revisión en estudio contiene los elementos normativos de validez exigidos en la Ley de Transparencia y Acceso a la Información Pública del Estado de México y Municipios, establecidos en el artículo 180 que enuncia:</w:t>
      </w:r>
    </w:p>
    <w:p w14:paraId="12344E3A" w14:textId="77777777" w:rsidR="00435F08" w:rsidRPr="001C57F7" w:rsidRDefault="00435F08" w:rsidP="00435F08">
      <w:pPr>
        <w:autoSpaceDE w:val="0"/>
        <w:autoSpaceDN w:val="0"/>
        <w:adjustRightInd w:val="0"/>
        <w:spacing w:before="240"/>
        <w:ind w:left="360" w:firstLine="348"/>
        <w:rPr>
          <w:rFonts w:eastAsia="Times New Roman" w:cs="Times New Roman"/>
          <w:i/>
          <w:sz w:val="22"/>
        </w:rPr>
      </w:pPr>
      <w:r w:rsidRPr="001C57F7">
        <w:rPr>
          <w:rFonts w:eastAsia="Times New Roman" w:cs="Times New Roman"/>
          <w:i/>
          <w:sz w:val="22"/>
        </w:rPr>
        <w:t>“Artículo 180. El recurso de revisión contendrá:</w:t>
      </w:r>
    </w:p>
    <w:p w14:paraId="7BA9BB11" w14:textId="77777777" w:rsidR="00435F08" w:rsidRPr="001C57F7" w:rsidRDefault="00435F08" w:rsidP="00435F08">
      <w:pPr>
        <w:numPr>
          <w:ilvl w:val="0"/>
          <w:numId w:val="1"/>
        </w:numPr>
        <w:autoSpaceDE w:val="0"/>
        <w:autoSpaceDN w:val="0"/>
        <w:adjustRightInd w:val="0"/>
        <w:spacing w:before="240"/>
        <w:rPr>
          <w:rFonts w:eastAsia="Times New Roman" w:cs="Times New Roman"/>
          <w:i/>
          <w:sz w:val="22"/>
          <w:lang w:val="es-ES" w:eastAsia="es-ES"/>
        </w:rPr>
      </w:pPr>
      <w:r w:rsidRPr="001C57F7">
        <w:rPr>
          <w:rFonts w:eastAsia="Times New Roman" w:cs="Times New Roman"/>
          <w:i/>
          <w:sz w:val="22"/>
          <w:lang w:val="es-ES" w:eastAsia="es-ES"/>
        </w:rPr>
        <w:t>EL sujeto obligado ante la cual se presentó la solicitud;</w:t>
      </w:r>
    </w:p>
    <w:p w14:paraId="397A7DA0" w14:textId="77777777" w:rsidR="00435F08" w:rsidRPr="001C57F7" w:rsidRDefault="00435F08" w:rsidP="00435F08">
      <w:pPr>
        <w:numPr>
          <w:ilvl w:val="0"/>
          <w:numId w:val="1"/>
        </w:numPr>
        <w:autoSpaceDE w:val="0"/>
        <w:autoSpaceDN w:val="0"/>
        <w:adjustRightInd w:val="0"/>
        <w:spacing w:before="240"/>
        <w:rPr>
          <w:rFonts w:eastAsia="Times New Roman" w:cs="Times New Roman"/>
          <w:i/>
          <w:sz w:val="22"/>
          <w:lang w:val="es-ES" w:eastAsia="es-ES"/>
        </w:rPr>
      </w:pPr>
      <w:r w:rsidRPr="001C57F7">
        <w:rPr>
          <w:rFonts w:eastAsia="Times New Roman" w:cs="Times New Roman"/>
          <w:i/>
          <w:sz w:val="22"/>
          <w:lang w:val="es-ES" w:eastAsia="es-ES"/>
        </w:rPr>
        <w:t>El nombre del solicitante que recurre o de su representante y, en su caso, del tercero interesado, así como la dirección o medio que señale para recibir notificaciones;</w:t>
      </w:r>
    </w:p>
    <w:p w14:paraId="2B32461B" w14:textId="77777777" w:rsidR="00435F08" w:rsidRPr="001C57F7" w:rsidRDefault="00435F08" w:rsidP="00435F08">
      <w:pPr>
        <w:numPr>
          <w:ilvl w:val="0"/>
          <w:numId w:val="1"/>
        </w:numPr>
        <w:autoSpaceDE w:val="0"/>
        <w:autoSpaceDN w:val="0"/>
        <w:adjustRightInd w:val="0"/>
        <w:spacing w:before="240"/>
        <w:rPr>
          <w:rFonts w:eastAsia="Times New Roman" w:cs="Times New Roman"/>
          <w:i/>
          <w:sz w:val="22"/>
          <w:lang w:val="es-ES" w:eastAsia="es-ES"/>
        </w:rPr>
      </w:pPr>
      <w:r w:rsidRPr="001C57F7">
        <w:rPr>
          <w:rFonts w:eastAsia="Times New Roman" w:cs="Times New Roman"/>
          <w:i/>
          <w:sz w:val="22"/>
          <w:lang w:val="es-ES" w:eastAsia="es-ES"/>
        </w:rPr>
        <w:t>El número de folio de respuesta de la solicitud de acceso;</w:t>
      </w:r>
    </w:p>
    <w:p w14:paraId="42B851A0" w14:textId="77777777" w:rsidR="00435F08" w:rsidRPr="001C57F7" w:rsidRDefault="00435F08" w:rsidP="00435F08">
      <w:pPr>
        <w:autoSpaceDE w:val="0"/>
        <w:autoSpaceDN w:val="0"/>
        <w:adjustRightInd w:val="0"/>
        <w:spacing w:before="240"/>
        <w:ind w:left="1080"/>
        <w:rPr>
          <w:rFonts w:eastAsia="Times New Roman" w:cs="Times New Roman"/>
          <w:i/>
          <w:sz w:val="22"/>
        </w:rPr>
      </w:pPr>
      <w:r w:rsidRPr="001C57F7">
        <w:rPr>
          <w:rFonts w:eastAsia="Times New Roman" w:cs="Times New Roman"/>
          <w:i/>
          <w:sz w:val="22"/>
        </w:rPr>
        <w:t>IV. La fecha en que fue notificada la respuesta al solicitante o tuvo conocimiento del acto reclamado, o de presentación de la solicitud, en caso de falta de respuesta;</w:t>
      </w:r>
    </w:p>
    <w:p w14:paraId="34203C78" w14:textId="77777777" w:rsidR="00435F08" w:rsidRPr="001C57F7" w:rsidRDefault="00435F08" w:rsidP="00435F08">
      <w:pPr>
        <w:autoSpaceDE w:val="0"/>
        <w:autoSpaceDN w:val="0"/>
        <w:adjustRightInd w:val="0"/>
        <w:spacing w:before="240"/>
        <w:ind w:left="732" w:firstLine="348"/>
        <w:rPr>
          <w:rFonts w:eastAsia="Times New Roman" w:cs="Times New Roman"/>
          <w:i/>
          <w:sz w:val="22"/>
        </w:rPr>
      </w:pPr>
      <w:r w:rsidRPr="001C57F7">
        <w:rPr>
          <w:rFonts w:eastAsia="Times New Roman" w:cs="Times New Roman"/>
          <w:i/>
          <w:sz w:val="22"/>
        </w:rPr>
        <w:lastRenderedPageBreak/>
        <w:t>V. El acto que se recurre;</w:t>
      </w:r>
    </w:p>
    <w:p w14:paraId="53BC9D29" w14:textId="77777777" w:rsidR="00435F08" w:rsidRPr="001C57F7" w:rsidRDefault="00435F08" w:rsidP="00435F08">
      <w:pPr>
        <w:autoSpaceDE w:val="0"/>
        <w:autoSpaceDN w:val="0"/>
        <w:adjustRightInd w:val="0"/>
        <w:spacing w:before="240"/>
        <w:ind w:left="732" w:firstLine="348"/>
        <w:rPr>
          <w:rFonts w:eastAsia="Times New Roman" w:cs="Times New Roman"/>
          <w:i/>
          <w:sz w:val="22"/>
        </w:rPr>
      </w:pPr>
      <w:r w:rsidRPr="001C57F7">
        <w:rPr>
          <w:rFonts w:eastAsia="Times New Roman" w:cs="Times New Roman"/>
          <w:i/>
          <w:sz w:val="22"/>
        </w:rPr>
        <w:t>VI. Las razones o motivos de inconformidad;</w:t>
      </w:r>
    </w:p>
    <w:p w14:paraId="05E6185F" w14:textId="77777777" w:rsidR="00435F08" w:rsidRPr="001C57F7" w:rsidRDefault="00435F08" w:rsidP="00435F08">
      <w:pPr>
        <w:autoSpaceDE w:val="0"/>
        <w:autoSpaceDN w:val="0"/>
        <w:adjustRightInd w:val="0"/>
        <w:spacing w:before="240"/>
        <w:ind w:left="1080"/>
        <w:rPr>
          <w:rFonts w:eastAsia="Times New Roman" w:cs="Times New Roman"/>
          <w:i/>
          <w:sz w:val="22"/>
        </w:rPr>
      </w:pPr>
      <w:r w:rsidRPr="001C57F7">
        <w:rPr>
          <w:rFonts w:eastAsia="Times New Roman" w:cs="Times New Roman"/>
          <w:i/>
          <w:sz w:val="22"/>
        </w:rPr>
        <w:t>VII. La copia de la respuesta que se impugna y, en su caso, de la notificación correspondiente, en el caso de respuesta de la solicitud; y</w:t>
      </w:r>
    </w:p>
    <w:p w14:paraId="6741AC42" w14:textId="77777777" w:rsidR="00435F08" w:rsidRPr="001C57F7" w:rsidRDefault="00435F08" w:rsidP="00435F08">
      <w:pPr>
        <w:autoSpaceDE w:val="0"/>
        <w:autoSpaceDN w:val="0"/>
        <w:adjustRightInd w:val="0"/>
        <w:spacing w:before="240"/>
        <w:ind w:left="732" w:firstLine="348"/>
        <w:rPr>
          <w:rFonts w:eastAsia="Times New Roman" w:cs="Times New Roman"/>
          <w:i/>
          <w:sz w:val="22"/>
        </w:rPr>
      </w:pPr>
      <w:r w:rsidRPr="001C57F7">
        <w:rPr>
          <w:rFonts w:eastAsia="Times New Roman" w:cs="Times New Roman"/>
          <w:i/>
          <w:sz w:val="22"/>
        </w:rPr>
        <w:t>VIII. Firma del recurrente, en su caso, cuando se presente por escrito, requisito sin el cual se dará trámite al recurso.</w:t>
      </w:r>
    </w:p>
    <w:p w14:paraId="5D7A3F35" w14:textId="77777777" w:rsidR="00435F08" w:rsidRPr="001C57F7" w:rsidRDefault="00435F08" w:rsidP="00435F08">
      <w:pPr>
        <w:autoSpaceDE w:val="0"/>
        <w:autoSpaceDN w:val="0"/>
        <w:adjustRightInd w:val="0"/>
        <w:spacing w:before="240"/>
        <w:ind w:left="1080"/>
        <w:rPr>
          <w:rFonts w:eastAsia="Times New Roman" w:cs="Times New Roman"/>
          <w:i/>
          <w:sz w:val="22"/>
        </w:rPr>
      </w:pPr>
      <w:r w:rsidRPr="001C57F7">
        <w:rPr>
          <w:rFonts w:eastAsia="Times New Roman" w:cs="Times New Roman"/>
          <w:i/>
          <w:sz w:val="22"/>
        </w:rPr>
        <w:t>Adicionalmente, se podrán anexar las pruebas y demás elementos que considere procedentes someter a juicio del Instituto.</w:t>
      </w:r>
    </w:p>
    <w:p w14:paraId="35D7CF49" w14:textId="77777777" w:rsidR="00435F08" w:rsidRPr="001C57F7" w:rsidRDefault="00435F08" w:rsidP="00435F08">
      <w:pPr>
        <w:autoSpaceDE w:val="0"/>
        <w:autoSpaceDN w:val="0"/>
        <w:adjustRightInd w:val="0"/>
        <w:spacing w:before="240"/>
        <w:ind w:left="732" w:firstLine="348"/>
        <w:rPr>
          <w:rFonts w:eastAsia="Times New Roman" w:cs="Times New Roman"/>
          <w:i/>
          <w:sz w:val="22"/>
        </w:rPr>
      </w:pPr>
      <w:r w:rsidRPr="001C57F7">
        <w:rPr>
          <w:rFonts w:eastAsia="Times New Roman" w:cs="Times New Roman"/>
          <w:i/>
          <w:sz w:val="22"/>
        </w:rPr>
        <w:t>En ningún caso será necesario que el particular ratifique el recurso de revisión interpuesto.</w:t>
      </w:r>
    </w:p>
    <w:p w14:paraId="3338071A" w14:textId="77777777" w:rsidR="00435F08" w:rsidRPr="001C57F7" w:rsidRDefault="00435F08" w:rsidP="00435F08">
      <w:pPr>
        <w:autoSpaceDE w:val="0"/>
        <w:autoSpaceDN w:val="0"/>
        <w:adjustRightInd w:val="0"/>
        <w:spacing w:before="240"/>
        <w:ind w:left="1080"/>
        <w:rPr>
          <w:rFonts w:eastAsia="Times New Roman" w:cs="Times New Roman"/>
          <w:b/>
          <w:i/>
          <w:sz w:val="22"/>
          <w:u w:val="single"/>
        </w:rPr>
      </w:pPr>
      <w:r w:rsidRPr="001C57F7">
        <w:rPr>
          <w:rFonts w:eastAsia="Times New Roman" w:cs="Times New Roman"/>
          <w:b/>
          <w:i/>
          <w:sz w:val="22"/>
          <w:u w:val="single"/>
        </w:rPr>
        <w:t>En caso de que el recurso se interponga de manera electrónica no será indispensable que contengan los requisitos establecidos en las fracciones II, IV, VII y VIII.” [Sic]</w:t>
      </w:r>
    </w:p>
    <w:p w14:paraId="07753349" w14:textId="77777777" w:rsidR="00435F08" w:rsidRPr="001C57F7" w:rsidRDefault="00435F08" w:rsidP="00435F08">
      <w:pPr>
        <w:autoSpaceDE w:val="0"/>
        <w:autoSpaceDN w:val="0"/>
        <w:adjustRightInd w:val="0"/>
        <w:spacing w:before="240"/>
        <w:ind w:left="1080"/>
        <w:rPr>
          <w:rFonts w:eastAsia="Times New Roman" w:cs="Times New Roman"/>
          <w:b/>
          <w:i/>
          <w:sz w:val="22"/>
          <w:u w:val="single"/>
        </w:rPr>
      </w:pPr>
    </w:p>
    <w:p w14:paraId="363D2BE5" w14:textId="77777777" w:rsidR="00435F08" w:rsidRPr="001C57F7" w:rsidRDefault="00435F08" w:rsidP="00435F08">
      <w:pPr>
        <w:rPr>
          <w:rFonts w:eastAsia="Times New Roman" w:cs="Arial"/>
          <w:szCs w:val="24"/>
          <w:lang w:val="es-ES" w:eastAsia="es-ES"/>
        </w:rPr>
      </w:pPr>
      <w:r w:rsidRPr="001C57F7">
        <w:rPr>
          <w:rFonts w:eastAsia="Times New Roman" w:cs="Segoe UI"/>
          <w:szCs w:val="24"/>
          <w:lang w:val="es-ES" w:eastAsia="es-ES"/>
        </w:rPr>
        <w:t xml:space="preserve">Cabe señalar que </w:t>
      </w:r>
      <w:r w:rsidRPr="001C57F7">
        <w:rPr>
          <w:rFonts w:eastAsia="Times New Roman" w:cs="Segoe UI"/>
          <w:b/>
          <w:szCs w:val="24"/>
          <w:lang w:val="es-ES" w:eastAsia="es-ES"/>
        </w:rPr>
        <w:t>El Recurrente</w:t>
      </w:r>
      <w:r w:rsidRPr="001C57F7">
        <w:rPr>
          <w:rFonts w:eastAsia="Times New Roman" w:cs="Segoe UI"/>
          <w:szCs w:val="24"/>
          <w:lang w:val="es-ES" w:eastAsia="es-ES"/>
        </w:rPr>
        <w:t xml:space="preserve"> ejerció de manera anónima su derecho al acceso a la información</w:t>
      </w:r>
      <w:r w:rsidRPr="001C57F7">
        <w:rPr>
          <w:rFonts w:eastAsia="Times New Roman" w:cs="Times New Roman"/>
          <w:szCs w:val="24"/>
          <w:lang w:val="es-ES" w:eastAsia="es-ES"/>
        </w:rPr>
        <w:t xml:space="preserve">, sin embargo no es motivo para desechar las </w:t>
      </w:r>
      <w:r w:rsidRPr="001C57F7">
        <w:rPr>
          <w:rFonts w:eastAsia="Times New Roman" w:cs="Arial"/>
          <w:szCs w:val="24"/>
          <w:lang w:val="es-ES" w:eastAsia="es-ES"/>
        </w:rPr>
        <w:t>solicitudes de acceso a la información pública conforme a lo previsto en el artículo 155, penúltimo párrafo de la Ley de Transparencia y Acceso a la Información Pública del Estado de México y Municipios que señala lo siguiente:</w:t>
      </w:r>
    </w:p>
    <w:p w14:paraId="63C9C8C1" w14:textId="77777777" w:rsidR="00435F08" w:rsidRPr="001C57F7" w:rsidRDefault="00435F08" w:rsidP="00435F08">
      <w:pPr>
        <w:spacing w:before="240"/>
        <w:ind w:left="851" w:right="851"/>
        <w:rPr>
          <w:rFonts w:eastAsia="Times New Roman" w:cs="Arial"/>
          <w:b/>
          <w:i/>
          <w:sz w:val="22"/>
          <w:lang w:val="es-ES" w:eastAsia="es-ES"/>
        </w:rPr>
      </w:pPr>
      <w:r w:rsidRPr="001C57F7">
        <w:rPr>
          <w:rFonts w:eastAsia="Times New Roman" w:cs="Arial"/>
          <w:i/>
          <w:sz w:val="22"/>
          <w:lang w:val="es-ES"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C57F7">
        <w:rPr>
          <w:rFonts w:eastAsia="Times New Roman" w:cs="Arial"/>
          <w:b/>
          <w:i/>
          <w:sz w:val="22"/>
          <w:lang w:val="es-ES" w:eastAsia="es-ES"/>
        </w:rPr>
        <w:t>[Sic]</w:t>
      </w:r>
    </w:p>
    <w:p w14:paraId="4F2788C7" w14:textId="77777777" w:rsidR="00435F08" w:rsidRPr="001C57F7" w:rsidRDefault="00435F08" w:rsidP="00435F08">
      <w:pPr>
        <w:spacing w:before="240"/>
        <w:ind w:left="851" w:right="851"/>
        <w:rPr>
          <w:rFonts w:eastAsia="Times New Roman" w:cs="Arial"/>
          <w:b/>
          <w:i/>
          <w:sz w:val="22"/>
          <w:lang w:val="es-ES" w:eastAsia="es-ES"/>
        </w:rPr>
      </w:pPr>
    </w:p>
    <w:p w14:paraId="3AB70D04" w14:textId="77777777" w:rsidR="00435F08" w:rsidRPr="001C57F7" w:rsidRDefault="00435F08" w:rsidP="00435F08">
      <w:pPr>
        <w:rPr>
          <w:rFonts w:eastAsia="Times New Roman" w:cs="Times New Roman"/>
          <w:szCs w:val="24"/>
          <w:lang w:val="es-ES" w:eastAsia="es-ES"/>
        </w:rPr>
      </w:pPr>
      <w:r w:rsidRPr="001C57F7">
        <w:rPr>
          <w:rFonts w:eastAsia="Times New Roman" w:cs="Times New Roman"/>
          <w:szCs w:val="24"/>
          <w:lang w:val="es-ES" w:eastAsia="es-ES"/>
        </w:rPr>
        <w:lastRenderedPageBreak/>
        <w:t xml:space="preserve">Robusteciendo lo anterior se encuentra lo dispuesto en el artículo 5 párrafos </w:t>
      </w:r>
      <w:r w:rsidRPr="001C57F7">
        <w:rPr>
          <w:rFonts w:eastAsia="Times New Roman" w:cs="Arial"/>
          <w:szCs w:val="24"/>
          <w:lang w:val="es-ES" w:eastAsia="es-ES"/>
        </w:rPr>
        <w:t>vigésimo, vigésimo primero</w:t>
      </w:r>
      <w:r w:rsidRPr="001C57F7">
        <w:rPr>
          <w:rFonts w:eastAsia="Times New Roman" w:cs="Arial"/>
          <w:szCs w:val="24"/>
          <w:lang w:eastAsia="es-ES"/>
        </w:rPr>
        <w:t xml:space="preserve"> y vigésimo segundo</w:t>
      </w:r>
      <w:r w:rsidRPr="001C57F7">
        <w:rPr>
          <w:rFonts w:eastAsia="Times New Roman" w:cs="Times New Roman"/>
          <w:szCs w:val="24"/>
          <w:lang w:val="es-ES" w:eastAsia="es-ES"/>
        </w:rPr>
        <w:t>, de la Constitución Política del Estado Libre y Soberano de México, se establece lo siguiente:</w:t>
      </w:r>
    </w:p>
    <w:p w14:paraId="1B7B1A50" w14:textId="77777777" w:rsidR="00435F08" w:rsidRPr="001C57F7" w:rsidRDefault="00435F08" w:rsidP="00435F08">
      <w:pPr>
        <w:spacing w:before="240"/>
        <w:ind w:left="851" w:right="851"/>
        <w:rPr>
          <w:rFonts w:eastAsia="Times New Roman" w:cs="Times New Roman"/>
          <w:b/>
          <w:i/>
          <w:sz w:val="22"/>
          <w:u w:val="single"/>
          <w:lang w:val="es-ES" w:eastAsia="es-ES"/>
        </w:rPr>
      </w:pPr>
      <w:r w:rsidRPr="001C57F7">
        <w:rPr>
          <w:rFonts w:eastAsia="Times New Roman" w:cs="Times New Roman"/>
          <w:b/>
          <w:i/>
          <w:sz w:val="22"/>
          <w:u w:val="single"/>
          <w:lang w:val="es-ES" w:eastAsia="es-ES"/>
        </w:rPr>
        <w:t>Constitución Política del Estado Libre y Soberano de México</w:t>
      </w:r>
    </w:p>
    <w:p w14:paraId="5CAD29F4" w14:textId="77777777" w:rsidR="00435F08" w:rsidRPr="001C57F7" w:rsidRDefault="00435F08" w:rsidP="00435F08">
      <w:pPr>
        <w:spacing w:before="240"/>
        <w:ind w:left="851" w:right="851"/>
        <w:rPr>
          <w:rFonts w:eastAsia="Times New Roman" w:cs="Times New Roman"/>
          <w:i/>
          <w:sz w:val="22"/>
          <w:lang w:val="es-ES" w:eastAsia="es-ES"/>
        </w:rPr>
      </w:pPr>
      <w:r w:rsidRPr="001C57F7">
        <w:rPr>
          <w:rFonts w:eastAsia="Times New Roman" w:cs="Times New Roman"/>
          <w:i/>
          <w:sz w:val="22"/>
          <w:lang w:val="es-ES" w:eastAsia="es-ES"/>
        </w:rPr>
        <w:t>“</w:t>
      </w:r>
      <w:r w:rsidRPr="001C57F7">
        <w:rPr>
          <w:rFonts w:eastAsia="Times New Roman" w:cs="Times New Roman"/>
          <w:b/>
          <w:i/>
          <w:sz w:val="22"/>
          <w:lang w:val="es-ES" w:eastAsia="es-ES"/>
        </w:rPr>
        <w:t>Artículo 5</w:t>
      </w:r>
      <w:r w:rsidRPr="001C57F7">
        <w:rPr>
          <w:rFonts w:eastAsia="Times New Roman" w:cs="Times New Roman"/>
          <w:i/>
          <w:sz w:val="22"/>
          <w:lang w:val="es-ES"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A2F6D00" w14:textId="77777777" w:rsidR="00435F08" w:rsidRPr="001C57F7" w:rsidRDefault="00435F08" w:rsidP="00435F08">
      <w:pPr>
        <w:spacing w:before="240"/>
        <w:ind w:left="851" w:right="851"/>
        <w:rPr>
          <w:rFonts w:eastAsia="Times New Roman" w:cs="Times New Roman"/>
          <w:i/>
          <w:sz w:val="22"/>
          <w:lang w:val="es-ES" w:eastAsia="es-ES"/>
        </w:rPr>
      </w:pPr>
      <w:r w:rsidRPr="001C57F7">
        <w:rPr>
          <w:rFonts w:eastAsia="Times New Roman" w:cs="Times New Roman"/>
          <w:i/>
          <w:sz w:val="22"/>
          <w:lang w:val="es-ES" w:eastAsia="es-ES"/>
        </w:rPr>
        <w:t>(…)</w:t>
      </w:r>
    </w:p>
    <w:p w14:paraId="08758068" w14:textId="77777777" w:rsidR="00435F08" w:rsidRPr="001C57F7" w:rsidRDefault="00435F08" w:rsidP="00435F08">
      <w:pPr>
        <w:spacing w:before="240"/>
        <w:ind w:left="851" w:right="851"/>
        <w:rPr>
          <w:rFonts w:eastAsia="Times New Roman" w:cs="Times New Roman"/>
          <w:b/>
          <w:i/>
          <w:sz w:val="22"/>
          <w:lang w:val="es-ES" w:eastAsia="es-ES"/>
        </w:rPr>
      </w:pPr>
      <w:r w:rsidRPr="001C57F7">
        <w:rPr>
          <w:rFonts w:eastAsia="Times New Roman" w:cs="Times New Roman"/>
          <w:i/>
          <w:sz w:val="22"/>
          <w:lang w:val="es-ES" w:eastAsia="es-ES"/>
        </w:rPr>
        <w:t xml:space="preserve">transparencia, acceso a la información pública y a la protección de datos personales en posesión de los sujetos obligados en los términos que establezca la ley. (…)” </w:t>
      </w:r>
      <w:r w:rsidRPr="001C57F7">
        <w:rPr>
          <w:rFonts w:eastAsia="Times New Roman" w:cs="Times New Roman"/>
          <w:b/>
          <w:i/>
          <w:sz w:val="22"/>
          <w:lang w:val="es-ES" w:eastAsia="es-ES"/>
        </w:rPr>
        <w:t>[Sic]</w:t>
      </w:r>
    </w:p>
    <w:p w14:paraId="1ECBBC5F" w14:textId="77777777" w:rsidR="00435F08" w:rsidRPr="001C57F7" w:rsidRDefault="00435F08" w:rsidP="00435F08">
      <w:pPr>
        <w:autoSpaceDE w:val="0"/>
        <w:autoSpaceDN w:val="0"/>
        <w:adjustRightInd w:val="0"/>
        <w:spacing w:before="240"/>
        <w:rPr>
          <w:rFonts w:eastAsia="Times New Roman" w:cs="Arial"/>
          <w:szCs w:val="24"/>
          <w:lang w:val="es-ES"/>
        </w:rPr>
      </w:pPr>
      <w:r w:rsidRPr="001C57F7">
        <w:rPr>
          <w:rFonts w:eastAsia="Times New Roman" w:cs="Times New Roman"/>
          <w:szCs w:val="24"/>
          <w:lang w:val="es-ES"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C57F7">
        <w:rPr>
          <w:rFonts w:eastAsia="Times New Roman" w:cs="Times New Roman"/>
          <w:b/>
          <w:szCs w:val="24"/>
          <w:u w:val="single"/>
          <w:lang w:val="es-ES" w:eastAsia="es-ES"/>
        </w:rPr>
        <w:t>incluso, la solicitud de acceso a la información pueda ser anónima</w:t>
      </w:r>
      <w:r w:rsidRPr="001C57F7">
        <w:rPr>
          <w:rFonts w:eastAsia="Times New Roman" w:cs="Times New Roman"/>
          <w:szCs w:val="24"/>
          <w:lang w:val="es-ES" w:eastAsia="es-ES"/>
        </w:rPr>
        <w:t xml:space="preserve"> o no contener un nombre que identifique al solicitante o que permita tener certeza sobre su identidad. </w:t>
      </w:r>
      <w:r w:rsidRPr="001C57F7">
        <w:rPr>
          <w:rFonts w:eastAsia="Times New Roman" w:cs="Arial"/>
          <w:szCs w:val="24"/>
          <w:lang w:val="es-ES"/>
        </w:rPr>
        <w:t>En conclusión, se cubrieron los requisitos de procedencia y procedibilidad y conforme a las constancias que obran en el expediente.</w:t>
      </w:r>
    </w:p>
    <w:p w14:paraId="090650E5" w14:textId="77777777" w:rsidR="00435F08" w:rsidRPr="001C57F7" w:rsidRDefault="00435F08" w:rsidP="00435F08">
      <w:pPr>
        <w:pStyle w:val="Prrafodelista"/>
        <w:autoSpaceDE w:val="0"/>
        <w:autoSpaceDN w:val="0"/>
        <w:adjustRightInd w:val="0"/>
        <w:spacing w:before="240" w:after="160"/>
        <w:ind w:left="0"/>
        <w:rPr>
          <w:rFonts w:cs="Arial"/>
          <w:b/>
          <w:sz w:val="28"/>
        </w:rPr>
      </w:pPr>
      <w:r w:rsidRPr="001C57F7">
        <w:rPr>
          <w:rFonts w:cs="Arial"/>
          <w:b/>
          <w:sz w:val="28"/>
        </w:rPr>
        <w:lastRenderedPageBreak/>
        <w:t>CUARTO. De las causas de improcedencia.</w:t>
      </w:r>
    </w:p>
    <w:p w14:paraId="525A2680" w14:textId="77777777" w:rsidR="00435F08" w:rsidRPr="001C57F7" w:rsidRDefault="00435F08" w:rsidP="00435F08">
      <w:pPr>
        <w:pStyle w:val="Prrafodelista"/>
        <w:autoSpaceDE w:val="0"/>
        <w:autoSpaceDN w:val="0"/>
        <w:adjustRightInd w:val="0"/>
        <w:ind w:left="0"/>
        <w:rPr>
          <w:rFonts w:cs="Arial"/>
        </w:rPr>
      </w:pPr>
      <w:r w:rsidRPr="001C57F7">
        <w:rPr>
          <w:rFonts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783D703" w14:textId="77777777" w:rsidR="00435F08" w:rsidRPr="001C57F7" w:rsidRDefault="00435F08" w:rsidP="00435F08">
      <w:pPr>
        <w:pStyle w:val="Prrafodelista"/>
        <w:autoSpaceDE w:val="0"/>
        <w:autoSpaceDN w:val="0"/>
        <w:adjustRightInd w:val="0"/>
        <w:ind w:left="0"/>
        <w:rPr>
          <w:rFonts w:cs="Arial"/>
        </w:rPr>
      </w:pPr>
    </w:p>
    <w:p w14:paraId="47DC781D" w14:textId="77777777" w:rsidR="00435F08" w:rsidRPr="001C57F7" w:rsidRDefault="00435F08" w:rsidP="00435F08">
      <w:pPr>
        <w:pStyle w:val="Prrafodelista"/>
        <w:autoSpaceDE w:val="0"/>
        <w:autoSpaceDN w:val="0"/>
        <w:adjustRightInd w:val="0"/>
        <w:ind w:left="0"/>
        <w:rPr>
          <w:rFonts w:cs="Arial"/>
        </w:rPr>
      </w:pPr>
      <w:r w:rsidRPr="001C57F7">
        <w:rPr>
          <w:rFonts w:cs="Aria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1C57F7">
        <w:rPr>
          <w:rStyle w:val="Refdenotaalpie"/>
          <w:rFonts w:cs="Arial"/>
        </w:rPr>
        <w:footnoteReference w:id="1"/>
      </w:r>
      <w:r w:rsidRPr="001C57F7">
        <w:rPr>
          <w:rFonts w:cs="Arial"/>
        </w:rPr>
        <w:t>.</w:t>
      </w:r>
    </w:p>
    <w:p w14:paraId="6FF8CB32" w14:textId="77777777" w:rsidR="00435F08" w:rsidRPr="001C57F7" w:rsidRDefault="00435F08" w:rsidP="00435F08">
      <w:pPr>
        <w:pStyle w:val="Prrafodelista"/>
        <w:autoSpaceDE w:val="0"/>
        <w:autoSpaceDN w:val="0"/>
        <w:adjustRightInd w:val="0"/>
        <w:ind w:left="0"/>
        <w:rPr>
          <w:rFonts w:cs="Arial"/>
        </w:rPr>
      </w:pPr>
      <w:r w:rsidRPr="001C57F7">
        <w:rPr>
          <w:rFonts w:cs="Arial"/>
        </w:rPr>
        <w:lastRenderedPageBreak/>
        <w:t xml:space="preserve">Así las cosas, en la especie, no se actualiza ninguna causa de improcedencia de las referidas en el artículo 191 de la Ley de Transparencia y Acceso a la Información Pública del Estado de México y Municipios, encontrándose actualizados todos los supuestos procesales para atender el fondo del asunto, en los términos del considerando posterior. </w:t>
      </w:r>
    </w:p>
    <w:p w14:paraId="36983520" w14:textId="77777777" w:rsidR="00435F08" w:rsidRPr="001C57F7" w:rsidRDefault="00435F08" w:rsidP="00435F08">
      <w:pPr>
        <w:pStyle w:val="Prrafodelista"/>
        <w:autoSpaceDE w:val="0"/>
        <w:autoSpaceDN w:val="0"/>
        <w:adjustRightInd w:val="0"/>
        <w:ind w:left="0"/>
        <w:rPr>
          <w:rFonts w:cs="Arial"/>
        </w:rPr>
      </w:pPr>
    </w:p>
    <w:p w14:paraId="083ADF20" w14:textId="77777777" w:rsidR="00435F08" w:rsidRPr="001C57F7" w:rsidRDefault="00435F08" w:rsidP="00435F08">
      <w:pPr>
        <w:pStyle w:val="Ttulo2"/>
        <w:rPr>
          <w:rFonts w:ascii="Palatino Linotype" w:eastAsia="Palatino Linotype" w:hAnsi="Palatino Linotype"/>
          <w:b/>
          <w:bCs/>
          <w:color w:val="auto"/>
          <w:sz w:val="28"/>
          <w:szCs w:val="28"/>
        </w:rPr>
      </w:pPr>
      <w:r w:rsidRPr="001C57F7">
        <w:rPr>
          <w:rFonts w:ascii="Palatino Linotype" w:eastAsia="Palatino Linotype" w:hAnsi="Palatino Linotype"/>
          <w:b/>
          <w:bCs/>
          <w:color w:val="auto"/>
          <w:sz w:val="28"/>
          <w:szCs w:val="28"/>
        </w:rPr>
        <w:t>QUINTO. Estudio y resolución del asunto.</w:t>
      </w:r>
    </w:p>
    <w:p w14:paraId="558E8193"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r w:rsidRPr="001C57F7">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70DD205"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p>
    <w:p w14:paraId="483F000E" w14:textId="77777777" w:rsidR="00435F08" w:rsidRPr="001C57F7" w:rsidRDefault="00435F08" w:rsidP="00435F08">
      <w:pPr>
        <w:pBdr>
          <w:top w:val="nil"/>
          <w:left w:val="nil"/>
          <w:bottom w:val="nil"/>
          <w:right w:val="nil"/>
          <w:between w:val="nil"/>
        </w:pBdr>
        <w:contextualSpacing/>
        <w:rPr>
          <w:rFonts w:eastAsia="Palatino Linotype" w:cs="Palatino Linotype"/>
          <w:color w:val="000000"/>
          <w:szCs w:val="24"/>
        </w:rPr>
      </w:pPr>
      <w:r w:rsidRPr="001C57F7">
        <w:rPr>
          <w:rFonts w:eastAsia="Palatino Linotype" w:cs="Palatino Linotype"/>
          <w:color w:val="000000"/>
          <w:szCs w:val="24"/>
        </w:rPr>
        <w:t>Por tanto, es conveniente recordar que el hoy Recurrente requirió del Sujeto Obligado, de la actual administración, lo siguiente:</w:t>
      </w:r>
    </w:p>
    <w:p w14:paraId="33F1E4B1" w14:textId="77777777" w:rsidR="00435F08" w:rsidRPr="001C57F7" w:rsidRDefault="00435F08" w:rsidP="00435F08">
      <w:pPr>
        <w:pStyle w:val="Prrafodelista"/>
        <w:numPr>
          <w:ilvl w:val="0"/>
          <w:numId w:val="6"/>
        </w:numPr>
        <w:pBdr>
          <w:top w:val="nil"/>
          <w:left w:val="nil"/>
          <w:bottom w:val="nil"/>
          <w:right w:val="nil"/>
          <w:between w:val="nil"/>
        </w:pBdr>
        <w:rPr>
          <w:rFonts w:eastAsia="Palatino Linotype" w:cs="Palatino Linotype"/>
          <w:color w:val="000000"/>
          <w:szCs w:val="24"/>
        </w:rPr>
      </w:pPr>
      <w:r w:rsidRPr="001C57F7">
        <w:rPr>
          <w:rFonts w:eastAsia="Palatino Linotype" w:cs="Palatino Linotype"/>
          <w:color w:val="000000"/>
          <w:szCs w:val="24"/>
        </w:rPr>
        <w:lastRenderedPageBreak/>
        <w:t xml:space="preserve">Evidencia del cumplimiento o avance de la línea 1.4.1.2 del </w:t>
      </w:r>
      <w:r w:rsidRPr="001C57F7">
        <w:rPr>
          <w:color w:val="000000"/>
          <w:szCs w:val="24"/>
        </w:rPr>
        <w:t>Plan de Desarrollo Municipal 2025-2027, del primero de enero</w:t>
      </w:r>
      <w:r w:rsidR="00804E1E" w:rsidRPr="001C57F7">
        <w:rPr>
          <w:color w:val="000000"/>
          <w:szCs w:val="24"/>
        </w:rPr>
        <w:t xml:space="preserve"> de dos mil veinticinco</w:t>
      </w:r>
      <w:r w:rsidRPr="001C57F7">
        <w:rPr>
          <w:color w:val="000000"/>
          <w:szCs w:val="24"/>
        </w:rPr>
        <w:t xml:space="preserve"> al tres de marzo de dos mil veintiséis</w:t>
      </w:r>
      <w:r w:rsidR="00D40605" w:rsidRPr="001C57F7">
        <w:rPr>
          <w:color w:val="000000"/>
          <w:szCs w:val="24"/>
        </w:rPr>
        <w:t>.</w:t>
      </w:r>
    </w:p>
    <w:p w14:paraId="61DF1857" w14:textId="77777777" w:rsidR="00435F08" w:rsidRPr="001C57F7" w:rsidRDefault="00435F08" w:rsidP="00435F08">
      <w:pPr>
        <w:pBdr>
          <w:top w:val="nil"/>
          <w:left w:val="nil"/>
          <w:bottom w:val="nil"/>
          <w:right w:val="nil"/>
          <w:between w:val="nil"/>
        </w:pBdr>
        <w:rPr>
          <w:rFonts w:eastAsia="Palatino Linotype" w:cs="Palatino Linotype"/>
          <w:color w:val="000000"/>
          <w:szCs w:val="24"/>
        </w:rPr>
      </w:pPr>
    </w:p>
    <w:p w14:paraId="46B5AABB" w14:textId="77777777" w:rsidR="00435F08" w:rsidRPr="001C57F7" w:rsidRDefault="00435F08" w:rsidP="00435F08">
      <w:pPr>
        <w:pBdr>
          <w:top w:val="nil"/>
          <w:left w:val="nil"/>
          <w:bottom w:val="nil"/>
          <w:right w:val="nil"/>
          <w:between w:val="nil"/>
        </w:pBdr>
        <w:contextualSpacing/>
      </w:pPr>
      <w:r w:rsidRPr="001C57F7">
        <w:rPr>
          <w:rFonts w:eastAsia="Palatino Linotype" w:cs="Palatino Linotype"/>
          <w:color w:val="000000"/>
          <w:szCs w:val="24"/>
        </w:rPr>
        <w:t>Por lo que atento a la solicitud de información el Sujeto Obligado</w:t>
      </w:r>
      <w:r w:rsidRPr="001C57F7">
        <w:t xml:space="preserve"> emitió su respuesta por medio de los archivos electrónicos denominados; </w:t>
      </w:r>
    </w:p>
    <w:p w14:paraId="42639BB4" w14:textId="77777777" w:rsidR="00435F08" w:rsidRPr="001C57F7" w:rsidRDefault="00435F08" w:rsidP="00435F08">
      <w:pPr>
        <w:pStyle w:val="Prrafodelista"/>
        <w:numPr>
          <w:ilvl w:val="0"/>
          <w:numId w:val="7"/>
        </w:numPr>
        <w:rPr>
          <w:szCs w:val="24"/>
        </w:rPr>
      </w:pPr>
      <w:r w:rsidRPr="001C57F7">
        <w:rPr>
          <w:rFonts w:cs="Arial"/>
          <w:b/>
          <w:bCs/>
          <w:szCs w:val="24"/>
        </w:rPr>
        <w:t xml:space="preserve">R. SOLICITUD 42.pdf: </w:t>
      </w:r>
      <w:r w:rsidRPr="001C57F7">
        <w:rPr>
          <w:rFonts w:cs="Arial"/>
          <w:bCs/>
          <w:szCs w:val="24"/>
        </w:rPr>
        <w:t xml:space="preserve">Soporte documental que consta de dos fojas en formato PDF de fecha veinticuatro de marzo de dos mil veintiséis por medio del cual </w:t>
      </w:r>
      <w:r w:rsidR="00A91968" w:rsidRPr="001C57F7">
        <w:rPr>
          <w:rFonts w:cs="Arial"/>
          <w:bCs/>
          <w:szCs w:val="24"/>
        </w:rPr>
        <w:t>el Titular de la Unidad de Transparencia</w:t>
      </w:r>
      <w:r w:rsidR="00A91968" w:rsidRPr="001C57F7">
        <w:t xml:space="preserve"> manifiesta que </w:t>
      </w:r>
      <w:r w:rsidR="00A91968" w:rsidRPr="001C57F7">
        <w:rPr>
          <w:u w:val="single"/>
        </w:rPr>
        <w:t xml:space="preserve">la citada línea de acción fue implementada </w:t>
      </w:r>
      <w:r w:rsidR="00A91968" w:rsidRPr="001C57F7">
        <w:t xml:space="preserve">y su cumplimiento se encuentra documentado en el Primer Informe de Gobierno del Municipio de Papalotla, correspondiente al ejercicio fiscal 2025. Por lo que anexa una copia digital del bando actualizado así como una liga electrónica donde podría consultar los reglamentos de las áreas. </w:t>
      </w:r>
    </w:p>
    <w:p w14:paraId="02592515" w14:textId="77777777" w:rsidR="00A91968" w:rsidRPr="001C57F7" w:rsidRDefault="00A91968" w:rsidP="00A91968">
      <w:pPr>
        <w:pStyle w:val="Prrafodelista"/>
        <w:rPr>
          <w:szCs w:val="24"/>
        </w:rPr>
      </w:pPr>
    </w:p>
    <w:p w14:paraId="30F03E31" w14:textId="77777777" w:rsidR="00A91968" w:rsidRPr="001C57F7" w:rsidRDefault="00A91968" w:rsidP="00A91968">
      <w:pPr>
        <w:pStyle w:val="Prrafodelista"/>
        <w:rPr>
          <w:szCs w:val="24"/>
        </w:rPr>
      </w:pPr>
      <w:r w:rsidRPr="001C57F7">
        <w:rPr>
          <w:u w:val="single"/>
        </w:rPr>
        <w:t>Respecto al ejercicio fiscal 2026</w:t>
      </w:r>
      <w:r w:rsidRPr="001C57F7">
        <w:t>, se informa que l</w:t>
      </w:r>
      <w:r w:rsidRPr="001C57F7">
        <w:rPr>
          <w:b/>
        </w:rPr>
        <w:t>as actividades correspondientes a esta línea de acción se encuentran en proceso de realización y desarrollo</w:t>
      </w:r>
      <w:r w:rsidRPr="001C57F7">
        <w:t>, y serán evidenciadas en el Segundo Informe de Gobierno del Municipio de Papalotla, en el cual se documentarán los avances y resultados obtenidos.</w:t>
      </w:r>
    </w:p>
    <w:p w14:paraId="0B8EB40D" w14:textId="77777777" w:rsidR="00A91968" w:rsidRPr="001C57F7" w:rsidRDefault="00A91968" w:rsidP="00A91968">
      <w:pPr>
        <w:pStyle w:val="Prrafodelista"/>
        <w:rPr>
          <w:szCs w:val="24"/>
        </w:rPr>
      </w:pPr>
    </w:p>
    <w:p w14:paraId="7C9DFD75" w14:textId="77777777" w:rsidR="00A91968" w:rsidRPr="001C57F7" w:rsidRDefault="00435F08" w:rsidP="00435F08">
      <w:pPr>
        <w:pStyle w:val="Prrafodelista"/>
        <w:numPr>
          <w:ilvl w:val="0"/>
          <w:numId w:val="7"/>
        </w:numPr>
        <w:rPr>
          <w:szCs w:val="24"/>
        </w:rPr>
      </w:pPr>
      <w:r w:rsidRPr="001C57F7">
        <w:rPr>
          <w:rFonts w:cs="Arial"/>
          <w:b/>
          <w:bCs/>
          <w:szCs w:val="24"/>
        </w:rPr>
        <w:t>bando_municipal_2026.pdf</w:t>
      </w:r>
      <w:r w:rsidR="00A91968" w:rsidRPr="001C57F7">
        <w:rPr>
          <w:rFonts w:cs="Arial"/>
          <w:b/>
          <w:bCs/>
          <w:szCs w:val="24"/>
        </w:rPr>
        <w:t xml:space="preserve">: </w:t>
      </w:r>
      <w:r w:rsidR="00A91968" w:rsidRPr="001C57F7">
        <w:rPr>
          <w:rFonts w:cs="Arial"/>
          <w:bCs/>
          <w:szCs w:val="24"/>
        </w:rPr>
        <w:t xml:space="preserve">Soporte documental que consta de cincuenta y cuatro fojas en formato PDF en el que se advierte el Bando Municipal del año 2026 del Sujeto Obligado. </w:t>
      </w:r>
    </w:p>
    <w:p w14:paraId="54116E2F" w14:textId="77777777" w:rsidR="00A91968" w:rsidRPr="001C57F7" w:rsidRDefault="00A91968" w:rsidP="00A91968">
      <w:pPr>
        <w:pStyle w:val="Prrafodelista"/>
        <w:rPr>
          <w:szCs w:val="24"/>
        </w:rPr>
      </w:pPr>
    </w:p>
    <w:p w14:paraId="3BBCE481" w14:textId="77777777" w:rsidR="00435F08" w:rsidRPr="001C57F7" w:rsidRDefault="00435F08" w:rsidP="00435F08">
      <w:pPr>
        <w:pStyle w:val="Prrafodelista"/>
        <w:numPr>
          <w:ilvl w:val="0"/>
          <w:numId w:val="7"/>
        </w:numPr>
        <w:rPr>
          <w:szCs w:val="24"/>
        </w:rPr>
      </w:pPr>
      <w:r w:rsidRPr="001C57F7">
        <w:rPr>
          <w:rFonts w:cs="Arial"/>
          <w:b/>
          <w:bCs/>
          <w:szCs w:val="24"/>
        </w:rPr>
        <w:lastRenderedPageBreak/>
        <w:t>1erinformegobierno2025.pdf</w:t>
      </w:r>
      <w:r w:rsidR="00A91968" w:rsidRPr="001C57F7">
        <w:rPr>
          <w:rFonts w:cs="Arial"/>
          <w:b/>
          <w:bCs/>
          <w:szCs w:val="24"/>
        </w:rPr>
        <w:t>:</w:t>
      </w:r>
      <w:r w:rsidR="00A91968" w:rsidRPr="001C57F7">
        <w:rPr>
          <w:szCs w:val="24"/>
        </w:rPr>
        <w:t xml:space="preserve"> Soporte documental que consta de ciento cincuenta fojas en formato PDF en el que se advierte el primer informe de gobierno del Presidente Municipal. </w:t>
      </w:r>
    </w:p>
    <w:p w14:paraId="58970420" w14:textId="77777777" w:rsidR="00435F08" w:rsidRPr="001C57F7" w:rsidRDefault="00435F08" w:rsidP="00435F08">
      <w:pPr>
        <w:pStyle w:val="Prrafodelista"/>
      </w:pPr>
    </w:p>
    <w:p w14:paraId="3486229B" w14:textId="77777777" w:rsidR="00A91968" w:rsidRPr="001C57F7" w:rsidRDefault="00A91968" w:rsidP="00A91968">
      <w:pPr>
        <w:ind w:left="360"/>
        <w:rPr>
          <w:rFonts w:cs="Arial"/>
          <w:szCs w:val="24"/>
        </w:rPr>
      </w:pPr>
      <w:r w:rsidRPr="001C57F7">
        <w:rPr>
          <w:rFonts w:eastAsia="Palatino Linotype" w:cs="Palatino Linotype"/>
          <w:szCs w:val="24"/>
          <w:lang w:val="es-ES"/>
        </w:rPr>
        <w:t>De lo anterior este Instituto advierte que se dejaron a la vista datos personales sensibles concernientes a fotografías de particulares y menores de edad por lo que en el ámbito de las atribuciones se girara</w:t>
      </w:r>
      <w:r w:rsidRPr="001C57F7">
        <w:rPr>
          <w:szCs w:val="24"/>
          <w:lang w:eastAsia="es-ES_tradnl"/>
        </w:rPr>
        <w:t xml:space="preserve"> oficio al Titular de la Dirección General de Protección de Datos Personales, en atención al artículo 82, fracción XXVII de la Ley de Protección de Datos Personales del Estado de México y Municipios.</w:t>
      </w:r>
    </w:p>
    <w:p w14:paraId="18EA6C21" w14:textId="77777777" w:rsidR="00A91968" w:rsidRPr="001C57F7" w:rsidRDefault="00A91968" w:rsidP="00435F08">
      <w:pPr>
        <w:pStyle w:val="Prrafodelista"/>
      </w:pPr>
    </w:p>
    <w:p w14:paraId="7442DCF7" w14:textId="77777777" w:rsidR="00435F08" w:rsidRPr="001C57F7" w:rsidRDefault="00435F08" w:rsidP="00435F08">
      <w:pPr>
        <w:pBdr>
          <w:top w:val="nil"/>
          <w:left w:val="nil"/>
          <w:bottom w:val="nil"/>
          <w:right w:val="nil"/>
          <w:between w:val="nil"/>
        </w:pBdr>
        <w:contextualSpacing/>
        <w:rPr>
          <w:rFonts w:ascii="Verdana" w:hAnsi="Verdana"/>
          <w:color w:val="000000"/>
          <w:sz w:val="14"/>
          <w:szCs w:val="14"/>
        </w:rPr>
      </w:pPr>
      <w:r w:rsidRPr="001C57F7">
        <w:rPr>
          <w:rFonts w:eastAsia="Palatino Linotype" w:cs="Palatino Linotype"/>
          <w:color w:val="000000"/>
          <w:szCs w:val="24"/>
        </w:rPr>
        <w:t>Ante la respuesta emitida por el Sujeto Obligado, el Recurrente consideró que su derecho a la información pública había sido conculcado, por lo que interpuso el recurso de revisión al rubro citado, señalando como acto impugnado</w:t>
      </w:r>
      <w:r w:rsidRPr="001C57F7">
        <w:rPr>
          <w:color w:val="000000"/>
          <w:szCs w:val="24"/>
        </w:rPr>
        <w:t xml:space="preserve"> </w:t>
      </w:r>
      <w:r w:rsidRPr="001C57F7">
        <w:rPr>
          <w:i/>
          <w:color w:val="000000"/>
          <w:sz w:val="22"/>
        </w:rPr>
        <w:t>“</w:t>
      </w:r>
      <w:r w:rsidR="00A91968" w:rsidRPr="001C57F7">
        <w:rPr>
          <w:i/>
          <w:color w:val="000000"/>
          <w:sz w:val="22"/>
        </w:rPr>
        <w:t>Respuesta del SO”</w:t>
      </w:r>
      <w:r w:rsidRPr="001C57F7">
        <w:rPr>
          <w:i/>
          <w:color w:val="000000"/>
          <w:sz w:val="22"/>
        </w:rPr>
        <w:t xml:space="preserve"> </w:t>
      </w:r>
      <w:r w:rsidRPr="001C57F7">
        <w:rPr>
          <w:color w:val="000000"/>
          <w:szCs w:val="24"/>
        </w:rPr>
        <w:t>y como razones o motivos de inconformidad “</w:t>
      </w:r>
      <w:r w:rsidR="00A91968" w:rsidRPr="001C57F7">
        <w:rPr>
          <w:i/>
          <w:sz w:val="22"/>
        </w:rPr>
        <w:t xml:space="preserve">1. En la solicitud de información pública número 00042/PAPALO/IP/2026, </w:t>
      </w:r>
      <w:r w:rsidR="00A91968" w:rsidRPr="001C57F7">
        <w:rPr>
          <w:b/>
          <w:i/>
          <w:sz w:val="22"/>
        </w:rPr>
        <w:t>se pidió una copia digital (versión pública) de la documentación cuyo contenido versara sobre la EVIDENCIA de lo propuesto en la línea de acción 1.4.1.2</w:t>
      </w:r>
      <w:r w:rsidR="00A91968" w:rsidRPr="001C57F7">
        <w:rPr>
          <w:i/>
          <w:sz w:val="22"/>
        </w:rPr>
        <w:t xml:space="preserve">, la cual aparece en la página 130 del Plan de Desarrollo Municipal 2025-2027. 1 </w:t>
      </w:r>
      <w:r w:rsidR="00A91968" w:rsidRPr="001C57F7">
        <w:rPr>
          <w:rFonts w:ascii="Verdana" w:hAnsi="Verdana"/>
          <w:color w:val="000000"/>
          <w:sz w:val="14"/>
          <w:szCs w:val="14"/>
        </w:rPr>
        <w:t xml:space="preserve">, </w:t>
      </w:r>
      <w:r w:rsidR="00A91968" w:rsidRPr="001C57F7">
        <w:rPr>
          <w:i/>
          <w:sz w:val="22"/>
        </w:rPr>
        <w:t xml:space="preserve">2. De esta manera, lo que se solicita es la EVIDENCIA DOCUMENTAL del cumplimento o, en su caso, avance, concerniente al establecimiento de la actualización del Bando Municipal y Reglamentos para su difusión unificada incluyendo un compendio normativo accesible a la ciudadanía </w:t>
      </w:r>
      <w:r w:rsidR="00A91968" w:rsidRPr="001C57F7">
        <w:rPr>
          <w:rFonts w:ascii="Verdana" w:hAnsi="Verdana"/>
          <w:color w:val="000000"/>
          <w:sz w:val="14"/>
          <w:szCs w:val="14"/>
        </w:rPr>
        <w:t xml:space="preserve">, </w:t>
      </w:r>
      <w:r w:rsidR="00A91968" w:rsidRPr="001C57F7">
        <w:rPr>
          <w:i/>
          <w:sz w:val="22"/>
        </w:rPr>
        <w:t xml:space="preserve">3. El Sujeto Obligado (SO), </w:t>
      </w:r>
      <w:r w:rsidR="00A91968" w:rsidRPr="001C57F7">
        <w:rPr>
          <w:b/>
          <w:i/>
          <w:sz w:val="22"/>
        </w:rPr>
        <w:t>en su respuesta admite que la línea de acción 1.4.1.2 sí fue implementada, esto durante el ejercicio fiscal 2025</w:t>
      </w:r>
      <w:r w:rsidR="00A91968" w:rsidRPr="001C57F7">
        <w:rPr>
          <w:i/>
          <w:sz w:val="22"/>
        </w:rPr>
        <w:t xml:space="preserve">. </w:t>
      </w:r>
      <w:r w:rsidR="00A91968" w:rsidRPr="001C57F7">
        <w:rPr>
          <w:rFonts w:ascii="Verdana" w:hAnsi="Verdana"/>
          <w:color w:val="000000"/>
          <w:sz w:val="14"/>
          <w:szCs w:val="14"/>
        </w:rPr>
        <w:t xml:space="preserve">, </w:t>
      </w:r>
      <w:r w:rsidR="00A91968" w:rsidRPr="001C57F7">
        <w:rPr>
          <w:i/>
          <w:sz w:val="22"/>
        </w:rPr>
        <w:t xml:space="preserve">4. </w:t>
      </w:r>
      <w:r w:rsidR="00A91968" w:rsidRPr="001C57F7">
        <w:rPr>
          <w:i/>
          <w:sz w:val="22"/>
          <w:u w:val="single"/>
        </w:rPr>
        <w:t>El SO sostiene que el cumplimiento de la línea de acción 1.4.1.2 se encuentra documentado en el Primer Informe de Gobierno Papalotla 2025, dentro del apartado denominado</w:t>
      </w:r>
      <w:r w:rsidR="00A91968" w:rsidRPr="001C57F7">
        <w:rPr>
          <w:i/>
          <w:sz w:val="22"/>
        </w:rPr>
        <w:t xml:space="preserve"> «Eje 1. Cero corrupción y gobierno del pueblo para el pueblo. “Estado de derecho y austeridad”»., 5. Con miras de clarificar los términos de lo solicitado, es que un servidor acudió al Diccionario de la lengua española para verificar el sentido del sustantivo masculino </w:t>
      </w:r>
      <w:r w:rsidR="00A91968" w:rsidRPr="001C57F7">
        <w:rPr>
          <w:i/>
          <w:sz w:val="22"/>
        </w:rPr>
        <w:lastRenderedPageBreak/>
        <w:t>«informe», el cual, en su primera acepción, consiste en la «[…] Descripción, oral o escrita, de las características y circunstancias de un suceso o asunto […]»2</w:t>
      </w:r>
      <w:r w:rsidR="00804E1E" w:rsidRPr="001C57F7">
        <w:rPr>
          <w:rFonts w:ascii="Verdana" w:hAnsi="Verdana"/>
          <w:color w:val="000000"/>
          <w:sz w:val="14"/>
          <w:szCs w:val="14"/>
        </w:rPr>
        <w:t>,</w:t>
      </w:r>
      <w:r w:rsidR="00A91968" w:rsidRPr="001C57F7">
        <w:rPr>
          <w:i/>
          <w:sz w:val="22"/>
        </w:rPr>
        <w:t xml:space="preserve"> 6. Con relación al sustantivo femenino de «evidencia», el Diccionario panhispánico del español jurídico, nos dice que éste corresponde a la «[…] Prueba de un hecho […]».3 </w:t>
      </w:r>
      <w:r w:rsidR="00804E1E" w:rsidRPr="001C57F7">
        <w:rPr>
          <w:rFonts w:ascii="Verdana" w:hAnsi="Verdana"/>
          <w:color w:val="000000"/>
          <w:sz w:val="14"/>
          <w:szCs w:val="14"/>
        </w:rPr>
        <w:t xml:space="preserve">, </w:t>
      </w:r>
      <w:r w:rsidR="00A91968" w:rsidRPr="001C57F7">
        <w:rPr>
          <w:i/>
          <w:sz w:val="22"/>
        </w:rPr>
        <w:t xml:space="preserve">7. Asimismo, no se soslaye que la línea de acción 1.4.1.2 se circunscribe al Eje general para el desarrollo 1. «Cero corrupción y gobierno del pueblo y para el pueblo. “Estado de derecho y austeridad”», inciso d. «Estado de derecho y cultura de la legalidad». Es decir, todo el contenido del Eje general para el desarrollo 1, entre otras cosas, redunda en la transparencia, la rendición de cuentas, la participación ciudadana, la cultura de la egalidad, el respeto al Estado de derecho y la coordinación municipal e interestatal. </w:t>
      </w:r>
      <w:r w:rsidR="00804E1E" w:rsidRPr="001C57F7">
        <w:rPr>
          <w:rFonts w:ascii="Verdana" w:hAnsi="Verdana"/>
          <w:color w:val="000000"/>
          <w:sz w:val="14"/>
          <w:szCs w:val="14"/>
        </w:rPr>
        <w:t xml:space="preserve">, </w:t>
      </w:r>
      <w:r w:rsidR="00A91968" w:rsidRPr="001C57F7">
        <w:rPr>
          <w:i/>
          <w:sz w:val="22"/>
        </w:rPr>
        <w:t xml:space="preserve">8. Ahora bien, y en relación con las atribuciones del presidente municipal, la fracción XV, del artículo 48, de la Ley orgánica municipal del Estado de México, que a la letra dice: «[…] Entregar por escrito y en medio electrónico al ayuntamiento, dentro de los primeros cinco días hábiles del mes de diciembre de cada año, en sesión solemne de cabildo, un informe del estado que guarda la administración pública municipal y de las labores realizadas durante el ejercicio […]»4 , se debe mencionar que el presidente municipal entregó al ayuntamiento un INFORME que, como ya se vio, </w:t>
      </w:r>
      <w:r w:rsidR="00A91968" w:rsidRPr="001C57F7">
        <w:rPr>
          <w:b/>
          <w:i/>
          <w:sz w:val="22"/>
        </w:rPr>
        <w:t>no presenta EVIDENCIAS OBJETIVAS de su contenido sino sólo acotaciones acompañadas, en ocasiones, de imágenes y tablas informativas.</w:t>
      </w:r>
      <w:r w:rsidR="00A91968" w:rsidRPr="001C57F7">
        <w:rPr>
          <w:i/>
          <w:sz w:val="22"/>
        </w:rPr>
        <w:t xml:space="preserve"> No podía ser de otra manera, pues la razón de ser del Primer informe de gobierno Papalotla 2025 es el de señalar el estado que guarda la administración, así como la mención de logros alcanzados. No es función de un informe de estas características el probar (EVIDENCIAR) su contenido: esto último se podrá hallar en otro tipo de documentos. </w:t>
      </w:r>
      <w:r w:rsidR="00804E1E" w:rsidRPr="001C57F7">
        <w:rPr>
          <w:rFonts w:ascii="Verdana" w:hAnsi="Verdana"/>
          <w:color w:val="000000"/>
          <w:sz w:val="14"/>
          <w:szCs w:val="14"/>
        </w:rPr>
        <w:t>,</w:t>
      </w:r>
      <w:r w:rsidR="00A91968" w:rsidRPr="001C57F7">
        <w:rPr>
          <w:i/>
          <w:sz w:val="22"/>
        </w:rPr>
        <w:t xml:space="preserve">9. Consecuentemente, </w:t>
      </w:r>
      <w:r w:rsidR="00A91968" w:rsidRPr="001C57F7">
        <w:rPr>
          <w:b/>
          <w:i/>
          <w:sz w:val="22"/>
        </w:rPr>
        <w:t>en el informe aludido no se pudieron encontrar las evidencias que sustentaran la cumplimentación, o avance, de la línea de acción 1.4.1.2</w:t>
      </w:r>
      <w:r w:rsidR="00A91968" w:rsidRPr="001C57F7">
        <w:rPr>
          <w:i/>
          <w:sz w:val="22"/>
        </w:rPr>
        <w:t xml:space="preserve"> (como afirma el SO), línea que aparece en el ya citado Plan de desarrollo municipal 2025-2027. En base a todo lo expuesto hasta aquí, es que se solicita — amable y respetuosamente— se revoque la respuesta del SO por no corresponder a lo que se le solicita indicándole, asimismo, que haga entrega de la información pública solicitada conforme a derecho.</w:t>
      </w:r>
      <w:r w:rsidRPr="001C57F7">
        <w:rPr>
          <w:i/>
          <w:iCs/>
          <w:color w:val="000000"/>
          <w:szCs w:val="24"/>
        </w:rPr>
        <w:t xml:space="preserve">” </w:t>
      </w:r>
      <w:r w:rsidRPr="001C57F7">
        <w:rPr>
          <w:rFonts w:eastAsia="Palatino Linotype" w:cs="Palatino Linotype"/>
          <w:color w:val="000000"/>
          <w:szCs w:val="24"/>
        </w:rPr>
        <w:t xml:space="preserve">en este sentido el Recurrente considero que el Sujeto Obligado no le dio cuenta </w:t>
      </w:r>
      <w:r w:rsidR="008A1651" w:rsidRPr="001C57F7">
        <w:rPr>
          <w:rFonts w:eastAsia="Palatino Linotype" w:cs="Palatino Linotype"/>
          <w:color w:val="000000"/>
          <w:szCs w:val="24"/>
        </w:rPr>
        <w:t xml:space="preserve">de lo requerido. </w:t>
      </w:r>
    </w:p>
    <w:p w14:paraId="4423EBA9" w14:textId="77777777" w:rsidR="00435F08" w:rsidRPr="001C57F7" w:rsidRDefault="00435F08" w:rsidP="00435F08">
      <w:pPr>
        <w:pBdr>
          <w:top w:val="nil"/>
          <w:left w:val="nil"/>
          <w:bottom w:val="nil"/>
          <w:right w:val="nil"/>
          <w:between w:val="nil"/>
        </w:pBdr>
        <w:rPr>
          <w:rFonts w:cs="Arial"/>
          <w:b/>
          <w:bCs/>
          <w:sz w:val="22"/>
        </w:rPr>
      </w:pPr>
    </w:p>
    <w:p w14:paraId="31149D05" w14:textId="77777777" w:rsidR="00435F08" w:rsidRPr="001C57F7" w:rsidRDefault="00435F08" w:rsidP="00435F08">
      <w:pPr>
        <w:rPr>
          <w:rFonts w:eastAsia="Times New Roman" w:cs="Times New Roman"/>
          <w:szCs w:val="24"/>
          <w:lang w:eastAsia="es-ES"/>
        </w:rPr>
      </w:pPr>
      <w:r w:rsidRPr="001C57F7">
        <w:rPr>
          <w:rFonts w:cs="Arial"/>
          <w:szCs w:val="24"/>
        </w:rPr>
        <w:lastRenderedPageBreak/>
        <w:t xml:space="preserve">En este tenor, es necesario subrayar que </w:t>
      </w:r>
      <w:r w:rsidRPr="001C57F7">
        <w:rPr>
          <w:rFonts w:eastAsia="Times New Roman" w:cs="Times New Roman"/>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7ED88E7F" w14:textId="77777777" w:rsidR="00435F08" w:rsidRPr="001C57F7" w:rsidRDefault="00435F08" w:rsidP="00435F08">
      <w:pPr>
        <w:spacing w:before="240"/>
        <w:ind w:left="851" w:right="851"/>
        <w:rPr>
          <w:rFonts w:eastAsia="Times New Roman" w:cs="Times New Roman"/>
          <w:i/>
          <w:sz w:val="22"/>
          <w:lang w:eastAsia="es-ES"/>
        </w:rPr>
      </w:pPr>
      <w:r w:rsidRPr="001C57F7">
        <w:rPr>
          <w:rFonts w:eastAsia="Times New Roman" w:cs="Times New Roman"/>
          <w:b/>
          <w:i/>
          <w:lang w:eastAsia="es-ES"/>
        </w:rPr>
        <w:t>“</w:t>
      </w:r>
      <w:r w:rsidRPr="001C57F7">
        <w:rPr>
          <w:rFonts w:eastAsia="Times New Roman" w:cs="Times New Roman"/>
          <w:b/>
          <w:i/>
          <w:sz w:val="22"/>
          <w:lang w:eastAsia="es-ES"/>
        </w:rPr>
        <w:t>Artículo 4.</w:t>
      </w:r>
      <w:r w:rsidRPr="001C57F7">
        <w:rPr>
          <w:rFonts w:eastAsia="Times New Roman" w:cs="Times New Roman"/>
          <w:i/>
          <w:sz w:val="22"/>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4DF9B7E" w14:textId="77777777" w:rsidR="00435F08" w:rsidRPr="001C57F7" w:rsidRDefault="00435F08" w:rsidP="00435F08">
      <w:pPr>
        <w:spacing w:before="240"/>
        <w:ind w:left="851" w:right="851"/>
        <w:rPr>
          <w:rFonts w:eastAsia="Times New Roman" w:cs="Times New Roman"/>
          <w:i/>
          <w:sz w:val="22"/>
          <w:lang w:eastAsia="es-ES"/>
        </w:rPr>
      </w:pPr>
      <w:r w:rsidRPr="001C57F7">
        <w:rPr>
          <w:rFonts w:eastAsia="Times New Roman" w:cs="Times New Roman"/>
          <w:i/>
          <w:sz w:val="22"/>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15D0645" w14:textId="77777777" w:rsidR="00435F08" w:rsidRPr="001C57F7" w:rsidRDefault="00435F08" w:rsidP="00435F08">
      <w:pPr>
        <w:spacing w:before="240"/>
        <w:ind w:left="851" w:right="851"/>
        <w:rPr>
          <w:rFonts w:eastAsia="Times New Roman" w:cs="Times New Roman"/>
          <w:i/>
          <w:sz w:val="22"/>
          <w:lang w:eastAsia="es-ES"/>
        </w:rPr>
      </w:pPr>
      <w:r w:rsidRPr="001C57F7">
        <w:rPr>
          <w:rFonts w:eastAsia="Times New Roman" w:cs="Times New Roman"/>
          <w:i/>
          <w:sz w:val="22"/>
          <w:lang w:eastAsia="es-ES"/>
        </w:rPr>
        <w:t>Los sujetos obligados deben poner en práctica, políticas y programas de acceso a la información que se apeguen a criterios de publicidad, veracidad, oportunidad, precisión y suficiencia en beneficio de los solicitantes.</w:t>
      </w:r>
    </w:p>
    <w:p w14:paraId="08C64236" w14:textId="77777777" w:rsidR="00435F08" w:rsidRPr="001C57F7" w:rsidRDefault="00435F08" w:rsidP="00435F08">
      <w:pPr>
        <w:spacing w:before="240"/>
        <w:ind w:left="851" w:right="851"/>
        <w:rPr>
          <w:rFonts w:eastAsia="Times New Roman" w:cs="Times New Roman"/>
          <w:i/>
          <w:sz w:val="22"/>
          <w:lang w:eastAsia="es-ES"/>
        </w:rPr>
      </w:pPr>
      <w:r w:rsidRPr="001C57F7">
        <w:rPr>
          <w:rFonts w:eastAsia="Times New Roman" w:cs="Times New Roman"/>
          <w:b/>
          <w:i/>
          <w:sz w:val="22"/>
          <w:lang w:eastAsia="es-ES"/>
        </w:rPr>
        <w:t>Artículo 12.</w:t>
      </w:r>
      <w:r w:rsidRPr="001C57F7">
        <w:rPr>
          <w:rFonts w:eastAsia="Times New Roman" w:cs="Times New Roman"/>
          <w:i/>
          <w:sz w:val="22"/>
          <w:lang w:eastAsia="es-ES"/>
        </w:rPr>
        <w:t xml:space="preserve"> Quienes generen, recopilen, administren, manejen, procesen, archiven o conserven información pública serán responsables de la misma en los términos de las disposiciones jurídicas aplicables.</w:t>
      </w:r>
    </w:p>
    <w:p w14:paraId="38E6CD7C" w14:textId="77777777" w:rsidR="00435F08" w:rsidRPr="001C57F7" w:rsidRDefault="00435F08" w:rsidP="00435F08">
      <w:pPr>
        <w:spacing w:before="240"/>
        <w:ind w:left="851" w:right="851"/>
        <w:rPr>
          <w:rFonts w:eastAsia="Times New Roman" w:cs="Times New Roman"/>
          <w:i/>
          <w:sz w:val="22"/>
          <w:lang w:eastAsia="es-ES"/>
        </w:rPr>
      </w:pPr>
      <w:r w:rsidRPr="001C57F7">
        <w:rPr>
          <w:rFonts w:eastAsia="Times New Roman" w:cs="Times New Roman"/>
          <w:i/>
          <w:sz w:val="22"/>
          <w:lang w:eastAsia="es-ES"/>
        </w:rPr>
        <w:t xml:space="preserve">Los sujetos obligados sólo proporcionarán la información pública que se les requiera y que obre en sus archivos y en el estado en que ésta se encuentre. La obligación de </w:t>
      </w:r>
      <w:r w:rsidRPr="001C57F7">
        <w:rPr>
          <w:rFonts w:eastAsia="Times New Roman" w:cs="Times New Roman"/>
          <w:i/>
          <w:sz w:val="22"/>
          <w:lang w:eastAsia="es-ES"/>
        </w:rPr>
        <w:lastRenderedPageBreak/>
        <w:t xml:space="preserve">proporcionar información no comprende el procesamiento de la misma, ni el presentarla conforme al interés del solicitante; no estarán obligados a generarla, resumirla, efectuar cálculos o practicar investigaciones. </w:t>
      </w:r>
    </w:p>
    <w:p w14:paraId="0965ECE9" w14:textId="77777777" w:rsidR="00435F08" w:rsidRPr="001C57F7" w:rsidRDefault="00435F08" w:rsidP="00435F08">
      <w:pPr>
        <w:spacing w:before="240"/>
        <w:ind w:left="851" w:right="851"/>
        <w:rPr>
          <w:rFonts w:eastAsia="Times New Roman" w:cs="Times New Roman"/>
          <w:i/>
          <w:sz w:val="22"/>
          <w:lang w:eastAsia="es-ES"/>
        </w:rPr>
      </w:pPr>
      <w:r w:rsidRPr="001C57F7">
        <w:rPr>
          <w:rFonts w:eastAsia="Times New Roman" w:cs="Times New Roman"/>
          <w:i/>
          <w:sz w:val="22"/>
          <w:lang w:eastAsia="es-ES"/>
        </w:rPr>
        <w:t>(…)</w:t>
      </w:r>
    </w:p>
    <w:p w14:paraId="263E5879" w14:textId="77777777" w:rsidR="00435F08" w:rsidRPr="001C57F7" w:rsidRDefault="00435F08" w:rsidP="00435F08">
      <w:pPr>
        <w:spacing w:before="240"/>
        <w:ind w:left="851" w:right="851"/>
        <w:rPr>
          <w:rFonts w:eastAsia="Times New Roman" w:cs="Times New Roman"/>
          <w:b/>
          <w:i/>
          <w:sz w:val="22"/>
          <w:lang w:eastAsia="es-ES"/>
        </w:rPr>
      </w:pPr>
      <w:r w:rsidRPr="001C57F7">
        <w:rPr>
          <w:rFonts w:eastAsia="Times New Roman" w:cs="Times New Roman"/>
          <w:b/>
          <w:i/>
          <w:sz w:val="22"/>
          <w:lang w:eastAsia="es-ES"/>
        </w:rPr>
        <w:t xml:space="preserve">Artículo 24. </w:t>
      </w:r>
    </w:p>
    <w:p w14:paraId="40D4EBC7" w14:textId="77777777" w:rsidR="00435F08" w:rsidRPr="001C57F7" w:rsidRDefault="00435F08" w:rsidP="00435F08">
      <w:pPr>
        <w:spacing w:before="240"/>
        <w:ind w:left="851" w:right="851"/>
        <w:rPr>
          <w:rFonts w:eastAsia="Times New Roman" w:cs="Times New Roman"/>
          <w:i/>
          <w:sz w:val="22"/>
          <w:lang w:eastAsia="es-ES"/>
        </w:rPr>
      </w:pPr>
      <w:r w:rsidRPr="001C57F7">
        <w:rPr>
          <w:rFonts w:eastAsia="Times New Roman" w:cs="Times New Roman"/>
          <w:i/>
          <w:sz w:val="22"/>
          <w:lang w:eastAsia="es-ES"/>
        </w:rPr>
        <w:t>(…)</w:t>
      </w:r>
    </w:p>
    <w:p w14:paraId="4366189F" w14:textId="77777777" w:rsidR="00435F08" w:rsidRPr="001C57F7" w:rsidRDefault="00435F08" w:rsidP="00435F08">
      <w:pPr>
        <w:spacing w:before="240"/>
        <w:ind w:left="851" w:right="851"/>
        <w:rPr>
          <w:rFonts w:eastAsia="Times New Roman" w:cs="Times New Roman"/>
          <w:i/>
          <w:sz w:val="22"/>
          <w:lang w:eastAsia="es-ES"/>
        </w:rPr>
      </w:pPr>
      <w:r w:rsidRPr="001C57F7">
        <w:rPr>
          <w:rFonts w:eastAsia="Times New Roman" w:cs="Times New Roman"/>
          <w:i/>
          <w:sz w:val="22"/>
          <w:lang w:eastAsia="es-ES"/>
        </w:rPr>
        <w:t>Los sujetos obligados solo proporcionarán la información pública que generen, administren o posean en el ejercicio de sus atribuciones.”</w:t>
      </w:r>
    </w:p>
    <w:p w14:paraId="3ECB51BF" w14:textId="77777777" w:rsidR="00435F08" w:rsidRPr="001C57F7" w:rsidRDefault="00435F08" w:rsidP="00435F08">
      <w:pPr>
        <w:spacing w:before="240"/>
        <w:ind w:left="851" w:right="851"/>
        <w:rPr>
          <w:rFonts w:eastAsia="Times New Roman" w:cs="Times New Roman"/>
          <w:i/>
          <w:sz w:val="22"/>
          <w:lang w:eastAsia="es-ES"/>
        </w:rPr>
      </w:pPr>
      <w:r w:rsidRPr="001C57F7">
        <w:rPr>
          <w:rFonts w:eastAsia="Times New Roman" w:cs="Times New Roman"/>
          <w:i/>
          <w:sz w:val="22"/>
          <w:lang w:eastAsia="es-ES"/>
        </w:rPr>
        <w:t>(…)</w:t>
      </w:r>
    </w:p>
    <w:p w14:paraId="190BD8E4" w14:textId="77777777" w:rsidR="00435F08" w:rsidRPr="001C57F7" w:rsidRDefault="00435F08" w:rsidP="00435F08">
      <w:pPr>
        <w:spacing w:before="240"/>
        <w:ind w:left="851" w:right="851"/>
        <w:rPr>
          <w:rFonts w:eastAsia="Times New Roman" w:cs="Times New Roman"/>
          <w:i/>
          <w:sz w:val="22"/>
          <w:lang w:eastAsia="es-ES"/>
        </w:rPr>
      </w:pPr>
      <w:r w:rsidRPr="001C57F7">
        <w:rPr>
          <w:rFonts w:eastAsia="Times New Roman" w:cs="Times New Roman"/>
          <w:b/>
          <w:i/>
          <w:sz w:val="22"/>
          <w:lang w:eastAsia="es-ES"/>
        </w:rPr>
        <w:t>Artículo 160.</w:t>
      </w:r>
      <w:r w:rsidRPr="001C57F7">
        <w:rPr>
          <w:rFonts w:eastAsia="Times New Roman" w:cs="Times New Roman"/>
          <w:i/>
          <w:sz w:val="22"/>
          <w:lang w:eastAsia="es-ES"/>
        </w:rPr>
        <w:t xml:space="preserve"> Los sujetos obligados deberán otorgar acceso a los documentos que se </w:t>
      </w:r>
      <w:r w:rsidRPr="001C57F7">
        <w:rPr>
          <w:rFonts w:eastAsia="Times New Roman" w:cs="Times New Roman"/>
          <w:b/>
          <w:i/>
          <w:sz w:val="22"/>
          <w:lang w:eastAsia="es-ES"/>
        </w:rPr>
        <w:t xml:space="preserve"> </w:t>
      </w:r>
      <w:r w:rsidRPr="001C57F7">
        <w:rPr>
          <w:rFonts w:eastAsia="Times New Roman" w:cs="Times New Roman"/>
          <w:i/>
          <w:sz w:val="22"/>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68C67C2" w14:textId="77777777" w:rsidR="00435F08" w:rsidRPr="001C57F7" w:rsidRDefault="00435F08" w:rsidP="00435F08">
      <w:pPr>
        <w:spacing w:before="240"/>
        <w:ind w:left="851" w:right="851"/>
        <w:rPr>
          <w:rFonts w:eastAsia="Times New Roman" w:cs="Times New Roman"/>
          <w:b/>
          <w:i/>
          <w:sz w:val="22"/>
          <w:lang w:eastAsia="es-ES"/>
        </w:rPr>
      </w:pPr>
      <w:r w:rsidRPr="001C57F7">
        <w:rPr>
          <w:rFonts w:eastAsia="Times New Roman" w:cs="Times New Roman"/>
          <w:i/>
          <w:sz w:val="22"/>
          <w:lang w:eastAsia="es-ES"/>
        </w:rPr>
        <w:t>En caso que la información solicitada consista en bases de datos se deberá privilegiar la entrega de la misma en formatos abiertos.”</w:t>
      </w:r>
      <w:r w:rsidRPr="001C57F7">
        <w:rPr>
          <w:rFonts w:eastAsia="Times New Roman" w:cs="Times New Roman"/>
          <w:b/>
          <w:i/>
          <w:sz w:val="22"/>
          <w:lang w:eastAsia="es-ES"/>
        </w:rPr>
        <w:t>[Sic]</w:t>
      </w:r>
    </w:p>
    <w:p w14:paraId="037581E1" w14:textId="77777777" w:rsidR="00435F08" w:rsidRPr="001C57F7" w:rsidRDefault="00435F08" w:rsidP="00435F08">
      <w:pPr>
        <w:rPr>
          <w:rFonts w:eastAsia="Times New Roman" w:cs="Times New Roman"/>
          <w:szCs w:val="24"/>
          <w:lang w:eastAsia="es-ES"/>
        </w:rPr>
      </w:pPr>
    </w:p>
    <w:p w14:paraId="4E0446B7" w14:textId="77777777" w:rsidR="00435F08" w:rsidRPr="001C57F7" w:rsidRDefault="00435F08" w:rsidP="00435F08">
      <w:pPr>
        <w:rPr>
          <w:rFonts w:eastAsia="Times New Roman" w:cs="Times New Roman"/>
          <w:szCs w:val="24"/>
          <w:lang w:eastAsia="es-ES"/>
        </w:rPr>
      </w:pPr>
      <w:r w:rsidRPr="001C57F7">
        <w:rPr>
          <w:rFonts w:eastAsia="Times New Roman" w:cs="Times New Roman"/>
          <w:szCs w:val="24"/>
          <w:lang w:eastAsia="es-ES"/>
        </w:rPr>
        <w:t xml:space="preserve">Así que la obligación de los </w:t>
      </w:r>
      <w:r w:rsidRPr="001C57F7">
        <w:rPr>
          <w:rFonts w:eastAsia="Times New Roman" w:cs="Times New Roman"/>
          <w:b/>
          <w:szCs w:val="24"/>
          <w:lang w:eastAsia="es-ES"/>
        </w:rPr>
        <w:t>Sujetos Obligados</w:t>
      </w:r>
      <w:r w:rsidRPr="001C57F7">
        <w:rPr>
          <w:rFonts w:eastAsia="Times New Roman" w:cs="Times New Roman"/>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1C57F7">
        <w:rPr>
          <w:rFonts w:eastAsia="Times New Roman" w:cs="Times New Roman"/>
          <w:bCs/>
          <w:szCs w:val="24"/>
          <w:lang w:eastAsia="es-ES"/>
        </w:rPr>
        <w:t>de la Ley local en la materia, que se reproduce de la siguiente forma</w:t>
      </w:r>
      <w:r w:rsidRPr="001C57F7">
        <w:rPr>
          <w:rFonts w:eastAsia="Times New Roman" w:cs="Times New Roman"/>
          <w:szCs w:val="24"/>
          <w:lang w:eastAsia="es-ES"/>
        </w:rPr>
        <w:t>:</w:t>
      </w:r>
    </w:p>
    <w:p w14:paraId="1519BA3E" w14:textId="77777777" w:rsidR="00435F08" w:rsidRPr="001C57F7" w:rsidRDefault="00435F08" w:rsidP="00435F08">
      <w:pPr>
        <w:spacing w:before="240"/>
        <w:ind w:left="851" w:right="851"/>
        <w:rPr>
          <w:rFonts w:eastAsia="Times New Roman" w:cs="Arial"/>
          <w:b/>
          <w:i/>
          <w:sz w:val="22"/>
          <w:lang w:eastAsia="es-ES"/>
        </w:rPr>
      </w:pPr>
      <w:r w:rsidRPr="001C57F7">
        <w:rPr>
          <w:rFonts w:eastAsia="Times New Roman" w:cs="Arial"/>
          <w:i/>
          <w:sz w:val="22"/>
          <w:lang w:eastAsia="es-ES"/>
        </w:rPr>
        <w:lastRenderedPageBreak/>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1C57F7">
        <w:rPr>
          <w:rFonts w:eastAsia="Times New Roman" w:cs="Arial"/>
          <w:b/>
          <w:i/>
          <w:sz w:val="22"/>
          <w:lang w:eastAsia="es-ES"/>
        </w:rPr>
        <w:t>[Sic]</w:t>
      </w:r>
    </w:p>
    <w:p w14:paraId="170A953F" w14:textId="77777777" w:rsidR="00435F08" w:rsidRPr="001C57F7" w:rsidRDefault="00435F08" w:rsidP="00435F08">
      <w:pPr>
        <w:pBdr>
          <w:top w:val="nil"/>
          <w:left w:val="nil"/>
          <w:bottom w:val="nil"/>
          <w:right w:val="nil"/>
          <w:between w:val="nil"/>
        </w:pBdr>
        <w:contextualSpacing/>
      </w:pPr>
    </w:p>
    <w:p w14:paraId="0C0C589F" w14:textId="77777777" w:rsidR="008A1651" w:rsidRPr="001C57F7" w:rsidRDefault="00435F08" w:rsidP="008A1651">
      <w:pPr>
        <w:pBdr>
          <w:top w:val="nil"/>
          <w:left w:val="nil"/>
          <w:bottom w:val="nil"/>
          <w:right w:val="nil"/>
          <w:between w:val="nil"/>
        </w:pBdr>
        <w:contextualSpacing/>
      </w:pPr>
      <w:r w:rsidRPr="001C57F7">
        <w:t xml:space="preserve">Por lo que, se debe traer a efecto de establecer si la respuesta brindada por el Sujeto Obligado colma el derecho al acceso a la información del Recurrente se debe de traer a colación </w:t>
      </w:r>
      <w:r w:rsidR="008A1651" w:rsidRPr="001C57F7">
        <w:t>el Plan de Desarrollo Municipal 2025-2027 del Sujeto Obligado cuyo propósito es traducir en acciones concretas la voluntad colectiva de la población, las aspiraciones de desarrollo territorial, y los compromisos de gobierno, bajo criterios de sostenibilidad, equidad e inclusión social.</w:t>
      </w:r>
    </w:p>
    <w:p w14:paraId="50B09138" w14:textId="77777777" w:rsidR="008A1651" w:rsidRPr="001C57F7" w:rsidRDefault="008A1651" w:rsidP="008A1651">
      <w:pPr>
        <w:pBdr>
          <w:top w:val="nil"/>
          <w:left w:val="nil"/>
          <w:bottom w:val="nil"/>
          <w:right w:val="nil"/>
          <w:between w:val="nil"/>
        </w:pBdr>
        <w:contextualSpacing/>
      </w:pPr>
    </w:p>
    <w:p w14:paraId="20BFF9CC" w14:textId="77777777" w:rsidR="008A1651" w:rsidRPr="001C57F7" w:rsidRDefault="008A1651" w:rsidP="008A1651">
      <w:pPr>
        <w:pBdr>
          <w:top w:val="nil"/>
          <w:left w:val="nil"/>
          <w:bottom w:val="nil"/>
          <w:right w:val="nil"/>
          <w:between w:val="nil"/>
        </w:pBdr>
        <w:contextualSpacing/>
      </w:pPr>
      <w:r w:rsidRPr="001C57F7">
        <w:t>La estructura del plan municipal está organizada en torno a seis Ejes Estratégicos alineados al P</w:t>
      </w:r>
      <w:r w:rsidR="000363B1" w:rsidRPr="001C57F7">
        <w:t xml:space="preserve">lan de Desarrollo del Estado de México </w:t>
      </w:r>
      <w:r w:rsidRPr="001C57F7">
        <w:t>2023–2029, tres Ejes Transversales, y un conjunto de Objetivos, Estrategias, Líneas de Acción y Metas que orientan la acción pública municipal. Cada componente se encuentra respaldado por diagnósticos temáticos, estadísticas actualizadas y un enfoque de resultados que busca transformar de fondo las condiciones de vida de la población papalotlense.</w:t>
      </w:r>
    </w:p>
    <w:p w14:paraId="7FDEC286" w14:textId="77777777" w:rsidR="008A1651" w:rsidRPr="001C57F7" w:rsidRDefault="008A1651" w:rsidP="008A1651">
      <w:pPr>
        <w:pBdr>
          <w:top w:val="nil"/>
          <w:left w:val="nil"/>
          <w:bottom w:val="nil"/>
          <w:right w:val="nil"/>
          <w:between w:val="nil"/>
        </w:pBdr>
        <w:contextualSpacing/>
        <w:rPr>
          <w:i/>
          <w:sz w:val="22"/>
        </w:rPr>
      </w:pPr>
    </w:p>
    <w:p w14:paraId="1FD99075" w14:textId="77777777" w:rsidR="00D13C8D" w:rsidRPr="001C57F7" w:rsidRDefault="00435F08" w:rsidP="00D13C8D">
      <w:pPr>
        <w:ind w:right="39"/>
      </w:pPr>
      <w:r w:rsidRPr="001C57F7">
        <w:rPr>
          <w:rFonts w:cs="Arial"/>
        </w:rPr>
        <w:t>De lo anterior, en términos del M</w:t>
      </w:r>
      <w:r w:rsidRPr="001C57F7">
        <w:t xml:space="preserve">anual para la Planeación, Programación y Presupuesto de Egresos Municipal para el Ejercicio Fiscal 2025 </w:t>
      </w:r>
      <w:r w:rsidR="00D13C8D" w:rsidRPr="001C57F7">
        <w:t>el Eje “</w:t>
      </w:r>
      <w:r w:rsidR="00D13C8D" w:rsidRPr="001C57F7">
        <w:rPr>
          <w:b/>
        </w:rPr>
        <w:t>Cero corrupción y gobierno del pueblo y para el pueblo</w:t>
      </w:r>
      <w:r w:rsidR="00D13C8D" w:rsidRPr="001C57F7">
        <w:t xml:space="preserve">” define que </w:t>
      </w:r>
      <w:r w:rsidR="00491922" w:rsidRPr="001C57F7">
        <w:t>el</w:t>
      </w:r>
      <w:r w:rsidR="00D13C8D" w:rsidRPr="001C57F7">
        <w:t xml:space="preserve"> Municipio busca solucionar los problemas que aquejan a la sociedad, permitiendo generar una percepción de un gobierno honesto que está al servicio de la gente</w:t>
      </w:r>
    </w:p>
    <w:p w14:paraId="7887A30E" w14:textId="77777777" w:rsidR="00D13C8D" w:rsidRPr="001C57F7" w:rsidRDefault="00D13C8D" w:rsidP="00D13C8D">
      <w:pPr>
        <w:ind w:right="39"/>
      </w:pPr>
    </w:p>
    <w:p w14:paraId="06874607" w14:textId="6BAF28B3" w:rsidR="00D13C8D" w:rsidRPr="001C57F7" w:rsidRDefault="00D13C8D" w:rsidP="009863EB">
      <w:pPr>
        <w:pBdr>
          <w:top w:val="nil"/>
          <w:left w:val="nil"/>
          <w:bottom w:val="nil"/>
          <w:right w:val="nil"/>
          <w:between w:val="nil"/>
        </w:pBdr>
        <w:contextualSpacing/>
      </w:pPr>
      <w:r w:rsidRPr="001C57F7">
        <w:lastRenderedPageBreak/>
        <w:t>Por lo que</w:t>
      </w:r>
      <w:r w:rsidR="00491922" w:rsidRPr="001C57F7">
        <w:t>,</w:t>
      </w:r>
      <w:r w:rsidRPr="001C57F7">
        <w:t xml:space="preserve"> de la información requerida por el Recurrente versa respecto el Eje 1 denominado “</w:t>
      </w:r>
      <w:r w:rsidRPr="001C57F7">
        <w:rPr>
          <w:i/>
        </w:rPr>
        <w:t>Cero Corrupción y Gobierno del Pueblo y para el Pueblo</w:t>
      </w:r>
      <w:r w:rsidRPr="001C57F7">
        <w:t xml:space="preserve">” respecto </w:t>
      </w:r>
      <w:r w:rsidRPr="001C57F7">
        <w:rPr>
          <w:b/>
        </w:rPr>
        <w:t xml:space="preserve">la línea de acción </w:t>
      </w:r>
      <w:r w:rsidR="009863EB" w:rsidRPr="001C57F7">
        <w:rPr>
          <w:b/>
        </w:rPr>
        <w:t>específica</w:t>
      </w:r>
      <w:r w:rsidRPr="001C57F7">
        <w:rPr>
          <w:b/>
        </w:rPr>
        <w:t xml:space="preserve"> 1.4.1.2</w:t>
      </w:r>
      <w:r w:rsidRPr="001C57F7">
        <w:t xml:space="preserve"> correspondiente a “</w:t>
      </w:r>
      <w:r w:rsidRPr="001C57F7">
        <w:rPr>
          <w:u w:val="single"/>
        </w:rPr>
        <w:t>Establecer la actualización del Bando Municipal y reglamentos para su difusión de unificada incluyendo un compendio normative accessible a la ciudadanía”.</w:t>
      </w:r>
      <w:r w:rsidRPr="001C57F7">
        <w:t xml:space="preserve"> </w:t>
      </w:r>
      <w:r w:rsidR="009863EB" w:rsidRPr="001C57F7">
        <w:t xml:space="preserve"> Bajo ese contexto, el reiterado eje 1 en el Bando Municipal corresponde a cinco ejes de acción </w:t>
      </w:r>
      <w:r w:rsidR="007B3602" w:rsidRPr="001C57F7">
        <w:t xml:space="preserve">de los cuales se puede advertir en el soporte documental las acciones realizadas por el Sujeto </w:t>
      </w:r>
      <w:r w:rsidR="007A5BEF" w:rsidRPr="001C57F7">
        <w:t>Obligado,</w:t>
      </w:r>
      <w:r w:rsidR="007B3602" w:rsidRPr="001C57F7">
        <w:t xml:space="preserve"> así como los soportes documentales como fotografías, por lo que se </w:t>
      </w:r>
      <w:r w:rsidR="009863EB" w:rsidRPr="001C57F7">
        <w:t xml:space="preserve">enuncian a continuación; </w:t>
      </w:r>
    </w:p>
    <w:p w14:paraId="0E962A6D" w14:textId="77777777" w:rsidR="009863EB" w:rsidRPr="001C57F7" w:rsidRDefault="009863EB" w:rsidP="007B3602">
      <w:pPr>
        <w:pStyle w:val="Prrafodelista"/>
        <w:numPr>
          <w:ilvl w:val="0"/>
          <w:numId w:val="8"/>
        </w:numPr>
        <w:ind w:right="39"/>
      </w:pPr>
      <w:r w:rsidRPr="001C57F7">
        <w:t xml:space="preserve">Un gobierno cercano a la gente, “el poder de servir” </w:t>
      </w:r>
    </w:p>
    <w:p w14:paraId="31E64DB2" w14:textId="77777777" w:rsidR="007B3602" w:rsidRPr="001C57F7" w:rsidRDefault="007B3602" w:rsidP="007B3602">
      <w:pPr>
        <w:pStyle w:val="Prrafodelista"/>
        <w:numPr>
          <w:ilvl w:val="0"/>
          <w:numId w:val="10"/>
        </w:numPr>
        <w:ind w:left="1276" w:right="39"/>
      </w:pPr>
      <w:r w:rsidRPr="001C57F7">
        <w:t>Sesiones de cabildo</w:t>
      </w:r>
      <w:r w:rsidR="00BB206C" w:rsidRPr="001C57F7">
        <w:t>.</w:t>
      </w:r>
    </w:p>
    <w:p w14:paraId="6B3F850C" w14:textId="77777777" w:rsidR="007B3602" w:rsidRPr="001C57F7" w:rsidRDefault="007B3602" w:rsidP="007B3602">
      <w:pPr>
        <w:pStyle w:val="Prrafodelista"/>
        <w:numPr>
          <w:ilvl w:val="0"/>
          <w:numId w:val="10"/>
        </w:numPr>
        <w:ind w:left="1276" w:right="39"/>
      </w:pPr>
      <w:r w:rsidRPr="001C57F7">
        <w:t>Juzgado Cívico Itinerante</w:t>
      </w:r>
      <w:r w:rsidR="00BB206C" w:rsidRPr="001C57F7">
        <w:t>.</w:t>
      </w:r>
    </w:p>
    <w:p w14:paraId="7EDFFFF6" w14:textId="77777777" w:rsidR="007B3602" w:rsidRPr="001C57F7" w:rsidRDefault="007B3602" w:rsidP="007B3602">
      <w:pPr>
        <w:pStyle w:val="Prrafodelista"/>
        <w:numPr>
          <w:ilvl w:val="0"/>
          <w:numId w:val="10"/>
        </w:numPr>
        <w:ind w:left="1276" w:right="39"/>
      </w:pPr>
      <w:r w:rsidRPr="001C57F7">
        <w:t xml:space="preserve"> Contraloría Social</w:t>
      </w:r>
      <w:r w:rsidR="00BB206C" w:rsidRPr="001C57F7">
        <w:t>.</w:t>
      </w:r>
      <w:r w:rsidRPr="001C57F7">
        <w:t xml:space="preserve"> </w:t>
      </w:r>
    </w:p>
    <w:p w14:paraId="726B8211" w14:textId="77777777" w:rsidR="007B3602" w:rsidRPr="001C57F7" w:rsidRDefault="007B3602" w:rsidP="007B3602">
      <w:pPr>
        <w:pStyle w:val="Prrafodelista"/>
        <w:ind w:left="1276" w:right="39"/>
      </w:pPr>
    </w:p>
    <w:p w14:paraId="2169B034" w14:textId="77777777" w:rsidR="009863EB" w:rsidRPr="001C57F7" w:rsidRDefault="009863EB" w:rsidP="007B3602">
      <w:pPr>
        <w:pStyle w:val="Prrafodelista"/>
        <w:numPr>
          <w:ilvl w:val="0"/>
          <w:numId w:val="12"/>
        </w:numPr>
        <w:ind w:right="39"/>
      </w:pPr>
      <w:r w:rsidRPr="001C57F7">
        <w:t xml:space="preserve">Combate a la corrupción </w:t>
      </w:r>
    </w:p>
    <w:p w14:paraId="6E996F43" w14:textId="77777777" w:rsidR="007B3602" w:rsidRPr="001C57F7" w:rsidRDefault="007B3602" w:rsidP="007B3602">
      <w:pPr>
        <w:pStyle w:val="Prrafodelista"/>
        <w:numPr>
          <w:ilvl w:val="0"/>
          <w:numId w:val="13"/>
        </w:numPr>
        <w:ind w:left="1134" w:right="39" w:hanging="141"/>
      </w:pPr>
      <w:r w:rsidRPr="001C57F7">
        <w:t>Difusión de la Política Estatal Anticorrupción</w:t>
      </w:r>
      <w:r w:rsidR="00BB206C" w:rsidRPr="001C57F7">
        <w:t>.</w:t>
      </w:r>
    </w:p>
    <w:p w14:paraId="0F4E5C46" w14:textId="77777777" w:rsidR="007B3602" w:rsidRPr="001C57F7" w:rsidRDefault="007B3602" w:rsidP="007B3602">
      <w:pPr>
        <w:pStyle w:val="Prrafodelista"/>
        <w:numPr>
          <w:ilvl w:val="0"/>
          <w:numId w:val="13"/>
        </w:numPr>
        <w:ind w:left="1418" w:right="39" w:hanging="284"/>
      </w:pPr>
      <w:r w:rsidRPr="001C57F7">
        <w:t>Fortalecimiento de la cultura de la denuncia, a través de mecanismos y plataformas de control</w:t>
      </w:r>
      <w:r w:rsidR="00BB206C" w:rsidRPr="001C57F7">
        <w:t>.</w:t>
      </w:r>
    </w:p>
    <w:p w14:paraId="4C369184" w14:textId="77777777" w:rsidR="007B3602" w:rsidRPr="001C57F7" w:rsidRDefault="007B3602" w:rsidP="007B3602">
      <w:pPr>
        <w:pStyle w:val="Prrafodelista"/>
        <w:numPr>
          <w:ilvl w:val="0"/>
          <w:numId w:val="13"/>
        </w:numPr>
        <w:ind w:left="1418" w:right="39" w:hanging="284"/>
      </w:pPr>
      <w:r w:rsidRPr="001C57F7">
        <w:t>Se realizó la aprobación y difusión del Código de Ética</w:t>
      </w:r>
      <w:r w:rsidR="00BB206C" w:rsidRPr="001C57F7">
        <w:t>.</w:t>
      </w:r>
    </w:p>
    <w:p w14:paraId="6479559C" w14:textId="77777777" w:rsidR="007B3602" w:rsidRPr="001C57F7" w:rsidRDefault="007B3602" w:rsidP="007B3602">
      <w:pPr>
        <w:pStyle w:val="Prrafodelista"/>
        <w:ind w:left="1418" w:right="39"/>
      </w:pPr>
    </w:p>
    <w:p w14:paraId="1DD627A7" w14:textId="77777777" w:rsidR="009863EB" w:rsidRPr="001C57F7" w:rsidRDefault="009863EB" w:rsidP="007B3602">
      <w:pPr>
        <w:pStyle w:val="Prrafodelista"/>
        <w:numPr>
          <w:ilvl w:val="0"/>
          <w:numId w:val="12"/>
        </w:numPr>
        <w:ind w:right="39"/>
      </w:pPr>
      <w:r w:rsidRPr="001C57F7">
        <w:t xml:space="preserve">Transparencia y rendición de cuentas </w:t>
      </w:r>
    </w:p>
    <w:p w14:paraId="3BBBED50" w14:textId="77777777" w:rsidR="007B3602" w:rsidRPr="001C57F7" w:rsidRDefault="007B3602" w:rsidP="007B3602">
      <w:pPr>
        <w:pStyle w:val="Prrafodelista"/>
        <w:numPr>
          <w:ilvl w:val="0"/>
          <w:numId w:val="11"/>
        </w:numPr>
        <w:ind w:right="39"/>
      </w:pPr>
      <w:r w:rsidRPr="001C57F7">
        <w:t>Remite diversas actividades realizadas por el Sujeto Obligado</w:t>
      </w:r>
      <w:r w:rsidR="00BB206C" w:rsidRPr="001C57F7">
        <w:t>.</w:t>
      </w:r>
    </w:p>
    <w:p w14:paraId="338BE005" w14:textId="77777777" w:rsidR="007B3602" w:rsidRPr="001C57F7" w:rsidRDefault="007B3602" w:rsidP="007B3602">
      <w:pPr>
        <w:pStyle w:val="Prrafodelista"/>
        <w:ind w:left="1428" w:right="39"/>
      </w:pPr>
    </w:p>
    <w:p w14:paraId="181DDE02" w14:textId="77777777" w:rsidR="009863EB" w:rsidRPr="001C57F7" w:rsidRDefault="009863EB" w:rsidP="007B3602">
      <w:pPr>
        <w:pStyle w:val="Prrafodelista"/>
        <w:numPr>
          <w:ilvl w:val="0"/>
          <w:numId w:val="12"/>
        </w:numPr>
        <w:ind w:right="39"/>
      </w:pPr>
      <w:r w:rsidRPr="001C57F7">
        <w:t>Estado de Derecho y cultura de la legalidad</w:t>
      </w:r>
    </w:p>
    <w:p w14:paraId="4CDAC36D" w14:textId="77777777" w:rsidR="00BB206C" w:rsidRPr="001C57F7" w:rsidRDefault="00BB206C" w:rsidP="00BB206C">
      <w:pPr>
        <w:pStyle w:val="Prrafodelista"/>
        <w:numPr>
          <w:ilvl w:val="0"/>
          <w:numId w:val="11"/>
        </w:numPr>
        <w:ind w:right="39"/>
      </w:pPr>
      <w:r w:rsidRPr="001C57F7">
        <w:t>Seguimiento estratégico a la acción de sorteo de contribuyentes cumplidos.</w:t>
      </w:r>
    </w:p>
    <w:p w14:paraId="7F87F81F" w14:textId="77777777" w:rsidR="00BB206C" w:rsidRPr="001C57F7" w:rsidRDefault="00BB206C" w:rsidP="00BB206C">
      <w:pPr>
        <w:pStyle w:val="Prrafodelista"/>
        <w:numPr>
          <w:ilvl w:val="0"/>
          <w:numId w:val="11"/>
        </w:numPr>
        <w:ind w:right="39"/>
      </w:pPr>
      <w:r w:rsidRPr="001C57F7">
        <w:lastRenderedPageBreak/>
        <w:t>A través de la Unidad de Transparencia Municipal de Papalotla se ha potenciado los canales de comunicación y atención entre la ciudadanía y la administración pública.</w:t>
      </w:r>
    </w:p>
    <w:p w14:paraId="1E46C110" w14:textId="77777777" w:rsidR="00491922" w:rsidRPr="001C57F7" w:rsidRDefault="00491922" w:rsidP="00491922">
      <w:pPr>
        <w:pStyle w:val="Prrafodelista"/>
        <w:ind w:left="1428" w:right="39"/>
      </w:pPr>
    </w:p>
    <w:p w14:paraId="1B6949C6" w14:textId="77777777" w:rsidR="00D13C8D" w:rsidRPr="001C57F7" w:rsidRDefault="009863EB" w:rsidP="007B3602">
      <w:pPr>
        <w:pStyle w:val="Prrafodelista"/>
        <w:numPr>
          <w:ilvl w:val="0"/>
          <w:numId w:val="12"/>
        </w:numPr>
        <w:ind w:right="39"/>
      </w:pPr>
      <w:r w:rsidRPr="001C57F7">
        <w:t>Coordinación municipal e interestatal</w:t>
      </w:r>
    </w:p>
    <w:p w14:paraId="313FE4EE" w14:textId="77777777" w:rsidR="007B3602" w:rsidRPr="001C57F7" w:rsidRDefault="007B3602" w:rsidP="007B3602">
      <w:pPr>
        <w:pStyle w:val="Prrafodelista"/>
        <w:numPr>
          <w:ilvl w:val="0"/>
          <w:numId w:val="11"/>
        </w:numPr>
        <w:ind w:right="39"/>
      </w:pPr>
      <w:r w:rsidRPr="001C57F7">
        <w:t>Visitas de inspección al Juzgado Cívico y al centro de detención temporal</w:t>
      </w:r>
    </w:p>
    <w:p w14:paraId="7B3E5A8B" w14:textId="77777777" w:rsidR="007B3602" w:rsidRPr="001C57F7" w:rsidRDefault="007B3602" w:rsidP="007B3602">
      <w:pPr>
        <w:pStyle w:val="Prrafodelista"/>
        <w:numPr>
          <w:ilvl w:val="0"/>
          <w:numId w:val="11"/>
        </w:numPr>
        <w:ind w:right="39"/>
      </w:pPr>
      <w:r w:rsidRPr="001C57F7">
        <w:t>Visitas de inspección a centro de salud municipal (Ciudad Salud)</w:t>
      </w:r>
    </w:p>
    <w:p w14:paraId="22248FC4" w14:textId="77777777" w:rsidR="00D13C8D" w:rsidRPr="001C57F7" w:rsidRDefault="00D13C8D" w:rsidP="00D13C8D">
      <w:pPr>
        <w:ind w:right="39"/>
        <w:rPr>
          <w:rFonts w:eastAsia="Palatino Linotype" w:cs="Palatino Linotype"/>
          <w:bCs/>
        </w:rPr>
      </w:pPr>
    </w:p>
    <w:p w14:paraId="6FAC230C" w14:textId="77777777" w:rsidR="00DC330B" w:rsidRPr="001C57F7" w:rsidRDefault="00435F08" w:rsidP="00DC330B">
      <w:r w:rsidRPr="001C57F7">
        <w:rPr>
          <w:rFonts w:eastAsia="Palatino Linotype" w:cs="Palatino Linotype"/>
          <w:color w:val="000000"/>
          <w:szCs w:val="24"/>
        </w:rPr>
        <w:t xml:space="preserve">De lo anterior, </w:t>
      </w:r>
      <w:r w:rsidR="009863EB" w:rsidRPr="001C57F7">
        <w:rPr>
          <w:rFonts w:eastAsia="Palatino Linotype" w:cs="Palatino Linotype"/>
          <w:color w:val="000000"/>
          <w:szCs w:val="24"/>
        </w:rPr>
        <w:t xml:space="preserve">respecto </w:t>
      </w:r>
      <w:r w:rsidR="00D40605" w:rsidRPr="001C57F7">
        <w:rPr>
          <w:rFonts w:eastAsia="Palatino Linotype" w:cs="Palatino Linotype"/>
          <w:color w:val="000000"/>
          <w:szCs w:val="24"/>
        </w:rPr>
        <w:t xml:space="preserve">el soporte documental del </w:t>
      </w:r>
      <w:r w:rsidR="009863EB" w:rsidRPr="001C57F7">
        <w:rPr>
          <w:rFonts w:eastAsia="Palatino Linotype" w:cs="Palatino Linotype"/>
          <w:color w:val="000000"/>
          <w:szCs w:val="24"/>
        </w:rPr>
        <w:t>cumplimiento o avance de la línea 1.4.1.2</w:t>
      </w:r>
      <w:r w:rsidR="00D40605" w:rsidRPr="001C57F7">
        <w:rPr>
          <w:rFonts w:eastAsia="Palatino Linotype" w:cs="Palatino Linotype"/>
          <w:color w:val="000000"/>
          <w:szCs w:val="24"/>
        </w:rPr>
        <w:t xml:space="preserve"> requerida por el Recurrente del </w:t>
      </w:r>
      <w:r w:rsidR="00D40605" w:rsidRPr="001C57F7">
        <w:rPr>
          <w:color w:val="000000"/>
          <w:szCs w:val="24"/>
        </w:rPr>
        <w:t>primero de enero de dos mil veinticinco al tres de marzo de dos mil veintiséis</w:t>
      </w:r>
      <w:r w:rsidR="00DC330B" w:rsidRPr="001C57F7">
        <w:rPr>
          <w:rFonts w:eastAsia="Palatino Linotype" w:cs="Palatino Linotype"/>
          <w:color w:val="000000"/>
          <w:szCs w:val="24"/>
        </w:rPr>
        <w:t xml:space="preserve"> el Sujeto Obligado manifestó que </w:t>
      </w:r>
      <w:r w:rsidR="00DC330B" w:rsidRPr="001C57F7">
        <w:rPr>
          <w:u w:val="single"/>
        </w:rPr>
        <w:t xml:space="preserve">la línea de acción fue implementada </w:t>
      </w:r>
      <w:r w:rsidR="00DC330B" w:rsidRPr="001C57F7">
        <w:t xml:space="preserve">y </w:t>
      </w:r>
      <w:r w:rsidR="00DC330B" w:rsidRPr="001C57F7">
        <w:rPr>
          <w:b/>
        </w:rPr>
        <w:t>su cumplimiento se encuentra documentado en el Primer Informe de Gobierno del Municipio de Papalotla</w:t>
      </w:r>
      <w:r w:rsidR="00DC330B" w:rsidRPr="001C57F7">
        <w:t xml:space="preserve">, </w:t>
      </w:r>
      <w:r w:rsidR="00DC330B" w:rsidRPr="001C57F7">
        <w:rPr>
          <w:b/>
        </w:rPr>
        <w:t>correspondiente al ejercicio fiscal 2025</w:t>
      </w:r>
      <w:r w:rsidR="00DC330B" w:rsidRPr="001C57F7">
        <w:t xml:space="preserve">, así de la respuesta proporcionada por el Sujeto Obligado resulta imprescindible traer a colación el </w:t>
      </w:r>
      <w:r w:rsidR="007B3602" w:rsidRPr="001C57F7">
        <w:rPr>
          <w:b/>
        </w:rPr>
        <w:t>C</w:t>
      </w:r>
      <w:r w:rsidR="00DC330B" w:rsidRPr="001C57F7">
        <w:rPr>
          <w:b/>
        </w:rPr>
        <w:t>riterio</w:t>
      </w:r>
      <w:r w:rsidR="007B3602" w:rsidRPr="001C57F7">
        <w:rPr>
          <w:b/>
        </w:rPr>
        <w:t xml:space="preserve"> 16/17</w:t>
      </w:r>
      <w:r w:rsidR="00DC330B" w:rsidRPr="001C57F7">
        <w:t xml:space="preserve"> emitido por el entonces Máximo Órgano Garante</w:t>
      </w:r>
      <w:r w:rsidR="007B3602" w:rsidRPr="001C57F7">
        <w:t xml:space="preserve"> a efecto de advertir que el Sujeto Obligado en el ámbito de sus atribuciones proporciono una expresión documental al requerimiento de acceso a la información pública pues en la solicitud de información no se advierte que el Recurrente identificara la documentación especifica de su interés; </w:t>
      </w:r>
    </w:p>
    <w:p w14:paraId="39C98330" w14:textId="77777777" w:rsidR="00DC330B" w:rsidRPr="001C57F7" w:rsidRDefault="00DC330B" w:rsidP="00DC330B">
      <w:pPr>
        <w:ind w:left="708"/>
        <w:rPr>
          <w:i/>
        </w:rPr>
      </w:pPr>
      <w:r w:rsidRPr="001C57F7">
        <w:rPr>
          <w:b/>
          <w:i/>
        </w:rPr>
        <w:t>Expresión documental</w:t>
      </w:r>
      <w:r w:rsidRPr="001C57F7">
        <w:rPr>
          <w:i/>
        </w:rPr>
        <w:t>. Cuando las personas solicitantes no identifiquen la documentación de su interés, o bien, se trate de una consulta, se deberá dar a dicha solicitud una interpretación que les otorgue una expresión documental</w:t>
      </w:r>
      <w:r w:rsidR="007B3602" w:rsidRPr="001C57F7">
        <w:rPr>
          <w:i/>
        </w:rPr>
        <w:t>.</w:t>
      </w:r>
    </w:p>
    <w:p w14:paraId="02BA9DC9" w14:textId="77777777" w:rsidR="00DC330B" w:rsidRPr="001C57F7" w:rsidRDefault="00DC330B" w:rsidP="00DC330B"/>
    <w:p w14:paraId="4C43D739" w14:textId="77777777" w:rsidR="007B3602" w:rsidRPr="001C57F7" w:rsidRDefault="007B3602" w:rsidP="00DC330B"/>
    <w:p w14:paraId="61A4902E" w14:textId="77777777" w:rsidR="00163151" w:rsidRPr="001C57F7" w:rsidRDefault="009E7D57" w:rsidP="00163151">
      <w:pPr>
        <w:tabs>
          <w:tab w:val="left" w:pos="686"/>
        </w:tabs>
        <w:rPr>
          <w:rFonts w:eastAsia="Palatino Linotype" w:cs="Palatino Linotype"/>
          <w:color w:val="000000"/>
          <w:szCs w:val="24"/>
        </w:rPr>
      </w:pPr>
      <w:r w:rsidRPr="001C57F7">
        <w:lastRenderedPageBreak/>
        <w:t xml:space="preserve">Por lo que de la información entregada por el Sujeto Obligado colma parcialmente el derecho al acceso a la información del Recurrente pues en el ámbito de sus atribuciones </w:t>
      </w:r>
      <w:r w:rsidRPr="001C57F7">
        <w:rPr>
          <w:u w:val="single"/>
        </w:rPr>
        <w:t>entrego el soporte documental que da cuenta de</w:t>
      </w:r>
      <w:r w:rsidRPr="001C57F7">
        <w:rPr>
          <w:rFonts w:eastAsia="Palatino Linotype" w:cs="Palatino Linotype"/>
          <w:color w:val="000000"/>
          <w:szCs w:val="24"/>
          <w:u w:val="single"/>
        </w:rPr>
        <w:t>l cumplimiento o avance de la línea 1.4.1.2</w:t>
      </w:r>
      <w:r w:rsidR="00281138" w:rsidRPr="001C57F7">
        <w:rPr>
          <w:rFonts w:eastAsia="Palatino Linotype" w:cs="Palatino Linotype"/>
          <w:color w:val="000000"/>
          <w:szCs w:val="24"/>
        </w:rPr>
        <w:t xml:space="preserve">, </w:t>
      </w:r>
      <w:r w:rsidRPr="001C57F7">
        <w:rPr>
          <w:b/>
        </w:rPr>
        <w:t>r</w:t>
      </w:r>
      <w:r w:rsidR="00DC330B" w:rsidRPr="001C57F7">
        <w:rPr>
          <w:b/>
        </w:rPr>
        <w:t>especto al ejercicio fiscal 2026</w:t>
      </w:r>
      <w:r w:rsidRPr="001C57F7">
        <w:t xml:space="preserve"> el Sujeto Obligado refirió que</w:t>
      </w:r>
      <w:r w:rsidR="00DC330B" w:rsidRPr="001C57F7">
        <w:t xml:space="preserve"> l</w:t>
      </w:r>
      <w:r w:rsidR="00DC330B" w:rsidRPr="001C57F7">
        <w:rPr>
          <w:b/>
        </w:rPr>
        <w:t>as actividades correspondientes a esta línea de acción se encuentran en proceso de realización y desarrollo</w:t>
      </w:r>
      <w:r w:rsidRPr="001C57F7">
        <w:t xml:space="preserve"> </w:t>
      </w:r>
      <w:r w:rsidR="00DC330B" w:rsidRPr="001C57F7">
        <w:t>y serán evidenciadas en el Segundo Informe de Gobierno del Municipio de Papalotla, en el cual se documentarán los</w:t>
      </w:r>
      <w:r w:rsidRPr="001C57F7">
        <w:t xml:space="preserve"> avances y resultados obtenidos, sin embargo </w:t>
      </w:r>
      <w:r w:rsidR="00163151" w:rsidRPr="001C57F7">
        <w:t>no puede tenerse por colmado pronunciamiento del Sujeto Obligado pues en el ámbito de sus atribuciones a la fecha de la solicitud puede tener el soporte documental que da cuenta de</w:t>
      </w:r>
      <w:r w:rsidR="00163151" w:rsidRPr="001C57F7">
        <w:rPr>
          <w:rFonts w:eastAsia="Palatino Linotype" w:cs="Palatino Linotype"/>
          <w:color w:val="000000"/>
          <w:szCs w:val="24"/>
        </w:rPr>
        <w:t>l cumplimiento o avance de la línea 1.4.1.2.</w:t>
      </w:r>
    </w:p>
    <w:p w14:paraId="013C29D4" w14:textId="77777777" w:rsidR="00163151" w:rsidRPr="001C57F7" w:rsidRDefault="00163151" w:rsidP="00435F08">
      <w:pPr>
        <w:tabs>
          <w:tab w:val="left" w:pos="7938"/>
        </w:tabs>
        <w:rPr>
          <w:rFonts w:cs="Arial"/>
          <w:lang w:val="es-419"/>
        </w:rPr>
      </w:pPr>
    </w:p>
    <w:p w14:paraId="7C1D59D1" w14:textId="77777777" w:rsidR="00435F08" w:rsidRPr="001C57F7" w:rsidRDefault="00435F08" w:rsidP="00435F08">
      <w:pPr>
        <w:tabs>
          <w:tab w:val="left" w:pos="7938"/>
        </w:tabs>
        <w:rPr>
          <w:rFonts w:cs="Arial"/>
          <w:lang w:val="es-419"/>
        </w:rPr>
      </w:pPr>
      <w:r w:rsidRPr="001C57F7">
        <w:rPr>
          <w:rFonts w:cs="Arial"/>
          <w:lang w:val="es-419"/>
        </w:rPr>
        <w:t>En ese mismo contexto,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p>
    <w:p w14:paraId="0D0BA2C9" w14:textId="77777777" w:rsidR="00435F08" w:rsidRPr="001C57F7" w:rsidRDefault="00435F08" w:rsidP="00435F08">
      <w:pPr>
        <w:pStyle w:val="Sinespaciado"/>
        <w:spacing w:line="360" w:lineRule="auto"/>
        <w:ind w:left="1211" w:right="567"/>
        <w:jc w:val="both"/>
        <w:rPr>
          <w:rFonts w:ascii="Palatino Linotype" w:hAnsi="Palatino Linotype"/>
          <w:i/>
          <w:sz w:val="22"/>
          <w:szCs w:val="22"/>
        </w:rPr>
      </w:pPr>
      <w:r w:rsidRPr="001C57F7">
        <w:rPr>
          <w:rFonts w:ascii="Palatino Linotype" w:hAnsi="Palatino Linotype"/>
        </w:rPr>
        <w:t>“</w:t>
      </w:r>
      <w:r w:rsidRPr="001C57F7">
        <w:rPr>
          <w:rFonts w:ascii="Palatino Linotype" w:hAnsi="Palatino Linotype"/>
          <w:b/>
          <w:i/>
          <w:sz w:val="22"/>
          <w:szCs w:val="22"/>
        </w:rPr>
        <w:t>Artículo 12.</w:t>
      </w:r>
      <w:r w:rsidRPr="001C57F7">
        <w:rPr>
          <w:rFonts w:ascii="Palatino Linotype" w:hAnsi="Palatino Linotype"/>
          <w:i/>
          <w:sz w:val="22"/>
          <w:szCs w:val="22"/>
        </w:rPr>
        <w:t xml:space="preserve"> Quienes generen, recopilen, administren, manejen, procesen, archiven o conserven información pública serán</w:t>
      </w:r>
    </w:p>
    <w:p w14:paraId="1270C1C7" w14:textId="77777777" w:rsidR="00435F08" w:rsidRPr="001C57F7" w:rsidRDefault="00435F08" w:rsidP="00435F08">
      <w:pPr>
        <w:pStyle w:val="Prrafodelista"/>
        <w:tabs>
          <w:tab w:val="left" w:pos="1842"/>
        </w:tabs>
        <w:ind w:left="1211" w:right="49"/>
        <w:rPr>
          <w:sz w:val="22"/>
        </w:rPr>
      </w:pPr>
      <w:r w:rsidRPr="001C57F7">
        <w:rPr>
          <w:b/>
          <w:i/>
          <w:sz w:val="22"/>
          <w:u w:val="single"/>
        </w:rPr>
        <w:t>Los sujetos obligados sólo proporcionarán la información pública que se les requiera y que obre en sus archivos</w:t>
      </w:r>
      <w:r w:rsidRPr="001C57F7">
        <w:rPr>
          <w:i/>
          <w:sz w:val="22"/>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AC6B115" w14:textId="77777777" w:rsidR="00435F08" w:rsidRPr="001C57F7" w:rsidRDefault="00435F08" w:rsidP="00435F08">
      <w:pPr>
        <w:rPr>
          <w:rFonts w:eastAsia="Palatino Linotype" w:cs="Palatino Linotype"/>
        </w:rPr>
      </w:pPr>
    </w:p>
    <w:p w14:paraId="0384388B" w14:textId="77777777" w:rsidR="00E338F8" w:rsidRPr="001C57F7" w:rsidRDefault="00435F08" w:rsidP="00435F08">
      <w:pPr>
        <w:tabs>
          <w:tab w:val="left" w:pos="3962"/>
        </w:tabs>
        <w:rPr>
          <w:rFonts w:eastAsia="Palatino Linotype" w:cs="Palatino Linotype"/>
          <w:color w:val="000000"/>
          <w:szCs w:val="24"/>
        </w:rPr>
      </w:pPr>
      <w:r w:rsidRPr="001C57F7">
        <w:rPr>
          <w:rFonts w:cs="Tahoma"/>
          <w:bCs/>
          <w:szCs w:val="24"/>
        </w:rPr>
        <w:lastRenderedPageBreak/>
        <w:t xml:space="preserve">Así este Instituto no puede tener por colmado el requerimiento de información </w:t>
      </w:r>
      <w:r w:rsidRPr="001C57F7">
        <w:rPr>
          <w:rFonts w:eastAsia="Palatino Linotype" w:cs="Palatino Linotype"/>
          <w:color w:val="000000"/>
          <w:szCs w:val="24"/>
        </w:rPr>
        <w:t xml:space="preserve">requerido pues el Sujeto Obligado fue omiso </w:t>
      </w:r>
      <w:r w:rsidR="00163151" w:rsidRPr="001C57F7">
        <w:rPr>
          <w:rFonts w:eastAsia="Palatino Linotype" w:cs="Palatino Linotype"/>
          <w:color w:val="000000"/>
          <w:szCs w:val="24"/>
        </w:rPr>
        <w:t>en turnar la solicitud de información a las unidades de informació</w:t>
      </w:r>
      <w:r w:rsidR="00501CDC" w:rsidRPr="001C57F7">
        <w:rPr>
          <w:rFonts w:eastAsia="Palatino Linotype" w:cs="Palatino Linotype"/>
          <w:color w:val="000000"/>
          <w:szCs w:val="24"/>
        </w:rPr>
        <w:t xml:space="preserve">n </w:t>
      </w:r>
      <w:r w:rsidR="00092923" w:rsidRPr="001C57F7">
        <w:rPr>
          <w:rFonts w:eastAsia="Palatino Linotype" w:cs="Palatino Linotype"/>
          <w:color w:val="000000"/>
          <w:szCs w:val="24"/>
        </w:rPr>
        <w:t>que en el ámbito de lo establecido en el artículo 32 del Bando Municipal de manera enunciativa más no limita</w:t>
      </w:r>
      <w:r w:rsidR="00E338F8" w:rsidRPr="001C57F7">
        <w:rPr>
          <w:rFonts w:eastAsia="Palatino Linotype" w:cs="Palatino Linotype"/>
          <w:color w:val="000000"/>
          <w:szCs w:val="24"/>
        </w:rPr>
        <w:t>tiva la Unidad de Transparencia y la Tesorería Municipal conforme lo descrito por el soporte documental enviado por el Sujeto Obligado en respuesta.</w:t>
      </w:r>
    </w:p>
    <w:p w14:paraId="0279CBAC" w14:textId="77777777" w:rsidR="00163151" w:rsidRPr="001C57F7" w:rsidRDefault="00163151" w:rsidP="00435F08">
      <w:pPr>
        <w:tabs>
          <w:tab w:val="left" w:pos="3962"/>
        </w:tabs>
        <w:rPr>
          <w:rFonts w:eastAsia="Palatino Linotype" w:cs="Palatino Linotype"/>
          <w:color w:val="000000"/>
          <w:szCs w:val="24"/>
        </w:rPr>
      </w:pPr>
    </w:p>
    <w:p w14:paraId="1587282E" w14:textId="77777777" w:rsidR="00435F08" w:rsidRPr="001C57F7" w:rsidRDefault="00E338F8" w:rsidP="00435F08">
      <w:pPr>
        <w:tabs>
          <w:tab w:val="left" w:pos="3962"/>
        </w:tabs>
        <w:rPr>
          <w:rFonts w:eastAsia="Palatino Linotype" w:cs="Palatino Linotype"/>
          <w:color w:val="000000"/>
          <w:szCs w:val="24"/>
        </w:rPr>
      </w:pPr>
      <w:r w:rsidRPr="001C57F7">
        <w:rPr>
          <w:rFonts w:eastAsia="Palatino Linotype" w:cs="Palatino Linotype"/>
          <w:color w:val="000000"/>
          <w:szCs w:val="24"/>
        </w:rPr>
        <w:t xml:space="preserve">Por tal circunstancia </w:t>
      </w:r>
      <w:r w:rsidR="00435F08" w:rsidRPr="001C57F7">
        <w:rPr>
          <w:rFonts w:eastAsia="Palatino Linotype" w:cs="Palatino Linotype"/>
          <w:color w:val="000000"/>
          <w:szCs w:val="24"/>
        </w:rPr>
        <w:t>no se puede acreditar el principio de búsqueda exhaustiva de la información,</w:t>
      </w:r>
      <w:r w:rsidR="00501CDC" w:rsidRPr="001C57F7">
        <w:rPr>
          <w:rFonts w:eastAsia="Palatino Linotype" w:cs="Palatino Linotype"/>
          <w:color w:val="000000"/>
          <w:szCs w:val="24"/>
        </w:rPr>
        <w:t xml:space="preserve"> </w:t>
      </w:r>
      <w:r w:rsidR="00435F08" w:rsidRPr="001C57F7">
        <w:rPr>
          <w:rFonts w:eastAsia="Palatino Linotype" w:cs="Palatino Linotype"/>
          <w:color w:val="000000"/>
          <w:szCs w:val="24"/>
        </w:rPr>
        <w:t>cuyo alcance se encuentra establecido en el Criterio Reiterado 02/19 emitido por el Pleno de este Organismo Garante</w:t>
      </w:r>
      <w:r w:rsidR="00435F08" w:rsidRPr="001C57F7">
        <w:rPr>
          <w:rFonts w:cs="Tahoma"/>
          <w:bCs/>
          <w:szCs w:val="24"/>
        </w:rPr>
        <w:t>, se trae a colación el criterio anteriormente referido</w:t>
      </w:r>
      <w:r w:rsidR="00435F08" w:rsidRPr="001C57F7">
        <w:rPr>
          <w:rFonts w:eastAsia="Palatino Linotype" w:cs="Palatino Linotype"/>
          <w:color w:val="000000"/>
          <w:szCs w:val="24"/>
        </w:rPr>
        <w:t xml:space="preserve"> a saber:</w:t>
      </w:r>
    </w:p>
    <w:p w14:paraId="7D1D2402" w14:textId="77777777" w:rsidR="00435F08" w:rsidRPr="001C57F7" w:rsidRDefault="00435F08" w:rsidP="00E338F8">
      <w:pPr>
        <w:spacing w:line="276" w:lineRule="auto"/>
        <w:ind w:left="567" w:right="706"/>
        <w:rPr>
          <w:rFonts w:eastAsia="Palatino Linotype" w:cs="Palatino Linotype"/>
          <w:i/>
          <w:color w:val="000000"/>
          <w:sz w:val="22"/>
        </w:rPr>
      </w:pPr>
      <w:r w:rsidRPr="001C57F7">
        <w:rPr>
          <w:rFonts w:eastAsia="Palatino Linotype" w:cs="Palatino Linotype"/>
          <w:b/>
          <w:i/>
          <w:color w:val="000000"/>
          <w:sz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1C57F7">
        <w:rPr>
          <w:rFonts w:eastAsia="Palatino Linotype" w:cs="Palatino Linotype"/>
          <w:i/>
          <w:color w:val="000000"/>
          <w:sz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w:t>
      </w:r>
      <w:r w:rsidR="00773A01" w:rsidRPr="001C57F7">
        <w:rPr>
          <w:rFonts w:eastAsia="Palatino Linotype" w:cs="Palatino Linotype"/>
          <w:i/>
          <w:color w:val="000000"/>
          <w:sz w:val="22"/>
        </w:rPr>
        <w:t xml:space="preserve"> </w:t>
      </w:r>
      <w:r w:rsidR="00E338F8" w:rsidRPr="001C57F7">
        <w:rPr>
          <w:rFonts w:eastAsia="Palatino Linotype" w:cs="Palatino Linotype"/>
          <w:i/>
          <w:color w:val="000000"/>
          <w:sz w:val="22"/>
        </w:rPr>
        <w:t>s</w:t>
      </w:r>
      <w:r w:rsidRPr="001C57F7">
        <w:rPr>
          <w:rFonts w:eastAsia="Palatino Linotype" w:cs="Palatino Linotype"/>
          <w:i/>
          <w:color w:val="000000"/>
          <w:sz w:val="22"/>
        </w:rPr>
        <w:t xml:space="preserve">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w:t>
      </w:r>
      <w:r w:rsidRPr="001C57F7">
        <w:rPr>
          <w:rFonts w:eastAsia="Palatino Linotype" w:cs="Palatino Linotype"/>
          <w:i/>
          <w:color w:val="000000"/>
          <w:sz w:val="22"/>
        </w:rPr>
        <w:lastRenderedPageBreak/>
        <w:t>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61FB5384" w14:textId="77777777" w:rsidR="002C3229" w:rsidRPr="001C57F7" w:rsidRDefault="002C3229" w:rsidP="00435F08">
      <w:pPr>
        <w:pBdr>
          <w:top w:val="nil"/>
          <w:left w:val="nil"/>
          <w:bottom w:val="nil"/>
          <w:right w:val="nil"/>
          <w:between w:val="nil"/>
        </w:pBdr>
        <w:rPr>
          <w:rFonts w:eastAsia="Palatino Linotype" w:cs="Palatino Linotype"/>
          <w:color w:val="000000"/>
          <w:szCs w:val="24"/>
        </w:rPr>
      </w:pPr>
    </w:p>
    <w:p w14:paraId="01BFD349" w14:textId="77777777" w:rsidR="00435F08" w:rsidRPr="001C57F7" w:rsidRDefault="00435F08" w:rsidP="00435F08">
      <w:pPr>
        <w:pBdr>
          <w:top w:val="nil"/>
          <w:left w:val="nil"/>
          <w:bottom w:val="nil"/>
          <w:right w:val="nil"/>
          <w:between w:val="nil"/>
        </w:pBdr>
        <w:rPr>
          <w:rFonts w:eastAsia="Palatino Linotype" w:cs="Palatino Linotype"/>
          <w:color w:val="000000"/>
          <w:szCs w:val="24"/>
        </w:rPr>
      </w:pPr>
      <w:r w:rsidRPr="001C57F7">
        <w:rPr>
          <w:rFonts w:eastAsia="Palatino Linotype" w:cs="Palatino Linotype"/>
          <w:color w:val="000000"/>
          <w:szCs w:val="24"/>
        </w:rPr>
        <w:t>En tal sentido, resulta aplicable el Criterio orientador 02/17 emitido por el Peno del Instituto Nacional de Transparencia y Acceso a la Información y Protección de Datos Personales, de título y texto siguientes:</w:t>
      </w:r>
    </w:p>
    <w:p w14:paraId="37195350" w14:textId="77777777" w:rsidR="00435F08" w:rsidRPr="001C57F7" w:rsidRDefault="00435F08" w:rsidP="00435F08">
      <w:pPr>
        <w:pBdr>
          <w:top w:val="nil"/>
          <w:left w:val="nil"/>
          <w:bottom w:val="nil"/>
          <w:right w:val="nil"/>
          <w:between w:val="nil"/>
        </w:pBdr>
        <w:ind w:left="851" w:right="851"/>
        <w:rPr>
          <w:rFonts w:eastAsia="Palatino Linotype" w:cs="Palatino Linotype"/>
          <w:i/>
          <w:color w:val="000000"/>
          <w:sz w:val="22"/>
        </w:rPr>
      </w:pPr>
      <w:r w:rsidRPr="001C57F7">
        <w:rPr>
          <w:rFonts w:eastAsia="Palatino Linotype" w:cs="Palatino Linotype"/>
          <w:b/>
          <w:i/>
          <w:color w:val="000000"/>
          <w:sz w:val="22"/>
        </w:rPr>
        <w:t xml:space="preserve">“Congruencia y exhaustividad. Sus alcances para garantizar el derecho de acceso a la información. </w:t>
      </w:r>
      <w:r w:rsidRPr="001C57F7">
        <w:rPr>
          <w:rFonts w:eastAsia="Palatino Linotype" w:cs="Palatino Linotype"/>
          <w:i/>
          <w:color w:val="000000"/>
          <w:sz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1C57F7">
        <w:rPr>
          <w:rFonts w:eastAsia="Palatino Linotype" w:cs="Palatino Linotype"/>
          <w:b/>
          <w:i/>
          <w:color w:val="000000"/>
          <w:sz w:val="22"/>
        </w:rPr>
        <w:t>la congruencia implica que exista concordancia entre el requerimiento formulado por el particular y la respuesta proporcionada por el sujeto obligado</w:t>
      </w:r>
      <w:r w:rsidRPr="001C57F7">
        <w:rPr>
          <w:rFonts w:eastAsia="Palatino Linotype" w:cs="Palatino Linotype"/>
          <w:i/>
          <w:color w:val="000000"/>
          <w:sz w:val="22"/>
        </w:rPr>
        <w:t xml:space="preserve">; mientras que </w:t>
      </w:r>
      <w:r w:rsidRPr="001C57F7">
        <w:rPr>
          <w:rFonts w:eastAsia="Palatino Linotype" w:cs="Palatino Linotype"/>
          <w:b/>
          <w:i/>
          <w:color w:val="000000"/>
          <w:sz w:val="22"/>
        </w:rPr>
        <w:t>la exhaustividad significa que dicha respuesta se refiera expresamente a cada uno de los puntos solicitados</w:t>
      </w:r>
      <w:r w:rsidRPr="001C57F7">
        <w:rPr>
          <w:rFonts w:eastAsia="Palatino Linotype" w:cs="Palatino Linotype"/>
          <w:i/>
          <w:color w:val="000000"/>
          <w:sz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619DFBF4" w14:textId="77777777" w:rsidR="00435F08" w:rsidRPr="001C57F7" w:rsidRDefault="00435F08" w:rsidP="00435F08">
      <w:pPr>
        <w:rPr>
          <w:color w:val="000000"/>
          <w:u w:val="single"/>
        </w:rPr>
      </w:pPr>
    </w:p>
    <w:p w14:paraId="04D7B2F6" w14:textId="77777777" w:rsidR="00D807A9" w:rsidRPr="001C57F7" w:rsidRDefault="00435F08" w:rsidP="00435F08">
      <w:pPr>
        <w:rPr>
          <w:rFonts w:cs="Arial"/>
          <w:bCs/>
          <w:szCs w:val="24"/>
        </w:rPr>
      </w:pPr>
      <w:r w:rsidRPr="001C57F7">
        <w:rPr>
          <w:rFonts w:cs="Arial"/>
          <w:bCs/>
          <w:szCs w:val="24"/>
        </w:rPr>
        <w:t xml:space="preserve">Por lo que este Instituto no puede tener por satisfecho el derecho al acceso a la información del Recurrente por lo que resulta dable ordenar de ser procedente en versión pública el soporte documental que dé cuenta </w:t>
      </w:r>
      <w:r w:rsidR="00D807A9" w:rsidRPr="001C57F7">
        <w:rPr>
          <w:rFonts w:eastAsia="Palatino Linotype" w:cs="Palatino Linotype"/>
          <w:color w:val="000000"/>
          <w:szCs w:val="24"/>
        </w:rPr>
        <w:t xml:space="preserve">del cumplimiento o avance de la línea 1.4.1.2 </w:t>
      </w:r>
      <w:r w:rsidR="00D807A9" w:rsidRPr="001C57F7">
        <w:rPr>
          <w:rFonts w:eastAsia="Palatino Linotype" w:cs="Palatino Linotype"/>
          <w:color w:val="000000"/>
          <w:szCs w:val="24"/>
        </w:rPr>
        <w:lastRenderedPageBreak/>
        <w:t xml:space="preserve">del </w:t>
      </w:r>
      <w:r w:rsidR="00D807A9" w:rsidRPr="001C57F7">
        <w:rPr>
          <w:color w:val="000000"/>
          <w:szCs w:val="24"/>
        </w:rPr>
        <w:t>Plan de Desarrollo Municipal 2025-2027 del primero de enero al tres de marzo de dos mil veintiséis.</w:t>
      </w:r>
    </w:p>
    <w:p w14:paraId="61F92962" w14:textId="77777777" w:rsidR="00092923" w:rsidRPr="001C57F7" w:rsidRDefault="00092923" w:rsidP="00435F08">
      <w:pPr>
        <w:rPr>
          <w:rFonts w:cs="Arial"/>
          <w:bCs/>
          <w:szCs w:val="24"/>
        </w:rPr>
      </w:pPr>
    </w:p>
    <w:p w14:paraId="2EB58046" w14:textId="77777777" w:rsidR="00435F08" w:rsidRPr="001C57F7" w:rsidRDefault="00435F08" w:rsidP="00435F08">
      <w:pPr>
        <w:keepNext/>
        <w:keepLines/>
        <w:outlineLvl w:val="2"/>
        <w:rPr>
          <w:rFonts w:eastAsia="Palatino Linotype" w:cstheme="majorBidi"/>
          <w:b/>
          <w:i/>
          <w:color w:val="000000" w:themeColor="text1"/>
          <w:u w:val="single"/>
        </w:rPr>
      </w:pPr>
      <w:r w:rsidRPr="001C57F7">
        <w:rPr>
          <w:rFonts w:eastAsia="Palatino Linotype" w:cstheme="majorBidi"/>
          <w:b/>
          <w:i/>
          <w:color w:val="000000" w:themeColor="text1"/>
          <w:u w:val="single"/>
        </w:rPr>
        <w:t>DE LA VERSIÓN PÚBLICA</w:t>
      </w:r>
    </w:p>
    <w:p w14:paraId="0406D7F2" w14:textId="77777777" w:rsidR="00435F08" w:rsidRPr="001C57F7" w:rsidRDefault="00435F08" w:rsidP="00435F08">
      <w:pPr>
        <w:rPr>
          <w:rFonts w:eastAsia="Palatino Linotype" w:cs="Palatino Linotype"/>
          <w:szCs w:val="24"/>
        </w:rPr>
      </w:pPr>
      <w:r w:rsidRPr="001C57F7">
        <w:rPr>
          <w:rFonts w:eastAsia="Palatino Linotype" w:cs="Palatino Linotype"/>
          <w:szCs w:val="24"/>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15972294"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Artículo 3.</w:t>
      </w:r>
      <w:r w:rsidRPr="001C57F7">
        <w:rPr>
          <w:rFonts w:eastAsia="Palatino Linotype" w:cs="Palatino Linotype"/>
          <w:i/>
          <w:sz w:val="22"/>
        </w:rPr>
        <w:t xml:space="preserve"> Para los efectos de la presente Ley se entenderá por:</w:t>
      </w:r>
    </w:p>
    <w:p w14:paraId="62163C10"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i/>
          <w:sz w:val="22"/>
        </w:rPr>
        <w:t>[…]</w:t>
      </w:r>
    </w:p>
    <w:p w14:paraId="0A0B29C7"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IX. Datos personales:</w:t>
      </w:r>
      <w:r w:rsidRPr="001C57F7">
        <w:rPr>
          <w:rFonts w:eastAsia="Palatino Linotype" w:cs="Palatino Linotype"/>
          <w:i/>
          <w:sz w:val="22"/>
        </w:rPr>
        <w:t xml:space="preserve"> La información concerniente a una persona, identificada o identificable según lo dispuesto por la Ley de Protección de Datos Personales del Estado de México; </w:t>
      </w:r>
    </w:p>
    <w:p w14:paraId="694E6359"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XX.</w:t>
      </w:r>
      <w:r w:rsidRPr="001C57F7">
        <w:rPr>
          <w:rFonts w:eastAsia="Palatino Linotype" w:cs="Palatino Linotype"/>
          <w:i/>
          <w:sz w:val="22"/>
        </w:rPr>
        <w:t xml:space="preserve"> </w:t>
      </w:r>
      <w:r w:rsidRPr="001C57F7">
        <w:rPr>
          <w:rFonts w:eastAsia="Palatino Linotype" w:cs="Palatino Linotype"/>
          <w:b/>
          <w:i/>
          <w:sz w:val="22"/>
        </w:rPr>
        <w:t>Información clasificada:</w:t>
      </w:r>
      <w:r w:rsidRPr="001C57F7">
        <w:rPr>
          <w:rFonts w:eastAsia="Palatino Linotype" w:cs="Palatino Linotype"/>
          <w:i/>
          <w:sz w:val="22"/>
        </w:rPr>
        <w:t xml:space="preserve"> Aquella considerada por la presente Ley como reservada o confidencial;</w:t>
      </w:r>
    </w:p>
    <w:p w14:paraId="7F46460A"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XXI.</w:t>
      </w:r>
      <w:r w:rsidRPr="001C57F7">
        <w:rPr>
          <w:rFonts w:eastAsia="Palatino Linotype" w:cs="Palatino Linotype"/>
          <w:i/>
          <w:sz w:val="22"/>
        </w:rPr>
        <w:t xml:space="preserve"> </w:t>
      </w:r>
      <w:r w:rsidRPr="001C57F7">
        <w:rPr>
          <w:rFonts w:eastAsia="Palatino Linotype" w:cs="Palatino Linotype"/>
          <w:b/>
          <w:i/>
          <w:sz w:val="22"/>
        </w:rPr>
        <w:t>Información confidencial:</w:t>
      </w:r>
      <w:r w:rsidRPr="001C57F7">
        <w:rPr>
          <w:rFonts w:eastAsia="Palatino Linotype" w:cs="Palatino Linotype"/>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5F9DF60"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w:t>
      </w:r>
    </w:p>
    <w:p w14:paraId="1DFB3587"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XLV.</w:t>
      </w:r>
      <w:r w:rsidRPr="001C57F7">
        <w:rPr>
          <w:rFonts w:eastAsia="Palatino Linotype" w:cs="Palatino Linotype"/>
          <w:i/>
          <w:sz w:val="22"/>
        </w:rPr>
        <w:t xml:space="preserve"> </w:t>
      </w:r>
      <w:r w:rsidRPr="001C57F7">
        <w:rPr>
          <w:rFonts w:eastAsia="Palatino Linotype" w:cs="Palatino Linotype"/>
          <w:b/>
          <w:i/>
          <w:sz w:val="22"/>
        </w:rPr>
        <w:t>Versión pública:</w:t>
      </w:r>
      <w:r w:rsidRPr="001C57F7">
        <w:rPr>
          <w:rFonts w:eastAsia="Palatino Linotype" w:cs="Palatino Linotype"/>
          <w:i/>
          <w:sz w:val="22"/>
        </w:rPr>
        <w:t xml:space="preserve"> Documento en el que se elimine, suprime o borra la información clasificada como reservada o confidencial para permitir su acceso.</w:t>
      </w:r>
    </w:p>
    <w:p w14:paraId="494132BE"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i/>
          <w:sz w:val="22"/>
        </w:rPr>
        <w:t>[…]</w:t>
      </w:r>
    </w:p>
    <w:p w14:paraId="65446D6D"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 xml:space="preserve">Artículo 91. </w:t>
      </w:r>
      <w:r w:rsidRPr="001C57F7">
        <w:rPr>
          <w:rFonts w:eastAsia="Palatino Linotype" w:cs="Palatino Linotype"/>
          <w:i/>
          <w:sz w:val="22"/>
        </w:rPr>
        <w:t>El acceso a la información pública será restringido excepcionalmente, cuando ésta sea clasificada como reservada o confidencial.</w:t>
      </w:r>
    </w:p>
    <w:p w14:paraId="0D26D69A" w14:textId="77777777" w:rsidR="00435F08" w:rsidRPr="001C57F7" w:rsidRDefault="00435F08" w:rsidP="00435F08">
      <w:pPr>
        <w:ind w:left="567" w:right="567"/>
        <w:rPr>
          <w:rFonts w:eastAsia="Palatino Linotype" w:cs="Palatino Linotype"/>
          <w:i/>
          <w:sz w:val="22"/>
        </w:rPr>
      </w:pPr>
    </w:p>
    <w:p w14:paraId="260389EB"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Artículo 132.</w:t>
      </w:r>
      <w:r w:rsidRPr="001C57F7">
        <w:rPr>
          <w:rFonts w:eastAsia="Palatino Linotype" w:cs="Palatino Linotype"/>
          <w:i/>
          <w:sz w:val="22"/>
        </w:rPr>
        <w:t xml:space="preserve"> </w:t>
      </w:r>
      <w:r w:rsidRPr="001C57F7">
        <w:rPr>
          <w:rFonts w:eastAsia="Palatino Linotype" w:cs="Palatino Linotype"/>
          <w:i/>
          <w:sz w:val="22"/>
          <w:u w:val="single"/>
        </w:rPr>
        <w:t>La clasificación de la información se llevará a cabo en el momento en que</w:t>
      </w:r>
      <w:r w:rsidRPr="001C57F7">
        <w:rPr>
          <w:rFonts w:eastAsia="Palatino Linotype" w:cs="Palatino Linotype"/>
          <w:i/>
          <w:sz w:val="22"/>
        </w:rPr>
        <w:t>:</w:t>
      </w:r>
    </w:p>
    <w:p w14:paraId="70CECA25"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I.</w:t>
      </w:r>
      <w:r w:rsidRPr="001C57F7">
        <w:rPr>
          <w:rFonts w:eastAsia="Palatino Linotype" w:cs="Palatino Linotype"/>
          <w:i/>
          <w:sz w:val="22"/>
        </w:rPr>
        <w:t xml:space="preserve"> Se reciba una solicitud de acceso a la información;</w:t>
      </w:r>
    </w:p>
    <w:p w14:paraId="482DDC1C"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II.</w:t>
      </w:r>
      <w:r w:rsidRPr="001C57F7">
        <w:rPr>
          <w:rFonts w:eastAsia="Palatino Linotype" w:cs="Palatino Linotype"/>
          <w:i/>
          <w:sz w:val="22"/>
        </w:rPr>
        <w:t xml:space="preserve"> </w:t>
      </w:r>
      <w:r w:rsidRPr="001C57F7">
        <w:rPr>
          <w:rFonts w:eastAsia="Palatino Linotype" w:cs="Palatino Linotype"/>
          <w:i/>
          <w:sz w:val="22"/>
          <w:u w:val="single"/>
        </w:rPr>
        <w:t>Se determine mediante resolución de autoridad competente; o</w:t>
      </w:r>
    </w:p>
    <w:p w14:paraId="226202F4" w14:textId="77777777" w:rsidR="00435F08" w:rsidRPr="001C57F7" w:rsidRDefault="00435F08" w:rsidP="00435F08">
      <w:pPr>
        <w:ind w:left="567" w:right="567"/>
        <w:rPr>
          <w:rFonts w:eastAsia="Palatino Linotype" w:cs="Palatino Linotype"/>
          <w:i/>
          <w:sz w:val="22"/>
          <w:u w:val="single"/>
        </w:rPr>
      </w:pPr>
      <w:r w:rsidRPr="001C57F7">
        <w:rPr>
          <w:rFonts w:eastAsia="Palatino Linotype" w:cs="Palatino Linotype"/>
          <w:b/>
          <w:i/>
          <w:sz w:val="22"/>
        </w:rPr>
        <w:t>III.</w:t>
      </w:r>
      <w:r w:rsidRPr="001C57F7">
        <w:rPr>
          <w:rFonts w:eastAsia="Palatino Linotype" w:cs="Palatino Linotype"/>
          <w:i/>
          <w:sz w:val="22"/>
        </w:rPr>
        <w:t xml:space="preserve"> </w:t>
      </w:r>
      <w:r w:rsidRPr="001C57F7">
        <w:rPr>
          <w:rFonts w:eastAsia="Palatino Linotype" w:cs="Palatino Linotype"/>
          <w:i/>
          <w:sz w:val="22"/>
          <w:u w:val="single"/>
        </w:rPr>
        <w:t>Se generen versiones públicas para dar cumplimiento a las obligaciones de transparencia previstas en esta Ley.</w:t>
      </w:r>
    </w:p>
    <w:p w14:paraId="251809E2"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i/>
          <w:sz w:val="22"/>
        </w:rPr>
        <w:t>[…]</w:t>
      </w:r>
    </w:p>
    <w:p w14:paraId="263FE245" w14:textId="77777777" w:rsidR="00435F08" w:rsidRPr="001C57F7" w:rsidRDefault="00435F08" w:rsidP="00435F08">
      <w:pPr>
        <w:rPr>
          <w:rFonts w:eastAsia="Palatino Linotype" w:cs="Palatino Linotype"/>
          <w:szCs w:val="24"/>
        </w:rPr>
      </w:pPr>
      <w:r w:rsidRPr="001C57F7">
        <w:rPr>
          <w:rFonts w:eastAsia="Palatino Linotype" w:cs="Palatino Linotype"/>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BD82942" w14:textId="77777777" w:rsidR="00435F08" w:rsidRPr="001C57F7" w:rsidRDefault="00435F08" w:rsidP="00435F08">
      <w:pPr>
        <w:rPr>
          <w:rFonts w:eastAsia="Palatino Linotype" w:cs="Palatino Linotype"/>
          <w:szCs w:val="24"/>
        </w:rPr>
      </w:pPr>
    </w:p>
    <w:p w14:paraId="2EB3D206" w14:textId="77777777" w:rsidR="00435F08" w:rsidRPr="001C57F7" w:rsidRDefault="00435F08" w:rsidP="00435F08">
      <w:pPr>
        <w:rPr>
          <w:rFonts w:eastAsia="Palatino Linotype" w:cs="Palatino Linotype"/>
          <w:szCs w:val="24"/>
        </w:rPr>
      </w:pPr>
      <w:r w:rsidRPr="001C57F7">
        <w:rPr>
          <w:rFonts w:eastAsia="Palatino Linotype" w:cs="Palatino Linotype"/>
          <w:szCs w:val="24"/>
        </w:rPr>
        <w:t xml:space="preserve">Por otro lado, los </w:t>
      </w:r>
      <w:r w:rsidRPr="001C57F7">
        <w:rPr>
          <w:rFonts w:eastAsia="Palatino Linotype" w:cs="Palatino Linotype"/>
          <w:iCs/>
          <w:szCs w:val="24"/>
        </w:rPr>
        <w:t>Lineamientos Generales en Materia de Clasificación y Desclasificación de la Información, así como para la elaboración de Versiones Públicas</w:t>
      </w:r>
      <w:r w:rsidRPr="001C57F7">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38CEC33" w14:textId="77777777" w:rsidR="00435F08" w:rsidRPr="001C57F7" w:rsidRDefault="00435F08" w:rsidP="00435F08">
      <w:pPr>
        <w:rPr>
          <w:rFonts w:eastAsia="Palatino Linotype" w:cs="Palatino Linotype"/>
          <w:szCs w:val="24"/>
        </w:rPr>
      </w:pPr>
    </w:p>
    <w:p w14:paraId="104E26F7" w14:textId="77777777" w:rsidR="00435F08" w:rsidRPr="001C57F7" w:rsidRDefault="00435F08" w:rsidP="00435F08">
      <w:pPr>
        <w:rPr>
          <w:rFonts w:eastAsia="Palatino Linotype" w:cs="Palatino Linotype"/>
          <w:szCs w:val="24"/>
        </w:rPr>
      </w:pPr>
      <w:r w:rsidRPr="001C57F7">
        <w:rPr>
          <w:rFonts w:eastAsia="Palatino Linotype" w:cs="Palatino Linotype"/>
          <w:szCs w:val="24"/>
        </w:rPr>
        <w:t>Entorno a lo que aquí nos interesa, los Lineamientos Quincuagésimo sexto, Quincuagésimo séptimo y Quincuagésimo octavo, establecen lo siguiente:</w:t>
      </w:r>
    </w:p>
    <w:p w14:paraId="21397B51"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Quincuagésimo sexto.</w:t>
      </w:r>
      <w:r w:rsidRPr="001C57F7">
        <w:rPr>
          <w:rFonts w:eastAsia="Palatino Linotype" w:cs="Palatino Linotype"/>
          <w:i/>
          <w:sz w:val="22"/>
        </w:rPr>
        <w:t xml:space="preserve"> Cuando la elaboración de la versión pública del documento o expediente que contenga partes o secciones reservadas o confidenciales, genere costos por </w:t>
      </w:r>
      <w:r w:rsidRPr="001C57F7">
        <w:rPr>
          <w:rFonts w:eastAsia="Palatino Linotype" w:cs="Palatino Linotype"/>
          <w:i/>
          <w:sz w:val="22"/>
        </w:rPr>
        <w:lastRenderedPageBreak/>
        <w:t>reproducción por derivar de una solicitud de información o determinación de una autoridad competente, ésta será elaborada hasta que se haya acreditado el pago correspondiente.</w:t>
      </w:r>
    </w:p>
    <w:p w14:paraId="353CA4FF" w14:textId="77777777" w:rsidR="00435F08" w:rsidRPr="001C57F7" w:rsidRDefault="00435F08" w:rsidP="00435F08">
      <w:pPr>
        <w:ind w:left="567" w:right="567"/>
        <w:jc w:val="center"/>
        <w:rPr>
          <w:rFonts w:eastAsia="Palatino Linotype" w:cs="Palatino Linotype"/>
          <w:i/>
          <w:sz w:val="22"/>
        </w:rPr>
      </w:pPr>
    </w:p>
    <w:p w14:paraId="7292AAEB"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Quincuagésimo séptimo.</w:t>
      </w:r>
      <w:r w:rsidRPr="001C57F7">
        <w:rPr>
          <w:rFonts w:eastAsia="Palatino Linotype" w:cs="Palatino Linotype"/>
          <w:i/>
          <w:sz w:val="22"/>
        </w:rPr>
        <w:t xml:space="preserve"> Se considera, en principio, como información pública y no podrá omitirse de las versiones públicas la siguiente:</w:t>
      </w:r>
    </w:p>
    <w:p w14:paraId="7FB3E2DE"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i/>
          <w:sz w:val="22"/>
        </w:rPr>
        <w:t xml:space="preserve">I. La relativa a las Obligaciones de Transparencia que contempla el Título V de la Ley General y las demás disposiciones legales aplicables; </w:t>
      </w:r>
    </w:p>
    <w:p w14:paraId="33135543"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i/>
          <w:sz w:val="22"/>
        </w:rPr>
        <w:t xml:space="preserve">II. El nombre de los integrantes de los sujetos obligados en los documentos, y sus firmas autógrafas o digitales, cuando sean utilizados en el ejercicio de las facultades conferidas para el desempeño del servicio público, y </w:t>
      </w:r>
    </w:p>
    <w:p w14:paraId="07BAB380"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084E5E8"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i/>
          <w:sz w:val="22"/>
        </w:rPr>
        <w:t xml:space="preserve">Lo anterior, siempre y cuando no se acredite alguna causal de clasificación, prevista en las leyes o en los tratados internacionales suscritos por el Estado mexicano. </w:t>
      </w:r>
    </w:p>
    <w:p w14:paraId="2574B5CC" w14:textId="77777777" w:rsidR="00435F08" w:rsidRPr="001C57F7" w:rsidRDefault="00435F08" w:rsidP="00435F08">
      <w:pPr>
        <w:ind w:left="567" w:right="567"/>
        <w:rPr>
          <w:rFonts w:eastAsia="Palatino Linotype" w:cs="Palatino Linotype"/>
          <w:i/>
          <w:sz w:val="22"/>
        </w:rPr>
      </w:pPr>
    </w:p>
    <w:p w14:paraId="096F15A6" w14:textId="77777777" w:rsidR="00435F08" w:rsidRPr="001C57F7" w:rsidRDefault="00435F08" w:rsidP="00435F08">
      <w:pPr>
        <w:ind w:left="567" w:right="567"/>
        <w:rPr>
          <w:rFonts w:eastAsia="Palatino Linotype" w:cs="Palatino Linotype"/>
          <w:i/>
          <w:sz w:val="22"/>
        </w:rPr>
      </w:pPr>
      <w:r w:rsidRPr="001C57F7">
        <w:rPr>
          <w:rFonts w:eastAsia="Palatino Linotype" w:cs="Palatino Linotype"/>
          <w:b/>
          <w:i/>
          <w:sz w:val="22"/>
        </w:rPr>
        <w:t>Quincuagésimo octavo.</w:t>
      </w:r>
      <w:r w:rsidRPr="001C57F7">
        <w:rPr>
          <w:rFonts w:eastAsia="Palatino Linotype" w:cs="Palatino Linotype"/>
          <w:i/>
          <w:sz w:val="22"/>
        </w:rPr>
        <w:t xml:space="preserve"> Los sujetos obligados garantizarán que los sistemas o medios empleados para eliminar la información en las versiones públicas sean irreversibles, de tal forma que no permitan la recuperación o la visualización de la misma.</w:t>
      </w:r>
    </w:p>
    <w:p w14:paraId="059E402C" w14:textId="77777777" w:rsidR="00435F08" w:rsidRPr="001C57F7" w:rsidRDefault="00435F08" w:rsidP="00435F08">
      <w:pPr>
        <w:rPr>
          <w:rFonts w:eastAsia="Palatino Linotype" w:cs="Palatino Linotype"/>
          <w:i/>
        </w:rPr>
      </w:pPr>
    </w:p>
    <w:p w14:paraId="23109AAC" w14:textId="77777777" w:rsidR="00435F08" w:rsidRPr="001C57F7" w:rsidRDefault="00435F08" w:rsidP="00435F08">
      <w:pPr>
        <w:rPr>
          <w:rFonts w:eastAsia="Palatino Linotype" w:cs="Palatino Linotype"/>
          <w:szCs w:val="24"/>
        </w:rPr>
      </w:pPr>
      <w:r w:rsidRPr="001C57F7">
        <w:rPr>
          <w:rFonts w:eastAsia="Palatino Linotype" w:cs="Palatino Linotype"/>
          <w:szCs w:val="24"/>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w:t>
      </w:r>
      <w:r w:rsidRPr="001C57F7">
        <w:rPr>
          <w:rFonts w:eastAsia="Palatino Linotype" w:cs="Palatino Linotype"/>
          <w:szCs w:val="24"/>
        </w:rPr>
        <w:lastRenderedPageBreak/>
        <w:t>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4F0A8549" w14:textId="77777777" w:rsidR="00435F08" w:rsidRPr="001C57F7" w:rsidRDefault="00435F08" w:rsidP="00435F08">
      <w:pPr>
        <w:rPr>
          <w:rFonts w:eastAsia="Palatino Linotype" w:cs="Palatino Linotype"/>
          <w:color w:val="000000"/>
          <w:szCs w:val="24"/>
        </w:rPr>
      </w:pPr>
    </w:p>
    <w:p w14:paraId="61A82253" w14:textId="77777777" w:rsidR="00435F08" w:rsidRPr="001C57F7" w:rsidRDefault="00435F08" w:rsidP="00435F08">
      <w:pPr>
        <w:rPr>
          <w:rFonts w:cs="Arial"/>
          <w:szCs w:val="24"/>
        </w:rPr>
      </w:pPr>
      <w:r w:rsidRPr="001C57F7">
        <w:rPr>
          <w:rFonts w:cs="Arial"/>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A39BE12" w14:textId="77777777" w:rsidR="00435F08" w:rsidRPr="001C57F7" w:rsidRDefault="00435F08" w:rsidP="00435F08">
      <w:pPr>
        <w:rPr>
          <w:rFonts w:cs="Arial"/>
          <w:szCs w:val="24"/>
        </w:rPr>
      </w:pPr>
    </w:p>
    <w:p w14:paraId="643D6BF0" w14:textId="77777777" w:rsidR="00435F08" w:rsidRPr="001C57F7" w:rsidRDefault="00435F08" w:rsidP="00435F08">
      <w:pPr>
        <w:rPr>
          <w:rFonts w:cs="Arial"/>
          <w:szCs w:val="24"/>
        </w:rPr>
      </w:pPr>
      <w:r w:rsidRPr="001C57F7">
        <w:rPr>
          <w:rFonts w:cs="Arial"/>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2362C742" w14:textId="77777777" w:rsidR="00435F08" w:rsidRPr="001C57F7" w:rsidRDefault="00435F08" w:rsidP="00435F08">
      <w:pPr>
        <w:ind w:left="567" w:right="567"/>
        <w:rPr>
          <w:rFonts w:cs="Arial"/>
          <w:i/>
          <w:sz w:val="22"/>
        </w:rPr>
      </w:pPr>
      <w:r w:rsidRPr="001C57F7">
        <w:rPr>
          <w:rFonts w:cs="Arial"/>
          <w:b/>
          <w:i/>
          <w:sz w:val="22"/>
        </w:rPr>
        <w:lastRenderedPageBreak/>
        <w:t>FUNDAMENTACIÓN Y MOTIVACIÓN</w:t>
      </w:r>
      <w:r w:rsidRPr="001C57F7">
        <w:rPr>
          <w:rFonts w:cs="Arial"/>
          <w:i/>
          <w:sz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1F82E620" w14:textId="77777777" w:rsidR="00435F08" w:rsidRPr="001C57F7" w:rsidRDefault="00435F08" w:rsidP="00435F08">
      <w:pPr>
        <w:rPr>
          <w:rFonts w:cs="Arial"/>
          <w:szCs w:val="24"/>
        </w:rPr>
      </w:pPr>
    </w:p>
    <w:p w14:paraId="7BC32779" w14:textId="77777777" w:rsidR="00435F08" w:rsidRPr="001C57F7" w:rsidRDefault="00435F08" w:rsidP="00435F08">
      <w:pPr>
        <w:rPr>
          <w:rFonts w:cs="Arial"/>
          <w:szCs w:val="24"/>
        </w:rPr>
      </w:pPr>
      <w:r w:rsidRPr="001C57F7">
        <w:rPr>
          <w:rFonts w:cs="Arial"/>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08CE4299" w14:textId="77777777" w:rsidR="00435F08" w:rsidRPr="001C57F7" w:rsidRDefault="00435F08" w:rsidP="00435F08">
      <w:pPr>
        <w:rPr>
          <w:rFonts w:cs="Arial"/>
          <w:szCs w:val="24"/>
        </w:rPr>
      </w:pPr>
    </w:p>
    <w:p w14:paraId="6BDDA1F3" w14:textId="77777777" w:rsidR="00435F08" w:rsidRPr="001C57F7" w:rsidRDefault="00435F08" w:rsidP="00435F08">
      <w:pPr>
        <w:rPr>
          <w:rFonts w:cs="Arial"/>
          <w:szCs w:val="24"/>
        </w:rPr>
      </w:pPr>
      <w:r w:rsidRPr="001C57F7">
        <w:rPr>
          <w:rFonts w:cs="Arial"/>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309AD439" w14:textId="77777777" w:rsidR="00435F08" w:rsidRPr="001C57F7" w:rsidRDefault="00435F08" w:rsidP="00435F08">
      <w:pPr>
        <w:ind w:left="567" w:right="567"/>
        <w:rPr>
          <w:rFonts w:cs="Arial"/>
          <w:i/>
          <w:sz w:val="22"/>
        </w:rPr>
      </w:pPr>
      <w:r w:rsidRPr="001C57F7">
        <w:rPr>
          <w:rFonts w:cs="Arial"/>
          <w:b/>
          <w:i/>
          <w:sz w:val="22"/>
        </w:rPr>
        <w:t>FUNDAMENTACIÓN Y MOTIVACIÓN. EL ASPECTO FORMAL DE LA GARANTÍA Y SU FINALIDAD SE TRADUCEN EN EXPLICAR, JUSTIFICAR, POSIBILITAR LA DEFENSA Y COMUNICAR LA DECISIÓN.</w:t>
      </w:r>
      <w:r w:rsidRPr="001C57F7">
        <w:rPr>
          <w:rFonts w:cs="Arial"/>
          <w:i/>
          <w:sz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w:t>
      </w:r>
    </w:p>
    <w:p w14:paraId="3ECC6CBE" w14:textId="77777777" w:rsidR="00435F08" w:rsidRPr="001C57F7" w:rsidRDefault="00435F08" w:rsidP="00435F08">
      <w:pPr>
        <w:ind w:left="567" w:right="567"/>
        <w:rPr>
          <w:rFonts w:cs="Arial"/>
          <w:i/>
          <w:sz w:val="22"/>
        </w:rPr>
      </w:pPr>
      <w:r w:rsidRPr="001C57F7">
        <w:rPr>
          <w:rFonts w:cs="Arial"/>
          <w:i/>
          <w:sz w:val="22"/>
        </w:rPr>
        <w:t xml:space="preserve">ro para el afectado poder cuestionar y controvertir el mérito de la decisión, permitiéndole una real y auténtica defensa. Por tanto, no basta que el acto de autoridad apenas observe una motivación pro forma pero de una manera incongruente, insuficiente o imprecisa, que impida </w:t>
      </w:r>
      <w:r w:rsidRPr="001C57F7">
        <w:rPr>
          <w:rFonts w:cs="Arial"/>
          <w:i/>
          <w:sz w:val="22"/>
        </w:rPr>
        <w:lastRenderedPageBreak/>
        <w:t>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3748D4A" w14:textId="77777777" w:rsidR="00435F08" w:rsidRPr="001C57F7" w:rsidRDefault="00435F08" w:rsidP="00435F08">
      <w:pPr>
        <w:rPr>
          <w:rFonts w:cs="Arial"/>
          <w:szCs w:val="24"/>
        </w:rPr>
      </w:pPr>
    </w:p>
    <w:p w14:paraId="695D28AC" w14:textId="77777777" w:rsidR="00435F08" w:rsidRPr="001C57F7" w:rsidRDefault="00435F08" w:rsidP="00435F08">
      <w:pPr>
        <w:rPr>
          <w:rFonts w:cs="Arial"/>
          <w:szCs w:val="24"/>
        </w:rPr>
      </w:pPr>
      <w:r w:rsidRPr="001C57F7">
        <w:rPr>
          <w:rFonts w:cs="Arial"/>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35EE31B1" w14:textId="77777777" w:rsidR="00435F08" w:rsidRPr="001C57F7" w:rsidRDefault="00435F08" w:rsidP="00435F08">
      <w:pPr>
        <w:rPr>
          <w:rFonts w:cs="Arial"/>
          <w:szCs w:val="24"/>
        </w:rPr>
      </w:pPr>
    </w:p>
    <w:p w14:paraId="0DF519A9" w14:textId="77777777" w:rsidR="00435F08" w:rsidRPr="001C57F7" w:rsidRDefault="00435F08" w:rsidP="00435F08">
      <w:pPr>
        <w:rPr>
          <w:rFonts w:cs="Arial"/>
          <w:szCs w:val="24"/>
        </w:rPr>
      </w:pPr>
      <w:r w:rsidRPr="001C57F7">
        <w:rPr>
          <w:rFonts w:cs="Arial"/>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w:t>
      </w:r>
      <w:r w:rsidRPr="001C57F7">
        <w:rPr>
          <w:rFonts w:cs="Arial"/>
          <w:szCs w:val="24"/>
        </w:rPr>
        <w:lastRenderedPageBreak/>
        <w:t>de ello se estaría violentando desde un inicio el derecho de acceso a la información del solicitante.</w:t>
      </w:r>
    </w:p>
    <w:p w14:paraId="0EE63161" w14:textId="77777777" w:rsidR="00435F08" w:rsidRPr="001C57F7" w:rsidRDefault="00435F08" w:rsidP="00435F08">
      <w:pPr>
        <w:rPr>
          <w:rFonts w:cs="Arial"/>
          <w:szCs w:val="24"/>
        </w:rPr>
      </w:pPr>
    </w:p>
    <w:p w14:paraId="30010691" w14:textId="77777777" w:rsidR="00435F08" w:rsidRPr="001C57F7" w:rsidRDefault="00435F08" w:rsidP="00435F08">
      <w:pPr>
        <w:rPr>
          <w:rFonts w:cs="Arial"/>
          <w:szCs w:val="24"/>
        </w:rPr>
      </w:pPr>
      <w:r w:rsidRPr="001C57F7">
        <w:rPr>
          <w:rFonts w:eastAsia="Times New Roman" w:cs="Times New Roman"/>
          <w:szCs w:val="24"/>
          <w:lang w:eastAsia="es-ES"/>
        </w:rPr>
        <w:t xml:space="preserve">En mérito de lo expuesto en líneas anteriores, </w:t>
      </w:r>
      <w:r w:rsidRPr="001C57F7">
        <w:rPr>
          <w:rFonts w:eastAsia="Times New Roman" w:cs="Arial"/>
          <w:szCs w:val="24"/>
          <w:lang w:eastAsia="es-ES"/>
        </w:rPr>
        <w:t>con fundamento en la fracción</w:t>
      </w:r>
      <w:r w:rsidRPr="001C57F7">
        <w:rPr>
          <w:rFonts w:eastAsia="Times New Roman" w:cs="Arial"/>
          <w:b/>
          <w:szCs w:val="24"/>
          <w:lang w:eastAsia="es-ES"/>
        </w:rPr>
        <w:t xml:space="preserve"> </w:t>
      </w:r>
      <w:r w:rsidRPr="001C57F7">
        <w:rPr>
          <w:rFonts w:eastAsia="Times New Roman" w:cs="Arial"/>
          <w:szCs w:val="24"/>
          <w:lang w:eastAsia="es-ES"/>
        </w:rPr>
        <w:t>III, del artículo 186,</w:t>
      </w:r>
      <w:r w:rsidRPr="001C57F7">
        <w:rPr>
          <w:rFonts w:eastAsia="Times New Roman" w:cs="Arial"/>
          <w:b/>
          <w:szCs w:val="24"/>
          <w:lang w:eastAsia="es-ES"/>
        </w:rPr>
        <w:t xml:space="preserve"> </w:t>
      </w:r>
      <w:r w:rsidRPr="001C57F7">
        <w:rPr>
          <w:rFonts w:eastAsia="Times New Roman" w:cs="Arial"/>
          <w:szCs w:val="24"/>
          <w:lang w:eastAsia="es-ES"/>
        </w:rPr>
        <w:t xml:space="preserve">de la Ley de Transparencia y Acceso a la Información Pública del Estado de México y Municipios, se </w:t>
      </w:r>
      <w:r w:rsidRPr="001C57F7">
        <w:rPr>
          <w:rFonts w:eastAsia="Times New Roman" w:cs="Arial"/>
          <w:b/>
          <w:szCs w:val="24"/>
          <w:lang w:eastAsia="es-ES"/>
        </w:rPr>
        <w:t xml:space="preserve">MODIFICA </w:t>
      </w:r>
      <w:r w:rsidRPr="001C57F7">
        <w:rPr>
          <w:rFonts w:eastAsia="Times New Roman" w:cs="Arial"/>
          <w:szCs w:val="24"/>
          <w:lang w:eastAsia="es-ES"/>
        </w:rPr>
        <w:t>la respuesta a la solicitud de información número</w:t>
      </w:r>
      <w:r w:rsidRPr="001C57F7">
        <w:rPr>
          <w:rFonts w:eastAsia="Times New Roman" w:cs="Times New Roman"/>
          <w:b/>
          <w:szCs w:val="24"/>
          <w:lang w:eastAsia="es-ES"/>
        </w:rPr>
        <w:t xml:space="preserve"> </w:t>
      </w:r>
      <w:r w:rsidRPr="001C57F7">
        <w:rPr>
          <w:rFonts w:ascii="Verdana" w:hAnsi="Verdana"/>
          <w:b/>
          <w:bCs/>
          <w:color w:val="FF0000"/>
        </w:rPr>
        <w:t>  </w:t>
      </w:r>
      <w:r w:rsidR="009F14F5" w:rsidRPr="001C57F7">
        <w:rPr>
          <w:b/>
          <w:bCs/>
        </w:rPr>
        <w:t xml:space="preserve">00042/PAPALO/IP/2026 </w:t>
      </w:r>
      <w:r w:rsidRPr="001C57F7">
        <w:rPr>
          <w:rFonts w:cs="Arial"/>
          <w:szCs w:val="24"/>
        </w:rPr>
        <w:t xml:space="preserve">que  ha sido materia del presente fallo. </w:t>
      </w:r>
    </w:p>
    <w:p w14:paraId="3265C896" w14:textId="77777777" w:rsidR="00435F08" w:rsidRPr="001C57F7" w:rsidRDefault="00435F08" w:rsidP="00435F08">
      <w:pPr>
        <w:rPr>
          <w:rFonts w:eastAsia="Times New Roman" w:cs="Times New Roman"/>
          <w:szCs w:val="24"/>
          <w:lang w:eastAsia="es-ES"/>
        </w:rPr>
      </w:pPr>
      <w:r w:rsidRPr="001C57F7">
        <w:rPr>
          <w:rFonts w:eastAsia="Times New Roman" w:cs="Times New Roman"/>
          <w:szCs w:val="24"/>
          <w:lang w:eastAsia="es-ES"/>
        </w:rPr>
        <w:t>Por lo antes expuesto y fundado es de resolverse y,</w:t>
      </w:r>
    </w:p>
    <w:p w14:paraId="05CCE927" w14:textId="77777777" w:rsidR="009F14F5" w:rsidRPr="001C57F7" w:rsidRDefault="009F14F5" w:rsidP="00435F08">
      <w:pPr>
        <w:rPr>
          <w:rFonts w:eastAsia="Times New Roman" w:cs="Times New Roman"/>
          <w:szCs w:val="24"/>
          <w:lang w:eastAsia="es-ES"/>
        </w:rPr>
      </w:pPr>
    </w:p>
    <w:p w14:paraId="21193BA9" w14:textId="77777777" w:rsidR="00435F08" w:rsidRPr="001C57F7" w:rsidRDefault="00435F08" w:rsidP="00435F08">
      <w:pPr>
        <w:rPr>
          <w:rFonts w:eastAsia="Times New Roman" w:cs="Times New Roman"/>
          <w:szCs w:val="24"/>
          <w:lang w:eastAsia="es-ES"/>
        </w:rPr>
      </w:pPr>
    </w:p>
    <w:p w14:paraId="6012889A" w14:textId="77777777" w:rsidR="00435F08" w:rsidRPr="001C57F7" w:rsidRDefault="00435F08" w:rsidP="00435F08">
      <w:pPr>
        <w:spacing w:before="240" w:after="240"/>
        <w:jc w:val="center"/>
        <w:rPr>
          <w:b/>
          <w:spacing w:val="60"/>
          <w:sz w:val="28"/>
          <w:szCs w:val="24"/>
        </w:rPr>
      </w:pPr>
      <w:r w:rsidRPr="001C57F7">
        <w:rPr>
          <w:b/>
          <w:spacing w:val="60"/>
          <w:sz w:val="28"/>
          <w:szCs w:val="24"/>
        </w:rPr>
        <w:t>S E RESUELVE</w:t>
      </w:r>
    </w:p>
    <w:p w14:paraId="420F5D5A" w14:textId="77777777" w:rsidR="00435F08" w:rsidRPr="001C57F7" w:rsidRDefault="00435F08" w:rsidP="00435F08">
      <w:pPr>
        <w:spacing w:before="240" w:after="240"/>
        <w:jc w:val="center"/>
        <w:rPr>
          <w:b/>
          <w:spacing w:val="60"/>
          <w:sz w:val="28"/>
          <w:szCs w:val="24"/>
        </w:rPr>
      </w:pPr>
    </w:p>
    <w:p w14:paraId="627D24A1" w14:textId="77777777" w:rsidR="00435F08" w:rsidRPr="001C57F7" w:rsidRDefault="00435F08" w:rsidP="00435F08">
      <w:pPr>
        <w:rPr>
          <w:rFonts w:cs="Arial"/>
          <w:szCs w:val="24"/>
        </w:rPr>
      </w:pPr>
      <w:r w:rsidRPr="001C57F7">
        <w:rPr>
          <w:rFonts w:cs="Arial"/>
          <w:b/>
          <w:szCs w:val="24"/>
        </w:rPr>
        <w:t>PRIMERO</w:t>
      </w:r>
      <w:r w:rsidRPr="001C57F7">
        <w:rPr>
          <w:rFonts w:cs="Arial"/>
          <w:szCs w:val="24"/>
        </w:rPr>
        <w:t xml:space="preserve">. </w:t>
      </w:r>
      <w:r w:rsidRPr="001C57F7">
        <w:rPr>
          <w:rFonts w:cs="Arial"/>
          <w:b/>
          <w:szCs w:val="24"/>
        </w:rPr>
        <w:t xml:space="preserve">Se </w:t>
      </w:r>
      <w:r w:rsidRPr="001C57F7">
        <w:rPr>
          <w:rFonts w:eastAsia="Times New Roman" w:cs="Arial"/>
          <w:b/>
          <w:szCs w:val="24"/>
          <w:lang w:eastAsia="es-ES"/>
        </w:rPr>
        <w:t>MODIFICA</w:t>
      </w:r>
      <w:r w:rsidRPr="001C57F7">
        <w:rPr>
          <w:rFonts w:cs="Arial"/>
          <w:b/>
          <w:szCs w:val="24"/>
        </w:rPr>
        <w:t xml:space="preserve"> </w:t>
      </w:r>
      <w:r w:rsidRPr="001C57F7">
        <w:rPr>
          <w:rFonts w:cs="Arial"/>
          <w:szCs w:val="24"/>
        </w:rPr>
        <w:t>la respuesta entregada por</w:t>
      </w:r>
      <w:r w:rsidRPr="001C57F7">
        <w:rPr>
          <w:rFonts w:cs="Arial"/>
          <w:b/>
          <w:szCs w:val="24"/>
        </w:rPr>
        <w:t xml:space="preserve"> EL SUJETO OBLIGADO, </w:t>
      </w:r>
      <w:r w:rsidRPr="001C57F7">
        <w:rPr>
          <w:rFonts w:cs="Arial"/>
          <w:szCs w:val="24"/>
        </w:rPr>
        <w:t xml:space="preserve">a la solicitud de información número </w:t>
      </w:r>
      <w:r w:rsidR="009F14F5" w:rsidRPr="001C57F7">
        <w:rPr>
          <w:b/>
          <w:bCs/>
        </w:rPr>
        <w:t>00042/PAPALO/IP/2026</w:t>
      </w:r>
      <w:r w:rsidRPr="001C57F7">
        <w:rPr>
          <w:rFonts w:cs="Arial"/>
          <w:b/>
          <w:szCs w:val="24"/>
        </w:rPr>
        <w:t xml:space="preserve">, </w:t>
      </w:r>
      <w:r w:rsidRPr="001C57F7">
        <w:rPr>
          <w:rFonts w:cs="Arial"/>
          <w:szCs w:val="24"/>
        </w:rPr>
        <w:t xml:space="preserve">en términos del considerando </w:t>
      </w:r>
      <w:r w:rsidRPr="001C57F7">
        <w:rPr>
          <w:rFonts w:cs="Arial"/>
          <w:b/>
          <w:szCs w:val="24"/>
        </w:rPr>
        <w:t xml:space="preserve">QUINTO </w:t>
      </w:r>
      <w:r w:rsidRPr="001C57F7">
        <w:rPr>
          <w:rFonts w:cs="Arial"/>
          <w:szCs w:val="24"/>
        </w:rPr>
        <w:t>de la presente resolución.</w:t>
      </w:r>
    </w:p>
    <w:p w14:paraId="75F313A5" w14:textId="77777777" w:rsidR="00435F08" w:rsidRPr="001C57F7" w:rsidRDefault="00435F08" w:rsidP="00435F08">
      <w:pPr>
        <w:rPr>
          <w:rFonts w:cs="Arial"/>
          <w:b/>
          <w:szCs w:val="24"/>
          <w:lang w:val="es-ES"/>
        </w:rPr>
      </w:pPr>
    </w:p>
    <w:p w14:paraId="09459502" w14:textId="77777777" w:rsidR="00435F08" w:rsidRPr="001C57F7" w:rsidRDefault="00435F08" w:rsidP="00435F08">
      <w:pPr>
        <w:ind w:right="49"/>
        <w:rPr>
          <w:bCs/>
          <w:szCs w:val="24"/>
        </w:rPr>
      </w:pPr>
      <w:r w:rsidRPr="001C57F7">
        <w:rPr>
          <w:rFonts w:cs="Arial"/>
          <w:b/>
          <w:szCs w:val="24"/>
          <w:lang w:val="es-ES"/>
        </w:rPr>
        <w:t>SEGUNDO</w:t>
      </w:r>
      <w:r w:rsidRPr="001C57F7">
        <w:rPr>
          <w:rFonts w:cs="Arial"/>
          <w:szCs w:val="24"/>
          <w:lang w:val="es-ES"/>
        </w:rPr>
        <w:t xml:space="preserve">. </w:t>
      </w:r>
      <w:r w:rsidRPr="001C57F7">
        <w:rPr>
          <w:rFonts w:cs="Arial"/>
          <w:szCs w:val="24"/>
        </w:rPr>
        <w:t xml:space="preserve">Se </w:t>
      </w:r>
      <w:r w:rsidRPr="001C57F7">
        <w:rPr>
          <w:rFonts w:cs="Arial"/>
          <w:b/>
          <w:szCs w:val="24"/>
        </w:rPr>
        <w:t xml:space="preserve">ORDENA </w:t>
      </w:r>
      <w:r w:rsidRPr="001C57F7">
        <w:rPr>
          <w:rFonts w:cs="Arial"/>
          <w:szCs w:val="24"/>
        </w:rPr>
        <w:t xml:space="preserve">al </w:t>
      </w:r>
      <w:r w:rsidRPr="001C57F7">
        <w:rPr>
          <w:rFonts w:cs="Arial"/>
          <w:b/>
          <w:szCs w:val="24"/>
        </w:rPr>
        <w:t>Sujeto Obligado</w:t>
      </w:r>
      <w:r w:rsidRPr="001C57F7">
        <w:rPr>
          <w:rFonts w:cs="Arial"/>
          <w:szCs w:val="24"/>
        </w:rPr>
        <w:t>, a través del Sistema de Acceso a la Información Mexiquense (</w:t>
      </w:r>
      <w:r w:rsidRPr="001C57F7">
        <w:rPr>
          <w:rFonts w:cs="Arial"/>
          <w:b/>
          <w:szCs w:val="24"/>
        </w:rPr>
        <w:t>SAIMEX</w:t>
      </w:r>
      <w:r w:rsidRPr="001C57F7">
        <w:rPr>
          <w:rFonts w:cs="Arial"/>
          <w:szCs w:val="24"/>
        </w:rPr>
        <w:t xml:space="preserve">) en términos del considerando </w:t>
      </w:r>
      <w:r w:rsidRPr="001C57F7">
        <w:rPr>
          <w:rFonts w:cs="Arial"/>
          <w:b/>
          <w:szCs w:val="24"/>
        </w:rPr>
        <w:t xml:space="preserve">QUINTO </w:t>
      </w:r>
      <w:r w:rsidRPr="001C57F7">
        <w:rPr>
          <w:rFonts w:cs="Arial"/>
          <w:szCs w:val="24"/>
        </w:rPr>
        <w:t>de esta resolución, haga entrega de ser procedente en versión pública de lo siguiente</w:t>
      </w:r>
      <w:r w:rsidRPr="001C57F7">
        <w:rPr>
          <w:bCs/>
          <w:szCs w:val="24"/>
        </w:rPr>
        <w:t>:</w:t>
      </w:r>
    </w:p>
    <w:p w14:paraId="4D722F23" w14:textId="77777777" w:rsidR="00435F08" w:rsidRPr="001C57F7" w:rsidRDefault="00435F08" w:rsidP="00435F08">
      <w:pPr>
        <w:ind w:right="49"/>
        <w:rPr>
          <w:rFonts w:cs="Arial"/>
          <w:szCs w:val="24"/>
        </w:rPr>
      </w:pPr>
    </w:p>
    <w:p w14:paraId="30874182" w14:textId="77777777" w:rsidR="00435F08" w:rsidRPr="001C57F7" w:rsidRDefault="009F14F5" w:rsidP="00435F08">
      <w:pPr>
        <w:pStyle w:val="Prrafodelista"/>
        <w:numPr>
          <w:ilvl w:val="0"/>
          <w:numId w:val="3"/>
        </w:numPr>
        <w:rPr>
          <w:rFonts w:cs="Arial"/>
          <w:bCs/>
          <w:szCs w:val="24"/>
        </w:rPr>
      </w:pPr>
      <w:r w:rsidRPr="001C57F7">
        <w:rPr>
          <w:rFonts w:cs="Arial"/>
          <w:bCs/>
          <w:szCs w:val="24"/>
        </w:rPr>
        <w:lastRenderedPageBreak/>
        <w:t xml:space="preserve">Soporte documental que dé cuenta </w:t>
      </w:r>
      <w:r w:rsidRPr="001C57F7">
        <w:rPr>
          <w:rFonts w:eastAsia="Palatino Linotype" w:cs="Palatino Linotype"/>
          <w:color w:val="000000"/>
          <w:szCs w:val="24"/>
        </w:rPr>
        <w:t xml:space="preserve">del cumplimiento o avance de la línea 1.4.1.2 del </w:t>
      </w:r>
      <w:r w:rsidRPr="001C57F7">
        <w:rPr>
          <w:color w:val="000000"/>
          <w:szCs w:val="24"/>
        </w:rPr>
        <w:t>Plan de Desarrollo Municipal 2025-2027 del primero de enero al tres de marzo de dos mil veintiséis.</w:t>
      </w:r>
    </w:p>
    <w:p w14:paraId="4FE8F25D" w14:textId="77777777" w:rsidR="00435F08" w:rsidRPr="001C57F7" w:rsidRDefault="00435F08" w:rsidP="00435F08">
      <w:pPr>
        <w:pStyle w:val="INFOEM"/>
        <w:ind w:left="708"/>
        <w:rPr>
          <w:sz w:val="24"/>
          <w:szCs w:val="24"/>
        </w:rPr>
      </w:pPr>
      <w:r w:rsidRPr="001C57F7">
        <w:rPr>
          <w:szCs w:val="22"/>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r w:rsidRPr="001C57F7">
        <w:rPr>
          <w:sz w:val="24"/>
          <w:szCs w:val="24"/>
        </w:rPr>
        <w:t>.</w:t>
      </w:r>
    </w:p>
    <w:p w14:paraId="36A6C755" w14:textId="77777777" w:rsidR="00435F08" w:rsidRPr="001C57F7" w:rsidRDefault="009F14F5" w:rsidP="00435F08">
      <w:pPr>
        <w:pStyle w:val="INFOEM"/>
        <w:ind w:left="708"/>
        <w:rPr>
          <w:sz w:val="24"/>
          <w:szCs w:val="24"/>
        </w:rPr>
      </w:pPr>
      <w:r w:rsidRPr="001C57F7">
        <w:rPr>
          <w:szCs w:val="22"/>
        </w:rPr>
        <w:t>De ser el caso que el Sujeto Obligado no cuente con la información que se ordena bastará con que así lo manifieste en términos de lo dispuesto del segundo párrafo del artículo 19 de la Ley de Transparencia Local</w:t>
      </w:r>
      <w:r w:rsidRPr="001C57F7">
        <w:rPr>
          <w:sz w:val="24"/>
          <w:szCs w:val="24"/>
        </w:rPr>
        <w:t xml:space="preserve">. </w:t>
      </w:r>
    </w:p>
    <w:p w14:paraId="3739D0C9" w14:textId="77777777" w:rsidR="009F14F5" w:rsidRPr="001C57F7" w:rsidRDefault="009F14F5" w:rsidP="00435F08">
      <w:pPr>
        <w:pStyle w:val="INFOEM"/>
        <w:ind w:left="708"/>
        <w:rPr>
          <w:sz w:val="24"/>
          <w:szCs w:val="24"/>
        </w:rPr>
      </w:pPr>
    </w:p>
    <w:p w14:paraId="400B7EBE" w14:textId="77777777" w:rsidR="00435F08" w:rsidRPr="001C57F7" w:rsidRDefault="00435F08" w:rsidP="00435F08">
      <w:pPr>
        <w:autoSpaceDE w:val="0"/>
        <w:autoSpaceDN w:val="0"/>
        <w:adjustRightInd w:val="0"/>
        <w:ind w:right="49"/>
        <w:rPr>
          <w:rFonts w:eastAsia="Palatino Linotype" w:cs="Palatino Linotype"/>
          <w:b/>
          <w:color w:val="000000"/>
          <w:szCs w:val="24"/>
        </w:rPr>
      </w:pPr>
      <w:r w:rsidRPr="001C57F7">
        <w:rPr>
          <w:rFonts w:cs="Arial"/>
          <w:b/>
          <w:szCs w:val="24"/>
        </w:rPr>
        <w:t>TERCERO. NOTIFÍQUESE</w:t>
      </w:r>
      <w:r w:rsidRPr="001C57F7">
        <w:rPr>
          <w:rFonts w:cs="Arial"/>
          <w:i/>
          <w:szCs w:val="24"/>
        </w:rPr>
        <w:t xml:space="preserve"> </w:t>
      </w:r>
      <w:r w:rsidRPr="001C57F7">
        <w:rPr>
          <w:rFonts w:cs="Arial"/>
          <w:szCs w:val="24"/>
        </w:rPr>
        <w:t>la presente resolución al Titular de la Unidad de Transparencia del</w:t>
      </w:r>
      <w:r w:rsidRPr="001C57F7">
        <w:rPr>
          <w:rFonts w:cs="Arial"/>
          <w:b/>
          <w:szCs w:val="24"/>
        </w:rPr>
        <w:t xml:space="preserve"> Sujeto Obligado</w:t>
      </w:r>
      <w:r w:rsidRPr="001C57F7">
        <w:rPr>
          <w:rFonts w:cs="Arial"/>
          <w:szCs w:val="24"/>
        </w:rPr>
        <w:t>, a través del Sistema de Acceso a la Información Mexiquense (</w:t>
      </w:r>
      <w:r w:rsidRPr="001C57F7">
        <w:rPr>
          <w:rFonts w:cs="Arial"/>
          <w:b/>
          <w:szCs w:val="24"/>
        </w:rPr>
        <w:t>SAIMEX</w:t>
      </w:r>
      <w:r w:rsidRPr="001C57F7">
        <w:rPr>
          <w:rFonts w:cs="Arial"/>
          <w:szCs w:val="24"/>
        </w:rPr>
        <w:t xml:space="preserve">) para que conforme al artículo 186 último párrafo, 189 segundo párrafo y 194 de la Ley de Transparencia y Acceso a la Información Pública del Estado de México y Municipios; dé cumplimiento a lo ordenado dentro del plazo de 10 (diez) días hábiles, debiendo informar a este Instituto en un plazo de tres días hábiles siguientes sobre el cumplimiento dado a la presente </w:t>
      </w:r>
      <w:r w:rsidRPr="001C57F7">
        <w:rPr>
          <w:rFonts w:cs="Arial"/>
          <w:b/>
          <w:szCs w:val="24"/>
        </w:rPr>
        <w:t>y</w:t>
      </w:r>
      <w:r w:rsidRPr="001C57F7">
        <w:rPr>
          <w:rFonts w:cs="Arial"/>
          <w:szCs w:val="24"/>
        </w:rPr>
        <w:t xml:space="preserve"> </w:t>
      </w:r>
      <w:r w:rsidRPr="001C57F7">
        <w:rPr>
          <w:rFonts w:eastAsia="Palatino Linotype" w:cs="Palatino Linotype"/>
          <w:b/>
          <w:color w:val="000000"/>
          <w:szCs w:val="24"/>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3EF965E" w14:textId="77777777" w:rsidR="00435F08" w:rsidRPr="001C57F7" w:rsidRDefault="00435F08" w:rsidP="00435F08">
      <w:pPr>
        <w:autoSpaceDE w:val="0"/>
        <w:autoSpaceDN w:val="0"/>
        <w:adjustRightInd w:val="0"/>
        <w:rPr>
          <w:rFonts w:cs="Arial"/>
          <w:szCs w:val="24"/>
        </w:rPr>
      </w:pPr>
      <w:r w:rsidRPr="001C57F7">
        <w:rPr>
          <w:rFonts w:cs="Arial"/>
          <w:b/>
          <w:szCs w:val="24"/>
        </w:rPr>
        <w:lastRenderedPageBreak/>
        <w:t xml:space="preserve">CUARTO. </w:t>
      </w:r>
      <w:r w:rsidRPr="001C57F7">
        <w:rPr>
          <w:rFonts w:cs="Arial"/>
          <w:szCs w:val="24"/>
        </w:rPr>
        <w:t xml:space="preserve">De conformidad con el artículo 198 de la Ley de Transparencia y Acceso a la Información Pública del Estado de México y Municipios, de considerarlo procedente, el </w:t>
      </w:r>
      <w:r w:rsidRPr="001C57F7">
        <w:rPr>
          <w:rFonts w:cs="Arial"/>
          <w:b/>
          <w:szCs w:val="24"/>
        </w:rPr>
        <w:t>Sujeto Obligado</w:t>
      </w:r>
      <w:r w:rsidRPr="001C57F7">
        <w:rPr>
          <w:rFonts w:cs="Arial"/>
          <w:szCs w:val="24"/>
        </w:rPr>
        <w:t xml:space="preserve"> de manera fundada y motivada, podrá solicitar una ampliación de plazo para el cumplimiento de la presente resolución.</w:t>
      </w:r>
    </w:p>
    <w:p w14:paraId="79687C85" w14:textId="77777777" w:rsidR="00471F20" w:rsidRPr="001C57F7" w:rsidRDefault="00471F20" w:rsidP="00435F08">
      <w:pPr>
        <w:autoSpaceDE w:val="0"/>
        <w:autoSpaceDN w:val="0"/>
        <w:adjustRightInd w:val="0"/>
        <w:rPr>
          <w:rFonts w:cs="Arial"/>
          <w:sz w:val="14"/>
          <w:szCs w:val="24"/>
        </w:rPr>
      </w:pPr>
    </w:p>
    <w:p w14:paraId="387DFB7E" w14:textId="77777777" w:rsidR="00435F08" w:rsidRPr="001C57F7" w:rsidRDefault="00435F08" w:rsidP="00435F08">
      <w:pPr>
        <w:autoSpaceDE w:val="0"/>
        <w:autoSpaceDN w:val="0"/>
        <w:adjustRightInd w:val="0"/>
        <w:rPr>
          <w:rFonts w:cs="Arial"/>
          <w:szCs w:val="24"/>
        </w:rPr>
      </w:pPr>
      <w:r w:rsidRPr="001C57F7">
        <w:rPr>
          <w:b/>
          <w:szCs w:val="24"/>
        </w:rPr>
        <w:t xml:space="preserve">QUINTO. </w:t>
      </w:r>
      <w:r w:rsidRPr="001C57F7">
        <w:rPr>
          <w:rFonts w:cs="Arial"/>
          <w:b/>
          <w:szCs w:val="24"/>
        </w:rPr>
        <w:t>NOTIFÍQUESE</w:t>
      </w:r>
      <w:r w:rsidRPr="001C57F7">
        <w:rPr>
          <w:rFonts w:cs="Arial"/>
          <w:szCs w:val="24"/>
        </w:rPr>
        <w:t xml:space="preserve"> a través del Sistema de Acceso a la Información Mexiquense (</w:t>
      </w:r>
      <w:r w:rsidRPr="001C57F7">
        <w:rPr>
          <w:rFonts w:cs="Arial"/>
          <w:b/>
          <w:szCs w:val="24"/>
        </w:rPr>
        <w:t>SAIMEX</w:t>
      </w:r>
      <w:r w:rsidRPr="001C57F7">
        <w:rPr>
          <w:rFonts w:cs="Arial"/>
          <w:szCs w:val="24"/>
        </w:rPr>
        <w:t xml:space="preserve">), al </w:t>
      </w:r>
      <w:r w:rsidRPr="001C57F7">
        <w:rPr>
          <w:rFonts w:cs="Arial"/>
          <w:b/>
          <w:szCs w:val="24"/>
        </w:rPr>
        <w:t>Recurrente</w:t>
      </w:r>
      <w:r w:rsidRPr="001C57F7">
        <w:rPr>
          <w:rFonts w:cs="Arial"/>
          <w:szCs w:val="24"/>
        </w:rPr>
        <w:t xml:space="preserve"> y hágasele del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5425F04E" w14:textId="77777777" w:rsidR="00435F08" w:rsidRPr="001C57F7" w:rsidRDefault="00435F08" w:rsidP="00435F08">
      <w:pPr>
        <w:pBdr>
          <w:top w:val="nil"/>
          <w:left w:val="nil"/>
          <w:bottom w:val="nil"/>
          <w:right w:val="nil"/>
          <w:between w:val="nil"/>
        </w:pBdr>
        <w:contextualSpacing/>
        <w:rPr>
          <w:color w:val="000000"/>
          <w:sz w:val="10"/>
          <w:szCs w:val="24"/>
        </w:rPr>
      </w:pPr>
    </w:p>
    <w:p w14:paraId="4E80D0E1" w14:textId="77777777" w:rsidR="00A91968" w:rsidRPr="001C57F7" w:rsidRDefault="00A91968" w:rsidP="00A91968">
      <w:pPr>
        <w:rPr>
          <w:rFonts w:cs="Arial"/>
          <w:szCs w:val="24"/>
        </w:rPr>
      </w:pPr>
      <w:r w:rsidRPr="001C57F7">
        <w:rPr>
          <w:rFonts w:eastAsia="Palatino Linotype" w:cs="Palatino Linotype"/>
          <w:b/>
          <w:szCs w:val="24"/>
          <w:lang w:val="es-ES"/>
        </w:rPr>
        <w:t>SEXTO</w:t>
      </w:r>
      <w:r w:rsidRPr="001C57F7">
        <w:rPr>
          <w:b/>
          <w:szCs w:val="24"/>
          <w:lang w:eastAsia="es-ES_tradnl"/>
        </w:rPr>
        <w:t>. Gírese</w:t>
      </w:r>
      <w:r w:rsidRPr="001C57F7">
        <w:rPr>
          <w:szCs w:val="24"/>
          <w:lang w:eastAsia="es-ES_tradnl"/>
        </w:rPr>
        <w:t xml:space="preserve"> oficio al Titular de la Dirección General de Protección de Datos Personales, en atención al artículo 82, fracción XXVII de la Ley de Protección de Datos Personales del Estado de México y Municipios en términos de lo señalado en el Considerando </w:t>
      </w:r>
      <w:r w:rsidR="004323F2" w:rsidRPr="001C57F7">
        <w:rPr>
          <w:b/>
          <w:szCs w:val="24"/>
          <w:lang w:eastAsia="es-ES_tradnl"/>
        </w:rPr>
        <w:t>QUINTO</w:t>
      </w:r>
      <w:r w:rsidRPr="001C57F7">
        <w:rPr>
          <w:szCs w:val="24"/>
          <w:lang w:eastAsia="es-ES_tradnl"/>
        </w:rPr>
        <w:t xml:space="preserve"> de la presente resolución.</w:t>
      </w:r>
    </w:p>
    <w:p w14:paraId="3EDA1AD6" w14:textId="77777777" w:rsidR="00435F08" w:rsidRPr="001C57F7" w:rsidRDefault="00435F08" w:rsidP="00435F08">
      <w:pPr>
        <w:rPr>
          <w:rFonts w:cs="Arial"/>
          <w:color w:val="000000"/>
          <w:sz w:val="14"/>
          <w:szCs w:val="24"/>
        </w:rPr>
      </w:pPr>
    </w:p>
    <w:p w14:paraId="5AF4EB28" w14:textId="08A2C2D2" w:rsidR="003C7191" w:rsidRPr="001C57F7" w:rsidRDefault="00435F08" w:rsidP="00435F08">
      <w:pPr>
        <w:rPr>
          <w:rFonts w:cs="Arial"/>
          <w:szCs w:val="24"/>
        </w:rPr>
      </w:pPr>
      <w:r w:rsidRPr="001C57F7">
        <w:rPr>
          <w:rFonts w:cs="Arial"/>
          <w:szCs w:val="24"/>
        </w:rPr>
        <w:t xml:space="preserve">ASÍ LO RESUELVE, POR </w:t>
      </w:r>
      <w:r w:rsidRPr="001C57F7">
        <w:rPr>
          <w:rFonts w:cs="Arial"/>
          <w:b/>
          <w:bCs/>
          <w:szCs w:val="24"/>
        </w:rPr>
        <w:t>UNANIMIDAD DE VOTOS</w:t>
      </w:r>
      <w:r w:rsidRPr="001C57F7">
        <w:rPr>
          <w:rFonts w:cs="Arial"/>
          <w:szCs w:val="24"/>
        </w:rPr>
        <w:t xml:space="preserve"> EL PLENO DEL</w:t>
      </w:r>
      <w:r w:rsidRPr="001C57F7">
        <w:rPr>
          <w:rFonts w:eastAsia="Arial Unicode MS" w:cs="Arial"/>
          <w:szCs w:val="24"/>
        </w:rPr>
        <w:t xml:space="preserve"> INSTITUTO DE TRANSPARENCIA, ACCESO A LA INFORMACIÓN PÚBLICA Y PROTECCIÓN DE DATOS PERSONALES DEL ESTADO DE MÉXICO Y MUNICIPIOS</w:t>
      </w:r>
      <w:r w:rsidRPr="001C57F7">
        <w:rPr>
          <w:rFonts w:cs="Arial"/>
          <w:szCs w:val="24"/>
        </w:rPr>
        <w:t>, CONFORMADO POR LOS COMISIONADOS JOSÉ MARTÍNEZ VILCHIS, MARÍA DEL ROSARIO MEJÍA AYALA, SHARON CRISTINA MORALES MARTÍNEZ, LUIS GUSTAVO PARRA NORIEGA Y GUADALUPE RAMÍREZ PEÑA</w:t>
      </w:r>
      <w:r w:rsidRPr="001C57F7">
        <w:rPr>
          <w:rFonts w:cs="Arial"/>
          <w:szCs w:val="24"/>
          <w:u w:val="single"/>
        </w:rPr>
        <w:t>,</w:t>
      </w:r>
      <w:r w:rsidRPr="001C57F7">
        <w:rPr>
          <w:rFonts w:cs="Arial"/>
          <w:szCs w:val="24"/>
        </w:rPr>
        <w:t xml:space="preserve"> EN LA </w:t>
      </w:r>
      <w:r w:rsidR="009257B6" w:rsidRPr="001C57F7">
        <w:rPr>
          <w:rFonts w:cs="Arial"/>
          <w:b/>
          <w:bCs/>
          <w:szCs w:val="24"/>
          <w:lang w:val="es-419"/>
        </w:rPr>
        <w:t>VIGÉSIMA</w:t>
      </w:r>
      <w:r w:rsidRPr="001C57F7">
        <w:rPr>
          <w:rFonts w:cs="Arial"/>
          <w:b/>
          <w:bCs/>
          <w:szCs w:val="24"/>
          <w:lang w:val="es-419"/>
        </w:rPr>
        <w:t xml:space="preserve"> </w:t>
      </w:r>
      <w:r w:rsidRPr="001C57F7">
        <w:rPr>
          <w:rFonts w:cs="Arial"/>
          <w:b/>
          <w:bCs/>
          <w:szCs w:val="24"/>
        </w:rPr>
        <w:t xml:space="preserve">SESIÓN ORDINARIA CELEBRADA EL </w:t>
      </w:r>
      <w:r w:rsidR="009257B6" w:rsidRPr="001C57F7">
        <w:rPr>
          <w:rFonts w:cs="Arial"/>
          <w:b/>
          <w:bCs/>
          <w:szCs w:val="24"/>
        </w:rPr>
        <w:t>TRES DE JUNIO DE DOS MIL VEINTISÉIS</w:t>
      </w:r>
      <w:r w:rsidRPr="001C57F7">
        <w:rPr>
          <w:rFonts w:cs="Arial"/>
          <w:szCs w:val="24"/>
        </w:rPr>
        <w:t>, ANTE EL SECRETARIO TÉCNICO DEL PLENO, ALEXIS TAPIA RAMÍREZ. -----------------------</w:t>
      </w:r>
    </w:p>
    <w:p w14:paraId="50444813" w14:textId="30342179" w:rsidR="00435F08" w:rsidRPr="00F73A41" w:rsidRDefault="00435F08" w:rsidP="00435F08">
      <w:pPr>
        <w:rPr>
          <w:rFonts w:cs="Arial"/>
          <w:szCs w:val="24"/>
          <w:lang w:val="es-MX"/>
        </w:rPr>
      </w:pPr>
      <w:r w:rsidRPr="001C57F7">
        <w:rPr>
          <w:rFonts w:cs="Arial"/>
          <w:szCs w:val="24"/>
          <w:lang w:val="es-MX"/>
        </w:rPr>
        <w:t xml:space="preserve"> </w:t>
      </w:r>
      <w:r w:rsidRPr="001C57F7">
        <w:rPr>
          <w:rFonts w:cs="Arial"/>
          <w:sz w:val="20"/>
        </w:rPr>
        <w:t>JMV/CCR/NJMB</w:t>
      </w:r>
    </w:p>
    <w:p w14:paraId="668DF3EA" w14:textId="77777777" w:rsidR="00435F08" w:rsidRDefault="00435F08" w:rsidP="00435F08">
      <w:pPr>
        <w:rPr>
          <w:rFonts w:cs="Arial"/>
          <w:sz w:val="20"/>
        </w:rPr>
      </w:pPr>
    </w:p>
    <w:p w14:paraId="6ED3513D" w14:textId="77777777" w:rsidR="00435F08" w:rsidRDefault="00435F08" w:rsidP="00435F08">
      <w:pPr>
        <w:rPr>
          <w:rFonts w:cs="Arial"/>
          <w:sz w:val="20"/>
        </w:rPr>
      </w:pPr>
    </w:p>
    <w:p w14:paraId="3BE08D51" w14:textId="77777777" w:rsidR="00435F08" w:rsidRPr="004B7011" w:rsidRDefault="00435F08" w:rsidP="00435F08">
      <w:pPr>
        <w:pBdr>
          <w:top w:val="nil"/>
          <w:left w:val="nil"/>
          <w:bottom w:val="nil"/>
          <w:right w:val="nil"/>
          <w:between w:val="nil"/>
        </w:pBdr>
        <w:contextualSpacing/>
        <w:rPr>
          <w:rFonts w:eastAsia="Palatino Linotype" w:cs="Palatino Linotype"/>
          <w:color w:val="000000"/>
          <w:sz w:val="20"/>
          <w:szCs w:val="20"/>
        </w:rPr>
      </w:pPr>
    </w:p>
    <w:p w14:paraId="309A3584" w14:textId="77777777" w:rsidR="00435F08" w:rsidRPr="004B7011" w:rsidRDefault="00435F08" w:rsidP="00435F08">
      <w:pPr>
        <w:pBdr>
          <w:top w:val="nil"/>
          <w:left w:val="nil"/>
          <w:bottom w:val="nil"/>
          <w:right w:val="nil"/>
          <w:between w:val="nil"/>
        </w:pBdr>
        <w:contextualSpacing/>
        <w:rPr>
          <w:rFonts w:eastAsia="Palatino Linotype" w:cs="Palatino Linotype"/>
          <w:color w:val="000000"/>
          <w:sz w:val="20"/>
          <w:szCs w:val="20"/>
        </w:rPr>
      </w:pPr>
    </w:p>
    <w:p w14:paraId="2703E1AC" w14:textId="77777777" w:rsidR="00435F08" w:rsidRPr="004B7011" w:rsidRDefault="00435F08" w:rsidP="00435F08">
      <w:pPr>
        <w:pBdr>
          <w:top w:val="nil"/>
          <w:left w:val="nil"/>
          <w:bottom w:val="nil"/>
          <w:right w:val="nil"/>
          <w:between w:val="nil"/>
        </w:pBdr>
        <w:contextualSpacing/>
        <w:rPr>
          <w:rFonts w:eastAsia="Palatino Linotype" w:cs="Palatino Linotype"/>
          <w:color w:val="000000"/>
          <w:sz w:val="20"/>
          <w:szCs w:val="20"/>
        </w:rPr>
      </w:pPr>
    </w:p>
    <w:p w14:paraId="5AF5395B" w14:textId="77777777" w:rsidR="00435F08" w:rsidRPr="004B7011" w:rsidRDefault="00435F08" w:rsidP="00435F08">
      <w:pPr>
        <w:pBdr>
          <w:top w:val="nil"/>
          <w:left w:val="nil"/>
          <w:bottom w:val="nil"/>
          <w:right w:val="nil"/>
          <w:between w:val="nil"/>
        </w:pBdr>
        <w:contextualSpacing/>
        <w:rPr>
          <w:rFonts w:eastAsia="Palatino Linotype" w:cs="Palatino Linotype"/>
          <w:color w:val="000000"/>
          <w:sz w:val="20"/>
          <w:szCs w:val="20"/>
        </w:rPr>
      </w:pPr>
    </w:p>
    <w:p w14:paraId="0CA648E7" w14:textId="77777777" w:rsidR="00435F08" w:rsidRPr="004B7011" w:rsidRDefault="00435F08" w:rsidP="00435F08">
      <w:pPr>
        <w:pBdr>
          <w:top w:val="nil"/>
          <w:left w:val="nil"/>
          <w:bottom w:val="nil"/>
          <w:right w:val="nil"/>
          <w:between w:val="nil"/>
        </w:pBdr>
        <w:contextualSpacing/>
        <w:rPr>
          <w:rFonts w:eastAsia="Palatino Linotype" w:cs="Palatino Linotype"/>
          <w:color w:val="000000"/>
          <w:sz w:val="20"/>
          <w:szCs w:val="20"/>
        </w:rPr>
      </w:pPr>
    </w:p>
    <w:p w14:paraId="62478E86" w14:textId="77777777" w:rsidR="00435F08" w:rsidRPr="004B7011" w:rsidRDefault="00435F08" w:rsidP="00435F08">
      <w:pPr>
        <w:pBdr>
          <w:top w:val="nil"/>
          <w:left w:val="nil"/>
          <w:bottom w:val="nil"/>
          <w:right w:val="nil"/>
          <w:between w:val="nil"/>
        </w:pBdr>
        <w:contextualSpacing/>
        <w:rPr>
          <w:rFonts w:eastAsia="Palatino Linotype" w:cs="Palatino Linotype"/>
          <w:color w:val="000000"/>
          <w:sz w:val="20"/>
          <w:szCs w:val="20"/>
        </w:rPr>
      </w:pPr>
    </w:p>
    <w:p w14:paraId="6E3384E4" w14:textId="77777777" w:rsidR="00435F08" w:rsidRPr="004B7011" w:rsidRDefault="00435F08" w:rsidP="00435F08">
      <w:pPr>
        <w:pBdr>
          <w:top w:val="nil"/>
          <w:left w:val="nil"/>
          <w:bottom w:val="nil"/>
          <w:right w:val="nil"/>
          <w:between w:val="nil"/>
        </w:pBdr>
        <w:contextualSpacing/>
        <w:rPr>
          <w:rFonts w:eastAsia="Palatino Linotype" w:cs="Palatino Linotype"/>
          <w:color w:val="000000"/>
          <w:sz w:val="20"/>
          <w:szCs w:val="20"/>
        </w:rPr>
      </w:pPr>
    </w:p>
    <w:p w14:paraId="497E1357" w14:textId="77777777" w:rsidR="00435F08" w:rsidRPr="004B7011" w:rsidRDefault="00435F08" w:rsidP="00435F08">
      <w:pPr>
        <w:pBdr>
          <w:top w:val="nil"/>
          <w:left w:val="nil"/>
          <w:bottom w:val="nil"/>
          <w:right w:val="nil"/>
          <w:between w:val="nil"/>
        </w:pBdr>
        <w:contextualSpacing/>
        <w:rPr>
          <w:rFonts w:eastAsia="Palatino Linotype" w:cs="Palatino Linotype"/>
          <w:color w:val="000000"/>
          <w:sz w:val="20"/>
          <w:szCs w:val="20"/>
        </w:rPr>
      </w:pPr>
    </w:p>
    <w:p w14:paraId="04B8DBD5" w14:textId="77777777" w:rsidR="00435F08" w:rsidRPr="004B7011" w:rsidRDefault="00435F08" w:rsidP="00435F08">
      <w:pPr>
        <w:pBdr>
          <w:top w:val="nil"/>
          <w:left w:val="nil"/>
          <w:bottom w:val="nil"/>
          <w:right w:val="nil"/>
          <w:between w:val="nil"/>
        </w:pBdr>
        <w:contextualSpacing/>
        <w:rPr>
          <w:rFonts w:eastAsia="Palatino Linotype" w:cs="Palatino Linotype"/>
          <w:color w:val="000000"/>
          <w:sz w:val="20"/>
          <w:szCs w:val="20"/>
        </w:rPr>
      </w:pPr>
    </w:p>
    <w:p w14:paraId="42D62B15" w14:textId="77777777" w:rsidR="00435F08" w:rsidRPr="004B7011" w:rsidRDefault="00435F08" w:rsidP="00435F08"/>
    <w:p w14:paraId="2D3FA104" w14:textId="77777777" w:rsidR="00435F08" w:rsidRDefault="00435F08" w:rsidP="00435F08"/>
    <w:p w14:paraId="7D10EEDD" w14:textId="77777777" w:rsidR="00435F08" w:rsidRDefault="00435F08" w:rsidP="00435F08"/>
    <w:p w14:paraId="0DA8A161" w14:textId="77777777" w:rsidR="00435F08" w:rsidRDefault="00435F08" w:rsidP="00435F08"/>
    <w:p w14:paraId="1943BAEA" w14:textId="77777777" w:rsidR="00435F08" w:rsidRDefault="00435F08" w:rsidP="00435F08"/>
    <w:p w14:paraId="56667115" w14:textId="77777777" w:rsidR="00435F08" w:rsidRDefault="00435F08" w:rsidP="00435F08"/>
    <w:p w14:paraId="330D16CF" w14:textId="77777777" w:rsidR="00435F08" w:rsidRPr="005350DB" w:rsidRDefault="00435F08" w:rsidP="00435F08"/>
    <w:p w14:paraId="1830D76C" w14:textId="77777777" w:rsidR="00435F08" w:rsidRDefault="00435F08" w:rsidP="00435F08"/>
    <w:p w14:paraId="24C50402" w14:textId="77777777" w:rsidR="00435F08" w:rsidRPr="001C5572" w:rsidRDefault="00435F08" w:rsidP="00435F08"/>
    <w:p w14:paraId="353775ED" w14:textId="77777777" w:rsidR="00435F08" w:rsidRDefault="00435F08" w:rsidP="00435F08"/>
    <w:p w14:paraId="2BB3DD97" w14:textId="77777777" w:rsidR="00435F08" w:rsidRDefault="00435F08" w:rsidP="00435F08"/>
    <w:p w14:paraId="2E48B130" w14:textId="77777777" w:rsidR="00363E9F" w:rsidRDefault="00363E9F"/>
    <w:sectPr w:rsidR="00363E9F" w:rsidSect="00435F08">
      <w:headerReference w:type="even" r:id="rId7"/>
      <w:headerReference w:type="default" r:id="rId8"/>
      <w:footerReference w:type="default" r:id="rId9"/>
      <w:headerReference w:type="first" r:id="rId10"/>
      <w:footerReference w:type="first" r:id="rId11"/>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8A52E" w14:textId="77777777" w:rsidR="00951EA4" w:rsidRDefault="00951EA4" w:rsidP="00435F08">
      <w:pPr>
        <w:spacing w:line="240" w:lineRule="auto"/>
      </w:pPr>
      <w:r>
        <w:separator/>
      </w:r>
    </w:p>
  </w:endnote>
  <w:endnote w:type="continuationSeparator" w:id="0">
    <w:p w14:paraId="4FB45402" w14:textId="77777777" w:rsidR="00951EA4" w:rsidRDefault="00951EA4" w:rsidP="00435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0B0AD" w14:textId="77777777" w:rsidR="00773A01" w:rsidRPr="00871A91" w:rsidRDefault="00773A01" w:rsidP="00435F08">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F3B0C">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F3B0C">
      <w:rPr>
        <w:rFonts w:ascii="Palatino Linotype" w:hAnsi="Palatino Linotype"/>
        <w:b/>
        <w:bCs/>
        <w:noProof/>
        <w:sz w:val="20"/>
      </w:rPr>
      <w:t>32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BFC3" w14:textId="77777777" w:rsidR="00773A01" w:rsidRPr="00871A91" w:rsidRDefault="00773A01" w:rsidP="00435F08">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F3B0C">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F3B0C">
      <w:rPr>
        <w:rFonts w:ascii="Palatino Linotype" w:hAnsi="Palatino Linotype"/>
        <w:b/>
        <w:bCs/>
        <w:noProof/>
        <w:sz w:val="20"/>
      </w:rPr>
      <w:t>32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AB423" w14:textId="77777777" w:rsidR="00951EA4" w:rsidRDefault="00951EA4" w:rsidP="00435F08">
      <w:pPr>
        <w:spacing w:line="240" w:lineRule="auto"/>
      </w:pPr>
      <w:r>
        <w:separator/>
      </w:r>
    </w:p>
  </w:footnote>
  <w:footnote w:type="continuationSeparator" w:id="0">
    <w:p w14:paraId="41B8487E" w14:textId="77777777" w:rsidR="00951EA4" w:rsidRDefault="00951EA4" w:rsidP="00435F08">
      <w:pPr>
        <w:spacing w:line="240" w:lineRule="auto"/>
      </w:pPr>
      <w:r>
        <w:continuationSeparator/>
      </w:r>
    </w:p>
  </w:footnote>
  <w:footnote w:id="1">
    <w:p w14:paraId="6BAB12E9" w14:textId="77777777" w:rsidR="00773A01" w:rsidRPr="00481AAF" w:rsidRDefault="00773A01" w:rsidP="00435F08">
      <w:pPr>
        <w:spacing w:line="240" w:lineRule="auto"/>
        <w:rPr>
          <w:rFonts w:eastAsia="Times New Roman"/>
          <w:b/>
          <w:bCs/>
          <w:i/>
          <w:sz w:val="20"/>
          <w:szCs w:val="20"/>
        </w:rPr>
      </w:pPr>
      <w:r>
        <w:rPr>
          <w:rStyle w:val="Refdenotaalpie"/>
        </w:rPr>
        <w:footnoteRef/>
      </w:r>
      <w:r>
        <w:t xml:space="preserve"> </w:t>
      </w:r>
      <w:r w:rsidRPr="00946E1F">
        <w:rPr>
          <w:b/>
          <w:bCs/>
          <w:i/>
          <w:sz w:val="20"/>
          <w:szCs w:val="20"/>
        </w:rPr>
        <w:t xml:space="preserve">IMPROCEDENCIA Y SOBRESEIMIENTO EN EL JUICIO DE AMPARO. LAS CAUSAS PREVISTAS EN LOS ARTÍCULOS 73 Y 74 DE LA LEY DE LA MATERIA, RESPECTIVAMENTE, NO SON INCOMPATIBLES CON EL ARTÍCULO 25.1 DE LA CONVENCIÓN AMERICANA SOBRE </w:t>
      </w:r>
      <w:r w:rsidRPr="00481AAF">
        <w:rPr>
          <w:b/>
          <w:bCs/>
          <w:i/>
          <w:sz w:val="20"/>
          <w:szCs w:val="20"/>
        </w:rPr>
        <w:t>DERECHOS HUMANOS.</w:t>
      </w:r>
    </w:p>
    <w:p w14:paraId="1D015CB9" w14:textId="77777777" w:rsidR="00773A01" w:rsidRPr="00946E1F" w:rsidRDefault="00773A01" w:rsidP="00435F08">
      <w:pPr>
        <w:spacing w:line="240" w:lineRule="auto"/>
        <w:rPr>
          <w:i/>
          <w:sz w:val="20"/>
          <w:szCs w:val="20"/>
        </w:rPr>
      </w:pPr>
      <w:r w:rsidRPr="00481AAF">
        <w:rPr>
          <w:i/>
          <w:sz w:val="20"/>
          <w:szCs w:val="20"/>
        </w:rPr>
        <w:t>Del examen de compatibilidad de los artículos</w:t>
      </w:r>
      <w:r w:rsidRPr="00481AAF">
        <w:rPr>
          <w:rStyle w:val="apple-converted-space"/>
          <w:i/>
          <w:sz w:val="20"/>
          <w:szCs w:val="20"/>
        </w:rPr>
        <w:t> </w:t>
      </w:r>
      <w:hyperlink r:id="rId1" w:history="1">
        <w:r w:rsidRPr="00481AAF">
          <w:rPr>
            <w:rStyle w:val="Hipervnculo"/>
            <w:i/>
          </w:rPr>
          <w:t>73 y 74 de la Ley de Amparo</w:t>
        </w:r>
      </w:hyperlink>
      <w:r w:rsidRPr="00481AAF">
        <w:rPr>
          <w:rStyle w:val="apple-converted-space"/>
          <w:i/>
          <w:sz w:val="20"/>
          <w:szCs w:val="20"/>
        </w:rPr>
        <w:t> </w:t>
      </w:r>
      <w:r w:rsidRPr="00481AAF">
        <w:rPr>
          <w:i/>
          <w:sz w:val="20"/>
          <w:szCs w:val="20"/>
        </w:rPr>
        <w:t>con el artículo</w:t>
      </w:r>
      <w:r w:rsidRPr="00481AAF">
        <w:rPr>
          <w:rStyle w:val="apple-converted-space"/>
          <w:i/>
          <w:sz w:val="20"/>
          <w:szCs w:val="20"/>
        </w:rPr>
        <w:t> </w:t>
      </w:r>
      <w:hyperlink r:id="rId2" w:history="1">
        <w:r w:rsidRPr="00481AAF">
          <w:rPr>
            <w:rStyle w:val="Hipervnculo"/>
            <w:i/>
          </w:rPr>
          <w:t>25.1 de la Convención Americana sobre Derechos Humanos</w:t>
        </w:r>
      </w:hyperlink>
      <w:r w:rsidRPr="00481AAF">
        <w:rPr>
          <w:rStyle w:val="apple-converted-space"/>
          <w:i/>
          <w:sz w:val="20"/>
          <w:szCs w:val="20"/>
        </w:rPr>
        <w:t> </w:t>
      </w:r>
      <w:r w:rsidRPr="00481AAF">
        <w:rPr>
          <w:b/>
          <w:i/>
          <w:sz w:val="20"/>
          <w:szCs w:val="20"/>
          <w:u w:val="single"/>
        </w:rPr>
        <w:t xml:space="preserve">no se advierte que el derecho interno desatienda los estándares que pretenden proteger los derechos humanos en dicho tratado, por regular causas de improcedencia y sobreseimiento que impiden abordar el estudio de fondo del asunto en el juicio </w:t>
      </w:r>
      <w:r w:rsidRPr="00946E1F">
        <w:rPr>
          <w:b/>
          <w:i/>
          <w:sz w:val="20"/>
          <w:szCs w:val="20"/>
          <w:u w:val="single"/>
        </w:rPr>
        <w:t>de amparo,</w:t>
      </w:r>
      <w:r w:rsidRPr="00946E1F">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DC663" w14:textId="77777777" w:rsidR="00773A01" w:rsidRDefault="00951EA4">
    <w:pPr>
      <w:pStyle w:val="Encabezado"/>
    </w:pPr>
    <w:r>
      <w:rPr>
        <w:noProof/>
        <w:lang w:val="es-MX" w:eastAsia="es-MX"/>
      </w:rPr>
      <w:pict w14:anchorId="10094A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temporary/>
      <w:showingPlcHdr/>
      <w15:appearance w15:val="hidden"/>
    </w:sdtPr>
    <w:sdtEndPr/>
    <w:sdtContent>
      <w:p w14:paraId="22110E76" w14:textId="77777777" w:rsidR="00773A01" w:rsidRDefault="00773A01">
        <w:pPr>
          <w:pStyle w:val="Encabezado"/>
        </w:pPr>
        <w:r>
          <w:t>[Escriba aquí]</w:t>
        </w:r>
      </w:p>
    </w:sdtContent>
  </w:sdt>
  <w:tbl>
    <w:tblPr>
      <w:tblW w:w="9498" w:type="dxa"/>
      <w:tblLayout w:type="fixed"/>
      <w:tblCellMar>
        <w:left w:w="70" w:type="dxa"/>
        <w:right w:w="70" w:type="dxa"/>
      </w:tblCellMar>
      <w:tblLook w:val="04A0" w:firstRow="1" w:lastRow="0" w:firstColumn="1" w:lastColumn="0" w:noHBand="0" w:noVBand="1"/>
    </w:tblPr>
    <w:tblGrid>
      <w:gridCol w:w="5103"/>
      <w:gridCol w:w="4395"/>
    </w:tblGrid>
    <w:tr w:rsidR="00773A01" w:rsidRPr="00B17577" w14:paraId="553ABC19" w14:textId="77777777" w:rsidTr="00435F08">
      <w:trPr>
        <w:trHeight w:val="227"/>
      </w:trPr>
      <w:tc>
        <w:tcPr>
          <w:tcW w:w="5103" w:type="dxa"/>
          <w:hideMark/>
        </w:tcPr>
        <w:p w14:paraId="03648755" w14:textId="77777777" w:rsidR="00773A01" w:rsidRPr="00096248" w:rsidRDefault="00773A01" w:rsidP="00435F08">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A87FC7" w14:textId="77777777" w:rsidR="00773A01" w:rsidRPr="00096248" w:rsidRDefault="00773A01" w:rsidP="00435F08">
          <w:pPr>
            <w:spacing w:after="120" w:line="240" w:lineRule="auto"/>
            <w:ind w:right="71"/>
            <w:jc w:val="right"/>
            <w:rPr>
              <w:rFonts w:cs="Arial"/>
              <w:b/>
              <w:szCs w:val="24"/>
            </w:rPr>
          </w:pPr>
          <w:r>
            <w:rPr>
              <w:rFonts w:cs="Arial"/>
              <w:b/>
              <w:bCs/>
              <w:szCs w:val="24"/>
            </w:rPr>
            <w:t>03850</w:t>
          </w:r>
          <w:r w:rsidRPr="00096248">
            <w:rPr>
              <w:rFonts w:cs="Arial"/>
              <w:b/>
              <w:bCs/>
              <w:szCs w:val="24"/>
            </w:rPr>
            <w:t>/INFOEM/IP/RR/202</w:t>
          </w:r>
          <w:r>
            <w:rPr>
              <w:rFonts w:cs="Arial"/>
              <w:b/>
              <w:bCs/>
              <w:szCs w:val="24"/>
            </w:rPr>
            <w:t>6</w:t>
          </w:r>
        </w:p>
      </w:tc>
    </w:tr>
    <w:tr w:rsidR="00773A01" w14:paraId="7D7443C2" w14:textId="77777777" w:rsidTr="00435F08">
      <w:trPr>
        <w:trHeight w:val="242"/>
      </w:trPr>
      <w:tc>
        <w:tcPr>
          <w:tcW w:w="5103" w:type="dxa"/>
          <w:hideMark/>
        </w:tcPr>
        <w:p w14:paraId="494EFDDF" w14:textId="77777777" w:rsidR="00773A01" w:rsidRPr="00096248" w:rsidRDefault="00773A01" w:rsidP="00435F08">
          <w:pPr>
            <w:spacing w:after="120" w:line="240" w:lineRule="auto"/>
            <w:ind w:right="69"/>
            <w:jc w:val="right"/>
            <w:rPr>
              <w:rFonts w:cs="Arial"/>
              <w:b/>
              <w:szCs w:val="24"/>
            </w:rPr>
          </w:pPr>
          <w:r w:rsidRPr="00096248">
            <w:rPr>
              <w:rFonts w:cs="Arial"/>
              <w:b/>
              <w:szCs w:val="24"/>
            </w:rPr>
            <w:t>Sujeto Obligado:</w:t>
          </w:r>
        </w:p>
      </w:tc>
      <w:tc>
        <w:tcPr>
          <w:tcW w:w="4395" w:type="dxa"/>
          <w:hideMark/>
        </w:tcPr>
        <w:p w14:paraId="766E3856" w14:textId="77777777" w:rsidR="00773A01" w:rsidRPr="00096248" w:rsidRDefault="00773A01" w:rsidP="00435F08">
          <w:pPr>
            <w:spacing w:after="120" w:line="240" w:lineRule="auto"/>
            <w:ind w:left="-81" w:right="71"/>
            <w:jc w:val="right"/>
            <w:rPr>
              <w:rFonts w:cs="Arial"/>
              <w:szCs w:val="24"/>
            </w:rPr>
          </w:pPr>
          <w:r w:rsidRPr="00435F08">
            <w:rPr>
              <w:b/>
              <w:bCs/>
              <w:color w:val="000000"/>
              <w:szCs w:val="24"/>
            </w:rPr>
            <w:t>Ayuntamiento de Papalotla</w:t>
          </w:r>
        </w:p>
      </w:tc>
    </w:tr>
    <w:tr w:rsidR="00773A01" w:rsidRPr="00F63239" w14:paraId="7C0300E4" w14:textId="77777777" w:rsidTr="00435F08">
      <w:trPr>
        <w:trHeight w:val="342"/>
      </w:trPr>
      <w:tc>
        <w:tcPr>
          <w:tcW w:w="5103" w:type="dxa"/>
          <w:hideMark/>
        </w:tcPr>
        <w:p w14:paraId="705867E1" w14:textId="77777777" w:rsidR="00773A01" w:rsidRPr="00096248" w:rsidRDefault="00773A01" w:rsidP="00435F08">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0A960D11" w14:textId="77777777" w:rsidR="00773A01" w:rsidRDefault="00773A01" w:rsidP="00435F08">
          <w:pPr>
            <w:spacing w:after="120" w:line="240" w:lineRule="auto"/>
            <w:ind w:left="-486" w:right="71" w:firstLine="567"/>
            <w:jc w:val="right"/>
            <w:rPr>
              <w:rFonts w:cs="Arial"/>
              <w:szCs w:val="24"/>
            </w:rPr>
          </w:pPr>
          <w:r w:rsidRPr="00096248">
            <w:rPr>
              <w:rFonts w:cs="Arial"/>
              <w:szCs w:val="24"/>
            </w:rPr>
            <w:t>José Martínez Vilchis</w:t>
          </w:r>
        </w:p>
        <w:p w14:paraId="397FEF10" w14:textId="77777777" w:rsidR="00773A01" w:rsidRPr="00711916" w:rsidRDefault="00773A01" w:rsidP="00435F08">
          <w:pPr>
            <w:spacing w:after="120" w:line="240" w:lineRule="auto"/>
            <w:ind w:left="-486" w:right="71" w:firstLine="567"/>
            <w:jc w:val="right"/>
            <w:rPr>
              <w:rFonts w:cs="Arial"/>
              <w:sz w:val="2"/>
              <w:szCs w:val="2"/>
            </w:rPr>
          </w:pPr>
        </w:p>
      </w:tc>
    </w:tr>
  </w:tbl>
  <w:p w14:paraId="1A4620FE" w14:textId="77777777" w:rsidR="00773A01" w:rsidRPr="00871A91" w:rsidRDefault="00951EA4">
    <w:pPr>
      <w:pStyle w:val="Encabezado"/>
      <w:rPr>
        <w:sz w:val="2"/>
      </w:rPr>
    </w:pPr>
    <w:r>
      <w:rPr>
        <w:noProof/>
        <w:lang w:val="es-MX" w:eastAsia="es-MX"/>
      </w:rPr>
      <w:pict w14:anchorId="4F7F8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4pt;margin-top:-141.3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93CFC" w14:textId="77777777" w:rsidR="00773A01" w:rsidRDefault="00773A01">
    <w:pPr>
      <w:pStyle w:val="Encabezado"/>
    </w:pPr>
  </w:p>
  <w:tbl>
    <w:tblPr>
      <w:tblW w:w="9356" w:type="dxa"/>
      <w:tblLayout w:type="fixed"/>
      <w:tblCellMar>
        <w:left w:w="70" w:type="dxa"/>
        <w:right w:w="70" w:type="dxa"/>
      </w:tblCellMar>
      <w:tblLook w:val="04A0" w:firstRow="1" w:lastRow="0" w:firstColumn="1" w:lastColumn="0" w:noHBand="0" w:noVBand="1"/>
    </w:tblPr>
    <w:tblGrid>
      <w:gridCol w:w="5103"/>
      <w:gridCol w:w="4253"/>
    </w:tblGrid>
    <w:tr w:rsidR="00773A01" w14:paraId="25DC4965" w14:textId="77777777" w:rsidTr="00435F08">
      <w:trPr>
        <w:trHeight w:val="227"/>
      </w:trPr>
      <w:tc>
        <w:tcPr>
          <w:tcW w:w="5103" w:type="dxa"/>
          <w:hideMark/>
        </w:tcPr>
        <w:p w14:paraId="20757D52" w14:textId="77777777" w:rsidR="00773A01" w:rsidRPr="00663A37" w:rsidRDefault="00773A01" w:rsidP="00435F08">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253" w:type="dxa"/>
          <w:hideMark/>
        </w:tcPr>
        <w:p w14:paraId="56556A4F" w14:textId="77777777" w:rsidR="00773A01" w:rsidRPr="00C81ECD" w:rsidRDefault="00773A01" w:rsidP="00435F08">
          <w:pPr>
            <w:spacing w:after="120" w:line="240" w:lineRule="auto"/>
            <w:ind w:left="-486" w:right="68" w:firstLine="558"/>
            <w:jc w:val="right"/>
            <w:rPr>
              <w:rFonts w:cs="Arial"/>
              <w:b/>
              <w:szCs w:val="24"/>
            </w:rPr>
          </w:pPr>
          <w:r>
            <w:rPr>
              <w:rFonts w:cs="Arial"/>
              <w:b/>
              <w:bCs/>
              <w:szCs w:val="24"/>
            </w:rPr>
            <w:t>03850/INFOEM/IP/RR/2026</w:t>
          </w:r>
        </w:p>
      </w:tc>
    </w:tr>
    <w:tr w:rsidR="00773A01" w:rsidRPr="001F57CD" w14:paraId="289F9624" w14:textId="77777777" w:rsidTr="00435F08">
      <w:trPr>
        <w:trHeight w:val="196"/>
      </w:trPr>
      <w:tc>
        <w:tcPr>
          <w:tcW w:w="5103" w:type="dxa"/>
          <w:hideMark/>
        </w:tcPr>
        <w:p w14:paraId="0EF8625D" w14:textId="77777777" w:rsidR="00773A01" w:rsidRPr="00663A37" w:rsidRDefault="00773A01" w:rsidP="00435F08">
          <w:pPr>
            <w:spacing w:after="120" w:line="240" w:lineRule="auto"/>
            <w:ind w:right="68"/>
            <w:jc w:val="right"/>
            <w:rPr>
              <w:rFonts w:cs="Arial"/>
              <w:b/>
              <w:szCs w:val="24"/>
            </w:rPr>
          </w:pPr>
          <w:r w:rsidRPr="00663A37">
            <w:rPr>
              <w:rFonts w:cs="Arial"/>
              <w:b/>
              <w:szCs w:val="24"/>
            </w:rPr>
            <w:t>Recurrente:</w:t>
          </w:r>
          <w:r>
            <w:rPr>
              <w:rFonts w:cs="Arial"/>
              <w:b/>
              <w:szCs w:val="24"/>
            </w:rPr>
            <w:t xml:space="preserve">     </w:t>
          </w:r>
        </w:p>
      </w:tc>
      <w:tc>
        <w:tcPr>
          <w:tcW w:w="4253" w:type="dxa"/>
          <w:hideMark/>
        </w:tcPr>
        <w:p w14:paraId="69E245E0" w14:textId="4E279F5C" w:rsidR="00773A01" w:rsidRPr="00663A37" w:rsidRDefault="00DF3B0C" w:rsidP="00435F08">
          <w:pPr>
            <w:spacing w:after="120" w:line="240" w:lineRule="auto"/>
            <w:ind w:right="68"/>
            <w:jc w:val="right"/>
            <w:rPr>
              <w:rFonts w:cs="Arial"/>
              <w:szCs w:val="24"/>
            </w:rPr>
          </w:pPr>
          <w:r>
            <w:rPr>
              <w:rFonts w:cs="Arial"/>
              <w:szCs w:val="24"/>
            </w:rPr>
            <w:t>XXXXXXXXXXXXXXX</w:t>
          </w:r>
        </w:p>
      </w:tc>
    </w:tr>
    <w:tr w:rsidR="00773A01" w14:paraId="24CF06D5" w14:textId="77777777" w:rsidTr="00435F08">
      <w:trPr>
        <w:trHeight w:val="242"/>
      </w:trPr>
      <w:tc>
        <w:tcPr>
          <w:tcW w:w="5103" w:type="dxa"/>
          <w:hideMark/>
        </w:tcPr>
        <w:p w14:paraId="0D4FAEE9" w14:textId="77777777" w:rsidR="00773A01" w:rsidRPr="00663A37" w:rsidRDefault="00773A01" w:rsidP="00435F08">
          <w:pPr>
            <w:spacing w:after="120" w:line="240" w:lineRule="auto"/>
            <w:ind w:right="68"/>
            <w:jc w:val="right"/>
            <w:rPr>
              <w:rFonts w:cs="Arial"/>
              <w:b/>
              <w:szCs w:val="24"/>
            </w:rPr>
          </w:pPr>
          <w:r w:rsidRPr="00663A37">
            <w:rPr>
              <w:rFonts w:cs="Arial"/>
              <w:b/>
              <w:szCs w:val="24"/>
            </w:rPr>
            <w:t>Sujeto Obligado:</w:t>
          </w:r>
        </w:p>
      </w:tc>
      <w:tc>
        <w:tcPr>
          <w:tcW w:w="4253" w:type="dxa"/>
          <w:hideMark/>
        </w:tcPr>
        <w:p w14:paraId="44F5CD3A" w14:textId="77777777" w:rsidR="00773A01" w:rsidRPr="00435F08" w:rsidRDefault="00773A01" w:rsidP="00435F08">
          <w:pPr>
            <w:spacing w:after="120" w:line="240" w:lineRule="auto"/>
            <w:ind w:left="-70" w:right="68"/>
            <w:jc w:val="right"/>
            <w:rPr>
              <w:rFonts w:cs="Arial"/>
              <w:b/>
              <w:bCs/>
              <w:szCs w:val="24"/>
            </w:rPr>
          </w:pPr>
          <w:r>
            <w:rPr>
              <w:bCs/>
              <w:color w:val="000000"/>
              <w:szCs w:val="24"/>
            </w:rPr>
            <w:t xml:space="preserve">          </w:t>
          </w:r>
          <w:r w:rsidRPr="00435F08">
            <w:rPr>
              <w:b/>
              <w:bCs/>
              <w:color w:val="000000"/>
              <w:szCs w:val="24"/>
            </w:rPr>
            <w:t>Ayuntamiento de Papalotla</w:t>
          </w:r>
        </w:p>
      </w:tc>
    </w:tr>
    <w:tr w:rsidR="00773A01" w14:paraId="6EF18F0E" w14:textId="77777777" w:rsidTr="00435F08">
      <w:trPr>
        <w:trHeight w:val="342"/>
      </w:trPr>
      <w:tc>
        <w:tcPr>
          <w:tcW w:w="5103" w:type="dxa"/>
          <w:hideMark/>
        </w:tcPr>
        <w:p w14:paraId="3545EE46" w14:textId="77777777" w:rsidR="00773A01" w:rsidRPr="00663A37" w:rsidRDefault="00773A01" w:rsidP="00435F08">
          <w:pPr>
            <w:tabs>
              <w:tab w:val="left" w:pos="4892"/>
            </w:tabs>
            <w:spacing w:after="120" w:line="240" w:lineRule="auto"/>
            <w:ind w:right="68"/>
            <w:jc w:val="right"/>
            <w:rPr>
              <w:rFonts w:cs="Arial"/>
              <w:b/>
              <w:szCs w:val="24"/>
            </w:rPr>
          </w:pPr>
          <w:r w:rsidRPr="00663A37">
            <w:rPr>
              <w:rFonts w:cs="Arial"/>
              <w:b/>
              <w:szCs w:val="24"/>
            </w:rPr>
            <w:t>Comisionado Ponente:</w:t>
          </w:r>
        </w:p>
      </w:tc>
      <w:tc>
        <w:tcPr>
          <w:tcW w:w="4253" w:type="dxa"/>
          <w:hideMark/>
        </w:tcPr>
        <w:p w14:paraId="56D2C58D" w14:textId="77777777" w:rsidR="00773A01" w:rsidRPr="00663A37" w:rsidRDefault="00773A01" w:rsidP="00435F08">
          <w:pPr>
            <w:spacing w:after="120" w:line="240" w:lineRule="auto"/>
            <w:ind w:left="-486" w:right="68" w:firstLine="567"/>
            <w:jc w:val="right"/>
            <w:rPr>
              <w:rFonts w:cs="Arial"/>
              <w:szCs w:val="24"/>
            </w:rPr>
          </w:pPr>
          <w:r w:rsidRPr="00663A37">
            <w:rPr>
              <w:rFonts w:cs="Arial"/>
              <w:szCs w:val="24"/>
            </w:rPr>
            <w:t>José Martínez Vilchis</w:t>
          </w:r>
        </w:p>
      </w:tc>
    </w:tr>
  </w:tbl>
  <w:p w14:paraId="440A0E50" w14:textId="77777777" w:rsidR="00773A01" w:rsidRPr="00871A91" w:rsidRDefault="00773A01">
    <w:pPr>
      <w:pStyle w:val="Encabezado"/>
      <w:rPr>
        <w:sz w:val="2"/>
      </w:rPr>
    </w:pPr>
    <w:r>
      <w:rPr>
        <w:noProof/>
        <w:sz w:val="2"/>
        <w:lang w:val="es-MX" w:eastAsia="es-MX"/>
        <w14:ligatures w14:val="standardContextual"/>
      </w:rPr>
      <w:drawing>
        <wp:anchor distT="0" distB="0" distL="114300" distR="114300" simplePos="0" relativeHeight="251659264" behindDoc="1" locked="0" layoutInCell="0" allowOverlap="1" wp14:anchorId="12FA0C82" wp14:editId="1DBE8D67">
          <wp:simplePos x="0" y="0"/>
          <wp:positionH relativeFrom="margin">
            <wp:posOffset>-883285</wp:posOffset>
          </wp:positionH>
          <wp:positionV relativeFrom="margin">
            <wp:posOffset>-1663065</wp:posOffset>
          </wp:positionV>
          <wp:extent cx="5690235" cy="7411720"/>
          <wp:effectExtent l="0" t="0" r="5715" b="0"/>
          <wp:wrapNone/>
          <wp:docPr id="897254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0235" cy="7411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E2952"/>
    <w:multiLevelType w:val="hybridMultilevel"/>
    <w:tmpl w:val="22DA5922"/>
    <w:lvl w:ilvl="0" w:tplc="6B7E6092">
      <w:start w:val="1"/>
      <w:numFmt w:val="bullet"/>
      <w:lvlText w:val=""/>
      <w:lvlJc w:val="left"/>
      <w:pPr>
        <w:ind w:left="720" w:hanging="360"/>
      </w:pPr>
      <w:rPr>
        <w:rFonts w:ascii="Symbol" w:eastAsia="Calibr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A857B4"/>
    <w:multiLevelType w:val="hybridMultilevel"/>
    <w:tmpl w:val="EB90AD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FA2D16"/>
    <w:multiLevelType w:val="hybridMultilevel"/>
    <w:tmpl w:val="15BAE6C0"/>
    <w:lvl w:ilvl="0" w:tplc="B37C390E">
      <w:start w:val="2"/>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1BCE58DA"/>
    <w:multiLevelType w:val="hybridMultilevel"/>
    <w:tmpl w:val="DE7022BA"/>
    <w:lvl w:ilvl="0" w:tplc="080A000B">
      <w:start w:val="1"/>
      <w:numFmt w:val="bullet"/>
      <w:lvlText w:val=""/>
      <w:lvlJc w:val="left"/>
      <w:pPr>
        <w:ind w:left="1788" w:hanging="360"/>
      </w:pPr>
      <w:rPr>
        <w:rFonts w:ascii="Wingdings" w:hAnsi="Wingdings" w:hint="default"/>
      </w:rPr>
    </w:lvl>
    <w:lvl w:ilvl="1" w:tplc="080A0003">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4" w15:restartNumberingAfterBreak="0">
    <w:nsid w:val="28D81954"/>
    <w:multiLevelType w:val="hybridMultilevel"/>
    <w:tmpl w:val="FA1A67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6" w15:restartNumberingAfterBreak="0">
    <w:nsid w:val="3DFF24C0"/>
    <w:multiLevelType w:val="hybridMultilevel"/>
    <w:tmpl w:val="17EC0320"/>
    <w:lvl w:ilvl="0" w:tplc="080A000B">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 w15:restartNumberingAfterBreak="0">
    <w:nsid w:val="506035BC"/>
    <w:multiLevelType w:val="hybridMultilevel"/>
    <w:tmpl w:val="943AEE08"/>
    <w:lvl w:ilvl="0" w:tplc="1CA8C51A">
      <w:start w:val="1"/>
      <w:numFmt w:val="lowerLetter"/>
      <w:lvlText w:val="%1."/>
      <w:lvlJc w:val="left"/>
      <w:pPr>
        <w:ind w:left="1068" w:hanging="360"/>
      </w:pPr>
      <w:rPr>
        <w:rFonts w:hint="default"/>
      </w:rPr>
    </w:lvl>
    <w:lvl w:ilvl="1" w:tplc="3946BFEE">
      <w:numFmt w:val="bullet"/>
      <w:lvlText w:val="-"/>
      <w:lvlJc w:val="left"/>
      <w:pPr>
        <w:ind w:left="1788" w:hanging="360"/>
      </w:pPr>
      <w:rPr>
        <w:rFonts w:ascii="Palatino Linotype" w:eastAsia="Calibri" w:hAnsi="Palatino Linotype" w:cs="Calibri"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52B24BF9"/>
    <w:multiLevelType w:val="hybridMultilevel"/>
    <w:tmpl w:val="14B83056"/>
    <w:lvl w:ilvl="0" w:tplc="951AAC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61B19D7"/>
    <w:multiLevelType w:val="hybridMultilevel"/>
    <w:tmpl w:val="5CB89A6C"/>
    <w:lvl w:ilvl="0" w:tplc="12B2B188">
      <w:start w:val="18"/>
      <w:numFmt w:val="bullet"/>
      <w:lvlText w:val=""/>
      <w:lvlJc w:val="left"/>
      <w:pPr>
        <w:ind w:left="720" w:hanging="360"/>
      </w:pPr>
      <w:rPr>
        <w:rFonts w:ascii="Symbol" w:eastAsia="Calibr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7EF3925"/>
    <w:multiLevelType w:val="hybridMultilevel"/>
    <w:tmpl w:val="E8B4BD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66677D4"/>
    <w:multiLevelType w:val="hybridMultilevel"/>
    <w:tmpl w:val="B72A5082"/>
    <w:lvl w:ilvl="0" w:tplc="080A000B">
      <w:start w:val="1"/>
      <w:numFmt w:val="bullet"/>
      <w:lvlText w:val=""/>
      <w:lvlJc w:val="left"/>
      <w:pPr>
        <w:ind w:left="1788" w:hanging="360"/>
      </w:pPr>
      <w:rPr>
        <w:rFonts w:ascii="Wingdings" w:hAnsi="Wingdings"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12" w15:restartNumberingAfterBreak="0">
    <w:nsid w:val="7D587C06"/>
    <w:multiLevelType w:val="hybridMultilevel"/>
    <w:tmpl w:val="451CDA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2"/>
  </w:num>
  <w:num w:numId="3">
    <w:abstractNumId w:val="1"/>
  </w:num>
  <w:num w:numId="4">
    <w:abstractNumId w:val="0"/>
  </w:num>
  <w:num w:numId="5">
    <w:abstractNumId w:val="8"/>
  </w:num>
  <w:num w:numId="6">
    <w:abstractNumId w:val="4"/>
  </w:num>
  <w:num w:numId="7">
    <w:abstractNumId w:val="9"/>
  </w:num>
  <w:num w:numId="8">
    <w:abstractNumId w:val="7"/>
  </w:num>
  <w:num w:numId="9">
    <w:abstractNumId w:val="3"/>
  </w:num>
  <w:num w:numId="10">
    <w:abstractNumId w:val="10"/>
  </w:num>
  <w:num w:numId="11">
    <w:abstractNumId w:val="6"/>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F08"/>
    <w:rsid w:val="000363B1"/>
    <w:rsid w:val="00092923"/>
    <w:rsid w:val="001019D9"/>
    <w:rsid w:val="001107CE"/>
    <w:rsid w:val="00163151"/>
    <w:rsid w:val="001B47B8"/>
    <w:rsid w:val="001C57F7"/>
    <w:rsid w:val="00281138"/>
    <w:rsid w:val="002C3229"/>
    <w:rsid w:val="00363E9F"/>
    <w:rsid w:val="00387245"/>
    <w:rsid w:val="003C7191"/>
    <w:rsid w:val="004323F2"/>
    <w:rsid w:val="00435F08"/>
    <w:rsid w:val="00471F20"/>
    <w:rsid w:val="00491922"/>
    <w:rsid w:val="00501CDC"/>
    <w:rsid w:val="00573C9A"/>
    <w:rsid w:val="00595B48"/>
    <w:rsid w:val="006B1B56"/>
    <w:rsid w:val="006E1502"/>
    <w:rsid w:val="00764561"/>
    <w:rsid w:val="00773A01"/>
    <w:rsid w:val="007A5BEF"/>
    <w:rsid w:val="007B3602"/>
    <w:rsid w:val="00804E1E"/>
    <w:rsid w:val="00835CEA"/>
    <w:rsid w:val="008441FD"/>
    <w:rsid w:val="0089572F"/>
    <w:rsid w:val="0089780B"/>
    <w:rsid w:val="008A1651"/>
    <w:rsid w:val="009257B6"/>
    <w:rsid w:val="0092625B"/>
    <w:rsid w:val="00951EA4"/>
    <w:rsid w:val="00962BED"/>
    <w:rsid w:val="009863EB"/>
    <w:rsid w:val="009E7D57"/>
    <w:rsid w:val="009F14F5"/>
    <w:rsid w:val="00A91968"/>
    <w:rsid w:val="00AB1CBE"/>
    <w:rsid w:val="00BB206C"/>
    <w:rsid w:val="00D13C8D"/>
    <w:rsid w:val="00D40605"/>
    <w:rsid w:val="00D523AF"/>
    <w:rsid w:val="00D807A9"/>
    <w:rsid w:val="00DC330B"/>
    <w:rsid w:val="00DF3B0C"/>
    <w:rsid w:val="00E338F8"/>
    <w:rsid w:val="00E450B3"/>
    <w:rsid w:val="00F07C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DA29470"/>
  <w15:chartTrackingRefBased/>
  <w15:docId w15:val="{8DB654F0-509A-442D-992E-E039C8CE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F08"/>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435F0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aliases w:val="Subtítulos"/>
    <w:basedOn w:val="Normal"/>
    <w:next w:val="Normal"/>
    <w:link w:val="Ttulo2Car"/>
    <w:uiPriority w:val="9"/>
    <w:unhideWhenUsed/>
    <w:qFormat/>
    <w:rsid w:val="00435F0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435F08"/>
    <w:rPr>
      <w:rFonts w:asciiTheme="majorHAnsi" w:eastAsiaTheme="majorEastAsia" w:hAnsiTheme="majorHAnsi" w:cstheme="majorBidi"/>
      <w:color w:val="2E74B5" w:themeColor="accent1" w:themeShade="BF"/>
      <w:sz w:val="40"/>
      <w:szCs w:val="40"/>
      <w:lang w:val="es-ES_tradnl" w:eastAsia="es-MX"/>
    </w:rPr>
  </w:style>
  <w:style w:type="character" w:customStyle="1" w:styleId="Ttulo2Car">
    <w:name w:val="Título 2 Car"/>
    <w:aliases w:val="Subtítulos Car"/>
    <w:basedOn w:val="Fuentedeprrafopredeter"/>
    <w:link w:val="Ttulo2"/>
    <w:uiPriority w:val="9"/>
    <w:rsid w:val="00435F08"/>
    <w:rPr>
      <w:rFonts w:asciiTheme="majorHAnsi" w:eastAsiaTheme="majorEastAsia" w:hAnsiTheme="majorHAnsi" w:cstheme="majorBidi"/>
      <w:color w:val="2E74B5" w:themeColor="accent1" w:themeShade="BF"/>
      <w:sz w:val="32"/>
      <w:szCs w:val="32"/>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35F08"/>
    <w:pPr>
      <w:ind w:left="720"/>
      <w:contextualSpacing/>
    </w:pPr>
  </w:style>
  <w:style w:type="paragraph" w:styleId="Encabezado">
    <w:name w:val="header"/>
    <w:basedOn w:val="Normal"/>
    <w:link w:val="EncabezadoCar"/>
    <w:uiPriority w:val="99"/>
    <w:unhideWhenUsed/>
    <w:rsid w:val="00435F08"/>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435F08"/>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435F08"/>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435F08"/>
    <w:rPr>
      <w:rFonts w:ascii="Times New Roman" w:eastAsia="Calibri"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35F08"/>
    <w:rPr>
      <w:rFonts w:ascii="Palatino Linotype" w:eastAsia="Calibri" w:hAnsi="Palatino Linotype" w:cs="Calibri"/>
      <w:sz w:val="24"/>
      <w:lang w:val="es-ES_tradnl" w:eastAsia="es-MX"/>
    </w:rPr>
  </w:style>
  <w:style w:type="character" w:customStyle="1" w:styleId="apple-converted-space">
    <w:name w:val="apple-converted-space"/>
    <w:basedOn w:val="Fuentedeprrafopredeter"/>
    <w:rsid w:val="00435F08"/>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435F08"/>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435F08"/>
    <w:rPr>
      <w:color w:val="0563C1" w:themeColor="hyperlink"/>
      <w:u w:val="single"/>
    </w:rPr>
  </w:style>
  <w:style w:type="paragraph" w:customStyle="1" w:styleId="Fundamentos">
    <w:name w:val="Fundamentos"/>
    <w:basedOn w:val="Normal"/>
    <w:qFormat/>
    <w:rsid w:val="00435F08"/>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styleId="Sinespaciado">
    <w:name w:val="No Spacing"/>
    <w:aliases w:val="Francesa,INAI"/>
    <w:link w:val="SinespaciadoCar"/>
    <w:uiPriority w:val="1"/>
    <w:qFormat/>
    <w:rsid w:val="00435F08"/>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F08"/>
    <w:rPr>
      <w:rFonts w:ascii="Times New Roman" w:eastAsia="Times New Roman" w:hAnsi="Times New Roman" w:cs="Times New Roman"/>
      <w:sz w:val="24"/>
      <w:szCs w:val="24"/>
      <w:lang w:eastAsia="es-ES"/>
    </w:rPr>
  </w:style>
  <w:style w:type="paragraph" w:customStyle="1" w:styleId="INFOEM">
    <w:name w:val="INFOEM"/>
    <w:basedOn w:val="Normal"/>
    <w:qFormat/>
    <w:rsid w:val="00435F08"/>
    <w:pPr>
      <w:spacing w:before="240" w:after="160"/>
      <w:ind w:left="851" w:right="851"/>
    </w:pPr>
    <w:rPr>
      <w:rFonts w:eastAsiaTheme="minorHAnsi" w:cstheme="minorBidi"/>
      <w:i/>
      <w:sz w:val="22"/>
      <w:szCs w:val="14"/>
      <w:lang w:val="es-MX"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435F08"/>
    <w:pPr>
      <w:spacing w:line="240" w:lineRule="auto"/>
      <w:jc w:val="left"/>
    </w:pPr>
    <w:rPr>
      <w:rFonts w:ascii="Calibri" w:hAnsi="Calibri" w:cs="Times New Roman"/>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435F08"/>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7727</Words>
  <Characters>42504</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50131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2026-06-05T17:11:00Z</cp:lastPrinted>
  <dcterms:created xsi:type="dcterms:W3CDTF">2026-06-04T16:25:00Z</dcterms:created>
  <dcterms:modified xsi:type="dcterms:W3CDTF">2026-06-09T17:36:00Z</dcterms:modified>
</cp:coreProperties>
</file>