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315" w:rsidRDefault="00162DE4">
      <w:pPr>
        <w:tabs>
          <w:tab w:val="left" w:pos="567"/>
        </w:tabs>
        <w:spacing w:line="360" w:lineRule="auto"/>
        <w:ind w:right="-1071"/>
        <w:jc w:val="both"/>
        <w:rPr>
          <w:rFonts w:ascii="Palatino Linotype" w:eastAsia="Palatino Linotype" w:hAnsi="Palatino Linotype" w:cs="Palatino Linotype"/>
          <w:b/>
          <w:bCs/>
          <w:sz w:val="24"/>
          <w:szCs w:val="24"/>
        </w:rPr>
      </w:pPr>
      <w:bookmarkStart w:id="0" w:name="_GoBack"/>
      <w:bookmarkEnd w:id="0"/>
      <w:r>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sidR="00AA70C4">
        <w:rPr>
          <w:rFonts w:ascii="Palatino Linotype" w:eastAsia="Palatino Linotype" w:hAnsi="Palatino Linotype" w:cs="Palatino Linotype"/>
          <w:b/>
          <w:bCs/>
          <w:sz w:val="24"/>
          <w:szCs w:val="24"/>
        </w:rPr>
        <w:t>veintisiete</w:t>
      </w:r>
      <w:r w:rsidR="00716A2D">
        <w:rPr>
          <w:rFonts w:ascii="Palatino Linotype" w:eastAsia="Palatino Linotype" w:hAnsi="Palatino Linotype" w:cs="Palatino Linotype"/>
          <w:b/>
          <w:bCs/>
          <w:sz w:val="24"/>
          <w:szCs w:val="24"/>
        </w:rPr>
        <w:t xml:space="preserve"> (27)</w:t>
      </w:r>
      <w:r>
        <w:rPr>
          <w:rFonts w:ascii="Palatino Linotype" w:eastAsia="Palatino Linotype" w:hAnsi="Palatino Linotype" w:cs="Palatino Linotype"/>
          <w:b/>
          <w:bCs/>
          <w:sz w:val="24"/>
          <w:szCs w:val="24"/>
        </w:rPr>
        <w:t xml:space="preserve"> de mayo de dos mil veintiséis.</w:t>
      </w:r>
    </w:p>
    <w:p w:rsidR="000A4315" w:rsidRDefault="000A4315">
      <w:pPr>
        <w:tabs>
          <w:tab w:val="left" w:pos="567"/>
        </w:tabs>
        <w:spacing w:line="360" w:lineRule="auto"/>
        <w:ind w:right="-1071"/>
        <w:jc w:val="both"/>
        <w:rPr>
          <w:rFonts w:ascii="Palatino Linotype" w:eastAsia="Palatino Linotype" w:hAnsi="Palatino Linotype" w:cs="Palatino Linotype"/>
          <w:sz w:val="24"/>
          <w:szCs w:val="24"/>
        </w:rPr>
      </w:pPr>
    </w:p>
    <w:p w:rsidR="000A4315" w:rsidRDefault="00162DE4">
      <w:pPr>
        <w:spacing w:line="360" w:lineRule="auto"/>
        <w:ind w:right="-1071"/>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VISTOS</w:t>
      </w:r>
      <w:r>
        <w:rPr>
          <w:rFonts w:ascii="Palatino Linotype" w:eastAsia="Palatino Linotype" w:hAnsi="Palatino Linotype" w:cs="Palatino Linotype"/>
          <w:sz w:val="24"/>
          <w:szCs w:val="24"/>
        </w:rPr>
        <w:t xml:space="preserve"> los expedientes electrónicos formados con motivo de los recursos de revisión </w:t>
      </w:r>
      <w:r>
        <w:rPr>
          <w:rFonts w:ascii="Palatino Linotype" w:eastAsia="Palatino Linotype" w:hAnsi="Palatino Linotype" w:cs="Palatino Linotype"/>
          <w:b/>
          <w:bCs/>
          <w:sz w:val="24"/>
          <w:szCs w:val="24"/>
        </w:rPr>
        <w:t>04358/INFOEM/IP/RR/2026</w:t>
      </w:r>
      <w:r>
        <w:rPr>
          <w:rFonts w:ascii="Palatino Linotype" w:eastAsia="Palatino Linotype" w:hAnsi="Palatino Linotype" w:cs="Palatino Linotype"/>
          <w:sz w:val="24"/>
          <w:szCs w:val="24"/>
        </w:rPr>
        <w:t>,</w:t>
      </w:r>
      <w:r>
        <w:rPr>
          <w:rFonts w:ascii="Palatino Linotype" w:eastAsia="Palatino Linotype" w:hAnsi="Palatino Linotype" w:cs="Palatino Linotype"/>
          <w:b/>
          <w:bCs/>
          <w:sz w:val="24"/>
          <w:szCs w:val="24"/>
        </w:rPr>
        <w:t xml:space="preserve"> 04359/INFOEM/IP/RR/2026 y 04360/INFOEM/IP/RR/2026, </w:t>
      </w:r>
      <w:r>
        <w:rPr>
          <w:rFonts w:ascii="Palatino Linotype" w:eastAsia="Palatino Linotype" w:hAnsi="Palatino Linotype" w:cs="Palatino Linotype"/>
          <w:sz w:val="24"/>
          <w:szCs w:val="24"/>
        </w:rPr>
        <w:t xml:space="preserve">promovido por </w:t>
      </w:r>
      <w:r>
        <w:rPr>
          <w:rFonts w:ascii="Palatino Linotype" w:eastAsia="Palatino Linotype" w:hAnsi="Palatino Linotype" w:cs="Palatino Linotype"/>
          <w:b/>
          <w:bCs/>
          <w:sz w:val="24"/>
          <w:szCs w:val="24"/>
        </w:rPr>
        <w:t> </w:t>
      </w:r>
      <w:r w:rsidR="00AA70C4">
        <w:rPr>
          <w:rFonts w:ascii="Palatino Linotype" w:eastAsia="Palatino Linotype" w:hAnsi="Palatino Linotype" w:cs="Palatino Linotype"/>
          <w:b/>
          <w:bCs/>
          <w:sz w:val="24"/>
          <w:szCs w:val="24"/>
        </w:rPr>
        <w:t>una persona que no proporciono nombre</w:t>
      </w:r>
      <w:r>
        <w:rPr>
          <w:rFonts w:ascii="Palatino Linotype" w:eastAsia="Palatino Linotype" w:hAnsi="Palatino Linotype" w:cs="Palatino Linotype"/>
          <w:sz w:val="24"/>
          <w:szCs w:val="24"/>
        </w:rPr>
        <w:t xml:space="preserve">, a quien en lo sucesivo se le identificará como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en contra de la respuesta del </w:t>
      </w:r>
      <w:r>
        <w:rPr>
          <w:rFonts w:ascii="Palatino Linotype" w:eastAsia="Palatino Linotype" w:hAnsi="Palatino Linotype" w:cs="Palatino Linotype"/>
          <w:b/>
          <w:bCs/>
          <w:sz w:val="24"/>
          <w:szCs w:val="24"/>
        </w:rPr>
        <w:t xml:space="preserve">Instituto Mexiquense de la Juventud, </w:t>
      </w:r>
      <w:r>
        <w:rPr>
          <w:rFonts w:ascii="Palatino Linotype" w:eastAsia="Palatino Linotype" w:hAnsi="Palatino Linotype" w:cs="Palatino Linotype"/>
          <w:sz w:val="24"/>
          <w:szCs w:val="24"/>
        </w:rPr>
        <w:t>en adelante el</w:t>
      </w:r>
      <w:r>
        <w:rPr>
          <w:rFonts w:ascii="Palatino Linotype" w:eastAsia="Palatino Linotype" w:hAnsi="Palatino Linotype" w:cs="Palatino Linotype"/>
          <w:b/>
          <w:bCs/>
          <w:sz w:val="24"/>
          <w:szCs w:val="24"/>
        </w:rPr>
        <w:t xml:space="preserve"> SUJETO OBLIGADO</w:t>
      </w:r>
      <w:r>
        <w:rPr>
          <w:rFonts w:ascii="Palatino Linotype" w:eastAsia="Palatino Linotype" w:hAnsi="Palatino Linotype" w:cs="Palatino Linotype"/>
          <w:sz w:val="24"/>
          <w:szCs w:val="24"/>
        </w:rPr>
        <w:t>, se procede a dictar la presente resolución, con base en los siguientes:</w:t>
      </w:r>
    </w:p>
    <w:p w:rsidR="000A4315" w:rsidRDefault="00162DE4">
      <w:pPr>
        <w:pStyle w:val="Ttulo1"/>
        <w:tabs>
          <w:tab w:val="left" w:pos="567"/>
        </w:tabs>
        <w:spacing w:before="0" w:line="360" w:lineRule="auto"/>
        <w:ind w:right="-1071"/>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A N T E C E D E N T E S</w:t>
      </w:r>
    </w:p>
    <w:p w:rsidR="000A4315" w:rsidRDefault="000A4315">
      <w:pPr>
        <w:ind w:right="-1071"/>
        <w:rPr>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diecisiete de marzo de dos mil veinticinco, </w:t>
      </w:r>
      <w:r>
        <w:rPr>
          <w:rFonts w:ascii="Palatino Linotype" w:eastAsia="Palatino Linotype" w:hAnsi="Palatino Linotype" w:cs="Palatino Linotype"/>
          <w:sz w:val="24"/>
          <w:szCs w:val="24"/>
        </w:rPr>
        <w:t xml:space="preserve">se presentó ante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vía SAIMEX, las solicitudes de información en las que se solicitó la siguiente información:</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8"/>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00020/IMEJ/IP/2026</w:t>
      </w:r>
    </w:p>
    <w:p w:rsidR="000A4315" w:rsidRDefault="00162DE4">
      <w:pPr>
        <w:pBdr>
          <w:top w:val="nil"/>
          <w:left w:val="nil"/>
          <w:bottom w:val="nil"/>
          <w:right w:val="nil"/>
          <w:between w:val="nil"/>
        </w:pBdr>
        <w:ind w:left="426" w:right="-1071"/>
        <w:jc w:val="both"/>
        <w:rPr>
          <w:rFonts w:ascii="Palatino Linotype" w:eastAsia="Palatino Linotype" w:hAnsi="Palatino Linotype" w:cs="Palatino Linotype"/>
          <w:sz w:val="24"/>
          <w:szCs w:val="24"/>
        </w:rPr>
      </w:pPr>
      <w:r>
        <w:rPr>
          <w:rFonts w:ascii="Palatino Linotype" w:eastAsia="Palatino Linotype" w:hAnsi="Palatino Linotype" w:cs="Palatino Linotype"/>
          <w:i/>
          <w:iCs/>
          <w:sz w:val="24"/>
          <w:szCs w:val="24"/>
        </w:rPr>
        <w:t xml:space="preserve">“Solicito el listado de acuerdos, convenios y contratos con los sectores público, social y privado para el cumplimiento del objeto del Instituto suscritos por el Director General del IMEJ durante el 2026” </w:t>
      </w:r>
      <w:r>
        <w:rPr>
          <w:rFonts w:ascii="Palatino Linotype" w:eastAsia="Palatino Linotype" w:hAnsi="Palatino Linotype" w:cs="Palatino Linotype"/>
          <w:sz w:val="24"/>
          <w:szCs w:val="24"/>
        </w:rPr>
        <w:t>(Sic)</w:t>
      </w:r>
    </w:p>
    <w:p w:rsidR="000A4315" w:rsidRDefault="00162DE4">
      <w:pPr>
        <w:numPr>
          <w:ilvl w:val="0"/>
          <w:numId w:val="8"/>
        </w:numPr>
        <w:pBdr>
          <w:top w:val="nil"/>
          <w:left w:val="nil"/>
          <w:bottom w:val="nil"/>
          <w:right w:val="nil"/>
          <w:between w:val="nil"/>
        </w:pBdr>
        <w:ind w:right="-1071"/>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00019/IMEJ/IP/2026</w:t>
      </w:r>
    </w:p>
    <w:p w:rsidR="000A4315" w:rsidRDefault="00162DE4">
      <w:pPr>
        <w:pBdr>
          <w:top w:val="nil"/>
          <w:left w:val="nil"/>
          <w:bottom w:val="nil"/>
          <w:right w:val="nil"/>
          <w:between w:val="nil"/>
        </w:pBdr>
        <w:ind w:left="426"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“Solicito el listado de acuerdos, convenios y contratos con los sectores público, social y privado para el cumplimiento del objeto del Instituto suscritos por el Director General del IMEJ durante el 2025” (sic)</w:t>
      </w:r>
    </w:p>
    <w:p w:rsidR="000A4315" w:rsidRDefault="00162DE4">
      <w:pPr>
        <w:numPr>
          <w:ilvl w:val="0"/>
          <w:numId w:val="8"/>
        </w:numPr>
        <w:pBdr>
          <w:top w:val="nil"/>
          <w:left w:val="nil"/>
          <w:bottom w:val="nil"/>
          <w:right w:val="nil"/>
          <w:between w:val="nil"/>
        </w:pBdr>
        <w:ind w:right="-1071"/>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00018/IMEJ/IP/2026</w:t>
      </w:r>
    </w:p>
    <w:p w:rsidR="000A4315" w:rsidRDefault="00162DE4">
      <w:pPr>
        <w:pBdr>
          <w:top w:val="nil"/>
          <w:left w:val="nil"/>
          <w:bottom w:val="nil"/>
          <w:right w:val="nil"/>
          <w:between w:val="nil"/>
        </w:pBdr>
        <w:ind w:left="426"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“Solicito el listado de acuerdos, convenios y contratos con los sectores público, social y privado para el cumplimiento del objeto del Instituto suscritos por el Director General del IMEJ durante el 2024.</w:t>
      </w:r>
    </w:p>
    <w:p w:rsidR="000A4315" w:rsidRDefault="000A4315">
      <w:pPr>
        <w:pBdr>
          <w:top w:val="nil"/>
          <w:left w:val="nil"/>
          <w:bottom w:val="nil"/>
          <w:right w:val="nil"/>
          <w:between w:val="nil"/>
        </w:pBdr>
        <w:ind w:right="-1071"/>
        <w:jc w:val="both"/>
        <w:rPr>
          <w:rFonts w:ascii="Palatino Linotype" w:eastAsia="Palatino Linotype" w:hAnsi="Palatino Linotype" w:cs="Palatino Linotype"/>
          <w:i/>
          <w:iCs/>
          <w:sz w:val="24"/>
          <w:szCs w:val="24"/>
        </w:rPr>
      </w:pPr>
    </w:p>
    <w:p w:rsidR="000A4315" w:rsidRDefault="00162DE4">
      <w:pPr>
        <w:numPr>
          <w:ilvl w:val="0"/>
          <w:numId w:val="2"/>
        </w:numPr>
        <w:pBdr>
          <w:top w:val="nil"/>
          <w:left w:val="nil"/>
          <w:bottom w:val="nil"/>
          <w:right w:val="nil"/>
          <w:between w:val="nil"/>
        </w:pBdr>
        <w:spacing w:after="0" w:line="240" w:lineRule="auto"/>
        <w:ind w:left="851" w:right="-107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Se eligió como modalidad de entrega de la información: A través del </w:t>
      </w:r>
      <w:r>
        <w:rPr>
          <w:rFonts w:ascii="Palatino Linotype" w:eastAsia="Palatino Linotype" w:hAnsi="Palatino Linotype" w:cs="Palatino Linotype"/>
          <w:b/>
          <w:bCs/>
          <w:sz w:val="24"/>
          <w:szCs w:val="24"/>
        </w:rPr>
        <w:t>SAIMEX.</w:t>
      </w:r>
    </w:p>
    <w:p w:rsidR="000A4315" w:rsidRDefault="000A4315">
      <w:pPr>
        <w:pBdr>
          <w:top w:val="nil"/>
          <w:left w:val="nil"/>
          <w:bottom w:val="nil"/>
          <w:right w:val="nil"/>
          <w:between w:val="nil"/>
        </w:pBdr>
        <w:spacing w:after="0" w:line="240" w:lineRule="auto"/>
        <w:ind w:left="851" w:right="-1071"/>
        <w:jc w:val="both"/>
        <w:rPr>
          <w:rFonts w:ascii="Palatino Linotype" w:eastAsia="Palatino Linotype" w:hAnsi="Palatino Linotype" w:cs="Palatino Linotype"/>
          <w:sz w:val="24"/>
          <w:szCs w:val="24"/>
        </w:rPr>
      </w:pPr>
    </w:p>
    <w:p w:rsidR="000A4315" w:rsidRDefault="000A4315">
      <w:pPr>
        <w:pBdr>
          <w:top w:val="nil"/>
          <w:left w:val="nil"/>
          <w:bottom w:val="nil"/>
          <w:right w:val="nil"/>
          <w:between w:val="nil"/>
        </w:pBdr>
        <w:spacing w:after="0" w:line="240" w:lineRule="auto"/>
        <w:ind w:left="851" w:right="-1071"/>
        <w:jc w:val="both"/>
        <w:rPr>
          <w:rFonts w:ascii="Palatino Linotype" w:eastAsia="Palatino Linotype" w:hAnsi="Palatino Linotype" w:cs="Palatino Linotype"/>
          <w:sz w:val="24"/>
          <w:szCs w:val="24"/>
        </w:rPr>
      </w:pPr>
    </w:p>
    <w:p w:rsidR="000A4315" w:rsidRDefault="000A4315">
      <w:pPr>
        <w:pBdr>
          <w:top w:val="nil"/>
          <w:left w:val="nil"/>
          <w:bottom w:val="nil"/>
          <w:right w:val="nil"/>
          <w:between w:val="nil"/>
        </w:pBdr>
        <w:spacing w:after="0" w:line="240" w:lineRule="auto"/>
        <w:ind w:left="851"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catorce de abril de dos mil veintiséis, </w:t>
      </w:r>
      <w:r>
        <w:rPr>
          <w:rFonts w:ascii="Palatino Linotype" w:eastAsia="Palatino Linotype" w:hAnsi="Palatino Linotype" w:cs="Palatino Linotype"/>
          <w:sz w:val="24"/>
          <w:szCs w:val="24"/>
        </w:rPr>
        <w:t>se autorizó prórroga para dar contestación a las solicitudes de información que nos ocupa, por un plazo de siete días.</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b/>
          <w:bCs/>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veinte y veintidós de abril de dos mil veintiséis, el SUJETO OBLIGADO, </w:t>
      </w:r>
      <w:r>
        <w:rPr>
          <w:rFonts w:ascii="Palatino Linotype" w:eastAsia="Palatino Linotype" w:hAnsi="Palatino Linotype" w:cs="Palatino Linotype"/>
          <w:sz w:val="24"/>
          <w:szCs w:val="24"/>
        </w:rPr>
        <w:t>dio respuesta a las tres solicitudes que nos ocupan, a través del archivo siguiente:</w:t>
      </w:r>
    </w:p>
    <w:p w:rsidR="000A4315" w:rsidRDefault="00162DE4">
      <w:pPr>
        <w:pBdr>
          <w:top w:val="nil"/>
          <w:left w:val="nil"/>
          <w:bottom w:val="nil"/>
          <w:right w:val="nil"/>
          <w:between w:val="nil"/>
        </w:pBdr>
        <w:spacing w:line="276" w:lineRule="auto"/>
        <w:ind w:left="426" w:right="-1071"/>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 xml:space="preserve">3RA SESIÓN EXTRAORDINARIA 2026.pdf </w:t>
      </w:r>
    </w:p>
    <w:p w:rsidR="000A4315" w:rsidRDefault="00162DE4">
      <w:pPr>
        <w:pBdr>
          <w:top w:val="nil"/>
          <w:left w:val="nil"/>
          <w:bottom w:val="nil"/>
          <w:right w:val="nil"/>
          <w:between w:val="nil"/>
        </w:pBdr>
        <w:spacing w:line="276" w:lineRule="auto"/>
        <w:ind w:left="426" w:right="-107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Oficio firmado por el Encargado de Despacho de la Tesorería Municipal, del que se desprende, el Acta de la Tercera Sesión Extraordinaria, en la cual respecto la solicitud de información que nos ocupa, se aprobó el cambio de modalidad a consulta directa  derivado de que lo solicitado implica un procesamiento, aludiendo una limitación técnica- administrativa y humana.</w:t>
      </w:r>
    </w:p>
    <w:p w:rsidR="000A4315" w:rsidRDefault="000A4315">
      <w:pPr>
        <w:pBdr>
          <w:top w:val="nil"/>
          <w:left w:val="nil"/>
          <w:bottom w:val="nil"/>
          <w:right w:val="nil"/>
          <w:between w:val="nil"/>
        </w:pBdr>
        <w:spacing w:line="276"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Inconforme con lo anterior, el </w:t>
      </w:r>
      <w:r>
        <w:rPr>
          <w:rFonts w:ascii="Palatino Linotype" w:eastAsia="Palatino Linotype" w:hAnsi="Palatino Linotype" w:cs="Palatino Linotype"/>
          <w:b/>
          <w:bCs/>
          <w:sz w:val="24"/>
          <w:szCs w:val="24"/>
        </w:rPr>
        <w:t>PARTICULAR</w:t>
      </w:r>
      <w:r>
        <w:rPr>
          <w:rFonts w:ascii="Palatino Linotype" w:eastAsia="Palatino Linotype" w:hAnsi="Palatino Linotype" w:cs="Palatino Linotype"/>
          <w:sz w:val="24"/>
          <w:szCs w:val="24"/>
        </w:rPr>
        <w:t xml:space="preserve"> en fecha </w:t>
      </w:r>
      <w:r>
        <w:rPr>
          <w:rFonts w:ascii="Palatino Linotype" w:eastAsia="Palatino Linotype" w:hAnsi="Palatino Linotype" w:cs="Palatino Linotype"/>
          <w:b/>
          <w:bCs/>
          <w:sz w:val="24"/>
          <w:szCs w:val="24"/>
        </w:rPr>
        <w:t xml:space="preserve">veintitrés de abril de dos mil veintiséis, </w:t>
      </w:r>
      <w:r>
        <w:rPr>
          <w:rFonts w:ascii="Palatino Linotype" w:eastAsia="Palatino Linotype" w:hAnsi="Palatino Linotype" w:cs="Palatino Linotype"/>
          <w:sz w:val="24"/>
          <w:szCs w:val="24"/>
        </w:rPr>
        <w:t>interpuso el recurso de revisión en contra de la respuesta, manifestando las siguientes razones o motivos de inconformidad:</w:t>
      </w:r>
    </w:p>
    <w:p w:rsidR="00716A2D" w:rsidRDefault="00716A2D">
      <w:pPr>
        <w:pBdr>
          <w:top w:val="nil"/>
          <w:left w:val="nil"/>
          <w:bottom w:val="nil"/>
          <w:right w:val="nil"/>
          <w:between w:val="nil"/>
        </w:pBdr>
        <w:spacing w:after="0" w:line="360" w:lineRule="auto"/>
        <w:ind w:right="-1071"/>
        <w:jc w:val="both"/>
        <w:rPr>
          <w:rFonts w:ascii="Palatino Linotype" w:eastAsia="Palatino Linotype" w:hAnsi="Palatino Linotype" w:cs="Palatino Linotype"/>
          <w:b/>
          <w:bCs/>
          <w:sz w:val="24"/>
          <w:szCs w:val="24"/>
        </w:rPr>
      </w:pPr>
    </w:p>
    <w:p w:rsidR="000A4315" w:rsidRDefault="00162DE4">
      <w:pPr>
        <w:pBdr>
          <w:top w:val="nil"/>
          <w:left w:val="nil"/>
          <w:bottom w:val="nil"/>
          <w:right w:val="nil"/>
          <w:between w:val="nil"/>
        </w:pBdr>
        <w:spacing w:after="0" w:line="360" w:lineRule="auto"/>
        <w:ind w:right="-1071"/>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04358/INFOEM/IP/RR/2026</w:t>
      </w:r>
    </w:p>
    <w:p w:rsidR="000A4315" w:rsidRDefault="00162DE4">
      <w:pPr>
        <w:numPr>
          <w:ilvl w:val="0"/>
          <w:numId w:val="6"/>
        </w:numPr>
        <w:pBdr>
          <w:top w:val="nil"/>
          <w:left w:val="nil"/>
          <w:bottom w:val="nil"/>
          <w:right w:val="nil"/>
          <w:between w:val="nil"/>
        </w:pBdr>
        <w:spacing w:after="0" w:line="240" w:lineRule="auto"/>
        <w:ind w:right="-1071"/>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Acto impugnado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i/>
          <w:iCs/>
          <w:color w:val="000000"/>
          <w:sz w:val="24"/>
          <w:szCs w:val="24"/>
        </w:rPr>
        <w:t>“Si contestacion” (sic)</w:t>
      </w:r>
    </w:p>
    <w:p w:rsidR="000A4315" w:rsidRDefault="000A4315">
      <w:pPr>
        <w:pBdr>
          <w:top w:val="nil"/>
          <w:left w:val="nil"/>
          <w:bottom w:val="nil"/>
          <w:right w:val="nil"/>
          <w:between w:val="nil"/>
        </w:pBdr>
        <w:ind w:left="567" w:right="-1071"/>
        <w:jc w:val="both"/>
        <w:rPr>
          <w:rFonts w:ascii="Palatino Linotype" w:eastAsia="Palatino Linotype" w:hAnsi="Palatino Linotype" w:cs="Palatino Linotype"/>
          <w:b/>
          <w:bCs/>
          <w:i/>
          <w:iCs/>
          <w:sz w:val="24"/>
          <w:szCs w:val="24"/>
        </w:rPr>
      </w:pPr>
    </w:p>
    <w:p w:rsidR="000A4315" w:rsidRDefault="00162DE4">
      <w:pPr>
        <w:numPr>
          <w:ilvl w:val="0"/>
          <w:numId w:val="6"/>
        </w:numPr>
        <w:pBdr>
          <w:top w:val="nil"/>
          <w:left w:val="nil"/>
          <w:bottom w:val="nil"/>
          <w:right w:val="nil"/>
          <w:between w:val="nil"/>
        </w:pBdr>
        <w:spacing w:after="0" w:line="240" w:lineRule="auto"/>
        <w:ind w:right="-1071"/>
        <w:jc w:val="both"/>
        <w:rPr>
          <w:rFonts w:ascii="Palatino Linotype" w:eastAsia="Palatino Linotype" w:hAnsi="Palatino Linotype" w:cs="Palatino Linotype"/>
          <w:i/>
          <w:iCs/>
          <w:color w:val="000000"/>
          <w:sz w:val="24"/>
          <w:szCs w:val="24"/>
        </w:rPr>
      </w:pPr>
      <w:bookmarkStart w:id="1" w:name="_heading=h.3znysh7" w:colFirst="0" w:colLast="0"/>
      <w:bookmarkEnd w:id="1"/>
      <w:r>
        <w:rPr>
          <w:rFonts w:ascii="Palatino Linotype" w:eastAsia="Palatino Linotype" w:hAnsi="Palatino Linotype" w:cs="Palatino Linotype"/>
          <w:b/>
          <w:bCs/>
          <w:color w:val="000000"/>
          <w:sz w:val="24"/>
          <w:szCs w:val="24"/>
        </w:rPr>
        <w:t xml:space="preserve">Razones o Motivos de inconformidad: </w:t>
      </w:r>
      <w:r>
        <w:rPr>
          <w:rFonts w:ascii="Palatino Linotype" w:eastAsia="Palatino Linotype" w:hAnsi="Palatino Linotype" w:cs="Palatino Linotype"/>
          <w:i/>
          <w:iCs/>
          <w:color w:val="000000"/>
          <w:sz w:val="24"/>
          <w:szCs w:val="24"/>
        </w:rPr>
        <w:t>“Necesito la informacion via electronicamente pues asi pedi me la entregaran” (sic)</w:t>
      </w:r>
    </w:p>
    <w:p w:rsidR="000A4315" w:rsidRDefault="000A4315">
      <w:pPr>
        <w:pBdr>
          <w:top w:val="nil"/>
          <w:left w:val="nil"/>
          <w:bottom w:val="nil"/>
          <w:right w:val="nil"/>
          <w:between w:val="nil"/>
        </w:pBdr>
        <w:ind w:left="720" w:right="-1071"/>
        <w:rPr>
          <w:rFonts w:ascii="Palatino Linotype" w:eastAsia="Palatino Linotype" w:hAnsi="Palatino Linotype" w:cs="Palatino Linotype"/>
          <w:i/>
          <w:iCs/>
          <w:color w:val="000000"/>
          <w:sz w:val="24"/>
          <w:szCs w:val="24"/>
        </w:rPr>
      </w:pPr>
    </w:p>
    <w:p w:rsidR="000A4315" w:rsidRDefault="000A4315">
      <w:pPr>
        <w:pBdr>
          <w:top w:val="nil"/>
          <w:left w:val="nil"/>
          <w:bottom w:val="nil"/>
          <w:right w:val="nil"/>
          <w:between w:val="nil"/>
        </w:pBdr>
        <w:spacing w:after="0" w:line="240" w:lineRule="auto"/>
        <w:ind w:right="-1071"/>
        <w:jc w:val="both"/>
        <w:rPr>
          <w:rFonts w:ascii="Palatino Linotype" w:eastAsia="Palatino Linotype" w:hAnsi="Palatino Linotype" w:cs="Palatino Linotype"/>
          <w:i/>
          <w:iCs/>
          <w:sz w:val="24"/>
          <w:szCs w:val="24"/>
        </w:rPr>
      </w:pPr>
    </w:p>
    <w:p w:rsidR="000A4315" w:rsidRDefault="00162DE4">
      <w:pPr>
        <w:pBdr>
          <w:top w:val="nil"/>
          <w:left w:val="nil"/>
          <w:bottom w:val="nil"/>
          <w:right w:val="nil"/>
          <w:between w:val="nil"/>
        </w:pBdr>
        <w:spacing w:after="0" w:line="360" w:lineRule="auto"/>
        <w:ind w:right="-1071"/>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04359/INFOEM/IP/RR/2026</w:t>
      </w:r>
    </w:p>
    <w:p w:rsidR="000A4315" w:rsidRDefault="00162DE4">
      <w:pPr>
        <w:numPr>
          <w:ilvl w:val="0"/>
          <w:numId w:val="6"/>
        </w:numPr>
        <w:pBdr>
          <w:top w:val="nil"/>
          <w:left w:val="nil"/>
          <w:bottom w:val="nil"/>
          <w:right w:val="nil"/>
          <w:between w:val="nil"/>
        </w:pBdr>
        <w:spacing w:after="0" w:line="240" w:lineRule="auto"/>
        <w:ind w:right="-1071"/>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Acto impugnado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i/>
          <w:iCs/>
          <w:color w:val="000000"/>
          <w:sz w:val="24"/>
          <w:szCs w:val="24"/>
        </w:rPr>
        <w:t>“No me dieron respuesta” (sic)</w:t>
      </w:r>
    </w:p>
    <w:p w:rsidR="000A4315" w:rsidRDefault="000A4315">
      <w:pPr>
        <w:pBdr>
          <w:top w:val="nil"/>
          <w:left w:val="nil"/>
          <w:bottom w:val="nil"/>
          <w:right w:val="nil"/>
          <w:between w:val="nil"/>
        </w:pBdr>
        <w:ind w:left="567" w:right="-1071"/>
        <w:jc w:val="both"/>
        <w:rPr>
          <w:rFonts w:ascii="Palatino Linotype" w:eastAsia="Palatino Linotype" w:hAnsi="Palatino Linotype" w:cs="Palatino Linotype"/>
          <w:b/>
          <w:bCs/>
          <w:i/>
          <w:iCs/>
          <w:sz w:val="24"/>
          <w:szCs w:val="24"/>
        </w:rPr>
      </w:pPr>
    </w:p>
    <w:p w:rsidR="000A4315" w:rsidRDefault="00162DE4">
      <w:pPr>
        <w:numPr>
          <w:ilvl w:val="0"/>
          <w:numId w:val="6"/>
        </w:numPr>
        <w:pBdr>
          <w:top w:val="nil"/>
          <w:left w:val="nil"/>
          <w:bottom w:val="nil"/>
          <w:right w:val="nil"/>
          <w:between w:val="nil"/>
        </w:pBdr>
        <w:spacing w:after="0" w:line="240" w:lineRule="auto"/>
        <w:ind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color w:val="000000"/>
          <w:sz w:val="24"/>
          <w:szCs w:val="24"/>
        </w:rPr>
        <w:t xml:space="preserve">Razones o Motivos de inconformidad: </w:t>
      </w:r>
      <w:r>
        <w:rPr>
          <w:rFonts w:ascii="Palatino Linotype" w:eastAsia="Palatino Linotype" w:hAnsi="Palatino Linotype" w:cs="Palatino Linotype"/>
          <w:i/>
          <w:iCs/>
          <w:color w:val="000000"/>
          <w:sz w:val="24"/>
          <w:szCs w:val="24"/>
        </w:rPr>
        <w:t>“Necesito la informacion via electronicamente pues asi pedi me la entregaran” (sic)</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b/>
          <w:bCs/>
          <w:sz w:val="24"/>
          <w:szCs w:val="24"/>
        </w:rPr>
      </w:pPr>
    </w:p>
    <w:p w:rsidR="000A4315" w:rsidRDefault="00162DE4">
      <w:pPr>
        <w:pBdr>
          <w:top w:val="nil"/>
          <w:left w:val="nil"/>
          <w:bottom w:val="nil"/>
          <w:right w:val="nil"/>
          <w:between w:val="nil"/>
        </w:pBdr>
        <w:spacing w:after="0" w:line="360" w:lineRule="auto"/>
        <w:ind w:right="-1071"/>
        <w:jc w:val="both"/>
        <w:rPr>
          <w:rFonts w:ascii="Palatino Linotype" w:eastAsia="Palatino Linotype" w:hAnsi="Palatino Linotype" w:cs="Palatino Linotype"/>
          <w:b/>
          <w:bCs/>
          <w:sz w:val="24"/>
          <w:szCs w:val="24"/>
        </w:rPr>
      </w:pPr>
      <w:r>
        <w:rPr>
          <w:rFonts w:ascii="Verdana" w:eastAsia="Verdana" w:hAnsi="Verdana" w:cs="Verdana"/>
          <w:sz w:val="24"/>
          <w:szCs w:val="24"/>
        </w:rPr>
        <w:br/>
      </w:r>
      <w:r>
        <w:rPr>
          <w:rFonts w:ascii="Palatino Linotype" w:eastAsia="Palatino Linotype" w:hAnsi="Palatino Linotype" w:cs="Palatino Linotype"/>
          <w:b/>
          <w:bCs/>
          <w:sz w:val="24"/>
          <w:szCs w:val="24"/>
        </w:rPr>
        <w:t>04360/INFOEM/IP/RR/2026</w:t>
      </w:r>
    </w:p>
    <w:p w:rsidR="000A4315" w:rsidRDefault="00162DE4">
      <w:pPr>
        <w:numPr>
          <w:ilvl w:val="0"/>
          <w:numId w:val="6"/>
        </w:numPr>
        <w:pBdr>
          <w:top w:val="nil"/>
          <w:left w:val="nil"/>
          <w:bottom w:val="nil"/>
          <w:right w:val="nil"/>
          <w:between w:val="nil"/>
        </w:pBdr>
        <w:spacing w:after="0" w:line="240" w:lineRule="auto"/>
        <w:ind w:right="-1071"/>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Acto impugnado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i/>
          <w:iCs/>
          <w:color w:val="000000"/>
          <w:sz w:val="24"/>
          <w:szCs w:val="24"/>
        </w:rPr>
        <w:t>“La respuesta” (sic)</w:t>
      </w:r>
    </w:p>
    <w:p w:rsidR="000A4315" w:rsidRDefault="000A4315">
      <w:pPr>
        <w:pBdr>
          <w:top w:val="nil"/>
          <w:left w:val="nil"/>
          <w:bottom w:val="nil"/>
          <w:right w:val="nil"/>
          <w:between w:val="nil"/>
        </w:pBdr>
        <w:ind w:left="567" w:right="-1071"/>
        <w:jc w:val="both"/>
        <w:rPr>
          <w:rFonts w:ascii="Palatino Linotype" w:eastAsia="Palatino Linotype" w:hAnsi="Palatino Linotype" w:cs="Palatino Linotype"/>
          <w:b/>
          <w:bCs/>
          <w:i/>
          <w:iCs/>
          <w:sz w:val="24"/>
          <w:szCs w:val="24"/>
        </w:rPr>
      </w:pPr>
    </w:p>
    <w:p w:rsidR="000A4315" w:rsidRDefault="00162DE4">
      <w:pPr>
        <w:numPr>
          <w:ilvl w:val="0"/>
          <w:numId w:val="6"/>
        </w:numPr>
        <w:pBdr>
          <w:top w:val="nil"/>
          <w:left w:val="nil"/>
          <w:bottom w:val="nil"/>
          <w:right w:val="nil"/>
          <w:between w:val="nil"/>
        </w:pBdr>
        <w:spacing w:after="0" w:line="360" w:lineRule="auto"/>
        <w:ind w:right="-1071"/>
        <w:jc w:val="both"/>
        <w:rPr>
          <w:rFonts w:ascii="Times New Roman" w:eastAsia="Times New Roman" w:hAnsi="Times New Roman" w:cs="Times New Roman"/>
          <w:color w:val="000000"/>
          <w:sz w:val="24"/>
          <w:szCs w:val="24"/>
        </w:rPr>
      </w:pPr>
      <w:r>
        <w:rPr>
          <w:rFonts w:ascii="Palatino Linotype" w:eastAsia="Palatino Linotype" w:hAnsi="Palatino Linotype" w:cs="Palatino Linotype"/>
          <w:b/>
          <w:bCs/>
          <w:color w:val="000000"/>
          <w:sz w:val="24"/>
          <w:szCs w:val="24"/>
        </w:rPr>
        <w:t xml:space="preserve">Razones o Motivos de inconformidad: </w:t>
      </w:r>
      <w:r>
        <w:rPr>
          <w:rFonts w:ascii="Palatino Linotype" w:eastAsia="Palatino Linotype" w:hAnsi="Palatino Linotype" w:cs="Palatino Linotype"/>
          <w:i/>
          <w:iCs/>
          <w:color w:val="000000"/>
          <w:sz w:val="24"/>
          <w:szCs w:val="24"/>
        </w:rPr>
        <w:t>“Necesito la informacion via electronicamente pues asi pedi me la entregaran” (sic)</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b/>
          <w:bCs/>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La Comisionada Ponente con fundamento en lo dispuesto por el artículo 185 fracción II de la ley de la materia, a través del acuerdo de admisión notificado en fecha </w:t>
      </w:r>
      <w:r>
        <w:rPr>
          <w:rFonts w:ascii="Palatino Linotype" w:eastAsia="Palatino Linotype" w:hAnsi="Palatino Linotype" w:cs="Palatino Linotype"/>
          <w:b/>
          <w:bCs/>
          <w:sz w:val="24"/>
          <w:szCs w:val="24"/>
        </w:rPr>
        <w:t>veinticuatro y veintisiete de abril de dos mil veintiséis</w:t>
      </w:r>
      <w:r>
        <w:rPr>
          <w:rFonts w:ascii="Palatino Linotype" w:eastAsia="Palatino Linotype" w:hAnsi="Palatino Linotype" w:cs="Palatino Linotype"/>
          <w:sz w:val="24"/>
          <w:szCs w:val="24"/>
        </w:rPr>
        <w:t xml:space="preserve">, puso a disposición de las partes el expediente electrónico vía </w:t>
      </w:r>
      <w:r>
        <w:rPr>
          <w:rFonts w:ascii="Palatino Linotype" w:eastAsia="Palatino Linotype" w:hAnsi="Palatino Linotype" w:cs="Palatino Linotype"/>
          <w:b/>
          <w:bCs/>
          <w:sz w:val="24"/>
          <w:szCs w:val="24"/>
        </w:rPr>
        <w:t xml:space="preserve">SAIMEX </w:t>
      </w:r>
      <w:r>
        <w:rPr>
          <w:rFonts w:ascii="Palatino Linotype" w:eastAsia="Palatino Linotype" w:hAnsi="Palatino Linotype" w:cs="Palatino Linotype"/>
          <w:sz w:val="24"/>
          <w:szCs w:val="24"/>
        </w:rPr>
        <w:t xml:space="preserve">a efecto de que en un plazo máximo de siete días manifestara lo que a su derecho conviniera, ofreciera pruebas y alegatos según corresponda a los casos concretos, y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presentará el Informe Justificado procedente.</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lastRenderedPageBreak/>
        <w:t xml:space="preserve">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rindió el Informe Justificado correspondiente por el que medularmente confirma las respuestas primigenias.</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fuera omiso en realizar manifestaciones conforme a su derecho conviniera y/o asistiera.</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catorce y diecinueve de mayo de dos mil veintiséis</w:t>
      </w:r>
      <w:r>
        <w:rPr>
          <w:rFonts w:ascii="Palatino Linotype" w:eastAsia="Palatino Linotype" w:hAnsi="Palatino Linotype" w:cs="Palatino Linotype"/>
          <w:sz w:val="24"/>
          <w:szCs w:val="24"/>
        </w:rPr>
        <w:t xml:space="preserve">, se notificó el acuerdo mediante el cual se aprobó la ampliación de plazo para emitir resolución. </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Posteriormente el Pleno de este Órgano Autónomo, mediante acuerdo de </w:t>
      </w:r>
      <w:r>
        <w:rPr>
          <w:rFonts w:ascii="Palatino Linotype" w:eastAsia="Palatino Linotype" w:hAnsi="Palatino Linotype" w:cs="Palatino Linotype"/>
          <w:b/>
          <w:bCs/>
          <w:color w:val="000000"/>
          <w:sz w:val="24"/>
          <w:szCs w:val="24"/>
        </w:rPr>
        <w:t xml:space="preserve">siete de mayo de dos mil veintiséis, </w:t>
      </w:r>
      <w:r>
        <w:rPr>
          <w:rFonts w:ascii="Palatino Linotype" w:eastAsia="Palatino Linotype" w:hAnsi="Palatino Linotype" w:cs="Palatino Linotype"/>
          <w:color w:val="000000"/>
          <w:sz w:val="24"/>
          <w:szCs w:val="24"/>
        </w:rPr>
        <w:t xml:space="preserve">ordenó la acumulación de los recursos de revisión de mérito, a efecto de que la Ponencia de la </w:t>
      </w:r>
      <w:r>
        <w:rPr>
          <w:rFonts w:ascii="Palatino Linotype" w:eastAsia="Palatino Linotype" w:hAnsi="Palatino Linotype" w:cs="Palatino Linotype"/>
          <w:b/>
          <w:bCs/>
          <w:color w:val="000000"/>
          <w:sz w:val="24"/>
          <w:szCs w:val="24"/>
        </w:rPr>
        <w:t xml:space="preserve">Comisionada María del Rosario Mejía Ayala </w:t>
      </w:r>
      <w:r>
        <w:rPr>
          <w:rFonts w:ascii="Palatino Linotype" w:eastAsia="Palatino Linotype" w:hAnsi="Palatino Linotype" w:cs="Palatino Linotype"/>
          <w:sz w:val="24"/>
          <w:szCs w:val="24"/>
        </w:rPr>
        <w:t>formulará</w:t>
      </w:r>
      <w:r>
        <w:rPr>
          <w:rFonts w:ascii="Palatino Linotype" w:eastAsia="Palatino Linotype" w:hAnsi="Palatino Linotype" w:cs="Palatino Linotype"/>
          <w:color w:val="000000"/>
          <w:sz w:val="24"/>
          <w:szCs w:val="24"/>
        </w:rPr>
        <w:t xml:space="preserve"> y presentara el proyecto de resolución correspondiente, de conformidad con el numeral ONCE incisos b) y c) de los Lineamientos para la Recepción, Trámite y Resolución de las Solicitudes de Acceso a la Información Pública, así como de los Recursos de Revisión que deberán observar los Sujetos Obligados por la Ley de Transparencia Estatal</w:t>
      </w:r>
      <w:r>
        <w:rPr>
          <w:rFonts w:ascii="Palatino Linotype" w:eastAsia="Palatino Linotype" w:hAnsi="Palatino Linotype" w:cs="Palatino Linotype"/>
          <w:i/>
          <w:iCs/>
          <w:color w:val="000000"/>
          <w:sz w:val="24"/>
          <w:szCs w:val="24"/>
          <w:vertAlign w:val="superscript"/>
        </w:rPr>
        <w:footnoteReference w:id="1"/>
      </w:r>
      <w:r>
        <w:rPr>
          <w:rFonts w:ascii="Palatino Linotype" w:eastAsia="Palatino Linotype" w:hAnsi="Palatino Linotype" w:cs="Palatino Linotype"/>
          <w:color w:val="000000"/>
          <w:sz w:val="24"/>
          <w:szCs w:val="24"/>
        </w:rPr>
        <w:t>, que señala:</w:t>
      </w:r>
    </w:p>
    <w:p w:rsidR="000A4315" w:rsidRDefault="00162DE4">
      <w:pPr>
        <w:pBdr>
          <w:top w:val="nil"/>
          <w:left w:val="nil"/>
          <w:bottom w:val="nil"/>
          <w:right w:val="nil"/>
          <w:between w:val="nil"/>
        </w:pBdr>
        <w:tabs>
          <w:tab w:val="left" w:pos="426"/>
        </w:tabs>
        <w:spacing w:line="360" w:lineRule="auto"/>
        <w:ind w:left="567"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“ONCE.</w:t>
      </w:r>
      <w:r>
        <w:rPr>
          <w:rFonts w:ascii="Palatino Linotype" w:eastAsia="Palatino Linotype" w:hAnsi="Palatino Linotype" w:cs="Palatino Linotype"/>
          <w:i/>
          <w:iCs/>
          <w:color w:val="000000"/>
          <w:sz w:val="24"/>
          <w:szCs w:val="24"/>
        </w:rPr>
        <w:t xml:space="preserve"> El Instituto, para mejor resolver y evitar la emisión de resoluciones contradictorias, podrá acordar la acumulación de los expedientes de recursos de revisión, de oficio o a petición de parte cuando:</w:t>
      </w:r>
    </w:p>
    <w:p w:rsidR="000A4315" w:rsidRDefault="00162DE4">
      <w:pPr>
        <w:pBdr>
          <w:top w:val="nil"/>
          <w:left w:val="nil"/>
          <w:bottom w:val="nil"/>
          <w:right w:val="nil"/>
          <w:between w:val="nil"/>
        </w:pBdr>
        <w:tabs>
          <w:tab w:val="left" w:pos="426"/>
        </w:tabs>
        <w:spacing w:line="360" w:lineRule="auto"/>
        <w:ind w:left="567"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r>
        <w:rPr>
          <w:rFonts w:ascii="Palatino Linotype" w:eastAsia="Palatino Linotype" w:hAnsi="Palatino Linotype" w:cs="Palatino Linotype"/>
          <w:i/>
          <w:iCs/>
          <w:color w:val="000000"/>
          <w:sz w:val="24"/>
          <w:szCs w:val="24"/>
        </w:rPr>
        <w:tab/>
      </w:r>
    </w:p>
    <w:p w:rsidR="000A4315" w:rsidRDefault="00162DE4">
      <w:pPr>
        <w:pBdr>
          <w:top w:val="nil"/>
          <w:left w:val="nil"/>
          <w:bottom w:val="nil"/>
          <w:right w:val="nil"/>
          <w:between w:val="nil"/>
        </w:pBdr>
        <w:tabs>
          <w:tab w:val="left" w:pos="426"/>
        </w:tabs>
        <w:spacing w:line="360" w:lineRule="auto"/>
        <w:ind w:left="567"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b) Las partes o los actos impugnados sean iguales</w:t>
      </w:r>
    </w:p>
    <w:p w:rsidR="000A4315" w:rsidRDefault="00162DE4">
      <w:pPr>
        <w:pBdr>
          <w:top w:val="nil"/>
          <w:left w:val="nil"/>
          <w:bottom w:val="nil"/>
          <w:right w:val="nil"/>
          <w:between w:val="nil"/>
        </w:pBdr>
        <w:tabs>
          <w:tab w:val="left" w:pos="426"/>
        </w:tabs>
        <w:spacing w:line="360" w:lineRule="auto"/>
        <w:ind w:left="567"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c) Cuando se trate del mismo solicitante, el mismo SUJETO OBLIGADO, aunque se trate de solicitudes diversas;</w:t>
      </w:r>
    </w:p>
    <w:p w:rsidR="000A4315" w:rsidRDefault="00162DE4">
      <w:pPr>
        <w:pBdr>
          <w:top w:val="nil"/>
          <w:left w:val="nil"/>
          <w:bottom w:val="nil"/>
          <w:right w:val="nil"/>
          <w:between w:val="nil"/>
        </w:pBdr>
        <w:tabs>
          <w:tab w:val="left" w:pos="426"/>
        </w:tabs>
        <w:spacing w:line="360" w:lineRule="auto"/>
        <w:ind w:left="567"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0A4315" w:rsidRDefault="00162DE4">
      <w:pPr>
        <w:pBdr>
          <w:top w:val="nil"/>
          <w:left w:val="nil"/>
          <w:bottom w:val="nil"/>
          <w:right w:val="nil"/>
          <w:between w:val="nil"/>
        </w:pBdr>
        <w:tabs>
          <w:tab w:val="left" w:pos="426"/>
        </w:tabs>
        <w:spacing w:line="360" w:lineRule="auto"/>
        <w:ind w:left="567" w:right="-107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(Énfasis añadido)</w:t>
      </w:r>
    </w:p>
    <w:p w:rsidR="000A4315" w:rsidRDefault="000A4315">
      <w:pPr>
        <w:pBdr>
          <w:top w:val="nil"/>
          <w:left w:val="nil"/>
          <w:bottom w:val="nil"/>
          <w:right w:val="nil"/>
          <w:between w:val="nil"/>
        </w:pBdr>
        <w:tabs>
          <w:tab w:val="left" w:pos="426"/>
        </w:tabs>
        <w:spacing w:line="360" w:lineRule="auto"/>
        <w:ind w:left="567"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Es así que,</w:t>
      </w:r>
      <w:r>
        <w:rPr>
          <w:rFonts w:ascii="Palatino Linotype" w:eastAsia="Palatino Linotype" w:hAnsi="Palatino Linotype" w:cs="Palatino Linotype"/>
          <w:i/>
          <w:iCs/>
          <w:color w:val="000000"/>
          <w:sz w:val="24"/>
          <w:szCs w:val="24"/>
        </w:rPr>
        <w:t xml:space="preserve"> </w:t>
      </w:r>
      <w:r>
        <w:rPr>
          <w:rFonts w:ascii="Palatino Linotype" w:eastAsia="Palatino Linotype" w:hAnsi="Palatino Linotype" w:cs="Palatino Linotype"/>
          <w:color w:val="000000"/>
          <w:sz w:val="24"/>
          <w:szCs w:val="24"/>
        </w:rPr>
        <w:t xml:space="preserve">resulta conveniente su trámite de forma unificada para mejor resolver y evitar la emisión de resoluciones contradictorias, por ello resultó procedente que este Órgano Garante </w:t>
      </w:r>
      <w:r>
        <w:rPr>
          <w:rFonts w:ascii="Palatino Linotype" w:eastAsia="Palatino Linotype" w:hAnsi="Palatino Linotype" w:cs="Palatino Linotype"/>
          <w:sz w:val="24"/>
          <w:szCs w:val="24"/>
        </w:rPr>
        <w:t>realizará</w:t>
      </w:r>
      <w:r>
        <w:rPr>
          <w:rFonts w:ascii="Palatino Linotype" w:eastAsia="Palatino Linotype" w:hAnsi="Palatino Linotype" w:cs="Palatino Linotype"/>
          <w:color w:val="000000"/>
          <w:sz w:val="24"/>
          <w:szCs w:val="24"/>
        </w:rPr>
        <w:t xml:space="preserve">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rsidR="000A4315" w:rsidRDefault="00162DE4">
      <w:pPr>
        <w:pBdr>
          <w:top w:val="nil"/>
          <w:left w:val="nil"/>
          <w:bottom w:val="nil"/>
          <w:right w:val="nil"/>
          <w:between w:val="nil"/>
        </w:pBdr>
        <w:ind w:left="567" w:right="-1071"/>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Código de Procedimientos Administrativos del Estado de México.</w:t>
      </w:r>
    </w:p>
    <w:p w:rsidR="000A4315" w:rsidRDefault="00162DE4">
      <w:pPr>
        <w:pBdr>
          <w:top w:val="nil"/>
          <w:left w:val="nil"/>
          <w:bottom w:val="nil"/>
          <w:right w:val="nil"/>
          <w:between w:val="nil"/>
        </w:pBdr>
        <w:ind w:left="567"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18.-</w:t>
      </w:r>
      <w:r>
        <w:rPr>
          <w:rFonts w:ascii="Palatino Linotype" w:eastAsia="Palatino Linotype" w:hAnsi="Palatino Linotype" w:cs="Palatino Linotype"/>
          <w:i/>
          <w:iCs/>
          <w:color w:val="000000"/>
          <w:sz w:val="24"/>
          <w:szCs w:val="24"/>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rsidR="000A4315" w:rsidRDefault="00162DE4">
      <w:pPr>
        <w:pBdr>
          <w:top w:val="nil"/>
          <w:left w:val="nil"/>
          <w:bottom w:val="nil"/>
          <w:right w:val="nil"/>
          <w:between w:val="nil"/>
        </w:pBdr>
        <w:ind w:left="567" w:right="-1071"/>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Ley de Transparencia y Acceso a la Información Pública del Estado de México y Municipios</w:t>
      </w:r>
    </w:p>
    <w:p w:rsidR="000A4315" w:rsidRDefault="00162DE4">
      <w:pPr>
        <w:pBdr>
          <w:top w:val="nil"/>
          <w:left w:val="nil"/>
          <w:bottom w:val="nil"/>
          <w:right w:val="nil"/>
          <w:between w:val="nil"/>
        </w:pBdr>
        <w:ind w:left="567"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195.</w:t>
      </w:r>
      <w:r>
        <w:rPr>
          <w:rFonts w:ascii="Palatino Linotype" w:eastAsia="Palatino Linotype" w:hAnsi="Palatino Linotype" w:cs="Palatino Linotype"/>
          <w:i/>
          <w:iCs/>
          <w:color w:val="000000"/>
          <w:sz w:val="24"/>
          <w:szCs w:val="24"/>
        </w:rPr>
        <w:t xml:space="preserve"> En la tramitación del recurso de revisión se aplicarán supletoriamente las disposiciones contenidas en el Código de Procedimientos Administrativos del Estado de México.”</w:t>
      </w:r>
    </w:p>
    <w:p w:rsidR="000A4315" w:rsidRDefault="00162DE4">
      <w:pPr>
        <w:pBdr>
          <w:top w:val="nil"/>
          <w:left w:val="nil"/>
          <w:bottom w:val="nil"/>
          <w:right w:val="nil"/>
          <w:between w:val="nil"/>
        </w:pBdr>
        <w:ind w:left="567" w:right="-1071" w:firstLine="36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(Énfasis añadido)</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lastRenderedPageBreak/>
        <w:t xml:space="preserve">Mediante acuerdo de </w:t>
      </w:r>
      <w:r>
        <w:rPr>
          <w:rFonts w:ascii="Palatino Linotype" w:eastAsia="Palatino Linotype" w:hAnsi="Palatino Linotype" w:cs="Palatino Linotype"/>
          <w:b/>
          <w:bCs/>
          <w:sz w:val="24"/>
          <w:szCs w:val="24"/>
        </w:rPr>
        <w:t>veinticinco de mayo de dos mil veintiséis</w:t>
      </w:r>
      <w:r>
        <w:rPr>
          <w:rFonts w:ascii="Palatino Linotype" w:eastAsia="Palatino Linotype" w:hAnsi="Palatino Linotype" w:cs="Palatino Linotype"/>
          <w:sz w:val="24"/>
          <w:szCs w:val="24"/>
        </w:rPr>
        <w:t>, se  decretó el cierre de instrucción, por lo que no habiendo más que hacer constar, y</w:t>
      </w:r>
    </w:p>
    <w:p w:rsidR="000A4315" w:rsidRDefault="000A4315">
      <w:pPr>
        <w:pBdr>
          <w:top w:val="nil"/>
          <w:left w:val="nil"/>
          <w:bottom w:val="nil"/>
          <w:right w:val="nil"/>
          <w:between w:val="nil"/>
        </w:pBdr>
        <w:spacing w:line="360" w:lineRule="auto"/>
        <w:ind w:right="-1071"/>
        <w:jc w:val="both"/>
        <w:rPr>
          <w:rFonts w:ascii="Palatino Linotype" w:eastAsia="Palatino Linotype" w:hAnsi="Palatino Linotype" w:cs="Palatino Linotype"/>
          <w:b/>
          <w:bCs/>
          <w:sz w:val="24"/>
          <w:szCs w:val="24"/>
        </w:rPr>
      </w:pPr>
    </w:p>
    <w:p w:rsidR="000A4315" w:rsidRDefault="00162DE4">
      <w:pPr>
        <w:pStyle w:val="Ttulo1"/>
        <w:tabs>
          <w:tab w:val="left" w:pos="567"/>
        </w:tabs>
        <w:spacing w:before="0" w:line="360" w:lineRule="auto"/>
        <w:ind w:right="-1071"/>
        <w:jc w:val="center"/>
        <w:rPr>
          <w:rFonts w:ascii="Palatino Linotype" w:eastAsia="Palatino Linotype" w:hAnsi="Palatino Linotype" w:cs="Palatino Linotype"/>
          <w:b/>
          <w:bCs/>
          <w:color w:val="000000"/>
          <w:sz w:val="24"/>
          <w:szCs w:val="24"/>
        </w:rPr>
      </w:pPr>
      <w:bookmarkStart w:id="2" w:name="_heading=h.tyjcwt" w:colFirst="0" w:colLast="0"/>
      <w:bookmarkEnd w:id="2"/>
      <w:r>
        <w:rPr>
          <w:rFonts w:ascii="Palatino Linotype" w:eastAsia="Palatino Linotype" w:hAnsi="Palatino Linotype" w:cs="Palatino Linotype"/>
          <w:b/>
          <w:bCs/>
          <w:color w:val="000000"/>
          <w:sz w:val="24"/>
          <w:szCs w:val="24"/>
        </w:rPr>
        <w:t>C O N S I D E R A N D O</w:t>
      </w:r>
    </w:p>
    <w:p w:rsidR="000A4315" w:rsidRDefault="000A4315">
      <w:pPr>
        <w:ind w:right="-1071"/>
        <w:rPr>
          <w:rFonts w:ascii="Palatino Linotype" w:eastAsia="Palatino Linotype" w:hAnsi="Palatino Linotype" w:cs="Palatino Linotype"/>
          <w:sz w:val="24"/>
          <w:szCs w:val="24"/>
        </w:rPr>
      </w:pPr>
    </w:p>
    <w:p w:rsidR="000A4315" w:rsidRDefault="00162DE4">
      <w:pPr>
        <w:pStyle w:val="Ttulo1"/>
        <w:tabs>
          <w:tab w:val="left" w:pos="567"/>
        </w:tabs>
        <w:spacing w:before="0" w:line="360" w:lineRule="auto"/>
        <w:ind w:right="-1071"/>
        <w:rPr>
          <w:rFonts w:ascii="Palatino Linotype" w:eastAsia="Palatino Linotype" w:hAnsi="Palatino Linotype" w:cs="Palatino Linotype"/>
          <w:b/>
          <w:bCs/>
          <w:color w:val="000000"/>
          <w:sz w:val="24"/>
          <w:szCs w:val="24"/>
        </w:rPr>
      </w:pPr>
      <w:bookmarkStart w:id="3" w:name="_heading=h.3dy6vkm" w:colFirst="0" w:colLast="0"/>
      <w:bookmarkEnd w:id="3"/>
      <w:r>
        <w:rPr>
          <w:rFonts w:ascii="Palatino Linotype" w:eastAsia="Palatino Linotype" w:hAnsi="Palatino Linotype" w:cs="Palatino Linotype"/>
          <w:b/>
          <w:bCs/>
          <w:color w:val="000000"/>
          <w:sz w:val="24"/>
          <w:szCs w:val="24"/>
        </w:rPr>
        <w:t>PRIMERO. De la competencia</w:t>
      </w: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pStyle w:val="Ttulo1"/>
        <w:tabs>
          <w:tab w:val="left" w:pos="567"/>
        </w:tabs>
        <w:spacing w:before="0" w:line="360" w:lineRule="auto"/>
        <w:ind w:right="-1071"/>
        <w:rPr>
          <w:rFonts w:ascii="Palatino Linotype" w:eastAsia="Palatino Linotype" w:hAnsi="Palatino Linotype" w:cs="Palatino Linotype"/>
          <w:b/>
          <w:bCs/>
          <w:color w:val="000000"/>
          <w:sz w:val="24"/>
          <w:szCs w:val="24"/>
        </w:rPr>
      </w:pPr>
      <w:bookmarkStart w:id="4" w:name="_heading=h.1t3h5sf" w:colFirst="0" w:colLast="0"/>
      <w:bookmarkEnd w:id="4"/>
      <w:r>
        <w:rPr>
          <w:rFonts w:ascii="Palatino Linotype" w:eastAsia="Palatino Linotype" w:hAnsi="Palatino Linotype" w:cs="Palatino Linotype"/>
          <w:b/>
          <w:bCs/>
          <w:color w:val="000000"/>
          <w:sz w:val="24"/>
          <w:szCs w:val="24"/>
        </w:rPr>
        <w:t>SEGUNDO. De la oportunidad y procedencia.</w:t>
      </w: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 El medio de impugnación fue presentado a través del </w:t>
      </w:r>
      <w:r>
        <w:rPr>
          <w:rFonts w:ascii="Palatino Linotype" w:eastAsia="Palatino Linotype" w:hAnsi="Palatino Linotype" w:cs="Palatino Linotype"/>
          <w:b/>
          <w:bCs/>
          <w:sz w:val="24"/>
          <w:szCs w:val="24"/>
        </w:rPr>
        <w:t>SAIMEX,</w:t>
      </w:r>
      <w:r>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entregó sus respuestas el </w:t>
      </w:r>
      <w:r>
        <w:rPr>
          <w:rFonts w:ascii="Palatino Linotype" w:eastAsia="Palatino Linotype" w:hAnsi="Palatino Linotype" w:cs="Palatino Linotype"/>
          <w:b/>
          <w:bCs/>
          <w:sz w:val="24"/>
          <w:szCs w:val="24"/>
        </w:rPr>
        <w:t>veintidós de abril de dos mil veintiséis</w:t>
      </w:r>
      <w:r>
        <w:rPr>
          <w:rFonts w:ascii="Palatino Linotype" w:eastAsia="Palatino Linotype" w:hAnsi="Palatino Linotype" w:cs="Palatino Linotype"/>
          <w:sz w:val="24"/>
          <w:szCs w:val="24"/>
        </w:rPr>
        <w:t xml:space="preserve">, de tal forma que el plazo para interponer los recursos de revisión transcurrieron del </w:t>
      </w:r>
      <w:r>
        <w:rPr>
          <w:rFonts w:ascii="Palatino Linotype" w:eastAsia="Palatino Linotype" w:hAnsi="Palatino Linotype" w:cs="Palatino Linotype"/>
          <w:b/>
          <w:bCs/>
          <w:sz w:val="24"/>
          <w:szCs w:val="24"/>
        </w:rPr>
        <w:t>veintitrés de abril al quince de mayo de dos mil veintiséis</w:t>
      </w:r>
      <w:r>
        <w:rPr>
          <w:rFonts w:ascii="Palatino Linotype" w:eastAsia="Palatino Linotype" w:hAnsi="Palatino Linotype" w:cs="Palatino Linotype"/>
          <w:sz w:val="24"/>
          <w:szCs w:val="24"/>
        </w:rPr>
        <w:t xml:space="preserve">; en consecuencia, el ahora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sz w:val="24"/>
          <w:szCs w:val="24"/>
        </w:rPr>
        <w:t xml:space="preserve"> presentó sus inconformidades el </w:t>
      </w:r>
      <w:r>
        <w:rPr>
          <w:rFonts w:ascii="Palatino Linotype" w:eastAsia="Palatino Linotype" w:hAnsi="Palatino Linotype" w:cs="Palatino Linotype"/>
          <w:b/>
          <w:bCs/>
          <w:sz w:val="24"/>
          <w:szCs w:val="24"/>
        </w:rPr>
        <w:lastRenderedPageBreak/>
        <w:t>veintitrés de abril de dos mil veintiséis</w:t>
      </w:r>
      <w:r>
        <w:rPr>
          <w:rFonts w:ascii="Palatino Linotype" w:eastAsia="Palatino Linotype" w:hAnsi="Palatino Linotype" w:cs="Palatino Linotype"/>
          <w:sz w:val="24"/>
          <w:szCs w:val="24"/>
        </w:rPr>
        <w:t>; por lo que se estima que las mismas,  se presentó dentro del lapso legalmente establecido para tal efecto.</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keepNext/>
        <w:keepLines/>
        <w:spacing w:after="0" w:line="360" w:lineRule="auto"/>
        <w:ind w:right="-107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sz w:val="24"/>
          <w:szCs w:val="24"/>
        </w:rPr>
        <w:t>De las constancias en el expediente al rubro indicado, se desprende que la particular solicitó la información que a continuación se desagrega:</w:t>
      </w:r>
    </w:p>
    <w:p w:rsidR="000A4315" w:rsidRDefault="000A4315">
      <w:pPr>
        <w:pBdr>
          <w:top w:val="nil"/>
          <w:left w:val="nil"/>
          <w:bottom w:val="nil"/>
          <w:right w:val="nil"/>
          <w:between w:val="nil"/>
        </w:pBdr>
        <w:spacing w:after="0" w:line="240" w:lineRule="auto"/>
        <w:ind w:right="-1071"/>
        <w:rPr>
          <w:rFonts w:ascii="Palatino Linotype" w:eastAsia="Palatino Linotype" w:hAnsi="Palatino Linotype" w:cs="Palatino Linotype"/>
          <w:b/>
          <w:bCs/>
          <w:sz w:val="24"/>
          <w:szCs w:val="24"/>
        </w:rPr>
      </w:pPr>
    </w:p>
    <w:p w:rsidR="000A4315" w:rsidRDefault="00162DE4">
      <w:pPr>
        <w:numPr>
          <w:ilvl w:val="0"/>
          <w:numId w:val="7"/>
        </w:numPr>
        <w:pBdr>
          <w:top w:val="nil"/>
          <w:left w:val="nil"/>
          <w:bottom w:val="nil"/>
          <w:right w:val="nil"/>
          <w:between w:val="nil"/>
        </w:pBdr>
        <w:spacing w:after="0" w:line="276" w:lineRule="auto"/>
        <w:ind w:right="-107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El listado de acuerdos, convenios y contratos con los sectores público, social y privado para el cumplimiento del objeto del Instituto suscritos por el Director General del IMEJ durante el 2024, 2025 y 2026.</w:t>
      </w:r>
    </w:p>
    <w:p w:rsidR="000A4315" w:rsidRDefault="000A4315">
      <w:pPr>
        <w:pBdr>
          <w:top w:val="nil"/>
          <w:left w:val="nil"/>
          <w:bottom w:val="nil"/>
          <w:right w:val="nil"/>
          <w:between w:val="nil"/>
        </w:pBdr>
        <w:spacing w:after="0" w:line="276" w:lineRule="auto"/>
        <w:ind w:left="1498"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ofreció el cambio de modalidad en consulta directa.</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Inconforme con la respuesta proporcionada por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interpuso los recursos de revisión arguyendo la negativa de la entrega de la entrega de la información. </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En dichas condiciones, la </w:t>
      </w:r>
      <w:r>
        <w:rPr>
          <w:rFonts w:ascii="Palatino Linotype" w:eastAsia="Palatino Linotype" w:hAnsi="Palatino Linotype" w:cs="Palatino Linotype"/>
          <w:i/>
          <w:iCs/>
          <w:color w:val="000000"/>
          <w:sz w:val="24"/>
          <w:szCs w:val="24"/>
        </w:rPr>
        <w:t>Litis</w:t>
      </w:r>
      <w:r>
        <w:rPr>
          <w:rFonts w:ascii="Palatino Linotype" w:eastAsia="Palatino Linotype" w:hAnsi="Palatino Linotype" w:cs="Palatino Linotype"/>
          <w:color w:val="000000"/>
          <w:sz w:val="24"/>
          <w:szCs w:val="24"/>
        </w:rPr>
        <w:t xml:space="preserve"> a resolver en estos recursos se circunscribe a determinar si se actualizan las causales de procedencia previstas en el artículo 179, </w:t>
      </w:r>
      <w:r>
        <w:rPr>
          <w:rFonts w:ascii="Palatino Linotype" w:eastAsia="Palatino Linotype" w:hAnsi="Palatino Linotype" w:cs="Palatino Linotype"/>
          <w:b/>
          <w:bCs/>
          <w:color w:val="000000"/>
          <w:sz w:val="24"/>
          <w:szCs w:val="24"/>
        </w:rPr>
        <w:t xml:space="preserve">fracción I </w:t>
      </w:r>
      <w:r>
        <w:rPr>
          <w:rFonts w:ascii="Palatino Linotype" w:eastAsia="Palatino Linotype" w:hAnsi="Palatino Linotype" w:cs="Palatino Linotype"/>
          <w:color w:val="000000"/>
          <w:sz w:val="24"/>
          <w:szCs w:val="24"/>
        </w:rPr>
        <w:t>de la Ley</w:t>
      </w:r>
      <w:r>
        <w:rPr>
          <w:rFonts w:ascii="Palatino Linotype" w:eastAsia="Palatino Linotype" w:hAnsi="Palatino Linotype" w:cs="Palatino Linotype"/>
          <w:b/>
          <w:bCs/>
          <w:color w:val="000000"/>
          <w:sz w:val="24"/>
          <w:szCs w:val="24"/>
        </w:rPr>
        <w:t xml:space="preserve"> de Transparencia y Acceso a la Información Pública del Estado de </w:t>
      </w:r>
      <w:r>
        <w:rPr>
          <w:rFonts w:ascii="Palatino Linotype" w:eastAsia="Palatino Linotype" w:hAnsi="Palatino Linotype" w:cs="Palatino Linotype"/>
          <w:color w:val="000000"/>
          <w:sz w:val="24"/>
          <w:szCs w:val="24"/>
        </w:rPr>
        <w:t>México</w:t>
      </w:r>
      <w:r>
        <w:rPr>
          <w:rFonts w:ascii="Palatino Linotype" w:eastAsia="Palatino Linotype" w:hAnsi="Palatino Linotype" w:cs="Palatino Linotype"/>
          <w:b/>
          <w:bCs/>
          <w:color w:val="000000"/>
          <w:sz w:val="24"/>
          <w:szCs w:val="24"/>
        </w:rPr>
        <w:t xml:space="preserve"> y Municipios</w:t>
      </w:r>
      <w:r>
        <w:rPr>
          <w:rFonts w:ascii="Palatino Linotype" w:eastAsia="Palatino Linotype" w:hAnsi="Palatino Linotype" w:cs="Palatino Linotype"/>
          <w:color w:val="000000"/>
          <w:sz w:val="24"/>
          <w:szCs w:val="24"/>
        </w:rPr>
        <w:t xml:space="preserve">; fracción que determina la hipótesis jurídica relativa a la negativa a la información solicitada; contexto del cual se dolió </w:t>
      </w:r>
      <w:r>
        <w:rPr>
          <w:rFonts w:ascii="Palatino Linotype" w:eastAsia="Palatino Linotype" w:hAnsi="Palatino Linotype" w:cs="Palatino Linotype"/>
          <w:b/>
          <w:bCs/>
          <w:color w:val="000000"/>
          <w:sz w:val="24"/>
          <w:szCs w:val="24"/>
        </w:rPr>
        <w:t xml:space="preserve">EL RECURRENTE </w:t>
      </w:r>
      <w:r>
        <w:rPr>
          <w:rFonts w:ascii="Palatino Linotype" w:eastAsia="Palatino Linotype" w:hAnsi="Palatino Linotype" w:cs="Palatino Linotype"/>
          <w:color w:val="000000"/>
          <w:sz w:val="24"/>
          <w:szCs w:val="24"/>
        </w:rPr>
        <w:t>al momento de interponer su inconformidad.</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De modo tal que el presente recurso de revisión se abocara en determinar si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con su respuesta ciertamente actualizan las causales de procedencia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antes señalada; asimismo, determinar si se vulnera el derecho de acceso a la información del </w:t>
      </w:r>
      <w:r>
        <w:rPr>
          <w:rFonts w:ascii="Palatino Linotype" w:eastAsia="Palatino Linotype" w:hAnsi="Palatino Linotype" w:cs="Palatino Linotype"/>
          <w:color w:val="000000"/>
          <w:sz w:val="24"/>
          <w:szCs w:val="24"/>
        </w:rPr>
        <w:lastRenderedPageBreak/>
        <w:t>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0A4315" w:rsidRDefault="000A4315">
      <w:pPr>
        <w:pBdr>
          <w:top w:val="nil"/>
          <w:left w:val="nil"/>
          <w:bottom w:val="nil"/>
          <w:right w:val="nil"/>
          <w:between w:val="nil"/>
        </w:pBdr>
        <w:tabs>
          <w:tab w:val="left" w:pos="426"/>
          <w:tab w:val="left" w:pos="567"/>
        </w:tabs>
        <w:spacing w:after="0" w:line="360" w:lineRule="auto"/>
        <w:ind w:right="-1071"/>
        <w:jc w:val="both"/>
        <w:rPr>
          <w:rFonts w:ascii="Palatino Linotype" w:eastAsia="Palatino Linotype" w:hAnsi="Palatino Linotype" w:cs="Palatino Linotype"/>
          <w:b/>
          <w:bCs/>
          <w:color w:val="000000"/>
          <w:sz w:val="24"/>
          <w:szCs w:val="24"/>
        </w:rPr>
      </w:pPr>
    </w:p>
    <w:p w:rsidR="000A4315" w:rsidRDefault="00162DE4">
      <w:pPr>
        <w:keepNext/>
        <w:keepLines/>
        <w:spacing w:after="0" w:line="360" w:lineRule="auto"/>
        <w:ind w:right="-107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CUARTO. Del estudio y resolución del asunto.</w:t>
      </w: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Acotada la </w:t>
      </w:r>
      <w:r>
        <w:rPr>
          <w:rFonts w:ascii="Palatino Linotype" w:eastAsia="Palatino Linotype" w:hAnsi="Palatino Linotype" w:cs="Palatino Linotype"/>
          <w:i/>
          <w:iCs/>
          <w:color w:val="000000"/>
          <w:sz w:val="24"/>
          <w:szCs w:val="24"/>
        </w:rPr>
        <w:t>Litis</w:t>
      </w:r>
      <w:r>
        <w:rPr>
          <w:rFonts w:ascii="Palatino Linotype" w:eastAsia="Palatino Linotype" w:hAnsi="Palatino Linotype" w:cs="Palatino Linotype"/>
          <w:color w:val="000000"/>
          <w:sz w:val="24"/>
          <w:szCs w:val="24"/>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0A4315" w:rsidRDefault="000A4315">
      <w:pPr>
        <w:pBdr>
          <w:top w:val="nil"/>
          <w:left w:val="nil"/>
          <w:bottom w:val="nil"/>
          <w:right w:val="nil"/>
          <w:between w:val="nil"/>
        </w:pBdr>
        <w:tabs>
          <w:tab w:val="left" w:pos="426"/>
          <w:tab w:val="left" w:pos="567"/>
        </w:tabs>
        <w:spacing w:after="0"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0A4315" w:rsidRDefault="000A4315">
      <w:pP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lastRenderedPageBreak/>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0A4315" w:rsidRDefault="000A4315">
      <w:pPr>
        <w:pBdr>
          <w:top w:val="nil"/>
          <w:left w:val="nil"/>
          <w:bottom w:val="nil"/>
          <w:right w:val="nil"/>
          <w:between w:val="nil"/>
        </w:pBdr>
        <w:spacing w:after="0" w:line="360" w:lineRule="auto"/>
        <w:ind w:left="708" w:right="-1071"/>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0A4315" w:rsidRDefault="000A4315">
      <w:pPr>
        <w:spacing w:after="0" w:line="360" w:lineRule="auto"/>
        <w:ind w:right="-1071"/>
        <w:rPr>
          <w:rFonts w:ascii="Palatino Linotype" w:eastAsia="Palatino Linotype" w:hAnsi="Palatino Linotype" w:cs="Palatino Linotype"/>
          <w:sz w:val="24"/>
          <w:szCs w:val="24"/>
        </w:rPr>
      </w:pPr>
    </w:p>
    <w:p w:rsidR="000A4315" w:rsidRDefault="00162DE4">
      <w:pPr>
        <w:numPr>
          <w:ilvl w:val="0"/>
          <w:numId w:val="3"/>
        </w:numPr>
        <w:pBdr>
          <w:top w:val="nil"/>
          <w:left w:val="nil"/>
          <w:bottom w:val="nil"/>
          <w:right w:val="nil"/>
          <w:between w:val="nil"/>
        </w:pBdr>
        <w:spacing w:after="0"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sz w:val="24"/>
          <w:szCs w:val="24"/>
        </w:rPr>
        <w:t>Estudio de fondo</w:t>
      </w: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Acotada la Litis, primeramente, respecto la fuente obligacional, se advierte que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asume que genera, posee y/o administra la información solicitada, tan es así que la pone a disposición del ahora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sz w:val="24"/>
          <w:szCs w:val="24"/>
        </w:rPr>
        <w:t xml:space="preserve"> en consulta directa dentro de sus oficinas, por lo que se considera innecesario realizar el estudio correspondiente pues –se insiste- este asume contar con la información solicitada.</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b/>
          <w:bCs/>
          <w:color w:val="000000"/>
        </w:rPr>
      </w:pPr>
      <w:bookmarkStart w:id="5" w:name="_heading=h.w2nqffyjkagd" w:colFirst="0" w:colLast="0"/>
      <w:bookmarkEnd w:id="5"/>
      <w:r>
        <w:rPr>
          <w:rFonts w:ascii="Palatino Linotype" w:eastAsia="Palatino Linotype" w:hAnsi="Palatino Linotype" w:cs="Palatino Linotype"/>
          <w:color w:val="000000"/>
          <w:sz w:val="24"/>
          <w:szCs w:val="24"/>
        </w:rPr>
        <w:t xml:space="preserve">Ahora bien, por lo que hace al cambio de modalidad planteado, se advierte que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únicamente puso a disposición en consulta directa la información sin proporcionar mayores datos que permitan justificar dicho cambio de modalidad.</w:t>
      </w: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lastRenderedPageBreak/>
        <w:t>Precisado lo anterior, resulta necesario referir que la Ley de Transparencia y Acceso a la Información Pública del Estado de México y Municipios establece en los artículos 155 fracción V, 158 y 164 lo siguiente:</w:t>
      </w:r>
    </w:p>
    <w:p w:rsidR="000A4315" w:rsidRDefault="00162DE4">
      <w:pPr>
        <w:pBdr>
          <w:top w:val="nil"/>
          <w:left w:val="nil"/>
          <w:bottom w:val="nil"/>
          <w:right w:val="nil"/>
          <w:between w:val="nil"/>
        </w:pBdr>
        <w:tabs>
          <w:tab w:val="left" w:pos="851"/>
        </w:tabs>
        <w:spacing w:before="240"/>
        <w:ind w:left="1134"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Artículo 155. Para presentar una solicitud por escrito, no se podrán exigir mayores requisitos que los siguientes:</w:t>
      </w:r>
    </w:p>
    <w:p w:rsidR="000A4315" w:rsidRDefault="00162DE4">
      <w:pPr>
        <w:pBdr>
          <w:top w:val="nil"/>
          <w:left w:val="nil"/>
          <w:bottom w:val="nil"/>
          <w:right w:val="nil"/>
          <w:between w:val="nil"/>
        </w:pBdr>
        <w:tabs>
          <w:tab w:val="left" w:pos="851"/>
        </w:tabs>
        <w:ind w:left="1134"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I. a IV. …</w:t>
      </w:r>
    </w:p>
    <w:p w:rsidR="000A4315" w:rsidRDefault="00162DE4">
      <w:pPr>
        <w:pBdr>
          <w:top w:val="nil"/>
          <w:left w:val="nil"/>
          <w:bottom w:val="nil"/>
          <w:right w:val="nil"/>
          <w:between w:val="nil"/>
        </w:pBdr>
        <w:tabs>
          <w:tab w:val="left" w:pos="851"/>
        </w:tabs>
        <w:ind w:left="1134"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V. La modalidad en la que prefiere se otorgue el acceso a la información</w:t>
      </w:r>
      <w:r>
        <w:rPr>
          <w:rFonts w:ascii="Palatino Linotype" w:eastAsia="Palatino Linotype" w:hAnsi="Palatino Linotype" w:cs="Palatino Linotype"/>
          <w:i/>
          <w:iCs/>
          <w:color w:val="000000"/>
          <w:sz w:val="24"/>
          <w:szCs w:val="24"/>
        </w:rPr>
        <w:t>, la cual podrá ser verbal, siempre y cuando sea para fines de orientación, mediante consulta directa, mediante la expedición de copias simples o certificadas o la reproducción en cualquier otro medio, incluidos los electrónicos</w:t>
      </w:r>
    </w:p>
    <w:p w:rsidR="000A4315" w:rsidRDefault="00162DE4">
      <w:pPr>
        <w:pBdr>
          <w:top w:val="nil"/>
          <w:left w:val="nil"/>
          <w:bottom w:val="nil"/>
          <w:right w:val="nil"/>
          <w:between w:val="nil"/>
        </w:pBdr>
        <w:tabs>
          <w:tab w:val="left" w:pos="851"/>
        </w:tabs>
        <w:ind w:left="1134"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0A4315" w:rsidRDefault="00162DE4">
      <w:pPr>
        <w:pBdr>
          <w:top w:val="nil"/>
          <w:left w:val="nil"/>
          <w:bottom w:val="nil"/>
          <w:right w:val="nil"/>
          <w:between w:val="nil"/>
        </w:pBdr>
        <w:tabs>
          <w:tab w:val="left" w:pos="851"/>
        </w:tabs>
        <w:ind w:left="1134"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0A4315" w:rsidRDefault="00162DE4">
      <w:pPr>
        <w:pBdr>
          <w:top w:val="nil"/>
          <w:left w:val="nil"/>
          <w:bottom w:val="nil"/>
          <w:right w:val="nil"/>
          <w:between w:val="nil"/>
        </w:pBdr>
        <w:tabs>
          <w:tab w:val="left" w:pos="851"/>
        </w:tabs>
        <w:ind w:left="1134"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En todo caso, se facilitará su copia simple o certificada, así como su reproducción por cualquier medio disponible en las instalaciones del sujeto obligado o que, en su caso, aporte el solicitante</w:t>
      </w:r>
    </w:p>
    <w:p w:rsidR="000A4315" w:rsidRDefault="00162DE4">
      <w:pPr>
        <w:pBdr>
          <w:top w:val="nil"/>
          <w:left w:val="nil"/>
          <w:bottom w:val="nil"/>
          <w:right w:val="nil"/>
          <w:between w:val="nil"/>
        </w:pBdr>
        <w:tabs>
          <w:tab w:val="left" w:pos="851"/>
        </w:tabs>
        <w:ind w:left="1134" w:right="-1071"/>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Artículo 164. El acceso se dará en la modalidad de entrega y, en su caso, de envío elegidos por el solicitante. Cuando la información no pueda entregarse o enviarse en la modalidad solicitada, el sujeto obligado deberá ofrecer otra u otras modalidades de entrega.</w:t>
      </w:r>
    </w:p>
    <w:p w:rsidR="000A4315" w:rsidRDefault="000A4315">
      <w:pPr>
        <w:pBdr>
          <w:top w:val="nil"/>
          <w:left w:val="nil"/>
          <w:bottom w:val="nil"/>
          <w:right w:val="nil"/>
          <w:between w:val="nil"/>
        </w:pBdr>
        <w:tabs>
          <w:tab w:val="left" w:pos="851"/>
        </w:tabs>
        <w:spacing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La normatividad en materia establece que se privilegiará la modalidad de entrega elegida por el </w:t>
      </w:r>
      <w:r>
        <w:rPr>
          <w:rFonts w:ascii="Palatino Linotype" w:eastAsia="Palatino Linotype" w:hAnsi="Palatino Linotype" w:cs="Palatino Linotype"/>
          <w:b/>
          <w:bCs/>
          <w:smallCaps/>
          <w:color w:val="000000"/>
          <w:sz w:val="24"/>
          <w:szCs w:val="24"/>
        </w:rPr>
        <w:t>RECURRENTE</w:t>
      </w:r>
      <w:r>
        <w:rPr>
          <w:rFonts w:ascii="Palatino Linotype" w:eastAsia="Palatino Linotype" w:hAnsi="Palatino Linotype" w:cs="Palatino Linotype"/>
          <w:color w:val="000000"/>
          <w:sz w:val="24"/>
          <w:szCs w:val="24"/>
        </w:rPr>
        <w:t xml:space="preserve"> y será excepcional un cambio de modalidad cuando la </w:t>
      </w:r>
      <w:r>
        <w:rPr>
          <w:rFonts w:ascii="Palatino Linotype" w:eastAsia="Palatino Linotype" w:hAnsi="Palatino Linotype" w:cs="Palatino Linotype"/>
          <w:color w:val="000000"/>
          <w:sz w:val="24"/>
          <w:szCs w:val="24"/>
        </w:rPr>
        <w:lastRenderedPageBreak/>
        <w:t xml:space="preserve">información </w:t>
      </w:r>
      <w:r>
        <w:rPr>
          <w:rFonts w:ascii="Palatino Linotype" w:eastAsia="Palatino Linotype" w:hAnsi="Palatino Linotype" w:cs="Palatino Linotype"/>
          <w:color w:val="000000"/>
          <w:sz w:val="24"/>
          <w:szCs w:val="24"/>
          <w:u w:val="single"/>
        </w:rPr>
        <w:t xml:space="preserve">sobrepase las capacidades técnicas administrativas </w:t>
      </w:r>
      <w:r>
        <w:rPr>
          <w:rFonts w:ascii="Palatino Linotype" w:eastAsia="Palatino Linotype" w:hAnsi="Palatino Linotype" w:cs="Palatino Linotype"/>
          <w:b/>
          <w:bCs/>
          <w:color w:val="000000"/>
          <w:sz w:val="24"/>
          <w:szCs w:val="24"/>
          <w:u w:val="single"/>
        </w:rPr>
        <w:t xml:space="preserve">y </w:t>
      </w:r>
      <w:r>
        <w:rPr>
          <w:rFonts w:ascii="Palatino Linotype" w:eastAsia="Palatino Linotype" w:hAnsi="Palatino Linotype" w:cs="Palatino Linotype"/>
          <w:color w:val="000000"/>
          <w:sz w:val="24"/>
          <w:szCs w:val="24"/>
          <w:u w:val="single"/>
        </w:rPr>
        <w:t>humanas,</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color w:val="000000"/>
          <w:sz w:val="24"/>
          <w:szCs w:val="24"/>
          <w:u w:val="single"/>
        </w:rPr>
        <w:t xml:space="preserve">dicho cambio será debidamente fundado y motivado, </w:t>
      </w:r>
      <w:r>
        <w:rPr>
          <w:rFonts w:ascii="Palatino Linotype" w:eastAsia="Palatino Linotype" w:hAnsi="Palatino Linotype" w:cs="Palatino Linotype"/>
          <w:color w:val="000000"/>
          <w:sz w:val="24"/>
          <w:szCs w:val="24"/>
        </w:rPr>
        <w:t>situación que no aconteció dentro del recurso que nos ocupa.</w:t>
      </w:r>
    </w:p>
    <w:p w:rsidR="000A4315" w:rsidRDefault="000A4315">
      <w:pPr>
        <w:pBdr>
          <w:top w:val="nil"/>
          <w:left w:val="nil"/>
          <w:bottom w:val="nil"/>
          <w:right w:val="nil"/>
          <w:between w:val="nil"/>
        </w:pBdr>
        <w:spacing w:after="0" w:line="360" w:lineRule="auto"/>
        <w:ind w:right="-1071"/>
        <w:jc w:val="both"/>
        <w:rPr>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color w:val="000000"/>
        </w:rPr>
      </w:pPr>
      <w:r>
        <w:rPr>
          <w:rFonts w:ascii="Palatino Linotype" w:eastAsia="Palatino Linotype" w:hAnsi="Palatino Linotype" w:cs="Palatino Linotype"/>
          <w:color w:val="000000"/>
          <w:sz w:val="24"/>
          <w:szCs w:val="24"/>
        </w:rPr>
        <w:t xml:space="preserve">Precisado lo anterior, respecto de las modalidades de entrega, se debe de mencionar que de </w:t>
      </w:r>
      <w:r>
        <w:rPr>
          <w:rFonts w:ascii="Palatino Linotype" w:eastAsia="Palatino Linotype" w:hAnsi="Palatino Linotype" w:cs="Palatino Linotype"/>
          <w:sz w:val="24"/>
          <w:szCs w:val="24"/>
        </w:rPr>
        <w:t>acuerdo al Criterio</w:t>
      </w:r>
      <w:r>
        <w:rPr>
          <w:rFonts w:ascii="Palatino Linotype" w:eastAsia="Palatino Linotype" w:hAnsi="Palatino Linotype" w:cs="Palatino Linotype"/>
          <w:color w:val="000000"/>
          <w:sz w:val="24"/>
          <w:szCs w:val="24"/>
        </w:rPr>
        <w:t xml:space="preserve"> número 8/2013 del entonces Instituto Federal de Acceso a la Información,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debe de ofrecer todas las opciones de modalidades de consulta.</w:t>
      </w:r>
    </w:p>
    <w:p w:rsidR="000A4315" w:rsidRDefault="00162DE4">
      <w:pPr>
        <w:pBdr>
          <w:top w:val="nil"/>
          <w:left w:val="nil"/>
          <w:bottom w:val="nil"/>
          <w:right w:val="nil"/>
          <w:between w:val="nil"/>
        </w:pBdr>
        <w:tabs>
          <w:tab w:val="left" w:pos="851"/>
        </w:tabs>
        <w:ind w:left="567"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Cuando exista impedimento justificado de atender la modalidad de entrega elegida por el solicitante, procede ofrecer todas las demás opciones previstas en la Ley.</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i/>
          <w:iCs/>
          <w:sz w:val="24"/>
          <w:szCs w:val="24"/>
          <w:u w:val="single"/>
        </w:rPr>
        <w:t>De conformidad con lo dispuesto en los artículos 42 y 44 de la Ley Federal de Transparencia y Acceso a la Información Pública Gubernamental, y 54 de su Reglamento, la entrega de la información debe hacerse, en la medida de lo posible, en la forma solicitada por el interesado</w:t>
      </w:r>
      <w:r>
        <w:rPr>
          <w:rFonts w:ascii="Palatino Linotype" w:eastAsia="Palatino Linotype" w:hAnsi="Palatino Linotype" w:cs="Palatino Linotype"/>
          <w:i/>
          <w:iCs/>
          <w:sz w:val="24"/>
          <w:szCs w:val="24"/>
        </w:rPr>
        <w:t xml:space="preserve">, salvo que exista un impedimento justificado para atenderla, en cuyo caso, deberán exponerse las razones por las cuales no es posible utilizar el medio de reproducción solicitado. </w:t>
      </w:r>
      <w:r>
        <w:rPr>
          <w:rFonts w:ascii="Palatino Linotype" w:eastAsia="Palatino Linotype" w:hAnsi="Palatino Linotype" w:cs="Palatino Linotype"/>
          <w:i/>
          <w:iCs/>
          <w:sz w:val="24"/>
          <w:szCs w:val="24"/>
          <w:u w:val="single"/>
        </w:rPr>
        <w:t>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w:t>
      </w:r>
      <w:r>
        <w:rPr>
          <w:rFonts w:ascii="Palatino Linotype" w:eastAsia="Palatino Linotype" w:hAnsi="Palatino Linotype" w:cs="Palatino Linotype"/>
          <w:i/>
          <w:iCs/>
          <w:sz w:val="24"/>
          <w:szCs w:val="24"/>
        </w:rPr>
        <w:t xml:space="preserve">. Así, cuando se justifique el impedimento, los sujetos obligados deberán notificar al particular la disposición de la información en todas las </w:t>
      </w:r>
      <w:r>
        <w:rPr>
          <w:rFonts w:ascii="Palatino Linotype" w:eastAsia="Palatino Linotype" w:hAnsi="Palatino Linotype" w:cs="Palatino Linotype"/>
          <w:b/>
          <w:bCs/>
          <w:i/>
          <w:iCs/>
          <w:sz w:val="24"/>
          <w:szCs w:val="24"/>
          <w:u w:val="single"/>
        </w:rPr>
        <w:t>modalidades de entrega que permita el documento, tales como consulta directa, copias simples y certificadas, así como la reproducción en cualquier otro medio e indicarle</w:t>
      </w:r>
      <w:r>
        <w:rPr>
          <w:rFonts w:ascii="Palatino Linotype" w:eastAsia="Palatino Linotype" w:hAnsi="Palatino Linotype" w:cs="Palatino Linotype"/>
          <w:i/>
          <w:iCs/>
          <w:sz w:val="24"/>
          <w:szCs w:val="24"/>
        </w:rPr>
        <w:t xml:space="preserve">, en su caso, los costos de reproducción y envío, para que pueda estar en aptitud de elegir la que sea de su interés o la que más le convenga. En estos casos, los sujetos obligados deberán intentar reducir, en todo momento, los costos de entrega de la información y garantizar el debido equilibrio entre el legítimo derecho de acceso a la información y las posibilidades materiales de otorgar acceso a los documentos. </w:t>
      </w:r>
    </w:p>
    <w:p w:rsidR="000A4315" w:rsidRDefault="00162DE4">
      <w:pPr>
        <w:ind w:left="567"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Resoluciones </w:t>
      </w:r>
    </w:p>
    <w:p w:rsidR="000A4315" w:rsidRDefault="00162DE4">
      <w:pPr>
        <w:ind w:left="567"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RDA 2012/12. Interpuesto en contra de la Secretaría de Comunicaciones y Transportes. Comisionada Ponente Jacqueline Peschard Mariscal. </w:t>
      </w:r>
    </w:p>
    <w:p w:rsidR="000A4315" w:rsidRDefault="00162DE4">
      <w:pPr>
        <w:ind w:left="567"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lastRenderedPageBreak/>
        <w:t xml:space="preserve">RDA 0973/12. Interpuesto en contra de la Secretaría de Educación Pública. Comisionada Ponente Sigrid Arzt Colunga. </w:t>
      </w:r>
    </w:p>
    <w:p w:rsidR="000A4315" w:rsidRDefault="00162DE4">
      <w:pPr>
        <w:ind w:left="567"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RDA 0112/12. Interpuesto en contra de Petróleos Mexicanos. Comisionado Ponente Ángel Trinidad Zaldívar. </w:t>
      </w:r>
    </w:p>
    <w:p w:rsidR="000A4315" w:rsidRDefault="00162DE4">
      <w:pPr>
        <w:ind w:left="567"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RDA 0085/12. Interpuesto en contra del Instituto Nacional de Ciencias Médicas y Nutrición Salvador Zubirán. Comisionada Ponente Sigrid Arzt Colunga. </w:t>
      </w:r>
    </w:p>
    <w:p w:rsidR="000A4315" w:rsidRDefault="00162DE4">
      <w:pPr>
        <w:ind w:left="567"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3068/11. Interpuesto en contra de la Presidencia de la República. Comisionada Ponente María Elena Pérez-Jaén Zermeño. “</w:t>
      </w:r>
    </w:p>
    <w:p w:rsidR="000A4315" w:rsidRDefault="000A4315">
      <w:pPr>
        <w:ind w:left="567" w:right="-1071"/>
        <w:jc w:val="both"/>
        <w:rPr>
          <w:rFonts w:ascii="Palatino Linotype" w:eastAsia="Palatino Linotype" w:hAnsi="Palatino Linotype" w:cs="Palatino Linotype"/>
          <w:i/>
          <w:iCs/>
          <w:sz w:val="24"/>
          <w:szCs w:val="24"/>
        </w:rPr>
      </w:pPr>
    </w:p>
    <w:p w:rsidR="000A4315" w:rsidRDefault="00162DE4">
      <w:pPr>
        <w:ind w:left="567"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Criterio 02/2004 INFORMACIÓN DISPERSA</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i/>
          <w:iCs/>
          <w:sz w:val="24"/>
          <w:szCs w:val="24"/>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i/>
          <w:iCs/>
          <w:sz w:val="24"/>
          <w:szCs w:val="24"/>
          <w:u w:val="single"/>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Pr>
          <w:rFonts w:ascii="Palatino Linotype" w:eastAsia="Palatino Linotype" w:hAnsi="Palatino Linotype" w:cs="Palatino Linotype"/>
          <w:i/>
          <w:iCs/>
          <w:sz w:val="24"/>
          <w:szCs w:val="24"/>
        </w:rPr>
        <w:t xml:space="preserve">como lo prevé el artículo 29 del Reglamento de la Suprema Corte de Justicia de la Nación y del Consejo de la Judicatura Federal para la aplicación de la Ley Federal de Transparencia y Acceso a la Información Pública Gubernamental, </w:t>
      </w:r>
      <w:r>
        <w:rPr>
          <w:rFonts w:ascii="Palatino Linotype" w:eastAsia="Palatino Linotype" w:hAnsi="Palatino Linotype" w:cs="Palatino Linotype"/>
          <w:i/>
          <w:iCs/>
          <w:sz w:val="24"/>
          <w:szCs w:val="24"/>
          <w:u w:val="single"/>
        </w:rPr>
        <w:t>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w:t>
      </w:r>
      <w:r>
        <w:rPr>
          <w:rFonts w:ascii="Palatino Linotype" w:eastAsia="Palatino Linotype" w:hAnsi="Palatino Linotype" w:cs="Palatino Linotype"/>
          <w:i/>
          <w:iCs/>
          <w:sz w:val="24"/>
          <w:szCs w:val="24"/>
        </w:rPr>
        <w:t>on lo que además se reconoce que para realizar la referida consulta física el solicitante enfrentará limitantes temporales y económicas que difícilmente podrá superar, lo que finalmente le impedirá conocer los datos que le permitan evaluar las actividades desarrolladas por el respectivo órgano del Estado. Clasificación de Información 6/2004-J. 29 de abril de 2004. Unanimidad de votos.”</w:t>
      </w:r>
    </w:p>
    <w:p w:rsidR="000A4315" w:rsidRDefault="00162DE4">
      <w:pPr>
        <w:ind w:left="567" w:right="-107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(Énfasis añadido)</w:t>
      </w: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lastRenderedPageBreak/>
        <w:t xml:space="preserve">Los criterios refieren puntualmente que, cuando exista </w:t>
      </w:r>
      <w:r>
        <w:rPr>
          <w:rFonts w:ascii="Palatino Linotype" w:eastAsia="Palatino Linotype" w:hAnsi="Palatino Linotype" w:cs="Palatino Linotype"/>
          <w:b/>
          <w:bCs/>
          <w:color w:val="000000"/>
          <w:sz w:val="24"/>
          <w:szCs w:val="24"/>
        </w:rPr>
        <w:t xml:space="preserve">impedimento justificado </w:t>
      </w:r>
      <w:r>
        <w:rPr>
          <w:rFonts w:ascii="Palatino Linotype" w:eastAsia="Palatino Linotype" w:hAnsi="Palatino Linotype" w:cs="Palatino Linotype"/>
          <w:color w:val="000000"/>
          <w:sz w:val="24"/>
          <w:szCs w:val="24"/>
        </w:rPr>
        <w:t>para entregar la información solicitada, sólo entonces se procederá a ofrecer otras modalidades disponibles tales como consulta directa, mediante la expedición de copias simples o certificadas o la reproducción en cualquier otro medio, incluidos los electrónicos.</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Es así que, para el cumplimiento de la entrega de la información,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deberá ofrecer las modalidades con las que pueda poner a disposición la información al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 xml:space="preserve"> que atendiendo a la naturaleza del asunto, de manera enunciativa, más no limitativa, puede ser a través de: </w:t>
      </w:r>
    </w:p>
    <w:p w:rsidR="000A4315" w:rsidRDefault="00162DE4">
      <w:pPr>
        <w:numPr>
          <w:ilvl w:val="0"/>
          <w:numId w:val="4"/>
        </w:numPr>
        <w:pBdr>
          <w:top w:val="nil"/>
          <w:left w:val="nil"/>
          <w:bottom w:val="nil"/>
          <w:right w:val="nil"/>
          <w:between w:val="nil"/>
        </w:pBdr>
        <w:tabs>
          <w:tab w:val="left" w:pos="284"/>
        </w:tabs>
        <w:spacing w:after="0" w:line="360" w:lineRule="auto"/>
        <w:ind w:right="-107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Consulta Directa.</w:t>
      </w:r>
    </w:p>
    <w:p w:rsidR="000A4315" w:rsidRDefault="00162DE4">
      <w:pPr>
        <w:numPr>
          <w:ilvl w:val="0"/>
          <w:numId w:val="4"/>
        </w:numPr>
        <w:pBdr>
          <w:top w:val="nil"/>
          <w:left w:val="nil"/>
          <w:bottom w:val="nil"/>
          <w:right w:val="nil"/>
          <w:between w:val="nil"/>
        </w:pBdr>
        <w:tabs>
          <w:tab w:val="left" w:pos="284"/>
        </w:tabs>
        <w:spacing w:after="0" w:line="360" w:lineRule="auto"/>
        <w:ind w:right="-107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Entrega de Copia Simple.</w:t>
      </w:r>
    </w:p>
    <w:p w:rsidR="000A4315" w:rsidRDefault="00162DE4">
      <w:pPr>
        <w:numPr>
          <w:ilvl w:val="0"/>
          <w:numId w:val="4"/>
        </w:numPr>
        <w:pBdr>
          <w:top w:val="nil"/>
          <w:left w:val="nil"/>
          <w:bottom w:val="nil"/>
          <w:right w:val="nil"/>
          <w:between w:val="nil"/>
        </w:pBdr>
        <w:tabs>
          <w:tab w:val="left" w:pos="284"/>
        </w:tabs>
        <w:spacing w:after="0" w:line="360" w:lineRule="auto"/>
        <w:ind w:right="-107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Entrega de Copia Certificada.</w:t>
      </w:r>
    </w:p>
    <w:p w:rsidR="000A4315" w:rsidRDefault="00162DE4">
      <w:pPr>
        <w:numPr>
          <w:ilvl w:val="0"/>
          <w:numId w:val="4"/>
        </w:numPr>
        <w:pBdr>
          <w:top w:val="nil"/>
          <w:left w:val="nil"/>
          <w:bottom w:val="nil"/>
          <w:right w:val="nil"/>
          <w:between w:val="nil"/>
        </w:pBdr>
        <w:tabs>
          <w:tab w:val="left" w:pos="284"/>
        </w:tabs>
        <w:spacing w:after="0" w:line="360" w:lineRule="auto"/>
        <w:ind w:right="-1071"/>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USB, Disco Compacto (CD) o cualquier medio de almacenamiento externo.</w:t>
      </w:r>
    </w:p>
    <w:p w:rsidR="000A4315" w:rsidRDefault="00162DE4">
      <w:pPr>
        <w:numPr>
          <w:ilvl w:val="0"/>
          <w:numId w:val="4"/>
        </w:numPr>
        <w:pBdr>
          <w:top w:val="nil"/>
          <w:left w:val="nil"/>
          <w:bottom w:val="nil"/>
          <w:right w:val="nil"/>
          <w:between w:val="nil"/>
        </w:pBdr>
        <w:tabs>
          <w:tab w:val="left" w:pos="284"/>
        </w:tabs>
        <w:spacing w:after="0" w:line="360" w:lineRule="auto"/>
        <w:ind w:right="-1071"/>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Correo/envío certificado.</w:t>
      </w:r>
    </w:p>
    <w:p w:rsidR="000A4315" w:rsidRDefault="00162DE4">
      <w:pPr>
        <w:numPr>
          <w:ilvl w:val="0"/>
          <w:numId w:val="4"/>
        </w:numPr>
        <w:pBdr>
          <w:top w:val="nil"/>
          <w:left w:val="nil"/>
          <w:bottom w:val="nil"/>
          <w:right w:val="nil"/>
          <w:between w:val="nil"/>
        </w:pBdr>
        <w:tabs>
          <w:tab w:val="left" w:pos="284"/>
        </w:tabs>
        <w:spacing w:after="0" w:line="360" w:lineRule="auto"/>
        <w:ind w:right="-1071"/>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Correo electrónico/drive.</w:t>
      </w:r>
    </w:p>
    <w:p w:rsidR="000A4315" w:rsidRDefault="00162DE4">
      <w:pPr>
        <w:numPr>
          <w:ilvl w:val="0"/>
          <w:numId w:val="4"/>
        </w:numPr>
        <w:pBdr>
          <w:top w:val="nil"/>
          <w:left w:val="nil"/>
          <w:bottom w:val="nil"/>
          <w:right w:val="nil"/>
          <w:between w:val="nil"/>
        </w:pBdr>
        <w:tabs>
          <w:tab w:val="left" w:pos="284"/>
        </w:tabs>
        <w:spacing w:after="240" w:line="360" w:lineRule="auto"/>
        <w:ind w:right="-1071"/>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Correo/envío certificado.</w:t>
      </w: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Para cualquiera de las modalidades,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vía </w:t>
      </w:r>
      <w:r>
        <w:rPr>
          <w:rFonts w:ascii="Palatino Linotype" w:eastAsia="Palatino Linotype" w:hAnsi="Palatino Linotype" w:cs="Palatino Linotype"/>
          <w:b/>
          <w:bCs/>
          <w:sz w:val="24"/>
          <w:szCs w:val="24"/>
        </w:rPr>
        <w:t xml:space="preserve">SAIMEX, </w:t>
      </w:r>
      <w:r>
        <w:rPr>
          <w:rFonts w:ascii="Palatino Linotype" w:eastAsia="Palatino Linotype" w:hAnsi="Palatino Linotype" w:cs="Palatino Linotype"/>
          <w:sz w:val="24"/>
          <w:szCs w:val="24"/>
        </w:rPr>
        <w:t xml:space="preserve">deberá indicar el procedimiento que tendrá que seguir el </w:t>
      </w:r>
      <w:r>
        <w:rPr>
          <w:rFonts w:ascii="Palatino Linotype" w:eastAsia="Palatino Linotype" w:hAnsi="Palatino Linotype" w:cs="Palatino Linotype"/>
          <w:b/>
          <w:bCs/>
          <w:sz w:val="24"/>
          <w:szCs w:val="24"/>
        </w:rPr>
        <w:t>PARTICULAR</w:t>
      </w:r>
      <w:r>
        <w:rPr>
          <w:rFonts w:ascii="Palatino Linotype" w:eastAsia="Palatino Linotype" w:hAnsi="Palatino Linotype" w:cs="Palatino Linotype"/>
          <w:sz w:val="24"/>
          <w:szCs w:val="24"/>
        </w:rPr>
        <w:t>, para acceder a la documentación, es decir, los pasos para realizar el pago de derechos</w:t>
      </w:r>
      <w:r>
        <w:rPr>
          <w:rFonts w:ascii="Palatino Linotype" w:eastAsia="Palatino Linotype" w:hAnsi="Palatino Linotype" w:cs="Palatino Linotype"/>
          <w:sz w:val="24"/>
          <w:szCs w:val="24"/>
          <w:u w:val="single"/>
        </w:rPr>
        <w:t xml:space="preserve">, en caso de proceder, </w:t>
      </w:r>
      <w:r>
        <w:rPr>
          <w:rFonts w:ascii="Palatino Linotype" w:eastAsia="Palatino Linotype" w:hAnsi="Palatino Linotype" w:cs="Palatino Linotype"/>
          <w:sz w:val="24"/>
          <w:szCs w:val="24"/>
        </w:rPr>
        <w:t xml:space="preserve">y la manera de obtener la información como domicilio de la Unidad de Transparencia, días y horarios de atención, así como el nombre del servidor público que le atenderá. </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lastRenderedPageBreak/>
        <w:t>Además, deberá señalar que en caso de que el</w:t>
      </w:r>
      <w:r>
        <w:rPr>
          <w:rFonts w:ascii="Palatino Linotype" w:eastAsia="Palatino Linotype" w:hAnsi="Palatino Linotype" w:cs="Palatino Linotype"/>
          <w:b/>
          <w:bCs/>
          <w:sz w:val="24"/>
          <w:szCs w:val="24"/>
        </w:rPr>
        <w:t xml:space="preserve"> RECURRENTE</w:t>
      </w:r>
      <w:r>
        <w:rPr>
          <w:rFonts w:ascii="Palatino Linotype" w:eastAsia="Palatino Linotype" w:hAnsi="Palatino Linotype" w:cs="Palatino Linotype"/>
          <w:sz w:val="24"/>
          <w:szCs w:val="24"/>
        </w:rPr>
        <w:t xml:space="preserve"> proporcione el dispositivo electrónico y acuda por la información a la Unidad de Transparencia, la entrega de la información, será sin costo así como informar e al </w:t>
      </w:r>
      <w:r>
        <w:rPr>
          <w:rFonts w:ascii="Palatino Linotype" w:eastAsia="Palatino Linotype" w:hAnsi="Palatino Linotype" w:cs="Palatino Linotype"/>
          <w:b/>
          <w:bCs/>
          <w:sz w:val="24"/>
          <w:szCs w:val="24"/>
        </w:rPr>
        <w:t xml:space="preserve">PARTICULAR, </w:t>
      </w:r>
      <w:r>
        <w:rPr>
          <w:rFonts w:ascii="Palatino Linotype" w:eastAsia="Palatino Linotype" w:hAnsi="Palatino Linotype" w:cs="Palatino Linotype"/>
          <w:sz w:val="24"/>
          <w:szCs w:val="24"/>
        </w:rPr>
        <w:t>que la información estará disponible</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por un periodo de sesenta días hábiles, </w:t>
      </w:r>
      <w:r>
        <w:rPr>
          <w:rFonts w:ascii="Palatino Linotype" w:eastAsia="Palatino Linotype" w:hAnsi="Palatino Linotype" w:cs="Palatino Linotype"/>
          <w:b/>
          <w:bCs/>
          <w:sz w:val="24"/>
          <w:szCs w:val="24"/>
          <w:u w:val="single"/>
        </w:rPr>
        <w:t>contados a partir del día siguiente al que se notifique la presente resolución</w:t>
      </w:r>
      <w:r>
        <w:rPr>
          <w:rFonts w:ascii="Palatino Linotype" w:eastAsia="Palatino Linotype" w:hAnsi="Palatino Linotype" w:cs="Palatino Linotype"/>
          <w:sz w:val="24"/>
          <w:szCs w:val="24"/>
        </w:rPr>
        <w:t>; en términos del segundo párrafo del artículo 166, de la Ley de Transparencia y Acceso a la Información Pública del Estado de México y Municipios.</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Es así que, en virtud de no contar con los medios suficientes y pertinentes para poder validar el cambio de modalidad, se ordena se haga entrega de la información </w:t>
      </w:r>
      <w:r>
        <w:rPr>
          <w:rFonts w:ascii="Palatino Linotype" w:eastAsia="Palatino Linotype" w:hAnsi="Palatino Linotype" w:cs="Palatino Linotype"/>
          <w:sz w:val="24"/>
          <w:szCs w:val="24"/>
        </w:rPr>
        <w:t>solicitada a</w:t>
      </w:r>
      <w:r>
        <w:rPr>
          <w:rFonts w:ascii="Palatino Linotype" w:eastAsia="Palatino Linotype" w:hAnsi="Palatino Linotype" w:cs="Palatino Linotype"/>
          <w:color w:val="000000"/>
          <w:sz w:val="24"/>
          <w:szCs w:val="24"/>
        </w:rPr>
        <w:t xml:space="preserve"> través del SAIMEX, de ser procedente en versión pública. </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Asimismo, resulta de vital importancia, referir que,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únicamente se constriño a informar que la información implica un procesamiento, la falta de recursos humanos, materiales, tiempo, entre otros, sin que se </w:t>
      </w:r>
      <w:r>
        <w:rPr>
          <w:rFonts w:ascii="Palatino Linotype" w:eastAsia="Palatino Linotype" w:hAnsi="Palatino Linotype" w:cs="Palatino Linotype"/>
          <w:sz w:val="24"/>
          <w:szCs w:val="24"/>
        </w:rPr>
        <w:t>observa</w:t>
      </w:r>
      <w:r>
        <w:rPr>
          <w:rFonts w:ascii="Palatino Linotype" w:eastAsia="Palatino Linotype" w:hAnsi="Palatino Linotype" w:cs="Palatino Linotype"/>
          <w:color w:val="000000"/>
          <w:sz w:val="24"/>
          <w:szCs w:val="24"/>
        </w:rPr>
        <w:t xml:space="preserve"> que haya manifestación respecto del peso de la misma, razones suficiente para ordenar la entrega.</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Asimismo, resulta necesario precisar que, el peso máximo de archivos que soporta el SAIMEX para adjuntar como respuesta a las solicitudes de información tiene el soporte tecnológico para que se puedan adjuntar archivos con un peso aprox. de hasta 500Mb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sz w:val="24"/>
          <w:szCs w:val="24"/>
        </w:rPr>
        <w:lastRenderedPageBreak/>
        <w:t xml:space="preserve">Establecido lo anterior, las razones o motivos de inconformidad hechos valer en el recurso de revisión resultan </w:t>
      </w:r>
      <w:r>
        <w:rPr>
          <w:rFonts w:ascii="Palatino Linotype" w:eastAsia="Palatino Linotype" w:hAnsi="Palatino Linotype" w:cs="Palatino Linotype"/>
          <w:b/>
          <w:bCs/>
          <w:sz w:val="24"/>
          <w:szCs w:val="24"/>
        </w:rPr>
        <w:t>fundadas y procedentes</w:t>
      </w:r>
      <w:r>
        <w:rPr>
          <w:rFonts w:ascii="Palatino Linotype" w:eastAsia="Palatino Linotype" w:hAnsi="Palatino Linotype" w:cs="Palatino Linotype"/>
          <w:sz w:val="24"/>
          <w:szCs w:val="24"/>
        </w:rPr>
        <w:t xml:space="preserve">, resultando dable </w:t>
      </w:r>
      <w:r>
        <w:rPr>
          <w:rFonts w:ascii="Palatino Linotype" w:eastAsia="Palatino Linotype" w:hAnsi="Palatino Linotype" w:cs="Palatino Linotype"/>
          <w:b/>
          <w:bCs/>
          <w:sz w:val="24"/>
          <w:szCs w:val="24"/>
        </w:rPr>
        <w:t xml:space="preserve">REVOCAR </w:t>
      </w:r>
      <w:r>
        <w:rPr>
          <w:rFonts w:ascii="Palatino Linotype" w:eastAsia="Palatino Linotype" w:hAnsi="Palatino Linotype" w:cs="Palatino Linotype"/>
          <w:sz w:val="24"/>
          <w:szCs w:val="24"/>
        </w:rPr>
        <w:t xml:space="preserve">la respuesta proporcionada por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ordenando haga entrega de lo solicitado a través del SAIMEX, es decir, documento en donde consten los acuerdos, convenios y contratos con los sectores público, social y privado para el cumplimiento del objeto del Instituto suscritos por el Director General del IMEJ durante el 2024, 2025 y 2026.</w:t>
      </w:r>
    </w:p>
    <w:p w:rsidR="000A4315" w:rsidRDefault="000A4315">
      <w:pPr>
        <w:ind w:right="-1071"/>
        <w:jc w:val="both"/>
        <w:rPr>
          <w:rFonts w:ascii="Palatino Linotype" w:eastAsia="Palatino Linotype" w:hAnsi="Palatino Linotype" w:cs="Palatino Linotype"/>
          <w:sz w:val="24"/>
          <w:szCs w:val="24"/>
        </w:rPr>
      </w:pPr>
    </w:p>
    <w:p w:rsidR="000A4315" w:rsidRDefault="00162DE4">
      <w:pPr>
        <w:keepNext/>
        <w:keepLines/>
        <w:spacing w:line="360" w:lineRule="auto"/>
        <w:ind w:right="-107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QUINTO. De la versión pública.</w:t>
      </w:r>
    </w:p>
    <w:p w:rsidR="000A4315" w:rsidRDefault="00162DE4">
      <w:pPr>
        <w:keepNext/>
        <w:keepLines/>
        <w:numPr>
          <w:ilvl w:val="0"/>
          <w:numId w:val="5"/>
        </w:numPr>
        <w:tabs>
          <w:tab w:val="left" w:pos="284"/>
        </w:tabs>
        <w:spacing w:line="360" w:lineRule="auto"/>
        <w:ind w:left="0" w:right="-1071" w:firstLine="0"/>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Nociones generales. </w:t>
      </w:r>
    </w:p>
    <w:p w:rsidR="000A4315" w:rsidRDefault="00162DE4">
      <w:pPr>
        <w:numPr>
          <w:ilvl w:val="0"/>
          <w:numId w:val="1"/>
        </w:numPr>
        <w:pBdr>
          <w:top w:val="nil"/>
          <w:left w:val="nil"/>
          <w:bottom w:val="nil"/>
          <w:right w:val="nil"/>
          <w:between w:val="nil"/>
        </w:pBdr>
        <w:spacing w:after="0" w:line="360" w:lineRule="auto"/>
        <w:ind w:right="-1071"/>
        <w:jc w:val="both"/>
        <w:rPr>
          <w:color w:val="000000"/>
        </w:rPr>
      </w:pPr>
      <w:r>
        <w:rPr>
          <w:rFonts w:ascii="Palatino Linotype" w:eastAsia="Palatino Linotype" w:hAnsi="Palatino Linotype" w:cs="Palatino Linotype"/>
          <w:color w:val="000000"/>
          <w:sz w:val="24"/>
          <w:szCs w:val="24"/>
        </w:rPr>
        <w:t xml:space="preserve">Debe destacarse, que debido a la información solicitada por el </w:t>
      </w:r>
      <w:r>
        <w:rPr>
          <w:rFonts w:ascii="Palatino Linotype" w:eastAsia="Palatino Linotype" w:hAnsi="Palatino Linotype" w:cs="Palatino Linotype"/>
          <w:b/>
          <w:bCs/>
          <w:color w:val="000000"/>
          <w:sz w:val="24"/>
          <w:szCs w:val="24"/>
        </w:rPr>
        <w:t xml:space="preserve">RECURRENTE, pueden obrar </w:t>
      </w:r>
      <w:r>
        <w:rPr>
          <w:rFonts w:ascii="Palatino Linotype" w:eastAsia="Palatino Linotype" w:hAnsi="Palatino Linotype" w:cs="Palatino Linotype"/>
          <w:color w:val="000000"/>
          <w:sz w:val="24"/>
          <w:szCs w:val="24"/>
        </w:rPr>
        <w:t xml:space="preserve">datos personales susceptibles de protegerse, así como información susceptible de clasificarse como confidenciales,  por lo que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0A4315" w:rsidRDefault="000A4315">
      <w:pPr>
        <w:tabs>
          <w:tab w:val="left" w:pos="0"/>
          <w:tab w:val="left" w:pos="284"/>
        </w:tabs>
        <w:spacing w:line="360" w:lineRule="auto"/>
        <w:ind w:right="-1071"/>
        <w:jc w:val="both"/>
        <w:rPr>
          <w:rFonts w:ascii="Palatino Linotype" w:eastAsia="Palatino Linotype" w:hAnsi="Palatino Linotype" w:cs="Palatino Linotype"/>
          <w:sz w:val="24"/>
          <w:szCs w:val="24"/>
        </w:rPr>
      </w:pPr>
    </w:p>
    <w:p w:rsidR="000A4315" w:rsidRDefault="00162DE4">
      <w:pPr>
        <w:numPr>
          <w:ilvl w:val="0"/>
          <w:numId w:val="1"/>
        </w:numPr>
        <w:pBdr>
          <w:top w:val="nil"/>
          <w:left w:val="nil"/>
          <w:bottom w:val="nil"/>
          <w:right w:val="nil"/>
          <w:between w:val="nil"/>
        </w:pBdr>
        <w:spacing w:after="0" w:line="360" w:lineRule="auto"/>
        <w:ind w:right="-1071"/>
        <w:jc w:val="both"/>
        <w:rPr>
          <w:color w:val="000000"/>
        </w:rPr>
      </w:pPr>
      <w:r>
        <w:rPr>
          <w:rFonts w:ascii="Palatino Linotype" w:eastAsia="Palatino Linotype" w:hAnsi="Palatino Linotype" w:cs="Palatino Linotype"/>
          <w:color w:val="000000"/>
          <w:sz w:val="24"/>
          <w:szCs w:val="24"/>
        </w:rPr>
        <w:t>No pasa desapercibido para este Órgano Garante que los sujetos obligados</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A4315" w:rsidRDefault="000A4315">
      <w:pPr>
        <w:tabs>
          <w:tab w:val="left" w:pos="284"/>
        </w:tabs>
        <w:spacing w:line="360" w:lineRule="auto"/>
        <w:ind w:right="-1071"/>
        <w:jc w:val="both"/>
        <w:rPr>
          <w:rFonts w:ascii="Palatino Linotype" w:eastAsia="Palatino Linotype" w:hAnsi="Palatino Linotype" w:cs="Palatino Linotype"/>
          <w:color w:val="000000"/>
          <w:sz w:val="24"/>
          <w:szCs w:val="24"/>
        </w:rPr>
      </w:pPr>
    </w:p>
    <w:tbl>
      <w:tblPr>
        <w:tblStyle w:val="a"/>
        <w:tblW w:w="9990"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5"/>
        <w:gridCol w:w="7305"/>
      </w:tblGrid>
      <w:tr w:rsidR="000A4315">
        <w:tc>
          <w:tcPr>
            <w:tcW w:w="2685" w:type="dxa"/>
          </w:tcPr>
          <w:p w:rsidR="000A4315" w:rsidRDefault="00162DE4" w:rsidP="00716A2D">
            <w:pPr>
              <w:tabs>
                <w:tab w:val="left" w:pos="284"/>
              </w:tabs>
              <w:spacing w:line="360" w:lineRule="auto"/>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a) Requisitos previos.</w:t>
            </w:r>
          </w:p>
        </w:tc>
        <w:tc>
          <w:tcPr>
            <w:tcW w:w="7305" w:type="dxa"/>
          </w:tcPr>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respectivamente.</w:t>
            </w:r>
          </w:p>
          <w:p w:rsidR="000A4315" w:rsidRDefault="00162DE4">
            <w:pPr>
              <w:tabs>
                <w:tab w:val="left" w:pos="284"/>
              </w:tabs>
              <w:spacing w:line="360" w:lineRule="auto"/>
              <w:ind w:right="-21"/>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0A4315">
        <w:tc>
          <w:tcPr>
            <w:tcW w:w="2685" w:type="dxa"/>
          </w:tcPr>
          <w:p w:rsidR="000A4315" w:rsidRDefault="00162DE4" w:rsidP="00716A2D">
            <w:pPr>
              <w:tabs>
                <w:tab w:val="left" w:pos="284"/>
              </w:tabs>
              <w:spacing w:line="360" w:lineRule="auto"/>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b) Supuestos de clasificación.</w:t>
            </w:r>
          </w:p>
        </w:tc>
        <w:tc>
          <w:tcPr>
            <w:tcW w:w="7305" w:type="dxa"/>
          </w:tcPr>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116 y 143 de la Ley Estatal y de la Ley General, respectivamente, señalan los supuestos para que la información </w:t>
            </w:r>
            <w:r>
              <w:rPr>
                <w:rFonts w:ascii="Palatino Linotype" w:eastAsia="Palatino Linotype" w:hAnsi="Palatino Linotype" w:cs="Palatino Linotype"/>
                <w:color w:val="000000"/>
                <w:sz w:val="24"/>
                <w:szCs w:val="24"/>
              </w:rPr>
              <w:lastRenderedPageBreak/>
              <w:t>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A4315" w:rsidRDefault="00162DE4">
            <w:pPr>
              <w:tabs>
                <w:tab w:val="left" w:pos="284"/>
              </w:tabs>
              <w:spacing w:line="360" w:lineRule="auto"/>
              <w:ind w:right="-21"/>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A4315">
        <w:tc>
          <w:tcPr>
            <w:tcW w:w="2685" w:type="dxa"/>
          </w:tcPr>
          <w:p w:rsidR="000A4315" w:rsidRDefault="00162DE4" w:rsidP="00716A2D">
            <w:pPr>
              <w:tabs>
                <w:tab w:val="left" w:pos="284"/>
              </w:tabs>
              <w:spacing w:line="360" w:lineRule="auto"/>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c) Formalidades para emitir el acuerdo de clasificación.</w:t>
            </w:r>
          </w:p>
        </w:tc>
        <w:tc>
          <w:tcPr>
            <w:tcW w:w="7305" w:type="dxa"/>
          </w:tcPr>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necesario que </w:t>
            </w:r>
            <w:r>
              <w:rPr>
                <w:rFonts w:ascii="Palatino Linotype" w:eastAsia="Palatino Linotype" w:hAnsi="Palatino Linotype" w:cs="Palatino Linotype"/>
                <w:b/>
                <w:bCs/>
                <w:color w:val="000000"/>
                <w:sz w:val="24"/>
                <w:szCs w:val="24"/>
                <w:u w:val="single"/>
              </w:rPr>
              <w:t>el acto reúna con los requisitos elementales</w:t>
            </w:r>
            <w:r>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0A4315" w:rsidRDefault="00162DE4">
            <w:pPr>
              <w:tabs>
                <w:tab w:val="left" w:pos="284"/>
              </w:tabs>
              <w:spacing w:line="360" w:lineRule="auto"/>
              <w:ind w:right="-21"/>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sz w:val="24"/>
                <w:szCs w:val="24"/>
              </w:rPr>
              <w:t>El área</w:t>
            </w:r>
            <w:r>
              <w:rPr>
                <w:rFonts w:ascii="Palatino Linotype" w:eastAsia="Palatino Linotype" w:hAnsi="Palatino Linotype" w:cs="Palatino Linotype"/>
                <w:color w:val="000000"/>
                <w:sz w:val="24"/>
                <w:szCs w:val="24"/>
              </w:rPr>
              <w:t xml:space="preserve"> que administra la información, </w:t>
            </w:r>
            <w:r>
              <w:rPr>
                <w:rFonts w:ascii="Palatino Linotype" w:eastAsia="Palatino Linotype" w:hAnsi="Palatino Linotype" w:cs="Palatino Linotype"/>
                <w:color w:val="000000"/>
                <w:sz w:val="24"/>
                <w:szCs w:val="24"/>
              </w:rPr>
              <w:lastRenderedPageBreak/>
              <w:t>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A4315">
        <w:tc>
          <w:tcPr>
            <w:tcW w:w="2685" w:type="dxa"/>
          </w:tcPr>
          <w:p w:rsidR="000A4315" w:rsidRDefault="000A4315" w:rsidP="00716A2D">
            <w:pPr>
              <w:tabs>
                <w:tab w:val="left" w:pos="284"/>
              </w:tabs>
              <w:spacing w:line="360" w:lineRule="auto"/>
              <w:rPr>
                <w:rFonts w:ascii="Palatino Linotype" w:eastAsia="Palatino Linotype" w:hAnsi="Palatino Linotype" w:cs="Palatino Linotype"/>
                <w:sz w:val="24"/>
                <w:szCs w:val="24"/>
              </w:rPr>
            </w:pPr>
          </w:p>
          <w:p w:rsidR="000A4315" w:rsidRDefault="00162DE4" w:rsidP="00716A2D">
            <w:pPr>
              <w:tabs>
                <w:tab w:val="left" w:pos="284"/>
              </w:tabs>
              <w:spacing w:line="360" w:lineRule="auto"/>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d) Requisitos de fondo del acuerdo de clasificación. </w:t>
            </w:r>
          </w:p>
        </w:tc>
        <w:tc>
          <w:tcPr>
            <w:tcW w:w="7305" w:type="dxa"/>
          </w:tcPr>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sz w:val="24"/>
                <w:szCs w:val="24"/>
              </w:rPr>
              <w:t>Sujetos Obligados</w:t>
            </w:r>
            <w:r>
              <w:rPr>
                <w:rFonts w:ascii="Palatino Linotype" w:eastAsia="Palatino Linotype" w:hAnsi="Palatino Linotype" w:cs="Palatino Linotype"/>
                <w:color w:val="000000"/>
                <w:sz w:val="24"/>
                <w:szCs w:val="24"/>
              </w:rPr>
              <w:t xml:space="preserve">, por lo que deberán fundar y motivar debidamente la clasificación. </w:t>
            </w:r>
          </w:p>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De lo anterior, se desprende que para una correcta </w:t>
            </w:r>
            <w:r>
              <w:rPr>
                <w:rFonts w:ascii="Palatino Linotype" w:eastAsia="Palatino Linotype" w:hAnsi="Palatino Linotype" w:cs="Palatino Linotype"/>
                <w:b/>
                <w:bCs/>
                <w:color w:val="000000"/>
                <w:sz w:val="24"/>
                <w:szCs w:val="24"/>
              </w:rPr>
              <w:t>clasificación total o parcial</w:t>
            </w:r>
            <w:r>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Pr>
                <w:rFonts w:ascii="Palatino Linotype" w:eastAsia="Palatino Linotype" w:hAnsi="Palatino Linotype" w:cs="Palatino Linotype"/>
                <w:color w:val="000000"/>
                <w:sz w:val="24"/>
                <w:szCs w:val="24"/>
              </w:rPr>
              <w:lastRenderedPageBreak/>
              <w:t>persona que se sienta afectada pueda impugnar la decisión, permitiéndole una real y auténtica defensa.</w:t>
            </w:r>
          </w:p>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Ahora bien, </w:t>
            </w:r>
            <w:r>
              <w:rPr>
                <w:rFonts w:ascii="Palatino Linotype" w:eastAsia="Palatino Linotype" w:hAnsi="Palatino Linotype" w:cs="Palatino Linotype"/>
                <w:b/>
                <w:bCs/>
                <w:color w:val="000000"/>
                <w:sz w:val="24"/>
                <w:szCs w:val="24"/>
                <w:u w:val="single"/>
              </w:rPr>
              <w:t>para cada caso además de fundar y motivar</w:t>
            </w:r>
            <w:r>
              <w:rPr>
                <w:rFonts w:ascii="Palatino Linotype" w:eastAsia="Palatino Linotype" w:hAnsi="Palatino Linotype" w:cs="Palatino Linotype"/>
                <w:color w:val="000000"/>
                <w:sz w:val="24"/>
                <w:szCs w:val="24"/>
              </w:rPr>
              <w:t xml:space="preserve">, se debe identificar con claridad </w:t>
            </w:r>
            <w:r>
              <w:rPr>
                <w:rFonts w:ascii="Palatino Linotype" w:eastAsia="Palatino Linotype" w:hAnsi="Palatino Linotype" w:cs="Palatino Linotype"/>
                <w:sz w:val="24"/>
                <w:szCs w:val="24"/>
              </w:rPr>
              <w:t>qué</w:t>
            </w:r>
            <w:r>
              <w:rPr>
                <w:rFonts w:ascii="Palatino Linotype" w:eastAsia="Palatino Linotype" w:hAnsi="Palatino Linotype" w:cs="Palatino Linotype"/>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A4315">
        <w:tc>
          <w:tcPr>
            <w:tcW w:w="2685" w:type="dxa"/>
          </w:tcPr>
          <w:p w:rsidR="000A4315" w:rsidRDefault="00162DE4" w:rsidP="00716A2D">
            <w:pPr>
              <w:tabs>
                <w:tab w:val="left" w:pos="284"/>
              </w:tabs>
              <w:spacing w:line="360" w:lineRule="auto"/>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7305" w:type="dxa"/>
          </w:tcPr>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0A4315" w:rsidRDefault="00162DE4">
            <w:pPr>
              <w:tabs>
                <w:tab w:val="left" w:pos="284"/>
              </w:tabs>
              <w:spacing w:line="360" w:lineRule="auto"/>
              <w:ind w:right="-2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A4315" w:rsidRDefault="00162DE4" w:rsidP="00716A2D">
            <w:pPr>
              <w:spacing w:line="360" w:lineRule="auto"/>
              <w:ind w:right="-21"/>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A4315" w:rsidRDefault="000A4315">
      <w:pPr>
        <w:tabs>
          <w:tab w:val="left" w:pos="284"/>
        </w:tabs>
        <w:spacing w:line="360" w:lineRule="auto"/>
        <w:ind w:right="-1071"/>
        <w:jc w:val="both"/>
        <w:rPr>
          <w:rFonts w:ascii="Palatino Linotype" w:eastAsia="Palatino Linotype" w:hAnsi="Palatino Linotype" w:cs="Palatino Linotype"/>
          <w:color w:val="000000"/>
          <w:sz w:val="24"/>
          <w:szCs w:val="24"/>
        </w:rPr>
      </w:pPr>
    </w:p>
    <w:p w:rsidR="000A4315" w:rsidRDefault="00162DE4">
      <w:pPr>
        <w:numPr>
          <w:ilvl w:val="0"/>
          <w:numId w:val="1"/>
        </w:numPr>
        <w:pBdr>
          <w:top w:val="nil"/>
          <w:left w:val="nil"/>
          <w:bottom w:val="nil"/>
          <w:right w:val="nil"/>
          <w:between w:val="nil"/>
        </w:pBdr>
        <w:spacing w:after="0" w:line="360" w:lineRule="auto"/>
        <w:ind w:right="-1071"/>
        <w:jc w:val="both"/>
      </w:pPr>
      <w:r>
        <w:rPr>
          <w:rFonts w:ascii="Palatino Linotype" w:eastAsia="Palatino Linotype" w:hAnsi="Palatino Linotype" w:cs="Palatino Linotype"/>
          <w:sz w:val="24"/>
          <w:szCs w:val="24"/>
        </w:rPr>
        <w:t>Si el servidor público incumple con estas formalidades y entrega la información sin proteger los datos personales incumple con lo que estipula las disposiciones legales establecidas.</w:t>
      </w:r>
    </w:p>
    <w:p w:rsidR="000A4315" w:rsidRDefault="000A4315">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0A4315" w:rsidRPr="00716A2D" w:rsidRDefault="00162DE4">
      <w:pPr>
        <w:numPr>
          <w:ilvl w:val="0"/>
          <w:numId w:val="1"/>
        </w:num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sz w:val="24"/>
          <w:szCs w:val="24"/>
        </w:rPr>
        <w:t>Por lo anteriormente expuesto, este Órgano Garante considera parcialmente fundadas las razones o motivos de inconformidad que plantea el</w:t>
      </w:r>
      <w:r>
        <w:rPr>
          <w:rFonts w:ascii="Palatino Linotype" w:eastAsia="Palatino Linotype" w:hAnsi="Palatino Linotype" w:cs="Palatino Linotype"/>
          <w:b/>
          <w:bCs/>
          <w:sz w:val="24"/>
          <w:szCs w:val="24"/>
        </w:rPr>
        <w:t xml:space="preserve"> RECURRENTE</w:t>
      </w:r>
      <w:r>
        <w:rPr>
          <w:rFonts w:ascii="Palatino Linotype" w:eastAsia="Palatino Linotype" w:hAnsi="Palatino Linotype" w:cs="Palatino Linotype"/>
          <w:sz w:val="24"/>
          <w:szCs w:val="24"/>
        </w:rPr>
        <w:t xml:space="preserve">, determinando </w:t>
      </w:r>
      <w:r>
        <w:rPr>
          <w:rFonts w:ascii="Palatino Linotype" w:eastAsia="Palatino Linotype" w:hAnsi="Palatino Linotype" w:cs="Palatino Linotype"/>
          <w:b/>
          <w:bCs/>
          <w:smallCaps/>
          <w:sz w:val="24"/>
          <w:szCs w:val="24"/>
        </w:rPr>
        <w:t xml:space="preserve">REVOCAR  </w:t>
      </w:r>
      <w:r>
        <w:rPr>
          <w:rFonts w:ascii="Palatino Linotype" w:eastAsia="Palatino Linotype" w:hAnsi="Palatino Linotype" w:cs="Palatino Linotype"/>
          <w:sz w:val="24"/>
          <w:szCs w:val="24"/>
        </w:rPr>
        <w:t xml:space="preserve">las respuestas del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sz w:val="24"/>
          <w:szCs w:val="24"/>
        </w:rPr>
        <w:t xml:space="preserve">este </w:t>
      </w:r>
      <w:r>
        <w:rPr>
          <w:rFonts w:ascii="Palatino Linotype" w:eastAsia="Palatino Linotype" w:hAnsi="Palatino Linotype" w:cs="Palatino Linotype"/>
          <w:b/>
          <w:bCs/>
          <w:color w:val="000000"/>
          <w:sz w:val="24"/>
          <w:szCs w:val="24"/>
        </w:rPr>
        <w:t>ÓRGANO GARANTE</w:t>
      </w:r>
      <w:r>
        <w:rPr>
          <w:rFonts w:ascii="Palatino Linotype" w:eastAsia="Palatino Linotype" w:hAnsi="Palatino Linotype" w:cs="Palatino Linotype"/>
          <w:color w:val="000000"/>
          <w:sz w:val="24"/>
          <w:szCs w:val="24"/>
        </w:rPr>
        <w:t xml:space="preserve"> emite los siguientes.</w:t>
      </w:r>
    </w:p>
    <w:p w:rsidR="00716A2D" w:rsidRDefault="00716A2D" w:rsidP="00716A2D">
      <w:pPr>
        <w:pStyle w:val="Prrafodelista"/>
        <w:rPr>
          <w:rFonts w:ascii="Palatino Linotype" w:eastAsia="Palatino Linotype" w:hAnsi="Palatino Linotype" w:cs="Palatino Linotype"/>
          <w:color w:val="000000"/>
        </w:rPr>
      </w:pPr>
    </w:p>
    <w:p w:rsidR="00716A2D" w:rsidRDefault="00716A2D" w:rsidP="00716A2D">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rPr>
      </w:pPr>
    </w:p>
    <w:p w:rsidR="000A4315" w:rsidRDefault="00162DE4">
      <w:pPr>
        <w:pStyle w:val="Ttulo1"/>
        <w:spacing w:before="0" w:line="360" w:lineRule="auto"/>
        <w:ind w:right="-1071"/>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0A4315" w:rsidRDefault="000A4315">
      <w:pPr>
        <w:spacing w:line="360" w:lineRule="auto"/>
        <w:ind w:right="-1071"/>
        <w:rPr>
          <w:rFonts w:ascii="Palatino Linotype" w:eastAsia="Palatino Linotype" w:hAnsi="Palatino Linotype" w:cs="Palatino Linotype"/>
          <w:sz w:val="24"/>
          <w:szCs w:val="24"/>
        </w:rPr>
      </w:pPr>
    </w:p>
    <w:p w:rsidR="000A4315" w:rsidRDefault="00162DE4">
      <w:pPr>
        <w:spacing w:line="360" w:lineRule="auto"/>
        <w:ind w:right="-1071"/>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PRIMERO</w:t>
      </w:r>
      <w:r>
        <w:rPr>
          <w:rFonts w:ascii="Palatino Linotype" w:eastAsia="Palatino Linotype" w:hAnsi="Palatino Linotype" w:cs="Palatino Linotype"/>
          <w:sz w:val="24"/>
          <w:szCs w:val="24"/>
        </w:rPr>
        <w:t>. Resultan fundadas las</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razones o motivos de inconformidad hechos valer en los Recursos de Revisión </w:t>
      </w:r>
      <w:r>
        <w:rPr>
          <w:rFonts w:ascii="Palatino Linotype" w:eastAsia="Palatino Linotype" w:hAnsi="Palatino Linotype" w:cs="Palatino Linotype"/>
          <w:b/>
          <w:bCs/>
          <w:sz w:val="24"/>
          <w:szCs w:val="24"/>
        </w:rPr>
        <w:t xml:space="preserve">04358/INFOEM/IP/RR/2026, 04359/INFOEM/IP/RR/2026 y </w:t>
      </w:r>
      <w:r>
        <w:rPr>
          <w:rFonts w:ascii="Palatino Linotype" w:eastAsia="Palatino Linotype" w:hAnsi="Palatino Linotype" w:cs="Palatino Linotype"/>
          <w:b/>
          <w:bCs/>
          <w:sz w:val="24"/>
          <w:szCs w:val="24"/>
        </w:rPr>
        <w:lastRenderedPageBreak/>
        <w:t xml:space="preserve">04360/INFOEM/IP/RR/2026, </w:t>
      </w:r>
      <w:r>
        <w:rPr>
          <w:rFonts w:ascii="Palatino Linotype" w:eastAsia="Palatino Linotype" w:hAnsi="Palatino Linotype" w:cs="Palatino Linotype"/>
          <w:sz w:val="24"/>
          <w:szCs w:val="24"/>
        </w:rPr>
        <w:t xml:space="preserve">en términos del </w:t>
      </w:r>
      <w:r>
        <w:rPr>
          <w:rFonts w:ascii="Palatino Linotype" w:eastAsia="Palatino Linotype" w:hAnsi="Palatino Linotype" w:cs="Palatino Linotype"/>
          <w:b/>
          <w:bCs/>
          <w:sz w:val="24"/>
          <w:szCs w:val="24"/>
        </w:rPr>
        <w:t xml:space="preserve">Considerando Cuarto y Quinto </w:t>
      </w:r>
      <w:r>
        <w:rPr>
          <w:rFonts w:ascii="Palatino Linotype" w:eastAsia="Palatino Linotype" w:hAnsi="Palatino Linotype" w:cs="Palatino Linotype"/>
          <w:sz w:val="24"/>
          <w:szCs w:val="24"/>
        </w:rPr>
        <w:t>de la presente resolución.</w:t>
      </w:r>
    </w:p>
    <w:p w:rsidR="000A4315" w:rsidRDefault="00162DE4">
      <w:pPr>
        <w:spacing w:line="360" w:lineRule="auto"/>
        <w:ind w:right="-1071"/>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sz w:val="24"/>
          <w:szCs w:val="24"/>
        </w:rPr>
        <w:t>SEGUNDO.</w:t>
      </w:r>
      <w:r>
        <w:rPr>
          <w:rFonts w:ascii="Palatino Linotype" w:eastAsia="Palatino Linotype" w:hAnsi="Palatino Linotype" w:cs="Palatino Linotype"/>
          <w:color w:val="2E75B5"/>
          <w:sz w:val="24"/>
          <w:szCs w:val="24"/>
        </w:rPr>
        <w:t xml:space="preserve">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b/>
          <w:bCs/>
          <w:color w:val="000000"/>
          <w:sz w:val="24"/>
          <w:szCs w:val="24"/>
        </w:rPr>
        <w:t xml:space="preserve">REVOCAN </w:t>
      </w:r>
      <w:r>
        <w:rPr>
          <w:rFonts w:ascii="Palatino Linotype" w:eastAsia="Palatino Linotype" w:hAnsi="Palatino Linotype" w:cs="Palatino Linotype"/>
          <w:color w:val="000000"/>
          <w:sz w:val="24"/>
          <w:szCs w:val="24"/>
        </w:rPr>
        <w:t xml:space="preserve">las respuestas emitidas por el </w:t>
      </w:r>
      <w:r>
        <w:rPr>
          <w:rFonts w:ascii="Palatino Linotype" w:eastAsia="Palatino Linotype" w:hAnsi="Palatino Linotype" w:cs="Palatino Linotype"/>
          <w:b/>
          <w:bCs/>
          <w:color w:val="000000"/>
          <w:sz w:val="24"/>
          <w:szCs w:val="24"/>
        </w:rPr>
        <w:t xml:space="preserve">Instituto Mexiquense de la Juventud </w:t>
      </w:r>
      <w:r>
        <w:rPr>
          <w:rFonts w:ascii="Palatino Linotype" w:eastAsia="Palatino Linotype" w:hAnsi="Palatino Linotype" w:cs="Palatino Linotype"/>
          <w:color w:val="000000"/>
          <w:sz w:val="24"/>
          <w:szCs w:val="24"/>
        </w:rPr>
        <w:t xml:space="preserve">y se </w:t>
      </w:r>
      <w:r>
        <w:rPr>
          <w:rFonts w:ascii="Palatino Linotype" w:eastAsia="Palatino Linotype" w:hAnsi="Palatino Linotype" w:cs="Palatino Linotype"/>
          <w:b/>
          <w:bCs/>
          <w:color w:val="000000"/>
          <w:sz w:val="24"/>
          <w:szCs w:val="24"/>
        </w:rPr>
        <w:t>ORDENA</w:t>
      </w:r>
      <w:r>
        <w:rPr>
          <w:rFonts w:ascii="Palatino Linotype" w:eastAsia="Palatino Linotype" w:hAnsi="Palatino Linotype" w:cs="Palatino Linotype"/>
          <w:color w:val="000000"/>
          <w:sz w:val="24"/>
          <w:szCs w:val="24"/>
        </w:rPr>
        <w:t xml:space="preserve"> entregar vía Sistema de Acceso a la Información Mexiquense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de ser procedente en versión pública, lo siguiente:</w:t>
      </w:r>
    </w:p>
    <w:p w:rsidR="000A4315" w:rsidRDefault="00162DE4">
      <w:pPr>
        <w:numPr>
          <w:ilvl w:val="0"/>
          <w:numId w:val="7"/>
        </w:numPr>
        <w:pBdr>
          <w:top w:val="nil"/>
          <w:left w:val="nil"/>
          <w:bottom w:val="nil"/>
          <w:right w:val="nil"/>
          <w:between w:val="nil"/>
        </w:pBdr>
        <w:tabs>
          <w:tab w:val="left" w:pos="7938"/>
        </w:tabs>
        <w:spacing w:after="0" w:line="276" w:lineRule="auto"/>
        <w:ind w:left="993" w:right="-1071"/>
        <w:jc w:val="both"/>
        <w:rPr>
          <w:rFonts w:ascii="Palatino Linotype" w:eastAsia="Palatino Linotype" w:hAnsi="Palatino Linotype" w:cs="Palatino Linotype"/>
          <w:b/>
          <w:bCs/>
          <w:color w:val="000000"/>
          <w:sz w:val="24"/>
          <w:szCs w:val="24"/>
        </w:rPr>
      </w:pPr>
      <w:bookmarkStart w:id="6" w:name="_heading=h.4qpdrh8j4g48" w:colFirst="0" w:colLast="0"/>
      <w:bookmarkEnd w:id="6"/>
      <w:r>
        <w:rPr>
          <w:rFonts w:ascii="Palatino Linotype" w:eastAsia="Palatino Linotype" w:hAnsi="Palatino Linotype" w:cs="Palatino Linotype"/>
          <w:b/>
          <w:bCs/>
          <w:color w:val="000000"/>
          <w:sz w:val="24"/>
          <w:szCs w:val="24"/>
        </w:rPr>
        <w:t>Documento en donde consten o se adviertan los acuerdos, convenios y contratos con los sectores público, social y privado para el cumplimiento del objeto del Instituto suscritos por el Director General del Instituto Mexiquense de la Juventud del uno de enero de dos mil veinticuatro al diecisiete de marzo de dos mil veintiséis.</w:t>
      </w:r>
    </w:p>
    <w:p w:rsidR="000A4315" w:rsidRDefault="000A4315">
      <w:pPr>
        <w:pBdr>
          <w:top w:val="nil"/>
          <w:left w:val="nil"/>
          <w:bottom w:val="nil"/>
          <w:right w:val="nil"/>
          <w:between w:val="nil"/>
        </w:pBdr>
        <w:spacing w:line="276" w:lineRule="auto"/>
        <w:ind w:left="993" w:right="-1071"/>
        <w:jc w:val="both"/>
        <w:rPr>
          <w:rFonts w:ascii="Palatino Linotype" w:eastAsia="Palatino Linotype" w:hAnsi="Palatino Linotype" w:cs="Palatino Linotype"/>
          <w:b/>
          <w:bCs/>
          <w:color w:val="000000"/>
          <w:sz w:val="24"/>
          <w:szCs w:val="24"/>
        </w:rPr>
      </w:pPr>
    </w:p>
    <w:p w:rsidR="000A4315" w:rsidRDefault="00162DE4">
      <w:pPr>
        <w:spacing w:line="360" w:lineRule="auto"/>
        <w:ind w:right="-1071"/>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sz w:val="24"/>
          <w:szCs w:val="24"/>
        </w:rPr>
        <w:t>RECURRENTE.</w:t>
      </w:r>
    </w:p>
    <w:p w:rsidR="000A4315" w:rsidRDefault="00162DE4">
      <w:pPr>
        <w:tabs>
          <w:tab w:val="left" w:pos="8080"/>
        </w:tabs>
        <w:spacing w:line="360" w:lineRule="auto"/>
        <w:ind w:right="-1071"/>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b/>
          <w:bCs/>
          <w:sz w:val="24"/>
          <w:szCs w:val="24"/>
        </w:rPr>
        <w:t xml:space="preserve">TERCERO. </w:t>
      </w:r>
      <w:r>
        <w:rPr>
          <w:rFonts w:ascii="Palatino Linotype" w:eastAsia="Palatino Linotype" w:hAnsi="Palatino Linotype" w:cs="Palatino Linotype"/>
          <w:b/>
          <w:bCs/>
          <w:color w:val="222222"/>
          <w:sz w:val="24"/>
          <w:szCs w:val="24"/>
        </w:rPr>
        <w:t xml:space="preserve">NOTIFÍQUESE </w:t>
      </w:r>
      <w:r>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sz w:val="24"/>
          <w:szCs w:val="24"/>
        </w:rPr>
        <w:t xml:space="preserve">dé cumplimiento a lo ordenado dentro del plazo de diez días hábiles, </w:t>
      </w:r>
      <w:r>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Pr>
          <w:rFonts w:ascii="Palatino Linotype" w:eastAsia="Palatino Linotype" w:hAnsi="Palatino Linotype" w:cs="Palatino Linotype"/>
          <w:color w:val="222222"/>
          <w:sz w:val="24"/>
          <w:szCs w:val="24"/>
        </w:rPr>
        <w:lastRenderedPageBreak/>
        <w:t xml:space="preserve">conformidad con lo previsto en los artículos 198, 200, fracción III; 214, 215 y 216 de la Ley  de Transparencia y Acceso a la Información Pública del Estado de México y Municipios. </w:t>
      </w:r>
    </w:p>
    <w:p w:rsidR="000A4315" w:rsidRDefault="00162DE4">
      <w:pPr>
        <w:spacing w:line="360" w:lineRule="auto"/>
        <w:ind w:right="-1071"/>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CUARTO. </w:t>
      </w:r>
      <w:r>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0A4315" w:rsidRDefault="00162DE4">
      <w:pPr>
        <w:spacing w:line="360" w:lineRule="auto"/>
        <w:ind w:right="-1071"/>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QUINTO. </w:t>
      </w:r>
      <w:r>
        <w:rPr>
          <w:rFonts w:ascii="Palatino Linotype" w:eastAsia="Palatino Linotype" w:hAnsi="Palatino Linotype" w:cs="Palatino Linotype"/>
          <w:b/>
          <w:bCs/>
          <w:color w:val="222222"/>
          <w:sz w:val="24"/>
          <w:szCs w:val="24"/>
        </w:rPr>
        <w:t xml:space="preserve">Notifíquese </w:t>
      </w:r>
      <w:r w:rsidR="00AA70C4">
        <w:rPr>
          <w:rFonts w:ascii="Palatino Linotype" w:eastAsia="Palatino Linotype" w:hAnsi="Palatino Linotype" w:cs="Palatino Linotype"/>
          <w:color w:val="222222"/>
          <w:sz w:val="24"/>
          <w:szCs w:val="24"/>
        </w:rPr>
        <w:t>a</w:t>
      </w:r>
      <w:r w:rsidR="00AA70C4" w:rsidRPr="00AA70C4">
        <w:rPr>
          <w:rFonts w:ascii="Palatino Linotype" w:eastAsia="Palatino Linotype" w:hAnsi="Palatino Linotype" w:cs="Palatino Linotype"/>
          <w:bCs/>
          <w:sz w:val="24"/>
          <w:szCs w:val="24"/>
        </w:rPr>
        <w:t>l</w:t>
      </w:r>
      <w:r>
        <w:rPr>
          <w:rFonts w:ascii="Palatino Linotype" w:eastAsia="Palatino Linotype" w:hAnsi="Palatino Linotype" w:cs="Palatino Linotype"/>
          <w:b/>
          <w:bCs/>
          <w:sz w:val="24"/>
          <w:szCs w:val="24"/>
        </w:rPr>
        <w:t xml:space="preserve"> RECURRENTE</w:t>
      </w:r>
      <w:r>
        <w:rPr>
          <w:rFonts w:ascii="Palatino Linotype" w:eastAsia="Palatino Linotype" w:hAnsi="Palatino Linotype" w:cs="Palatino Linotype"/>
          <w:sz w:val="24"/>
          <w:szCs w:val="24"/>
        </w:rPr>
        <w:t xml:space="preserve"> la presente resolución, vía SAIMEX.</w:t>
      </w:r>
    </w:p>
    <w:p w:rsidR="000A4315" w:rsidRDefault="00162DE4">
      <w:pPr>
        <w:spacing w:line="360" w:lineRule="auto"/>
        <w:ind w:right="-1071"/>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SEXTO.</w:t>
      </w:r>
      <w:r>
        <w:rPr>
          <w:rFonts w:ascii="Palatino Linotype" w:eastAsia="Palatino Linotype" w:hAnsi="Palatino Linotype" w:cs="Palatino Linotype"/>
          <w:sz w:val="24"/>
          <w:szCs w:val="24"/>
        </w:rPr>
        <w:t xml:space="preserve"> Se hace del conocimiento de</w:t>
      </w:r>
      <w:r w:rsidR="00AA70C4">
        <w:rPr>
          <w:rFonts w:ascii="Palatino Linotype" w:eastAsia="Palatino Linotype" w:hAnsi="Palatino Linotype" w:cs="Palatino Linotype"/>
          <w:sz w:val="24"/>
          <w:szCs w:val="24"/>
        </w:rPr>
        <w:t>l</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AA70C4" w:rsidRPr="00AA70C4" w:rsidRDefault="00AA70C4" w:rsidP="00AA70C4">
      <w:pPr>
        <w:spacing w:before="240" w:after="240" w:line="360" w:lineRule="auto"/>
        <w:ind w:right="-1085" w:firstLine="1"/>
        <w:jc w:val="both"/>
        <w:rPr>
          <w:rFonts w:ascii="Palatino Linotype" w:hAnsi="Palatino Linotype"/>
          <w:sz w:val="24"/>
        </w:rPr>
      </w:pPr>
      <w:bookmarkStart w:id="7" w:name="_Hlk99014733"/>
      <w:r w:rsidRPr="00AA70C4">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AA70C4">
        <w:rPr>
          <w:rFonts w:ascii="Palatino Linotype" w:hAnsi="Palatino Linotype" w:cs="Palatino Linotype"/>
          <w:color w:val="000000" w:themeColor="text1"/>
          <w:sz w:val="24"/>
        </w:rPr>
        <w:t>ALEXIS TAPIA RAMÍREZ.</w:t>
      </w:r>
    </w:p>
    <w:bookmarkEnd w:id="7"/>
    <w:p w:rsidR="000A4315" w:rsidRPr="00AA70C4" w:rsidRDefault="000A4315" w:rsidP="00AA70C4">
      <w:pPr>
        <w:spacing w:before="240" w:after="240" w:line="360" w:lineRule="auto"/>
        <w:ind w:right="-1085" w:firstLine="1"/>
        <w:jc w:val="both"/>
        <w:rPr>
          <w:rFonts w:ascii="Palatino Linotype" w:eastAsia="Palatino Linotype" w:hAnsi="Palatino Linotype" w:cs="Palatino Linotype"/>
          <w:sz w:val="28"/>
          <w:szCs w:val="24"/>
        </w:rPr>
      </w:pPr>
    </w:p>
    <w:p w:rsidR="000A4315" w:rsidRDefault="000A4315">
      <w:pPr>
        <w:spacing w:before="240" w:after="240" w:line="360" w:lineRule="auto"/>
        <w:ind w:right="-1071" w:firstLine="1"/>
        <w:jc w:val="both"/>
        <w:rPr>
          <w:rFonts w:ascii="Palatino Linotype" w:eastAsia="Palatino Linotype" w:hAnsi="Palatino Linotype" w:cs="Palatino Linotype"/>
          <w:sz w:val="24"/>
          <w:szCs w:val="24"/>
        </w:rPr>
      </w:pPr>
    </w:p>
    <w:p w:rsidR="000A4315" w:rsidRDefault="000A4315">
      <w:pPr>
        <w:spacing w:after="0" w:line="360" w:lineRule="auto"/>
        <w:ind w:right="-1071"/>
        <w:jc w:val="both"/>
        <w:rPr>
          <w:rFonts w:ascii="Palatino Linotype" w:eastAsia="Palatino Linotype" w:hAnsi="Palatino Linotype" w:cs="Palatino Linotype"/>
          <w:sz w:val="24"/>
          <w:szCs w:val="24"/>
        </w:rPr>
      </w:pPr>
    </w:p>
    <w:p w:rsidR="000A4315" w:rsidRDefault="000A4315">
      <w:pPr>
        <w:keepNext/>
        <w:keepLines/>
        <w:spacing w:after="0" w:line="360" w:lineRule="auto"/>
        <w:ind w:right="-1071"/>
        <w:rPr>
          <w:rFonts w:ascii="Palatino Linotype" w:eastAsia="Palatino Linotype" w:hAnsi="Palatino Linotype" w:cs="Palatino Linotype"/>
          <w:b/>
          <w:bCs/>
          <w:sz w:val="24"/>
          <w:szCs w:val="24"/>
        </w:rPr>
      </w:pPr>
    </w:p>
    <w:p w:rsidR="000A4315" w:rsidRDefault="000A4315">
      <w:pPr>
        <w:keepNext/>
        <w:keepLines/>
        <w:spacing w:after="0" w:line="360" w:lineRule="auto"/>
        <w:ind w:right="-1071"/>
        <w:rPr>
          <w:rFonts w:ascii="Palatino Linotype" w:eastAsia="Palatino Linotype" w:hAnsi="Palatino Linotype" w:cs="Palatino Linotype"/>
          <w:b/>
          <w:bCs/>
          <w:sz w:val="24"/>
          <w:szCs w:val="24"/>
        </w:rPr>
      </w:pPr>
    </w:p>
    <w:p w:rsidR="000A4315" w:rsidRDefault="000A4315">
      <w:pPr>
        <w:keepNext/>
        <w:keepLines/>
        <w:spacing w:after="0" w:line="360" w:lineRule="auto"/>
        <w:ind w:right="-1071"/>
        <w:rPr>
          <w:rFonts w:ascii="Palatino Linotype" w:eastAsia="Palatino Linotype" w:hAnsi="Palatino Linotype" w:cs="Palatino Linotype"/>
          <w:b/>
          <w:bCs/>
          <w:sz w:val="24"/>
          <w:szCs w:val="24"/>
        </w:rPr>
      </w:pPr>
    </w:p>
    <w:p w:rsidR="000A4315" w:rsidRDefault="000A4315">
      <w:pPr>
        <w:keepNext/>
        <w:keepLines/>
        <w:spacing w:after="0" w:line="360" w:lineRule="auto"/>
        <w:ind w:right="-1071"/>
        <w:rPr>
          <w:rFonts w:ascii="Palatino Linotype" w:eastAsia="Palatino Linotype" w:hAnsi="Palatino Linotype" w:cs="Palatino Linotype"/>
          <w:b/>
          <w:bCs/>
          <w:sz w:val="24"/>
          <w:szCs w:val="24"/>
        </w:rPr>
      </w:pPr>
    </w:p>
    <w:p w:rsidR="000A4315" w:rsidRDefault="000A4315">
      <w:pPr>
        <w:keepNext/>
        <w:keepLines/>
        <w:spacing w:after="0" w:line="360" w:lineRule="auto"/>
        <w:ind w:right="-1071"/>
        <w:rPr>
          <w:rFonts w:ascii="Palatino Linotype" w:eastAsia="Palatino Linotype" w:hAnsi="Palatino Linotype" w:cs="Palatino Linotype"/>
          <w:b/>
          <w:bCs/>
          <w:sz w:val="24"/>
          <w:szCs w:val="24"/>
        </w:rPr>
      </w:pPr>
    </w:p>
    <w:p w:rsidR="000A4315" w:rsidRDefault="000A4315">
      <w:pPr>
        <w:keepNext/>
        <w:keepLines/>
        <w:spacing w:after="0" w:line="360" w:lineRule="auto"/>
        <w:ind w:right="-1071"/>
        <w:rPr>
          <w:rFonts w:ascii="Palatino Linotype" w:eastAsia="Palatino Linotype" w:hAnsi="Palatino Linotype" w:cs="Palatino Linotype"/>
          <w:b/>
          <w:bCs/>
          <w:sz w:val="24"/>
          <w:szCs w:val="24"/>
        </w:rPr>
      </w:pPr>
    </w:p>
    <w:p w:rsidR="000A4315" w:rsidRDefault="000A4315">
      <w:pPr>
        <w:keepNext/>
        <w:keepLines/>
        <w:spacing w:after="0" w:line="360" w:lineRule="auto"/>
        <w:ind w:right="-1071"/>
        <w:rPr>
          <w:rFonts w:ascii="Palatino Linotype" w:eastAsia="Palatino Linotype" w:hAnsi="Palatino Linotype" w:cs="Palatino Linotype"/>
          <w:b/>
          <w:bCs/>
          <w:sz w:val="24"/>
          <w:szCs w:val="24"/>
        </w:rPr>
      </w:pPr>
    </w:p>
    <w:p w:rsidR="000A4315" w:rsidRDefault="000A4315">
      <w:pPr>
        <w:keepNext/>
        <w:keepLines/>
        <w:spacing w:after="0" w:line="360" w:lineRule="auto"/>
        <w:ind w:right="-1071"/>
        <w:rPr>
          <w:rFonts w:ascii="Palatino Linotype" w:eastAsia="Palatino Linotype" w:hAnsi="Palatino Linotype" w:cs="Palatino Linotype"/>
          <w:b/>
          <w:bCs/>
          <w:sz w:val="24"/>
          <w:szCs w:val="24"/>
        </w:rPr>
      </w:pPr>
    </w:p>
    <w:p w:rsidR="000A4315" w:rsidRDefault="000A4315">
      <w:pPr>
        <w:spacing w:line="360" w:lineRule="auto"/>
        <w:ind w:right="-1071"/>
        <w:jc w:val="both"/>
        <w:rPr>
          <w:rFonts w:ascii="Palatino Linotype" w:eastAsia="Palatino Linotype" w:hAnsi="Palatino Linotype" w:cs="Palatino Linotype"/>
          <w:sz w:val="24"/>
          <w:szCs w:val="24"/>
        </w:rPr>
      </w:pPr>
    </w:p>
    <w:p w:rsidR="000A4315" w:rsidRDefault="000A4315">
      <w:pPr>
        <w:spacing w:line="360" w:lineRule="auto"/>
        <w:ind w:right="-1071"/>
        <w:jc w:val="both"/>
        <w:rPr>
          <w:rFonts w:ascii="Palatino Linotype" w:eastAsia="Palatino Linotype" w:hAnsi="Palatino Linotype" w:cs="Palatino Linotype"/>
          <w:sz w:val="24"/>
          <w:szCs w:val="24"/>
        </w:rPr>
      </w:pPr>
    </w:p>
    <w:p w:rsidR="000A4315" w:rsidRDefault="000A4315">
      <w:pPr>
        <w:tabs>
          <w:tab w:val="left" w:pos="0"/>
        </w:tabs>
        <w:spacing w:after="0" w:line="360" w:lineRule="auto"/>
        <w:ind w:right="-1071"/>
        <w:jc w:val="both"/>
        <w:rPr>
          <w:rFonts w:ascii="Palatino Linotype" w:eastAsia="Palatino Linotype" w:hAnsi="Palatino Linotype" w:cs="Palatino Linotype"/>
          <w:color w:val="000000"/>
          <w:sz w:val="24"/>
          <w:szCs w:val="24"/>
        </w:rPr>
      </w:pPr>
    </w:p>
    <w:p w:rsidR="000A4315" w:rsidRDefault="000A4315">
      <w:pPr>
        <w:ind w:right="-1071"/>
        <w:rPr>
          <w:sz w:val="24"/>
          <w:szCs w:val="24"/>
        </w:rPr>
      </w:pPr>
    </w:p>
    <w:p w:rsidR="000A4315" w:rsidRDefault="000A4315">
      <w:pPr>
        <w:ind w:right="-1071"/>
        <w:rPr>
          <w:sz w:val="24"/>
          <w:szCs w:val="24"/>
        </w:rPr>
      </w:pPr>
    </w:p>
    <w:p w:rsidR="000A4315" w:rsidRDefault="000A4315">
      <w:pPr>
        <w:ind w:right="-1071"/>
        <w:rPr>
          <w:sz w:val="24"/>
          <w:szCs w:val="24"/>
        </w:rPr>
      </w:pPr>
    </w:p>
    <w:p w:rsidR="000A4315" w:rsidRDefault="000A4315">
      <w:pPr>
        <w:ind w:right="-1071"/>
        <w:rPr>
          <w:sz w:val="24"/>
          <w:szCs w:val="24"/>
        </w:rPr>
      </w:pPr>
    </w:p>
    <w:sectPr w:rsidR="000A4315">
      <w:headerReference w:type="even" r:id="rId8"/>
      <w:headerReference w:type="default" r:id="rId9"/>
      <w:footerReference w:type="default" r:id="rId10"/>
      <w:headerReference w:type="first" r:id="rId11"/>
      <w:footerReference w:type="first" r:id="rId12"/>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093" w:rsidRDefault="00792093">
      <w:pPr>
        <w:spacing w:after="0" w:line="240" w:lineRule="auto"/>
      </w:pPr>
      <w:r>
        <w:separator/>
      </w:r>
    </w:p>
  </w:endnote>
  <w:endnote w:type="continuationSeparator" w:id="0">
    <w:p w:rsidR="00792093" w:rsidRDefault="00792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7567FC0-EF68-46EF-9FFB-AFE03021D93A}"/>
    <w:embedBold r:id="rId2" w:fontKey="{060BB110-F9C9-4F60-BFED-456F59E52026}"/>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3" w:fontKey="{7A209E26-3916-4A0A-B3A5-2E6F53E76C56}"/>
    <w:embedBold r:id="rId4" w:fontKey="{3D127504-1CFD-433E-9DA0-27D6587CA96F}"/>
    <w:embedItalic r:id="rId5" w:fontKey="{C83DFCFE-DF34-4FC0-9D84-0F0448A4112A}"/>
    <w:embedBoldItalic r:id="rId6" w:fontKey="{8280380B-26C1-4704-8BC1-786C52580A62}"/>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14DDFB0D-5A4E-465D-8D84-982204D4516A}"/>
    <w:embedBold r:id="rId8" w:fontKey="{F1F46B3A-58D3-4D3A-ABD9-878E3B70FF8B}"/>
  </w:font>
  <w:font w:name="Georgia">
    <w:panose1 w:val="02040502050405020303"/>
    <w:charset w:val="00"/>
    <w:family w:val="roman"/>
    <w:pitch w:val="variable"/>
    <w:sig w:usb0="00000287" w:usb1="00000000" w:usb2="00000000" w:usb3="00000000" w:csb0="0000009F" w:csb1="00000000"/>
    <w:embedItalic r:id="rId9" w:fontKey="{CDEC0A8A-4935-4D98-BBBF-47033862A93B}"/>
  </w:font>
  <w:font w:name="Verdana">
    <w:panose1 w:val="020B0604030504040204"/>
    <w:charset w:val="00"/>
    <w:family w:val="swiss"/>
    <w:pitch w:val="variable"/>
    <w:sig w:usb0="A00006FF" w:usb1="4000205B" w:usb2="00000010" w:usb3="00000000" w:csb0="0000019F" w:csb1="00000000"/>
    <w:embedRegular r:id="rId10" w:fontKey="{80155E6B-7964-46D5-ACE5-06C66332F46E}"/>
  </w:font>
  <w:font w:name="Cambria">
    <w:panose1 w:val="02040503050406030204"/>
    <w:charset w:val="00"/>
    <w:family w:val="roman"/>
    <w:pitch w:val="variable"/>
    <w:sig w:usb0="E00006FF" w:usb1="420024FF" w:usb2="02000000" w:usb3="00000000" w:csb0="0000019F" w:csb1="00000000"/>
    <w:embedRegular r:id="rId11" w:fontKey="{99457148-05BB-450B-ADAD-AC4B43AC77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315" w:rsidRDefault="00162DE4">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716A2D">
      <w:rPr>
        <w:rFonts w:ascii="Palatino Linotype" w:eastAsia="Palatino Linotype" w:hAnsi="Palatino Linotype" w:cs="Palatino Linotype"/>
        <w:noProof/>
        <w:color w:val="000000"/>
      </w:rPr>
      <w:t>21</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NUMPAGES</w:instrText>
    </w:r>
    <w:r>
      <w:rPr>
        <w:rFonts w:ascii="Palatino Linotype" w:eastAsia="Palatino Linotype" w:hAnsi="Palatino Linotype" w:cs="Palatino Linotype"/>
        <w:color w:val="000000"/>
      </w:rPr>
      <w:fldChar w:fldCharType="separate"/>
    </w:r>
    <w:r w:rsidR="00716A2D">
      <w:rPr>
        <w:rFonts w:ascii="Palatino Linotype" w:eastAsia="Palatino Linotype" w:hAnsi="Palatino Linotype" w:cs="Palatino Linotype"/>
        <w:noProof/>
        <w:color w:val="000000"/>
      </w:rPr>
      <w:t>23</w:t>
    </w:r>
    <w:r>
      <w:rPr>
        <w:rFonts w:ascii="Palatino Linotype" w:eastAsia="Palatino Linotype" w:hAnsi="Palatino Linotype" w:cs="Palatino Linotype"/>
        <w:color w:val="000000"/>
      </w:rPr>
      <w:fldChar w:fldCharType="end"/>
    </w:r>
  </w:p>
  <w:p w:rsidR="000A4315" w:rsidRDefault="000A4315">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315" w:rsidRDefault="00162DE4">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716A2D">
      <w:rPr>
        <w:rFonts w:ascii="Palatino Linotype" w:eastAsia="Palatino Linotype" w:hAnsi="Palatino Linotype" w:cs="Palatino Linotype"/>
        <w:noProof/>
        <w:color w:val="000000"/>
      </w:rPr>
      <w:t>1</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NUMPAGES</w:instrText>
    </w:r>
    <w:r>
      <w:rPr>
        <w:rFonts w:ascii="Palatino Linotype" w:eastAsia="Palatino Linotype" w:hAnsi="Palatino Linotype" w:cs="Palatino Linotype"/>
        <w:color w:val="000000"/>
      </w:rPr>
      <w:fldChar w:fldCharType="separate"/>
    </w:r>
    <w:r w:rsidR="00716A2D">
      <w:rPr>
        <w:rFonts w:ascii="Palatino Linotype" w:eastAsia="Palatino Linotype" w:hAnsi="Palatino Linotype" w:cs="Palatino Linotype"/>
        <w:noProof/>
        <w:color w:val="000000"/>
      </w:rPr>
      <w:t>23</w:t>
    </w:r>
    <w:r>
      <w:rPr>
        <w:rFonts w:ascii="Palatino Linotype" w:eastAsia="Palatino Linotype" w:hAnsi="Palatino Linotype" w:cs="Palatino Linotype"/>
        <w:color w:val="000000"/>
      </w:rPr>
      <w:fldChar w:fldCharType="end"/>
    </w:r>
  </w:p>
  <w:p w:rsidR="000A4315" w:rsidRDefault="000A4315">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093" w:rsidRDefault="00792093">
      <w:pPr>
        <w:spacing w:after="0" w:line="240" w:lineRule="auto"/>
      </w:pPr>
      <w:r>
        <w:separator/>
      </w:r>
    </w:p>
  </w:footnote>
  <w:footnote w:type="continuationSeparator" w:id="0">
    <w:p w:rsidR="00792093" w:rsidRDefault="00792093">
      <w:pPr>
        <w:spacing w:after="0" w:line="240" w:lineRule="auto"/>
      </w:pPr>
      <w:r>
        <w:continuationSeparator/>
      </w:r>
    </w:p>
  </w:footnote>
  <w:footnote w:id="1">
    <w:p w:rsidR="000A4315" w:rsidRDefault="00162DE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315" w:rsidRDefault="00792093">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229" w:type="dxa"/>
      <w:tblInd w:w="2694" w:type="dxa"/>
      <w:tblLayout w:type="fixed"/>
      <w:tblLook w:val="0400" w:firstRow="0" w:lastRow="0" w:firstColumn="0" w:lastColumn="0" w:noHBand="0" w:noVBand="1"/>
    </w:tblPr>
    <w:tblGrid>
      <w:gridCol w:w="2970"/>
      <w:gridCol w:w="4259"/>
    </w:tblGrid>
    <w:tr w:rsidR="000A4315">
      <w:trPr>
        <w:trHeight w:val="227"/>
      </w:trPr>
      <w:tc>
        <w:tcPr>
          <w:tcW w:w="2970" w:type="dxa"/>
          <w:vAlign w:val="center"/>
        </w:tcPr>
        <w:p w:rsidR="000A4315" w:rsidRDefault="00162DE4">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259" w:type="dxa"/>
          <w:vAlign w:val="center"/>
        </w:tcPr>
        <w:p w:rsidR="000A4315" w:rsidRDefault="00162DE4">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04358/INFOEM/IP/RR/2026</w:t>
          </w:r>
        </w:p>
      </w:tc>
    </w:tr>
    <w:tr w:rsidR="000A4315">
      <w:trPr>
        <w:trHeight w:val="242"/>
      </w:trPr>
      <w:tc>
        <w:tcPr>
          <w:tcW w:w="2970" w:type="dxa"/>
          <w:vAlign w:val="center"/>
        </w:tcPr>
        <w:p w:rsidR="000A4315" w:rsidRDefault="00162DE4">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259" w:type="dxa"/>
          <w:vAlign w:val="center"/>
        </w:tcPr>
        <w:p w:rsidR="000A4315" w:rsidRDefault="00162DE4">
          <w:pPr>
            <w:pBdr>
              <w:top w:val="nil"/>
              <w:left w:val="nil"/>
              <w:bottom w:val="nil"/>
              <w:right w:val="nil"/>
              <w:between w:val="nil"/>
            </w:pBdr>
            <w:tabs>
              <w:tab w:val="left" w:pos="2592"/>
              <w:tab w:val="center" w:pos="4419"/>
              <w:tab w:val="right" w:pos="8838"/>
            </w:tabs>
            <w:spacing w:after="0" w:line="240" w:lineRule="auto"/>
            <w:ind w:right="-108"/>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Instituto Mexiquense de la Juventud</w:t>
          </w:r>
        </w:p>
      </w:tc>
    </w:tr>
    <w:tr w:rsidR="000A4315">
      <w:trPr>
        <w:trHeight w:val="342"/>
      </w:trPr>
      <w:tc>
        <w:tcPr>
          <w:tcW w:w="2970" w:type="dxa"/>
          <w:vAlign w:val="center"/>
        </w:tcPr>
        <w:p w:rsidR="000A4315" w:rsidRDefault="00162DE4">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259" w:type="dxa"/>
          <w:vAlign w:val="center"/>
        </w:tcPr>
        <w:p w:rsidR="000A4315" w:rsidRDefault="00162DE4">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0A4315" w:rsidRDefault="00792093">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3.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890" w:type="dxa"/>
      <w:tblInd w:w="2127" w:type="dxa"/>
      <w:tblLayout w:type="fixed"/>
      <w:tblLook w:val="0400" w:firstRow="0" w:lastRow="0" w:firstColumn="0" w:lastColumn="0" w:noHBand="0" w:noVBand="1"/>
    </w:tblPr>
    <w:tblGrid>
      <w:gridCol w:w="3084"/>
      <w:gridCol w:w="4806"/>
    </w:tblGrid>
    <w:tr w:rsidR="000A4315" w:rsidTr="00716A2D">
      <w:trPr>
        <w:trHeight w:val="227"/>
      </w:trPr>
      <w:tc>
        <w:tcPr>
          <w:tcW w:w="3084" w:type="dxa"/>
          <w:vAlign w:val="center"/>
        </w:tcPr>
        <w:p w:rsidR="000A4315" w:rsidRDefault="00162DE4" w:rsidP="00716A2D">
          <w:pPr>
            <w:spacing w:after="0" w:line="240" w:lineRule="auto"/>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806" w:type="dxa"/>
          <w:vAlign w:val="center"/>
        </w:tcPr>
        <w:p w:rsidR="000A4315" w:rsidRDefault="00162DE4" w:rsidP="00716A2D">
          <w:pPr>
            <w:pBdr>
              <w:top w:val="nil"/>
              <w:left w:val="nil"/>
              <w:bottom w:val="nil"/>
              <w:right w:val="nil"/>
              <w:between w:val="nil"/>
            </w:pBdr>
            <w:tabs>
              <w:tab w:val="center" w:pos="4419"/>
              <w:tab w:val="right" w:pos="8838"/>
            </w:tabs>
            <w:spacing w:after="0" w:line="276" w:lineRule="auto"/>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04358/INFOEM/IP/RR/2026 y acumulados</w:t>
          </w:r>
        </w:p>
      </w:tc>
    </w:tr>
    <w:tr w:rsidR="000A4315" w:rsidTr="00716A2D">
      <w:trPr>
        <w:trHeight w:val="242"/>
      </w:trPr>
      <w:tc>
        <w:tcPr>
          <w:tcW w:w="3084" w:type="dxa"/>
          <w:vAlign w:val="center"/>
        </w:tcPr>
        <w:p w:rsidR="000A4315" w:rsidRDefault="00162DE4" w:rsidP="00716A2D">
          <w:pPr>
            <w:spacing w:after="0" w:line="240" w:lineRule="auto"/>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Recurrente:</w:t>
          </w:r>
        </w:p>
      </w:tc>
      <w:tc>
        <w:tcPr>
          <w:tcW w:w="4806" w:type="dxa"/>
        </w:tcPr>
        <w:p w:rsidR="000A4315" w:rsidRDefault="000A4315" w:rsidP="00716A2D">
          <w:pPr>
            <w:spacing w:after="0"/>
            <w:rPr>
              <w:rFonts w:ascii="Palatino Linotype" w:eastAsia="Palatino Linotype" w:hAnsi="Palatino Linotype" w:cs="Palatino Linotype"/>
              <w:color w:val="000000"/>
              <w:sz w:val="24"/>
              <w:szCs w:val="24"/>
            </w:rPr>
          </w:pPr>
        </w:p>
      </w:tc>
    </w:tr>
    <w:tr w:rsidR="000A4315" w:rsidTr="00716A2D">
      <w:trPr>
        <w:trHeight w:val="342"/>
      </w:trPr>
      <w:tc>
        <w:tcPr>
          <w:tcW w:w="3084" w:type="dxa"/>
          <w:vAlign w:val="center"/>
        </w:tcPr>
        <w:p w:rsidR="000A4315" w:rsidRDefault="00162DE4" w:rsidP="00716A2D">
          <w:pPr>
            <w:spacing w:after="0" w:line="240" w:lineRule="auto"/>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806" w:type="dxa"/>
          <w:vAlign w:val="center"/>
        </w:tcPr>
        <w:p w:rsidR="000A4315" w:rsidRDefault="00162DE4" w:rsidP="00716A2D">
          <w:pPr>
            <w:pBdr>
              <w:top w:val="nil"/>
              <w:left w:val="nil"/>
              <w:bottom w:val="nil"/>
              <w:right w:val="nil"/>
              <w:between w:val="nil"/>
            </w:pBdr>
            <w:tabs>
              <w:tab w:val="center" w:pos="4419"/>
              <w:tab w:val="right" w:pos="8838"/>
            </w:tabs>
            <w:spacing w:after="0" w:line="276" w:lineRule="auto"/>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Instituto Mexiquense de la Juventud</w:t>
          </w:r>
        </w:p>
      </w:tc>
    </w:tr>
    <w:tr w:rsidR="000A4315" w:rsidTr="00716A2D">
      <w:trPr>
        <w:trHeight w:val="342"/>
      </w:trPr>
      <w:tc>
        <w:tcPr>
          <w:tcW w:w="3084" w:type="dxa"/>
          <w:vAlign w:val="center"/>
        </w:tcPr>
        <w:p w:rsidR="000A4315" w:rsidRDefault="00162DE4" w:rsidP="00716A2D">
          <w:pPr>
            <w:spacing w:after="0" w:line="240" w:lineRule="auto"/>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806" w:type="dxa"/>
          <w:vAlign w:val="center"/>
        </w:tcPr>
        <w:p w:rsidR="000A4315" w:rsidRDefault="00162DE4" w:rsidP="00716A2D">
          <w:pPr>
            <w:pBdr>
              <w:top w:val="nil"/>
              <w:left w:val="nil"/>
              <w:bottom w:val="nil"/>
              <w:right w:val="nil"/>
              <w:between w:val="nil"/>
            </w:pBdr>
            <w:tabs>
              <w:tab w:val="center" w:pos="4419"/>
              <w:tab w:val="right" w:pos="8838"/>
            </w:tabs>
            <w:spacing w:after="0" w:line="276" w:lineRule="auto"/>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0A4315" w:rsidRDefault="00792093">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7557F"/>
    <w:multiLevelType w:val="multilevel"/>
    <w:tmpl w:val="5E50A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B1325E"/>
    <w:multiLevelType w:val="multilevel"/>
    <w:tmpl w:val="10AE4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D24B2A"/>
    <w:multiLevelType w:val="multilevel"/>
    <w:tmpl w:val="8E76C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BD6CEA"/>
    <w:multiLevelType w:val="multilevel"/>
    <w:tmpl w:val="5DB6A7E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4" w15:restartNumberingAfterBreak="0">
    <w:nsid w:val="6B2E03AA"/>
    <w:multiLevelType w:val="multilevel"/>
    <w:tmpl w:val="5B80B0D0"/>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C457BA"/>
    <w:multiLevelType w:val="multilevel"/>
    <w:tmpl w:val="88267D8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CE7677"/>
    <w:multiLevelType w:val="multilevel"/>
    <w:tmpl w:val="F5D0C858"/>
    <w:lvl w:ilvl="0">
      <w:start w:val="1"/>
      <w:numFmt w:val="bullet"/>
      <w:lvlText w:val="●"/>
      <w:lvlJc w:val="left"/>
      <w:pPr>
        <w:ind w:left="1498" w:hanging="360"/>
      </w:pPr>
      <w:rPr>
        <w:rFonts w:ascii="Noto Sans Symbols" w:eastAsia="Noto Sans Symbols" w:hAnsi="Noto Sans Symbols" w:cs="Noto Sans Symbols"/>
      </w:rPr>
    </w:lvl>
    <w:lvl w:ilvl="1">
      <w:start w:val="1"/>
      <w:numFmt w:val="bullet"/>
      <w:lvlText w:val="o"/>
      <w:lvlJc w:val="left"/>
      <w:pPr>
        <w:ind w:left="2218" w:hanging="360"/>
      </w:pPr>
      <w:rPr>
        <w:rFonts w:ascii="Courier New" w:eastAsia="Courier New" w:hAnsi="Courier New" w:cs="Courier New"/>
      </w:rPr>
    </w:lvl>
    <w:lvl w:ilvl="2">
      <w:start w:val="1"/>
      <w:numFmt w:val="bullet"/>
      <w:lvlText w:val="▪"/>
      <w:lvlJc w:val="left"/>
      <w:pPr>
        <w:ind w:left="2938" w:hanging="360"/>
      </w:pPr>
      <w:rPr>
        <w:rFonts w:ascii="Noto Sans Symbols" w:eastAsia="Noto Sans Symbols" w:hAnsi="Noto Sans Symbols" w:cs="Noto Sans Symbols"/>
      </w:rPr>
    </w:lvl>
    <w:lvl w:ilvl="3">
      <w:start w:val="1"/>
      <w:numFmt w:val="bullet"/>
      <w:lvlText w:val="●"/>
      <w:lvlJc w:val="left"/>
      <w:pPr>
        <w:ind w:left="3658" w:hanging="360"/>
      </w:pPr>
      <w:rPr>
        <w:rFonts w:ascii="Noto Sans Symbols" w:eastAsia="Noto Sans Symbols" w:hAnsi="Noto Sans Symbols" w:cs="Noto Sans Symbols"/>
      </w:rPr>
    </w:lvl>
    <w:lvl w:ilvl="4">
      <w:start w:val="1"/>
      <w:numFmt w:val="bullet"/>
      <w:lvlText w:val="o"/>
      <w:lvlJc w:val="left"/>
      <w:pPr>
        <w:ind w:left="4378" w:hanging="360"/>
      </w:pPr>
      <w:rPr>
        <w:rFonts w:ascii="Courier New" w:eastAsia="Courier New" w:hAnsi="Courier New" w:cs="Courier New"/>
      </w:rPr>
    </w:lvl>
    <w:lvl w:ilvl="5">
      <w:start w:val="1"/>
      <w:numFmt w:val="bullet"/>
      <w:lvlText w:val="▪"/>
      <w:lvlJc w:val="left"/>
      <w:pPr>
        <w:ind w:left="5098" w:hanging="360"/>
      </w:pPr>
      <w:rPr>
        <w:rFonts w:ascii="Noto Sans Symbols" w:eastAsia="Noto Sans Symbols" w:hAnsi="Noto Sans Symbols" w:cs="Noto Sans Symbols"/>
      </w:rPr>
    </w:lvl>
    <w:lvl w:ilvl="6">
      <w:start w:val="1"/>
      <w:numFmt w:val="bullet"/>
      <w:lvlText w:val="●"/>
      <w:lvlJc w:val="left"/>
      <w:pPr>
        <w:ind w:left="5818" w:hanging="360"/>
      </w:pPr>
      <w:rPr>
        <w:rFonts w:ascii="Noto Sans Symbols" w:eastAsia="Noto Sans Symbols" w:hAnsi="Noto Sans Symbols" w:cs="Noto Sans Symbols"/>
      </w:rPr>
    </w:lvl>
    <w:lvl w:ilvl="7">
      <w:start w:val="1"/>
      <w:numFmt w:val="bullet"/>
      <w:lvlText w:val="o"/>
      <w:lvlJc w:val="left"/>
      <w:pPr>
        <w:ind w:left="6538" w:hanging="360"/>
      </w:pPr>
      <w:rPr>
        <w:rFonts w:ascii="Courier New" w:eastAsia="Courier New" w:hAnsi="Courier New" w:cs="Courier New"/>
      </w:rPr>
    </w:lvl>
    <w:lvl w:ilvl="8">
      <w:start w:val="1"/>
      <w:numFmt w:val="bullet"/>
      <w:lvlText w:val="▪"/>
      <w:lvlJc w:val="left"/>
      <w:pPr>
        <w:ind w:left="7258" w:hanging="360"/>
      </w:pPr>
      <w:rPr>
        <w:rFonts w:ascii="Noto Sans Symbols" w:eastAsia="Noto Sans Symbols" w:hAnsi="Noto Sans Symbols" w:cs="Noto Sans Symbols"/>
      </w:rPr>
    </w:lvl>
  </w:abstractNum>
  <w:abstractNum w:abstractNumId="7" w15:restartNumberingAfterBreak="0">
    <w:nsid w:val="73F01FA3"/>
    <w:multiLevelType w:val="multilevel"/>
    <w:tmpl w:val="E02A3360"/>
    <w:lvl w:ilvl="0">
      <w:start w:val="1"/>
      <w:numFmt w:val="bullet"/>
      <w:lvlText w:val="●"/>
      <w:lvlJc w:val="left"/>
      <w:pPr>
        <w:ind w:left="720" w:hanging="360"/>
      </w:pPr>
      <w:rPr>
        <w:rFonts w:ascii="Noto Sans Symbols" w:eastAsia="Noto Sans Symbols" w:hAnsi="Noto Sans Symbols" w:cs="Noto Sans Symbols"/>
        <w:b/>
        <w:bC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7"/>
  </w:num>
  <w:num w:numId="4">
    <w:abstractNumId w:val="0"/>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315"/>
    <w:rsid w:val="000A4315"/>
    <w:rsid w:val="00162DE4"/>
    <w:rsid w:val="00716A2D"/>
    <w:rsid w:val="0075650D"/>
    <w:rsid w:val="00792093"/>
    <w:rsid w:val="00AA70C4"/>
    <w:rsid w:val="00C423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28DFABB-DC2C-4BF5-A2F3-D1A405DF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line="240" w:lineRule="auto"/>
      <w:outlineLvl w:val="0"/>
    </w:pPr>
    <w:rPr>
      <w:color w:val="2E75B5"/>
      <w:sz w:val="32"/>
      <w:szCs w:val="32"/>
    </w:rPr>
  </w:style>
  <w:style w:type="paragraph" w:styleId="Ttulo2">
    <w:name w:val="heading 2"/>
    <w:basedOn w:val="Normal"/>
    <w:next w:val="Normal"/>
    <w:pPr>
      <w:keepNext/>
      <w:keepLines/>
      <w:spacing w:before="40" w:after="0" w:line="240" w:lineRule="auto"/>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AA70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70C4"/>
  </w:style>
  <w:style w:type="paragraph" w:styleId="Prrafodelista">
    <w:name w:val="List Paragraph"/>
    <w:basedOn w:val="Normal"/>
    <w:uiPriority w:val="34"/>
    <w:qFormat/>
    <w:rsid w:val="00716A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ga4fekanttQePkaYMWdxf8WYJQ==">CgMxLjAyCWguM3pueXNoNzIIaC50eWpjd3QyCWguM2R5NnZrbTIJaC4xdDNoNXNmMg5oLncybnFmZnlqa2FnZDIOaC40cXBkcmg4ajRnNDg4AHIhMWQ2V2lEZE8xNVFGTEpuTlJEMjYwSFctSlM1SG1JUktX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5201</Words>
  <Characters>28610</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INFOEM574</dc:creator>
  <cp:lastModifiedBy>Cuenta Microsoft</cp:lastModifiedBy>
  <cp:revision>5</cp:revision>
  <cp:lastPrinted>2026-05-29T00:09:00Z</cp:lastPrinted>
  <dcterms:created xsi:type="dcterms:W3CDTF">2026-05-27T20:17:00Z</dcterms:created>
  <dcterms:modified xsi:type="dcterms:W3CDTF">2026-06-01T19:38:00Z</dcterms:modified>
</cp:coreProperties>
</file>