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75386E2" w14:textId="77777777" w:rsidR="00342378" w:rsidRPr="00725E05" w:rsidRDefault="00342378" w:rsidP="00036CD0">
          <w:pPr>
            <w:pStyle w:val="TtuloTDC"/>
            <w:contextualSpacing/>
            <w:rPr>
              <w:rFonts w:ascii="Palatino Linotype" w:hAnsi="Palatino Linotype"/>
              <w:color w:val="auto"/>
              <w:sz w:val="22"/>
              <w:szCs w:val="22"/>
            </w:rPr>
          </w:pPr>
          <w:r w:rsidRPr="00725E05">
            <w:rPr>
              <w:rFonts w:ascii="Palatino Linotype" w:hAnsi="Palatino Linotype"/>
              <w:color w:val="auto"/>
              <w:sz w:val="22"/>
              <w:szCs w:val="22"/>
              <w:lang w:val="es-ES"/>
            </w:rPr>
            <w:t>Contenido</w:t>
          </w:r>
        </w:p>
        <w:p w14:paraId="674ACE15" w14:textId="77777777" w:rsidR="00725E05" w:rsidRPr="00725E05" w:rsidRDefault="00342378">
          <w:pPr>
            <w:pStyle w:val="TDC1"/>
            <w:tabs>
              <w:tab w:val="right" w:leader="dot" w:pos="9034"/>
            </w:tabs>
            <w:rPr>
              <w:rFonts w:asciiTheme="minorHAnsi" w:eastAsiaTheme="minorEastAsia" w:hAnsiTheme="minorHAnsi" w:cstheme="minorBidi"/>
              <w:noProof/>
              <w:sz w:val="22"/>
              <w:szCs w:val="22"/>
              <w:lang w:eastAsia="es-MX"/>
            </w:rPr>
          </w:pPr>
          <w:r w:rsidRPr="00725E05">
            <w:rPr>
              <w:rFonts w:ascii="Palatino Linotype" w:hAnsi="Palatino Linotype"/>
              <w:bCs/>
              <w:sz w:val="22"/>
              <w:szCs w:val="22"/>
              <w:lang w:val="es-ES"/>
            </w:rPr>
            <w:fldChar w:fldCharType="begin"/>
          </w:r>
          <w:r w:rsidRPr="00725E05">
            <w:rPr>
              <w:rFonts w:ascii="Palatino Linotype" w:hAnsi="Palatino Linotype"/>
              <w:bCs/>
              <w:sz w:val="22"/>
              <w:szCs w:val="22"/>
              <w:lang w:val="es-ES"/>
            </w:rPr>
            <w:instrText xml:space="preserve"> TOC \o "1-3" \h \z \u </w:instrText>
          </w:r>
          <w:r w:rsidRPr="00725E05">
            <w:rPr>
              <w:rFonts w:ascii="Palatino Linotype" w:hAnsi="Palatino Linotype"/>
              <w:bCs/>
              <w:sz w:val="22"/>
              <w:szCs w:val="22"/>
              <w:lang w:val="es-ES"/>
            </w:rPr>
            <w:fldChar w:fldCharType="separate"/>
          </w:r>
          <w:hyperlink w:anchor="_Toc222411548" w:history="1">
            <w:r w:rsidR="00725E05" w:rsidRPr="00725E05">
              <w:rPr>
                <w:rStyle w:val="Hipervnculo"/>
                <w:rFonts w:ascii="Palatino Linotype" w:hAnsi="Palatino Linotype"/>
                <w:noProof/>
              </w:rPr>
              <w:t>A N T E C E D E N T E S</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_Toc222411548 \h </w:instrText>
            </w:r>
            <w:r w:rsidR="00725E05" w:rsidRPr="00725E05">
              <w:rPr>
                <w:noProof/>
                <w:webHidden/>
              </w:rPr>
            </w:r>
            <w:r w:rsidR="00725E05" w:rsidRPr="00725E05">
              <w:rPr>
                <w:noProof/>
                <w:webHidden/>
              </w:rPr>
              <w:fldChar w:fldCharType="separate"/>
            </w:r>
            <w:r w:rsidR="006E6C29">
              <w:rPr>
                <w:noProof/>
                <w:webHidden/>
              </w:rPr>
              <w:t>2</w:t>
            </w:r>
            <w:r w:rsidR="00725E05" w:rsidRPr="00725E05">
              <w:rPr>
                <w:noProof/>
                <w:webHidden/>
              </w:rPr>
              <w:fldChar w:fldCharType="end"/>
            </w:r>
          </w:hyperlink>
        </w:p>
        <w:p w14:paraId="3BD0E2CE"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49" w:history="1">
            <w:r w:rsidR="00725E05" w:rsidRPr="00725E05">
              <w:rPr>
                <w:rStyle w:val="Hipervnculo"/>
                <w:rFonts w:ascii="Palatino Linotype" w:hAnsi="Palatino Linotype" w:cs="Tahoma"/>
                <w:noProof/>
              </w:rPr>
              <w:t>I. Presentación de la solicitud de información</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_Toc222411549 \h </w:instrText>
            </w:r>
            <w:r w:rsidR="00725E05" w:rsidRPr="00725E05">
              <w:rPr>
                <w:noProof/>
                <w:webHidden/>
              </w:rPr>
            </w:r>
            <w:r w:rsidR="00725E05" w:rsidRPr="00725E05">
              <w:rPr>
                <w:noProof/>
                <w:webHidden/>
              </w:rPr>
              <w:fldChar w:fldCharType="separate"/>
            </w:r>
            <w:r w:rsidR="006E6C29">
              <w:rPr>
                <w:noProof/>
                <w:webHidden/>
              </w:rPr>
              <w:t>2</w:t>
            </w:r>
            <w:r w:rsidR="00725E05" w:rsidRPr="00725E05">
              <w:rPr>
                <w:noProof/>
                <w:webHidden/>
              </w:rPr>
              <w:fldChar w:fldCharType="end"/>
            </w:r>
          </w:hyperlink>
        </w:p>
        <w:p w14:paraId="5799D73F"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50" w:history="1">
            <w:r w:rsidR="00725E05" w:rsidRPr="00725E05">
              <w:rPr>
                <w:rStyle w:val="Hipervnculo"/>
                <w:rFonts w:ascii="Palatino Linotype" w:hAnsi="Palatino Linotype"/>
                <w:bCs/>
                <w:noProof/>
              </w:rPr>
              <w:t>II. Solicitud de Aclaración</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_Toc222411550 \h </w:instrText>
            </w:r>
            <w:r w:rsidR="00725E05" w:rsidRPr="00725E05">
              <w:rPr>
                <w:noProof/>
                <w:webHidden/>
              </w:rPr>
            </w:r>
            <w:r w:rsidR="00725E05" w:rsidRPr="00725E05">
              <w:rPr>
                <w:noProof/>
                <w:webHidden/>
              </w:rPr>
              <w:fldChar w:fldCharType="separate"/>
            </w:r>
            <w:r w:rsidR="006E6C29">
              <w:rPr>
                <w:noProof/>
                <w:webHidden/>
              </w:rPr>
              <w:t>2</w:t>
            </w:r>
            <w:r w:rsidR="00725E05" w:rsidRPr="00725E05">
              <w:rPr>
                <w:noProof/>
                <w:webHidden/>
              </w:rPr>
              <w:fldChar w:fldCharType="end"/>
            </w:r>
          </w:hyperlink>
        </w:p>
        <w:p w14:paraId="43E360A1"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51" w:history="1">
            <w:r w:rsidR="00725E05" w:rsidRPr="00725E05">
              <w:rPr>
                <w:rStyle w:val="Hipervnculo"/>
                <w:rFonts w:ascii="Palatino Linotype" w:hAnsi="Palatino Linotype"/>
                <w:bCs/>
                <w:noProof/>
              </w:rPr>
              <w:t>III. Desahogo del requerimiento de aclaración</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_Toc222411551 \h </w:instrText>
            </w:r>
            <w:r w:rsidR="00725E05" w:rsidRPr="00725E05">
              <w:rPr>
                <w:noProof/>
                <w:webHidden/>
              </w:rPr>
            </w:r>
            <w:r w:rsidR="00725E05" w:rsidRPr="00725E05">
              <w:rPr>
                <w:noProof/>
                <w:webHidden/>
              </w:rPr>
              <w:fldChar w:fldCharType="separate"/>
            </w:r>
            <w:r w:rsidR="006E6C29">
              <w:rPr>
                <w:noProof/>
                <w:webHidden/>
              </w:rPr>
              <w:t>3</w:t>
            </w:r>
            <w:r w:rsidR="00725E05" w:rsidRPr="00725E05">
              <w:rPr>
                <w:noProof/>
                <w:webHidden/>
              </w:rPr>
              <w:fldChar w:fldCharType="end"/>
            </w:r>
          </w:hyperlink>
        </w:p>
        <w:p w14:paraId="04FEEB0A"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52" w:history="1">
            <w:r w:rsidR="00725E05" w:rsidRPr="00725E05">
              <w:rPr>
                <w:rStyle w:val="Hipervnculo"/>
                <w:rFonts w:ascii="Palatino Linotype" w:hAnsi="Palatino Linotype" w:cs="Tahoma"/>
                <w:noProof/>
              </w:rPr>
              <w:t>IV. Respuesta del Sujeto Obligado</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_Toc222411552 \h </w:instrText>
            </w:r>
            <w:r w:rsidR="00725E05" w:rsidRPr="00725E05">
              <w:rPr>
                <w:noProof/>
                <w:webHidden/>
              </w:rPr>
            </w:r>
            <w:r w:rsidR="00725E05" w:rsidRPr="00725E05">
              <w:rPr>
                <w:noProof/>
                <w:webHidden/>
              </w:rPr>
              <w:fldChar w:fldCharType="separate"/>
            </w:r>
            <w:r w:rsidR="006E6C29">
              <w:rPr>
                <w:noProof/>
                <w:webHidden/>
              </w:rPr>
              <w:t>3</w:t>
            </w:r>
            <w:r w:rsidR="00725E05" w:rsidRPr="00725E05">
              <w:rPr>
                <w:noProof/>
                <w:webHidden/>
              </w:rPr>
              <w:fldChar w:fldCharType="end"/>
            </w:r>
          </w:hyperlink>
        </w:p>
        <w:p w14:paraId="428B9D59"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53" w:history="1">
            <w:r w:rsidR="00725E05" w:rsidRPr="00725E05">
              <w:rPr>
                <w:rStyle w:val="Hipervnculo"/>
                <w:rFonts w:ascii="Palatino Linotype" w:hAnsi="Palatino Linotype" w:cs="Tahoma"/>
                <w:noProof/>
              </w:rPr>
              <w:t>V. Interposición del Recurso de Revisión</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_Toc222411553 \h </w:instrText>
            </w:r>
            <w:r w:rsidR="00725E05" w:rsidRPr="00725E05">
              <w:rPr>
                <w:noProof/>
                <w:webHidden/>
              </w:rPr>
            </w:r>
            <w:r w:rsidR="00725E05" w:rsidRPr="00725E05">
              <w:rPr>
                <w:noProof/>
                <w:webHidden/>
              </w:rPr>
              <w:fldChar w:fldCharType="separate"/>
            </w:r>
            <w:r w:rsidR="006E6C29">
              <w:rPr>
                <w:noProof/>
                <w:webHidden/>
              </w:rPr>
              <w:t>4</w:t>
            </w:r>
            <w:r w:rsidR="00725E05" w:rsidRPr="00725E05">
              <w:rPr>
                <w:noProof/>
                <w:webHidden/>
              </w:rPr>
              <w:fldChar w:fldCharType="end"/>
            </w:r>
          </w:hyperlink>
        </w:p>
        <w:p w14:paraId="01203A73"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54" w:history="1">
            <w:r w:rsidR="00725E05" w:rsidRPr="00725E05">
              <w:rPr>
                <w:rStyle w:val="Hipervnculo"/>
                <w:rFonts w:ascii="Palatino Linotype" w:hAnsi="Palatino Linotype"/>
                <w:noProof/>
              </w:rPr>
              <w:t>VI. Trámite del Recurso de Revisión ante el Instituto</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_Toc222411554 \h </w:instrText>
            </w:r>
            <w:r w:rsidR="00725E05" w:rsidRPr="00725E05">
              <w:rPr>
                <w:noProof/>
                <w:webHidden/>
              </w:rPr>
            </w:r>
            <w:r w:rsidR="00725E05" w:rsidRPr="00725E05">
              <w:rPr>
                <w:noProof/>
                <w:webHidden/>
              </w:rPr>
              <w:fldChar w:fldCharType="separate"/>
            </w:r>
            <w:r w:rsidR="006E6C29">
              <w:rPr>
                <w:noProof/>
                <w:webHidden/>
              </w:rPr>
              <w:t>4</w:t>
            </w:r>
            <w:r w:rsidR="00725E05" w:rsidRPr="00725E05">
              <w:rPr>
                <w:noProof/>
                <w:webHidden/>
              </w:rPr>
              <w:fldChar w:fldCharType="end"/>
            </w:r>
          </w:hyperlink>
        </w:p>
        <w:p w14:paraId="4C6EFC75" w14:textId="77777777" w:rsidR="00725E05" w:rsidRPr="00725E0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555" w:history="1">
            <w:r w:rsidR="00725E05" w:rsidRPr="00725E05">
              <w:rPr>
                <w:rStyle w:val="Hipervnculo"/>
                <w:rFonts w:ascii="Palatino Linotype" w:hAnsi="Palatino Linotype"/>
                <w:noProof/>
              </w:rPr>
              <w:t>a) Turno del Recurso de Revisión.</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_Toc222411555 \h </w:instrText>
            </w:r>
            <w:r w:rsidR="00725E05" w:rsidRPr="00725E05">
              <w:rPr>
                <w:noProof/>
                <w:webHidden/>
              </w:rPr>
            </w:r>
            <w:r w:rsidR="00725E05" w:rsidRPr="00725E05">
              <w:rPr>
                <w:noProof/>
                <w:webHidden/>
              </w:rPr>
              <w:fldChar w:fldCharType="separate"/>
            </w:r>
            <w:r w:rsidR="006E6C29">
              <w:rPr>
                <w:noProof/>
                <w:webHidden/>
              </w:rPr>
              <w:t>4</w:t>
            </w:r>
            <w:r w:rsidR="00725E05" w:rsidRPr="00725E05">
              <w:rPr>
                <w:noProof/>
                <w:webHidden/>
              </w:rPr>
              <w:fldChar w:fldCharType="end"/>
            </w:r>
          </w:hyperlink>
        </w:p>
        <w:p w14:paraId="58D7F490" w14:textId="77777777" w:rsidR="00725E05" w:rsidRPr="00725E0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556" w:history="1">
            <w:r w:rsidR="00725E05" w:rsidRPr="00725E05">
              <w:rPr>
                <w:rStyle w:val="Hipervnculo"/>
                <w:rFonts w:ascii="Palatino Linotype" w:hAnsi="Palatino Linotype"/>
                <w:noProof/>
              </w:rPr>
              <w:t>b) Admisión del Recurso de Revisión.</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_Toc222411556 \h </w:instrText>
            </w:r>
            <w:r w:rsidR="00725E05" w:rsidRPr="00725E05">
              <w:rPr>
                <w:noProof/>
                <w:webHidden/>
              </w:rPr>
            </w:r>
            <w:r w:rsidR="00725E05" w:rsidRPr="00725E05">
              <w:rPr>
                <w:noProof/>
                <w:webHidden/>
              </w:rPr>
              <w:fldChar w:fldCharType="separate"/>
            </w:r>
            <w:r w:rsidR="006E6C29">
              <w:rPr>
                <w:noProof/>
                <w:webHidden/>
              </w:rPr>
              <w:t>5</w:t>
            </w:r>
            <w:r w:rsidR="00725E05" w:rsidRPr="00725E05">
              <w:rPr>
                <w:noProof/>
                <w:webHidden/>
              </w:rPr>
              <w:fldChar w:fldCharType="end"/>
            </w:r>
          </w:hyperlink>
        </w:p>
        <w:p w14:paraId="6FCE185E" w14:textId="77777777" w:rsidR="00725E05" w:rsidRPr="00725E0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557" w:history="1">
            <w:r w:rsidR="00725E05" w:rsidRPr="00725E05">
              <w:rPr>
                <w:rStyle w:val="Hipervnculo"/>
                <w:rFonts w:ascii="Palatino Linotype" w:hAnsi="Palatino Linotype"/>
                <w:noProof/>
              </w:rPr>
              <w:t>c) Informe Justificado.</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_Toc222411557 \h </w:instrText>
            </w:r>
            <w:r w:rsidR="00725E05" w:rsidRPr="00725E05">
              <w:rPr>
                <w:noProof/>
                <w:webHidden/>
              </w:rPr>
            </w:r>
            <w:r w:rsidR="00725E05" w:rsidRPr="00725E05">
              <w:rPr>
                <w:noProof/>
                <w:webHidden/>
              </w:rPr>
              <w:fldChar w:fldCharType="separate"/>
            </w:r>
            <w:r w:rsidR="006E6C29">
              <w:rPr>
                <w:noProof/>
                <w:webHidden/>
              </w:rPr>
              <w:t>5</w:t>
            </w:r>
            <w:r w:rsidR="00725E05" w:rsidRPr="00725E05">
              <w:rPr>
                <w:noProof/>
                <w:webHidden/>
              </w:rPr>
              <w:fldChar w:fldCharType="end"/>
            </w:r>
          </w:hyperlink>
        </w:p>
        <w:p w14:paraId="5089C91B" w14:textId="77777777" w:rsidR="00725E05" w:rsidRPr="00725E0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558" w:history="1">
            <w:r w:rsidR="00725E05" w:rsidRPr="00725E05">
              <w:rPr>
                <w:rStyle w:val="Hipervnculo"/>
                <w:rFonts w:ascii="Palatino Linotype" w:hAnsi="Palatino Linotype"/>
                <w:noProof/>
              </w:rPr>
              <w:t>d). Vista del Informe Justificado.</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_Toc222411558 \h </w:instrText>
            </w:r>
            <w:r w:rsidR="00725E05" w:rsidRPr="00725E05">
              <w:rPr>
                <w:noProof/>
                <w:webHidden/>
              </w:rPr>
            </w:r>
            <w:r w:rsidR="00725E05" w:rsidRPr="00725E05">
              <w:rPr>
                <w:noProof/>
                <w:webHidden/>
              </w:rPr>
              <w:fldChar w:fldCharType="separate"/>
            </w:r>
            <w:r w:rsidR="006E6C29">
              <w:rPr>
                <w:noProof/>
                <w:webHidden/>
              </w:rPr>
              <w:t>5</w:t>
            </w:r>
            <w:r w:rsidR="00725E05" w:rsidRPr="00725E05">
              <w:rPr>
                <w:noProof/>
                <w:webHidden/>
              </w:rPr>
              <w:fldChar w:fldCharType="end"/>
            </w:r>
          </w:hyperlink>
        </w:p>
        <w:p w14:paraId="50F4ED7F" w14:textId="77777777" w:rsidR="00725E05" w:rsidRPr="00725E0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559" w:history="1">
            <w:r w:rsidR="00725E05" w:rsidRPr="00725E05">
              <w:rPr>
                <w:rStyle w:val="Hipervnculo"/>
                <w:rFonts w:ascii="Palatino Linotype" w:hAnsi="Palatino Linotype"/>
                <w:noProof/>
              </w:rPr>
              <w:t>f) Cierre de instrucción</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_Toc222411559 \h </w:instrText>
            </w:r>
            <w:r w:rsidR="00725E05" w:rsidRPr="00725E05">
              <w:rPr>
                <w:noProof/>
                <w:webHidden/>
              </w:rPr>
            </w:r>
            <w:r w:rsidR="00725E05" w:rsidRPr="00725E05">
              <w:rPr>
                <w:noProof/>
                <w:webHidden/>
              </w:rPr>
              <w:fldChar w:fldCharType="separate"/>
            </w:r>
            <w:r w:rsidR="006E6C29">
              <w:rPr>
                <w:noProof/>
                <w:webHidden/>
              </w:rPr>
              <w:t>5</w:t>
            </w:r>
            <w:r w:rsidR="00725E05" w:rsidRPr="00725E05">
              <w:rPr>
                <w:noProof/>
                <w:webHidden/>
              </w:rPr>
              <w:fldChar w:fldCharType="end"/>
            </w:r>
          </w:hyperlink>
        </w:p>
        <w:p w14:paraId="5F47EF10" w14:textId="77777777" w:rsidR="00725E05" w:rsidRPr="00725E05"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22411560" w:history="1">
            <w:r w:rsidR="00725E05" w:rsidRPr="00725E05">
              <w:rPr>
                <w:rStyle w:val="Hipervnculo"/>
                <w:rFonts w:ascii="Palatino Linotype" w:hAnsi="Palatino Linotype"/>
                <w:noProof/>
              </w:rPr>
              <w:t>C O N S I D E R A N D O S</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_Toc222411560 \h </w:instrText>
            </w:r>
            <w:r w:rsidR="00725E05" w:rsidRPr="00725E05">
              <w:rPr>
                <w:noProof/>
                <w:webHidden/>
              </w:rPr>
            </w:r>
            <w:r w:rsidR="00725E05" w:rsidRPr="00725E05">
              <w:rPr>
                <w:noProof/>
                <w:webHidden/>
              </w:rPr>
              <w:fldChar w:fldCharType="separate"/>
            </w:r>
            <w:r w:rsidR="006E6C29">
              <w:rPr>
                <w:noProof/>
                <w:webHidden/>
              </w:rPr>
              <w:t>6</w:t>
            </w:r>
            <w:r w:rsidR="00725E05" w:rsidRPr="00725E05">
              <w:rPr>
                <w:noProof/>
                <w:webHidden/>
              </w:rPr>
              <w:fldChar w:fldCharType="end"/>
            </w:r>
          </w:hyperlink>
        </w:p>
        <w:p w14:paraId="65AB0F0E"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61" w:history="1">
            <w:r w:rsidR="00725E05" w:rsidRPr="00725E05">
              <w:rPr>
                <w:rStyle w:val="Hipervnculo"/>
                <w:rFonts w:ascii="Palatino Linotype" w:eastAsia="Calibri" w:hAnsi="Palatino Linotype"/>
                <w:noProof/>
                <w:lang w:eastAsia="es-MX"/>
              </w:rPr>
              <w:t xml:space="preserve">PRIMERO. </w:t>
            </w:r>
            <w:r w:rsidR="00725E05" w:rsidRPr="00725E05">
              <w:rPr>
                <w:rStyle w:val="Hipervnculo"/>
                <w:rFonts w:ascii="Palatino Linotype" w:hAnsi="Palatino Linotype"/>
                <w:noProof/>
              </w:rPr>
              <w:t>Competencia</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_Toc222411561 \h </w:instrText>
            </w:r>
            <w:r w:rsidR="00725E05" w:rsidRPr="00725E05">
              <w:rPr>
                <w:noProof/>
                <w:webHidden/>
              </w:rPr>
            </w:r>
            <w:r w:rsidR="00725E05" w:rsidRPr="00725E05">
              <w:rPr>
                <w:noProof/>
                <w:webHidden/>
              </w:rPr>
              <w:fldChar w:fldCharType="separate"/>
            </w:r>
            <w:r w:rsidR="006E6C29">
              <w:rPr>
                <w:noProof/>
                <w:webHidden/>
              </w:rPr>
              <w:t>6</w:t>
            </w:r>
            <w:r w:rsidR="00725E05" w:rsidRPr="00725E05">
              <w:rPr>
                <w:noProof/>
                <w:webHidden/>
              </w:rPr>
              <w:fldChar w:fldCharType="end"/>
            </w:r>
          </w:hyperlink>
        </w:p>
        <w:p w14:paraId="6E6D688C"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62" w:history="1">
            <w:r w:rsidR="00725E05" w:rsidRPr="00725E05">
              <w:rPr>
                <w:rStyle w:val="Hipervnculo"/>
                <w:rFonts w:ascii="Palatino Linotype" w:eastAsia="Calibri" w:hAnsi="Palatino Linotype"/>
                <w:noProof/>
                <w:lang w:eastAsia="es-MX"/>
              </w:rPr>
              <w:t>SEGUNDO. Causales de improcedencia y sobreseimiento</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_Toc222411562 \h </w:instrText>
            </w:r>
            <w:r w:rsidR="00725E05" w:rsidRPr="00725E05">
              <w:rPr>
                <w:noProof/>
                <w:webHidden/>
              </w:rPr>
            </w:r>
            <w:r w:rsidR="00725E05" w:rsidRPr="00725E05">
              <w:rPr>
                <w:noProof/>
                <w:webHidden/>
              </w:rPr>
              <w:fldChar w:fldCharType="separate"/>
            </w:r>
            <w:r w:rsidR="006E6C29">
              <w:rPr>
                <w:noProof/>
                <w:webHidden/>
              </w:rPr>
              <w:t>6</w:t>
            </w:r>
            <w:r w:rsidR="00725E05" w:rsidRPr="00725E05">
              <w:rPr>
                <w:noProof/>
                <w:webHidden/>
              </w:rPr>
              <w:fldChar w:fldCharType="end"/>
            </w:r>
          </w:hyperlink>
        </w:p>
        <w:p w14:paraId="7650A23D" w14:textId="77777777" w:rsidR="00725E05" w:rsidRPr="00725E05"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22411563" w:history="1">
            <w:r w:rsidR="00725E05" w:rsidRPr="00725E05">
              <w:rPr>
                <w:rStyle w:val="Hipervnculo"/>
                <w:rFonts w:ascii="Palatino Linotype" w:eastAsia="Calibri" w:hAnsi="Palatino Linotype" w:cs="Arial"/>
                <w:noProof/>
                <w:lang w:eastAsia="es-ES_tradnl"/>
              </w:rPr>
              <w:t>Causales de sobreseimiento</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_Toc222411563 \h </w:instrText>
            </w:r>
            <w:r w:rsidR="00725E05" w:rsidRPr="00725E05">
              <w:rPr>
                <w:noProof/>
                <w:webHidden/>
              </w:rPr>
            </w:r>
            <w:r w:rsidR="00725E05" w:rsidRPr="00725E05">
              <w:rPr>
                <w:noProof/>
                <w:webHidden/>
              </w:rPr>
              <w:fldChar w:fldCharType="separate"/>
            </w:r>
            <w:r w:rsidR="006E6C29">
              <w:rPr>
                <w:noProof/>
                <w:webHidden/>
              </w:rPr>
              <w:t>7</w:t>
            </w:r>
            <w:r w:rsidR="00725E05" w:rsidRPr="00725E05">
              <w:rPr>
                <w:noProof/>
                <w:webHidden/>
              </w:rPr>
              <w:fldChar w:fldCharType="end"/>
            </w:r>
          </w:hyperlink>
        </w:p>
        <w:p w14:paraId="0E6D0735"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64" w:history="1">
            <w:r w:rsidR="00725E05" w:rsidRPr="00725E05">
              <w:rPr>
                <w:rStyle w:val="Hipervnculo"/>
                <w:rFonts w:ascii="Palatino Linotype" w:eastAsia="Calibri" w:hAnsi="Palatino Linotype"/>
                <w:noProof/>
                <w:lang w:eastAsia="es-ES_tradnl"/>
              </w:rPr>
              <w:t>TERCERO. Determinación de la Controversia</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_Toc222411564 \h </w:instrText>
            </w:r>
            <w:r w:rsidR="00725E05" w:rsidRPr="00725E05">
              <w:rPr>
                <w:noProof/>
                <w:webHidden/>
              </w:rPr>
            </w:r>
            <w:r w:rsidR="00725E05" w:rsidRPr="00725E05">
              <w:rPr>
                <w:noProof/>
                <w:webHidden/>
              </w:rPr>
              <w:fldChar w:fldCharType="separate"/>
            </w:r>
            <w:r w:rsidR="006E6C29">
              <w:rPr>
                <w:noProof/>
                <w:webHidden/>
              </w:rPr>
              <w:t>8</w:t>
            </w:r>
            <w:r w:rsidR="00725E05" w:rsidRPr="00725E05">
              <w:rPr>
                <w:noProof/>
                <w:webHidden/>
              </w:rPr>
              <w:fldChar w:fldCharType="end"/>
            </w:r>
          </w:hyperlink>
        </w:p>
        <w:p w14:paraId="07BA3846"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65" w:history="1">
            <w:r w:rsidR="00725E05" w:rsidRPr="00725E05">
              <w:rPr>
                <w:rStyle w:val="Hipervnculo"/>
                <w:rFonts w:ascii="Palatino Linotype" w:eastAsia="Calibri" w:hAnsi="Palatino Linotype" w:cs="Arial"/>
                <w:noProof/>
                <w:lang w:eastAsia="es-ES_tradnl"/>
              </w:rPr>
              <w:t>CUARTO. Marco normativo aplicable en materia de transparencia y acceso a la información pública</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_Toc222411565 \h </w:instrText>
            </w:r>
            <w:r w:rsidR="00725E05" w:rsidRPr="00725E05">
              <w:rPr>
                <w:noProof/>
                <w:webHidden/>
              </w:rPr>
            </w:r>
            <w:r w:rsidR="00725E05" w:rsidRPr="00725E05">
              <w:rPr>
                <w:noProof/>
                <w:webHidden/>
              </w:rPr>
              <w:fldChar w:fldCharType="separate"/>
            </w:r>
            <w:r w:rsidR="006E6C29">
              <w:rPr>
                <w:noProof/>
                <w:webHidden/>
              </w:rPr>
              <w:t>8</w:t>
            </w:r>
            <w:r w:rsidR="00725E05" w:rsidRPr="00725E05">
              <w:rPr>
                <w:noProof/>
                <w:webHidden/>
              </w:rPr>
              <w:fldChar w:fldCharType="end"/>
            </w:r>
          </w:hyperlink>
        </w:p>
        <w:p w14:paraId="0E0D9BDE"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66" w:history="1">
            <w:r w:rsidR="00725E05" w:rsidRPr="00725E05">
              <w:rPr>
                <w:rStyle w:val="Hipervnculo"/>
                <w:rFonts w:ascii="Palatino Linotype" w:eastAsia="Calibri" w:hAnsi="Palatino Linotype"/>
                <w:noProof/>
                <w:lang w:eastAsia="es-ES_tradnl"/>
              </w:rPr>
              <w:t>QUINTO. Estudio de Fondo</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_Toc222411566 \h </w:instrText>
            </w:r>
            <w:r w:rsidR="00725E05" w:rsidRPr="00725E05">
              <w:rPr>
                <w:noProof/>
                <w:webHidden/>
              </w:rPr>
            </w:r>
            <w:r w:rsidR="00725E05" w:rsidRPr="00725E05">
              <w:rPr>
                <w:noProof/>
                <w:webHidden/>
              </w:rPr>
              <w:fldChar w:fldCharType="separate"/>
            </w:r>
            <w:r w:rsidR="006E6C29">
              <w:rPr>
                <w:noProof/>
                <w:webHidden/>
              </w:rPr>
              <w:t>9</w:t>
            </w:r>
            <w:r w:rsidR="00725E05" w:rsidRPr="00725E05">
              <w:rPr>
                <w:noProof/>
                <w:webHidden/>
              </w:rPr>
              <w:fldChar w:fldCharType="end"/>
            </w:r>
          </w:hyperlink>
        </w:p>
        <w:p w14:paraId="3B213D3C" w14:textId="77777777" w:rsidR="00725E05" w:rsidRPr="00725E05"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22411567" w:history="1">
            <w:r w:rsidR="00725E05" w:rsidRPr="00725E05">
              <w:rPr>
                <w:rStyle w:val="Hipervnculo"/>
                <w:rFonts w:ascii="Palatino Linotype" w:hAnsi="Palatino Linotype"/>
                <w:noProof/>
              </w:rPr>
              <w:t>SEXTO. Decisión</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_Toc222411567 \h </w:instrText>
            </w:r>
            <w:r w:rsidR="00725E05" w:rsidRPr="00725E05">
              <w:rPr>
                <w:noProof/>
                <w:webHidden/>
              </w:rPr>
            </w:r>
            <w:r w:rsidR="00725E05" w:rsidRPr="00725E05">
              <w:rPr>
                <w:noProof/>
                <w:webHidden/>
              </w:rPr>
              <w:fldChar w:fldCharType="separate"/>
            </w:r>
            <w:r w:rsidR="006E6C29">
              <w:rPr>
                <w:noProof/>
                <w:webHidden/>
              </w:rPr>
              <w:t>23</w:t>
            </w:r>
            <w:r w:rsidR="00725E05" w:rsidRPr="00725E05">
              <w:rPr>
                <w:noProof/>
                <w:webHidden/>
              </w:rPr>
              <w:fldChar w:fldCharType="end"/>
            </w:r>
          </w:hyperlink>
        </w:p>
        <w:p w14:paraId="0536F95F" w14:textId="77777777" w:rsidR="00725E05" w:rsidRPr="00725E05"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22411568" w:history="1">
            <w:r w:rsidR="00725E05" w:rsidRPr="00725E05">
              <w:rPr>
                <w:rStyle w:val="Hipervnculo"/>
                <w:rFonts w:ascii="Palatino Linotype" w:eastAsia="Calibri" w:hAnsi="Palatino Linotype"/>
                <w:noProof/>
                <w:lang w:eastAsia="en-US"/>
              </w:rPr>
              <w:t>R E S U E L V E</w:t>
            </w:r>
            <w:r w:rsidR="00725E05" w:rsidRPr="00725E05">
              <w:rPr>
                <w:noProof/>
                <w:webHidden/>
              </w:rPr>
              <w:tab/>
            </w:r>
            <w:r w:rsidR="00725E05" w:rsidRPr="00725E05">
              <w:rPr>
                <w:noProof/>
                <w:webHidden/>
              </w:rPr>
              <w:fldChar w:fldCharType="begin"/>
            </w:r>
            <w:r w:rsidR="00725E05" w:rsidRPr="00725E05">
              <w:rPr>
                <w:noProof/>
                <w:webHidden/>
              </w:rPr>
              <w:instrText xml:space="preserve"> PAGEREF _Toc222411568 \h </w:instrText>
            </w:r>
            <w:r w:rsidR="00725E05" w:rsidRPr="00725E05">
              <w:rPr>
                <w:noProof/>
                <w:webHidden/>
              </w:rPr>
            </w:r>
            <w:r w:rsidR="00725E05" w:rsidRPr="00725E05">
              <w:rPr>
                <w:noProof/>
                <w:webHidden/>
              </w:rPr>
              <w:fldChar w:fldCharType="separate"/>
            </w:r>
            <w:r w:rsidR="006E6C29">
              <w:rPr>
                <w:noProof/>
                <w:webHidden/>
              </w:rPr>
              <w:t>23</w:t>
            </w:r>
            <w:r w:rsidR="00725E05" w:rsidRPr="00725E05">
              <w:rPr>
                <w:noProof/>
                <w:webHidden/>
              </w:rPr>
              <w:fldChar w:fldCharType="end"/>
            </w:r>
          </w:hyperlink>
        </w:p>
        <w:p w14:paraId="5CE055F7" w14:textId="77777777" w:rsidR="00342378" w:rsidRPr="00CE1A90" w:rsidRDefault="00342378" w:rsidP="00036CD0">
          <w:pPr>
            <w:contextualSpacing/>
          </w:pPr>
          <w:r w:rsidRPr="00725E05">
            <w:rPr>
              <w:rFonts w:ascii="Palatino Linotype" w:hAnsi="Palatino Linotype"/>
              <w:bCs/>
              <w:sz w:val="22"/>
              <w:szCs w:val="22"/>
              <w:lang w:val="es-ES"/>
            </w:rPr>
            <w:fldChar w:fldCharType="end"/>
          </w:r>
        </w:p>
      </w:sdtContent>
    </w:sdt>
    <w:p w14:paraId="254EDC2B" w14:textId="77777777" w:rsidR="00ED76AF" w:rsidRPr="00CE1A90" w:rsidRDefault="00ED76AF" w:rsidP="00036CD0">
      <w:pPr>
        <w:tabs>
          <w:tab w:val="left" w:pos="3969"/>
        </w:tabs>
        <w:spacing w:line="360" w:lineRule="auto"/>
        <w:contextualSpacing/>
        <w:jc w:val="both"/>
        <w:rPr>
          <w:rFonts w:ascii="Palatino Linotype" w:hAnsi="Palatino Linotype" w:cs="Tahoma"/>
          <w:bCs/>
          <w:sz w:val="22"/>
          <w:szCs w:val="22"/>
        </w:rPr>
      </w:pPr>
    </w:p>
    <w:p w14:paraId="5D6125A0" w14:textId="77777777" w:rsidR="00501E1B" w:rsidRPr="00CE1A90" w:rsidRDefault="00501E1B" w:rsidP="00036CD0">
      <w:pPr>
        <w:tabs>
          <w:tab w:val="left" w:pos="3969"/>
        </w:tabs>
        <w:spacing w:line="360" w:lineRule="auto"/>
        <w:contextualSpacing/>
        <w:jc w:val="both"/>
        <w:rPr>
          <w:rFonts w:ascii="Palatino Linotype" w:hAnsi="Palatino Linotype" w:cs="Tahoma"/>
          <w:bCs/>
          <w:sz w:val="22"/>
          <w:szCs w:val="22"/>
        </w:rPr>
      </w:pPr>
    </w:p>
    <w:p w14:paraId="72ED5A51" w14:textId="77777777" w:rsidR="00342378" w:rsidRPr="00CE1A90" w:rsidRDefault="00342378" w:rsidP="00036CD0">
      <w:pPr>
        <w:tabs>
          <w:tab w:val="left" w:pos="3969"/>
        </w:tabs>
        <w:spacing w:line="360" w:lineRule="auto"/>
        <w:contextualSpacing/>
        <w:jc w:val="both"/>
        <w:rPr>
          <w:rFonts w:ascii="Palatino Linotype" w:hAnsi="Palatino Linotype" w:cs="Tahoma"/>
          <w:bCs/>
          <w:sz w:val="22"/>
          <w:szCs w:val="22"/>
        </w:rPr>
      </w:pPr>
    </w:p>
    <w:p w14:paraId="16AEC48C" w14:textId="77777777" w:rsidR="00342378" w:rsidRPr="00CE1A90" w:rsidRDefault="00342378" w:rsidP="00036CD0">
      <w:pPr>
        <w:tabs>
          <w:tab w:val="left" w:pos="3969"/>
        </w:tabs>
        <w:spacing w:line="360" w:lineRule="auto"/>
        <w:contextualSpacing/>
        <w:jc w:val="both"/>
        <w:rPr>
          <w:rFonts w:ascii="Palatino Linotype" w:hAnsi="Palatino Linotype" w:cs="Tahoma"/>
          <w:bCs/>
          <w:sz w:val="22"/>
          <w:szCs w:val="22"/>
        </w:rPr>
      </w:pPr>
    </w:p>
    <w:p w14:paraId="49B6F0B9" w14:textId="77777777" w:rsidR="00342378" w:rsidRPr="00CE1A90" w:rsidRDefault="00342378" w:rsidP="00036CD0">
      <w:pPr>
        <w:tabs>
          <w:tab w:val="left" w:pos="3969"/>
        </w:tabs>
        <w:spacing w:line="360" w:lineRule="auto"/>
        <w:contextualSpacing/>
        <w:jc w:val="both"/>
        <w:rPr>
          <w:rFonts w:ascii="Palatino Linotype" w:hAnsi="Palatino Linotype" w:cs="Tahoma"/>
          <w:bCs/>
          <w:sz w:val="22"/>
          <w:szCs w:val="22"/>
        </w:rPr>
      </w:pPr>
    </w:p>
    <w:p w14:paraId="0A3DB616" w14:textId="77777777" w:rsidR="00342378" w:rsidRPr="00CE1A90" w:rsidRDefault="00342378" w:rsidP="00036CD0">
      <w:pPr>
        <w:tabs>
          <w:tab w:val="left" w:pos="3969"/>
        </w:tabs>
        <w:spacing w:line="360" w:lineRule="auto"/>
        <w:contextualSpacing/>
        <w:jc w:val="both"/>
        <w:rPr>
          <w:rFonts w:ascii="Palatino Linotype" w:hAnsi="Palatino Linotype" w:cs="Tahoma"/>
          <w:bCs/>
          <w:sz w:val="22"/>
          <w:szCs w:val="22"/>
        </w:rPr>
      </w:pPr>
    </w:p>
    <w:p w14:paraId="7C7F2B67" w14:textId="77777777" w:rsidR="00342378" w:rsidRPr="00CE1A90" w:rsidRDefault="00342378" w:rsidP="00036CD0">
      <w:pPr>
        <w:tabs>
          <w:tab w:val="left" w:pos="3969"/>
        </w:tabs>
        <w:spacing w:line="360" w:lineRule="auto"/>
        <w:contextualSpacing/>
        <w:jc w:val="both"/>
        <w:rPr>
          <w:rFonts w:ascii="Palatino Linotype" w:hAnsi="Palatino Linotype" w:cs="Tahoma"/>
          <w:bCs/>
          <w:sz w:val="22"/>
          <w:szCs w:val="22"/>
        </w:rPr>
      </w:pPr>
    </w:p>
    <w:p w14:paraId="621537C1" w14:textId="77777777" w:rsidR="0021782D" w:rsidRPr="00CE1A90" w:rsidRDefault="0021782D" w:rsidP="00036CD0">
      <w:pPr>
        <w:spacing w:line="360" w:lineRule="auto"/>
        <w:contextualSpacing/>
        <w:jc w:val="both"/>
        <w:rPr>
          <w:rFonts w:ascii="Palatino Linotype" w:hAnsi="Palatino Linotype" w:cs="Tahoma"/>
          <w:bCs/>
          <w:sz w:val="22"/>
          <w:szCs w:val="22"/>
        </w:rPr>
      </w:pPr>
    </w:p>
    <w:p w14:paraId="6308D4A8" w14:textId="77777777" w:rsidR="00E35DF9" w:rsidRPr="00CE1A90" w:rsidRDefault="00E35DF9" w:rsidP="00036CD0">
      <w:pPr>
        <w:spacing w:line="360" w:lineRule="auto"/>
        <w:contextualSpacing/>
        <w:jc w:val="both"/>
        <w:rPr>
          <w:rFonts w:ascii="Palatino Linotype" w:hAnsi="Palatino Linotype" w:cs="Tahoma"/>
          <w:bCs/>
          <w:sz w:val="22"/>
          <w:szCs w:val="22"/>
        </w:rPr>
      </w:pPr>
      <w:r w:rsidRPr="00CE1A90">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CE1A90">
        <w:rPr>
          <w:rFonts w:ascii="Palatino Linotype" w:hAnsi="Palatino Linotype" w:cs="Tahoma"/>
          <w:bCs/>
          <w:sz w:val="22"/>
          <w:szCs w:val="22"/>
        </w:rPr>
        <w:t xml:space="preserve"> </w:t>
      </w:r>
      <w:r w:rsidR="00431243" w:rsidRPr="00CE1A90">
        <w:rPr>
          <w:rFonts w:ascii="Palatino Linotype" w:hAnsi="Palatino Linotype" w:cs="Tahoma"/>
          <w:bCs/>
          <w:sz w:val="22"/>
          <w:szCs w:val="22"/>
        </w:rPr>
        <w:t xml:space="preserve">dieciocho de febrero </w:t>
      </w:r>
      <w:r w:rsidR="008453FA" w:rsidRPr="00CE1A90">
        <w:rPr>
          <w:rFonts w:ascii="Palatino Linotype" w:hAnsi="Palatino Linotype" w:cs="Tahoma"/>
          <w:bCs/>
          <w:sz w:val="22"/>
          <w:szCs w:val="22"/>
        </w:rPr>
        <w:t xml:space="preserve">de dos mil </w:t>
      </w:r>
      <w:r w:rsidR="00431243" w:rsidRPr="00CE1A90">
        <w:rPr>
          <w:rFonts w:ascii="Palatino Linotype" w:hAnsi="Palatino Linotype" w:cs="Tahoma"/>
          <w:bCs/>
          <w:sz w:val="22"/>
          <w:szCs w:val="22"/>
        </w:rPr>
        <w:t>veintiséis</w:t>
      </w:r>
      <w:r w:rsidRPr="00CE1A90">
        <w:rPr>
          <w:rFonts w:ascii="Palatino Linotype" w:hAnsi="Palatino Linotype" w:cs="Tahoma"/>
          <w:bCs/>
          <w:sz w:val="22"/>
          <w:szCs w:val="22"/>
        </w:rPr>
        <w:t>.</w:t>
      </w:r>
    </w:p>
    <w:p w14:paraId="64D3204C" w14:textId="77777777" w:rsidR="00E35DF9" w:rsidRPr="00CE1A90" w:rsidRDefault="00E35DF9" w:rsidP="00036CD0">
      <w:pPr>
        <w:spacing w:line="360" w:lineRule="auto"/>
        <w:contextualSpacing/>
        <w:jc w:val="both"/>
        <w:rPr>
          <w:rFonts w:ascii="Palatino Linotype" w:hAnsi="Palatino Linotype" w:cs="Tahoma"/>
          <w:bCs/>
          <w:sz w:val="22"/>
          <w:szCs w:val="22"/>
        </w:rPr>
      </w:pPr>
    </w:p>
    <w:p w14:paraId="128AF9B3" w14:textId="791FF0B6" w:rsidR="00E35DF9" w:rsidRPr="00CE1A90" w:rsidRDefault="00E35DF9" w:rsidP="00036CD0">
      <w:pPr>
        <w:spacing w:line="360" w:lineRule="auto"/>
        <w:contextualSpacing/>
        <w:jc w:val="both"/>
        <w:rPr>
          <w:rFonts w:ascii="Palatino Linotype" w:hAnsi="Palatino Linotype" w:cs="Tahoma"/>
          <w:bCs/>
          <w:sz w:val="22"/>
          <w:szCs w:val="22"/>
        </w:rPr>
      </w:pPr>
      <w:r w:rsidRPr="00CE1A90">
        <w:rPr>
          <w:rFonts w:ascii="Palatino Linotype" w:hAnsi="Palatino Linotype" w:cs="Tahoma"/>
          <w:b/>
          <w:bCs/>
          <w:color w:val="0D0D0D" w:themeColor="text1" w:themeTint="F2"/>
          <w:sz w:val="22"/>
          <w:szCs w:val="22"/>
        </w:rPr>
        <w:t xml:space="preserve">VISTO </w:t>
      </w:r>
      <w:r w:rsidR="00D0542E" w:rsidRPr="00CE1A90">
        <w:rPr>
          <w:rFonts w:ascii="Palatino Linotype" w:hAnsi="Palatino Linotype" w:cs="Tahoma"/>
          <w:bCs/>
          <w:color w:val="0D0D0D" w:themeColor="text1" w:themeTint="F2"/>
          <w:sz w:val="22"/>
          <w:szCs w:val="22"/>
        </w:rPr>
        <w:t>el expediente</w:t>
      </w:r>
      <w:r w:rsidRPr="00CE1A90">
        <w:rPr>
          <w:rFonts w:ascii="Palatino Linotype" w:hAnsi="Palatino Linotype" w:cs="Tahoma"/>
          <w:bCs/>
          <w:color w:val="0D0D0D" w:themeColor="text1" w:themeTint="F2"/>
          <w:sz w:val="22"/>
          <w:szCs w:val="22"/>
        </w:rPr>
        <w:t xml:space="preserve"> conformado con motivo de</w:t>
      </w:r>
      <w:r w:rsidR="00E30210" w:rsidRPr="00CE1A90">
        <w:rPr>
          <w:rFonts w:ascii="Palatino Linotype" w:hAnsi="Palatino Linotype" w:cs="Tahoma"/>
          <w:bCs/>
          <w:color w:val="0D0D0D" w:themeColor="text1" w:themeTint="F2"/>
          <w:sz w:val="22"/>
          <w:szCs w:val="22"/>
        </w:rPr>
        <w:t>l</w:t>
      </w:r>
      <w:r w:rsidRPr="00CE1A90">
        <w:rPr>
          <w:rFonts w:ascii="Palatino Linotype" w:hAnsi="Palatino Linotype" w:cs="Tahoma"/>
          <w:bCs/>
          <w:color w:val="0D0D0D" w:themeColor="text1" w:themeTint="F2"/>
          <w:sz w:val="22"/>
          <w:szCs w:val="22"/>
        </w:rPr>
        <w:t xml:space="preserve"> Recurso de Revisión</w:t>
      </w:r>
      <w:r w:rsidR="0089175F" w:rsidRPr="00CE1A90">
        <w:rPr>
          <w:rFonts w:ascii="Palatino Linotype" w:hAnsi="Palatino Linotype" w:cs="Tahoma"/>
          <w:bCs/>
          <w:color w:val="0D0D0D" w:themeColor="text1" w:themeTint="F2"/>
          <w:sz w:val="22"/>
          <w:szCs w:val="22"/>
        </w:rPr>
        <w:t xml:space="preserve"> </w:t>
      </w:r>
      <w:r w:rsidR="00DE4665" w:rsidRPr="00CE1A90">
        <w:rPr>
          <w:rFonts w:ascii="Palatino Linotype" w:hAnsi="Palatino Linotype" w:cs="Tahoma"/>
          <w:b/>
          <w:bCs/>
          <w:color w:val="0D0D0D" w:themeColor="text1" w:themeTint="F2"/>
          <w:sz w:val="22"/>
          <w:szCs w:val="22"/>
        </w:rPr>
        <w:t>11551</w:t>
      </w:r>
      <w:r w:rsidR="0089175F" w:rsidRPr="00CE1A90">
        <w:rPr>
          <w:rFonts w:ascii="Palatino Linotype" w:hAnsi="Palatino Linotype" w:cs="Tahoma"/>
          <w:b/>
          <w:bCs/>
          <w:color w:val="0D0D0D" w:themeColor="text1" w:themeTint="F2"/>
          <w:sz w:val="22"/>
          <w:szCs w:val="22"/>
        </w:rPr>
        <w:t>/INFOEM/IP/RR/202</w:t>
      </w:r>
      <w:r w:rsidR="00CD10BF" w:rsidRPr="00CE1A90">
        <w:rPr>
          <w:rFonts w:ascii="Palatino Linotype" w:hAnsi="Palatino Linotype" w:cs="Tahoma"/>
          <w:b/>
          <w:bCs/>
          <w:color w:val="0D0D0D" w:themeColor="text1" w:themeTint="F2"/>
          <w:sz w:val="22"/>
          <w:szCs w:val="22"/>
        </w:rPr>
        <w:t>5</w:t>
      </w:r>
      <w:r w:rsidR="0089175F" w:rsidRPr="00CE1A90">
        <w:rPr>
          <w:rFonts w:ascii="Palatino Linotype" w:hAnsi="Palatino Linotype" w:cs="Tahoma"/>
          <w:b/>
          <w:bCs/>
          <w:color w:val="0D0D0D" w:themeColor="text1" w:themeTint="F2"/>
          <w:sz w:val="22"/>
          <w:szCs w:val="22"/>
        </w:rPr>
        <w:t>,</w:t>
      </w:r>
      <w:r w:rsidRPr="00CE1A90">
        <w:rPr>
          <w:rFonts w:ascii="Palatino Linotype" w:hAnsi="Palatino Linotype" w:cs="Tahoma"/>
          <w:bCs/>
          <w:color w:val="0D0D0D" w:themeColor="text1" w:themeTint="F2"/>
          <w:sz w:val="22"/>
          <w:szCs w:val="22"/>
        </w:rPr>
        <w:t xml:space="preserve"> interpuesto</w:t>
      </w:r>
      <w:r w:rsidR="00C74F5F" w:rsidRPr="00CE1A90">
        <w:rPr>
          <w:rFonts w:ascii="Palatino Linotype" w:hAnsi="Palatino Linotype" w:cs="Tahoma"/>
          <w:color w:val="0D0D0D" w:themeColor="text1" w:themeTint="F2"/>
          <w:sz w:val="22"/>
          <w:szCs w:val="22"/>
        </w:rPr>
        <w:t xml:space="preserve"> </w:t>
      </w:r>
      <w:r w:rsidR="007E4927" w:rsidRPr="00CE1A90">
        <w:rPr>
          <w:rFonts w:ascii="Palatino Linotype" w:hAnsi="Palatino Linotype" w:cs="Tahoma"/>
          <w:bCs/>
          <w:color w:val="0D0D0D" w:themeColor="text1" w:themeTint="F2"/>
          <w:sz w:val="22"/>
          <w:szCs w:val="22"/>
        </w:rPr>
        <w:t>por</w:t>
      </w:r>
      <w:r w:rsidR="00383BDB" w:rsidRPr="00CE1A90">
        <w:rPr>
          <w:rFonts w:ascii="Palatino Linotype" w:hAnsi="Palatino Linotype" w:cs="Tahoma"/>
          <w:bCs/>
          <w:color w:val="0D0D0D" w:themeColor="text1" w:themeTint="F2"/>
          <w:sz w:val="22"/>
          <w:szCs w:val="22"/>
        </w:rPr>
        <w:t xml:space="preserve"> </w:t>
      </w:r>
      <w:r w:rsidR="00CD52E7" w:rsidRPr="00CE1A90">
        <w:rPr>
          <w:rFonts w:ascii="Palatino Linotype" w:hAnsi="Palatino Linotype" w:cs="Tahoma"/>
          <w:color w:val="0D0D0D" w:themeColor="text1" w:themeTint="F2"/>
          <w:sz w:val="22"/>
          <w:szCs w:val="22"/>
        </w:rPr>
        <w:t>un</w:t>
      </w:r>
      <w:r w:rsidR="00F770EE" w:rsidRPr="00CE1A90">
        <w:rPr>
          <w:rFonts w:ascii="Palatino Linotype" w:hAnsi="Palatino Linotype" w:cs="Tahoma"/>
          <w:color w:val="0D0D0D" w:themeColor="text1" w:themeTint="F2"/>
          <w:sz w:val="22"/>
          <w:szCs w:val="22"/>
        </w:rPr>
        <w:t xml:space="preserve"> </w:t>
      </w:r>
      <w:r w:rsidRPr="00CE1A90">
        <w:rPr>
          <w:rFonts w:ascii="Palatino Linotype" w:hAnsi="Palatino Linotype" w:cs="Tahoma"/>
          <w:bCs/>
          <w:color w:val="0D0D0D" w:themeColor="text1" w:themeTint="F2"/>
          <w:sz w:val="22"/>
          <w:szCs w:val="22"/>
        </w:rPr>
        <w:t>Recurrente o Particular, en contra de la respuesta del Sujeto Obligado</w:t>
      </w:r>
      <w:r w:rsidRPr="00CE1A90">
        <w:rPr>
          <w:rFonts w:ascii="Palatino Linotype" w:hAnsi="Palatino Linotype"/>
          <w:sz w:val="22"/>
          <w:szCs w:val="22"/>
        </w:rPr>
        <w:t xml:space="preserve"> </w:t>
      </w:r>
      <w:r w:rsidR="00DE4665" w:rsidRPr="00CE1A90">
        <w:rPr>
          <w:rFonts w:ascii="Palatino Linotype" w:eastAsia="Calibri" w:hAnsi="Palatino Linotype" w:cs="Tahoma"/>
          <w:b/>
          <w:bCs/>
          <w:sz w:val="22"/>
          <w:szCs w:val="22"/>
          <w:lang w:eastAsia="en-US"/>
        </w:rPr>
        <w:t>Oficialía Mayor</w:t>
      </w:r>
      <w:r w:rsidRPr="00CE1A90">
        <w:rPr>
          <w:rFonts w:ascii="Palatino Linotype" w:hAnsi="Palatino Linotype" w:cs="Tahoma"/>
          <w:b/>
          <w:color w:val="0D0D0D" w:themeColor="text1" w:themeTint="F2"/>
          <w:sz w:val="22"/>
          <w:szCs w:val="22"/>
        </w:rPr>
        <w:t xml:space="preserve">, </w:t>
      </w:r>
      <w:r w:rsidRPr="00CE1A90">
        <w:rPr>
          <w:rFonts w:ascii="Palatino Linotype" w:hAnsi="Palatino Linotype" w:cs="Tahoma"/>
          <w:bCs/>
          <w:color w:val="0D0D0D" w:themeColor="text1" w:themeTint="F2"/>
          <w:sz w:val="22"/>
          <w:szCs w:val="22"/>
        </w:rPr>
        <w:t>se emite la presente Resolución, con base en los Antecedentes y C</w:t>
      </w:r>
      <w:r w:rsidRPr="00CE1A90">
        <w:rPr>
          <w:rFonts w:ascii="Palatino Linotype" w:hAnsi="Palatino Linotype" w:cs="Tahoma"/>
          <w:bCs/>
          <w:sz w:val="22"/>
          <w:szCs w:val="22"/>
        </w:rPr>
        <w:t>onsiderandos que a continuación se exponen:</w:t>
      </w:r>
    </w:p>
    <w:p w14:paraId="789A05B1" w14:textId="77777777" w:rsidR="00BB1F81" w:rsidRPr="00CE1A90" w:rsidRDefault="00BB1F81" w:rsidP="00036CD0">
      <w:pPr>
        <w:spacing w:line="360" w:lineRule="auto"/>
        <w:contextualSpacing/>
        <w:jc w:val="both"/>
        <w:rPr>
          <w:rFonts w:ascii="Palatino Linotype" w:hAnsi="Palatino Linotype" w:cs="Tahoma"/>
          <w:b/>
          <w:color w:val="0D0D0D" w:themeColor="text1" w:themeTint="F2"/>
          <w:sz w:val="18"/>
          <w:szCs w:val="22"/>
        </w:rPr>
      </w:pPr>
    </w:p>
    <w:p w14:paraId="47D943F2" w14:textId="77777777" w:rsidR="00E35DF9" w:rsidRPr="00CE1A90" w:rsidRDefault="00E35DF9" w:rsidP="00036CD0">
      <w:pPr>
        <w:pStyle w:val="Ttulo1"/>
        <w:contextualSpacing/>
        <w:jc w:val="center"/>
        <w:rPr>
          <w:rFonts w:ascii="Palatino Linotype" w:hAnsi="Palatino Linotype"/>
          <w:b/>
          <w:sz w:val="22"/>
          <w:szCs w:val="22"/>
        </w:rPr>
      </w:pPr>
      <w:bookmarkStart w:id="1" w:name="_Toc222411548"/>
      <w:r w:rsidRPr="00CE1A90">
        <w:rPr>
          <w:rFonts w:ascii="Palatino Linotype" w:hAnsi="Palatino Linotype"/>
          <w:b/>
          <w:color w:val="auto"/>
          <w:sz w:val="22"/>
          <w:szCs w:val="22"/>
        </w:rPr>
        <w:t>A N T E C E D E N T E S</w:t>
      </w:r>
      <w:bookmarkEnd w:id="1"/>
    </w:p>
    <w:p w14:paraId="75108370" w14:textId="77777777" w:rsidR="001E7B8B" w:rsidRPr="00CE1A90" w:rsidRDefault="001E7B8B" w:rsidP="00036CD0">
      <w:pPr>
        <w:pStyle w:val="Prrafodelista"/>
        <w:tabs>
          <w:tab w:val="left" w:pos="567"/>
        </w:tabs>
        <w:spacing w:line="360" w:lineRule="auto"/>
        <w:ind w:left="0"/>
        <w:jc w:val="both"/>
        <w:rPr>
          <w:rFonts w:ascii="Palatino Linotype" w:hAnsi="Palatino Linotype" w:cs="Tahoma"/>
          <w:b/>
          <w:szCs w:val="22"/>
        </w:rPr>
      </w:pPr>
    </w:p>
    <w:p w14:paraId="158F4871" w14:textId="77777777" w:rsidR="00E35DF9" w:rsidRPr="00CE1A90" w:rsidRDefault="00E35DF9" w:rsidP="00036CD0">
      <w:pPr>
        <w:pStyle w:val="Ttulo2"/>
        <w:contextualSpacing/>
        <w:rPr>
          <w:rFonts w:ascii="Palatino Linotype" w:hAnsi="Palatino Linotype" w:cs="Tahoma"/>
          <w:b/>
          <w:color w:val="auto"/>
          <w:sz w:val="22"/>
          <w:szCs w:val="22"/>
        </w:rPr>
      </w:pPr>
      <w:bookmarkStart w:id="2" w:name="_Toc222411549"/>
      <w:r w:rsidRPr="00CE1A90">
        <w:rPr>
          <w:rFonts w:ascii="Palatino Linotype" w:hAnsi="Palatino Linotype" w:cs="Tahoma"/>
          <w:b/>
          <w:color w:val="auto"/>
          <w:sz w:val="22"/>
          <w:szCs w:val="22"/>
        </w:rPr>
        <w:t>I. Presentación de la solicitud de información</w:t>
      </w:r>
      <w:bookmarkEnd w:id="2"/>
    </w:p>
    <w:p w14:paraId="34DAC821" w14:textId="77777777" w:rsidR="00E35DF9" w:rsidRPr="00CE1A90" w:rsidRDefault="00E35DF9" w:rsidP="00036CD0">
      <w:pPr>
        <w:pStyle w:val="Prrafodelista"/>
        <w:tabs>
          <w:tab w:val="left" w:pos="567"/>
        </w:tabs>
        <w:spacing w:line="360" w:lineRule="auto"/>
        <w:ind w:left="0"/>
        <w:jc w:val="both"/>
        <w:rPr>
          <w:rFonts w:ascii="Palatino Linotype" w:hAnsi="Palatino Linotype" w:cs="Tahoma"/>
          <w:b/>
          <w:szCs w:val="28"/>
        </w:rPr>
      </w:pPr>
    </w:p>
    <w:p w14:paraId="483C72DA" w14:textId="1A0F2ED0" w:rsidR="00E35DF9" w:rsidRPr="00CE1A90" w:rsidRDefault="00BB1F81" w:rsidP="00036CD0">
      <w:pPr>
        <w:tabs>
          <w:tab w:val="left" w:pos="567"/>
        </w:tabs>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El</w:t>
      </w:r>
      <w:r w:rsidR="00E35DF9" w:rsidRPr="00CE1A90">
        <w:rPr>
          <w:rFonts w:ascii="Palatino Linotype" w:hAnsi="Palatino Linotype" w:cs="Tahoma"/>
          <w:sz w:val="22"/>
          <w:szCs w:val="22"/>
        </w:rPr>
        <w:t xml:space="preserve"> </w:t>
      </w:r>
      <w:r w:rsidR="00DE4665" w:rsidRPr="00CE1A90">
        <w:rPr>
          <w:rFonts w:ascii="Palatino Linotype" w:hAnsi="Palatino Linotype" w:cs="Tahoma"/>
          <w:sz w:val="22"/>
          <w:szCs w:val="22"/>
        </w:rPr>
        <w:t xml:space="preserve">veintiséis </w:t>
      </w:r>
      <w:r w:rsidR="00431243" w:rsidRPr="00CE1A90">
        <w:rPr>
          <w:rFonts w:ascii="Palatino Linotype" w:hAnsi="Palatino Linotype" w:cs="Tahoma"/>
          <w:sz w:val="22"/>
          <w:szCs w:val="22"/>
        </w:rPr>
        <w:t>de agosto</w:t>
      </w:r>
      <w:r w:rsidR="00D6115B" w:rsidRPr="00CE1A90">
        <w:rPr>
          <w:rFonts w:ascii="Palatino Linotype" w:hAnsi="Palatino Linotype" w:cs="Tahoma"/>
          <w:sz w:val="22"/>
          <w:szCs w:val="22"/>
        </w:rPr>
        <w:t xml:space="preserve"> de dos mil veinticinco</w:t>
      </w:r>
      <w:r w:rsidR="00E35DF9" w:rsidRPr="00CE1A90">
        <w:rPr>
          <w:rFonts w:ascii="Palatino Linotype" w:hAnsi="Palatino Linotype" w:cs="Tahoma"/>
          <w:sz w:val="22"/>
          <w:szCs w:val="22"/>
        </w:rPr>
        <w:t xml:space="preserve">, </w:t>
      </w:r>
      <w:r w:rsidR="00C247E5" w:rsidRPr="00CE1A90">
        <w:rPr>
          <w:rFonts w:ascii="Palatino Linotype" w:hAnsi="Palatino Linotype" w:cs="Tahoma"/>
          <w:sz w:val="22"/>
          <w:szCs w:val="22"/>
        </w:rPr>
        <w:t>el</w:t>
      </w:r>
      <w:r w:rsidR="00E35DF9" w:rsidRPr="00CE1A90">
        <w:rPr>
          <w:rFonts w:ascii="Palatino Linotype" w:hAnsi="Palatino Linotype" w:cs="Tahoma"/>
          <w:sz w:val="22"/>
          <w:szCs w:val="22"/>
        </w:rPr>
        <w:t xml:space="preserve"> Particular presentó solicitud de acceso a la i</w:t>
      </w:r>
      <w:r w:rsidR="009D6672" w:rsidRPr="00CE1A90">
        <w:rPr>
          <w:rFonts w:ascii="Palatino Linotype" w:hAnsi="Palatino Linotype" w:cs="Tahoma"/>
          <w:sz w:val="22"/>
          <w:szCs w:val="22"/>
        </w:rPr>
        <w:t>nformación pública, a través de</w:t>
      </w:r>
      <w:r w:rsidR="00EA2594" w:rsidRPr="00CE1A90">
        <w:rPr>
          <w:rFonts w:ascii="Palatino Linotype" w:hAnsi="Palatino Linotype" w:cs="Tahoma"/>
          <w:sz w:val="22"/>
          <w:szCs w:val="22"/>
        </w:rPr>
        <w:t xml:space="preserve">l </w:t>
      </w:r>
      <w:r w:rsidR="00062387" w:rsidRPr="00CE1A90">
        <w:rPr>
          <w:rFonts w:ascii="Palatino Linotype" w:hAnsi="Palatino Linotype" w:cs="Tahoma"/>
          <w:sz w:val="22"/>
          <w:szCs w:val="22"/>
        </w:rPr>
        <w:t>Sistema de Acceso a la</w:t>
      </w:r>
      <w:r w:rsidR="000973B8" w:rsidRPr="00CE1A90">
        <w:rPr>
          <w:rFonts w:ascii="Palatino Linotype" w:hAnsi="Palatino Linotype" w:cs="Tahoma"/>
          <w:sz w:val="22"/>
          <w:szCs w:val="22"/>
        </w:rPr>
        <w:t xml:space="preserve"> Información Mexiquense</w:t>
      </w:r>
      <w:r w:rsidRPr="00CE1A90">
        <w:rPr>
          <w:rFonts w:ascii="Palatino Linotype" w:hAnsi="Palatino Linotype" w:cs="Tahoma"/>
          <w:sz w:val="22"/>
          <w:szCs w:val="22"/>
        </w:rPr>
        <w:t>, en lo sucesivo</w:t>
      </w:r>
      <w:r w:rsidR="000973B8" w:rsidRPr="00CE1A90">
        <w:rPr>
          <w:rFonts w:ascii="Palatino Linotype" w:hAnsi="Palatino Linotype" w:cs="Tahoma"/>
          <w:sz w:val="22"/>
          <w:szCs w:val="22"/>
        </w:rPr>
        <w:t xml:space="preserve"> </w:t>
      </w:r>
      <w:r w:rsidRPr="00CE1A90">
        <w:rPr>
          <w:rFonts w:ascii="Palatino Linotype" w:hAnsi="Palatino Linotype" w:cs="Tahoma"/>
          <w:sz w:val="22"/>
          <w:szCs w:val="22"/>
        </w:rPr>
        <w:t xml:space="preserve">el </w:t>
      </w:r>
      <w:r w:rsidR="000973B8" w:rsidRPr="00CE1A90">
        <w:rPr>
          <w:rFonts w:ascii="Palatino Linotype" w:hAnsi="Palatino Linotype" w:cs="Tahoma"/>
          <w:sz w:val="22"/>
          <w:szCs w:val="22"/>
        </w:rPr>
        <w:t>SAIMEX</w:t>
      </w:r>
      <w:r w:rsidR="00E35DF9" w:rsidRPr="00CE1A90">
        <w:rPr>
          <w:rFonts w:ascii="Palatino Linotype" w:hAnsi="Palatino Linotype" w:cs="Tahoma"/>
          <w:sz w:val="22"/>
          <w:szCs w:val="22"/>
        </w:rPr>
        <w:t xml:space="preserve">, ante </w:t>
      </w:r>
      <w:r w:rsidR="00212285" w:rsidRPr="00CE1A90">
        <w:rPr>
          <w:rFonts w:ascii="Palatino Linotype" w:hAnsi="Palatino Linotype" w:cs="Tahoma"/>
          <w:sz w:val="22"/>
          <w:szCs w:val="22"/>
        </w:rPr>
        <w:t>l</w:t>
      </w:r>
      <w:r w:rsidR="00431243" w:rsidRPr="00CE1A90">
        <w:rPr>
          <w:rFonts w:ascii="Palatino Linotype" w:hAnsi="Palatino Linotype" w:cs="Tahoma"/>
          <w:sz w:val="22"/>
          <w:szCs w:val="22"/>
        </w:rPr>
        <w:t>a</w:t>
      </w:r>
      <w:r w:rsidR="00E35DF9" w:rsidRPr="00CE1A90">
        <w:rPr>
          <w:rFonts w:ascii="Palatino Linotype" w:hAnsi="Palatino Linotype" w:cs="Tahoma"/>
          <w:sz w:val="22"/>
          <w:szCs w:val="22"/>
        </w:rPr>
        <w:t xml:space="preserve"> </w:t>
      </w:r>
      <w:r w:rsidR="00DE4665" w:rsidRPr="00CE1A90">
        <w:rPr>
          <w:rFonts w:ascii="Palatino Linotype" w:hAnsi="Palatino Linotype" w:cs="Tahoma"/>
          <w:b/>
          <w:bCs/>
          <w:sz w:val="22"/>
          <w:szCs w:val="22"/>
        </w:rPr>
        <w:t>Oficialía Mayor</w:t>
      </w:r>
      <w:r w:rsidR="00E35DF9" w:rsidRPr="00CE1A90">
        <w:rPr>
          <w:rFonts w:ascii="Palatino Linotype" w:hAnsi="Palatino Linotype" w:cs="Tahoma"/>
          <w:sz w:val="22"/>
          <w:szCs w:val="22"/>
        </w:rPr>
        <w:t xml:space="preserve">, </w:t>
      </w:r>
      <w:r w:rsidR="003A12F1" w:rsidRPr="00CE1A90">
        <w:rPr>
          <w:rFonts w:ascii="Palatino Linotype" w:hAnsi="Palatino Linotype" w:cs="Tahoma"/>
          <w:sz w:val="22"/>
          <w:szCs w:val="22"/>
        </w:rPr>
        <w:t>misma que fue</w:t>
      </w:r>
      <w:r w:rsidR="00A178EC" w:rsidRPr="00CE1A90">
        <w:rPr>
          <w:rFonts w:ascii="Palatino Linotype" w:hAnsi="Palatino Linotype" w:cs="Tahoma"/>
          <w:sz w:val="22"/>
          <w:szCs w:val="22"/>
        </w:rPr>
        <w:t xml:space="preserve"> </w:t>
      </w:r>
      <w:r w:rsidR="003A12F1" w:rsidRPr="00CE1A90">
        <w:rPr>
          <w:rFonts w:ascii="Palatino Linotype" w:hAnsi="Palatino Linotype" w:cs="Tahoma"/>
          <w:sz w:val="22"/>
          <w:szCs w:val="22"/>
        </w:rPr>
        <w:t xml:space="preserve">registrada con el número de folio </w:t>
      </w:r>
      <w:bookmarkStart w:id="3" w:name="_Hlk221782580"/>
      <w:r w:rsidR="00DE4665" w:rsidRPr="00CE1A90">
        <w:rPr>
          <w:rFonts w:ascii="Palatino Linotype" w:hAnsi="Palatino Linotype" w:cs="Tahoma"/>
          <w:b/>
          <w:bCs/>
          <w:sz w:val="22"/>
          <w:szCs w:val="22"/>
        </w:rPr>
        <w:t>00251/OFICIALIA/IP/2025</w:t>
      </w:r>
      <w:bookmarkEnd w:id="3"/>
      <w:r w:rsidR="003A12F1" w:rsidRPr="00CE1A90">
        <w:rPr>
          <w:rFonts w:ascii="Palatino Linotype" w:hAnsi="Palatino Linotype" w:cs="Tahoma"/>
          <w:b/>
          <w:bCs/>
          <w:sz w:val="22"/>
          <w:szCs w:val="22"/>
        </w:rPr>
        <w:t xml:space="preserve">, </w:t>
      </w:r>
      <w:r w:rsidR="00E35DF9" w:rsidRPr="00CE1A90">
        <w:rPr>
          <w:rFonts w:ascii="Palatino Linotype" w:hAnsi="Palatino Linotype" w:cs="Tahoma"/>
          <w:sz w:val="22"/>
          <w:szCs w:val="22"/>
        </w:rPr>
        <w:t xml:space="preserve">mediante </w:t>
      </w:r>
      <w:r w:rsidR="0074594A" w:rsidRPr="00CE1A90">
        <w:rPr>
          <w:rFonts w:ascii="Palatino Linotype" w:hAnsi="Palatino Linotype" w:cs="Tahoma"/>
          <w:sz w:val="22"/>
          <w:szCs w:val="22"/>
        </w:rPr>
        <w:t>l</w:t>
      </w:r>
      <w:r w:rsidR="00B50512" w:rsidRPr="00CE1A90">
        <w:rPr>
          <w:rFonts w:ascii="Palatino Linotype" w:hAnsi="Palatino Linotype" w:cs="Tahoma"/>
          <w:sz w:val="22"/>
          <w:szCs w:val="22"/>
        </w:rPr>
        <w:t>a</w:t>
      </w:r>
      <w:r w:rsidR="00E35DF9" w:rsidRPr="00CE1A90">
        <w:rPr>
          <w:rFonts w:ascii="Palatino Linotype" w:hAnsi="Palatino Linotype" w:cs="Tahoma"/>
          <w:sz w:val="22"/>
          <w:szCs w:val="22"/>
        </w:rPr>
        <w:t xml:space="preserve"> cual requirió lo siguiente: </w:t>
      </w:r>
    </w:p>
    <w:p w14:paraId="520EFF5E" w14:textId="77777777" w:rsidR="00D807FB" w:rsidRPr="00CE1A90" w:rsidRDefault="00D807FB" w:rsidP="00036CD0">
      <w:pPr>
        <w:tabs>
          <w:tab w:val="left" w:pos="567"/>
        </w:tabs>
        <w:spacing w:line="360" w:lineRule="auto"/>
        <w:contextualSpacing/>
        <w:jc w:val="both"/>
        <w:rPr>
          <w:rFonts w:ascii="Palatino Linotype" w:hAnsi="Palatino Linotype" w:cs="Tahoma"/>
          <w:sz w:val="22"/>
        </w:rPr>
      </w:pPr>
    </w:p>
    <w:p w14:paraId="2467A1C0" w14:textId="77777777" w:rsidR="00D807FB" w:rsidRPr="00CE1A90" w:rsidRDefault="00D807FB" w:rsidP="00036CD0">
      <w:pPr>
        <w:tabs>
          <w:tab w:val="left" w:pos="567"/>
        </w:tabs>
        <w:spacing w:line="360" w:lineRule="auto"/>
        <w:ind w:left="567" w:right="539"/>
        <w:contextualSpacing/>
        <w:jc w:val="both"/>
        <w:rPr>
          <w:rFonts w:ascii="Palatino Linotype" w:hAnsi="Palatino Linotype" w:cs="Tahoma"/>
          <w:b/>
          <w:bCs/>
          <w:sz w:val="22"/>
          <w:szCs w:val="22"/>
        </w:rPr>
      </w:pPr>
      <w:r w:rsidRPr="00CE1A90">
        <w:rPr>
          <w:rFonts w:ascii="Palatino Linotype" w:hAnsi="Palatino Linotype" w:cs="Tahoma"/>
          <w:b/>
          <w:bCs/>
        </w:rPr>
        <w:t>DESCRIPCIÓN CLARA Y PRECISA DE LA INFORMACIÓN SOLICITADA</w:t>
      </w:r>
    </w:p>
    <w:p w14:paraId="36B50C1B" w14:textId="74908F34" w:rsidR="000F2B83" w:rsidRPr="00CE1A90" w:rsidRDefault="004B553D" w:rsidP="00036CD0">
      <w:pPr>
        <w:pStyle w:val="Prrafodelista"/>
        <w:tabs>
          <w:tab w:val="left" w:pos="567"/>
        </w:tabs>
        <w:spacing w:line="360" w:lineRule="auto"/>
        <w:ind w:left="567" w:right="539"/>
        <w:jc w:val="both"/>
        <w:rPr>
          <w:rFonts w:ascii="Palatino Linotype" w:hAnsi="Palatino Linotype"/>
          <w:i/>
          <w:iCs/>
          <w:color w:val="000000"/>
          <w:sz w:val="20"/>
          <w:szCs w:val="20"/>
        </w:rPr>
      </w:pPr>
      <w:r w:rsidRPr="00CE1A90">
        <w:rPr>
          <w:rFonts w:ascii="Palatino Linotype" w:hAnsi="Palatino Linotype"/>
          <w:i/>
          <w:iCs/>
          <w:color w:val="000000"/>
          <w:sz w:val="20"/>
          <w:szCs w:val="20"/>
        </w:rPr>
        <w:t>"</w:t>
      </w:r>
      <w:r w:rsidR="00DE4665" w:rsidRPr="00CE1A90">
        <w:rPr>
          <w:rFonts w:ascii="Palatino Linotype" w:hAnsi="Palatino Linotype"/>
          <w:i/>
          <w:iCs/>
          <w:color w:val="000000"/>
          <w:sz w:val="20"/>
          <w:szCs w:val="20"/>
        </w:rPr>
        <w:t xml:space="preserve">solicito atentamente se me proporcione el contrato de suministro, abastecimiento y distribución de agua potable en pipa para los centros penitenciarios (La secretaría de seguridad indica que está en posesión de esa </w:t>
      </w:r>
      <w:proofErr w:type="spellStart"/>
      <w:r w:rsidR="00DE4665" w:rsidRPr="00CE1A90">
        <w:rPr>
          <w:rFonts w:ascii="Palatino Linotype" w:hAnsi="Palatino Linotype"/>
          <w:i/>
          <w:iCs/>
          <w:color w:val="000000"/>
          <w:sz w:val="20"/>
          <w:szCs w:val="20"/>
        </w:rPr>
        <w:t>oficialia</w:t>
      </w:r>
      <w:proofErr w:type="spellEnd"/>
      <w:r w:rsidR="00DE4665" w:rsidRPr="00CE1A90">
        <w:rPr>
          <w:rFonts w:ascii="Palatino Linotype" w:hAnsi="Palatino Linotype"/>
          <w:i/>
          <w:iCs/>
          <w:color w:val="000000"/>
          <w:sz w:val="20"/>
          <w:szCs w:val="20"/>
        </w:rPr>
        <w:t xml:space="preserve"> del gobierno del estado)</w:t>
      </w:r>
      <w:r w:rsidR="00B50512" w:rsidRPr="00CE1A90">
        <w:rPr>
          <w:rFonts w:ascii="Palatino Linotype" w:hAnsi="Palatino Linotype"/>
          <w:i/>
          <w:iCs/>
          <w:color w:val="000000"/>
          <w:sz w:val="20"/>
          <w:szCs w:val="20"/>
        </w:rPr>
        <w:t>"</w:t>
      </w:r>
      <w:r w:rsidR="00A650C6" w:rsidRPr="00CE1A90">
        <w:rPr>
          <w:rFonts w:ascii="Palatino Linotype" w:hAnsi="Palatino Linotype"/>
          <w:i/>
          <w:iCs/>
          <w:color w:val="000000"/>
          <w:sz w:val="20"/>
          <w:szCs w:val="20"/>
        </w:rPr>
        <w:t xml:space="preserve"> </w:t>
      </w:r>
      <w:r w:rsidR="00954EDD" w:rsidRPr="00CE1A90">
        <w:rPr>
          <w:rFonts w:ascii="Palatino Linotype" w:hAnsi="Palatino Linotype"/>
          <w:i/>
          <w:iCs/>
          <w:color w:val="000000"/>
          <w:sz w:val="20"/>
          <w:szCs w:val="20"/>
        </w:rPr>
        <w:t>(Sic)</w:t>
      </w:r>
    </w:p>
    <w:p w14:paraId="5A9E3AFA" w14:textId="77777777" w:rsidR="007E4927" w:rsidRPr="00CE1A90" w:rsidRDefault="007E4927" w:rsidP="00036CD0">
      <w:pPr>
        <w:pStyle w:val="Prrafodelista"/>
        <w:tabs>
          <w:tab w:val="left" w:pos="567"/>
        </w:tabs>
        <w:spacing w:line="360" w:lineRule="auto"/>
        <w:ind w:left="567" w:right="539"/>
        <w:jc w:val="both"/>
        <w:rPr>
          <w:rFonts w:ascii="Palatino Linotype" w:hAnsi="Palatino Linotype"/>
          <w:i/>
          <w:iCs/>
          <w:color w:val="000000"/>
          <w:sz w:val="20"/>
          <w:szCs w:val="20"/>
        </w:rPr>
      </w:pPr>
    </w:p>
    <w:p w14:paraId="03497A7E" w14:textId="77777777" w:rsidR="00E35DF9" w:rsidRPr="00CE1A90" w:rsidRDefault="00E35DF9" w:rsidP="00036CD0">
      <w:pPr>
        <w:pStyle w:val="Prrafodelista"/>
        <w:tabs>
          <w:tab w:val="left" w:pos="567"/>
        </w:tabs>
        <w:spacing w:line="360" w:lineRule="auto"/>
        <w:ind w:left="567" w:right="539"/>
        <w:jc w:val="both"/>
        <w:rPr>
          <w:rFonts w:ascii="Palatino Linotype" w:hAnsi="Palatino Linotype" w:cs="Tahoma"/>
          <w:i/>
          <w:sz w:val="20"/>
          <w:szCs w:val="22"/>
        </w:rPr>
      </w:pPr>
      <w:r w:rsidRPr="00CE1A90">
        <w:rPr>
          <w:rFonts w:ascii="Palatino Linotype" w:hAnsi="Palatino Linotype" w:cs="Tahoma"/>
          <w:b/>
          <w:sz w:val="20"/>
          <w:szCs w:val="22"/>
        </w:rPr>
        <w:t>MODALIDAD DE ENTREGA</w:t>
      </w:r>
      <w:r w:rsidR="00007985" w:rsidRPr="00CE1A90">
        <w:rPr>
          <w:rFonts w:ascii="Palatino Linotype" w:hAnsi="Palatino Linotype" w:cs="Tahoma"/>
          <w:b/>
          <w:sz w:val="20"/>
          <w:szCs w:val="22"/>
        </w:rPr>
        <w:t xml:space="preserve"> </w:t>
      </w:r>
      <w:r w:rsidR="007E4927" w:rsidRPr="00CE1A90">
        <w:rPr>
          <w:rFonts w:ascii="Palatino Linotype" w:hAnsi="Palatino Linotype" w:cs="Tahoma"/>
          <w:i/>
          <w:sz w:val="20"/>
          <w:szCs w:val="22"/>
        </w:rPr>
        <w:t>“</w:t>
      </w:r>
      <w:r w:rsidR="00062387" w:rsidRPr="00CE1A90">
        <w:rPr>
          <w:rFonts w:ascii="Palatino Linotype" w:hAnsi="Palatino Linotype" w:cs="Tahoma"/>
          <w:i/>
          <w:sz w:val="20"/>
          <w:szCs w:val="22"/>
        </w:rPr>
        <w:t>A través del SAIMEX</w:t>
      </w:r>
      <w:r w:rsidR="007E4927" w:rsidRPr="00CE1A90">
        <w:rPr>
          <w:rFonts w:ascii="Palatino Linotype" w:hAnsi="Palatino Linotype" w:cs="Tahoma"/>
          <w:i/>
          <w:sz w:val="20"/>
          <w:szCs w:val="22"/>
        </w:rPr>
        <w:t>”</w:t>
      </w:r>
    </w:p>
    <w:p w14:paraId="34ECD5F1" w14:textId="77777777" w:rsidR="00597BA0" w:rsidRPr="00CE1A90" w:rsidRDefault="00597BA0" w:rsidP="00036CD0">
      <w:pPr>
        <w:tabs>
          <w:tab w:val="left" w:pos="567"/>
        </w:tabs>
        <w:spacing w:line="360" w:lineRule="auto"/>
        <w:ind w:right="539"/>
        <w:contextualSpacing/>
        <w:jc w:val="both"/>
        <w:rPr>
          <w:rFonts w:ascii="Palatino Linotype" w:hAnsi="Palatino Linotype" w:cs="Tahoma"/>
          <w:i/>
          <w:szCs w:val="22"/>
        </w:rPr>
      </w:pPr>
    </w:p>
    <w:p w14:paraId="453954E3" w14:textId="77777777" w:rsidR="00DE4665" w:rsidRPr="00CE1A90" w:rsidRDefault="00DE4665" w:rsidP="00DE4665">
      <w:pPr>
        <w:pStyle w:val="Ttulo2"/>
        <w:rPr>
          <w:rFonts w:ascii="Palatino Linotype" w:hAnsi="Palatino Linotype"/>
          <w:b/>
          <w:bCs/>
          <w:color w:val="auto"/>
          <w:sz w:val="22"/>
          <w:szCs w:val="22"/>
        </w:rPr>
      </w:pPr>
      <w:bookmarkStart w:id="4" w:name="_Toc222411550"/>
      <w:r w:rsidRPr="00CE1A90">
        <w:rPr>
          <w:rFonts w:ascii="Palatino Linotype" w:hAnsi="Palatino Linotype"/>
          <w:b/>
          <w:bCs/>
          <w:color w:val="auto"/>
          <w:sz w:val="22"/>
          <w:szCs w:val="22"/>
        </w:rPr>
        <w:t>II. Solicitud de Aclaración</w:t>
      </w:r>
      <w:bookmarkEnd w:id="4"/>
    </w:p>
    <w:p w14:paraId="437A5079" w14:textId="77777777" w:rsidR="00DE4665" w:rsidRPr="00CE1A90" w:rsidRDefault="00DE4665" w:rsidP="00DE4665">
      <w:pPr>
        <w:spacing w:line="360" w:lineRule="auto"/>
        <w:jc w:val="both"/>
        <w:rPr>
          <w:rFonts w:ascii="Palatino Linotype" w:hAnsi="Palatino Linotype"/>
          <w:b/>
          <w:sz w:val="22"/>
        </w:rPr>
      </w:pPr>
    </w:p>
    <w:p w14:paraId="466DFACA" w14:textId="679E0411" w:rsidR="00DE4665" w:rsidRPr="00CE1A90" w:rsidRDefault="00DE4665" w:rsidP="00DE4665">
      <w:pPr>
        <w:spacing w:line="360" w:lineRule="auto"/>
        <w:ind w:right="-28"/>
        <w:jc w:val="both"/>
        <w:rPr>
          <w:rFonts w:ascii="Palatino Linotype" w:hAnsi="Palatino Linotype" w:cs="Arial"/>
          <w:bCs/>
          <w:sz w:val="22"/>
          <w:szCs w:val="22"/>
        </w:rPr>
      </w:pPr>
      <w:r w:rsidRPr="00CE1A90">
        <w:rPr>
          <w:rFonts w:ascii="Palatino Linotype" w:hAnsi="Palatino Linotype" w:cs="Arial"/>
          <w:bCs/>
          <w:sz w:val="22"/>
          <w:szCs w:val="22"/>
        </w:rPr>
        <w:lastRenderedPageBreak/>
        <w:t>Con fecha primero de septiembre de dos mil veinticinco, el Sujeto Obligado, a través del Sistema de Acceso a la Información Mexiquense (SAIMEX), requirió al Particular aclaración a su solicitud de información en los términos siguientes:</w:t>
      </w:r>
    </w:p>
    <w:p w14:paraId="043AE024" w14:textId="77777777" w:rsidR="00DE4665" w:rsidRPr="00CE1A90" w:rsidRDefault="00DE4665" w:rsidP="00DE4665">
      <w:pPr>
        <w:spacing w:line="360" w:lineRule="auto"/>
        <w:ind w:right="567"/>
        <w:jc w:val="both"/>
        <w:rPr>
          <w:rFonts w:ascii="Palatino Linotype" w:hAnsi="Palatino Linotype" w:cs="Arial"/>
          <w:bCs/>
          <w:sz w:val="22"/>
          <w:szCs w:val="22"/>
        </w:rPr>
      </w:pPr>
    </w:p>
    <w:p w14:paraId="61B586DD" w14:textId="77777777" w:rsidR="00DE4665" w:rsidRPr="00CE1A90" w:rsidRDefault="00DE4665" w:rsidP="00DE4665">
      <w:pPr>
        <w:tabs>
          <w:tab w:val="left" w:pos="567"/>
        </w:tabs>
        <w:spacing w:line="360" w:lineRule="auto"/>
        <w:ind w:left="567" w:right="567"/>
        <w:jc w:val="both"/>
        <w:rPr>
          <w:rFonts w:ascii="Palatino Linotype" w:hAnsi="Palatino Linotype"/>
          <w:i/>
          <w:color w:val="000000"/>
        </w:rPr>
      </w:pPr>
      <w:r w:rsidRPr="00CE1A90">
        <w:rPr>
          <w:rFonts w:ascii="Palatino Linotype" w:hAnsi="Palatino Linotype"/>
          <w:i/>
          <w:color w:val="000000"/>
        </w:rPr>
        <w:t>“…</w:t>
      </w:r>
    </w:p>
    <w:p w14:paraId="7E97E661" w14:textId="77777777" w:rsidR="00DE4665" w:rsidRPr="00CE1A90" w:rsidRDefault="00DE4665" w:rsidP="00DE4665">
      <w:pPr>
        <w:tabs>
          <w:tab w:val="left" w:pos="567"/>
        </w:tabs>
        <w:spacing w:line="360" w:lineRule="auto"/>
        <w:ind w:left="567" w:right="567"/>
        <w:jc w:val="both"/>
        <w:rPr>
          <w:rFonts w:ascii="Palatino Linotype" w:hAnsi="Palatino Linotype"/>
          <w:i/>
          <w:color w:val="000000"/>
        </w:rPr>
      </w:pPr>
      <w:r w:rsidRPr="00CE1A90">
        <w:rPr>
          <w:rFonts w:ascii="Palatino Linotype" w:hAnsi="Palatino Linotype"/>
          <w:i/>
          <w:color w:val="000000"/>
        </w:rPr>
        <w:t xml:space="preserve">Con fundamento en el </w:t>
      </w:r>
      <w:proofErr w:type="spellStart"/>
      <w:r w:rsidRPr="00CE1A90">
        <w:rPr>
          <w:rFonts w:ascii="Palatino Linotype" w:hAnsi="Palatino Linotype"/>
          <w:i/>
          <w:color w:val="000000"/>
        </w:rPr>
        <w:t>articulo</w:t>
      </w:r>
      <w:proofErr w:type="spellEnd"/>
      <w:r w:rsidRPr="00CE1A90">
        <w:rPr>
          <w:rFonts w:ascii="Palatino Linotype" w:hAnsi="Palatino Linotype"/>
          <w:i/>
          <w:color w:val="000000"/>
        </w:rPr>
        <w:t xml:space="preserve"> 159 de la Ley de Transparencia y Acceso a la Información Pública del Estado de México y Municipios, se le requiere para que dentro del plazo de diez días hábiles realice lo siguiente: Se solicita aclaración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5CC0B7D" w14:textId="7BC2E353" w:rsidR="00DE4665" w:rsidRPr="00CE1A90" w:rsidRDefault="00DE4665" w:rsidP="00DE4665">
      <w:pPr>
        <w:tabs>
          <w:tab w:val="left" w:pos="567"/>
        </w:tabs>
        <w:spacing w:line="360" w:lineRule="auto"/>
        <w:ind w:left="567" w:right="567"/>
        <w:jc w:val="both"/>
        <w:rPr>
          <w:rFonts w:ascii="Palatino Linotype" w:hAnsi="Palatino Linotype"/>
          <w:i/>
          <w:color w:val="000000"/>
        </w:rPr>
      </w:pPr>
      <w:r w:rsidRPr="00CE1A90">
        <w:rPr>
          <w:rFonts w:ascii="Palatino Linotype" w:hAnsi="Palatino Linotype"/>
          <w:i/>
          <w:color w:val="000000"/>
        </w:rPr>
        <w:t>…”</w:t>
      </w:r>
    </w:p>
    <w:p w14:paraId="7FE15D19" w14:textId="77777777" w:rsidR="00DE4665" w:rsidRPr="00CE1A90" w:rsidRDefault="00DE4665" w:rsidP="00DE4665">
      <w:pPr>
        <w:tabs>
          <w:tab w:val="left" w:pos="567"/>
        </w:tabs>
        <w:spacing w:line="360" w:lineRule="auto"/>
        <w:ind w:left="567" w:right="567"/>
        <w:jc w:val="both"/>
        <w:rPr>
          <w:rFonts w:ascii="Palatino Linotype" w:hAnsi="Palatino Linotype"/>
          <w:i/>
          <w:color w:val="000000"/>
        </w:rPr>
      </w:pPr>
    </w:p>
    <w:p w14:paraId="03BD8C1C" w14:textId="77777777" w:rsidR="00DE4665" w:rsidRPr="00CE1A90" w:rsidRDefault="00DE4665" w:rsidP="00DE4665">
      <w:pPr>
        <w:pStyle w:val="Ttulo2"/>
        <w:rPr>
          <w:rFonts w:ascii="Palatino Linotype" w:hAnsi="Palatino Linotype"/>
          <w:b/>
          <w:bCs/>
          <w:color w:val="auto"/>
          <w:sz w:val="22"/>
          <w:szCs w:val="22"/>
        </w:rPr>
      </w:pPr>
      <w:bookmarkStart w:id="5" w:name="_Toc222411551"/>
      <w:r w:rsidRPr="00CE1A90">
        <w:rPr>
          <w:rFonts w:ascii="Palatino Linotype" w:hAnsi="Palatino Linotype"/>
          <w:b/>
          <w:bCs/>
          <w:color w:val="auto"/>
          <w:sz w:val="22"/>
          <w:szCs w:val="22"/>
        </w:rPr>
        <w:t>III. Desahogo del requerimiento de aclaración</w:t>
      </w:r>
      <w:bookmarkEnd w:id="5"/>
    </w:p>
    <w:p w14:paraId="19B4C3C0" w14:textId="77777777" w:rsidR="00DE4665" w:rsidRPr="00CE1A90" w:rsidRDefault="00DE4665" w:rsidP="00DE4665">
      <w:pPr>
        <w:spacing w:line="360" w:lineRule="auto"/>
        <w:jc w:val="both"/>
        <w:rPr>
          <w:rFonts w:ascii="Palatino Linotype" w:hAnsi="Palatino Linotype"/>
          <w:color w:val="000000"/>
          <w:sz w:val="22"/>
        </w:rPr>
      </w:pPr>
    </w:p>
    <w:p w14:paraId="46C64B5B" w14:textId="7637BCB2" w:rsidR="00DE4665" w:rsidRPr="00CE1A90" w:rsidRDefault="00DE4665" w:rsidP="00DE4665">
      <w:pPr>
        <w:spacing w:line="360" w:lineRule="auto"/>
        <w:jc w:val="both"/>
        <w:rPr>
          <w:rFonts w:ascii="Palatino Linotype" w:hAnsi="Palatino Linotype"/>
          <w:color w:val="000000"/>
          <w:sz w:val="22"/>
        </w:rPr>
      </w:pPr>
      <w:r w:rsidRPr="00CE1A90">
        <w:rPr>
          <w:rFonts w:ascii="Palatino Linotype" w:hAnsi="Palatino Linotype"/>
          <w:color w:val="000000"/>
          <w:sz w:val="22"/>
        </w:rPr>
        <w:t xml:space="preserve">El </w:t>
      </w:r>
      <w:r w:rsidRPr="00CE1A90">
        <w:rPr>
          <w:rFonts w:ascii="Palatino Linotype" w:hAnsi="Palatino Linotype"/>
          <w:sz w:val="22"/>
        </w:rPr>
        <w:t>primero de septiembre de dos mil veinticinco</w:t>
      </w:r>
      <w:r w:rsidRPr="00CE1A90">
        <w:rPr>
          <w:rFonts w:ascii="Palatino Linotype" w:hAnsi="Palatino Linotype"/>
          <w:color w:val="000000"/>
          <w:sz w:val="22"/>
        </w:rPr>
        <w:t>, el Particular desahogó el requerimiento de aclaración, por medio del SAIMEX</w:t>
      </w:r>
      <w:r w:rsidRPr="00CE1A90">
        <w:rPr>
          <w:rFonts w:ascii="Palatino Linotype" w:hAnsi="Palatino Linotype"/>
          <w:b/>
          <w:color w:val="000000"/>
          <w:sz w:val="22"/>
        </w:rPr>
        <w:t>,</w:t>
      </w:r>
      <w:r w:rsidRPr="00CE1A90">
        <w:rPr>
          <w:rFonts w:ascii="Palatino Linotype" w:hAnsi="Palatino Linotype"/>
          <w:color w:val="000000"/>
          <w:sz w:val="22"/>
        </w:rPr>
        <w:t xml:space="preserve"> conforme lo siguiente: </w:t>
      </w:r>
    </w:p>
    <w:p w14:paraId="4045BB26" w14:textId="77777777" w:rsidR="00DE4665" w:rsidRPr="00CE1A90" w:rsidRDefault="00DE4665" w:rsidP="00DE4665">
      <w:pPr>
        <w:spacing w:line="360" w:lineRule="auto"/>
        <w:jc w:val="both"/>
        <w:rPr>
          <w:rFonts w:ascii="Palatino Linotype" w:hAnsi="Palatino Linotype"/>
          <w:color w:val="000000"/>
          <w:sz w:val="22"/>
        </w:rPr>
      </w:pPr>
    </w:p>
    <w:p w14:paraId="4E297985" w14:textId="77777777" w:rsidR="00DE4665" w:rsidRPr="00CE1A90" w:rsidRDefault="00DE4665" w:rsidP="00DE4665">
      <w:pPr>
        <w:spacing w:line="360" w:lineRule="auto"/>
        <w:ind w:firstLine="567"/>
        <w:jc w:val="both"/>
        <w:rPr>
          <w:rFonts w:ascii="Palatino Linotype" w:hAnsi="Palatino Linotype"/>
          <w:b/>
          <w:color w:val="000000"/>
        </w:rPr>
      </w:pPr>
      <w:r w:rsidRPr="00CE1A90">
        <w:rPr>
          <w:rFonts w:ascii="Palatino Linotype" w:hAnsi="Palatino Linotype"/>
          <w:b/>
          <w:color w:val="000000"/>
        </w:rPr>
        <w:t>DATOS A COMPLETAR, CORREGIR, AMPLIAR O ACLARAR</w:t>
      </w:r>
    </w:p>
    <w:p w14:paraId="2827BF8E" w14:textId="38F0DBF7" w:rsidR="00DE4665" w:rsidRPr="00CE1A90" w:rsidRDefault="00DE4665" w:rsidP="00DE4665">
      <w:pPr>
        <w:autoSpaceDE w:val="0"/>
        <w:autoSpaceDN w:val="0"/>
        <w:adjustRightInd w:val="0"/>
        <w:spacing w:line="360" w:lineRule="auto"/>
        <w:ind w:left="567" w:right="539"/>
        <w:jc w:val="both"/>
        <w:rPr>
          <w:rFonts w:ascii="Palatino Linotype" w:hAnsi="Palatino Linotype"/>
          <w:i/>
          <w:color w:val="000000"/>
        </w:rPr>
      </w:pPr>
      <w:r w:rsidRPr="00CE1A90">
        <w:rPr>
          <w:rFonts w:ascii="Palatino Linotype" w:hAnsi="Palatino Linotype"/>
          <w:i/>
          <w:color w:val="000000"/>
        </w:rPr>
        <w:t xml:space="preserve">Se solicita el contrato celebrado por esa </w:t>
      </w:r>
      <w:proofErr w:type="spellStart"/>
      <w:r w:rsidRPr="00CE1A90">
        <w:rPr>
          <w:rFonts w:ascii="Palatino Linotype" w:hAnsi="Palatino Linotype"/>
          <w:i/>
          <w:color w:val="000000"/>
        </w:rPr>
        <w:t>oficialia</w:t>
      </w:r>
      <w:proofErr w:type="spellEnd"/>
      <w:r w:rsidRPr="00CE1A90">
        <w:rPr>
          <w:rFonts w:ascii="Palatino Linotype" w:hAnsi="Palatino Linotype"/>
          <w:i/>
          <w:color w:val="000000"/>
        </w:rPr>
        <w:t xml:space="preserve"> para el suministro de agua en pipa a los reclusorios estatales, cárceles o centros de readaptación..</w:t>
      </w:r>
    </w:p>
    <w:p w14:paraId="17EC7511" w14:textId="77777777" w:rsidR="00DE4665" w:rsidRPr="00CE1A90" w:rsidRDefault="00DE4665" w:rsidP="00DE4665">
      <w:pPr>
        <w:autoSpaceDE w:val="0"/>
        <w:autoSpaceDN w:val="0"/>
        <w:adjustRightInd w:val="0"/>
        <w:spacing w:line="360" w:lineRule="auto"/>
        <w:jc w:val="both"/>
        <w:rPr>
          <w:rFonts w:ascii="Palatino Linotype" w:hAnsi="Palatino Linotype"/>
          <w:b/>
          <w:bCs/>
          <w:color w:val="000000" w:themeColor="text1"/>
          <w:sz w:val="22"/>
          <w:szCs w:val="22"/>
          <w:lang w:eastAsia="en-US"/>
        </w:rPr>
      </w:pPr>
    </w:p>
    <w:p w14:paraId="7CD851CC" w14:textId="4EADD0A6" w:rsidR="00681D84" w:rsidRPr="00CE1A90" w:rsidRDefault="00431243" w:rsidP="00036CD0">
      <w:pPr>
        <w:pStyle w:val="Ttulo2"/>
        <w:contextualSpacing/>
      </w:pPr>
      <w:bookmarkStart w:id="6" w:name="_Toc222411552"/>
      <w:r w:rsidRPr="00CE1A90">
        <w:rPr>
          <w:rFonts w:ascii="Palatino Linotype" w:hAnsi="Palatino Linotype" w:cs="Tahoma"/>
          <w:b/>
          <w:color w:val="auto"/>
          <w:sz w:val="22"/>
          <w:szCs w:val="22"/>
        </w:rPr>
        <w:t>I</w:t>
      </w:r>
      <w:r w:rsidR="00DE4665" w:rsidRPr="00CE1A90">
        <w:rPr>
          <w:rFonts w:ascii="Palatino Linotype" w:hAnsi="Palatino Linotype" w:cs="Tahoma"/>
          <w:b/>
          <w:color w:val="auto"/>
          <w:sz w:val="22"/>
          <w:szCs w:val="22"/>
        </w:rPr>
        <w:t>V</w:t>
      </w:r>
      <w:r w:rsidR="00F86BFB" w:rsidRPr="00CE1A90">
        <w:rPr>
          <w:rFonts w:ascii="Palatino Linotype" w:hAnsi="Palatino Linotype" w:cs="Tahoma"/>
          <w:b/>
          <w:color w:val="auto"/>
          <w:sz w:val="22"/>
          <w:szCs w:val="22"/>
        </w:rPr>
        <w:t xml:space="preserve">. </w:t>
      </w:r>
      <w:r w:rsidR="00681D84" w:rsidRPr="00CE1A90">
        <w:rPr>
          <w:rFonts w:ascii="Palatino Linotype" w:hAnsi="Palatino Linotype" w:cs="Tahoma"/>
          <w:b/>
          <w:color w:val="auto"/>
          <w:sz w:val="22"/>
          <w:szCs w:val="22"/>
        </w:rPr>
        <w:t>Respuesta del Sujeto Obligado</w:t>
      </w:r>
      <w:bookmarkEnd w:id="6"/>
    </w:p>
    <w:p w14:paraId="11C6E863" w14:textId="77777777" w:rsidR="00E0128F" w:rsidRPr="00CE1A90" w:rsidRDefault="00E0128F" w:rsidP="00036CD0">
      <w:pPr>
        <w:pStyle w:val="Prrafodelista"/>
        <w:tabs>
          <w:tab w:val="left" w:pos="567"/>
        </w:tabs>
        <w:spacing w:line="360" w:lineRule="auto"/>
        <w:ind w:left="0"/>
        <w:jc w:val="both"/>
        <w:rPr>
          <w:rFonts w:ascii="Palatino Linotype" w:hAnsi="Palatino Linotype" w:cs="Tahoma"/>
          <w:b/>
          <w:sz w:val="20"/>
          <w:szCs w:val="22"/>
        </w:rPr>
      </w:pPr>
    </w:p>
    <w:p w14:paraId="469153D7" w14:textId="446C81AF" w:rsidR="00DE4665" w:rsidRPr="00CE1A90" w:rsidRDefault="00BB1F81" w:rsidP="00036CD0">
      <w:pPr>
        <w:autoSpaceDE w:val="0"/>
        <w:autoSpaceDN w:val="0"/>
        <w:adjustRightInd w:val="0"/>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El</w:t>
      </w:r>
      <w:r w:rsidR="00681D84" w:rsidRPr="00CE1A90">
        <w:rPr>
          <w:rFonts w:ascii="Palatino Linotype" w:hAnsi="Palatino Linotype" w:cs="Tahoma"/>
          <w:sz w:val="22"/>
          <w:szCs w:val="22"/>
        </w:rPr>
        <w:t xml:space="preserve"> </w:t>
      </w:r>
      <w:r w:rsidR="00431243" w:rsidRPr="00CE1A90">
        <w:rPr>
          <w:rFonts w:ascii="Palatino Linotype" w:hAnsi="Palatino Linotype" w:cs="Tahoma"/>
          <w:sz w:val="22"/>
          <w:szCs w:val="22"/>
        </w:rPr>
        <w:t>veinti</w:t>
      </w:r>
      <w:r w:rsidR="00DE4665" w:rsidRPr="00CE1A90">
        <w:rPr>
          <w:rFonts w:ascii="Palatino Linotype" w:hAnsi="Palatino Linotype" w:cs="Tahoma"/>
          <w:sz w:val="22"/>
          <w:szCs w:val="22"/>
        </w:rPr>
        <w:t>trés</w:t>
      </w:r>
      <w:r w:rsidR="00431243" w:rsidRPr="00CE1A90">
        <w:rPr>
          <w:rFonts w:ascii="Palatino Linotype" w:hAnsi="Palatino Linotype" w:cs="Tahoma"/>
          <w:sz w:val="22"/>
          <w:szCs w:val="22"/>
        </w:rPr>
        <w:t xml:space="preserve"> de </w:t>
      </w:r>
      <w:r w:rsidR="00DE4665" w:rsidRPr="00CE1A90">
        <w:rPr>
          <w:rFonts w:ascii="Palatino Linotype" w:hAnsi="Palatino Linotype" w:cs="Tahoma"/>
          <w:sz w:val="22"/>
          <w:szCs w:val="22"/>
        </w:rPr>
        <w:t xml:space="preserve">septiembre </w:t>
      </w:r>
      <w:r w:rsidR="00B71F2C" w:rsidRPr="00CE1A90">
        <w:rPr>
          <w:rFonts w:ascii="Palatino Linotype" w:hAnsi="Palatino Linotype" w:cs="Tahoma"/>
          <w:sz w:val="22"/>
          <w:szCs w:val="22"/>
        </w:rPr>
        <w:t>de dos mil veinti</w:t>
      </w:r>
      <w:r w:rsidR="00F93A36" w:rsidRPr="00CE1A90">
        <w:rPr>
          <w:rFonts w:ascii="Palatino Linotype" w:hAnsi="Palatino Linotype" w:cs="Tahoma"/>
          <w:sz w:val="22"/>
          <w:szCs w:val="22"/>
        </w:rPr>
        <w:t>c</w:t>
      </w:r>
      <w:r w:rsidR="00CD10BF" w:rsidRPr="00CE1A90">
        <w:rPr>
          <w:rFonts w:ascii="Palatino Linotype" w:hAnsi="Palatino Linotype" w:cs="Tahoma"/>
          <w:sz w:val="22"/>
          <w:szCs w:val="22"/>
        </w:rPr>
        <w:t>inco</w:t>
      </w:r>
      <w:r w:rsidR="00681D84" w:rsidRPr="00CE1A90">
        <w:rPr>
          <w:rFonts w:ascii="Palatino Linotype" w:hAnsi="Palatino Linotype" w:cs="Tahoma"/>
          <w:sz w:val="22"/>
          <w:szCs w:val="22"/>
        </w:rPr>
        <w:t xml:space="preserve">, </w:t>
      </w:r>
      <w:r w:rsidR="00D74B06" w:rsidRPr="00CE1A90">
        <w:rPr>
          <w:rFonts w:ascii="Palatino Linotype" w:hAnsi="Palatino Linotype" w:cs="Tahoma"/>
          <w:sz w:val="22"/>
          <w:szCs w:val="22"/>
        </w:rPr>
        <w:t xml:space="preserve">el Sujeto Obligado </w:t>
      </w:r>
      <w:r w:rsidR="008453FA" w:rsidRPr="00CE1A90">
        <w:rPr>
          <w:rFonts w:ascii="Palatino Linotype" w:hAnsi="Palatino Linotype" w:cs="Tahoma"/>
          <w:sz w:val="22"/>
          <w:szCs w:val="22"/>
        </w:rPr>
        <w:t xml:space="preserve">otorgó respuesta a través del </w:t>
      </w:r>
      <w:r w:rsidRPr="00CE1A90">
        <w:rPr>
          <w:rFonts w:ascii="Palatino Linotype" w:hAnsi="Palatino Linotype" w:cs="Tahoma"/>
          <w:sz w:val="22"/>
          <w:szCs w:val="22"/>
        </w:rPr>
        <w:t>SAIMEX</w:t>
      </w:r>
      <w:r w:rsidR="008453FA" w:rsidRPr="00CE1A90">
        <w:rPr>
          <w:rFonts w:ascii="Palatino Linotype" w:hAnsi="Palatino Linotype" w:cs="Tahoma"/>
          <w:sz w:val="22"/>
          <w:szCs w:val="22"/>
        </w:rPr>
        <w:t xml:space="preserve"> en </w:t>
      </w:r>
      <w:r w:rsidR="00431243" w:rsidRPr="00CE1A90">
        <w:rPr>
          <w:rFonts w:ascii="Palatino Linotype" w:hAnsi="Palatino Linotype" w:cs="Tahoma"/>
          <w:sz w:val="22"/>
          <w:szCs w:val="22"/>
        </w:rPr>
        <w:t xml:space="preserve">el que </w:t>
      </w:r>
      <w:r w:rsidR="00DE4665" w:rsidRPr="00CE1A90">
        <w:rPr>
          <w:rFonts w:ascii="Palatino Linotype" w:hAnsi="Palatino Linotype" w:cs="Tahoma"/>
          <w:sz w:val="22"/>
          <w:szCs w:val="22"/>
        </w:rPr>
        <w:t xml:space="preserve">la servidora pública habilitada de la Dirección General de Recursos Materiales señaló que la información se encontraba publicada para consulta del público en general, de manera permanente y actualizada de forma sencilla, precisa y entendible, en el </w:t>
      </w:r>
      <w:r w:rsidR="00DE4665" w:rsidRPr="00CE1A90">
        <w:rPr>
          <w:rFonts w:ascii="Palatino Linotype" w:hAnsi="Palatino Linotype" w:cs="Tahoma"/>
          <w:sz w:val="22"/>
          <w:szCs w:val="22"/>
        </w:rPr>
        <w:lastRenderedPageBreak/>
        <w:t>Sistema Electrónico de Contratación Pública del Estado de México, COMPRAMEX y señaló una liga electrónica.</w:t>
      </w:r>
    </w:p>
    <w:p w14:paraId="72196003" w14:textId="77777777" w:rsidR="00431243" w:rsidRPr="00CE1A90" w:rsidRDefault="00431243" w:rsidP="00036CD0">
      <w:pPr>
        <w:autoSpaceDE w:val="0"/>
        <w:autoSpaceDN w:val="0"/>
        <w:adjustRightInd w:val="0"/>
        <w:spacing w:line="360" w:lineRule="auto"/>
        <w:contextualSpacing/>
        <w:jc w:val="both"/>
        <w:rPr>
          <w:rFonts w:ascii="Palatino Linotype" w:hAnsi="Palatino Linotype" w:cs="Tahoma"/>
          <w:sz w:val="22"/>
          <w:szCs w:val="22"/>
        </w:rPr>
      </w:pPr>
    </w:p>
    <w:p w14:paraId="52854402" w14:textId="43209128" w:rsidR="001A412B" w:rsidRPr="00CE1A90" w:rsidRDefault="00DE4665" w:rsidP="00036CD0">
      <w:pPr>
        <w:pStyle w:val="Ttulo2"/>
        <w:contextualSpacing/>
        <w:rPr>
          <w:rFonts w:ascii="Palatino Linotype" w:hAnsi="Palatino Linotype" w:cs="Tahoma"/>
          <w:b/>
          <w:color w:val="auto"/>
          <w:sz w:val="22"/>
          <w:szCs w:val="22"/>
        </w:rPr>
      </w:pPr>
      <w:bookmarkStart w:id="7" w:name="_Toc222411553"/>
      <w:bookmarkEnd w:id="0"/>
      <w:r w:rsidRPr="00CE1A90">
        <w:rPr>
          <w:rFonts w:ascii="Palatino Linotype" w:hAnsi="Palatino Linotype" w:cs="Tahoma"/>
          <w:b/>
          <w:color w:val="auto"/>
          <w:sz w:val="22"/>
          <w:szCs w:val="22"/>
        </w:rPr>
        <w:t>V</w:t>
      </w:r>
      <w:r w:rsidR="009A7587" w:rsidRPr="00CE1A90">
        <w:rPr>
          <w:rFonts w:ascii="Palatino Linotype" w:hAnsi="Palatino Linotype" w:cs="Tahoma"/>
          <w:b/>
          <w:color w:val="auto"/>
          <w:sz w:val="22"/>
          <w:szCs w:val="22"/>
        </w:rPr>
        <w:t>. Interposición del Recurso de Revisión</w:t>
      </w:r>
      <w:bookmarkEnd w:id="7"/>
    </w:p>
    <w:p w14:paraId="5D8ED060" w14:textId="77777777" w:rsidR="00F87649" w:rsidRPr="00CE1A90" w:rsidRDefault="00F87649" w:rsidP="00036CD0">
      <w:pPr>
        <w:autoSpaceDE w:val="0"/>
        <w:autoSpaceDN w:val="0"/>
        <w:adjustRightInd w:val="0"/>
        <w:spacing w:line="360" w:lineRule="auto"/>
        <w:contextualSpacing/>
        <w:jc w:val="both"/>
        <w:rPr>
          <w:rFonts w:ascii="Palatino Linotype" w:hAnsi="Palatino Linotype" w:cs="Tahoma"/>
          <w:b/>
          <w:sz w:val="18"/>
          <w:szCs w:val="22"/>
        </w:rPr>
      </w:pPr>
    </w:p>
    <w:p w14:paraId="4ADCCFF0" w14:textId="58E4823F" w:rsidR="009A7587" w:rsidRPr="00CE1A90" w:rsidRDefault="009A7587" w:rsidP="00036CD0">
      <w:pPr>
        <w:tabs>
          <w:tab w:val="left" w:pos="3122"/>
        </w:tabs>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Con fecha</w:t>
      </w:r>
      <w:r w:rsidR="00E13C8C" w:rsidRPr="00CE1A90">
        <w:rPr>
          <w:rFonts w:ascii="Palatino Linotype" w:hAnsi="Palatino Linotype" w:cs="Tahoma"/>
          <w:sz w:val="22"/>
          <w:szCs w:val="22"/>
        </w:rPr>
        <w:t xml:space="preserve"> </w:t>
      </w:r>
      <w:r w:rsidR="00DE4665" w:rsidRPr="00CE1A90">
        <w:rPr>
          <w:rFonts w:ascii="Palatino Linotype" w:hAnsi="Palatino Linotype" w:cs="Tahoma"/>
          <w:sz w:val="22"/>
          <w:szCs w:val="22"/>
        </w:rPr>
        <w:t>seis de octubre</w:t>
      </w:r>
      <w:r w:rsidR="009C323D" w:rsidRPr="00CE1A90">
        <w:rPr>
          <w:rFonts w:ascii="Palatino Linotype" w:hAnsi="Palatino Linotype" w:cs="Tahoma"/>
          <w:sz w:val="22"/>
          <w:szCs w:val="22"/>
        </w:rPr>
        <w:t xml:space="preserve"> </w:t>
      </w:r>
      <w:r w:rsidR="00B267E1" w:rsidRPr="00CE1A90">
        <w:rPr>
          <w:rFonts w:ascii="Palatino Linotype" w:hAnsi="Palatino Linotype" w:cs="Tahoma"/>
          <w:sz w:val="22"/>
          <w:szCs w:val="22"/>
        </w:rPr>
        <w:t>de dos mil veinti</w:t>
      </w:r>
      <w:r w:rsidR="00F93A36" w:rsidRPr="00CE1A90">
        <w:rPr>
          <w:rFonts w:ascii="Palatino Linotype" w:hAnsi="Palatino Linotype" w:cs="Tahoma"/>
          <w:sz w:val="22"/>
          <w:szCs w:val="22"/>
        </w:rPr>
        <w:t>c</w:t>
      </w:r>
      <w:r w:rsidR="00BF4B55" w:rsidRPr="00CE1A90">
        <w:rPr>
          <w:rFonts w:ascii="Palatino Linotype" w:hAnsi="Palatino Linotype" w:cs="Tahoma"/>
          <w:sz w:val="22"/>
          <w:szCs w:val="22"/>
        </w:rPr>
        <w:t>inco</w:t>
      </w:r>
      <w:r w:rsidRPr="00CE1A90">
        <w:rPr>
          <w:rFonts w:ascii="Palatino Linotype" w:hAnsi="Palatino Linotype" w:cs="Tahoma"/>
          <w:sz w:val="22"/>
          <w:szCs w:val="22"/>
        </w:rPr>
        <w:t xml:space="preserve">, a través del </w:t>
      </w:r>
      <w:r w:rsidR="00BB1F81" w:rsidRPr="00CE1A90">
        <w:rPr>
          <w:rFonts w:ascii="Palatino Linotype" w:hAnsi="Palatino Linotype" w:cs="Tahoma"/>
          <w:sz w:val="22"/>
          <w:szCs w:val="22"/>
          <w:lang w:val="es-ES"/>
        </w:rPr>
        <w:t>SAIMEX</w:t>
      </w:r>
      <w:r w:rsidR="00A048C7" w:rsidRPr="00CE1A90">
        <w:rPr>
          <w:rFonts w:ascii="Palatino Linotype" w:hAnsi="Palatino Linotype" w:cs="Tahoma"/>
          <w:sz w:val="22"/>
          <w:szCs w:val="22"/>
        </w:rPr>
        <w:t>, se interpus</w:t>
      </w:r>
      <w:r w:rsidR="003C3E71" w:rsidRPr="00CE1A90">
        <w:rPr>
          <w:rFonts w:ascii="Palatino Linotype" w:hAnsi="Palatino Linotype" w:cs="Tahoma"/>
          <w:sz w:val="22"/>
          <w:szCs w:val="22"/>
        </w:rPr>
        <w:t>o</w:t>
      </w:r>
      <w:r w:rsidR="00A048C7" w:rsidRPr="00CE1A90">
        <w:rPr>
          <w:rFonts w:ascii="Palatino Linotype" w:hAnsi="Palatino Linotype" w:cs="Tahoma"/>
          <w:sz w:val="22"/>
          <w:szCs w:val="22"/>
        </w:rPr>
        <w:t xml:space="preserve"> </w:t>
      </w:r>
      <w:r w:rsidR="003C3E71" w:rsidRPr="00CE1A90">
        <w:rPr>
          <w:rFonts w:ascii="Palatino Linotype" w:hAnsi="Palatino Linotype" w:cs="Tahoma"/>
          <w:sz w:val="22"/>
          <w:szCs w:val="22"/>
        </w:rPr>
        <w:t>el</w:t>
      </w:r>
      <w:r w:rsidRPr="00CE1A90">
        <w:rPr>
          <w:rFonts w:ascii="Palatino Linotype" w:hAnsi="Palatino Linotype" w:cs="Tahoma"/>
          <w:sz w:val="22"/>
          <w:szCs w:val="22"/>
        </w:rPr>
        <w:t xml:space="preserve"> presente Recurso de Revisión por</w:t>
      </w:r>
      <w:r w:rsidR="008E6658" w:rsidRPr="00CE1A90">
        <w:rPr>
          <w:rFonts w:ascii="Palatino Linotype" w:hAnsi="Palatino Linotype" w:cs="Tahoma"/>
          <w:sz w:val="22"/>
          <w:szCs w:val="22"/>
        </w:rPr>
        <w:t xml:space="preserve"> </w:t>
      </w:r>
      <w:r w:rsidR="0035716C" w:rsidRPr="00CE1A90">
        <w:rPr>
          <w:rFonts w:ascii="Palatino Linotype" w:hAnsi="Palatino Linotype" w:cs="Tahoma"/>
          <w:sz w:val="22"/>
          <w:szCs w:val="22"/>
        </w:rPr>
        <w:t xml:space="preserve">el </w:t>
      </w:r>
      <w:r w:rsidRPr="00CE1A90">
        <w:rPr>
          <w:rFonts w:ascii="Palatino Linotype" w:hAnsi="Palatino Linotype" w:cs="Tahoma"/>
          <w:sz w:val="22"/>
          <w:szCs w:val="22"/>
        </w:rPr>
        <w:t xml:space="preserve">Recurrente, en contra de </w:t>
      </w:r>
      <w:r w:rsidR="00655265" w:rsidRPr="00CE1A90">
        <w:rPr>
          <w:rFonts w:ascii="Palatino Linotype" w:hAnsi="Palatino Linotype" w:cs="Tahoma"/>
          <w:sz w:val="22"/>
          <w:szCs w:val="22"/>
        </w:rPr>
        <w:t>la respuesta emitida</w:t>
      </w:r>
      <w:r w:rsidRPr="00CE1A90">
        <w:rPr>
          <w:rFonts w:ascii="Palatino Linotype" w:hAnsi="Palatino Linotype" w:cs="Tahoma"/>
          <w:sz w:val="22"/>
          <w:szCs w:val="22"/>
        </w:rPr>
        <w:t xml:space="preserve"> por el Sujeto Obligado a </w:t>
      </w:r>
      <w:r w:rsidR="00655265" w:rsidRPr="00CE1A90">
        <w:rPr>
          <w:rFonts w:ascii="Palatino Linotype" w:hAnsi="Palatino Linotype" w:cs="Tahoma"/>
          <w:sz w:val="22"/>
          <w:szCs w:val="22"/>
        </w:rPr>
        <w:t>la solicitud</w:t>
      </w:r>
      <w:r w:rsidRPr="00CE1A90">
        <w:rPr>
          <w:rFonts w:ascii="Palatino Linotype" w:hAnsi="Palatino Linotype" w:cs="Tahoma"/>
          <w:sz w:val="22"/>
          <w:szCs w:val="22"/>
        </w:rPr>
        <w:t xml:space="preserve"> de información, en los siguientes términos:</w:t>
      </w:r>
    </w:p>
    <w:p w14:paraId="1421F498" w14:textId="77777777" w:rsidR="00AB6595" w:rsidRPr="00CE1A90" w:rsidRDefault="00AB6595" w:rsidP="00036CD0">
      <w:pPr>
        <w:tabs>
          <w:tab w:val="left" w:pos="4995"/>
        </w:tabs>
        <w:spacing w:line="360" w:lineRule="auto"/>
        <w:contextualSpacing/>
        <w:jc w:val="both"/>
        <w:rPr>
          <w:rFonts w:ascii="Palatino Linotype" w:hAnsi="Palatino Linotype" w:cs="Tahoma"/>
          <w:sz w:val="22"/>
          <w:szCs w:val="22"/>
        </w:rPr>
      </w:pPr>
    </w:p>
    <w:p w14:paraId="75B12CDA" w14:textId="77777777" w:rsidR="00D5699B" w:rsidRPr="00CE1A90" w:rsidRDefault="00D5699B" w:rsidP="00036CD0">
      <w:pPr>
        <w:spacing w:line="360" w:lineRule="auto"/>
        <w:ind w:left="567" w:right="539"/>
        <w:contextualSpacing/>
        <w:jc w:val="both"/>
        <w:rPr>
          <w:rFonts w:ascii="Palatino Linotype" w:hAnsi="Palatino Linotype" w:cs="Tahoma"/>
          <w:b/>
          <w:bCs/>
          <w:szCs w:val="22"/>
        </w:rPr>
      </w:pPr>
      <w:r w:rsidRPr="00CE1A90">
        <w:rPr>
          <w:rFonts w:ascii="Palatino Linotype" w:hAnsi="Palatino Linotype" w:cs="Tahoma"/>
          <w:b/>
          <w:bCs/>
          <w:szCs w:val="22"/>
        </w:rPr>
        <w:t>ACTO IMPUGNADO</w:t>
      </w:r>
    </w:p>
    <w:p w14:paraId="2912ABE5" w14:textId="7757DE2C" w:rsidR="003D1770" w:rsidRPr="00CE1A90" w:rsidRDefault="007E4927" w:rsidP="00036CD0">
      <w:pPr>
        <w:spacing w:line="360" w:lineRule="auto"/>
        <w:ind w:left="567" w:right="539"/>
        <w:contextualSpacing/>
        <w:jc w:val="both"/>
        <w:rPr>
          <w:rFonts w:ascii="Palatino Linotype" w:hAnsi="Palatino Linotype" w:cs="Tahoma"/>
          <w:bCs/>
          <w:szCs w:val="22"/>
        </w:rPr>
      </w:pPr>
      <w:r w:rsidRPr="00CE1A90">
        <w:rPr>
          <w:rFonts w:ascii="Palatino Linotype" w:hAnsi="Palatino Linotype" w:cs="Tahoma"/>
          <w:bCs/>
          <w:i/>
          <w:szCs w:val="22"/>
        </w:rPr>
        <w:t>“</w:t>
      </w:r>
      <w:r w:rsidR="00497BE2" w:rsidRPr="00CE1A90">
        <w:rPr>
          <w:rFonts w:ascii="Palatino Linotype" w:hAnsi="Palatino Linotype" w:cs="Tahoma"/>
          <w:bCs/>
          <w:i/>
          <w:szCs w:val="22"/>
        </w:rPr>
        <w:t>La respuesta del sujeto obligado</w:t>
      </w:r>
      <w:r w:rsidR="00E55401" w:rsidRPr="00CE1A90">
        <w:rPr>
          <w:rFonts w:ascii="Palatino Linotype" w:hAnsi="Palatino Linotype" w:cs="Tahoma"/>
          <w:bCs/>
          <w:i/>
          <w:szCs w:val="22"/>
        </w:rPr>
        <w:t>"</w:t>
      </w:r>
    </w:p>
    <w:p w14:paraId="4C593E0B" w14:textId="77777777" w:rsidR="00CE2F19" w:rsidRPr="00CE1A90" w:rsidRDefault="00CE2F19" w:rsidP="00036CD0">
      <w:pPr>
        <w:spacing w:line="360" w:lineRule="auto"/>
        <w:ind w:left="567" w:right="539"/>
        <w:contextualSpacing/>
        <w:jc w:val="both"/>
        <w:rPr>
          <w:rFonts w:ascii="Palatino Linotype" w:hAnsi="Palatino Linotype" w:cs="Tahoma"/>
          <w:bCs/>
          <w:szCs w:val="22"/>
        </w:rPr>
      </w:pPr>
    </w:p>
    <w:p w14:paraId="16ADFB46" w14:textId="77777777" w:rsidR="00CE2F19" w:rsidRPr="00CE1A90" w:rsidRDefault="00CE2F19" w:rsidP="00036CD0">
      <w:pPr>
        <w:spacing w:line="360" w:lineRule="auto"/>
        <w:ind w:left="567" w:right="539"/>
        <w:contextualSpacing/>
        <w:jc w:val="both"/>
        <w:rPr>
          <w:rFonts w:ascii="Palatino Linotype" w:hAnsi="Palatino Linotype" w:cs="Tahoma"/>
          <w:b/>
          <w:bCs/>
          <w:szCs w:val="22"/>
        </w:rPr>
      </w:pPr>
      <w:r w:rsidRPr="00CE1A90">
        <w:rPr>
          <w:rFonts w:ascii="Palatino Linotype" w:hAnsi="Palatino Linotype" w:cs="Tahoma"/>
          <w:b/>
          <w:bCs/>
          <w:szCs w:val="22"/>
        </w:rPr>
        <w:t>RAZONES O MOTIVOS DE LA INCONFORMIDAD</w:t>
      </w:r>
    </w:p>
    <w:p w14:paraId="2B8D66A7" w14:textId="30ED089D" w:rsidR="00CE2F19" w:rsidRPr="00CE1A90" w:rsidRDefault="00CE2F19" w:rsidP="00036CD0">
      <w:pPr>
        <w:spacing w:line="360" w:lineRule="auto"/>
        <w:ind w:left="567" w:right="539"/>
        <w:contextualSpacing/>
        <w:jc w:val="both"/>
        <w:rPr>
          <w:rFonts w:ascii="Palatino Linotype" w:hAnsi="Palatino Linotype" w:cs="Tahoma"/>
          <w:bCs/>
          <w:i/>
          <w:szCs w:val="24"/>
        </w:rPr>
      </w:pPr>
      <w:r w:rsidRPr="00CE1A90">
        <w:rPr>
          <w:rFonts w:ascii="Palatino Linotype" w:hAnsi="Palatino Linotype" w:cs="Tahoma"/>
          <w:bCs/>
          <w:i/>
          <w:szCs w:val="24"/>
        </w:rPr>
        <w:t>“</w:t>
      </w:r>
      <w:bookmarkStart w:id="8" w:name="_Hlk181699048"/>
      <w:r w:rsidR="00497BE2" w:rsidRPr="00CE1A90">
        <w:rPr>
          <w:rFonts w:ascii="Palatino Linotype" w:hAnsi="Palatino Linotype" w:cs="Tahoma"/>
          <w:bCs/>
          <w:i/>
          <w:szCs w:val="24"/>
        </w:rPr>
        <w:t xml:space="preserve">Si bien es cierto que no niega la información, pone a disposición el link de la página de inicio de compra </w:t>
      </w:r>
      <w:proofErr w:type="spellStart"/>
      <w:r w:rsidR="00497BE2" w:rsidRPr="00CE1A90">
        <w:rPr>
          <w:rFonts w:ascii="Palatino Linotype" w:hAnsi="Palatino Linotype" w:cs="Tahoma"/>
          <w:bCs/>
          <w:i/>
          <w:szCs w:val="24"/>
        </w:rPr>
        <w:t>mex</w:t>
      </w:r>
      <w:proofErr w:type="spellEnd"/>
      <w:r w:rsidR="00497BE2" w:rsidRPr="00CE1A90">
        <w:rPr>
          <w:rFonts w:ascii="Palatino Linotype" w:hAnsi="Palatino Linotype" w:cs="Tahoma"/>
          <w:bCs/>
          <w:i/>
          <w:szCs w:val="24"/>
        </w:rPr>
        <w:t>, y en dicha página no se encuentra el documento solicitado. Bien podría haber proporcionado por esta plataforma el documento o señalar el link preciso y de acceso directo a lo solicitado.</w:t>
      </w:r>
      <w:r w:rsidRPr="00CE1A90">
        <w:rPr>
          <w:rFonts w:ascii="Palatino Linotype" w:hAnsi="Palatino Linotype" w:cs="Tahoma"/>
          <w:bCs/>
          <w:i/>
          <w:szCs w:val="24"/>
        </w:rPr>
        <w:t>”</w:t>
      </w:r>
      <w:r w:rsidR="007E3047" w:rsidRPr="00CE1A90">
        <w:rPr>
          <w:rFonts w:ascii="Palatino Linotype" w:hAnsi="Palatino Linotype" w:cs="Tahoma"/>
          <w:bCs/>
          <w:i/>
          <w:szCs w:val="24"/>
        </w:rPr>
        <w:t xml:space="preserve"> </w:t>
      </w:r>
      <w:r w:rsidR="007E3047" w:rsidRPr="00CE1A90">
        <w:rPr>
          <w:rFonts w:ascii="Palatino Linotype" w:hAnsi="Palatino Linotype" w:cs="Tahoma"/>
          <w:bCs/>
          <w:i/>
          <w:szCs w:val="22"/>
        </w:rPr>
        <w:t>(Sic)</w:t>
      </w:r>
      <w:r w:rsidR="00D63A43" w:rsidRPr="00CE1A90">
        <w:rPr>
          <w:rFonts w:ascii="Palatino Linotype" w:hAnsi="Palatino Linotype" w:cs="Tahoma"/>
          <w:bCs/>
          <w:i/>
          <w:szCs w:val="22"/>
        </w:rPr>
        <w:t>.</w:t>
      </w:r>
    </w:p>
    <w:p w14:paraId="6AA7CD50" w14:textId="77777777" w:rsidR="00342378" w:rsidRPr="00CE1A90" w:rsidRDefault="00342378" w:rsidP="00036CD0">
      <w:pPr>
        <w:spacing w:line="360" w:lineRule="auto"/>
        <w:ind w:right="539"/>
        <w:contextualSpacing/>
        <w:jc w:val="both"/>
        <w:rPr>
          <w:rFonts w:ascii="Palatino Linotype" w:hAnsi="Palatino Linotype" w:cs="Tahoma"/>
          <w:bCs/>
          <w:i/>
          <w:szCs w:val="24"/>
        </w:rPr>
      </w:pPr>
    </w:p>
    <w:p w14:paraId="427C5C31" w14:textId="3B0534F3" w:rsidR="009A7587" w:rsidRPr="00CE1A90" w:rsidRDefault="00497BE2" w:rsidP="00036CD0">
      <w:pPr>
        <w:pStyle w:val="Ttulo2"/>
        <w:contextualSpacing/>
        <w:rPr>
          <w:rFonts w:ascii="Palatino Linotype" w:eastAsia="Batang" w:hAnsi="Palatino Linotype" w:cs="Tahoma"/>
          <w:b/>
          <w:bCs/>
          <w:color w:val="auto"/>
          <w:sz w:val="22"/>
          <w:szCs w:val="22"/>
        </w:rPr>
      </w:pPr>
      <w:bookmarkStart w:id="9" w:name="_Toc222411554"/>
      <w:bookmarkEnd w:id="8"/>
      <w:r w:rsidRPr="00CE1A90">
        <w:rPr>
          <w:rStyle w:val="Ttulo2Car"/>
          <w:rFonts w:ascii="Palatino Linotype" w:hAnsi="Palatino Linotype"/>
          <w:b/>
          <w:color w:val="auto"/>
          <w:sz w:val="22"/>
          <w:szCs w:val="22"/>
        </w:rPr>
        <w:t>V</w:t>
      </w:r>
      <w:r w:rsidR="00431243" w:rsidRPr="00CE1A90">
        <w:rPr>
          <w:rStyle w:val="Ttulo2Car"/>
          <w:rFonts w:ascii="Palatino Linotype" w:hAnsi="Palatino Linotype"/>
          <w:b/>
          <w:color w:val="auto"/>
          <w:sz w:val="22"/>
          <w:szCs w:val="22"/>
        </w:rPr>
        <w:t>I</w:t>
      </w:r>
      <w:r w:rsidR="009A7587" w:rsidRPr="00CE1A90">
        <w:rPr>
          <w:rStyle w:val="Ttulo2Car"/>
          <w:rFonts w:ascii="Palatino Linotype" w:hAnsi="Palatino Linotype"/>
          <w:b/>
          <w:color w:val="auto"/>
          <w:sz w:val="22"/>
          <w:szCs w:val="22"/>
        </w:rPr>
        <w:t>. Trámite del Recurso de Revisión ante el Instituto</w:t>
      </w:r>
      <w:bookmarkEnd w:id="9"/>
    </w:p>
    <w:p w14:paraId="37E98D62" w14:textId="77777777" w:rsidR="007E4927" w:rsidRPr="00CE1A90" w:rsidRDefault="007E4927" w:rsidP="00036CD0">
      <w:pPr>
        <w:spacing w:line="360" w:lineRule="auto"/>
        <w:contextualSpacing/>
        <w:jc w:val="both"/>
        <w:rPr>
          <w:rFonts w:ascii="Palatino Linotype" w:eastAsia="Batang" w:hAnsi="Palatino Linotype" w:cs="Tahoma"/>
          <w:b/>
          <w:bCs/>
          <w:sz w:val="22"/>
          <w:szCs w:val="22"/>
        </w:rPr>
      </w:pPr>
    </w:p>
    <w:p w14:paraId="15E1AA51" w14:textId="13E410EF" w:rsidR="00C950E3" w:rsidRPr="00CE1A90" w:rsidRDefault="009A7587" w:rsidP="00036CD0">
      <w:pPr>
        <w:spacing w:line="360" w:lineRule="auto"/>
        <w:contextualSpacing/>
        <w:jc w:val="both"/>
        <w:rPr>
          <w:rFonts w:ascii="Palatino Linotype" w:eastAsia="Batang" w:hAnsi="Palatino Linotype" w:cs="Tahoma"/>
          <w:bCs/>
          <w:sz w:val="22"/>
          <w:szCs w:val="22"/>
        </w:rPr>
      </w:pPr>
      <w:bookmarkStart w:id="10" w:name="_Toc222411555"/>
      <w:r w:rsidRPr="00CE1A90">
        <w:rPr>
          <w:rStyle w:val="Ttulo3Car"/>
          <w:rFonts w:ascii="Palatino Linotype" w:hAnsi="Palatino Linotype"/>
          <w:b/>
          <w:color w:val="auto"/>
          <w:sz w:val="22"/>
          <w:szCs w:val="22"/>
        </w:rPr>
        <w:t>a) Turno del Recurso de Revisión</w:t>
      </w:r>
      <w:r w:rsidRPr="00CE1A90">
        <w:rPr>
          <w:rStyle w:val="Ttulo3Car"/>
          <w:rFonts w:ascii="Palatino Linotype" w:hAnsi="Palatino Linotype"/>
          <w:color w:val="auto"/>
          <w:sz w:val="22"/>
          <w:szCs w:val="22"/>
        </w:rPr>
        <w:t>.</w:t>
      </w:r>
      <w:bookmarkEnd w:id="10"/>
      <w:r w:rsidRPr="00CE1A90">
        <w:rPr>
          <w:rFonts w:ascii="Palatino Linotype" w:eastAsia="Batang" w:hAnsi="Palatino Linotype" w:cs="Tahoma"/>
          <w:b/>
          <w:bCs/>
          <w:sz w:val="22"/>
          <w:szCs w:val="22"/>
        </w:rPr>
        <w:t xml:space="preserve"> </w:t>
      </w:r>
      <w:r w:rsidR="00A06844" w:rsidRPr="00CE1A90">
        <w:rPr>
          <w:rFonts w:ascii="Palatino Linotype" w:eastAsia="Batang" w:hAnsi="Palatino Linotype" w:cs="Tahoma"/>
          <w:bCs/>
          <w:sz w:val="22"/>
          <w:szCs w:val="22"/>
        </w:rPr>
        <w:t xml:space="preserve">El </w:t>
      </w:r>
      <w:r w:rsidR="00497BE2" w:rsidRPr="00CE1A90">
        <w:rPr>
          <w:rFonts w:ascii="Palatino Linotype" w:hAnsi="Palatino Linotype" w:cs="Tahoma"/>
          <w:sz w:val="22"/>
          <w:szCs w:val="22"/>
        </w:rPr>
        <w:t xml:space="preserve">seis de octubre </w:t>
      </w:r>
      <w:r w:rsidR="00BF4B55" w:rsidRPr="00CE1A90">
        <w:rPr>
          <w:rFonts w:ascii="Palatino Linotype" w:hAnsi="Palatino Linotype" w:cs="Tahoma"/>
          <w:sz w:val="22"/>
          <w:szCs w:val="22"/>
        </w:rPr>
        <w:t>de dos mil veinticinco</w:t>
      </w:r>
      <w:r w:rsidR="00A06844" w:rsidRPr="00CE1A90">
        <w:rPr>
          <w:rFonts w:ascii="Palatino Linotype" w:eastAsia="Batang" w:hAnsi="Palatino Linotype" w:cs="Tahoma"/>
          <w:bCs/>
          <w:sz w:val="22"/>
          <w:szCs w:val="22"/>
        </w:rPr>
        <w:t xml:space="preserve">, </w:t>
      </w:r>
      <w:r w:rsidR="00D5699B" w:rsidRPr="00CE1A90">
        <w:rPr>
          <w:rFonts w:ascii="Palatino Linotype" w:eastAsia="Batang" w:hAnsi="Palatino Linotype" w:cs="Tahoma"/>
          <w:bCs/>
          <w:sz w:val="22"/>
          <w:szCs w:val="22"/>
        </w:rPr>
        <w:t xml:space="preserve">el </w:t>
      </w:r>
      <w:r w:rsidR="00BB1F81" w:rsidRPr="00CE1A90">
        <w:rPr>
          <w:rFonts w:ascii="Palatino Linotype" w:eastAsia="Batang" w:hAnsi="Palatino Linotype" w:cs="Tahoma"/>
          <w:bCs/>
          <w:sz w:val="22"/>
          <w:szCs w:val="22"/>
        </w:rPr>
        <w:t>SAIMEX</w:t>
      </w:r>
      <w:r w:rsidR="00D5699B" w:rsidRPr="00CE1A90">
        <w:rPr>
          <w:rFonts w:ascii="Palatino Linotype" w:eastAsia="Batang" w:hAnsi="Palatino Linotype" w:cs="Tahoma"/>
          <w:bCs/>
          <w:sz w:val="22"/>
          <w:szCs w:val="22"/>
        </w:rPr>
        <w:t xml:space="preserve">, asignó el número de expediente </w:t>
      </w:r>
      <w:r w:rsidR="00497BE2" w:rsidRPr="00CE1A90">
        <w:rPr>
          <w:rFonts w:ascii="Palatino Linotype" w:eastAsia="Batang" w:hAnsi="Palatino Linotype" w:cs="Tahoma"/>
          <w:b/>
          <w:bCs/>
          <w:sz w:val="22"/>
          <w:szCs w:val="22"/>
        </w:rPr>
        <w:t>11551</w:t>
      </w:r>
      <w:r w:rsidR="00D5699B" w:rsidRPr="00CE1A90">
        <w:rPr>
          <w:rFonts w:ascii="Palatino Linotype" w:eastAsia="Batang" w:hAnsi="Palatino Linotype" w:cs="Tahoma"/>
          <w:b/>
          <w:bCs/>
          <w:sz w:val="22"/>
          <w:szCs w:val="22"/>
        </w:rPr>
        <w:t>/INFOEM/IP/RR/202</w:t>
      </w:r>
      <w:r w:rsidR="00BF4B55" w:rsidRPr="00CE1A90">
        <w:rPr>
          <w:rFonts w:ascii="Palatino Linotype" w:eastAsia="Batang" w:hAnsi="Palatino Linotype" w:cs="Tahoma"/>
          <w:b/>
          <w:bCs/>
          <w:sz w:val="22"/>
          <w:szCs w:val="22"/>
        </w:rPr>
        <w:t>5</w:t>
      </w:r>
      <w:r w:rsidR="00D5699B" w:rsidRPr="00CE1A90">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E1A90">
        <w:rPr>
          <w:rFonts w:ascii="Palatino Linotype" w:eastAsia="Batang" w:hAnsi="Palatino Linotype" w:cs="Tahoma"/>
          <w:b/>
          <w:bCs/>
          <w:sz w:val="22"/>
          <w:szCs w:val="22"/>
        </w:rPr>
        <w:t>Comisionado Ponente Luis Gustavo Parra Noriega</w:t>
      </w:r>
      <w:r w:rsidR="00D5699B" w:rsidRPr="00CE1A90">
        <w:rPr>
          <w:rFonts w:ascii="Palatino Linotype" w:eastAsia="Batang" w:hAnsi="Palatino Linotype" w:cs="Tahoma"/>
          <w:bCs/>
          <w:sz w:val="22"/>
          <w:szCs w:val="22"/>
        </w:rPr>
        <w:t>, para los efectos del artículo 185, fracción I</w:t>
      </w:r>
      <w:r w:rsidR="00BB1F81" w:rsidRPr="00CE1A90">
        <w:rPr>
          <w:rFonts w:ascii="Palatino Linotype" w:eastAsia="Batang" w:hAnsi="Palatino Linotype" w:cs="Tahoma"/>
          <w:bCs/>
          <w:sz w:val="22"/>
          <w:szCs w:val="22"/>
        </w:rPr>
        <w:t>,</w:t>
      </w:r>
      <w:r w:rsidR="00D5699B" w:rsidRPr="00CE1A90">
        <w:rPr>
          <w:rFonts w:ascii="Palatino Linotype" w:eastAsia="Batang" w:hAnsi="Palatino Linotype" w:cs="Tahoma"/>
          <w:bCs/>
          <w:sz w:val="22"/>
          <w:szCs w:val="22"/>
        </w:rPr>
        <w:t xml:space="preserve"> de la Ley de Transparencia y Acceso a la Información Pública del Estado de México y Municipios.</w:t>
      </w:r>
    </w:p>
    <w:p w14:paraId="0D4FA45E" w14:textId="77777777" w:rsidR="00D5699B" w:rsidRPr="00CE1A90" w:rsidRDefault="00D5699B" w:rsidP="00036CD0">
      <w:pPr>
        <w:spacing w:line="360" w:lineRule="auto"/>
        <w:contextualSpacing/>
        <w:jc w:val="both"/>
        <w:rPr>
          <w:rFonts w:ascii="Palatino Linotype" w:eastAsia="Batang" w:hAnsi="Palatino Linotype" w:cs="Tahoma"/>
          <w:b/>
          <w:bCs/>
          <w:sz w:val="22"/>
          <w:szCs w:val="22"/>
        </w:rPr>
      </w:pPr>
    </w:p>
    <w:p w14:paraId="436173CE" w14:textId="6980B843" w:rsidR="00253937" w:rsidRPr="00CE1A90" w:rsidRDefault="009A7587" w:rsidP="00036CD0">
      <w:pPr>
        <w:spacing w:line="360" w:lineRule="auto"/>
        <w:contextualSpacing/>
        <w:jc w:val="both"/>
        <w:rPr>
          <w:rFonts w:ascii="Palatino Linotype" w:hAnsi="Palatino Linotype" w:cs="Tahoma"/>
          <w:bCs/>
          <w:sz w:val="22"/>
          <w:szCs w:val="22"/>
          <w:lang w:val="es-ES_tradnl"/>
        </w:rPr>
      </w:pPr>
      <w:bookmarkStart w:id="11" w:name="_Toc222411556"/>
      <w:r w:rsidRPr="00CE1A90">
        <w:rPr>
          <w:rStyle w:val="Ttulo3Car"/>
          <w:rFonts w:ascii="Palatino Linotype" w:hAnsi="Palatino Linotype"/>
          <w:b/>
          <w:color w:val="auto"/>
          <w:sz w:val="22"/>
          <w:szCs w:val="22"/>
        </w:rPr>
        <w:lastRenderedPageBreak/>
        <w:t>b) Admisión del Recurso de Revisión</w:t>
      </w:r>
      <w:r w:rsidRPr="00CE1A90">
        <w:rPr>
          <w:rStyle w:val="Ttulo3Car"/>
          <w:rFonts w:ascii="Palatino Linotype" w:hAnsi="Palatino Linotype"/>
          <w:color w:val="auto"/>
          <w:sz w:val="22"/>
          <w:szCs w:val="22"/>
        </w:rPr>
        <w:t>.</w:t>
      </w:r>
      <w:bookmarkEnd w:id="11"/>
      <w:r w:rsidRPr="00CE1A90">
        <w:rPr>
          <w:rFonts w:ascii="Palatino Linotype" w:eastAsia="Batang" w:hAnsi="Palatino Linotype" w:cs="Tahoma"/>
          <w:b/>
          <w:bCs/>
          <w:sz w:val="22"/>
          <w:szCs w:val="22"/>
          <w:lang w:val="es-ES_tradnl"/>
        </w:rPr>
        <w:t xml:space="preserve"> </w:t>
      </w:r>
      <w:r w:rsidRPr="00CE1A90">
        <w:rPr>
          <w:rFonts w:ascii="Palatino Linotype" w:hAnsi="Palatino Linotype" w:cs="Tahoma"/>
          <w:bCs/>
          <w:sz w:val="22"/>
          <w:szCs w:val="22"/>
        </w:rPr>
        <w:t>El</w:t>
      </w:r>
      <w:r w:rsidR="00EB3A2C" w:rsidRPr="00CE1A90">
        <w:rPr>
          <w:rFonts w:ascii="Palatino Linotype" w:hAnsi="Palatino Linotype" w:cs="Tahoma"/>
          <w:bCs/>
          <w:sz w:val="22"/>
          <w:szCs w:val="22"/>
        </w:rPr>
        <w:t xml:space="preserve"> </w:t>
      </w:r>
      <w:r w:rsidR="00497BE2" w:rsidRPr="00CE1A90">
        <w:rPr>
          <w:rFonts w:ascii="Palatino Linotype" w:hAnsi="Palatino Linotype" w:cs="Tahoma"/>
          <w:sz w:val="22"/>
          <w:szCs w:val="22"/>
        </w:rPr>
        <w:t xml:space="preserve">nueve de octubre </w:t>
      </w:r>
      <w:r w:rsidR="00BF4B55" w:rsidRPr="00CE1A90">
        <w:rPr>
          <w:rFonts w:ascii="Palatino Linotype" w:hAnsi="Palatino Linotype" w:cs="Tahoma"/>
          <w:bCs/>
          <w:sz w:val="22"/>
          <w:szCs w:val="22"/>
        </w:rPr>
        <w:t>de dos mil veinticinco</w:t>
      </w:r>
      <w:r w:rsidRPr="00CE1A90">
        <w:rPr>
          <w:rFonts w:ascii="Palatino Linotype" w:hAnsi="Palatino Linotype" w:cs="Tahoma"/>
          <w:bCs/>
          <w:sz w:val="22"/>
          <w:szCs w:val="22"/>
        </w:rPr>
        <w:t xml:space="preserve">, </w:t>
      </w:r>
      <w:r w:rsidR="001F787A" w:rsidRPr="00CE1A90">
        <w:rPr>
          <w:rFonts w:ascii="Palatino Linotype" w:hAnsi="Palatino Linotype" w:cs="Tahoma"/>
          <w:bCs/>
          <w:sz w:val="22"/>
          <w:szCs w:val="22"/>
        </w:rPr>
        <w:t xml:space="preserve">se acordó la admisión del </w:t>
      </w:r>
      <w:r w:rsidR="001F787A" w:rsidRPr="00CE1A90">
        <w:rPr>
          <w:rFonts w:ascii="Palatino Linotype" w:hAnsi="Palatino Linotype" w:cs="Tahoma"/>
          <w:bCs/>
          <w:sz w:val="22"/>
          <w:szCs w:val="22"/>
          <w:lang w:val="es-ES_tradnl"/>
        </w:rPr>
        <w:t xml:space="preserve">Recurso de Revisión interpuesto por el Recurrente en contra del </w:t>
      </w:r>
      <w:r w:rsidR="001F787A" w:rsidRPr="00CE1A90">
        <w:rPr>
          <w:rFonts w:ascii="Palatino Linotype" w:hAnsi="Palatino Linotype" w:cs="Tahoma"/>
          <w:b/>
          <w:bCs/>
          <w:sz w:val="22"/>
          <w:szCs w:val="22"/>
          <w:lang w:val="es-ES_tradnl"/>
        </w:rPr>
        <w:t>Sujeto Obligado</w:t>
      </w:r>
      <w:r w:rsidR="001F787A" w:rsidRPr="00CE1A90">
        <w:rPr>
          <w:rFonts w:ascii="Palatino Linotype" w:hAnsi="Palatino Linotype" w:cs="Tahoma"/>
          <w:bCs/>
          <w:sz w:val="22"/>
          <w:szCs w:val="22"/>
          <w:lang w:val="es-ES_tradnl"/>
        </w:rPr>
        <w:t>, en términos del artículo 185, fracciones I, II y IV</w:t>
      </w:r>
      <w:r w:rsidR="00BB1F81" w:rsidRPr="00CE1A90">
        <w:rPr>
          <w:rFonts w:ascii="Palatino Linotype" w:hAnsi="Palatino Linotype" w:cs="Tahoma"/>
          <w:bCs/>
          <w:sz w:val="22"/>
          <w:szCs w:val="22"/>
          <w:lang w:val="es-ES_tradnl"/>
        </w:rPr>
        <w:t>,</w:t>
      </w:r>
      <w:r w:rsidR="001F787A" w:rsidRPr="00CE1A90">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E1A90">
        <w:rPr>
          <w:rFonts w:ascii="Palatino Linotype" w:hAnsi="Palatino Linotype" w:cs="Tahoma"/>
          <w:bCs/>
          <w:sz w:val="22"/>
          <w:szCs w:val="22"/>
          <w:lang w:val="es-ES_tradnl"/>
        </w:rPr>
        <w:t>o a las partes el mismo día</w:t>
      </w:r>
      <w:r w:rsidR="001F787A" w:rsidRPr="00CE1A90">
        <w:rPr>
          <w:rFonts w:ascii="Palatino Linotype" w:hAnsi="Palatino Linotype" w:cs="Tahoma"/>
          <w:bCs/>
          <w:sz w:val="22"/>
          <w:szCs w:val="22"/>
          <w:lang w:val="es-ES_tradnl"/>
        </w:rPr>
        <w:t xml:space="preserve"> a través del </w:t>
      </w:r>
      <w:r w:rsidR="00BB1F81" w:rsidRPr="00CE1A90">
        <w:rPr>
          <w:rFonts w:ascii="Palatino Linotype" w:hAnsi="Palatino Linotype" w:cs="Tahoma"/>
          <w:bCs/>
          <w:sz w:val="22"/>
          <w:szCs w:val="22"/>
          <w:lang w:val="es-ES_tradnl"/>
        </w:rPr>
        <w:t>SAIMEX</w:t>
      </w:r>
      <w:r w:rsidR="001F787A" w:rsidRPr="00CE1A90">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CA46E85" w14:textId="77777777" w:rsidR="00253937" w:rsidRPr="00CE1A90" w:rsidRDefault="00253937" w:rsidP="00036CD0">
      <w:pPr>
        <w:spacing w:line="360" w:lineRule="auto"/>
        <w:contextualSpacing/>
        <w:jc w:val="both"/>
        <w:rPr>
          <w:rFonts w:ascii="Palatino Linotype" w:hAnsi="Palatino Linotype" w:cs="Tahoma"/>
          <w:bCs/>
          <w:sz w:val="22"/>
          <w:szCs w:val="22"/>
          <w:lang w:val="es-ES_tradnl"/>
        </w:rPr>
      </w:pPr>
    </w:p>
    <w:p w14:paraId="1B309F23" w14:textId="331AB8AE" w:rsidR="00DD71BF" w:rsidRPr="00CE1A90" w:rsidRDefault="00DF22DA" w:rsidP="00036CD0">
      <w:pPr>
        <w:spacing w:line="360" w:lineRule="auto"/>
        <w:contextualSpacing/>
        <w:jc w:val="both"/>
        <w:rPr>
          <w:rFonts w:ascii="Palatino Linotype" w:eastAsia="Batang" w:hAnsi="Palatino Linotype" w:cs="Tahoma"/>
          <w:bCs/>
          <w:sz w:val="22"/>
          <w:szCs w:val="22"/>
          <w:lang w:val="es-ES_tradnl"/>
        </w:rPr>
      </w:pPr>
      <w:bookmarkStart w:id="12" w:name="_Toc190261913"/>
      <w:bookmarkStart w:id="13" w:name="_Toc196917717"/>
      <w:bookmarkStart w:id="14" w:name="_Toc222411557"/>
      <w:r w:rsidRPr="00CE1A90">
        <w:rPr>
          <w:rStyle w:val="Ttulo3Car"/>
          <w:rFonts w:ascii="Palatino Linotype" w:hAnsi="Palatino Linotype"/>
          <w:b/>
          <w:color w:val="auto"/>
          <w:sz w:val="22"/>
          <w:szCs w:val="22"/>
        </w:rPr>
        <w:t>c) Informe Justificado.</w:t>
      </w:r>
      <w:bookmarkEnd w:id="12"/>
      <w:bookmarkEnd w:id="13"/>
      <w:bookmarkEnd w:id="14"/>
      <w:r w:rsidRPr="00CE1A90">
        <w:rPr>
          <w:rFonts w:ascii="Palatino Linotype" w:eastAsia="Batang" w:hAnsi="Palatino Linotype" w:cs="Tahoma"/>
          <w:b/>
          <w:bCs/>
          <w:sz w:val="22"/>
          <w:szCs w:val="22"/>
          <w:lang w:val="es-ES_tradnl"/>
        </w:rPr>
        <w:t xml:space="preserve"> </w:t>
      </w:r>
      <w:r w:rsidRPr="00CE1A90">
        <w:rPr>
          <w:rFonts w:ascii="Palatino Linotype" w:eastAsia="Batang" w:hAnsi="Palatino Linotype" w:cs="Tahoma"/>
          <w:bCs/>
          <w:sz w:val="22"/>
          <w:szCs w:val="22"/>
          <w:lang w:val="es-ES_tradnl"/>
        </w:rPr>
        <w:t xml:space="preserve">El </w:t>
      </w:r>
      <w:r w:rsidR="00497BE2" w:rsidRPr="00CE1A90">
        <w:rPr>
          <w:rFonts w:ascii="Palatino Linotype" w:eastAsia="Batang" w:hAnsi="Palatino Linotype" w:cs="Tahoma"/>
          <w:bCs/>
          <w:sz w:val="22"/>
          <w:szCs w:val="22"/>
          <w:lang w:val="es-ES_tradnl"/>
        </w:rPr>
        <w:t>diecisiete de octubre</w:t>
      </w:r>
      <w:r w:rsidRPr="00CE1A90">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 en el </w:t>
      </w:r>
      <w:r w:rsidR="00F530B1" w:rsidRPr="00CE1A90">
        <w:rPr>
          <w:rFonts w:ascii="Palatino Linotype" w:eastAsia="Batang" w:hAnsi="Palatino Linotype" w:cs="Tahoma"/>
          <w:bCs/>
          <w:sz w:val="22"/>
          <w:szCs w:val="22"/>
          <w:lang w:val="es-ES_tradnl"/>
        </w:rPr>
        <w:t>ratifico su respuesta.</w:t>
      </w:r>
    </w:p>
    <w:p w14:paraId="3355CBBF" w14:textId="77777777" w:rsidR="00DF22DA" w:rsidRPr="00CE1A90" w:rsidRDefault="00DF22DA" w:rsidP="00036CD0">
      <w:pPr>
        <w:spacing w:line="360" w:lineRule="auto"/>
        <w:contextualSpacing/>
        <w:jc w:val="both"/>
        <w:rPr>
          <w:rFonts w:ascii="Palatino Linotype" w:eastAsia="Batang" w:hAnsi="Palatino Linotype" w:cs="Tahoma"/>
          <w:bCs/>
          <w:sz w:val="22"/>
          <w:szCs w:val="22"/>
          <w:lang w:val="es-ES_tradnl"/>
        </w:rPr>
      </w:pPr>
    </w:p>
    <w:p w14:paraId="7D76238B" w14:textId="78C9E5FB" w:rsidR="00DF22DA" w:rsidRPr="00CE1A90" w:rsidRDefault="00725E05" w:rsidP="00036CD0">
      <w:pPr>
        <w:spacing w:line="360" w:lineRule="auto"/>
        <w:contextualSpacing/>
        <w:jc w:val="both"/>
        <w:rPr>
          <w:rFonts w:ascii="Palatino Linotype" w:hAnsi="Palatino Linotype" w:cs="Tahoma"/>
          <w:sz w:val="22"/>
          <w:szCs w:val="22"/>
        </w:rPr>
      </w:pPr>
      <w:bookmarkStart w:id="15" w:name="_Toc190261914"/>
      <w:bookmarkStart w:id="16" w:name="_Toc196917718"/>
      <w:bookmarkStart w:id="17" w:name="_Toc222411558"/>
      <w:r>
        <w:rPr>
          <w:rStyle w:val="Ttulo3Car"/>
          <w:rFonts w:ascii="Palatino Linotype" w:hAnsi="Palatino Linotype"/>
          <w:b/>
          <w:color w:val="auto"/>
          <w:sz w:val="22"/>
        </w:rPr>
        <w:t xml:space="preserve">d) </w:t>
      </w:r>
      <w:r w:rsidR="00DF22DA" w:rsidRPr="00CE1A90">
        <w:rPr>
          <w:rStyle w:val="Ttulo3Car"/>
          <w:rFonts w:ascii="Palatino Linotype" w:hAnsi="Palatino Linotype"/>
          <w:b/>
          <w:color w:val="auto"/>
          <w:sz w:val="22"/>
        </w:rPr>
        <w:t>Vista del Informe Justificado.</w:t>
      </w:r>
      <w:bookmarkEnd w:id="15"/>
      <w:bookmarkEnd w:id="16"/>
      <w:bookmarkEnd w:id="17"/>
      <w:r w:rsidR="00DF22DA" w:rsidRPr="00CE1A90">
        <w:rPr>
          <w:rFonts w:ascii="Palatino Linotype" w:hAnsi="Palatino Linotype" w:cs="Tahoma"/>
          <w:sz w:val="18"/>
          <w:szCs w:val="22"/>
        </w:rPr>
        <w:t xml:space="preserve"> </w:t>
      </w:r>
      <w:r w:rsidR="00DF22DA" w:rsidRPr="00CE1A90">
        <w:rPr>
          <w:rFonts w:ascii="Palatino Linotype" w:hAnsi="Palatino Linotype" w:cs="Tahoma"/>
          <w:sz w:val="22"/>
          <w:szCs w:val="22"/>
        </w:rPr>
        <w:t xml:space="preserve">El </w:t>
      </w:r>
      <w:r w:rsidR="00F530B1" w:rsidRPr="00CE1A90">
        <w:rPr>
          <w:rFonts w:ascii="Palatino Linotype" w:hAnsi="Palatino Linotype" w:cs="Tahoma"/>
          <w:sz w:val="22"/>
          <w:szCs w:val="22"/>
        </w:rPr>
        <w:t>once de febrero</w:t>
      </w:r>
      <w:r w:rsidR="00DF22DA" w:rsidRPr="00CE1A90">
        <w:rPr>
          <w:rFonts w:ascii="Palatino Linotype" w:hAnsi="Palatino Linotype" w:cs="Tahoma"/>
          <w:sz w:val="22"/>
          <w:szCs w:val="22"/>
        </w:rPr>
        <w:t xml:space="preserve"> de dos mil </w:t>
      </w:r>
      <w:r w:rsidR="00F530B1" w:rsidRPr="00CE1A90">
        <w:rPr>
          <w:rFonts w:ascii="Palatino Linotype" w:hAnsi="Palatino Linotype" w:cs="Tahoma"/>
          <w:sz w:val="22"/>
          <w:szCs w:val="22"/>
        </w:rPr>
        <w:t>veintiséis</w:t>
      </w:r>
      <w:r w:rsidR="00DF22DA" w:rsidRPr="00CE1A90">
        <w:rPr>
          <w:rFonts w:ascii="Palatino Linotype" w:hAnsi="Palatino Linotype" w:cs="Tahoma"/>
          <w:sz w:val="22"/>
          <w:szCs w:val="22"/>
        </w:rPr>
        <w:t>,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383E7E70" w14:textId="77777777" w:rsidR="00EA2594" w:rsidRPr="00CE1A90" w:rsidRDefault="00EA2594" w:rsidP="00036CD0">
      <w:pPr>
        <w:spacing w:line="360" w:lineRule="auto"/>
        <w:contextualSpacing/>
        <w:jc w:val="both"/>
        <w:rPr>
          <w:rFonts w:ascii="Palatino Linotype" w:hAnsi="Palatino Linotype" w:cs="Tahoma"/>
          <w:b/>
          <w:sz w:val="22"/>
          <w:szCs w:val="24"/>
        </w:rPr>
      </w:pPr>
    </w:p>
    <w:p w14:paraId="50855ABD" w14:textId="77777777" w:rsidR="00FE0087" w:rsidRPr="00CE1A90" w:rsidRDefault="00DF22DA" w:rsidP="00036CD0">
      <w:pPr>
        <w:tabs>
          <w:tab w:val="left" w:pos="3261"/>
        </w:tabs>
        <w:spacing w:line="360" w:lineRule="auto"/>
        <w:contextualSpacing/>
        <w:jc w:val="both"/>
        <w:rPr>
          <w:rFonts w:ascii="Palatino Linotype" w:hAnsi="Palatino Linotype" w:cs="Tahoma"/>
          <w:sz w:val="22"/>
          <w:szCs w:val="22"/>
        </w:rPr>
      </w:pPr>
      <w:r w:rsidRPr="00CE1A90">
        <w:rPr>
          <w:rFonts w:ascii="Palatino Linotype" w:eastAsia="Batang" w:hAnsi="Palatino Linotype" w:cs="Tahoma"/>
          <w:b/>
          <w:sz w:val="22"/>
          <w:szCs w:val="22"/>
          <w:lang w:val="es-ES_tradnl"/>
        </w:rPr>
        <w:t>e</w:t>
      </w:r>
      <w:r w:rsidR="00FE0087" w:rsidRPr="00CE1A90">
        <w:rPr>
          <w:rFonts w:ascii="Palatino Linotype" w:eastAsia="Batang" w:hAnsi="Palatino Linotype" w:cs="Tahoma"/>
          <w:b/>
          <w:sz w:val="22"/>
          <w:szCs w:val="22"/>
          <w:lang w:val="es-ES_tradnl"/>
        </w:rPr>
        <w:t xml:space="preserve">) </w:t>
      </w:r>
      <w:r w:rsidR="00FE0087" w:rsidRPr="00CE1A90">
        <w:rPr>
          <w:rFonts w:ascii="Palatino Linotype" w:hAnsi="Palatino Linotype" w:cs="Tahoma"/>
          <w:b/>
          <w:bCs/>
          <w:sz w:val="22"/>
          <w:szCs w:val="22"/>
        </w:rPr>
        <w:t xml:space="preserve">Ampliación de plazo. </w:t>
      </w:r>
      <w:r w:rsidR="00FE0087" w:rsidRPr="00CE1A90">
        <w:rPr>
          <w:rFonts w:ascii="Palatino Linotype" w:hAnsi="Palatino Linotype" w:cs="Tahoma"/>
          <w:sz w:val="22"/>
          <w:szCs w:val="22"/>
        </w:rPr>
        <w:t xml:space="preserve">El </w:t>
      </w:r>
      <w:r w:rsidR="00F530B1" w:rsidRPr="00CE1A90">
        <w:rPr>
          <w:rFonts w:ascii="Palatino Linotype" w:hAnsi="Palatino Linotype" w:cs="Tahoma"/>
          <w:sz w:val="22"/>
          <w:szCs w:val="22"/>
        </w:rPr>
        <w:t>once de febrero de dos mil veintiséis</w:t>
      </w:r>
      <w:r w:rsidR="00FE0087" w:rsidRPr="00CE1A90">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w:t>
      </w:r>
      <w:r w:rsidR="00DD71BF" w:rsidRPr="00CE1A90">
        <w:rPr>
          <w:rFonts w:ascii="Palatino Linotype" w:hAnsi="Palatino Linotype" w:cs="Tahoma"/>
          <w:sz w:val="22"/>
          <w:szCs w:val="22"/>
        </w:rPr>
        <w:t xml:space="preserve">el término </w:t>
      </w:r>
      <w:r w:rsidR="00FE0087" w:rsidRPr="00CE1A90">
        <w:rPr>
          <w:rFonts w:ascii="Palatino Linotype" w:hAnsi="Palatino Linotype" w:cs="Tahoma"/>
          <w:sz w:val="22"/>
          <w:szCs w:val="22"/>
        </w:rPr>
        <w:t>para resolver el Recurso de Revisión que nos ocupa; proveído que fue notificado a las partes mediante el SAIMEX.</w:t>
      </w:r>
    </w:p>
    <w:p w14:paraId="26F6EC83" w14:textId="77777777" w:rsidR="00FE0087" w:rsidRPr="00CE1A90" w:rsidRDefault="00FE0087" w:rsidP="00036CD0">
      <w:pPr>
        <w:spacing w:line="360" w:lineRule="auto"/>
        <w:contextualSpacing/>
        <w:jc w:val="both"/>
        <w:rPr>
          <w:rFonts w:ascii="Palatino Linotype" w:hAnsi="Palatino Linotype" w:cs="Tahoma"/>
          <w:b/>
          <w:sz w:val="22"/>
          <w:szCs w:val="24"/>
        </w:rPr>
      </w:pPr>
    </w:p>
    <w:p w14:paraId="3BDF05D1" w14:textId="2FEF63FE" w:rsidR="00ED5DF5" w:rsidRPr="00CE1A90" w:rsidRDefault="00DF22DA" w:rsidP="00036CD0">
      <w:pPr>
        <w:spacing w:line="360" w:lineRule="auto"/>
        <w:contextualSpacing/>
        <w:jc w:val="both"/>
        <w:rPr>
          <w:rFonts w:ascii="Palatino Linotype" w:hAnsi="Palatino Linotype" w:cs="Tahoma"/>
          <w:sz w:val="22"/>
          <w:szCs w:val="22"/>
        </w:rPr>
      </w:pPr>
      <w:bookmarkStart w:id="18" w:name="_Toc222411559"/>
      <w:r w:rsidRPr="00CE1A90">
        <w:rPr>
          <w:rStyle w:val="Ttulo3Car"/>
          <w:rFonts w:ascii="Palatino Linotype" w:hAnsi="Palatino Linotype"/>
          <w:b/>
          <w:color w:val="auto"/>
          <w:sz w:val="22"/>
          <w:szCs w:val="22"/>
        </w:rPr>
        <w:t>f</w:t>
      </w:r>
      <w:r w:rsidR="003B0501" w:rsidRPr="00CE1A90">
        <w:rPr>
          <w:rStyle w:val="Ttulo3Car"/>
          <w:rFonts w:ascii="Palatino Linotype" w:hAnsi="Palatino Linotype"/>
          <w:b/>
          <w:color w:val="auto"/>
          <w:sz w:val="22"/>
          <w:szCs w:val="22"/>
        </w:rPr>
        <w:t>)</w:t>
      </w:r>
      <w:r w:rsidR="00C3485C" w:rsidRPr="00CE1A90">
        <w:rPr>
          <w:rStyle w:val="Ttulo3Car"/>
          <w:rFonts w:ascii="Palatino Linotype" w:hAnsi="Palatino Linotype"/>
          <w:b/>
          <w:color w:val="auto"/>
          <w:sz w:val="22"/>
          <w:szCs w:val="22"/>
        </w:rPr>
        <w:t xml:space="preserve"> </w:t>
      </w:r>
      <w:r w:rsidR="00ED5DF5" w:rsidRPr="00CE1A90">
        <w:rPr>
          <w:rStyle w:val="Ttulo3Car"/>
          <w:rFonts w:ascii="Palatino Linotype" w:hAnsi="Palatino Linotype"/>
          <w:b/>
          <w:color w:val="auto"/>
          <w:sz w:val="22"/>
          <w:szCs w:val="22"/>
        </w:rPr>
        <w:t>Cierre de instrucción</w:t>
      </w:r>
      <w:bookmarkEnd w:id="18"/>
      <w:r w:rsidR="00ED5DF5" w:rsidRPr="00CE1A90">
        <w:rPr>
          <w:rFonts w:ascii="Palatino Linotype" w:hAnsi="Palatino Linotype" w:cs="Tahoma"/>
          <w:b/>
          <w:bCs/>
          <w:sz w:val="22"/>
          <w:szCs w:val="22"/>
        </w:rPr>
        <w:t xml:space="preserve">. </w:t>
      </w:r>
      <w:r w:rsidR="00ED5DF5" w:rsidRPr="00CE1A90">
        <w:rPr>
          <w:rFonts w:ascii="Palatino Linotype" w:hAnsi="Palatino Linotype" w:cs="Tahoma"/>
          <w:sz w:val="22"/>
          <w:szCs w:val="22"/>
        </w:rPr>
        <w:t>El</w:t>
      </w:r>
      <w:r w:rsidR="000F437A" w:rsidRPr="00CE1A90">
        <w:rPr>
          <w:rFonts w:ascii="Palatino Linotype" w:hAnsi="Palatino Linotype" w:cs="Tahoma"/>
          <w:sz w:val="22"/>
          <w:szCs w:val="22"/>
        </w:rPr>
        <w:t xml:space="preserve"> </w:t>
      </w:r>
      <w:r w:rsidR="00F530B1" w:rsidRPr="00CE1A90">
        <w:rPr>
          <w:rFonts w:ascii="Palatino Linotype" w:hAnsi="Palatino Linotype" w:cs="Tahoma"/>
          <w:sz w:val="22"/>
          <w:szCs w:val="22"/>
        </w:rPr>
        <w:t>diecisiete de febrero de dos mil veintiséis</w:t>
      </w:r>
      <w:r w:rsidR="00ED5DF5" w:rsidRPr="00CE1A90">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00ED5DF5" w:rsidRPr="00CE1A90">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w:t>
      </w:r>
      <w:r w:rsidR="000F437A" w:rsidRPr="00CE1A90">
        <w:rPr>
          <w:rFonts w:ascii="Palatino Linotype" w:hAnsi="Palatino Linotype" w:cs="Tahoma"/>
          <w:sz w:val="22"/>
          <w:szCs w:val="22"/>
        </w:rPr>
        <w:t>el mismo día</w:t>
      </w:r>
      <w:r w:rsidR="00ED5DF5" w:rsidRPr="00CE1A90">
        <w:rPr>
          <w:rFonts w:ascii="Palatino Linotype" w:hAnsi="Palatino Linotype" w:cs="Tahoma"/>
          <w:sz w:val="22"/>
          <w:szCs w:val="22"/>
        </w:rPr>
        <w:t xml:space="preserve">, a través del </w:t>
      </w:r>
      <w:r w:rsidR="00BB1F81" w:rsidRPr="00CE1A90">
        <w:rPr>
          <w:rFonts w:ascii="Palatino Linotype" w:hAnsi="Palatino Linotype" w:cs="Tahoma"/>
          <w:sz w:val="22"/>
          <w:szCs w:val="22"/>
          <w:lang w:val="es-ES"/>
        </w:rPr>
        <w:t>SAIMEX</w:t>
      </w:r>
      <w:r w:rsidR="00ED5DF5" w:rsidRPr="00CE1A90">
        <w:rPr>
          <w:rFonts w:ascii="Palatino Linotype" w:hAnsi="Palatino Linotype" w:cs="Tahoma"/>
          <w:sz w:val="22"/>
          <w:szCs w:val="22"/>
        </w:rPr>
        <w:t>.</w:t>
      </w:r>
    </w:p>
    <w:p w14:paraId="75EEF199" w14:textId="77777777" w:rsidR="0079675C" w:rsidRPr="00CE1A90" w:rsidRDefault="0079675C" w:rsidP="00036CD0">
      <w:pPr>
        <w:spacing w:line="360" w:lineRule="auto"/>
        <w:contextualSpacing/>
        <w:jc w:val="both"/>
        <w:rPr>
          <w:rFonts w:ascii="Palatino Linotype" w:hAnsi="Palatino Linotype" w:cs="Tahoma"/>
          <w:sz w:val="22"/>
          <w:szCs w:val="22"/>
        </w:rPr>
      </w:pPr>
    </w:p>
    <w:p w14:paraId="6AB77024" w14:textId="77777777" w:rsidR="004F2D88" w:rsidRPr="00CE1A90" w:rsidRDefault="004F2D88" w:rsidP="00036CD0">
      <w:pPr>
        <w:spacing w:line="360" w:lineRule="auto"/>
        <w:contextualSpacing/>
        <w:jc w:val="both"/>
        <w:rPr>
          <w:rFonts w:ascii="Palatino Linotype" w:hAnsi="Palatino Linotype" w:cs="Tahoma"/>
          <w:color w:val="000000"/>
          <w:sz w:val="22"/>
          <w:szCs w:val="22"/>
        </w:rPr>
      </w:pPr>
      <w:r w:rsidRPr="00CE1A90">
        <w:rPr>
          <w:rFonts w:ascii="Palatino Linotype" w:hAnsi="Palatino Linotype" w:cs="Tahoma"/>
          <w:color w:val="000000"/>
          <w:sz w:val="22"/>
          <w:szCs w:val="22"/>
        </w:rPr>
        <w:t xml:space="preserve">En </w:t>
      </w:r>
      <w:r w:rsidR="00367F82" w:rsidRPr="00CE1A90">
        <w:rPr>
          <w:rFonts w:ascii="Palatino Linotype" w:hAnsi="Palatino Linotype" w:cs="Tahoma"/>
          <w:color w:val="000000"/>
          <w:sz w:val="22"/>
          <w:szCs w:val="22"/>
        </w:rPr>
        <w:t>razón de que fue debidamente su</w:t>
      </w:r>
      <w:r w:rsidRPr="00CE1A90">
        <w:rPr>
          <w:rFonts w:ascii="Palatino Linotype" w:hAnsi="Palatino Linotype" w:cs="Tahoma"/>
          <w:color w:val="000000"/>
          <w:sz w:val="22"/>
          <w:szCs w:val="22"/>
        </w:rPr>
        <w:t xml:space="preserve">stanciado el expediente </w:t>
      </w:r>
      <w:r w:rsidR="00367F82" w:rsidRPr="00CE1A90">
        <w:rPr>
          <w:rFonts w:ascii="Palatino Linotype" w:hAnsi="Palatino Linotype" w:cs="Tahoma"/>
          <w:color w:val="000000"/>
          <w:sz w:val="22"/>
          <w:szCs w:val="22"/>
        </w:rPr>
        <w:t xml:space="preserve">electrónico </w:t>
      </w:r>
      <w:r w:rsidRPr="00CE1A90">
        <w:rPr>
          <w:rFonts w:ascii="Palatino Linotype" w:hAnsi="Palatino Linotype" w:cs="Tahoma"/>
          <w:color w:val="000000"/>
          <w:sz w:val="22"/>
          <w:szCs w:val="22"/>
        </w:rPr>
        <w:t>y no exist</w:t>
      </w:r>
      <w:r w:rsidR="00367F82" w:rsidRPr="00CE1A90">
        <w:rPr>
          <w:rFonts w:ascii="Palatino Linotype" w:hAnsi="Palatino Linotype" w:cs="Tahoma"/>
          <w:color w:val="000000"/>
          <w:sz w:val="22"/>
          <w:szCs w:val="22"/>
        </w:rPr>
        <w:t>e</w:t>
      </w:r>
      <w:r w:rsidRPr="00CE1A90">
        <w:rPr>
          <w:rFonts w:ascii="Palatino Linotype" w:hAnsi="Palatino Linotype" w:cs="Tahoma"/>
          <w:color w:val="000000"/>
          <w:sz w:val="22"/>
          <w:szCs w:val="22"/>
        </w:rPr>
        <w:t xml:space="preserve"> dilige</w:t>
      </w:r>
      <w:r w:rsidR="00367F82" w:rsidRPr="00CE1A90">
        <w:rPr>
          <w:rFonts w:ascii="Palatino Linotype" w:hAnsi="Palatino Linotype" w:cs="Tahoma"/>
          <w:color w:val="000000"/>
          <w:sz w:val="22"/>
          <w:szCs w:val="22"/>
        </w:rPr>
        <w:t xml:space="preserve">ncia pendiente de desahogo, se </w:t>
      </w:r>
      <w:r w:rsidRPr="00CE1A90">
        <w:rPr>
          <w:rFonts w:ascii="Palatino Linotype" w:hAnsi="Palatino Linotype" w:cs="Tahoma"/>
          <w:color w:val="000000"/>
          <w:sz w:val="22"/>
          <w:szCs w:val="22"/>
        </w:rPr>
        <w:t>emit</w:t>
      </w:r>
      <w:r w:rsidR="00367F82" w:rsidRPr="00CE1A90">
        <w:rPr>
          <w:rFonts w:ascii="Palatino Linotype" w:hAnsi="Palatino Linotype" w:cs="Tahoma"/>
          <w:color w:val="000000"/>
          <w:sz w:val="22"/>
          <w:szCs w:val="22"/>
        </w:rPr>
        <w:t>e</w:t>
      </w:r>
      <w:r w:rsidRPr="00CE1A90">
        <w:rPr>
          <w:rFonts w:ascii="Palatino Linotype" w:hAnsi="Palatino Linotype" w:cs="Tahoma"/>
          <w:color w:val="000000"/>
          <w:sz w:val="22"/>
          <w:szCs w:val="22"/>
        </w:rPr>
        <w:t xml:space="preserve"> la resolución que conforme a Derecho proceda, de acuerdo a l</w:t>
      </w:r>
      <w:r w:rsidR="009A620E" w:rsidRPr="00CE1A90">
        <w:rPr>
          <w:rFonts w:ascii="Palatino Linotype" w:hAnsi="Palatino Linotype" w:cs="Tahoma"/>
          <w:color w:val="000000"/>
          <w:sz w:val="22"/>
          <w:szCs w:val="22"/>
        </w:rPr>
        <w:t>o</w:t>
      </w:r>
      <w:r w:rsidRPr="00CE1A90">
        <w:rPr>
          <w:rFonts w:ascii="Palatino Linotype" w:hAnsi="Palatino Linotype" w:cs="Tahoma"/>
          <w:color w:val="000000"/>
          <w:sz w:val="22"/>
          <w:szCs w:val="22"/>
        </w:rPr>
        <w:t xml:space="preserve">s siguientes: </w:t>
      </w:r>
    </w:p>
    <w:p w14:paraId="73757D15" w14:textId="77777777" w:rsidR="00EA4E4A" w:rsidRPr="00CE1A90" w:rsidRDefault="00EA4E4A" w:rsidP="00036CD0">
      <w:pPr>
        <w:pStyle w:val="Ttulo1"/>
        <w:contextualSpacing/>
        <w:jc w:val="center"/>
        <w:rPr>
          <w:rFonts w:ascii="Palatino Linotype" w:hAnsi="Palatino Linotype"/>
          <w:b/>
          <w:color w:val="auto"/>
          <w:sz w:val="22"/>
          <w:szCs w:val="22"/>
        </w:rPr>
      </w:pPr>
      <w:bookmarkStart w:id="19" w:name="_Toc222411560"/>
      <w:r w:rsidRPr="00CE1A90">
        <w:rPr>
          <w:rFonts w:ascii="Palatino Linotype" w:hAnsi="Palatino Linotype"/>
          <w:b/>
          <w:color w:val="auto"/>
          <w:sz w:val="22"/>
          <w:szCs w:val="22"/>
        </w:rPr>
        <w:t>C O N S I D E R A N D O S</w:t>
      </w:r>
      <w:bookmarkEnd w:id="19"/>
    </w:p>
    <w:p w14:paraId="7D4C969F" w14:textId="77777777" w:rsidR="00EA4E4A" w:rsidRPr="00CE1A90" w:rsidRDefault="00EA4E4A" w:rsidP="00036CD0">
      <w:pPr>
        <w:spacing w:line="360" w:lineRule="auto"/>
        <w:contextualSpacing/>
        <w:jc w:val="both"/>
        <w:rPr>
          <w:rFonts w:ascii="Palatino Linotype" w:hAnsi="Palatino Linotype" w:cs="Tahoma"/>
          <w:b/>
          <w:sz w:val="22"/>
          <w:szCs w:val="22"/>
        </w:rPr>
      </w:pPr>
    </w:p>
    <w:p w14:paraId="7E3B45AC" w14:textId="77777777" w:rsidR="00EA4E4A" w:rsidRPr="00CE1A90" w:rsidRDefault="00EA4E4A" w:rsidP="00036CD0">
      <w:pPr>
        <w:pStyle w:val="Ttulo2"/>
        <w:contextualSpacing/>
        <w:rPr>
          <w:rFonts w:ascii="Palatino Linotype" w:hAnsi="Palatino Linotype"/>
          <w:b/>
          <w:sz w:val="22"/>
          <w:szCs w:val="22"/>
        </w:rPr>
      </w:pPr>
      <w:bookmarkStart w:id="20" w:name="_Toc222411561"/>
      <w:r w:rsidRPr="00CE1A90">
        <w:rPr>
          <w:rFonts w:ascii="Palatino Linotype" w:eastAsia="Calibri" w:hAnsi="Palatino Linotype"/>
          <w:b/>
          <w:color w:val="auto"/>
          <w:sz w:val="22"/>
          <w:szCs w:val="22"/>
          <w:lang w:eastAsia="es-MX"/>
        </w:rPr>
        <w:t xml:space="preserve">PRIMERO. </w:t>
      </w:r>
      <w:r w:rsidRPr="00CE1A90">
        <w:rPr>
          <w:rFonts w:ascii="Palatino Linotype" w:hAnsi="Palatino Linotype"/>
          <w:b/>
          <w:color w:val="auto"/>
          <w:sz w:val="22"/>
          <w:szCs w:val="22"/>
        </w:rPr>
        <w:t>Competencia</w:t>
      </w:r>
      <w:bookmarkEnd w:id="20"/>
    </w:p>
    <w:p w14:paraId="42ECD7B0" w14:textId="77777777" w:rsidR="00EA4E4A" w:rsidRPr="00CE1A90" w:rsidRDefault="00EA4E4A" w:rsidP="00036CD0">
      <w:pPr>
        <w:autoSpaceDE w:val="0"/>
        <w:autoSpaceDN w:val="0"/>
        <w:adjustRightInd w:val="0"/>
        <w:spacing w:line="360" w:lineRule="auto"/>
        <w:contextualSpacing/>
        <w:jc w:val="both"/>
        <w:rPr>
          <w:rFonts w:ascii="Palatino Linotype" w:hAnsi="Palatino Linotype" w:cs="Tahoma"/>
          <w:b/>
          <w:sz w:val="22"/>
          <w:szCs w:val="22"/>
        </w:rPr>
      </w:pPr>
    </w:p>
    <w:p w14:paraId="131B4CB0" w14:textId="77777777" w:rsidR="00461B18" w:rsidRPr="00CE1A90" w:rsidRDefault="00461B18" w:rsidP="00036CD0">
      <w:pPr>
        <w:spacing w:line="360" w:lineRule="auto"/>
        <w:contextualSpacing/>
        <w:jc w:val="both"/>
        <w:rPr>
          <w:rFonts w:ascii="Palatino Linotype" w:eastAsia="Calibri" w:hAnsi="Palatino Linotype" w:cs="Tahoma"/>
          <w:bCs/>
          <w:color w:val="000000"/>
          <w:sz w:val="22"/>
          <w:szCs w:val="22"/>
          <w:lang w:eastAsia="es-MX"/>
        </w:rPr>
      </w:pPr>
      <w:r w:rsidRPr="00CE1A90">
        <w:rPr>
          <w:rFonts w:ascii="Palatino Linotype" w:eastAsia="Calibri" w:hAnsi="Palatino Linotype" w:cs="Tahoma"/>
          <w:bCs/>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959B5EF" w14:textId="77777777" w:rsidR="00F66601" w:rsidRPr="00CE1A90" w:rsidRDefault="00F66601" w:rsidP="00036CD0">
      <w:pPr>
        <w:spacing w:line="360" w:lineRule="auto"/>
        <w:contextualSpacing/>
        <w:jc w:val="both"/>
        <w:rPr>
          <w:rFonts w:ascii="Palatino Linotype" w:hAnsi="Palatino Linotype" w:cs="Tahoma"/>
          <w:sz w:val="22"/>
          <w:szCs w:val="22"/>
          <w:shd w:val="clear" w:color="auto" w:fill="FFFFFF"/>
        </w:rPr>
      </w:pPr>
    </w:p>
    <w:p w14:paraId="21A55BEE" w14:textId="77777777" w:rsidR="00CE0B4C" w:rsidRPr="00CE1A90" w:rsidRDefault="00CE0B4C" w:rsidP="00036CD0">
      <w:pPr>
        <w:pStyle w:val="Ttulo2"/>
        <w:contextualSpacing/>
        <w:rPr>
          <w:rFonts w:ascii="Palatino Linotype" w:eastAsia="Calibri" w:hAnsi="Palatino Linotype"/>
          <w:b/>
          <w:color w:val="auto"/>
          <w:sz w:val="22"/>
          <w:szCs w:val="22"/>
          <w:lang w:eastAsia="es-MX"/>
        </w:rPr>
      </w:pPr>
      <w:bookmarkStart w:id="21" w:name="_Toc222411562"/>
      <w:r w:rsidRPr="00CE1A90">
        <w:rPr>
          <w:rFonts w:ascii="Palatino Linotype" w:eastAsia="Calibri" w:hAnsi="Palatino Linotype"/>
          <w:b/>
          <w:color w:val="auto"/>
          <w:sz w:val="22"/>
          <w:szCs w:val="22"/>
          <w:lang w:eastAsia="es-MX"/>
        </w:rPr>
        <w:t>SEGUNDO. Causales de improcedencia y sobreseimiento</w:t>
      </w:r>
      <w:bookmarkEnd w:id="21"/>
    </w:p>
    <w:p w14:paraId="5FC48596" w14:textId="77777777" w:rsidR="00566562" w:rsidRPr="00CE1A90" w:rsidRDefault="00566562" w:rsidP="00036CD0">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1145BA50" w14:textId="77777777" w:rsidR="00CE0B4C" w:rsidRPr="00CE1A90" w:rsidRDefault="00CE0B4C" w:rsidP="00036CD0">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CE1A9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w:t>
      </w:r>
      <w:r w:rsidRPr="00CE1A90">
        <w:rPr>
          <w:rFonts w:ascii="Palatino Linotype" w:eastAsia="Calibri" w:hAnsi="Palatino Linotype" w:cs="Tahoma"/>
          <w:color w:val="000000"/>
          <w:sz w:val="22"/>
          <w:szCs w:val="22"/>
          <w:lang w:eastAsia="es-MX"/>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B095B57" w14:textId="77777777" w:rsidR="00CE0B4C" w:rsidRPr="00CE1A90" w:rsidRDefault="00CE0B4C" w:rsidP="00036CD0">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7101EEFF" w14:textId="77777777" w:rsidR="00CE0B4C" w:rsidRPr="00CE1A90" w:rsidRDefault="00CE0B4C" w:rsidP="00036CD0">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CE1A9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23A9708" w14:textId="77777777" w:rsidR="00BF4B55" w:rsidRPr="00CE1A90" w:rsidRDefault="00BF4B55" w:rsidP="00036CD0">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4CC10B69" w14:textId="77777777" w:rsidR="00CE0B4C" w:rsidRPr="00CE1A90" w:rsidRDefault="00CE0B4C" w:rsidP="00036CD0">
      <w:pPr>
        <w:pStyle w:val="Ttulo3"/>
        <w:contextualSpacing/>
        <w:rPr>
          <w:rFonts w:ascii="Palatino Linotype" w:eastAsia="Calibri" w:hAnsi="Palatino Linotype" w:cs="Arial"/>
          <w:b/>
          <w:color w:val="auto"/>
          <w:sz w:val="22"/>
          <w:szCs w:val="22"/>
          <w:lang w:eastAsia="es-ES_tradnl"/>
        </w:rPr>
      </w:pPr>
      <w:bookmarkStart w:id="22" w:name="_Toc222411563"/>
      <w:r w:rsidRPr="00CE1A90">
        <w:rPr>
          <w:rFonts w:ascii="Palatino Linotype" w:eastAsia="Calibri" w:hAnsi="Palatino Linotype" w:cs="Arial"/>
          <w:b/>
          <w:color w:val="auto"/>
          <w:sz w:val="22"/>
          <w:szCs w:val="22"/>
          <w:lang w:eastAsia="es-ES_tradnl"/>
        </w:rPr>
        <w:t>Causales de sobreseimiento</w:t>
      </w:r>
      <w:bookmarkEnd w:id="22"/>
    </w:p>
    <w:p w14:paraId="24DF9E94" w14:textId="77777777" w:rsidR="00CE0B4C" w:rsidRPr="00CE1A90" w:rsidRDefault="00CE0B4C" w:rsidP="00036CD0">
      <w:pPr>
        <w:spacing w:line="360" w:lineRule="auto"/>
        <w:contextualSpacing/>
        <w:jc w:val="both"/>
        <w:rPr>
          <w:rFonts w:ascii="Palatino Linotype" w:eastAsia="Calibri" w:hAnsi="Palatino Linotype" w:cs="Tahoma"/>
          <w:sz w:val="22"/>
          <w:szCs w:val="22"/>
          <w:lang w:eastAsia="es-ES_tradnl"/>
        </w:rPr>
      </w:pPr>
    </w:p>
    <w:p w14:paraId="31D348AB" w14:textId="77777777" w:rsidR="00CE0B4C" w:rsidRPr="00CE1A90" w:rsidRDefault="00CE0B4C" w:rsidP="00036CD0">
      <w:pPr>
        <w:spacing w:line="360" w:lineRule="auto"/>
        <w:contextualSpacing/>
        <w:jc w:val="both"/>
        <w:rPr>
          <w:rFonts w:ascii="Palatino Linotype" w:eastAsia="Calibri" w:hAnsi="Palatino Linotype" w:cs="Tahoma"/>
          <w:sz w:val="22"/>
          <w:szCs w:val="22"/>
          <w:lang w:eastAsia="es-ES_tradnl"/>
        </w:rPr>
      </w:pPr>
      <w:r w:rsidRPr="00CE1A90">
        <w:rPr>
          <w:rFonts w:ascii="Palatino Linotype" w:eastAsia="Calibri" w:hAnsi="Palatino Linotype" w:cs="Tahoma"/>
          <w:sz w:val="22"/>
          <w:szCs w:val="22"/>
          <w:lang w:eastAsia="es-ES_tradnl"/>
        </w:rPr>
        <w:t>Por lo que hace a las causales de sobreseimiento, del análisis realizado por este Instituto, se advierte que</w:t>
      </w:r>
      <w:r w:rsidRPr="00CE1A90">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CE1A90">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CE1A90">
        <w:rPr>
          <w:rFonts w:ascii="Palatino Linotype" w:eastAsia="Calibri" w:hAnsi="Palatino Linotype" w:cs="Tahoma"/>
          <w:bCs/>
          <w:sz w:val="22"/>
          <w:szCs w:val="22"/>
          <w:lang w:eastAsia="es-ES_tradnl"/>
        </w:rPr>
        <w:t xml:space="preserve">Por tales motivos, </w:t>
      </w:r>
      <w:r w:rsidRPr="00CE1A90">
        <w:rPr>
          <w:rFonts w:ascii="Palatino Linotype" w:eastAsia="Calibri" w:hAnsi="Palatino Linotype" w:cs="Tahoma"/>
          <w:sz w:val="22"/>
          <w:szCs w:val="22"/>
          <w:lang w:eastAsia="es-ES_tradnl"/>
        </w:rPr>
        <w:t xml:space="preserve">se considera procedente entrar al fondo del presente asunto. </w:t>
      </w:r>
    </w:p>
    <w:p w14:paraId="119784BE" w14:textId="77777777" w:rsidR="00472490" w:rsidRPr="00CE1A90" w:rsidRDefault="00472490" w:rsidP="00036CD0">
      <w:pPr>
        <w:spacing w:line="360" w:lineRule="auto"/>
        <w:contextualSpacing/>
        <w:jc w:val="both"/>
        <w:rPr>
          <w:rFonts w:ascii="Palatino Linotype" w:eastAsia="Calibri" w:hAnsi="Palatino Linotype" w:cs="Tahoma"/>
          <w:sz w:val="22"/>
          <w:szCs w:val="22"/>
          <w:lang w:eastAsia="es-ES_tradnl"/>
        </w:rPr>
      </w:pPr>
    </w:p>
    <w:p w14:paraId="7CCC1E79" w14:textId="77777777" w:rsidR="00CE0B4C" w:rsidRPr="00CE1A90" w:rsidRDefault="00CE0B4C" w:rsidP="00036CD0">
      <w:pPr>
        <w:pStyle w:val="Ttulo2"/>
        <w:contextualSpacing/>
        <w:rPr>
          <w:rFonts w:ascii="Palatino Linotype" w:eastAsia="Calibri" w:hAnsi="Palatino Linotype"/>
          <w:b/>
          <w:color w:val="auto"/>
          <w:sz w:val="22"/>
          <w:lang w:val="es-ES" w:eastAsia="es-ES_tradnl"/>
        </w:rPr>
      </w:pPr>
      <w:bookmarkStart w:id="23" w:name="_Toc222411564"/>
      <w:r w:rsidRPr="00CE1A90">
        <w:rPr>
          <w:rFonts w:ascii="Palatino Linotype" w:eastAsia="Calibri" w:hAnsi="Palatino Linotype"/>
          <w:b/>
          <w:color w:val="auto"/>
          <w:sz w:val="22"/>
          <w:lang w:eastAsia="es-ES_tradnl"/>
        </w:rPr>
        <w:lastRenderedPageBreak/>
        <w:t>TERCERO. Determinación de la Controversia</w:t>
      </w:r>
      <w:bookmarkEnd w:id="23"/>
    </w:p>
    <w:p w14:paraId="3DBA03AA" w14:textId="77777777" w:rsidR="00CE0B4C" w:rsidRPr="00CE1A90" w:rsidRDefault="00CE0B4C" w:rsidP="00036CD0">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242B6667" w14:textId="5BF35015" w:rsidR="00C97713" w:rsidRPr="00CE1A90" w:rsidRDefault="00CE0B4C" w:rsidP="00036CD0">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CE1A90">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CE1A90">
        <w:rPr>
          <w:rFonts w:ascii="Palatino Linotype" w:eastAsia="Calibri" w:hAnsi="Palatino Linotype" w:cs="Tahoma"/>
          <w:iCs/>
          <w:sz w:val="22"/>
          <w:szCs w:val="22"/>
          <w:lang w:val="es-ES" w:eastAsia="es-ES_tradnl"/>
        </w:rPr>
        <w:t xml:space="preserve">Particular </w:t>
      </w:r>
      <w:r w:rsidRPr="00CE1A90">
        <w:rPr>
          <w:rFonts w:ascii="Palatino Linotype" w:eastAsia="Calibri" w:hAnsi="Palatino Linotype" w:cs="Tahoma"/>
          <w:iCs/>
          <w:sz w:val="22"/>
          <w:szCs w:val="22"/>
          <w:lang w:val="es-ES" w:eastAsia="es-ES_tradnl"/>
        </w:rPr>
        <w:t>solicitó a</w:t>
      </w:r>
      <w:r w:rsidR="00E75B4C" w:rsidRPr="00CE1A90">
        <w:rPr>
          <w:rFonts w:ascii="Palatino Linotype" w:eastAsia="Calibri" w:hAnsi="Palatino Linotype" w:cs="Tahoma"/>
          <w:iCs/>
          <w:sz w:val="22"/>
          <w:szCs w:val="22"/>
          <w:lang w:val="es-ES" w:eastAsia="es-ES_tradnl"/>
        </w:rPr>
        <w:t xml:space="preserve"> </w:t>
      </w:r>
      <w:r w:rsidR="00212285" w:rsidRPr="00CE1A90">
        <w:rPr>
          <w:rFonts w:ascii="Palatino Linotype" w:eastAsia="Calibri" w:hAnsi="Palatino Linotype" w:cs="Tahoma"/>
          <w:iCs/>
          <w:sz w:val="22"/>
          <w:szCs w:val="22"/>
          <w:lang w:val="es-ES" w:eastAsia="es-ES_tradnl"/>
        </w:rPr>
        <w:t>l</w:t>
      </w:r>
      <w:r w:rsidR="00E75B4C" w:rsidRPr="00CE1A90">
        <w:rPr>
          <w:rFonts w:ascii="Palatino Linotype" w:eastAsia="Calibri" w:hAnsi="Palatino Linotype" w:cs="Tahoma"/>
          <w:iCs/>
          <w:sz w:val="22"/>
          <w:szCs w:val="22"/>
          <w:lang w:val="es-ES" w:eastAsia="es-ES_tradnl"/>
        </w:rPr>
        <w:t>a</w:t>
      </w:r>
      <w:r w:rsidR="0003473A" w:rsidRPr="00CE1A90">
        <w:rPr>
          <w:rFonts w:ascii="Palatino Linotype" w:eastAsia="Calibri" w:hAnsi="Palatino Linotype" w:cs="Tahoma"/>
          <w:iCs/>
          <w:sz w:val="22"/>
          <w:szCs w:val="22"/>
          <w:lang w:val="es-ES" w:eastAsia="es-ES_tradnl"/>
        </w:rPr>
        <w:t xml:space="preserve"> </w:t>
      </w:r>
      <w:r w:rsidR="00DE4665" w:rsidRPr="00CE1A90">
        <w:rPr>
          <w:rFonts w:ascii="Palatino Linotype" w:eastAsia="Calibri" w:hAnsi="Palatino Linotype" w:cs="Tahoma"/>
          <w:iCs/>
          <w:sz w:val="22"/>
          <w:szCs w:val="22"/>
          <w:lang w:val="es-ES" w:eastAsia="es-ES_tradnl"/>
        </w:rPr>
        <w:t>Oficialía Mayor</w:t>
      </w:r>
      <w:r w:rsidRPr="00CE1A90">
        <w:rPr>
          <w:rFonts w:ascii="Palatino Linotype" w:eastAsia="Calibri" w:hAnsi="Palatino Linotype" w:cs="Tahoma"/>
          <w:iCs/>
          <w:sz w:val="22"/>
          <w:szCs w:val="22"/>
          <w:lang w:val="es-ES" w:eastAsia="es-ES_tradnl"/>
        </w:rPr>
        <w:t>,</w:t>
      </w:r>
      <w:r w:rsidR="000A682D" w:rsidRPr="00CE1A90">
        <w:rPr>
          <w:rFonts w:ascii="Palatino Linotype" w:eastAsia="Calibri" w:hAnsi="Palatino Linotype" w:cs="Tahoma"/>
          <w:iCs/>
          <w:sz w:val="22"/>
          <w:szCs w:val="22"/>
          <w:lang w:val="es-ES" w:eastAsia="es-ES_tradnl"/>
        </w:rPr>
        <w:t xml:space="preserve"> </w:t>
      </w:r>
      <w:r w:rsidR="00A8152D" w:rsidRPr="00CE1A90">
        <w:rPr>
          <w:rFonts w:ascii="Palatino Linotype" w:eastAsia="Calibri" w:hAnsi="Palatino Linotype" w:cs="Tahoma"/>
          <w:iCs/>
          <w:sz w:val="22"/>
          <w:szCs w:val="22"/>
          <w:lang w:val="es-ES" w:eastAsia="es-ES_tradnl"/>
        </w:rPr>
        <w:t>el contrato para el suministro de agua en pipa a los reclusorios estatales, cárceles o centros de readaptación</w:t>
      </w:r>
      <w:r w:rsidR="00E75B4C" w:rsidRPr="00CE1A90">
        <w:rPr>
          <w:rFonts w:ascii="Palatino Linotype" w:eastAsia="Calibri" w:hAnsi="Palatino Linotype" w:cs="Tahoma"/>
          <w:iCs/>
          <w:sz w:val="22"/>
          <w:szCs w:val="22"/>
          <w:lang w:val="es-ES" w:eastAsia="es-ES_tradnl"/>
        </w:rPr>
        <w:t>.</w:t>
      </w:r>
    </w:p>
    <w:p w14:paraId="3004487F" w14:textId="77777777" w:rsidR="00FD79C9" w:rsidRPr="00CE1A90" w:rsidRDefault="00FD79C9" w:rsidP="00036CD0">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F5E0A20" w14:textId="741B1A54" w:rsidR="00A511BB" w:rsidRPr="00CE1A90" w:rsidRDefault="00993BF4" w:rsidP="00036CD0">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CE1A90">
        <w:rPr>
          <w:rFonts w:ascii="Palatino Linotype" w:eastAsia="Calibri" w:hAnsi="Palatino Linotype" w:cs="Tahoma"/>
          <w:iCs/>
          <w:sz w:val="22"/>
          <w:szCs w:val="22"/>
          <w:lang w:val="es-ES" w:eastAsia="es-ES_tradnl"/>
        </w:rPr>
        <w:t>E</w:t>
      </w:r>
      <w:r w:rsidR="0044640B" w:rsidRPr="00CE1A90">
        <w:rPr>
          <w:rFonts w:ascii="Palatino Linotype" w:eastAsia="Calibri" w:hAnsi="Palatino Linotype" w:cs="Tahoma"/>
          <w:iCs/>
          <w:sz w:val="22"/>
          <w:szCs w:val="22"/>
          <w:lang w:val="es-ES" w:eastAsia="es-ES_tradnl"/>
        </w:rPr>
        <w:t>n respuesta</w:t>
      </w:r>
      <w:r w:rsidR="007F34CB" w:rsidRPr="00CE1A90">
        <w:rPr>
          <w:rFonts w:ascii="Palatino Linotype" w:eastAsia="Calibri" w:hAnsi="Palatino Linotype" w:cs="Tahoma"/>
          <w:iCs/>
          <w:sz w:val="22"/>
          <w:szCs w:val="22"/>
          <w:lang w:val="es-ES" w:eastAsia="es-ES_tradnl"/>
        </w:rPr>
        <w:t>,</w:t>
      </w:r>
      <w:r w:rsidR="0044640B" w:rsidRPr="00CE1A90">
        <w:rPr>
          <w:rFonts w:ascii="Palatino Linotype" w:eastAsia="Calibri" w:hAnsi="Palatino Linotype" w:cs="Tahoma"/>
          <w:iCs/>
          <w:sz w:val="22"/>
          <w:szCs w:val="22"/>
          <w:lang w:val="es-ES" w:eastAsia="es-ES_tradnl"/>
        </w:rPr>
        <w:t xml:space="preserve"> el Sujeto Obligado</w:t>
      </w:r>
      <w:r w:rsidR="00743A0B" w:rsidRPr="00CE1A90">
        <w:rPr>
          <w:rFonts w:ascii="Palatino Linotype" w:eastAsia="Calibri" w:hAnsi="Palatino Linotype" w:cs="Tahoma"/>
          <w:iCs/>
          <w:sz w:val="22"/>
          <w:szCs w:val="22"/>
          <w:lang w:val="es-ES" w:eastAsia="es-ES_tradnl"/>
        </w:rPr>
        <w:t xml:space="preserve"> </w:t>
      </w:r>
      <w:r w:rsidR="00E75B4C" w:rsidRPr="00CE1A90">
        <w:rPr>
          <w:rFonts w:ascii="Palatino Linotype" w:eastAsia="Calibri" w:hAnsi="Palatino Linotype" w:cs="Tahoma"/>
          <w:iCs/>
          <w:sz w:val="22"/>
          <w:szCs w:val="22"/>
          <w:lang w:val="es-ES" w:eastAsia="es-ES_tradnl"/>
        </w:rPr>
        <w:t xml:space="preserve">señaló que </w:t>
      </w:r>
      <w:r w:rsidR="00271709" w:rsidRPr="00CE1A90">
        <w:rPr>
          <w:rFonts w:ascii="Palatino Linotype" w:eastAsia="Calibri" w:hAnsi="Palatino Linotype" w:cs="Tahoma"/>
          <w:iCs/>
          <w:sz w:val="22"/>
          <w:szCs w:val="22"/>
          <w:lang w:val="es-ES" w:eastAsia="es-ES_tradnl"/>
        </w:rPr>
        <w:t xml:space="preserve">la información se localizaba en una liga electrónica, derivado de ello el </w:t>
      </w:r>
      <w:r w:rsidR="00114DD7" w:rsidRPr="00CE1A90">
        <w:rPr>
          <w:rFonts w:ascii="Palatino Linotype" w:eastAsia="Calibri" w:hAnsi="Palatino Linotype" w:cs="Tahoma"/>
          <w:iCs/>
          <w:sz w:val="22"/>
          <w:szCs w:val="22"/>
          <w:lang w:val="es-ES" w:eastAsia="es-ES_tradnl"/>
        </w:rPr>
        <w:t xml:space="preserve">Particular </w:t>
      </w:r>
      <w:r w:rsidR="00556012" w:rsidRPr="00CE1A90">
        <w:rPr>
          <w:rFonts w:ascii="Palatino Linotype" w:eastAsia="Calibri" w:hAnsi="Palatino Linotype" w:cs="Tahoma"/>
          <w:iCs/>
          <w:sz w:val="22"/>
          <w:szCs w:val="22"/>
          <w:lang w:val="es-ES" w:eastAsia="es-ES_tradnl"/>
        </w:rPr>
        <w:t>se inconformó</w:t>
      </w:r>
      <w:r w:rsidR="00271709" w:rsidRPr="00CE1A90">
        <w:rPr>
          <w:rFonts w:ascii="Palatino Linotype" w:eastAsia="Calibri" w:hAnsi="Palatino Linotype" w:cs="Tahoma"/>
          <w:iCs/>
          <w:sz w:val="22"/>
          <w:szCs w:val="22"/>
          <w:lang w:val="es-ES" w:eastAsia="es-ES_tradnl"/>
        </w:rPr>
        <w:t xml:space="preserve"> por no contener lo solicitado</w:t>
      </w:r>
      <w:r w:rsidR="00556012" w:rsidRPr="00CE1A90">
        <w:rPr>
          <w:rFonts w:ascii="Palatino Linotype" w:eastAsia="Calibri" w:hAnsi="Palatino Linotype" w:cs="Tahoma"/>
          <w:iCs/>
          <w:sz w:val="22"/>
          <w:szCs w:val="22"/>
          <w:lang w:val="es-ES" w:eastAsia="es-ES_tradnl"/>
        </w:rPr>
        <w:t xml:space="preserve">, </w:t>
      </w:r>
      <w:r w:rsidR="00120425" w:rsidRPr="00CE1A90">
        <w:rPr>
          <w:rFonts w:ascii="Palatino Linotype" w:eastAsia="Calibri" w:hAnsi="Palatino Linotype" w:cs="Tahoma"/>
          <w:bCs/>
          <w:sz w:val="22"/>
          <w:szCs w:val="22"/>
          <w:lang w:val="es-ES_tradnl" w:eastAsia="en-US"/>
        </w:rPr>
        <w:t xml:space="preserve">así </w:t>
      </w:r>
      <w:r w:rsidR="00A511BB" w:rsidRPr="00CE1A90">
        <w:rPr>
          <w:rFonts w:ascii="Palatino Linotype" w:eastAsia="Calibri" w:hAnsi="Palatino Linotype" w:cs="Tahoma"/>
          <w:color w:val="000000"/>
          <w:sz w:val="22"/>
          <w:szCs w:val="22"/>
        </w:rPr>
        <w:t xml:space="preserve">en el asunto que nos ocupa se actualiza la causal de procedencia señalada en el </w:t>
      </w:r>
      <w:r w:rsidR="00A511BB" w:rsidRPr="00CE1A90">
        <w:rPr>
          <w:rFonts w:ascii="Palatino Linotype" w:eastAsia="Calibri" w:hAnsi="Palatino Linotype" w:cs="Tahoma"/>
          <w:sz w:val="22"/>
          <w:szCs w:val="22"/>
        </w:rPr>
        <w:t xml:space="preserve">artículo 179, </w:t>
      </w:r>
      <w:r w:rsidR="005638D9" w:rsidRPr="00CE1A90">
        <w:rPr>
          <w:rFonts w:ascii="Palatino Linotype" w:eastAsia="Calibri" w:hAnsi="Palatino Linotype" w:cs="Tahoma"/>
          <w:sz w:val="22"/>
          <w:szCs w:val="22"/>
        </w:rPr>
        <w:t xml:space="preserve">fracción </w:t>
      </w:r>
      <w:r w:rsidR="00114DD7" w:rsidRPr="00CE1A90">
        <w:rPr>
          <w:rFonts w:ascii="Palatino Linotype" w:eastAsia="Calibri" w:hAnsi="Palatino Linotype" w:cs="Tahoma"/>
          <w:sz w:val="22"/>
          <w:szCs w:val="22"/>
        </w:rPr>
        <w:t>I</w:t>
      </w:r>
      <w:r w:rsidR="00E52703" w:rsidRPr="00CE1A90">
        <w:rPr>
          <w:rFonts w:ascii="Palatino Linotype" w:eastAsia="Calibri" w:hAnsi="Palatino Linotype" w:cs="Tahoma"/>
          <w:sz w:val="22"/>
          <w:szCs w:val="22"/>
        </w:rPr>
        <w:t>,</w:t>
      </w:r>
      <w:r w:rsidR="00A511BB" w:rsidRPr="00CE1A90">
        <w:rPr>
          <w:rFonts w:ascii="Palatino Linotype" w:eastAsia="Calibri" w:hAnsi="Palatino Linotype" w:cs="Tahoma"/>
          <w:sz w:val="22"/>
          <w:szCs w:val="22"/>
        </w:rPr>
        <w:t xml:space="preserve"> de la Ley de la materia</w:t>
      </w:r>
      <w:r w:rsidR="00A511BB" w:rsidRPr="00CE1A90">
        <w:rPr>
          <w:rFonts w:ascii="Palatino Linotype" w:eastAsia="Calibri" w:hAnsi="Palatino Linotype" w:cs="Tahoma"/>
          <w:bCs/>
          <w:sz w:val="22"/>
          <w:szCs w:val="22"/>
        </w:rPr>
        <w:t>.</w:t>
      </w:r>
    </w:p>
    <w:p w14:paraId="45B74D3C" w14:textId="77777777" w:rsidR="00CE0B4C" w:rsidRPr="00CE1A90" w:rsidRDefault="00CE0B4C" w:rsidP="00036CD0">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241AC7F2" w14:textId="77777777" w:rsidR="00571944" w:rsidRPr="00CE1A90" w:rsidRDefault="00CE0B4C" w:rsidP="00036CD0">
      <w:pPr>
        <w:tabs>
          <w:tab w:val="left" w:pos="4962"/>
        </w:tabs>
        <w:spacing w:line="360" w:lineRule="auto"/>
        <w:contextualSpacing/>
        <w:jc w:val="both"/>
        <w:rPr>
          <w:rFonts w:ascii="Palatino Linotype" w:eastAsia="Calibri" w:hAnsi="Palatino Linotype" w:cs="Tahoma"/>
          <w:iCs/>
          <w:sz w:val="22"/>
          <w:szCs w:val="22"/>
          <w:lang w:eastAsia="es-ES_tradnl"/>
        </w:rPr>
      </w:pPr>
      <w:r w:rsidRPr="00CE1A90">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2755DE4" w14:textId="77777777" w:rsidR="00FF5303" w:rsidRPr="00CE1A90" w:rsidRDefault="00FF5303" w:rsidP="00036CD0">
      <w:pPr>
        <w:tabs>
          <w:tab w:val="left" w:pos="4962"/>
        </w:tabs>
        <w:spacing w:line="360" w:lineRule="auto"/>
        <w:contextualSpacing/>
        <w:jc w:val="both"/>
        <w:rPr>
          <w:rFonts w:ascii="Palatino Linotype" w:eastAsia="Calibri" w:hAnsi="Palatino Linotype" w:cs="Tahoma"/>
          <w:iCs/>
          <w:sz w:val="22"/>
          <w:szCs w:val="22"/>
          <w:lang w:eastAsia="es-ES_tradnl"/>
        </w:rPr>
      </w:pPr>
    </w:p>
    <w:p w14:paraId="5B9FB889" w14:textId="77777777" w:rsidR="00CE0B4C" w:rsidRPr="00CE1A90" w:rsidRDefault="00CE0B4C" w:rsidP="00036CD0">
      <w:pPr>
        <w:pStyle w:val="Ttulo2"/>
        <w:contextualSpacing/>
        <w:jc w:val="both"/>
        <w:rPr>
          <w:rFonts w:ascii="Palatino Linotype" w:eastAsia="Calibri" w:hAnsi="Palatino Linotype" w:cs="Arial"/>
          <w:b/>
          <w:color w:val="auto"/>
          <w:sz w:val="22"/>
          <w:lang w:eastAsia="es-ES_tradnl"/>
        </w:rPr>
      </w:pPr>
      <w:bookmarkStart w:id="24" w:name="_Toc222411565"/>
      <w:r w:rsidRPr="00CE1A90">
        <w:rPr>
          <w:rFonts w:ascii="Palatino Linotype" w:eastAsia="Calibri" w:hAnsi="Palatino Linotype" w:cs="Arial"/>
          <w:b/>
          <w:color w:val="auto"/>
          <w:sz w:val="22"/>
          <w:lang w:eastAsia="es-ES_tradnl"/>
        </w:rPr>
        <w:t>CUARTO. Marco normativo aplicable en materia de transparencia y acceso a la información pública</w:t>
      </w:r>
      <w:bookmarkEnd w:id="24"/>
    </w:p>
    <w:p w14:paraId="19774F44" w14:textId="77777777" w:rsidR="00CE0B4C" w:rsidRPr="00CE1A90" w:rsidRDefault="00CE0B4C" w:rsidP="00036CD0">
      <w:pPr>
        <w:spacing w:line="360" w:lineRule="auto"/>
        <w:contextualSpacing/>
        <w:jc w:val="both"/>
        <w:rPr>
          <w:rFonts w:ascii="Palatino Linotype" w:hAnsi="Palatino Linotype" w:cs="Tahoma"/>
          <w:sz w:val="22"/>
          <w:szCs w:val="22"/>
        </w:rPr>
      </w:pPr>
    </w:p>
    <w:p w14:paraId="1128A1F9" w14:textId="77777777" w:rsidR="00CE0B4C" w:rsidRPr="00CE1A90" w:rsidRDefault="00CE0B4C" w:rsidP="00036CD0">
      <w:pPr>
        <w:widowControl w:val="0"/>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El artículo 6°, Apartado A), fracción I</w:t>
      </w:r>
      <w:r w:rsidR="00D63A43" w:rsidRPr="00CE1A90">
        <w:rPr>
          <w:rFonts w:ascii="Palatino Linotype" w:hAnsi="Palatino Linotype" w:cs="Tahoma"/>
          <w:sz w:val="22"/>
          <w:szCs w:val="22"/>
        </w:rPr>
        <w:t>,</w:t>
      </w:r>
      <w:r w:rsidRPr="00CE1A90">
        <w:rPr>
          <w:rFonts w:ascii="Palatino Linotype" w:hAnsi="Palatino Linotype" w:cs="Tahoma"/>
          <w:sz w:val="22"/>
          <w:szCs w:val="22"/>
        </w:rPr>
        <w:t xml:space="preserve"> de la Constitución Política de los Estados Unidos Mexicanos, establece que toda la información en posesión de cualquier </w:t>
      </w:r>
      <w:r w:rsidR="005A1884" w:rsidRPr="00CE1A90">
        <w:rPr>
          <w:rFonts w:ascii="Palatino Linotype" w:hAnsi="Palatino Linotype" w:cs="Tahoma"/>
          <w:sz w:val="22"/>
          <w:szCs w:val="22"/>
        </w:rPr>
        <w:t>autoridad</w:t>
      </w:r>
      <w:r w:rsidRPr="00CE1A90">
        <w:rPr>
          <w:rFonts w:ascii="Palatino Linotype" w:hAnsi="Palatino Linotype" w:cs="Tahoma"/>
          <w:sz w:val="22"/>
          <w:szCs w:val="22"/>
        </w:rPr>
        <w:t xml:space="preserve"> es pública y sólo podrá ser reservada temporalmente por razones de interés público.</w:t>
      </w:r>
    </w:p>
    <w:p w14:paraId="5EDA7EC2" w14:textId="77777777" w:rsidR="00CE0B4C" w:rsidRPr="00CE1A90" w:rsidRDefault="00CE0B4C" w:rsidP="00036CD0">
      <w:pPr>
        <w:spacing w:line="360" w:lineRule="auto"/>
        <w:contextualSpacing/>
        <w:jc w:val="both"/>
        <w:rPr>
          <w:rFonts w:ascii="Palatino Linotype" w:hAnsi="Palatino Linotype" w:cs="Tahoma"/>
          <w:sz w:val="22"/>
          <w:szCs w:val="22"/>
        </w:rPr>
      </w:pPr>
    </w:p>
    <w:p w14:paraId="7F3DC63E" w14:textId="77777777" w:rsidR="00CE0B4C" w:rsidRPr="00CE1A90" w:rsidRDefault="00CE0B4C"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En materia local, el artículo 5°, fracción I</w:t>
      </w:r>
      <w:r w:rsidR="00002CF8" w:rsidRPr="00CE1A90">
        <w:rPr>
          <w:rFonts w:ascii="Palatino Linotype" w:hAnsi="Palatino Linotype" w:cs="Tahoma"/>
          <w:sz w:val="22"/>
          <w:szCs w:val="22"/>
        </w:rPr>
        <w:t>,</w:t>
      </w:r>
      <w:r w:rsidRPr="00CE1A90">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FEB3CB2" w14:textId="77777777" w:rsidR="00CE0B4C" w:rsidRPr="00CE1A90" w:rsidRDefault="00CE0B4C" w:rsidP="00036CD0">
      <w:pPr>
        <w:spacing w:line="360" w:lineRule="auto"/>
        <w:contextualSpacing/>
        <w:jc w:val="both"/>
        <w:rPr>
          <w:rFonts w:ascii="Palatino Linotype" w:hAnsi="Palatino Linotype" w:cs="Tahoma"/>
          <w:sz w:val="22"/>
          <w:szCs w:val="22"/>
        </w:rPr>
      </w:pPr>
    </w:p>
    <w:p w14:paraId="7E846262" w14:textId="77777777" w:rsidR="00CE0B4C" w:rsidRPr="00CE1A90" w:rsidRDefault="00CE0B4C"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7BF5532" w14:textId="77777777" w:rsidR="00CE0B4C" w:rsidRPr="00CE1A90" w:rsidRDefault="00CE0B4C" w:rsidP="00036CD0">
      <w:pPr>
        <w:spacing w:line="360" w:lineRule="auto"/>
        <w:contextualSpacing/>
        <w:jc w:val="both"/>
        <w:rPr>
          <w:rFonts w:ascii="Palatino Linotype" w:hAnsi="Palatino Linotype" w:cs="Tahoma"/>
          <w:sz w:val="22"/>
          <w:szCs w:val="22"/>
        </w:rPr>
      </w:pPr>
    </w:p>
    <w:p w14:paraId="423421ED" w14:textId="77777777" w:rsidR="00CE0B4C" w:rsidRPr="00CE1A90" w:rsidRDefault="00CE0B4C"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El artículo 12, que, quienes generen, recopilen, administren, manejen, procesen, archiven o conserven información pública serán responsables de la misma.</w:t>
      </w:r>
    </w:p>
    <w:p w14:paraId="650654DE" w14:textId="77777777" w:rsidR="00EF5683" w:rsidRPr="00CE1A90" w:rsidRDefault="00EF5683" w:rsidP="00036CD0">
      <w:pPr>
        <w:spacing w:line="360" w:lineRule="auto"/>
        <w:contextualSpacing/>
        <w:jc w:val="both"/>
        <w:rPr>
          <w:rFonts w:ascii="Palatino Linotype" w:hAnsi="Palatino Linotype" w:cs="Tahoma"/>
          <w:sz w:val="22"/>
          <w:szCs w:val="22"/>
        </w:rPr>
      </w:pPr>
    </w:p>
    <w:p w14:paraId="3EF2A556" w14:textId="77777777" w:rsidR="00CE0B4C" w:rsidRPr="00CE1A90" w:rsidRDefault="00CE0B4C"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DBDA22A" w14:textId="77777777" w:rsidR="005C0E48" w:rsidRPr="00CE1A90" w:rsidRDefault="005C0E48" w:rsidP="00036CD0">
      <w:pPr>
        <w:spacing w:line="360" w:lineRule="auto"/>
        <w:contextualSpacing/>
        <w:jc w:val="both"/>
        <w:rPr>
          <w:rFonts w:ascii="Palatino Linotype" w:hAnsi="Palatino Linotype" w:cs="Tahoma"/>
          <w:sz w:val="22"/>
          <w:szCs w:val="22"/>
        </w:rPr>
      </w:pPr>
    </w:p>
    <w:p w14:paraId="6F0321DC" w14:textId="77777777" w:rsidR="00CE0B4C" w:rsidRPr="00CE1A90" w:rsidRDefault="00CE0B4C"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636F7D2" w14:textId="77777777" w:rsidR="00EA1A4A" w:rsidRPr="00CE1A90" w:rsidRDefault="00EA1A4A" w:rsidP="00036CD0">
      <w:pPr>
        <w:spacing w:line="360" w:lineRule="auto"/>
        <w:contextualSpacing/>
        <w:jc w:val="both"/>
        <w:rPr>
          <w:rFonts w:ascii="Palatino Linotype" w:hAnsi="Palatino Linotype" w:cs="Tahoma"/>
          <w:sz w:val="22"/>
          <w:szCs w:val="22"/>
        </w:rPr>
      </w:pPr>
    </w:p>
    <w:p w14:paraId="65CE19B7" w14:textId="77777777" w:rsidR="00CE0B4C" w:rsidRPr="00CE1A90" w:rsidRDefault="00CE0B4C" w:rsidP="00036CD0">
      <w:pPr>
        <w:pStyle w:val="Ttulo2"/>
        <w:contextualSpacing/>
        <w:rPr>
          <w:rFonts w:ascii="Palatino Linotype" w:hAnsi="Palatino Linotype"/>
          <w:b/>
          <w:color w:val="auto"/>
          <w:sz w:val="22"/>
          <w:lang w:val="es-ES"/>
        </w:rPr>
      </w:pPr>
      <w:bookmarkStart w:id="25" w:name="_Toc222411566"/>
      <w:r w:rsidRPr="00CE1A90">
        <w:rPr>
          <w:rFonts w:ascii="Palatino Linotype" w:eastAsia="Calibri" w:hAnsi="Palatino Linotype"/>
          <w:b/>
          <w:color w:val="auto"/>
          <w:sz w:val="22"/>
          <w:lang w:eastAsia="es-ES_tradnl"/>
        </w:rPr>
        <w:t>QUINTO. Estudio de Fondo</w:t>
      </w:r>
      <w:bookmarkEnd w:id="25"/>
    </w:p>
    <w:p w14:paraId="2EBD66EF" w14:textId="77777777" w:rsidR="00040101" w:rsidRPr="00CE1A90" w:rsidRDefault="00040101" w:rsidP="00036CD0">
      <w:pPr>
        <w:spacing w:line="360" w:lineRule="auto"/>
        <w:ind w:right="-93"/>
        <w:contextualSpacing/>
        <w:jc w:val="both"/>
        <w:rPr>
          <w:rFonts w:ascii="Palatino Linotype" w:hAnsi="Palatino Linotype" w:cs="Tahoma"/>
          <w:b/>
          <w:sz w:val="22"/>
          <w:szCs w:val="22"/>
          <w:lang w:val="es-ES"/>
        </w:rPr>
      </w:pPr>
    </w:p>
    <w:p w14:paraId="3322B66B" w14:textId="77777777" w:rsidR="00605837" w:rsidRPr="00CE1A90" w:rsidRDefault="00605837"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 </w:t>
      </w:r>
    </w:p>
    <w:p w14:paraId="55BCE74F" w14:textId="77777777" w:rsidR="00605837" w:rsidRPr="00CE1A90" w:rsidRDefault="00605837" w:rsidP="00036CD0">
      <w:pPr>
        <w:spacing w:line="360" w:lineRule="auto"/>
        <w:contextualSpacing/>
        <w:jc w:val="both"/>
        <w:rPr>
          <w:rFonts w:ascii="Palatino Linotype" w:hAnsi="Palatino Linotype" w:cs="Tahoma"/>
          <w:sz w:val="22"/>
          <w:szCs w:val="22"/>
        </w:rPr>
      </w:pPr>
    </w:p>
    <w:p w14:paraId="4B02A3A1" w14:textId="77777777" w:rsidR="005F2FB8" w:rsidRPr="00CE1A90" w:rsidRDefault="005F2FB8"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 xml:space="preserve">Sobre el tema, es necesario precisar que, el artículo 1º de la Ley de Contratación Pública del Estado de México y Municipios, dicho ordenamiento tiene por objeto regular los actos relativos a la planeación, programación, presupuestación, ejecución y control de la </w:t>
      </w:r>
      <w:r w:rsidRPr="00CE1A90">
        <w:rPr>
          <w:rFonts w:ascii="Palatino Linotype" w:hAnsi="Palatino Linotype" w:cs="Tahoma"/>
          <w:sz w:val="22"/>
          <w:szCs w:val="22"/>
        </w:rPr>
        <w:lastRenderedPageBreak/>
        <w:t>adquisición, enajenación y arrendamiento de bienes, y la contratación de servicios de cualquier naturaleza, que realicen las secretarías y las unidades administrativas del Poder Ejecutivo del Estado, los ayuntamientos de los municipios del Estado, los organismos auxiliares y fideicomisos públicos, de carácter estatal o municipal y los tribunales administrativos.</w:t>
      </w:r>
    </w:p>
    <w:p w14:paraId="3F4C40D6" w14:textId="77777777" w:rsidR="005F2FB8" w:rsidRPr="00CE1A90" w:rsidRDefault="005F2FB8" w:rsidP="00036CD0">
      <w:pPr>
        <w:spacing w:line="360" w:lineRule="auto"/>
        <w:contextualSpacing/>
        <w:jc w:val="both"/>
        <w:rPr>
          <w:rFonts w:ascii="Palatino Linotype" w:hAnsi="Palatino Linotype" w:cs="Tahoma"/>
          <w:sz w:val="22"/>
          <w:szCs w:val="22"/>
        </w:rPr>
      </w:pPr>
    </w:p>
    <w:p w14:paraId="6B603A6A" w14:textId="77777777" w:rsidR="005F2FB8" w:rsidRPr="00CE1A90" w:rsidRDefault="00C75205"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 xml:space="preserve">Aunado a lo anterior, el artículo 5 de la Ley mencionada señala que la Oficialía Mayor llevará a cabo los procedimientos de adquisición de bienes o servicios que requieran las dependencias, conforme a sus respectivos programas de adquisiciones. </w:t>
      </w:r>
      <w:r w:rsidR="005F2FB8" w:rsidRPr="00CE1A90">
        <w:rPr>
          <w:rFonts w:ascii="Palatino Linotype" w:hAnsi="Palatino Linotype" w:cs="Tahoma"/>
          <w:sz w:val="22"/>
          <w:szCs w:val="22"/>
        </w:rPr>
        <w:t>En ese contexto, los artículos 18 y 19 de la Ley antes mencionada, establece que, los procedimientos de adquisiciones, arrendamientos y servicios, que se realicen con cargo a recursos estatales, total o parcialmente, deberán desahogarse preferentemente por conducto del COMPRAMEX, salvo en los casos en que así lo determine el comité de adquisiciones y servicios.</w:t>
      </w:r>
    </w:p>
    <w:p w14:paraId="65ADEB31" w14:textId="77777777" w:rsidR="005F2FB8" w:rsidRPr="00CE1A90" w:rsidRDefault="005F2FB8" w:rsidP="00036CD0">
      <w:pPr>
        <w:spacing w:line="360" w:lineRule="auto"/>
        <w:contextualSpacing/>
        <w:jc w:val="both"/>
        <w:rPr>
          <w:rFonts w:ascii="Palatino Linotype" w:hAnsi="Palatino Linotype" w:cs="Tahoma"/>
          <w:sz w:val="22"/>
          <w:szCs w:val="22"/>
        </w:rPr>
      </w:pPr>
    </w:p>
    <w:p w14:paraId="5C24AC36" w14:textId="77777777" w:rsidR="005F2FB8" w:rsidRPr="00CE1A90" w:rsidRDefault="005F2FB8"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 xml:space="preserve">El uso del COMPRAMEX en el desahogo de los procedimientos de adquisiciones, arrendamientos y servicios tendrá por objeto disminuir los gastos que realicen los órganos públicos, así como los particulares participantes, controlar el gasto público y lograr mayor eficiencia y transparencia. </w:t>
      </w:r>
    </w:p>
    <w:p w14:paraId="05EF85A9" w14:textId="77777777" w:rsidR="005F2FB8" w:rsidRPr="00CE1A90" w:rsidRDefault="005F2FB8" w:rsidP="00036CD0">
      <w:pPr>
        <w:spacing w:line="360" w:lineRule="auto"/>
        <w:contextualSpacing/>
        <w:jc w:val="both"/>
        <w:rPr>
          <w:rFonts w:ascii="Palatino Linotype" w:hAnsi="Palatino Linotype" w:cs="Tahoma"/>
          <w:sz w:val="22"/>
          <w:szCs w:val="22"/>
        </w:rPr>
      </w:pPr>
    </w:p>
    <w:p w14:paraId="50E76967" w14:textId="77777777" w:rsidR="00C75205" w:rsidRPr="00CE1A90" w:rsidRDefault="00C75205"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Ahora bien, el artículo 26 y 27 de la Ley en cita señalan que las adquisiciones, arrendamientos y servicios se adjudicarán a través de licitaciones públicas, mediante convocatoria pública; y que la Oficialía Mayor, las entidades, los tribunales administrativos y los ayuntamientos podrán adjudicar adquisiciones, arrendamientos y servicios, mediante las excepciones al procedimiento de licitación s través de invitación restringida o adjudicación directa.</w:t>
      </w:r>
    </w:p>
    <w:p w14:paraId="58C3796C" w14:textId="77777777" w:rsidR="00C75205" w:rsidRPr="00CE1A90" w:rsidRDefault="00C75205" w:rsidP="00036CD0">
      <w:pPr>
        <w:spacing w:line="360" w:lineRule="auto"/>
        <w:contextualSpacing/>
        <w:jc w:val="both"/>
        <w:rPr>
          <w:rFonts w:ascii="Palatino Linotype" w:hAnsi="Palatino Linotype" w:cs="Tahoma"/>
          <w:sz w:val="22"/>
          <w:szCs w:val="22"/>
        </w:rPr>
      </w:pPr>
    </w:p>
    <w:p w14:paraId="5E15F861" w14:textId="77777777" w:rsidR="00C75205" w:rsidRPr="00CE1A90" w:rsidRDefault="005F2FB8"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 xml:space="preserve">Asimismo, el artículo 92 fracción </w:t>
      </w:r>
      <w:r w:rsidR="00C75205" w:rsidRPr="00CE1A90">
        <w:rPr>
          <w:rFonts w:ascii="Palatino Linotype" w:hAnsi="Palatino Linotype" w:cs="Tahoma"/>
          <w:sz w:val="22"/>
          <w:szCs w:val="22"/>
        </w:rPr>
        <w:t>XXIX</w:t>
      </w:r>
      <w:r w:rsidRPr="00CE1A90">
        <w:rPr>
          <w:rFonts w:ascii="Palatino Linotype" w:hAnsi="Palatino Linotype" w:cs="Tahoma"/>
          <w:sz w:val="22"/>
          <w:szCs w:val="22"/>
        </w:rPr>
        <w:t xml:space="preserve">, de la Ley de Transparencia y Acceso a la Información Pública del Estado de México y Municipios, establece que, los sujetos obligados deberán poner </w:t>
      </w:r>
      <w:r w:rsidRPr="00CE1A90">
        <w:rPr>
          <w:rFonts w:ascii="Palatino Linotype" w:hAnsi="Palatino Linotype" w:cs="Tahoma"/>
          <w:sz w:val="22"/>
          <w:szCs w:val="22"/>
        </w:rPr>
        <w:lastRenderedPageBreak/>
        <w:t xml:space="preserve">a disposición del público de manera permanente y actualizada </w:t>
      </w:r>
      <w:r w:rsidR="00C75205" w:rsidRPr="00CE1A90">
        <w:rPr>
          <w:rFonts w:ascii="Palatino Linotype" w:hAnsi="Palatino Linotype" w:cs="Tahoma"/>
          <w:sz w:val="22"/>
          <w:szCs w:val="22"/>
        </w:rPr>
        <w:t>la información sobre los procesos y resultados sobre procedimientos de adjudicación directa, invitación restringida y licitación de cualquier naturaleza, incluyendo la versión pública del expediente respectivo y de los contratos celebrados.</w:t>
      </w:r>
    </w:p>
    <w:p w14:paraId="0BE67A68" w14:textId="77777777" w:rsidR="00C75205" w:rsidRPr="00CE1A90" w:rsidRDefault="00C75205" w:rsidP="00036CD0">
      <w:pPr>
        <w:spacing w:line="360" w:lineRule="auto"/>
        <w:contextualSpacing/>
        <w:jc w:val="both"/>
        <w:rPr>
          <w:rFonts w:ascii="Palatino Linotype" w:hAnsi="Palatino Linotype" w:cs="Tahoma"/>
          <w:sz w:val="22"/>
          <w:szCs w:val="22"/>
        </w:rPr>
      </w:pPr>
    </w:p>
    <w:p w14:paraId="23F2A11A" w14:textId="0E15992F" w:rsidR="00D520F9" w:rsidRPr="00CE1A90" w:rsidRDefault="00D520F9"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Ahora bien, de las constancias que obran en el expediente electrónico, se advierte que el Sujeto Obligado, turnó la solicitud de información a</w:t>
      </w:r>
      <w:r w:rsidR="00271709" w:rsidRPr="00CE1A90">
        <w:rPr>
          <w:rFonts w:ascii="Palatino Linotype" w:hAnsi="Palatino Linotype" w:cs="Tahoma"/>
          <w:sz w:val="22"/>
          <w:szCs w:val="22"/>
        </w:rPr>
        <w:t xml:space="preserve"> la Dirección General de Recursos Materiales</w:t>
      </w:r>
      <w:r w:rsidRPr="00CE1A90">
        <w:rPr>
          <w:rFonts w:ascii="Palatino Linotype" w:hAnsi="Palatino Linotype" w:cs="Tahoma"/>
          <w:sz w:val="22"/>
          <w:szCs w:val="22"/>
        </w:rPr>
        <w:t xml:space="preserve">, por lo que, es oportuno hacer referencia al </w:t>
      </w:r>
      <w:r w:rsidRPr="00CE1A90">
        <w:rPr>
          <w:rFonts w:ascii="Palatino Linotype" w:hAnsi="Palatino Linotype" w:cs="Tahoma"/>
          <w:b/>
          <w:sz w:val="22"/>
          <w:szCs w:val="22"/>
        </w:rPr>
        <w:t>procedimiento de búsqueda que deben de seguir los Sujetos Obligados para localizar la información</w:t>
      </w:r>
      <w:r w:rsidRPr="00CE1A90">
        <w:rPr>
          <w:rFonts w:ascii="Palatino Linotype" w:hAnsi="Palatino Linotype" w:cs="Tahoma"/>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E1B3A90" w14:textId="77777777" w:rsidR="00D520F9" w:rsidRPr="00CE1A90" w:rsidRDefault="00D520F9" w:rsidP="00036CD0">
      <w:pPr>
        <w:spacing w:line="360" w:lineRule="auto"/>
        <w:contextualSpacing/>
        <w:jc w:val="both"/>
        <w:rPr>
          <w:rFonts w:ascii="Palatino Linotype" w:hAnsi="Palatino Linotype" w:cs="Tahoma"/>
          <w:sz w:val="22"/>
          <w:szCs w:val="22"/>
        </w:rPr>
      </w:pPr>
    </w:p>
    <w:p w14:paraId="65A2712A" w14:textId="77777777" w:rsidR="00D520F9" w:rsidRPr="00CE1A90" w:rsidRDefault="00D520F9"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al área competente que puede conocer sobre la información solicitada. </w:t>
      </w:r>
    </w:p>
    <w:p w14:paraId="23DC43B5" w14:textId="77777777" w:rsidR="00D520F9" w:rsidRPr="00CE1A90" w:rsidRDefault="00D520F9" w:rsidP="00036CD0">
      <w:pPr>
        <w:spacing w:line="360" w:lineRule="auto"/>
        <w:contextualSpacing/>
        <w:jc w:val="both"/>
        <w:rPr>
          <w:rFonts w:ascii="Palatino Linotype" w:hAnsi="Palatino Linotype" w:cs="Tahoma"/>
          <w:sz w:val="22"/>
          <w:szCs w:val="22"/>
        </w:rPr>
      </w:pPr>
    </w:p>
    <w:p w14:paraId="303E71A9"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r w:rsidRPr="00CE1A90">
        <w:rPr>
          <w:rFonts w:ascii="Palatino Linotype" w:eastAsia="Calibri" w:hAnsi="Palatino Linotype" w:cs="Tahoma"/>
          <w:bCs/>
          <w:sz w:val="22"/>
          <w:szCs w:val="22"/>
          <w:lang w:eastAsia="en-US"/>
        </w:rPr>
        <w:t>Establecido lo anterior, se procede a analizar la respuesta d</w:t>
      </w:r>
      <w:r w:rsidRPr="00CE1A90">
        <w:rPr>
          <w:rFonts w:ascii="Palatino Linotype" w:hAnsi="Palatino Linotype" w:cs="Tahoma"/>
          <w:sz w:val="22"/>
          <w:szCs w:val="22"/>
        </w:rPr>
        <w:t>el Sujeto Obligado en la que proporcionó una liga electrónica</w:t>
      </w:r>
      <w:r w:rsidRPr="00CE1A90">
        <w:rPr>
          <w:rFonts w:ascii="Palatino Linotype" w:eastAsia="Palatino Linotype" w:hAnsi="Palatino Linotype" w:cs="Palatino Linotype"/>
          <w:sz w:val="22"/>
          <w:szCs w:val="22"/>
        </w:rPr>
        <w:t xml:space="preserve">, </w:t>
      </w:r>
      <w:r w:rsidRPr="00CE1A90">
        <w:rPr>
          <w:rFonts w:ascii="Palatino Linotype" w:eastAsia="Calibri" w:hAnsi="Palatino Linotype"/>
          <w:color w:val="000000"/>
          <w:sz w:val="22"/>
          <w:szCs w:val="22"/>
          <w:lang w:eastAsia="es-MX"/>
        </w:rPr>
        <w:t>de cuya revisión se logra vislumbrar que se encuentra en un formato cerrado, es decir, que no se puede copiar y pegar para tener acceso.</w:t>
      </w:r>
    </w:p>
    <w:p w14:paraId="669B3C54"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p>
    <w:p w14:paraId="6C665DD8"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r w:rsidRPr="00CE1A90">
        <w:rPr>
          <w:rFonts w:ascii="Palatino Linotype" w:eastAsia="Calibri" w:hAnsi="Palatino Linotype"/>
          <w:color w:val="000000"/>
          <w:sz w:val="22"/>
          <w:szCs w:val="22"/>
          <w:lang w:eastAsia="es-MX"/>
        </w:rPr>
        <w:t xml:space="preserve">Sobre el tema, Trujillo, Humberto (2019), en el “Diccionario de Transparencia y Acceso a la Información Pública” (p. 136 y 137), precisa que cuando un Sujeto Obligado proporciona </w:t>
      </w:r>
      <w:r w:rsidRPr="00CE1A90">
        <w:rPr>
          <w:rFonts w:ascii="Palatino Linotype" w:eastAsia="Calibri" w:hAnsi="Palatino Linotype"/>
          <w:color w:val="000000"/>
          <w:sz w:val="22"/>
          <w:szCs w:val="22"/>
          <w:lang w:eastAsia="es-MX"/>
        </w:rPr>
        <w:lastRenderedPageBreak/>
        <w:t>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2E2B26EC"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r w:rsidRPr="00CE1A90">
        <w:rPr>
          <w:rFonts w:ascii="Palatino Linotype" w:eastAsia="Calibri" w:hAnsi="Palatino Linotype"/>
          <w:color w:val="000000"/>
          <w:sz w:val="22"/>
          <w:szCs w:val="22"/>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48810486"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p>
    <w:p w14:paraId="18976BE3"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r w:rsidRPr="00CE1A90">
        <w:rPr>
          <w:rFonts w:ascii="Palatino Linotype" w:eastAsia="Calibri" w:hAnsi="Palatino Linotype"/>
          <w:color w:val="000000"/>
          <w:sz w:val="22"/>
          <w:szCs w:val="22"/>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0412A9D4"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p>
    <w:p w14:paraId="5B09CCA2" w14:textId="77777777" w:rsidR="00271709" w:rsidRPr="00CE1A90" w:rsidRDefault="00271709" w:rsidP="00271709">
      <w:pPr>
        <w:numPr>
          <w:ilvl w:val="0"/>
          <w:numId w:val="40"/>
        </w:numPr>
        <w:spacing w:line="360" w:lineRule="auto"/>
        <w:contextualSpacing/>
        <w:jc w:val="both"/>
        <w:rPr>
          <w:rFonts w:ascii="Palatino Linotype" w:eastAsia="Calibri" w:hAnsi="Palatino Linotype"/>
          <w:color w:val="000000"/>
          <w:sz w:val="22"/>
          <w:szCs w:val="24"/>
        </w:rPr>
      </w:pPr>
      <w:r w:rsidRPr="00CE1A90">
        <w:rPr>
          <w:rFonts w:ascii="Palatino Linotype" w:eastAsia="Calibri" w:hAnsi="Palatino Linotype"/>
          <w:b/>
          <w:bCs/>
          <w:color w:val="000000"/>
          <w:sz w:val="22"/>
          <w:szCs w:val="24"/>
        </w:rPr>
        <w:t>Dato abierto:</w:t>
      </w:r>
      <w:r w:rsidRPr="00CE1A90">
        <w:rPr>
          <w:rFonts w:ascii="Palatino Linotype" w:eastAsia="Calibri" w:hAnsi="Palatino Linotype"/>
          <w:color w:val="000000"/>
          <w:sz w:val="22"/>
          <w:szCs w:val="24"/>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1FC398C" w14:textId="77777777" w:rsidR="00271709" w:rsidRPr="00CE1A90" w:rsidRDefault="00271709" w:rsidP="00271709">
      <w:pPr>
        <w:spacing w:line="360" w:lineRule="auto"/>
        <w:jc w:val="both"/>
        <w:rPr>
          <w:rFonts w:ascii="Palatino Linotype" w:eastAsia="Palatino Linotype" w:hAnsi="Palatino Linotype" w:cs="Palatino Linotype"/>
          <w:sz w:val="22"/>
          <w:szCs w:val="22"/>
          <w:lang w:eastAsia="es-MX"/>
        </w:rPr>
      </w:pPr>
    </w:p>
    <w:p w14:paraId="64386967" w14:textId="77777777" w:rsidR="00271709" w:rsidRPr="00CE1A90" w:rsidRDefault="00271709" w:rsidP="00271709">
      <w:pPr>
        <w:numPr>
          <w:ilvl w:val="0"/>
          <w:numId w:val="40"/>
        </w:numPr>
        <w:spacing w:line="360" w:lineRule="auto"/>
        <w:contextualSpacing/>
        <w:jc w:val="both"/>
        <w:rPr>
          <w:rFonts w:ascii="Palatino Linotype" w:eastAsia="Calibri" w:hAnsi="Palatino Linotype"/>
          <w:color w:val="000000"/>
          <w:sz w:val="22"/>
          <w:szCs w:val="24"/>
        </w:rPr>
      </w:pPr>
      <w:r w:rsidRPr="00CE1A90">
        <w:rPr>
          <w:rFonts w:ascii="Palatino Linotype" w:eastAsia="Calibri" w:hAnsi="Palatino Linotype"/>
          <w:b/>
          <w:bCs/>
          <w:color w:val="000000"/>
          <w:sz w:val="22"/>
          <w:szCs w:val="24"/>
        </w:rPr>
        <w:t>Formato accesible:</w:t>
      </w:r>
      <w:r w:rsidRPr="00CE1A90">
        <w:rPr>
          <w:rFonts w:ascii="Palatino Linotype" w:eastAsia="Calibri" w:hAnsi="Palatino Linotype"/>
          <w:color w:val="000000"/>
          <w:sz w:val="22"/>
          <w:szCs w:val="24"/>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3308170"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p>
    <w:p w14:paraId="56E28A8A"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r w:rsidRPr="00CE1A90">
        <w:rPr>
          <w:rFonts w:ascii="Palatino Linotype" w:eastAsia="Calibri" w:hAnsi="Palatino Linotype"/>
          <w:color w:val="000000"/>
          <w:sz w:val="22"/>
          <w:szCs w:val="22"/>
          <w:lang w:eastAsia="es-MX"/>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4BE9BCB4"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p>
    <w:p w14:paraId="60F926CC"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r w:rsidRPr="00CE1A90">
        <w:rPr>
          <w:rFonts w:ascii="Palatino Linotype" w:eastAsia="Calibri" w:hAnsi="Palatino Linotype"/>
          <w:color w:val="000000"/>
          <w:sz w:val="22"/>
          <w:szCs w:val="22"/>
          <w:lang w:eastAsia="es-MX"/>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51523F0B" w14:textId="77777777" w:rsidR="00271709" w:rsidRPr="00CE1A90" w:rsidRDefault="00271709" w:rsidP="00271709">
      <w:pPr>
        <w:spacing w:line="360" w:lineRule="auto"/>
        <w:jc w:val="both"/>
        <w:rPr>
          <w:rFonts w:ascii="Palatino Linotype" w:eastAsia="Calibri" w:hAnsi="Palatino Linotype"/>
          <w:color w:val="000000"/>
          <w:sz w:val="22"/>
          <w:szCs w:val="22"/>
          <w:lang w:eastAsia="es-MX"/>
        </w:rPr>
      </w:pPr>
    </w:p>
    <w:p w14:paraId="5B496827" w14:textId="77777777" w:rsidR="00271709" w:rsidRPr="00CE1A90" w:rsidRDefault="00271709" w:rsidP="00271709">
      <w:pPr>
        <w:spacing w:line="360" w:lineRule="auto"/>
        <w:ind w:right="-93"/>
        <w:jc w:val="both"/>
        <w:rPr>
          <w:rFonts w:ascii="Palatino Linotype" w:eastAsia="Calibri" w:hAnsi="Palatino Linotype"/>
          <w:color w:val="000000"/>
          <w:sz w:val="22"/>
          <w:szCs w:val="22"/>
          <w:lang w:eastAsia="es-MX"/>
        </w:rPr>
      </w:pPr>
      <w:r w:rsidRPr="00CE1A90">
        <w:rPr>
          <w:rFonts w:ascii="Palatino Linotype" w:eastAsia="Calibri" w:hAnsi="Palatino Linotype"/>
          <w:color w:val="000000"/>
          <w:sz w:val="22"/>
          <w:szCs w:val="22"/>
          <w:lang w:eastAsia="es-MX"/>
        </w:rPr>
        <w:t xml:space="preserve">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por lo que, se considera que incumplió con lo establecido en el artículo 161 de la Ley de Transparencia y Acceso a la Información Pública del Estado de México y Municipios. </w:t>
      </w:r>
    </w:p>
    <w:p w14:paraId="2A2D943C" w14:textId="77777777" w:rsidR="00271709" w:rsidRPr="00CE1A90" w:rsidRDefault="00271709" w:rsidP="00271709">
      <w:pPr>
        <w:spacing w:line="360" w:lineRule="auto"/>
        <w:ind w:right="-93"/>
        <w:jc w:val="both"/>
        <w:rPr>
          <w:rFonts w:ascii="Palatino Linotype" w:eastAsia="Calibri" w:hAnsi="Palatino Linotype" w:cs="Tahoma"/>
          <w:iCs/>
          <w:sz w:val="22"/>
          <w:szCs w:val="22"/>
          <w:lang w:eastAsia="es-ES_tradnl"/>
        </w:rPr>
      </w:pPr>
    </w:p>
    <w:p w14:paraId="30DE5685" w14:textId="77777777" w:rsidR="00271709" w:rsidRPr="00CE1A90" w:rsidRDefault="00271709" w:rsidP="00271709">
      <w:pPr>
        <w:spacing w:line="360" w:lineRule="auto"/>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No obstante, del texto de la liga se puede advertir que corresponde al COMPRAMEX y si bien parece que el Particular pudo acceder a ella, señaló que lo dirige a la página principal y no así al registro en el que se localiza la información que es de su interés, si bien en informe justificado especifica el número de procedimiento y proporcionó los pasos para consultar el contrato requerido como se muestra a continuación:</w:t>
      </w:r>
    </w:p>
    <w:p w14:paraId="0278B5AC" w14:textId="77777777" w:rsidR="00271709" w:rsidRPr="00CE1A90" w:rsidRDefault="00271709" w:rsidP="00271709">
      <w:pPr>
        <w:spacing w:line="360" w:lineRule="auto"/>
        <w:jc w:val="both"/>
        <w:rPr>
          <w:rFonts w:ascii="Palatino Linotype" w:eastAsia="Palatino Linotype" w:hAnsi="Palatino Linotype" w:cs="Palatino Linotype"/>
          <w:sz w:val="22"/>
          <w:szCs w:val="22"/>
        </w:rPr>
      </w:pPr>
    </w:p>
    <w:p w14:paraId="46F347C4" w14:textId="31450AA2" w:rsidR="00271709" w:rsidRPr="00CE1A90" w:rsidRDefault="00522771" w:rsidP="00522771">
      <w:pPr>
        <w:spacing w:line="360" w:lineRule="auto"/>
        <w:jc w:val="center"/>
        <w:rPr>
          <w:rFonts w:ascii="Palatino Linotype" w:eastAsia="Palatino Linotype" w:hAnsi="Palatino Linotype" w:cs="Palatino Linotype"/>
          <w:sz w:val="22"/>
          <w:szCs w:val="22"/>
        </w:rPr>
      </w:pPr>
      <w:r w:rsidRPr="00CE1A90">
        <w:rPr>
          <w:rFonts w:ascii="Palatino Linotype" w:eastAsia="Palatino Linotype" w:hAnsi="Palatino Linotype" w:cs="Palatino Linotype"/>
          <w:noProof/>
          <w:sz w:val="22"/>
          <w:szCs w:val="22"/>
          <w:lang w:eastAsia="es-MX"/>
        </w:rPr>
        <w:lastRenderedPageBreak/>
        <w:drawing>
          <wp:inline distT="0" distB="0" distL="0" distR="0" wp14:anchorId="40B5C0F8" wp14:editId="4E315958">
            <wp:extent cx="4190306" cy="2272143"/>
            <wp:effectExtent l="0" t="0" r="1270" b="0"/>
            <wp:docPr id="799462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62640" name=""/>
                    <pic:cNvPicPr/>
                  </pic:nvPicPr>
                  <pic:blipFill>
                    <a:blip r:embed="rId8"/>
                    <a:stretch>
                      <a:fillRect/>
                    </a:stretch>
                  </pic:blipFill>
                  <pic:spPr>
                    <a:xfrm>
                      <a:off x="0" y="0"/>
                      <a:ext cx="4200183" cy="2277499"/>
                    </a:xfrm>
                    <a:prstGeom prst="rect">
                      <a:avLst/>
                    </a:prstGeom>
                  </pic:spPr>
                </pic:pic>
              </a:graphicData>
            </a:graphic>
          </wp:inline>
        </w:drawing>
      </w:r>
    </w:p>
    <w:p w14:paraId="42BD5C3B" w14:textId="77777777" w:rsidR="008A08C5" w:rsidRPr="00CE1A90" w:rsidRDefault="008A08C5" w:rsidP="00271709">
      <w:pPr>
        <w:spacing w:line="360" w:lineRule="auto"/>
        <w:jc w:val="both"/>
        <w:rPr>
          <w:rFonts w:ascii="Palatino Linotype" w:eastAsia="Palatino Linotype" w:hAnsi="Palatino Linotype" w:cs="Palatino Linotype"/>
          <w:sz w:val="22"/>
          <w:szCs w:val="22"/>
        </w:rPr>
      </w:pPr>
    </w:p>
    <w:p w14:paraId="319C8323" w14:textId="0DDBC265" w:rsidR="00271709" w:rsidRPr="00CE1A90" w:rsidRDefault="00522771" w:rsidP="00271709">
      <w:pPr>
        <w:spacing w:line="360" w:lineRule="auto"/>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Derivado de lo anterior, aun y cuando señaló los pasos para consultar la información, la liga señalada continua en datos cerrados por lo que no se puede tener por atendido el presente requerimiento</w:t>
      </w:r>
      <w:r w:rsidR="00271709" w:rsidRPr="00CE1A90">
        <w:rPr>
          <w:rFonts w:ascii="Palatino Linotype" w:eastAsia="Palatino Linotype" w:hAnsi="Palatino Linotype" w:cs="Palatino Linotype"/>
          <w:sz w:val="22"/>
          <w:szCs w:val="22"/>
        </w:rPr>
        <w:t xml:space="preserve">, lo cual da como resultado que el agravio sea </w:t>
      </w:r>
      <w:r w:rsidR="00271709" w:rsidRPr="00CE1A90">
        <w:rPr>
          <w:rFonts w:ascii="Palatino Linotype" w:eastAsia="Palatino Linotype" w:hAnsi="Palatino Linotype" w:cs="Palatino Linotype"/>
          <w:b/>
          <w:bCs/>
          <w:sz w:val="22"/>
          <w:szCs w:val="22"/>
        </w:rPr>
        <w:t>FUNDADO.</w:t>
      </w:r>
    </w:p>
    <w:p w14:paraId="0A3AB991" w14:textId="77777777" w:rsidR="00271709" w:rsidRPr="00CE1A90" w:rsidRDefault="00271709" w:rsidP="00036CD0">
      <w:pPr>
        <w:spacing w:line="360" w:lineRule="auto"/>
        <w:contextualSpacing/>
        <w:jc w:val="both"/>
        <w:rPr>
          <w:rFonts w:ascii="Palatino Linotype" w:hAnsi="Palatino Linotype" w:cs="Tahoma"/>
          <w:sz w:val="22"/>
          <w:szCs w:val="22"/>
        </w:rPr>
      </w:pPr>
    </w:p>
    <w:p w14:paraId="3979A70C" w14:textId="74ECB9E8" w:rsidR="0038315D" w:rsidRPr="00CE1A90" w:rsidRDefault="0013139E" w:rsidP="0038315D">
      <w:pPr>
        <w:spacing w:line="360" w:lineRule="auto"/>
        <w:contextualSpacing/>
        <w:jc w:val="both"/>
        <w:rPr>
          <w:rFonts w:ascii="Palatino Linotype" w:eastAsia="Palatino Linotype" w:hAnsi="Palatino Linotype" w:cs="Palatino Linotype"/>
          <w:sz w:val="22"/>
          <w:szCs w:val="22"/>
        </w:rPr>
      </w:pPr>
      <w:r w:rsidRPr="00CE1A90">
        <w:rPr>
          <w:rFonts w:ascii="Palatino Linotype" w:hAnsi="Palatino Linotype" w:cs="Tahoma"/>
          <w:sz w:val="22"/>
          <w:szCs w:val="22"/>
        </w:rPr>
        <w:t xml:space="preserve">No obstante, se localizó el contrato interés del Particular, </w:t>
      </w:r>
      <w:r w:rsidR="00BA4DFC" w:rsidRPr="00CE1A90">
        <w:rPr>
          <w:rFonts w:ascii="Palatino Linotype" w:hAnsi="Palatino Linotype" w:cs="Tahoma"/>
          <w:sz w:val="22"/>
          <w:szCs w:val="22"/>
        </w:rPr>
        <w:t xml:space="preserve">el cual fue </w:t>
      </w:r>
      <w:r w:rsidR="004E6F11" w:rsidRPr="00CE1A90">
        <w:rPr>
          <w:rFonts w:ascii="Palatino Linotype" w:hAnsi="Palatino Linotype" w:cs="Tahoma"/>
          <w:sz w:val="22"/>
          <w:szCs w:val="22"/>
        </w:rPr>
        <w:t>suscrito</w:t>
      </w:r>
      <w:r w:rsidR="00BA4DFC" w:rsidRPr="00CE1A90">
        <w:rPr>
          <w:rFonts w:ascii="Palatino Linotype" w:hAnsi="Palatino Linotype" w:cs="Tahoma"/>
          <w:sz w:val="22"/>
          <w:szCs w:val="22"/>
        </w:rPr>
        <w:t xml:space="preserve"> el treinta y uno de enero de dos mil veinticinco, con una vigencia del primero de febrero al treinta y uno de diciembre de dos mil veinticinco, </w:t>
      </w:r>
      <w:r w:rsidRPr="00CE1A90">
        <w:rPr>
          <w:rFonts w:ascii="Palatino Linotype" w:hAnsi="Palatino Linotype" w:cs="Tahoma"/>
          <w:sz w:val="22"/>
          <w:szCs w:val="22"/>
        </w:rPr>
        <w:t>publicado en versión pública, en el que se encuentra clasificado el domicilio fiscal del proveedor, así como la firma del representante legal y parte del Anexo uno-B relacionado con el lugar de servicio, por lo que resulta conveniente realizar las siguientes consideraciones</w:t>
      </w:r>
      <w:r w:rsidR="0038315D" w:rsidRPr="00CE1A90">
        <w:rPr>
          <w:rFonts w:ascii="Palatino Linotype" w:hAnsi="Palatino Linotype" w:cs="Tahoma"/>
          <w:sz w:val="22"/>
          <w:szCs w:val="22"/>
        </w:rPr>
        <w:t>;</w:t>
      </w:r>
      <w:r w:rsidR="0038315D" w:rsidRPr="00CE1A90">
        <w:rPr>
          <w:rFonts w:ascii="Palatino Linotype" w:eastAsia="Palatino Linotype" w:hAnsi="Palatino Linotype" w:cs="Palatino Linotype"/>
          <w:sz w:val="22"/>
          <w:szCs w:val="22"/>
        </w:rPr>
        <w:t xml:space="preserve">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B0A443D"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23E89993"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lastRenderedPageBreak/>
        <w:t>Al respecto, dentro de los datos que se considera deben ser clasificados como reservados es el lugar de prestación del servicio (que se conforma de la relación del centro penitenciario, su dirección, responsable de la recepción, teléfono y horarios de entrega), lo cual encuadra en la causal de reserva establecida en el artículo 140, fracción VI, de la Ley de Transparencia y Acceso a la Información Pública del Estado de México y Municipios, en lo referente a prevención de delitos, mismo que prevé lo siguiente:</w:t>
      </w:r>
    </w:p>
    <w:p w14:paraId="2D5865D5" w14:textId="77777777" w:rsidR="0038315D" w:rsidRPr="00CE1A90" w:rsidRDefault="0038315D" w:rsidP="0038315D">
      <w:pPr>
        <w:spacing w:line="360" w:lineRule="auto"/>
        <w:contextualSpacing/>
        <w:jc w:val="both"/>
        <w:rPr>
          <w:rFonts w:ascii="Palatino Linotype" w:eastAsia="Palatino Linotype" w:hAnsi="Palatino Linotype" w:cs="Palatino Linotype"/>
          <w:i/>
          <w:sz w:val="22"/>
          <w:szCs w:val="22"/>
        </w:rPr>
      </w:pPr>
    </w:p>
    <w:p w14:paraId="33477685"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i/>
        </w:rPr>
      </w:pPr>
      <w:r w:rsidRPr="00CE1A90">
        <w:rPr>
          <w:rFonts w:ascii="Palatino Linotype" w:eastAsia="Palatino Linotype" w:hAnsi="Palatino Linotype" w:cs="Palatino Linotype"/>
          <w:i/>
        </w:rPr>
        <w:t xml:space="preserve">Artículo 140. El acceso a la información pública será restringido excepcionalmente, cuando por razones de interés público, ésta sea clasificada como reservada, conforme a los criterios siguientes: … </w:t>
      </w:r>
    </w:p>
    <w:p w14:paraId="579A937F"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i/>
        </w:rPr>
      </w:pPr>
      <w:r w:rsidRPr="00CE1A90">
        <w:rPr>
          <w:rFonts w:ascii="Palatino Linotype" w:eastAsia="Palatino Linotype" w:hAnsi="Palatino Linotype" w:cs="Palatino Linotype"/>
          <w:i/>
        </w:rPr>
        <w:t xml:space="preserve">VI. Pueda causar daño u obstruya la prevención </w:t>
      </w:r>
      <w:r w:rsidRPr="00CE1A90">
        <w:rPr>
          <w:rFonts w:ascii="Palatino Linotype" w:eastAsia="Palatino Linotype" w:hAnsi="Palatino Linotype" w:cs="Palatino Linotype"/>
          <w:b/>
          <w:bCs/>
          <w:i/>
        </w:rPr>
        <w:t>o persecución de los delitos</w:t>
      </w:r>
      <w:r w:rsidRPr="00CE1A90">
        <w:rPr>
          <w:rFonts w:ascii="Palatino Linotype" w:eastAsia="Palatino Linotype" w:hAnsi="Palatino Linotype" w:cs="Palatino Linotype"/>
          <w:i/>
        </w:rPr>
        <w:t>,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0195E67"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i/>
        </w:rPr>
      </w:pPr>
      <w:r w:rsidRPr="00CE1A90">
        <w:rPr>
          <w:rFonts w:ascii="Palatino Linotype" w:eastAsia="Palatino Linotype" w:hAnsi="Palatino Linotype" w:cs="Palatino Linotype"/>
          <w:i/>
        </w:rPr>
        <w:t xml:space="preserve"> …”</w:t>
      </w:r>
    </w:p>
    <w:p w14:paraId="48478B81"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7BBFB7E4"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b/>
          <w:sz w:val="22"/>
          <w:szCs w:val="22"/>
        </w:rPr>
        <w:t>Del precepto legal anteriormente citado se desprende que como información reservada podrá clasificarse aquella que obstruya la prevención de los delitos;</w:t>
      </w:r>
      <w:r w:rsidRPr="00CE1A90">
        <w:rPr>
          <w:rFonts w:ascii="Palatino Linotype" w:eastAsia="Palatino Linotype" w:hAnsi="Palatino Linotype" w:cs="Palatino Linotype"/>
          <w:sz w:val="22"/>
          <w:szCs w:val="22"/>
        </w:rPr>
        <w:t xml:space="preserve"> en ese sentido, para acreditar la causal de reserva en comento, los Lineamientos Generales, prevén lo siguiente:</w:t>
      </w:r>
    </w:p>
    <w:p w14:paraId="04FE927A"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rPr>
      </w:pPr>
    </w:p>
    <w:p w14:paraId="3546147C"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i/>
        </w:rPr>
      </w:pPr>
      <w:r w:rsidRPr="00CE1A90">
        <w:rPr>
          <w:rFonts w:ascii="Palatino Linotype" w:eastAsia="Palatino Linotype" w:hAnsi="Palatino Linotype" w:cs="Palatino Linotype"/>
          <w:i/>
        </w:rPr>
        <w:t xml:space="preserve">“Vigésimo sexto. De conformidad con el artículo 113, fracción VII de la Ley General, podrá considerarse como información reservada, </w:t>
      </w:r>
      <w:r w:rsidRPr="00CE1A90">
        <w:rPr>
          <w:rFonts w:ascii="Palatino Linotype" w:eastAsia="Palatino Linotype" w:hAnsi="Palatino Linotype" w:cs="Palatino Linotype"/>
          <w:i/>
          <w:u w:val="single"/>
        </w:rPr>
        <w:t>aquella que obstruya la prevención de delitos al obstaculizar las acciones implementadas por las autoridades para evitar su comisión, o menoscabar o limitar la capacidad de las autoridades para evitar la comisión de delito</w:t>
      </w:r>
      <w:r w:rsidRPr="00CE1A90">
        <w:rPr>
          <w:rFonts w:ascii="Palatino Linotype" w:eastAsia="Palatino Linotype" w:hAnsi="Palatino Linotype" w:cs="Palatino Linotype"/>
          <w:i/>
        </w:rPr>
        <w:t>s.</w:t>
      </w:r>
    </w:p>
    <w:p w14:paraId="5C8C9B6F"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i/>
        </w:rPr>
      </w:pPr>
    </w:p>
    <w:p w14:paraId="1933C89E"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i/>
        </w:rPr>
      </w:pPr>
      <w:r w:rsidRPr="00CE1A90">
        <w:rPr>
          <w:rFonts w:ascii="Palatino Linotype" w:eastAsia="Palatino Linotype" w:hAnsi="Palatino Linotype" w:cs="Palatino Linotype"/>
          <w:i/>
        </w:rPr>
        <w:lastRenderedPageBreak/>
        <w:t xml:space="preserve"> Para que se verifique el supuesto de reserva, cuando se cause un perjuicio a las actividades de persecución de los delitos, deben de actualizarse los siguientes elementos: </w:t>
      </w:r>
    </w:p>
    <w:p w14:paraId="72A42053"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i/>
        </w:rPr>
      </w:pPr>
    </w:p>
    <w:p w14:paraId="1D790292"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i/>
        </w:rPr>
      </w:pPr>
      <w:r w:rsidRPr="00CE1A90">
        <w:rPr>
          <w:rFonts w:ascii="Palatino Linotype" w:eastAsia="Palatino Linotype" w:hAnsi="Palatino Linotype" w:cs="Palatino Linotype"/>
          <w:i/>
        </w:rPr>
        <w:t>I. La existencia de un proceso penal en sustanciación o una carpeta de investigación en trámite;</w:t>
      </w:r>
    </w:p>
    <w:p w14:paraId="46645C9A"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i/>
        </w:rPr>
      </w:pPr>
      <w:r w:rsidRPr="00CE1A90">
        <w:rPr>
          <w:rFonts w:ascii="Palatino Linotype" w:eastAsia="Palatino Linotype" w:hAnsi="Palatino Linotype" w:cs="Palatino Linotype"/>
          <w:i/>
        </w:rPr>
        <w:t xml:space="preserve"> II. Que se acredite el vínculo que existe entre la información solicitada y la carpeta de investigación, o el proceso penal, según sea el caso, y</w:t>
      </w:r>
    </w:p>
    <w:p w14:paraId="13415751" w14:textId="77777777" w:rsidR="0038315D" w:rsidRPr="00CE1A90" w:rsidRDefault="0038315D" w:rsidP="0038315D">
      <w:pPr>
        <w:spacing w:line="360" w:lineRule="auto"/>
        <w:ind w:left="567" w:right="539"/>
        <w:contextualSpacing/>
        <w:jc w:val="both"/>
        <w:rPr>
          <w:rFonts w:ascii="Palatino Linotype" w:eastAsia="Palatino Linotype" w:hAnsi="Palatino Linotype" w:cs="Palatino Linotype"/>
          <w:i/>
        </w:rPr>
      </w:pPr>
      <w:r w:rsidRPr="00CE1A90">
        <w:rPr>
          <w:rFonts w:ascii="Palatino Linotype" w:eastAsia="Palatino Linotype" w:hAnsi="Palatino Linotype" w:cs="Palatino Linotype"/>
          <w:i/>
        </w:rPr>
        <w:t xml:space="preserve"> III. Que la difusión de la información pueda impedir u obstruir las funciones que ejerce el Ministerio Público o su equivalente durante la etapa de investigación o ante los tribunales judiciales con motivo del ejercicio de la acción penal.”</w:t>
      </w:r>
    </w:p>
    <w:p w14:paraId="4CBF69F5"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6650CA4C"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De lo citado, se desprende que hay dos supuestos en la causal de clasificación, con diferentes circunstancias para su acreditación, conforme a lo siguiente:</w:t>
      </w:r>
    </w:p>
    <w:p w14:paraId="446DADD6"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3EB2B79E" w14:textId="77777777" w:rsidR="0038315D" w:rsidRPr="00CE1A90" w:rsidRDefault="0038315D" w:rsidP="0038315D">
      <w:pPr>
        <w:numPr>
          <w:ilvl w:val="0"/>
          <w:numId w:val="32"/>
        </w:num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b/>
          <w:sz w:val="22"/>
          <w:szCs w:val="22"/>
        </w:rPr>
        <w:t>Prevención de delitos:</w:t>
      </w:r>
      <w:r w:rsidRPr="00CE1A90">
        <w:rPr>
          <w:rFonts w:ascii="Palatino Linotype" w:eastAsia="Palatino Linotype" w:hAnsi="Palatino Linotype" w:cs="Palatino Linotype"/>
          <w:sz w:val="22"/>
          <w:szCs w:val="22"/>
        </w:rPr>
        <w:t xml:space="preserve"> Para actualizar la reserva por dicha figura, la información solicitada debe vincularse a la </w:t>
      </w:r>
      <w:r w:rsidRPr="00CE1A90">
        <w:rPr>
          <w:rFonts w:ascii="Palatino Linotype" w:eastAsia="Palatino Linotype" w:hAnsi="Palatino Linotype" w:cs="Palatino Linotype"/>
          <w:b/>
          <w:sz w:val="22"/>
          <w:szCs w:val="22"/>
        </w:rPr>
        <w:t>afectación a las acciones implementadas por las autoridades para evitar su comisión, o menoscabar o limitar la capacidad de las autoridades para evitar la comisión de delitos</w:t>
      </w:r>
      <w:r w:rsidRPr="00CE1A90">
        <w:rPr>
          <w:rFonts w:ascii="Palatino Linotype" w:eastAsia="Palatino Linotype" w:hAnsi="Palatino Linotype" w:cs="Palatino Linotype"/>
          <w:sz w:val="22"/>
          <w:szCs w:val="22"/>
        </w:rPr>
        <w:t xml:space="preserve">¸ y </w:t>
      </w:r>
    </w:p>
    <w:p w14:paraId="693B102C" w14:textId="77777777" w:rsidR="0038315D" w:rsidRPr="00CE1A90" w:rsidRDefault="0038315D" w:rsidP="0038315D">
      <w:pPr>
        <w:spacing w:line="360" w:lineRule="auto"/>
        <w:ind w:left="720"/>
        <w:contextualSpacing/>
        <w:jc w:val="both"/>
        <w:rPr>
          <w:rFonts w:ascii="Palatino Linotype" w:eastAsia="Palatino Linotype" w:hAnsi="Palatino Linotype" w:cs="Palatino Linotype"/>
          <w:sz w:val="22"/>
          <w:szCs w:val="22"/>
        </w:rPr>
      </w:pPr>
    </w:p>
    <w:p w14:paraId="19E857C8" w14:textId="77777777" w:rsidR="0038315D" w:rsidRPr="00CE1A90" w:rsidRDefault="0038315D" w:rsidP="0038315D">
      <w:pPr>
        <w:numPr>
          <w:ilvl w:val="0"/>
          <w:numId w:val="32"/>
        </w:num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b/>
          <w:sz w:val="22"/>
          <w:szCs w:val="22"/>
        </w:rPr>
        <w:t>Persecución de delitos</w:t>
      </w:r>
      <w:r w:rsidRPr="00CE1A90">
        <w:rPr>
          <w:rFonts w:ascii="Palatino Linotype" w:eastAsia="Palatino Linotype" w:hAnsi="Palatino Linotype" w:cs="Palatino Linotype"/>
          <w:sz w:val="22"/>
          <w:szCs w:val="22"/>
        </w:rPr>
        <w:t>: Para acreditar dicha figura, deben configurarse los siguientes elementos.</w:t>
      </w:r>
    </w:p>
    <w:p w14:paraId="017C4770" w14:textId="77777777" w:rsidR="0038315D" w:rsidRPr="00CE1A90" w:rsidRDefault="0038315D" w:rsidP="0038315D">
      <w:pPr>
        <w:spacing w:line="360" w:lineRule="auto"/>
        <w:ind w:left="851"/>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 xml:space="preserve">a. La existencia de un proceso penal en sustanciación o una carpeta de investigación en trámite; </w:t>
      </w:r>
    </w:p>
    <w:p w14:paraId="17CD3482" w14:textId="77777777" w:rsidR="0038315D" w:rsidRPr="00CE1A90" w:rsidRDefault="0038315D" w:rsidP="0038315D">
      <w:pPr>
        <w:spacing w:line="360" w:lineRule="auto"/>
        <w:ind w:left="851"/>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 xml:space="preserve">b. Que se acredite el vínculo que existe entre la información solicitada y la carpeta de investigación, o el proceso penal, según sea el caso, y </w:t>
      </w:r>
    </w:p>
    <w:p w14:paraId="36642822" w14:textId="77777777" w:rsidR="0038315D" w:rsidRPr="00CE1A90" w:rsidRDefault="0038315D" w:rsidP="0038315D">
      <w:pPr>
        <w:spacing w:line="360" w:lineRule="auto"/>
        <w:ind w:left="851"/>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c. Que la difusión de la información pueda impedir u obstruir las funciones que ejerce el Ministerio Público o su equivalente durante la etapa de investigación o ante los tribunales judiciales con motivo del ejercicio de la acción penal.</w:t>
      </w:r>
    </w:p>
    <w:p w14:paraId="3B647B94"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18E5A90C"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lastRenderedPageBreak/>
        <w:t xml:space="preserve">Conforme a lo anterior, se advierte que </w:t>
      </w:r>
      <w:r w:rsidRPr="00CE1A90">
        <w:rPr>
          <w:rFonts w:ascii="Palatino Linotype" w:eastAsia="Palatino Linotype" w:hAnsi="Palatino Linotype" w:cs="Palatino Linotype"/>
          <w:b/>
          <w:sz w:val="22"/>
          <w:szCs w:val="22"/>
        </w:rPr>
        <w:t>la prevención y persecución son conceptos diferentes</w:t>
      </w:r>
      <w:r w:rsidRPr="00CE1A90">
        <w:rPr>
          <w:rFonts w:ascii="Palatino Linotype" w:eastAsia="Palatino Linotype" w:hAnsi="Palatino Linotype" w:cs="Palatino Linotype"/>
          <w:sz w:val="22"/>
          <w:szCs w:val="22"/>
        </w:rPr>
        <w:t xml:space="preserve"> pues, el primero se refiere a </w:t>
      </w:r>
      <w:r w:rsidRPr="00CE1A90">
        <w:rPr>
          <w:rFonts w:ascii="Palatino Linotype" w:eastAsia="Palatino Linotype" w:hAnsi="Palatino Linotype" w:cs="Palatino Linotype"/>
          <w:b/>
          <w:sz w:val="22"/>
          <w:szCs w:val="22"/>
        </w:rPr>
        <w:t>evitar la comisión de delitos</w:t>
      </w:r>
      <w:r w:rsidRPr="00CE1A90">
        <w:rPr>
          <w:rFonts w:ascii="Palatino Linotype" w:eastAsia="Palatino Linotype" w:hAnsi="Palatino Linotype" w:cs="Palatino Linotype"/>
          <w:sz w:val="22"/>
          <w:szCs w:val="22"/>
        </w:rPr>
        <w:t xml:space="preserve">, mientras que el segundo se invoca </w:t>
      </w:r>
      <w:r w:rsidRPr="00CE1A90">
        <w:rPr>
          <w:rFonts w:ascii="Palatino Linotype" w:eastAsia="Palatino Linotype" w:hAnsi="Palatino Linotype" w:cs="Palatino Linotype"/>
          <w:b/>
          <w:sz w:val="22"/>
          <w:szCs w:val="22"/>
        </w:rPr>
        <w:t>una vez constituida la conducta ilícita</w:t>
      </w:r>
      <w:r w:rsidRPr="00CE1A90">
        <w:rPr>
          <w:rFonts w:ascii="Palatino Linotype" w:eastAsia="Palatino Linotype" w:hAnsi="Palatino Linotype" w:cs="Palatino Linotype"/>
          <w:sz w:val="22"/>
          <w:szCs w:val="22"/>
        </w:rPr>
        <w:t>; por lo que, se procederá analizar si la información requerida actualiza el primer supuesto establecido.</w:t>
      </w:r>
    </w:p>
    <w:p w14:paraId="3D92E164"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46DD7D5D" w14:textId="77777777" w:rsidR="0038315D" w:rsidRPr="00CE1A90" w:rsidRDefault="0038315D" w:rsidP="0038315D">
      <w:pPr>
        <w:tabs>
          <w:tab w:val="num" w:pos="720"/>
        </w:tabs>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La clasificación de la presente información es para evitar que se vulnere la logística interna y los protocolos de seguridad de los centros penitenciarios en los que se distribuye el servicio de agua, ya que de hacerlos públicos pueden facilitar motines o disturbios al concentrar internos en un lugar y momento específico, podrían permitir emboscadas al personal penitenciario, así como, la planificación de intentos de fuga, además de que se pudieran exponer vulnerabilidades operativas de los Centros penitenciarios.</w:t>
      </w:r>
    </w:p>
    <w:p w14:paraId="3A1F2FED"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597E7A74"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 xml:space="preserve">De tal suerte, y al actualizarse los requisitos establecidos en los Lineamientos Generales, se considera que se acredita la causal de clasificación, establecida en los artículos 140, fracción VI, de la Ley de Transparencia y Acceso a la Información Pública del Estado de México y Municipios, por lo que al entregar el Contrato interés del solicitante deberá clasificar como reservado el ANEXO UNO-B Lugares de prestación del servicio, que forma parte del contrato CS/A/1/2025. </w:t>
      </w:r>
    </w:p>
    <w:p w14:paraId="642C886F"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1B7AF16E"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68CBA0A"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6FC9EA7F" w14:textId="77777777" w:rsidR="0038315D" w:rsidRPr="00CE1A90" w:rsidRDefault="0038315D" w:rsidP="0038315D">
      <w:pPr>
        <w:numPr>
          <w:ilvl w:val="0"/>
          <w:numId w:val="33"/>
        </w:num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 xml:space="preserve">La divulgación de la información representa un riesgo real, demostrable e identificable de perjuicio significativo al interés público o a la seguridad nacional. </w:t>
      </w:r>
    </w:p>
    <w:p w14:paraId="3035F450" w14:textId="77777777" w:rsidR="0038315D" w:rsidRPr="00CE1A90" w:rsidRDefault="0038315D" w:rsidP="0038315D">
      <w:pPr>
        <w:numPr>
          <w:ilvl w:val="0"/>
          <w:numId w:val="33"/>
        </w:num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 xml:space="preserve">El riesgo de perjuicio supera el interés público general de que se difunda. </w:t>
      </w:r>
    </w:p>
    <w:p w14:paraId="20EA6360" w14:textId="77777777" w:rsidR="0038315D" w:rsidRPr="00CE1A90" w:rsidRDefault="0038315D" w:rsidP="0038315D">
      <w:pPr>
        <w:numPr>
          <w:ilvl w:val="0"/>
          <w:numId w:val="33"/>
        </w:num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lastRenderedPageBreak/>
        <w:t>Que la limitación se adecua al principio de proporcionalidad y representa el medio menos restrictivo disponible para evitar el perjuicio.</w:t>
      </w:r>
    </w:p>
    <w:p w14:paraId="5AF32A32"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3DA6B594"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3F90BA72"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Sobre el tema,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2E4D6C6D"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6B45503C" w14:textId="77777777" w:rsidR="0038315D" w:rsidRPr="00CE1A90" w:rsidRDefault="0038315D" w:rsidP="0038315D">
      <w:pPr>
        <w:numPr>
          <w:ilvl w:val="0"/>
          <w:numId w:val="34"/>
        </w:num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Confirmar la clasificación;</w:t>
      </w:r>
    </w:p>
    <w:p w14:paraId="5D24084E"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4A5F7193" w14:textId="77777777" w:rsidR="0038315D" w:rsidRPr="00CE1A90" w:rsidRDefault="0038315D" w:rsidP="0038315D">
      <w:pPr>
        <w:numPr>
          <w:ilvl w:val="0"/>
          <w:numId w:val="34"/>
        </w:num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Modificar la clasificación y, otorgar total o parcialmente el acceso a la información, o</w:t>
      </w:r>
    </w:p>
    <w:p w14:paraId="4A94FB0E"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50701C14" w14:textId="77777777" w:rsidR="0038315D" w:rsidRPr="00CE1A90" w:rsidRDefault="0038315D" w:rsidP="0038315D">
      <w:pPr>
        <w:numPr>
          <w:ilvl w:val="0"/>
          <w:numId w:val="34"/>
        </w:num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Revocar la clasificación y conceder el acceso a la información.</w:t>
      </w:r>
    </w:p>
    <w:p w14:paraId="77F21CDB"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1E49E57D" w14:textId="77777777" w:rsidR="0038315D" w:rsidRPr="00CE1A90" w:rsidRDefault="0038315D" w:rsidP="0038315D">
      <w:pPr>
        <w:spacing w:line="360" w:lineRule="auto"/>
        <w:contextualSpacing/>
        <w:jc w:val="both"/>
        <w:rPr>
          <w:rFonts w:ascii="Palatino Linotype" w:eastAsia="Palatino Linotype" w:hAnsi="Palatino Linotype" w:cs="Palatino Linotype"/>
          <w:bCs/>
          <w:iCs/>
          <w:sz w:val="22"/>
          <w:szCs w:val="22"/>
        </w:rPr>
      </w:pPr>
      <w:r w:rsidRPr="00CE1A90">
        <w:rPr>
          <w:rFonts w:ascii="Palatino Linotype" w:eastAsia="Palatino Linotype" w:hAnsi="Palatino Linotype" w:cs="Palatino Linotype"/>
          <w:sz w:val="22"/>
          <w:szCs w:val="22"/>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w:t>
      </w:r>
      <w:r w:rsidRPr="00CE1A90">
        <w:rPr>
          <w:rFonts w:ascii="Palatino Linotype" w:eastAsia="Palatino Linotype" w:hAnsi="Palatino Linotype" w:cs="Palatino Linotype"/>
          <w:sz w:val="22"/>
          <w:szCs w:val="22"/>
        </w:rPr>
        <w:lastRenderedPageBreak/>
        <w:t>por lo que, en el presente caso, deberá proporcionar el acuerdo emitido por el Comité de Transparencia, en donde de manera fundada y motivada, a través de la respectiva prueba de daño, confirme la clasificación como reservada de lo solicitado, en atención a lo analizado en el presente CONSIDERANDO.</w:t>
      </w:r>
    </w:p>
    <w:p w14:paraId="13F59D7E" w14:textId="77777777" w:rsidR="0038315D" w:rsidRPr="00CE1A90" w:rsidRDefault="0038315D" w:rsidP="0038315D">
      <w:pPr>
        <w:spacing w:line="360" w:lineRule="auto"/>
        <w:contextualSpacing/>
        <w:jc w:val="both"/>
        <w:rPr>
          <w:rFonts w:ascii="Palatino Linotype" w:eastAsia="Palatino Linotype" w:hAnsi="Palatino Linotype" w:cs="Palatino Linotype"/>
          <w:bCs/>
          <w:iCs/>
          <w:sz w:val="22"/>
          <w:szCs w:val="22"/>
        </w:rPr>
      </w:pPr>
    </w:p>
    <w:p w14:paraId="50A79D46" w14:textId="77777777" w:rsidR="0038315D" w:rsidRPr="00CE1A90" w:rsidRDefault="0038315D" w:rsidP="0038315D">
      <w:pPr>
        <w:spacing w:line="360" w:lineRule="auto"/>
        <w:ind w:right="-93"/>
        <w:jc w:val="both"/>
        <w:rPr>
          <w:rFonts w:ascii="Palatino Linotype" w:eastAsia="Calibri" w:hAnsi="Palatino Linotype" w:cs="Tahoma"/>
          <w:bCs/>
          <w:iCs/>
          <w:sz w:val="22"/>
          <w:szCs w:val="22"/>
          <w:lang w:eastAsia="es-ES_tradnl"/>
        </w:rPr>
      </w:pPr>
      <w:r w:rsidRPr="00CE1A90">
        <w:rPr>
          <w:rFonts w:ascii="Palatino Linotype" w:eastAsia="Calibri" w:hAnsi="Palatino Linotype" w:cs="Tahoma"/>
          <w:bCs/>
          <w:iCs/>
          <w:sz w:val="22"/>
          <w:szCs w:val="22"/>
          <w:lang w:eastAsia="es-ES_tradnl"/>
        </w:rPr>
        <w:t>Aunado a lo anterior, de la revisión del contrato CS/A/1/2025, se advierte que se clasificaron diversos datos incluidos el domicilio fiscal de la empresa que brinda el servicio, así como la firma del representante legal, datos que no son considerados confidenciales de acuerdo a las siguientes consideraciones:</w:t>
      </w:r>
    </w:p>
    <w:p w14:paraId="4949709A" w14:textId="77777777" w:rsidR="0038315D" w:rsidRPr="00CE1A90" w:rsidRDefault="0038315D" w:rsidP="0038315D">
      <w:pPr>
        <w:spacing w:line="360" w:lineRule="auto"/>
        <w:ind w:right="-93"/>
        <w:jc w:val="both"/>
        <w:rPr>
          <w:rFonts w:ascii="Palatino Linotype" w:eastAsia="Calibri" w:hAnsi="Palatino Linotype" w:cs="Tahoma"/>
          <w:bCs/>
          <w:iCs/>
          <w:sz w:val="22"/>
          <w:szCs w:val="22"/>
          <w:lang w:eastAsia="es-ES_tradnl"/>
        </w:rPr>
      </w:pPr>
    </w:p>
    <w:p w14:paraId="2171AC8C" w14:textId="77777777" w:rsidR="0038315D" w:rsidRPr="00CE1A90" w:rsidRDefault="0038315D" w:rsidP="0038315D">
      <w:pPr>
        <w:pStyle w:val="Prrafodelista"/>
        <w:numPr>
          <w:ilvl w:val="0"/>
          <w:numId w:val="36"/>
        </w:numPr>
        <w:spacing w:line="360" w:lineRule="auto"/>
        <w:ind w:right="-93"/>
        <w:jc w:val="both"/>
        <w:rPr>
          <w:rFonts w:ascii="Palatino Linotype" w:eastAsia="Calibri" w:hAnsi="Palatino Linotype" w:cs="Tahoma"/>
          <w:b/>
          <w:bCs/>
          <w:iCs/>
          <w:szCs w:val="22"/>
          <w:lang w:eastAsia="es-ES_tradnl"/>
        </w:rPr>
      </w:pPr>
      <w:r w:rsidRPr="00CE1A90">
        <w:rPr>
          <w:rFonts w:ascii="Palatino Linotype" w:eastAsia="Calibri" w:hAnsi="Palatino Linotype" w:cs="Tahoma"/>
          <w:b/>
          <w:bCs/>
          <w:iCs/>
          <w:szCs w:val="22"/>
          <w:lang w:eastAsia="es-ES_tradnl"/>
        </w:rPr>
        <w:t>Nombre y firma de Representante Legal</w:t>
      </w:r>
    </w:p>
    <w:p w14:paraId="20F54037" w14:textId="77777777" w:rsidR="0038315D" w:rsidRPr="00CE1A90" w:rsidRDefault="0038315D" w:rsidP="0038315D">
      <w:pPr>
        <w:spacing w:line="360" w:lineRule="auto"/>
        <w:ind w:right="-93"/>
        <w:jc w:val="both"/>
        <w:rPr>
          <w:rFonts w:ascii="Palatino Linotype" w:eastAsia="Calibri" w:hAnsi="Palatino Linotype" w:cs="Tahoma"/>
          <w:bCs/>
          <w:iCs/>
          <w:sz w:val="22"/>
          <w:szCs w:val="22"/>
          <w:lang w:eastAsia="es-ES_tradnl"/>
        </w:rPr>
      </w:pPr>
      <w:r w:rsidRPr="00CE1A90">
        <w:rPr>
          <w:rFonts w:ascii="Palatino Linotype" w:eastAsia="Calibri" w:hAnsi="Palatino Linotype" w:cs="Tahoma"/>
          <w:bCs/>
          <w:iCs/>
          <w:sz w:val="22"/>
          <w:szCs w:val="22"/>
          <w:lang w:eastAsia="es-ES_tradnl"/>
        </w:rPr>
        <w:t> </w:t>
      </w:r>
    </w:p>
    <w:p w14:paraId="7BAD5126" w14:textId="77777777" w:rsidR="0038315D" w:rsidRPr="00CE1A90" w:rsidRDefault="0038315D" w:rsidP="0038315D">
      <w:pPr>
        <w:spacing w:line="360" w:lineRule="auto"/>
        <w:ind w:right="-93"/>
        <w:jc w:val="both"/>
        <w:rPr>
          <w:rFonts w:ascii="Palatino Linotype" w:eastAsia="Calibri" w:hAnsi="Palatino Linotype" w:cs="Tahoma"/>
          <w:bCs/>
          <w:iCs/>
          <w:sz w:val="22"/>
          <w:szCs w:val="22"/>
          <w:lang w:eastAsia="es-ES_tradnl"/>
        </w:rPr>
      </w:pPr>
      <w:r w:rsidRPr="00CE1A90">
        <w:rPr>
          <w:rFonts w:ascii="Palatino Linotype" w:eastAsia="Calibri" w:hAnsi="Palatino Linotype" w:cs="Tahoma"/>
          <w:bCs/>
          <w:iCs/>
          <w:sz w:val="22"/>
          <w:szCs w:val="22"/>
          <w:lang w:eastAsia="es-ES_tradnl"/>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obtener la autorización de construcción y de uso de suelo.</w:t>
      </w:r>
    </w:p>
    <w:p w14:paraId="430F1079" w14:textId="77777777" w:rsidR="0038315D" w:rsidRPr="00CE1A90" w:rsidRDefault="0038315D" w:rsidP="0038315D">
      <w:pPr>
        <w:spacing w:line="360" w:lineRule="auto"/>
        <w:ind w:right="-93"/>
        <w:jc w:val="both"/>
        <w:rPr>
          <w:rFonts w:ascii="Palatino Linotype" w:eastAsia="Calibri" w:hAnsi="Palatino Linotype" w:cs="Tahoma"/>
          <w:bCs/>
          <w:iCs/>
          <w:sz w:val="22"/>
          <w:szCs w:val="22"/>
          <w:lang w:eastAsia="es-ES_tradnl"/>
        </w:rPr>
      </w:pPr>
      <w:r w:rsidRPr="00CE1A90">
        <w:rPr>
          <w:rFonts w:ascii="Palatino Linotype" w:eastAsia="Calibri" w:hAnsi="Palatino Linotype" w:cs="Tahoma"/>
          <w:bCs/>
          <w:iCs/>
          <w:sz w:val="22"/>
          <w:szCs w:val="22"/>
          <w:lang w:eastAsia="es-ES_tradnl"/>
        </w:rPr>
        <w:t> </w:t>
      </w:r>
    </w:p>
    <w:p w14:paraId="33F7BA90" w14:textId="77777777" w:rsidR="0038315D" w:rsidRPr="00CE1A90" w:rsidRDefault="0038315D" w:rsidP="0038315D">
      <w:pPr>
        <w:spacing w:line="360" w:lineRule="auto"/>
        <w:ind w:right="-93"/>
        <w:jc w:val="both"/>
        <w:rPr>
          <w:rFonts w:ascii="Palatino Linotype" w:eastAsia="Calibri" w:hAnsi="Palatino Linotype" w:cs="Tahoma"/>
          <w:bCs/>
          <w:iCs/>
          <w:sz w:val="22"/>
          <w:szCs w:val="22"/>
          <w:lang w:eastAsia="es-ES_tradnl"/>
        </w:rPr>
      </w:pPr>
      <w:r w:rsidRPr="00CE1A90">
        <w:rPr>
          <w:rFonts w:ascii="Palatino Linotype" w:eastAsia="Calibri" w:hAnsi="Palatino Linotype" w:cs="Tahoma"/>
          <w:bCs/>
          <w:iCs/>
          <w:sz w:val="22"/>
          <w:szCs w:val="22"/>
          <w:lang w:eastAsia="es-ES_tradnl"/>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41BD0087" w14:textId="77777777" w:rsidR="0038315D" w:rsidRPr="00CE1A90" w:rsidRDefault="0038315D" w:rsidP="0038315D">
      <w:pPr>
        <w:spacing w:line="360" w:lineRule="auto"/>
        <w:ind w:right="-93"/>
        <w:jc w:val="both"/>
        <w:rPr>
          <w:rFonts w:ascii="Palatino Linotype" w:eastAsia="Calibri" w:hAnsi="Palatino Linotype" w:cs="Tahoma"/>
          <w:iCs/>
          <w:sz w:val="22"/>
          <w:szCs w:val="22"/>
          <w:lang w:eastAsia="es-ES_tradnl"/>
        </w:rPr>
      </w:pPr>
      <w:r w:rsidRPr="00CE1A90">
        <w:rPr>
          <w:rFonts w:ascii="Palatino Linotype" w:eastAsia="Calibri" w:hAnsi="Palatino Linotype" w:cs="Tahoma"/>
          <w:iCs/>
          <w:sz w:val="22"/>
          <w:szCs w:val="22"/>
          <w:lang w:val="es-ES" w:eastAsia="es-ES_tradnl"/>
        </w:rPr>
        <w:t> </w:t>
      </w:r>
    </w:p>
    <w:p w14:paraId="0ACA0932" w14:textId="77777777" w:rsidR="0038315D" w:rsidRPr="00CE1A90" w:rsidRDefault="0038315D" w:rsidP="0038315D">
      <w:pPr>
        <w:spacing w:line="360" w:lineRule="auto"/>
        <w:ind w:right="-93"/>
        <w:jc w:val="both"/>
        <w:rPr>
          <w:rFonts w:ascii="Palatino Linotype" w:eastAsia="Calibri" w:hAnsi="Palatino Linotype" w:cs="Tahoma"/>
          <w:iCs/>
          <w:sz w:val="22"/>
          <w:szCs w:val="22"/>
          <w:lang w:eastAsia="es-ES_tradnl"/>
        </w:rPr>
      </w:pPr>
      <w:r w:rsidRPr="00CE1A90">
        <w:rPr>
          <w:rFonts w:ascii="Palatino Linotype" w:eastAsia="Calibri" w:hAnsi="Palatino Linotype" w:cs="Tahoma"/>
          <w:iCs/>
          <w:sz w:val="22"/>
          <w:szCs w:val="22"/>
          <w:lang w:val="es-ES" w:eastAsia="es-ES_tradnl"/>
        </w:rPr>
        <w:lastRenderedPageBreak/>
        <w:t>En esa tesitura, la representación de las personas morales se realizará por medio de representantes o apoderados, y en el caso específico de las sociedades mercantiles, dicha representación se otorgará mediante instrumento público.</w:t>
      </w:r>
    </w:p>
    <w:p w14:paraId="03CF87F4" w14:textId="77777777" w:rsidR="0038315D" w:rsidRPr="00CE1A90" w:rsidRDefault="0038315D" w:rsidP="0038315D">
      <w:pPr>
        <w:spacing w:line="360" w:lineRule="auto"/>
        <w:ind w:right="-93"/>
        <w:jc w:val="both"/>
        <w:rPr>
          <w:rFonts w:ascii="Palatino Linotype" w:eastAsia="Calibri" w:hAnsi="Palatino Linotype" w:cs="Tahoma"/>
          <w:iCs/>
          <w:sz w:val="22"/>
          <w:szCs w:val="22"/>
          <w:lang w:eastAsia="es-ES_tradnl"/>
        </w:rPr>
      </w:pPr>
      <w:r w:rsidRPr="00CE1A90">
        <w:rPr>
          <w:rFonts w:ascii="Palatino Linotype" w:eastAsia="Calibri" w:hAnsi="Palatino Linotype" w:cs="Tahoma"/>
          <w:iCs/>
          <w:sz w:val="22"/>
          <w:szCs w:val="22"/>
          <w:lang w:val="es-ES" w:eastAsia="es-ES_tradnl"/>
        </w:rPr>
        <w:t> </w:t>
      </w:r>
    </w:p>
    <w:p w14:paraId="4B9F4560" w14:textId="77777777" w:rsidR="0038315D" w:rsidRPr="00CE1A90" w:rsidRDefault="0038315D" w:rsidP="0038315D">
      <w:pPr>
        <w:spacing w:line="360" w:lineRule="auto"/>
        <w:ind w:right="-93"/>
        <w:jc w:val="both"/>
        <w:rPr>
          <w:rFonts w:ascii="Palatino Linotype" w:eastAsia="Calibri" w:hAnsi="Palatino Linotype" w:cs="Tahoma"/>
          <w:iCs/>
          <w:sz w:val="22"/>
          <w:szCs w:val="22"/>
          <w:lang w:eastAsia="es-ES_tradnl"/>
        </w:rPr>
      </w:pPr>
      <w:r w:rsidRPr="00CE1A90">
        <w:rPr>
          <w:rFonts w:ascii="Palatino Linotype" w:eastAsia="Calibri" w:hAnsi="Palatino Linotype" w:cs="Tahoma"/>
          <w:iCs/>
          <w:sz w:val="22"/>
          <w:szCs w:val="22"/>
          <w:lang w:val="es-ES" w:eastAsia="es-ES_tradnl"/>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38355462" w14:textId="77777777" w:rsidR="0038315D" w:rsidRPr="00CE1A90" w:rsidRDefault="0038315D" w:rsidP="0038315D">
      <w:pPr>
        <w:spacing w:line="360" w:lineRule="auto"/>
        <w:ind w:right="-93"/>
        <w:jc w:val="both"/>
        <w:rPr>
          <w:rFonts w:ascii="Palatino Linotype" w:eastAsia="Calibri" w:hAnsi="Palatino Linotype" w:cs="Tahoma"/>
          <w:iCs/>
          <w:sz w:val="22"/>
          <w:szCs w:val="22"/>
          <w:lang w:eastAsia="es-ES_tradnl"/>
        </w:rPr>
      </w:pPr>
      <w:r w:rsidRPr="00CE1A90">
        <w:rPr>
          <w:rFonts w:ascii="Palatino Linotype" w:eastAsia="Calibri" w:hAnsi="Palatino Linotype" w:cs="Tahoma"/>
          <w:iCs/>
          <w:sz w:val="22"/>
          <w:szCs w:val="22"/>
          <w:lang w:val="es-ES" w:eastAsia="es-ES_tradnl"/>
        </w:rPr>
        <w:t> </w:t>
      </w:r>
    </w:p>
    <w:p w14:paraId="70F30BA4" w14:textId="77777777" w:rsidR="0038315D" w:rsidRPr="00CE1A90" w:rsidRDefault="0038315D" w:rsidP="0038315D">
      <w:pPr>
        <w:spacing w:line="360" w:lineRule="auto"/>
        <w:ind w:right="-93"/>
        <w:jc w:val="both"/>
        <w:rPr>
          <w:rFonts w:ascii="Palatino Linotype" w:eastAsia="Calibri" w:hAnsi="Palatino Linotype" w:cs="Tahoma"/>
          <w:iCs/>
          <w:sz w:val="22"/>
          <w:szCs w:val="22"/>
          <w:lang w:val="es-ES" w:eastAsia="es-ES_tradnl"/>
        </w:rPr>
      </w:pPr>
      <w:r w:rsidRPr="00CE1A90">
        <w:rPr>
          <w:rFonts w:ascii="Palatino Linotype" w:eastAsia="Calibri" w:hAnsi="Palatino Linotype" w:cs="Tahoma"/>
          <w:iCs/>
          <w:sz w:val="22"/>
          <w:szCs w:val="22"/>
          <w:lang w:val="es-ES" w:eastAsia="es-ES_tradnl"/>
        </w:rPr>
        <w:t>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CE1A90">
        <w:rPr>
          <w:rFonts w:ascii="Palatino Linotype" w:eastAsia="Calibri" w:hAnsi="Palatino Linotype" w:cs="Tahoma"/>
          <w:b/>
          <w:bCs/>
          <w:iCs/>
          <w:sz w:val="22"/>
          <w:szCs w:val="22"/>
          <w:lang w:val="es-ES" w:eastAsia="es-ES_tradnl"/>
        </w:rPr>
        <w:t>es público, </w:t>
      </w:r>
      <w:r w:rsidRPr="00CE1A90">
        <w:rPr>
          <w:rFonts w:ascii="Palatino Linotype" w:eastAsia="Calibri" w:hAnsi="Palatino Linotype" w:cs="Tahoma"/>
          <w:iCs/>
          <w:sz w:val="22"/>
          <w:szCs w:val="22"/>
          <w:lang w:val="es-ES" w:eastAsia="es-ES_tradnl"/>
        </w:rPr>
        <w:t>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w:t>
      </w:r>
    </w:p>
    <w:p w14:paraId="37127CD4" w14:textId="77777777" w:rsidR="0038315D" w:rsidRPr="00CE1A90" w:rsidRDefault="0038315D" w:rsidP="0038315D">
      <w:pPr>
        <w:spacing w:line="360" w:lineRule="auto"/>
        <w:ind w:right="-93"/>
        <w:jc w:val="both"/>
        <w:rPr>
          <w:rFonts w:ascii="Palatino Linotype" w:eastAsia="Calibri" w:hAnsi="Palatino Linotype" w:cs="Tahoma"/>
          <w:iCs/>
          <w:sz w:val="22"/>
          <w:szCs w:val="22"/>
          <w:lang w:eastAsia="es-ES_tradnl"/>
        </w:rPr>
      </w:pPr>
    </w:p>
    <w:p w14:paraId="5B4B9A5E" w14:textId="77777777" w:rsidR="0038315D" w:rsidRPr="00CE1A90" w:rsidRDefault="0038315D" w:rsidP="0038315D">
      <w:pPr>
        <w:spacing w:line="360" w:lineRule="auto"/>
        <w:ind w:right="-93"/>
        <w:jc w:val="both"/>
        <w:rPr>
          <w:rFonts w:ascii="Palatino Linotype" w:eastAsia="Calibri" w:hAnsi="Palatino Linotype" w:cs="Tahoma"/>
          <w:iCs/>
          <w:sz w:val="22"/>
          <w:szCs w:val="22"/>
          <w:lang w:eastAsia="es-ES_tradnl"/>
        </w:rPr>
      </w:pPr>
      <w:r w:rsidRPr="00CE1A90">
        <w:rPr>
          <w:rFonts w:ascii="Palatino Linotype" w:eastAsia="Calibri" w:hAnsi="Palatino Linotype" w:cs="Tahoma"/>
          <w:iCs/>
          <w:sz w:val="22"/>
          <w:szCs w:val="22"/>
          <w:lang w:val="es-ES" w:eastAsia="es-ES_tradnl"/>
        </w:rPr>
        <w:t> Lo anterior, se robustece con el Criterio orientador de Interpretación, de la Segunda Época, con clave de control </w:t>
      </w:r>
      <w:r w:rsidRPr="00CE1A90">
        <w:rPr>
          <w:rFonts w:ascii="Palatino Linotype" w:eastAsia="Calibri" w:hAnsi="Palatino Linotype" w:cs="Tahoma"/>
          <w:iCs/>
          <w:sz w:val="22"/>
          <w:szCs w:val="22"/>
          <w:lang w:eastAsia="es-ES_tradnl"/>
        </w:rPr>
        <w:t>SO/001/2019, </w:t>
      </w:r>
      <w:r w:rsidRPr="00CE1A90">
        <w:rPr>
          <w:rFonts w:ascii="Palatino Linotype" w:eastAsia="Calibri" w:hAnsi="Palatino Linotype" w:cs="Tahoma"/>
          <w:iCs/>
          <w:sz w:val="22"/>
          <w:szCs w:val="22"/>
          <w:lang w:val="es-ES" w:eastAsia="es-ES_tradnl"/>
        </w:rPr>
        <w:t>emitido por el entonces Instituto Nacional de Transparencia, Acceso a la Información y Protección de Datos Personales, que establece lo siguiente:</w:t>
      </w:r>
    </w:p>
    <w:p w14:paraId="7E6E01AE" w14:textId="77777777" w:rsidR="0038315D" w:rsidRPr="00CE1A90" w:rsidRDefault="0038315D" w:rsidP="0038315D">
      <w:pPr>
        <w:spacing w:line="360" w:lineRule="auto"/>
        <w:ind w:right="-93"/>
        <w:jc w:val="both"/>
        <w:rPr>
          <w:rFonts w:ascii="Palatino Linotype" w:eastAsia="Calibri" w:hAnsi="Palatino Linotype" w:cs="Tahoma"/>
          <w:iCs/>
          <w:sz w:val="22"/>
          <w:szCs w:val="22"/>
          <w:lang w:eastAsia="es-ES_tradnl"/>
        </w:rPr>
      </w:pPr>
      <w:r w:rsidRPr="00CE1A90">
        <w:rPr>
          <w:rFonts w:ascii="Palatino Linotype" w:eastAsia="Calibri" w:hAnsi="Palatino Linotype" w:cs="Tahoma"/>
          <w:iCs/>
          <w:sz w:val="22"/>
          <w:szCs w:val="22"/>
          <w:lang w:val="es-ES" w:eastAsia="es-ES_tradnl"/>
        </w:rPr>
        <w:t> </w:t>
      </w:r>
    </w:p>
    <w:p w14:paraId="5D4361E0" w14:textId="77777777" w:rsidR="0038315D" w:rsidRPr="00CE1A90" w:rsidRDefault="0038315D" w:rsidP="0038315D">
      <w:pPr>
        <w:spacing w:line="360" w:lineRule="auto"/>
        <w:ind w:left="567" w:right="539"/>
        <w:jc w:val="both"/>
        <w:rPr>
          <w:rFonts w:ascii="Palatino Linotype" w:eastAsia="Calibri" w:hAnsi="Palatino Linotype" w:cs="Tahoma"/>
          <w:iCs/>
          <w:szCs w:val="22"/>
          <w:lang w:eastAsia="es-ES_tradnl"/>
        </w:rPr>
      </w:pPr>
      <w:r w:rsidRPr="00CE1A90">
        <w:rPr>
          <w:rFonts w:ascii="Palatino Linotype" w:eastAsia="Calibri" w:hAnsi="Palatino Linotype" w:cs="Tahoma"/>
          <w:b/>
          <w:bCs/>
          <w:i/>
          <w:iCs/>
          <w:szCs w:val="22"/>
          <w:lang w:eastAsia="es-ES_tradnl"/>
        </w:rPr>
        <w:t>“Datos de identificación del representante o apoderado legal.</w:t>
      </w:r>
      <w:r w:rsidRPr="00CE1A90">
        <w:rPr>
          <w:rFonts w:ascii="Palatino Linotype" w:eastAsia="Calibri" w:hAnsi="Palatino Linotype" w:cs="Tahoma"/>
          <w:i/>
          <w:iCs/>
          <w:szCs w:val="22"/>
          <w:lang w:eastAsia="es-ES_tradnl"/>
        </w:rPr>
        <w:t> </w:t>
      </w:r>
      <w:r w:rsidRPr="00CE1A90">
        <w:rPr>
          <w:rFonts w:ascii="Palatino Linotype" w:eastAsia="Calibri" w:hAnsi="Palatino Linotype" w:cs="Tahoma"/>
          <w:b/>
          <w:bCs/>
          <w:i/>
          <w:iCs/>
          <w:szCs w:val="22"/>
          <w:lang w:eastAsia="es-ES_tradnl"/>
        </w:rPr>
        <w:t>Naturaleza jurídica. </w:t>
      </w:r>
      <w:r w:rsidRPr="00CE1A90">
        <w:rPr>
          <w:rFonts w:ascii="Palatino Linotype" w:eastAsia="Calibri" w:hAnsi="Palatino Linotype" w:cs="Tahoma"/>
          <w:i/>
          <w:iCs/>
          <w:szCs w:val="22"/>
          <w:lang w:eastAsia="es-ES_tradnl"/>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7D0EBD57" w14:textId="77777777" w:rsidR="0038315D" w:rsidRPr="00CE1A90" w:rsidRDefault="0038315D" w:rsidP="0038315D">
      <w:pPr>
        <w:spacing w:line="360" w:lineRule="auto"/>
        <w:ind w:right="-93"/>
        <w:jc w:val="both"/>
        <w:rPr>
          <w:rFonts w:ascii="Palatino Linotype" w:eastAsia="Calibri" w:hAnsi="Palatino Linotype" w:cs="Tahoma"/>
          <w:iCs/>
          <w:sz w:val="22"/>
          <w:szCs w:val="22"/>
          <w:lang w:eastAsia="es-ES_tradnl"/>
        </w:rPr>
      </w:pPr>
      <w:r w:rsidRPr="00CE1A90">
        <w:rPr>
          <w:rFonts w:ascii="Palatino Linotype" w:eastAsia="Calibri" w:hAnsi="Palatino Linotype" w:cs="Tahoma"/>
          <w:iCs/>
          <w:sz w:val="22"/>
          <w:szCs w:val="22"/>
          <w:lang w:val="es-ES" w:eastAsia="es-ES_tradnl"/>
        </w:rPr>
        <w:lastRenderedPageBreak/>
        <w:t> </w:t>
      </w:r>
    </w:p>
    <w:p w14:paraId="3982B32F" w14:textId="77777777" w:rsidR="0038315D" w:rsidRPr="00CE1A90" w:rsidRDefault="0038315D" w:rsidP="0038315D">
      <w:pPr>
        <w:spacing w:line="360" w:lineRule="auto"/>
        <w:ind w:right="-93"/>
        <w:jc w:val="both"/>
        <w:rPr>
          <w:rFonts w:ascii="Palatino Linotype" w:eastAsia="Calibri" w:hAnsi="Palatino Linotype" w:cs="Tahoma"/>
          <w:iCs/>
          <w:sz w:val="22"/>
          <w:szCs w:val="22"/>
          <w:lang w:val="es-ES" w:eastAsia="es-ES_tradnl"/>
        </w:rPr>
      </w:pPr>
      <w:r w:rsidRPr="00CE1A90">
        <w:rPr>
          <w:rFonts w:ascii="Palatino Linotype" w:eastAsia="Calibri" w:hAnsi="Palatino Linotype" w:cs="Tahoma"/>
          <w:iCs/>
          <w:sz w:val="22"/>
          <w:szCs w:val="22"/>
          <w:lang w:val="es-ES" w:eastAsia="es-ES_tradnl"/>
        </w:rPr>
        <w:t>Ante tales situaciones, el nombre del representante legal, de una persona jurídica colectiva, no es susceptible de ser clasificado como confidencial, en términos del artículo 143, fracción I de la Ley Federal de Transparencia y Acceso a la Información Pública.</w:t>
      </w:r>
    </w:p>
    <w:p w14:paraId="6620E039"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lang w:val="es-ES"/>
        </w:rPr>
      </w:pPr>
    </w:p>
    <w:p w14:paraId="1646D5DB" w14:textId="77777777" w:rsidR="0038315D" w:rsidRPr="00CE1A90" w:rsidRDefault="0038315D" w:rsidP="0038315D">
      <w:pPr>
        <w:numPr>
          <w:ilvl w:val="0"/>
          <w:numId w:val="38"/>
        </w:numPr>
        <w:spacing w:line="360" w:lineRule="auto"/>
        <w:contextualSpacing/>
        <w:jc w:val="both"/>
        <w:rPr>
          <w:rFonts w:ascii="Palatino Linotype" w:eastAsia="Palatino Linotype" w:hAnsi="Palatino Linotype" w:cs="Palatino Linotype"/>
          <w:b/>
          <w:bCs/>
          <w:sz w:val="22"/>
          <w:szCs w:val="22"/>
        </w:rPr>
      </w:pPr>
      <w:r w:rsidRPr="00CE1A90">
        <w:rPr>
          <w:rFonts w:ascii="Palatino Linotype" w:eastAsia="Palatino Linotype" w:hAnsi="Palatino Linotype" w:cs="Palatino Linotype"/>
          <w:b/>
          <w:bCs/>
          <w:sz w:val="22"/>
          <w:szCs w:val="22"/>
        </w:rPr>
        <w:t>Domicilio Fiscal o legal para recibir y oír notificaciones (proveedor o contratista persona física o moral).</w:t>
      </w:r>
    </w:p>
    <w:p w14:paraId="368702A8"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p>
    <w:p w14:paraId="747DC789"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r w:rsidRPr="00CE1A90">
        <w:rPr>
          <w:rFonts w:ascii="Palatino Linotype" w:eastAsia="Palatino Linotype" w:hAnsi="Palatino Linotype" w:cs="Palatino Linotype"/>
          <w:bCs/>
          <w:sz w:val="22"/>
          <w:szCs w:val="22"/>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185CD12D"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p>
    <w:p w14:paraId="3BD16F4F"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r w:rsidRPr="00CE1A90">
        <w:rPr>
          <w:rFonts w:ascii="Palatino Linotype" w:eastAsia="Palatino Linotype" w:hAnsi="Palatino Linotype" w:cs="Palatino Linotype"/>
          <w:bCs/>
          <w:sz w:val="22"/>
          <w:szCs w:val="22"/>
        </w:rPr>
        <w:t>De la misma manera, lo establece los diversos 29 y 33 del Código Civil Federal, al precisar que el domicilio de personas físicas</w:t>
      </w:r>
      <w:r w:rsidRPr="00CE1A90">
        <w:rPr>
          <w:rFonts w:ascii="Palatino Linotype" w:eastAsia="Palatino Linotype" w:hAnsi="Palatino Linotype" w:cs="Palatino Linotype"/>
          <w:b/>
          <w:bCs/>
          <w:sz w:val="22"/>
          <w:szCs w:val="22"/>
        </w:rPr>
        <w:t xml:space="preserve">, es el lugar donde residen habitualmente, el lugar del centro principal de sus negocios, donde residan o el lugar donde se encuentren; </w:t>
      </w:r>
      <w:r w:rsidRPr="00CE1A90">
        <w:rPr>
          <w:rFonts w:ascii="Palatino Linotype" w:eastAsia="Palatino Linotype" w:hAnsi="Palatino Linotype" w:cs="Palatino Linotype"/>
          <w:bCs/>
          <w:sz w:val="22"/>
          <w:szCs w:val="22"/>
        </w:rPr>
        <w:t>mientras que, de las personas morales, aquel donde se halle su administración.</w:t>
      </w:r>
    </w:p>
    <w:p w14:paraId="6CA7F9DF"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r w:rsidRPr="00CE1A90">
        <w:rPr>
          <w:rFonts w:ascii="Palatino Linotype" w:eastAsia="Palatino Linotype" w:hAnsi="Palatino Linotype" w:cs="Palatino Linotype"/>
          <w:bCs/>
          <w:sz w:val="22"/>
          <w:szCs w:val="22"/>
        </w:rPr>
        <w:t>Además, respecto al domicilio fiscal, resulta necesario traer el artículo 10 del Código Fiscal de la Federación, que establece que, tratándose de personas físicas, corresponderá dicho dato:</w:t>
      </w:r>
    </w:p>
    <w:p w14:paraId="0329C77E"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p>
    <w:p w14:paraId="74D6DA67" w14:textId="77777777" w:rsidR="0038315D" w:rsidRPr="00CE1A90" w:rsidRDefault="0038315D" w:rsidP="0038315D">
      <w:pPr>
        <w:numPr>
          <w:ilvl w:val="0"/>
          <w:numId w:val="39"/>
        </w:numPr>
        <w:spacing w:line="360" w:lineRule="auto"/>
        <w:contextualSpacing/>
        <w:jc w:val="both"/>
        <w:rPr>
          <w:rFonts w:ascii="Palatino Linotype" w:eastAsia="Palatino Linotype" w:hAnsi="Palatino Linotype" w:cs="Palatino Linotype"/>
          <w:bCs/>
          <w:sz w:val="22"/>
          <w:szCs w:val="22"/>
        </w:rPr>
      </w:pPr>
      <w:r w:rsidRPr="00CE1A90">
        <w:rPr>
          <w:rFonts w:ascii="Palatino Linotype" w:eastAsia="Palatino Linotype" w:hAnsi="Palatino Linotype" w:cs="Palatino Linotype"/>
          <w:bCs/>
          <w:sz w:val="22"/>
          <w:szCs w:val="22"/>
        </w:rPr>
        <w:t>El lugar donde realizan actividades empresariales, el local, en que se encuentre el principal asiente de sus negocios, y</w:t>
      </w:r>
    </w:p>
    <w:p w14:paraId="71859302"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p>
    <w:p w14:paraId="2C65B2BB" w14:textId="77777777" w:rsidR="0038315D" w:rsidRPr="00CE1A90" w:rsidRDefault="0038315D" w:rsidP="0038315D">
      <w:pPr>
        <w:numPr>
          <w:ilvl w:val="0"/>
          <w:numId w:val="39"/>
        </w:numPr>
        <w:spacing w:line="360" w:lineRule="auto"/>
        <w:contextualSpacing/>
        <w:jc w:val="both"/>
        <w:rPr>
          <w:rFonts w:ascii="Palatino Linotype" w:eastAsia="Palatino Linotype" w:hAnsi="Palatino Linotype" w:cs="Palatino Linotype"/>
          <w:bCs/>
          <w:sz w:val="22"/>
          <w:szCs w:val="22"/>
        </w:rPr>
      </w:pPr>
      <w:r w:rsidRPr="00CE1A90">
        <w:rPr>
          <w:rFonts w:ascii="Palatino Linotype" w:eastAsia="Palatino Linotype" w:hAnsi="Palatino Linotype" w:cs="Palatino Linotype"/>
          <w:bCs/>
          <w:sz w:val="22"/>
          <w:szCs w:val="22"/>
        </w:rPr>
        <w:t>La casa habitación, cuando no cuenta con un local o lugar donde realice las acciones previamente señaladas.</w:t>
      </w:r>
    </w:p>
    <w:p w14:paraId="54868547"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p>
    <w:p w14:paraId="47B3CA5C"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r w:rsidRPr="00CE1A90">
        <w:rPr>
          <w:rFonts w:ascii="Palatino Linotype" w:eastAsia="Palatino Linotype" w:hAnsi="Palatino Linotype" w:cs="Palatino Linotype"/>
          <w:bCs/>
          <w:sz w:val="22"/>
          <w:szCs w:val="22"/>
        </w:rPr>
        <w:lastRenderedPageBreak/>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576715E5"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p>
    <w:p w14:paraId="28BFD04E"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r w:rsidRPr="00CE1A90">
        <w:rPr>
          <w:rFonts w:ascii="Palatino Linotype" w:eastAsia="Palatino Linotype" w:hAnsi="Palatino Linotype" w:cs="Palatino Linotype"/>
          <w:bCs/>
          <w:sz w:val="22"/>
          <w:szCs w:val="22"/>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61A6F934"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p>
    <w:p w14:paraId="5DB33AEC"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r w:rsidRPr="00CE1A90">
        <w:rPr>
          <w:rFonts w:ascii="Palatino Linotype" w:eastAsia="Palatino Linotype" w:hAnsi="Palatino Linotype" w:cs="Palatino Linotype"/>
          <w:bCs/>
          <w:sz w:val="22"/>
          <w:szCs w:val="22"/>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3FE85350"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p>
    <w:p w14:paraId="4ED10D43" w14:textId="77777777" w:rsidR="0038315D" w:rsidRPr="00CE1A90" w:rsidRDefault="0038315D" w:rsidP="0038315D">
      <w:pPr>
        <w:spacing w:line="360" w:lineRule="auto"/>
        <w:contextualSpacing/>
        <w:jc w:val="both"/>
        <w:rPr>
          <w:rFonts w:ascii="Palatino Linotype" w:eastAsia="Palatino Linotype" w:hAnsi="Palatino Linotype" w:cs="Palatino Linotype"/>
          <w:bCs/>
          <w:sz w:val="22"/>
          <w:szCs w:val="22"/>
        </w:rPr>
      </w:pPr>
      <w:r w:rsidRPr="00CE1A90">
        <w:rPr>
          <w:rFonts w:ascii="Palatino Linotype" w:eastAsia="Palatino Linotype" w:hAnsi="Palatino Linotype" w:cs="Palatino Linotype"/>
          <w:bCs/>
          <w:sz w:val="22"/>
          <w:szCs w:val="22"/>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14:paraId="44F69E14"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p>
    <w:p w14:paraId="441B3DD5" w14:textId="77777777" w:rsidR="0038315D" w:rsidRPr="00CE1A90" w:rsidRDefault="0038315D" w:rsidP="0038315D">
      <w:pPr>
        <w:spacing w:line="360" w:lineRule="auto"/>
        <w:contextualSpacing/>
        <w:jc w:val="both"/>
        <w:rPr>
          <w:rFonts w:ascii="Palatino Linotype" w:eastAsia="Palatino Linotype" w:hAnsi="Palatino Linotype" w:cs="Palatino Linotype"/>
          <w:sz w:val="22"/>
          <w:szCs w:val="22"/>
        </w:rPr>
      </w:pPr>
      <w:r w:rsidRPr="00CE1A90">
        <w:rPr>
          <w:rFonts w:ascii="Palatino Linotype" w:eastAsia="Palatino Linotype" w:hAnsi="Palatino Linotype" w:cs="Palatino Linotype"/>
          <w:sz w:val="22"/>
          <w:szCs w:val="22"/>
        </w:rPr>
        <w:t xml:space="preserve">En ese sentido, deberá entregar el Contrato requerido por el Particular, para tal situación, el Sujeto Obligado deberá seguir el procedimiento establecido en el artículo 168 de dicho </w:t>
      </w:r>
      <w:r w:rsidRPr="00CE1A90">
        <w:rPr>
          <w:rFonts w:ascii="Palatino Linotype" w:eastAsia="Palatino Linotype" w:hAnsi="Palatino Linotype" w:cs="Palatino Linotype"/>
          <w:sz w:val="22"/>
          <w:szCs w:val="22"/>
        </w:rPr>
        <w:lastRenderedPageBreak/>
        <w:t>ordenamiento jurídico; esto es, que el área competente deberá elaborar la versión pública, así como emitir el Acuerdo, por parte del Comité de Transparencia, donde confirme la clasificación de los datos, fundando y motivando la clasificación.</w:t>
      </w:r>
    </w:p>
    <w:p w14:paraId="5EBEC895" w14:textId="641FE2AD" w:rsidR="00271709" w:rsidRPr="00CE1A90" w:rsidRDefault="00271709" w:rsidP="00036CD0">
      <w:pPr>
        <w:spacing w:line="360" w:lineRule="auto"/>
        <w:contextualSpacing/>
        <w:jc w:val="both"/>
        <w:rPr>
          <w:rFonts w:ascii="Palatino Linotype" w:hAnsi="Palatino Linotype" w:cs="Tahoma"/>
          <w:sz w:val="22"/>
          <w:szCs w:val="22"/>
        </w:rPr>
      </w:pPr>
    </w:p>
    <w:p w14:paraId="33EDABDC" w14:textId="77777777" w:rsidR="00803E3D" w:rsidRPr="00CE1A90" w:rsidRDefault="00803E3D" w:rsidP="00036CD0">
      <w:pPr>
        <w:pStyle w:val="Ttulo2"/>
        <w:contextualSpacing/>
        <w:rPr>
          <w:rFonts w:ascii="Palatino Linotype" w:hAnsi="Palatino Linotype"/>
          <w:b/>
          <w:color w:val="auto"/>
          <w:sz w:val="22"/>
          <w:szCs w:val="22"/>
        </w:rPr>
      </w:pPr>
      <w:bookmarkStart w:id="26" w:name="_Toc222411567"/>
      <w:r w:rsidRPr="00CE1A90">
        <w:rPr>
          <w:rFonts w:ascii="Palatino Linotype" w:hAnsi="Palatino Linotype"/>
          <w:b/>
          <w:color w:val="auto"/>
          <w:sz w:val="22"/>
          <w:szCs w:val="22"/>
        </w:rPr>
        <w:t>SEXTO. Decisión</w:t>
      </w:r>
      <w:bookmarkEnd w:id="26"/>
    </w:p>
    <w:p w14:paraId="3FE6E2AD" w14:textId="77777777" w:rsidR="00803E3D" w:rsidRPr="00CE1A90" w:rsidRDefault="00803E3D" w:rsidP="00036CD0">
      <w:pPr>
        <w:spacing w:line="360" w:lineRule="auto"/>
        <w:ind w:right="-93"/>
        <w:contextualSpacing/>
        <w:jc w:val="both"/>
        <w:rPr>
          <w:rFonts w:ascii="Palatino Linotype" w:hAnsi="Palatino Linotype" w:cs="Tahoma"/>
          <w:b/>
          <w:sz w:val="22"/>
          <w:szCs w:val="22"/>
        </w:rPr>
      </w:pPr>
    </w:p>
    <w:p w14:paraId="1792D2D4" w14:textId="5BA3CF02" w:rsidR="00803E3D" w:rsidRPr="00CE1A90" w:rsidRDefault="00803E3D" w:rsidP="00036CD0">
      <w:pPr>
        <w:spacing w:line="360" w:lineRule="auto"/>
        <w:ind w:right="-93"/>
        <w:contextualSpacing/>
        <w:jc w:val="both"/>
        <w:rPr>
          <w:rFonts w:ascii="Palatino Linotype" w:hAnsi="Palatino Linotype" w:cs="Tahoma"/>
          <w:sz w:val="22"/>
          <w:szCs w:val="22"/>
        </w:rPr>
      </w:pPr>
      <w:r w:rsidRPr="00CE1A90">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C018BF" w:rsidRPr="00CE1A90">
        <w:rPr>
          <w:rFonts w:ascii="Palatino Linotype" w:hAnsi="Palatino Linotype" w:cs="Tahoma"/>
          <w:b/>
          <w:sz w:val="22"/>
          <w:szCs w:val="22"/>
        </w:rPr>
        <w:t>REVOCAR</w:t>
      </w:r>
      <w:r w:rsidR="006059A8" w:rsidRPr="00CE1A90">
        <w:rPr>
          <w:rFonts w:ascii="Palatino Linotype" w:hAnsi="Palatino Linotype" w:cs="Tahoma"/>
          <w:b/>
          <w:sz w:val="22"/>
          <w:szCs w:val="22"/>
        </w:rPr>
        <w:t xml:space="preserve"> </w:t>
      </w:r>
      <w:r w:rsidRPr="00CE1A90">
        <w:rPr>
          <w:rFonts w:ascii="Palatino Linotype" w:hAnsi="Palatino Linotype" w:cs="Tahoma"/>
          <w:sz w:val="22"/>
          <w:szCs w:val="22"/>
        </w:rPr>
        <w:t xml:space="preserve">la respuesta otorgada por el Sujeto Obligado a la solicitud de información </w:t>
      </w:r>
      <w:r w:rsidR="00152A2F" w:rsidRPr="00CE1A90">
        <w:rPr>
          <w:rFonts w:ascii="Palatino Linotype" w:hAnsi="Palatino Linotype" w:cs="Tahoma"/>
          <w:b/>
          <w:bCs/>
          <w:sz w:val="22"/>
          <w:szCs w:val="22"/>
        </w:rPr>
        <w:t>00251/OFICIALIA/IP/2025</w:t>
      </w:r>
      <w:r w:rsidRPr="00CE1A90">
        <w:rPr>
          <w:rFonts w:ascii="Palatino Linotype" w:hAnsi="Palatino Linotype" w:cs="Tahoma"/>
          <w:sz w:val="22"/>
          <w:szCs w:val="22"/>
        </w:rPr>
        <w:t>, por resultar</w:t>
      </w:r>
      <w:r w:rsidR="00A178EC" w:rsidRPr="00CE1A90">
        <w:rPr>
          <w:rFonts w:ascii="Palatino Linotype" w:hAnsi="Palatino Linotype" w:cs="Tahoma"/>
          <w:sz w:val="22"/>
          <w:szCs w:val="22"/>
        </w:rPr>
        <w:t xml:space="preserve"> </w:t>
      </w:r>
      <w:r w:rsidRPr="00CE1A90">
        <w:rPr>
          <w:rFonts w:ascii="Palatino Linotype" w:hAnsi="Palatino Linotype" w:cs="Tahoma"/>
          <w:sz w:val="22"/>
          <w:szCs w:val="22"/>
        </w:rPr>
        <w:t xml:space="preserve">fundadas las razones o motivos de inconformidad hechos valer por el Recurrente, en el Recurso de Revisión </w:t>
      </w:r>
      <w:r w:rsidR="00152A2F" w:rsidRPr="00CE1A90">
        <w:rPr>
          <w:rFonts w:ascii="Palatino Linotype" w:hAnsi="Palatino Linotype" w:cs="Tahoma"/>
          <w:b/>
          <w:sz w:val="22"/>
          <w:szCs w:val="22"/>
        </w:rPr>
        <w:t>11551</w:t>
      </w:r>
      <w:r w:rsidRPr="00CE1A90">
        <w:rPr>
          <w:rFonts w:ascii="Palatino Linotype" w:hAnsi="Palatino Linotype" w:cs="Tahoma"/>
          <w:b/>
          <w:sz w:val="22"/>
          <w:szCs w:val="22"/>
        </w:rPr>
        <w:t>/INFOEM/IP/RR/202</w:t>
      </w:r>
      <w:r w:rsidR="00E37AF5" w:rsidRPr="00CE1A90">
        <w:rPr>
          <w:rFonts w:ascii="Palatino Linotype" w:hAnsi="Palatino Linotype" w:cs="Tahoma"/>
          <w:b/>
          <w:sz w:val="22"/>
          <w:szCs w:val="22"/>
        </w:rPr>
        <w:t>5</w:t>
      </w:r>
      <w:r w:rsidRPr="00CE1A90">
        <w:rPr>
          <w:rFonts w:ascii="Palatino Linotype" w:hAnsi="Palatino Linotype" w:cs="Tahoma"/>
          <w:sz w:val="22"/>
          <w:szCs w:val="22"/>
        </w:rPr>
        <w:t xml:space="preserve">, en consecuencia procede </w:t>
      </w:r>
      <w:r w:rsidRPr="00CE1A90">
        <w:rPr>
          <w:rFonts w:ascii="Palatino Linotype" w:hAnsi="Palatino Linotype" w:cs="Tahoma"/>
          <w:b/>
          <w:sz w:val="22"/>
          <w:szCs w:val="22"/>
        </w:rPr>
        <w:t>ORDENAR</w:t>
      </w:r>
      <w:r w:rsidRPr="00CE1A90">
        <w:rPr>
          <w:rFonts w:ascii="Palatino Linotype" w:hAnsi="Palatino Linotype" w:cs="Tahoma"/>
          <w:sz w:val="22"/>
          <w:szCs w:val="22"/>
        </w:rPr>
        <w:t xml:space="preserve">, </w:t>
      </w:r>
      <w:r w:rsidR="00876309" w:rsidRPr="00CE1A90">
        <w:rPr>
          <w:rFonts w:ascii="Palatino Linotype" w:hAnsi="Palatino Linotype" w:cs="Tahoma"/>
          <w:sz w:val="22"/>
          <w:szCs w:val="22"/>
        </w:rPr>
        <w:t xml:space="preserve">haga entrega de la información </w:t>
      </w:r>
      <w:r w:rsidR="00152A2F" w:rsidRPr="00CE1A90">
        <w:rPr>
          <w:rFonts w:ascii="Palatino Linotype" w:hAnsi="Palatino Linotype" w:cs="Tahoma"/>
          <w:sz w:val="22"/>
          <w:szCs w:val="22"/>
        </w:rPr>
        <w:t>solicitada</w:t>
      </w:r>
      <w:r w:rsidR="00876309" w:rsidRPr="00CE1A90">
        <w:rPr>
          <w:rFonts w:ascii="Palatino Linotype" w:hAnsi="Palatino Linotype" w:cs="Tahoma"/>
          <w:sz w:val="22"/>
          <w:szCs w:val="22"/>
        </w:rPr>
        <w:t>.</w:t>
      </w:r>
    </w:p>
    <w:p w14:paraId="76AEC988" w14:textId="77777777" w:rsidR="00803E3D" w:rsidRPr="00CE1A90" w:rsidRDefault="00803E3D" w:rsidP="00036CD0">
      <w:pPr>
        <w:spacing w:line="360" w:lineRule="auto"/>
        <w:ind w:right="-93"/>
        <w:contextualSpacing/>
        <w:jc w:val="both"/>
        <w:rPr>
          <w:rFonts w:ascii="Palatino Linotype" w:eastAsia="Palatino Linotype" w:hAnsi="Palatino Linotype" w:cs="Palatino Linotype"/>
          <w:sz w:val="22"/>
          <w:szCs w:val="22"/>
        </w:rPr>
      </w:pPr>
    </w:p>
    <w:p w14:paraId="2A76614A" w14:textId="77777777" w:rsidR="00803E3D" w:rsidRPr="00CE1A90" w:rsidRDefault="00803E3D" w:rsidP="00036CD0">
      <w:pPr>
        <w:spacing w:line="360" w:lineRule="auto"/>
        <w:contextualSpacing/>
        <w:jc w:val="both"/>
        <w:rPr>
          <w:rFonts w:ascii="Palatino Linotype" w:eastAsia="Calibri" w:hAnsi="Palatino Linotype" w:cs="Tahoma"/>
          <w:b/>
          <w:bCs/>
          <w:iCs/>
          <w:sz w:val="22"/>
          <w:szCs w:val="22"/>
          <w:lang w:val="es-ES" w:eastAsia="es-ES_tradnl"/>
        </w:rPr>
      </w:pPr>
      <w:r w:rsidRPr="00CE1A90">
        <w:rPr>
          <w:rFonts w:ascii="Palatino Linotype" w:eastAsia="Calibri" w:hAnsi="Palatino Linotype" w:cs="Tahoma"/>
          <w:b/>
          <w:bCs/>
          <w:iCs/>
          <w:sz w:val="22"/>
          <w:szCs w:val="22"/>
          <w:lang w:val="es-ES" w:eastAsia="es-ES_tradnl"/>
        </w:rPr>
        <w:t>Términos de la Resolución para el Recurrente</w:t>
      </w:r>
    </w:p>
    <w:p w14:paraId="1A7F2987" w14:textId="77777777" w:rsidR="00803E3D" w:rsidRPr="00CE1A90" w:rsidRDefault="00803E3D" w:rsidP="00036CD0">
      <w:pPr>
        <w:spacing w:line="360" w:lineRule="auto"/>
        <w:contextualSpacing/>
        <w:jc w:val="both"/>
        <w:rPr>
          <w:rFonts w:ascii="Palatino Linotype" w:eastAsia="Calibri" w:hAnsi="Palatino Linotype" w:cs="Tahoma"/>
          <w:iCs/>
          <w:sz w:val="22"/>
          <w:szCs w:val="22"/>
          <w:lang w:eastAsia="es-ES_tradnl"/>
        </w:rPr>
      </w:pPr>
    </w:p>
    <w:p w14:paraId="1B68EB20" w14:textId="77777777" w:rsidR="00876309" w:rsidRPr="00CE1A90" w:rsidRDefault="00803E3D" w:rsidP="00036CD0">
      <w:pPr>
        <w:spacing w:line="360" w:lineRule="auto"/>
        <w:contextualSpacing/>
        <w:jc w:val="both"/>
        <w:rPr>
          <w:rFonts w:ascii="Palatino Linotype" w:hAnsi="Palatino Linotype" w:cs="Tahoma"/>
          <w:bCs/>
          <w:sz w:val="22"/>
          <w:szCs w:val="22"/>
          <w:u w:val="single"/>
        </w:rPr>
      </w:pPr>
      <w:r w:rsidRPr="00CE1A90">
        <w:rPr>
          <w:rFonts w:ascii="Palatino Linotype" w:hAnsi="Palatino Linotype" w:cs="Tahoma"/>
          <w:bCs/>
          <w:sz w:val="22"/>
          <w:szCs w:val="22"/>
          <w:u w:val="single"/>
        </w:rPr>
        <w:t xml:space="preserve">Este Instituto, determinó </w:t>
      </w:r>
      <w:r w:rsidR="00C018BF" w:rsidRPr="00CE1A90">
        <w:rPr>
          <w:rFonts w:ascii="Palatino Linotype" w:hAnsi="Palatino Linotype" w:cs="Tahoma"/>
          <w:bCs/>
          <w:sz w:val="22"/>
          <w:szCs w:val="22"/>
          <w:u w:val="single"/>
        </w:rPr>
        <w:t>revocar</w:t>
      </w:r>
      <w:r w:rsidR="00E37AF5" w:rsidRPr="00CE1A90">
        <w:rPr>
          <w:rFonts w:ascii="Palatino Linotype" w:hAnsi="Palatino Linotype" w:cs="Tahoma"/>
          <w:bCs/>
          <w:sz w:val="22"/>
          <w:szCs w:val="22"/>
          <w:u w:val="single"/>
        </w:rPr>
        <w:t xml:space="preserve"> </w:t>
      </w:r>
      <w:r w:rsidRPr="00CE1A90">
        <w:rPr>
          <w:rFonts w:ascii="Palatino Linotype" w:hAnsi="Palatino Linotype" w:cs="Tahoma"/>
          <w:bCs/>
          <w:sz w:val="22"/>
          <w:szCs w:val="22"/>
          <w:u w:val="single"/>
        </w:rPr>
        <w:t>la respuesta que le entregó el Sujeto Obligado a su solicitud de acceso, toda vez que</w:t>
      </w:r>
      <w:r w:rsidR="00837A48" w:rsidRPr="00CE1A90">
        <w:rPr>
          <w:rFonts w:ascii="Palatino Linotype" w:hAnsi="Palatino Linotype" w:cs="Tahoma"/>
          <w:bCs/>
          <w:sz w:val="22"/>
          <w:szCs w:val="22"/>
          <w:u w:val="single"/>
        </w:rPr>
        <w:t xml:space="preserve"> </w:t>
      </w:r>
      <w:r w:rsidR="00E12427" w:rsidRPr="00CE1A90">
        <w:rPr>
          <w:rFonts w:ascii="Palatino Linotype" w:hAnsi="Palatino Linotype" w:cs="Tahoma"/>
          <w:bCs/>
          <w:sz w:val="22"/>
          <w:szCs w:val="22"/>
          <w:u w:val="single"/>
        </w:rPr>
        <w:t>no</w:t>
      </w:r>
      <w:r w:rsidR="00861A51" w:rsidRPr="00CE1A90">
        <w:rPr>
          <w:rFonts w:ascii="Palatino Linotype" w:hAnsi="Palatino Linotype" w:cs="Tahoma"/>
          <w:bCs/>
          <w:sz w:val="22"/>
          <w:szCs w:val="22"/>
          <w:u w:val="single"/>
        </w:rPr>
        <w:t xml:space="preserve"> entrego la información</w:t>
      </w:r>
      <w:r w:rsidR="00CC13FB" w:rsidRPr="00CE1A90">
        <w:rPr>
          <w:rFonts w:ascii="Palatino Linotype" w:hAnsi="Palatino Linotype" w:cs="Tahoma"/>
          <w:bCs/>
          <w:sz w:val="22"/>
          <w:szCs w:val="22"/>
          <w:u w:val="single"/>
        </w:rPr>
        <w:t xml:space="preserve"> que es de su interés </w:t>
      </w:r>
      <w:r w:rsidR="00C018BF" w:rsidRPr="00CE1A90">
        <w:rPr>
          <w:rFonts w:ascii="Palatino Linotype" w:hAnsi="Palatino Linotype" w:cs="Tahoma"/>
          <w:bCs/>
          <w:sz w:val="22"/>
          <w:szCs w:val="22"/>
          <w:u w:val="single"/>
        </w:rPr>
        <w:t>y si debe poseerla</w:t>
      </w:r>
      <w:r w:rsidR="00CC13FB" w:rsidRPr="00CE1A90">
        <w:rPr>
          <w:rFonts w:ascii="Palatino Linotype" w:hAnsi="Palatino Linotype" w:cs="Tahoma"/>
          <w:bCs/>
          <w:sz w:val="22"/>
          <w:szCs w:val="22"/>
          <w:u w:val="single"/>
        </w:rPr>
        <w:t>.</w:t>
      </w:r>
      <w:r w:rsidR="00E12427" w:rsidRPr="00CE1A90">
        <w:rPr>
          <w:rFonts w:ascii="Palatino Linotype" w:hAnsi="Palatino Linotype" w:cs="Tahoma"/>
          <w:bCs/>
          <w:sz w:val="22"/>
          <w:szCs w:val="22"/>
          <w:u w:val="single"/>
        </w:rPr>
        <w:t xml:space="preserve"> </w:t>
      </w:r>
    </w:p>
    <w:p w14:paraId="2310DE41" w14:textId="77777777" w:rsidR="00426155" w:rsidRPr="00CE1A90" w:rsidRDefault="00426155" w:rsidP="00036CD0">
      <w:pPr>
        <w:spacing w:line="360" w:lineRule="auto"/>
        <w:contextualSpacing/>
        <w:jc w:val="both"/>
        <w:rPr>
          <w:rFonts w:ascii="Palatino Linotype" w:hAnsi="Palatino Linotype" w:cs="Tahoma"/>
          <w:bCs/>
          <w:sz w:val="22"/>
          <w:szCs w:val="22"/>
          <w:u w:val="single"/>
        </w:rPr>
      </w:pPr>
    </w:p>
    <w:p w14:paraId="592B1CDB" w14:textId="77777777" w:rsidR="00803E3D" w:rsidRPr="00CE1A90" w:rsidRDefault="00803E3D" w:rsidP="00036CD0">
      <w:pPr>
        <w:spacing w:line="360" w:lineRule="auto"/>
        <w:ind w:right="-93"/>
        <w:contextualSpacing/>
        <w:jc w:val="both"/>
        <w:rPr>
          <w:rFonts w:ascii="Palatino Linotype" w:hAnsi="Palatino Linotype" w:cs="Tahoma"/>
          <w:bCs/>
          <w:sz w:val="22"/>
          <w:szCs w:val="22"/>
          <w:u w:val="single"/>
        </w:rPr>
      </w:pPr>
      <w:r w:rsidRPr="00CE1A90">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65FEF511" w14:textId="77777777" w:rsidR="00440BAD" w:rsidRPr="00CE1A90" w:rsidRDefault="00440BAD" w:rsidP="00036CD0">
      <w:pPr>
        <w:spacing w:line="360" w:lineRule="auto"/>
        <w:ind w:right="-93"/>
        <w:contextualSpacing/>
        <w:jc w:val="both"/>
        <w:rPr>
          <w:rFonts w:ascii="Palatino Linotype" w:hAnsi="Palatino Linotype" w:cs="Tahoma"/>
          <w:bCs/>
          <w:sz w:val="22"/>
          <w:szCs w:val="22"/>
          <w:u w:val="single"/>
        </w:rPr>
      </w:pPr>
    </w:p>
    <w:p w14:paraId="010C8285" w14:textId="77777777" w:rsidR="00803E3D" w:rsidRPr="00CE1A90" w:rsidRDefault="00803E3D" w:rsidP="00036CD0">
      <w:pPr>
        <w:pStyle w:val="Ttulo1"/>
        <w:contextualSpacing/>
        <w:jc w:val="center"/>
        <w:rPr>
          <w:rFonts w:ascii="Palatino Linotype" w:eastAsia="Calibri" w:hAnsi="Palatino Linotype"/>
          <w:b/>
          <w:color w:val="auto"/>
          <w:sz w:val="22"/>
          <w:szCs w:val="22"/>
          <w:lang w:eastAsia="en-US"/>
        </w:rPr>
      </w:pPr>
      <w:bookmarkStart w:id="27" w:name="_Toc222411568"/>
      <w:r w:rsidRPr="00CE1A90">
        <w:rPr>
          <w:rFonts w:ascii="Palatino Linotype" w:eastAsia="Calibri" w:hAnsi="Palatino Linotype"/>
          <w:b/>
          <w:color w:val="auto"/>
          <w:sz w:val="22"/>
          <w:szCs w:val="22"/>
          <w:lang w:eastAsia="en-US"/>
        </w:rPr>
        <w:t>R E S U E L V E</w:t>
      </w:r>
      <w:bookmarkEnd w:id="27"/>
    </w:p>
    <w:p w14:paraId="57F7C6A9" w14:textId="77777777" w:rsidR="00803E3D" w:rsidRPr="00CE1A90" w:rsidRDefault="00803E3D" w:rsidP="00036CD0">
      <w:pPr>
        <w:spacing w:line="360" w:lineRule="auto"/>
        <w:contextualSpacing/>
        <w:jc w:val="both"/>
        <w:rPr>
          <w:rFonts w:ascii="Palatino Linotype" w:hAnsi="Palatino Linotype" w:cs="Tahoma"/>
          <w:b/>
          <w:bCs/>
          <w:sz w:val="22"/>
          <w:szCs w:val="22"/>
        </w:rPr>
      </w:pPr>
    </w:p>
    <w:p w14:paraId="578D30E3" w14:textId="73C0A948" w:rsidR="00803E3D" w:rsidRPr="00CE1A90" w:rsidRDefault="00803E3D" w:rsidP="00036CD0">
      <w:pPr>
        <w:spacing w:line="360" w:lineRule="auto"/>
        <w:contextualSpacing/>
        <w:jc w:val="both"/>
        <w:rPr>
          <w:rFonts w:ascii="Palatino Linotype" w:eastAsia="Calibri" w:hAnsi="Palatino Linotype" w:cs="Tahoma"/>
          <w:bCs/>
          <w:sz w:val="22"/>
          <w:szCs w:val="22"/>
          <w:lang w:eastAsia="en-US"/>
        </w:rPr>
      </w:pPr>
      <w:r w:rsidRPr="00CE1A90">
        <w:rPr>
          <w:rFonts w:ascii="Palatino Linotype" w:hAnsi="Palatino Linotype" w:cs="Tahoma"/>
          <w:b/>
          <w:bCs/>
          <w:sz w:val="22"/>
          <w:szCs w:val="22"/>
        </w:rPr>
        <w:t xml:space="preserve">PRIMERO. </w:t>
      </w:r>
      <w:r w:rsidRPr="00CE1A90">
        <w:rPr>
          <w:rFonts w:ascii="Palatino Linotype" w:hAnsi="Palatino Linotype" w:cs="Tahoma"/>
          <w:bCs/>
          <w:sz w:val="22"/>
          <w:szCs w:val="22"/>
        </w:rPr>
        <w:t xml:space="preserve">Se </w:t>
      </w:r>
      <w:r w:rsidR="00C018BF" w:rsidRPr="00CE1A90">
        <w:rPr>
          <w:rFonts w:ascii="Palatino Linotype" w:hAnsi="Palatino Linotype" w:cs="Tahoma"/>
          <w:b/>
          <w:bCs/>
          <w:sz w:val="22"/>
          <w:szCs w:val="22"/>
        </w:rPr>
        <w:t>REVOCA</w:t>
      </w:r>
      <w:r w:rsidRPr="00CE1A90">
        <w:rPr>
          <w:rFonts w:ascii="Palatino Linotype" w:hAnsi="Palatino Linotype" w:cs="Tahoma"/>
          <w:bCs/>
          <w:sz w:val="22"/>
          <w:szCs w:val="22"/>
        </w:rPr>
        <w:t xml:space="preserve"> la respuesta entregada por l</w:t>
      </w:r>
      <w:r w:rsidR="00C018BF" w:rsidRPr="00CE1A90">
        <w:rPr>
          <w:rFonts w:ascii="Palatino Linotype" w:hAnsi="Palatino Linotype" w:cs="Tahoma"/>
          <w:bCs/>
          <w:sz w:val="22"/>
          <w:szCs w:val="22"/>
        </w:rPr>
        <w:t>a</w:t>
      </w:r>
      <w:r w:rsidRPr="00CE1A90">
        <w:rPr>
          <w:rFonts w:ascii="Palatino Linotype" w:hAnsi="Palatino Linotype" w:cs="Tahoma"/>
          <w:bCs/>
          <w:sz w:val="22"/>
          <w:szCs w:val="22"/>
        </w:rPr>
        <w:t xml:space="preserve"> </w:t>
      </w:r>
      <w:r w:rsidR="00DE4665" w:rsidRPr="00CE1A90">
        <w:rPr>
          <w:rFonts w:ascii="Palatino Linotype" w:hAnsi="Palatino Linotype" w:cs="Tahoma"/>
          <w:b/>
          <w:bCs/>
          <w:sz w:val="22"/>
          <w:szCs w:val="22"/>
        </w:rPr>
        <w:t>Oficialía Mayor</w:t>
      </w:r>
      <w:r w:rsidR="00716C32" w:rsidRPr="00CE1A90">
        <w:rPr>
          <w:rFonts w:ascii="Palatino Linotype" w:hAnsi="Palatino Linotype" w:cs="Tahoma"/>
          <w:b/>
          <w:bCs/>
          <w:sz w:val="22"/>
          <w:szCs w:val="22"/>
        </w:rPr>
        <w:t xml:space="preserve"> </w:t>
      </w:r>
      <w:r w:rsidRPr="00CE1A90">
        <w:rPr>
          <w:rFonts w:ascii="Palatino Linotype" w:eastAsia="Calibri" w:hAnsi="Palatino Linotype" w:cs="Tahoma"/>
          <w:bCs/>
          <w:sz w:val="22"/>
          <w:szCs w:val="22"/>
          <w:lang w:eastAsia="en-US"/>
        </w:rPr>
        <w:t>a</w:t>
      </w:r>
      <w:r w:rsidRPr="00CE1A90">
        <w:rPr>
          <w:rFonts w:ascii="Palatino Linotype" w:hAnsi="Palatino Linotype" w:cs="Tahoma"/>
          <w:bCs/>
          <w:sz w:val="22"/>
          <w:szCs w:val="22"/>
        </w:rPr>
        <w:t xml:space="preserve"> la solicitud de información </w:t>
      </w:r>
      <w:r w:rsidR="00152A2F" w:rsidRPr="00CE1A90">
        <w:rPr>
          <w:rFonts w:ascii="Palatino Linotype" w:hAnsi="Palatino Linotype"/>
          <w:b/>
          <w:bCs/>
          <w:sz w:val="22"/>
          <w:szCs w:val="22"/>
        </w:rPr>
        <w:t xml:space="preserve">00251/OFICIALIA/IP/2025 </w:t>
      </w:r>
      <w:r w:rsidRPr="00CE1A90">
        <w:rPr>
          <w:rFonts w:ascii="Palatino Linotype" w:hAnsi="Palatino Linotype"/>
          <w:bCs/>
          <w:sz w:val="22"/>
          <w:szCs w:val="22"/>
        </w:rPr>
        <w:t>por resultar</w:t>
      </w:r>
      <w:r w:rsidR="00E70E0F" w:rsidRPr="00CE1A90">
        <w:rPr>
          <w:rFonts w:ascii="Palatino Linotype" w:hAnsi="Palatino Linotype"/>
          <w:bCs/>
          <w:sz w:val="22"/>
          <w:szCs w:val="22"/>
        </w:rPr>
        <w:t xml:space="preserve"> </w:t>
      </w:r>
      <w:r w:rsidRPr="00CE1A90">
        <w:rPr>
          <w:rFonts w:ascii="Palatino Linotype" w:hAnsi="Palatino Linotype"/>
          <w:sz w:val="22"/>
          <w:szCs w:val="22"/>
        </w:rPr>
        <w:t>fundadas</w:t>
      </w:r>
      <w:r w:rsidRPr="00CE1A90">
        <w:rPr>
          <w:rFonts w:ascii="Palatino Linotype" w:hAnsi="Palatino Linotype" w:cs="Tahoma"/>
          <w:bCs/>
          <w:sz w:val="22"/>
          <w:szCs w:val="22"/>
        </w:rPr>
        <w:t xml:space="preserve"> </w:t>
      </w:r>
      <w:r w:rsidRPr="00CE1A90">
        <w:rPr>
          <w:rFonts w:ascii="Palatino Linotype" w:eastAsia="Calibri" w:hAnsi="Palatino Linotype" w:cs="Tahoma"/>
          <w:bCs/>
          <w:sz w:val="22"/>
          <w:szCs w:val="22"/>
          <w:lang w:eastAsia="en-US"/>
        </w:rPr>
        <w:t xml:space="preserve">las razones o motivos de inconformidad hechos valer por el Recurrente en el Recurso de Revisión </w:t>
      </w:r>
      <w:r w:rsidR="00152A2F" w:rsidRPr="00CE1A90">
        <w:rPr>
          <w:rFonts w:ascii="Palatino Linotype" w:hAnsi="Palatino Linotype" w:cs="Tahoma"/>
          <w:b/>
          <w:bCs/>
          <w:color w:val="0D0D0D" w:themeColor="text1" w:themeTint="F2"/>
          <w:sz w:val="22"/>
          <w:szCs w:val="22"/>
        </w:rPr>
        <w:lastRenderedPageBreak/>
        <w:t>11551</w:t>
      </w:r>
      <w:r w:rsidRPr="00CE1A90">
        <w:rPr>
          <w:rFonts w:ascii="Palatino Linotype" w:hAnsi="Palatino Linotype" w:cs="Tahoma"/>
          <w:b/>
          <w:bCs/>
          <w:color w:val="0D0D0D" w:themeColor="text1" w:themeTint="F2"/>
          <w:sz w:val="22"/>
          <w:szCs w:val="22"/>
        </w:rPr>
        <w:t>/INFOEM/IP/RR/202</w:t>
      </w:r>
      <w:r w:rsidR="00FB2ACF" w:rsidRPr="00CE1A90">
        <w:rPr>
          <w:rFonts w:ascii="Palatino Linotype" w:hAnsi="Palatino Linotype" w:cs="Tahoma"/>
          <w:b/>
          <w:bCs/>
          <w:color w:val="0D0D0D" w:themeColor="text1" w:themeTint="F2"/>
          <w:sz w:val="22"/>
          <w:szCs w:val="22"/>
        </w:rPr>
        <w:t>5</w:t>
      </w:r>
      <w:r w:rsidRPr="00CE1A90">
        <w:rPr>
          <w:rFonts w:ascii="Palatino Linotype" w:eastAsia="Calibri" w:hAnsi="Palatino Linotype" w:cs="Tahoma"/>
          <w:bCs/>
          <w:sz w:val="22"/>
          <w:szCs w:val="22"/>
          <w:lang w:eastAsia="en-US"/>
        </w:rPr>
        <w:t>, en términos de los considerandos QUINTO y SEXTO de la presente Resolución.</w:t>
      </w:r>
    </w:p>
    <w:p w14:paraId="5E99648E" w14:textId="77777777" w:rsidR="00803E3D" w:rsidRPr="00CE1A90" w:rsidRDefault="00803E3D" w:rsidP="00036CD0">
      <w:pPr>
        <w:spacing w:line="360" w:lineRule="auto"/>
        <w:contextualSpacing/>
        <w:jc w:val="both"/>
        <w:rPr>
          <w:rFonts w:ascii="Palatino Linotype" w:hAnsi="Palatino Linotype" w:cs="Tahoma"/>
          <w:bCs/>
          <w:sz w:val="22"/>
          <w:szCs w:val="22"/>
        </w:rPr>
      </w:pPr>
    </w:p>
    <w:p w14:paraId="07C8B1F5" w14:textId="384371CD" w:rsidR="00152A2F" w:rsidRPr="00CE1A90" w:rsidRDefault="00876309" w:rsidP="00152A2F">
      <w:pPr>
        <w:spacing w:line="360" w:lineRule="auto"/>
        <w:ind w:right="-93"/>
        <w:contextualSpacing/>
        <w:jc w:val="both"/>
        <w:rPr>
          <w:rFonts w:ascii="Palatino Linotype" w:hAnsi="Palatino Linotype" w:cs="Arial"/>
          <w:sz w:val="22"/>
          <w:szCs w:val="22"/>
          <w:lang w:val="es-ES"/>
        </w:rPr>
      </w:pPr>
      <w:r w:rsidRPr="00CE1A90">
        <w:rPr>
          <w:rFonts w:ascii="Palatino Linotype" w:hAnsi="Palatino Linotype" w:cs="Tahoma"/>
          <w:b/>
          <w:bCs/>
          <w:sz w:val="22"/>
          <w:szCs w:val="22"/>
        </w:rPr>
        <w:t xml:space="preserve">SEGUNDO. </w:t>
      </w:r>
      <w:r w:rsidRPr="00CE1A90">
        <w:rPr>
          <w:rFonts w:ascii="Palatino Linotype" w:hAnsi="Palatino Linotype" w:cs="Tahoma"/>
          <w:sz w:val="22"/>
          <w:szCs w:val="22"/>
        </w:rPr>
        <w:t xml:space="preserve">Se </w:t>
      </w:r>
      <w:r w:rsidRPr="00CE1A90">
        <w:rPr>
          <w:rFonts w:ascii="Palatino Linotype" w:hAnsi="Palatino Linotype" w:cs="Tahoma"/>
          <w:b/>
          <w:sz w:val="22"/>
          <w:szCs w:val="22"/>
        </w:rPr>
        <w:t xml:space="preserve">ORDENA </w:t>
      </w:r>
      <w:r w:rsidRPr="00CE1A90">
        <w:rPr>
          <w:rFonts w:ascii="Palatino Linotype" w:hAnsi="Palatino Linotype" w:cs="Tahoma"/>
          <w:sz w:val="22"/>
          <w:szCs w:val="22"/>
        </w:rPr>
        <w:t>a</w:t>
      </w:r>
      <w:r w:rsidR="00C018BF" w:rsidRPr="00CE1A90">
        <w:rPr>
          <w:rFonts w:ascii="Palatino Linotype" w:hAnsi="Palatino Linotype" w:cs="Tahoma"/>
          <w:sz w:val="22"/>
          <w:szCs w:val="22"/>
        </w:rPr>
        <w:t xml:space="preserve"> </w:t>
      </w:r>
      <w:r w:rsidRPr="00CE1A90">
        <w:rPr>
          <w:rFonts w:ascii="Palatino Linotype" w:hAnsi="Palatino Linotype" w:cs="Tahoma"/>
          <w:sz w:val="22"/>
          <w:szCs w:val="22"/>
        </w:rPr>
        <w:t>l</w:t>
      </w:r>
      <w:r w:rsidR="00C018BF" w:rsidRPr="00CE1A90">
        <w:rPr>
          <w:rFonts w:ascii="Palatino Linotype" w:hAnsi="Palatino Linotype" w:cs="Tahoma"/>
          <w:sz w:val="22"/>
          <w:szCs w:val="22"/>
        </w:rPr>
        <w:t>a</w:t>
      </w:r>
      <w:r w:rsidRPr="00CE1A90">
        <w:rPr>
          <w:rFonts w:ascii="Palatino Linotype" w:hAnsi="Palatino Linotype" w:cs="Tahoma"/>
          <w:sz w:val="22"/>
          <w:szCs w:val="22"/>
        </w:rPr>
        <w:t xml:space="preserve"> </w:t>
      </w:r>
      <w:r w:rsidR="00DE4665" w:rsidRPr="00CE1A90">
        <w:rPr>
          <w:rFonts w:ascii="Palatino Linotype" w:eastAsia="Calibri" w:hAnsi="Palatino Linotype" w:cs="Tahoma"/>
          <w:b/>
          <w:bCs/>
          <w:sz w:val="22"/>
          <w:szCs w:val="22"/>
          <w:lang w:eastAsia="en-US"/>
        </w:rPr>
        <w:t>Oficialía Mayor</w:t>
      </w:r>
      <w:r w:rsidRPr="00CE1A90">
        <w:rPr>
          <w:rFonts w:ascii="Palatino Linotype" w:hAnsi="Palatino Linotype" w:cs="Tahoma"/>
          <w:sz w:val="22"/>
          <w:szCs w:val="22"/>
        </w:rPr>
        <w:t xml:space="preserve">, </w:t>
      </w:r>
      <w:r w:rsidR="00152A2F" w:rsidRPr="00CE1A90">
        <w:rPr>
          <w:rFonts w:ascii="Palatino Linotype" w:hAnsi="Palatino Linotype" w:cs="Tahoma"/>
          <w:sz w:val="22"/>
          <w:szCs w:val="22"/>
        </w:rPr>
        <w:t>a efecto de que previa búsqueda exhaustiva y razonable en los archivos de las unidades administrativas competentes, remita</w:t>
      </w:r>
      <w:r w:rsidR="00152A2F" w:rsidRPr="00CE1A90">
        <w:rPr>
          <w:rFonts w:ascii="Palatino Linotype" w:hAnsi="Palatino Linotype" w:cs="Tahoma"/>
          <w:bCs/>
          <w:iCs/>
          <w:sz w:val="22"/>
          <w:szCs w:val="22"/>
          <w:lang w:val="es-ES_tradnl"/>
        </w:rPr>
        <w:t xml:space="preserve"> </w:t>
      </w:r>
      <w:r w:rsidR="00152A2F" w:rsidRPr="00CE1A90">
        <w:rPr>
          <w:rFonts w:ascii="Palatino Linotype" w:hAnsi="Palatino Linotype" w:cs="Tahoma"/>
          <w:bCs/>
          <w:iCs/>
          <w:sz w:val="22"/>
          <w:szCs w:val="22"/>
        </w:rPr>
        <w:t xml:space="preserve">a través </w:t>
      </w:r>
      <w:r w:rsidR="00152A2F" w:rsidRPr="00CE1A90">
        <w:rPr>
          <w:rFonts w:ascii="Palatino Linotype" w:hAnsi="Palatino Linotype" w:cs="Tahoma"/>
          <w:bCs/>
          <w:iCs/>
          <w:sz w:val="22"/>
          <w:szCs w:val="22"/>
          <w:lang w:val="es-ES_tradnl"/>
        </w:rPr>
        <w:t>del SAIMEX</w:t>
      </w:r>
      <w:r w:rsidR="00152A2F" w:rsidRPr="00CE1A90">
        <w:rPr>
          <w:rFonts w:ascii="Palatino Linotype" w:hAnsi="Palatino Linotype" w:cs="Arial"/>
          <w:sz w:val="22"/>
          <w:szCs w:val="22"/>
          <w:lang w:val="es-ES"/>
        </w:rPr>
        <w:t xml:space="preserve">, en versión pública, el contrato </w:t>
      </w:r>
      <w:r w:rsidR="008A08C5" w:rsidRPr="00CE1A90">
        <w:rPr>
          <w:rFonts w:ascii="Palatino Linotype" w:hAnsi="Palatino Linotype" w:cs="Arial"/>
          <w:sz w:val="22"/>
          <w:szCs w:val="22"/>
          <w:lang w:val="es-ES"/>
        </w:rPr>
        <w:t xml:space="preserve">número </w:t>
      </w:r>
      <w:r w:rsidR="00152A2F" w:rsidRPr="00CE1A90">
        <w:rPr>
          <w:rFonts w:ascii="Palatino Linotype" w:hAnsi="Palatino Linotype" w:cs="Arial"/>
          <w:sz w:val="22"/>
          <w:szCs w:val="22"/>
        </w:rPr>
        <w:t>CS/A/1/2025.</w:t>
      </w:r>
    </w:p>
    <w:p w14:paraId="395FAF50" w14:textId="77777777" w:rsidR="00152A2F" w:rsidRPr="00CE1A90" w:rsidRDefault="00152A2F" w:rsidP="00152A2F">
      <w:pPr>
        <w:spacing w:line="360" w:lineRule="auto"/>
        <w:ind w:right="-93"/>
        <w:contextualSpacing/>
        <w:jc w:val="both"/>
        <w:rPr>
          <w:rFonts w:ascii="Palatino Linotype" w:eastAsia="Calibri" w:hAnsi="Palatino Linotype" w:cs="Tahoma"/>
          <w:bCs/>
          <w:sz w:val="22"/>
          <w:szCs w:val="22"/>
          <w:lang w:eastAsia="en-US"/>
        </w:rPr>
      </w:pPr>
    </w:p>
    <w:p w14:paraId="26D56974" w14:textId="154218E5" w:rsidR="00152A2F" w:rsidRPr="00CE1A90" w:rsidRDefault="00152A2F" w:rsidP="00152A2F">
      <w:pPr>
        <w:spacing w:line="360" w:lineRule="auto"/>
        <w:ind w:right="-93"/>
        <w:contextualSpacing/>
        <w:jc w:val="both"/>
        <w:rPr>
          <w:rFonts w:ascii="Palatino Linotype" w:eastAsia="Calibri" w:hAnsi="Palatino Linotype" w:cs="Tahoma"/>
          <w:bCs/>
          <w:sz w:val="22"/>
          <w:szCs w:val="22"/>
          <w:lang w:eastAsia="en-US"/>
        </w:rPr>
      </w:pPr>
      <w:r w:rsidRPr="00CE1A90">
        <w:rPr>
          <w:rFonts w:ascii="Palatino Linotype" w:eastAsia="Calibri" w:hAnsi="Palatino Linotype" w:cs="Tahoma"/>
          <w:bCs/>
          <w:sz w:val="22"/>
          <w:szCs w:val="22"/>
          <w:lang w:eastAsia="en-US"/>
        </w:rPr>
        <w:t>Además, se deberá proporcionar el Acuerdo donde el Comité de Transparencia, confirme la eliminación de la información, conforme a lo establecido en el Considerando QUINTO, de conformidad con los artículos 49, fracciones II y VIII, 132, fracción III, de la Ley de Transparencia y Acceso a la Información Pública del Estado de México y Municipios.</w:t>
      </w:r>
    </w:p>
    <w:p w14:paraId="7A2BBF58" w14:textId="643B555D" w:rsidR="00B459FA" w:rsidRPr="00CE1A90" w:rsidRDefault="00B459FA" w:rsidP="00152A2F">
      <w:pPr>
        <w:spacing w:line="360" w:lineRule="auto"/>
        <w:ind w:right="-93"/>
        <w:contextualSpacing/>
        <w:jc w:val="both"/>
        <w:rPr>
          <w:rFonts w:ascii="Palatino Linotype" w:eastAsia="Calibri" w:hAnsi="Palatino Linotype" w:cs="Tahoma"/>
          <w:bCs/>
          <w:sz w:val="22"/>
          <w:szCs w:val="22"/>
          <w:lang w:eastAsia="en-US"/>
        </w:rPr>
      </w:pPr>
    </w:p>
    <w:p w14:paraId="0C725A6F" w14:textId="77777777" w:rsidR="00E02D8B" w:rsidRPr="00CE1A90" w:rsidRDefault="00E02D8B" w:rsidP="00036CD0">
      <w:pPr>
        <w:spacing w:line="360" w:lineRule="auto"/>
        <w:contextualSpacing/>
        <w:jc w:val="both"/>
        <w:rPr>
          <w:rFonts w:ascii="Palatino Linotype" w:eastAsia="Calibri" w:hAnsi="Palatino Linotype" w:cs="Tahoma"/>
          <w:bCs/>
          <w:sz w:val="22"/>
          <w:szCs w:val="22"/>
          <w:lang w:eastAsia="en-US"/>
        </w:rPr>
      </w:pPr>
      <w:r w:rsidRPr="00CE1A90">
        <w:rPr>
          <w:rFonts w:ascii="Palatino Linotype" w:eastAsia="Calibri" w:hAnsi="Palatino Linotype" w:cs="Tahoma"/>
          <w:b/>
          <w:bCs/>
          <w:sz w:val="22"/>
          <w:szCs w:val="22"/>
          <w:lang w:eastAsia="en-US"/>
        </w:rPr>
        <w:t>TERCERO. NOTIFÍQUESE</w:t>
      </w:r>
      <w:r w:rsidR="00402735" w:rsidRPr="00CE1A90">
        <w:rPr>
          <w:rFonts w:ascii="Palatino Linotype" w:eastAsia="Calibri" w:hAnsi="Palatino Linotype" w:cs="Tahoma"/>
          <w:b/>
          <w:bCs/>
          <w:sz w:val="22"/>
          <w:szCs w:val="22"/>
          <w:lang w:eastAsia="en-US"/>
        </w:rPr>
        <w:t xml:space="preserve"> POR SAIMEX</w:t>
      </w:r>
      <w:r w:rsidRPr="00CE1A90">
        <w:rPr>
          <w:rFonts w:ascii="Palatino Linotype" w:eastAsia="Calibri" w:hAnsi="Palatino Linotype" w:cs="Tahoma"/>
          <w:b/>
          <w:bCs/>
          <w:sz w:val="22"/>
          <w:szCs w:val="22"/>
          <w:lang w:eastAsia="en-US"/>
        </w:rPr>
        <w:t xml:space="preserve"> </w:t>
      </w:r>
      <w:r w:rsidRPr="00CE1A90">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1A03FBD0" w14:textId="77777777" w:rsidR="00803E3D" w:rsidRPr="00CE1A90" w:rsidRDefault="00803E3D" w:rsidP="00036CD0">
      <w:pPr>
        <w:spacing w:line="360" w:lineRule="auto"/>
        <w:contextualSpacing/>
        <w:jc w:val="both"/>
        <w:rPr>
          <w:rFonts w:ascii="Palatino Linotype" w:hAnsi="Palatino Linotype" w:cs="Tahoma"/>
          <w:sz w:val="22"/>
          <w:szCs w:val="22"/>
        </w:rPr>
      </w:pPr>
    </w:p>
    <w:p w14:paraId="25E029D7" w14:textId="77777777" w:rsidR="00803E3D" w:rsidRPr="00CE1A90" w:rsidRDefault="00803E3D" w:rsidP="00036CD0">
      <w:pPr>
        <w:spacing w:line="360" w:lineRule="auto"/>
        <w:contextualSpacing/>
        <w:jc w:val="both"/>
        <w:rPr>
          <w:rFonts w:ascii="Palatino Linotype" w:hAnsi="Palatino Linotype" w:cs="Tahoma"/>
          <w:iCs/>
          <w:sz w:val="22"/>
          <w:szCs w:val="22"/>
        </w:rPr>
      </w:pPr>
      <w:r w:rsidRPr="00CE1A9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B1D754" w14:textId="77777777" w:rsidR="00803E3D" w:rsidRPr="00CE1A90" w:rsidRDefault="00803E3D" w:rsidP="00036CD0">
      <w:pPr>
        <w:spacing w:line="360" w:lineRule="auto"/>
        <w:contextualSpacing/>
        <w:jc w:val="both"/>
        <w:rPr>
          <w:rFonts w:ascii="Palatino Linotype" w:eastAsia="Calibri" w:hAnsi="Palatino Linotype" w:cs="Tahoma"/>
          <w:color w:val="000000"/>
          <w:sz w:val="22"/>
          <w:szCs w:val="22"/>
          <w:lang w:val="es-ES" w:eastAsia="es-MX"/>
        </w:rPr>
      </w:pPr>
    </w:p>
    <w:p w14:paraId="789E6A29" w14:textId="77777777" w:rsidR="00C64FE7" w:rsidRPr="00CE1A90" w:rsidRDefault="00803E3D" w:rsidP="00036CD0">
      <w:pPr>
        <w:spacing w:line="360" w:lineRule="auto"/>
        <w:contextualSpacing/>
        <w:jc w:val="both"/>
        <w:rPr>
          <w:rFonts w:ascii="Palatino Linotype" w:hAnsi="Palatino Linotype" w:cs="Tahoma"/>
          <w:color w:val="000000" w:themeColor="text1"/>
          <w:sz w:val="22"/>
          <w:szCs w:val="22"/>
        </w:rPr>
      </w:pPr>
      <w:r w:rsidRPr="00CE1A90">
        <w:rPr>
          <w:rFonts w:ascii="Palatino Linotype" w:eastAsia="Calibri" w:hAnsi="Palatino Linotype" w:cs="Tahoma"/>
          <w:b/>
          <w:color w:val="000000" w:themeColor="text1"/>
          <w:sz w:val="22"/>
          <w:szCs w:val="22"/>
          <w:lang w:eastAsia="es-MX"/>
        </w:rPr>
        <w:lastRenderedPageBreak/>
        <w:t>CUARTO</w:t>
      </w:r>
      <w:r w:rsidRPr="00CE1A90">
        <w:rPr>
          <w:rFonts w:ascii="Palatino Linotype" w:eastAsia="Calibri" w:hAnsi="Palatino Linotype" w:cs="Tahoma"/>
          <w:b/>
          <w:bCs/>
          <w:color w:val="000000" w:themeColor="text1"/>
          <w:sz w:val="22"/>
          <w:szCs w:val="22"/>
          <w:lang w:eastAsia="en-US"/>
        </w:rPr>
        <w:t xml:space="preserve">. </w:t>
      </w:r>
      <w:r w:rsidRPr="00CE1A90">
        <w:rPr>
          <w:rFonts w:ascii="Palatino Linotype" w:hAnsi="Palatino Linotype" w:cs="Tahoma"/>
          <w:b/>
          <w:color w:val="000000" w:themeColor="text1"/>
          <w:sz w:val="22"/>
          <w:szCs w:val="22"/>
        </w:rPr>
        <w:t>NOTIFÍQUESE</w:t>
      </w:r>
      <w:r w:rsidRPr="00CE1A90">
        <w:rPr>
          <w:rFonts w:ascii="Palatino Linotype" w:hAnsi="Palatino Linotype" w:cs="Tahoma"/>
          <w:color w:val="000000" w:themeColor="text1"/>
          <w:sz w:val="22"/>
          <w:szCs w:val="22"/>
        </w:rPr>
        <w:t xml:space="preserve"> </w:t>
      </w:r>
      <w:r w:rsidR="00402735" w:rsidRPr="00CE1A90">
        <w:rPr>
          <w:rFonts w:ascii="Palatino Linotype" w:eastAsia="Calibri" w:hAnsi="Palatino Linotype" w:cs="Tahoma"/>
          <w:b/>
          <w:bCs/>
          <w:sz w:val="22"/>
          <w:szCs w:val="22"/>
          <w:lang w:eastAsia="en-US"/>
        </w:rPr>
        <w:t>POR SAIMEX</w:t>
      </w:r>
      <w:r w:rsidR="0004563C" w:rsidRPr="00CE1A90">
        <w:rPr>
          <w:rFonts w:ascii="Palatino Linotype" w:eastAsia="Calibri" w:hAnsi="Palatino Linotype" w:cs="Tahoma"/>
          <w:b/>
          <w:bCs/>
          <w:sz w:val="22"/>
          <w:szCs w:val="22"/>
          <w:lang w:eastAsia="en-US"/>
        </w:rPr>
        <w:t xml:space="preserve"> </w:t>
      </w:r>
      <w:r w:rsidRPr="00CE1A90">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6B5FFD" w:rsidRPr="00CE1A90">
        <w:rPr>
          <w:rFonts w:ascii="Palatino Linotype" w:hAnsi="Palatino Linotype" w:cs="Tahoma"/>
          <w:color w:val="000000" w:themeColor="text1"/>
          <w:sz w:val="22"/>
          <w:szCs w:val="22"/>
        </w:rPr>
        <w:t>érminos de las leyes aplicables</w:t>
      </w:r>
      <w:r w:rsidR="00C64FE7" w:rsidRPr="00CE1A90">
        <w:rPr>
          <w:rFonts w:ascii="Palatino Linotype" w:hAnsi="Palatino Linotype" w:cs="Tahoma"/>
          <w:sz w:val="22"/>
          <w:szCs w:val="22"/>
        </w:rPr>
        <w:t>.</w:t>
      </w:r>
    </w:p>
    <w:p w14:paraId="705B8D05" w14:textId="77777777" w:rsidR="008A73EF" w:rsidRPr="00CE1A90" w:rsidRDefault="008A73EF" w:rsidP="00036CD0">
      <w:pPr>
        <w:spacing w:line="360" w:lineRule="auto"/>
        <w:contextualSpacing/>
        <w:jc w:val="both"/>
        <w:rPr>
          <w:rFonts w:ascii="Palatino Linotype" w:hAnsi="Palatino Linotype" w:cs="Tahoma"/>
          <w:color w:val="000000" w:themeColor="text1"/>
          <w:sz w:val="22"/>
          <w:szCs w:val="22"/>
        </w:rPr>
      </w:pPr>
    </w:p>
    <w:p w14:paraId="033DE8D7" w14:textId="6316CA24" w:rsidR="00803E3D" w:rsidRDefault="00803E3D" w:rsidP="00036CD0">
      <w:pPr>
        <w:spacing w:line="360" w:lineRule="auto"/>
        <w:contextualSpacing/>
        <w:jc w:val="both"/>
        <w:rPr>
          <w:rFonts w:ascii="Palatino Linotype" w:hAnsi="Palatino Linotype" w:cs="Tahoma"/>
          <w:sz w:val="22"/>
          <w:szCs w:val="22"/>
        </w:rPr>
      </w:pPr>
      <w:r w:rsidRPr="00CE1A90">
        <w:rPr>
          <w:rFonts w:ascii="Palatino Linotype" w:hAnsi="Palatino Linotype" w:cs="Tahoma"/>
          <w:sz w:val="22"/>
          <w:szCs w:val="22"/>
          <w:lang w:eastAsia="es-MX"/>
        </w:rPr>
        <w:t xml:space="preserve">ASÍ LO RESUELVE, POR </w:t>
      </w:r>
      <w:r w:rsidRPr="00CE1A90">
        <w:rPr>
          <w:rFonts w:ascii="Palatino Linotype" w:hAnsi="Palatino Linotype" w:cs="Tahoma"/>
          <w:b/>
          <w:sz w:val="22"/>
          <w:szCs w:val="22"/>
          <w:lang w:eastAsia="es-MX"/>
        </w:rPr>
        <w:t>UNANIMIDAD</w:t>
      </w:r>
      <w:r w:rsidRPr="00CE1A90">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E1A90" w:rsidRPr="00CE1A90">
        <w:rPr>
          <w:rFonts w:ascii="Palatino Linotype" w:hAnsi="Palatino Linotype" w:cs="Tahoma"/>
          <w:sz w:val="22"/>
          <w:szCs w:val="22"/>
          <w:lang w:eastAsia="es-MX"/>
        </w:rPr>
        <w:t xml:space="preserve"> </w:t>
      </w:r>
      <w:r w:rsidR="008A1679">
        <w:rPr>
          <w:rFonts w:ascii="Palatino Linotype" w:hAnsi="Palatino Linotype" w:cs="Tahoma"/>
          <w:sz w:val="22"/>
          <w:szCs w:val="22"/>
          <w:lang w:eastAsia="es-MX"/>
        </w:rPr>
        <w:t>CON VOTO PARTICULAR</w:t>
      </w:r>
      <w:r w:rsidR="00B459FA" w:rsidRPr="00CE1A90">
        <w:rPr>
          <w:rFonts w:ascii="Palatino Linotype" w:hAnsi="Palatino Linotype" w:cs="Tahoma"/>
          <w:sz w:val="22"/>
          <w:szCs w:val="22"/>
          <w:lang w:eastAsia="es-MX"/>
        </w:rPr>
        <w:t xml:space="preserve"> </w:t>
      </w:r>
      <w:r w:rsidR="005C0E48" w:rsidRPr="00CE1A90">
        <w:rPr>
          <w:rFonts w:ascii="Palatino Linotype" w:hAnsi="Palatino Linotype" w:cs="Tahoma"/>
          <w:sz w:val="22"/>
          <w:szCs w:val="22"/>
          <w:lang w:eastAsia="es-MX"/>
        </w:rPr>
        <w:t xml:space="preserve"> </w:t>
      </w:r>
      <w:r w:rsidRPr="00CE1A90">
        <w:rPr>
          <w:rFonts w:ascii="Palatino Linotype" w:hAnsi="Palatino Linotype" w:cs="Tahoma"/>
          <w:sz w:val="22"/>
          <w:szCs w:val="22"/>
          <w:lang w:eastAsia="es-MX"/>
        </w:rPr>
        <w:t xml:space="preserve">Y GUADALUPE RAMÍREZ PEÑA, EN LA </w:t>
      </w:r>
      <w:r w:rsidR="00C018BF" w:rsidRPr="00CE1A90">
        <w:rPr>
          <w:rFonts w:ascii="Palatino Linotype" w:hAnsi="Palatino Linotype" w:cs="Tahoma"/>
          <w:sz w:val="22"/>
          <w:szCs w:val="22"/>
          <w:lang w:eastAsia="es-MX"/>
        </w:rPr>
        <w:t>SEXTA</w:t>
      </w:r>
      <w:r w:rsidR="006D093E" w:rsidRPr="00CE1A90">
        <w:rPr>
          <w:rFonts w:ascii="Palatino Linotype" w:hAnsi="Palatino Linotype" w:cs="Tahoma"/>
          <w:sz w:val="22"/>
          <w:szCs w:val="22"/>
          <w:lang w:eastAsia="es-MX"/>
        </w:rPr>
        <w:t xml:space="preserve"> </w:t>
      </w:r>
      <w:r w:rsidRPr="00CE1A90">
        <w:rPr>
          <w:rFonts w:ascii="Palatino Linotype" w:hAnsi="Palatino Linotype" w:cs="Tahoma"/>
          <w:sz w:val="22"/>
          <w:szCs w:val="22"/>
          <w:lang w:eastAsia="es-MX"/>
        </w:rPr>
        <w:t xml:space="preserve">SESIÓN ORDINARIA, CELEBRADA EL </w:t>
      </w:r>
      <w:r w:rsidR="00C018BF" w:rsidRPr="00CE1A90">
        <w:rPr>
          <w:rFonts w:ascii="Palatino Linotype" w:hAnsi="Palatino Linotype" w:cs="Tahoma"/>
          <w:sz w:val="22"/>
          <w:szCs w:val="22"/>
          <w:lang w:eastAsia="es-MX"/>
        </w:rPr>
        <w:t xml:space="preserve">DIECIOCHO DE FEBRERO </w:t>
      </w:r>
      <w:r w:rsidR="00B73D51" w:rsidRPr="00CE1A90">
        <w:rPr>
          <w:rFonts w:ascii="Palatino Linotype" w:hAnsi="Palatino Linotype" w:cs="Tahoma"/>
          <w:sz w:val="22"/>
          <w:szCs w:val="22"/>
          <w:lang w:eastAsia="es-MX"/>
        </w:rPr>
        <w:t xml:space="preserve">DE DOS MIL </w:t>
      </w:r>
      <w:r w:rsidR="00C018BF" w:rsidRPr="00CE1A90">
        <w:rPr>
          <w:rFonts w:ascii="Palatino Linotype" w:hAnsi="Palatino Linotype" w:cs="Tahoma"/>
          <w:sz w:val="22"/>
          <w:szCs w:val="22"/>
          <w:lang w:eastAsia="es-MX"/>
        </w:rPr>
        <w:t>VEINTISÉIS</w:t>
      </w:r>
      <w:r w:rsidRPr="00CE1A90">
        <w:rPr>
          <w:rFonts w:ascii="Palatino Linotype" w:hAnsi="Palatino Linotype" w:cs="Tahoma"/>
          <w:sz w:val="22"/>
          <w:szCs w:val="22"/>
          <w:lang w:eastAsia="es-MX"/>
        </w:rPr>
        <w:t>, ANTE EL SECRETARIO TÉCNICO DEL PLENO, ALEXIS TAPIA RAMÍREZ.</w:t>
      </w:r>
      <w:r w:rsidR="00512564">
        <w:rPr>
          <w:rFonts w:ascii="Palatino Linotype" w:hAnsi="Palatino Linotype" w:cs="Tahoma"/>
          <w:sz w:val="22"/>
          <w:szCs w:val="22"/>
          <w:lang w:eastAsia="es-MX"/>
        </w:rPr>
        <w:t xml:space="preserve"> </w:t>
      </w:r>
    </w:p>
    <w:p w14:paraId="791A227F" w14:textId="77777777" w:rsidR="00163BAA" w:rsidRDefault="00163BAA" w:rsidP="00036CD0">
      <w:pPr>
        <w:spacing w:line="360" w:lineRule="auto"/>
        <w:contextualSpacing/>
        <w:jc w:val="both"/>
        <w:rPr>
          <w:rFonts w:ascii="Palatino Linotype" w:hAnsi="Palatino Linotype" w:cs="Tahoma"/>
          <w:sz w:val="22"/>
          <w:szCs w:val="22"/>
        </w:rPr>
      </w:pPr>
    </w:p>
    <w:p w14:paraId="7AAA4A49" w14:textId="77777777" w:rsidR="00163BAA" w:rsidRDefault="00163BAA" w:rsidP="00036CD0">
      <w:pPr>
        <w:spacing w:line="360" w:lineRule="auto"/>
        <w:contextualSpacing/>
        <w:jc w:val="both"/>
        <w:rPr>
          <w:rFonts w:ascii="Palatino Linotype" w:hAnsi="Palatino Linotype" w:cs="Tahoma"/>
          <w:sz w:val="22"/>
          <w:szCs w:val="22"/>
        </w:rPr>
      </w:pPr>
    </w:p>
    <w:p w14:paraId="71F0D5DE" w14:textId="77777777" w:rsidR="0089175F" w:rsidRDefault="0089175F" w:rsidP="00036CD0">
      <w:pPr>
        <w:spacing w:line="360" w:lineRule="auto"/>
        <w:contextualSpacing/>
        <w:jc w:val="both"/>
        <w:rPr>
          <w:rFonts w:ascii="Palatino Linotype" w:hAnsi="Palatino Linotype" w:cs="Tahoma"/>
          <w:sz w:val="22"/>
          <w:szCs w:val="22"/>
        </w:rPr>
      </w:pPr>
    </w:p>
    <w:p w14:paraId="3F498F86" w14:textId="77777777" w:rsidR="0089175F" w:rsidRDefault="0089175F" w:rsidP="00036CD0">
      <w:pPr>
        <w:spacing w:line="360" w:lineRule="auto"/>
        <w:contextualSpacing/>
        <w:jc w:val="both"/>
        <w:rPr>
          <w:rFonts w:ascii="Palatino Linotype" w:hAnsi="Palatino Linotype" w:cs="Tahoma"/>
          <w:sz w:val="22"/>
          <w:szCs w:val="22"/>
        </w:rPr>
      </w:pPr>
    </w:p>
    <w:p w14:paraId="0413D47C" w14:textId="77777777" w:rsidR="0089175F" w:rsidRDefault="0089175F" w:rsidP="00036CD0">
      <w:pPr>
        <w:spacing w:line="360" w:lineRule="auto"/>
        <w:contextualSpacing/>
        <w:jc w:val="both"/>
        <w:rPr>
          <w:rFonts w:ascii="Palatino Linotype" w:hAnsi="Palatino Linotype" w:cs="Tahoma"/>
          <w:sz w:val="22"/>
          <w:szCs w:val="22"/>
        </w:rPr>
      </w:pPr>
    </w:p>
    <w:p w14:paraId="07CB537F" w14:textId="77777777" w:rsidR="0089175F" w:rsidRDefault="0089175F" w:rsidP="00036CD0">
      <w:pPr>
        <w:spacing w:line="360" w:lineRule="auto"/>
        <w:contextualSpacing/>
        <w:jc w:val="both"/>
        <w:rPr>
          <w:rFonts w:ascii="Palatino Linotype" w:hAnsi="Palatino Linotype" w:cs="Tahoma"/>
          <w:sz w:val="22"/>
          <w:szCs w:val="22"/>
        </w:rPr>
      </w:pPr>
    </w:p>
    <w:p w14:paraId="1E4ED654" w14:textId="77777777" w:rsidR="001F1A77" w:rsidRDefault="001F1A77" w:rsidP="00036CD0">
      <w:pPr>
        <w:spacing w:line="360" w:lineRule="auto"/>
        <w:contextualSpacing/>
        <w:jc w:val="both"/>
        <w:rPr>
          <w:rFonts w:ascii="Palatino Linotype" w:hAnsi="Palatino Linotype" w:cs="Tahoma"/>
          <w:sz w:val="22"/>
          <w:szCs w:val="22"/>
        </w:rPr>
      </w:pPr>
    </w:p>
    <w:p w14:paraId="518107EA" w14:textId="77777777" w:rsidR="001F1A77" w:rsidRDefault="001F1A77" w:rsidP="00036CD0">
      <w:pPr>
        <w:spacing w:line="360" w:lineRule="auto"/>
        <w:contextualSpacing/>
        <w:jc w:val="both"/>
        <w:rPr>
          <w:rFonts w:ascii="Palatino Linotype" w:hAnsi="Palatino Linotype" w:cs="Tahoma"/>
          <w:sz w:val="22"/>
          <w:szCs w:val="22"/>
        </w:rPr>
      </w:pPr>
    </w:p>
    <w:p w14:paraId="5E198D13" w14:textId="77777777" w:rsidR="000B1059" w:rsidRDefault="000B1059" w:rsidP="00036CD0">
      <w:pPr>
        <w:spacing w:line="360" w:lineRule="auto"/>
        <w:contextualSpacing/>
        <w:jc w:val="both"/>
        <w:rPr>
          <w:rFonts w:ascii="Palatino Linotype" w:hAnsi="Palatino Linotype" w:cs="Tahoma"/>
          <w:sz w:val="22"/>
          <w:szCs w:val="22"/>
        </w:rPr>
      </w:pPr>
    </w:p>
    <w:p w14:paraId="1545EF6A" w14:textId="77777777" w:rsidR="000B1059" w:rsidRDefault="000B1059" w:rsidP="00036CD0">
      <w:pPr>
        <w:spacing w:line="360" w:lineRule="auto"/>
        <w:contextualSpacing/>
        <w:jc w:val="both"/>
        <w:rPr>
          <w:rFonts w:ascii="Palatino Linotype" w:hAnsi="Palatino Linotype" w:cs="Tahoma"/>
          <w:sz w:val="22"/>
          <w:szCs w:val="22"/>
        </w:rPr>
      </w:pPr>
    </w:p>
    <w:p w14:paraId="36FE835C" w14:textId="77777777" w:rsidR="000B1059" w:rsidRDefault="000B1059" w:rsidP="00036CD0">
      <w:pPr>
        <w:spacing w:line="360" w:lineRule="auto"/>
        <w:contextualSpacing/>
        <w:jc w:val="both"/>
        <w:rPr>
          <w:rFonts w:ascii="Palatino Linotype" w:hAnsi="Palatino Linotype" w:cs="Tahoma"/>
          <w:sz w:val="22"/>
          <w:szCs w:val="22"/>
        </w:rPr>
      </w:pPr>
    </w:p>
    <w:p w14:paraId="5D022FB2" w14:textId="77777777" w:rsidR="001F1A77" w:rsidRDefault="001F1A77" w:rsidP="00036CD0">
      <w:pPr>
        <w:spacing w:line="360" w:lineRule="auto"/>
        <w:contextualSpacing/>
        <w:jc w:val="both"/>
        <w:rPr>
          <w:rFonts w:ascii="Palatino Linotype" w:hAnsi="Palatino Linotype" w:cs="Tahoma"/>
          <w:sz w:val="22"/>
          <w:szCs w:val="22"/>
        </w:rPr>
      </w:pPr>
    </w:p>
    <w:p w14:paraId="37ECA03F" w14:textId="77777777" w:rsidR="001F1A77" w:rsidRDefault="001F1A77" w:rsidP="00036CD0">
      <w:pPr>
        <w:spacing w:line="360" w:lineRule="auto"/>
        <w:contextualSpacing/>
        <w:jc w:val="both"/>
        <w:rPr>
          <w:rFonts w:ascii="Palatino Linotype" w:hAnsi="Palatino Linotype" w:cs="Tahoma"/>
          <w:sz w:val="22"/>
          <w:szCs w:val="22"/>
        </w:rPr>
      </w:pPr>
    </w:p>
    <w:p w14:paraId="0BCC6FE6" w14:textId="77777777" w:rsidR="001F1A77" w:rsidRDefault="001F1A77" w:rsidP="00036CD0">
      <w:pPr>
        <w:spacing w:line="360" w:lineRule="auto"/>
        <w:contextualSpacing/>
        <w:jc w:val="both"/>
        <w:rPr>
          <w:rFonts w:ascii="Palatino Linotype" w:hAnsi="Palatino Linotype" w:cs="Tahoma"/>
          <w:sz w:val="22"/>
          <w:szCs w:val="22"/>
        </w:rPr>
      </w:pPr>
    </w:p>
    <w:p w14:paraId="3CED8A52" w14:textId="77777777" w:rsidR="001F1A77" w:rsidRDefault="001F1A77" w:rsidP="00036CD0">
      <w:pPr>
        <w:spacing w:line="360" w:lineRule="auto"/>
        <w:contextualSpacing/>
        <w:jc w:val="both"/>
        <w:rPr>
          <w:rFonts w:ascii="Palatino Linotype" w:hAnsi="Palatino Linotype" w:cs="Tahoma"/>
          <w:sz w:val="22"/>
          <w:szCs w:val="22"/>
        </w:rPr>
      </w:pPr>
    </w:p>
    <w:p w14:paraId="7FE0355D" w14:textId="77777777" w:rsidR="001F1A77" w:rsidRDefault="001F1A77" w:rsidP="00036CD0">
      <w:pPr>
        <w:spacing w:line="360" w:lineRule="auto"/>
        <w:contextualSpacing/>
        <w:jc w:val="both"/>
        <w:rPr>
          <w:rFonts w:ascii="Palatino Linotype" w:hAnsi="Palatino Linotype" w:cs="Tahoma"/>
          <w:sz w:val="22"/>
          <w:szCs w:val="22"/>
        </w:rPr>
      </w:pPr>
    </w:p>
    <w:p w14:paraId="576C3F39" w14:textId="77777777" w:rsidR="001F1A77" w:rsidRDefault="001F1A77" w:rsidP="00036CD0">
      <w:pPr>
        <w:spacing w:line="360" w:lineRule="auto"/>
        <w:contextualSpacing/>
        <w:jc w:val="both"/>
        <w:rPr>
          <w:rFonts w:ascii="Palatino Linotype" w:hAnsi="Palatino Linotype" w:cs="Tahoma"/>
          <w:sz w:val="22"/>
          <w:szCs w:val="22"/>
        </w:rPr>
      </w:pPr>
    </w:p>
    <w:p w14:paraId="6EC25315" w14:textId="77777777" w:rsidR="001F1A77" w:rsidRDefault="001F1A77" w:rsidP="00036CD0">
      <w:pPr>
        <w:spacing w:line="360" w:lineRule="auto"/>
        <w:contextualSpacing/>
        <w:jc w:val="both"/>
        <w:rPr>
          <w:rFonts w:ascii="Palatino Linotype" w:hAnsi="Palatino Linotype" w:cs="Tahoma"/>
          <w:sz w:val="22"/>
          <w:szCs w:val="22"/>
        </w:rPr>
      </w:pPr>
    </w:p>
    <w:p w14:paraId="2FFA439E" w14:textId="77777777" w:rsidR="001F1A77" w:rsidRPr="003A1DF0" w:rsidRDefault="001F1A77" w:rsidP="00036CD0">
      <w:pPr>
        <w:spacing w:line="360" w:lineRule="auto"/>
        <w:contextualSpacing/>
        <w:jc w:val="both"/>
        <w:rPr>
          <w:rFonts w:ascii="Palatino Linotype" w:hAnsi="Palatino Linotype" w:cs="Tahoma"/>
          <w:sz w:val="22"/>
          <w:szCs w:val="22"/>
        </w:rPr>
      </w:pPr>
    </w:p>
    <w:p w14:paraId="2F00C8F6" w14:textId="77777777" w:rsidR="003A1DF0" w:rsidRPr="003A1DF0" w:rsidRDefault="003A1DF0" w:rsidP="00036CD0">
      <w:pPr>
        <w:spacing w:line="360" w:lineRule="auto"/>
        <w:contextualSpacing/>
        <w:jc w:val="both"/>
        <w:rPr>
          <w:rFonts w:ascii="Palatino Linotype" w:hAnsi="Palatino Linotype" w:cs="Tahoma"/>
          <w:sz w:val="22"/>
          <w:szCs w:val="22"/>
        </w:rPr>
      </w:pPr>
    </w:p>
    <w:sectPr w:rsidR="003A1DF0" w:rsidRPr="003A1DF0" w:rsidSect="0003481C">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2E2DC" w14:textId="77777777" w:rsidR="008E665E" w:rsidRDefault="008E665E" w:rsidP="00B31222">
      <w:r>
        <w:separator/>
      </w:r>
    </w:p>
  </w:endnote>
  <w:endnote w:type="continuationSeparator" w:id="0">
    <w:p w14:paraId="63BDAED5" w14:textId="77777777" w:rsidR="008E665E" w:rsidRDefault="008E665E" w:rsidP="00B31222">
      <w:r>
        <w:continuationSeparator/>
      </w:r>
    </w:p>
  </w:endnote>
  <w:endnote w:type="continuationNotice" w:id="1">
    <w:p w14:paraId="4BEEBA06" w14:textId="77777777" w:rsidR="008E665E" w:rsidRDefault="008E6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411239FF" w14:textId="77777777" w:rsidR="00EA1988" w:rsidRDefault="00EA1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6C29">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6C29">
              <w:rPr>
                <w:b/>
                <w:bCs/>
                <w:noProof/>
              </w:rPr>
              <w:t>26</w:t>
            </w:r>
            <w:r>
              <w:rPr>
                <w:b/>
                <w:bCs/>
                <w:sz w:val="24"/>
                <w:szCs w:val="24"/>
              </w:rPr>
              <w:fldChar w:fldCharType="end"/>
            </w:r>
          </w:p>
        </w:sdtContent>
      </w:sdt>
    </w:sdtContent>
  </w:sdt>
  <w:p w14:paraId="7347D090" w14:textId="77777777" w:rsidR="00EA1988" w:rsidRDefault="00EA19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AAC6B82" w14:textId="77777777" w:rsidR="00EA1988" w:rsidRDefault="00EA1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6C2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6C29">
              <w:rPr>
                <w:b/>
                <w:bCs/>
                <w:noProof/>
              </w:rPr>
              <w:t>26</w:t>
            </w:r>
            <w:r>
              <w:rPr>
                <w:b/>
                <w:bCs/>
                <w:sz w:val="24"/>
                <w:szCs w:val="24"/>
              </w:rPr>
              <w:fldChar w:fldCharType="end"/>
            </w:r>
          </w:p>
        </w:sdtContent>
      </w:sdt>
    </w:sdtContent>
  </w:sdt>
  <w:p w14:paraId="13A5229C" w14:textId="77777777" w:rsidR="00EA1988" w:rsidRDefault="00EA19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C2AE7" w14:textId="77777777" w:rsidR="008E665E" w:rsidRDefault="008E665E" w:rsidP="00B31222">
      <w:r>
        <w:separator/>
      </w:r>
    </w:p>
  </w:footnote>
  <w:footnote w:type="continuationSeparator" w:id="0">
    <w:p w14:paraId="16E38B5F" w14:textId="77777777" w:rsidR="008E665E" w:rsidRDefault="008E665E" w:rsidP="00B31222">
      <w:r>
        <w:continuationSeparator/>
      </w:r>
    </w:p>
  </w:footnote>
  <w:footnote w:type="continuationNotice" w:id="1">
    <w:p w14:paraId="21A25038" w14:textId="77777777" w:rsidR="008E665E" w:rsidRDefault="008E6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12388" w14:textId="77777777" w:rsidR="00EA1988" w:rsidRDefault="00000000">
    <w:pPr>
      <w:pStyle w:val="Encabezado"/>
    </w:pPr>
    <w:r>
      <w:rPr>
        <w:noProof/>
        <w:lang w:eastAsia="es-MX"/>
      </w:rPr>
      <w:pict w14:anchorId="7EA28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EA1988" w:rsidRPr="005C106F" w14:paraId="18553408" w14:textId="77777777" w:rsidTr="00202DB8">
      <w:trPr>
        <w:trHeight w:val="1435"/>
      </w:trPr>
      <w:tc>
        <w:tcPr>
          <w:tcW w:w="2835" w:type="dxa"/>
          <w:shd w:val="clear" w:color="auto" w:fill="auto"/>
        </w:tcPr>
        <w:p w14:paraId="38238D01" w14:textId="77777777" w:rsidR="00EA1988" w:rsidRPr="005C106F" w:rsidRDefault="00EA1988"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C62A29A" wp14:editId="2F04BFB2">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6E530A9" w14:textId="77777777" w:rsidR="00EA1988" w:rsidRDefault="00EA1988"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EA1988" w14:paraId="6B384280" w14:textId="77777777" w:rsidTr="00DF3BE8">
            <w:trPr>
              <w:trHeight w:val="144"/>
            </w:trPr>
            <w:tc>
              <w:tcPr>
                <w:tcW w:w="2589" w:type="dxa"/>
              </w:tcPr>
              <w:p w14:paraId="6188A04E"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17AB32A" w14:textId="3BD2E65B" w:rsidR="00EA1988" w:rsidRPr="00431A70" w:rsidRDefault="00DE4665"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11551</w:t>
                </w:r>
                <w:r w:rsidR="00EA1988" w:rsidRPr="001A412B">
                  <w:rPr>
                    <w:rFonts w:ascii="Palatino Linotype" w:eastAsia="Calibri" w:hAnsi="Palatino Linotype" w:cs="Tahoma"/>
                    <w:b/>
                    <w:bCs/>
                    <w:sz w:val="22"/>
                    <w:szCs w:val="22"/>
                    <w:lang w:val="es-MX" w:eastAsia="en-US"/>
                  </w:rPr>
                  <w:t>/INFOEM/IP/RR/202</w:t>
                </w:r>
                <w:r w:rsidR="00EA1988">
                  <w:rPr>
                    <w:rFonts w:ascii="Palatino Linotype" w:eastAsia="Calibri" w:hAnsi="Palatino Linotype" w:cs="Tahoma"/>
                    <w:b/>
                    <w:bCs/>
                    <w:sz w:val="22"/>
                    <w:szCs w:val="22"/>
                    <w:lang w:val="es-MX" w:eastAsia="en-US"/>
                  </w:rPr>
                  <w:t>5</w:t>
                </w:r>
              </w:p>
            </w:tc>
          </w:tr>
          <w:tr w:rsidR="00EA1988" w14:paraId="2F792C96" w14:textId="77777777" w:rsidTr="00DF3BE8">
            <w:trPr>
              <w:trHeight w:val="283"/>
            </w:trPr>
            <w:tc>
              <w:tcPr>
                <w:tcW w:w="2589" w:type="dxa"/>
              </w:tcPr>
              <w:p w14:paraId="685C0615"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D624EE3" w14:textId="0E4B7AD1" w:rsidR="00EA1988" w:rsidRPr="005F13CF" w:rsidRDefault="00DE4665"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Oficialía Mayor</w:t>
                </w:r>
              </w:p>
            </w:tc>
          </w:tr>
          <w:tr w:rsidR="00EA1988" w14:paraId="7C5CBD5E" w14:textId="77777777" w:rsidTr="00DF3BE8">
            <w:trPr>
              <w:trHeight w:val="283"/>
            </w:trPr>
            <w:tc>
              <w:tcPr>
                <w:tcW w:w="2589" w:type="dxa"/>
              </w:tcPr>
              <w:p w14:paraId="56B05354"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5799961" w14:textId="77777777" w:rsidR="00EA1988" w:rsidRDefault="00EA1988"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4FDEC3D" w14:textId="77777777" w:rsidR="00EA1988" w:rsidRPr="00431A70" w:rsidRDefault="00EA1988" w:rsidP="005F13CF">
                <w:pPr>
                  <w:tabs>
                    <w:tab w:val="right" w:pos="8838"/>
                  </w:tabs>
                  <w:ind w:left="-106" w:right="171"/>
                  <w:jc w:val="both"/>
                  <w:rPr>
                    <w:rFonts w:ascii="Palatino Linotype" w:eastAsia="Calibri" w:hAnsi="Palatino Linotype" w:cs="Tahoma"/>
                    <w:b/>
                    <w:sz w:val="22"/>
                    <w:szCs w:val="22"/>
                    <w:lang w:eastAsia="en-US"/>
                  </w:rPr>
                </w:pPr>
              </w:p>
            </w:tc>
          </w:tr>
        </w:tbl>
        <w:p w14:paraId="0CD9BDDB" w14:textId="77777777" w:rsidR="00EA1988" w:rsidRPr="005C106F" w:rsidRDefault="00EA1988" w:rsidP="005743D2">
          <w:pPr>
            <w:tabs>
              <w:tab w:val="right" w:pos="8838"/>
            </w:tabs>
            <w:ind w:left="-28"/>
            <w:jc w:val="both"/>
            <w:rPr>
              <w:rFonts w:ascii="Arial" w:eastAsia="Calibri" w:hAnsi="Arial" w:cs="Arial"/>
              <w:b/>
              <w:sz w:val="22"/>
              <w:szCs w:val="22"/>
              <w:lang w:eastAsia="en-US"/>
            </w:rPr>
          </w:pPr>
        </w:p>
      </w:tc>
    </w:tr>
  </w:tbl>
  <w:p w14:paraId="17B9D699" w14:textId="77777777" w:rsidR="00EA1988" w:rsidRPr="00A25151" w:rsidRDefault="00EA1988"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EA1988" w:rsidRPr="00330DA7" w14:paraId="392FA786" w14:textId="77777777" w:rsidTr="003B165A">
      <w:trPr>
        <w:trHeight w:val="1435"/>
      </w:trPr>
      <w:tc>
        <w:tcPr>
          <w:tcW w:w="2835" w:type="dxa"/>
          <w:shd w:val="clear" w:color="auto" w:fill="auto"/>
        </w:tcPr>
        <w:p w14:paraId="4EB4E3A1" w14:textId="77777777" w:rsidR="00EA1988" w:rsidRPr="00330DA7" w:rsidRDefault="00EA1988"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3AC9A8" wp14:editId="3E57228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EA1988" w:rsidRPr="00431A70" w14:paraId="6076AD82" w14:textId="77777777" w:rsidTr="00DF3BE8">
            <w:trPr>
              <w:trHeight w:val="144"/>
            </w:trPr>
            <w:tc>
              <w:tcPr>
                <w:tcW w:w="2589" w:type="dxa"/>
              </w:tcPr>
              <w:p w14:paraId="0C8D84BD" w14:textId="77777777" w:rsidR="00EA1988" w:rsidRPr="00431A70" w:rsidRDefault="00EA1988"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C29F3B2" w14:textId="36513FC8" w:rsidR="00EA1988" w:rsidRPr="00431A70" w:rsidRDefault="00DE4665"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11551</w:t>
                </w:r>
                <w:r w:rsidR="00EA1988">
                  <w:rPr>
                    <w:rFonts w:ascii="Palatino Linotype" w:eastAsia="Calibri" w:hAnsi="Palatino Linotype" w:cs="Tahoma"/>
                    <w:b/>
                    <w:bCs/>
                    <w:sz w:val="22"/>
                    <w:szCs w:val="22"/>
                    <w:lang w:val="es-MX" w:eastAsia="en-US"/>
                  </w:rPr>
                  <w:t>/INFOEM/IP/RR/2025</w:t>
                </w:r>
              </w:p>
            </w:tc>
          </w:tr>
          <w:tr w:rsidR="00EA1988" w:rsidRPr="00286D0C" w14:paraId="76154089" w14:textId="77777777" w:rsidTr="00DF3BE8">
            <w:trPr>
              <w:trHeight w:val="144"/>
            </w:trPr>
            <w:tc>
              <w:tcPr>
                <w:tcW w:w="2589" w:type="dxa"/>
              </w:tcPr>
              <w:p w14:paraId="43EB36C2"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1A084D9" w14:textId="0589F14B" w:rsidR="00EA1988" w:rsidRPr="00286D0C" w:rsidRDefault="00BC15CC" w:rsidP="005F13CF">
                <w:pPr>
                  <w:tabs>
                    <w:tab w:val="left" w:pos="3122"/>
                    <w:tab w:val="right" w:pos="8838"/>
                  </w:tabs>
                  <w:ind w:left="-106" w:right="-105"/>
                  <w:jc w:val="both"/>
                  <w:rPr>
                    <w:rFonts w:ascii="Palatino Linotype" w:eastAsia="Calibri" w:hAnsi="Palatino Linotype" w:cs="Tahoma"/>
                    <w:bCs/>
                    <w:sz w:val="22"/>
                    <w:szCs w:val="22"/>
                    <w:lang w:eastAsia="en-US"/>
                  </w:rPr>
                </w:pPr>
                <w:r w:rsidRPr="00BC15CC">
                  <w:rPr>
                    <w:rFonts w:ascii="Palatino Linotype" w:eastAsia="Calibri" w:hAnsi="Palatino Linotype" w:cs="Tahoma"/>
                    <w:bCs/>
                    <w:sz w:val="22"/>
                    <w:szCs w:val="22"/>
                    <w:highlight w:val="black"/>
                    <w:lang w:eastAsia="en-US"/>
                  </w:rPr>
                  <w:t>XXXXXXXXXXXXXXXX</w:t>
                </w:r>
              </w:p>
            </w:tc>
          </w:tr>
          <w:tr w:rsidR="00EA1988" w:rsidRPr="00431A70" w14:paraId="62CE67E3" w14:textId="77777777" w:rsidTr="00DF3BE8">
            <w:trPr>
              <w:trHeight w:val="283"/>
            </w:trPr>
            <w:tc>
              <w:tcPr>
                <w:tcW w:w="2589" w:type="dxa"/>
              </w:tcPr>
              <w:p w14:paraId="2859C174"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65F5862" w14:textId="7BB11623" w:rsidR="00EA1988" w:rsidRPr="005F13CF" w:rsidRDefault="00DE466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Oficialía Mayor</w:t>
                </w:r>
                <w:r w:rsidR="00EA1988">
                  <w:rPr>
                    <w:rFonts w:ascii="Palatino Linotype" w:eastAsia="Calibri" w:hAnsi="Palatino Linotype" w:cs="Tahoma"/>
                    <w:bCs/>
                    <w:sz w:val="22"/>
                    <w:szCs w:val="22"/>
                    <w:lang w:val="es-MX" w:eastAsia="en-US"/>
                  </w:rPr>
                  <w:t xml:space="preserve"> </w:t>
                </w:r>
              </w:p>
            </w:tc>
          </w:tr>
          <w:tr w:rsidR="00EA1988" w:rsidRPr="00431A70" w14:paraId="30D235AA" w14:textId="77777777" w:rsidTr="00DF3BE8">
            <w:trPr>
              <w:trHeight w:val="283"/>
            </w:trPr>
            <w:tc>
              <w:tcPr>
                <w:tcW w:w="2589" w:type="dxa"/>
              </w:tcPr>
              <w:p w14:paraId="237469D3"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40C8EE1" w14:textId="77777777" w:rsidR="00EA1988" w:rsidRPr="00431A70" w:rsidRDefault="00EA1988"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B619221" w14:textId="77777777" w:rsidR="00EA1988" w:rsidRPr="00330DA7" w:rsidRDefault="00EA1988" w:rsidP="00DB7E5F">
          <w:pPr>
            <w:tabs>
              <w:tab w:val="right" w:pos="8838"/>
            </w:tabs>
            <w:ind w:left="-28"/>
            <w:jc w:val="both"/>
            <w:rPr>
              <w:rFonts w:ascii="Arial" w:eastAsia="Calibri" w:hAnsi="Arial" w:cs="Arial"/>
              <w:b/>
              <w:sz w:val="22"/>
              <w:szCs w:val="22"/>
              <w:lang w:eastAsia="en-US"/>
            </w:rPr>
          </w:pPr>
        </w:p>
      </w:tc>
    </w:tr>
  </w:tbl>
  <w:p w14:paraId="743A879C" w14:textId="77777777" w:rsidR="00EA1988" w:rsidRPr="00330DA7" w:rsidRDefault="00EA1988"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762A38"/>
    <w:multiLevelType w:val="multilevel"/>
    <w:tmpl w:val="CB9CD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74A5D"/>
    <w:multiLevelType w:val="hybridMultilevel"/>
    <w:tmpl w:val="24F8B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6702"/>
    <w:multiLevelType w:val="multilevel"/>
    <w:tmpl w:val="26C852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2819AD"/>
    <w:multiLevelType w:val="hybridMultilevel"/>
    <w:tmpl w:val="97E4A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38605B"/>
    <w:multiLevelType w:val="multilevel"/>
    <w:tmpl w:val="36106B4C"/>
    <w:lvl w:ilvl="0">
      <w:start w:val="1"/>
      <w:numFmt w:val="upperRoman"/>
      <w:lvlText w:val="%1."/>
      <w:lvlJc w:val="left"/>
      <w:pPr>
        <w:ind w:left="1288"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BD007A"/>
    <w:multiLevelType w:val="multilevel"/>
    <w:tmpl w:val="D9D42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797E63"/>
    <w:multiLevelType w:val="hybridMultilevel"/>
    <w:tmpl w:val="271E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254364"/>
    <w:multiLevelType w:val="multilevel"/>
    <w:tmpl w:val="46A46C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A1E2186"/>
    <w:multiLevelType w:val="hybridMultilevel"/>
    <w:tmpl w:val="8A0C7E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D51817"/>
    <w:multiLevelType w:val="multilevel"/>
    <w:tmpl w:val="D8E0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180F32"/>
    <w:multiLevelType w:val="hybridMultilevel"/>
    <w:tmpl w:val="24CC1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891436"/>
    <w:multiLevelType w:val="hybridMultilevel"/>
    <w:tmpl w:val="2654F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D412C2"/>
    <w:multiLevelType w:val="hybridMultilevel"/>
    <w:tmpl w:val="1ADCC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2264257">
    <w:abstractNumId w:val="0"/>
  </w:num>
  <w:num w:numId="2" w16cid:durableId="1405369103">
    <w:abstractNumId w:val="10"/>
  </w:num>
  <w:num w:numId="3" w16cid:durableId="4951475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365630">
    <w:abstractNumId w:val="2"/>
  </w:num>
  <w:num w:numId="5" w16cid:durableId="982193134">
    <w:abstractNumId w:val="39"/>
  </w:num>
  <w:num w:numId="6" w16cid:durableId="1294218904">
    <w:abstractNumId w:val="7"/>
  </w:num>
  <w:num w:numId="7" w16cid:durableId="911696015">
    <w:abstractNumId w:val="8"/>
  </w:num>
  <w:num w:numId="8" w16cid:durableId="262734911">
    <w:abstractNumId w:val="25"/>
  </w:num>
  <w:num w:numId="9" w16cid:durableId="1805081479">
    <w:abstractNumId w:val="6"/>
    <w:lvlOverride w:ilvl="0">
      <w:startOverride w:val="1"/>
    </w:lvlOverride>
    <w:lvlOverride w:ilvl="1"/>
    <w:lvlOverride w:ilvl="2"/>
    <w:lvlOverride w:ilvl="3"/>
    <w:lvlOverride w:ilvl="4"/>
    <w:lvlOverride w:ilvl="5"/>
    <w:lvlOverride w:ilvl="6"/>
    <w:lvlOverride w:ilvl="7"/>
    <w:lvlOverride w:ilvl="8"/>
  </w:num>
  <w:num w:numId="10" w16cid:durableId="226379766">
    <w:abstractNumId w:val="32"/>
    <w:lvlOverride w:ilvl="0">
      <w:startOverride w:val="1"/>
    </w:lvlOverride>
    <w:lvlOverride w:ilvl="1"/>
    <w:lvlOverride w:ilvl="2"/>
    <w:lvlOverride w:ilvl="3"/>
    <w:lvlOverride w:ilvl="4"/>
    <w:lvlOverride w:ilvl="5"/>
    <w:lvlOverride w:ilvl="6"/>
    <w:lvlOverride w:ilvl="7"/>
    <w:lvlOverride w:ilvl="8"/>
  </w:num>
  <w:num w:numId="11" w16cid:durableId="1992556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8238780">
    <w:abstractNumId w:val="21"/>
  </w:num>
  <w:num w:numId="13" w16cid:durableId="1936327338">
    <w:abstractNumId w:val="37"/>
  </w:num>
  <w:num w:numId="14" w16cid:durableId="1235776924">
    <w:abstractNumId w:val="19"/>
  </w:num>
  <w:num w:numId="15" w16cid:durableId="2124036920">
    <w:abstractNumId w:val="20"/>
  </w:num>
  <w:num w:numId="16" w16cid:durableId="612130544">
    <w:abstractNumId w:val="36"/>
  </w:num>
  <w:num w:numId="17" w16cid:durableId="142889720">
    <w:abstractNumId w:val="13"/>
  </w:num>
  <w:num w:numId="18" w16cid:durableId="277107641">
    <w:abstractNumId w:val="23"/>
  </w:num>
  <w:num w:numId="19" w16cid:durableId="331415952">
    <w:abstractNumId w:val="4"/>
  </w:num>
  <w:num w:numId="20" w16cid:durableId="1706326533">
    <w:abstractNumId w:val="30"/>
  </w:num>
  <w:num w:numId="21" w16cid:durableId="2025588468">
    <w:abstractNumId w:val="33"/>
  </w:num>
  <w:num w:numId="22" w16cid:durableId="1304778410">
    <w:abstractNumId w:val="34"/>
  </w:num>
  <w:num w:numId="23" w16cid:durableId="1759327084">
    <w:abstractNumId w:val="24"/>
  </w:num>
  <w:num w:numId="24" w16cid:durableId="732653684">
    <w:abstractNumId w:val="15"/>
  </w:num>
  <w:num w:numId="25" w16cid:durableId="1329166967">
    <w:abstractNumId w:val="11"/>
  </w:num>
  <w:num w:numId="26" w16cid:durableId="1527015728">
    <w:abstractNumId w:val="18"/>
  </w:num>
  <w:num w:numId="27" w16cid:durableId="606038431">
    <w:abstractNumId w:val="3"/>
  </w:num>
  <w:num w:numId="28" w16cid:durableId="1157451376">
    <w:abstractNumId w:val="26"/>
  </w:num>
  <w:num w:numId="29" w16cid:durableId="1228154505">
    <w:abstractNumId w:val="31"/>
  </w:num>
  <w:num w:numId="30" w16cid:durableId="1040665113">
    <w:abstractNumId w:val="1"/>
  </w:num>
  <w:num w:numId="31" w16cid:durableId="43675303">
    <w:abstractNumId w:val="12"/>
  </w:num>
  <w:num w:numId="32" w16cid:durableId="537552337">
    <w:abstractNumId w:val="14"/>
  </w:num>
  <w:num w:numId="33" w16cid:durableId="1212111146">
    <w:abstractNumId w:val="22"/>
  </w:num>
  <w:num w:numId="34" w16cid:durableId="293491291">
    <w:abstractNumId w:val="5"/>
  </w:num>
  <w:num w:numId="35" w16cid:durableId="749355739">
    <w:abstractNumId w:val="28"/>
  </w:num>
  <w:num w:numId="36" w16cid:durableId="1512985231">
    <w:abstractNumId w:val="38"/>
  </w:num>
  <w:num w:numId="37" w16cid:durableId="889606772">
    <w:abstractNumId w:val="17"/>
  </w:num>
  <w:num w:numId="38" w16cid:durableId="1692023398">
    <w:abstractNumId w:val="29"/>
  </w:num>
  <w:num w:numId="39" w16cid:durableId="1499809715">
    <w:abstractNumId w:val="9"/>
  </w:num>
  <w:num w:numId="40" w16cid:durableId="130897489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CD0"/>
    <w:rsid w:val="000373BC"/>
    <w:rsid w:val="000378BC"/>
    <w:rsid w:val="00037B34"/>
    <w:rsid w:val="00037F4B"/>
    <w:rsid w:val="00040101"/>
    <w:rsid w:val="000406F5"/>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69"/>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39E"/>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2A2F"/>
    <w:rsid w:val="001534EA"/>
    <w:rsid w:val="0015381E"/>
    <w:rsid w:val="001551BF"/>
    <w:rsid w:val="0015530E"/>
    <w:rsid w:val="00155B1A"/>
    <w:rsid w:val="00155F96"/>
    <w:rsid w:val="00155FE6"/>
    <w:rsid w:val="00156408"/>
    <w:rsid w:val="00156A6B"/>
    <w:rsid w:val="0015711C"/>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11F"/>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DB3"/>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A0"/>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77B"/>
    <w:rsid w:val="00236863"/>
    <w:rsid w:val="00237C1F"/>
    <w:rsid w:val="00237D0D"/>
    <w:rsid w:val="00240363"/>
    <w:rsid w:val="00241116"/>
    <w:rsid w:val="002415E5"/>
    <w:rsid w:val="002433A4"/>
    <w:rsid w:val="002435DC"/>
    <w:rsid w:val="002447B2"/>
    <w:rsid w:val="00244ABB"/>
    <w:rsid w:val="00245B2A"/>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3937"/>
    <w:rsid w:val="00254209"/>
    <w:rsid w:val="00254288"/>
    <w:rsid w:val="0025469C"/>
    <w:rsid w:val="00255314"/>
    <w:rsid w:val="00255921"/>
    <w:rsid w:val="00257541"/>
    <w:rsid w:val="0025789C"/>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70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EB5"/>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15D"/>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790"/>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1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243"/>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14"/>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B18"/>
    <w:rsid w:val="00461E53"/>
    <w:rsid w:val="00463F50"/>
    <w:rsid w:val="0046548F"/>
    <w:rsid w:val="00465497"/>
    <w:rsid w:val="00466346"/>
    <w:rsid w:val="00466C2C"/>
    <w:rsid w:val="00467498"/>
    <w:rsid w:val="004675F7"/>
    <w:rsid w:val="004676FF"/>
    <w:rsid w:val="004702B0"/>
    <w:rsid w:val="004705E3"/>
    <w:rsid w:val="00471A95"/>
    <w:rsid w:val="00472490"/>
    <w:rsid w:val="00473A9B"/>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43AE"/>
    <w:rsid w:val="0048519E"/>
    <w:rsid w:val="00485EC7"/>
    <w:rsid w:val="004860BD"/>
    <w:rsid w:val="004866BB"/>
    <w:rsid w:val="00487430"/>
    <w:rsid w:val="00487710"/>
    <w:rsid w:val="00487A3E"/>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97BE2"/>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6F11"/>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AB"/>
    <w:rsid w:val="00511BC6"/>
    <w:rsid w:val="00511FA0"/>
    <w:rsid w:val="00512564"/>
    <w:rsid w:val="0051276F"/>
    <w:rsid w:val="0051296F"/>
    <w:rsid w:val="005130AC"/>
    <w:rsid w:val="0051321D"/>
    <w:rsid w:val="00517427"/>
    <w:rsid w:val="00520C2F"/>
    <w:rsid w:val="00521A73"/>
    <w:rsid w:val="005220BE"/>
    <w:rsid w:val="005223C0"/>
    <w:rsid w:val="00522771"/>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2FB8"/>
    <w:rsid w:val="005F3812"/>
    <w:rsid w:val="005F3BF5"/>
    <w:rsid w:val="005F48F1"/>
    <w:rsid w:val="005F50B3"/>
    <w:rsid w:val="005F52F4"/>
    <w:rsid w:val="005F7AEB"/>
    <w:rsid w:val="005F7BA4"/>
    <w:rsid w:val="00600280"/>
    <w:rsid w:val="006003DB"/>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715"/>
    <w:rsid w:val="006408C4"/>
    <w:rsid w:val="0064182B"/>
    <w:rsid w:val="006418ED"/>
    <w:rsid w:val="0064229C"/>
    <w:rsid w:val="00642B13"/>
    <w:rsid w:val="00642F16"/>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9E8"/>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1C1D"/>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4B1"/>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93E"/>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3B0"/>
    <w:rsid w:val="006E14D7"/>
    <w:rsid w:val="006E1A7A"/>
    <w:rsid w:val="006E2DEB"/>
    <w:rsid w:val="006E45BE"/>
    <w:rsid w:val="006E4723"/>
    <w:rsid w:val="006E6C29"/>
    <w:rsid w:val="006E716F"/>
    <w:rsid w:val="006E7C78"/>
    <w:rsid w:val="006E7DA9"/>
    <w:rsid w:val="006E7DEE"/>
    <w:rsid w:val="006F01E7"/>
    <w:rsid w:val="006F0FD7"/>
    <w:rsid w:val="006F13AF"/>
    <w:rsid w:val="006F1F3A"/>
    <w:rsid w:val="006F2104"/>
    <w:rsid w:val="006F5B38"/>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53D"/>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86E"/>
    <w:rsid w:val="007169A8"/>
    <w:rsid w:val="00716C32"/>
    <w:rsid w:val="00721648"/>
    <w:rsid w:val="00721B25"/>
    <w:rsid w:val="007229A1"/>
    <w:rsid w:val="00722F18"/>
    <w:rsid w:val="007235AA"/>
    <w:rsid w:val="00724BD3"/>
    <w:rsid w:val="00725E05"/>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4D9"/>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193"/>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1F7E"/>
    <w:rsid w:val="007C283C"/>
    <w:rsid w:val="007C3E2E"/>
    <w:rsid w:val="007C5C9B"/>
    <w:rsid w:val="007C6C24"/>
    <w:rsid w:val="007C71CF"/>
    <w:rsid w:val="007C7EB6"/>
    <w:rsid w:val="007D03CB"/>
    <w:rsid w:val="007D12D8"/>
    <w:rsid w:val="007D1667"/>
    <w:rsid w:val="007D1BCD"/>
    <w:rsid w:val="007D1DE3"/>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57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1F62"/>
    <w:rsid w:val="00802515"/>
    <w:rsid w:val="0080254F"/>
    <w:rsid w:val="00802661"/>
    <w:rsid w:val="0080373C"/>
    <w:rsid w:val="00803E3D"/>
    <w:rsid w:val="00805163"/>
    <w:rsid w:val="0080544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4F06"/>
    <w:rsid w:val="00855019"/>
    <w:rsid w:val="008554B6"/>
    <w:rsid w:val="0085598D"/>
    <w:rsid w:val="00857B6B"/>
    <w:rsid w:val="008603A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8C5"/>
    <w:rsid w:val="008A0DF3"/>
    <w:rsid w:val="008A10D3"/>
    <w:rsid w:val="008A1679"/>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65E"/>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87B"/>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0C0"/>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27E"/>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178EC"/>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7C"/>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3F3"/>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152D"/>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DFA"/>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5094"/>
    <w:rsid w:val="00B265FF"/>
    <w:rsid w:val="00B267E1"/>
    <w:rsid w:val="00B274AE"/>
    <w:rsid w:val="00B274BF"/>
    <w:rsid w:val="00B27AA7"/>
    <w:rsid w:val="00B304B7"/>
    <w:rsid w:val="00B31222"/>
    <w:rsid w:val="00B314D7"/>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65B5"/>
    <w:rsid w:val="00B97239"/>
    <w:rsid w:val="00BA064F"/>
    <w:rsid w:val="00BA0D0B"/>
    <w:rsid w:val="00BA14FC"/>
    <w:rsid w:val="00BA1EE5"/>
    <w:rsid w:val="00BA3ADF"/>
    <w:rsid w:val="00BA3D3F"/>
    <w:rsid w:val="00BA4C61"/>
    <w:rsid w:val="00BA4CE5"/>
    <w:rsid w:val="00BA4DFC"/>
    <w:rsid w:val="00BA5DF2"/>
    <w:rsid w:val="00BA7E4A"/>
    <w:rsid w:val="00BB1236"/>
    <w:rsid w:val="00BB1A27"/>
    <w:rsid w:val="00BB1F81"/>
    <w:rsid w:val="00BB375D"/>
    <w:rsid w:val="00BB4015"/>
    <w:rsid w:val="00BB41B8"/>
    <w:rsid w:val="00BB4277"/>
    <w:rsid w:val="00BB42B2"/>
    <w:rsid w:val="00BB49A0"/>
    <w:rsid w:val="00BB4DD5"/>
    <w:rsid w:val="00BB515F"/>
    <w:rsid w:val="00BB5196"/>
    <w:rsid w:val="00BB532B"/>
    <w:rsid w:val="00BB5C60"/>
    <w:rsid w:val="00BC0924"/>
    <w:rsid w:val="00BC0C50"/>
    <w:rsid w:val="00BC11E0"/>
    <w:rsid w:val="00BC15CC"/>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8BF"/>
    <w:rsid w:val="00C01EA2"/>
    <w:rsid w:val="00C02357"/>
    <w:rsid w:val="00C03070"/>
    <w:rsid w:val="00C046C5"/>
    <w:rsid w:val="00C04951"/>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4C0"/>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221"/>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28AF"/>
    <w:rsid w:val="00C73C57"/>
    <w:rsid w:val="00C741B2"/>
    <w:rsid w:val="00C746D9"/>
    <w:rsid w:val="00C74D43"/>
    <w:rsid w:val="00C74F53"/>
    <w:rsid w:val="00C74F5F"/>
    <w:rsid w:val="00C75205"/>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28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A90"/>
    <w:rsid w:val="00CE1BC9"/>
    <w:rsid w:val="00CE25A1"/>
    <w:rsid w:val="00CE2DD0"/>
    <w:rsid w:val="00CE2F19"/>
    <w:rsid w:val="00CE33C1"/>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719"/>
    <w:rsid w:val="00D47BC2"/>
    <w:rsid w:val="00D50198"/>
    <w:rsid w:val="00D504F1"/>
    <w:rsid w:val="00D514B7"/>
    <w:rsid w:val="00D51515"/>
    <w:rsid w:val="00D520F9"/>
    <w:rsid w:val="00D5217F"/>
    <w:rsid w:val="00D5381C"/>
    <w:rsid w:val="00D53C84"/>
    <w:rsid w:val="00D54A52"/>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19E8"/>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1BF"/>
    <w:rsid w:val="00DD78B2"/>
    <w:rsid w:val="00DE040C"/>
    <w:rsid w:val="00DE0DE9"/>
    <w:rsid w:val="00DE1408"/>
    <w:rsid w:val="00DE1746"/>
    <w:rsid w:val="00DE1E69"/>
    <w:rsid w:val="00DE2004"/>
    <w:rsid w:val="00DE2966"/>
    <w:rsid w:val="00DE40E0"/>
    <w:rsid w:val="00DE4107"/>
    <w:rsid w:val="00DE4665"/>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3F01"/>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BD2"/>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065"/>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5B4C"/>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988"/>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3E1"/>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0B1"/>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56B"/>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D79C9"/>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26CF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7A2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38190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9E29-4AC2-4240-B65F-28DE7AD0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6406</Words>
  <Characters>35239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2026-02-20T00:24:00Z</cp:lastPrinted>
  <dcterms:created xsi:type="dcterms:W3CDTF">2026-02-20T00:23:00Z</dcterms:created>
  <dcterms:modified xsi:type="dcterms:W3CDTF">2026-04-09T20:55:00Z</dcterms:modified>
</cp:coreProperties>
</file>