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700" w:rsidRDefault="007A0700">
      <w:pPr>
        <w:widowControl w:val="0"/>
        <w:pBdr>
          <w:top w:val="nil"/>
          <w:left w:val="nil"/>
          <w:bottom w:val="nil"/>
          <w:right w:val="nil"/>
          <w:between w:val="nil"/>
        </w:pBdr>
        <w:spacing w:line="276" w:lineRule="auto"/>
      </w:pP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10641/INFOEM/IP/RR/2025</w:t>
      </w:r>
    </w:p>
    <w:p w:rsidR="007A0700" w:rsidRDefault="007A0700">
      <w:pPr>
        <w:spacing w:line="360" w:lineRule="auto"/>
        <w:rPr>
          <w:rFonts w:ascii="Palatino Linotype" w:eastAsia="Palatino Linotype" w:hAnsi="Palatino Linotype" w:cs="Palatino Linotype"/>
          <w:sz w:val="22"/>
          <w:szCs w:val="22"/>
        </w:rPr>
      </w:pPr>
    </w:p>
    <w:sdt>
      <w:sdtPr>
        <w:rPr>
          <w:sz w:val="20"/>
          <w:szCs w:val="20"/>
          <w:lang w:val="es-ES"/>
        </w:rPr>
        <w:id w:val="1658346000"/>
        <w:docPartObj>
          <w:docPartGallery w:val="Table of Contents"/>
          <w:docPartUnique/>
        </w:docPartObj>
      </w:sdtPr>
      <w:sdtEndPr>
        <w:rPr>
          <w:b/>
          <w:bCs/>
        </w:rPr>
      </w:sdtEndPr>
      <w:sdtContent>
        <w:p w:rsidR="002932DB" w:rsidRDefault="002932DB">
          <w:pPr>
            <w:pStyle w:val="TtulodeTDC"/>
          </w:pPr>
        </w:p>
        <w:p w:rsidR="00CE60AE" w:rsidRPr="00CE60AE" w:rsidRDefault="002932DB">
          <w:pPr>
            <w:pStyle w:val="TDC1"/>
            <w:tabs>
              <w:tab w:val="right" w:leader="dot" w:pos="9034"/>
            </w:tabs>
            <w:rPr>
              <w:rFonts w:ascii="Palatino Linotype" w:eastAsiaTheme="minorEastAsia" w:hAnsi="Palatino Linotype" w:cstheme="minorBidi"/>
              <w:noProof/>
              <w:sz w:val="22"/>
              <w:szCs w:val="22"/>
            </w:rPr>
          </w:pPr>
          <w:r>
            <w:rPr>
              <w:b/>
              <w:bCs/>
              <w:lang w:val="es-ES"/>
            </w:rPr>
            <w:fldChar w:fldCharType="begin"/>
          </w:r>
          <w:r>
            <w:rPr>
              <w:b/>
              <w:bCs/>
              <w:lang w:val="es-ES"/>
            </w:rPr>
            <w:instrText xml:space="preserve"> TOC \o "1-3" \h \z \u </w:instrText>
          </w:r>
          <w:r>
            <w:rPr>
              <w:b/>
              <w:bCs/>
              <w:lang w:val="es-ES"/>
            </w:rPr>
            <w:fldChar w:fldCharType="separate"/>
          </w:r>
          <w:hyperlink w:anchor="_Toc221204055" w:history="1">
            <w:r w:rsidR="00CE60AE" w:rsidRPr="00CE60AE">
              <w:rPr>
                <w:rStyle w:val="Hipervnculo"/>
                <w:rFonts w:ascii="Palatino Linotype" w:eastAsia="Palatino Linotype" w:hAnsi="Palatino Linotype" w:cs="Palatino Linotype"/>
                <w:bCs/>
                <w:noProof/>
                <w:sz w:val="22"/>
                <w:szCs w:val="22"/>
              </w:rPr>
              <w:t>A N T E C E D E N T E S</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_Toc221204055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2</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56" w:history="1">
            <w:r w:rsidR="00CE60AE" w:rsidRPr="00CE60AE">
              <w:rPr>
                <w:rStyle w:val="Hipervnculo"/>
                <w:rFonts w:ascii="Palatino Linotype" w:eastAsia="Palatino Linotype" w:hAnsi="Palatino Linotype" w:cs="Palatino Linotype"/>
                <w:bCs/>
                <w:noProof/>
                <w:sz w:val="22"/>
                <w:szCs w:val="22"/>
              </w:rPr>
              <w:t>I. Presentación de la solicitud de información</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_Toc221204056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2</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57" w:history="1">
            <w:r w:rsidR="00CE60AE" w:rsidRPr="00CE60AE">
              <w:rPr>
                <w:rStyle w:val="Hipervnculo"/>
                <w:rFonts w:ascii="Palatino Linotype" w:eastAsia="Palatino Linotype" w:hAnsi="Palatino Linotype" w:cs="Palatino Linotype"/>
                <w:bCs/>
                <w:noProof/>
                <w:sz w:val="22"/>
                <w:szCs w:val="22"/>
              </w:rPr>
              <w:t>II. Respuesta del Sujeto Obligado</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_Toc221204057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3</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58" w:history="1">
            <w:r w:rsidR="00CE60AE" w:rsidRPr="00CE60AE">
              <w:rPr>
                <w:rStyle w:val="Hipervnculo"/>
                <w:rFonts w:ascii="Palatino Linotype" w:eastAsia="Palatino Linotype" w:hAnsi="Palatino Linotype" w:cs="Palatino Linotype"/>
                <w:bCs/>
                <w:noProof/>
                <w:sz w:val="22"/>
                <w:szCs w:val="22"/>
              </w:rPr>
              <w:t>III. Interposición del Recurso de Revisión</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_Toc221204058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3</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59" w:history="1">
            <w:r w:rsidR="00CE60AE" w:rsidRPr="00CE60AE">
              <w:rPr>
                <w:rStyle w:val="Hipervnculo"/>
                <w:rFonts w:ascii="Palatino Linotype" w:eastAsia="Palatino Linotype" w:hAnsi="Palatino Linotype" w:cs="Palatino Linotype"/>
                <w:bCs/>
                <w:noProof/>
                <w:sz w:val="22"/>
                <w:szCs w:val="22"/>
              </w:rPr>
              <w:t>IV. Trámite del Recurso de Revisión ante el Instituto</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_Toc221204059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4</w:t>
            </w:r>
            <w:r w:rsidR="00CE60AE" w:rsidRPr="00CE60AE">
              <w:rPr>
                <w:rFonts w:ascii="Palatino Linotype" w:hAnsi="Palatino Linotype"/>
                <w:noProof/>
                <w:webHidden/>
                <w:sz w:val="22"/>
                <w:szCs w:val="22"/>
              </w:rPr>
              <w:fldChar w:fldCharType="end"/>
            </w:r>
          </w:hyperlink>
        </w:p>
        <w:p w:rsidR="00CE60AE" w:rsidRPr="00CE60AE" w:rsidRDefault="00D1629B">
          <w:pPr>
            <w:pStyle w:val="TDC1"/>
            <w:tabs>
              <w:tab w:val="right" w:leader="dot" w:pos="9034"/>
            </w:tabs>
            <w:rPr>
              <w:rFonts w:ascii="Palatino Linotype" w:eastAsiaTheme="minorEastAsia" w:hAnsi="Palatino Linotype" w:cstheme="minorBidi"/>
              <w:noProof/>
              <w:sz w:val="22"/>
              <w:szCs w:val="22"/>
            </w:rPr>
          </w:pPr>
          <w:hyperlink w:anchor="_Toc221204060" w:history="1">
            <w:r w:rsidR="00CE60AE" w:rsidRPr="00CE60AE">
              <w:rPr>
                <w:rStyle w:val="Hipervnculo"/>
                <w:rFonts w:ascii="Palatino Linotype" w:eastAsia="Palatino Linotype" w:hAnsi="Palatino Linotype" w:cs="Palatino Linotype"/>
                <w:bCs/>
                <w:noProof/>
                <w:sz w:val="22"/>
                <w:szCs w:val="22"/>
              </w:rPr>
              <w:t>C O N S I D E R A N D O S</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_Toc221204060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6</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61" w:history="1">
            <w:r w:rsidR="00CE60AE" w:rsidRPr="00CE60AE">
              <w:rPr>
                <w:rStyle w:val="Hipervnculo"/>
                <w:rFonts w:ascii="Palatino Linotype" w:eastAsia="Palatino Linotype" w:hAnsi="Palatino Linotype" w:cs="Palatino Linotype"/>
                <w:bCs/>
                <w:noProof/>
                <w:sz w:val="22"/>
                <w:szCs w:val="22"/>
              </w:rPr>
              <w:t>PRIMERO. Competencia</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_Toc221204061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6</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62" w:history="1">
            <w:r w:rsidR="00CE60AE" w:rsidRPr="00CE60AE">
              <w:rPr>
                <w:rStyle w:val="Hipervnculo"/>
                <w:rFonts w:ascii="Palatino Linotype" w:eastAsia="Palatino Linotype" w:hAnsi="Palatino Linotype" w:cs="Palatino Linotype"/>
                <w:bCs/>
                <w:noProof/>
                <w:sz w:val="22"/>
                <w:szCs w:val="22"/>
              </w:rPr>
              <w:t>SEGUNDO. Causales de improcedencia y sobreseimiento</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_Toc221204062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7</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63" w:history="1">
            <w:r w:rsidR="00CE60AE" w:rsidRPr="00CE60AE">
              <w:rPr>
                <w:rStyle w:val="Hipervnculo"/>
                <w:rFonts w:ascii="Palatino Linotype" w:eastAsia="Palatino Linotype" w:hAnsi="Palatino Linotype" w:cs="Palatino Linotype"/>
                <w:bCs/>
                <w:noProof/>
                <w:sz w:val="22"/>
                <w:szCs w:val="22"/>
              </w:rPr>
              <w:t>TERCERO. Determinación de la Controversia</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_Toc221204063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9</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64" w:history="1">
            <w:r w:rsidR="00CE60AE" w:rsidRPr="00CE60AE">
              <w:rPr>
                <w:rStyle w:val="Hipervnculo"/>
                <w:rFonts w:ascii="Palatino Linotype" w:eastAsia="Palatino Linotype" w:hAnsi="Palatino Linotype" w:cs="Palatino Linotype"/>
                <w:bCs/>
                <w:noProof/>
                <w:sz w:val="22"/>
                <w:szCs w:val="22"/>
              </w:rPr>
              <w:t>CUARTO. Marco normativo aplicable en materia de transparencia y acceso a la información pública</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_Toc221204064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10</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65" w:history="1">
            <w:r w:rsidR="00CE60AE" w:rsidRPr="00CE60AE">
              <w:rPr>
                <w:rStyle w:val="Hipervnculo"/>
                <w:rFonts w:ascii="Palatino Linotype" w:eastAsia="Palatino Linotype" w:hAnsi="Palatino Linotype" w:cs="Palatino Linotype"/>
                <w:bCs/>
                <w:noProof/>
                <w:sz w:val="22"/>
                <w:szCs w:val="22"/>
              </w:rPr>
              <w:t>QUINTO. Estudio de Fondo</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_Toc221204065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11</w:t>
            </w:r>
            <w:r w:rsidR="00CE60AE" w:rsidRPr="00CE60AE">
              <w:rPr>
                <w:rFonts w:ascii="Palatino Linotype" w:hAnsi="Palatino Linotype"/>
                <w:noProof/>
                <w:webHidden/>
                <w:sz w:val="22"/>
                <w:szCs w:val="22"/>
              </w:rPr>
              <w:fldChar w:fldCharType="end"/>
            </w:r>
          </w:hyperlink>
        </w:p>
        <w:p w:rsidR="00CE60AE" w:rsidRPr="00CE60AE" w:rsidRDefault="00D1629B">
          <w:pPr>
            <w:pStyle w:val="TDC2"/>
            <w:rPr>
              <w:rFonts w:ascii="Palatino Linotype" w:eastAsiaTheme="minorEastAsia" w:hAnsi="Palatino Linotype" w:cstheme="minorBidi"/>
              <w:noProof/>
              <w:sz w:val="22"/>
              <w:szCs w:val="22"/>
            </w:rPr>
          </w:pPr>
          <w:hyperlink w:anchor="_Toc221204066" w:history="1">
            <w:r w:rsidR="00CE60AE" w:rsidRPr="00CE60AE">
              <w:rPr>
                <w:rStyle w:val="Hipervnculo"/>
                <w:rFonts w:ascii="Palatino Linotype" w:eastAsia="Palatino Linotype" w:hAnsi="Palatino Linotype" w:cs="Palatino Linotype"/>
                <w:bCs/>
                <w:noProof/>
                <w:sz w:val="22"/>
                <w:szCs w:val="22"/>
              </w:rPr>
              <w:t>SEXTO. Decisión</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_Toc221204066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23</w:t>
            </w:r>
            <w:r w:rsidR="00CE60AE" w:rsidRPr="00CE60AE">
              <w:rPr>
                <w:rFonts w:ascii="Palatino Linotype" w:hAnsi="Palatino Linotype"/>
                <w:noProof/>
                <w:webHidden/>
                <w:sz w:val="22"/>
                <w:szCs w:val="22"/>
              </w:rPr>
              <w:fldChar w:fldCharType="end"/>
            </w:r>
          </w:hyperlink>
        </w:p>
        <w:p w:rsidR="00CE60AE" w:rsidRPr="00CE60AE" w:rsidRDefault="00D1629B">
          <w:pPr>
            <w:pStyle w:val="TDC1"/>
            <w:tabs>
              <w:tab w:val="right" w:leader="dot" w:pos="9034"/>
            </w:tabs>
            <w:rPr>
              <w:rFonts w:ascii="Palatino Linotype" w:eastAsiaTheme="minorEastAsia" w:hAnsi="Palatino Linotype" w:cstheme="minorBidi"/>
              <w:noProof/>
              <w:sz w:val="22"/>
              <w:szCs w:val="22"/>
            </w:rPr>
          </w:pPr>
          <w:hyperlink w:anchor="_Toc221204067" w:history="1">
            <w:r w:rsidR="00CE60AE" w:rsidRPr="00CE60AE">
              <w:rPr>
                <w:rStyle w:val="Hipervnculo"/>
                <w:rFonts w:ascii="Palatino Linotype" w:eastAsia="Palatino Linotype" w:hAnsi="Palatino Linotype" w:cs="Palatino Linotype"/>
                <w:bCs/>
                <w:noProof/>
                <w:sz w:val="22"/>
                <w:szCs w:val="22"/>
              </w:rPr>
              <w:t>R E S U E L V E</w:t>
            </w:r>
            <w:r w:rsidR="00CE60AE" w:rsidRPr="00CE60AE">
              <w:rPr>
                <w:rFonts w:ascii="Palatino Linotype" w:hAnsi="Palatino Linotype"/>
                <w:noProof/>
                <w:webHidden/>
                <w:sz w:val="22"/>
                <w:szCs w:val="22"/>
              </w:rPr>
              <w:tab/>
            </w:r>
            <w:r w:rsidR="00CE60AE" w:rsidRPr="00CE60AE">
              <w:rPr>
                <w:rFonts w:ascii="Palatino Linotype" w:hAnsi="Palatino Linotype"/>
                <w:noProof/>
                <w:webHidden/>
                <w:sz w:val="22"/>
                <w:szCs w:val="22"/>
              </w:rPr>
              <w:fldChar w:fldCharType="begin"/>
            </w:r>
            <w:r w:rsidR="00CE60AE" w:rsidRPr="00CE60AE">
              <w:rPr>
                <w:rFonts w:ascii="Palatino Linotype" w:hAnsi="Palatino Linotype"/>
                <w:noProof/>
                <w:webHidden/>
                <w:sz w:val="22"/>
                <w:szCs w:val="22"/>
              </w:rPr>
              <w:instrText xml:space="preserve"> PAGEREF _Toc221204067 \h </w:instrText>
            </w:r>
            <w:r w:rsidR="00CE60AE" w:rsidRPr="00CE60AE">
              <w:rPr>
                <w:rFonts w:ascii="Palatino Linotype" w:hAnsi="Palatino Linotype"/>
                <w:noProof/>
                <w:webHidden/>
                <w:sz w:val="22"/>
                <w:szCs w:val="22"/>
              </w:rPr>
            </w:r>
            <w:r w:rsidR="00CE60AE" w:rsidRPr="00CE60AE">
              <w:rPr>
                <w:rFonts w:ascii="Palatino Linotype" w:hAnsi="Palatino Linotype"/>
                <w:noProof/>
                <w:webHidden/>
                <w:sz w:val="22"/>
                <w:szCs w:val="22"/>
              </w:rPr>
              <w:fldChar w:fldCharType="separate"/>
            </w:r>
            <w:r w:rsidR="00EA0487">
              <w:rPr>
                <w:rFonts w:ascii="Palatino Linotype" w:hAnsi="Palatino Linotype"/>
                <w:noProof/>
                <w:webHidden/>
                <w:sz w:val="22"/>
                <w:szCs w:val="22"/>
              </w:rPr>
              <w:t>24</w:t>
            </w:r>
            <w:r w:rsidR="00CE60AE" w:rsidRPr="00CE60AE">
              <w:rPr>
                <w:rFonts w:ascii="Palatino Linotype" w:hAnsi="Palatino Linotype"/>
                <w:noProof/>
                <w:webHidden/>
                <w:sz w:val="22"/>
                <w:szCs w:val="22"/>
              </w:rPr>
              <w:fldChar w:fldCharType="end"/>
            </w:r>
          </w:hyperlink>
        </w:p>
        <w:p w:rsidR="002932DB" w:rsidRDefault="002932DB">
          <w:r>
            <w:rPr>
              <w:b/>
              <w:bCs/>
              <w:lang w:val="es-ES"/>
            </w:rPr>
            <w:fldChar w:fldCharType="end"/>
          </w:r>
        </w:p>
      </w:sdtContent>
    </w:sdt>
    <w:p w:rsidR="007A0700" w:rsidRDefault="007A0700">
      <w:pPr>
        <w:spacing w:line="360" w:lineRule="auto"/>
        <w:ind w:right="-28"/>
        <w:jc w:val="both"/>
      </w:pPr>
    </w:p>
    <w:p w:rsidR="002932DB" w:rsidRDefault="002932DB">
      <w:pPr>
        <w:spacing w:line="360" w:lineRule="auto"/>
        <w:ind w:right="-28"/>
        <w:jc w:val="both"/>
      </w:pPr>
    </w:p>
    <w:p w:rsidR="002932DB" w:rsidRDefault="002932DB">
      <w:pPr>
        <w:spacing w:line="360" w:lineRule="auto"/>
        <w:ind w:right="-28"/>
        <w:jc w:val="both"/>
      </w:pPr>
    </w:p>
    <w:p w:rsidR="002932DB" w:rsidRDefault="002932DB">
      <w:pPr>
        <w:spacing w:line="360" w:lineRule="auto"/>
        <w:ind w:right="-28"/>
        <w:jc w:val="both"/>
      </w:pPr>
    </w:p>
    <w:p w:rsidR="002932DB" w:rsidRDefault="002932DB">
      <w:pPr>
        <w:spacing w:line="360" w:lineRule="auto"/>
        <w:ind w:right="-28"/>
        <w:jc w:val="both"/>
      </w:pPr>
    </w:p>
    <w:p w:rsidR="002932DB" w:rsidRDefault="002932DB">
      <w:pPr>
        <w:spacing w:line="360" w:lineRule="auto"/>
        <w:ind w:right="-28"/>
        <w:jc w:val="both"/>
      </w:pP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Resolución del Pleno del Instituto de Transparencia, Acceso a la Información Pública y Protección de Datos Personales del Estado de México y Municipios, con domicilio en Metepec, Estado de México, del </w:t>
      </w:r>
      <w:r w:rsidR="002932DB">
        <w:rPr>
          <w:rFonts w:ascii="Palatino Linotype" w:eastAsia="Palatino Linotype" w:hAnsi="Palatino Linotype" w:cs="Palatino Linotype"/>
          <w:sz w:val="22"/>
          <w:szCs w:val="22"/>
        </w:rPr>
        <w:t>cinco</w:t>
      </w:r>
      <w:r>
        <w:rPr>
          <w:rFonts w:ascii="Palatino Linotype" w:eastAsia="Palatino Linotype" w:hAnsi="Palatino Linotype" w:cs="Palatino Linotype"/>
          <w:sz w:val="22"/>
          <w:szCs w:val="22"/>
        </w:rPr>
        <w:t xml:space="preserve"> de febrero de dos mil veintiséis.</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sidRPr="001716F9">
        <w:rPr>
          <w:rFonts w:ascii="Palatino Linotype" w:eastAsia="Palatino Linotype" w:hAnsi="Palatino Linotype" w:cs="Palatino Linotype"/>
          <w:b/>
          <w:color w:val="0D0D0D"/>
          <w:sz w:val="22"/>
          <w:szCs w:val="22"/>
        </w:rPr>
        <w:t>10641/INFOEM/IP/RR/2025</w:t>
      </w:r>
      <w:r w:rsidRPr="001716F9">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interpuesto por </w:t>
      </w:r>
      <w:r w:rsidR="00C32ECA" w:rsidRPr="00C32ECA">
        <w:rPr>
          <w:rFonts w:ascii="Palatino Linotype" w:eastAsia="Palatino Linotype" w:hAnsi="Palatino Linotype" w:cs="Palatino Linotype"/>
          <w:sz w:val="22"/>
          <w:szCs w:val="22"/>
          <w:highlight w:val="black"/>
        </w:rPr>
        <w:t>XXXXXXXXX</w:t>
      </w:r>
      <w:r w:rsidRPr="00C32ECA">
        <w:rPr>
          <w:rFonts w:ascii="Palatino Linotype" w:eastAsia="Palatino Linotype" w:hAnsi="Palatino Linotype" w:cs="Palatino Linotype"/>
          <w:sz w:val="22"/>
          <w:szCs w:val="22"/>
          <w:highlight w:val="black"/>
        </w:rPr>
        <w:t>,</w:t>
      </w:r>
      <w:r>
        <w:rPr>
          <w:rFonts w:ascii="Palatino Linotype" w:eastAsia="Palatino Linotype" w:hAnsi="Palatino Linotype" w:cs="Palatino Linotype"/>
          <w:sz w:val="22"/>
          <w:szCs w:val="22"/>
        </w:rPr>
        <w:t xml:space="preserve"> la persona Recurrente o Particular, en contra de la respuesta del Sujeto Obligado, </w:t>
      </w:r>
      <w:r w:rsidRPr="001716F9">
        <w:rPr>
          <w:rFonts w:ascii="Palatino Linotype" w:eastAsia="Palatino Linotype" w:hAnsi="Palatino Linotype" w:cs="Palatino Linotype"/>
          <w:b/>
          <w:color w:val="000000"/>
          <w:sz w:val="22"/>
          <w:szCs w:val="22"/>
        </w:rPr>
        <w:t>Organismo Público Descentralizado para la Prestación de Los Servicios de Agua Potable Alcantarillado y Saneamiento del Municipio de Naucalpan de Juárez</w:t>
      </w:r>
      <w:r w:rsidRPr="001716F9">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a la solicitud de acceso a la información pública con número de folio</w:t>
      </w:r>
      <w:r>
        <w:rPr>
          <w:rFonts w:ascii="Verdana" w:eastAsia="Verdana" w:hAnsi="Verdana" w:cs="Verdana"/>
          <w:b/>
          <w:bCs/>
          <w:color w:val="FF0000"/>
        </w:rPr>
        <w:t> </w:t>
      </w:r>
      <w:r>
        <w:rPr>
          <w:rFonts w:ascii="Palatino Linotype" w:eastAsia="Palatino Linotype" w:hAnsi="Palatino Linotype" w:cs="Palatino Linotype"/>
          <w:sz w:val="22"/>
          <w:szCs w:val="22"/>
        </w:rPr>
        <w:t xml:space="preserve">00321/OASNAUCAL/IP/2025, se emite la presente Resolución, con base en los Antecedentes y Considerandos que se exponen a continuación: </w:t>
      </w:r>
      <w:bookmarkStart w:id="0" w:name="_GoBack"/>
      <w:bookmarkEnd w:id="0"/>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pStyle w:val="Ttulo1"/>
        <w:spacing w:before="0" w:after="0" w:line="360" w:lineRule="auto"/>
        <w:jc w:val="center"/>
        <w:rPr>
          <w:rFonts w:ascii="Palatino Linotype" w:eastAsia="Palatino Linotype" w:hAnsi="Palatino Linotype" w:cs="Palatino Linotype"/>
          <w:b/>
          <w:bCs/>
          <w:color w:val="000000"/>
          <w:sz w:val="22"/>
          <w:szCs w:val="22"/>
        </w:rPr>
      </w:pPr>
      <w:bookmarkStart w:id="1" w:name="_heading=h.ajctmd5nw5zo" w:colFirst="0" w:colLast="0"/>
      <w:bookmarkStart w:id="2" w:name="_Toc221204055"/>
      <w:bookmarkEnd w:id="1"/>
      <w:r>
        <w:rPr>
          <w:rFonts w:ascii="Palatino Linotype" w:eastAsia="Palatino Linotype" w:hAnsi="Palatino Linotype" w:cs="Palatino Linotype"/>
          <w:b/>
          <w:bCs/>
          <w:color w:val="000000"/>
          <w:sz w:val="22"/>
          <w:szCs w:val="22"/>
        </w:rPr>
        <w:t>A N T E C E D E N T E S</w:t>
      </w:r>
      <w:bookmarkEnd w:id="2"/>
    </w:p>
    <w:p w:rsidR="007A0700" w:rsidRDefault="007A0700">
      <w:pPr>
        <w:tabs>
          <w:tab w:val="center" w:pos="4522"/>
          <w:tab w:val="left" w:pos="7245"/>
          <w:tab w:val="right" w:pos="9044"/>
        </w:tabs>
        <w:spacing w:line="360" w:lineRule="auto"/>
        <w:ind w:right="-28"/>
        <w:rPr>
          <w:rFonts w:ascii="Palatino Linotype" w:eastAsia="Palatino Linotype" w:hAnsi="Palatino Linotype" w:cs="Palatino Linotype"/>
          <w:b/>
          <w:bCs/>
          <w:sz w:val="22"/>
          <w:szCs w:val="22"/>
        </w:rPr>
      </w:pPr>
    </w:p>
    <w:p w:rsidR="007A0700" w:rsidRDefault="004C7032">
      <w:pPr>
        <w:pStyle w:val="Ttulo2"/>
        <w:spacing w:before="0" w:after="0" w:line="360" w:lineRule="auto"/>
        <w:rPr>
          <w:rFonts w:ascii="Palatino Linotype" w:eastAsia="Palatino Linotype" w:hAnsi="Palatino Linotype" w:cs="Palatino Linotype"/>
          <w:b/>
          <w:bCs/>
          <w:color w:val="000000"/>
          <w:sz w:val="22"/>
          <w:szCs w:val="22"/>
        </w:rPr>
      </w:pPr>
      <w:bookmarkStart w:id="3" w:name="_heading=h.hiib0k7to72q" w:colFirst="0" w:colLast="0"/>
      <w:bookmarkStart w:id="4" w:name="_Toc221204056"/>
      <w:bookmarkEnd w:id="3"/>
      <w:r>
        <w:rPr>
          <w:rFonts w:ascii="Palatino Linotype" w:eastAsia="Palatino Linotype" w:hAnsi="Palatino Linotype" w:cs="Palatino Linotype"/>
          <w:b/>
          <w:bCs/>
          <w:color w:val="000000"/>
          <w:sz w:val="22"/>
          <w:szCs w:val="22"/>
        </w:rPr>
        <w:t>I. Presentación de la solicitud de información</w:t>
      </w:r>
      <w:bookmarkEnd w:id="4"/>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seis de agosto de dos mil veinticinco, el Particular presentó una solicitud de acceso a la información pública, a través del Sistema de Acceso a la Información Mexiquense (SAIMEX), ante el </w:t>
      </w:r>
      <w:r>
        <w:rPr>
          <w:rFonts w:ascii="Palatino Linotype" w:eastAsia="Palatino Linotype" w:hAnsi="Palatino Linotype" w:cs="Palatino Linotype"/>
          <w:color w:val="000000"/>
          <w:sz w:val="22"/>
          <w:szCs w:val="22"/>
        </w:rPr>
        <w:t>Organismo Público Descentralizado para la Prestación de Los Servicios de Agua Potable Alcantarillado y Saneamiento del Municipio de Naucalpan de Juárez,</w:t>
      </w:r>
      <w:r>
        <w:rPr>
          <w:rFonts w:ascii="Palatino Linotype" w:eastAsia="Palatino Linotype" w:hAnsi="Palatino Linotype" w:cs="Palatino Linotype"/>
          <w:sz w:val="22"/>
          <w:szCs w:val="22"/>
        </w:rPr>
        <w:t xml:space="preserve"> mediante la cual requirió lo siguiente:</w:t>
      </w:r>
    </w:p>
    <w:p w:rsidR="007A0700" w:rsidRDefault="007A0700">
      <w:pPr>
        <w:tabs>
          <w:tab w:val="left" w:pos="4667"/>
        </w:tabs>
        <w:spacing w:line="360" w:lineRule="auto"/>
        <w:ind w:right="567"/>
        <w:jc w:val="both"/>
        <w:rPr>
          <w:rFonts w:ascii="Palatino Linotype" w:eastAsia="Palatino Linotype" w:hAnsi="Palatino Linotype" w:cs="Palatino Linotype"/>
          <w:b/>
          <w:bCs/>
          <w:i/>
          <w:iCs/>
        </w:rPr>
      </w:pPr>
    </w:p>
    <w:p w:rsidR="007A0700" w:rsidRDefault="004C7032">
      <w:pPr>
        <w:tabs>
          <w:tab w:val="left" w:pos="4667"/>
        </w:tabs>
        <w:spacing w:line="360" w:lineRule="auto"/>
        <w:ind w:left="567" w:right="567"/>
        <w:jc w:val="both"/>
        <w:rPr>
          <w:rFonts w:ascii="Palatino Linotype" w:eastAsia="Palatino Linotype" w:hAnsi="Palatino Linotype" w:cs="Palatino Linotype"/>
          <w:b/>
          <w:bCs/>
          <w:i/>
          <w:iCs/>
        </w:rPr>
      </w:pPr>
      <w:bookmarkStart w:id="5" w:name="_heading=h.mwd1r0u6kix4" w:colFirst="0" w:colLast="0"/>
      <w:bookmarkEnd w:id="5"/>
      <w:r>
        <w:rPr>
          <w:rFonts w:ascii="Palatino Linotype" w:eastAsia="Palatino Linotype" w:hAnsi="Palatino Linotype" w:cs="Palatino Linotype"/>
          <w:b/>
          <w:bCs/>
          <w:i/>
          <w:iCs/>
        </w:rPr>
        <w:t>“DESCRIPCIÓN CLARA Y PRECISA DE LA INFORMACIÓN SOLICITADA:</w:t>
      </w:r>
    </w:p>
    <w:p w:rsidR="007A0700" w:rsidRDefault="004C7032">
      <w:pPr>
        <w:pBdr>
          <w:top w:val="nil"/>
          <w:left w:val="nil"/>
          <w:bottom w:val="nil"/>
          <w:right w:val="nil"/>
          <w:between w:val="nil"/>
        </w:pBdr>
        <w:tabs>
          <w:tab w:val="left" w:pos="4667"/>
        </w:tabs>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CUANTO PAGAN LAS ESCUELAS PUBLICAS POR SERVICIO DE AGUA POTABLE.” (Sic).</w:t>
      </w:r>
    </w:p>
    <w:p w:rsidR="007A0700" w:rsidRDefault="004C7032">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rsidR="007A0700" w:rsidRDefault="004C7032">
      <w:pPr>
        <w:tabs>
          <w:tab w:val="left" w:pos="5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rsidR="007A0700" w:rsidRDefault="007A0700">
      <w:pPr>
        <w:spacing w:line="360" w:lineRule="auto"/>
        <w:rPr>
          <w:rFonts w:ascii="Palatino Linotype" w:eastAsia="Palatino Linotype" w:hAnsi="Palatino Linotype" w:cs="Palatino Linotype"/>
          <w:b/>
          <w:bCs/>
          <w:sz w:val="22"/>
          <w:szCs w:val="22"/>
        </w:rPr>
      </w:pPr>
      <w:bookmarkStart w:id="6" w:name="_heading=h.t82rj2vl26o4" w:colFirst="0" w:colLast="0"/>
      <w:bookmarkEnd w:id="6"/>
    </w:p>
    <w:p w:rsidR="007A0700" w:rsidRDefault="004C7032">
      <w:pPr>
        <w:pStyle w:val="Ttulo2"/>
        <w:spacing w:before="0" w:after="0" w:line="360" w:lineRule="auto"/>
        <w:rPr>
          <w:rFonts w:ascii="Palatino Linotype" w:eastAsia="Palatino Linotype" w:hAnsi="Palatino Linotype" w:cs="Palatino Linotype"/>
          <w:b/>
          <w:bCs/>
          <w:color w:val="000000"/>
          <w:sz w:val="22"/>
          <w:szCs w:val="22"/>
        </w:rPr>
      </w:pPr>
      <w:bookmarkStart w:id="7" w:name="_heading=h.mjoobv2p0q2u" w:colFirst="0" w:colLast="0"/>
      <w:bookmarkStart w:id="8" w:name="_Toc221204057"/>
      <w:bookmarkEnd w:id="7"/>
      <w:r>
        <w:rPr>
          <w:rFonts w:ascii="Palatino Linotype" w:eastAsia="Palatino Linotype" w:hAnsi="Palatino Linotype" w:cs="Palatino Linotype"/>
          <w:b/>
          <w:bCs/>
          <w:color w:val="000000"/>
          <w:sz w:val="22"/>
          <w:szCs w:val="22"/>
        </w:rPr>
        <w:t>II. Respuesta del Sujeto Obligado</w:t>
      </w:r>
      <w:bookmarkEnd w:id="8"/>
    </w:p>
    <w:p w:rsidR="007A0700" w:rsidRDefault="007A0700">
      <w:pPr>
        <w:tabs>
          <w:tab w:val="left" w:pos="4667"/>
        </w:tabs>
        <w:spacing w:line="360" w:lineRule="auto"/>
        <w:ind w:right="567"/>
        <w:jc w:val="both"/>
        <w:rPr>
          <w:rFonts w:ascii="Palatino Linotype" w:eastAsia="Palatino Linotype" w:hAnsi="Palatino Linotype" w:cs="Palatino Linotype"/>
          <w:b/>
          <w:bCs/>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veintiuno de agosto de dos mil veinticinco,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Sujeto Obligado dio respuesta a la solicitud de acceso a la información a través del Sistema de Acceso a la Información Mexiquense (SAIMEX), mediante la digitalización del siguiente documento:</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número SGT/O/228/2025 del veinte de agosto de dos mil veinticinco, suscrito por la Subgerente de Transparencia y dirigido al impetrante, por medio del cual precisa que la información se considera confidencial ya que tiene datos sensibles, por lo que se requiere que el impetrante acredite personalidad jurídica para estar en posibilidad de atender su petición.</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pStyle w:val="Ttulo2"/>
        <w:spacing w:before="0" w:after="0" w:line="360" w:lineRule="auto"/>
        <w:rPr>
          <w:rFonts w:ascii="Palatino Linotype" w:eastAsia="Palatino Linotype" w:hAnsi="Palatino Linotype" w:cs="Palatino Linotype"/>
          <w:b/>
          <w:bCs/>
          <w:sz w:val="22"/>
          <w:szCs w:val="22"/>
        </w:rPr>
      </w:pPr>
      <w:bookmarkStart w:id="9" w:name="_heading=h.w2qjfx79xs90" w:colFirst="0" w:colLast="0"/>
      <w:bookmarkStart w:id="10" w:name="_Toc221204058"/>
      <w:bookmarkEnd w:id="9"/>
      <w:r>
        <w:rPr>
          <w:rFonts w:ascii="Palatino Linotype" w:eastAsia="Palatino Linotype" w:hAnsi="Palatino Linotype" w:cs="Palatino Linotype"/>
          <w:b/>
          <w:bCs/>
          <w:color w:val="000000"/>
          <w:sz w:val="22"/>
          <w:szCs w:val="22"/>
        </w:rPr>
        <w:t>III. Interposición del Recurso de Revisión</w:t>
      </w:r>
      <w:bookmarkEnd w:id="10"/>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nueve de septiembre de dos mil veinticinco, se recibió en este Instituto, a través del Sistema de Acceso a la Información Mexiquense (SAIMEX), el Recurso de Revisión interpuesto por la parte Recurrente, en contra de la respuesta del Sujeto Obligado</w:t>
      </w: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sz w:val="22"/>
          <w:szCs w:val="22"/>
        </w:rPr>
        <w:t>en los siguientes términos:</w:t>
      </w:r>
    </w:p>
    <w:p w:rsidR="007A0700" w:rsidRDefault="007A0700">
      <w:pPr>
        <w:spacing w:line="360" w:lineRule="auto"/>
        <w:ind w:right="-28"/>
        <w:jc w:val="both"/>
        <w:rPr>
          <w:rFonts w:ascii="Palatino Linotype" w:eastAsia="Palatino Linotype" w:hAnsi="Palatino Linotype" w:cs="Palatino Linotype"/>
          <w:i/>
          <w:iCs/>
        </w:rPr>
      </w:pPr>
    </w:p>
    <w:p w:rsidR="007A0700" w:rsidRDefault="004C7032">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“ACTO IMPUGNADO</w:t>
      </w:r>
    </w:p>
    <w:p w:rsidR="007A0700" w:rsidRDefault="004C703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NO ESTOY PIDIENDO DATOS PERSONALES ESTOY PIDIENDO IMPORTES DE PAGO DE SERVICIOS DE AGUA</w:t>
      </w:r>
      <w:r>
        <w:rPr>
          <w:rFonts w:ascii="Palatino Linotype" w:eastAsia="Palatino Linotype" w:hAnsi="Palatino Linotype" w:cs="Palatino Linotype"/>
          <w:i/>
          <w:iCs/>
        </w:rPr>
        <w:t>”</w:t>
      </w:r>
    </w:p>
    <w:p w:rsidR="007A0700" w:rsidRDefault="007A0700">
      <w:pPr>
        <w:tabs>
          <w:tab w:val="left" w:pos="4667"/>
        </w:tabs>
        <w:spacing w:line="360" w:lineRule="auto"/>
        <w:ind w:right="567"/>
        <w:jc w:val="both"/>
        <w:rPr>
          <w:rFonts w:ascii="Palatino Linotype" w:eastAsia="Palatino Linotype" w:hAnsi="Palatino Linotype" w:cs="Palatino Linotype"/>
          <w:i/>
          <w:iCs/>
        </w:rPr>
      </w:pPr>
    </w:p>
    <w:p w:rsidR="007A0700" w:rsidRDefault="004C7032">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7A0700" w:rsidRDefault="004C703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LA FALTA DE REPSUESTA A MI SOLICITUD DE INFORMACION, DICIENDO QUE SON DATOS PERSONALES ES UNA EVIDENCIA DE LA FALTA DE CRITERIO, COMPCIMIENTO, ESTUDIO Y DE INTERES DE LA TITULAR DE TRANSPARENCIA AL NI SIQUIERA SABER DIFERENCIAR ENTRE INFORMACION PUBLICA Y DATOS PERSONALES, DEBERIAN CORREGIR ESA SITUACION Y DECIRLE QUE A NIVEL NACIONAL LAS ECUELAS PUBLICAS FORMAN PARTE DE LA ESTADISTICA DE CARTERA VENCIDA PARA LOS ORGANISMO DE AGUA O DIRECCIONES DE AGUA, ADEMAS; EN AÑOS ANTERIORES COMENZARON CON UNA CAMPAÑA DE COBRO DE SERVICIO A ESCUELAS PUBLICAS Y HAY RECIBOS A NOMBRE DE ESCUELAS PUBLICAS DE NAUCALPAN, NO PUEDEN SALIR CON SEMEJANTE EXCUSA DE FALTA DE ANALISIS DE SOLICITUD..</w:t>
      </w:r>
      <w:r>
        <w:rPr>
          <w:rFonts w:ascii="Palatino Linotype" w:eastAsia="Palatino Linotype" w:hAnsi="Palatino Linotype" w:cs="Palatino Linotype"/>
          <w:i/>
          <w:iCs/>
        </w:rPr>
        <w:t xml:space="preserve">”  </w:t>
      </w:r>
    </w:p>
    <w:p w:rsidR="007A0700" w:rsidRDefault="007A0700">
      <w:pPr>
        <w:spacing w:line="360" w:lineRule="auto"/>
        <w:ind w:left="567" w:right="567"/>
        <w:jc w:val="both"/>
        <w:rPr>
          <w:rFonts w:ascii="Palatino Linotype" w:eastAsia="Palatino Linotype" w:hAnsi="Palatino Linotype" w:cs="Palatino Linotype"/>
          <w:i/>
          <w:iCs/>
        </w:rPr>
      </w:pPr>
    </w:p>
    <w:p w:rsidR="007A0700" w:rsidRDefault="004C7032">
      <w:pPr>
        <w:pStyle w:val="Ttulo2"/>
        <w:spacing w:before="0" w:after="0" w:line="360" w:lineRule="auto"/>
        <w:rPr>
          <w:rFonts w:ascii="Palatino Linotype" w:eastAsia="Palatino Linotype" w:hAnsi="Palatino Linotype" w:cs="Palatino Linotype"/>
          <w:b/>
          <w:bCs/>
          <w:color w:val="000000"/>
          <w:sz w:val="22"/>
          <w:szCs w:val="22"/>
        </w:rPr>
      </w:pPr>
      <w:bookmarkStart w:id="11" w:name="_heading=h.eiifdpwlfmd2" w:colFirst="0" w:colLast="0"/>
      <w:bookmarkStart w:id="12" w:name="_Toc221204059"/>
      <w:bookmarkEnd w:id="11"/>
      <w:r>
        <w:rPr>
          <w:rFonts w:ascii="Palatino Linotype" w:eastAsia="Palatino Linotype" w:hAnsi="Palatino Linotype" w:cs="Palatino Linotype"/>
          <w:b/>
          <w:bCs/>
          <w:color w:val="000000"/>
          <w:sz w:val="22"/>
          <w:szCs w:val="22"/>
        </w:rPr>
        <w:t>IV. Trámite del Recurso de Revisión ante el Instituto</w:t>
      </w:r>
      <w:bookmarkEnd w:id="12"/>
    </w:p>
    <w:p w:rsidR="007A0700" w:rsidRDefault="007A0700">
      <w:pPr>
        <w:spacing w:line="360" w:lineRule="auto"/>
        <w:ind w:right="-28"/>
        <w:jc w:val="both"/>
        <w:rPr>
          <w:rFonts w:ascii="Palatino Linotype" w:eastAsia="Palatino Linotype" w:hAnsi="Palatino Linotype" w:cs="Palatino Linotype"/>
          <w:b/>
          <w:bCs/>
          <w:sz w:val="22"/>
          <w:szCs w:val="22"/>
        </w:rPr>
      </w:pPr>
    </w:p>
    <w:p w:rsidR="007A0700" w:rsidRDefault="004C70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nueve de septiembre de dos mil veinticinco, el Sistema de Acceso a la Información Mexiquense (SAIMEX), asignó el número de expediente </w:t>
      </w:r>
      <w:r>
        <w:rPr>
          <w:rFonts w:ascii="Palatino Linotype" w:eastAsia="Palatino Linotype" w:hAnsi="Palatino Linotype" w:cs="Palatino Linotype"/>
          <w:b/>
          <w:bCs/>
          <w:sz w:val="22"/>
          <w:szCs w:val="22"/>
        </w:rPr>
        <w:t xml:space="preserve">10641/INFOEM/IP/RR/2025, </w:t>
      </w:r>
      <w:r>
        <w:rPr>
          <w:rFonts w:ascii="Palatino Linotype" w:eastAsia="Palatino Linotype" w:hAnsi="Palatino Linotype" w:cs="Palatino Linotype"/>
          <w:sz w:val="22"/>
          <w:szCs w:val="22"/>
        </w:rPr>
        <w:t xml:space="preserve">al Recurso de Revisión y lo turnó al Comisionado Ponente </w:t>
      </w:r>
      <w:r>
        <w:rPr>
          <w:rFonts w:ascii="Palatino Linotype" w:eastAsia="Palatino Linotype" w:hAnsi="Palatino Linotype" w:cs="Palatino Linotype"/>
          <w:b/>
          <w:bCs/>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doce de septiembre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tabs>
          <w:tab w:val="left" w:pos="3261"/>
        </w:tabs>
        <w:spacing w:line="360" w:lineRule="auto"/>
        <w:jc w:val="both"/>
        <w:rPr>
          <w:rFonts w:ascii="Palatino Linotype" w:eastAsia="Palatino Linotype" w:hAnsi="Palatino Linotype" w:cs="Palatino Linotype"/>
          <w:color w:val="000000"/>
          <w:sz w:val="22"/>
          <w:szCs w:val="22"/>
        </w:rPr>
      </w:pPr>
      <w:bookmarkStart w:id="13" w:name="_heading=h.83mf6x6furtw" w:colFirst="0" w:colLast="0"/>
      <w:bookmarkEnd w:id="13"/>
      <w:r>
        <w:rPr>
          <w:rFonts w:ascii="Palatino Linotype" w:eastAsia="Palatino Linotype" w:hAnsi="Palatino Linotype" w:cs="Palatino Linotype"/>
          <w:b/>
          <w:bCs/>
          <w:sz w:val="22"/>
          <w:szCs w:val="22"/>
        </w:rPr>
        <w:t xml:space="preserve">c) </w:t>
      </w:r>
      <w:r>
        <w:rPr>
          <w:rFonts w:ascii="Palatino Linotype" w:eastAsia="Palatino Linotype" w:hAnsi="Palatino Linotype" w:cs="Palatino Linotype"/>
          <w:b/>
          <w:bCs/>
          <w:color w:val="000000"/>
          <w:sz w:val="22"/>
          <w:szCs w:val="22"/>
        </w:rPr>
        <w:t>Informe Justificado o Manifestaciones.</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22"/>
          <w:szCs w:val="22"/>
        </w:rPr>
        <w:t>El nueve de octubre de dos mil veinticinco, se recibió, a través del SAIMEX, el informe justificado por medio de la digitalización del documento sin número dirigido al pleno, por medio del cual refiere que los cobros de agua se hacen en base a los autorizados y publicados en el Periódico Oficial Gaceta de Gobierno No.18 decreto No.62, tomo CCXVIII del 27 de diciembre de dos mil veinticuatro y adjunta una liga.</w:t>
      </w:r>
    </w:p>
    <w:p w:rsidR="007A0700" w:rsidRDefault="00D1629B">
      <w:pPr>
        <w:tabs>
          <w:tab w:val="left" w:pos="3261"/>
        </w:tabs>
        <w:spacing w:line="360" w:lineRule="auto"/>
        <w:jc w:val="both"/>
        <w:rPr>
          <w:rFonts w:ascii="Palatino Linotype" w:eastAsia="Palatino Linotype" w:hAnsi="Palatino Linotype" w:cs="Palatino Linotype"/>
          <w:color w:val="000000"/>
          <w:sz w:val="22"/>
          <w:szCs w:val="22"/>
        </w:rPr>
      </w:pPr>
      <w:hyperlink r:id="rId9">
        <w:r w:rsidR="004C7032">
          <w:rPr>
            <w:rFonts w:ascii="Palatino Linotype" w:eastAsia="Palatino Linotype" w:hAnsi="Palatino Linotype" w:cs="Palatino Linotype"/>
            <w:color w:val="0563C1"/>
            <w:sz w:val="22"/>
            <w:szCs w:val="22"/>
            <w:u w:val="single"/>
          </w:rPr>
          <w:t>https://legislacion.edomex.gob.mx/sites/legislacion.edomex.gob.mx/files/files/pdf/gct/2020/dic272.pdf</w:t>
        </w:r>
      </w:hyperlink>
      <w:r w:rsidR="004C7032">
        <w:rPr>
          <w:rFonts w:ascii="Palatino Linotype" w:eastAsia="Palatino Linotype" w:hAnsi="Palatino Linotype" w:cs="Palatino Linotype"/>
          <w:color w:val="000000"/>
          <w:sz w:val="22"/>
          <w:szCs w:val="22"/>
        </w:rPr>
        <w:t>.</w:t>
      </w:r>
    </w:p>
    <w:p w:rsidR="007A0700" w:rsidRDefault="007A0700">
      <w:pPr>
        <w:tabs>
          <w:tab w:val="left" w:pos="3261"/>
        </w:tabs>
        <w:spacing w:line="360" w:lineRule="auto"/>
        <w:jc w:val="both"/>
        <w:rPr>
          <w:rFonts w:ascii="Palatino Linotype" w:eastAsia="Palatino Linotype" w:hAnsi="Palatino Linotype" w:cs="Palatino Linotype"/>
          <w:color w:val="000000"/>
          <w:sz w:val="22"/>
          <w:szCs w:val="22"/>
        </w:rPr>
      </w:pPr>
    </w:p>
    <w:p w:rsidR="007A0700" w:rsidRDefault="004C7032">
      <w:pPr>
        <w:numPr>
          <w:ilvl w:val="0"/>
          <w:numId w:val="4"/>
        </w:numPr>
        <w:pBdr>
          <w:top w:val="nil"/>
          <w:left w:val="nil"/>
          <w:bottom w:val="nil"/>
          <w:right w:val="nil"/>
          <w:between w:val="nil"/>
        </w:pBdr>
        <w:tabs>
          <w:tab w:val="left" w:pos="3261"/>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Digitaliza en formato PDF la Gaceta del Poder Ejecutivo antes referida.</w:t>
      </w:r>
    </w:p>
    <w:p w:rsidR="007A0700" w:rsidRDefault="007A0700">
      <w:pPr>
        <w:tabs>
          <w:tab w:val="left" w:pos="3261"/>
        </w:tabs>
        <w:spacing w:line="360" w:lineRule="auto"/>
        <w:jc w:val="both"/>
        <w:rPr>
          <w:rFonts w:ascii="Palatino Linotype" w:eastAsia="Palatino Linotype" w:hAnsi="Palatino Linotype" w:cs="Palatino Linotype"/>
          <w:color w:val="000000"/>
          <w:sz w:val="22"/>
          <w:szCs w:val="22"/>
        </w:rPr>
      </w:pPr>
    </w:p>
    <w:p w:rsidR="007A0700" w:rsidRDefault="004C7032">
      <w:pPr>
        <w:tabs>
          <w:tab w:val="left" w:pos="3261"/>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d) Vista del informe justificado</w:t>
      </w:r>
      <w:r>
        <w:rPr>
          <w:rFonts w:ascii="Palatino Linotype" w:eastAsia="Palatino Linotype" w:hAnsi="Palatino Linotype" w:cs="Palatino Linotype"/>
          <w:color w:val="000000"/>
          <w:sz w:val="22"/>
          <w:szCs w:val="22"/>
        </w:rPr>
        <w:t>. El veintiséis de enero de dos mil veintiséis, se dictó acuerdo mediante el cual se puso a la vista del Particular, el Informe Justificado entregado por el Sujeto Obligado, el cual fue notificado, a través del SAIMEX, el mismo día.</w:t>
      </w:r>
    </w:p>
    <w:p w:rsidR="007A0700" w:rsidRDefault="007A0700">
      <w:pPr>
        <w:tabs>
          <w:tab w:val="left" w:pos="3261"/>
        </w:tabs>
        <w:spacing w:line="360" w:lineRule="auto"/>
        <w:jc w:val="both"/>
        <w:rPr>
          <w:rFonts w:ascii="Palatino Linotype" w:eastAsia="Palatino Linotype" w:hAnsi="Palatino Linotype" w:cs="Palatino Linotype"/>
          <w:color w:val="000000"/>
          <w:sz w:val="22"/>
          <w:szCs w:val="22"/>
        </w:rPr>
      </w:pPr>
    </w:p>
    <w:p w:rsidR="007A0700" w:rsidRDefault="004C7032">
      <w:pPr>
        <w:widowControl w:val="0"/>
        <w:spacing w:after="16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e) Ampliación de plazo para resolver. </w:t>
      </w:r>
      <w:r>
        <w:rPr>
          <w:rFonts w:ascii="Palatino Linotype" w:eastAsia="Palatino Linotype" w:hAnsi="Palatino Linotype" w:cs="Palatino Linotype"/>
          <w:sz w:val="22"/>
          <w:szCs w:val="22"/>
        </w:rPr>
        <w:t xml:space="preserve">El cinco de febrero de dos mil veintiséis, el Comisionado Ponente, con fundamento en lo dispuesto por el artículo 181, párrafo tercero, de la Ley de Transparencia y Acceso a la Información Pública del Estado de México y Municipios, acordó ampliar por un plazo de quince días hábiles, el plazo para resolver el Recurso de Revisión que nos ocupa; acto que fue notificado a las partes el mismo día, mediante el Sistema de Acceso a la Información Mexiquense (SAIMEX). </w:t>
      </w:r>
    </w:p>
    <w:p w:rsidR="007A0700" w:rsidRDefault="007A0700">
      <w:pPr>
        <w:tabs>
          <w:tab w:val="left" w:pos="3261"/>
        </w:tabs>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f) Cierre de instrucción. </w:t>
      </w:r>
      <w:r>
        <w:rPr>
          <w:rFonts w:ascii="Palatino Linotype" w:eastAsia="Palatino Linotype" w:hAnsi="Palatino Linotype" w:cs="Palatino Linotype"/>
          <w:sz w:val="22"/>
          <w:szCs w:val="22"/>
        </w:rPr>
        <w:t>El tres de febrero de dos mil veintiséis,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Sistema de Acceso a la Información Mexiquense (SAIMEX).</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razón de que fue debidamente sustanciado el expediente electrónico y no existe diligencia pendiente de desahogo, se emite la resolución que conforme a Derecho proceda, de acuerdo con los siguientes:</w:t>
      </w:r>
    </w:p>
    <w:p w:rsidR="007A0700" w:rsidRDefault="007A0700">
      <w:pPr>
        <w:spacing w:line="360" w:lineRule="auto"/>
        <w:ind w:right="-28"/>
        <w:jc w:val="both"/>
        <w:rPr>
          <w:rFonts w:ascii="Palatino Linotype" w:eastAsia="Palatino Linotype" w:hAnsi="Palatino Linotype" w:cs="Palatino Linotype"/>
          <w:color w:val="000000"/>
          <w:sz w:val="22"/>
          <w:szCs w:val="22"/>
        </w:rPr>
      </w:pPr>
    </w:p>
    <w:p w:rsidR="007A0700" w:rsidRDefault="004C7032">
      <w:pPr>
        <w:pStyle w:val="Ttulo1"/>
        <w:spacing w:before="0" w:after="0" w:line="360" w:lineRule="auto"/>
        <w:jc w:val="center"/>
        <w:rPr>
          <w:rFonts w:ascii="Palatino Linotype" w:eastAsia="Palatino Linotype" w:hAnsi="Palatino Linotype" w:cs="Palatino Linotype"/>
          <w:b/>
          <w:bCs/>
          <w:color w:val="000000"/>
          <w:sz w:val="22"/>
          <w:szCs w:val="22"/>
        </w:rPr>
      </w:pPr>
      <w:bookmarkStart w:id="14" w:name="_heading=h.oq55wj6qeteg" w:colFirst="0" w:colLast="0"/>
      <w:bookmarkStart w:id="15" w:name="_Toc221204060"/>
      <w:bookmarkEnd w:id="14"/>
      <w:r>
        <w:rPr>
          <w:rFonts w:ascii="Palatino Linotype" w:eastAsia="Palatino Linotype" w:hAnsi="Palatino Linotype" w:cs="Palatino Linotype"/>
          <w:b/>
          <w:bCs/>
          <w:color w:val="000000"/>
          <w:sz w:val="22"/>
          <w:szCs w:val="22"/>
        </w:rPr>
        <w:t>C O N S I D E R A N D O S</w:t>
      </w:r>
      <w:bookmarkEnd w:id="15"/>
    </w:p>
    <w:p w:rsidR="007A0700" w:rsidRDefault="007A0700">
      <w:pPr>
        <w:spacing w:line="360" w:lineRule="auto"/>
      </w:pPr>
    </w:p>
    <w:p w:rsidR="007A0700" w:rsidRDefault="004C7032">
      <w:pPr>
        <w:pStyle w:val="Ttulo2"/>
        <w:spacing w:before="0" w:after="0" w:line="360" w:lineRule="auto"/>
        <w:rPr>
          <w:rFonts w:ascii="Palatino Linotype" w:eastAsia="Palatino Linotype" w:hAnsi="Palatino Linotype" w:cs="Palatino Linotype"/>
          <w:b/>
          <w:bCs/>
          <w:color w:val="000000"/>
          <w:sz w:val="22"/>
          <w:szCs w:val="22"/>
        </w:rPr>
      </w:pPr>
      <w:bookmarkStart w:id="16" w:name="_heading=h.fljab8rczva1" w:colFirst="0" w:colLast="0"/>
      <w:bookmarkStart w:id="17" w:name="_Toc221204061"/>
      <w:bookmarkEnd w:id="16"/>
      <w:r>
        <w:rPr>
          <w:rFonts w:ascii="Palatino Linotype" w:eastAsia="Palatino Linotype" w:hAnsi="Palatino Linotype" w:cs="Palatino Linotype"/>
          <w:b/>
          <w:bCs/>
          <w:color w:val="000000"/>
          <w:sz w:val="22"/>
          <w:szCs w:val="22"/>
        </w:rPr>
        <w:t>PRIMERO. Competencia</w:t>
      </w:r>
      <w:bookmarkEnd w:id="17"/>
    </w:p>
    <w:p w:rsidR="007A0700" w:rsidRDefault="007A0700">
      <w:pPr>
        <w:spacing w:line="360" w:lineRule="auto"/>
        <w:ind w:right="-28"/>
        <w:jc w:val="both"/>
        <w:rPr>
          <w:rFonts w:ascii="Palatino Linotype" w:eastAsia="Palatino Linotype" w:hAnsi="Palatino Linotype" w:cs="Palatino Linotype"/>
          <w:b/>
          <w:bCs/>
          <w:sz w:val="22"/>
          <w:szCs w:val="22"/>
        </w:rPr>
      </w:pPr>
    </w:p>
    <w:p w:rsidR="007A0700" w:rsidRDefault="004C70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pStyle w:val="Ttulo2"/>
        <w:spacing w:before="0" w:after="0" w:line="360" w:lineRule="auto"/>
        <w:rPr>
          <w:rFonts w:ascii="Palatino Linotype" w:eastAsia="Palatino Linotype" w:hAnsi="Palatino Linotype" w:cs="Palatino Linotype"/>
          <w:b/>
          <w:bCs/>
          <w:color w:val="000000"/>
          <w:sz w:val="22"/>
          <w:szCs w:val="22"/>
        </w:rPr>
      </w:pPr>
      <w:bookmarkStart w:id="18" w:name="_heading=h.f0gfkeqqmjan" w:colFirst="0" w:colLast="0"/>
      <w:bookmarkStart w:id="19" w:name="_Toc221204062"/>
      <w:bookmarkEnd w:id="18"/>
      <w:r>
        <w:rPr>
          <w:rFonts w:ascii="Palatino Linotype" w:eastAsia="Palatino Linotype" w:hAnsi="Palatino Linotype" w:cs="Palatino Linotype"/>
          <w:b/>
          <w:bCs/>
          <w:color w:val="000000"/>
          <w:sz w:val="22"/>
          <w:szCs w:val="22"/>
        </w:rPr>
        <w:t>SEGUNDO. Causales de improcedencia y sobreseimiento</w:t>
      </w:r>
      <w:bookmarkEnd w:id="19"/>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para determinar lo que en Derecho proceda.</w:t>
      </w:r>
    </w:p>
    <w:p w:rsidR="007A0700" w:rsidRDefault="007A0700">
      <w:pPr>
        <w:spacing w:line="360" w:lineRule="auto"/>
        <w:jc w:val="both"/>
        <w:rPr>
          <w:rFonts w:ascii="Palatino Linotype" w:eastAsia="Palatino Linotype" w:hAnsi="Palatino Linotype" w:cs="Palatino Linotype"/>
          <w:b/>
          <w:bCs/>
          <w:color w:val="000000"/>
          <w:sz w:val="22"/>
          <w:szCs w:val="22"/>
        </w:rPr>
      </w:pPr>
    </w:p>
    <w:p w:rsidR="007A0700" w:rsidRDefault="004C7032">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Causales de improcedencia</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A0700" w:rsidRDefault="007A0700">
      <w:pPr>
        <w:spacing w:line="360" w:lineRule="auto"/>
        <w:ind w:right="-28"/>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además de que </w:t>
      </w:r>
      <w:r>
        <w:rPr>
          <w:rFonts w:ascii="Palatino Linotype" w:eastAsia="Palatino Linotype" w:hAnsi="Palatino Linotype" w:cs="Palatino Linotype"/>
          <w:color w:val="000000"/>
          <w:sz w:val="22"/>
          <w:szCs w:val="22"/>
        </w:rPr>
        <w:t>el medio de impugnación fue presentado en tiempo.</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widowControl w:val="0"/>
        <w:spacing w:line="360" w:lineRule="auto"/>
        <w:jc w:val="both"/>
      </w:pPr>
      <w:bookmarkStart w:id="20" w:name="_heading=h.5qzrdf5wdaj8" w:colFirst="0" w:colLast="0"/>
      <w:bookmarkEnd w:id="20"/>
      <w:r>
        <w:rPr>
          <w:rFonts w:ascii="Palatino Linotype" w:eastAsia="Palatino Linotype" w:hAnsi="Palatino Linotype" w:cs="Palatino Linotype"/>
          <w:sz w:val="22"/>
          <w:szCs w:val="22"/>
        </w:rPr>
        <w:t xml:space="preserve">Asimismo, se actualiza la causal de procedencia del Recurso de Revisión señalada en el artículo 179, fracción II, de la Ley en cita, </w:t>
      </w:r>
      <w:r>
        <w:rPr>
          <w:rFonts w:ascii="Palatino Linotype" w:eastAsia="Palatino Linotype" w:hAnsi="Palatino Linotype" w:cs="Palatino Linotype"/>
          <w:color w:val="000000"/>
          <w:sz w:val="22"/>
          <w:szCs w:val="22"/>
        </w:rPr>
        <w:t>pues el Recurrente se inconformó con la clasificación de la información.</w:t>
      </w:r>
    </w:p>
    <w:p w:rsidR="007A0700" w:rsidRDefault="007A0700">
      <w:pPr>
        <w:spacing w:line="360" w:lineRule="auto"/>
        <w:jc w:val="both"/>
        <w:rPr>
          <w:rFonts w:ascii="Palatino Linotype" w:eastAsia="Palatino Linotype" w:hAnsi="Palatino Linotype" w:cs="Palatino Linotype"/>
          <w:b/>
          <w:bCs/>
          <w:color w:val="0D0D0D"/>
          <w:sz w:val="22"/>
          <w:szCs w:val="22"/>
        </w:rPr>
      </w:pPr>
    </w:p>
    <w:p w:rsidR="007A0700" w:rsidRDefault="004C7032">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b/>
          <w:bCs/>
          <w:color w:val="0D0D0D"/>
          <w:sz w:val="22"/>
          <w:szCs w:val="22"/>
        </w:rPr>
        <w:t>Causales de sobreseimiento</w:t>
      </w:r>
    </w:p>
    <w:p w:rsidR="007A0700" w:rsidRDefault="007A0700">
      <w:pPr>
        <w:spacing w:line="360" w:lineRule="auto"/>
        <w:jc w:val="both"/>
        <w:rPr>
          <w:rFonts w:ascii="Palatino Linotype" w:eastAsia="Palatino Linotype" w:hAnsi="Palatino Linotype" w:cs="Palatino Linotype"/>
          <w:color w:val="0D0D0D"/>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7A0700" w:rsidRDefault="007A0700">
      <w:pPr>
        <w:tabs>
          <w:tab w:val="left" w:pos="4962"/>
        </w:tabs>
        <w:spacing w:line="360" w:lineRule="auto"/>
        <w:jc w:val="both"/>
        <w:rPr>
          <w:rFonts w:ascii="Palatino Linotype" w:eastAsia="Palatino Linotype" w:hAnsi="Palatino Linotype" w:cs="Palatino Linotype"/>
          <w:sz w:val="22"/>
          <w:szCs w:val="22"/>
        </w:rPr>
      </w:pPr>
    </w:p>
    <w:p w:rsidR="007A0700" w:rsidRDefault="004C7032">
      <w:pPr>
        <w:pStyle w:val="Ttulo2"/>
        <w:spacing w:before="0" w:after="0" w:line="360" w:lineRule="auto"/>
        <w:rPr>
          <w:rFonts w:ascii="Palatino Linotype" w:eastAsia="Palatino Linotype" w:hAnsi="Palatino Linotype" w:cs="Palatino Linotype"/>
          <w:b/>
          <w:bCs/>
          <w:color w:val="000000"/>
          <w:sz w:val="22"/>
          <w:szCs w:val="22"/>
        </w:rPr>
      </w:pPr>
      <w:bookmarkStart w:id="21" w:name="_heading=h.gsr901z3phzx" w:colFirst="0" w:colLast="0"/>
      <w:bookmarkStart w:id="22" w:name="_Toc221204063"/>
      <w:bookmarkEnd w:id="21"/>
      <w:r>
        <w:rPr>
          <w:rFonts w:ascii="Palatino Linotype" w:eastAsia="Palatino Linotype" w:hAnsi="Palatino Linotype" w:cs="Palatino Linotype"/>
          <w:b/>
          <w:bCs/>
          <w:color w:val="000000"/>
          <w:sz w:val="22"/>
          <w:szCs w:val="22"/>
        </w:rPr>
        <w:t>TERCERO. Determinación de la Controversia</w:t>
      </w:r>
      <w:bookmarkEnd w:id="22"/>
    </w:p>
    <w:p w:rsidR="007A0700" w:rsidRDefault="007A0700">
      <w:pPr>
        <w:tabs>
          <w:tab w:val="left" w:pos="4962"/>
        </w:tabs>
        <w:spacing w:line="360" w:lineRule="auto"/>
        <w:jc w:val="both"/>
        <w:rPr>
          <w:rFonts w:ascii="Palatino Linotype" w:eastAsia="Palatino Linotype" w:hAnsi="Palatino Linotype" w:cs="Palatino Linotype"/>
          <w:b/>
          <w:bCs/>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realizado el estudio de las constancias que integran el expediente en que se actúa, se desprende que el Recurrente requirió saber cuanto pagan las escuelas publicas por servicio de agua potable en Naucalpan de Juárez. </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por medio de la Subgerencia de Transparencia, precisó que la información era confidencial por tener datos sensibles y requiere acreditar personalidad jurídica; ante dicha circunstancia, el Particular se inconformó al referir que no pidió datos personales, si no importes de pago por servicios de agua, lo cual, actualiza la causal de procedencia prevista en la fracción II, del artículo 179 de la Ley de Transparencia y Acceso a la Información Pública del Estado de México y Municipios</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 xml:space="preserve">Así las cosas, una vez admitido y notificado el Recurso de Revisión a las partes, a través del Informe Justificado el Sujeto Obligado refirió que dichos cobros se hacen con base en el decreto No. 62 del 27 de diciembre de dos mil veinticuatro, y digitalizo la gaceta en base a las tarifas de agua. </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la respuesta, el escrito recursal, el Informe con Justificación y el Alcance al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7A0700" w:rsidRDefault="007A0700">
      <w:pPr>
        <w:spacing w:line="360" w:lineRule="auto"/>
        <w:jc w:val="both"/>
        <w:rPr>
          <w:rFonts w:ascii="Palatino Linotype" w:eastAsia="Palatino Linotype" w:hAnsi="Palatino Linotype" w:cs="Palatino Linotype"/>
          <w:b/>
          <w:bCs/>
          <w:sz w:val="22"/>
          <w:szCs w:val="22"/>
        </w:rPr>
      </w:pPr>
    </w:p>
    <w:p w:rsidR="007A0700" w:rsidRDefault="004C7032">
      <w:pPr>
        <w:pStyle w:val="Ttulo2"/>
        <w:spacing w:before="0" w:after="0" w:line="360" w:lineRule="auto"/>
        <w:jc w:val="both"/>
        <w:rPr>
          <w:rFonts w:ascii="Palatino Linotype" w:eastAsia="Palatino Linotype" w:hAnsi="Palatino Linotype" w:cs="Palatino Linotype"/>
          <w:b/>
          <w:bCs/>
          <w:color w:val="000000"/>
          <w:sz w:val="22"/>
          <w:szCs w:val="22"/>
        </w:rPr>
      </w:pPr>
      <w:bookmarkStart w:id="23" w:name="_heading=h.ofem0xxsexbv" w:colFirst="0" w:colLast="0"/>
      <w:bookmarkStart w:id="24" w:name="_Toc221204064"/>
      <w:bookmarkEnd w:id="23"/>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24"/>
    </w:p>
    <w:p w:rsidR="007A0700" w:rsidRDefault="007A0700">
      <w:pPr>
        <w:spacing w:line="360" w:lineRule="auto"/>
        <w:jc w:val="both"/>
        <w:rPr>
          <w:rFonts w:ascii="Palatino Linotype" w:eastAsia="Palatino Linotype" w:hAnsi="Palatino Linotype" w:cs="Palatino Linotype"/>
          <w:b/>
          <w:bCs/>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 </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pStyle w:val="Ttulo2"/>
        <w:spacing w:before="0" w:after="0" w:line="360" w:lineRule="auto"/>
        <w:rPr>
          <w:rFonts w:ascii="Palatino Linotype" w:eastAsia="Palatino Linotype" w:hAnsi="Palatino Linotype" w:cs="Palatino Linotype"/>
          <w:b/>
          <w:bCs/>
          <w:color w:val="000000"/>
          <w:sz w:val="22"/>
          <w:szCs w:val="22"/>
        </w:rPr>
      </w:pPr>
      <w:bookmarkStart w:id="25" w:name="_heading=h.kpwwbwnygqx5" w:colFirst="0" w:colLast="0"/>
      <w:bookmarkStart w:id="26" w:name="_Toc221204065"/>
      <w:bookmarkEnd w:id="25"/>
      <w:r>
        <w:rPr>
          <w:rFonts w:ascii="Palatino Linotype" w:eastAsia="Palatino Linotype" w:hAnsi="Palatino Linotype" w:cs="Palatino Linotype"/>
          <w:b/>
          <w:bCs/>
          <w:color w:val="000000"/>
          <w:sz w:val="22"/>
          <w:szCs w:val="22"/>
        </w:rPr>
        <w:t>QUINTO. Estudio de Fondo</w:t>
      </w:r>
      <w:bookmarkEnd w:id="26"/>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 los agravios hechos valer por la persona Recurrente, por lo que, en principio es necesario contextualizar la solicitud de información.</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artículo 115 fracción III, de la Constitución Política de los Estado Unidos Mexicanos, establece que, los Municipios tendrán a su cargo las funciones y servicios públicos de agua potable, drenaje, alcantarillado, tratamiento y disposición de sus aguas residuales, entre otros.</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 misma manera, el artículo 125 de la Ley Orgánica Municipal del Estado de México, precisa que, los municipios tendrán a su cargo la prestación, explotación, administración y conservación de los servicios públicos municipales, como el de Agua potable, alcantarillado, saneamiento y aguas residuales, entre otros.</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el artículo 37, de la Ley de Agua para el Estado de México y Municipios, precisa que, los Municipios son autoridades encargadas de la ejecución del Sistema Municipal del Agua, a través de organismos con personalidad jurídica y patrimonio propio, así como autonomía técnica y administrativa en el manejo de sus recursos.</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Bando Municipal del Ayuntamiento de Naucalpan de Juárez dos mil veinticinco, se prevé en el artículo 125 que el Sujeto Obligado es un Organismo Público Descentralizado y que tiene la  responsabilidad de administrar y operar los servicios, conservar, dar mantenimiento, rehabilitar y ampliar los sistemas de suministro, de drenaje y de alcantarillado, y en su caso, el tratamiento de aguas y su reúso y tiene personalidad jurídica y patrimonio propio, así como con autonomía técnica y administrativa para el manejo de sus recursos, para la prestación de los servicios a su cargo.</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dentro del Reglamento Orgánico del Organismo </w:t>
      </w:r>
      <w:r>
        <w:rPr>
          <w:rFonts w:ascii="Palatino Linotype" w:eastAsia="Palatino Linotype" w:hAnsi="Palatino Linotype" w:cs="Palatino Linotype"/>
          <w:color w:val="000000"/>
          <w:sz w:val="22"/>
          <w:szCs w:val="22"/>
        </w:rPr>
        <w:t>Público Descentralizado para la Prestación de Los Servicios de Agua Potable Alcantarillado y Saneamiento del Municipio de Naucalpan de Juárez</w:t>
      </w:r>
      <w:r>
        <w:rPr>
          <w:rFonts w:ascii="Palatino Linotype" w:eastAsia="Palatino Linotype" w:hAnsi="Palatino Linotype" w:cs="Palatino Linotype"/>
          <w:sz w:val="22"/>
          <w:szCs w:val="22"/>
        </w:rPr>
        <w:t>, en su artículo 59 refiere que la Dirección Comercial para el estudio, despacho, planeación y ejecución de sus atribuciones establecidas en el presente artículo, contará con las siguientes Gerencias y Subgerencias que le estarán subordinadas jerárquicamente:</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widowControl w:val="0"/>
        <w:numPr>
          <w:ilvl w:val="0"/>
          <w:numId w:val="5"/>
        </w:numPr>
        <w:pBdr>
          <w:top w:val="nil"/>
          <w:left w:val="nil"/>
          <w:bottom w:val="nil"/>
          <w:right w:val="nil"/>
          <w:between w:val="nil"/>
        </w:pBdr>
        <w:spacing w:line="360" w:lineRule="auto"/>
        <w:ind w:left="993" w:hanging="21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Gerencia de Atención a Usuarios: </w:t>
      </w:r>
    </w:p>
    <w:p w:rsidR="007A0700" w:rsidRDefault="004C7032">
      <w:pPr>
        <w:widowControl w:val="0"/>
        <w:numPr>
          <w:ilvl w:val="0"/>
          <w:numId w:val="5"/>
        </w:numPr>
        <w:pBdr>
          <w:top w:val="nil"/>
          <w:left w:val="nil"/>
          <w:bottom w:val="nil"/>
          <w:right w:val="nil"/>
          <w:between w:val="nil"/>
        </w:pBdr>
        <w:spacing w:line="360" w:lineRule="auto"/>
        <w:ind w:left="993" w:hanging="21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Gerencia de Rezagos, Restricciones y Ejecución Fiscal.  </w:t>
      </w:r>
    </w:p>
    <w:p w:rsidR="007A0700" w:rsidRDefault="004C7032">
      <w:pPr>
        <w:widowControl w:val="0"/>
        <w:numPr>
          <w:ilvl w:val="0"/>
          <w:numId w:val="5"/>
        </w:numPr>
        <w:pBdr>
          <w:top w:val="nil"/>
          <w:left w:val="nil"/>
          <w:bottom w:val="nil"/>
          <w:right w:val="nil"/>
          <w:between w:val="nil"/>
        </w:pBdr>
        <w:spacing w:line="360" w:lineRule="auto"/>
        <w:ind w:left="993" w:hanging="21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Subgerencia de Altas Padrón y Censo.  </w:t>
      </w:r>
    </w:p>
    <w:p w:rsidR="007A0700" w:rsidRDefault="004C7032">
      <w:pPr>
        <w:widowControl w:val="0"/>
        <w:numPr>
          <w:ilvl w:val="0"/>
          <w:numId w:val="5"/>
        </w:numPr>
        <w:pBdr>
          <w:top w:val="nil"/>
          <w:left w:val="nil"/>
          <w:bottom w:val="nil"/>
          <w:right w:val="nil"/>
          <w:between w:val="nil"/>
        </w:pBdr>
        <w:spacing w:line="360" w:lineRule="auto"/>
        <w:ind w:left="993" w:hanging="21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Subgerencia de Medidores.</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2"/>
          <w:szCs w:val="22"/>
        </w:rPr>
        <w:t>Donde a través del mismo ordenamiento en comento con relación a los artículos 51, 58 y  60 refiere que la Dirección Comercial se encargara de celebrar a través de las áreas competentes de la Dirección Comercial convenios con los usuarios de la prestación de los servicios que brinda el Organismo, así como con las autoridades Federales, Estatales y Municipales, organismos públicos privados y/o particulares, con el objeto de que cumplan con el pago de los servicios que presta el Organismo</w:t>
      </w:r>
      <w:r>
        <w:t xml:space="preserve">; </w:t>
      </w:r>
      <w:r>
        <w:rPr>
          <w:rFonts w:ascii="Palatino Linotype" w:eastAsia="Palatino Linotype" w:hAnsi="Palatino Linotype" w:cs="Palatino Linotype"/>
          <w:sz w:val="22"/>
          <w:szCs w:val="22"/>
        </w:rPr>
        <w:t>y a través de la</w:t>
      </w:r>
      <w:r>
        <w:rPr>
          <w:sz w:val="22"/>
          <w:szCs w:val="22"/>
        </w:rPr>
        <w:t xml:space="preserve"> </w:t>
      </w:r>
      <w:r>
        <w:rPr>
          <w:rFonts w:ascii="Palatino Linotype" w:eastAsia="Palatino Linotype" w:hAnsi="Palatino Linotype" w:cs="Palatino Linotype"/>
          <w:sz w:val="22"/>
          <w:szCs w:val="22"/>
        </w:rPr>
        <w:t>Gerencia de Atención a Usuarios que se encargara de brindar atención a los usuarios y aclarar situaciones relacionadas al pago de contribuciones, aprovechamientos y accesorios; correspondiente al ejercicio fiscal corriente, hasta por tres meses de atraso, posterior se considerará rezago y deberá ser atendido por las áreas administrativas correspondientes de la Dirección Comercial; así como de la Subgerencia de Agua potable a supervisar el correcto funcionamiento de las redes hidráulicas para proporcionar de manera eficiente el servicio de agua potable a través de las diferentes fuentes que abastecen al Organismo.</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logra vislumbrar que la pretensión de la persona Recurrente es saber el monto pagan las escuelas públicas por servicio de agua, vigente al seis de agosto de dos mil veinticinco.</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cabe señalar que los Particulares no son peritos en la materia, por lo que no conocen el nombre de los todos los documentos que dan cuenta de lo solicitado o de los actos jurídicos que emite el Ente Recurrido, por lo que en el caso en particular del análisis de la solicitud realizada por el hoy Recurrente se advierte que su pretensión versa en obtener el documento donde conste la tarifa vigente aplicable a las escuelas públicas por servicio de agua potable.</w:t>
      </w: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7A0700">
      <w:pPr>
        <w:widowControl w:val="0"/>
        <w:spacing w:line="360" w:lineRule="auto"/>
        <w:jc w:val="both"/>
        <w:rPr>
          <w:rFonts w:ascii="Palatino Linotype" w:eastAsia="Palatino Linotype" w:hAnsi="Palatino Linotype" w:cs="Palatino Linotype"/>
          <w:sz w:val="22"/>
          <w:szCs w:val="22"/>
        </w:rPr>
      </w:pPr>
    </w:p>
    <w:p w:rsidR="007A0700" w:rsidRDefault="004C70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Establecida dicha circunstancia, se procede analizar la respuesta entregada, para lo cual, es de señalar que de las constancias que de las constancias que obran en el expediente, se logra vislumbrar que el Sujeto Obligado turno la solicitud de información a </w:t>
      </w:r>
      <w:r>
        <w:rPr>
          <w:rFonts w:ascii="Palatino Linotype" w:eastAsia="Palatino Linotype" w:hAnsi="Palatino Linotype" w:cs="Palatino Linotype"/>
          <w:b/>
          <w:bCs/>
          <w:sz w:val="22"/>
          <w:szCs w:val="22"/>
        </w:rPr>
        <w:t>la Subgerencia de la Unidad de Transparencia</w:t>
      </w:r>
      <w:r>
        <w:rPr>
          <w:rFonts w:ascii="Palatino Linotype" w:eastAsia="Palatino Linotype" w:hAnsi="Palatino Linotype" w:cs="Palatino Linotype"/>
          <w:sz w:val="22"/>
          <w:szCs w:val="22"/>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el artículo 31, Reglamento Orgánico del Organismo </w:t>
      </w:r>
      <w:r>
        <w:rPr>
          <w:rFonts w:ascii="Palatino Linotype" w:eastAsia="Palatino Linotype" w:hAnsi="Palatino Linotype" w:cs="Palatino Linotype"/>
          <w:color w:val="000000"/>
          <w:sz w:val="22"/>
          <w:szCs w:val="22"/>
        </w:rPr>
        <w:t>Público Descentralizado para la Prestación de Los Servicios de Agua Potable Alcantarillado y Saneamiento del Municipio de Naucalpan de Juárez dos mil veinticinco</w:t>
      </w:r>
      <w:r>
        <w:rPr>
          <w:rFonts w:ascii="Palatino Linotype" w:eastAsia="Palatino Linotype" w:hAnsi="Palatino Linotype" w:cs="Palatino Linotype"/>
          <w:sz w:val="22"/>
          <w:szCs w:val="22"/>
        </w:rPr>
        <w:t>, precisan que la Subgerencia de Transparencia se encargara de coordinar a los enlaces de los servidores públicos habilitados para el cumplimiento de las obligaciones en materia de Transparencia y Acceso a la Información, así como publicar, recabar y actualizar la información relativa a las obligaciones de Transparencia comunes y especificas a las que se refiere la ley de transparencia local, así como verificar que las áreas administrativas la actualicen periódicamente conforme a la normatividad aplicable;</w:t>
      </w:r>
    </w:p>
    <w:p w:rsidR="007A0700" w:rsidRDefault="007A0700">
      <w:pPr>
        <w:tabs>
          <w:tab w:val="left" w:pos="4962"/>
        </w:tabs>
        <w:spacing w:line="360" w:lineRule="auto"/>
        <w:jc w:val="both"/>
        <w:rPr>
          <w:rFonts w:ascii="Palatino Linotype" w:eastAsia="Palatino Linotype" w:hAnsi="Palatino Linotype" w:cs="Palatino Linotype"/>
          <w:sz w:val="22"/>
          <w:szCs w:val="22"/>
        </w:rPr>
      </w:pPr>
    </w:p>
    <w:p w:rsidR="007A0700" w:rsidRDefault="004C70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y de lo plasmado en párrafos anteriores, se logra colegir que el Sujeto Obligado no cumplió con el procedimiento de búsqueda establecido en el artículo 162 de la Ley de Transparencia y Acceso a la Información Pública del Estado de México y Municipios, toda vez, que omitió turnar el requerimiento de información a las áreas competente para conocer de lo peticionado, sin embargo dicha área refirió que la información solicitada es confidencial, por tener datos sensibles.</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color w:val="000000"/>
          <w:sz w:val="22"/>
          <w:szCs w:val="22"/>
        </w:rPr>
        <w:t xml:space="preserve">Al respecto, cabe precisar, que conforme al artículo 20 de la Ley de Transparencia y Acceso a la Información Pública del Estado de México y Municipios, </w:t>
      </w:r>
      <w:r>
        <w:rPr>
          <w:rFonts w:ascii="Palatino Linotype" w:eastAsia="Palatino Linotype" w:hAnsi="Palatino Linotype" w:cs="Palatino Linotype"/>
          <w:b/>
          <w:bCs/>
          <w:color w:val="000000"/>
          <w:sz w:val="22"/>
          <w:szCs w:val="22"/>
        </w:rPr>
        <w:t>ante la negativa de acceso a la información o su inexistencia, el sujeto obligado deberá demostrar que encuentra en alguna de las excepciones establecidas en la normatividad aplicable.</w:t>
      </w:r>
    </w:p>
    <w:p w:rsidR="007A0700" w:rsidRDefault="007A0700">
      <w:pPr>
        <w:spacing w:line="360" w:lineRule="auto"/>
        <w:jc w:val="both"/>
        <w:rPr>
          <w:rFonts w:ascii="Palatino Linotype" w:eastAsia="Palatino Linotype" w:hAnsi="Palatino Linotype" w:cs="Palatino Linotype"/>
          <w:color w:val="FF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sentido, según Trujillo, Humberto (2019), en el “Diccionario de Transparencia y Acceso a la Información Pública” (p. 201), </w:t>
      </w:r>
      <w:r>
        <w:rPr>
          <w:rFonts w:ascii="Palatino Linotype" w:eastAsia="Palatino Linotype" w:hAnsi="Palatino Linotype" w:cs="Palatino Linotype"/>
          <w:b/>
          <w:bCs/>
          <w:color w:val="000000"/>
          <w:sz w:val="22"/>
          <w:szCs w:val="22"/>
        </w:rPr>
        <w:t>la negativa de acceso a la información</w:t>
      </w:r>
      <w:r>
        <w:rPr>
          <w:rFonts w:ascii="Palatino Linotype" w:eastAsia="Palatino Linotype" w:hAnsi="Palatino Linotype" w:cs="Palatino Linotype"/>
          <w:color w:val="000000"/>
          <w:sz w:val="22"/>
          <w:szCs w:val="22"/>
        </w:rPr>
        <w:t xml:space="preserve"> ocurre cuando de manera fundada y motivada, una autoridad la niega o la limita, por alguna de las siguientes razones:</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La inexistencia de la información (p. 171):</w:t>
      </w:r>
      <w:r>
        <w:rPr>
          <w:rFonts w:ascii="Palatino Linotype" w:eastAsia="Palatino Linotype" w:hAnsi="Palatino Linotype" w:cs="Palatino Linotype"/>
          <w:sz w:val="22"/>
          <w:szCs w:val="22"/>
        </w:rPr>
        <w:t xml:space="preserve"> Sucede cuando la información solicitada no se encuentra en los archivos públicos o clasificados, de los entes sujetos a las Leyes de Transparencia</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La incompetencia del Sujeto Obligado (p. 171):</w:t>
      </w:r>
      <w:r>
        <w:rPr>
          <w:rFonts w:ascii="Palatino Linotype" w:eastAsia="Palatino Linotype" w:hAnsi="Palatino Linotype" w:cs="Palatino Linotype"/>
          <w:sz w:val="22"/>
          <w:szCs w:val="22"/>
        </w:rPr>
        <w:t xml:space="preserve"> Ocurre cuando el Sujeto Obligado carece de atribuciones para poseer la información peticionada.</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La clasificación de la información (p. 70):</w:t>
      </w:r>
      <w:r>
        <w:rPr>
          <w:rFonts w:ascii="Palatino Linotype" w:eastAsia="Palatino Linotype" w:hAnsi="Palatino Linotype" w:cs="Palatino Linotype"/>
          <w:sz w:val="22"/>
          <w:szCs w:val="22"/>
        </w:rPr>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En ese orden de ideas y en atención a lo anterior, es de señalar que las excepciones al derecho de acceso a la información, consisten en que la documentación sea inexistente, se encuentre </w:t>
      </w:r>
      <w:r>
        <w:rPr>
          <w:rFonts w:ascii="Palatino Linotype" w:eastAsia="Palatino Linotype" w:hAnsi="Palatino Linotype" w:cs="Palatino Linotype"/>
          <w:b/>
          <w:bCs/>
          <w:color w:val="000000"/>
          <w:sz w:val="22"/>
          <w:szCs w:val="22"/>
        </w:rPr>
        <w:t>clasificada,</w:t>
      </w:r>
      <w:r>
        <w:rPr>
          <w:rFonts w:ascii="Palatino Linotype" w:eastAsia="Palatino Linotype" w:hAnsi="Palatino Linotype" w:cs="Palatino Linotype"/>
          <w:color w:val="000000"/>
          <w:sz w:val="22"/>
          <w:szCs w:val="22"/>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Pr>
          <w:rFonts w:ascii="Palatino Linotype" w:eastAsia="Palatino Linotype" w:hAnsi="Palatino Linotype" w:cs="Palatino Linotype"/>
          <w:b/>
          <w:bCs/>
          <w:color w:val="000000"/>
          <w:sz w:val="22"/>
          <w:szCs w:val="22"/>
        </w:rPr>
        <w:t>confidenciales o reservados.</w:t>
      </w:r>
    </w:p>
    <w:p w:rsidR="007A0700" w:rsidRDefault="007A0700">
      <w:pPr>
        <w:spacing w:line="360" w:lineRule="auto"/>
        <w:jc w:val="both"/>
        <w:rPr>
          <w:rFonts w:ascii="Palatino Linotype" w:eastAsia="Palatino Linotype" w:hAnsi="Palatino Linotype" w:cs="Palatino Linotype"/>
          <w:b/>
          <w:bCs/>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en los artículos 122, 128 y 130 de la Ley Transparencia y Acceso a la Información Pública del Estado de México y Municipios, se prevé que </w:t>
      </w:r>
      <w:r>
        <w:rPr>
          <w:rFonts w:ascii="Palatino Linotype" w:eastAsia="Palatino Linotype" w:hAnsi="Palatino Linotype" w:cs="Palatino Linotype"/>
          <w:b/>
          <w:bCs/>
          <w:color w:val="000000"/>
          <w:sz w:val="22"/>
          <w:szCs w:val="22"/>
        </w:rPr>
        <w:t>la clasificación</w:t>
      </w:r>
      <w:r>
        <w:rPr>
          <w:rFonts w:ascii="Palatino Linotype" w:eastAsia="Palatino Linotype" w:hAnsi="Palatino Linotype" w:cs="Palatino Linotype"/>
          <w:color w:val="000000"/>
          <w:sz w:val="22"/>
          <w:szCs w:val="22"/>
        </w:rPr>
        <w:t xml:space="preserve"> 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cual, </w:t>
      </w:r>
      <w:r>
        <w:rPr>
          <w:rFonts w:ascii="Palatino Linotype" w:eastAsia="Palatino Linotype" w:hAnsi="Palatino Linotype" w:cs="Palatino Linotype"/>
          <w:color w:val="000000"/>
          <w:sz w:val="22"/>
          <w:szCs w:val="22"/>
          <w:u w:val="single"/>
        </w:rPr>
        <w:t xml:space="preserve">en los casos en que se niegue el acceso a la información, por actualizarse alguno de los supuestos de clasificación, </w:t>
      </w:r>
      <w:r>
        <w:rPr>
          <w:rFonts w:ascii="Palatino Linotype" w:eastAsia="Palatino Linotype" w:hAnsi="Palatino Linotype" w:cs="Palatino Linotype"/>
          <w:b/>
          <w:bCs/>
          <w:color w:val="000000"/>
          <w:sz w:val="22"/>
          <w:szCs w:val="22"/>
          <w:u w:val="single"/>
        </w:rPr>
        <w:t>el Comité de Transparencia deberá confirmar, modificar o revocar la decisión;</w:t>
      </w:r>
      <w:r>
        <w:rPr>
          <w:rFonts w:ascii="Palatino Linotype" w:eastAsia="Palatino Linotype" w:hAnsi="Palatino Linotype" w:cs="Palatino Linotype"/>
          <w:color w:val="000000"/>
          <w:sz w:val="22"/>
          <w:szCs w:val="22"/>
          <w:u w:val="single"/>
        </w:rPr>
        <w:t xml:space="preserve"> además, deberá motivar la confirmación de dicha situación, señalando las razones, motivos o circunstancias</w:t>
      </w:r>
      <w:r>
        <w:rPr>
          <w:rFonts w:ascii="Palatino Linotype" w:eastAsia="Palatino Linotype" w:hAnsi="Palatino Linotype" w:cs="Palatino Linotype"/>
          <w:color w:val="000000"/>
          <w:sz w:val="22"/>
          <w:szCs w:val="22"/>
        </w:rPr>
        <w:t xml:space="preserve"> especiales que llevaron al sujeto obligado a concluir que en el caso particular se ajusta al supuesto previsto por la norma legal invocada como fundamento.</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cuales se encontraban vigentes a la fecha de la solicitud, los sujetos obligados no podrán emitir acuerdos de carácter general que clasifiquen documentos o expedientes; por lo que, la clasificación de información se llevará a cabo mediante un análisis caso por caso.</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Sobre lo anterior, el artículo 131 de la Ley referida, así como el Quinto de los Lineamientos Generales vigentes a la fecha de la solicitud, establecen que los sujetos obligados deberán fundar y motivar debidamente la clasificación de la información.</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el Octavo de los Lineamientos Generales en comento, precisa lo siguiente:</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Para fundar la clasificación </w:t>
      </w:r>
      <w:r>
        <w:rPr>
          <w:rFonts w:ascii="Palatino Linotype" w:eastAsia="Palatino Linotype" w:hAnsi="Palatino Linotype" w:cs="Palatino Linotype"/>
          <w:color w:val="000000"/>
          <w:sz w:val="22"/>
          <w:szCs w:val="22"/>
        </w:rPr>
        <w:t xml:space="preserve">de la información se deberán señalar el artículo, fracción, inciso, párrafo o numeral de la Ley aplicable; </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Para motivar la clasificación</w:t>
      </w:r>
      <w:r>
        <w:rPr>
          <w:rFonts w:ascii="Palatino Linotype" w:eastAsia="Palatino Linotype" w:hAnsi="Palatino Linotype" w:cs="Palatino Linotype"/>
          <w:color w:val="000000"/>
          <w:sz w:val="22"/>
          <w:szCs w:val="22"/>
        </w:rPr>
        <w:t xml:space="preserve"> se deberán indicar las razones y circunstancias especiales que lo llevaron a concluir que el caso particular se ajusta al supuesto previsto por la norma legal invocada.</w:t>
      </w:r>
    </w:p>
    <w:p w:rsidR="007A0700" w:rsidRDefault="007A0700">
      <w:pPr>
        <w:spacing w:line="360" w:lineRule="auto"/>
        <w:jc w:val="both"/>
        <w:rPr>
          <w:rFonts w:ascii="Palatino Linotype" w:eastAsia="Palatino Linotype" w:hAnsi="Palatino Linotype" w:cs="Palatino Linotype"/>
          <w:color w:val="FF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“FUNDAMENTACION Y MOTIVACION, CONCEPTO DE.</w:t>
      </w:r>
      <w:r>
        <w:rPr>
          <w:rFonts w:ascii="Palatino Linotype" w:eastAsia="Palatino Linotype" w:hAnsi="Palatino Linotype" w:cs="Palatino Linotype"/>
          <w:i/>
          <w:iCs/>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advierte lo siguiente:</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Fundamentación:</w:t>
      </w:r>
      <w:r>
        <w:rPr>
          <w:rFonts w:ascii="Palatino Linotype" w:eastAsia="Palatino Linotype" w:hAnsi="Palatino Linotype" w:cs="Palatino Linotype"/>
          <w:color w:val="000000"/>
          <w:sz w:val="22"/>
          <w:szCs w:val="22"/>
        </w:rPr>
        <w:t xml:space="preserve"> Obligación de la autoridad que emite un acto, para citar los preceptos legales, sustantivos y adjetivos, en que se apoye para la determinación tomada.</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Motivación:</w:t>
      </w:r>
      <w:r>
        <w:rPr>
          <w:rFonts w:ascii="Palatino Linotype" w:eastAsia="Palatino Linotype" w:hAnsi="Palatino Linotype" w:cs="Palatino Linotype"/>
          <w:sz w:val="22"/>
          <w:szCs w:val="22"/>
        </w:rPr>
        <w:t xml:space="preserve"> Razonamientos lógico-jurídicos sobre porque se consideró en el caso en concreto, que se ajusta a la hipótesis normativa.</w:t>
      </w:r>
    </w:p>
    <w:p w:rsidR="007A0700" w:rsidRDefault="007A0700">
      <w:pPr>
        <w:spacing w:line="360" w:lineRule="auto"/>
        <w:jc w:val="both"/>
        <w:rPr>
          <w:rFonts w:ascii="Palatino Linotype" w:eastAsia="Palatino Linotype" w:hAnsi="Palatino Linotype" w:cs="Palatino Linotype"/>
          <w:color w:val="FF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b/>
          <w:bCs/>
          <w:color w:val="000000"/>
          <w:sz w:val="22"/>
          <w:szCs w:val="22"/>
        </w:rPr>
      </w:pPr>
      <w:bookmarkStart w:id="27" w:name="_heading=h.bwl0fltxm6jr" w:colFirst="0" w:colLast="0"/>
      <w:bookmarkEnd w:id="27"/>
      <w:r>
        <w:rPr>
          <w:rFonts w:ascii="Palatino Linotype" w:eastAsia="Palatino Linotype" w:hAnsi="Palatino Linotype" w:cs="Palatino Linotype"/>
          <w:color w:val="000000"/>
          <w:sz w:val="22"/>
          <w:szCs w:val="22"/>
        </w:rPr>
        <w:t xml:space="preserve">En ese contexto, es de señalar que el Organismo Público Descentralizado para la Prestación de Los Servicios de Agua Potable Alcantarillado y Saneamiento del Municipio de Naucalpan de Juárez, no precisó de manera fundada y motivada las razones por las cuales, consideraba que los documentos solicitados eran clasificados; ni el Comité de Transparencia emitió el acuerdo que confirmará dicha circunstancia, pues únicamente refirió que no podía entregar la información al ser información confidencial; lo cual toma relevancia, pues el Particular requirió información genérica y de instituciones públicas, lo cual da como resultado que el agravio sea </w:t>
      </w:r>
      <w:r>
        <w:rPr>
          <w:rFonts w:ascii="Palatino Linotype" w:eastAsia="Palatino Linotype" w:hAnsi="Palatino Linotype" w:cs="Palatino Linotype"/>
          <w:b/>
          <w:bCs/>
          <w:color w:val="000000"/>
          <w:sz w:val="22"/>
          <w:szCs w:val="22"/>
        </w:rPr>
        <w:t>FUNDADO.</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mediante Informe Justificado el Sujeto Obligado se pronunció respecto a que los cobros de agua se realizan en base al decreto No.62 del 27/12/2024, bajo el cual desglosa generalmente y no particularmente los cobros y tarifas por cada inmueble,  tal como se muestra a continuación:</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3362794" cy="201958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362794" cy="2019582"/>
                    </a:xfrm>
                    <a:prstGeom prst="rect">
                      <a:avLst/>
                    </a:prstGeom>
                    <a:ln/>
                  </pic:spPr>
                </pic:pic>
              </a:graphicData>
            </a:graphic>
          </wp:inline>
        </w:drawing>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este Instituto localizo en notas informativas, donde se advierte que las tarifas actuales del servicio de agua se mantendrían vigentes, pero que dichas no iban acorde al Código Financiero del Estado de México, es decir que ellos mismos fijan las tarifas, (en</w:t>
      </w:r>
      <w:hyperlink r:id="rId11">
        <w:r>
          <w:rPr>
            <w:color w:val="0563C1"/>
            <w:u w:val="single"/>
          </w:rPr>
          <w:t xml:space="preserve"> </w:t>
        </w:r>
      </w:hyperlink>
      <w:hyperlink r:id="rId12">
        <w:r>
          <w:rPr>
            <w:rFonts w:ascii="Palatino Linotype" w:eastAsia="Palatino Linotype" w:hAnsi="Palatino Linotype" w:cs="Palatino Linotype"/>
            <w:color w:val="0563C1"/>
            <w:sz w:val="22"/>
            <w:szCs w:val="22"/>
            <w:u w:val="single"/>
          </w:rPr>
          <w:t>https://www.oapasnaucalpan.gob.mx/_files/ugd/3040ba_48212feaf0da4c7e83287988f506ce16.pdf/</w:t>
        </w:r>
      </w:hyperlink>
      <w:r>
        <w:rPr>
          <w:rFonts w:ascii="Palatino Linotype" w:eastAsia="Palatino Linotype" w:hAnsi="Palatino Linotype" w:cs="Palatino Linotype"/>
          <w:sz w:val="22"/>
          <w:szCs w:val="22"/>
        </w:rPr>
        <w:t>),  tal como se muestra a continuación:</w:t>
      </w:r>
    </w:p>
    <w:p w:rsidR="007A0700" w:rsidRDefault="007A0700">
      <w:pPr>
        <w:tabs>
          <w:tab w:val="left" w:pos="7080"/>
        </w:tabs>
        <w:spacing w:line="360" w:lineRule="auto"/>
        <w:jc w:val="both"/>
        <w:rPr>
          <w:rFonts w:ascii="Palatino Linotype" w:eastAsia="Palatino Linotype" w:hAnsi="Palatino Linotype" w:cs="Palatino Linotype"/>
          <w:sz w:val="22"/>
          <w:szCs w:val="22"/>
        </w:rPr>
      </w:pPr>
    </w:p>
    <w:p w:rsidR="007A0700" w:rsidRDefault="004C7032">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226281" cy="211314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226281" cy="2113141"/>
                    </a:xfrm>
                    <a:prstGeom prst="rect">
                      <a:avLst/>
                    </a:prstGeom>
                    <a:ln/>
                  </pic:spPr>
                </pic:pic>
              </a:graphicData>
            </a:graphic>
          </wp:inline>
        </w:drawing>
      </w:r>
    </w:p>
    <w:p w:rsidR="007A0700" w:rsidRDefault="004C7032">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260964" cy="99159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260964" cy="991590"/>
                    </a:xfrm>
                    <a:prstGeom prst="rect">
                      <a:avLst/>
                    </a:prstGeom>
                    <a:ln/>
                  </pic:spPr>
                </pic:pic>
              </a:graphicData>
            </a:graphic>
          </wp:inline>
        </w:drawing>
      </w:r>
    </w:p>
    <w:p w:rsidR="007A0700" w:rsidRDefault="007A0700">
      <w:pPr>
        <w:tabs>
          <w:tab w:val="left" w:pos="7080"/>
        </w:tabs>
        <w:spacing w:line="360" w:lineRule="auto"/>
        <w:jc w:val="both"/>
        <w:rPr>
          <w:rFonts w:ascii="Palatino Linotype" w:eastAsia="Palatino Linotype" w:hAnsi="Palatino Linotype" w:cs="Palatino Linotype"/>
          <w:sz w:val="22"/>
          <w:szCs w:val="22"/>
        </w:rPr>
      </w:pPr>
    </w:p>
    <w:p w:rsidR="007A0700" w:rsidRDefault="004C7032">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bCs/>
          <w:i/>
          <w:iCs/>
          <w:sz w:val="22"/>
          <w:szCs w:val="22"/>
        </w:rPr>
        <w:t>“NOTAS PERIODISTICAS, EL CONOCIMIENTO QUE DE ELLAS SE OBTIENE NO CONSTITUYE ‘UN HECHO PUBLICO Y NOTORIO’”</w:t>
      </w:r>
      <w:r>
        <w:rPr>
          <w:rFonts w:ascii="Palatino Linotype" w:eastAsia="Palatino Linotype" w:hAnsi="Palatino Linotype" w:cs="Palatino Linotype"/>
          <w:i/>
          <w:iCs/>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r>
        <w:rPr>
          <w:rFonts w:ascii="Palatino Linotype" w:eastAsia="Palatino Linotype" w:hAnsi="Palatino Linotype" w:cs="Palatino Linotype"/>
          <w:sz w:val="22"/>
          <w:szCs w:val="22"/>
        </w:rPr>
        <w:t xml:space="preserve">. De tal situación, lo consignado en las notas periodísticas no constituye un hecho público o notorio, sino que es una opinión de su autor, por lo que sólo se pueden tomar como indicios. </w:t>
      </w:r>
    </w:p>
    <w:p w:rsidR="007A0700" w:rsidRDefault="007A0700">
      <w:pPr>
        <w:tabs>
          <w:tab w:val="left" w:pos="7080"/>
        </w:tabs>
        <w:spacing w:line="360" w:lineRule="auto"/>
        <w:jc w:val="both"/>
        <w:rPr>
          <w:rFonts w:ascii="Palatino Linotype" w:eastAsia="Palatino Linotype" w:hAnsi="Palatino Linotype" w:cs="Palatino Linotype"/>
          <w:sz w:val="22"/>
          <w:szCs w:val="22"/>
        </w:rPr>
      </w:pPr>
    </w:p>
    <w:p w:rsidR="007A0700" w:rsidRDefault="004C7032">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si bien de la nota periodística señalada, contiene información que guarda relación con lo solicitado, a saber, de las tarifas actuales del servicio de agua, potable lo cierto es que no constituyen prueba plena, al ser una opinión privada realizada por parte de un particular; sin embargo, en el presente caso, sirven de indicio para robustecer lo encontrado en las redes sociales del Sujeto Obligado.</w:t>
      </w:r>
    </w:p>
    <w:p w:rsidR="007A0700" w:rsidRDefault="007A0700">
      <w:pPr>
        <w:tabs>
          <w:tab w:val="left" w:pos="7080"/>
        </w:tabs>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Derivado del análisis, se concluye que si bien remitió información relacionada con lo solicitado, al contener las tarifas vigentes que se pagan por el servicio de agua potable, lo cierto es que no precisó de manera específica cual le aplicaba de manera directa las Escuelas Públicas; pues existen diferentes registros utilizados para escuelas.</w:t>
      </w:r>
    </w:p>
    <w:p w:rsidR="007A0700" w:rsidRDefault="007A0700">
      <w:pPr>
        <w:spacing w:line="360" w:lineRule="auto"/>
        <w:jc w:val="both"/>
        <w:rPr>
          <w:rFonts w:ascii="Palatino Linotype" w:eastAsia="Palatino Linotype" w:hAnsi="Palatino Linotype" w:cs="Palatino Linotype"/>
          <w:color w:val="000000"/>
          <w:sz w:val="22"/>
          <w:szCs w:val="22"/>
        </w:rPr>
      </w:pPr>
    </w:p>
    <w:p w:rsidR="007A0700" w:rsidRDefault="004C703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logra vislumbrar que, para atender el requerimiento de información, el Sujeto Obligado</w:t>
      </w:r>
      <w:r>
        <w:rPr>
          <w:color w:val="000000"/>
        </w:rPr>
        <w:t xml:space="preserve">, </w:t>
      </w:r>
      <w:r>
        <w:rPr>
          <w:rFonts w:ascii="Palatino Linotype" w:eastAsia="Palatino Linotype" w:hAnsi="Palatino Linotype" w:cs="Palatino Linotype"/>
          <w:color w:val="000000"/>
          <w:sz w:val="22"/>
          <w:szCs w:val="22"/>
        </w:rPr>
        <w:t>deberá realizar una búsqueda exhaustiva y razonable en los archivos de sus áreas competentes, a efecto de que proporcione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2"/>
          <w:szCs w:val="22"/>
        </w:rPr>
        <w:t>el documento donde conste la tarifa vigente para las escuelas públicas por servicio de agua potable</w:t>
      </w:r>
      <w:r>
        <w:rPr>
          <w:rFonts w:ascii="Palatino Linotype" w:eastAsia="Palatino Linotype" w:hAnsi="Palatino Linotype" w:cs="Palatino Linotype"/>
          <w:color w:val="000000"/>
          <w:sz w:val="22"/>
          <w:szCs w:val="22"/>
        </w:rPr>
        <w:t>; d</w:t>
      </w:r>
      <w:r>
        <w:rPr>
          <w:rFonts w:ascii="Palatino Linotype" w:eastAsia="Palatino Linotype" w:hAnsi="Palatino Linotype" w:cs="Palatino Linotype"/>
          <w:sz w:val="22"/>
          <w:szCs w:val="22"/>
        </w:rPr>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7A0700" w:rsidRDefault="007A0700">
      <w:pPr>
        <w:spacing w:line="360" w:lineRule="auto"/>
        <w:jc w:val="both"/>
        <w:rPr>
          <w:rFonts w:ascii="Palatino Linotype" w:eastAsia="Palatino Linotype" w:hAnsi="Palatino Linotype" w:cs="Palatino Linotype"/>
          <w:color w:val="FF0000"/>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iCs/>
          <w:sz w:val="22"/>
          <w:szCs w:val="22"/>
        </w:rPr>
        <w:t>ad hoc</w:t>
      </w:r>
      <w:r>
        <w:rPr>
          <w:rFonts w:ascii="Palatino Linotype" w:eastAsia="Palatino Linotype" w:hAnsi="Palatino Linotype" w:cs="Palatino Linotype"/>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deberá entregar la tarifa vigente solicitada; para lo cual, para el caso de que la información obre en el documento remitido en Informe Justificado, podrá indicarle que tarifa le aplica de las señaladas. Finalmente se considera que el documento al ser meramente normativo, al corresponde a las tarifas aplicables, no contiene datos clasificables y por lo tanto, deberá entregarlo en versión íntegra.</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pStyle w:val="Ttulo2"/>
        <w:spacing w:before="0" w:after="0" w:line="360" w:lineRule="auto"/>
        <w:rPr>
          <w:rFonts w:ascii="Palatino Linotype" w:eastAsia="Palatino Linotype" w:hAnsi="Palatino Linotype" w:cs="Palatino Linotype"/>
          <w:b/>
          <w:bCs/>
          <w:color w:val="000000"/>
          <w:sz w:val="22"/>
          <w:szCs w:val="22"/>
        </w:rPr>
      </w:pPr>
      <w:bookmarkStart w:id="28" w:name="_heading=h.7sevtpi3g80w" w:colFirst="0" w:colLast="0"/>
      <w:bookmarkStart w:id="29" w:name="_Toc221204066"/>
      <w:bookmarkEnd w:id="28"/>
      <w:r>
        <w:rPr>
          <w:rFonts w:ascii="Palatino Linotype" w:eastAsia="Palatino Linotype" w:hAnsi="Palatino Linotype" w:cs="Palatino Linotype"/>
          <w:b/>
          <w:bCs/>
          <w:color w:val="000000"/>
          <w:sz w:val="22"/>
          <w:szCs w:val="22"/>
        </w:rPr>
        <w:t>SEXTO. Decisión</w:t>
      </w:r>
      <w:bookmarkEnd w:id="29"/>
      <w:r>
        <w:rPr>
          <w:rFonts w:ascii="Palatino Linotype" w:eastAsia="Palatino Linotype" w:hAnsi="Palatino Linotype" w:cs="Palatino Linotype"/>
          <w:b/>
          <w:bCs/>
          <w:color w:val="000000"/>
          <w:sz w:val="22"/>
          <w:szCs w:val="22"/>
        </w:rPr>
        <w:t xml:space="preserve"> </w:t>
      </w:r>
    </w:p>
    <w:p w:rsidR="007A0700" w:rsidRDefault="004C703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acuerdo con lo expuesto y, 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color w:val="000000"/>
          <w:sz w:val="22"/>
          <w:szCs w:val="22"/>
        </w:rPr>
        <w:t xml:space="preserve">REVOCAR </w:t>
      </w:r>
      <w:r>
        <w:rPr>
          <w:rFonts w:ascii="Palatino Linotype" w:eastAsia="Palatino Linotype" w:hAnsi="Palatino Linotype" w:cs="Palatino Linotype"/>
          <w:color w:val="000000"/>
          <w:sz w:val="22"/>
          <w:szCs w:val="22"/>
        </w:rPr>
        <w:t>la respuesta del Organismo Público Descentralizado para la Prestación de Los Servicios de Agua Potable Alcantarillado y Saneamiento del Municipio de Naucalpan de Juárez, a efecto de que entregue la información solicitada.</w:t>
      </w:r>
    </w:p>
    <w:p w:rsidR="007A0700" w:rsidRDefault="007A0700">
      <w:pPr>
        <w:spacing w:line="360" w:lineRule="auto"/>
      </w:pPr>
    </w:p>
    <w:p w:rsidR="007A0700" w:rsidRDefault="004C7032">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Términos de la Resolución para conocimiento del Particular.</w:t>
      </w:r>
    </w:p>
    <w:p w:rsidR="007A0700" w:rsidRDefault="007A0700">
      <w:pPr>
        <w:spacing w:line="360" w:lineRule="auto"/>
        <w:jc w:val="both"/>
        <w:rPr>
          <w:rFonts w:ascii="Palatino Linotype" w:eastAsia="Palatino Linotype" w:hAnsi="Palatino Linotype" w:cs="Palatino Linotype"/>
          <w:b/>
          <w:bCs/>
          <w:color w:val="000000"/>
          <w:sz w:val="22"/>
          <w:szCs w:val="22"/>
        </w:rPr>
      </w:pPr>
    </w:p>
    <w:p w:rsidR="007A0700" w:rsidRDefault="004C7032">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le hace del conocimiento al Particular, que, en el presente caso, se le concede la razón, pues el Sujetó Obligado no señaló de forma fundada y motivada los razones para restringir la información, además de tratarse de información de naturaleza pública, por lo que deberá entregar la información solicitada. </w:t>
      </w:r>
    </w:p>
    <w:p w:rsidR="007A0700" w:rsidRDefault="007A0700">
      <w:pPr>
        <w:spacing w:line="360" w:lineRule="auto"/>
        <w:ind w:right="-28"/>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sus datos personales.</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pStyle w:val="Ttulo1"/>
        <w:spacing w:before="0" w:after="0" w:line="360" w:lineRule="auto"/>
        <w:jc w:val="center"/>
        <w:rPr>
          <w:rFonts w:ascii="Palatino Linotype" w:eastAsia="Palatino Linotype" w:hAnsi="Palatino Linotype" w:cs="Palatino Linotype"/>
          <w:b/>
          <w:bCs/>
          <w:color w:val="0D0D0D"/>
          <w:sz w:val="22"/>
          <w:szCs w:val="22"/>
        </w:rPr>
      </w:pPr>
      <w:bookmarkStart w:id="30" w:name="_heading=h.5pablhfl9fbw" w:colFirst="0" w:colLast="0"/>
      <w:bookmarkStart w:id="31" w:name="_Toc221204067"/>
      <w:bookmarkEnd w:id="30"/>
      <w:r>
        <w:rPr>
          <w:rFonts w:ascii="Palatino Linotype" w:eastAsia="Palatino Linotype" w:hAnsi="Palatino Linotype" w:cs="Palatino Linotype"/>
          <w:b/>
          <w:bCs/>
          <w:color w:val="0D0D0D"/>
          <w:sz w:val="22"/>
          <w:szCs w:val="22"/>
        </w:rPr>
        <w:t>R E S U E L V E</w:t>
      </w:r>
      <w:bookmarkEnd w:id="31"/>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bCs/>
          <w:color w:val="000000"/>
          <w:sz w:val="22"/>
          <w:szCs w:val="22"/>
        </w:rPr>
        <w:t xml:space="preserve">REVOCA </w:t>
      </w:r>
      <w:r>
        <w:rPr>
          <w:rFonts w:ascii="Palatino Linotype" w:eastAsia="Palatino Linotype" w:hAnsi="Palatino Linotype" w:cs="Palatino Linotype"/>
          <w:color w:val="000000"/>
          <w:sz w:val="22"/>
          <w:szCs w:val="22"/>
        </w:rPr>
        <w:t xml:space="preserve">la respuesta entregada por el Organismo Público Descentralizado para la Prestación de Los Servicios de Agua Potable Alcantarillado y Saneamiento del Municipio de Naucalpan de Juárez, a la solicitud de información </w:t>
      </w:r>
      <w:r>
        <w:rPr>
          <w:rFonts w:ascii="Palatino Linotype" w:eastAsia="Palatino Linotype" w:hAnsi="Palatino Linotype" w:cs="Palatino Linotype"/>
          <w:sz w:val="22"/>
          <w:szCs w:val="22"/>
        </w:rPr>
        <w:t>00321/OASNAUCAL/IP/2025</w:t>
      </w:r>
      <w:r>
        <w:rPr>
          <w:rFonts w:ascii="Palatino Linotype" w:eastAsia="Palatino Linotype" w:hAnsi="Palatino Linotype" w:cs="Palatino Linotype"/>
          <w:color w:val="000000"/>
          <w:sz w:val="22"/>
          <w:szCs w:val="22"/>
        </w:rPr>
        <w:t xml:space="preserve">, por resultar </w:t>
      </w:r>
      <w:r>
        <w:rPr>
          <w:rFonts w:ascii="Palatino Linotype" w:eastAsia="Palatino Linotype" w:hAnsi="Palatino Linotype" w:cs="Palatino Linotype"/>
          <w:b/>
          <w:bCs/>
          <w:color w:val="000000"/>
          <w:sz w:val="22"/>
          <w:szCs w:val="22"/>
        </w:rPr>
        <w:t>FUNDADAS</w:t>
      </w:r>
      <w:r>
        <w:rPr>
          <w:rFonts w:ascii="Palatino Linotype" w:eastAsia="Palatino Linotype" w:hAnsi="Palatino Linotype" w:cs="Palatino Linotype"/>
          <w:color w:val="000000"/>
          <w:sz w:val="22"/>
          <w:szCs w:val="22"/>
        </w:rPr>
        <w:t xml:space="preserve"> las razones o motivos de inconformidad hechos valer por la Particular, en términos de los considerandos QUINTO y SEXTO de la presente Resolución.</w:t>
      </w:r>
    </w:p>
    <w:p w:rsidR="007A0700" w:rsidRDefault="007A0700">
      <w:pPr>
        <w:spacing w:line="360" w:lineRule="auto"/>
        <w:jc w:val="both"/>
        <w:rPr>
          <w:rFonts w:ascii="Palatino Linotype" w:eastAsia="Palatino Linotype" w:hAnsi="Palatino Linotype" w:cs="Palatino Linotype"/>
          <w:b/>
          <w:bCs/>
          <w:sz w:val="22"/>
          <w:szCs w:val="22"/>
        </w:rPr>
      </w:pPr>
    </w:p>
    <w:p w:rsidR="007A0700" w:rsidRDefault="004C703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sz w:val="22"/>
          <w:szCs w:val="22"/>
        </w:rPr>
        <w:t>SEGUNDO</w:t>
      </w:r>
      <w:r>
        <w:t xml:space="preserve">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ORDENA</w:t>
      </w:r>
      <w:r>
        <w:rPr>
          <w:rFonts w:ascii="Palatino Linotype" w:eastAsia="Palatino Linotype" w:hAnsi="Palatino Linotype" w:cs="Palatino Linotype"/>
          <w:sz w:val="22"/>
          <w:szCs w:val="22"/>
        </w:rPr>
        <w:t xml:space="preserve"> al Ente Recurrido</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a efecto de que, previa búsqueda exhaustiva y razonable, entregue a través del Sistema de Acceso a la Información Mexiquense (SAIMEX), en versión íntegra</w:t>
      </w:r>
      <w:r>
        <w:rPr>
          <w:rFonts w:ascii="Palatino Linotype" w:eastAsia="Palatino Linotype" w:hAnsi="Palatino Linotype" w:cs="Palatino Linotype"/>
          <w:color w:val="000000"/>
          <w:sz w:val="22"/>
          <w:szCs w:val="22"/>
        </w:rPr>
        <w:t>, lo siguiente:</w:t>
      </w:r>
    </w:p>
    <w:p w:rsidR="007A0700" w:rsidRDefault="007A0700">
      <w:pPr>
        <w:spacing w:line="360" w:lineRule="auto"/>
        <w:jc w:val="both"/>
        <w:rPr>
          <w:rFonts w:ascii="Palatino Linotype" w:eastAsia="Palatino Linotype" w:hAnsi="Palatino Linotype" w:cs="Palatino Linotype"/>
          <w:sz w:val="22"/>
          <w:szCs w:val="22"/>
        </w:rPr>
      </w:pPr>
    </w:p>
    <w:p w:rsidR="007A0700" w:rsidRDefault="004C7032">
      <w:pPr>
        <w:numPr>
          <w:ilvl w:val="0"/>
          <w:numId w:val="6"/>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documento donde conste la tarifa vigente al seis de agosto de dos mil veinticinco, aplicable a las escuelas públicas, por la prestación del servicio de agua potable.</w:t>
      </w:r>
    </w:p>
    <w:p w:rsidR="007A0700" w:rsidRDefault="007A0700">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sz w:val="22"/>
          <w:szCs w:val="22"/>
        </w:rPr>
      </w:pPr>
    </w:p>
    <w:p w:rsidR="007A0700" w:rsidRDefault="004C70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4C7032">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conformidad con el artículo 198 de la </w:t>
      </w:r>
      <w:r>
        <w:rPr>
          <w:rFonts w:ascii="Palatino Linotype" w:eastAsia="Palatino Linotype" w:hAnsi="Palatino Linotype" w:cs="Palatino Linotype"/>
          <w:sz w:val="22"/>
          <w:szCs w:val="22"/>
        </w:rPr>
        <w:t>Ley de la materia</w:t>
      </w:r>
      <w:r>
        <w:rPr>
          <w:rFonts w:ascii="Palatino Linotype" w:eastAsia="Palatino Linotype" w:hAnsi="Palatino Linotype" w:cs="Palatino Linotype"/>
          <w:color w:val="000000"/>
          <w:sz w:val="22"/>
          <w:szCs w:val="22"/>
        </w:rPr>
        <w:t>, de considerarlo procedente, el Sujeto Obligado de manera fundada y motivada, podrá solicitar una ampliación de plazo para el cumplimiento de la presente resolución.</w:t>
      </w:r>
    </w:p>
    <w:p w:rsidR="007A0700" w:rsidRDefault="007A0700">
      <w:pPr>
        <w:spacing w:line="360" w:lineRule="auto"/>
        <w:ind w:right="-28"/>
        <w:jc w:val="both"/>
        <w:rPr>
          <w:rFonts w:ascii="Palatino Linotype" w:eastAsia="Palatino Linotype" w:hAnsi="Palatino Linotype" w:cs="Palatino Linotype"/>
          <w:b/>
          <w:bCs/>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 NOTIFÍQUESE POR SAIMEX</w:t>
      </w:r>
      <w:r>
        <w:rPr>
          <w:rFonts w:ascii="Palatino Linotype" w:eastAsia="Palatino Linotype" w:hAnsi="Palatino Linotype" w:cs="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A0700" w:rsidRDefault="007A0700">
      <w:pPr>
        <w:spacing w:line="360" w:lineRule="auto"/>
        <w:ind w:right="-28"/>
        <w:jc w:val="both"/>
        <w:rPr>
          <w:rFonts w:ascii="Palatino Linotype" w:eastAsia="Palatino Linotype" w:hAnsi="Palatino Linotype" w:cs="Palatino Linotype"/>
          <w:color w:val="000000"/>
          <w:sz w:val="22"/>
          <w:szCs w:val="22"/>
        </w:rPr>
      </w:pPr>
    </w:p>
    <w:p w:rsidR="007A0700" w:rsidRDefault="004C70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sidRPr="001716F9">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w:t>
      </w:r>
      <w:r w:rsidR="003B16DD">
        <w:rPr>
          <w:rFonts w:ascii="Palatino Linotype" w:eastAsia="Palatino Linotype" w:hAnsi="Palatino Linotype" w:cs="Palatino Linotype"/>
          <w:sz w:val="22"/>
          <w:szCs w:val="22"/>
        </w:rPr>
        <w:t>INCO</w:t>
      </w:r>
      <w:r>
        <w:rPr>
          <w:rFonts w:ascii="Palatino Linotype" w:eastAsia="Palatino Linotype" w:hAnsi="Palatino Linotype" w:cs="Palatino Linotype"/>
          <w:sz w:val="22"/>
          <w:szCs w:val="22"/>
        </w:rPr>
        <w:t xml:space="preserve"> D</w:t>
      </w:r>
      <w:r w:rsidR="001716F9">
        <w:rPr>
          <w:rFonts w:ascii="Palatino Linotype" w:eastAsia="Palatino Linotype" w:hAnsi="Palatino Linotype" w:cs="Palatino Linotype"/>
          <w:sz w:val="22"/>
          <w:szCs w:val="22"/>
        </w:rPr>
        <w:t>E FEBRERO DE DOS MIL VEINTISEIS</w:t>
      </w:r>
      <w:r>
        <w:rPr>
          <w:rFonts w:ascii="Palatino Linotype" w:eastAsia="Palatino Linotype" w:hAnsi="Palatino Linotype" w:cs="Palatino Linotype"/>
          <w:sz w:val="22"/>
          <w:szCs w:val="22"/>
        </w:rPr>
        <w:t>, ANTE EL SECRETARIO TÉCNICO DEL PLENO, ALEXIS TAPIA RAMÍREZ.</w:t>
      </w:r>
    </w:p>
    <w:p w:rsidR="007A0700" w:rsidRDefault="007A0700">
      <w:pPr>
        <w:spacing w:line="360" w:lineRule="auto"/>
        <w:ind w:right="-28"/>
        <w:jc w:val="both"/>
        <w:rPr>
          <w:rFonts w:ascii="Palatino Linotype" w:eastAsia="Palatino Linotype" w:hAnsi="Palatino Linotype" w:cs="Palatino Linotype"/>
          <w:sz w:val="22"/>
          <w:szCs w:val="22"/>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rPr>
          <w:rFonts w:ascii="Palatino Linotype" w:eastAsia="Palatino Linotype" w:hAnsi="Palatino Linotype" w:cs="Palatino Linotype"/>
        </w:rPr>
      </w:pPr>
    </w:p>
    <w:p w:rsidR="007A0700" w:rsidRDefault="007A0700">
      <w:pPr>
        <w:spacing w:line="360" w:lineRule="auto"/>
      </w:pPr>
    </w:p>
    <w:p w:rsidR="007A0700" w:rsidRDefault="007A0700">
      <w:pPr>
        <w:spacing w:line="360" w:lineRule="auto"/>
      </w:pPr>
    </w:p>
    <w:p w:rsidR="007A0700" w:rsidRDefault="007A0700">
      <w:pPr>
        <w:spacing w:line="360" w:lineRule="auto"/>
      </w:pPr>
    </w:p>
    <w:p w:rsidR="007A0700" w:rsidRDefault="007A0700">
      <w:pPr>
        <w:spacing w:line="360" w:lineRule="auto"/>
      </w:pPr>
    </w:p>
    <w:p w:rsidR="007A0700" w:rsidRDefault="007A0700">
      <w:pPr>
        <w:spacing w:line="360" w:lineRule="auto"/>
      </w:pPr>
    </w:p>
    <w:sectPr w:rsidR="007A0700">
      <w:headerReference w:type="even" r:id="rId15"/>
      <w:headerReference w:type="default" r:id="rId16"/>
      <w:footerReference w:type="default" r:id="rId17"/>
      <w:headerReference w:type="first" r:id="rId18"/>
      <w:footerReference w:type="first" r:id="rId19"/>
      <w:pgSz w:w="12240" w:h="15840"/>
      <w:pgMar w:top="80" w:right="1608" w:bottom="1134" w:left="1588" w:header="850"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29B" w:rsidRDefault="00D1629B">
      <w:r>
        <w:separator/>
      </w:r>
    </w:p>
  </w:endnote>
  <w:endnote w:type="continuationSeparator" w:id="0">
    <w:p w:rsidR="00D1629B" w:rsidRDefault="00D16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2A31AD7C-B47F-485D-9F3E-1191AB46972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89C40EA-8279-4690-AC7A-2D31A1C509AA}"/>
    <w:embedBold r:id="rId3" w:fontKey="{01C5F2EB-D00B-4EE7-8EB6-C6591382E22F}"/>
    <w:embedItalic r:id="rId4" w:fontKey="{EBDE49EA-31DB-47DD-8D27-D82E94CE6E19}"/>
    <w:embedBoldItalic r:id="rId5" w:fontKey="{BFC3F215-83B3-410F-8EA9-4C3E88595D1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8C969BC-2A67-4833-BFFC-6BB6C2B983F2}"/>
  </w:font>
  <w:font w:name="Calibri Light">
    <w:panose1 w:val="020F0302020204030204"/>
    <w:charset w:val="00"/>
    <w:family w:val="swiss"/>
    <w:pitch w:val="variable"/>
    <w:sig w:usb0="E4002EFF" w:usb1="C200247B" w:usb2="00000009" w:usb3="00000000" w:csb0="000001FF" w:csb1="00000000"/>
    <w:embedRegular r:id="rId7" w:fontKey="{2E4C2CC7-CF9F-45E0-9454-B47B7310EF09}"/>
  </w:font>
  <w:font w:name="Verdana">
    <w:panose1 w:val="020B0604030504040204"/>
    <w:charset w:val="00"/>
    <w:family w:val="swiss"/>
    <w:pitch w:val="variable"/>
    <w:sig w:usb0="A00006FF" w:usb1="4000205B" w:usb2="00000010" w:usb3="00000000" w:csb0="0000019F" w:csb1="00000000"/>
    <w:embedBold r:id="rId8" w:fontKey="{E1F8945D-C3C4-4371-A015-DB5D536CC4ED}"/>
  </w:font>
  <w:font w:name="Garamond">
    <w:panose1 w:val="02020404030301010803"/>
    <w:charset w:val="00"/>
    <w:family w:val="roman"/>
    <w:pitch w:val="variable"/>
    <w:sig w:usb0="00000287" w:usb1="00000000" w:usb2="00000000" w:usb3="00000000" w:csb0="0000009F" w:csb1="00000000"/>
    <w:embedRegular r:id="rId9" w:fontKey="{D21AD8FF-16E4-4F85-B48D-B6E51542163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700" w:rsidRDefault="007A0700">
    <w:pPr>
      <w:pBdr>
        <w:top w:val="nil"/>
        <w:left w:val="nil"/>
        <w:bottom w:val="nil"/>
        <w:right w:val="nil"/>
        <w:between w:val="nil"/>
      </w:pBdr>
      <w:tabs>
        <w:tab w:val="center" w:pos="4419"/>
        <w:tab w:val="right" w:pos="8838"/>
      </w:tabs>
      <w:jc w:val="right"/>
      <w:rPr>
        <w:color w:val="000000"/>
        <w:sz w:val="26"/>
        <w:szCs w:val="26"/>
      </w:rPr>
    </w:pPr>
  </w:p>
  <w:p w:rsidR="007A0700" w:rsidRDefault="004C703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32ECA">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32ECA">
      <w:rPr>
        <w:b/>
        <w:bCs/>
        <w:noProof/>
        <w:color w:val="000000"/>
        <w:sz w:val="24"/>
        <w:szCs w:val="24"/>
      </w:rPr>
      <w:t>27</w:t>
    </w:r>
    <w:r>
      <w:rPr>
        <w:b/>
        <w:bCs/>
        <w:color w:val="000000"/>
        <w:sz w:val="24"/>
        <w:szCs w:val="24"/>
      </w:rPr>
      <w:fldChar w:fldCharType="end"/>
    </w:r>
  </w:p>
  <w:p w:rsidR="007A0700" w:rsidRDefault="007A070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700" w:rsidRDefault="007A0700">
    <w:pPr>
      <w:pBdr>
        <w:top w:val="nil"/>
        <w:left w:val="nil"/>
        <w:bottom w:val="nil"/>
        <w:right w:val="nil"/>
        <w:between w:val="nil"/>
      </w:pBdr>
      <w:tabs>
        <w:tab w:val="center" w:pos="4419"/>
        <w:tab w:val="right" w:pos="8838"/>
      </w:tabs>
      <w:jc w:val="right"/>
      <w:rPr>
        <w:color w:val="000000"/>
      </w:rPr>
    </w:pPr>
  </w:p>
  <w:p w:rsidR="007A0700" w:rsidRDefault="007A0700">
    <w:pPr>
      <w:pBdr>
        <w:top w:val="nil"/>
        <w:left w:val="nil"/>
        <w:bottom w:val="nil"/>
        <w:right w:val="nil"/>
        <w:between w:val="nil"/>
      </w:pBdr>
      <w:tabs>
        <w:tab w:val="center" w:pos="4419"/>
        <w:tab w:val="right" w:pos="8838"/>
      </w:tabs>
      <w:jc w:val="right"/>
      <w:rPr>
        <w:color w:val="000000"/>
      </w:rPr>
    </w:pPr>
  </w:p>
  <w:p w:rsidR="007A0700" w:rsidRDefault="007A0700">
    <w:pPr>
      <w:pBdr>
        <w:top w:val="nil"/>
        <w:left w:val="nil"/>
        <w:bottom w:val="nil"/>
        <w:right w:val="nil"/>
        <w:between w:val="nil"/>
      </w:pBdr>
      <w:tabs>
        <w:tab w:val="center" w:pos="4419"/>
        <w:tab w:val="right" w:pos="8838"/>
      </w:tabs>
      <w:jc w:val="right"/>
      <w:rPr>
        <w:color w:val="000000"/>
      </w:rPr>
    </w:pPr>
  </w:p>
  <w:p w:rsidR="007A0700" w:rsidRDefault="004C703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1629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1629B">
      <w:rPr>
        <w:b/>
        <w:bCs/>
        <w:noProof/>
        <w:color w:val="000000"/>
        <w:sz w:val="24"/>
        <w:szCs w:val="24"/>
      </w:rPr>
      <w:t>1</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29B" w:rsidRDefault="00D1629B">
      <w:r>
        <w:separator/>
      </w:r>
    </w:p>
  </w:footnote>
  <w:footnote w:type="continuationSeparator" w:id="0">
    <w:p w:rsidR="00D1629B" w:rsidRDefault="00D16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700" w:rsidRDefault="00D1629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700" w:rsidRDefault="00D1629B">
    <w:pPr>
      <w:tabs>
        <w:tab w:val="left" w:pos="3416"/>
      </w:tabs>
      <w:rPr>
        <w:sz w:val="22"/>
        <w:szCs w:val="22"/>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aguaINFOEM" style="position:absolute;margin-left:-94.7pt;margin-top:-137.5pt;width:663.5pt;height:12in;z-index:-251659776;mso-position-horizontal:absolute;mso-position-horizontal-relative:margin;mso-position-vertical:absolute;mso-position-vertical-relative:margin">
          <v:imagedata r:id="rId1" o:title="image1"/>
          <w10:wrap anchorx="margin" anchory="margin"/>
        </v:shape>
      </w:pict>
    </w:r>
  </w:p>
  <w:tbl>
    <w:tblPr>
      <w:tblStyle w:val="a"/>
      <w:tblW w:w="9356" w:type="dxa"/>
      <w:tblInd w:w="0" w:type="dxa"/>
      <w:tblLayout w:type="fixed"/>
      <w:tblLook w:val="0400" w:firstRow="0" w:lastRow="0" w:firstColumn="0" w:lastColumn="0" w:noHBand="0" w:noVBand="1"/>
    </w:tblPr>
    <w:tblGrid>
      <w:gridCol w:w="993"/>
      <w:gridCol w:w="8363"/>
    </w:tblGrid>
    <w:tr w:rsidR="007A0700">
      <w:trPr>
        <w:trHeight w:val="70"/>
      </w:trPr>
      <w:tc>
        <w:tcPr>
          <w:tcW w:w="993" w:type="dxa"/>
        </w:tcPr>
        <w:p w:rsidR="007A0700" w:rsidRDefault="007A0700">
          <w:pPr>
            <w:tabs>
              <w:tab w:val="right" w:pos="4273"/>
            </w:tabs>
            <w:rPr>
              <w:rFonts w:ascii="Garamond" w:eastAsia="Garamond" w:hAnsi="Garamond" w:cs="Garamond"/>
              <w:sz w:val="16"/>
              <w:szCs w:val="16"/>
            </w:rPr>
          </w:pPr>
        </w:p>
      </w:tc>
      <w:tc>
        <w:tcPr>
          <w:tcW w:w="8363" w:type="dxa"/>
        </w:tcPr>
        <w:p w:rsidR="007A0700" w:rsidRDefault="007A0700">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0"/>
            <w:tblW w:w="807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726"/>
            <w:gridCol w:w="4353"/>
          </w:tblGrid>
          <w:tr w:rsidR="007A0700">
            <w:trPr>
              <w:trHeight w:val="128"/>
            </w:trPr>
            <w:tc>
              <w:tcPr>
                <w:tcW w:w="3726" w:type="dxa"/>
                <w:vAlign w:val="bottom"/>
              </w:tcPr>
              <w:p w:rsidR="007A0700" w:rsidRDefault="004C70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353" w:type="dxa"/>
              </w:tcPr>
              <w:p w:rsidR="007A0700" w:rsidRDefault="004C7032">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10641/INFOEM/IP/RR/2025</w:t>
                </w:r>
              </w:p>
            </w:tc>
          </w:tr>
          <w:tr w:rsidR="007A0700">
            <w:trPr>
              <w:trHeight w:val="251"/>
            </w:trPr>
            <w:tc>
              <w:tcPr>
                <w:tcW w:w="3726" w:type="dxa"/>
              </w:tcPr>
              <w:p w:rsidR="007A0700" w:rsidRDefault="004C70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353" w:type="dxa"/>
              </w:tcPr>
              <w:p w:rsidR="007A0700" w:rsidRDefault="004C7032">
                <w:pPr>
                  <w:tabs>
                    <w:tab w:val="right" w:pos="8838"/>
                  </w:tabs>
                  <w:ind w:right="-114"/>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Organismo Público Descentralizado para la Prestación de Los Servicios de Agua Potable Alcantarillado y Saneamiento del Municipio de Naucalpan de Juárez</w:t>
                </w:r>
              </w:p>
            </w:tc>
          </w:tr>
          <w:tr w:rsidR="007A0700">
            <w:trPr>
              <w:trHeight w:val="251"/>
            </w:trPr>
            <w:tc>
              <w:tcPr>
                <w:tcW w:w="3726" w:type="dxa"/>
              </w:tcPr>
              <w:p w:rsidR="007A0700" w:rsidRDefault="004C70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353" w:type="dxa"/>
              </w:tcPr>
              <w:p w:rsidR="007A0700" w:rsidRDefault="004C7032">
                <w:pPr>
                  <w:tabs>
                    <w:tab w:val="right" w:pos="8838"/>
                  </w:tabs>
                  <w:ind w:left="-28" w:right="-3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Luis Gustavo Parra Noriega </w:t>
                </w:r>
              </w:p>
              <w:p w:rsidR="007A0700" w:rsidRDefault="007A0700">
                <w:pPr>
                  <w:tabs>
                    <w:tab w:val="right" w:pos="8838"/>
                  </w:tabs>
                  <w:ind w:left="-28" w:right="-32"/>
                  <w:rPr>
                    <w:rFonts w:ascii="Palatino Linotype" w:eastAsia="Palatino Linotype" w:hAnsi="Palatino Linotype" w:cs="Palatino Linotype"/>
                    <w:b/>
                    <w:bCs/>
                    <w:sz w:val="22"/>
                    <w:szCs w:val="22"/>
                  </w:rPr>
                </w:pPr>
              </w:p>
            </w:tc>
          </w:tr>
        </w:tbl>
        <w:p w:rsidR="007A0700" w:rsidRDefault="007A0700">
          <w:pPr>
            <w:tabs>
              <w:tab w:val="right" w:pos="8838"/>
            </w:tabs>
            <w:ind w:left="-28"/>
            <w:rPr>
              <w:rFonts w:ascii="Arial" w:eastAsia="Arial" w:hAnsi="Arial" w:cs="Arial"/>
              <w:b/>
              <w:bCs/>
            </w:rPr>
          </w:pPr>
        </w:p>
      </w:tc>
    </w:tr>
  </w:tbl>
  <w:p w:rsidR="007A0700" w:rsidRDefault="007A0700">
    <w:pPr>
      <w:pBdr>
        <w:top w:val="nil"/>
        <w:left w:val="nil"/>
        <w:bottom w:val="nil"/>
        <w:right w:val="nil"/>
        <w:between w:val="nil"/>
      </w:pBdr>
      <w:tabs>
        <w:tab w:val="center" w:pos="4419"/>
        <w:tab w:val="right" w:pos="8838"/>
      </w:tabs>
      <w:rPr>
        <w:color w:val="000000"/>
        <w:sz w:val="14"/>
        <w:szCs w:val="14"/>
      </w:rPr>
    </w:pPr>
  </w:p>
  <w:p w:rsidR="007A0700" w:rsidRDefault="007A0700">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700" w:rsidRDefault="007A0700">
    <w:pPr>
      <w:widowControl w:val="0"/>
      <w:pBdr>
        <w:top w:val="nil"/>
        <w:left w:val="nil"/>
        <w:bottom w:val="nil"/>
        <w:right w:val="nil"/>
        <w:between w:val="nil"/>
      </w:pBdr>
      <w:spacing w:line="276" w:lineRule="auto"/>
      <w:rPr>
        <w:color w:val="000000"/>
        <w:sz w:val="14"/>
        <w:szCs w:val="14"/>
      </w:rPr>
    </w:pPr>
  </w:p>
  <w:tbl>
    <w:tblPr>
      <w:tblStyle w:val="a1"/>
      <w:tblW w:w="8505" w:type="dxa"/>
      <w:tblInd w:w="709" w:type="dxa"/>
      <w:tblBorders>
        <w:top w:val="nil"/>
        <w:left w:val="nil"/>
        <w:bottom w:val="nil"/>
        <w:right w:val="nil"/>
        <w:insideH w:val="nil"/>
        <w:insideV w:val="nil"/>
      </w:tblBorders>
      <w:tblLayout w:type="fixed"/>
      <w:tblLook w:val="0400" w:firstRow="0" w:lastRow="0" w:firstColumn="0" w:lastColumn="0" w:noHBand="0" w:noVBand="1"/>
    </w:tblPr>
    <w:tblGrid>
      <w:gridCol w:w="3827"/>
      <w:gridCol w:w="4678"/>
    </w:tblGrid>
    <w:tr w:rsidR="007A0700">
      <w:trPr>
        <w:trHeight w:val="302"/>
      </w:trPr>
      <w:tc>
        <w:tcPr>
          <w:tcW w:w="3827" w:type="dxa"/>
        </w:tcPr>
        <w:p w:rsidR="007A0700" w:rsidRDefault="004C70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678" w:type="dxa"/>
        </w:tcPr>
        <w:p w:rsidR="007A0700" w:rsidRDefault="004C7032">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10641/INFOEM/IP/RR/2025</w:t>
          </w:r>
        </w:p>
      </w:tc>
    </w:tr>
    <w:tr w:rsidR="007A0700">
      <w:trPr>
        <w:trHeight w:val="110"/>
      </w:trPr>
      <w:tc>
        <w:tcPr>
          <w:tcW w:w="3827" w:type="dxa"/>
        </w:tcPr>
        <w:p w:rsidR="007A0700" w:rsidRDefault="004C70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4678" w:type="dxa"/>
        </w:tcPr>
        <w:p w:rsidR="007A0700" w:rsidRDefault="00C32ECA">
          <w:pPr>
            <w:jc w:val="both"/>
            <w:rPr>
              <w:rFonts w:ascii="Palatino Linotype" w:eastAsia="Palatino Linotype" w:hAnsi="Palatino Linotype" w:cs="Palatino Linotype"/>
              <w:sz w:val="22"/>
              <w:szCs w:val="22"/>
            </w:rPr>
          </w:pPr>
          <w:r w:rsidRPr="00C32ECA">
            <w:rPr>
              <w:rFonts w:ascii="Palatino Linotype" w:eastAsia="Palatino Linotype" w:hAnsi="Palatino Linotype" w:cs="Palatino Linotype"/>
              <w:sz w:val="22"/>
              <w:szCs w:val="22"/>
              <w:highlight w:val="black"/>
            </w:rPr>
            <w:t>XXXXXXXXX</w:t>
          </w:r>
        </w:p>
      </w:tc>
    </w:tr>
    <w:tr w:rsidR="007A0700">
      <w:trPr>
        <w:trHeight w:val="248"/>
      </w:trPr>
      <w:tc>
        <w:tcPr>
          <w:tcW w:w="3827" w:type="dxa"/>
        </w:tcPr>
        <w:p w:rsidR="007A0700" w:rsidRDefault="004C70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678" w:type="dxa"/>
        </w:tcPr>
        <w:p w:rsidR="007A0700" w:rsidRDefault="004C7032">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Organismo Público Descentralizado para la Prestación de Los Servicios de Agua Potable Alcantarillado y Saneamiento del Municipio de Naucalpan de Juárez</w:t>
          </w:r>
        </w:p>
      </w:tc>
    </w:tr>
    <w:tr w:rsidR="007A0700">
      <w:trPr>
        <w:trHeight w:val="248"/>
      </w:trPr>
      <w:tc>
        <w:tcPr>
          <w:tcW w:w="3827" w:type="dxa"/>
        </w:tcPr>
        <w:p w:rsidR="007A0700" w:rsidRDefault="004C70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678" w:type="dxa"/>
        </w:tcPr>
        <w:p w:rsidR="007A0700" w:rsidRDefault="004C7032">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7A0700" w:rsidRDefault="00D1629B">
    <w:pPr>
      <w:ind w:right="-31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aguaINFOEM" style="position:absolute;margin-left:-92.55pt;margin-top:-120.9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C60AB"/>
    <w:multiLevelType w:val="multilevel"/>
    <w:tmpl w:val="A0625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B52931"/>
    <w:multiLevelType w:val="multilevel"/>
    <w:tmpl w:val="F70A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674053"/>
    <w:multiLevelType w:val="multilevel"/>
    <w:tmpl w:val="CAA83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5D29F2"/>
    <w:multiLevelType w:val="multilevel"/>
    <w:tmpl w:val="CB46F08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DE1DB5"/>
    <w:multiLevelType w:val="multilevel"/>
    <w:tmpl w:val="D4DC8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FE49BF"/>
    <w:multiLevelType w:val="multilevel"/>
    <w:tmpl w:val="C53C089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700"/>
    <w:rsid w:val="00141EB8"/>
    <w:rsid w:val="001716F9"/>
    <w:rsid w:val="001C5FA5"/>
    <w:rsid w:val="002932DB"/>
    <w:rsid w:val="003B16DD"/>
    <w:rsid w:val="004C7032"/>
    <w:rsid w:val="007A0700"/>
    <w:rsid w:val="009E6913"/>
    <w:rsid w:val="00C32ECA"/>
    <w:rsid w:val="00CE60AE"/>
    <w:rsid w:val="00D1629B"/>
    <w:rsid w:val="00EA04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0F11C7D-E5BA-415C-9A99-14052257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722A8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2A8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2A8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pPr>
    <w:rPr>
      <w:rFonts w:ascii="Calibri" w:eastAsia="Calibri" w:hAnsi="Calibri" w:cs="Calibri"/>
      <w:sz w:val="56"/>
      <w:szCs w:val="56"/>
    </w:rPr>
  </w:style>
  <w:style w:type="character" w:customStyle="1" w:styleId="Ttulo1Car">
    <w:name w:val="Título 1 Car"/>
    <w:basedOn w:val="Fuentedeprrafopredeter"/>
    <w:uiPriority w:val="9"/>
    <w:rsid w:val="00722A8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rsid w:val="00722A8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722A8D"/>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722A8D"/>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722A8D"/>
    <w:rPr>
      <w:rFonts w:eastAsiaTheme="majorEastAsia" w:cstheme="majorBidi"/>
      <w:color w:val="2F5496" w:themeColor="accent1" w:themeShade="BF"/>
    </w:rPr>
  </w:style>
  <w:style w:type="character" w:customStyle="1" w:styleId="Ttulo6Car">
    <w:name w:val="Título 6 Car"/>
    <w:basedOn w:val="Fuentedeprrafopredeter"/>
    <w:uiPriority w:val="9"/>
    <w:semiHidden/>
    <w:rsid w:val="00722A8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22A8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22A8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22A8D"/>
    <w:rPr>
      <w:rFonts w:eastAsiaTheme="majorEastAsia" w:cstheme="majorBidi"/>
      <w:color w:val="272727" w:themeColor="text1" w:themeTint="D8"/>
    </w:rPr>
  </w:style>
  <w:style w:type="character" w:customStyle="1" w:styleId="TtuloCar">
    <w:name w:val="Título Car"/>
    <w:basedOn w:val="Fuentedeprrafopredeter"/>
    <w:uiPriority w:val="10"/>
    <w:rsid w:val="00722A8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22A8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22A8D"/>
    <w:pPr>
      <w:spacing w:before="160"/>
      <w:jc w:val="center"/>
    </w:pPr>
    <w:rPr>
      <w:i/>
      <w:iCs/>
      <w:color w:val="404040" w:themeColor="text1" w:themeTint="BF"/>
    </w:rPr>
  </w:style>
  <w:style w:type="character" w:customStyle="1" w:styleId="CitaCar">
    <w:name w:val="Cita Car"/>
    <w:basedOn w:val="Fuentedeprrafopredeter"/>
    <w:link w:val="Cita"/>
    <w:uiPriority w:val="29"/>
    <w:rsid w:val="00722A8D"/>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22A8D"/>
    <w:pPr>
      <w:ind w:left="720"/>
      <w:contextualSpacing/>
    </w:pPr>
  </w:style>
  <w:style w:type="character" w:styleId="nfasisintenso">
    <w:name w:val="Intense Emphasis"/>
    <w:basedOn w:val="Fuentedeprrafopredeter"/>
    <w:uiPriority w:val="21"/>
    <w:qFormat/>
    <w:rsid w:val="00722A8D"/>
    <w:rPr>
      <w:i/>
      <w:iCs/>
      <w:color w:val="2F5496" w:themeColor="accent1" w:themeShade="BF"/>
    </w:rPr>
  </w:style>
  <w:style w:type="paragraph" w:styleId="Citadestacada">
    <w:name w:val="Intense Quote"/>
    <w:basedOn w:val="Normal"/>
    <w:next w:val="Normal"/>
    <w:link w:val="CitadestacadaCar"/>
    <w:uiPriority w:val="30"/>
    <w:qFormat/>
    <w:rsid w:val="00722A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22A8D"/>
    <w:rPr>
      <w:i/>
      <w:iCs/>
      <w:color w:val="2F5496" w:themeColor="accent1" w:themeShade="BF"/>
    </w:rPr>
  </w:style>
  <w:style w:type="character" w:styleId="Referenciaintensa">
    <w:name w:val="Intense Reference"/>
    <w:basedOn w:val="Fuentedeprrafopredeter"/>
    <w:uiPriority w:val="32"/>
    <w:qFormat/>
    <w:rsid w:val="00722A8D"/>
    <w:rPr>
      <w:b/>
      <w:bCs/>
      <w:smallCaps/>
      <w:color w:val="2F5496" w:themeColor="accent1" w:themeShade="BF"/>
      <w:spacing w:val="5"/>
    </w:rPr>
  </w:style>
  <w:style w:type="paragraph" w:styleId="Encabezado">
    <w:name w:val="header"/>
    <w:basedOn w:val="Normal"/>
    <w:link w:val="EncabezadoCar"/>
    <w:uiPriority w:val="99"/>
    <w:unhideWhenUsed/>
    <w:rsid w:val="00722A8D"/>
    <w:pPr>
      <w:tabs>
        <w:tab w:val="center" w:pos="4419"/>
        <w:tab w:val="right" w:pos="8838"/>
      </w:tabs>
    </w:pPr>
  </w:style>
  <w:style w:type="character" w:customStyle="1" w:styleId="EncabezadoCar">
    <w:name w:val="Encabezado Car"/>
    <w:basedOn w:val="Fuentedeprrafopredeter"/>
    <w:link w:val="Encabezado"/>
    <w:uiPriority w:val="99"/>
    <w:rsid w:val="00722A8D"/>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722A8D"/>
    <w:pPr>
      <w:tabs>
        <w:tab w:val="center" w:pos="4419"/>
        <w:tab w:val="right" w:pos="8838"/>
      </w:tabs>
    </w:pPr>
  </w:style>
  <w:style w:type="character" w:customStyle="1" w:styleId="PiedepginaCar">
    <w:name w:val="Pie de página Car"/>
    <w:basedOn w:val="Fuentedeprrafopredeter"/>
    <w:link w:val="Piedepgina"/>
    <w:uiPriority w:val="99"/>
    <w:rsid w:val="00722A8D"/>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722A8D"/>
  </w:style>
  <w:style w:type="table" w:styleId="Tablaconcuadrcula">
    <w:name w:val="Table Grid"/>
    <w:basedOn w:val="Tablanormal"/>
    <w:uiPriority w:val="39"/>
    <w:rsid w:val="00722A8D"/>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22A8D"/>
    <w:rPr>
      <w:color w:val="0563C1" w:themeColor="hyperlink"/>
      <w:u w:val="single"/>
    </w:rPr>
  </w:style>
  <w:style w:type="paragraph" w:styleId="TDC1">
    <w:name w:val="toc 1"/>
    <w:basedOn w:val="Normal"/>
    <w:next w:val="Normal"/>
    <w:autoRedefine/>
    <w:uiPriority w:val="39"/>
    <w:unhideWhenUsed/>
    <w:rsid w:val="00722A8D"/>
    <w:pPr>
      <w:spacing w:after="100"/>
    </w:pPr>
  </w:style>
  <w:style w:type="paragraph" w:styleId="TtulodeTDC">
    <w:name w:val="TOC Heading"/>
    <w:next w:val="Normal"/>
    <w:uiPriority w:val="39"/>
    <w:unhideWhenUsed/>
    <w:qFormat/>
    <w:rsid w:val="00722A8D"/>
    <w:pPr>
      <w:spacing w:before="240"/>
    </w:pPr>
    <w:rPr>
      <w:sz w:val="32"/>
      <w:szCs w:val="32"/>
    </w:rPr>
  </w:style>
  <w:style w:type="paragraph" w:styleId="TDC2">
    <w:name w:val="toc 2"/>
    <w:basedOn w:val="Normal"/>
    <w:next w:val="Normal"/>
    <w:autoRedefine/>
    <w:uiPriority w:val="39"/>
    <w:unhideWhenUsed/>
    <w:rsid w:val="00722A8D"/>
    <w:pPr>
      <w:tabs>
        <w:tab w:val="right" w:leader="dot" w:pos="9034"/>
      </w:tabs>
      <w:spacing w:line="360" w:lineRule="auto"/>
      <w:ind w:left="200"/>
      <w:contextualSpacing/>
      <w:jc w:val="both"/>
    </w:pPr>
  </w:style>
  <w:style w:type="character" w:customStyle="1" w:styleId="Mencinsinresolver1">
    <w:name w:val="Mención sin resolver1"/>
    <w:basedOn w:val="Fuentedeprrafopredeter"/>
    <w:uiPriority w:val="99"/>
    <w:semiHidden/>
    <w:unhideWhenUsed/>
    <w:rsid w:val="00B368ED"/>
    <w:rPr>
      <w:color w:val="605E5C"/>
      <w:shd w:val="clear" w:color="auto" w:fill="E1DFDD"/>
    </w:rPr>
  </w:style>
  <w:style w:type="table" w:customStyle="1" w:styleId="Tablaconcuadrcula1">
    <w:name w:val="Tabla con cuadrícula1"/>
    <w:basedOn w:val="Tablanormal"/>
    <w:next w:val="Tablaconcuadrcula"/>
    <w:uiPriority w:val="59"/>
    <w:rsid w:val="005203D6"/>
    <w:pPr>
      <w:jc w:val="both"/>
    </w:pPr>
    <w:rPr>
      <w:rFonts w:ascii="Palatino Linotype" w:eastAsia="Palatino Linotype" w:hAnsi="Palatino Linotype" w:cs="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normal">
    <w:name w:val="x_gmail-msonormal"/>
    <w:basedOn w:val="Normal"/>
    <w:rsid w:val="00BD19D9"/>
    <w:pPr>
      <w:spacing w:before="100" w:beforeAutospacing="1" w:after="100" w:afterAutospacing="1"/>
    </w:pPr>
    <w:rPr>
      <w:sz w:val="24"/>
      <w:szCs w:val="24"/>
      <w:lang w:val="en-US" w:eastAsia="en-US"/>
    </w:rPr>
  </w:style>
  <w:style w:type="character" w:customStyle="1" w:styleId="UnresolvedMention">
    <w:name w:val="Unresolved Mention"/>
    <w:basedOn w:val="Fuentedeprrafopredeter"/>
    <w:uiPriority w:val="99"/>
    <w:semiHidden/>
    <w:unhideWhenUsed/>
    <w:rsid w:val="009E4F34"/>
    <w:rPr>
      <w:color w:val="605E5C"/>
      <w:shd w:val="clear" w:color="auto" w:fill="E1DFDD"/>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egislacion.edomex.gob.mx/sites/legislacion.edomex.gob.mx/files/files/pdf/gct/2020/dic272.pdf"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9hO6lTOs5BmXphFyvEvdW/rXiw==">CgMxLjAyDmguYWpjdG1kNW53NXpvMg5oLmhpaWIwazd0bzcycTIOaC5td2QxcjB1NmtpeDQyDmgudDgycmoydmwyNm80Mg5oLm1qb29idjJwMHEydTIOaC53MnFqZng3OXhzOTAyDmguZWlpZmRwd2xmbWQyMg5oLjgzbWY2eDZmdXJ0dzIOaC5vcTU1d2o2cWV0ZWcyDmguZmxqYWI4cmN6dmExMg5oLmYwZ2ZrZXFxbWphbjIOaC41cXpyZGY1d2RhajgyDmguZ3NyOTAxejNwaHp4Mg5oLm9mZW0weHhzZXhidjIOaC5rcHd3YndueWdxeDUyDmguYndsMGZsdHhtNmpyMg5oLjdzZXZ0cGkzZzgwdzIOaC41cGFibGhmbDlmYnc4AHIhMXhYaXJqTUpxalF4cC1OY3NEM2hpLTh4c1pTbzVFcD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9A91FE-25AA-4027-9455-005144E54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5644</Words>
  <Characters>31047</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4</cp:revision>
  <cp:lastPrinted>2026-02-09T15:55:00Z</cp:lastPrinted>
  <dcterms:created xsi:type="dcterms:W3CDTF">2026-02-09T15:55:00Z</dcterms:created>
  <dcterms:modified xsi:type="dcterms:W3CDTF">2026-04-09T21:13:00Z</dcterms:modified>
</cp:coreProperties>
</file>