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3CB" w:rsidRPr="00F8154B" w:rsidRDefault="00166B83">
      <w:pPr>
        <w:spacing w:line="360" w:lineRule="auto"/>
        <w:jc w:val="both"/>
        <w:rPr>
          <w:rFonts w:ascii="Palatino Linotype" w:eastAsia="Palatino Linotype" w:hAnsi="Palatino Linotype" w:cs="Palatino Linotype"/>
          <w:b/>
          <w:sz w:val="24"/>
          <w:szCs w:val="24"/>
        </w:rPr>
      </w:pPr>
      <w:bookmarkStart w:id="0" w:name="_heading=h.lszr0b2gghl5" w:colFirst="0" w:colLast="0"/>
      <w:bookmarkStart w:id="1" w:name="_GoBack"/>
      <w:bookmarkEnd w:id="0"/>
      <w:bookmarkEnd w:id="1"/>
      <w:r>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w:t>
      </w:r>
      <w:r w:rsidRPr="00F8154B">
        <w:rPr>
          <w:rFonts w:ascii="Palatino Linotype" w:eastAsia="Palatino Linotype" w:hAnsi="Palatino Linotype" w:cs="Palatino Linotype"/>
          <w:b/>
          <w:sz w:val="24"/>
          <w:szCs w:val="24"/>
        </w:rPr>
        <w:t>de</w:t>
      </w:r>
      <w:r w:rsidR="00F8154B" w:rsidRPr="00F8154B">
        <w:rPr>
          <w:rFonts w:ascii="Palatino Linotype" w:eastAsia="Palatino Linotype" w:hAnsi="Palatino Linotype" w:cs="Palatino Linotype"/>
          <w:b/>
          <w:sz w:val="24"/>
          <w:szCs w:val="24"/>
        </w:rPr>
        <w:t xml:space="preserve"> fecha</w:t>
      </w:r>
      <w:r w:rsidRPr="00F8154B">
        <w:rPr>
          <w:rFonts w:ascii="Palatino Linotype" w:eastAsia="Palatino Linotype" w:hAnsi="Palatino Linotype" w:cs="Palatino Linotype"/>
          <w:b/>
          <w:sz w:val="24"/>
          <w:szCs w:val="24"/>
        </w:rPr>
        <w:t xml:space="preserve"> </w:t>
      </w:r>
      <w:r w:rsidRPr="00F8154B">
        <w:rPr>
          <w:rFonts w:ascii="Palatino Linotype" w:eastAsia="Palatino Linotype" w:hAnsi="Palatino Linotype" w:cs="Palatino Linotype"/>
          <w:b/>
          <w:bCs/>
          <w:sz w:val="24"/>
          <w:szCs w:val="24"/>
        </w:rPr>
        <w:t xml:space="preserve">once </w:t>
      </w:r>
      <w:r w:rsidR="00F8154B" w:rsidRPr="00F8154B">
        <w:rPr>
          <w:rFonts w:ascii="Palatino Linotype" w:eastAsia="Palatino Linotype" w:hAnsi="Palatino Linotype" w:cs="Palatino Linotype"/>
          <w:b/>
          <w:bCs/>
          <w:sz w:val="24"/>
          <w:szCs w:val="24"/>
        </w:rPr>
        <w:t xml:space="preserve">(11) </w:t>
      </w:r>
      <w:r w:rsidRPr="00F8154B">
        <w:rPr>
          <w:rFonts w:ascii="Palatino Linotype" w:eastAsia="Palatino Linotype" w:hAnsi="Palatino Linotype" w:cs="Palatino Linotype"/>
          <w:b/>
          <w:bCs/>
          <w:sz w:val="24"/>
          <w:szCs w:val="24"/>
        </w:rPr>
        <w:t>de febrero de dos mil veintiséis.</w:t>
      </w:r>
    </w:p>
    <w:p w:rsidR="00BD13CB" w:rsidRDefault="00BD13CB">
      <w:pPr>
        <w:spacing w:line="360" w:lineRule="auto"/>
        <w:jc w:val="both"/>
        <w:rPr>
          <w:rFonts w:ascii="Palatino Linotype" w:eastAsia="Palatino Linotype" w:hAnsi="Palatino Linotype" w:cs="Palatino Linotype"/>
          <w:sz w:val="24"/>
          <w:szCs w:val="24"/>
        </w:rPr>
      </w:pPr>
    </w:p>
    <w:p w:rsidR="00BD13CB" w:rsidRDefault="00166B83">
      <w:pPr>
        <w:spacing w:line="360" w:lineRule="auto"/>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VISTO</w:t>
      </w:r>
      <w:r>
        <w:rPr>
          <w:rFonts w:ascii="Palatino Linotype" w:eastAsia="Palatino Linotype" w:hAnsi="Palatino Linotype" w:cs="Palatino Linotype"/>
          <w:sz w:val="24"/>
          <w:szCs w:val="24"/>
        </w:rPr>
        <w:t xml:space="preserve"> el expediente electrónico formado con motivo del recurso de revisión</w:t>
      </w:r>
      <w:r>
        <w:rPr>
          <w:rFonts w:ascii="Palatino Linotype" w:eastAsia="Palatino Linotype" w:hAnsi="Palatino Linotype" w:cs="Palatino Linotype"/>
          <w:b/>
          <w:bCs/>
          <w:sz w:val="24"/>
          <w:szCs w:val="24"/>
        </w:rPr>
        <w:t xml:space="preserve">  11203/INFOEM/IP/RR/2025, </w:t>
      </w:r>
      <w:r>
        <w:rPr>
          <w:rFonts w:ascii="Palatino Linotype" w:eastAsia="Palatino Linotype" w:hAnsi="Palatino Linotype" w:cs="Palatino Linotype"/>
          <w:sz w:val="24"/>
          <w:szCs w:val="24"/>
        </w:rPr>
        <w:t>promovido por</w:t>
      </w:r>
      <w:r>
        <w:rPr>
          <w:rFonts w:ascii="Palatino Linotype" w:eastAsia="Palatino Linotype" w:hAnsi="Palatino Linotype" w:cs="Palatino Linotype"/>
          <w:b/>
          <w:bCs/>
          <w:color w:val="FF0000"/>
          <w:sz w:val="24"/>
          <w:szCs w:val="24"/>
        </w:rPr>
        <w:t xml:space="preserve"> </w:t>
      </w:r>
      <w:r>
        <w:rPr>
          <w:rFonts w:ascii="Palatino Linotype" w:eastAsia="Palatino Linotype" w:hAnsi="Palatino Linotype" w:cs="Palatino Linotype"/>
          <w:b/>
          <w:bCs/>
          <w:sz w:val="24"/>
          <w:szCs w:val="24"/>
        </w:rPr>
        <w:t xml:space="preserve">una persona que no proporcionó datos de identificación </w:t>
      </w:r>
      <w:r>
        <w:rPr>
          <w:rFonts w:ascii="Palatino Linotype" w:eastAsia="Palatino Linotype" w:hAnsi="Palatino Linotype" w:cs="Palatino Linotype"/>
          <w:sz w:val="24"/>
          <w:szCs w:val="24"/>
        </w:rPr>
        <w:t xml:space="preserve">y a quien en lo sucesivo se identificará como </w:t>
      </w:r>
      <w:r>
        <w:rPr>
          <w:rFonts w:ascii="Palatino Linotype" w:eastAsia="Palatino Linotype" w:hAnsi="Palatino Linotype" w:cs="Palatino Linotype"/>
          <w:b/>
          <w:bCs/>
          <w:sz w:val="24"/>
          <w:szCs w:val="24"/>
        </w:rPr>
        <w:t>EL RECURRENTE</w:t>
      </w:r>
      <w:r>
        <w:rPr>
          <w:rFonts w:ascii="Palatino Linotype" w:eastAsia="Palatino Linotype" w:hAnsi="Palatino Linotype" w:cs="Palatino Linotype"/>
          <w:sz w:val="24"/>
          <w:szCs w:val="24"/>
        </w:rPr>
        <w:t xml:space="preserve">, en contra de la respuesta del </w:t>
      </w:r>
      <w:r>
        <w:rPr>
          <w:rFonts w:ascii="Palatino Linotype" w:eastAsia="Palatino Linotype" w:hAnsi="Palatino Linotype" w:cs="Palatino Linotype"/>
          <w:b/>
          <w:bCs/>
          <w:sz w:val="24"/>
          <w:szCs w:val="24"/>
        </w:rPr>
        <w:t xml:space="preserve">Ayuntamiento de Toluca, </w:t>
      </w:r>
      <w:r>
        <w:rPr>
          <w:rFonts w:ascii="Palatino Linotype" w:eastAsia="Palatino Linotype" w:hAnsi="Palatino Linotype" w:cs="Palatino Linotype"/>
          <w:sz w:val="24"/>
          <w:szCs w:val="24"/>
        </w:rPr>
        <w:t xml:space="preserve">en </w:t>
      </w:r>
      <w:r w:rsidR="00F8154B">
        <w:rPr>
          <w:rFonts w:ascii="Palatino Linotype" w:eastAsia="Palatino Linotype" w:hAnsi="Palatino Linotype" w:cs="Palatino Linotype"/>
          <w:sz w:val="24"/>
          <w:szCs w:val="24"/>
        </w:rPr>
        <w:t>adelante</w:t>
      </w:r>
      <w:r>
        <w:rPr>
          <w:rFonts w:ascii="Palatino Linotype" w:eastAsia="Palatino Linotype" w:hAnsi="Palatino Linotype" w:cs="Palatino Linotype"/>
          <w:sz w:val="24"/>
          <w:szCs w:val="24"/>
        </w:rPr>
        <w:t xml:space="preserve"> el</w:t>
      </w:r>
      <w:r>
        <w:rPr>
          <w:rFonts w:ascii="Palatino Linotype" w:eastAsia="Palatino Linotype" w:hAnsi="Palatino Linotype" w:cs="Palatino Linotype"/>
          <w:b/>
          <w:bCs/>
          <w:sz w:val="24"/>
          <w:szCs w:val="24"/>
        </w:rPr>
        <w:t xml:space="preserve"> SUJETO OBLIGADO</w:t>
      </w:r>
      <w:r>
        <w:rPr>
          <w:rFonts w:ascii="Palatino Linotype" w:eastAsia="Palatino Linotype" w:hAnsi="Palatino Linotype" w:cs="Palatino Linotype"/>
          <w:sz w:val="24"/>
          <w:szCs w:val="24"/>
        </w:rPr>
        <w:t>, por lo que se procede a dictar la presente resolución, con base en los siguientes:</w:t>
      </w:r>
    </w:p>
    <w:p w:rsidR="00BD13CB" w:rsidRDefault="00BD13CB">
      <w:pPr>
        <w:spacing w:line="360" w:lineRule="auto"/>
        <w:jc w:val="both"/>
        <w:rPr>
          <w:rFonts w:ascii="Palatino Linotype" w:eastAsia="Palatino Linotype" w:hAnsi="Palatino Linotype" w:cs="Palatino Linotype"/>
          <w:b/>
          <w:bCs/>
          <w:sz w:val="24"/>
          <w:szCs w:val="24"/>
        </w:rPr>
      </w:pPr>
    </w:p>
    <w:p w:rsidR="00BD13CB" w:rsidRDefault="00166B83">
      <w:pPr>
        <w:keepNext/>
        <w:keepLines/>
        <w:spacing w:line="360" w:lineRule="auto"/>
        <w:jc w:val="center"/>
        <w:rPr>
          <w:rFonts w:ascii="Palatino Linotype" w:eastAsia="Palatino Linotype" w:hAnsi="Palatino Linotype" w:cs="Palatino Linotype"/>
          <w:b/>
          <w:bCs/>
          <w:sz w:val="24"/>
          <w:szCs w:val="24"/>
        </w:rPr>
      </w:pPr>
      <w:bookmarkStart w:id="2" w:name="_heading=h.gjdgxs" w:colFirst="0" w:colLast="0"/>
      <w:bookmarkEnd w:id="2"/>
      <w:r>
        <w:rPr>
          <w:rFonts w:ascii="Palatino Linotype" w:eastAsia="Palatino Linotype" w:hAnsi="Palatino Linotype" w:cs="Palatino Linotype"/>
          <w:b/>
          <w:bCs/>
          <w:sz w:val="24"/>
          <w:szCs w:val="24"/>
        </w:rPr>
        <w:t>A</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N</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T</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E</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C</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E</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D</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E</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N</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T</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E</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S</w:t>
      </w:r>
    </w:p>
    <w:p w:rsidR="00F8154B" w:rsidRDefault="00F8154B">
      <w:pPr>
        <w:keepNext/>
        <w:keepLines/>
        <w:spacing w:line="360" w:lineRule="auto"/>
        <w:jc w:val="center"/>
        <w:rPr>
          <w:rFonts w:ascii="Palatino Linotype" w:eastAsia="Palatino Linotype" w:hAnsi="Palatino Linotype" w:cs="Palatino Linotype"/>
          <w:b/>
          <w:bCs/>
          <w:sz w:val="24"/>
          <w:szCs w:val="24"/>
        </w:rPr>
      </w:pPr>
    </w:p>
    <w:p w:rsidR="00BD13CB" w:rsidRDefault="00166B83">
      <w:pPr>
        <w:numPr>
          <w:ilvl w:val="0"/>
          <w:numId w:val="4"/>
        </w:numPr>
        <w:spacing w:line="360" w:lineRule="auto"/>
        <w:ind w:left="0"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diecinueve de agosto de dos mil veinticinco</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b/>
          <w:bCs/>
          <w:sz w:val="24"/>
          <w:szCs w:val="24"/>
        </w:rPr>
        <w:t>EL RECURRENTE,</w:t>
      </w:r>
      <w:r>
        <w:rPr>
          <w:rFonts w:ascii="Palatino Linotype" w:eastAsia="Palatino Linotype" w:hAnsi="Palatino Linotype" w:cs="Palatino Linotype"/>
          <w:sz w:val="24"/>
          <w:szCs w:val="24"/>
        </w:rPr>
        <w:t xml:space="preserve"> ante 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vía Sistema de Acceso a la Información Mexiquense (</w:t>
      </w:r>
      <w:r>
        <w:rPr>
          <w:rFonts w:ascii="Palatino Linotype" w:eastAsia="Palatino Linotype" w:hAnsi="Palatino Linotype" w:cs="Palatino Linotype"/>
          <w:b/>
          <w:bCs/>
          <w:sz w:val="24"/>
          <w:szCs w:val="24"/>
        </w:rPr>
        <w:t>SAIMEX)</w:t>
      </w:r>
      <w:r>
        <w:rPr>
          <w:rFonts w:ascii="Palatino Linotype" w:eastAsia="Palatino Linotype" w:hAnsi="Palatino Linotype" w:cs="Palatino Linotype"/>
          <w:sz w:val="24"/>
          <w:szCs w:val="24"/>
        </w:rPr>
        <w:t>,presentó la solicitud de información registrada con el número</w:t>
      </w:r>
      <w:r>
        <w:rPr>
          <w:rFonts w:ascii="Palatino Linotype" w:eastAsia="Palatino Linotype" w:hAnsi="Palatino Linotype" w:cs="Palatino Linotype"/>
          <w:b/>
          <w:bCs/>
          <w:sz w:val="24"/>
          <w:szCs w:val="24"/>
        </w:rPr>
        <w:t xml:space="preserve">  04272/TOLUCA/IP/2025, </w:t>
      </w:r>
      <w:r w:rsidR="00F8154B">
        <w:rPr>
          <w:rFonts w:ascii="Palatino Linotype" w:eastAsia="Palatino Linotype" w:hAnsi="Palatino Linotype" w:cs="Palatino Linotype"/>
          <w:sz w:val="24"/>
          <w:szCs w:val="24"/>
        </w:rPr>
        <w:t>en la que</w:t>
      </w:r>
      <w:r>
        <w:rPr>
          <w:rFonts w:ascii="Palatino Linotype" w:eastAsia="Palatino Linotype" w:hAnsi="Palatino Linotype" w:cs="Palatino Linotype"/>
          <w:sz w:val="24"/>
          <w:szCs w:val="24"/>
        </w:rPr>
        <w:t xml:space="preserve"> solicitó lo siguiente:</w:t>
      </w:r>
    </w:p>
    <w:p w:rsidR="00BD13CB" w:rsidRDefault="00BD13CB">
      <w:pPr>
        <w:pBdr>
          <w:top w:val="nil"/>
          <w:left w:val="nil"/>
          <w:bottom w:val="nil"/>
          <w:right w:val="nil"/>
          <w:between w:val="nil"/>
        </w:pBdr>
        <w:spacing w:line="360" w:lineRule="auto"/>
        <w:ind w:left="1069" w:right="567"/>
        <w:jc w:val="both"/>
        <w:rPr>
          <w:rFonts w:ascii="Palatino Linotype" w:eastAsia="Palatino Linotype" w:hAnsi="Palatino Linotype" w:cs="Palatino Linotype"/>
          <w:i/>
          <w:iCs/>
          <w:color w:val="000000"/>
          <w:sz w:val="24"/>
          <w:szCs w:val="24"/>
        </w:rPr>
      </w:pPr>
    </w:p>
    <w:p w:rsidR="00BD13CB" w:rsidRDefault="00166B83">
      <w:pPr>
        <w:pBdr>
          <w:top w:val="nil"/>
          <w:left w:val="nil"/>
          <w:bottom w:val="nil"/>
          <w:right w:val="nil"/>
          <w:between w:val="nil"/>
        </w:pBdr>
        <w:ind w:left="567" w:right="567"/>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“Solicito la información relacionada a los montos salariales que se definieron para el cabildo: Presidencia municipal, síndicos y regidores, directores de área y coordinadores que conforman el gabinete del Ayuntamiento 2024 y 2025 (Sic) </w:t>
      </w:r>
    </w:p>
    <w:p w:rsidR="00BD13CB" w:rsidRDefault="00BD13CB">
      <w:pPr>
        <w:pBdr>
          <w:top w:val="nil"/>
          <w:left w:val="nil"/>
          <w:bottom w:val="nil"/>
          <w:right w:val="nil"/>
          <w:between w:val="nil"/>
        </w:pBdr>
        <w:ind w:left="567" w:right="567"/>
        <w:jc w:val="both"/>
        <w:rPr>
          <w:rFonts w:ascii="Palatino Linotype" w:eastAsia="Palatino Linotype" w:hAnsi="Palatino Linotype" w:cs="Palatino Linotype"/>
          <w:i/>
          <w:iCs/>
          <w:color w:val="000000"/>
          <w:sz w:val="24"/>
          <w:szCs w:val="24"/>
        </w:rPr>
      </w:pPr>
    </w:p>
    <w:p w:rsidR="00F8154B" w:rsidRDefault="00F8154B">
      <w:pPr>
        <w:pBdr>
          <w:top w:val="nil"/>
          <w:left w:val="nil"/>
          <w:bottom w:val="nil"/>
          <w:right w:val="nil"/>
          <w:between w:val="nil"/>
        </w:pBdr>
        <w:ind w:left="567" w:right="567"/>
        <w:jc w:val="both"/>
        <w:rPr>
          <w:rFonts w:ascii="Palatino Linotype" w:eastAsia="Palatino Linotype" w:hAnsi="Palatino Linotype" w:cs="Palatino Linotype"/>
          <w:i/>
          <w:iCs/>
          <w:color w:val="000000"/>
          <w:sz w:val="24"/>
          <w:szCs w:val="24"/>
        </w:rPr>
      </w:pPr>
    </w:p>
    <w:p w:rsidR="00BD13CB" w:rsidRDefault="00166B83" w:rsidP="00F8154B">
      <w:pPr>
        <w:numPr>
          <w:ilvl w:val="0"/>
          <w:numId w:val="5"/>
        </w:numPr>
        <w:spacing w:line="360" w:lineRule="auto"/>
        <w:ind w:left="0" w:right="567"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Modalidad de entrega: </w:t>
      </w:r>
      <w:r>
        <w:rPr>
          <w:rFonts w:ascii="Palatino Linotype" w:eastAsia="Palatino Linotype" w:hAnsi="Palatino Linotype" w:cs="Palatino Linotype"/>
          <w:b/>
          <w:bCs/>
          <w:sz w:val="24"/>
          <w:szCs w:val="24"/>
        </w:rPr>
        <w:t>Vía SAIMEX.</w:t>
      </w:r>
    </w:p>
    <w:p w:rsidR="00BD13CB" w:rsidRDefault="00BD13CB">
      <w:pPr>
        <w:spacing w:line="360" w:lineRule="auto"/>
        <w:ind w:left="1146" w:right="567"/>
        <w:jc w:val="both"/>
        <w:rPr>
          <w:rFonts w:ascii="Palatino Linotype" w:eastAsia="Palatino Linotype" w:hAnsi="Palatino Linotype" w:cs="Palatino Linotype"/>
          <w:sz w:val="24"/>
          <w:szCs w:val="24"/>
        </w:rPr>
      </w:pPr>
    </w:p>
    <w:p w:rsidR="00BD13CB" w:rsidRDefault="00166B83">
      <w:pPr>
        <w:numPr>
          <w:ilvl w:val="0"/>
          <w:numId w:val="4"/>
        </w:numPr>
        <w:spacing w:line="360" w:lineRule="auto"/>
        <w:ind w:left="0" w:firstLine="0"/>
        <w:jc w:val="both"/>
        <w:rPr>
          <w:rFonts w:ascii="Palatino Linotype" w:eastAsia="Palatino Linotype" w:hAnsi="Palatino Linotype" w:cs="Palatino Linotype"/>
          <w:i/>
          <w:iCs/>
          <w:sz w:val="24"/>
          <w:szCs w:val="24"/>
        </w:rPr>
      </w:pPr>
      <w:r>
        <w:rPr>
          <w:rFonts w:ascii="Palatino Linotype" w:eastAsia="Palatino Linotype" w:hAnsi="Palatino Linotype" w:cs="Palatino Linotype"/>
          <w:sz w:val="24"/>
          <w:szCs w:val="24"/>
        </w:rPr>
        <w:lastRenderedPageBreak/>
        <w:t xml:space="preserve">El </w:t>
      </w:r>
      <w:r>
        <w:rPr>
          <w:rFonts w:ascii="Palatino Linotype" w:eastAsia="Palatino Linotype" w:hAnsi="Palatino Linotype" w:cs="Palatino Linotype"/>
          <w:b/>
          <w:bCs/>
          <w:sz w:val="24"/>
          <w:szCs w:val="24"/>
        </w:rPr>
        <w:t xml:space="preserve">ocho de septiembre de dos mil veinticinco, </w:t>
      </w: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SUJETO O</w:t>
      </w:r>
      <w:r>
        <w:rPr>
          <w:rFonts w:ascii="Palatino Linotype" w:eastAsia="Palatino Linotype" w:hAnsi="Palatino Linotype" w:cs="Palatino Linotype"/>
          <w:sz w:val="24"/>
          <w:szCs w:val="24"/>
        </w:rPr>
        <w:t>B</w:t>
      </w:r>
      <w:r>
        <w:rPr>
          <w:rFonts w:ascii="Palatino Linotype" w:eastAsia="Palatino Linotype" w:hAnsi="Palatino Linotype" w:cs="Palatino Linotype"/>
          <w:b/>
          <w:bCs/>
          <w:sz w:val="24"/>
          <w:szCs w:val="24"/>
        </w:rPr>
        <w:t xml:space="preserve">LIGADO </w:t>
      </w:r>
      <w:r>
        <w:rPr>
          <w:rFonts w:ascii="Palatino Linotype" w:eastAsia="Palatino Linotype" w:hAnsi="Palatino Linotype" w:cs="Palatino Linotype"/>
          <w:sz w:val="24"/>
          <w:szCs w:val="24"/>
        </w:rPr>
        <w:t xml:space="preserve">dio </w:t>
      </w:r>
      <w:r>
        <w:rPr>
          <w:rFonts w:ascii="Palatino Linotype" w:eastAsia="Palatino Linotype" w:hAnsi="Palatino Linotype" w:cs="Palatino Linotype"/>
          <w:b/>
          <w:bCs/>
          <w:sz w:val="24"/>
          <w:szCs w:val="24"/>
        </w:rPr>
        <w:t>RESPUESTA</w:t>
      </w:r>
      <w:r>
        <w:rPr>
          <w:rFonts w:ascii="Palatino Linotype" w:eastAsia="Palatino Linotype" w:hAnsi="Palatino Linotype" w:cs="Palatino Linotype"/>
          <w:sz w:val="24"/>
          <w:szCs w:val="24"/>
        </w:rPr>
        <w:t xml:space="preserve"> a través de los archivos siguientes:</w:t>
      </w:r>
    </w:p>
    <w:p w:rsidR="00BD13CB" w:rsidRDefault="00166B83" w:rsidP="00F8154B">
      <w:pPr>
        <w:numPr>
          <w:ilvl w:val="0"/>
          <w:numId w:val="7"/>
        </w:numPr>
        <w:pBdr>
          <w:top w:val="nil"/>
          <w:left w:val="nil"/>
          <w:bottom w:val="nil"/>
          <w:right w:val="nil"/>
          <w:between w:val="nil"/>
        </w:pBdr>
        <w:ind w:right="39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 xml:space="preserve">NOTIF. CIUDADANO S. 4272.pdf: </w:t>
      </w:r>
    </w:p>
    <w:p w:rsidR="00BD13CB" w:rsidRDefault="00166B83">
      <w:pPr>
        <w:pBdr>
          <w:top w:val="nil"/>
          <w:left w:val="nil"/>
          <w:bottom w:val="nil"/>
          <w:right w:val="nil"/>
          <w:between w:val="nil"/>
        </w:pBdr>
        <w:ind w:left="720" w:right="39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Oficio firmado por la Directora General de Administración por el que </w:t>
      </w:r>
      <w:r>
        <w:rPr>
          <w:rFonts w:ascii="Palatino Linotype" w:eastAsia="Palatino Linotype" w:hAnsi="Palatino Linotype" w:cs="Palatino Linotype"/>
          <w:sz w:val="24"/>
          <w:szCs w:val="24"/>
        </w:rPr>
        <w:t>informó</w:t>
      </w:r>
      <w:r>
        <w:rPr>
          <w:rFonts w:ascii="Palatino Linotype" w:eastAsia="Palatino Linotype" w:hAnsi="Palatino Linotype" w:cs="Palatino Linotype"/>
          <w:color w:val="000000"/>
          <w:sz w:val="24"/>
          <w:szCs w:val="24"/>
        </w:rPr>
        <w:t xml:space="preserve"> que se remite la respuesta proporcionada por la Dirección de Recursos Humanos.</w:t>
      </w:r>
    </w:p>
    <w:p w:rsidR="00BD13CB" w:rsidRDefault="00166B83">
      <w:pPr>
        <w:pBdr>
          <w:top w:val="nil"/>
          <w:left w:val="nil"/>
          <w:bottom w:val="nil"/>
          <w:right w:val="nil"/>
          <w:between w:val="nil"/>
        </w:pBdr>
        <w:ind w:left="720" w:right="39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Oficio firmado por la Directora de Recursos Humanos quien </w:t>
      </w:r>
      <w:r>
        <w:rPr>
          <w:rFonts w:ascii="Palatino Linotype" w:eastAsia="Palatino Linotype" w:hAnsi="Palatino Linotype" w:cs="Palatino Linotype"/>
          <w:sz w:val="24"/>
          <w:szCs w:val="24"/>
        </w:rPr>
        <w:t>informó</w:t>
      </w:r>
      <w:r>
        <w:rPr>
          <w:rFonts w:ascii="Palatino Linotype" w:eastAsia="Palatino Linotype" w:hAnsi="Palatino Linotype" w:cs="Palatino Linotype"/>
          <w:color w:val="000000"/>
          <w:sz w:val="24"/>
          <w:szCs w:val="24"/>
        </w:rPr>
        <w:t xml:space="preserve"> que la información proporcionada se encuentra en el siguiente link:</w:t>
      </w:r>
    </w:p>
    <w:p w:rsidR="00BD13CB" w:rsidRDefault="00BD13CB">
      <w:pPr>
        <w:pBdr>
          <w:top w:val="nil"/>
          <w:left w:val="nil"/>
          <w:bottom w:val="nil"/>
          <w:right w:val="nil"/>
          <w:between w:val="nil"/>
        </w:pBdr>
        <w:ind w:left="720" w:right="397"/>
        <w:jc w:val="both"/>
        <w:rPr>
          <w:rFonts w:ascii="Palatino Linotype" w:eastAsia="Palatino Linotype" w:hAnsi="Palatino Linotype" w:cs="Palatino Linotype"/>
          <w:color w:val="000000"/>
          <w:sz w:val="24"/>
          <w:szCs w:val="24"/>
        </w:rPr>
      </w:pPr>
    </w:p>
    <w:p w:rsidR="00BD13CB" w:rsidRDefault="00166B83">
      <w:pPr>
        <w:pBdr>
          <w:top w:val="nil"/>
          <w:left w:val="nil"/>
          <w:bottom w:val="nil"/>
          <w:right w:val="nil"/>
          <w:between w:val="nil"/>
        </w:pBdr>
        <w:ind w:left="720" w:right="39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https://ipomex.org.mx/ipomex/#/info-fraccion/11/197/28</w:t>
      </w:r>
    </w:p>
    <w:p w:rsidR="00BD13CB" w:rsidRDefault="00BD13CB">
      <w:pPr>
        <w:spacing w:line="360" w:lineRule="auto"/>
        <w:jc w:val="both"/>
        <w:rPr>
          <w:rFonts w:ascii="Palatino Linotype" w:eastAsia="Palatino Linotype" w:hAnsi="Palatino Linotype" w:cs="Palatino Linotype"/>
          <w:b/>
          <w:bCs/>
          <w:i/>
          <w:iCs/>
          <w:sz w:val="24"/>
          <w:szCs w:val="24"/>
        </w:rPr>
      </w:pPr>
    </w:p>
    <w:p w:rsidR="00BD13CB" w:rsidRDefault="00166B83">
      <w:pPr>
        <w:numPr>
          <w:ilvl w:val="0"/>
          <w:numId w:val="4"/>
        </w:numPr>
        <w:spacing w:line="360" w:lineRule="auto"/>
        <w:ind w:left="0"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Inconforme con lo anterior, el </w:t>
      </w:r>
      <w:r>
        <w:rPr>
          <w:rFonts w:ascii="Palatino Linotype" w:eastAsia="Palatino Linotype" w:hAnsi="Palatino Linotype" w:cs="Palatino Linotype"/>
          <w:b/>
          <w:bCs/>
          <w:sz w:val="24"/>
          <w:szCs w:val="24"/>
        </w:rPr>
        <w:t>treinta de septiembre de dos mil veinticinco</w:t>
      </w:r>
      <w:r>
        <w:rPr>
          <w:rFonts w:ascii="Palatino Linotype" w:eastAsia="Palatino Linotype" w:hAnsi="Palatino Linotype" w:cs="Palatino Linotype"/>
          <w:sz w:val="24"/>
          <w:szCs w:val="24"/>
        </w:rPr>
        <w:t xml:space="preserve">,  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 xml:space="preserve">interpuso recurso de revisión, arguyendo como </w:t>
      </w:r>
    </w:p>
    <w:p w:rsidR="00BD13CB" w:rsidRDefault="00BD13CB">
      <w:pPr>
        <w:spacing w:line="360" w:lineRule="auto"/>
        <w:jc w:val="both"/>
        <w:rPr>
          <w:rFonts w:ascii="Palatino Linotype" w:eastAsia="Palatino Linotype" w:hAnsi="Palatino Linotype" w:cs="Palatino Linotype"/>
          <w:sz w:val="24"/>
          <w:szCs w:val="24"/>
        </w:rPr>
      </w:pPr>
    </w:p>
    <w:p w:rsidR="00BD13CB" w:rsidRDefault="00F8154B" w:rsidP="00F8154B">
      <w:pPr>
        <w:numPr>
          <w:ilvl w:val="0"/>
          <w:numId w:val="9"/>
        </w:numPr>
        <w:pBdr>
          <w:top w:val="nil"/>
          <w:left w:val="nil"/>
          <w:bottom w:val="nil"/>
          <w:right w:val="nil"/>
          <w:between w:val="nil"/>
        </w:pBdr>
        <w:ind w:right="539"/>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color w:val="000000"/>
          <w:sz w:val="24"/>
          <w:szCs w:val="24"/>
        </w:rPr>
        <w:t>ACTO IMPUGNADO</w:t>
      </w:r>
      <w:r w:rsidR="00166B83">
        <w:rPr>
          <w:rFonts w:ascii="Palatino Linotype" w:eastAsia="Palatino Linotype" w:hAnsi="Palatino Linotype" w:cs="Palatino Linotype"/>
          <w:b/>
          <w:bCs/>
          <w:i/>
          <w:iCs/>
          <w:color w:val="000000"/>
          <w:sz w:val="24"/>
          <w:szCs w:val="24"/>
        </w:rPr>
        <w:t>:</w:t>
      </w:r>
      <w:r w:rsidR="00166B83">
        <w:rPr>
          <w:rFonts w:ascii="Palatino Linotype" w:eastAsia="Palatino Linotype" w:hAnsi="Palatino Linotype" w:cs="Palatino Linotype"/>
          <w:color w:val="000000"/>
          <w:sz w:val="24"/>
          <w:szCs w:val="24"/>
        </w:rPr>
        <w:t xml:space="preserve"> </w:t>
      </w:r>
      <w:r w:rsidR="00166B83">
        <w:rPr>
          <w:rFonts w:ascii="Palatino Linotype" w:eastAsia="Palatino Linotype" w:hAnsi="Palatino Linotype" w:cs="Palatino Linotype"/>
          <w:i/>
          <w:iCs/>
          <w:color w:val="000000"/>
          <w:sz w:val="24"/>
          <w:szCs w:val="24"/>
        </w:rPr>
        <w:t>“No atendió de manera satisfecha mi solicita por que no entrega lo solicitado” (sic)</w:t>
      </w:r>
    </w:p>
    <w:p w:rsidR="00BD13CB" w:rsidRDefault="00BD13CB">
      <w:pPr>
        <w:pBdr>
          <w:top w:val="nil"/>
          <w:left w:val="nil"/>
          <w:bottom w:val="nil"/>
          <w:right w:val="nil"/>
          <w:between w:val="nil"/>
        </w:pBdr>
        <w:spacing w:line="360" w:lineRule="auto"/>
        <w:ind w:left="720" w:right="539"/>
        <w:jc w:val="both"/>
        <w:rPr>
          <w:rFonts w:ascii="Palatino Linotype" w:eastAsia="Palatino Linotype" w:hAnsi="Palatino Linotype" w:cs="Palatino Linotype"/>
          <w:color w:val="000000"/>
          <w:sz w:val="24"/>
          <w:szCs w:val="24"/>
        </w:rPr>
      </w:pPr>
    </w:p>
    <w:p w:rsidR="00BD13CB" w:rsidRDefault="00F8154B" w:rsidP="00F8154B">
      <w:pPr>
        <w:numPr>
          <w:ilvl w:val="0"/>
          <w:numId w:val="10"/>
        </w:numPr>
        <w:pBdr>
          <w:top w:val="nil"/>
          <w:left w:val="nil"/>
          <w:bottom w:val="nil"/>
          <w:right w:val="nil"/>
          <w:between w:val="nil"/>
        </w:pBdr>
        <w:ind w:right="539"/>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 xml:space="preserve">RAZONES O MOTIVOS DE INCONFORMIDAD: </w:t>
      </w:r>
      <w:r w:rsidR="00166B83">
        <w:rPr>
          <w:rFonts w:ascii="Palatino Linotype" w:eastAsia="Palatino Linotype" w:hAnsi="Palatino Linotype" w:cs="Palatino Linotype"/>
          <w:b/>
          <w:bCs/>
          <w:color w:val="000000"/>
          <w:sz w:val="24"/>
          <w:szCs w:val="24"/>
        </w:rPr>
        <w:t>“</w:t>
      </w:r>
      <w:r w:rsidR="00166B83">
        <w:rPr>
          <w:rFonts w:ascii="Palatino Linotype" w:eastAsia="Palatino Linotype" w:hAnsi="Palatino Linotype" w:cs="Palatino Linotype"/>
          <w:i/>
          <w:iCs/>
          <w:color w:val="000000"/>
          <w:sz w:val="24"/>
          <w:szCs w:val="24"/>
        </w:rPr>
        <w:t>No atendió de manera satisfecha mi solicita por que no entrega lo solicitado “(Sic)</w:t>
      </w:r>
    </w:p>
    <w:p w:rsidR="00BD13CB" w:rsidRDefault="00BD13CB">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BD13CB" w:rsidRDefault="00BD13CB">
      <w:pPr>
        <w:pBdr>
          <w:top w:val="nil"/>
          <w:left w:val="nil"/>
          <w:bottom w:val="nil"/>
          <w:right w:val="nil"/>
          <w:between w:val="nil"/>
        </w:pBdr>
        <w:ind w:left="720" w:right="539" w:hanging="360"/>
        <w:jc w:val="both"/>
        <w:rPr>
          <w:rFonts w:ascii="Palatino Linotype" w:eastAsia="Palatino Linotype" w:hAnsi="Palatino Linotype" w:cs="Palatino Linotype"/>
          <w:color w:val="000000"/>
          <w:sz w:val="24"/>
          <w:szCs w:val="24"/>
        </w:rPr>
      </w:pPr>
    </w:p>
    <w:p w:rsidR="00BD13CB" w:rsidRDefault="00166B83">
      <w:pPr>
        <w:numPr>
          <w:ilvl w:val="0"/>
          <w:numId w:val="4"/>
        </w:numPr>
        <w:spacing w:line="360" w:lineRule="auto"/>
        <w:ind w:left="0"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Se registró el recurso de revisión bajo el número de expediente al rubro indicado, asimismo con fundamento en lo dispuesto por el artículo 185 fracción I de la </w:t>
      </w:r>
      <w:r>
        <w:rPr>
          <w:rFonts w:ascii="Palatino Linotype" w:eastAsia="Palatino Linotype" w:hAnsi="Palatino Linotype" w:cs="Palatino Linotype"/>
          <w:b/>
          <w:bCs/>
          <w:sz w:val="24"/>
          <w:szCs w:val="24"/>
        </w:rPr>
        <w:t xml:space="preserve">Ley de Transparencia y Acceso a la Información Pública del Estado de México y Municipios </w:t>
      </w:r>
      <w:r>
        <w:rPr>
          <w:rFonts w:ascii="Palatino Linotype" w:eastAsia="Palatino Linotype" w:hAnsi="Palatino Linotype" w:cs="Palatino Linotype"/>
          <w:sz w:val="24"/>
          <w:szCs w:val="24"/>
        </w:rPr>
        <w:t xml:space="preserve">se turnó a la </w:t>
      </w:r>
      <w:r>
        <w:rPr>
          <w:rFonts w:ascii="Palatino Linotype" w:eastAsia="Palatino Linotype" w:hAnsi="Palatino Linotype" w:cs="Palatino Linotype"/>
          <w:b/>
          <w:bCs/>
          <w:sz w:val="24"/>
          <w:szCs w:val="24"/>
        </w:rPr>
        <w:t xml:space="preserve">Comisionada María del Rosario Mejía Ayala, </w:t>
      </w:r>
      <w:r w:rsidR="00F8154B">
        <w:rPr>
          <w:rFonts w:ascii="Palatino Linotype" w:eastAsia="Palatino Linotype" w:hAnsi="Palatino Linotype" w:cs="Palatino Linotype"/>
          <w:sz w:val="24"/>
          <w:szCs w:val="24"/>
        </w:rPr>
        <w:t>para</w:t>
      </w:r>
      <w:r>
        <w:rPr>
          <w:rFonts w:ascii="Palatino Linotype" w:eastAsia="Palatino Linotype" w:hAnsi="Palatino Linotype" w:cs="Palatino Linotype"/>
          <w:sz w:val="24"/>
          <w:szCs w:val="24"/>
        </w:rPr>
        <w:t xml:space="preserve"> su análisis. </w:t>
      </w:r>
    </w:p>
    <w:p w:rsidR="00BD13CB" w:rsidRDefault="00BD13CB">
      <w:pPr>
        <w:spacing w:line="360" w:lineRule="auto"/>
        <w:jc w:val="both"/>
        <w:rPr>
          <w:rFonts w:ascii="Palatino Linotype" w:eastAsia="Palatino Linotype" w:hAnsi="Palatino Linotype" w:cs="Palatino Linotype"/>
          <w:sz w:val="24"/>
          <w:szCs w:val="24"/>
        </w:rPr>
      </w:pPr>
    </w:p>
    <w:p w:rsidR="00BD13CB" w:rsidRDefault="00F8154B">
      <w:pPr>
        <w:numPr>
          <w:ilvl w:val="0"/>
          <w:numId w:val="4"/>
        </w:numPr>
        <w:spacing w:line="360" w:lineRule="auto"/>
        <w:ind w:left="0" w:firstLine="0"/>
        <w:jc w:val="both"/>
        <w:rPr>
          <w:rFonts w:ascii="Palatino Linotype" w:eastAsia="Palatino Linotype" w:hAnsi="Palatino Linotype" w:cs="Palatino Linotype"/>
          <w:i/>
          <w:iCs/>
          <w:sz w:val="24"/>
          <w:szCs w:val="24"/>
        </w:rPr>
      </w:pPr>
      <w:r>
        <w:rPr>
          <w:rFonts w:ascii="Palatino Linotype" w:eastAsia="Palatino Linotype" w:hAnsi="Palatino Linotype" w:cs="Palatino Linotype"/>
          <w:sz w:val="24"/>
          <w:szCs w:val="24"/>
        </w:rPr>
        <w:t>La Comisionada p</w:t>
      </w:r>
      <w:r w:rsidR="00166B83">
        <w:rPr>
          <w:rFonts w:ascii="Palatino Linotype" w:eastAsia="Palatino Linotype" w:hAnsi="Palatino Linotype" w:cs="Palatino Linotype"/>
          <w:sz w:val="24"/>
          <w:szCs w:val="24"/>
        </w:rPr>
        <w:t xml:space="preserve">onente con fundamento en lo dispuesto por el artículo 18 fracción II de la ley de la materia, a través del acuerdo de admisión notificado el </w:t>
      </w:r>
      <w:r w:rsidR="00166B83">
        <w:rPr>
          <w:rFonts w:ascii="Palatino Linotype" w:eastAsia="Palatino Linotype" w:hAnsi="Palatino Linotype" w:cs="Palatino Linotype"/>
          <w:b/>
          <w:bCs/>
          <w:sz w:val="24"/>
          <w:szCs w:val="24"/>
        </w:rPr>
        <w:t xml:space="preserve">seis de octubre de dos </w:t>
      </w:r>
      <w:r w:rsidR="00166B83">
        <w:rPr>
          <w:rFonts w:ascii="Palatino Linotype" w:eastAsia="Palatino Linotype" w:hAnsi="Palatino Linotype" w:cs="Palatino Linotype"/>
          <w:b/>
          <w:bCs/>
          <w:sz w:val="24"/>
          <w:szCs w:val="24"/>
        </w:rPr>
        <w:lastRenderedPageBreak/>
        <w:t>mil veinticinco,</w:t>
      </w:r>
      <w:r w:rsidR="00166B83">
        <w:rPr>
          <w:rFonts w:ascii="Palatino Linotype" w:eastAsia="Palatino Linotype" w:hAnsi="Palatino Linotype" w:cs="Palatino Linotype"/>
          <w:sz w:val="24"/>
          <w:szCs w:val="24"/>
        </w:rPr>
        <w:t xml:space="preserve"> se puso a disposición de las partes el expediente electrónico vía </w:t>
      </w:r>
      <w:r w:rsidR="00166B83">
        <w:rPr>
          <w:rFonts w:ascii="Palatino Linotype" w:eastAsia="Palatino Linotype" w:hAnsi="Palatino Linotype" w:cs="Palatino Linotype"/>
          <w:b/>
          <w:bCs/>
          <w:sz w:val="24"/>
          <w:szCs w:val="24"/>
        </w:rPr>
        <w:t xml:space="preserve">SAIMEX </w:t>
      </w:r>
      <w:r w:rsidR="00166B83">
        <w:rPr>
          <w:rFonts w:ascii="Palatino Linotype" w:eastAsia="Palatino Linotype" w:hAnsi="Palatino Linotype" w:cs="Palatino Linotype"/>
          <w:sz w:val="24"/>
          <w:szCs w:val="24"/>
        </w:rPr>
        <w:t xml:space="preserve">a efecto de que en un plazo máximo de siete días manifestaran lo que a derecho convinieran, ofrecieran pruebas y alegatos según corresponda al caso concreto, de esta forma para que el </w:t>
      </w:r>
      <w:r w:rsidR="00166B83">
        <w:rPr>
          <w:rFonts w:ascii="Palatino Linotype" w:eastAsia="Palatino Linotype" w:hAnsi="Palatino Linotype" w:cs="Palatino Linotype"/>
          <w:b/>
          <w:bCs/>
          <w:sz w:val="24"/>
          <w:szCs w:val="24"/>
        </w:rPr>
        <w:t>SUJETO OBLIGADO</w:t>
      </w:r>
      <w:r w:rsidR="00166B83">
        <w:rPr>
          <w:rFonts w:ascii="Palatino Linotype" w:eastAsia="Palatino Linotype" w:hAnsi="Palatino Linotype" w:cs="Palatino Linotype"/>
          <w:sz w:val="24"/>
          <w:szCs w:val="24"/>
        </w:rPr>
        <w:t xml:space="preserve"> presentara el informe justificado procedente. </w:t>
      </w:r>
    </w:p>
    <w:p w:rsidR="00BD13CB" w:rsidRDefault="00BD13CB">
      <w:pPr>
        <w:pBdr>
          <w:top w:val="nil"/>
          <w:left w:val="nil"/>
          <w:bottom w:val="nil"/>
          <w:right w:val="nil"/>
          <w:between w:val="nil"/>
        </w:pBdr>
        <w:ind w:left="720"/>
        <w:rPr>
          <w:rFonts w:ascii="Palatino Linotype" w:eastAsia="Palatino Linotype" w:hAnsi="Palatino Linotype" w:cs="Palatino Linotype"/>
          <w:i/>
          <w:iCs/>
          <w:color w:val="000000"/>
          <w:sz w:val="24"/>
          <w:szCs w:val="24"/>
        </w:rPr>
      </w:pPr>
    </w:p>
    <w:p w:rsidR="00BD13CB" w:rsidRDefault="00166B83">
      <w:pPr>
        <w:numPr>
          <w:ilvl w:val="0"/>
          <w:numId w:val="4"/>
        </w:numPr>
        <w:spacing w:line="360" w:lineRule="auto"/>
        <w:ind w:left="0" w:firstLine="0"/>
        <w:jc w:val="both"/>
        <w:rPr>
          <w:rFonts w:ascii="Palatino Linotype" w:eastAsia="Palatino Linotype" w:hAnsi="Palatino Linotype" w:cs="Palatino Linotype"/>
          <w:i/>
          <w:iCs/>
          <w:sz w:val="24"/>
          <w:szCs w:val="24"/>
        </w:rPr>
      </w:pPr>
      <w:r>
        <w:rPr>
          <w:rFonts w:ascii="Palatino Linotype" w:eastAsia="Palatino Linotype" w:hAnsi="Palatino Linotype" w:cs="Palatino Linotype"/>
          <w:sz w:val="24"/>
          <w:szCs w:val="24"/>
        </w:rPr>
        <w:t xml:space="preserve">De las constancias que obran en el expediente electrónico SAIMEX, se advierte que el </w:t>
      </w:r>
      <w:r>
        <w:rPr>
          <w:rFonts w:ascii="Palatino Linotype" w:eastAsia="Palatino Linotype" w:hAnsi="Palatino Linotype" w:cs="Palatino Linotype"/>
          <w:b/>
          <w:bCs/>
          <w:sz w:val="24"/>
          <w:szCs w:val="24"/>
        </w:rPr>
        <w:t>PARTICULAR,</w:t>
      </w:r>
      <w:r>
        <w:rPr>
          <w:rFonts w:ascii="Palatino Linotype" w:eastAsia="Palatino Linotype" w:hAnsi="Palatino Linotype" w:cs="Palatino Linotype"/>
          <w:sz w:val="24"/>
          <w:szCs w:val="24"/>
        </w:rPr>
        <w:t xml:space="preserve"> no realizó manifestación alguna.</w:t>
      </w:r>
    </w:p>
    <w:p w:rsidR="00BD13CB" w:rsidRDefault="00BD13CB">
      <w:pPr>
        <w:spacing w:line="360" w:lineRule="auto"/>
        <w:jc w:val="both"/>
        <w:rPr>
          <w:rFonts w:ascii="Palatino Linotype" w:eastAsia="Palatino Linotype" w:hAnsi="Palatino Linotype" w:cs="Palatino Linotype"/>
          <w:i/>
          <w:iCs/>
          <w:sz w:val="24"/>
          <w:szCs w:val="24"/>
        </w:rPr>
      </w:pPr>
    </w:p>
    <w:p w:rsidR="00BD13CB" w:rsidRDefault="00166B83">
      <w:pPr>
        <w:numPr>
          <w:ilvl w:val="0"/>
          <w:numId w:val="4"/>
        </w:numPr>
        <w:spacing w:line="360" w:lineRule="auto"/>
        <w:ind w:left="0" w:firstLine="0"/>
        <w:jc w:val="both"/>
        <w:rPr>
          <w:rFonts w:ascii="Palatino Linotype" w:eastAsia="Palatino Linotype" w:hAnsi="Palatino Linotype" w:cs="Palatino Linotype"/>
          <w:color w:val="FF0000"/>
          <w:sz w:val="24"/>
          <w:szCs w:val="24"/>
        </w:rPr>
      </w:pP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el seis y siete de agosto de dos mil veinticinco, rindió el Informe Justificado a través de los archivos siguientes:</w:t>
      </w:r>
    </w:p>
    <w:p w:rsidR="00BD13CB" w:rsidRDefault="00166B83">
      <w:pPr>
        <w:numPr>
          <w:ilvl w:val="0"/>
          <w:numId w:val="7"/>
        </w:numPr>
        <w:pBdr>
          <w:top w:val="nil"/>
          <w:left w:val="nil"/>
          <w:bottom w:val="nil"/>
          <w:right w:val="nil"/>
          <w:between w:val="nil"/>
        </w:pBdr>
        <w:ind w:right="68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 xml:space="preserve">Ratificación 11203.pdf: </w:t>
      </w:r>
      <w:r>
        <w:rPr>
          <w:rFonts w:ascii="Palatino Linotype" w:eastAsia="Palatino Linotype" w:hAnsi="Palatino Linotype" w:cs="Palatino Linotype"/>
          <w:color w:val="000000"/>
          <w:sz w:val="24"/>
          <w:szCs w:val="24"/>
        </w:rPr>
        <w:t>Oficio firmado por el Titular de la Unidad de Transparencia por el que informó que ratifica la respuesta emitida por la Dirección General de Administración.</w:t>
      </w:r>
    </w:p>
    <w:p w:rsidR="00BD13CB" w:rsidRDefault="00166B83">
      <w:pPr>
        <w:numPr>
          <w:ilvl w:val="0"/>
          <w:numId w:val="7"/>
        </w:numPr>
        <w:pBdr>
          <w:top w:val="nil"/>
          <w:left w:val="nil"/>
          <w:bottom w:val="nil"/>
          <w:right w:val="nil"/>
          <w:between w:val="nil"/>
        </w:pBdr>
        <w:ind w:right="68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Ratificación 11203.pdf:</w:t>
      </w:r>
      <w:r>
        <w:rPr>
          <w:rFonts w:ascii="Palatino Linotype" w:eastAsia="Palatino Linotype" w:hAnsi="Palatino Linotype" w:cs="Palatino Linotype"/>
          <w:color w:val="000000"/>
          <w:sz w:val="24"/>
          <w:szCs w:val="24"/>
        </w:rPr>
        <w:t xml:space="preserve"> Oficio firmado por el Titular de la Unidad de Transparencia por el que informó que ratifica la respuesta emitida por la Dirección General de Administración.</w:t>
      </w:r>
    </w:p>
    <w:p w:rsidR="00BD13CB" w:rsidRDefault="00166B83">
      <w:pPr>
        <w:numPr>
          <w:ilvl w:val="0"/>
          <w:numId w:val="7"/>
        </w:numPr>
        <w:pBdr>
          <w:top w:val="nil"/>
          <w:left w:val="nil"/>
          <w:bottom w:val="nil"/>
          <w:right w:val="nil"/>
          <w:between w:val="nil"/>
        </w:pBdr>
        <w:ind w:right="68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 xml:space="preserve">ANEXOS 11203-2025.pdf: </w:t>
      </w:r>
      <w:r>
        <w:rPr>
          <w:rFonts w:ascii="Palatino Linotype" w:eastAsia="Palatino Linotype" w:hAnsi="Palatino Linotype" w:cs="Palatino Linotype"/>
          <w:color w:val="000000"/>
          <w:sz w:val="24"/>
          <w:szCs w:val="24"/>
        </w:rPr>
        <w:t>Oficio firmado por la Dirección General de Administración, por el que ratifica su respuesta primigenia.</w:t>
      </w:r>
    </w:p>
    <w:p w:rsidR="00BD13CB" w:rsidRDefault="00BD13CB">
      <w:pPr>
        <w:jc w:val="both"/>
        <w:rPr>
          <w:rFonts w:ascii="Palatino Linotype" w:eastAsia="Palatino Linotype" w:hAnsi="Palatino Linotype" w:cs="Palatino Linotype"/>
          <w:sz w:val="24"/>
          <w:szCs w:val="24"/>
        </w:rPr>
      </w:pPr>
    </w:p>
    <w:p w:rsidR="00BD13CB" w:rsidRDefault="00BD13CB">
      <w:pPr>
        <w:jc w:val="both"/>
        <w:rPr>
          <w:rFonts w:ascii="Palatino Linotype" w:eastAsia="Palatino Linotype" w:hAnsi="Palatino Linotype" w:cs="Palatino Linotype"/>
          <w:sz w:val="24"/>
          <w:szCs w:val="24"/>
        </w:rPr>
      </w:pPr>
    </w:p>
    <w:p w:rsidR="00BD13CB" w:rsidRDefault="00166B83">
      <w:pPr>
        <w:numPr>
          <w:ilvl w:val="0"/>
          <w:numId w:val="4"/>
        </w:numPr>
        <w:tabs>
          <w:tab w:val="left" w:pos="426"/>
        </w:tabs>
        <w:spacing w:line="360" w:lineRule="auto"/>
        <w:ind w:left="0" w:firstLine="0"/>
        <w:jc w:val="both"/>
        <w:rPr>
          <w:rFonts w:ascii="Palatino Linotype" w:eastAsia="Palatino Linotype" w:hAnsi="Palatino Linotype" w:cs="Palatino Linotype"/>
          <w:b/>
          <w:bCs/>
          <w:sz w:val="24"/>
          <w:szCs w:val="24"/>
          <w:u w:val="single"/>
        </w:rPr>
      </w:pP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 xml:space="preserve">cinco de febrero de dos mil veintiséis, </w:t>
      </w:r>
      <w:r>
        <w:rPr>
          <w:rFonts w:ascii="Palatino Linotype" w:eastAsia="Palatino Linotype" w:hAnsi="Palatino Linotype" w:cs="Palatino Linotype"/>
          <w:sz w:val="24"/>
          <w:szCs w:val="24"/>
        </w:rPr>
        <w:t>se notificó el acuerdo por el que se amplió el plazo para resolver el recurso de revisión que nos ocupa.</w:t>
      </w:r>
    </w:p>
    <w:p w:rsidR="00BD13CB" w:rsidRDefault="00BD13CB">
      <w:pPr>
        <w:tabs>
          <w:tab w:val="left" w:pos="426"/>
        </w:tabs>
        <w:spacing w:line="360" w:lineRule="auto"/>
        <w:jc w:val="both"/>
        <w:rPr>
          <w:rFonts w:ascii="Palatino Linotype" w:eastAsia="Palatino Linotype" w:hAnsi="Palatino Linotype" w:cs="Palatino Linotype"/>
          <w:b/>
          <w:bCs/>
          <w:sz w:val="24"/>
          <w:szCs w:val="24"/>
          <w:u w:val="single"/>
        </w:rPr>
      </w:pPr>
    </w:p>
    <w:p w:rsidR="00BD13CB" w:rsidRDefault="00166B83">
      <w:pPr>
        <w:numPr>
          <w:ilvl w:val="0"/>
          <w:numId w:val="4"/>
        </w:numPr>
        <w:tabs>
          <w:tab w:val="left" w:pos="426"/>
        </w:tabs>
        <w:spacing w:line="360" w:lineRule="auto"/>
        <w:ind w:left="0" w:firstLine="0"/>
        <w:jc w:val="both"/>
        <w:rPr>
          <w:rFonts w:ascii="Palatino Linotype" w:eastAsia="Palatino Linotype" w:hAnsi="Palatino Linotype" w:cs="Palatino Linotype"/>
          <w:b/>
          <w:bCs/>
          <w:sz w:val="24"/>
          <w:szCs w:val="24"/>
          <w:u w:val="single"/>
        </w:rPr>
      </w:pPr>
      <w:r>
        <w:rPr>
          <w:rFonts w:ascii="Palatino Linotype" w:eastAsia="Palatino Linotype" w:hAnsi="Palatino Linotype" w:cs="Palatino Linotype"/>
          <w:sz w:val="24"/>
          <w:szCs w:val="24"/>
        </w:rPr>
        <w:t>El</w:t>
      </w:r>
      <w:r>
        <w:rPr>
          <w:rFonts w:ascii="Palatino Linotype" w:eastAsia="Palatino Linotype" w:hAnsi="Palatino Linotype" w:cs="Palatino Linotype"/>
          <w:b/>
          <w:bCs/>
          <w:sz w:val="24"/>
          <w:szCs w:val="24"/>
        </w:rPr>
        <w:t xml:space="preserve"> once de febrero de dos mil veintiséis</w:t>
      </w:r>
      <w:r w:rsidR="00F30366">
        <w:rPr>
          <w:rFonts w:ascii="Palatino Linotype" w:eastAsia="Palatino Linotype" w:hAnsi="Palatino Linotype" w:cs="Palatino Linotype"/>
          <w:sz w:val="24"/>
          <w:szCs w:val="24"/>
        </w:rPr>
        <w:t>, la Comisionada p</w:t>
      </w:r>
      <w:r>
        <w:rPr>
          <w:rFonts w:ascii="Palatino Linotype" w:eastAsia="Palatino Linotype" w:hAnsi="Palatino Linotype" w:cs="Palatino Linotype"/>
          <w:sz w:val="24"/>
          <w:szCs w:val="24"/>
        </w:rPr>
        <w:t>onente decretó el cierre de instrucción y al no existir diligencias por realizar y se turnó el expediente a resolución correspondiente, por lo que no habiendo más que hacer constar, y</w:t>
      </w:r>
      <w:r w:rsidR="00F8154B">
        <w:rPr>
          <w:rFonts w:ascii="Palatino Linotype" w:eastAsia="Palatino Linotype" w:hAnsi="Palatino Linotype" w:cs="Palatino Linotype"/>
          <w:sz w:val="24"/>
          <w:szCs w:val="24"/>
        </w:rPr>
        <w:t xml:space="preserve"> ------------------------------------</w:t>
      </w:r>
    </w:p>
    <w:p w:rsidR="00BD13CB" w:rsidRDefault="00166B83">
      <w:pPr>
        <w:keepNext/>
        <w:keepLines/>
        <w:spacing w:line="360" w:lineRule="auto"/>
        <w:jc w:val="center"/>
        <w:rPr>
          <w:rFonts w:ascii="Palatino Linotype" w:eastAsia="Palatino Linotype" w:hAnsi="Palatino Linotype" w:cs="Palatino Linotype"/>
          <w:b/>
          <w:bCs/>
          <w:sz w:val="24"/>
          <w:szCs w:val="24"/>
        </w:rPr>
      </w:pPr>
      <w:bookmarkStart w:id="3" w:name="_heading=h.30j0zll" w:colFirst="0" w:colLast="0"/>
      <w:bookmarkEnd w:id="3"/>
      <w:r>
        <w:rPr>
          <w:rFonts w:ascii="Palatino Linotype" w:eastAsia="Palatino Linotype" w:hAnsi="Palatino Linotype" w:cs="Palatino Linotype"/>
          <w:b/>
          <w:bCs/>
          <w:sz w:val="24"/>
          <w:szCs w:val="24"/>
        </w:rPr>
        <w:lastRenderedPageBreak/>
        <w:t>C</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O</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N</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S</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I</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D</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E</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R</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A</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N</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D</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O</w:t>
      </w:r>
      <w:r w:rsidR="00F8154B">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 xml:space="preserve"> </w:t>
      </w:r>
    </w:p>
    <w:p w:rsidR="00BD13CB" w:rsidRDefault="00BD13CB">
      <w:pPr>
        <w:spacing w:line="360" w:lineRule="auto"/>
        <w:rPr>
          <w:rFonts w:ascii="Palatino Linotype" w:eastAsia="Palatino Linotype" w:hAnsi="Palatino Linotype" w:cs="Palatino Linotype"/>
          <w:sz w:val="24"/>
          <w:szCs w:val="24"/>
        </w:rPr>
      </w:pPr>
    </w:p>
    <w:p w:rsidR="00BD13CB" w:rsidRDefault="00166B83">
      <w:pPr>
        <w:keepNext/>
        <w:keepLines/>
        <w:spacing w:line="360" w:lineRule="auto"/>
        <w:rPr>
          <w:rFonts w:ascii="Palatino Linotype" w:eastAsia="Palatino Linotype" w:hAnsi="Palatino Linotype" w:cs="Palatino Linotype"/>
          <w:b/>
          <w:bCs/>
          <w:sz w:val="24"/>
          <w:szCs w:val="24"/>
        </w:rPr>
      </w:pPr>
      <w:bookmarkStart w:id="4" w:name="_heading=h.1fob9te" w:colFirst="0" w:colLast="0"/>
      <w:bookmarkEnd w:id="4"/>
      <w:r>
        <w:rPr>
          <w:rFonts w:ascii="Palatino Linotype" w:eastAsia="Palatino Linotype" w:hAnsi="Palatino Linotype" w:cs="Palatino Linotype"/>
          <w:b/>
          <w:bCs/>
          <w:sz w:val="24"/>
          <w:szCs w:val="24"/>
        </w:rPr>
        <w:t>PRIMERO. De la competencia</w:t>
      </w:r>
    </w:p>
    <w:p w:rsidR="00BD13CB" w:rsidRDefault="00166B83">
      <w:pPr>
        <w:numPr>
          <w:ilvl w:val="0"/>
          <w:numId w:val="4"/>
        </w:numPr>
        <w:tabs>
          <w:tab w:val="left" w:pos="426"/>
        </w:tabs>
        <w:spacing w:line="360" w:lineRule="auto"/>
        <w:ind w:left="0"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trigésimo, trigésimo primero y trigésimo segundo,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BD13CB" w:rsidRDefault="00BD13CB">
      <w:pPr>
        <w:tabs>
          <w:tab w:val="left" w:pos="426"/>
        </w:tabs>
        <w:spacing w:line="360" w:lineRule="auto"/>
        <w:jc w:val="both"/>
        <w:rPr>
          <w:rFonts w:ascii="Palatino Linotype" w:eastAsia="Palatino Linotype" w:hAnsi="Palatino Linotype" w:cs="Palatino Linotype"/>
          <w:color w:val="000000"/>
          <w:sz w:val="24"/>
          <w:szCs w:val="24"/>
        </w:rPr>
      </w:pPr>
    </w:p>
    <w:p w:rsidR="00BD13CB" w:rsidRDefault="00166B83">
      <w:pPr>
        <w:keepNext/>
        <w:keepLines/>
        <w:spacing w:line="360" w:lineRule="auto"/>
        <w:rPr>
          <w:rFonts w:ascii="Palatino Linotype" w:eastAsia="Palatino Linotype" w:hAnsi="Palatino Linotype" w:cs="Palatino Linotype"/>
          <w:b/>
          <w:bCs/>
          <w:sz w:val="24"/>
          <w:szCs w:val="24"/>
        </w:rPr>
      </w:pPr>
      <w:bookmarkStart w:id="5" w:name="_heading=h.3znysh7" w:colFirst="0" w:colLast="0"/>
      <w:bookmarkEnd w:id="5"/>
      <w:r>
        <w:rPr>
          <w:rFonts w:ascii="Palatino Linotype" w:eastAsia="Palatino Linotype" w:hAnsi="Palatino Linotype" w:cs="Palatino Linotype"/>
          <w:b/>
          <w:bCs/>
          <w:sz w:val="24"/>
          <w:szCs w:val="24"/>
        </w:rPr>
        <w:t>SEGUNDO. De la oportunidad y procedencia.</w:t>
      </w:r>
    </w:p>
    <w:p w:rsidR="00BD13CB" w:rsidRDefault="00166B83">
      <w:pPr>
        <w:numPr>
          <w:ilvl w:val="0"/>
          <w:numId w:val="4"/>
        </w:numPr>
        <w:spacing w:line="360" w:lineRule="auto"/>
        <w:ind w:left="0" w:right="48"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El medio de impugnación fue presentado a través del </w:t>
      </w:r>
      <w:r>
        <w:rPr>
          <w:rFonts w:ascii="Palatino Linotype" w:eastAsia="Palatino Linotype" w:hAnsi="Palatino Linotype" w:cs="Palatino Linotype"/>
          <w:b/>
          <w:bCs/>
          <w:sz w:val="24"/>
          <w:szCs w:val="24"/>
        </w:rPr>
        <w:t>SAIMEX,</w:t>
      </w:r>
      <w:r>
        <w:rPr>
          <w:rFonts w:ascii="Palatino Linotype" w:eastAsia="Palatino Linotype" w:hAnsi="Palatino Linotype" w:cs="Palatino Linotype"/>
          <w:sz w:val="24"/>
          <w:szCs w:val="24"/>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entregó respuesta el </w:t>
      </w:r>
      <w:r>
        <w:rPr>
          <w:rFonts w:ascii="Palatino Linotype" w:eastAsia="Palatino Linotype" w:hAnsi="Palatino Linotype" w:cs="Palatino Linotype"/>
          <w:b/>
          <w:bCs/>
          <w:sz w:val="24"/>
          <w:szCs w:val="24"/>
        </w:rPr>
        <w:t>ocho de septiembre de dos mil veinticinco</w:t>
      </w:r>
      <w:r>
        <w:rPr>
          <w:rFonts w:ascii="Palatino Linotype" w:eastAsia="Palatino Linotype" w:hAnsi="Palatino Linotype" w:cs="Palatino Linotype"/>
          <w:sz w:val="24"/>
          <w:szCs w:val="24"/>
        </w:rPr>
        <w:t xml:space="preserve">, de tal forma que el plazo para interponer el recurso transcurrió del </w:t>
      </w:r>
      <w:r>
        <w:rPr>
          <w:rFonts w:ascii="Palatino Linotype" w:eastAsia="Palatino Linotype" w:hAnsi="Palatino Linotype" w:cs="Palatino Linotype"/>
          <w:b/>
          <w:bCs/>
          <w:sz w:val="24"/>
          <w:szCs w:val="24"/>
        </w:rPr>
        <w:t xml:space="preserve">nueve al treinta de septiembre  de dos mil veinticinco, </w:t>
      </w:r>
      <w:r>
        <w:rPr>
          <w:rFonts w:ascii="Palatino Linotype" w:eastAsia="Palatino Linotype" w:hAnsi="Palatino Linotype" w:cs="Palatino Linotype"/>
          <w:sz w:val="24"/>
          <w:szCs w:val="24"/>
        </w:rPr>
        <w:t xml:space="preserve">en consecuencia, si el </w:t>
      </w:r>
      <w:r>
        <w:rPr>
          <w:rFonts w:ascii="Palatino Linotype" w:eastAsia="Palatino Linotype" w:hAnsi="Palatino Linotype" w:cs="Palatino Linotype"/>
          <w:b/>
          <w:bCs/>
          <w:sz w:val="24"/>
          <w:szCs w:val="24"/>
        </w:rPr>
        <w:t>PARTICULAR</w:t>
      </w:r>
      <w:r>
        <w:rPr>
          <w:rFonts w:ascii="Palatino Linotype" w:eastAsia="Palatino Linotype" w:hAnsi="Palatino Linotype" w:cs="Palatino Linotype"/>
          <w:sz w:val="24"/>
          <w:szCs w:val="24"/>
        </w:rPr>
        <w:t xml:space="preserve"> presentó su inconformidad el </w:t>
      </w:r>
      <w:r>
        <w:rPr>
          <w:rFonts w:ascii="Palatino Linotype" w:eastAsia="Palatino Linotype" w:hAnsi="Palatino Linotype" w:cs="Palatino Linotype"/>
          <w:b/>
          <w:bCs/>
          <w:sz w:val="24"/>
          <w:szCs w:val="24"/>
        </w:rPr>
        <w:t>treinta de septiembre de dos mil veinticinco</w:t>
      </w:r>
      <w:r>
        <w:rPr>
          <w:rFonts w:ascii="Palatino Linotype" w:eastAsia="Palatino Linotype" w:hAnsi="Palatino Linotype" w:cs="Palatino Linotype"/>
          <w:sz w:val="24"/>
          <w:szCs w:val="24"/>
        </w:rPr>
        <w:t xml:space="preserve">, este  se encuentra dentro de los márgenes temporales previstos en el </w:t>
      </w:r>
      <w:r>
        <w:rPr>
          <w:rFonts w:ascii="Palatino Linotype" w:eastAsia="Palatino Linotype" w:hAnsi="Palatino Linotype" w:cs="Palatino Linotype"/>
          <w:sz w:val="24"/>
          <w:szCs w:val="24"/>
        </w:rPr>
        <w:lastRenderedPageBreak/>
        <w:t xml:space="preserve">artículo 178 de la </w:t>
      </w:r>
      <w:r>
        <w:rPr>
          <w:rFonts w:ascii="Palatino Linotype" w:eastAsia="Palatino Linotype" w:hAnsi="Palatino Linotype" w:cs="Palatino Linotype"/>
          <w:b/>
          <w:bCs/>
          <w:sz w:val="24"/>
          <w:szCs w:val="24"/>
        </w:rPr>
        <w:t xml:space="preserve">Ley de Transparencia y Acceso a la Información Pública del Estado de México y Municipios </w:t>
      </w:r>
      <w:r>
        <w:rPr>
          <w:rFonts w:ascii="Palatino Linotype" w:eastAsia="Palatino Linotype" w:hAnsi="Palatino Linotype" w:cs="Palatino Linotype"/>
          <w:sz w:val="24"/>
          <w:szCs w:val="24"/>
        </w:rPr>
        <w:t xml:space="preserve">vigente. </w:t>
      </w:r>
    </w:p>
    <w:p w:rsidR="00BD13CB" w:rsidRDefault="00BD13CB">
      <w:pPr>
        <w:spacing w:line="360" w:lineRule="auto"/>
        <w:ind w:right="49"/>
        <w:jc w:val="both"/>
        <w:rPr>
          <w:rFonts w:ascii="Palatino Linotype" w:eastAsia="Palatino Linotype" w:hAnsi="Palatino Linotype" w:cs="Palatino Linotype"/>
          <w:sz w:val="24"/>
          <w:szCs w:val="24"/>
        </w:rPr>
      </w:pPr>
      <w:bookmarkStart w:id="6" w:name="_heading=h.2et92p0" w:colFirst="0" w:colLast="0"/>
      <w:bookmarkEnd w:id="6"/>
    </w:p>
    <w:p w:rsidR="00BD13CB" w:rsidRDefault="00166B83">
      <w:pPr>
        <w:pStyle w:val="Ttulo2"/>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BD13CB" w:rsidRDefault="00166B83">
      <w:pPr>
        <w:numPr>
          <w:ilvl w:val="0"/>
          <w:numId w:val="4"/>
        </w:numPr>
        <w:spacing w:line="360" w:lineRule="auto"/>
        <w:ind w:left="0" w:right="49"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Se solicitó la información que a continuación se desagrega:</w:t>
      </w:r>
    </w:p>
    <w:p w:rsidR="00BD13CB" w:rsidRDefault="00166B83">
      <w:pPr>
        <w:pBdr>
          <w:top w:val="nil"/>
          <w:left w:val="nil"/>
          <w:bottom w:val="nil"/>
          <w:right w:val="nil"/>
          <w:between w:val="nil"/>
        </w:pBdr>
        <w:spacing w:line="276" w:lineRule="auto"/>
        <w:ind w:left="720" w:right="68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Solicito la información relacionada a los montos salariales que se definieron para el cabildo: Presidencia municipal, síndicos y regidores, directores de área y coordinadores que conforman el gabinete del Ayuntamiento 2024 y 2025:</w:t>
      </w:r>
    </w:p>
    <w:p w:rsidR="00BD13CB" w:rsidRDefault="00BD13CB">
      <w:pPr>
        <w:pBdr>
          <w:top w:val="nil"/>
          <w:left w:val="nil"/>
          <w:bottom w:val="nil"/>
          <w:right w:val="nil"/>
          <w:between w:val="nil"/>
        </w:pBdr>
        <w:spacing w:line="276" w:lineRule="auto"/>
        <w:ind w:left="720" w:right="680"/>
        <w:jc w:val="both"/>
        <w:rPr>
          <w:rFonts w:ascii="Palatino Linotype" w:eastAsia="Palatino Linotype" w:hAnsi="Palatino Linotype" w:cs="Palatino Linotype"/>
          <w:color w:val="000000"/>
          <w:sz w:val="24"/>
          <w:szCs w:val="24"/>
        </w:rPr>
      </w:pPr>
    </w:p>
    <w:p w:rsidR="00BD13CB" w:rsidRDefault="00166B83">
      <w:pPr>
        <w:numPr>
          <w:ilvl w:val="0"/>
          <w:numId w:val="4"/>
        </w:numPr>
        <w:spacing w:line="360" w:lineRule="auto"/>
        <w:ind w:left="0" w:right="49" w:firstLine="0"/>
        <w:jc w:val="both"/>
        <w:rPr>
          <w:rFonts w:ascii="Palatino Linotype" w:eastAsia="Palatino Linotype" w:hAnsi="Palatino Linotype" w:cs="Palatino Linotype"/>
          <w:i/>
          <w:iCs/>
          <w:sz w:val="24"/>
          <w:szCs w:val="24"/>
        </w:rPr>
      </w:pP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 xml:space="preserve">dio respuesta como quedó referido en el numeral 2 de la presente resolución. </w:t>
      </w:r>
    </w:p>
    <w:p w:rsidR="00BD13CB" w:rsidRDefault="00BD13CB">
      <w:pPr>
        <w:spacing w:line="360" w:lineRule="auto"/>
        <w:ind w:right="49"/>
        <w:jc w:val="both"/>
        <w:rPr>
          <w:rFonts w:ascii="Palatino Linotype" w:eastAsia="Palatino Linotype" w:hAnsi="Palatino Linotype" w:cs="Palatino Linotype"/>
          <w:sz w:val="24"/>
          <w:szCs w:val="24"/>
        </w:rPr>
      </w:pPr>
    </w:p>
    <w:p w:rsidR="00BD13CB" w:rsidRDefault="00166B83">
      <w:pPr>
        <w:numPr>
          <w:ilvl w:val="0"/>
          <w:numId w:val="4"/>
        </w:numPr>
        <w:spacing w:line="360" w:lineRule="auto"/>
        <w:ind w:left="0" w:right="49" w:firstLine="0"/>
        <w:jc w:val="both"/>
        <w:rPr>
          <w:rFonts w:ascii="Palatino Linotype" w:eastAsia="Palatino Linotype" w:hAnsi="Palatino Linotype" w:cs="Palatino Linotype"/>
          <w:i/>
          <w:iCs/>
          <w:sz w:val="24"/>
          <w:szCs w:val="24"/>
        </w:rPr>
      </w:pPr>
      <w:r>
        <w:rPr>
          <w:rFonts w:ascii="Palatino Linotype" w:eastAsia="Palatino Linotype" w:hAnsi="Palatino Linotype" w:cs="Palatino Linotype"/>
          <w:sz w:val="24"/>
          <w:szCs w:val="24"/>
        </w:rPr>
        <w:t xml:space="preserve">Inconforme con lo anterior, el ahora </w:t>
      </w:r>
      <w:r>
        <w:rPr>
          <w:rFonts w:ascii="Palatino Linotype" w:eastAsia="Palatino Linotype" w:hAnsi="Palatino Linotype" w:cs="Palatino Linotype"/>
          <w:b/>
          <w:bCs/>
          <w:sz w:val="24"/>
          <w:szCs w:val="24"/>
        </w:rPr>
        <w:t xml:space="preserve">RECURRENTE </w:t>
      </w:r>
      <w:r>
        <w:rPr>
          <w:rFonts w:ascii="Palatino Linotype" w:eastAsia="Palatino Linotype" w:hAnsi="Palatino Linotype" w:cs="Palatino Linotype"/>
          <w:sz w:val="24"/>
          <w:szCs w:val="24"/>
        </w:rPr>
        <w:t xml:space="preserve">interpuso Recurso de Revisión arguyendo medularmente la negativa de la entrega de la información </w:t>
      </w:r>
    </w:p>
    <w:p w:rsidR="00BD13CB" w:rsidRDefault="00BD13CB">
      <w:pPr>
        <w:spacing w:line="360" w:lineRule="auto"/>
        <w:ind w:right="49"/>
        <w:jc w:val="both"/>
        <w:rPr>
          <w:rFonts w:ascii="Palatino Linotype" w:eastAsia="Palatino Linotype" w:hAnsi="Palatino Linotype" w:cs="Palatino Linotype"/>
          <w:i/>
          <w:iCs/>
          <w:sz w:val="24"/>
          <w:szCs w:val="24"/>
        </w:rPr>
      </w:pPr>
    </w:p>
    <w:p w:rsidR="00BD13CB" w:rsidRDefault="00166B83">
      <w:pPr>
        <w:numPr>
          <w:ilvl w:val="0"/>
          <w:numId w:val="4"/>
        </w:numPr>
        <w:spacing w:line="360" w:lineRule="auto"/>
        <w:ind w:left="0" w:right="49"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En dichas condiciones, la </w:t>
      </w:r>
      <w:r>
        <w:rPr>
          <w:rFonts w:ascii="Palatino Linotype" w:eastAsia="Palatino Linotype" w:hAnsi="Palatino Linotype" w:cs="Palatino Linotype"/>
          <w:i/>
          <w:iCs/>
          <w:sz w:val="24"/>
          <w:szCs w:val="24"/>
        </w:rPr>
        <w:t>Litis</w:t>
      </w:r>
      <w:r>
        <w:rPr>
          <w:rFonts w:ascii="Palatino Linotype" w:eastAsia="Palatino Linotype" w:hAnsi="Palatino Linotype" w:cs="Palatino Linotype"/>
          <w:sz w:val="24"/>
          <w:szCs w:val="24"/>
        </w:rPr>
        <w:t xml:space="preserve"> a resolver en este recurso se circunscribe a determinar si se actualiza la causal de procedencia prevista en el artículo 179, fracción</w:t>
      </w:r>
      <w:r>
        <w:rPr>
          <w:rFonts w:ascii="Palatino Linotype" w:eastAsia="Palatino Linotype" w:hAnsi="Palatino Linotype" w:cs="Palatino Linotype"/>
          <w:b/>
          <w:bCs/>
          <w:sz w:val="24"/>
          <w:szCs w:val="24"/>
        </w:rPr>
        <w:t xml:space="preserve"> I </w:t>
      </w:r>
      <w:r>
        <w:rPr>
          <w:rFonts w:ascii="Palatino Linotype" w:eastAsia="Palatino Linotype" w:hAnsi="Palatino Linotype" w:cs="Palatino Linotype"/>
          <w:sz w:val="24"/>
          <w:szCs w:val="24"/>
        </w:rPr>
        <w:t xml:space="preserve">de la </w:t>
      </w:r>
      <w:r>
        <w:rPr>
          <w:rFonts w:ascii="Palatino Linotype" w:eastAsia="Palatino Linotype" w:hAnsi="Palatino Linotype" w:cs="Palatino Linotype"/>
          <w:b/>
          <w:bCs/>
          <w:sz w:val="24"/>
          <w:szCs w:val="24"/>
        </w:rPr>
        <w:t>Ley de Transparencia y Acceso a la Información Pública del Estado de México y Municipios</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 xml:space="preserve">fracción que determina las hipótesis jurídica relativa la negativa a la información solicitada; </w:t>
      </w:r>
      <w:r>
        <w:rPr>
          <w:rFonts w:ascii="Palatino Linotype" w:eastAsia="Palatino Linotype" w:hAnsi="Palatino Linotype" w:cs="Palatino Linotype"/>
          <w:sz w:val="24"/>
          <w:szCs w:val="24"/>
        </w:rPr>
        <w:t xml:space="preserve">contexto del cual se dolió </w:t>
      </w:r>
      <w:r>
        <w:rPr>
          <w:rFonts w:ascii="Palatino Linotype" w:eastAsia="Palatino Linotype" w:hAnsi="Palatino Linotype" w:cs="Palatino Linotype"/>
          <w:b/>
          <w:bCs/>
          <w:sz w:val="24"/>
          <w:szCs w:val="24"/>
        </w:rPr>
        <w:t xml:space="preserve">EL RECURRENTE </w:t>
      </w:r>
      <w:r>
        <w:rPr>
          <w:rFonts w:ascii="Palatino Linotype" w:eastAsia="Palatino Linotype" w:hAnsi="Palatino Linotype" w:cs="Palatino Linotype"/>
          <w:sz w:val="24"/>
          <w:szCs w:val="24"/>
        </w:rPr>
        <w:t>al momento de interponer su inconformidad.</w:t>
      </w:r>
    </w:p>
    <w:p w:rsidR="00BD13CB" w:rsidRDefault="00BD13CB">
      <w:pPr>
        <w:spacing w:line="360" w:lineRule="auto"/>
        <w:ind w:right="49"/>
        <w:jc w:val="both"/>
        <w:rPr>
          <w:rFonts w:ascii="Palatino Linotype" w:eastAsia="Palatino Linotype" w:hAnsi="Palatino Linotype" w:cs="Palatino Linotype"/>
          <w:sz w:val="24"/>
          <w:szCs w:val="24"/>
        </w:rPr>
      </w:pPr>
    </w:p>
    <w:p w:rsidR="00BD13CB" w:rsidRDefault="00166B83">
      <w:pPr>
        <w:numPr>
          <w:ilvl w:val="0"/>
          <w:numId w:val="4"/>
        </w:numPr>
        <w:spacing w:line="360" w:lineRule="auto"/>
        <w:ind w:left="0" w:right="49"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 xml:space="preserve"> De modo tal que, el presente recurso de revisión se abocara en determinar si el </w:t>
      </w:r>
      <w:r>
        <w:rPr>
          <w:rFonts w:ascii="Palatino Linotype" w:eastAsia="Palatino Linotype" w:hAnsi="Palatino Linotype" w:cs="Palatino Linotype"/>
          <w:b/>
          <w:bCs/>
          <w:color w:val="000000"/>
          <w:sz w:val="24"/>
          <w:szCs w:val="24"/>
        </w:rPr>
        <w:t>SUJETO</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b/>
          <w:bCs/>
          <w:color w:val="000000"/>
          <w:sz w:val="24"/>
          <w:szCs w:val="24"/>
        </w:rPr>
        <w:t>OBLIGADO</w:t>
      </w:r>
      <w:r>
        <w:rPr>
          <w:rFonts w:ascii="Palatino Linotype" w:eastAsia="Palatino Linotype" w:hAnsi="Palatino Linotype" w:cs="Palatino Linotype"/>
          <w:color w:val="000000"/>
          <w:sz w:val="24"/>
          <w:szCs w:val="24"/>
        </w:rPr>
        <w:t xml:space="preserve"> con su respuesta ciertamente actualiza la causal de procedencia</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 xml:space="preserve">antes </w:t>
      </w:r>
      <w:r>
        <w:rPr>
          <w:rFonts w:ascii="Palatino Linotype" w:eastAsia="Palatino Linotype" w:hAnsi="Palatino Linotype" w:cs="Palatino Linotype"/>
          <w:color w:val="000000"/>
          <w:sz w:val="24"/>
          <w:szCs w:val="24"/>
        </w:rPr>
        <w:lastRenderedPageBreak/>
        <w:t>señalada. Así como comprobar si la respuesta emitida resulta congruente e integral en términos del artículo 11 de la ley de la materia.</w:t>
      </w:r>
    </w:p>
    <w:p w:rsidR="00BD13CB" w:rsidRDefault="00BD13CB">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BD13CB" w:rsidRDefault="00166B83">
      <w:pPr>
        <w:pStyle w:val="Ttulo2"/>
        <w:rPr>
          <w:rFonts w:ascii="Palatino Linotype" w:eastAsia="Palatino Linotype" w:hAnsi="Palatino Linotype" w:cs="Palatino Linotype"/>
          <w:b/>
          <w:bCs/>
          <w:color w:val="000000"/>
          <w:sz w:val="24"/>
          <w:szCs w:val="24"/>
        </w:rPr>
      </w:pPr>
      <w:bookmarkStart w:id="7" w:name="_heading=h.3dy6vkm" w:colFirst="0" w:colLast="0"/>
      <w:bookmarkEnd w:id="7"/>
      <w:r>
        <w:rPr>
          <w:rFonts w:ascii="Palatino Linotype" w:eastAsia="Palatino Linotype" w:hAnsi="Palatino Linotype" w:cs="Palatino Linotype"/>
          <w:b/>
          <w:bCs/>
          <w:color w:val="000000"/>
          <w:sz w:val="24"/>
          <w:szCs w:val="24"/>
        </w:rPr>
        <w:t>CUARTO. Del estudio y resolución del asunto.</w:t>
      </w:r>
    </w:p>
    <w:p w:rsidR="00BD13CB" w:rsidRDefault="00166B83">
      <w:pPr>
        <w:numPr>
          <w:ilvl w:val="0"/>
          <w:numId w:val="4"/>
        </w:numPr>
        <w:spacing w:line="360" w:lineRule="auto"/>
        <w:ind w:left="0" w:right="49" w:firstLine="0"/>
        <w:jc w:val="both"/>
        <w:rPr>
          <w:rFonts w:ascii="Palatino Linotype" w:eastAsia="Palatino Linotype" w:hAnsi="Palatino Linotype" w:cs="Palatino Linotype"/>
          <w:sz w:val="24"/>
          <w:szCs w:val="24"/>
        </w:rPr>
      </w:pPr>
      <w:bookmarkStart w:id="8" w:name="_heading=h.kp6czspe9ppb" w:colFirst="0" w:colLast="0"/>
      <w:bookmarkEnd w:id="8"/>
      <w:r>
        <w:rPr>
          <w:rFonts w:ascii="Palatino Linotype" w:eastAsia="Palatino Linotype" w:hAnsi="Palatino Linotype" w:cs="Palatino Linotype"/>
          <w:sz w:val="24"/>
          <w:szCs w:val="24"/>
        </w:rPr>
        <w:t xml:space="preserve">Dicho lo anterior, este Órgano Resolutor se avocara a realizar el estudio en conjunto de todas las constancias que obran en el SAIMEX, con la finalidad de poder determinar si los motivos de inconformidad hechos valer por el ahora </w:t>
      </w:r>
      <w:r>
        <w:rPr>
          <w:rFonts w:ascii="Palatino Linotype" w:eastAsia="Palatino Linotype" w:hAnsi="Palatino Linotype" w:cs="Palatino Linotype"/>
          <w:b/>
          <w:bCs/>
          <w:sz w:val="24"/>
          <w:szCs w:val="24"/>
        </w:rPr>
        <w:t xml:space="preserve">RECURRENTE, </w:t>
      </w:r>
      <w:r>
        <w:rPr>
          <w:rFonts w:ascii="Palatino Linotype" w:eastAsia="Palatino Linotype" w:hAnsi="Palatino Linotype" w:cs="Palatino Linotype"/>
          <w:sz w:val="24"/>
          <w:szCs w:val="24"/>
        </w:rPr>
        <w:t>resultan fundados.</w:t>
      </w:r>
    </w:p>
    <w:p w:rsidR="00BD13CB" w:rsidRDefault="00BD13CB">
      <w:pPr>
        <w:spacing w:line="360" w:lineRule="auto"/>
        <w:ind w:right="49"/>
        <w:jc w:val="both"/>
        <w:rPr>
          <w:rFonts w:ascii="Palatino Linotype" w:eastAsia="Palatino Linotype" w:hAnsi="Palatino Linotype" w:cs="Palatino Linotype"/>
          <w:sz w:val="24"/>
          <w:szCs w:val="24"/>
        </w:rPr>
      </w:pPr>
    </w:p>
    <w:p w:rsidR="00BD13CB" w:rsidRDefault="00166B83">
      <w:pPr>
        <w:numPr>
          <w:ilvl w:val="0"/>
          <w:numId w:val="4"/>
        </w:numPr>
        <w:spacing w:line="360" w:lineRule="auto"/>
        <w:ind w:left="0" w:right="49"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Ahora bien, por lo que hace a la fuente obligacional, se advierte que 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asume que genera, posee y administra la información solicitada, por lo que se considera innecesario realizar el estudio correspondiente, pues –se insiste- este asume contar con la información solicitada, tan es así que la pone a disposición a través de un link.</w:t>
      </w:r>
    </w:p>
    <w:p w:rsidR="00F8154B" w:rsidRDefault="00F8154B" w:rsidP="00F8154B">
      <w:pPr>
        <w:spacing w:line="360" w:lineRule="auto"/>
        <w:ind w:right="49"/>
        <w:jc w:val="both"/>
        <w:rPr>
          <w:rFonts w:ascii="Palatino Linotype" w:eastAsia="Palatino Linotype" w:hAnsi="Palatino Linotype" w:cs="Palatino Linotype"/>
          <w:sz w:val="24"/>
          <w:szCs w:val="24"/>
        </w:rPr>
      </w:pPr>
    </w:p>
    <w:p w:rsidR="00BD13CB" w:rsidRDefault="00166B83">
      <w:pPr>
        <w:numPr>
          <w:ilvl w:val="0"/>
          <w:numId w:val="4"/>
        </w:numPr>
        <w:spacing w:line="360" w:lineRule="auto"/>
        <w:ind w:left="0" w:right="49"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Precisado lo anterior, respecto el link proporcionado en respuesta</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este Órgano Resolutor, observa lo siguiente:</w:t>
      </w:r>
    </w:p>
    <w:p w:rsidR="00BD13CB" w:rsidRDefault="00BD13CB">
      <w:pPr>
        <w:spacing w:line="360" w:lineRule="auto"/>
        <w:ind w:right="49"/>
        <w:jc w:val="both"/>
        <w:rPr>
          <w:rFonts w:ascii="Palatino Linotype" w:eastAsia="Palatino Linotype" w:hAnsi="Palatino Linotype" w:cs="Palatino Linotype"/>
          <w:sz w:val="24"/>
          <w:szCs w:val="24"/>
        </w:rPr>
      </w:pPr>
    </w:p>
    <w:p w:rsidR="00BD13CB" w:rsidRDefault="00166B83">
      <w:pPr>
        <w:spacing w:line="360" w:lineRule="auto"/>
        <w:ind w:right="49"/>
        <w:jc w:val="both"/>
        <w:rPr>
          <w:rFonts w:ascii="Palatino Linotype" w:eastAsia="Palatino Linotype" w:hAnsi="Palatino Linotype" w:cs="Palatino Linotype"/>
          <w:sz w:val="24"/>
          <w:szCs w:val="24"/>
        </w:rPr>
      </w:pPr>
      <w:r>
        <w:rPr>
          <w:rFonts w:ascii="Palatino Linotype" w:eastAsia="Palatino Linotype" w:hAnsi="Palatino Linotype" w:cs="Palatino Linotype"/>
          <w:noProof/>
          <w:sz w:val="24"/>
          <w:szCs w:val="24"/>
        </w:rPr>
        <w:lastRenderedPageBreak/>
        <w:drawing>
          <wp:inline distT="0" distB="0" distL="0" distR="0">
            <wp:extent cx="5742940" cy="384683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42940" cy="3846830"/>
                    </a:xfrm>
                    <a:prstGeom prst="rect">
                      <a:avLst/>
                    </a:prstGeom>
                    <a:ln/>
                  </pic:spPr>
                </pic:pic>
              </a:graphicData>
            </a:graphic>
          </wp:inline>
        </w:drawing>
      </w:r>
    </w:p>
    <w:p w:rsidR="00BD13CB" w:rsidRDefault="00BD13CB">
      <w:pPr>
        <w:spacing w:line="360" w:lineRule="auto"/>
        <w:ind w:right="49"/>
        <w:jc w:val="both"/>
        <w:rPr>
          <w:rFonts w:ascii="Palatino Linotype" w:eastAsia="Palatino Linotype" w:hAnsi="Palatino Linotype" w:cs="Palatino Linotype"/>
          <w:sz w:val="24"/>
          <w:szCs w:val="24"/>
        </w:rPr>
      </w:pPr>
    </w:p>
    <w:p w:rsidR="00BD13CB" w:rsidRDefault="00BD13CB">
      <w:pPr>
        <w:spacing w:line="360" w:lineRule="auto"/>
        <w:ind w:right="49"/>
        <w:jc w:val="both"/>
        <w:rPr>
          <w:rFonts w:ascii="Palatino Linotype" w:eastAsia="Palatino Linotype" w:hAnsi="Palatino Linotype" w:cs="Palatino Linotype"/>
          <w:sz w:val="24"/>
          <w:szCs w:val="24"/>
        </w:rPr>
      </w:pPr>
    </w:p>
    <w:p w:rsidR="00BD13CB" w:rsidRDefault="00166B83">
      <w:pPr>
        <w:numPr>
          <w:ilvl w:val="0"/>
          <w:numId w:val="4"/>
        </w:numPr>
        <w:spacing w:line="360" w:lineRule="auto"/>
        <w:ind w:left="0" w:right="49"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De lo anterior, se advierte que si bien es cierto se proporcionó en formato cerrado, no se puede tener por colmada la solicitud de información que nos ocupa, ya que únicamente se hizo entrega del link sin proporcionar mayor detalle de la localización de manera específica y puntual de la información.</w:t>
      </w:r>
    </w:p>
    <w:p w:rsidR="00F8154B" w:rsidRDefault="00F8154B" w:rsidP="00F8154B">
      <w:pPr>
        <w:spacing w:line="360" w:lineRule="auto"/>
        <w:ind w:right="49"/>
        <w:jc w:val="both"/>
        <w:rPr>
          <w:rFonts w:ascii="Palatino Linotype" w:eastAsia="Palatino Linotype" w:hAnsi="Palatino Linotype" w:cs="Palatino Linotype"/>
          <w:sz w:val="24"/>
          <w:szCs w:val="24"/>
        </w:rPr>
      </w:pPr>
    </w:p>
    <w:p w:rsidR="00BD13CB" w:rsidRDefault="00166B83">
      <w:pPr>
        <w:numPr>
          <w:ilvl w:val="0"/>
          <w:numId w:val="4"/>
        </w:numPr>
        <w:spacing w:line="360" w:lineRule="auto"/>
        <w:ind w:left="0" w:right="49"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En ese sentido, de conformidad a lo establecido por los artículos 11 y 161 de la Ley de Transparencia y Acceso a la Información Pública del Estado de México y Municipios, en lo que se señalan las características que debe tener toda información entregada por los sujetos </w:t>
      </w:r>
      <w:r>
        <w:rPr>
          <w:rFonts w:ascii="Palatino Linotype" w:eastAsia="Palatino Linotype" w:hAnsi="Palatino Linotype" w:cs="Palatino Linotype"/>
          <w:color w:val="000000"/>
          <w:sz w:val="24"/>
          <w:szCs w:val="24"/>
        </w:rPr>
        <w:lastRenderedPageBreak/>
        <w:t>obligados desde el momento de su generación, publicación y entrega, así como la forma en que se deberá consultar la información, señalando una fuente precisa y concreta, a saber:</w:t>
      </w:r>
    </w:p>
    <w:p w:rsidR="00BD13CB" w:rsidRDefault="00166B83">
      <w:pPr>
        <w:pBdr>
          <w:top w:val="nil"/>
          <w:left w:val="nil"/>
          <w:bottom w:val="nil"/>
          <w:right w:val="nil"/>
          <w:between w:val="nil"/>
        </w:pBdr>
        <w:ind w:left="567" w:right="1276"/>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i/>
          <w:iCs/>
          <w:color w:val="000000"/>
          <w:sz w:val="24"/>
          <w:szCs w:val="24"/>
        </w:rPr>
        <w:t xml:space="preserve">“Artículo 11. </w:t>
      </w:r>
      <w:r>
        <w:rPr>
          <w:rFonts w:ascii="Palatino Linotype" w:eastAsia="Palatino Linotype" w:hAnsi="Palatino Linotype" w:cs="Palatino Linotype"/>
          <w:b/>
          <w:bCs/>
          <w:i/>
          <w:iCs/>
          <w:color w:val="000000"/>
          <w:sz w:val="24"/>
          <w:szCs w:val="24"/>
          <w:u w:val="single"/>
        </w:rPr>
        <w:t>En la generación, publicación y entrega de información se deberá garantizar que ésta sea accesible, actualizada, completa, congruente, confiable, verificable, veraz, integral, oportuna y expedita</w:t>
      </w:r>
      <w:r>
        <w:rPr>
          <w:rFonts w:ascii="Palatino Linotype" w:eastAsia="Palatino Linotype" w:hAnsi="Palatino Linotype" w:cs="Palatino Linotype"/>
          <w:b/>
          <w:bCs/>
          <w:i/>
          <w:iCs/>
          <w:color w:val="000000"/>
          <w:sz w:val="24"/>
          <w:szCs w:val="24"/>
        </w:rPr>
        <w:t>, sujeta a un claro régimen de excepciones que deberá estar definido y ser además legítima y estrictamente necesaria en una sociedad democrática, por lo que atenderá las necesidades del derecho de acceso a la información de toda persona.</w:t>
      </w:r>
    </w:p>
    <w:p w:rsidR="00BD13CB" w:rsidRDefault="00166B83">
      <w:pPr>
        <w:pBdr>
          <w:top w:val="nil"/>
          <w:left w:val="nil"/>
          <w:bottom w:val="nil"/>
          <w:right w:val="nil"/>
          <w:between w:val="nil"/>
        </w:pBdr>
        <w:ind w:left="567" w:right="1276"/>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i/>
          <w:iCs/>
          <w:color w:val="000000"/>
          <w:sz w:val="24"/>
          <w:szCs w:val="24"/>
        </w:rPr>
        <w:t>[…]</w:t>
      </w:r>
    </w:p>
    <w:p w:rsidR="00BD13CB" w:rsidRDefault="00BD13CB">
      <w:pPr>
        <w:rPr>
          <w:rFonts w:ascii="Palatino Linotype" w:eastAsia="Palatino Linotype" w:hAnsi="Palatino Linotype" w:cs="Palatino Linotype"/>
          <w:b/>
          <w:bCs/>
          <w:sz w:val="24"/>
          <w:szCs w:val="24"/>
        </w:rPr>
      </w:pPr>
    </w:p>
    <w:p w:rsidR="00BD13CB" w:rsidRDefault="00166B83">
      <w:pPr>
        <w:pBdr>
          <w:top w:val="nil"/>
          <w:left w:val="nil"/>
          <w:bottom w:val="nil"/>
          <w:right w:val="nil"/>
          <w:between w:val="nil"/>
        </w:pBdr>
        <w:ind w:left="567" w:right="1276"/>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i/>
          <w:iCs/>
          <w:color w:val="000000"/>
          <w:sz w:val="24"/>
          <w:szCs w:val="24"/>
        </w:rPr>
        <w:t xml:space="preserve">Artículo 161. </w:t>
      </w:r>
      <w:r>
        <w:rPr>
          <w:rFonts w:ascii="Palatino Linotype" w:eastAsia="Palatino Linotype" w:hAnsi="Palatino Linotype" w:cs="Palatino Linotype"/>
          <w:b/>
          <w:bCs/>
          <w:i/>
          <w:iCs/>
          <w:color w:val="000000"/>
          <w:sz w:val="24"/>
          <w:szCs w:val="24"/>
          <w:u w:val="single"/>
        </w:rPr>
        <w:t>Cuando la información requerida por el solicitante ya esté disponible al público</w:t>
      </w:r>
      <w:r>
        <w:rPr>
          <w:rFonts w:ascii="Palatino Linotype" w:eastAsia="Palatino Linotype" w:hAnsi="Palatino Linotype" w:cs="Palatino Linotype"/>
          <w:b/>
          <w:bCs/>
          <w:i/>
          <w:iCs/>
          <w:color w:val="000000"/>
          <w:sz w:val="24"/>
          <w:szCs w:val="24"/>
        </w:rPr>
        <w:t xml:space="preserve"> en medios impresos, tales como libros, compendios, trípticos, registros públicos, </w:t>
      </w:r>
      <w:r>
        <w:rPr>
          <w:rFonts w:ascii="Palatino Linotype" w:eastAsia="Palatino Linotype" w:hAnsi="Palatino Linotype" w:cs="Palatino Linotype"/>
          <w:b/>
          <w:bCs/>
          <w:i/>
          <w:iCs/>
          <w:color w:val="000000"/>
          <w:sz w:val="24"/>
          <w:szCs w:val="24"/>
          <w:u w:val="single"/>
        </w:rPr>
        <w:t>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 (Sic)</w:t>
      </w:r>
    </w:p>
    <w:p w:rsidR="00BD13CB" w:rsidRDefault="00BD13CB">
      <w:pPr>
        <w:rPr>
          <w:rFonts w:ascii="Palatino Linotype" w:eastAsia="Palatino Linotype" w:hAnsi="Palatino Linotype" w:cs="Palatino Linotype"/>
          <w:b/>
          <w:bCs/>
          <w:sz w:val="24"/>
          <w:szCs w:val="24"/>
        </w:rPr>
      </w:pPr>
    </w:p>
    <w:p w:rsidR="00BD13CB" w:rsidRDefault="00166B83">
      <w:pPr>
        <w:numPr>
          <w:ilvl w:val="0"/>
          <w:numId w:val="4"/>
        </w:numPr>
        <w:spacing w:line="360" w:lineRule="auto"/>
        <w:ind w:left="0" w:right="49"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rsidR="00BD13CB" w:rsidRPr="00F8154B" w:rsidRDefault="00166B83" w:rsidP="00F8154B">
      <w:pPr>
        <w:pStyle w:val="Listaconvietas2"/>
        <w:ind w:left="426"/>
        <w:rPr>
          <w:rFonts w:ascii="Palatino Linotype" w:eastAsia="Palatino Linotype" w:hAnsi="Palatino Linotype"/>
          <w:b/>
          <w:sz w:val="24"/>
        </w:rPr>
      </w:pPr>
      <w:r w:rsidRPr="00F8154B">
        <w:rPr>
          <w:rFonts w:ascii="Palatino Linotype" w:eastAsia="Palatino Linotype" w:hAnsi="Palatino Linotype"/>
          <w:b/>
          <w:sz w:val="24"/>
        </w:rPr>
        <w:t>La fuente</w:t>
      </w:r>
    </w:p>
    <w:p w:rsidR="00BD13CB" w:rsidRDefault="00166B83">
      <w:pPr>
        <w:numPr>
          <w:ilvl w:val="0"/>
          <w:numId w:val="1"/>
        </w:numPr>
        <w:pBdr>
          <w:top w:val="nil"/>
          <w:left w:val="nil"/>
          <w:bottom w:val="nil"/>
          <w:right w:val="nil"/>
          <w:between w:val="nil"/>
        </w:pBdr>
        <w:ind w:left="426"/>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El lugar y</w:t>
      </w:r>
    </w:p>
    <w:p w:rsidR="00BD13CB" w:rsidRDefault="00166B83">
      <w:pPr>
        <w:numPr>
          <w:ilvl w:val="0"/>
          <w:numId w:val="1"/>
        </w:numPr>
        <w:pBdr>
          <w:top w:val="nil"/>
          <w:left w:val="nil"/>
          <w:bottom w:val="nil"/>
          <w:right w:val="nil"/>
          <w:between w:val="nil"/>
        </w:pBdr>
        <w:ind w:left="426"/>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La forma </w:t>
      </w:r>
    </w:p>
    <w:p w:rsidR="00BD13CB" w:rsidRDefault="00BD13CB">
      <w:pPr>
        <w:rPr>
          <w:rFonts w:ascii="Palatino Linotype" w:eastAsia="Palatino Linotype" w:hAnsi="Palatino Linotype" w:cs="Palatino Linotype"/>
          <w:b/>
          <w:bCs/>
          <w:sz w:val="24"/>
          <w:szCs w:val="24"/>
        </w:rPr>
      </w:pPr>
    </w:p>
    <w:p w:rsidR="00BD13CB" w:rsidRDefault="00166B83">
      <w:pPr>
        <w:numPr>
          <w:ilvl w:val="0"/>
          <w:numId w:val="4"/>
        </w:numPr>
        <w:spacing w:line="360" w:lineRule="auto"/>
        <w:ind w:left="0" w:right="49"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Asimismo, se establece que la fuente de la información deberá ser:</w:t>
      </w:r>
    </w:p>
    <w:p w:rsidR="00BD13CB" w:rsidRPr="00F8154B" w:rsidRDefault="00166B83" w:rsidP="00F8154B">
      <w:pPr>
        <w:pStyle w:val="Prrafodelista"/>
        <w:numPr>
          <w:ilvl w:val="0"/>
          <w:numId w:val="2"/>
        </w:numPr>
        <w:pBdr>
          <w:top w:val="nil"/>
          <w:left w:val="nil"/>
          <w:bottom w:val="nil"/>
          <w:right w:val="nil"/>
          <w:between w:val="nil"/>
        </w:pBdr>
        <w:ind w:firstLine="426"/>
        <w:jc w:val="both"/>
        <w:rPr>
          <w:rFonts w:ascii="Palatino Linotype" w:eastAsia="Palatino Linotype" w:hAnsi="Palatino Linotype" w:cs="Palatino Linotype"/>
          <w:b/>
          <w:bCs/>
          <w:color w:val="000000"/>
          <w:sz w:val="24"/>
        </w:rPr>
      </w:pPr>
      <w:r w:rsidRPr="00F8154B">
        <w:rPr>
          <w:rFonts w:ascii="Palatino Linotype" w:eastAsia="Palatino Linotype" w:hAnsi="Palatino Linotype" w:cs="Palatino Linotype"/>
          <w:b/>
          <w:bCs/>
          <w:color w:val="000000"/>
          <w:sz w:val="24"/>
        </w:rPr>
        <w:t>Precisa</w:t>
      </w:r>
    </w:p>
    <w:p w:rsidR="00BD13CB" w:rsidRDefault="00166B83">
      <w:pPr>
        <w:numPr>
          <w:ilvl w:val="0"/>
          <w:numId w:val="2"/>
        </w:numPr>
        <w:pBdr>
          <w:top w:val="nil"/>
          <w:left w:val="nil"/>
          <w:bottom w:val="nil"/>
          <w:right w:val="nil"/>
          <w:between w:val="nil"/>
        </w:pBdr>
        <w:ind w:left="426"/>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Concreta</w:t>
      </w:r>
    </w:p>
    <w:p w:rsidR="00BD13CB" w:rsidRDefault="00166B83">
      <w:pPr>
        <w:numPr>
          <w:ilvl w:val="0"/>
          <w:numId w:val="2"/>
        </w:numPr>
        <w:pBdr>
          <w:top w:val="nil"/>
          <w:left w:val="nil"/>
          <w:bottom w:val="nil"/>
          <w:right w:val="nil"/>
          <w:between w:val="nil"/>
        </w:pBdr>
        <w:ind w:left="426" w:right="1276"/>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Y no debe implicar que el solicitante realice una búsqueda en toda la información que se encuentre disponible.</w:t>
      </w:r>
    </w:p>
    <w:p w:rsidR="00BD13CB" w:rsidRDefault="00BD13CB">
      <w:pPr>
        <w:rPr>
          <w:rFonts w:ascii="Palatino Linotype" w:eastAsia="Palatino Linotype" w:hAnsi="Palatino Linotype" w:cs="Palatino Linotype"/>
          <w:b/>
          <w:bCs/>
          <w:sz w:val="24"/>
          <w:szCs w:val="24"/>
        </w:rPr>
      </w:pPr>
    </w:p>
    <w:p w:rsidR="00F8154B" w:rsidRDefault="00F8154B">
      <w:pPr>
        <w:rPr>
          <w:rFonts w:ascii="Palatino Linotype" w:eastAsia="Palatino Linotype" w:hAnsi="Palatino Linotype" w:cs="Palatino Linotype"/>
          <w:b/>
          <w:bCs/>
          <w:sz w:val="24"/>
          <w:szCs w:val="24"/>
        </w:rPr>
      </w:pPr>
    </w:p>
    <w:p w:rsidR="00BD13CB" w:rsidRDefault="00166B83">
      <w:pPr>
        <w:numPr>
          <w:ilvl w:val="0"/>
          <w:numId w:val="4"/>
        </w:numPr>
        <w:spacing w:line="360" w:lineRule="auto"/>
        <w:ind w:left="0" w:right="49"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Imperativos legales que establecen el procedimiento que debe seguir el Sujeto Obligado para que pueda tomarse como válida su orientación sobre la forma en que puede consultar la información requerida, y que, en el caso en concreto, no acontece; ello porque el Sujeto Obligado se limitó a indicar la dirección electrónica que conduce a la página del IPOMEX del Ayuntamiento de Toluca, sin que señalara puntualmente donde se encuentra la información solicitada, lo que implica que  la fuente no es precisa; no es concreta, sino por el contrario ésta resulta abstracta y genera incertidumbre entre el cúmulo de información que se observa en la página; y por último, su fuente implica que el solicitante realice una búsqueda en toda la información que se encuentra disponible, lo que a todas luces transgrede el numeral citado.</w:t>
      </w:r>
    </w:p>
    <w:p w:rsidR="00BD13CB" w:rsidRDefault="00BD13CB">
      <w:pPr>
        <w:spacing w:line="360" w:lineRule="auto"/>
        <w:rPr>
          <w:rFonts w:ascii="Palatino Linotype" w:eastAsia="Palatino Linotype" w:hAnsi="Palatino Linotype" w:cs="Palatino Linotype"/>
          <w:b/>
          <w:bCs/>
          <w:sz w:val="24"/>
          <w:szCs w:val="24"/>
        </w:rPr>
      </w:pPr>
    </w:p>
    <w:p w:rsidR="00BD13CB" w:rsidRDefault="00166B83">
      <w:pPr>
        <w:numPr>
          <w:ilvl w:val="0"/>
          <w:numId w:val="4"/>
        </w:numPr>
        <w:spacing w:line="360" w:lineRule="auto"/>
        <w:ind w:left="0" w:right="49"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Es por lo anterior que este Organismo Garante exhorta de manera respetuosa al Sujeto Obligado para que en futuras ocasiones que pretenda emplear ligas electrónicas para atender las solicitudes de información, se asegure de que dichos enlaces sean accesibles para los solicitantes, esto es, que puedan copiarse y pegarse con facilidad para su consulta y que remitan a la fuente concreta donde obra la información.</w:t>
      </w:r>
    </w:p>
    <w:p w:rsidR="00BD13CB" w:rsidRDefault="00BD13CB">
      <w:pPr>
        <w:spacing w:line="360" w:lineRule="auto"/>
        <w:ind w:right="49"/>
        <w:jc w:val="both"/>
        <w:rPr>
          <w:rFonts w:ascii="Palatino Linotype" w:eastAsia="Palatino Linotype" w:hAnsi="Palatino Linotype" w:cs="Palatino Linotype"/>
          <w:color w:val="000000"/>
          <w:sz w:val="24"/>
          <w:szCs w:val="24"/>
        </w:rPr>
      </w:pPr>
    </w:p>
    <w:p w:rsidR="00BD13CB" w:rsidRDefault="00166B83">
      <w:pPr>
        <w:numPr>
          <w:ilvl w:val="0"/>
          <w:numId w:val="4"/>
        </w:numPr>
        <w:spacing w:line="360" w:lineRule="auto"/>
        <w:ind w:left="0" w:right="49"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Es por lo anterior, se arriba a la conclusión de no tenerse por colmada en su totalidad la solicitud de información </w:t>
      </w:r>
      <w:r>
        <w:rPr>
          <w:rFonts w:ascii="Palatino Linotype" w:eastAsia="Palatino Linotype" w:hAnsi="Palatino Linotype" w:cs="Palatino Linotype"/>
          <w:b/>
          <w:bCs/>
          <w:color w:val="000000"/>
          <w:sz w:val="24"/>
          <w:szCs w:val="24"/>
        </w:rPr>
        <w:t xml:space="preserve">04272/TOLUCA/IP/2025, </w:t>
      </w:r>
      <w:r>
        <w:rPr>
          <w:rFonts w:ascii="Palatino Linotype" w:eastAsia="Palatino Linotype" w:hAnsi="Palatino Linotype" w:cs="Palatino Linotype"/>
          <w:color w:val="000000"/>
          <w:sz w:val="24"/>
          <w:szCs w:val="24"/>
        </w:rPr>
        <w:t xml:space="preserve">resultando dable ordenar el documento </w:t>
      </w:r>
      <w:r>
        <w:rPr>
          <w:rFonts w:ascii="Palatino Linotype" w:eastAsia="Palatino Linotype" w:hAnsi="Palatino Linotype" w:cs="Palatino Linotype"/>
          <w:color w:val="000000"/>
          <w:sz w:val="24"/>
          <w:szCs w:val="24"/>
        </w:rPr>
        <w:lastRenderedPageBreak/>
        <w:t xml:space="preserve">en donde consten o se adviertan los montos salariales que se definieron para el cabildo, específicamente, presidencia municipal, síndicos y regidores, directores de área y coordinadores que conforman el gabinete del Ayuntamiento de los años dos mil veinticuatro y del uno de enero al diecinueve de agosto de dos mil veinticinco. </w:t>
      </w:r>
    </w:p>
    <w:p w:rsidR="00BD13CB" w:rsidRDefault="00BD13CB">
      <w:pPr>
        <w:spacing w:line="360" w:lineRule="auto"/>
        <w:ind w:right="49"/>
        <w:jc w:val="both"/>
        <w:rPr>
          <w:rFonts w:ascii="Palatino Linotype" w:eastAsia="Palatino Linotype" w:hAnsi="Palatino Linotype" w:cs="Palatino Linotype"/>
          <w:sz w:val="24"/>
          <w:szCs w:val="24"/>
        </w:rPr>
      </w:pPr>
    </w:p>
    <w:p w:rsidR="00BD13C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QUINTO. De la versión pública.</w:t>
      </w:r>
    </w:p>
    <w:p w:rsidR="00BD13CB" w:rsidRDefault="00166B83">
      <w:pPr>
        <w:numPr>
          <w:ilvl w:val="0"/>
          <w:numId w:val="8"/>
        </w:numPr>
        <w:pBdr>
          <w:top w:val="nil"/>
          <w:left w:val="nil"/>
          <w:bottom w:val="nil"/>
          <w:right w:val="nil"/>
          <w:between w:val="nil"/>
        </w:pBdr>
        <w:tabs>
          <w:tab w:val="left" w:pos="851"/>
        </w:tabs>
        <w:spacing w:after="160" w:line="360" w:lineRule="auto"/>
        <w:ind w:right="33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 xml:space="preserve">Nociones generales. </w:t>
      </w:r>
    </w:p>
    <w:p w:rsidR="00BD13CB" w:rsidRDefault="00166B83">
      <w:pPr>
        <w:numPr>
          <w:ilvl w:val="0"/>
          <w:numId w:val="4"/>
        </w:numPr>
        <w:spacing w:line="360" w:lineRule="auto"/>
        <w:ind w:left="0" w:right="113"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Debe destacarse que, debido a la naturaleza de la información solicitada</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 xml:space="preserve">eventualmente pudiera obrar datos personales susceptibles de protegerse,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deberá de hacer la adecuada versión pública, protegiendo los datos que no son susceptibles de ser proporcionados. </w:t>
      </w:r>
    </w:p>
    <w:p w:rsidR="00BD13CB" w:rsidRDefault="00BD13CB">
      <w:pPr>
        <w:pBdr>
          <w:top w:val="nil"/>
          <w:left w:val="nil"/>
          <w:bottom w:val="nil"/>
          <w:right w:val="nil"/>
          <w:between w:val="nil"/>
        </w:pBdr>
        <w:spacing w:line="360" w:lineRule="auto"/>
        <w:ind w:right="113"/>
        <w:jc w:val="both"/>
        <w:rPr>
          <w:rFonts w:ascii="Palatino Linotype" w:eastAsia="Palatino Linotype" w:hAnsi="Palatino Linotype" w:cs="Palatino Linotype"/>
          <w:color w:val="000000"/>
          <w:sz w:val="24"/>
          <w:szCs w:val="24"/>
        </w:rPr>
      </w:pPr>
    </w:p>
    <w:p w:rsidR="00BD13CB" w:rsidRDefault="00166B83">
      <w:pPr>
        <w:numPr>
          <w:ilvl w:val="0"/>
          <w:numId w:val="4"/>
        </w:numPr>
        <w:spacing w:line="360" w:lineRule="auto"/>
        <w:ind w:left="0" w:right="113"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No pasa desapercibido para este Órgano Garante que los Sujetos Obligados 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BD13CB" w:rsidRDefault="00BD13CB">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p>
    <w:tbl>
      <w:tblPr>
        <w:tblStyle w:val="a"/>
        <w:tblW w:w="989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0"/>
        <w:gridCol w:w="6946"/>
      </w:tblGrid>
      <w:tr w:rsidR="00BD13CB" w:rsidRPr="00F8154B" w:rsidTr="00F8154B">
        <w:tc>
          <w:tcPr>
            <w:tcW w:w="2950" w:type="dxa"/>
          </w:tcPr>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a) Requisitos previos.</w:t>
            </w:r>
          </w:p>
        </w:tc>
        <w:tc>
          <w:tcPr>
            <w:tcW w:w="6946" w:type="dxa"/>
          </w:tcPr>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 xml:space="preserve">Los artículos 100 y 122 de la Ley Estatal y de la Ley General, vigente al momento de interponer la solicitud de información, respectivamente, señalan que si los Sujetos Obligados determinan que la información actualiza alguno </w:t>
            </w:r>
            <w:r w:rsidRPr="00F8154B">
              <w:rPr>
                <w:rFonts w:ascii="Palatino Linotype" w:eastAsia="Palatino Linotype" w:hAnsi="Palatino Linotype" w:cs="Palatino Linotype"/>
                <w:color w:val="000000"/>
                <w:sz w:val="24"/>
                <w:szCs w:val="24"/>
              </w:rPr>
              <w:lastRenderedPageBreak/>
              <w:t xml:space="preserve">de los supuestos de clasificación, es deber de los titulares de las áreas proponer su clasificación y no del Comité de Transparencia. </w:t>
            </w:r>
          </w:p>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Al hacerlo tienen que precisar de qué información se trata, señalando el supuesto de clasificación (confidencialidad o reserva).</w:t>
            </w:r>
          </w:p>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Además, se debe señalar el procedimiento, de los tres que establecen los artículos 132 y 106 de la Ley Estatal y General vigente al momento de interponer la solicitud de información, respectivamente.</w:t>
            </w:r>
          </w:p>
          <w:p w:rsidR="00BD13CB" w:rsidRPr="00F8154B" w:rsidRDefault="00BD13CB">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p>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 xml:space="preserve">El último de estos requisitos previos consiste en que no se pueden emitir acuerdos de carácter general ni particular, esto es, </w:t>
            </w:r>
            <w:r w:rsidRPr="00F8154B">
              <w:rPr>
                <w:rFonts w:ascii="Palatino Linotype" w:eastAsia="Palatino Linotype" w:hAnsi="Palatino Linotype" w:cs="Palatino Linotype"/>
                <w:color w:val="000000"/>
                <w:sz w:val="24"/>
                <w:szCs w:val="24"/>
                <w:u w:val="single"/>
              </w:rPr>
              <w:t>no se puede hacer un acuerdo para clasificar de manera general todos los documentos de un expediente o área, sin</w:t>
            </w:r>
            <w:r w:rsidRPr="00F8154B">
              <w:rPr>
                <w:rFonts w:ascii="Palatino Linotype" w:eastAsia="Palatino Linotype" w:hAnsi="Palatino Linotype" w:cs="Palatino Linotype"/>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BD13CB" w:rsidRPr="00F8154B" w:rsidTr="00F8154B">
        <w:tc>
          <w:tcPr>
            <w:tcW w:w="2950" w:type="dxa"/>
          </w:tcPr>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lastRenderedPageBreak/>
              <w:t>b) Supuestos de clasificación.</w:t>
            </w:r>
          </w:p>
        </w:tc>
        <w:tc>
          <w:tcPr>
            <w:tcW w:w="6946" w:type="dxa"/>
          </w:tcPr>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lastRenderedPageBreak/>
              <w:t>Los artículos 116 y 143 de la Ley Estatal y de la Ley General, vigente al momento de interponer la solicitud de información, respectivamente, señalan los supuestos para que la información pueda ser clasificada como confidencial. Mientras que los artículos 105 y 130 de la Ley Estatal y de la Ley General, vigente al momento de interponer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 xml:space="preserve">El </w:t>
            </w:r>
            <w:r w:rsidRPr="00F8154B">
              <w:rPr>
                <w:rFonts w:ascii="Palatino Linotype" w:eastAsia="Palatino Linotype" w:hAnsi="Palatino Linotype" w:cs="Palatino Linotype"/>
                <w:b/>
                <w:bCs/>
                <w:color w:val="000000"/>
                <w:sz w:val="24"/>
                <w:szCs w:val="24"/>
              </w:rPr>
              <w:t>Sujeto Obligado</w:t>
            </w:r>
            <w:r w:rsidRPr="00F8154B">
              <w:rPr>
                <w:rFonts w:ascii="Palatino Linotype" w:eastAsia="Palatino Linotype" w:hAnsi="Palatino Linotype" w:cs="Palatino Linotype"/>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BD13CB" w:rsidRPr="00F8154B" w:rsidTr="00F8154B">
        <w:tc>
          <w:tcPr>
            <w:tcW w:w="2950" w:type="dxa"/>
          </w:tcPr>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lastRenderedPageBreak/>
              <w:t>c) Formalidades para emitir el acuerdo de clasificación.</w:t>
            </w:r>
          </w:p>
        </w:tc>
        <w:tc>
          <w:tcPr>
            <w:tcW w:w="6946" w:type="dxa"/>
          </w:tcPr>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lastRenderedPageBreak/>
              <w:t xml:space="preserve">Es necesario que </w:t>
            </w:r>
            <w:r w:rsidRPr="00F8154B">
              <w:rPr>
                <w:rFonts w:ascii="Palatino Linotype" w:eastAsia="Palatino Linotype" w:hAnsi="Palatino Linotype" w:cs="Palatino Linotype"/>
                <w:b/>
                <w:bCs/>
                <w:color w:val="000000"/>
                <w:sz w:val="24"/>
                <w:szCs w:val="24"/>
                <w:u w:val="single"/>
              </w:rPr>
              <w:t>el acto reúna con los requisitos elementales</w:t>
            </w:r>
            <w:r w:rsidRPr="00F8154B">
              <w:rPr>
                <w:rFonts w:ascii="Palatino Linotype" w:eastAsia="Palatino Linotype" w:hAnsi="Palatino Linotype" w:cs="Palatino Linotype"/>
                <w:color w:val="000000"/>
                <w:sz w:val="24"/>
                <w:szCs w:val="24"/>
              </w:rPr>
              <w:t>, entre ellos, que la autoridad que va a emitir el acto de autoridad sea la legalmente facultada para ello.</w:t>
            </w:r>
          </w:p>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BD13CB" w:rsidRPr="00F8154B" w:rsidTr="00F8154B">
        <w:tc>
          <w:tcPr>
            <w:tcW w:w="2950" w:type="dxa"/>
          </w:tcPr>
          <w:p w:rsidR="00BD13CB" w:rsidRPr="00F8154B" w:rsidRDefault="00BD13CB">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p>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 xml:space="preserve">d) Requisitos de fondo del acuerdo de clasificación. </w:t>
            </w:r>
          </w:p>
        </w:tc>
        <w:tc>
          <w:tcPr>
            <w:tcW w:w="6946" w:type="dxa"/>
          </w:tcPr>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F8154B">
              <w:rPr>
                <w:rFonts w:ascii="Palatino Linotype" w:eastAsia="Palatino Linotype" w:hAnsi="Palatino Linotype" w:cs="Palatino Linotype"/>
                <w:b/>
                <w:bCs/>
                <w:color w:val="000000"/>
                <w:sz w:val="24"/>
                <w:szCs w:val="24"/>
              </w:rPr>
              <w:t>Sujetos Obligados</w:t>
            </w:r>
            <w:r w:rsidRPr="00F8154B">
              <w:rPr>
                <w:rFonts w:ascii="Palatino Linotype" w:eastAsia="Palatino Linotype" w:hAnsi="Palatino Linotype" w:cs="Palatino Linotype"/>
                <w:color w:val="000000"/>
                <w:sz w:val="24"/>
                <w:szCs w:val="24"/>
              </w:rPr>
              <w:t xml:space="preserve">, por lo que deberán fundar y motivar debidamente la clasificación. </w:t>
            </w:r>
          </w:p>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 xml:space="preserve">De lo anterior, se desprende que para una correcta </w:t>
            </w:r>
            <w:r w:rsidRPr="00F8154B">
              <w:rPr>
                <w:rFonts w:ascii="Palatino Linotype" w:eastAsia="Palatino Linotype" w:hAnsi="Palatino Linotype" w:cs="Palatino Linotype"/>
                <w:b/>
                <w:bCs/>
                <w:color w:val="000000"/>
                <w:sz w:val="24"/>
                <w:szCs w:val="24"/>
              </w:rPr>
              <w:t>clasificación total o parcial</w:t>
            </w:r>
            <w:r w:rsidRPr="00F8154B">
              <w:rPr>
                <w:rFonts w:ascii="Palatino Linotype" w:eastAsia="Palatino Linotype" w:hAnsi="Palatino Linotype" w:cs="Palatino Linotype"/>
                <w:color w:val="000000"/>
                <w:sz w:val="24"/>
                <w:szCs w:val="24"/>
              </w:rPr>
              <w:t xml:space="preserve">, esto es determinar los datos que se suprimen en las versiones públicas, es necesario fundar y </w:t>
            </w:r>
            <w:r w:rsidRPr="00F8154B">
              <w:rPr>
                <w:rFonts w:ascii="Palatino Linotype" w:eastAsia="Palatino Linotype" w:hAnsi="Palatino Linotype" w:cs="Palatino Linotype"/>
                <w:color w:val="000000"/>
                <w:sz w:val="24"/>
                <w:szCs w:val="24"/>
              </w:rPr>
              <w:lastRenderedPageBreak/>
              <w:t>motivar, de manera correcta, la clasificación; considerando que todo acto que la autoridad pronuncie en el ejercicio de sus atribuciones, debe expresar los fundamentos legales que le dieron origen y las razones por las que se deben aplicar al caso concreto.</w:t>
            </w:r>
          </w:p>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En ese mismo sentido, el numeral trigésimo tercero fracción V de los Lineamientos Generales, precisa que para motivar la clasificación se deben acreditar las circunstancias de tiempo, modo y lugar.</w:t>
            </w:r>
          </w:p>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 xml:space="preserve">Ahora bien, </w:t>
            </w:r>
            <w:r w:rsidRPr="00F8154B">
              <w:rPr>
                <w:rFonts w:ascii="Palatino Linotype" w:eastAsia="Palatino Linotype" w:hAnsi="Palatino Linotype" w:cs="Palatino Linotype"/>
                <w:b/>
                <w:bCs/>
                <w:color w:val="000000"/>
                <w:sz w:val="24"/>
                <w:szCs w:val="24"/>
                <w:u w:val="single"/>
              </w:rPr>
              <w:t>para cada caso además de fundar y motivar</w:t>
            </w:r>
            <w:r w:rsidRPr="00F8154B">
              <w:rPr>
                <w:rFonts w:ascii="Palatino Linotype" w:eastAsia="Palatino Linotype" w:hAnsi="Palatino Linotype" w:cs="Palatino Linotype"/>
                <w:color w:val="000000"/>
                <w:sz w:val="24"/>
                <w:szCs w:val="24"/>
              </w:rPr>
              <w:t xml:space="preserve">, se debe identificar con claridad que datos contenidos en las documentales que son susceptibles de suprimirse, por ejemplo; Clave Única de Registro de Población (CURP), Registro Federal de Contribuyentes (R.F.C.), claves de seguros, préstamos o descuentos personales, secretos </w:t>
            </w:r>
            <w:r w:rsidRPr="00F8154B">
              <w:rPr>
                <w:rFonts w:ascii="Palatino Linotype" w:eastAsia="Palatino Linotype" w:hAnsi="Palatino Linotype" w:cs="Palatino Linotype"/>
                <w:color w:val="000000"/>
                <w:sz w:val="24"/>
                <w:szCs w:val="24"/>
              </w:rPr>
              <w:lastRenderedPageBreak/>
              <w:t>bancario, fiduciario, industrial, comercial, fiscal, bursátil y postal, cuya titularidad corresponda a particulares, entre otros.</w:t>
            </w:r>
          </w:p>
        </w:tc>
      </w:tr>
      <w:tr w:rsidR="00BD13CB" w:rsidRPr="00F8154B" w:rsidTr="00F8154B">
        <w:tc>
          <w:tcPr>
            <w:tcW w:w="2950" w:type="dxa"/>
          </w:tcPr>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lastRenderedPageBreak/>
              <w:t xml:space="preserve">e) Condiciones especiales de la clasificación de la información como confidencial. </w:t>
            </w:r>
          </w:p>
        </w:tc>
        <w:tc>
          <w:tcPr>
            <w:tcW w:w="6946" w:type="dxa"/>
          </w:tcPr>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 xml:space="preserve">Los artículos 148 y 120 de la Ley Estatal y de la Ley General vigente al momento de interponer la solicitud de información, respectivamente, establecen que aun tratándose de datos personales, se podrán proporcionar, incluso sin solicitar el consentimiento de su titular. </w:t>
            </w:r>
          </w:p>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BD13CB" w:rsidRPr="00F8154B" w:rsidRDefault="00166B83">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F8154B">
              <w:rPr>
                <w:rFonts w:ascii="Palatino Linotype" w:eastAsia="Palatino Linotype" w:hAnsi="Palatino Linotype" w:cs="Palatino Linotype"/>
                <w:color w:val="000000"/>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BD13CB" w:rsidRDefault="00BD13CB">
      <w:pPr>
        <w:spacing w:line="360" w:lineRule="auto"/>
        <w:ind w:right="49"/>
        <w:jc w:val="both"/>
        <w:rPr>
          <w:rFonts w:ascii="Palatino Linotype" w:eastAsia="Palatino Linotype" w:hAnsi="Palatino Linotype" w:cs="Palatino Linotype"/>
          <w:color w:val="000000"/>
          <w:sz w:val="24"/>
          <w:szCs w:val="24"/>
        </w:rPr>
      </w:pPr>
      <w:bookmarkStart w:id="9" w:name="_heading=h.4d34og8" w:colFirst="0" w:colLast="0"/>
      <w:bookmarkEnd w:id="9"/>
    </w:p>
    <w:p w:rsidR="00BD13CB" w:rsidRDefault="00166B83">
      <w:pPr>
        <w:numPr>
          <w:ilvl w:val="0"/>
          <w:numId w:val="4"/>
        </w:numPr>
        <w:spacing w:line="360" w:lineRule="auto"/>
        <w:ind w:left="0" w:right="49"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sz w:val="24"/>
          <w:szCs w:val="24"/>
        </w:rPr>
        <w:t>Por lo anteriormente expuesto, este Órgano Garante considera parcialmente fundadas las razones o motivos de inconformidad que plantea el</w:t>
      </w:r>
      <w:r>
        <w:rPr>
          <w:rFonts w:ascii="Palatino Linotype" w:eastAsia="Palatino Linotype" w:hAnsi="Palatino Linotype" w:cs="Palatino Linotype"/>
          <w:b/>
          <w:bCs/>
          <w:sz w:val="24"/>
          <w:szCs w:val="24"/>
        </w:rPr>
        <w:t xml:space="preserve"> RECURRENTE</w:t>
      </w:r>
      <w:r>
        <w:rPr>
          <w:rFonts w:ascii="Palatino Linotype" w:eastAsia="Palatino Linotype" w:hAnsi="Palatino Linotype" w:cs="Palatino Linotype"/>
          <w:sz w:val="24"/>
          <w:szCs w:val="24"/>
        </w:rPr>
        <w:t xml:space="preserve">, determinando </w:t>
      </w:r>
      <w:r>
        <w:rPr>
          <w:rFonts w:ascii="Palatino Linotype" w:eastAsia="Palatino Linotype" w:hAnsi="Palatino Linotype" w:cs="Palatino Linotype"/>
          <w:b/>
          <w:bCs/>
          <w:smallCaps/>
          <w:sz w:val="24"/>
          <w:szCs w:val="24"/>
        </w:rPr>
        <w:lastRenderedPageBreak/>
        <w:t xml:space="preserve">REVOCAR  </w:t>
      </w:r>
      <w:r>
        <w:rPr>
          <w:rFonts w:ascii="Palatino Linotype" w:eastAsia="Palatino Linotype" w:hAnsi="Palatino Linotype" w:cs="Palatino Linotype"/>
          <w:sz w:val="24"/>
          <w:szCs w:val="24"/>
        </w:rPr>
        <w:t xml:space="preserve">la respuesta del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Pr>
          <w:rFonts w:ascii="Palatino Linotype" w:eastAsia="Palatino Linotype" w:hAnsi="Palatino Linotype" w:cs="Palatino Linotype"/>
          <w:color w:val="000000"/>
          <w:sz w:val="24"/>
          <w:szCs w:val="24"/>
        </w:rPr>
        <w:t xml:space="preserve">este </w:t>
      </w:r>
      <w:r>
        <w:rPr>
          <w:rFonts w:ascii="Palatino Linotype" w:eastAsia="Palatino Linotype" w:hAnsi="Palatino Linotype" w:cs="Palatino Linotype"/>
          <w:b/>
          <w:bCs/>
          <w:color w:val="000000"/>
          <w:sz w:val="24"/>
          <w:szCs w:val="24"/>
        </w:rPr>
        <w:t>ÓRGANO GARANTE</w:t>
      </w:r>
      <w:r>
        <w:rPr>
          <w:rFonts w:ascii="Palatino Linotype" w:eastAsia="Palatino Linotype" w:hAnsi="Palatino Linotype" w:cs="Palatino Linotype"/>
          <w:color w:val="000000"/>
          <w:sz w:val="24"/>
          <w:szCs w:val="24"/>
        </w:rPr>
        <w:t xml:space="preserve"> emite los siguientes.</w:t>
      </w:r>
    </w:p>
    <w:p w:rsidR="00BD13CB" w:rsidRDefault="00BD13CB">
      <w:pPr>
        <w:spacing w:line="360" w:lineRule="auto"/>
        <w:ind w:right="113"/>
        <w:jc w:val="both"/>
        <w:rPr>
          <w:rFonts w:ascii="Palatino Linotype" w:eastAsia="Palatino Linotype" w:hAnsi="Palatino Linotype" w:cs="Palatino Linotype"/>
          <w:i/>
          <w:iCs/>
          <w:color w:val="000000"/>
          <w:sz w:val="24"/>
          <w:szCs w:val="24"/>
        </w:rPr>
      </w:pPr>
    </w:p>
    <w:p w:rsidR="00BD13CB" w:rsidRDefault="00BD13CB">
      <w:pPr>
        <w:pBdr>
          <w:top w:val="nil"/>
          <w:left w:val="nil"/>
          <w:bottom w:val="nil"/>
          <w:right w:val="nil"/>
          <w:between w:val="nil"/>
        </w:pBdr>
        <w:ind w:left="720" w:right="113"/>
        <w:rPr>
          <w:rFonts w:ascii="Palatino Linotype" w:eastAsia="Palatino Linotype" w:hAnsi="Palatino Linotype" w:cs="Palatino Linotype"/>
          <w:color w:val="000000"/>
          <w:sz w:val="24"/>
          <w:szCs w:val="24"/>
        </w:rPr>
      </w:pPr>
    </w:p>
    <w:p w:rsidR="00BD13CB" w:rsidRDefault="00166B83">
      <w:pPr>
        <w:pStyle w:val="Ttulo1"/>
        <w:spacing w:before="0" w:line="360" w:lineRule="auto"/>
        <w:ind w:right="113"/>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 E S O L U T I V O S</w:t>
      </w:r>
    </w:p>
    <w:p w:rsidR="00BD13CB" w:rsidRDefault="00BD13CB">
      <w:pPr>
        <w:spacing w:line="360" w:lineRule="auto"/>
        <w:ind w:right="113"/>
        <w:rPr>
          <w:rFonts w:ascii="Palatino Linotype" w:eastAsia="Palatino Linotype" w:hAnsi="Palatino Linotype" w:cs="Palatino Linotype"/>
          <w:sz w:val="24"/>
          <w:szCs w:val="24"/>
        </w:rPr>
      </w:pPr>
    </w:p>
    <w:p w:rsidR="00BD13CB" w:rsidRDefault="00166B83">
      <w:pPr>
        <w:spacing w:line="360" w:lineRule="auto"/>
        <w:ind w:right="113"/>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PRIMERO</w:t>
      </w:r>
      <w:r>
        <w:rPr>
          <w:rFonts w:ascii="Palatino Linotype" w:eastAsia="Palatino Linotype" w:hAnsi="Palatino Linotype" w:cs="Palatino Linotype"/>
          <w:sz w:val="24"/>
          <w:szCs w:val="24"/>
        </w:rPr>
        <w:t>. Resultan fundadas las</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 xml:space="preserve">razones o motivos de inconformidad hechos valer en el Recurso de Revisión </w:t>
      </w:r>
      <w:r>
        <w:rPr>
          <w:rFonts w:ascii="Palatino Linotype" w:eastAsia="Palatino Linotype" w:hAnsi="Palatino Linotype" w:cs="Palatino Linotype"/>
          <w:b/>
          <w:bCs/>
          <w:sz w:val="24"/>
          <w:szCs w:val="24"/>
        </w:rPr>
        <w:t xml:space="preserve">11203/INFOEM/IP/RR/2025, </w:t>
      </w:r>
      <w:r>
        <w:rPr>
          <w:rFonts w:ascii="Palatino Linotype" w:eastAsia="Palatino Linotype" w:hAnsi="Palatino Linotype" w:cs="Palatino Linotype"/>
          <w:sz w:val="24"/>
          <w:szCs w:val="24"/>
        </w:rPr>
        <w:t xml:space="preserve">en términos del </w:t>
      </w:r>
      <w:r>
        <w:rPr>
          <w:rFonts w:ascii="Palatino Linotype" w:eastAsia="Palatino Linotype" w:hAnsi="Palatino Linotype" w:cs="Palatino Linotype"/>
          <w:b/>
          <w:bCs/>
          <w:sz w:val="24"/>
          <w:szCs w:val="24"/>
        </w:rPr>
        <w:t xml:space="preserve">Considerando Cuarto y Quinto </w:t>
      </w:r>
      <w:r>
        <w:rPr>
          <w:rFonts w:ascii="Palatino Linotype" w:eastAsia="Palatino Linotype" w:hAnsi="Palatino Linotype" w:cs="Palatino Linotype"/>
          <w:sz w:val="24"/>
          <w:szCs w:val="24"/>
        </w:rPr>
        <w:t>de la presente resolución.</w:t>
      </w:r>
    </w:p>
    <w:p w:rsidR="00BD13CB" w:rsidRDefault="00BD13CB">
      <w:pPr>
        <w:spacing w:line="360" w:lineRule="auto"/>
        <w:ind w:right="113"/>
        <w:jc w:val="both"/>
        <w:rPr>
          <w:rFonts w:ascii="Palatino Linotype" w:eastAsia="Palatino Linotype" w:hAnsi="Palatino Linotype" w:cs="Palatino Linotype"/>
          <w:sz w:val="24"/>
          <w:szCs w:val="24"/>
        </w:rPr>
      </w:pPr>
    </w:p>
    <w:p w:rsidR="00BD13CB" w:rsidRDefault="00166B83">
      <w:pPr>
        <w:spacing w:line="360" w:lineRule="auto"/>
        <w:ind w:right="113"/>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SEGUNDO.</w:t>
      </w:r>
      <w:r>
        <w:rPr>
          <w:rFonts w:ascii="Palatino Linotype" w:eastAsia="Palatino Linotype" w:hAnsi="Palatino Linotype" w:cs="Palatino Linotype"/>
          <w:color w:val="2E75B5"/>
          <w:sz w:val="24"/>
          <w:szCs w:val="24"/>
        </w:rPr>
        <w:t xml:space="preserve"> </w:t>
      </w:r>
      <w:r>
        <w:rPr>
          <w:rFonts w:ascii="Palatino Linotype" w:eastAsia="Palatino Linotype" w:hAnsi="Palatino Linotype" w:cs="Palatino Linotype"/>
          <w:color w:val="000000"/>
          <w:sz w:val="24"/>
          <w:szCs w:val="24"/>
        </w:rPr>
        <w:t xml:space="preserve">Se </w:t>
      </w:r>
      <w:r>
        <w:rPr>
          <w:rFonts w:ascii="Palatino Linotype" w:eastAsia="Palatino Linotype" w:hAnsi="Palatino Linotype" w:cs="Palatino Linotype"/>
          <w:b/>
          <w:bCs/>
          <w:color w:val="000000"/>
          <w:sz w:val="24"/>
          <w:szCs w:val="24"/>
        </w:rPr>
        <w:t xml:space="preserve">REVOCA </w:t>
      </w:r>
      <w:r>
        <w:rPr>
          <w:rFonts w:ascii="Palatino Linotype" w:eastAsia="Palatino Linotype" w:hAnsi="Palatino Linotype" w:cs="Palatino Linotype"/>
          <w:color w:val="000000"/>
          <w:sz w:val="24"/>
          <w:szCs w:val="24"/>
        </w:rPr>
        <w:t xml:space="preserve">la respuesta emitida por el </w:t>
      </w:r>
      <w:r>
        <w:rPr>
          <w:rFonts w:ascii="Palatino Linotype" w:eastAsia="Palatino Linotype" w:hAnsi="Palatino Linotype" w:cs="Palatino Linotype"/>
          <w:b/>
          <w:bCs/>
          <w:color w:val="000000"/>
          <w:sz w:val="24"/>
          <w:szCs w:val="24"/>
        </w:rPr>
        <w:t xml:space="preserve">Ayuntamiento de Toluca </w:t>
      </w:r>
      <w:r>
        <w:rPr>
          <w:rFonts w:ascii="Palatino Linotype" w:eastAsia="Palatino Linotype" w:hAnsi="Palatino Linotype" w:cs="Palatino Linotype"/>
          <w:color w:val="000000"/>
          <w:sz w:val="24"/>
          <w:szCs w:val="24"/>
        </w:rPr>
        <w:t xml:space="preserve">y se </w:t>
      </w:r>
      <w:r>
        <w:rPr>
          <w:rFonts w:ascii="Palatino Linotype" w:eastAsia="Palatino Linotype" w:hAnsi="Palatino Linotype" w:cs="Palatino Linotype"/>
          <w:b/>
          <w:bCs/>
          <w:color w:val="000000"/>
          <w:sz w:val="24"/>
          <w:szCs w:val="24"/>
        </w:rPr>
        <w:t>ORDENA</w:t>
      </w:r>
      <w:r>
        <w:rPr>
          <w:rFonts w:ascii="Palatino Linotype" w:eastAsia="Palatino Linotype" w:hAnsi="Palatino Linotype" w:cs="Palatino Linotype"/>
          <w:color w:val="000000"/>
          <w:sz w:val="24"/>
          <w:szCs w:val="24"/>
        </w:rPr>
        <w:t xml:space="preserve"> entregar vía Sistema de Acceso a la Información Mexiquense </w:t>
      </w:r>
      <w:r>
        <w:rPr>
          <w:rFonts w:ascii="Palatino Linotype" w:eastAsia="Palatino Linotype" w:hAnsi="Palatino Linotype" w:cs="Palatino Linotype"/>
          <w:b/>
          <w:bCs/>
          <w:color w:val="000000"/>
          <w:sz w:val="24"/>
          <w:szCs w:val="24"/>
        </w:rPr>
        <w:t xml:space="preserve">(SAIMEX), </w:t>
      </w:r>
      <w:r>
        <w:rPr>
          <w:rFonts w:ascii="Palatino Linotype" w:eastAsia="Palatino Linotype" w:hAnsi="Palatino Linotype" w:cs="Palatino Linotype"/>
          <w:color w:val="000000"/>
          <w:sz w:val="24"/>
          <w:szCs w:val="24"/>
        </w:rPr>
        <w:t>previa búsqueda exhaustiva y razonable, de ser procedente en versión pública, lo siguiente:</w:t>
      </w:r>
    </w:p>
    <w:p w:rsidR="00BD13CB" w:rsidRDefault="00BD13CB">
      <w:pPr>
        <w:spacing w:line="360" w:lineRule="auto"/>
        <w:ind w:right="113"/>
        <w:jc w:val="both"/>
        <w:rPr>
          <w:rFonts w:ascii="Palatino Linotype" w:eastAsia="Palatino Linotype" w:hAnsi="Palatino Linotype" w:cs="Palatino Linotype"/>
          <w:color w:val="000000"/>
          <w:sz w:val="24"/>
          <w:szCs w:val="24"/>
        </w:rPr>
      </w:pPr>
    </w:p>
    <w:p w:rsidR="00BD13CB" w:rsidRPr="00C82D23" w:rsidRDefault="00166B83">
      <w:pPr>
        <w:numPr>
          <w:ilvl w:val="0"/>
          <w:numId w:val="3"/>
        </w:numPr>
        <w:pBdr>
          <w:top w:val="nil"/>
          <w:left w:val="nil"/>
          <w:bottom w:val="nil"/>
          <w:right w:val="nil"/>
          <w:between w:val="nil"/>
        </w:pBdr>
        <w:spacing w:line="276" w:lineRule="auto"/>
        <w:ind w:left="780" w:right="539"/>
        <w:jc w:val="both"/>
        <w:rPr>
          <w:rFonts w:ascii="Palatino Linotype" w:eastAsia="Palatino Linotype" w:hAnsi="Palatino Linotype" w:cs="Palatino Linotype"/>
          <w:color w:val="000000"/>
          <w:sz w:val="24"/>
          <w:szCs w:val="24"/>
        </w:rPr>
      </w:pPr>
      <w:bookmarkStart w:id="10" w:name="_heading=h.crdv98bd31c8" w:colFirst="0" w:colLast="0"/>
      <w:bookmarkEnd w:id="10"/>
      <w:r w:rsidRPr="00C82D23">
        <w:rPr>
          <w:rFonts w:ascii="Palatino Linotype" w:eastAsia="Palatino Linotype" w:hAnsi="Palatino Linotype" w:cs="Palatino Linotype"/>
          <w:color w:val="000000"/>
          <w:sz w:val="24"/>
          <w:szCs w:val="24"/>
        </w:rPr>
        <w:t xml:space="preserve">Documento en donde conste o se advierta del uno de enero </w:t>
      </w:r>
      <w:r w:rsidR="00234C6A" w:rsidRPr="00C82D23">
        <w:rPr>
          <w:rFonts w:ascii="Palatino Linotype" w:eastAsia="Palatino Linotype" w:hAnsi="Palatino Linotype" w:cs="Palatino Linotype"/>
          <w:color w:val="000000"/>
          <w:sz w:val="24"/>
          <w:szCs w:val="24"/>
        </w:rPr>
        <w:t>de dos mil veinticuatro</w:t>
      </w:r>
      <w:r w:rsidRPr="00C82D23">
        <w:rPr>
          <w:rFonts w:ascii="Palatino Linotype" w:eastAsia="Palatino Linotype" w:hAnsi="Palatino Linotype" w:cs="Palatino Linotype"/>
          <w:color w:val="000000"/>
          <w:sz w:val="24"/>
          <w:szCs w:val="24"/>
        </w:rPr>
        <w:t xml:space="preserve"> al diecinueve de agosto de dos mil veinticinco, el sueldo bruto y neto</w:t>
      </w:r>
      <w:r w:rsidR="00234C6A" w:rsidRPr="00C82D23">
        <w:rPr>
          <w:rFonts w:ascii="Palatino Linotype" w:eastAsia="Palatino Linotype" w:hAnsi="Palatino Linotype" w:cs="Palatino Linotype"/>
          <w:color w:val="000000"/>
          <w:sz w:val="24"/>
          <w:szCs w:val="24"/>
        </w:rPr>
        <w:t xml:space="preserve"> mensual</w:t>
      </w:r>
      <w:r w:rsidRPr="00C82D23">
        <w:rPr>
          <w:rFonts w:ascii="Palatino Linotype" w:eastAsia="Palatino Linotype" w:hAnsi="Palatino Linotype" w:cs="Palatino Linotype"/>
          <w:color w:val="000000"/>
          <w:sz w:val="24"/>
          <w:szCs w:val="24"/>
        </w:rPr>
        <w:t xml:space="preserve"> de los servidores públicos referidos en la solicitud de información. </w:t>
      </w:r>
    </w:p>
    <w:p w:rsidR="00BD13CB" w:rsidRDefault="00BD13CB">
      <w:pPr>
        <w:pBdr>
          <w:top w:val="nil"/>
          <w:left w:val="nil"/>
          <w:bottom w:val="nil"/>
          <w:right w:val="nil"/>
          <w:between w:val="nil"/>
        </w:pBdr>
        <w:spacing w:line="360" w:lineRule="auto"/>
        <w:ind w:left="780" w:right="113"/>
        <w:jc w:val="both"/>
        <w:rPr>
          <w:rFonts w:ascii="Palatino Linotype" w:eastAsia="Palatino Linotype" w:hAnsi="Palatino Linotype" w:cs="Palatino Linotype"/>
          <w:color w:val="000000"/>
          <w:sz w:val="24"/>
          <w:szCs w:val="24"/>
        </w:rPr>
      </w:pPr>
    </w:p>
    <w:p w:rsidR="00BD13CB" w:rsidRDefault="00166B83">
      <w:pPr>
        <w:spacing w:line="360" w:lineRule="auto"/>
        <w:ind w:right="113"/>
        <w:jc w:val="both"/>
        <w:rPr>
          <w:rFonts w:ascii="Palatino Linotype" w:eastAsia="Palatino Linotype" w:hAnsi="Palatino Linotype" w:cs="Palatino Linotype"/>
          <w:b/>
          <w:bCs/>
          <w:sz w:val="24"/>
          <w:szCs w:val="24"/>
        </w:rPr>
      </w:pPr>
      <w:r>
        <w:rPr>
          <w:rFonts w:ascii="Palatino Linotype" w:eastAsia="Palatino Linotype" w:hAnsi="Palatino Linotype" w:cs="Palatino Linotype"/>
          <w:sz w:val="24"/>
          <w:szCs w:val="24"/>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w:t>
      </w:r>
      <w:r>
        <w:rPr>
          <w:rFonts w:ascii="Palatino Linotype" w:eastAsia="Palatino Linotype" w:hAnsi="Palatino Linotype" w:cs="Palatino Linotype"/>
          <w:sz w:val="24"/>
          <w:szCs w:val="24"/>
        </w:rPr>
        <w:lastRenderedPageBreak/>
        <w:t xml:space="preserve">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sz w:val="24"/>
          <w:szCs w:val="24"/>
        </w:rPr>
        <w:t>RECURRENTE.</w:t>
      </w:r>
    </w:p>
    <w:p w:rsidR="00BD13CB" w:rsidRDefault="00BD13CB">
      <w:pPr>
        <w:ind w:right="113"/>
        <w:rPr>
          <w:rFonts w:ascii="Palatino Linotype" w:eastAsia="Palatino Linotype" w:hAnsi="Palatino Linotype" w:cs="Palatino Linotype"/>
          <w:i/>
          <w:iCs/>
          <w:color w:val="000000"/>
          <w:sz w:val="24"/>
          <w:szCs w:val="24"/>
        </w:rPr>
      </w:pPr>
    </w:p>
    <w:p w:rsidR="00BD13CB" w:rsidRDefault="00166B83">
      <w:pPr>
        <w:tabs>
          <w:tab w:val="left" w:pos="2947"/>
        </w:tabs>
        <w:spacing w:line="360" w:lineRule="auto"/>
        <w:ind w:right="113"/>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ab/>
      </w:r>
    </w:p>
    <w:p w:rsidR="00BD13CB" w:rsidRDefault="00166B83">
      <w:pPr>
        <w:tabs>
          <w:tab w:val="left" w:pos="8080"/>
        </w:tabs>
        <w:spacing w:line="360" w:lineRule="auto"/>
        <w:ind w:right="113"/>
        <w:jc w:val="both"/>
        <w:rPr>
          <w:rFonts w:ascii="Palatino Linotype" w:eastAsia="Palatino Linotype" w:hAnsi="Palatino Linotype" w:cs="Palatino Linotype"/>
          <w:color w:val="222222"/>
          <w:sz w:val="24"/>
          <w:szCs w:val="24"/>
        </w:rPr>
      </w:pPr>
      <w:r>
        <w:rPr>
          <w:rFonts w:ascii="Palatino Linotype" w:eastAsia="Palatino Linotype" w:hAnsi="Palatino Linotype" w:cs="Palatino Linotype"/>
          <w:b/>
          <w:bCs/>
          <w:sz w:val="24"/>
          <w:szCs w:val="24"/>
        </w:rPr>
        <w:t xml:space="preserve">TERCERO. </w:t>
      </w:r>
      <w:r>
        <w:rPr>
          <w:rFonts w:ascii="Palatino Linotype" w:eastAsia="Palatino Linotype" w:hAnsi="Palatino Linotype" w:cs="Palatino Linotype"/>
          <w:b/>
          <w:bCs/>
          <w:color w:val="222222"/>
          <w:sz w:val="24"/>
          <w:szCs w:val="24"/>
        </w:rPr>
        <w:t xml:space="preserve">NOTIFÍQUESE </w:t>
      </w:r>
      <w:r>
        <w:rPr>
          <w:rFonts w:ascii="Palatino Linotype" w:eastAsia="Palatino Linotype" w:hAnsi="Palatino Linotype" w:cs="Palatino Linotype"/>
          <w:color w:val="222222"/>
          <w:sz w:val="24"/>
          <w:szCs w:val="24"/>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sz w:val="24"/>
          <w:szCs w:val="24"/>
        </w:rPr>
        <w:t xml:space="preserve">dé cumplimiento a lo ordenado dentro del plazo de diez días hábiles, </w:t>
      </w:r>
      <w:r>
        <w:rPr>
          <w:rFonts w:ascii="Palatino Linotype" w:eastAsia="Palatino Linotype" w:hAnsi="Palatino Linotype" w:cs="Palatino Linotype"/>
          <w:color w:val="222222"/>
          <w:sz w:val="24"/>
          <w:szCs w:val="24"/>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BD13CB" w:rsidRDefault="00BD13CB">
      <w:pPr>
        <w:spacing w:line="360" w:lineRule="auto"/>
        <w:ind w:right="113"/>
        <w:jc w:val="both"/>
        <w:rPr>
          <w:rFonts w:ascii="Palatino Linotype" w:eastAsia="Palatino Linotype" w:hAnsi="Palatino Linotype" w:cs="Palatino Linotype"/>
          <w:sz w:val="24"/>
          <w:szCs w:val="24"/>
        </w:rPr>
      </w:pPr>
    </w:p>
    <w:p w:rsidR="00BD13CB" w:rsidRDefault="00166B83">
      <w:pPr>
        <w:spacing w:line="360" w:lineRule="auto"/>
        <w:ind w:right="113"/>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CUARTO. </w:t>
      </w:r>
      <w:r>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BD13CB" w:rsidRDefault="00BD13CB">
      <w:pPr>
        <w:spacing w:line="360" w:lineRule="auto"/>
        <w:ind w:right="113"/>
        <w:jc w:val="both"/>
        <w:rPr>
          <w:rFonts w:ascii="Palatino Linotype" w:eastAsia="Palatino Linotype" w:hAnsi="Palatino Linotype" w:cs="Palatino Linotype"/>
          <w:sz w:val="24"/>
          <w:szCs w:val="24"/>
        </w:rPr>
      </w:pPr>
    </w:p>
    <w:p w:rsidR="00BD13CB" w:rsidRDefault="00166B83">
      <w:pPr>
        <w:spacing w:line="360" w:lineRule="auto"/>
        <w:ind w:right="113"/>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QUINTO. </w:t>
      </w:r>
      <w:r>
        <w:rPr>
          <w:rFonts w:ascii="Palatino Linotype" w:eastAsia="Palatino Linotype" w:hAnsi="Palatino Linotype" w:cs="Palatino Linotype"/>
          <w:b/>
          <w:bCs/>
          <w:color w:val="222222"/>
          <w:sz w:val="24"/>
          <w:szCs w:val="24"/>
        </w:rPr>
        <w:t xml:space="preserve">Notifíquese </w:t>
      </w:r>
      <w:r>
        <w:rPr>
          <w:rFonts w:ascii="Palatino Linotype" w:eastAsia="Palatino Linotype" w:hAnsi="Palatino Linotype" w:cs="Palatino Linotype"/>
          <w:color w:val="222222"/>
          <w:sz w:val="24"/>
          <w:szCs w:val="24"/>
        </w:rPr>
        <w:t xml:space="preserve">a </w:t>
      </w:r>
      <w:r>
        <w:rPr>
          <w:rFonts w:ascii="Palatino Linotype" w:eastAsia="Palatino Linotype" w:hAnsi="Palatino Linotype" w:cs="Palatino Linotype"/>
          <w:b/>
          <w:bCs/>
          <w:sz w:val="24"/>
          <w:szCs w:val="24"/>
        </w:rPr>
        <w:t>LA RECURRENTE</w:t>
      </w:r>
      <w:r>
        <w:rPr>
          <w:rFonts w:ascii="Palatino Linotype" w:eastAsia="Palatino Linotype" w:hAnsi="Palatino Linotype" w:cs="Palatino Linotype"/>
          <w:sz w:val="24"/>
          <w:szCs w:val="24"/>
        </w:rPr>
        <w:t xml:space="preserve"> la presente resolución, vía SAIMEX.</w:t>
      </w:r>
    </w:p>
    <w:p w:rsidR="00BD13CB" w:rsidRDefault="00BD13CB">
      <w:pPr>
        <w:spacing w:line="360" w:lineRule="auto"/>
        <w:ind w:right="113"/>
        <w:jc w:val="both"/>
        <w:rPr>
          <w:rFonts w:ascii="Palatino Linotype" w:eastAsia="Palatino Linotype" w:hAnsi="Palatino Linotype" w:cs="Palatino Linotype"/>
          <w:sz w:val="24"/>
          <w:szCs w:val="24"/>
        </w:rPr>
      </w:pPr>
    </w:p>
    <w:p w:rsidR="00BD13CB" w:rsidRDefault="00166B83">
      <w:pPr>
        <w:spacing w:line="360" w:lineRule="auto"/>
        <w:ind w:right="113"/>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lastRenderedPageBreak/>
        <w:t>SEXTO.</w:t>
      </w:r>
      <w:r>
        <w:rPr>
          <w:rFonts w:ascii="Palatino Linotype" w:eastAsia="Palatino Linotype" w:hAnsi="Palatino Linotype" w:cs="Palatino Linotype"/>
          <w:sz w:val="24"/>
          <w:szCs w:val="24"/>
        </w:rPr>
        <w:t xml:space="preserve"> Se hace del conocimiento de </w:t>
      </w:r>
      <w:r>
        <w:rPr>
          <w:rFonts w:ascii="Palatino Linotype" w:eastAsia="Palatino Linotype" w:hAnsi="Palatino Linotype" w:cs="Palatino Linotype"/>
          <w:b/>
          <w:bCs/>
          <w:sz w:val="24"/>
          <w:szCs w:val="24"/>
        </w:rPr>
        <w:t>LA RECURRENTE</w:t>
      </w:r>
      <w:r>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BD13CB" w:rsidRDefault="00BD13CB">
      <w:pPr>
        <w:spacing w:line="360" w:lineRule="auto"/>
        <w:ind w:right="113"/>
        <w:jc w:val="both"/>
        <w:rPr>
          <w:rFonts w:ascii="Palatino Linotype" w:eastAsia="Palatino Linotype" w:hAnsi="Palatino Linotype" w:cs="Palatino Linotype"/>
          <w:sz w:val="24"/>
          <w:szCs w:val="24"/>
        </w:rPr>
      </w:pPr>
    </w:p>
    <w:p w:rsidR="00181B37" w:rsidRPr="00181B37" w:rsidRDefault="00181B37" w:rsidP="00181B37">
      <w:pPr>
        <w:spacing w:before="240" w:after="240" w:line="360" w:lineRule="auto"/>
        <w:ind w:firstLine="1"/>
        <w:jc w:val="both"/>
        <w:rPr>
          <w:rFonts w:ascii="Palatino Linotype" w:hAnsi="Palatino Linotype"/>
          <w:sz w:val="24"/>
        </w:rPr>
      </w:pPr>
      <w:bookmarkStart w:id="11" w:name="_Hlk99014733"/>
      <w:r w:rsidRPr="00181B37">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181B37">
        <w:rPr>
          <w:rFonts w:ascii="Palatino Linotype" w:hAnsi="Palatino Linotype" w:cs="Palatino Linotype"/>
          <w:color w:val="000000" w:themeColor="text1"/>
          <w:sz w:val="24"/>
        </w:rPr>
        <w:t>ALEXIS TAPIA RAMÍREZ.</w:t>
      </w:r>
    </w:p>
    <w:bookmarkEnd w:id="11"/>
    <w:p w:rsidR="00BD13CB" w:rsidRPr="00181B37" w:rsidRDefault="00BD13CB">
      <w:pPr>
        <w:spacing w:line="360" w:lineRule="auto"/>
        <w:ind w:right="49"/>
        <w:jc w:val="both"/>
        <w:rPr>
          <w:rFonts w:ascii="Palatino Linotype" w:eastAsia="Palatino Linotype" w:hAnsi="Palatino Linotype" w:cs="Palatino Linotype"/>
          <w:sz w:val="32"/>
          <w:szCs w:val="24"/>
        </w:rPr>
      </w:pPr>
    </w:p>
    <w:p w:rsidR="00BD13CB" w:rsidRPr="00181B37" w:rsidRDefault="00BD13CB">
      <w:pPr>
        <w:spacing w:line="360" w:lineRule="auto"/>
        <w:ind w:right="49"/>
        <w:jc w:val="both"/>
        <w:rPr>
          <w:rFonts w:ascii="Palatino Linotype" w:eastAsia="Palatino Linotype" w:hAnsi="Palatino Linotype" w:cs="Palatino Linotype"/>
          <w:b/>
          <w:bCs/>
          <w:sz w:val="32"/>
          <w:szCs w:val="24"/>
        </w:rPr>
      </w:pPr>
    </w:p>
    <w:p w:rsidR="00BD13CB" w:rsidRPr="00181B37" w:rsidRDefault="00BD13CB">
      <w:pPr>
        <w:spacing w:line="360" w:lineRule="auto"/>
        <w:ind w:right="34"/>
        <w:jc w:val="both"/>
        <w:rPr>
          <w:rFonts w:ascii="Palatino Linotype" w:eastAsia="Palatino Linotype" w:hAnsi="Palatino Linotype" w:cs="Palatino Linotype"/>
          <w:color w:val="000000"/>
          <w:sz w:val="32"/>
          <w:szCs w:val="24"/>
        </w:rPr>
      </w:pPr>
      <w:bookmarkStart w:id="12" w:name="_heading=h.tyjcwt" w:colFirst="0" w:colLast="0"/>
      <w:bookmarkEnd w:id="12"/>
    </w:p>
    <w:p w:rsidR="00BD13CB" w:rsidRPr="00181B37" w:rsidRDefault="00BD13CB">
      <w:pPr>
        <w:rPr>
          <w:rFonts w:ascii="Palatino Linotype" w:eastAsia="Palatino Linotype" w:hAnsi="Palatino Linotype" w:cs="Palatino Linotype"/>
          <w:sz w:val="32"/>
          <w:szCs w:val="24"/>
        </w:rPr>
      </w:pPr>
    </w:p>
    <w:p w:rsidR="00BD13CB" w:rsidRPr="00181B37" w:rsidRDefault="00BD13CB">
      <w:pPr>
        <w:rPr>
          <w:rFonts w:ascii="Palatino Linotype" w:eastAsia="Palatino Linotype" w:hAnsi="Palatino Linotype" w:cs="Palatino Linotype"/>
          <w:sz w:val="32"/>
          <w:szCs w:val="24"/>
        </w:rPr>
      </w:pPr>
    </w:p>
    <w:p w:rsidR="00BD13CB" w:rsidRDefault="00BD13CB"/>
    <w:p w:rsidR="00C82D23" w:rsidRDefault="00C82D23"/>
    <w:p w:rsidR="00C82D23" w:rsidRDefault="00C82D23"/>
    <w:p w:rsidR="00C82D23" w:rsidRDefault="00C82D23"/>
    <w:p w:rsidR="00C82D23" w:rsidRDefault="00C82D23"/>
    <w:p w:rsidR="00C82D23" w:rsidRDefault="00C82D23"/>
    <w:p w:rsidR="00C82D23" w:rsidRDefault="00C82D23"/>
    <w:p w:rsidR="00C82D23" w:rsidRDefault="00C82D23"/>
    <w:p w:rsidR="00C82D23" w:rsidRDefault="00C82D23"/>
    <w:p w:rsidR="00C82D23" w:rsidRDefault="00C82D23"/>
    <w:p w:rsidR="00C82D23" w:rsidRDefault="00C82D23"/>
    <w:p w:rsidR="00C82D23" w:rsidRDefault="00C82D23"/>
    <w:p w:rsidR="00C82D23" w:rsidRDefault="00C82D23"/>
    <w:p w:rsidR="00C82D23" w:rsidRDefault="00C82D23"/>
    <w:p w:rsidR="00C82D23" w:rsidRDefault="00C82D23"/>
    <w:p w:rsidR="00C82D23" w:rsidRDefault="00C82D23"/>
    <w:p w:rsidR="00C82D23" w:rsidRDefault="00C82D23"/>
    <w:p w:rsidR="00C82D23" w:rsidRDefault="00C82D23"/>
    <w:p w:rsidR="00C82D23" w:rsidRDefault="00C82D23"/>
    <w:p w:rsidR="00C82D23" w:rsidRDefault="00C82D23"/>
    <w:p w:rsidR="00C82D23" w:rsidRDefault="00C82D23"/>
    <w:sectPr w:rsidR="00C82D23" w:rsidSect="00F8154B">
      <w:headerReference w:type="even" r:id="rId9"/>
      <w:headerReference w:type="default" r:id="rId10"/>
      <w:footerReference w:type="default" r:id="rId11"/>
      <w:headerReference w:type="first" r:id="rId12"/>
      <w:footerReference w:type="first" r:id="rId13"/>
      <w:pgSz w:w="12240" w:h="15840"/>
      <w:pgMar w:top="80" w:right="758" w:bottom="141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DAF" w:rsidRDefault="00F95DAF">
      <w:r>
        <w:separator/>
      </w:r>
    </w:p>
  </w:endnote>
  <w:endnote w:type="continuationSeparator" w:id="0">
    <w:p w:rsidR="00F95DAF" w:rsidRDefault="00F9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98746526-B086-4B91-8F2B-206FFC18F4F1}"/>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6801DB0F-0231-4119-80C9-3DB5AE4708DA}"/>
    <w:embedBold r:id="rId3" w:fontKey="{F9DDC2EC-D12B-425B-9E1D-FD7C99BFEE32}"/>
    <w:embedItalic r:id="rId4" w:fontKey="{DFA5F900-6CBE-4E93-9215-ACAE99DCE972}"/>
    <w:embedBoldItalic r:id="rId5" w:fontKey="{A2C1FBE8-8283-4078-8909-3963F2CCDE3B}"/>
  </w:font>
  <w:font w:name="Calibri">
    <w:panose1 w:val="020F0502020204030204"/>
    <w:charset w:val="00"/>
    <w:family w:val="swiss"/>
    <w:pitch w:val="variable"/>
    <w:sig w:usb0="E4002EFF" w:usb1="C200247B" w:usb2="00000009" w:usb3="00000000" w:csb0="000001FF" w:csb1="00000000"/>
    <w:embedRegular r:id="rId6" w:fontKey="{07931566-20B4-42F3-B4EB-C2110841B218}"/>
  </w:font>
  <w:font w:name="Calibri Light">
    <w:panose1 w:val="020F0302020204030204"/>
    <w:charset w:val="00"/>
    <w:family w:val="swiss"/>
    <w:pitch w:val="variable"/>
    <w:sig w:usb0="E4002EFF" w:usb1="C200247B" w:usb2="00000009" w:usb3="00000000" w:csb0="000001FF" w:csb1="00000000"/>
    <w:embedRegular r:id="rId7" w:fontKey="{9B8A3FC1-E942-4271-B7E5-09EFF9B21C8C}"/>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embedRegular r:id="rId8" w:fontKey="{2474F999-0448-49C5-BE0F-ED4B90997A42}"/>
  </w:font>
  <w:font w:name="Georgia">
    <w:panose1 w:val="02040502050405020303"/>
    <w:charset w:val="00"/>
    <w:family w:val="roman"/>
    <w:pitch w:val="variable"/>
    <w:sig w:usb0="00000287" w:usb1="00000000" w:usb2="00000000" w:usb3="00000000" w:csb0="0000009F" w:csb1="00000000"/>
    <w:embedItalic r:id="rId9" w:fontKey="{8F907DB6-CEBD-4DEB-869D-D7866C6CA7DC}"/>
  </w:font>
  <w:font w:name="Garamond">
    <w:panose1 w:val="02020404030301010803"/>
    <w:charset w:val="00"/>
    <w:family w:val="roman"/>
    <w:pitch w:val="variable"/>
    <w:sig w:usb0="00000287" w:usb1="00000000" w:usb2="00000000" w:usb3="00000000" w:csb0="0000009F" w:csb1="00000000"/>
    <w:embedRegular r:id="rId10" w:fontKey="{41754827-4C0A-4A67-A4C2-4AA85683122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3CB" w:rsidRDefault="00BD13CB">
    <w:pPr>
      <w:pBdr>
        <w:top w:val="nil"/>
        <w:left w:val="nil"/>
        <w:bottom w:val="nil"/>
        <w:right w:val="nil"/>
        <w:between w:val="nil"/>
      </w:pBdr>
      <w:tabs>
        <w:tab w:val="center" w:pos="4419"/>
        <w:tab w:val="right" w:pos="8838"/>
      </w:tabs>
      <w:jc w:val="right"/>
      <w:rPr>
        <w:color w:val="000000"/>
      </w:rPr>
    </w:pPr>
  </w:p>
  <w:p w:rsidR="00BD13CB" w:rsidRPr="00F8154B" w:rsidRDefault="00166B83">
    <w:pPr>
      <w:pBdr>
        <w:top w:val="nil"/>
        <w:left w:val="nil"/>
        <w:bottom w:val="nil"/>
        <w:right w:val="nil"/>
        <w:between w:val="nil"/>
      </w:pBdr>
      <w:tabs>
        <w:tab w:val="center" w:pos="4419"/>
        <w:tab w:val="right" w:pos="8838"/>
      </w:tabs>
      <w:jc w:val="right"/>
      <w:rPr>
        <w:rFonts w:ascii="Palatino Linotype" w:hAnsi="Palatino Linotype"/>
        <w:b/>
        <w:color w:val="000000"/>
        <w:sz w:val="22"/>
        <w:szCs w:val="22"/>
      </w:rPr>
    </w:pPr>
    <w:r w:rsidRPr="00F8154B">
      <w:rPr>
        <w:rFonts w:ascii="Palatino Linotype" w:hAnsi="Palatino Linotype"/>
        <w:b/>
        <w:color w:val="000000"/>
        <w:sz w:val="22"/>
        <w:szCs w:val="22"/>
      </w:rPr>
      <w:t xml:space="preserve">Página </w:t>
    </w:r>
    <w:r w:rsidRPr="00F8154B">
      <w:rPr>
        <w:rFonts w:ascii="Palatino Linotype" w:hAnsi="Palatino Linotype"/>
        <w:b/>
        <w:bCs/>
        <w:color w:val="000000"/>
        <w:sz w:val="22"/>
        <w:szCs w:val="22"/>
      </w:rPr>
      <w:fldChar w:fldCharType="begin"/>
    </w:r>
    <w:r w:rsidRPr="00F8154B">
      <w:rPr>
        <w:rFonts w:ascii="Palatino Linotype" w:hAnsi="Palatino Linotype"/>
        <w:b/>
        <w:bCs/>
        <w:color w:val="000000"/>
        <w:sz w:val="22"/>
        <w:szCs w:val="22"/>
      </w:rPr>
      <w:instrText>PAGE</w:instrText>
    </w:r>
    <w:r w:rsidRPr="00F8154B">
      <w:rPr>
        <w:rFonts w:ascii="Palatino Linotype" w:hAnsi="Palatino Linotype"/>
        <w:b/>
        <w:bCs/>
        <w:color w:val="000000"/>
        <w:sz w:val="22"/>
        <w:szCs w:val="22"/>
      </w:rPr>
      <w:fldChar w:fldCharType="separate"/>
    </w:r>
    <w:r w:rsidR="00F30366">
      <w:rPr>
        <w:rFonts w:ascii="Palatino Linotype" w:hAnsi="Palatino Linotype"/>
        <w:b/>
        <w:bCs/>
        <w:noProof/>
        <w:color w:val="000000"/>
        <w:sz w:val="22"/>
        <w:szCs w:val="22"/>
      </w:rPr>
      <w:t>19</w:t>
    </w:r>
    <w:r w:rsidRPr="00F8154B">
      <w:rPr>
        <w:rFonts w:ascii="Palatino Linotype" w:hAnsi="Palatino Linotype"/>
        <w:b/>
        <w:bCs/>
        <w:color w:val="000000"/>
        <w:sz w:val="22"/>
        <w:szCs w:val="22"/>
      </w:rPr>
      <w:fldChar w:fldCharType="end"/>
    </w:r>
    <w:r w:rsidRPr="00F8154B">
      <w:rPr>
        <w:rFonts w:ascii="Palatino Linotype" w:hAnsi="Palatino Linotype"/>
        <w:b/>
        <w:color w:val="000000"/>
        <w:sz w:val="22"/>
        <w:szCs w:val="22"/>
      </w:rPr>
      <w:t xml:space="preserve"> de </w:t>
    </w:r>
    <w:r w:rsidRPr="00F8154B">
      <w:rPr>
        <w:rFonts w:ascii="Palatino Linotype" w:hAnsi="Palatino Linotype"/>
        <w:b/>
        <w:bCs/>
        <w:color w:val="000000"/>
        <w:sz w:val="22"/>
        <w:szCs w:val="22"/>
      </w:rPr>
      <w:fldChar w:fldCharType="begin"/>
    </w:r>
    <w:r w:rsidRPr="00F8154B">
      <w:rPr>
        <w:rFonts w:ascii="Palatino Linotype" w:hAnsi="Palatino Linotype"/>
        <w:b/>
        <w:bCs/>
        <w:color w:val="000000"/>
        <w:sz w:val="22"/>
        <w:szCs w:val="22"/>
      </w:rPr>
      <w:instrText>NUMPAGES</w:instrText>
    </w:r>
    <w:r w:rsidRPr="00F8154B">
      <w:rPr>
        <w:rFonts w:ascii="Palatino Linotype" w:hAnsi="Palatino Linotype"/>
        <w:b/>
        <w:bCs/>
        <w:color w:val="000000"/>
        <w:sz w:val="22"/>
        <w:szCs w:val="22"/>
      </w:rPr>
      <w:fldChar w:fldCharType="separate"/>
    </w:r>
    <w:r w:rsidR="00F30366">
      <w:rPr>
        <w:rFonts w:ascii="Palatino Linotype" w:hAnsi="Palatino Linotype"/>
        <w:b/>
        <w:bCs/>
        <w:noProof/>
        <w:color w:val="000000"/>
        <w:sz w:val="22"/>
        <w:szCs w:val="22"/>
      </w:rPr>
      <w:t>19</w:t>
    </w:r>
    <w:r w:rsidRPr="00F8154B">
      <w:rPr>
        <w:rFonts w:ascii="Palatino Linotype" w:hAnsi="Palatino Linotype"/>
        <w:b/>
        <w:bCs/>
        <w:color w:val="000000"/>
        <w:sz w:val="22"/>
        <w:szCs w:val="22"/>
      </w:rPr>
      <w:fldChar w:fldCharType="end"/>
    </w:r>
  </w:p>
  <w:p w:rsidR="00BD13CB" w:rsidRDefault="00BD13CB">
    <w:pPr>
      <w:pBdr>
        <w:top w:val="nil"/>
        <w:left w:val="nil"/>
        <w:bottom w:val="nil"/>
        <w:right w:val="nil"/>
        <w:between w:val="nil"/>
      </w:pBdr>
      <w:tabs>
        <w:tab w:val="center" w:pos="4419"/>
        <w:tab w:val="right" w:pos="8838"/>
      </w:tabs>
      <w:rPr>
        <w:color w:val="000000"/>
      </w:rPr>
    </w:pPr>
  </w:p>
  <w:p w:rsidR="00BD13CB" w:rsidRDefault="00BD13CB"/>
  <w:p w:rsidR="00BD13CB" w:rsidRDefault="00BD13CB"/>
  <w:p w:rsidR="00BD13CB" w:rsidRDefault="00BD13C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3CB" w:rsidRPr="00F8154B" w:rsidRDefault="00166B83">
    <w:pPr>
      <w:pBdr>
        <w:top w:val="nil"/>
        <w:left w:val="nil"/>
        <w:bottom w:val="nil"/>
        <w:right w:val="nil"/>
        <w:between w:val="nil"/>
      </w:pBdr>
      <w:tabs>
        <w:tab w:val="center" w:pos="4419"/>
        <w:tab w:val="right" w:pos="8838"/>
      </w:tabs>
      <w:jc w:val="right"/>
      <w:rPr>
        <w:rFonts w:ascii="Palatino Linotype" w:hAnsi="Palatino Linotype"/>
        <w:b/>
        <w:color w:val="000000"/>
        <w:sz w:val="22"/>
        <w:szCs w:val="22"/>
      </w:rPr>
    </w:pPr>
    <w:r w:rsidRPr="00F8154B">
      <w:rPr>
        <w:rFonts w:ascii="Palatino Linotype" w:hAnsi="Palatino Linotype"/>
        <w:b/>
        <w:color w:val="000000"/>
        <w:sz w:val="22"/>
        <w:szCs w:val="22"/>
      </w:rPr>
      <w:t xml:space="preserve">Página </w:t>
    </w:r>
    <w:r w:rsidRPr="00F8154B">
      <w:rPr>
        <w:rFonts w:ascii="Palatino Linotype" w:hAnsi="Palatino Linotype"/>
        <w:b/>
        <w:bCs/>
        <w:color w:val="000000"/>
        <w:sz w:val="22"/>
        <w:szCs w:val="22"/>
      </w:rPr>
      <w:fldChar w:fldCharType="begin"/>
    </w:r>
    <w:r w:rsidRPr="00F8154B">
      <w:rPr>
        <w:rFonts w:ascii="Palatino Linotype" w:hAnsi="Palatino Linotype"/>
        <w:b/>
        <w:bCs/>
        <w:color w:val="000000"/>
        <w:sz w:val="22"/>
        <w:szCs w:val="22"/>
      </w:rPr>
      <w:instrText>PAGE</w:instrText>
    </w:r>
    <w:r w:rsidRPr="00F8154B">
      <w:rPr>
        <w:rFonts w:ascii="Palatino Linotype" w:hAnsi="Palatino Linotype"/>
        <w:b/>
        <w:bCs/>
        <w:color w:val="000000"/>
        <w:sz w:val="22"/>
        <w:szCs w:val="22"/>
      </w:rPr>
      <w:fldChar w:fldCharType="separate"/>
    </w:r>
    <w:r w:rsidR="00F30366">
      <w:rPr>
        <w:rFonts w:ascii="Palatino Linotype" w:hAnsi="Palatino Linotype"/>
        <w:b/>
        <w:bCs/>
        <w:noProof/>
        <w:color w:val="000000"/>
        <w:sz w:val="22"/>
        <w:szCs w:val="22"/>
      </w:rPr>
      <w:t>1</w:t>
    </w:r>
    <w:r w:rsidRPr="00F8154B">
      <w:rPr>
        <w:rFonts w:ascii="Palatino Linotype" w:hAnsi="Palatino Linotype"/>
        <w:b/>
        <w:bCs/>
        <w:color w:val="000000"/>
        <w:sz w:val="22"/>
        <w:szCs w:val="22"/>
      </w:rPr>
      <w:fldChar w:fldCharType="end"/>
    </w:r>
    <w:r w:rsidRPr="00F8154B">
      <w:rPr>
        <w:rFonts w:ascii="Palatino Linotype" w:hAnsi="Palatino Linotype"/>
        <w:b/>
        <w:color w:val="000000"/>
        <w:sz w:val="22"/>
        <w:szCs w:val="22"/>
      </w:rPr>
      <w:t xml:space="preserve"> de </w:t>
    </w:r>
    <w:r w:rsidRPr="00F8154B">
      <w:rPr>
        <w:rFonts w:ascii="Palatino Linotype" w:hAnsi="Palatino Linotype"/>
        <w:b/>
        <w:bCs/>
        <w:color w:val="000000"/>
        <w:sz w:val="22"/>
        <w:szCs w:val="22"/>
      </w:rPr>
      <w:fldChar w:fldCharType="begin"/>
    </w:r>
    <w:r w:rsidRPr="00F8154B">
      <w:rPr>
        <w:rFonts w:ascii="Palatino Linotype" w:hAnsi="Palatino Linotype"/>
        <w:b/>
        <w:bCs/>
        <w:color w:val="000000"/>
        <w:sz w:val="22"/>
        <w:szCs w:val="22"/>
      </w:rPr>
      <w:instrText>NUMPAGES</w:instrText>
    </w:r>
    <w:r w:rsidRPr="00F8154B">
      <w:rPr>
        <w:rFonts w:ascii="Palatino Linotype" w:hAnsi="Palatino Linotype"/>
        <w:b/>
        <w:bCs/>
        <w:color w:val="000000"/>
        <w:sz w:val="22"/>
        <w:szCs w:val="22"/>
      </w:rPr>
      <w:fldChar w:fldCharType="separate"/>
    </w:r>
    <w:r w:rsidR="00F30366">
      <w:rPr>
        <w:rFonts w:ascii="Palatino Linotype" w:hAnsi="Palatino Linotype"/>
        <w:b/>
        <w:bCs/>
        <w:noProof/>
        <w:color w:val="000000"/>
        <w:sz w:val="22"/>
        <w:szCs w:val="22"/>
      </w:rPr>
      <w:t>19</w:t>
    </w:r>
    <w:r w:rsidRPr="00F8154B">
      <w:rPr>
        <w:rFonts w:ascii="Palatino Linotype" w:hAnsi="Palatino Linotype"/>
        <w:b/>
        <w:bCs/>
        <w:color w:val="000000"/>
        <w:sz w:val="22"/>
        <w:szCs w:val="22"/>
      </w:rPr>
      <w:fldChar w:fldCharType="end"/>
    </w:r>
  </w:p>
  <w:p w:rsidR="00BD13CB" w:rsidRDefault="00BD13CB">
    <w:pPr>
      <w:pBdr>
        <w:top w:val="nil"/>
        <w:left w:val="nil"/>
        <w:bottom w:val="nil"/>
        <w:right w:val="nil"/>
        <w:between w:val="nil"/>
      </w:pBdr>
      <w:tabs>
        <w:tab w:val="center" w:pos="4419"/>
        <w:tab w:val="right" w:pos="8838"/>
      </w:tabs>
      <w:rPr>
        <w:color w:val="000000"/>
      </w:rPr>
    </w:pPr>
  </w:p>
  <w:p w:rsidR="00BD13CB" w:rsidRDefault="00BD13CB"/>
  <w:p w:rsidR="00BD13CB" w:rsidRDefault="00BD13CB"/>
  <w:p w:rsidR="00BD13CB" w:rsidRDefault="00BD13C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DAF" w:rsidRDefault="00F95DAF">
      <w:r>
        <w:separator/>
      </w:r>
    </w:p>
  </w:footnote>
  <w:footnote w:type="continuationSeparator" w:id="0">
    <w:p w:rsidR="00F95DAF" w:rsidRDefault="00F95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3CB" w:rsidRDefault="00F95DAF">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63.5pt;height:12in;z-index:-251657728;mso-position-horizontal:center;mso-position-horizontal-relative:margin;mso-position-vertical:center;mso-position-vertical-relative:margin">
          <v:imagedata r:id="rId1" o:title="image1"/>
          <w10:wrap anchorx="margin" anchory="margin"/>
        </v:shape>
      </w:pict>
    </w:r>
  </w:p>
  <w:p w:rsidR="00BD13CB" w:rsidRDefault="00BD13CB"/>
  <w:p w:rsidR="00BD13CB" w:rsidRDefault="00BD13CB"/>
  <w:p w:rsidR="00BD13CB" w:rsidRDefault="00BD13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463" w:type="dxa"/>
      <w:tblInd w:w="-115" w:type="dxa"/>
      <w:tblLayout w:type="fixed"/>
      <w:tblLook w:val="0400" w:firstRow="0" w:lastRow="0" w:firstColumn="0" w:lastColumn="0" w:noHBand="0" w:noVBand="1"/>
    </w:tblPr>
    <w:tblGrid>
      <w:gridCol w:w="1843"/>
      <w:gridCol w:w="8620"/>
    </w:tblGrid>
    <w:tr w:rsidR="00BD13CB" w:rsidTr="00F8154B">
      <w:trPr>
        <w:trHeight w:val="1435"/>
      </w:trPr>
      <w:tc>
        <w:tcPr>
          <w:tcW w:w="1843" w:type="dxa"/>
          <w:shd w:val="clear" w:color="auto" w:fill="auto"/>
        </w:tcPr>
        <w:p w:rsidR="00BD13CB" w:rsidRDefault="00BD13CB">
          <w:pPr>
            <w:tabs>
              <w:tab w:val="right" w:pos="4273"/>
            </w:tabs>
            <w:rPr>
              <w:rFonts w:ascii="Garamond" w:eastAsia="Garamond" w:hAnsi="Garamond" w:cs="Garamond"/>
              <w:sz w:val="16"/>
              <w:szCs w:val="16"/>
            </w:rPr>
          </w:pPr>
        </w:p>
      </w:tc>
      <w:tc>
        <w:tcPr>
          <w:tcW w:w="8620" w:type="dxa"/>
          <w:shd w:val="clear" w:color="auto" w:fill="auto"/>
        </w:tcPr>
        <w:tbl>
          <w:tblPr>
            <w:tblStyle w:val="a1"/>
            <w:tblW w:w="7053" w:type="dxa"/>
            <w:tblInd w:w="1843" w:type="dxa"/>
            <w:tblBorders>
              <w:top w:val="nil"/>
              <w:left w:val="nil"/>
              <w:bottom w:val="nil"/>
              <w:right w:val="nil"/>
              <w:insideH w:val="nil"/>
              <w:insideV w:val="nil"/>
            </w:tblBorders>
            <w:tblLayout w:type="fixed"/>
            <w:tblLook w:val="0400" w:firstRow="0" w:lastRow="0" w:firstColumn="0" w:lastColumn="0" w:noHBand="0" w:noVBand="1"/>
          </w:tblPr>
          <w:tblGrid>
            <w:gridCol w:w="2800"/>
            <w:gridCol w:w="4253"/>
          </w:tblGrid>
          <w:tr w:rsidR="00BD13CB" w:rsidTr="00F8154B">
            <w:trPr>
              <w:trHeight w:val="338"/>
            </w:trPr>
            <w:tc>
              <w:tcPr>
                <w:tcW w:w="2800" w:type="dxa"/>
              </w:tcPr>
              <w:p w:rsidR="00BD13CB" w:rsidRPr="00F8154B" w:rsidRDefault="00166B83">
                <w:pPr>
                  <w:tabs>
                    <w:tab w:val="right" w:pos="8838"/>
                  </w:tabs>
                  <w:ind w:right="-105"/>
                  <w:rPr>
                    <w:rFonts w:ascii="Palatino Linotype" w:eastAsia="Palatino Linotype" w:hAnsi="Palatino Linotype" w:cs="Palatino Linotype"/>
                    <w:b/>
                    <w:bCs/>
                    <w:sz w:val="24"/>
                    <w:szCs w:val="22"/>
                  </w:rPr>
                </w:pPr>
                <w:r w:rsidRPr="00F8154B">
                  <w:rPr>
                    <w:rFonts w:ascii="Palatino Linotype" w:eastAsia="Palatino Linotype" w:hAnsi="Palatino Linotype" w:cs="Palatino Linotype"/>
                    <w:b/>
                    <w:bCs/>
                    <w:sz w:val="24"/>
                    <w:szCs w:val="22"/>
                  </w:rPr>
                  <w:t>Recurso de Revisión:</w:t>
                </w:r>
              </w:p>
            </w:tc>
            <w:tc>
              <w:tcPr>
                <w:tcW w:w="4253" w:type="dxa"/>
              </w:tcPr>
              <w:p w:rsidR="00BD13CB" w:rsidRPr="00F8154B" w:rsidRDefault="00166B83" w:rsidP="00F8154B">
                <w:pPr>
                  <w:tabs>
                    <w:tab w:val="right" w:pos="8838"/>
                  </w:tabs>
                  <w:ind w:left="34" w:right="-105"/>
                  <w:rPr>
                    <w:rFonts w:ascii="Palatino Linotype" w:eastAsia="Palatino Linotype" w:hAnsi="Palatino Linotype" w:cs="Palatino Linotype"/>
                    <w:bCs/>
                    <w:sz w:val="24"/>
                    <w:szCs w:val="22"/>
                  </w:rPr>
                </w:pPr>
                <w:r w:rsidRPr="00F8154B">
                  <w:rPr>
                    <w:rFonts w:ascii="Palatino Linotype" w:eastAsia="Palatino Linotype" w:hAnsi="Palatino Linotype" w:cs="Palatino Linotype"/>
                    <w:bCs/>
                    <w:sz w:val="24"/>
                    <w:szCs w:val="22"/>
                  </w:rPr>
                  <w:t>11203/INFOEM/IP/RR/2025</w:t>
                </w:r>
              </w:p>
            </w:tc>
          </w:tr>
          <w:tr w:rsidR="00BD13CB" w:rsidTr="00F8154B">
            <w:trPr>
              <w:trHeight w:val="283"/>
            </w:trPr>
            <w:tc>
              <w:tcPr>
                <w:tcW w:w="2800" w:type="dxa"/>
              </w:tcPr>
              <w:p w:rsidR="00BD13CB" w:rsidRPr="00F8154B" w:rsidRDefault="00166B83">
                <w:pPr>
                  <w:tabs>
                    <w:tab w:val="right" w:pos="8838"/>
                  </w:tabs>
                  <w:ind w:right="-105"/>
                  <w:rPr>
                    <w:rFonts w:ascii="Palatino Linotype" w:eastAsia="Palatino Linotype" w:hAnsi="Palatino Linotype" w:cs="Palatino Linotype"/>
                    <w:b/>
                    <w:bCs/>
                    <w:sz w:val="24"/>
                    <w:szCs w:val="22"/>
                  </w:rPr>
                </w:pPr>
                <w:bookmarkStart w:id="13" w:name="_heading=h.nzcod1wm1eoo" w:colFirst="0" w:colLast="0"/>
                <w:bookmarkEnd w:id="13"/>
                <w:r w:rsidRPr="00F8154B">
                  <w:rPr>
                    <w:rFonts w:ascii="Palatino Linotype" w:eastAsia="Palatino Linotype" w:hAnsi="Palatino Linotype" w:cs="Palatino Linotype"/>
                    <w:b/>
                    <w:bCs/>
                    <w:sz w:val="24"/>
                    <w:szCs w:val="22"/>
                  </w:rPr>
                  <w:t>Sujeto Obligado:</w:t>
                </w:r>
              </w:p>
            </w:tc>
            <w:tc>
              <w:tcPr>
                <w:tcW w:w="4253" w:type="dxa"/>
              </w:tcPr>
              <w:p w:rsidR="00BD13CB" w:rsidRPr="00F8154B" w:rsidRDefault="00166B83" w:rsidP="00F8154B">
                <w:pPr>
                  <w:tabs>
                    <w:tab w:val="left" w:pos="2834"/>
                    <w:tab w:val="right" w:pos="8838"/>
                  </w:tabs>
                  <w:ind w:left="34" w:right="-107"/>
                  <w:rPr>
                    <w:rFonts w:ascii="Palatino Linotype" w:eastAsia="Palatino Linotype" w:hAnsi="Palatino Linotype" w:cs="Palatino Linotype"/>
                    <w:bCs/>
                    <w:color w:val="000000"/>
                    <w:sz w:val="24"/>
                    <w:szCs w:val="22"/>
                  </w:rPr>
                </w:pPr>
                <w:r w:rsidRPr="00F8154B">
                  <w:rPr>
                    <w:rFonts w:ascii="Palatino Linotype" w:eastAsia="Palatino Linotype" w:hAnsi="Palatino Linotype" w:cs="Palatino Linotype"/>
                    <w:bCs/>
                    <w:color w:val="000000"/>
                    <w:sz w:val="24"/>
                    <w:szCs w:val="22"/>
                  </w:rPr>
                  <w:t>Ayuntamiento de Toluca</w:t>
                </w:r>
              </w:p>
            </w:tc>
          </w:tr>
          <w:tr w:rsidR="00BD13CB" w:rsidTr="00F8154B">
            <w:trPr>
              <w:trHeight w:val="283"/>
            </w:trPr>
            <w:tc>
              <w:tcPr>
                <w:tcW w:w="2800" w:type="dxa"/>
              </w:tcPr>
              <w:p w:rsidR="00BD13CB" w:rsidRPr="00F8154B" w:rsidRDefault="00166B83">
                <w:pPr>
                  <w:tabs>
                    <w:tab w:val="right" w:pos="8838"/>
                  </w:tabs>
                  <w:ind w:right="-105"/>
                  <w:rPr>
                    <w:rFonts w:ascii="Palatino Linotype" w:eastAsia="Palatino Linotype" w:hAnsi="Palatino Linotype" w:cs="Palatino Linotype"/>
                    <w:b/>
                    <w:bCs/>
                    <w:sz w:val="24"/>
                    <w:szCs w:val="22"/>
                  </w:rPr>
                </w:pPr>
                <w:r w:rsidRPr="00F8154B">
                  <w:rPr>
                    <w:rFonts w:ascii="Palatino Linotype" w:eastAsia="Palatino Linotype" w:hAnsi="Palatino Linotype" w:cs="Palatino Linotype"/>
                    <w:b/>
                    <w:bCs/>
                    <w:sz w:val="24"/>
                    <w:szCs w:val="22"/>
                  </w:rPr>
                  <w:t>Comisionada Ponente:</w:t>
                </w:r>
              </w:p>
            </w:tc>
            <w:tc>
              <w:tcPr>
                <w:tcW w:w="4253" w:type="dxa"/>
              </w:tcPr>
              <w:p w:rsidR="00BD13CB" w:rsidRPr="00F8154B" w:rsidRDefault="00166B83" w:rsidP="00F8154B">
                <w:pPr>
                  <w:tabs>
                    <w:tab w:val="right" w:pos="8838"/>
                  </w:tabs>
                  <w:ind w:left="34" w:right="-105"/>
                  <w:rPr>
                    <w:rFonts w:ascii="Palatino Linotype" w:eastAsia="Palatino Linotype" w:hAnsi="Palatino Linotype" w:cs="Palatino Linotype"/>
                    <w:bCs/>
                    <w:sz w:val="24"/>
                    <w:szCs w:val="22"/>
                  </w:rPr>
                </w:pPr>
                <w:r w:rsidRPr="00F8154B">
                  <w:rPr>
                    <w:rFonts w:ascii="Palatino Linotype" w:eastAsia="Palatino Linotype" w:hAnsi="Palatino Linotype" w:cs="Palatino Linotype"/>
                    <w:bCs/>
                    <w:sz w:val="24"/>
                    <w:szCs w:val="22"/>
                  </w:rPr>
                  <w:t>María del Rosario Mejía Ayala</w:t>
                </w:r>
              </w:p>
            </w:tc>
          </w:tr>
        </w:tbl>
        <w:p w:rsidR="00BD13CB" w:rsidRDefault="00BD13CB">
          <w:pPr>
            <w:tabs>
              <w:tab w:val="right" w:pos="8838"/>
            </w:tabs>
            <w:ind w:left="-28"/>
            <w:jc w:val="both"/>
            <w:rPr>
              <w:rFonts w:ascii="Arial" w:eastAsia="Arial" w:hAnsi="Arial" w:cs="Arial"/>
              <w:b/>
              <w:bCs/>
              <w:sz w:val="22"/>
              <w:szCs w:val="22"/>
            </w:rPr>
          </w:pPr>
        </w:p>
      </w:tc>
    </w:tr>
  </w:tbl>
  <w:p w:rsidR="00BD13CB" w:rsidRDefault="00F95DAF" w:rsidP="00F8154B">
    <w:pPr>
      <w:pBdr>
        <w:top w:val="nil"/>
        <w:left w:val="nil"/>
        <w:bottom w:val="nil"/>
        <w:right w:val="nil"/>
        <w:between w:val="nil"/>
      </w:pBdr>
      <w:tabs>
        <w:tab w:val="center" w:pos="4419"/>
        <w:tab w:val="right" w:pos="8838"/>
      </w:tabs>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6.25pt;margin-top:-139.9pt;width:663.5pt;height:12in;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747" w:type="dxa"/>
      <w:tblInd w:w="-115" w:type="dxa"/>
      <w:tblLayout w:type="fixed"/>
      <w:tblLook w:val="0400" w:firstRow="0" w:lastRow="0" w:firstColumn="0" w:lastColumn="0" w:noHBand="0" w:noVBand="1"/>
    </w:tblPr>
    <w:tblGrid>
      <w:gridCol w:w="1560"/>
      <w:gridCol w:w="9187"/>
    </w:tblGrid>
    <w:tr w:rsidR="00BD13CB" w:rsidTr="00F8154B">
      <w:trPr>
        <w:trHeight w:val="1435"/>
      </w:trPr>
      <w:tc>
        <w:tcPr>
          <w:tcW w:w="1560" w:type="dxa"/>
          <w:shd w:val="clear" w:color="auto" w:fill="auto"/>
        </w:tcPr>
        <w:p w:rsidR="00BD13CB" w:rsidRDefault="00BD13CB">
          <w:pPr>
            <w:tabs>
              <w:tab w:val="right" w:pos="4273"/>
            </w:tabs>
            <w:rPr>
              <w:rFonts w:ascii="Garamond" w:eastAsia="Garamond" w:hAnsi="Garamond" w:cs="Garamond"/>
              <w:sz w:val="22"/>
              <w:szCs w:val="22"/>
            </w:rPr>
          </w:pPr>
        </w:p>
      </w:tc>
      <w:tc>
        <w:tcPr>
          <w:tcW w:w="9187" w:type="dxa"/>
          <w:shd w:val="clear" w:color="auto" w:fill="auto"/>
        </w:tcPr>
        <w:tbl>
          <w:tblPr>
            <w:tblStyle w:val="a3"/>
            <w:tblW w:w="9143" w:type="dxa"/>
            <w:tblInd w:w="2268" w:type="dxa"/>
            <w:tblBorders>
              <w:top w:val="nil"/>
              <w:left w:val="nil"/>
              <w:bottom w:val="nil"/>
              <w:right w:val="nil"/>
              <w:insideH w:val="nil"/>
              <w:insideV w:val="nil"/>
            </w:tblBorders>
            <w:tblLayout w:type="fixed"/>
            <w:tblLook w:val="0400" w:firstRow="0" w:lastRow="0" w:firstColumn="0" w:lastColumn="0" w:noHBand="0" w:noVBand="1"/>
          </w:tblPr>
          <w:tblGrid>
            <w:gridCol w:w="2657"/>
            <w:gridCol w:w="3507"/>
            <w:gridCol w:w="2979"/>
          </w:tblGrid>
          <w:tr w:rsidR="00BD13CB" w:rsidTr="00F8154B">
            <w:trPr>
              <w:trHeight w:val="144"/>
            </w:trPr>
            <w:tc>
              <w:tcPr>
                <w:tcW w:w="2657" w:type="dxa"/>
              </w:tcPr>
              <w:p w:rsidR="00BD13CB" w:rsidRPr="00F8154B" w:rsidRDefault="00166B83">
                <w:pPr>
                  <w:tabs>
                    <w:tab w:val="right" w:pos="8838"/>
                  </w:tabs>
                  <w:ind w:left="-74" w:right="-105"/>
                  <w:rPr>
                    <w:rFonts w:ascii="Palatino Linotype" w:eastAsia="Palatino Linotype" w:hAnsi="Palatino Linotype" w:cs="Palatino Linotype"/>
                    <w:b/>
                    <w:bCs/>
                    <w:sz w:val="24"/>
                    <w:szCs w:val="24"/>
                  </w:rPr>
                </w:pPr>
                <w:bookmarkStart w:id="14" w:name="_heading=h.h3nmzhfljjp1" w:colFirst="0" w:colLast="0"/>
                <w:bookmarkEnd w:id="14"/>
                <w:r w:rsidRPr="00F8154B">
                  <w:rPr>
                    <w:rFonts w:ascii="Palatino Linotype" w:eastAsia="Palatino Linotype" w:hAnsi="Palatino Linotype" w:cs="Palatino Linotype"/>
                    <w:b/>
                    <w:bCs/>
                    <w:sz w:val="24"/>
                    <w:szCs w:val="24"/>
                  </w:rPr>
                  <w:t>Recurso de Revisión:</w:t>
                </w:r>
              </w:p>
            </w:tc>
            <w:tc>
              <w:tcPr>
                <w:tcW w:w="3507" w:type="dxa"/>
              </w:tcPr>
              <w:p w:rsidR="00BD13CB" w:rsidRPr="00F8154B" w:rsidRDefault="00166B83" w:rsidP="00F8154B">
                <w:pPr>
                  <w:tabs>
                    <w:tab w:val="right" w:pos="8838"/>
                  </w:tabs>
                  <w:ind w:left="-3" w:right="-105"/>
                  <w:rPr>
                    <w:rFonts w:ascii="Palatino Linotype" w:eastAsia="Palatino Linotype" w:hAnsi="Palatino Linotype" w:cs="Palatino Linotype"/>
                    <w:bCs/>
                    <w:sz w:val="24"/>
                    <w:szCs w:val="24"/>
                  </w:rPr>
                </w:pPr>
                <w:r w:rsidRPr="00F8154B">
                  <w:rPr>
                    <w:rFonts w:ascii="Palatino Linotype" w:eastAsia="Palatino Linotype" w:hAnsi="Palatino Linotype" w:cs="Palatino Linotype"/>
                    <w:bCs/>
                    <w:sz w:val="24"/>
                    <w:szCs w:val="24"/>
                  </w:rPr>
                  <w:t> 11203/INFOEM/IP/RR/2025</w:t>
                </w:r>
              </w:p>
            </w:tc>
            <w:tc>
              <w:tcPr>
                <w:tcW w:w="2979" w:type="dxa"/>
              </w:tcPr>
              <w:p w:rsidR="00BD13CB" w:rsidRDefault="00BD13CB">
                <w:pPr>
                  <w:tabs>
                    <w:tab w:val="right" w:pos="8838"/>
                  </w:tabs>
                  <w:ind w:left="-74" w:right="-105"/>
                  <w:jc w:val="both"/>
                  <w:rPr>
                    <w:rFonts w:ascii="Palatino Linotype" w:eastAsia="Palatino Linotype" w:hAnsi="Palatino Linotype" w:cs="Palatino Linotype"/>
                    <w:sz w:val="22"/>
                    <w:szCs w:val="22"/>
                  </w:rPr>
                </w:pPr>
              </w:p>
            </w:tc>
          </w:tr>
          <w:tr w:rsidR="00BD13CB" w:rsidTr="00F8154B">
            <w:trPr>
              <w:trHeight w:val="144"/>
            </w:trPr>
            <w:tc>
              <w:tcPr>
                <w:tcW w:w="2657" w:type="dxa"/>
              </w:tcPr>
              <w:p w:rsidR="00BD13CB" w:rsidRPr="00F8154B" w:rsidRDefault="00166B83">
                <w:pPr>
                  <w:tabs>
                    <w:tab w:val="right" w:pos="8838"/>
                  </w:tabs>
                  <w:ind w:left="-74" w:right="-105"/>
                  <w:rPr>
                    <w:rFonts w:ascii="Palatino Linotype" w:eastAsia="Palatino Linotype" w:hAnsi="Palatino Linotype" w:cs="Palatino Linotype"/>
                    <w:b/>
                    <w:bCs/>
                    <w:sz w:val="24"/>
                    <w:szCs w:val="24"/>
                  </w:rPr>
                </w:pPr>
                <w:bookmarkStart w:id="15" w:name="_heading=h.bx8lvnhtg02d" w:colFirst="0" w:colLast="0"/>
                <w:bookmarkEnd w:id="15"/>
                <w:r w:rsidRPr="00F8154B">
                  <w:rPr>
                    <w:rFonts w:ascii="Palatino Linotype" w:eastAsia="Palatino Linotype" w:hAnsi="Palatino Linotype" w:cs="Palatino Linotype"/>
                    <w:b/>
                    <w:bCs/>
                    <w:sz w:val="24"/>
                    <w:szCs w:val="24"/>
                  </w:rPr>
                  <w:t>Recurrente:</w:t>
                </w:r>
              </w:p>
            </w:tc>
            <w:tc>
              <w:tcPr>
                <w:tcW w:w="3507" w:type="dxa"/>
              </w:tcPr>
              <w:p w:rsidR="00BD13CB" w:rsidRPr="00F8154B" w:rsidRDefault="00BD13CB" w:rsidP="00F8154B">
                <w:pPr>
                  <w:tabs>
                    <w:tab w:val="left" w:pos="3122"/>
                    <w:tab w:val="right" w:pos="8838"/>
                  </w:tabs>
                  <w:ind w:right="1457"/>
                  <w:rPr>
                    <w:rFonts w:ascii="Palatino Linotype" w:eastAsia="Palatino Linotype" w:hAnsi="Palatino Linotype" w:cs="Palatino Linotype"/>
                    <w:bCs/>
                    <w:sz w:val="24"/>
                    <w:szCs w:val="24"/>
                  </w:rPr>
                </w:pPr>
              </w:p>
            </w:tc>
            <w:tc>
              <w:tcPr>
                <w:tcW w:w="2979" w:type="dxa"/>
              </w:tcPr>
              <w:p w:rsidR="00BD13CB" w:rsidRDefault="00BD13CB">
                <w:pPr>
                  <w:tabs>
                    <w:tab w:val="left" w:pos="3122"/>
                    <w:tab w:val="right" w:pos="8838"/>
                  </w:tabs>
                  <w:ind w:right="-105"/>
                  <w:jc w:val="both"/>
                  <w:rPr>
                    <w:rFonts w:ascii="Palatino Linotype" w:eastAsia="Palatino Linotype" w:hAnsi="Palatino Linotype" w:cs="Palatino Linotype"/>
                    <w:sz w:val="22"/>
                    <w:szCs w:val="22"/>
                  </w:rPr>
                </w:pPr>
              </w:p>
            </w:tc>
          </w:tr>
          <w:tr w:rsidR="00BD13CB" w:rsidTr="00F8154B">
            <w:trPr>
              <w:trHeight w:val="283"/>
            </w:trPr>
            <w:tc>
              <w:tcPr>
                <w:tcW w:w="2657" w:type="dxa"/>
              </w:tcPr>
              <w:p w:rsidR="00BD13CB" w:rsidRPr="00F8154B" w:rsidRDefault="00166B83">
                <w:pPr>
                  <w:tabs>
                    <w:tab w:val="right" w:pos="8838"/>
                  </w:tabs>
                  <w:ind w:left="-74" w:right="-105"/>
                  <w:rPr>
                    <w:rFonts w:ascii="Palatino Linotype" w:eastAsia="Palatino Linotype" w:hAnsi="Palatino Linotype" w:cs="Palatino Linotype"/>
                    <w:b/>
                    <w:bCs/>
                    <w:sz w:val="24"/>
                    <w:szCs w:val="24"/>
                  </w:rPr>
                </w:pPr>
                <w:r w:rsidRPr="00F8154B">
                  <w:rPr>
                    <w:rFonts w:ascii="Palatino Linotype" w:eastAsia="Palatino Linotype" w:hAnsi="Palatino Linotype" w:cs="Palatino Linotype"/>
                    <w:b/>
                    <w:bCs/>
                    <w:sz w:val="24"/>
                    <w:szCs w:val="24"/>
                  </w:rPr>
                  <w:t>Sujeto Obligado:</w:t>
                </w:r>
              </w:p>
            </w:tc>
            <w:tc>
              <w:tcPr>
                <w:tcW w:w="3507" w:type="dxa"/>
              </w:tcPr>
              <w:p w:rsidR="00BD13CB" w:rsidRPr="00F8154B" w:rsidRDefault="00166B83" w:rsidP="00F8154B">
                <w:pPr>
                  <w:tabs>
                    <w:tab w:val="left" w:pos="2834"/>
                    <w:tab w:val="right" w:pos="8838"/>
                  </w:tabs>
                  <w:ind w:left="-3" w:right="-105"/>
                  <w:rPr>
                    <w:rFonts w:ascii="Palatino Linotype" w:eastAsia="Palatino Linotype" w:hAnsi="Palatino Linotype" w:cs="Palatino Linotype"/>
                    <w:bCs/>
                    <w:sz w:val="24"/>
                    <w:szCs w:val="24"/>
                  </w:rPr>
                </w:pPr>
                <w:r w:rsidRPr="00F8154B">
                  <w:rPr>
                    <w:rFonts w:ascii="Palatino Linotype" w:eastAsia="Palatino Linotype" w:hAnsi="Palatino Linotype" w:cs="Palatino Linotype"/>
                    <w:bCs/>
                    <w:color w:val="000000"/>
                    <w:sz w:val="24"/>
                    <w:szCs w:val="24"/>
                  </w:rPr>
                  <w:t>Ayuntamiento de Toluca</w:t>
                </w:r>
              </w:p>
            </w:tc>
            <w:tc>
              <w:tcPr>
                <w:tcW w:w="2979" w:type="dxa"/>
              </w:tcPr>
              <w:p w:rsidR="00BD13CB" w:rsidRDefault="00BD13CB">
                <w:pPr>
                  <w:tabs>
                    <w:tab w:val="left" w:pos="2834"/>
                    <w:tab w:val="right" w:pos="8838"/>
                  </w:tabs>
                  <w:ind w:left="-74" w:right="-105"/>
                  <w:jc w:val="both"/>
                  <w:rPr>
                    <w:rFonts w:ascii="Palatino Linotype" w:eastAsia="Palatino Linotype" w:hAnsi="Palatino Linotype" w:cs="Palatino Linotype"/>
                    <w:b/>
                    <w:bCs/>
                  </w:rPr>
                </w:pPr>
              </w:p>
            </w:tc>
          </w:tr>
          <w:tr w:rsidR="00BD13CB" w:rsidTr="00F8154B">
            <w:trPr>
              <w:trHeight w:val="283"/>
            </w:trPr>
            <w:tc>
              <w:tcPr>
                <w:tcW w:w="2657" w:type="dxa"/>
              </w:tcPr>
              <w:p w:rsidR="00BD13CB" w:rsidRPr="00F8154B" w:rsidRDefault="00166B83">
                <w:pPr>
                  <w:tabs>
                    <w:tab w:val="right" w:pos="8838"/>
                  </w:tabs>
                  <w:ind w:left="-74" w:right="-105"/>
                  <w:rPr>
                    <w:rFonts w:ascii="Palatino Linotype" w:eastAsia="Palatino Linotype" w:hAnsi="Palatino Linotype" w:cs="Palatino Linotype"/>
                    <w:b/>
                    <w:bCs/>
                    <w:sz w:val="24"/>
                    <w:szCs w:val="24"/>
                  </w:rPr>
                </w:pPr>
                <w:r w:rsidRPr="00F8154B">
                  <w:rPr>
                    <w:rFonts w:ascii="Palatino Linotype" w:eastAsia="Palatino Linotype" w:hAnsi="Palatino Linotype" w:cs="Palatino Linotype"/>
                    <w:b/>
                    <w:bCs/>
                    <w:sz w:val="24"/>
                    <w:szCs w:val="24"/>
                  </w:rPr>
                  <w:t>Comisionada Ponente:</w:t>
                </w:r>
              </w:p>
            </w:tc>
            <w:tc>
              <w:tcPr>
                <w:tcW w:w="3507" w:type="dxa"/>
              </w:tcPr>
              <w:p w:rsidR="00BD13CB" w:rsidRPr="00F8154B" w:rsidRDefault="00166B83" w:rsidP="00F8154B">
                <w:pPr>
                  <w:tabs>
                    <w:tab w:val="right" w:pos="8838"/>
                  </w:tabs>
                  <w:ind w:left="-3" w:right="-105"/>
                  <w:rPr>
                    <w:rFonts w:ascii="Palatino Linotype" w:eastAsia="Palatino Linotype" w:hAnsi="Palatino Linotype" w:cs="Palatino Linotype"/>
                    <w:bCs/>
                    <w:sz w:val="24"/>
                    <w:szCs w:val="24"/>
                  </w:rPr>
                </w:pPr>
                <w:r w:rsidRPr="00F8154B">
                  <w:rPr>
                    <w:rFonts w:ascii="Palatino Linotype" w:eastAsia="Palatino Linotype" w:hAnsi="Palatino Linotype" w:cs="Palatino Linotype"/>
                    <w:bCs/>
                    <w:sz w:val="24"/>
                    <w:szCs w:val="24"/>
                  </w:rPr>
                  <w:t>María del Rosario Mejía Ayala</w:t>
                </w:r>
              </w:p>
            </w:tc>
            <w:tc>
              <w:tcPr>
                <w:tcW w:w="2979" w:type="dxa"/>
              </w:tcPr>
              <w:p w:rsidR="00BD13CB" w:rsidRDefault="00BD13CB">
                <w:pPr>
                  <w:tabs>
                    <w:tab w:val="right" w:pos="8838"/>
                  </w:tabs>
                  <w:ind w:left="-74" w:right="-105"/>
                  <w:jc w:val="both"/>
                  <w:rPr>
                    <w:rFonts w:ascii="Palatino Linotype" w:eastAsia="Palatino Linotype" w:hAnsi="Palatino Linotype" w:cs="Palatino Linotype"/>
                    <w:b/>
                    <w:bCs/>
                  </w:rPr>
                </w:pPr>
              </w:p>
            </w:tc>
          </w:tr>
        </w:tbl>
        <w:p w:rsidR="00BD13CB" w:rsidRDefault="00BD13CB">
          <w:pPr>
            <w:tabs>
              <w:tab w:val="right" w:pos="8838"/>
            </w:tabs>
            <w:ind w:left="-28"/>
            <w:jc w:val="both"/>
            <w:rPr>
              <w:rFonts w:ascii="Arial" w:eastAsia="Arial" w:hAnsi="Arial" w:cs="Arial"/>
              <w:b/>
              <w:bCs/>
              <w:sz w:val="22"/>
              <w:szCs w:val="22"/>
            </w:rPr>
          </w:pPr>
        </w:p>
      </w:tc>
    </w:tr>
  </w:tbl>
  <w:p w:rsidR="00BD13CB" w:rsidRDefault="00F95DAF">
    <w:pPr>
      <w:pBdr>
        <w:top w:val="nil"/>
        <w:left w:val="nil"/>
        <w:bottom w:val="nil"/>
        <w:right w:val="nil"/>
        <w:between w:val="nil"/>
      </w:pBdr>
      <w:tabs>
        <w:tab w:val="center" w:pos="4419"/>
        <w:tab w:val="right" w:pos="8838"/>
        <w:tab w:val="center" w:pos="4522"/>
      </w:tabs>
      <w:rPr>
        <w:color w:val="000000"/>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71.7pt;margin-top:-138.35pt;width:663.5pt;height:12in;z-index:-251658752;mso-position-horizontal-relative:margin;mso-position-vertical-relative:margin">
          <v:imagedata r:id="rId1" o:title="image1"/>
          <w10:wrap anchorx="margin" anchory="margin"/>
        </v:shape>
      </w:pict>
    </w:r>
  </w:p>
  <w:p w:rsidR="00BD13CB" w:rsidRDefault="00BD13CB"/>
  <w:p w:rsidR="00BD13CB" w:rsidRDefault="00BD13C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1D20F0"/>
    <w:multiLevelType w:val="multilevel"/>
    <w:tmpl w:val="9A32E43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 w15:restartNumberingAfterBreak="0">
    <w:nsid w:val="26C1026B"/>
    <w:multiLevelType w:val="multilevel"/>
    <w:tmpl w:val="EFA2BC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D702216"/>
    <w:multiLevelType w:val="multilevel"/>
    <w:tmpl w:val="DFFE9B74"/>
    <w:lvl w:ilvl="0">
      <w:start w:val="1"/>
      <w:numFmt w:val="lowerLetter"/>
      <w:lvlText w:val="%1."/>
      <w:lvlJc w:val="left"/>
      <w:pPr>
        <w:ind w:left="0" w:firstLine="0"/>
      </w:pPr>
      <w:rPr>
        <w:rFonts w:ascii="Palatino Linotype" w:eastAsia="Palatino Linotype" w:hAnsi="Palatino Linotype" w:cs="Palatino Linotyp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F9A450D"/>
    <w:multiLevelType w:val="multilevel"/>
    <w:tmpl w:val="670C8DB6"/>
    <w:lvl w:ilvl="0">
      <w:start w:val="1"/>
      <w:numFmt w:val="decimal"/>
      <w:lvlText w:val="%1."/>
      <w:lvlJc w:val="left"/>
      <w:pPr>
        <w:ind w:left="501" w:hanging="359"/>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552DC1"/>
    <w:multiLevelType w:val="multilevel"/>
    <w:tmpl w:val="DEF61C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B094CE2"/>
    <w:multiLevelType w:val="multilevel"/>
    <w:tmpl w:val="646AC43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8B8631B"/>
    <w:multiLevelType w:val="multilevel"/>
    <w:tmpl w:val="89EE19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C4E719E"/>
    <w:multiLevelType w:val="multilevel"/>
    <w:tmpl w:val="25A6C5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87D5174"/>
    <w:multiLevelType w:val="multilevel"/>
    <w:tmpl w:val="735A9D7E"/>
    <w:lvl w:ilvl="0">
      <w:start w:val="1"/>
      <w:numFmt w:val="lowerLetter"/>
      <w:pStyle w:val="Listaconvietas2"/>
      <w:lvlText w:val="%1."/>
      <w:lvlJc w:val="left"/>
      <w:pPr>
        <w:ind w:left="0" w:firstLine="0"/>
      </w:pPr>
      <w:rPr>
        <w:rFonts w:ascii="Palatino Linotype" w:eastAsia="Palatino Linotype" w:hAnsi="Palatino Linotype" w:cs="Palatino Linotyp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B736B51"/>
    <w:multiLevelType w:val="multilevel"/>
    <w:tmpl w:val="95903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2"/>
  </w:num>
  <w:num w:numId="3">
    <w:abstractNumId w:val="6"/>
  </w:num>
  <w:num w:numId="4">
    <w:abstractNumId w:val="3"/>
  </w:num>
  <w:num w:numId="5">
    <w:abstractNumId w:val="0"/>
  </w:num>
  <w:num w:numId="6">
    <w:abstractNumId w:val="4"/>
  </w:num>
  <w:num w:numId="7">
    <w:abstractNumId w:val="9"/>
  </w:num>
  <w:num w:numId="8">
    <w:abstractNumId w:val="5"/>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3CB"/>
    <w:rsid w:val="00166B83"/>
    <w:rsid w:val="00181B37"/>
    <w:rsid w:val="00234C6A"/>
    <w:rsid w:val="004A5130"/>
    <w:rsid w:val="006C618C"/>
    <w:rsid w:val="00BD13CB"/>
    <w:rsid w:val="00C82D23"/>
    <w:rsid w:val="00D67070"/>
    <w:rsid w:val="00DC632E"/>
    <w:rsid w:val="00E617A6"/>
    <w:rsid w:val="00F30366"/>
    <w:rsid w:val="00F8154B"/>
    <w:rsid w:val="00F95DAF"/>
    <w:rsid w:val="00FC02C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360A15F-40BB-4155-B0EA-3C84AAD2B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character" w:customStyle="1" w:styleId="Ttulo1Car">
    <w:name w:val="Título 1 Car"/>
    <w:basedOn w:val="Fuentedeprrafopredeter"/>
    <w:uiPriority w:val="9"/>
    <w:rsid w:val="00E57784"/>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uiPriority w:val="9"/>
    <w:rsid w:val="00E57784"/>
    <w:rPr>
      <w:rFonts w:asciiTheme="majorHAnsi" w:eastAsiaTheme="majorEastAsia" w:hAnsiTheme="majorHAnsi" w:cstheme="majorBidi"/>
      <w:color w:val="2E74B5" w:themeColor="accent1" w:themeShade="BF"/>
      <w:sz w:val="26"/>
      <w:szCs w:val="26"/>
      <w:lang w:eastAsia="es-ES"/>
    </w:rPr>
  </w:style>
  <w:style w:type="paragraph" w:styleId="Encabezado">
    <w:name w:val="header"/>
    <w:basedOn w:val="Normal"/>
    <w:link w:val="EncabezadoCar"/>
    <w:uiPriority w:val="99"/>
    <w:unhideWhenUsed/>
    <w:qFormat/>
    <w:rsid w:val="00E57784"/>
    <w:pPr>
      <w:tabs>
        <w:tab w:val="center" w:pos="4419"/>
        <w:tab w:val="right" w:pos="8838"/>
      </w:tabs>
    </w:pPr>
  </w:style>
  <w:style w:type="character" w:customStyle="1" w:styleId="EncabezadoCar">
    <w:name w:val="Encabezado Car"/>
    <w:basedOn w:val="Fuentedeprrafopredeter"/>
    <w:link w:val="Encabezado"/>
    <w:uiPriority w:val="99"/>
    <w:qFormat/>
    <w:rsid w:val="00E57784"/>
    <w:rPr>
      <w:rFonts w:ascii="Times New Roman" w:eastAsia="Times New Roman" w:hAnsi="Times New Roman" w:cs="Times New Roman"/>
      <w:sz w:val="20"/>
      <w:szCs w:val="20"/>
      <w:lang w:eastAsia="es-ES"/>
    </w:rPr>
  </w:style>
  <w:style w:type="paragraph" w:styleId="Listaconvietas2">
    <w:name w:val="List Bullet 2"/>
    <w:basedOn w:val="Normal"/>
    <w:uiPriority w:val="99"/>
    <w:unhideWhenUsed/>
    <w:qFormat/>
    <w:rsid w:val="00E57784"/>
    <w:pPr>
      <w:numPr>
        <w:numId w:val="1"/>
      </w:numPr>
      <w:contextualSpacing/>
    </w:pPr>
  </w:style>
  <w:style w:type="paragraph" w:styleId="Piedepgina">
    <w:name w:val="footer"/>
    <w:basedOn w:val="Normal"/>
    <w:link w:val="PiedepginaCar"/>
    <w:uiPriority w:val="99"/>
    <w:unhideWhenUsed/>
    <w:qFormat/>
    <w:rsid w:val="00E57784"/>
    <w:pPr>
      <w:tabs>
        <w:tab w:val="center" w:pos="4419"/>
        <w:tab w:val="right" w:pos="8838"/>
      </w:tabs>
    </w:pPr>
  </w:style>
  <w:style w:type="character" w:customStyle="1" w:styleId="PiedepginaCar">
    <w:name w:val="Pie de página Car"/>
    <w:basedOn w:val="Fuentedeprrafopredeter"/>
    <w:link w:val="Piedepgina"/>
    <w:uiPriority w:val="99"/>
    <w:qFormat/>
    <w:rsid w:val="00E57784"/>
    <w:rPr>
      <w:rFonts w:ascii="Times New Roman" w:eastAsia="Times New Roman" w:hAnsi="Times New Roman" w:cs="Times New Roman"/>
      <w:sz w:val="20"/>
      <w:szCs w:val="20"/>
      <w:lang w:eastAsia="es-ES"/>
    </w:rPr>
  </w:style>
  <w:style w:type="table" w:styleId="Tablaconcuadrcula">
    <w:name w:val="Table Grid"/>
    <w:basedOn w:val="Tablanormal"/>
    <w:uiPriority w:val="39"/>
    <w:qFormat/>
    <w:rsid w:val="00E57784"/>
    <w:rPr>
      <w:rFonts w:eastAsia="SimSu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57784"/>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E57784"/>
    <w:rPr>
      <w:rFonts w:ascii="Century Gothic" w:eastAsia="Times New Roman" w:hAnsi="Century Gothic" w:cs="Times New Roman"/>
      <w:szCs w:val="24"/>
      <w:lang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E57784"/>
    <w:rPr>
      <w:color w:val="0563C1" w:themeColor="hyperlink"/>
      <w:u w:val="single"/>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zIhl8xX+KRze6Uz4XkxYCZqC/w==">CgMxLjAyDmgubHN6cjBiMmdnaGw1MghoLmdqZGd4czIJaC4zMGowemxsMgloLjFmb2I5dGUyCWguM3pueXNoNzIJaC4yZXQ5MnAwMgloLjNkeTZ2a20yDmgua3A2Y3pzcGU5cHBiMgloLjRkMzRvZzgyDmguY3Jkdjk4YmQzMWM4MghoLnR5amN3dDIOaC5uemNvZDF3bTFlb28yDmguaDNubXpoZmxqanAxMg5oLmJ4OGx2bmh0ZzAyZDgAciExeWgtaWY5Z1lDN3AydzE2ZE9kRUFFOGZZdjZXc3pab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3545</Words>
  <Characters>19503</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10</cp:revision>
  <cp:lastPrinted>2026-02-13T16:02:00Z</cp:lastPrinted>
  <dcterms:created xsi:type="dcterms:W3CDTF">2026-02-09T17:55:00Z</dcterms:created>
  <dcterms:modified xsi:type="dcterms:W3CDTF">2026-02-24T18:20:00Z</dcterms:modified>
</cp:coreProperties>
</file>