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B6" w:rsidRPr="00364440" w:rsidRDefault="00D707B6" w:rsidP="00D707B6">
      <w:pPr>
        <w:spacing w:line="360" w:lineRule="auto"/>
        <w:jc w:val="both"/>
        <w:rPr>
          <w:rFonts w:ascii="Palatino Linotype" w:eastAsia="Palatino Linotype" w:hAnsi="Palatino Linotype" w:cs="Palatino Linotype"/>
        </w:rPr>
      </w:pPr>
      <w:bookmarkStart w:id="0" w:name="_GoBack"/>
      <w:bookmarkEnd w:id="0"/>
      <w:r w:rsidRPr="0036444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w:t>
      </w:r>
      <w:r w:rsidR="00F60B6F" w:rsidRPr="00364440">
        <w:rPr>
          <w:rFonts w:ascii="Palatino Linotype" w:eastAsia="Palatino Linotype" w:hAnsi="Palatino Linotype" w:cs="Palatino Linotype"/>
        </w:rPr>
        <w:t>o de México; de fecha quince</w:t>
      </w:r>
      <w:r w:rsidR="00364440">
        <w:rPr>
          <w:rFonts w:ascii="Palatino Linotype" w:eastAsia="Palatino Linotype" w:hAnsi="Palatino Linotype" w:cs="Palatino Linotype"/>
        </w:rPr>
        <w:t xml:space="preserve"> (15)</w:t>
      </w:r>
      <w:r w:rsidR="00F60B6F" w:rsidRPr="00364440">
        <w:rPr>
          <w:rFonts w:ascii="Palatino Linotype" w:eastAsia="Palatino Linotype" w:hAnsi="Palatino Linotype" w:cs="Palatino Linotype"/>
        </w:rPr>
        <w:t xml:space="preserve"> de abril de dos mil veintiséis</w:t>
      </w:r>
      <w:r w:rsidRPr="00364440">
        <w:rPr>
          <w:rFonts w:ascii="Palatino Linotype" w:eastAsia="Palatino Linotype" w:hAnsi="Palatino Linotype" w:cs="Palatino Linotype"/>
        </w:rPr>
        <w:t>.</w:t>
      </w:r>
    </w:p>
    <w:p w:rsidR="00D707B6" w:rsidRPr="00364440" w:rsidRDefault="00D707B6" w:rsidP="00D707B6">
      <w:pPr>
        <w:spacing w:line="360" w:lineRule="auto"/>
        <w:jc w:val="both"/>
        <w:rPr>
          <w:rFonts w:ascii="Palatino Linotype" w:eastAsia="Palatino Linotype" w:hAnsi="Palatino Linotype" w:cs="Palatino Linotype"/>
        </w:rPr>
      </w:pPr>
    </w:p>
    <w:p w:rsidR="00D707B6" w:rsidRPr="00364440" w:rsidRDefault="00D707B6" w:rsidP="00D707B6">
      <w:pPr>
        <w:spacing w:line="360" w:lineRule="auto"/>
        <w:jc w:val="both"/>
        <w:rPr>
          <w:rFonts w:ascii="Palatino Linotype" w:eastAsia="Palatino Linotype" w:hAnsi="Palatino Linotype" w:cs="Palatino Linotype"/>
        </w:rPr>
      </w:pPr>
      <w:r w:rsidRPr="00364440">
        <w:rPr>
          <w:rFonts w:ascii="Palatino Linotype" w:eastAsia="Palatino Linotype" w:hAnsi="Palatino Linotype" w:cs="Palatino Linotype"/>
          <w:b/>
        </w:rPr>
        <w:t>VISTO</w:t>
      </w:r>
      <w:r w:rsidRPr="00364440">
        <w:rPr>
          <w:rFonts w:ascii="Palatino Linotype" w:eastAsia="Palatino Linotype" w:hAnsi="Palatino Linotype" w:cs="Palatino Linotype"/>
        </w:rPr>
        <w:t xml:space="preserve"> el expediente electrónico formado con motivo del recurso de revisión </w:t>
      </w:r>
      <w:r w:rsidRPr="00364440">
        <w:rPr>
          <w:rFonts w:ascii="Palatino Linotype" w:eastAsia="Palatino Linotype" w:hAnsi="Palatino Linotype" w:cs="Palatino Linotype"/>
          <w:b/>
        </w:rPr>
        <w:t xml:space="preserve">00988/INFOEM/IP/RR/2026, </w:t>
      </w:r>
      <w:r w:rsidRPr="00364440">
        <w:rPr>
          <w:rFonts w:ascii="Palatino Linotype" w:eastAsia="Palatino Linotype" w:hAnsi="Palatino Linotype" w:cs="Palatino Linotype"/>
        </w:rPr>
        <w:t xml:space="preserve">promovido por </w:t>
      </w:r>
      <w:r w:rsidR="00F9245F">
        <w:rPr>
          <w:rFonts w:ascii="Palatino Linotype" w:eastAsia="Palatino Linotype" w:hAnsi="Palatino Linotype" w:cs="Palatino Linotype"/>
          <w:b/>
          <w:bCs/>
        </w:rPr>
        <w:t>XXXX</w:t>
      </w:r>
      <w:r w:rsidRPr="00364440">
        <w:rPr>
          <w:rFonts w:ascii="Palatino Linotype" w:eastAsia="Palatino Linotype" w:hAnsi="Palatino Linotype" w:cs="Palatino Linotype"/>
          <w:b/>
        </w:rPr>
        <w:t>,</w:t>
      </w:r>
      <w:r w:rsidRPr="00364440">
        <w:rPr>
          <w:rFonts w:ascii="Palatino Linotype" w:eastAsia="Palatino Linotype" w:hAnsi="Palatino Linotype" w:cs="Palatino Linotype"/>
        </w:rPr>
        <w:t xml:space="preserve"> quien en lo sucesivo se identificará como </w:t>
      </w:r>
      <w:r w:rsidRPr="00364440">
        <w:rPr>
          <w:rFonts w:ascii="Palatino Linotype" w:eastAsia="Palatino Linotype" w:hAnsi="Palatino Linotype" w:cs="Palatino Linotype"/>
          <w:b/>
        </w:rPr>
        <w:t>EL RECURRENTE</w:t>
      </w:r>
      <w:r w:rsidRPr="00364440">
        <w:rPr>
          <w:rFonts w:ascii="Palatino Linotype" w:eastAsia="Palatino Linotype" w:hAnsi="Palatino Linotype" w:cs="Palatino Linotype"/>
        </w:rPr>
        <w:t xml:space="preserve">, en contra de la respuesta del </w:t>
      </w:r>
      <w:r w:rsidRPr="00364440">
        <w:rPr>
          <w:rFonts w:ascii="Palatino Linotype" w:eastAsia="Palatino Linotype" w:hAnsi="Palatino Linotype" w:cs="Palatino Linotype"/>
          <w:b/>
        </w:rPr>
        <w:t xml:space="preserve">Ayuntamiento de Tepotzotlán, </w:t>
      </w:r>
      <w:r w:rsidRPr="00364440">
        <w:rPr>
          <w:rFonts w:ascii="Palatino Linotype" w:eastAsia="Palatino Linotype" w:hAnsi="Palatino Linotype" w:cs="Palatino Linotype"/>
        </w:rPr>
        <w:t>en adelante el</w:t>
      </w:r>
      <w:r w:rsidRPr="00364440">
        <w:rPr>
          <w:rFonts w:ascii="Palatino Linotype" w:eastAsia="Palatino Linotype" w:hAnsi="Palatino Linotype" w:cs="Palatino Linotype"/>
          <w:b/>
        </w:rPr>
        <w:t xml:space="preserve"> SUJETO OBLIGADO</w:t>
      </w:r>
      <w:r w:rsidRPr="00364440">
        <w:rPr>
          <w:rFonts w:ascii="Palatino Linotype" w:eastAsia="Palatino Linotype" w:hAnsi="Palatino Linotype" w:cs="Palatino Linotype"/>
        </w:rPr>
        <w:t>, por lo que se procede a dictar la presente resolución, con base en los siguientes:</w:t>
      </w:r>
    </w:p>
    <w:p w:rsidR="00D707B6" w:rsidRPr="00364440" w:rsidRDefault="00D707B6" w:rsidP="00D707B6">
      <w:pPr>
        <w:spacing w:line="360" w:lineRule="auto"/>
        <w:jc w:val="both"/>
        <w:rPr>
          <w:rFonts w:ascii="Palatino Linotype" w:eastAsia="Palatino Linotype" w:hAnsi="Palatino Linotype" w:cs="Palatino Linotype"/>
          <w:b/>
        </w:rPr>
      </w:pPr>
    </w:p>
    <w:p w:rsidR="00D707B6" w:rsidRPr="00364440" w:rsidRDefault="00D707B6" w:rsidP="00D707B6">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364440">
        <w:rPr>
          <w:rFonts w:ascii="Palatino Linotype" w:eastAsia="Palatino Linotype" w:hAnsi="Palatino Linotype" w:cs="Palatino Linotype"/>
          <w:b/>
        </w:rPr>
        <w:t>A N T E C E D E N T E S</w:t>
      </w:r>
    </w:p>
    <w:p w:rsidR="00D707B6" w:rsidRPr="00364440" w:rsidRDefault="00D707B6" w:rsidP="00D707B6">
      <w:pPr>
        <w:spacing w:line="360" w:lineRule="auto"/>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El </w:t>
      </w:r>
      <w:r w:rsidRPr="00364440">
        <w:rPr>
          <w:rFonts w:ascii="Palatino Linotype" w:eastAsia="Palatino Linotype" w:hAnsi="Palatino Linotype" w:cs="Palatino Linotype"/>
          <w:b/>
        </w:rPr>
        <w:t>dieciocho de diciembre de dos mil veinticinco</w:t>
      </w:r>
      <w:r w:rsidRPr="00364440">
        <w:rPr>
          <w:rFonts w:ascii="Palatino Linotype" w:eastAsia="Palatino Linotype" w:hAnsi="Palatino Linotype" w:cs="Palatino Linotype"/>
        </w:rPr>
        <w:t xml:space="preserve">, </w:t>
      </w:r>
      <w:r w:rsidRPr="00364440">
        <w:rPr>
          <w:rFonts w:ascii="Palatino Linotype" w:eastAsia="Palatino Linotype" w:hAnsi="Palatino Linotype" w:cs="Palatino Linotype"/>
          <w:b/>
        </w:rPr>
        <w:t>EL RECURRENTE,</w:t>
      </w:r>
      <w:r w:rsidRPr="00364440">
        <w:rPr>
          <w:rFonts w:ascii="Palatino Linotype" w:eastAsia="Palatino Linotype" w:hAnsi="Palatino Linotype" w:cs="Palatino Linotype"/>
        </w:rPr>
        <w:t xml:space="preserve"> ante el </w:t>
      </w:r>
      <w:r w:rsidRPr="00364440">
        <w:rPr>
          <w:rFonts w:ascii="Palatino Linotype" w:eastAsia="Palatino Linotype" w:hAnsi="Palatino Linotype" w:cs="Palatino Linotype"/>
          <w:b/>
        </w:rPr>
        <w:t>SUJETO OBLIGADO</w:t>
      </w:r>
      <w:r w:rsidRPr="00364440">
        <w:rPr>
          <w:rFonts w:ascii="Palatino Linotype" w:eastAsia="Palatino Linotype" w:hAnsi="Palatino Linotype" w:cs="Palatino Linotype"/>
        </w:rPr>
        <w:t xml:space="preserve"> a través del Sistema de Acceso a la Información Mexiquense (SAIMEX), presentó una solicitud de información registrada con el número </w:t>
      </w:r>
      <w:r w:rsidRPr="00364440">
        <w:rPr>
          <w:rFonts w:ascii="Palatino Linotype" w:eastAsia="Palatino Linotype" w:hAnsi="Palatino Linotype" w:cs="Palatino Linotype"/>
          <w:b/>
          <w:bCs/>
        </w:rPr>
        <w:t>01703/TEPOTZOT/IP/2025</w:t>
      </w:r>
      <w:r w:rsidRPr="00364440">
        <w:rPr>
          <w:rFonts w:ascii="Palatino Linotype" w:eastAsia="Palatino Linotype" w:hAnsi="Palatino Linotype" w:cs="Palatino Linotype"/>
          <w:b/>
        </w:rPr>
        <w:t xml:space="preserve">, </w:t>
      </w:r>
      <w:r w:rsidRPr="00364440">
        <w:rPr>
          <w:rFonts w:ascii="Palatino Linotype" w:eastAsia="Palatino Linotype" w:hAnsi="Palatino Linotype" w:cs="Palatino Linotype"/>
        </w:rPr>
        <w:t>en la que se solicitó lo siguiente:</w:t>
      </w:r>
    </w:p>
    <w:p w:rsidR="00D707B6" w:rsidRPr="00364440" w:rsidRDefault="00D707B6" w:rsidP="00D707B6">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D707B6">
      <w:pPr>
        <w:pBdr>
          <w:top w:val="nil"/>
          <w:left w:val="nil"/>
          <w:bottom w:val="nil"/>
          <w:right w:val="nil"/>
          <w:between w:val="nil"/>
        </w:pBdr>
        <w:spacing w:line="360" w:lineRule="auto"/>
        <w:ind w:left="720" w:right="822"/>
        <w:jc w:val="both"/>
        <w:rPr>
          <w:rFonts w:ascii="Palatino Linotype" w:eastAsia="Palatino Linotype" w:hAnsi="Palatino Linotype" w:cs="Palatino Linotype"/>
          <w:i/>
        </w:rPr>
      </w:pPr>
      <w:r w:rsidRPr="00364440">
        <w:rPr>
          <w:rFonts w:ascii="Palatino Linotype" w:eastAsia="Palatino Linotype" w:hAnsi="Palatino Linotype" w:cs="Palatino Linotype"/>
          <w:i/>
        </w:rPr>
        <w:t xml:space="preserve">“Informe si el Ayuntamiento cuenta con observaciones, recomendaciones o pliegos de observaciones emitidos por el OSFEM, la Contraloría del Estado de México u otro órgano fiscalizador relacionados con el ejercicio del gasto de diciembre de 2025, y remita copia íntegra de dichos documentos.” (Sic) </w:t>
      </w:r>
    </w:p>
    <w:p w:rsidR="00D707B6" w:rsidRDefault="00D707B6" w:rsidP="00D707B6">
      <w:pPr>
        <w:pBdr>
          <w:top w:val="nil"/>
          <w:left w:val="nil"/>
          <w:bottom w:val="nil"/>
          <w:right w:val="nil"/>
          <w:between w:val="nil"/>
        </w:pBdr>
        <w:spacing w:line="360" w:lineRule="auto"/>
        <w:jc w:val="both"/>
        <w:rPr>
          <w:rFonts w:ascii="Palatino Linotype" w:eastAsia="Palatino Linotype" w:hAnsi="Palatino Linotype" w:cs="Palatino Linotype"/>
        </w:rPr>
      </w:pPr>
    </w:p>
    <w:p w:rsidR="00364440" w:rsidRPr="00364440" w:rsidRDefault="00364440" w:rsidP="00D707B6">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Se señaló como modalidad de entrega a través de SAIMEX.  </w:t>
      </w:r>
    </w:p>
    <w:p w:rsidR="00D707B6" w:rsidRPr="00364440" w:rsidRDefault="00D707B6" w:rsidP="00D707B6">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lastRenderedPageBreak/>
        <w:t xml:space="preserve">El </w:t>
      </w:r>
      <w:r w:rsidRPr="00364440">
        <w:rPr>
          <w:rFonts w:ascii="Palatino Linotype" w:eastAsia="Palatino Linotype" w:hAnsi="Palatino Linotype" w:cs="Palatino Linotype"/>
          <w:b/>
        </w:rPr>
        <w:t>diecisiete de enero de dos mil veintiséis</w:t>
      </w:r>
      <w:r w:rsidRPr="00364440">
        <w:rPr>
          <w:rFonts w:ascii="Palatino Linotype" w:eastAsia="Palatino Linotype" w:hAnsi="Palatino Linotype" w:cs="Palatino Linotype"/>
        </w:rPr>
        <w:t>, el Sujeto Obligado dio respuesta a la solicitud de información en los siguientes términos:</w:t>
      </w:r>
    </w:p>
    <w:p w:rsidR="00D707B6" w:rsidRPr="00364440" w:rsidRDefault="00D707B6" w:rsidP="00D707B6">
      <w:pPr>
        <w:pBdr>
          <w:top w:val="nil"/>
          <w:left w:val="nil"/>
          <w:bottom w:val="nil"/>
          <w:right w:val="nil"/>
          <w:between w:val="nil"/>
        </w:pBdr>
        <w:spacing w:line="360" w:lineRule="auto"/>
        <w:jc w:val="both"/>
        <w:rPr>
          <w:rFonts w:ascii="Palatino Linotype" w:eastAsia="Palatino Linotype" w:hAnsi="Palatino Linotype" w:cs="Palatino Linotype"/>
        </w:rPr>
      </w:pPr>
    </w:p>
    <w:tbl>
      <w:tblPr>
        <w:tblW w:w="7425" w:type="dxa"/>
        <w:jc w:val="center"/>
        <w:tblCellSpacing w:w="0" w:type="dxa"/>
        <w:tblCellMar>
          <w:left w:w="0" w:type="dxa"/>
          <w:right w:w="0" w:type="dxa"/>
        </w:tblCellMar>
        <w:tblLook w:val="04A0" w:firstRow="1" w:lastRow="0" w:firstColumn="1" w:lastColumn="0" w:noHBand="0" w:noVBand="1"/>
      </w:tblPr>
      <w:tblGrid>
        <w:gridCol w:w="7425"/>
      </w:tblGrid>
      <w:tr w:rsidR="00D707B6" w:rsidRPr="00364440" w:rsidTr="00D707B6">
        <w:trPr>
          <w:trHeight w:val="321"/>
          <w:tblCellSpacing w:w="0" w:type="dxa"/>
          <w:jc w:val="center"/>
        </w:trPr>
        <w:tc>
          <w:tcPr>
            <w:tcW w:w="0" w:type="auto"/>
            <w:vAlign w:val="center"/>
            <w:hideMark/>
          </w:tcPr>
          <w:p w:rsidR="00D707B6" w:rsidRPr="00364440" w:rsidRDefault="00D707B6" w:rsidP="00D707B6">
            <w:pPr>
              <w:jc w:val="right"/>
              <w:rPr>
                <w:rFonts w:ascii="Palatino Linotype" w:hAnsi="Palatino Linotype"/>
                <w:i/>
              </w:rPr>
            </w:pPr>
            <w:r w:rsidRPr="00364440">
              <w:rPr>
                <w:rFonts w:ascii="Palatino Linotype" w:hAnsi="Palatino Linotype"/>
                <w:i/>
              </w:rPr>
              <w:t>Nombre del solicitante: C. Solicitante</w:t>
            </w:r>
          </w:p>
        </w:tc>
      </w:tr>
      <w:tr w:rsidR="00D707B6" w:rsidRPr="00364440" w:rsidTr="00D707B6">
        <w:trPr>
          <w:trHeight w:val="321"/>
          <w:tblCellSpacing w:w="0" w:type="dxa"/>
          <w:jc w:val="center"/>
        </w:trPr>
        <w:tc>
          <w:tcPr>
            <w:tcW w:w="0" w:type="auto"/>
            <w:vAlign w:val="center"/>
            <w:hideMark/>
          </w:tcPr>
          <w:p w:rsidR="00D707B6" w:rsidRPr="00364440" w:rsidRDefault="00D707B6" w:rsidP="00D707B6">
            <w:pPr>
              <w:jc w:val="right"/>
              <w:rPr>
                <w:rFonts w:ascii="Palatino Linotype" w:hAnsi="Palatino Linotype"/>
                <w:i/>
              </w:rPr>
            </w:pPr>
            <w:r w:rsidRPr="00364440">
              <w:rPr>
                <w:rFonts w:ascii="Palatino Linotype" w:hAnsi="Palatino Linotype"/>
                <w:i/>
              </w:rPr>
              <w:t>Folio de la solicitud: 01703/TEPOTZOT/IP/2025</w:t>
            </w:r>
          </w:p>
        </w:tc>
      </w:tr>
      <w:tr w:rsidR="00D707B6" w:rsidRPr="00364440" w:rsidTr="00D707B6">
        <w:trPr>
          <w:trHeight w:val="401"/>
          <w:tblCellSpacing w:w="0" w:type="dxa"/>
          <w:jc w:val="center"/>
        </w:trPr>
        <w:tc>
          <w:tcPr>
            <w:tcW w:w="0" w:type="auto"/>
            <w:vAlign w:val="center"/>
            <w:hideMark/>
          </w:tcPr>
          <w:p w:rsidR="00D707B6" w:rsidRPr="00364440" w:rsidRDefault="00D707B6" w:rsidP="00D707B6">
            <w:pPr>
              <w:rPr>
                <w:rFonts w:ascii="Palatino Linotype" w:hAnsi="Palatino Linotype"/>
                <w:i/>
              </w:rPr>
            </w:pPr>
          </w:p>
        </w:tc>
      </w:tr>
      <w:tr w:rsidR="00D707B6" w:rsidRPr="00364440" w:rsidTr="00D707B6">
        <w:trPr>
          <w:trHeight w:val="160"/>
          <w:tblCellSpacing w:w="0" w:type="dxa"/>
          <w:jc w:val="center"/>
        </w:trPr>
        <w:tc>
          <w:tcPr>
            <w:tcW w:w="0" w:type="auto"/>
            <w:vAlign w:val="center"/>
            <w:hideMark/>
          </w:tcPr>
          <w:p w:rsidR="00D707B6" w:rsidRPr="00364440" w:rsidRDefault="00D707B6" w:rsidP="00D707B6">
            <w:pPr>
              <w:rPr>
                <w:rFonts w:ascii="Palatino Linotype" w:hAnsi="Palatino Linotype"/>
                <w:i/>
              </w:rPr>
            </w:pPr>
            <w:r w:rsidRPr="00364440">
              <w:rPr>
                <w:rFonts w:ascii="Palatino Linotype" w:hAnsi="Palatino Linotype"/>
                <w:i/>
              </w:rPr>
              <w:t>SE ADJUNTA RESPUESTA DE SERVIDOR PÚBLICO HABILITADO</w:t>
            </w:r>
          </w:p>
        </w:tc>
      </w:tr>
      <w:tr w:rsidR="00D707B6" w:rsidRPr="00364440" w:rsidTr="00D707B6">
        <w:trPr>
          <w:trHeight w:val="401"/>
          <w:tblCellSpacing w:w="0" w:type="dxa"/>
          <w:jc w:val="center"/>
        </w:trPr>
        <w:tc>
          <w:tcPr>
            <w:tcW w:w="0" w:type="auto"/>
            <w:vAlign w:val="center"/>
            <w:hideMark/>
          </w:tcPr>
          <w:p w:rsidR="00D707B6" w:rsidRPr="00364440" w:rsidRDefault="00D707B6" w:rsidP="00D707B6">
            <w:pPr>
              <w:rPr>
                <w:rFonts w:ascii="Palatino Linotype" w:hAnsi="Palatino Linotype"/>
                <w:i/>
              </w:rPr>
            </w:pPr>
          </w:p>
        </w:tc>
      </w:tr>
      <w:tr w:rsidR="00D707B6" w:rsidRPr="00364440" w:rsidTr="00D707B6">
        <w:trPr>
          <w:trHeight w:val="160"/>
          <w:tblCellSpacing w:w="0" w:type="dxa"/>
          <w:jc w:val="center"/>
        </w:trPr>
        <w:tc>
          <w:tcPr>
            <w:tcW w:w="0" w:type="auto"/>
            <w:vAlign w:val="center"/>
            <w:hideMark/>
          </w:tcPr>
          <w:p w:rsidR="00D707B6" w:rsidRPr="00364440" w:rsidRDefault="00D707B6" w:rsidP="00D707B6">
            <w:pPr>
              <w:rPr>
                <w:rFonts w:ascii="Palatino Linotype" w:hAnsi="Palatino Linotype"/>
                <w:i/>
              </w:rPr>
            </w:pPr>
          </w:p>
        </w:tc>
      </w:tr>
      <w:tr w:rsidR="00D707B6" w:rsidRPr="00364440" w:rsidTr="00D707B6">
        <w:trPr>
          <w:trHeight w:val="160"/>
          <w:tblCellSpacing w:w="0" w:type="dxa"/>
          <w:jc w:val="center"/>
        </w:trPr>
        <w:tc>
          <w:tcPr>
            <w:tcW w:w="0" w:type="auto"/>
            <w:vAlign w:val="center"/>
            <w:hideMark/>
          </w:tcPr>
          <w:p w:rsidR="00D707B6" w:rsidRPr="00364440" w:rsidRDefault="00D707B6" w:rsidP="00D707B6">
            <w:pPr>
              <w:rPr>
                <w:rFonts w:ascii="Palatino Linotype" w:hAnsi="Palatino Linotype"/>
                <w:i/>
              </w:rPr>
            </w:pPr>
            <w:r w:rsidRPr="00364440">
              <w:rPr>
                <w:rFonts w:ascii="Palatino Linotype" w:hAnsi="Palatino Linotype"/>
                <w:i/>
              </w:rPr>
              <w:t>ATENTAMENTE</w:t>
            </w:r>
          </w:p>
        </w:tc>
      </w:tr>
      <w:tr w:rsidR="00D707B6" w:rsidRPr="00364440" w:rsidTr="00D707B6">
        <w:trPr>
          <w:trHeight w:val="240"/>
          <w:tblCellSpacing w:w="0" w:type="dxa"/>
          <w:jc w:val="center"/>
        </w:trPr>
        <w:tc>
          <w:tcPr>
            <w:tcW w:w="0" w:type="auto"/>
            <w:vAlign w:val="center"/>
            <w:hideMark/>
          </w:tcPr>
          <w:p w:rsidR="00D707B6" w:rsidRPr="00364440" w:rsidRDefault="00D707B6" w:rsidP="00D707B6">
            <w:pPr>
              <w:rPr>
                <w:rFonts w:ascii="Palatino Linotype" w:hAnsi="Palatino Linotype"/>
                <w:i/>
              </w:rPr>
            </w:pPr>
          </w:p>
        </w:tc>
      </w:tr>
      <w:tr w:rsidR="00D707B6" w:rsidRPr="00364440" w:rsidTr="00D707B6">
        <w:trPr>
          <w:trHeight w:val="160"/>
          <w:tblCellSpacing w:w="0" w:type="dxa"/>
          <w:jc w:val="center"/>
        </w:trPr>
        <w:tc>
          <w:tcPr>
            <w:tcW w:w="0" w:type="auto"/>
            <w:vAlign w:val="center"/>
            <w:hideMark/>
          </w:tcPr>
          <w:p w:rsidR="00D707B6" w:rsidRPr="00364440" w:rsidRDefault="00D707B6" w:rsidP="00D707B6">
            <w:pPr>
              <w:rPr>
                <w:rFonts w:ascii="Palatino Linotype" w:hAnsi="Palatino Linotype"/>
                <w:i/>
              </w:rPr>
            </w:pPr>
            <w:r w:rsidRPr="00364440">
              <w:rPr>
                <w:rFonts w:ascii="Palatino Linotype" w:hAnsi="Palatino Linotype"/>
                <w:i/>
              </w:rPr>
              <w:t>P.Ing. Ilse Lizbeth Tavera Arteaga</w:t>
            </w:r>
          </w:p>
        </w:tc>
      </w:tr>
    </w:tbl>
    <w:p w:rsidR="00D707B6" w:rsidRPr="00364440" w:rsidRDefault="00D707B6" w:rsidP="00D707B6">
      <w:pPr>
        <w:spacing w:line="360" w:lineRule="auto"/>
        <w:jc w:val="both"/>
        <w:rPr>
          <w:rFonts w:ascii="Palatino Linotype" w:eastAsia="Palatino Linotype" w:hAnsi="Palatino Linotype" w:cs="Palatino Linotype"/>
        </w:rPr>
      </w:pPr>
    </w:p>
    <w:p w:rsidR="00D707B6" w:rsidRPr="00364440" w:rsidRDefault="00D707B6" w:rsidP="00D707B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A la respuesta se adjuntó el archivo  </w:t>
      </w:r>
      <w:hyperlink r:id="rId7" w:tgtFrame="_blank" w:history="1">
        <w:r w:rsidRPr="00364440">
          <w:rPr>
            <w:rStyle w:val="Hipervnculo"/>
            <w:rFonts w:ascii="Palatino Linotype" w:eastAsia="Palatino Linotype" w:hAnsi="Palatino Linotype" w:cs="Palatino Linotype"/>
            <w:b/>
            <w:bCs/>
          </w:rPr>
          <w:t>DAyF-080-2026.pdf</w:t>
        </w:r>
      </w:hyperlink>
      <w:r w:rsidRPr="00364440">
        <w:rPr>
          <w:rFonts w:ascii="Palatino Linotype" w:eastAsia="Palatino Linotype" w:hAnsi="Palatino Linotype" w:cs="Palatino Linotype"/>
        </w:rPr>
        <w:t xml:space="preserve">, en el que se encuentra el oficio DAyF/080/2026 de fecha veintinueve de enero de dos mil veintiséis, suscrito por el Director de Administración y Finanzas, quien señaló </w:t>
      </w:r>
      <w:r w:rsidR="00946826" w:rsidRPr="00364440">
        <w:rPr>
          <w:rFonts w:ascii="Palatino Linotype" w:eastAsia="Palatino Linotype" w:hAnsi="Palatino Linotype" w:cs="Palatino Linotype"/>
        </w:rPr>
        <w:t>“</w:t>
      </w:r>
      <w:r w:rsidR="00946826" w:rsidRPr="00364440">
        <w:rPr>
          <w:rFonts w:ascii="Palatino Linotype" w:eastAsia="Palatino Linotype" w:hAnsi="Palatino Linotype" w:cs="Palatino Linotype"/>
          <w:i/>
        </w:rPr>
        <w:t>En virtud de lo anterior, después de realizar una búsqueda exhaustiva y razonable en los archivos y registros que obran en esta Dirección de Administración y Finanzas, se informa que no se localizó evidencia documental de presuntas observaciones, recomendaciones, o pliegos de observaciones emitidos por el OSFEM, Contraloría del Estado de México u otro órgano fiscalizador relacionado con el gasto de Enero a Diciembre del 2025; en consecuencia, no existe información pública que pueda ser proporcionada al respecto</w:t>
      </w:r>
      <w:r w:rsidR="00946826" w:rsidRPr="00364440">
        <w:rPr>
          <w:rFonts w:ascii="Palatino Linotype" w:eastAsia="Palatino Linotype" w:hAnsi="Palatino Linotype" w:cs="Palatino Linotype"/>
        </w:rPr>
        <w:t>”.</w:t>
      </w:r>
    </w:p>
    <w:p w:rsidR="00D707B6" w:rsidRPr="00364440" w:rsidRDefault="00D707B6" w:rsidP="00D707B6">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El </w:t>
      </w:r>
      <w:r w:rsidR="00946826" w:rsidRPr="00364440">
        <w:rPr>
          <w:rFonts w:ascii="Palatino Linotype" w:eastAsia="Palatino Linotype" w:hAnsi="Palatino Linotype" w:cs="Palatino Linotype"/>
          <w:b/>
        </w:rPr>
        <w:t>veintitrés de enero de dos mil veintiséis</w:t>
      </w:r>
      <w:r w:rsidRPr="00364440">
        <w:rPr>
          <w:rFonts w:ascii="Palatino Linotype" w:eastAsia="Palatino Linotype" w:hAnsi="Palatino Linotype" w:cs="Palatino Linotype"/>
        </w:rPr>
        <w:t xml:space="preserve">, </w:t>
      </w:r>
      <w:r w:rsidRPr="00364440">
        <w:rPr>
          <w:rFonts w:ascii="Palatino Linotype" w:eastAsia="Palatino Linotype" w:hAnsi="Palatino Linotype" w:cs="Palatino Linotype"/>
          <w:b/>
        </w:rPr>
        <w:t>El Recurrente</w:t>
      </w:r>
      <w:r w:rsidRPr="00364440">
        <w:rPr>
          <w:rFonts w:ascii="Palatino Linotype" w:eastAsia="Palatino Linotype" w:hAnsi="Palatino Linotype" w:cs="Palatino Linotype"/>
        </w:rPr>
        <w:t xml:space="preserve"> interpuso el recurso de revisión, en contra de la respuesta, señalando como:</w:t>
      </w:r>
    </w:p>
    <w:p w:rsidR="00D707B6" w:rsidRPr="00364440" w:rsidRDefault="00D707B6" w:rsidP="00D707B6">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D707B6">
      <w:pPr>
        <w:numPr>
          <w:ilvl w:val="0"/>
          <w:numId w:val="1"/>
        </w:numPr>
        <w:spacing w:line="360" w:lineRule="auto"/>
        <w:ind w:left="851" w:right="822" w:firstLine="0"/>
        <w:jc w:val="both"/>
      </w:pPr>
      <w:r w:rsidRPr="00364440">
        <w:rPr>
          <w:rFonts w:ascii="Palatino Linotype" w:eastAsia="Palatino Linotype" w:hAnsi="Palatino Linotype" w:cs="Palatino Linotype"/>
          <w:b/>
        </w:rPr>
        <w:t>Acto impugnado</w:t>
      </w:r>
      <w:r w:rsidRPr="00364440">
        <w:rPr>
          <w:rFonts w:ascii="Palatino Linotype" w:eastAsia="Palatino Linotype" w:hAnsi="Palatino Linotype" w:cs="Palatino Linotype"/>
          <w:b/>
          <w:i/>
        </w:rPr>
        <w:t>:</w:t>
      </w:r>
      <w:r w:rsidRPr="00364440">
        <w:rPr>
          <w:rFonts w:ascii="Palatino Linotype" w:eastAsia="Palatino Linotype" w:hAnsi="Palatino Linotype" w:cs="Palatino Linotype"/>
          <w:i/>
        </w:rPr>
        <w:t xml:space="preserve"> "</w:t>
      </w:r>
      <w:r w:rsidR="00946826" w:rsidRPr="00364440">
        <w:rPr>
          <w:rFonts w:ascii="Verdana" w:hAnsi="Verdana"/>
          <w:color w:val="000000"/>
        </w:rPr>
        <w:t xml:space="preserve"> </w:t>
      </w:r>
      <w:r w:rsidR="00946826" w:rsidRPr="00364440">
        <w:rPr>
          <w:rFonts w:ascii="Palatino Linotype" w:eastAsia="Palatino Linotype" w:hAnsi="Palatino Linotype" w:cs="Palatino Linotype"/>
          <w:i/>
        </w:rPr>
        <w:t xml:space="preserve">Informe si el Ayuntamiento cuenta con observaciones, recomendaciones o pliegos de observaciones emitidos por el OSFEM, la Contraloría del </w:t>
      </w:r>
      <w:r w:rsidR="00946826" w:rsidRPr="00364440">
        <w:rPr>
          <w:rFonts w:ascii="Palatino Linotype" w:eastAsia="Palatino Linotype" w:hAnsi="Palatino Linotype" w:cs="Palatino Linotype"/>
          <w:i/>
        </w:rPr>
        <w:lastRenderedPageBreak/>
        <w:t>Estado de México u otro órgano fiscalizador relacionados con el ejercicio del gasto de diciembre de 2025, y remita copia íntegra de dichos documentos. El sujeto obligado niega la información solicitada, argumentando el artículo 12 de la Ley de Transparencia y Acceso a la Información Pública del Estado de México, bajo el razonamiento de que únicamente está obligado a proporcionar información que obre en sus archivos</w:t>
      </w:r>
      <w:r w:rsidRPr="00364440">
        <w:rPr>
          <w:rFonts w:ascii="Palatino Linotype" w:eastAsia="Palatino Linotype" w:hAnsi="Palatino Linotype" w:cs="Palatino Linotype"/>
          <w:i/>
        </w:rPr>
        <w:t>" (Sic)</w:t>
      </w:r>
    </w:p>
    <w:p w:rsidR="00D707B6" w:rsidRPr="00364440" w:rsidRDefault="00D707B6" w:rsidP="00D707B6">
      <w:pPr>
        <w:spacing w:line="360" w:lineRule="auto"/>
        <w:ind w:left="851" w:right="822"/>
        <w:jc w:val="both"/>
      </w:pPr>
    </w:p>
    <w:p w:rsidR="00D707B6" w:rsidRPr="00364440" w:rsidRDefault="00D707B6" w:rsidP="00D707B6">
      <w:pPr>
        <w:numPr>
          <w:ilvl w:val="0"/>
          <w:numId w:val="1"/>
        </w:numPr>
        <w:spacing w:line="360" w:lineRule="auto"/>
        <w:ind w:left="851" w:right="822" w:firstLine="0"/>
        <w:jc w:val="both"/>
        <w:rPr>
          <w:rFonts w:ascii="Palatino Linotype" w:eastAsia="Palatino Linotype" w:hAnsi="Palatino Linotype" w:cs="Palatino Linotype"/>
        </w:rPr>
      </w:pPr>
      <w:r w:rsidRPr="00364440">
        <w:rPr>
          <w:rFonts w:ascii="Palatino Linotype" w:eastAsia="Palatino Linotype" w:hAnsi="Palatino Linotype" w:cs="Palatino Linotype"/>
          <w:b/>
        </w:rPr>
        <w:t>Razones o Motivos de inconformidad: “</w:t>
      </w:r>
      <w:r w:rsidR="00946826" w:rsidRPr="00364440">
        <w:rPr>
          <w:rFonts w:ascii="Palatino Linotype" w:eastAsia="Palatino Linotype" w:hAnsi="Palatino Linotype" w:cs="Palatino Linotype"/>
          <w:i/>
        </w:rPr>
        <w:t xml:space="preserve">Agravios PRIMERO. Aplicación indebida y evasiva del artículo 12 El artículo 12 no es una causal de reserva ni de negativa, sino una disposición que regula el alcance material de la información pública. El sujeto obligado lo utiliza de manera indebida para: evadir pronunciarse sobre la existencia de documentos de fiscalización, eludir su deber de búsqueda exhaustiva, y negar información que, por su naturaleza jurídica y administrativa, debe obrar en sus archivos. Las observaciones, recomendaciones y pliegos de observaciones emitidos por órganos fiscalizadores: son documentos formales se notifican oficialmente al Ayuntamiento generan obligaciones de atención y solventación Por lo tanto, invocar el artículo 12 no justifica la negativa. SEGUNDO. Las observaciones de fiscalización son información pública de interés reforzado La información solicitada se vincula directamente con: el ejercicio del gasto público, la fiscalización de recursos municipales, y la rendición de cuentas del Ayuntamiento. Dicha información: no es confidencial no fue clasificada como reservada no se acompañó de prueba de daño no se fundamentó en causal legal alguna Aun cuando las observaciones se encuentren en proceso de atención o solventación, su existencia y emisión son información pública, conforme a los principios de máxima publicidad y transparencia proactiva. TERCERO. Violación al principio de máxima publicidad Negar información relacionada con fiscalización del gasto público de diciembre de 2025 contraviene el principio constitucional de máxima </w:t>
      </w:r>
      <w:r w:rsidR="00946826" w:rsidRPr="00364440">
        <w:rPr>
          <w:rFonts w:ascii="Palatino Linotype" w:eastAsia="Palatino Linotype" w:hAnsi="Palatino Linotype" w:cs="Palatino Linotype"/>
          <w:i/>
        </w:rPr>
        <w:lastRenderedPageBreak/>
        <w:t>publicidad, ya que se trata de información esencial para: conocer el uso de recursos públicos, evaluar la legalidad del gasto, identificar observaciones de órganos de control externo. La respuesta impugnada reduce indebidamente el alcance del derecho de acceso a la información, afectando al solicitante y al interés público. CUARTO. Inexistencia implícita ilegal Si el Ayuntamiento sostiene que no cuenta con documentos de fiscalización del ejercicio de diciembre de 2025, debió: Realizar búsqueda exhaustiva en las áreas competentes (Tesorería, Contraloría, Presidencia, Secretaría del Ayuntamiento); Emitir una resolución formal de inexistencia; Fundar y motivar jurídicamente dicha determinación. Al no hacerlo, incurre en una inexistencia implícita, figura prohibida por la Ley de Transparencia y reiteradamente revocada por el INFOEM. QUINTO. Obligación legal de documentar procesos de fiscalización El Ayuntamiento está legalmente obligado a: recibir observaciones del OSFEM y otros órganos fiscalizadores, documentar su atención, resguardar constancia del proceso de fiscalización. Negar la información solicitada implica aceptar implícitamente: incumplimiento de obligaciones de control, falta de documentación del ejercicio del gasto, posible responsabilidad administrativa. Por ello, la respuesta es jurídicamente insostenible. Petición concreta Solicito al INFOEM: Revoque la respuesta emitida por el Ayuntamiento de Tepotzotlán. Ordene al sujeto obligado: informar si existen observaciones, recomendaciones o pliegos de observaciones relacionados con el ejercicio del gasto de diciembre de 2025; señalar el órgano fiscalizador emisor; indicar el estatus de dichas observaciones. Ordene la entrega de copias íntegras de los documentos solicitados o, en su caso, versiones públicas debidamente fundadas y motivadas. Subsidiariamente, ordenar la emisión de una resolución formal de inexistencia, cumpliendo con todos los requisitos legales.</w:t>
      </w:r>
      <w:r w:rsidRPr="00364440">
        <w:rPr>
          <w:rFonts w:ascii="Palatino Linotype" w:eastAsia="Palatino Linotype" w:hAnsi="Palatino Linotype" w:cs="Palatino Linotype"/>
          <w:i/>
        </w:rPr>
        <w:t>" (Sic)</w:t>
      </w:r>
    </w:p>
    <w:p w:rsidR="00D707B6" w:rsidRPr="00364440" w:rsidRDefault="00D707B6" w:rsidP="00D707B6">
      <w:pPr>
        <w:spacing w:line="360" w:lineRule="auto"/>
        <w:jc w:val="both"/>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lastRenderedPageBreak/>
        <w:t xml:space="preserve">Se registró el recurso de revisión bajo el número de expediente al rubro indicado, asimismo con fundamento en lo dispuesto por el artículo 185 fracción I de la </w:t>
      </w:r>
      <w:r w:rsidRPr="00364440">
        <w:rPr>
          <w:rFonts w:ascii="Palatino Linotype" w:eastAsia="Palatino Linotype" w:hAnsi="Palatino Linotype" w:cs="Palatino Linotype"/>
          <w:b/>
        </w:rPr>
        <w:t xml:space="preserve">Ley de Transparencia y Acceso a la Información Pública del Estado de México y Municipios </w:t>
      </w:r>
      <w:r w:rsidRPr="00364440">
        <w:rPr>
          <w:rFonts w:ascii="Palatino Linotype" w:eastAsia="Palatino Linotype" w:hAnsi="Palatino Linotype" w:cs="Palatino Linotype"/>
        </w:rPr>
        <w:t xml:space="preserve">se turna a la </w:t>
      </w:r>
      <w:r w:rsidRPr="00364440">
        <w:rPr>
          <w:rFonts w:ascii="Palatino Linotype" w:eastAsia="Palatino Linotype" w:hAnsi="Palatino Linotype" w:cs="Palatino Linotype"/>
          <w:b/>
        </w:rPr>
        <w:t xml:space="preserve">Comisionada María del Rosario Mejía Ayala, </w:t>
      </w:r>
      <w:r w:rsidRPr="00364440">
        <w:rPr>
          <w:rFonts w:ascii="Palatino Linotype" w:eastAsia="Palatino Linotype" w:hAnsi="Palatino Linotype" w:cs="Palatino Linotype"/>
        </w:rPr>
        <w:t xml:space="preserve">para su análisis. </w:t>
      </w:r>
    </w:p>
    <w:p w:rsidR="00D707B6" w:rsidRPr="00364440" w:rsidRDefault="00D707B6" w:rsidP="00D707B6">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946826" w:rsidRPr="00364440">
        <w:rPr>
          <w:rFonts w:ascii="Palatino Linotype" w:eastAsia="Palatino Linotype" w:hAnsi="Palatino Linotype" w:cs="Palatino Linotype"/>
          <w:b/>
        </w:rPr>
        <w:t>veintiséis de enero de dos mil veintiséis</w:t>
      </w:r>
      <w:r w:rsidRPr="00364440">
        <w:rPr>
          <w:rFonts w:ascii="Palatino Linotype" w:eastAsia="Palatino Linotype" w:hAnsi="Palatino Linotype" w:cs="Palatino Linotype"/>
        </w:rPr>
        <w:t xml:space="preserve">, puso a disposición de las partes el expediente electrónico vía </w:t>
      </w:r>
      <w:r w:rsidRPr="00364440">
        <w:rPr>
          <w:rFonts w:ascii="Palatino Linotype" w:eastAsia="Palatino Linotype" w:hAnsi="Palatino Linotype" w:cs="Palatino Linotype"/>
          <w:b/>
        </w:rPr>
        <w:t xml:space="preserve">SAIMEX </w:t>
      </w:r>
      <w:r w:rsidRPr="0036444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364440">
        <w:rPr>
          <w:rFonts w:ascii="Palatino Linotype" w:eastAsia="Palatino Linotype" w:hAnsi="Palatino Linotype" w:cs="Palatino Linotype"/>
          <w:b/>
        </w:rPr>
        <w:t>SUJETO OBLIGADO</w:t>
      </w:r>
      <w:r w:rsidRPr="00364440">
        <w:rPr>
          <w:rFonts w:ascii="Palatino Linotype" w:eastAsia="Palatino Linotype" w:hAnsi="Palatino Linotype" w:cs="Palatino Linotype"/>
        </w:rPr>
        <w:t xml:space="preserve"> presentará el informe justificado procedente. </w:t>
      </w:r>
    </w:p>
    <w:p w:rsidR="00D707B6" w:rsidRPr="00364440" w:rsidRDefault="00D707B6" w:rsidP="00D707B6">
      <w:pPr>
        <w:pBdr>
          <w:top w:val="nil"/>
          <w:left w:val="nil"/>
          <w:bottom w:val="nil"/>
          <w:right w:val="nil"/>
          <w:between w:val="nil"/>
        </w:pBdr>
        <w:ind w:left="720"/>
        <w:rPr>
          <w:rFonts w:ascii="Palatino Linotype" w:eastAsia="Palatino Linotype" w:hAnsi="Palatino Linotype" w:cs="Palatino Linotype"/>
        </w:rPr>
      </w:pPr>
    </w:p>
    <w:p w:rsidR="00D707B6" w:rsidRPr="00364440" w:rsidRDefault="00D707B6" w:rsidP="0094682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De las constancias del expediente electrónico SAIMEX se advierte que el Recurrente no realizó manifestaciones; por su parte, el Sujeto Obligado </w:t>
      </w:r>
      <w:r w:rsidR="00946826" w:rsidRPr="00364440">
        <w:rPr>
          <w:rFonts w:ascii="Palatino Linotype" w:eastAsia="Palatino Linotype" w:hAnsi="Palatino Linotype" w:cs="Palatino Linotype"/>
        </w:rPr>
        <w:t xml:space="preserve">no </w:t>
      </w:r>
      <w:r w:rsidRPr="00364440">
        <w:rPr>
          <w:rFonts w:ascii="Palatino Linotype" w:eastAsia="Palatino Linotype" w:hAnsi="Palatino Linotype" w:cs="Palatino Linotype"/>
        </w:rPr>
        <w:t>entregó informe justificado</w:t>
      </w:r>
      <w:r w:rsidR="00946826" w:rsidRPr="00364440">
        <w:rPr>
          <w:rFonts w:ascii="Palatino Linotype" w:eastAsia="Palatino Linotype" w:hAnsi="Palatino Linotype" w:cs="Palatino Linotype"/>
        </w:rPr>
        <w:t>.</w:t>
      </w:r>
      <w:r w:rsidRPr="00364440">
        <w:rPr>
          <w:rFonts w:ascii="Palatino Linotype" w:eastAsia="Palatino Linotype" w:hAnsi="Palatino Linotype" w:cs="Palatino Linotype"/>
        </w:rPr>
        <w:t xml:space="preserve"> </w:t>
      </w:r>
    </w:p>
    <w:p w:rsidR="00946826" w:rsidRPr="00364440" w:rsidRDefault="00946826" w:rsidP="00946826">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94682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El </w:t>
      </w:r>
      <w:r w:rsidR="00946826" w:rsidRPr="00364440">
        <w:rPr>
          <w:rFonts w:ascii="Palatino Linotype" w:eastAsia="Palatino Linotype" w:hAnsi="Palatino Linotype" w:cs="Palatino Linotype"/>
          <w:b/>
        </w:rPr>
        <w:t>nueve de abril de dos mil veintiséis</w:t>
      </w:r>
      <w:r w:rsidRPr="00364440">
        <w:rPr>
          <w:rFonts w:ascii="Palatino Linotype" w:eastAsia="Palatino Linotype" w:hAnsi="Palatino Linotype" w:cs="Palatino Linotype"/>
        </w:rPr>
        <w:t>, se notificó el acuerdo mediante el cual se aprobó la ampliación d</w:t>
      </w:r>
      <w:r w:rsidR="00946826" w:rsidRPr="00364440">
        <w:rPr>
          <w:rFonts w:ascii="Palatino Linotype" w:eastAsia="Palatino Linotype" w:hAnsi="Palatino Linotype" w:cs="Palatino Linotype"/>
        </w:rPr>
        <w:t xml:space="preserve">e plazo para emitir resolución y </w:t>
      </w:r>
      <w:r w:rsidRPr="00364440">
        <w:rPr>
          <w:rFonts w:ascii="Palatino Linotype" w:eastAsia="Palatino Linotype" w:hAnsi="Palatino Linotype" w:cs="Palatino Linotype"/>
        </w:rPr>
        <w:t xml:space="preserve">se notificó el acuerdo mediante el cual se decretó el cierre de instrucción. </w:t>
      </w:r>
    </w:p>
    <w:p w:rsidR="00D707B6" w:rsidRPr="00364440" w:rsidRDefault="00D707B6" w:rsidP="00D707B6">
      <w:pPr>
        <w:spacing w:line="360" w:lineRule="auto"/>
        <w:rPr>
          <w:rFonts w:ascii="Palatino Linotype" w:eastAsia="Palatino Linotype" w:hAnsi="Palatino Linotype" w:cs="Palatino Linotype"/>
        </w:rPr>
      </w:pPr>
    </w:p>
    <w:p w:rsidR="00D707B6" w:rsidRPr="00364440" w:rsidRDefault="00D707B6" w:rsidP="00D707B6">
      <w:pPr>
        <w:spacing w:line="360" w:lineRule="auto"/>
        <w:jc w:val="center"/>
        <w:rPr>
          <w:rFonts w:ascii="Palatino Linotype" w:eastAsia="Palatino Linotype" w:hAnsi="Palatino Linotype" w:cs="Palatino Linotype"/>
        </w:rPr>
      </w:pPr>
      <w:bookmarkStart w:id="2" w:name="_heading=h.1fob9te" w:colFirst="0" w:colLast="0"/>
      <w:bookmarkEnd w:id="2"/>
      <w:r w:rsidRPr="00364440">
        <w:rPr>
          <w:rFonts w:ascii="Palatino Linotype" w:eastAsia="Palatino Linotype" w:hAnsi="Palatino Linotype" w:cs="Palatino Linotype"/>
          <w:b/>
        </w:rPr>
        <w:t>C O N S I D E R A N D O</w:t>
      </w:r>
    </w:p>
    <w:p w:rsidR="00D707B6" w:rsidRPr="00364440" w:rsidRDefault="00D707B6" w:rsidP="00D707B6">
      <w:pPr>
        <w:spacing w:line="360" w:lineRule="auto"/>
        <w:jc w:val="center"/>
        <w:rPr>
          <w:rFonts w:ascii="Palatino Linotype" w:eastAsia="Palatino Linotype" w:hAnsi="Palatino Linotype" w:cs="Palatino Linotype"/>
        </w:rPr>
      </w:pPr>
    </w:p>
    <w:p w:rsidR="00D707B6" w:rsidRPr="00364440" w:rsidRDefault="00D707B6" w:rsidP="00D707B6">
      <w:pPr>
        <w:spacing w:line="360" w:lineRule="auto"/>
        <w:jc w:val="both"/>
        <w:rPr>
          <w:rFonts w:ascii="Palatino Linotype" w:eastAsia="Palatino Linotype" w:hAnsi="Palatino Linotype" w:cs="Palatino Linotype"/>
          <w:b/>
        </w:rPr>
      </w:pPr>
      <w:bookmarkStart w:id="3" w:name="_heading=h.3znysh7" w:colFirst="0" w:colLast="0"/>
      <w:bookmarkEnd w:id="3"/>
      <w:r w:rsidRPr="00364440">
        <w:rPr>
          <w:rFonts w:ascii="Palatino Linotype" w:eastAsia="Palatino Linotype" w:hAnsi="Palatino Linotype" w:cs="Palatino Linotype"/>
          <w:b/>
        </w:rPr>
        <w:t>PRIMERO. De la competencia</w:t>
      </w:r>
    </w:p>
    <w:p w:rsidR="00D707B6" w:rsidRPr="00364440" w:rsidRDefault="00D707B6" w:rsidP="00D707B6">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w:t>
      </w:r>
      <w:r w:rsidRPr="00364440">
        <w:rPr>
          <w:rFonts w:ascii="Palatino Linotype" w:eastAsia="Palatino Linotype" w:hAnsi="Palatino Linotype" w:cs="Palatino Linotype"/>
        </w:rPr>
        <w:lastRenderedPageBreak/>
        <w:t>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D707B6" w:rsidRPr="00364440" w:rsidRDefault="00D707B6" w:rsidP="00D707B6">
      <w:pPr>
        <w:keepNext/>
        <w:keepLines/>
        <w:spacing w:line="360" w:lineRule="auto"/>
        <w:rPr>
          <w:rFonts w:ascii="Palatino Linotype" w:eastAsia="Palatino Linotype" w:hAnsi="Palatino Linotype" w:cs="Palatino Linotype"/>
        </w:rPr>
      </w:pPr>
      <w:bookmarkStart w:id="4" w:name="_heading=h.2et92p0" w:colFirst="0" w:colLast="0"/>
      <w:bookmarkEnd w:id="4"/>
    </w:p>
    <w:p w:rsidR="00D707B6" w:rsidRPr="00364440" w:rsidRDefault="00D707B6" w:rsidP="00D707B6">
      <w:pPr>
        <w:keepNext/>
        <w:keepLines/>
        <w:spacing w:line="360" w:lineRule="auto"/>
        <w:rPr>
          <w:rFonts w:ascii="Palatino Linotype" w:eastAsia="Palatino Linotype" w:hAnsi="Palatino Linotype" w:cs="Palatino Linotype"/>
          <w:b/>
        </w:rPr>
      </w:pPr>
      <w:r w:rsidRPr="00364440">
        <w:rPr>
          <w:rFonts w:ascii="Palatino Linotype" w:eastAsia="Palatino Linotype" w:hAnsi="Palatino Linotype" w:cs="Palatino Linotype"/>
          <w:b/>
        </w:rPr>
        <w:t>SEGUNDO. De la oportunidad y procedencia.</w:t>
      </w: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El medio de impugnación fue presentado a través del </w:t>
      </w:r>
      <w:r w:rsidRPr="00364440">
        <w:rPr>
          <w:rFonts w:ascii="Palatino Linotype" w:eastAsia="Palatino Linotype" w:hAnsi="Palatino Linotype" w:cs="Palatino Linotype"/>
          <w:b/>
        </w:rPr>
        <w:t>SAIMEX,</w:t>
      </w:r>
      <w:r w:rsidRPr="00364440">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364440">
        <w:rPr>
          <w:rFonts w:ascii="Palatino Linotype" w:eastAsia="Palatino Linotype" w:hAnsi="Palatino Linotype" w:cs="Palatino Linotype"/>
          <w:b/>
        </w:rPr>
        <w:t>SUJETO OBLIGADO</w:t>
      </w:r>
      <w:r w:rsidRPr="00364440">
        <w:rPr>
          <w:rFonts w:ascii="Palatino Linotype" w:eastAsia="Palatino Linotype" w:hAnsi="Palatino Linotype" w:cs="Palatino Linotype"/>
        </w:rPr>
        <w:t xml:space="preserve"> entregó respuesta a la solicitud el día </w:t>
      </w:r>
      <w:r w:rsidR="00D15394" w:rsidRPr="00364440">
        <w:rPr>
          <w:rFonts w:ascii="Palatino Linotype" w:eastAsia="Palatino Linotype" w:hAnsi="Palatino Linotype" w:cs="Palatino Linotype"/>
          <w:b/>
        </w:rPr>
        <w:t>diecisiete de enero de dos mil veintiséis</w:t>
      </w:r>
      <w:r w:rsidRPr="00364440">
        <w:rPr>
          <w:rFonts w:ascii="Palatino Linotype" w:eastAsia="Palatino Linotype" w:hAnsi="Palatino Linotype" w:cs="Palatino Linotype"/>
        </w:rPr>
        <w:t>, de tal forma que el plazo para interponer el recurso de revisión transcurrió del</w:t>
      </w:r>
      <w:r w:rsidRPr="00364440">
        <w:rPr>
          <w:rFonts w:ascii="Palatino Linotype" w:eastAsia="Palatino Linotype" w:hAnsi="Palatino Linotype" w:cs="Palatino Linotype"/>
          <w:b/>
        </w:rPr>
        <w:t xml:space="preserve"> </w:t>
      </w:r>
      <w:r w:rsidR="00D15394" w:rsidRPr="00364440">
        <w:rPr>
          <w:rFonts w:ascii="Palatino Linotype" w:eastAsia="Palatino Linotype" w:hAnsi="Palatino Linotype" w:cs="Palatino Linotype"/>
          <w:b/>
        </w:rPr>
        <w:t>veinte de enero al diecisiete de febrero de dos mil veintiséis</w:t>
      </w:r>
      <w:r w:rsidRPr="00364440">
        <w:rPr>
          <w:rFonts w:ascii="Palatino Linotype" w:eastAsia="Palatino Linotype" w:hAnsi="Palatino Linotype" w:cs="Palatino Linotype"/>
        </w:rPr>
        <w:t xml:space="preserve">; en consecuencia, presentó su inconformidad el día </w:t>
      </w:r>
      <w:r w:rsidR="00D15394" w:rsidRPr="00364440">
        <w:rPr>
          <w:rFonts w:ascii="Palatino Linotype" w:eastAsia="Palatino Linotype" w:hAnsi="Palatino Linotype" w:cs="Palatino Linotype"/>
          <w:b/>
        </w:rPr>
        <w:t>veintitrés de enero de dos mil veintiséis</w:t>
      </w:r>
      <w:r w:rsidRPr="00364440">
        <w:rPr>
          <w:rFonts w:ascii="Palatino Linotype" w:eastAsia="Palatino Linotype" w:hAnsi="Palatino Linotype" w:cs="Palatino Linotype"/>
        </w:rPr>
        <w:t xml:space="preserve">, por lo que se encuentra dentro de los márgenes temporales previstos en el artículo 178 de la </w:t>
      </w:r>
      <w:r w:rsidRPr="00364440">
        <w:rPr>
          <w:rFonts w:ascii="Palatino Linotype" w:eastAsia="Palatino Linotype" w:hAnsi="Palatino Linotype" w:cs="Palatino Linotype"/>
          <w:b/>
        </w:rPr>
        <w:t xml:space="preserve">Ley de Transparencia y Acceso a la Información Pública del Estado de México y Municipios </w:t>
      </w:r>
      <w:r w:rsidRPr="00364440">
        <w:rPr>
          <w:rFonts w:ascii="Palatino Linotype" w:eastAsia="Palatino Linotype" w:hAnsi="Palatino Linotype" w:cs="Palatino Linotype"/>
        </w:rPr>
        <w:t>vigente.</w:t>
      </w:r>
    </w:p>
    <w:p w:rsidR="00D15394" w:rsidRPr="00364440" w:rsidRDefault="00D15394" w:rsidP="00D15394">
      <w:pPr>
        <w:pBdr>
          <w:top w:val="nil"/>
          <w:left w:val="nil"/>
          <w:bottom w:val="nil"/>
          <w:right w:val="nil"/>
          <w:between w:val="nil"/>
        </w:pBdr>
        <w:spacing w:line="360" w:lineRule="auto"/>
        <w:jc w:val="both"/>
        <w:rPr>
          <w:rFonts w:ascii="Palatino Linotype" w:eastAsia="Palatino Linotype" w:hAnsi="Palatino Linotype" w:cs="Palatino Linotype"/>
        </w:rPr>
      </w:pPr>
    </w:p>
    <w:p w:rsidR="00D707B6" w:rsidRPr="00364440" w:rsidRDefault="00D707B6" w:rsidP="00D707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707B6" w:rsidRPr="00364440" w:rsidRDefault="00D707B6" w:rsidP="00D707B6">
      <w:pPr>
        <w:pBdr>
          <w:top w:val="nil"/>
          <w:left w:val="nil"/>
          <w:bottom w:val="nil"/>
          <w:right w:val="nil"/>
          <w:between w:val="nil"/>
        </w:pBdr>
        <w:ind w:left="720"/>
        <w:rPr>
          <w:rFonts w:ascii="Palatino Linotype" w:eastAsia="Palatino Linotype" w:hAnsi="Palatino Linotype" w:cs="Palatino Linotype"/>
        </w:rPr>
      </w:pPr>
    </w:p>
    <w:p w:rsidR="006556E0" w:rsidRDefault="006556E0" w:rsidP="00D707B6">
      <w:pPr>
        <w:pStyle w:val="Ttulo2"/>
        <w:tabs>
          <w:tab w:val="left" w:pos="426"/>
        </w:tabs>
        <w:rPr>
          <w:rFonts w:ascii="Palatino Linotype" w:hAnsi="Palatino Linotype" w:cs="Arial"/>
          <w:b/>
          <w:color w:val="auto"/>
          <w:sz w:val="24"/>
          <w:szCs w:val="24"/>
        </w:rPr>
      </w:pPr>
      <w:bookmarkStart w:id="5" w:name="_Toc87456489"/>
    </w:p>
    <w:p w:rsidR="00364440" w:rsidRPr="00364440" w:rsidRDefault="00364440" w:rsidP="00364440"/>
    <w:p w:rsidR="00D707B6" w:rsidRPr="00364440" w:rsidRDefault="006556E0" w:rsidP="00D707B6">
      <w:pPr>
        <w:pStyle w:val="Ttulo2"/>
        <w:tabs>
          <w:tab w:val="left" w:pos="426"/>
        </w:tabs>
        <w:rPr>
          <w:rFonts w:ascii="Palatino Linotype" w:hAnsi="Palatino Linotype" w:cs="Arial"/>
          <w:b/>
          <w:color w:val="auto"/>
          <w:sz w:val="24"/>
          <w:szCs w:val="24"/>
        </w:rPr>
      </w:pPr>
      <w:r w:rsidRPr="00364440">
        <w:rPr>
          <w:rFonts w:ascii="Palatino Linotype" w:hAnsi="Palatino Linotype" w:cs="Arial"/>
          <w:b/>
          <w:color w:val="auto"/>
          <w:sz w:val="24"/>
          <w:szCs w:val="24"/>
        </w:rPr>
        <w:lastRenderedPageBreak/>
        <w:t xml:space="preserve"> TERCERO. Causales de Sobreseimiento</w:t>
      </w:r>
      <w:r w:rsidR="00D707B6" w:rsidRPr="00364440">
        <w:rPr>
          <w:rFonts w:ascii="Palatino Linotype" w:hAnsi="Palatino Linotype" w:cs="Arial"/>
          <w:b/>
          <w:color w:val="auto"/>
          <w:sz w:val="24"/>
          <w:szCs w:val="24"/>
        </w:rPr>
        <w:t>.</w:t>
      </w:r>
      <w:bookmarkEnd w:id="5"/>
    </w:p>
    <w:p w:rsidR="005D25FF" w:rsidRPr="00364440" w:rsidRDefault="005D25FF" w:rsidP="005D25FF">
      <w:pPr>
        <w:pStyle w:val="Prrafodelista"/>
        <w:numPr>
          <w:ilvl w:val="0"/>
          <w:numId w:val="2"/>
        </w:numPr>
        <w:tabs>
          <w:tab w:val="left" w:pos="0"/>
          <w:tab w:val="left" w:pos="567"/>
        </w:tabs>
        <w:spacing w:line="360" w:lineRule="auto"/>
        <w:ind w:left="0" w:firstLine="0"/>
        <w:jc w:val="both"/>
        <w:rPr>
          <w:rFonts w:ascii="Palatino Linotype" w:eastAsia="Calibri" w:hAnsi="Palatino Linotype" w:cs="Arial"/>
          <w:color w:val="000000" w:themeColor="text1"/>
          <w:lang w:val="es-ES"/>
        </w:rPr>
      </w:pPr>
      <w:r w:rsidRPr="00364440">
        <w:rPr>
          <w:rFonts w:ascii="Palatino Linotype" w:eastAsia="Calibri" w:hAnsi="Palatino Linotype" w:cs="Arial"/>
          <w:color w:val="000000" w:themeColor="text1"/>
        </w:rPr>
        <w:t xml:space="preserve">El recurso de revisión </w:t>
      </w:r>
      <w:r w:rsidRPr="00364440">
        <w:rPr>
          <w:rFonts w:ascii="Palatino Linotype" w:hAnsi="Palatino Linotype" w:cs="Arial"/>
        </w:rPr>
        <w:t xml:space="preserve">tiene como finalidad reparar cualquier posible afectación al derecho de acceso a la información pública en términos del Título Octavo de la Ley de </w:t>
      </w:r>
      <w:r w:rsidRPr="00364440">
        <w:rPr>
          <w:rFonts w:ascii="Palatino Linotype" w:eastAsia="Calibri" w:hAnsi="Palatino Linotype" w:cs="Arial"/>
        </w:rPr>
        <w:t>Transparencia, Acceso a la Información Pública del Estado de México y Municipios</w:t>
      </w:r>
      <w:r w:rsidRPr="00364440">
        <w:rPr>
          <w:rFonts w:ascii="Palatino Linotype" w:hAnsi="Palatino Linotype" w:cs="Arial"/>
        </w:rPr>
        <w:t xml:space="preserve">, y determinar la confirmación; revocación o modificación; desechamiento o </w:t>
      </w:r>
      <w:r w:rsidRPr="00364440">
        <w:rPr>
          <w:rFonts w:ascii="Palatino Linotype" w:hAnsi="Palatino Linotype" w:cs="Arial"/>
          <w:b/>
          <w:u w:val="single"/>
        </w:rPr>
        <w:t>sobreseimiento</w:t>
      </w:r>
      <w:r w:rsidRPr="00364440">
        <w:rPr>
          <w:rFonts w:ascii="Palatino Linotype" w:hAnsi="Palatino Linotype" w:cs="Arial"/>
        </w:rPr>
        <w:t xml:space="preserve">; y en su caso ordenar la entrega de la información con respecto a la respuesta emitida por el </w:t>
      </w:r>
      <w:r w:rsidRPr="00364440">
        <w:rPr>
          <w:rFonts w:ascii="Palatino Linotype" w:hAnsi="Palatino Linotype" w:cs="Arial"/>
          <w:b/>
        </w:rPr>
        <w:t>SUJETO</w:t>
      </w:r>
      <w:r w:rsidRPr="00364440">
        <w:rPr>
          <w:rFonts w:ascii="Palatino Linotype" w:hAnsi="Palatino Linotype" w:cs="Arial"/>
        </w:rPr>
        <w:t xml:space="preserve"> </w:t>
      </w:r>
      <w:r w:rsidRPr="00364440">
        <w:rPr>
          <w:rFonts w:ascii="Palatino Linotype" w:hAnsi="Palatino Linotype" w:cs="Arial"/>
          <w:b/>
        </w:rPr>
        <w:t>OBLIGADO</w:t>
      </w:r>
      <w:r w:rsidRPr="00364440">
        <w:rPr>
          <w:rFonts w:ascii="Palatino Linotype" w:hAnsi="Palatino Linotype" w:cs="Arial"/>
        </w:rPr>
        <w:t>.</w:t>
      </w:r>
    </w:p>
    <w:p w:rsidR="00D707B6" w:rsidRPr="00364440" w:rsidRDefault="00D707B6" w:rsidP="00D707B6">
      <w:pPr>
        <w:pStyle w:val="Prrafodelista"/>
        <w:spacing w:line="360" w:lineRule="auto"/>
        <w:ind w:left="0"/>
        <w:jc w:val="both"/>
        <w:rPr>
          <w:rFonts w:ascii="Palatino Linotype" w:eastAsia="Calibri" w:hAnsi="Palatino Linotype" w:cs="Arial"/>
        </w:rPr>
      </w:pPr>
    </w:p>
    <w:p w:rsidR="00D707B6" w:rsidRPr="00364440" w:rsidRDefault="00D707B6" w:rsidP="00D707B6">
      <w:pPr>
        <w:pStyle w:val="Prrafodelista"/>
        <w:numPr>
          <w:ilvl w:val="0"/>
          <w:numId w:val="2"/>
        </w:numPr>
        <w:spacing w:line="360" w:lineRule="auto"/>
        <w:ind w:left="0" w:firstLine="0"/>
        <w:jc w:val="both"/>
        <w:rPr>
          <w:rFonts w:ascii="Palatino Linotype" w:eastAsia="Calibri" w:hAnsi="Palatino Linotype" w:cs="Arial"/>
        </w:rPr>
      </w:pPr>
      <w:r w:rsidRPr="00364440">
        <w:rPr>
          <w:rFonts w:ascii="Palatino Linotype" w:eastAsia="Palatino Linotype" w:hAnsi="Palatino Linotype" w:cs="Palatino Linotype"/>
        </w:rPr>
        <w:t xml:space="preserve">En el presente caso, el Recurrente solicitó </w:t>
      </w:r>
      <w:r w:rsidR="000D78FC" w:rsidRPr="00364440">
        <w:rPr>
          <w:rFonts w:ascii="Palatino Linotype" w:eastAsia="Palatino Linotype" w:hAnsi="Palatino Linotype" w:cs="Palatino Linotype"/>
        </w:rPr>
        <w:t>los documentos de las observaciones, recomendaciones o pliegos de observaciones emitidos por el OSFEM, la Contraloría del Estado de México u otro Órgano fiscalizador relacionado con el ejercicio del gasto del mes de diciembre de dos mil veinticinco.</w:t>
      </w:r>
    </w:p>
    <w:p w:rsidR="00D707B6" w:rsidRPr="00364440" w:rsidRDefault="00D707B6" w:rsidP="00D707B6">
      <w:pPr>
        <w:pStyle w:val="Prrafodelista"/>
        <w:spacing w:line="360" w:lineRule="auto"/>
        <w:ind w:left="0"/>
        <w:jc w:val="both"/>
        <w:rPr>
          <w:rFonts w:ascii="Palatino Linotype" w:eastAsia="Palatino Linotype" w:hAnsi="Palatino Linotype" w:cs="Palatino Linotype"/>
          <w:b/>
        </w:rPr>
      </w:pPr>
    </w:p>
    <w:p w:rsidR="00D707B6" w:rsidRPr="00364440" w:rsidRDefault="00D707B6" w:rsidP="00D707B6">
      <w:pPr>
        <w:pStyle w:val="Prrafodelista"/>
        <w:numPr>
          <w:ilvl w:val="0"/>
          <w:numId w:val="2"/>
        </w:numPr>
        <w:spacing w:line="360" w:lineRule="auto"/>
        <w:ind w:left="0" w:firstLine="0"/>
        <w:jc w:val="both"/>
        <w:rPr>
          <w:rFonts w:ascii="Palatino Linotype" w:eastAsia="MS Mincho" w:hAnsi="Palatino Linotype"/>
        </w:rPr>
      </w:pPr>
      <w:r w:rsidRPr="00364440">
        <w:rPr>
          <w:rFonts w:ascii="Palatino Linotype" w:eastAsia="MS Mincho" w:hAnsi="Palatino Linotype"/>
        </w:rPr>
        <w:t xml:space="preserve">Debemos mencionar que el acceso a la información es un derecho humano constitucional y convencionalmente reconocido y para tal efecto </w:t>
      </w:r>
      <w:r w:rsidRPr="00364440">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364440">
        <w:rPr>
          <w:rFonts w:ascii="Palatino Linotype" w:eastAsia="Calibri" w:hAnsi="Palatino Linotype"/>
          <w:i/>
          <w:lang w:val="es-ES"/>
        </w:rPr>
        <w:t xml:space="preserve">en el ámbito de sus atribuciones, de promover, respetar, proteger y </w:t>
      </w:r>
      <w:r w:rsidRPr="00364440">
        <w:rPr>
          <w:rFonts w:ascii="Palatino Linotype" w:eastAsia="Calibri" w:hAnsi="Palatino Linotype"/>
          <w:b/>
          <w:i/>
          <w:lang w:val="es-ES"/>
        </w:rPr>
        <w:t>garantizar</w:t>
      </w:r>
      <w:r w:rsidRPr="00364440">
        <w:rPr>
          <w:rFonts w:ascii="Palatino Linotype" w:eastAsia="Calibri" w:hAnsi="Palatino Linotype"/>
          <w:i/>
          <w:lang w:val="es-ES"/>
        </w:rPr>
        <w:t xml:space="preserve"> los derechos humanos. </w:t>
      </w:r>
      <w:r w:rsidRPr="00364440">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36444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64440">
        <w:rPr>
          <w:rStyle w:val="Refdenotaalpie"/>
          <w:rFonts w:ascii="Palatino Linotype" w:hAnsi="Palatino Linotype"/>
          <w:i/>
        </w:rPr>
        <w:footnoteReference w:id="1"/>
      </w:r>
      <w:r w:rsidRPr="00364440">
        <w:rPr>
          <w:rFonts w:ascii="Palatino Linotype" w:hAnsi="Palatino Linotype"/>
          <w:i/>
        </w:rPr>
        <w:t xml:space="preserve">, </w:t>
      </w:r>
      <w:r w:rsidRPr="00364440">
        <w:rPr>
          <w:rFonts w:ascii="Palatino Linotype" w:hAnsi="Palatino Linotype"/>
        </w:rPr>
        <w:t>asimismo establece</w:t>
      </w:r>
      <w:r w:rsidRPr="00364440">
        <w:rPr>
          <w:rFonts w:ascii="Palatino Linotype" w:hAnsi="Palatino Linotype"/>
          <w:i/>
        </w:rPr>
        <w:t xml:space="preserve"> que las unidades de transparencia de los Sujetos Obligados deberán garantizar las medidas y </w:t>
      </w:r>
      <w:r w:rsidRPr="00364440">
        <w:rPr>
          <w:rFonts w:ascii="Palatino Linotype" w:hAnsi="Palatino Linotype"/>
          <w:i/>
        </w:rPr>
        <w:lastRenderedPageBreak/>
        <w:t>condiciones de accesibilidad para que toda persona pueda ejercer el derecho de acceso a la información, mediante solicitudes de información y deberá apoyar al solicitante en la elaboración de las mismas.</w:t>
      </w:r>
    </w:p>
    <w:p w:rsidR="00D707B6" w:rsidRPr="00364440" w:rsidRDefault="00D707B6" w:rsidP="00D707B6">
      <w:pPr>
        <w:pStyle w:val="Prrafodelista"/>
        <w:ind w:left="0"/>
        <w:rPr>
          <w:rFonts w:ascii="Palatino Linotype" w:eastAsia="Calibri" w:hAnsi="Palatino Linotype" w:cs="Arial"/>
        </w:rPr>
      </w:pPr>
    </w:p>
    <w:p w:rsidR="00D707B6" w:rsidRPr="00364440" w:rsidRDefault="00D707B6" w:rsidP="00D707B6">
      <w:pPr>
        <w:pStyle w:val="Prrafodelista"/>
        <w:numPr>
          <w:ilvl w:val="0"/>
          <w:numId w:val="2"/>
        </w:numPr>
        <w:spacing w:line="360" w:lineRule="auto"/>
        <w:ind w:left="0" w:firstLine="0"/>
        <w:jc w:val="both"/>
        <w:rPr>
          <w:rFonts w:ascii="Palatino Linotype" w:eastAsia="Calibri" w:hAnsi="Palatino Linotype" w:cs="Arial"/>
        </w:rPr>
      </w:pPr>
      <w:r w:rsidRPr="00364440">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D707B6" w:rsidRPr="00364440" w:rsidRDefault="00D707B6" w:rsidP="00D707B6">
      <w:pPr>
        <w:pStyle w:val="Prrafodelista"/>
        <w:ind w:left="0"/>
        <w:rPr>
          <w:rFonts w:ascii="Palatino Linotype" w:hAnsi="Palatino Linotype"/>
        </w:rPr>
      </w:pPr>
    </w:p>
    <w:p w:rsidR="00D707B6" w:rsidRPr="00364440" w:rsidRDefault="00D707B6" w:rsidP="00D707B6">
      <w:pPr>
        <w:pStyle w:val="Prrafodelista"/>
        <w:numPr>
          <w:ilvl w:val="0"/>
          <w:numId w:val="2"/>
        </w:numPr>
        <w:spacing w:line="360" w:lineRule="auto"/>
        <w:ind w:left="0" w:firstLine="0"/>
        <w:jc w:val="both"/>
        <w:rPr>
          <w:rFonts w:ascii="Palatino Linotype" w:eastAsia="Calibri" w:hAnsi="Palatino Linotype" w:cs="Arial"/>
        </w:rPr>
      </w:pPr>
      <w:r w:rsidRPr="00364440">
        <w:rPr>
          <w:rFonts w:ascii="Palatino Linotype" w:hAnsi="Palatino Linotype"/>
        </w:rPr>
        <w:t xml:space="preserve">Es así que, su obligación es </w:t>
      </w:r>
      <w:r w:rsidRPr="00364440">
        <w:rPr>
          <w:rFonts w:ascii="Palatino Linotype" w:hAnsi="Palatino Linotype"/>
          <w:i/>
        </w:rPr>
        <w:t>realizar, con efectividad, los trámites internos necesarios para la atención de las solicitudes de información</w:t>
      </w:r>
      <w:r w:rsidRPr="00364440">
        <w:rPr>
          <w:rStyle w:val="Refdenotaalpie"/>
          <w:rFonts w:ascii="Palatino Linotype" w:hAnsi="Palatino Linotype"/>
        </w:rPr>
        <w:footnoteReference w:id="2"/>
      </w:r>
      <w:r w:rsidRPr="00364440">
        <w:rPr>
          <w:rFonts w:ascii="Palatino Linotype" w:hAnsi="Palatino Linotype"/>
        </w:rPr>
        <w:t>, es decir, deben otorgar respuestas concisas, contundentes y sobre todo que den la certeza de los actos que realizan.</w:t>
      </w:r>
    </w:p>
    <w:p w:rsidR="00D707B6" w:rsidRPr="00364440" w:rsidRDefault="00D707B6" w:rsidP="00D707B6">
      <w:pPr>
        <w:pStyle w:val="Prrafodelista"/>
        <w:ind w:left="0"/>
        <w:rPr>
          <w:rFonts w:ascii="Palatino Linotype" w:eastAsia="Calibri" w:hAnsi="Palatino Linotype" w:cs="Arial"/>
        </w:rPr>
      </w:pPr>
    </w:p>
    <w:p w:rsidR="00D707B6" w:rsidRPr="00364440" w:rsidRDefault="00D707B6" w:rsidP="00D707B6">
      <w:pPr>
        <w:pStyle w:val="Prrafodelista"/>
        <w:numPr>
          <w:ilvl w:val="0"/>
          <w:numId w:val="2"/>
        </w:numPr>
        <w:spacing w:line="360" w:lineRule="auto"/>
        <w:ind w:left="0" w:firstLine="0"/>
        <w:jc w:val="both"/>
        <w:rPr>
          <w:rFonts w:ascii="Palatino Linotype" w:eastAsia="MS Mincho" w:hAnsi="Palatino Linotype"/>
        </w:rPr>
      </w:pPr>
      <w:r w:rsidRPr="00364440">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364440">
        <w:rPr>
          <w:rFonts w:ascii="Palatino Linotype" w:eastAsia="Arial Unicode MS" w:hAnsi="Palatino Linotype" w:cs="Arial"/>
          <w:lang w:eastAsia="en-US"/>
        </w:rPr>
        <w:t>de la Ley de Transparencia y Acceso a la Información del Estado de México y Municipios, que a la letra estipulan lo siguiente:</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i/>
          <w:iCs/>
        </w:rPr>
        <w:t xml:space="preserve">Artículo 50. </w:t>
      </w:r>
      <w:r w:rsidRPr="00364440">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D707B6" w:rsidRPr="00364440" w:rsidRDefault="00D707B6" w:rsidP="00D707B6">
      <w:pPr>
        <w:ind w:left="567" w:right="616"/>
        <w:jc w:val="both"/>
        <w:rPr>
          <w:rFonts w:ascii="Palatino Linotype" w:eastAsia="Palatino Linotype" w:hAnsi="Palatino Linotype" w:cs="Palatino Linotype"/>
          <w:i/>
          <w:iCs/>
        </w:rPr>
      </w:pP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i/>
          <w:iCs/>
        </w:rPr>
        <w:t xml:space="preserve">Artículo 53. </w:t>
      </w:r>
      <w:r w:rsidRPr="00364440">
        <w:rPr>
          <w:rFonts w:ascii="Palatino Linotype" w:eastAsia="Palatino Linotype" w:hAnsi="Palatino Linotype" w:cs="Palatino Linotype"/>
          <w:i/>
          <w:iCs/>
        </w:rPr>
        <w:t>Las Unidades de Transparencia tendrán las siguientes funciones:</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i/>
          <w:iCs/>
        </w:rPr>
        <w:t>(…)</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bCs/>
          <w:i/>
          <w:iCs/>
        </w:rPr>
        <w:t>II.</w:t>
      </w:r>
      <w:r w:rsidRPr="00364440">
        <w:rPr>
          <w:rFonts w:ascii="Palatino Linotype" w:eastAsia="Palatino Linotype" w:hAnsi="Palatino Linotype" w:cs="Palatino Linotype"/>
          <w:i/>
          <w:iCs/>
        </w:rPr>
        <w:t xml:space="preserve"> Recibir, tramitar y dar respuesta a las solicitudes de acceso a la información;</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i/>
          <w:iCs/>
        </w:rPr>
        <w:t>(…)</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bCs/>
          <w:i/>
          <w:iCs/>
        </w:rPr>
        <w:lastRenderedPageBreak/>
        <w:t>IV.</w:t>
      </w:r>
      <w:r w:rsidRPr="00364440">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bCs/>
          <w:i/>
          <w:iCs/>
        </w:rPr>
        <w:t>V.</w:t>
      </w:r>
      <w:r w:rsidRPr="00364440">
        <w:rPr>
          <w:rFonts w:ascii="Palatino Linotype" w:eastAsia="Palatino Linotype" w:hAnsi="Palatino Linotype" w:cs="Palatino Linotype"/>
          <w:i/>
          <w:iCs/>
        </w:rPr>
        <w:t xml:space="preserve"> Entregar, en su caso, a los particulares la información solicitada;</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i/>
          <w:iCs/>
        </w:rPr>
        <w:t>(…)</w:t>
      </w:r>
    </w:p>
    <w:p w:rsidR="00D707B6" w:rsidRPr="00364440" w:rsidRDefault="00D707B6" w:rsidP="00D707B6">
      <w:pPr>
        <w:ind w:left="567" w:right="616"/>
        <w:jc w:val="both"/>
        <w:rPr>
          <w:rFonts w:ascii="Palatino Linotype" w:eastAsia="Palatino Linotype" w:hAnsi="Palatino Linotype" w:cs="Palatino Linotype"/>
          <w:i/>
          <w:iCs/>
        </w:rPr>
      </w:pP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i/>
          <w:iCs/>
        </w:rPr>
        <w:t xml:space="preserve">Artículo 58. </w:t>
      </w:r>
      <w:r w:rsidRPr="00364440">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D707B6" w:rsidRPr="00364440" w:rsidRDefault="00D707B6" w:rsidP="00D707B6">
      <w:pPr>
        <w:ind w:left="567" w:right="616"/>
        <w:jc w:val="both"/>
        <w:rPr>
          <w:rFonts w:ascii="Palatino Linotype" w:eastAsia="Palatino Linotype" w:hAnsi="Palatino Linotype" w:cs="Palatino Linotype"/>
          <w:i/>
          <w:iCs/>
        </w:rPr>
      </w:pP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i/>
          <w:iCs/>
        </w:rPr>
        <w:t xml:space="preserve">Artículo 59. </w:t>
      </w:r>
      <w:r w:rsidRPr="00364440">
        <w:rPr>
          <w:rFonts w:ascii="Palatino Linotype" w:eastAsia="Palatino Linotype" w:hAnsi="Palatino Linotype" w:cs="Palatino Linotype"/>
          <w:i/>
          <w:iCs/>
        </w:rPr>
        <w:t>Los servidores públicos habilitados tendrán las funciones siguientes:</w:t>
      </w:r>
    </w:p>
    <w:p w:rsidR="00D707B6" w:rsidRPr="00364440" w:rsidRDefault="00D707B6" w:rsidP="00D707B6">
      <w:pPr>
        <w:ind w:left="567" w:right="616"/>
        <w:jc w:val="both"/>
        <w:rPr>
          <w:rFonts w:ascii="Palatino Linotype" w:eastAsia="Palatino Linotype" w:hAnsi="Palatino Linotype" w:cs="Palatino Linotype"/>
          <w:i/>
          <w:iCs/>
        </w:rPr>
      </w:pP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bCs/>
          <w:i/>
          <w:iCs/>
        </w:rPr>
        <w:t>I.</w:t>
      </w:r>
      <w:r w:rsidRPr="00364440">
        <w:rPr>
          <w:rFonts w:ascii="Palatino Linotype" w:eastAsia="Palatino Linotype" w:hAnsi="Palatino Linotype" w:cs="Palatino Linotype"/>
          <w:i/>
          <w:iCs/>
        </w:rPr>
        <w:t xml:space="preserve"> Localizar la información que le solicite la Unidad de Transparencia;</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bCs/>
          <w:i/>
          <w:iCs/>
        </w:rPr>
        <w:t>II.</w:t>
      </w:r>
      <w:r w:rsidRPr="00364440">
        <w:rPr>
          <w:rFonts w:ascii="Palatino Linotype" w:eastAsia="Palatino Linotype" w:hAnsi="Palatino Linotype" w:cs="Palatino Linotype"/>
          <w:i/>
          <w:iCs/>
        </w:rPr>
        <w:t xml:space="preserve"> Proporcionar la información que obre en los archivos y que le sea solicitada por la Unidad de Transparencia;</w:t>
      </w: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i/>
          <w:iCs/>
        </w:rPr>
        <w:t>(...)</w:t>
      </w:r>
    </w:p>
    <w:p w:rsidR="00D707B6" w:rsidRPr="00364440" w:rsidRDefault="00D707B6" w:rsidP="00D707B6">
      <w:pPr>
        <w:ind w:left="567" w:right="616"/>
        <w:jc w:val="both"/>
        <w:rPr>
          <w:rFonts w:ascii="Palatino Linotype" w:eastAsia="Palatino Linotype" w:hAnsi="Palatino Linotype" w:cs="Palatino Linotype"/>
          <w:i/>
          <w:iCs/>
        </w:rPr>
      </w:pPr>
    </w:p>
    <w:p w:rsidR="00D707B6" w:rsidRPr="00364440" w:rsidRDefault="00D707B6" w:rsidP="00D707B6">
      <w:pPr>
        <w:ind w:left="567" w:right="616"/>
        <w:jc w:val="both"/>
        <w:rPr>
          <w:rFonts w:ascii="Palatino Linotype" w:eastAsia="Palatino Linotype" w:hAnsi="Palatino Linotype" w:cs="Palatino Linotype"/>
          <w:i/>
          <w:iCs/>
        </w:rPr>
      </w:pPr>
      <w:r w:rsidRPr="00364440">
        <w:rPr>
          <w:rFonts w:ascii="Palatino Linotype" w:eastAsia="Palatino Linotype" w:hAnsi="Palatino Linotype" w:cs="Palatino Linotype"/>
          <w:b/>
          <w:i/>
          <w:iCs/>
        </w:rPr>
        <w:t xml:space="preserve">Artículo 162. </w:t>
      </w:r>
      <w:r w:rsidRPr="00364440">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707B6" w:rsidRPr="00364440" w:rsidRDefault="00D707B6" w:rsidP="00D707B6">
      <w:pPr>
        <w:spacing w:line="360" w:lineRule="auto"/>
        <w:jc w:val="both"/>
        <w:rPr>
          <w:rFonts w:ascii="Palatino Linotype" w:eastAsia="Palatino Linotype" w:hAnsi="Palatino Linotype" w:cs="Palatino Linotype"/>
        </w:rPr>
      </w:pPr>
    </w:p>
    <w:p w:rsidR="00D707B6" w:rsidRPr="00364440" w:rsidRDefault="00D707B6" w:rsidP="00D707B6">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64440">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364440">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D707B6" w:rsidRPr="00364440" w:rsidRDefault="00D707B6" w:rsidP="00D707B6">
      <w:pPr>
        <w:pStyle w:val="Prrafodelista"/>
        <w:spacing w:line="360" w:lineRule="auto"/>
        <w:ind w:left="0"/>
        <w:jc w:val="both"/>
        <w:rPr>
          <w:rFonts w:ascii="Palatino Linotype" w:eastAsia="Arial Unicode MS" w:hAnsi="Palatino Linotype" w:cs="Arial"/>
          <w:lang w:eastAsia="en-US"/>
        </w:rPr>
      </w:pPr>
    </w:p>
    <w:p w:rsidR="00D707B6" w:rsidRPr="00364440" w:rsidRDefault="00D707B6" w:rsidP="00D707B6">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64440">
        <w:rPr>
          <w:rFonts w:ascii="Palatino Linotype" w:eastAsia="Arial Unicode MS" w:hAnsi="Palatino Linotype" w:cs="Arial"/>
          <w:lang w:eastAsia="en-US"/>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D707B6" w:rsidRPr="00364440" w:rsidRDefault="00D707B6" w:rsidP="00D707B6">
      <w:pPr>
        <w:pStyle w:val="Prrafodelista"/>
        <w:ind w:left="0"/>
        <w:rPr>
          <w:rFonts w:ascii="Palatino Linotype" w:eastAsia="Arial Unicode MS" w:hAnsi="Palatino Linotype" w:cs="Arial"/>
          <w:lang w:eastAsia="en-US"/>
        </w:rPr>
      </w:pPr>
    </w:p>
    <w:p w:rsidR="00D707B6" w:rsidRPr="00364440" w:rsidRDefault="00D707B6" w:rsidP="00D707B6">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64440">
        <w:rPr>
          <w:rFonts w:ascii="Palatino Linotype" w:eastAsia="Arial Unicode MS" w:hAnsi="Palatino Linotype" w:cs="Arial"/>
          <w:lang w:eastAsia="en-US"/>
        </w:rPr>
        <w:t xml:space="preserve">En el caso que se resuelve, la </w:t>
      </w:r>
      <w:r w:rsidR="00E84C01" w:rsidRPr="00364440">
        <w:rPr>
          <w:rFonts w:ascii="Palatino Linotype" w:eastAsia="Arial Unicode MS" w:hAnsi="Palatino Linotype" w:cs="Arial"/>
          <w:lang w:eastAsia="en-US"/>
        </w:rPr>
        <w:t xml:space="preserve">respuesta fue emitida por la Dirección de Administración y Finanzas quien de acuerdo al artículo 48 del Bando Municipal de Tepotzotlán es el único órgano encargado de la recaudación de los ingresos municipales y responsable de realizar las erogaciones que lleve a cabo el Ayuntamiento, </w:t>
      </w:r>
      <w:r w:rsidR="005D25FF" w:rsidRPr="00364440">
        <w:rPr>
          <w:rFonts w:ascii="Palatino Linotype" w:eastAsia="Arial Unicode MS" w:hAnsi="Palatino Linotype" w:cs="Arial"/>
          <w:lang w:eastAsia="en-US"/>
        </w:rPr>
        <w:t>es decir, que es el área que de acuerdo a sus funciones puede poseer o administrar la información solicitada, sin embargo, también puede conocer de la información la Contraloría Municipal o en su caso el Presidente Municipal por ser el representante legal del Ayuntamiento. Por lo tanto, no se acredita el proceso de búsqueda establecido en la legislación señalada, ya que no se turnó a todas las áreas que de acuerdo a sus facultades y atribuciones genera, posee o administra la información solicitada.</w:t>
      </w:r>
    </w:p>
    <w:p w:rsidR="005D25FF" w:rsidRPr="00364440" w:rsidRDefault="005D25FF" w:rsidP="005D25FF">
      <w:pPr>
        <w:pStyle w:val="Prrafodelista"/>
        <w:rPr>
          <w:rFonts w:ascii="Palatino Linotype" w:eastAsia="Arial Unicode MS" w:hAnsi="Palatino Linotype" w:cs="Arial"/>
          <w:lang w:eastAsia="en-US"/>
        </w:rPr>
      </w:pPr>
    </w:p>
    <w:p w:rsidR="006556E0" w:rsidRPr="00364440" w:rsidRDefault="005D25FF" w:rsidP="006556E0">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64440">
        <w:rPr>
          <w:rFonts w:ascii="Palatino Linotype" w:eastAsia="Arial Unicode MS" w:hAnsi="Palatino Linotype" w:cs="Arial"/>
          <w:lang w:eastAsia="en-US"/>
        </w:rPr>
        <w:t xml:space="preserve">No obstante a lo anterior, debemos recordar que el Recurrente solicitó información sobre las observaciones del mes de diciembre de 2025 y la solicitud se presentó el dieciocho de diciembre del mismo año; al respecto, conviene traer a contexto el artículo </w:t>
      </w:r>
      <w:r w:rsidR="0008518D" w:rsidRPr="00364440">
        <w:rPr>
          <w:rFonts w:ascii="Palatino Linotype" w:eastAsia="Arial Unicode MS" w:hAnsi="Palatino Linotype" w:cs="Arial"/>
          <w:lang w:eastAsia="en-US"/>
        </w:rPr>
        <w:t>350 DEL Código Financiero del Estado de México y Municipios, que establece:</w:t>
      </w:r>
    </w:p>
    <w:p w:rsidR="0008518D" w:rsidRPr="00364440" w:rsidRDefault="0008518D" w:rsidP="0008518D">
      <w:pPr>
        <w:pStyle w:val="Prrafodelista"/>
        <w:rPr>
          <w:rFonts w:ascii="Palatino Linotype" w:eastAsia="Arial Unicode MS" w:hAnsi="Palatino Linotype" w:cs="Arial"/>
          <w:lang w:eastAsia="en-US"/>
        </w:rPr>
      </w:pP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 xml:space="preserve">“Artículo 350.- La Secretaría y las tesorerías enviarán al Órgano Superior, de manera trimestral, dentro de los primeros veinte días hábiles posteriores al término del trimestre que se informa, para su análisis, la siguiente información: </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 xml:space="preserve">I. Patrimonial. </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 xml:space="preserve">II. Presupuestal. </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III. De la obra pública.</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lastRenderedPageBreak/>
        <w:t xml:space="preserve">IV. De nómina. </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 xml:space="preserve">V. Avance del cumplimiento del Plan de Desarrollo del Estado de México.  </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 xml:space="preserve">Los informes trimestrales deberán contener la evolución de las finanzas públicas integradas con los comentarios correspondientes y los estados financieros consolidados, así como un reporte de los ingresos y egresos de los organismos auxiliares.  </w:t>
      </w:r>
    </w:p>
    <w:p w:rsidR="0008518D" w:rsidRPr="00364440" w:rsidRDefault="0008518D" w:rsidP="0008518D">
      <w:pPr>
        <w:pStyle w:val="Prrafodelista"/>
        <w:spacing w:line="360" w:lineRule="auto"/>
        <w:ind w:left="851" w:right="822"/>
        <w:jc w:val="both"/>
        <w:rPr>
          <w:rFonts w:ascii="Palatino Linotype" w:eastAsia="Arial Unicode MS" w:hAnsi="Palatino Linotype" w:cs="Arial"/>
          <w:i/>
          <w:lang w:eastAsia="en-US"/>
        </w:rPr>
      </w:pPr>
      <w:r w:rsidRPr="00364440">
        <w:rPr>
          <w:rFonts w:ascii="Palatino Linotype" w:eastAsia="Arial Unicode MS" w:hAnsi="Palatino Linotype" w:cs="Arial"/>
          <w:i/>
          <w:lang w:eastAsia="en-US"/>
        </w:rPr>
        <w:t>El informe trimestral correspondiente al cuarto trimestre se entregará junto con las Cuentas Públicas del ejercicio fiscal de que se trate.”</w:t>
      </w:r>
    </w:p>
    <w:p w:rsidR="006556E0" w:rsidRPr="00364440" w:rsidRDefault="006556E0" w:rsidP="006556E0">
      <w:pPr>
        <w:pStyle w:val="Prrafodelista"/>
        <w:rPr>
          <w:rFonts w:ascii="Palatino Linotype" w:hAnsi="Palatino Linotype" w:cs="Arial"/>
          <w:bCs/>
        </w:rPr>
      </w:pPr>
    </w:p>
    <w:p w:rsidR="006556E0" w:rsidRPr="00364440" w:rsidRDefault="0008518D" w:rsidP="006556E0">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64440">
        <w:rPr>
          <w:rFonts w:ascii="Palatino Linotype" w:eastAsia="Arial Unicode MS" w:hAnsi="Palatino Linotype" w:cs="Arial"/>
          <w:lang w:eastAsia="en-US"/>
        </w:rPr>
        <w:t xml:space="preserve">En relación al artículo señalado, se advierte que a la fecha de la solicitud aún no se entregaban los informes trimestrales al Órgano Superior de Fiscalización del Estado de México correspondientes al mes de diciembre de 2025, por lo tanto, a la fecha de la solicitud no pueden obrar información referente a las observaciones de los gastos realizados en la temporalidad solicitada. </w:t>
      </w:r>
    </w:p>
    <w:p w:rsidR="006556E0" w:rsidRPr="00364440" w:rsidRDefault="006556E0" w:rsidP="0008518D">
      <w:pPr>
        <w:pStyle w:val="Prrafodelista"/>
        <w:spacing w:line="360" w:lineRule="auto"/>
        <w:ind w:left="0"/>
        <w:jc w:val="both"/>
        <w:rPr>
          <w:rFonts w:ascii="Palatino Linotype" w:eastAsia="Arial Unicode MS" w:hAnsi="Palatino Linotype" w:cs="Arial"/>
          <w:lang w:eastAsia="en-US"/>
        </w:rPr>
      </w:pPr>
    </w:p>
    <w:p w:rsidR="005D25FF" w:rsidRPr="00364440" w:rsidRDefault="005D25FF" w:rsidP="006556E0">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64440">
        <w:rPr>
          <w:rFonts w:ascii="Palatino Linotype" w:eastAsia="Palatino Linotype" w:hAnsi="Palatino Linotype" w:cs="Palatino Linotype"/>
        </w:rPr>
        <w:t xml:space="preserve">Por lo tanto, en virtud de los argumentos expuestos con anterioridad así como del análisis realizado, </w:t>
      </w:r>
      <w:r w:rsidR="0008518D" w:rsidRPr="00364440">
        <w:rPr>
          <w:rFonts w:ascii="Palatino Linotype" w:eastAsia="Palatino Linotype" w:hAnsi="Palatino Linotype" w:cs="Palatino Linotype"/>
        </w:rPr>
        <w:t xml:space="preserve">si bien se advierte que no se realizó una búsqueda exhaustiva, también lo es que no es </w:t>
      </w:r>
      <w:r w:rsidR="00D605A2" w:rsidRPr="00364440">
        <w:rPr>
          <w:rFonts w:ascii="Palatino Linotype" w:eastAsia="Palatino Linotype" w:hAnsi="Palatino Linotype" w:cs="Palatino Linotype"/>
        </w:rPr>
        <w:t xml:space="preserve">dable </w:t>
      </w:r>
      <w:r w:rsidR="0008518D" w:rsidRPr="00364440">
        <w:rPr>
          <w:rFonts w:ascii="Palatino Linotype" w:eastAsia="Palatino Linotype" w:hAnsi="Palatino Linotype" w:cs="Palatino Linotype"/>
        </w:rPr>
        <w:t xml:space="preserve">ordenar la información solicitada, por lo tanto, </w:t>
      </w:r>
      <w:r w:rsidRPr="00364440">
        <w:rPr>
          <w:rFonts w:ascii="Palatino Linotype" w:eastAsia="Palatino Linotype" w:hAnsi="Palatino Linotype" w:cs="Palatino Linotype"/>
        </w:rPr>
        <w:t xml:space="preserve">se determina </w:t>
      </w:r>
      <w:r w:rsidR="0008518D" w:rsidRPr="00364440">
        <w:rPr>
          <w:rFonts w:ascii="Palatino Linotype" w:eastAsia="Palatino Linotype" w:hAnsi="Palatino Linotype" w:cs="Palatino Linotype"/>
        </w:rPr>
        <w:t xml:space="preserve">procedente </w:t>
      </w:r>
      <w:r w:rsidRPr="00364440">
        <w:rPr>
          <w:rFonts w:ascii="Palatino Linotype" w:eastAsia="Palatino Linotype" w:hAnsi="Palatino Linotype" w:cs="Palatino Linotype"/>
          <w:i/>
        </w:rPr>
        <w:t xml:space="preserve">sobreseer </w:t>
      </w:r>
      <w:r w:rsidRPr="00364440">
        <w:rPr>
          <w:rFonts w:ascii="Palatino Linotype" w:eastAsia="Palatino Linotype" w:hAnsi="Palatino Linotype" w:cs="Palatino Linotype"/>
        </w:rPr>
        <w:t>el presente recurso de revisión por actualizarse la causal de sobreseimiento prevista en la fracción V del artículo 192 de la Ley de Transparencia y Acceso a la Información Pública del Estado de México y Municipios, el que se transcribe a continuación, para un mejor entendimiento:</w:t>
      </w:r>
    </w:p>
    <w:p w:rsidR="005D25FF" w:rsidRPr="00364440" w:rsidRDefault="005D25FF" w:rsidP="005D25FF">
      <w:pPr>
        <w:ind w:right="1"/>
        <w:jc w:val="both"/>
        <w:rPr>
          <w:rFonts w:ascii="Palatino Linotype" w:eastAsia="Palatino Linotype" w:hAnsi="Palatino Linotype" w:cs="Palatino Linotype"/>
        </w:rPr>
      </w:pPr>
    </w:p>
    <w:p w:rsidR="005D25FF" w:rsidRPr="00364440" w:rsidRDefault="005D25FF" w:rsidP="005D25FF">
      <w:pPr>
        <w:tabs>
          <w:tab w:val="left" w:pos="7938"/>
        </w:tabs>
        <w:spacing w:before="120" w:after="120"/>
        <w:ind w:left="567" w:right="567"/>
        <w:jc w:val="both"/>
        <w:rPr>
          <w:rFonts w:ascii="Palatino Linotype" w:eastAsia="Palatino Linotype" w:hAnsi="Palatino Linotype" w:cs="Palatino Linotype"/>
          <w:i/>
        </w:rPr>
      </w:pPr>
      <w:r w:rsidRPr="00364440">
        <w:rPr>
          <w:rFonts w:ascii="Palatino Linotype" w:eastAsia="Palatino Linotype" w:hAnsi="Palatino Linotype" w:cs="Palatino Linotype"/>
          <w:i/>
        </w:rPr>
        <w:t>“</w:t>
      </w:r>
      <w:r w:rsidRPr="00364440">
        <w:rPr>
          <w:rFonts w:ascii="Palatino Linotype" w:eastAsia="Palatino Linotype" w:hAnsi="Palatino Linotype" w:cs="Palatino Linotype"/>
          <w:b/>
          <w:i/>
        </w:rPr>
        <w:t>Artículo 192.</w:t>
      </w:r>
      <w:r w:rsidRPr="00364440">
        <w:rPr>
          <w:rFonts w:ascii="Palatino Linotype" w:eastAsia="Palatino Linotype" w:hAnsi="Palatino Linotype" w:cs="Palatino Linotype"/>
          <w:i/>
        </w:rPr>
        <w:t xml:space="preserve"> El recurso será sobreseído, en todo o en parte, cuando una vez admitido, se actualicen alguno de los siguientes supuestos:</w:t>
      </w:r>
    </w:p>
    <w:p w:rsidR="005D25FF" w:rsidRPr="00364440" w:rsidRDefault="005D25FF" w:rsidP="005D25FF">
      <w:pPr>
        <w:tabs>
          <w:tab w:val="left" w:pos="7938"/>
        </w:tabs>
        <w:spacing w:before="120" w:after="120"/>
        <w:ind w:left="567" w:right="567"/>
        <w:jc w:val="both"/>
        <w:rPr>
          <w:rFonts w:ascii="Palatino Linotype" w:eastAsia="Palatino Linotype" w:hAnsi="Palatino Linotype" w:cs="Palatino Linotype"/>
          <w:i/>
        </w:rPr>
      </w:pPr>
      <w:r w:rsidRPr="00364440">
        <w:rPr>
          <w:rFonts w:ascii="Palatino Linotype" w:eastAsia="Palatino Linotype" w:hAnsi="Palatino Linotype" w:cs="Palatino Linotype"/>
          <w:i/>
        </w:rPr>
        <w:t>(…)</w:t>
      </w:r>
    </w:p>
    <w:p w:rsidR="005D25FF" w:rsidRPr="00364440" w:rsidRDefault="005D25FF" w:rsidP="005D25FF">
      <w:pPr>
        <w:tabs>
          <w:tab w:val="left" w:pos="7938"/>
        </w:tabs>
        <w:spacing w:before="120" w:after="120"/>
        <w:ind w:left="567" w:right="567"/>
        <w:jc w:val="both"/>
        <w:rPr>
          <w:rFonts w:ascii="Palatino Linotype" w:eastAsia="Palatino Linotype" w:hAnsi="Palatino Linotype" w:cs="Palatino Linotype"/>
          <w:b/>
          <w:i/>
        </w:rPr>
      </w:pPr>
      <w:r w:rsidRPr="00364440">
        <w:rPr>
          <w:rFonts w:ascii="Palatino Linotype" w:eastAsia="Palatino Linotype" w:hAnsi="Palatino Linotype" w:cs="Palatino Linotype"/>
          <w:b/>
          <w:i/>
        </w:rPr>
        <w:t>V. Cuando por cualquier motivo quede sin materia el recurso. “</w:t>
      </w:r>
    </w:p>
    <w:p w:rsidR="005D25FF" w:rsidRPr="00364440" w:rsidRDefault="005D25FF" w:rsidP="005D25FF">
      <w:pPr>
        <w:ind w:right="1"/>
        <w:jc w:val="both"/>
        <w:rPr>
          <w:rFonts w:ascii="Palatino Linotype" w:eastAsia="Palatino Linotype" w:hAnsi="Palatino Linotype" w:cs="Palatino Linotype"/>
        </w:rPr>
      </w:pPr>
    </w:p>
    <w:p w:rsidR="005D25FF" w:rsidRPr="00364440" w:rsidRDefault="005D25FF" w:rsidP="0008518D">
      <w:pPr>
        <w:numPr>
          <w:ilvl w:val="0"/>
          <w:numId w:val="2"/>
        </w:numPr>
        <w:spacing w:line="360" w:lineRule="auto"/>
        <w:ind w:left="0" w:right="1"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lastRenderedPageBreak/>
        <w:t xml:space="preserve">Siendo el </w:t>
      </w:r>
      <w:r w:rsidRPr="00364440">
        <w:rPr>
          <w:rFonts w:ascii="Palatino Linotype" w:eastAsia="Palatino Linotype" w:hAnsi="Palatino Linotype" w:cs="Palatino Linotype"/>
          <w:i/>
        </w:rPr>
        <w:t>sobreseimiento</w:t>
      </w:r>
      <w:r w:rsidRPr="0036444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D25FF" w:rsidRPr="00364440" w:rsidRDefault="005D25FF" w:rsidP="005D25FF">
      <w:pPr>
        <w:ind w:right="1"/>
        <w:jc w:val="both"/>
        <w:rPr>
          <w:rFonts w:ascii="Palatino Linotype" w:eastAsia="Palatino Linotype" w:hAnsi="Palatino Linotype" w:cs="Palatino Linotype"/>
        </w:rPr>
      </w:pPr>
    </w:p>
    <w:p w:rsidR="005D25FF" w:rsidRPr="00364440" w:rsidRDefault="005D25FF" w:rsidP="005D25FF">
      <w:pPr>
        <w:spacing w:after="120"/>
        <w:ind w:left="567" w:right="567"/>
        <w:jc w:val="both"/>
        <w:rPr>
          <w:rFonts w:ascii="Palatino Linotype" w:eastAsia="Palatino Linotype" w:hAnsi="Palatino Linotype" w:cs="Palatino Linotype"/>
          <w:b/>
          <w:i/>
        </w:rPr>
      </w:pPr>
      <w:r w:rsidRPr="00364440">
        <w:rPr>
          <w:rFonts w:ascii="Palatino Linotype" w:eastAsia="Palatino Linotype" w:hAnsi="Palatino Linotype" w:cs="Palatino Linotype"/>
          <w:i/>
        </w:rPr>
        <w:t>“</w:t>
      </w:r>
      <w:r w:rsidRPr="00364440">
        <w:rPr>
          <w:rFonts w:ascii="Palatino Linotype" w:eastAsia="Palatino Linotype" w:hAnsi="Palatino Linotype" w:cs="Palatino Linotype"/>
          <w:b/>
          <w:i/>
        </w:rPr>
        <w:t>SOBRESEIMIENTO, NO PERMITE ENTRAR AL ESTUDIO DE LAS CUESTIONES DE FONDO</w:t>
      </w:r>
    </w:p>
    <w:p w:rsidR="005D25FF" w:rsidRPr="00364440" w:rsidRDefault="005D25FF" w:rsidP="005D25FF">
      <w:pPr>
        <w:spacing w:before="120" w:after="120"/>
        <w:ind w:left="567" w:right="567"/>
        <w:jc w:val="both"/>
        <w:rPr>
          <w:rFonts w:ascii="Palatino Linotype" w:eastAsia="Palatino Linotype" w:hAnsi="Palatino Linotype" w:cs="Palatino Linotype"/>
          <w:i/>
        </w:rPr>
      </w:pPr>
      <w:r w:rsidRPr="00364440">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5D25FF" w:rsidRPr="00364440" w:rsidRDefault="005D25FF" w:rsidP="005D25FF">
      <w:pPr>
        <w:spacing w:before="120" w:after="120"/>
        <w:ind w:left="567" w:right="567"/>
        <w:jc w:val="both"/>
        <w:rPr>
          <w:rFonts w:ascii="Palatino Linotype" w:eastAsia="Palatino Linotype" w:hAnsi="Palatino Linotype" w:cs="Palatino Linotype"/>
          <w:i/>
        </w:rPr>
      </w:pPr>
      <w:r w:rsidRPr="00364440">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5D25FF" w:rsidRPr="00364440" w:rsidRDefault="005D25FF" w:rsidP="005D25FF">
      <w:pPr>
        <w:ind w:right="1"/>
        <w:jc w:val="both"/>
        <w:rPr>
          <w:rFonts w:ascii="Palatino Linotype" w:eastAsia="Palatino Linotype" w:hAnsi="Palatino Linotype" w:cs="Palatino Linotype"/>
        </w:rPr>
      </w:pPr>
    </w:p>
    <w:p w:rsidR="005D25FF" w:rsidRPr="00364440" w:rsidRDefault="005D25FF" w:rsidP="00D605A2">
      <w:pPr>
        <w:numPr>
          <w:ilvl w:val="0"/>
          <w:numId w:val="2"/>
        </w:numPr>
        <w:spacing w:line="360" w:lineRule="auto"/>
        <w:ind w:left="0" w:right="1"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D25FF" w:rsidRPr="00364440" w:rsidRDefault="005D25FF" w:rsidP="005D25FF">
      <w:pPr>
        <w:spacing w:before="120" w:after="120"/>
        <w:ind w:left="567" w:right="567"/>
        <w:jc w:val="both"/>
        <w:rPr>
          <w:rFonts w:ascii="Palatino Linotype" w:eastAsia="Palatino Linotype" w:hAnsi="Palatino Linotype" w:cs="Palatino Linotype"/>
          <w:b/>
          <w:i/>
        </w:rPr>
      </w:pPr>
      <w:r w:rsidRPr="00364440">
        <w:rPr>
          <w:rFonts w:ascii="Palatino Linotype" w:eastAsia="Palatino Linotype" w:hAnsi="Palatino Linotype" w:cs="Palatino Linotype"/>
          <w:b/>
          <w:i/>
        </w:rPr>
        <w:t>“DESECHAMIENTO O SOBRESEIMIENTO EN EL JUICIO DE AMPARO. NO IMPLICA DENEGACIÓN DE JUSTICIA NI GENERA INSEGURIDAD JURÍDICA”</w:t>
      </w:r>
    </w:p>
    <w:p w:rsidR="005D25FF" w:rsidRPr="00364440" w:rsidRDefault="005D25FF" w:rsidP="005D25FF">
      <w:pPr>
        <w:ind w:left="567" w:right="567"/>
        <w:jc w:val="both"/>
        <w:rPr>
          <w:rFonts w:ascii="Palatino Linotype" w:eastAsia="Palatino Linotype" w:hAnsi="Palatino Linotype" w:cs="Palatino Linotype"/>
        </w:rPr>
      </w:pPr>
      <w:r w:rsidRPr="00364440">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w:t>
      </w:r>
      <w:r w:rsidRPr="00364440">
        <w:rPr>
          <w:rFonts w:ascii="Palatino Linotype" w:eastAsia="Palatino Linotype" w:hAnsi="Palatino Linotype" w:cs="Palatino Linotype"/>
          <w:i/>
        </w:rPr>
        <w:lastRenderedPageBreak/>
        <w:t xml:space="preserve">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5D25FF" w:rsidRPr="00364440" w:rsidRDefault="005D25FF" w:rsidP="005D25FF">
      <w:pPr>
        <w:spacing w:line="360" w:lineRule="auto"/>
        <w:ind w:right="1"/>
        <w:jc w:val="both"/>
        <w:rPr>
          <w:rFonts w:ascii="Palatino Linotype" w:eastAsia="Palatino Linotype" w:hAnsi="Palatino Linotype" w:cs="Palatino Linotype"/>
        </w:rPr>
      </w:pPr>
    </w:p>
    <w:p w:rsidR="005D25FF" w:rsidRPr="00364440" w:rsidRDefault="005D25FF" w:rsidP="00D605A2">
      <w:pPr>
        <w:numPr>
          <w:ilvl w:val="0"/>
          <w:numId w:val="2"/>
        </w:numPr>
        <w:spacing w:line="360" w:lineRule="auto"/>
        <w:ind w:left="0" w:right="1" w:firstLine="0"/>
        <w:jc w:val="both"/>
        <w:rPr>
          <w:rFonts w:ascii="Palatino Linotype" w:eastAsia="Palatino Linotype" w:hAnsi="Palatino Linotype" w:cs="Palatino Linotype"/>
        </w:rPr>
      </w:pPr>
      <w:r w:rsidRPr="00364440">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determina </w:t>
      </w:r>
      <w:r w:rsidRPr="00364440">
        <w:rPr>
          <w:rFonts w:ascii="Palatino Linotype" w:eastAsia="Palatino Linotype" w:hAnsi="Palatino Linotype" w:cs="Palatino Linotype"/>
          <w:b/>
        </w:rPr>
        <w:t xml:space="preserve">SOBRESEER </w:t>
      </w:r>
      <w:r w:rsidRPr="00364440">
        <w:rPr>
          <w:rFonts w:ascii="Palatino Linotype" w:eastAsia="Palatino Linotype" w:hAnsi="Palatino Linotype" w:cs="Palatino Linotype"/>
        </w:rPr>
        <w:t xml:space="preserve">el Recurso de Revisión </w:t>
      </w:r>
      <w:r w:rsidR="00F60B6F" w:rsidRPr="00364440">
        <w:rPr>
          <w:rFonts w:ascii="Palatino Linotype" w:eastAsia="Calibri" w:hAnsi="Palatino Linotype" w:cs="Tahoma"/>
          <w:b/>
          <w:bCs/>
          <w:lang w:eastAsia="en-US"/>
        </w:rPr>
        <w:t>00988/INFOEM/IP/RR/2026</w:t>
      </w:r>
      <w:r w:rsidRPr="00364440">
        <w:rPr>
          <w:rFonts w:ascii="Palatino Linotype" w:eastAsia="Palatino Linotype" w:hAnsi="Palatino Linotype" w:cs="Palatino Linotype"/>
        </w:rPr>
        <w:t>.</w:t>
      </w:r>
    </w:p>
    <w:p w:rsidR="005D25FF" w:rsidRPr="00364440" w:rsidRDefault="005D25FF" w:rsidP="005D25FF">
      <w:pPr>
        <w:spacing w:line="360" w:lineRule="auto"/>
        <w:ind w:right="1"/>
        <w:jc w:val="both"/>
        <w:rPr>
          <w:rFonts w:ascii="Palatino Linotype" w:eastAsia="Palatino Linotype" w:hAnsi="Palatino Linotype" w:cs="Palatino Linotype"/>
          <w:b/>
        </w:rPr>
      </w:pPr>
    </w:p>
    <w:p w:rsidR="005D25FF" w:rsidRPr="00364440" w:rsidRDefault="005D25FF" w:rsidP="005D25FF">
      <w:pPr>
        <w:numPr>
          <w:ilvl w:val="0"/>
          <w:numId w:val="2"/>
        </w:numPr>
        <w:spacing w:line="360" w:lineRule="auto"/>
        <w:ind w:right="1"/>
        <w:jc w:val="both"/>
        <w:rPr>
          <w:rFonts w:ascii="Palatino Linotype" w:eastAsia="Palatino Linotype" w:hAnsi="Palatino Linotype" w:cs="Palatino Linotype"/>
          <w:b/>
        </w:rPr>
      </w:pPr>
      <w:r w:rsidRPr="00364440">
        <w:rPr>
          <w:rFonts w:ascii="Palatino Linotype" w:eastAsia="Palatino Linotype" w:hAnsi="Palatino Linotype" w:cs="Palatino Linotype"/>
          <w:color w:val="222222"/>
        </w:rPr>
        <w:t xml:space="preserve">Por lo anteriormente expuesto y fundado, este </w:t>
      </w:r>
      <w:r w:rsidRPr="00364440">
        <w:rPr>
          <w:rFonts w:ascii="Palatino Linotype" w:eastAsia="Palatino Linotype" w:hAnsi="Palatino Linotype" w:cs="Palatino Linotype"/>
          <w:b/>
          <w:color w:val="222222"/>
        </w:rPr>
        <w:t>ÓRGANO GARANTE</w:t>
      </w:r>
      <w:r w:rsidRPr="00364440">
        <w:rPr>
          <w:rFonts w:ascii="Palatino Linotype" w:eastAsia="Palatino Linotype" w:hAnsi="Palatino Linotype" w:cs="Palatino Linotype"/>
          <w:color w:val="222222"/>
        </w:rPr>
        <w:t xml:space="preserve"> emite los siguientes:</w:t>
      </w:r>
    </w:p>
    <w:p w:rsidR="005D25FF" w:rsidRPr="00364440" w:rsidRDefault="005D25FF" w:rsidP="005D25FF">
      <w:pPr>
        <w:spacing w:line="360" w:lineRule="auto"/>
        <w:ind w:right="1"/>
        <w:jc w:val="both"/>
        <w:rPr>
          <w:rFonts w:ascii="Palatino Linotype" w:eastAsia="Palatino Linotype" w:hAnsi="Palatino Linotype" w:cs="Palatino Linotype"/>
          <w:b/>
        </w:rPr>
      </w:pPr>
    </w:p>
    <w:p w:rsidR="005D25FF" w:rsidRPr="00364440" w:rsidRDefault="005D25FF" w:rsidP="005D25FF">
      <w:pPr>
        <w:ind w:right="-592"/>
        <w:jc w:val="both"/>
        <w:rPr>
          <w:rFonts w:ascii="Palatino Linotype" w:eastAsia="Palatino Linotype" w:hAnsi="Palatino Linotype" w:cs="Palatino Linotype"/>
          <w:b/>
        </w:rPr>
      </w:pPr>
    </w:p>
    <w:p w:rsidR="005D25FF" w:rsidRPr="00364440" w:rsidRDefault="005D25FF" w:rsidP="005D25FF">
      <w:pPr>
        <w:keepNext/>
        <w:keepLines/>
        <w:spacing w:line="360" w:lineRule="auto"/>
        <w:ind w:right="-592"/>
        <w:jc w:val="center"/>
        <w:rPr>
          <w:rFonts w:ascii="Palatino Linotype" w:eastAsia="Palatino Linotype" w:hAnsi="Palatino Linotype" w:cs="Palatino Linotype"/>
          <w:b/>
          <w:color w:val="000000"/>
        </w:rPr>
      </w:pPr>
      <w:r w:rsidRPr="00364440">
        <w:rPr>
          <w:rFonts w:ascii="Palatino Linotype" w:eastAsia="Palatino Linotype" w:hAnsi="Palatino Linotype" w:cs="Palatino Linotype"/>
          <w:b/>
          <w:color w:val="000000"/>
        </w:rPr>
        <w:t>R E S O L U T I V O S</w:t>
      </w:r>
    </w:p>
    <w:p w:rsidR="005D25FF" w:rsidRPr="00364440" w:rsidRDefault="005D25FF" w:rsidP="005D25FF">
      <w:pPr>
        <w:keepNext/>
        <w:keepLines/>
        <w:ind w:right="-592"/>
        <w:rPr>
          <w:rFonts w:ascii="Palatino Linotype" w:eastAsia="Palatino Linotype" w:hAnsi="Palatino Linotype" w:cs="Palatino Linotype"/>
          <w:b/>
          <w:color w:val="000000"/>
        </w:rPr>
      </w:pPr>
    </w:p>
    <w:p w:rsidR="005D25FF" w:rsidRPr="00364440" w:rsidRDefault="005D25FF" w:rsidP="005D25FF">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6" w:name="_Toc450120669"/>
      <w:bookmarkStart w:id="7" w:name="_Toc460947011"/>
      <w:r w:rsidRPr="00364440">
        <w:rPr>
          <w:rFonts w:ascii="Palatino Linotype" w:hAnsi="Palatino Linotype" w:cs="Arial"/>
          <w:b/>
        </w:rPr>
        <w:t xml:space="preserve">PRIMERO. </w:t>
      </w:r>
      <w:r w:rsidRPr="00364440">
        <w:rPr>
          <w:rFonts w:ascii="Palatino Linotype" w:hAnsi="Palatino Linotype"/>
        </w:rPr>
        <w:t xml:space="preserve">Se </w:t>
      </w:r>
      <w:r w:rsidRPr="00364440">
        <w:rPr>
          <w:rFonts w:ascii="Palatino Linotype" w:hAnsi="Palatino Linotype"/>
          <w:b/>
        </w:rPr>
        <w:t>SOBRESEE</w:t>
      </w:r>
      <w:r w:rsidRPr="00364440">
        <w:rPr>
          <w:rFonts w:ascii="Palatino Linotype" w:hAnsi="Palatino Linotype"/>
        </w:rPr>
        <w:t xml:space="preserve"> el recurso de revisión número </w:t>
      </w:r>
      <w:r w:rsidR="00D605A2" w:rsidRPr="00364440">
        <w:rPr>
          <w:rFonts w:ascii="Palatino Linotype" w:eastAsia="Calibri" w:hAnsi="Palatino Linotype" w:cs="Tahoma"/>
          <w:b/>
          <w:bCs/>
          <w:lang w:eastAsia="en-US"/>
        </w:rPr>
        <w:t>00988/INFOEM/IP/RR/2026</w:t>
      </w:r>
      <w:r w:rsidRPr="00364440">
        <w:rPr>
          <w:rFonts w:ascii="Palatino Linotype" w:hAnsi="Palatino Linotype"/>
        </w:rPr>
        <w:t>, al quedarse sin materia en términos de lo dispuesto por la fracción V</w:t>
      </w:r>
      <w:r w:rsidR="00F60B6F" w:rsidRPr="00364440">
        <w:rPr>
          <w:rFonts w:ascii="Palatino Linotype" w:hAnsi="Palatino Linotype"/>
        </w:rPr>
        <w:t>,</w:t>
      </w:r>
      <w:r w:rsidRPr="00364440">
        <w:rPr>
          <w:rFonts w:ascii="Palatino Linotype" w:hAnsi="Palatino Linotype"/>
        </w:rPr>
        <w:t xml:space="preserve"> del artículo 192 de la Ley de Transparencia y Acceso a la Información Pública del Estado de México y Municipios, en términos del </w:t>
      </w:r>
      <w:r w:rsidRPr="00364440">
        <w:rPr>
          <w:rFonts w:ascii="Palatino Linotype" w:hAnsi="Palatino Linotype"/>
          <w:b/>
        </w:rPr>
        <w:t>Considerando</w:t>
      </w:r>
      <w:r w:rsidRPr="00364440">
        <w:rPr>
          <w:rFonts w:ascii="Palatino Linotype" w:hAnsi="Palatino Linotype"/>
        </w:rPr>
        <w:t xml:space="preserve"> </w:t>
      </w:r>
      <w:r w:rsidRPr="00364440">
        <w:rPr>
          <w:rFonts w:ascii="Palatino Linotype" w:hAnsi="Palatino Linotype"/>
          <w:b/>
        </w:rPr>
        <w:t>TERCERO</w:t>
      </w:r>
      <w:r w:rsidRPr="00364440">
        <w:rPr>
          <w:rFonts w:ascii="Palatino Linotype" w:hAnsi="Palatino Linotype"/>
        </w:rPr>
        <w:t xml:space="preserve"> de la presente resolución.</w:t>
      </w:r>
    </w:p>
    <w:p w:rsidR="005D25FF" w:rsidRPr="00364440" w:rsidRDefault="005D25FF" w:rsidP="005D25FF">
      <w:pPr>
        <w:spacing w:before="240" w:after="360" w:line="360" w:lineRule="auto"/>
        <w:jc w:val="both"/>
        <w:rPr>
          <w:rStyle w:val="Ttulo2Car"/>
          <w:rFonts w:ascii="Palatino Linotype" w:hAnsi="Palatino Linotype"/>
          <w:b/>
          <w:color w:val="000000" w:themeColor="text1"/>
          <w:sz w:val="24"/>
          <w:szCs w:val="24"/>
        </w:rPr>
      </w:pPr>
      <w:bookmarkStart w:id="8" w:name="_Toc461648590"/>
      <w:bookmarkStart w:id="9" w:name="_Toc461648682"/>
      <w:bookmarkStart w:id="10" w:name="_Toc462228049"/>
      <w:bookmarkStart w:id="11" w:name="_Toc462228129"/>
      <w:bookmarkStart w:id="12" w:name="_Toc496099789"/>
      <w:bookmarkStart w:id="13" w:name="_Toc496100166"/>
      <w:bookmarkStart w:id="14" w:name="_Toc499756977"/>
      <w:bookmarkStart w:id="15" w:name="_Toc499757020"/>
      <w:bookmarkStart w:id="16" w:name="_Toc504377974"/>
      <w:r w:rsidRPr="00364440">
        <w:rPr>
          <w:rFonts w:ascii="Palatino Linotype" w:hAnsi="Palatino Linotype" w:cs="Arial"/>
          <w:b/>
        </w:rPr>
        <w:t>SEGUNDO.</w:t>
      </w:r>
      <w:bookmarkEnd w:id="8"/>
      <w:bookmarkEnd w:id="9"/>
      <w:bookmarkEnd w:id="10"/>
      <w:bookmarkEnd w:id="11"/>
      <w:bookmarkEnd w:id="12"/>
      <w:bookmarkEnd w:id="13"/>
      <w:bookmarkEnd w:id="14"/>
      <w:bookmarkEnd w:id="15"/>
      <w:bookmarkEnd w:id="16"/>
      <w:r w:rsidRPr="00364440">
        <w:rPr>
          <w:rStyle w:val="Ttulo2Car"/>
          <w:rFonts w:ascii="Palatino Linotype" w:hAnsi="Palatino Linotype"/>
          <w:b/>
          <w:color w:val="000000" w:themeColor="text1"/>
          <w:sz w:val="24"/>
          <w:szCs w:val="24"/>
        </w:rPr>
        <w:t xml:space="preserve"> </w:t>
      </w:r>
      <w:r w:rsidR="00F60B6F" w:rsidRPr="00364440">
        <w:rPr>
          <w:rFonts w:ascii="Palatino Linotype" w:eastAsia="MS Mincho" w:hAnsi="Palatino Linotype" w:cs="Arial"/>
          <w:b/>
          <w:bCs/>
          <w:color w:val="000000" w:themeColor="text1"/>
          <w:shd w:val="clear" w:color="auto" w:fill="FFFFFF"/>
        </w:rPr>
        <w:t>Notifíquese</w:t>
      </w:r>
      <w:r w:rsidRPr="00364440">
        <w:rPr>
          <w:rFonts w:ascii="Palatino Linotype" w:eastAsia="MS Mincho" w:hAnsi="Palatino Linotype" w:cs="Arial"/>
          <w:b/>
          <w:bCs/>
          <w:color w:val="000000" w:themeColor="text1"/>
          <w:shd w:val="clear" w:color="auto" w:fill="FFFFFF"/>
        </w:rPr>
        <w:t xml:space="preserve"> </w:t>
      </w:r>
      <w:r w:rsidRPr="00364440">
        <w:rPr>
          <w:rFonts w:ascii="Palatino Linotype" w:eastAsia="MS Mincho" w:hAnsi="Palatino Linotype"/>
          <w:color w:val="000000" w:themeColor="text1"/>
          <w:shd w:val="clear" w:color="auto" w:fill="FFFFFF"/>
        </w:rPr>
        <w:t>al Titular de la Unidad de Transparencia del</w:t>
      </w:r>
      <w:r w:rsidRPr="00364440">
        <w:rPr>
          <w:rFonts w:ascii="Palatino Linotype" w:eastAsia="MS Mincho" w:hAnsi="Palatino Linotype"/>
          <w:b/>
          <w:bCs/>
          <w:color w:val="000000" w:themeColor="text1"/>
          <w:shd w:val="clear" w:color="auto" w:fill="FFFFFF"/>
        </w:rPr>
        <w:t xml:space="preserve"> SUJETO OBLIGADO</w:t>
      </w:r>
      <w:r w:rsidRPr="00364440">
        <w:rPr>
          <w:rFonts w:ascii="Palatino Linotype" w:eastAsia="MS Mincho" w:hAnsi="Palatino Linotype"/>
          <w:color w:val="000000" w:themeColor="text1"/>
          <w:shd w:val="clear" w:color="auto" w:fill="FFFFFF"/>
        </w:rPr>
        <w:t xml:space="preserve"> vía Sistema de Acceso a Información Mexiquense, </w:t>
      </w:r>
      <w:r w:rsidRPr="00364440">
        <w:rPr>
          <w:rFonts w:ascii="Palatino Linotype" w:eastAsia="MS Mincho" w:hAnsi="Palatino Linotype"/>
          <w:b/>
          <w:color w:val="000000" w:themeColor="text1"/>
          <w:shd w:val="clear" w:color="auto" w:fill="FFFFFF"/>
        </w:rPr>
        <w:t>SAIMEX,</w:t>
      </w:r>
      <w:r w:rsidRPr="00364440">
        <w:rPr>
          <w:rFonts w:ascii="Palatino Linotype" w:eastAsia="MS Mincho" w:hAnsi="Palatino Linotype"/>
          <w:color w:val="000000" w:themeColor="text1"/>
          <w:shd w:val="clear" w:color="auto" w:fill="FFFFFF"/>
        </w:rPr>
        <w:t xml:space="preserve"> la presente resolución. </w:t>
      </w:r>
    </w:p>
    <w:p w:rsidR="005D25FF" w:rsidRPr="00364440" w:rsidRDefault="005D25FF" w:rsidP="005D25FF">
      <w:pPr>
        <w:spacing w:line="360" w:lineRule="auto"/>
        <w:jc w:val="both"/>
        <w:rPr>
          <w:rFonts w:ascii="Palatino Linotype" w:hAnsi="Palatino Linotype"/>
          <w:b/>
        </w:rPr>
      </w:pPr>
      <w:bookmarkStart w:id="17" w:name="_Toc460947013"/>
      <w:bookmarkEnd w:id="6"/>
      <w:bookmarkEnd w:id="7"/>
      <w:r w:rsidRPr="00364440">
        <w:rPr>
          <w:rFonts w:ascii="Palatino Linotype" w:hAnsi="Palatino Linotype" w:cs="Arial"/>
          <w:b/>
        </w:rPr>
        <w:t xml:space="preserve">TERCERO. </w:t>
      </w:r>
      <w:r w:rsidRPr="00364440">
        <w:rPr>
          <w:rFonts w:ascii="Palatino Linotype" w:hAnsi="Palatino Linotype"/>
          <w:b/>
          <w:bCs/>
          <w:color w:val="222222"/>
          <w:lang w:val="es-ES"/>
        </w:rPr>
        <w:t>Notifíquese a</w:t>
      </w:r>
      <w:r w:rsidRPr="00364440">
        <w:rPr>
          <w:rFonts w:ascii="Palatino Linotype" w:hAnsi="Palatino Linotype"/>
          <w:b/>
        </w:rPr>
        <w:t xml:space="preserve">l RECURRENTE </w:t>
      </w:r>
      <w:r w:rsidRPr="00364440">
        <w:rPr>
          <w:rFonts w:ascii="Palatino Linotype" w:hAnsi="Palatino Linotype"/>
        </w:rPr>
        <w:t xml:space="preserve">la presente resolución a través de </w:t>
      </w:r>
      <w:r w:rsidRPr="00364440">
        <w:rPr>
          <w:rFonts w:ascii="Palatino Linotype" w:hAnsi="Palatino Linotype"/>
          <w:b/>
        </w:rPr>
        <w:t>SAIMEX.</w:t>
      </w:r>
    </w:p>
    <w:p w:rsidR="005D25FF" w:rsidRPr="00364440" w:rsidRDefault="005D25FF" w:rsidP="005D25FF">
      <w:pPr>
        <w:jc w:val="both"/>
        <w:rPr>
          <w:rFonts w:ascii="Palatino Linotype" w:hAnsi="Palatino Linotype"/>
        </w:rPr>
      </w:pPr>
    </w:p>
    <w:bookmarkEnd w:id="17"/>
    <w:p w:rsidR="00D707B6" w:rsidRPr="00364440" w:rsidRDefault="005D25FF" w:rsidP="00D605A2">
      <w:pPr>
        <w:shd w:val="clear" w:color="auto" w:fill="FFFFFF"/>
        <w:spacing w:line="360" w:lineRule="auto"/>
        <w:jc w:val="both"/>
        <w:rPr>
          <w:rFonts w:ascii="Palatino Linotype" w:eastAsia="Palatino Linotype" w:hAnsi="Palatino Linotype" w:cs="Palatino Linotype"/>
        </w:rPr>
      </w:pPr>
      <w:r w:rsidRPr="00364440">
        <w:rPr>
          <w:rFonts w:ascii="Palatino Linotype" w:eastAsia="MS Mincho" w:hAnsi="Palatino Linotype"/>
          <w:b/>
        </w:rPr>
        <w:t>CUARTO.</w:t>
      </w:r>
      <w:r w:rsidRPr="00364440">
        <w:rPr>
          <w:rFonts w:ascii="Palatino Linotype" w:eastAsia="MS Mincho" w:hAnsi="Palatino Linotype"/>
        </w:rPr>
        <w:t xml:space="preserve"> </w:t>
      </w:r>
      <w:r w:rsidRPr="00364440">
        <w:rPr>
          <w:rFonts w:ascii="Palatino Linotype" w:eastAsia="MS Mincho" w:hAnsi="Palatino Linotype"/>
          <w:lang w:val="es-ES"/>
        </w:rPr>
        <w:t xml:space="preserve">Se hace del conocimiento del </w:t>
      </w:r>
      <w:r w:rsidRPr="00364440">
        <w:rPr>
          <w:rFonts w:ascii="Palatino Linotype" w:eastAsia="Calibri" w:hAnsi="Palatino Linotype" w:cs="Tahoma"/>
          <w:b/>
          <w:lang w:eastAsia="en-US"/>
        </w:rPr>
        <w:t>RECURRENTE</w:t>
      </w:r>
      <w:r w:rsidRPr="00364440">
        <w:rPr>
          <w:rFonts w:ascii="Palatino Linotype" w:eastAsia="MS Mincho" w:hAnsi="Palatino Linotype"/>
          <w:lang w:val="es-ES"/>
        </w:rPr>
        <w:t xml:space="preserve"> que, de conformidad con lo establecido en el artículo 196 de la Ley de Transparencia y Acceso a la Información Pública del Estado de </w:t>
      </w:r>
      <w:r w:rsidRPr="00364440">
        <w:rPr>
          <w:rFonts w:ascii="Palatino Linotype" w:eastAsia="MS Mincho" w:hAnsi="Palatino Linotype"/>
          <w:lang w:val="es-ES"/>
        </w:rPr>
        <w:lastRenderedPageBreak/>
        <w:t xml:space="preserve">México y Municipios, en caso de que considere que la resolución le cause algún perjuicio podrá impugnarla </w:t>
      </w:r>
      <w:r w:rsidRPr="00364440">
        <w:rPr>
          <w:rFonts w:ascii="Palatino Linotype" w:eastAsia="MS Mincho" w:hAnsi="Palatino Linotype"/>
          <w:bCs/>
          <w:lang w:val="es-ES"/>
        </w:rPr>
        <w:t>vía juicio de amparo</w:t>
      </w:r>
      <w:r w:rsidRPr="00364440">
        <w:rPr>
          <w:rFonts w:ascii="Palatino Linotype" w:eastAsia="MS Mincho" w:hAnsi="Palatino Linotype"/>
          <w:lang w:val="es-ES"/>
        </w:rPr>
        <w:t> en los términos de las leyes aplicables.</w:t>
      </w:r>
    </w:p>
    <w:p w:rsidR="00F60B6F" w:rsidRPr="00364440" w:rsidRDefault="00F60B6F" w:rsidP="00F60B6F">
      <w:pPr>
        <w:spacing w:before="240" w:after="240" w:line="360" w:lineRule="auto"/>
        <w:ind w:firstLine="1"/>
        <w:jc w:val="both"/>
        <w:rPr>
          <w:rFonts w:ascii="Palatino Linotype" w:hAnsi="Palatino Linotype"/>
        </w:rPr>
      </w:pPr>
      <w:bookmarkStart w:id="18" w:name="_Hlk99014733"/>
      <w:r w:rsidRPr="0036444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364440">
        <w:rPr>
          <w:rFonts w:ascii="Palatino Linotype" w:hAnsi="Palatino Linotype" w:cs="Palatino Linotype"/>
          <w:color w:val="000000" w:themeColor="text1"/>
        </w:rPr>
        <w:t>ALEXIS TAPIA RAMÍREZ.</w:t>
      </w:r>
    </w:p>
    <w:bookmarkEnd w:id="18"/>
    <w:p w:rsidR="00D707B6" w:rsidRPr="00364440" w:rsidRDefault="00D707B6" w:rsidP="00D707B6"/>
    <w:p w:rsidR="00D707B6" w:rsidRPr="00364440" w:rsidRDefault="00D707B6" w:rsidP="00D707B6"/>
    <w:p w:rsidR="00D707B6" w:rsidRPr="00364440" w:rsidRDefault="00D707B6" w:rsidP="00D707B6"/>
    <w:p w:rsidR="00D707B6" w:rsidRPr="00364440" w:rsidRDefault="00D707B6" w:rsidP="00D707B6"/>
    <w:p w:rsidR="00D707B6" w:rsidRPr="00364440" w:rsidRDefault="00D707B6" w:rsidP="00D707B6"/>
    <w:p w:rsidR="00D707B6" w:rsidRPr="00364440" w:rsidRDefault="00D707B6" w:rsidP="00D707B6"/>
    <w:p w:rsidR="00D707B6" w:rsidRPr="00364440" w:rsidRDefault="00D707B6" w:rsidP="00D707B6"/>
    <w:p w:rsidR="00D707B6" w:rsidRPr="00364440" w:rsidRDefault="00D707B6" w:rsidP="00D707B6"/>
    <w:p w:rsidR="00012965" w:rsidRPr="00364440" w:rsidRDefault="00012965"/>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p w:rsidR="004B610E" w:rsidRPr="00364440" w:rsidRDefault="004B610E"/>
    <w:sectPr w:rsidR="004B610E" w:rsidRPr="00364440" w:rsidSect="00364440">
      <w:headerReference w:type="even" r:id="rId8"/>
      <w:headerReference w:type="default" r:id="rId9"/>
      <w:footerReference w:type="default" r:id="rId10"/>
      <w:headerReference w:type="first" r:id="rId11"/>
      <w:footerReference w:type="first" r:id="rId12"/>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03" w:rsidRDefault="000A7D03" w:rsidP="00D707B6">
      <w:r>
        <w:separator/>
      </w:r>
    </w:p>
  </w:endnote>
  <w:endnote w:type="continuationSeparator" w:id="0">
    <w:p w:rsidR="000A7D03" w:rsidRDefault="000A7D03" w:rsidP="00D7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FF" w:rsidRDefault="005D25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9245F">
      <w:rPr>
        <w:b/>
        <w:noProof/>
        <w:color w:val="000000"/>
      </w:rPr>
      <w:t>15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9245F">
      <w:rPr>
        <w:b/>
        <w:noProof/>
        <w:color w:val="000000"/>
      </w:rPr>
      <w:t>15</w:t>
    </w:r>
    <w:r>
      <w:rPr>
        <w:b/>
        <w:color w:val="000000"/>
      </w:rPr>
      <w:fldChar w:fldCharType="end"/>
    </w:r>
  </w:p>
  <w:p w:rsidR="005D25FF" w:rsidRDefault="005D25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FF" w:rsidRDefault="005D25F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9245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9245F">
      <w:rPr>
        <w:b/>
        <w:noProof/>
        <w:color w:val="000000"/>
      </w:rPr>
      <w:t>15</w:t>
    </w:r>
    <w:r>
      <w:rPr>
        <w:b/>
        <w:color w:val="000000"/>
      </w:rPr>
      <w:fldChar w:fldCharType="end"/>
    </w:r>
  </w:p>
  <w:p w:rsidR="005D25FF" w:rsidRDefault="005D25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03" w:rsidRDefault="000A7D03" w:rsidP="00D707B6">
      <w:r>
        <w:separator/>
      </w:r>
    </w:p>
  </w:footnote>
  <w:footnote w:type="continuationSeparator" w:id="0">
    <w:p w:rsidR="000A7D03" w:rsidRDefault="000A7D03" w:rsidP="00D707B6">
      <w:r>
        <w:continuationSeparator/>
      </w:r>
    </w:p>
  </w:footnote>
  <w:footnote w:id="1">
    <w:p w:rsidR="005D25FF" w:rsidRDefault="005D25FF" w:rsidP="00D707B6">
      <w:pPr>
        <w:pStyle w:val="Textonotapie"/>
      </w:pPr>
      <w:r>
        <w:rPr>
          <w:rStyle w:val="Refdenotaalpie"/>
        </w:rPr>
        <w:footnoteRef/>
      </w:r>
      <w:r>
        <w:t xml:space="preserve"> Artículo 150. Ley de Transparencia y Acceso a la Información Pública del Estado de México y Municipios.</w:t>
      </w:r>
    </w:p>
    <w:p w:rsidR="005D25FF" w:rsidRDefault="005D25FF" w:rsidP="00D707B6">
      <w:pPr>
        <w:pStyle w:val="Textonotapie"/>
      </w:pPr>
      <w:r>
        <w:t>Artículo 151. Ibídem.</w:t>
      </w:r>
    </w:p>
  </w:footnote>
  <w:footnote w:id="2">
    <w:p w:rsidR="005D25FF" w:rsidRDefault="005D25FF" w:rsidP="00D707B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FF" w:rsidRDefault="000A7D0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8"/>
      <w:gridCol w:w="8080"/>
    </w:tblGrid>
    <w:tr w:rsidR="005D25FF" w:rsidTr="00364440">
      <w:trPr>
        <w:trHeight w:val="1435"/>
      </w:trPr>
      <w:tc>
        <w:tcPr>
          <w:tcW w:w="2268" w:type="dxa"/>
          <w:shd w:val="clear" w:color="auto" w:fill="auto"/>
        </w:tcPr>
        <w:p w:rsidR="005D25FF" w:rsidRDefault="005D25FF">
          <w:pPr>
            <w:tabs>
              <w:tab w:val="right" w:pos="4273"/>
            </w:tabs>
            <w:rPr>
              <w:rFonts w:ascii="Garamond" w:eastAsia="Garamond" w:hAnsi="Garamond" w:cs="Garamond"/>
              <w:sz w:val="16"/>
              <w:szCs w:val="16"/>
            </w:rPr>
          </w:pPr>
        </w:p>
      </w:tc>
      <w:tc>
        <w:tcPr>
          <w:tcW w:w="8080" w:type="dxa"/>
          <w:shd w:val="clear" w:color="auto" w:fill="auto"/>
        </w:tcPr>
        <w:tbl>
          <w:tblPr>
            <w:tblW w:w="6946" w:type="dxa"/>
            <w:tblInd w:w="1310" w:type="dxa"/>
            <w:tblLayout w:type="fixed"/>
            <w:tblLook w:val="0400" w:firstRow="0" w:lastRow="0" w:firstColumn="0" w:lastColumn="0" w:noHBand="0" w:noVBand="1"/>
          </w:tblPr>
          <w:tblGrid>
            <w:gridCol w:w="2835"/>
            <w:gridCol w:w="4111"/>
          </w:tblGrid>
          <w:tr w:rsidR="005D25FF" w:rsidTr="00364440">
            <w:trPr>
              <w:trHeight w:val="150"/>
            </w:trPr>
            <w:tc>
              <w:tcPr>
                <w:tcW w:w="2835" w:type="dxa"/>
                <w:shd w:val="clear" w:color="auto" w:fill="auto"/>
              </w:tcPr>
              <w:p w:rsidR="005D25FF" w:rsidRPr="00364440" w:rsidRDefault="005D25FF">
                <w:pPr>
                  <w:tabs>
                    <w:tab w:val="right" w:pos="8838"/>
                  </w:tabs>
                  <w:ind w:right="-10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Recurso de Revisión:</w:t>
                </w:r>
              </w:p>
            </w:tc>
            <w:tc>
              <w:tcPr>
                <w:tcW w:w="4111" w:type="dxa"/>
                <w:shd w:val="clear" w:color="auto" w:fill="auto"/>
              </w:tcPr>
              <w:p w:rsidR="005D25FF" w:rsidRPr="00364440" w:rsidRDefault="005D25FF">
                <w:pPr>
                  <w:tabs>
                    <w:tab w:val="right" w:pos="8838"/>
                  </w:tabs>
                  <w:ind w:left="-108" w:right="-1090"/>
                  <w:jc w:val="both"/>
                  <w:rPr>
                    <w:rFonts w:ascii="Palatino Linotype" w:eastAsia="Palatino Linotype" w:hAnsi="Palatino Linotype" w:cs="Palatino Linotype"/>
                    <w:szCs w:val="22"/>
                  </w:rPr>
                </w:pPr>
                <w:r w:rsidRPr="00364440">
                  <w:rPr>
                    <w:rFonts w:ascii="Palatino Linotype" w:eastAsia="Palatino Linotype" w:hAnsi="Palatino Linotype" w:cs="Palatino Linotype"/>
                    <w:szCs w:val="22"/>
                  </w:rPr>
                  <w:t>00988/INFOEM/IP/RR/2026</w:t>
                </w:r>
                <w:r w:rsidRPr="00364440">
                  <w:rPr>
                    <w:rFonts w:ascii="Palatino Linotype" w:eastAsia="Palatino Linotype" w:hAnsi="Palatino Linotype" w:cs="Palatino Linotype"/>
                    <w:b/>
                    <w:szCs w:val="22"/>
                  </w:rPr>
                  <w:t xml:space="preserve"> </w:t>
                </w:r>
              </w:p>
            </w:tc>
          </w:tr>
          <w:tr w:rsidR="005D25FF" w:rsidTr="00364440">
            <w:trPr>
              <w:trHeight w:val="295"/>
            </w:trPr>
            <w:tc>
              <w:tcPr>
                <w:tcW w:w="2835" w:type="dxa"/>
                <w:shd w:val="clear" w:color="auto" w:fill="auto"/>
              </w:tcPr>
              <w:p w:rsidR="005D25FF" w:rsidRPr="00364440" w:rsidRDefault="005D25FF">
                <w:pPr>
                  <w:tabs>
                    <w:tab w:val="right" w:pos="8838"/>
                  </w:tabs>
                  <w:ind w:right="-10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Sujeto Obligado:</w:t>
                </w:r>
              </w:p>
            </w:tc>
            <w:tc>
              <w:tcPr>
                <w:tcW w:w="4111" w:type="dxa"/>
                <w:shd w:val="clear" w:color="auto" w:fill="auto"/>
              </w:tcPr>
              <w:p w:rsidR="005D25FF" w:rsidRPr="00364440" w:rsidRDefault="005D25FF">
                <w:pPr>
                  <w:tabs>
                    <w:tab w:val="left" w:pos="2834"/>
                    <w:tab w:val="right" w:pos="8838"/>
                  </w:tabs>
                  <w:ind w:left="-108" w:right="-1090"/>
                  <w:jc w:val="both"/>
                  <w:rPr>
                    <w:rFonts w:ascii="Palatino Linotype" w:eastAsia="Palatino Linotype" w:hAnsi="Palatino Linotype" w:cs="Palatino Linotype"/>
                    <w:szCs w:val="22"/>
                  </w:rPr>
                </w:pPr>
                <w:r w:rsidRPr="00364440">
                  <w:rPr>
                    <w:rFonts w:ascii="Palatino Linotype" w:eastAsia="Palatino Linotype" w:hAnsi="Palatino Linotype" w:cs="Palatino Linotype"/>
                    <w:szCs w:val="22"/>
                  </w:rPr>
                  <w:t>Ayuntamiento de Tepotzotlán</w:t>
                </w:r>
              </w:p>
            </w:tc>
          </w:tr>
          <w:tr w:rsidR="005D25FF" w:rsidTr="00364440">
            <w:trPr>
              <w:trHeight w:val="295"/>
            </w:trPr>
            <w:tc>
              <w:tcPr>
                <w:tcW w:w="2835" w:type="dxa"/>
                <w:shd w:val="clear" w:color="auto" w:fill="auto"/>
              </w:tcPr>
              <w:p w:rsidR="005D25FF" w:rsidRPr="00364440" w:rsidRDefault="005D25FF">
                <w:pPr>
                  <w:tabs>
                    <w:tab w:val="right" w:pos="8838"/>
                  </w:tabs>
                  <w:ind w:right="-10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Comisionado ponente:</w:t>
                </w:r>
              </w:p>
            </w:tc>
            <w:tc>
              <w:tcPr>
                <w:tcW w:w="4111" w:type="dxa"/>
                <w:shd w:val="clear" w:color="auto" w:fill="auto"/>
              </w:tcPr>
              <w:p w:rsidR="005D25FF" w:rsidRPr="00364440" w:rsidRDefault="005D25FF">
                <w:pPr>
                  <w:tabs>
                    <w:tab w:val="right" w:pos="8838"/>
                  </w:tabs>
                  <w:ind w:left="-108" w:right="-1090"/>
                  <w:jc w:val="both"/>
                  <w:rPr>
                    <w:rFonts w:ascii="Palatino Linotype" w:eastAsia="Palatino Linotype" w:hAnsi="Palatino Linotype" w:cs="Palatino Linotype"/>
                    <w:szCs w:val="22"/>
                  </w:rPr>
                </w:pPr>
                <w:r w:rsidRPr="00364440">
                  <w:rPr>
                    <w:rFonts w:ascii="Palatino Linotype" w:eastAsia="Palatino Linotype" w:hAnsi="Palatino Linotype" w:cs="Palatino Linotype"/>
                    <w:szCs w:val="22"/>
                  </w:rPr>
                  <w:t>María del Rosario Mejía Ayala</w:t>
                </w:r>
              </w:p>
              <w:p w:rsidR="005D25FF" w:rsidRPr="00364440" w:rsidRDefault="005D25FF">
                <w:pPr>
                  <w:tabs>
                    <w:tab w:val="right" w:pos="8838"/>
                  </w:tabs>
                  <w:ind w:left="-108" w:right="-1090"/>
                  <w:jc w:val="both"/>
                  <w:rPr>
                    <w:rFonts w:ascii="Palatino Linotype" w:eastAsia="Palatino Linotype" w:hAnsi="Palatino Linotype" w:cs="Palatino Linotype"/>
                    <w:b/>
                    <w:szCs w:val="22"/>
                  </w:rPr>
                </w:pPr>
              </w:p>
            </w:tc>
          </w:tr>
        </w:tbl>
        <w:p w:rsidR="005D25FF" w:rsidRDefault="005D25FF">
          <w:pPr>
            <w:tabs>
              <w:tab w:val="right" w:pos="8838"/>
            </w:tabs>
            <w:ind w:left="-28"/>
            <w:jc w:val="both"/>
            <w:rPr>
              <w:rFonts w:ascii="Arial" w:eastAsia="Arial" w:hAnsi="Arial" w:cs="Arial"/>
              <w:b/>
              <w:sz w:val="22"/>
              <w:szCs w:val="22"/>
            </w:rPr>
          </w:pPr>
        </w:p>
      </w:tc>
    </w:tr>
  </w:tbl>
  <w:p w:rsidR="005D25FF" w:rsidRDefault="000A7D0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5"/>
      <w:gridCol w:w="8083"/>
    </w:tblGrid>
    <w:tr w:rsidR="005D25FF" w:rsidTr="00364440">
      <w:trPr>
        <w:trHeight w:val="1435"/>
      </w:trPr>
      <w:tc>
        <w:tcPr>
          <w:tcW w:w="2265" w:type="dxa"/>
          <w:shd w:val="clear" w:color="auto" w:fill="auto"/>
        </w:tcPr>
        <w:p w:rsidR="005D25FF" w:rsidRDefault="005D25FF" w:rsidP="00364440">
          <w:pPr>
            <w:rPr>
              <w:rFonts w:ascii="Garamond" w:eastAsia="Garamond" w:hAnsi="Garamond" w:cs="Garamond"/>
              <w:sz w:val="22"/>
              <w:szCs w:val="22"/>
            </w:rPr>
          </w:pPr>
        </w:p>
      </w:tc>
      <w:tc>
        <w:tcPr>
          <w:tcW w:w="8083" w:type="dxa"/>
          <w:shd w:val="clear" w:color="auto" w:fill="auto"/>
        </w:tcPr>
        <w:tbl>
          <w:tblPr>
            <w:tblW w:w="7658" w:type="dxa"/>
            <w:tblInd w:w="1738" w:type="dxa"/>
            <w:tblLayout w:type="fixed"/>
            <w:tblLook w:val="0400" w:firstRow="0" w:lastRow="0" w:firstColumn="0" w:lastColumn="0" w:noHBand="0" w:noVBand="1"/>
          </w:tblPr>
          <w:tblGrid>
            <w:gridCol w:w="2693"/>
            <w:gridCol w:w="4965"/>
          </w:tblGrid>
          <w:tr w:rsidR="005D25FF" w:rsidTr="00364440">
            <w:trPr>
              <w:trHeight w:val="144"/>
            </w:trPr>
            <w:tc>
              <w:tcPr>
                <w:tcW w:w="2693" w:type="dxa"/>
                <w:shd w:val="clear" w:color="auto" w:fill="auto"/>
              </w:tcPr>
              <w:p w:rsidR="005D25FF" w:rsidRPr="00364440" w:rsidRDefault="005D25FF">
                <w:pPr>
                  <w:tabs>
                    <w:tab w:val="right" w:pos="8838"/>
                  </w:tabs>
                  <w:ind w:left="-264" w:right="-105" w:firstLine="19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Recurso de Revisión:</w:t>
                </w:r>
              </w:p>
            </w:tc>
            <w:tc>
              <w:tcPr>
                <w:tcW w:w="4965" w:type="dxa"/>
                <w:shd w:val="clear" w:color="auto" w:fill="auto"/>
              </w:tcPr>
              <w:p w:rsidR="005D25FF" w:rsidRPr="00364440" w:rsidRDefault="005D25FF">
                <w:pPr>
                  <w:tabs>
                    <w:tab w:val="right" w:pos="8838"/>
                  </w:tabs>
                  <w:ind w:left="-74" w:right="-1269"/>
                  <w:rPr>
                    <w:rFonts w:ascii="Palatino Linotype" w:eastAsia="Palatino Linotype" w:hAnsi="Palatino Linotype" w:cs="Palatino Linotype"/>
                    <w:szCs w:val="22"/>
                  </w:rPr>
                </w:pPr>
                <w:r w:rsidRPr="00364440">
                  <w:rPr>
                    <w:rFonts w:ascii="Palatino Linotype" w:eastAsia="Palatino Linotype" w:hAnsi="Palatino Linotype" w:cs="Palatino Linotype"/>
                    <w:szCs w:val="22"/>
                  </w:rPr>
                  <w:t>00988/INFOEM/IP/RR/2026</w:t>
                </w:r>
              </w:p>
            </w:tc>
          </w:tr>
          <w:tr w:rsidR="005D25FF" w:rsidTr="00364440">
            <w:trPr>
              <w:trHeight w:val="144"/>
            </w:trPr>
            <w:tc>
              <w:tcPr>
                <w:tcW w:w="2693" w:type="dxa"/>
                <w:shd w:val="clear" w:color="auto" w:fill="auto"/>
              </w:tcPr>
              <w:p w:rsidR="005D25FF" w:rsidRPr="00364440" w:rsidRDefault="005D25FF">
                <w:pPr>
                  <w:tabs>
                    <w:tab w:val="right" w:pos="8838"/>
                  </w:tabs>
                  <w:ind w:left="-74" w:right="-10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Recurrente:</w:t>
                </w:r>
              </w:p>
            </w:tc>
            <w:tc>
              <w:tcPr>
                <w:tcW w:w="4965" w:type="dxa"/>
                <w:shd w:val="clear" w:color="auto" w:fill="auto"/>
              </w:tcPr>
              <w:p w:rsidR="005D25FF" w:rsidRPr="00364440" w:rsidRDefault="00F9245F">
                <w:pPr>
                  <w:tabs>
                    <w:tab w:val="left" w:pos="3122"/>
                    <w:tab w:val="right" w:pos="8838"/>
                  </w:tabs>
                  <w:ind w:left="-74" w:right="-1269"/>
                  <w:rPr>
                    <w:rFonts w:ascii="Palatino Linotype" w:eastAsia="Palatino Linotype" w:hAnsi="Palatino Linotype" w:cs="Palatino Linotype"/>
                    <w:szCs w:val="22"/>
                  </w:rPr>
                </w:pPr>
                <w:r>
                  <w:rPr>
                    <w:rFonts w:ascii="Palatino Linotype" w:eastAsia="Palatino Linotype" w:hAnsi="Palatino Linotype" w:cs="Palatino Linotype"/>
                    <w:bCs/>
                    <w:szCs w:val="22"/>
                  </w:rPr>
                  <w:t>XXXX</w:t>
                </w:r>
              </w:p>
            </w:tc>
          </w:tr>
          <w:tr w:rsidR="005D25FF" w:rsidTr="00364440">
            <w:trPr>
              <w:trHeight w:val="283"/>
            </w:trPr>
            <w:tc>
              <w:tcPr>
                <w:tcW w:w="2693" w:type="dxa"/>
                <w:shd w:val="clear" w:color="auto" w:fill="auto"/>
              </w:tcPr>
              <w:p w:rsidR="005D25FF" w:rsidRPr="00364440" w:rsidRDefault="005D25FF">
                <w:pPr>
                  <w:tabs>
                    <w:tab w:val="right" w:pos="8838"/>
                  </w:tabs>
                  <w:ind w:left="-74" w:right="-10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Sujeto Obligado:</w:t>
                </w:r>
              </w:p>
            </w:tc>
            <w:tc>
              <w:tcPr>
                <w:tcW w:w="4965" w:type="dxa"/>
                <w:shd w:val="clear" w:color="auto" w:fill="auto"/>
              </w:tcPr>
              <w:p w:rsidR="005D25FF" w:rsidRPr="00364440" w:rsidRDefault="005D25FF" w:rsidP="00D15394">
                <w:pPr>
                  <w:tabs>
                    <w:tab w:val="left" w:pos="2834"/>
                    <w:tab w:val="right" w:pos="8838"/>
                  </w:tabs>
                  <w:ind w:left="-74" w:right="-1269"/>
                  <w:rPr>
                    <w:rFonts w:ascii="Palatino Linotype" w:eastAsia="Palatino Linotype" w:hAnsi="Palatino Linotype" w:cs="Palatino Linotype"/>
                    <w:szCs w:val="22"/>
                  </w:rPr>
                </w:pPr>
                <w:r w:rsidRPr="00364440">
                  <w:rPr>
                    <w:rFonts w:ascii="Palatino Linotype" w:eastAsia="Palatino Linotype" w:hAnsi="Palatino Linotype" w:cs="Palatino Linotype"/>
                    <w:szCs w:val="22"/>
                  </w:rPr>
                  <w:t>Ayuntamiento de Tepotzotlán</w:t>
                </w:r>
              </w:p>
            </w:tc>
          </w:tr>
          <w:tr w:rsidR="005D25FF" w:rsidTr="00364440">
            <w:trPr>
              <w:trHeight w:val="283"/>
            </w:trPr>
            <w:tc>
              <w:tcPr>
                <w:tcW w:w="2693" w:type="dxa"/>
                <w:shd w:val="clear" w:color="auto" w:fill="auto"/>
              </w:tcPr>
              <w:p w:rsidR="005D25FF" w:rsidRPr="00364440" w:rsidRDefault="005D25FF">
                <w:pPr>
                  <w:tabs>
                    <w:tab w:val="right" w:pos="8838"/>
                  </w:tabs>
                  <w:ind w:left="-74" w:right="-105"/>
                  <w:rPr>
                    <w:rFonts w:ascii="Palatino Linotype" w:eastAsia="Palatino Linotype" w:hAnsi="Palatino Linotype" w:cs="Palatino Linotype"/>
                    <w:b/>
                    <w:szCs w:val="22"/>
                  </w:rPr>
                </w:pPr>
                <w:r w:rsidRPr="00364440">
                  <w:rPr>
                    <w:rFonts w:ascii="Palatino Linotype" w:eastAsia="Palatino Linotype" w:hAnsi="Palatino Linotype" w:cs="Palatino Linotype"/>
                    <w:b/>
                    <w:szCs w:val="22"/>
                  </w:rPr>
                  <w:t>Comisionado ponente:</w:t>
                </w:r>
              </w:p>
            </w:tc>
            <w:tc>
              <w:tcPr>
                <w:tcW w:w="4965" w:type="dxa"/>
                <w:shd w:val="clear" w:color="auto" w:fill="auto"/>
              </w:tcPr>
              <w:p w:rsidR="005D25FF" w:rsidRPr="00364440" w:rsidRDefault="005D25FF">
                <w:pPr>
                  <w:tabs>
                    <w:tab w:val="right" w:pos="8838"/>
                  </w:tabs>
                  <w:ind w:left="-74" w:right="-1269"/>
                  <w:rPr>
                    <w:rFonts w:ascii="Palatino Linotype" w:eastAsia="Palatino Linotype" w:hAnsi="Palatino Linotype" w:cs="Palatino Linotype"/>
                    <w:szCs w:val="22"/>
                  </w:rPr>
                </w:pPr>
                <w:r w:rsidRPr="00364440">
                  <w:rPr>
                    <w:rFonts w:ascii="Palatino Linotype" w:eastAsia="Palatino Linotype" w:hAnsi="Palatino Linotype" w:cs="Palatino Linotype"/>
                    <w:szCs w:val="22"/>
                  </w:rPr>
                  <w:t>María del Rosario Mejía Ayala</w:t>
                </w:r>
              </w:p>
              <w:p w:rsidR="005D25FF" w:rsidRPr="00364440" w:rsidRDefault="005D25FF">
                <w:pPr>
                  <w:tabs>
                    <w:tab w:val="right" w:pos="8838"/>
                  </w:tabs>
                  <w:ind w:left="-74" w:right="-1269"/>
                  <w:rPr>
                    <w:rFonts w:ascii="Palatino Linotype" w:eastAsia="Palatino Linotype" w:hAnsi="Palatino Linotype" w:cs="Palatino Linotype"/>
                    <w:b/>
                    <w:szCs w:val="22"/>
                  </w:rPr>
                </w:pPr>
              </w:p>
            </w:tc>
          </w:tr>
        </w:tbl>
        <w:p w:rsidR="005D25FF" w:rsidRDefault="005D25FF">
          <w:pPr>
            <w:tabs>
              <w:tab w:val="right" w:pos="8838"/>
            </w:tabs>
            <w:ind w:left="-28"/>
            <w:jc w:val="both"/>
            <w:rPr>
              <w:rFonts w:ascii="Arial" w:eastAsia="Arial" w:hAnsi="Arial" w:cs="Arial"/>
              <w:b/>
              <w:sz w:val="22"/>
              <w:szCs w:val="22"/>
            </w:rPr>
          </w:pPr>
        </w:p>
      </w:tc>
    </w:tr>
  </w:tbl>
  <w:p w:rsidR="005D25FF" w:rsidRDefault="000A7D0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F8C4158E"/>
    <w:lvl w:ilvl="0" w:tplc="F0F2F2C8">
      <w:start w:val="1"/>
      <w:numFmt w:val="decimal"/>
      <w:lvlText w:val="%1."/>
      <w:lvlJc w:val="left"/>
      <w:pPr>
        <w:ind w:left="36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F53B1E"/>
    <w:multiLevelType w:val="hybridMultilevel"/>
    <w:tmpl w:val="F24E4252"/>
    <w:lvl w:ilvl="0" w:tplc="3FB4391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61E96050"/>
    <w:multiLevelType w:val="hybridMultilevel"/>
    <w:tmpl w:val="406A7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2738E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B6"/>
    <w:rsid w:val="00012965"/>
    <w:rsid w:val="0008518D"/>
    <w:rsid w:val="000A7D03"/>
    <w:rsid w:val="000D78FC"/>
    <w:rsid w:val="00191833"/>
    <w:rsid w:val="001C2342"/>
    <w:rsid w:val="00351BAC"/>
    <w:rsid w:val="00364440"/>
    <w:rsid w:val="004B610E"/>
    <w:rsid w:val="0052628C"/>
    <w:rsid w:val="005D25FF"/>
    <w:rsid w:val="006556E0"/>
    <w:rsid w:val="00946826"/>
    <w:rsid w:val="00A24CCA"/>
    <w:rsid w:val="00BA0EA1"/>
    <w:rsid w:val="00D15394"/>
    <w:rsid w:val="00D605A2"/>
    <w:rsid w:val="00D707B6"/>
    <w:rsid w:val="00D72ABB"/>
    <w:rsid w:val="00E46BD9"/>
    <w:rsid w:val="00E84C01"/>
    <w:rsid w:val="00F60B6F"/>
    <w:rsid w:val="00F924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26F26C-1636-4EA0-9147-68AE7C44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B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707B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D707B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07B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707B6"/>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707B6"/>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07B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07B6"/>
    <w:rPr>
      <w:rFonts w:ascii="Times New Roman" w:eastAsia="Times New Roman" w:hAnsi="Times New Roman" w:cs="Times New Roman"/>
      <w:sz w:val="24"/>
      <w:szCs w:val="24"/>
      <w:lang w:eastAsia="es-MX"/>
    </w:rPr>
  </w:style>
  <w:style w:type="table" w:styleId="Tablanormal1">
    <w:name w:val="Plain Table 1"/>
    <w:basedOn w:val="Tablanormal"/>
    <w:uiPriority w:val="41"/>
    <w:rsid w:val="00D707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D707B6"/>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D707B6"/>
    <w:rPr>
      <w:rFonts w:ascii="Arial" w:eastAsia="Batang" w:hAnsi="Arial" w:cs="Times New Roman"/>
      <w:sz w:val="20"/>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07B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07B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D707B6"/>
    <w:rPr>
      <w:vertAlign w:val="superscript"/>
    </w:rPr>
  </w:style>
  <w:style w:type="paragraph" w:styleId="Piedepgina">
    <w:name w:val="footer"/>
    <w:basedOn w:val="Normal"/>
    <w:link w:val="PiedepginaCar"/>
    <w:uiPriority w:val="99"/>
    <w:unhideWhenUsed/>
    <w:rsid w:val="00D707B6"/>
    <w:pPr>
      <w:tabs>
        <w:tab w:val="center" w:pos="4419"/>
        <w:tab w:val="right" w:pos="8838"/>
      </w:tabs>
    </w:pPr>
  </w:style>
  <w:style w:type="character" w:customStyle="1" w:styleId="PiedepginaCar">
    <w:name w:val="Pie de página Car"/>
    <w:basedOn w:val="Fuentedeprrafopredeter"/>
    <w:link w:val="Piedepgina"/>
    <w:uiPriority w:val="99"/>
    <w:rsid w:val="00D707B6"/>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658572.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15</Pages>
  <Words>3541</Words>
  <Characters>19477</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2026-04-17T17:15:00Z</cp:lastPrinted>
  <dcterms:created xsi:type="dcterms:W3CDTF">2026-04-09T16:33:00Z</dcterms:created>
  <dcterms:modified xsi:type="dcterms:W3CDTF">2026-04-22T19:38:00Z</dcterms:modified>
</cp:coreProperties>
</file>