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39CCB" w14:textId="77777777" w:rsidR="00CC6EA8" w:rsidRDefault="00CC6EA8" w:rsidP="009950AD">
      <w:pPr>
        <w:pStyle w:val="NormalINFOEM"/>
      </w:pPr>
    </w:p>
    <w:p w14:paraId="49AF2C0C" w14:textId="0D6B513D" w:rsidR="00A970D5" w:rsidRPr="008E79F7" w:rsidRDefault="00A970D5" w:rsidP="009950AD">
      <w:pPr>
        <w:pStyle w:val="NormalINFOEM"/>
      </w:pPr>
      <w:r w:rsidRPr="008E79F7">
        <w:t>Resolución del Pleno del Instituto de Transparencia, Acceso a la Información Pública y Protección de Datos Personales del Estado de México</w:t>
      </w:r>
      <w:r w:rsidR="00FD2A3F" w:rsidRPr="008E79F7">
        <w:t xml:space="preserve"> </w:t>
      </w:r>
      <w:r w:rsidRPr="008E79F7">
        <w:t xml:space="preserve">y Municipios, con domicilio en Metepec, Estado de </w:t>
      </w:r>
      <w:r w:rsidR="008B2951" w:rsidRPr="008E79F7">
        <w:t xml:space="preserve">México, </w:t>
      </w:r>
      <w:r w:rsidR="000D2E93" w:rsidRPr="008E79F7">
        <w:t>a</w:t>
      </w:r>
      <w:r w:rsidR="0011108B" w:rsidRPr="008E79F7">
        <w:t xml:space="preserve"> </w:t>
      </w:r>
      <w:r w:rsidR="007C2556" w:rsidRPr="008E79F7">
        <w:t>trece de mayo de dos mil veintiséis</w:t>
      </w:r>
      <w:r w:rsidR="0011108B" w:rsidRPr="008E79F7">
        <w:t>.</w:t>
      </w:r>
    </w:p>
    <w:p w14:paraId="60399B74" w14:textId="77777777"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58604E74" w:rsidR="00A970D5" w:rsidRPr="008E79F7" w:rsidRDefault="70652167" w:rsidP="70652167">
      <w:pPr>
        <w:pBdr>
          <w:top w:val="nil"/>
          <w:left w:val="nil"/>
          <w:bottom w:val="nil"/>
          <w:right w:val="nil"/>
          <w:between w:val="nil"/>
        </w:pBdr>
        <w:contextualSpacing/>
        <w:rPr>
          <w:rFonts w:eastAsia="Palatino Linotype" w:cs="Palatino Linotype"/>
          <w:b/>
          <w:bCs/>
          <w:color w:val="000000"/>
          <w:lang w:val="es-ES"/>
        </w:rPr>
      </w:pPr>
      <w:r w:rsidRPr="008E79F7">
        <w:rPr>
          <w:rFonts w:eastAsia="Palatino Linotype" w:cs="Palatino Linotype"/>
          <w:b/>
          <w:bCs/>
          <w:color w:val="000000" w:themeColor="text1"/>
          <w:lang w:val="es-ES"/>
        </w:rPr>
        <w:t>VISTO</w:t>
      </w:r>
      <w:r w:rsidRPr="008E79F7">
        <w:rPr>
          <w:rFonts w:eastAsia="Palatino Linotype" w:cs="Palatino Linotype"/>
          <w:color w:val="000000" w:themeColor="text1"/>
          <w:lang w:val="es-ES"/>
        </w:rPr>
        <w:t xml:space="preserve"> el expediente electrónico formado con motivo del recurso de revisión número </w:t>
      </w:r>
      <w:bookmarkStart w:id="0" w:name="_GoBack"/>
      <w:r w:rsidR="00FA35CE" w:rsidRPr="008E79F7">
        <w:rPr>
          <w:rFonts w:eastAsia="Palatino Linotype" w:cs="Palatino Linotype"/>
          <w:b/>
          <w:bCs/>
          <w:color w:val="000000" w:themeColor="text1"/>
          <w:lang w:val="es-ES"/>
        </w:rPr>
        <w:t>14200/INFOEM/IP/RR/2025</w:t>
      </w:r>
      <w:bookmarkEnd w:id="0"/>
      <w:r w:rsidRPr="008E79F7">
        <w:rPr>
          <w:rFonts w:eastAsia="Palatino Linotype" w:cs="Palatino Linotype"/>
          <w:color w:val="000000" w:themeColor="text1"/>
          <w:lang w:val="es-ES"/>
        </w:rPr>
        <w:t xml:space="preserve">, interpuesto por </w:t>
      </w:r>
      <w:r w:rsidR="00F91AA5">
        <w:rPr>
          <w:rFonts w:eastAsia="Palatino Linotype" w:cs="Palatino Linotype"/>
          <w:b/>
          <w:bCs/>
          <w:color w:val="000000" w:themeColor="text1"/>
          <w:lang w:val="es-ES"/>
        </w:rPr>
        <w:t>XXXXXXXXXX</w:t>
      </w:r>
      <w:r w:rsidR="00E97C2F" w:rsidRPr="008E79F7">
        <w:rPr>
          <w:rFonts w:eastAsia="Palatino Linotype" w:cs="Palatino Linotype"/>
          <w:color w:val="000000" w:themeColor="text1"/>
          <w:lang w:val="es-ES"/>
        </w:rPr>
        <w:t>, en lo su</w:t>
      </w:r>
      <w:r w:rsidR="00771E23" w:rsidRPr="008E79F7">
        <w:rPr>
          <w:rFonts w:eastAsia="Palatino Linotype" w:cs="Palatino Linotype"/>
          <w:color w:val="000000" w:themeColor="text1"/>
          <w:lang w:val="es-ES"/>
        </w:rPr>
        <w:t xml:space="preserve">cesivo </w:t>
      </w:r>
      <w:r w:rsidR="001C3595" w:rsidRPr="008E79F7">
        <w:rPr>
          <w:rFonts w:eastAsia="Palatino Linotype" w:cs="Palatino Linotype"/>
          <w:color w:val="000000" w:themeColor="text1"/>
          <w:lang w:val="es-ES"/>
        </w:rPr>
        <w:t>el</w:t>
      </w:r>
      <w:r w:rsidRPr="008E79F7">
        <w:rPr>
          <w:rFonts w:eastAsia="Palatino Linotype" w:cs="Palatino Linotype"/>
          <w:color w:val="000000" w:themeColor="text1"/>
          <w:lang w:val="es-ES"/>
        </w:rPr>
        <w:t xml:space="preserve"> </w:t>
      </w:r>
      <w:r w:rsidRPr="008E79F7">
        <w:rPr>
          <w:rFonts w:eastAsia="Palatino Linotype" w:cs="Palatino Linotype"/>
          <w:b/>
          <w:bCs/>
          <w:color w:val="000000" w:themeColor="text1"/>
          <w:lang w:val="es-ES"/>
        </w:rPr>
        <w:t>Recurrente</w:t>
      </w:r>
      <w:r w:rsidRPr="008E79F7">
        <w:rPr>
          <w:rFonts w:eastAsia="Palatino Linotype" w:cs="Palatino Linotype"/>
          <w:color w:val="000000" w:themeColor="text1"/>
          <w:lang w:val="es-ES"/>
        </w:rPr>
        <w:t>, en contra de la respuesta de</w:t>
      </w:r>
      <w:r w:rsidR="00920835" w:rsidRPr="008E79F7">
        <w:rPr>
          <w:rFonts w:eastAsia="Palatino Linotype" w:cs="Palatino Linotype"/>
          <w:color w:val="000000" w:themeColor="text1"/>
          <w:lang w:val="es-ES"/>
        </w:rPr>
        <w:t>l</w:t>
      </w:r>
      <w:r w:rsidRPr="008E79F7">
        <w:rPr>
          <w:rFonts w:eastAsia="Palatino Linotype" w:cs="Palatino Linotype"/>
          <w:color w:val="000000" w:themeColor="text1"/>
          <w:lang w:val="es-ES"/>
        </w:rPr>
        <w:t xml:space="preserve"> </w:t>
      </w:r>
      <w:r w:rsidR="00314209" w:rsidRPr="008E79F7">
        <w:rPr>
          <w:rFonts w:eastAsia="Palatino Linotype" w:cs="Palatino Linotype"/>
          <w:b/>
          <w:bCs/>
          <w:color w:val="000000" w:themeColor="text1"/>
          <w:lang w:val="es-ES"/>
        </w:rPr>
        <w:t>Ayuntamiento de Tecámac</w:t>
      </w:r>
      <w:r w:rsidR="00771E23" w:rsidRPr="008E79F7">
        <w:rPr>
          <w:rFonts w:eastAsia="Palatino Linotype" w:cs="Palatino Linotype"/>
          <w:b/>
          <w:bCs/>
          <w:color w:val="000000" w:themeColor="text1"/>
          <w:lang w:val="es-ES"/>
        </w:rPr>
        <w:t>,</w:t>
      </w:r>
      <w:r w:rsidR="00920835" w:rsidRPr="008E79F7">
        <w:rPr>
          <w:rFonts w:eastAsia="Palatino Linotype" w:cs="Palatino Linotype"/>
          <w:b/>
          <w:bCs/>
          <w:color w:val="000000" w:themeColor="text1"/>
          <w:lang w:val="es-ES"/>
        </w:rPr>
        <w:t xml:space="preserve"> </w:t>
      </w:r>
      <w:r w:rsidRPr="008E79F7">
        <w:rPr>
          <w:rFonts w:eastAsia="Palatino Linotype" w:cs="Palatino Linotype"/>
          <w:color w:val="000000" w:themeColor="text1"/>
          <w:lang w:val="es-ES"/>
        </w:rPr>
        <w:t>en lo subsecuente</w:t>
      </w:r>
      <w:r w:rsidRPr="008E79F7">
        <w:rPr>
          <w:rFonts w:eastAsia="Palatino Linotype" w:cs="Palatino Linotype"/>
          <w:b/>
          <w:bCs/>
          <w:color w:val="000000" w:themeColor="text1"/>
          <w:lang w:val="es-ES"/>
        </w:rPr>
        <w:t xml:space="preserve"> </w:t>
      </w:r>
      <w:r w:rsidRPr="008E79F7">
        <w:rPr>
          <w:rFonts w:eastAsia="Palatino Linotype" w:cs="Palatino Linotype"/>
          <w:color w:val="000000" w:themeColor="text1"/>
          <w:lang w:val="es-ES"/>
        </w:rPr>
        <w:t>el</w:t>
      </w:r>
      <w:r w:rsidRPr="008E79F7">
        <w:rPr>
          <w:rFonts w:eastAsia="Palatino Linotype" w:cs="Palatino Linotype"/>
          <w:b/>
          <w:bCs/>
          <w:color w:val="000000" w:themeColor="text1"/>
          <w:lang w:val="es-ES"/>
        </w:rPr>
        <w:t xml:space="preserve"> Sujeto Obligado, </w:t>
      </w:r>
      <w:r w:rsidRPr="008E79F7">
        <w:rPr>
          <w:rFonts w:eastAsia="Palatino Linotype" w:cs="Palatino Linotype"/>
          <w:color w:val="000000" w:themeColor="text1"/>
          <w:lang w:val="es-ES"/>
        </w:rPr>
        <w:t>se procede a dictar la presente resolución.</w:t>
      </w:r>
    </w:p>
    <w:p w14:paraId="2E2053C2" w14:textId="77777777"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8E79F7" w:rsidRDefault="00A970D5" w:rsidP="006922F5">
      <w:pPr>
        <w:pStyle w:val="Ttulo1"/>
        <w:rPr>
          <w:rFonts w:eastAsia="Palatino Linotype"/>
          <w:lang w:val="es-ES_tradnl"/>
        </w:rPr>
      </w:pPr>
      <w:r w:rsidRPr="008E79F7">
        <w:rPr>
          <w:rFonts w:eastAsia="Palatino Linotype"/>
          <w:lang w:val="es-ES_tradnl"/>
        </w:rPr>
        <w:t>A N T E C E D E N T E S</w:t>
      </w:r>
    </w:p>
    <w:p w14:paraId="32F88820" w14:textId="77777777"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8E79F7" w:rsidRDefault="00A970D5" w:rsidP="006922F5">
      <w:pPr>
        <w:pStyle w:val="Ttulo2"/>
        <w:rPr>
          <w:rFonts w:eastAsia="Palatino Linotype"/>
        </w:rPr>
      </w:pPr>
      <w:r w:rsidRPr="008E79F7">
        <w:rPr>
          <w:rFonts w:eastAsia="Palatino Linotype"/>
        </w:rPr>
        <w:t xml:space="preserve">PRIMERO. De la </w:t>
      </w:r>
      <w:r w:rsidR="00A24D3F" w:rsidRPr="008E79F7">
        <w:rPr>
          <w:rFonts w:eastAsia="Palatino Linotype"/>
        </w:rPr>
        <w:t>s</w:t>
      </w:r>
      <w:r w:rsidRPr="008E79F7">
        <w:rPr>
          <w:rFonts w:eastAsia="Palatino Linotype"/>
        </w:rPr>
        <w:t xml:space="preserve">olicitud de </w:t>
      </w:r>
      <w:r w:rsidR="00A24D3F" w:rsidRPr="008E79F7">
        <w:rPr>
          <w:rFonts w:eastAsia="Palatino Linotype"/>
        </w:rPr>
        <w:t>i</w:t>
      </w:r>
      <w:r w:rsidRPr="008E79F7">
        <w:rPr>
          <w:rFonts w:eastAsia="Palatino Linotype"/>
        </w:rPr>
        <w:t>nformación.</w:t>
      </w:r>
    </w:p>
    <w:p w14:paraId="68B56D82" w14:textId="4134D507" w:rsidR="00A970D5" w:rsidRPr="008E79F7" w:rsidRDefault="003337B6" w:rsidP="006922F5">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 xml:space="preserve">Con fecha </w:t>
      </w:r>
      <w:r w:rsidR="00C30699" w:rsidRPr="008E79F7">
        <w:rPr>
          <w:rFonts w:eastAsia="Palatino Linotype" w:cs="Palatino Linotype"/>
          <w:color w:val="000000"/>
          <w:szCs w:val="24"/>
        </w:rPr>
        <w:t>o</w:t>
      </w:r>
      <w:r w:rsidR="00EB6D7F" w:rsidRPr="008E79F7">
        <w:rPr>
          <w:rFonts w:eastAsia="Palatino Linotype" w:cs="Palatino Linotype"/>
          <w:color w:val="000000"/>
          <w:szCs w:val="24"/>
        </w:rPr>
        <w:t>nce de noviembre</w:t>
      </w:r>
      <w:r w:rsidRPr="008E79F7">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642669" w:rsidRPr="008E79F7">
        <w:rPr>
          <w:rFonts w:eastAsia="Palatino Linotype" w:cs="Palatino Linotype"/>
          <w:b/>
          <w:bCs/>
          <w:color w:val="000000"/>
          <w:szCs w:val="24"/>
        </w:rPr>
        <w:t xml:space="preserve"> </w:t>
      </w:r>
      <w:r w:rsidR="00314209" w:rsidRPr="008E79F7">
        <w:rPr>
          <w:rFonts w:eastAsia="Palatino Linotype" w:cs="Palatino Linotype"/>
          <w:b/>
          <w:bCs/>
          <w:color w:val="000000"/>
          <w:szCs w:val="24"/>
        </w:rPr>
        <w:t>00270/TECAMAC/IP/2025</w:t>
      </w:r>
      <w:r w:rsidR="00A970D5" w:rsidRPr="008E79F7">
        <w:rPr>
          <w:rFonts w:eastAsia="Palatino Linotype" w:cs="Palatino Linotype"/>
          <w:color w:val="000000"/>
          <w:szCs w:val="24"/>
        </w:rPr>
        <w:t>,</w:t>
      </w:r>
      <w:r w:rsidR="00A970D5" w:rsidRPr="008E79F7">
        <w:rPr>
          <w:rFonts w:eastAsia="Palatino Linotype" w:cs="Palatino Linotype"/>
          <w:b/>
          <w:color w:val="000000"/>
          <w:szCs w:val="24"/>
        </w:rPr>
        <w:t xml:space="preserve"> </w:t>
      </w:r>
      <w:r w:rsidRPr="008E79F7">
        <w:rPr>
          <w:rFonts w:eastAsia="Palatino Linotype" w:cs="Palatino Linotype"/>
          <w:color w:val="000000"/>
          <w:szCs w:val="24"/>
        </w:rPr>
        <w:t>mediante la cual solicitó información en el tenor siguiente:</w:t>
      </w:r>
    </w:p>
    <w:p w14:paraId="3BED2E12" w14:textId="77777777" w:rsidR="003337B6" w:rsidRPr="008E79F7"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4D533397" w:rsidR="00A970D5" w:rsidRPr="008E79F7" w:rsidRDefault="00EB6D7F" w:rsidP="009950AD">
      <w:pPr>
        <w:pStyle w:val="Fundamentos"/>
      </w:pPr>
      <w:r w:rsidRPr="008E79F7">
        <w:rPr>
          <w:lang w:val="es-ES"/>
        </w:rPr>
        <w:t>«</w:t>
      </w:r>
      <w:r w:rsidR="009A179B" w:rsidRPr="008E79F7">
        <w:rPr>
          <w:lang w:val="es-ES"/>
        </w:rPr>
        <w:t>SOLICITO COPIA SIMPLE DIGITALIZADA A TRAVÉS DEL SISTEMA ELECTRÓNICO SAIMEX DE TODAS LAS FACTURAS PAGADAS Y EN PROCESO DE PAGO POR MÁS DE UN MILLÓN DE PESOS GENERADAS ENTRE EL 1 DE ENERO Y EL 10 DE NOVIEMBRE DE 2025.</w:t>
      </w:r>
      <w:r w:rsidR="70652167" w:rsidRPr="008E79F7">
        <w:rPr>
          <w:lang w:val="es-ES"/>
        </w:rPr>
        <w:t>» (Sic)</w:t>
      </w:r>
    </w:p>
    <w:p w14:paraId="40BBECCB" w14:textId="77777777"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8E79F7" w:rsidRDefault="00A970D5" w:rsidP="006922F5">
      <w:pPr>
        <w:pBdr>
          <w:top w:val="nil"/>
          <w:left w:val="nil"/>
          <w:bottom w:val="nil"/>
          <w:right w:val="nil"/>
          <w:between w:val="nil"/>
        </w:pBdr>
        <w:contextualSpacing/>
        <w:rPr>
          <w:rFonts w:eastAsia="Palatino Linotype" w:cs="Palatino Linotype"/>
          <w:b/>
          <w:color w:val="000000"/>
          <w:szCs w:val="24"/>
        </w:rPr>
      </w:pPr>
      <w:r w:rsidRPr="008E79F7">
        <w:rPr>
          <w:rFonts w:eastAsia="Palatino Linotype" w:cs="Palatino Linotype"/>
          <w:color w:val="000000"/>
          <w:szCs w:val="24"/>
        </w:rPr>
        <w:t xml:space="preserve">Modalidad de entrega: </w:t>
      </w:r>
      <w:r w:rsidR="004A6F01" w:rsidRPr="008E79F7">
        <w:rPr>
          <w:rFonts w:eastAsia="Palatino Linotype" w:cs="Palatino Linotype"/>
          <w:b/>
          <w:color w:val="000000"/>
          <w:szCs w:val="24"/>
        </w:rPr>
        <w:t>A través del SAIMEX</w:t>
      </w:r>
    </w:p>
    <w:p w14:paraId="1063B60E" w14:textId="77777777" w:rsidR="007B7C73" w:rsidRPr="008E79F7" w:rsidRDefault="007B7C73" w:rsidP="006922F5">
      <w:pPr>
        <w:pBdr>
          <w:top w:val="nil"/>
          <w:left w:val="nil"/>
          <w:bottom w:val="nil"/>
          <w:right w:val="nil"/>
          <w:between w:val="nil"/>
        </w:pBdr>
        <w:contextualSpacing/>
        <w:rPr>
          <w:rFonts w:eastAsia="Palatino Linotype" w:cs="Palatino Linotype"/>
          <w:color w:val="000000"/>
          <w:szCs w:val="24"/>
        </w:rPr>
      </w:pPr>
    </w:p>
    <w:p w14:paraId="71839FB8" w14:textId="77777777" w:rsidR="00963DD0" w:rsidRPr="008E79F7" w:rsidRDefault="00963DD0" w:rsidP="006922F5">
      <w:pPr>
        <w:pBdr>
          <w:top w:val="nil"/>
          <w:left w:val="nil"/>
          <w:bottom w:val="nil"/>
          <w:right w:val="nil"/>
          <w:between w:val="nil"/>
        </w:pBdr>
        <w:contextualSpacing/>
        <w:rPr>
          <w:rFonts w:eastAsia="Palatino Linotype" w:cs="Palatino Linotype"/>
          <w:color w:val="000000"/>
          <w:szCs w:val="24"/>
        </w:rPr>
      </w:pPr>
    </w:p>
    <w:p w14:paraId="1AEDC68E" w14:textId="5D8DE7D5" w:rsidR="00A970D5" w:rsidRPr="008E79F7" w:rsidRDefault="00EB6D7F" w:rsidP="006922F5">
      <w:pPr>
        <w:pStyle w:val="Ttulo2"/>
        <w:rPr>
          <w:rFonts w:eastAsia="Palatino Linotype"/>
        </w:rPr>
      </w:pPr>
      <w:r w:rsidRPr="008E79F7">
        <w:rPr>
          <w:rFonts w:eastAsia="Palatino Linotype"/>
        </w:rPr>
        <w:t>SEGUNDO</w:t>
      </w:r>
      <w:r w:rsidR="00A970D5" w:rsidRPr="008E79F7">
        <w:rPr>
          <w:rFonts w:eastAsia="Palatino Linotype"/>
        </w:rPr>
        <w:t>. De la respuesta del Sujeto Obligado.</w:t>
      </w:r>
    </w:p>
    <w:p w14:paraId="2EE6F294" w14:textId="77600E04"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De las constancias que obran en el expediente electrónico, se observa qu</w:t>
      </w:r>
      <w:r w:rsidR="008B2951" w:rsidRPr="008E79F7">
        <w:rPr>
          <w:rFonts w:eastAsia="Palatino Linotype" w:cs="Palatino Linotype"/>
          <w:color w:val="000000"/>
          <w:szCs w:val="24"/>
        </w:rPr>
        <w:t>e el día</w:t>
      </w:r>
      <w:r w:rsidR="004A3367" w:rsidRPr="008E79F7">
        <w:rPr>
          <w:rFonts w:eastAsia="Palatino Linotype" w:cs="Palatino Linotype"/>
          <w:color w:val="000000"/>
          <w:szCs w:val="24"/>
        </w:rPr>
        <w:t xml:space="preserve"> </w:t>
      </w:r>
      <w:r w:rsidR="00782547" w:rsidRPr="008E79F7">
        <w:rPr>
          <w:rFonts w:eastAsia="Palatino Linotype" w:cs="Palatino Linotype"/>
          <w:color w:val="000000"/>
          <w:szCs w:val="24"/>
        </w:rPr>
        <w:t xml:space="preserve">tres de diciembre </w:t>
      </w:r>
      <w:r w:rsidR="004A5EE6" w:rsidRPr="008E79F7">
        <w:rPr>
          <w:rFonts w:eastAsia="Palatino Linotype" w:cs="Palatino Linotype"/>
          <w:color w:val="000000"/>
          <w:szCs w:val="24"/>
        </w:rPr>
        <w:t>de dos mil veinticinco</w:t>
      </w:r>
      <w:r w:rsidRPr="008E79F7">
        <w:rPr>
          <w:rFonts w:eastAsia="Palatino Linotype" w:cs="Palatino Linotype"/>
          <w:color w:val="000000"/>
          <w:szCs w:val="24"/>
        </w:rPr>
        <w:t>, el Sujeto Obligado dio respuest</w:t>
      </w:r>
      <w:r w:rsidR="009F4FF4" w:rsidRPr="008E79F7">
        <w:rPr>
          <w:rFonts w:eastAsia="Palatino Linotype" w:cs="Palatino Linotype"/>
          <w:color w:val="000000"/>
          <w:szCs w:val="24"/>
        </w:rPr>
        <w:t>a a la solicitud de información</w:t>
      </w:r>
      <w:r w:rsidRPr="008E79F7">
        <w:rPr>
          <w:rFonts w:eastAsia="Palatino Linotype" w:cs="Palatino Linotype"/>
          <w:color w:val="000000"/>
          <w:szCs w:val="24"/>
        </w:rPr>
        <w:t xml:space="preserve"> manifestando lo siguiente:</w:t>
      </w:r>
    </w:p>
    <w:p w14:paraId="6CF4EC0F" w14:textId="77777777"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18AE1DE7" w14:textId="4872BCF6" w:rsidR="00942765" w:rsidRPr="008E79F7" w:rsidRDefault="23740614" w:rsidP="00942765">
      <w:pPr>
        <w:pStyle w:val="Fundamentos"/>
        <w:rPr>
          <w:lang w:val="es-ES"/>
        </w:rPr>
      </w:pPr>
      <w:r w:rsidRPr="008E79F7">
        <w:rPr>
          <w:lang w:val="es-ES"/>
        </w:rPr>
        <w:t>«</w:t>
      </w:r>
      <w:r w:rsidR="00942765" w:rsidRPr="008E79F7">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A57C119" w14:textId="77777777" w:rsidR="00942765" w:rsidRPr="008E79F7" w:rsidRDefault="00942765" w:rsidP="00942765">
      <w:pPr>
        <w:pStyle w:val="Fundamentos"/>
        <w:rPr>
          <w:lang w:val="es-ES"/>
        </w:rPr>
      </w:pPr>
    </w:p>
    <w:p w14:paraId="6ABDD3F3" w14:textId="77777777" w:rsidR="00942765" w:rsidRPr="008E79F7" w:rsidRDefault="00942765" w:rsidP="00942765">
      <w:pPr>
        <w:pStyle w:val="Fundamentos"/>
        <w:rPr>
          <w:lang w:val="es-ES"/>
        </w:rPr>
      </w:pPr>
      <w:r w:rsidRPr="008E79F7">
        <w:rPr>
          <w:lang w:val="es-ES"/>
        </w:rPr>
        <w:t>CON FUNDAMENTO EN EL ARTICULO 194 DE LA LEY DE TRANSPARENCIA DEL ESTADO DE MÉXICO Y MUNICIPIOS, HAGO DE SU CONOCIMIENTO QUE LA TESORERIA MUNICIPAL NO CUENTA CON CAPACIDAD TECNICA Y HUMANA PARA DAR CONTINUIDAD Y PROCESO A SU SOLICITUD, POR LO QUE LE RECOMIENDO REALIZAR NUEVAMENTE EL REQUERIMIENTO DE INFORMACIÓN.</w:t>
      </w:r>
    </w:p>
    <w:p w14:paraId="7A81DA90" w14:textId="77777777" w:rsidR="00942765" w:rsidRPr="008E79F7" w:rsidRDefault="00942765" w:rsidP="00942765">
      <w:pPr>
        <w:pStyle w:val="Fundamentos"/>
        <w:rPr>
          <w:lang w:val="es-ES"/>
        </w:rPr>
      </w:pPr>
    </w:p>
    <w:p w14:paraId="0F78F17D" w14:textId="77777777" w:rsidR="00942765" w:rsidRPr="008E79F7" w:rsidRDefault="00942765" w:rsidP="00942765">
      <w:pPr>
        <w:pStyle w:val="Fundamentos"/>
        <w:rPr>
          <w:lang w:val="es-ES"/>
        </w:rPr>
      </w:pPr>
      <w:r w:rsidRPr="008E79F7">
        <w:rPr>
          <w:lang w:val="es-ES"/>
        </w:rPr>
        <w:t>ATENTAMENTE</w:t>
      </w:r>
    </w:p>
    <w:p w14:paraId="3FE4A9EF" w14:textId="62AAC6D0" w:rsidR="00A970D5" w:rsidRPr="008E79F7" w:rsidRDefault="00942765" w:rsidP="00942765">
      <w:pPr>
        <w:pStyle w:val="Fundamentos"/>
        <w:rPr>
          <w:lang w:val="es-MX"/>
        </w:rPr>
      </w:pPr>
      <w:r w:rsidRPr="008E79F7">
        <w:rPr>
          <w:lang w:val="es-ES"/>
        </w:rPr>
        <w:t>LIC. CARLOS ALONSO HERNÁNDEZ PELÁEZ</w:t>
      </w:r>
      <w:r w:rsidR="00851748" w:rsidRPr="008E79F7">
        <w:rPr>
          <w:lang w:val="es-MX"/>
        </w:rPr>
        <w:t>»</w:t>
      </w:r>
      <w:r w:rsidR="00A970D5" w:rsidRPr="008E79F7">
        <w:rPr>
          <w:lang w:val="es-MX"/>
        </w:rPr>
        <w:t xml:space="preserve"> (Sic)</w:t>
      </w:r>
    </w:p>
    <w:p w14:paraId="2EAB8352" w14:textId="3B77EF6C" w:rsidR="001107C4" w:rsidRPr="008E79F7"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8FA11DD" w14:textId="6B9680BE" w:rsidR="00A970D5" w:rsidRPr="008E79F7" w:rsidRDefault="00EB6D7F" w:rsidP="006922F5">
      <w:pPr>
        <w:pStyle w:val="Ttulo2"/>
        <w:rPr>
          <w:rFonts w:eastAsia="Palatino Linotype"/>
        </w:rPr>
      </w:pPr>
      <w:r w:rsidRPr="008E79F7">
        <w:rPr>
          <w:rFonts w:eastAsia="Palatino Linotype"/>
        </w:rPr>
        <w:t>TERCERO</w:t>
      </w:r>
      <w:r w:rsidR="00A970D5" w:rsidRPr="008E79F7">
        <w:rPr>
          <w:rFonts w:eastAsia="Palatino Linotype"/>
        </w:rPr>
        <w:t>. Del recurso de revisión.</w:t>
      </w:r>
    </w:p>
    <w:p w14:paraId="0C8C3A2F" w14:textId="64A09DBB" w:rsidR="00A970D5" w:rsidRPr="008E79F7" w:rsidRDefault="0090115A" w:rsidP="006922F5">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Inconforme con la respuesta emitida</w:t>
      </w:r>
      <w:r w:rsidR="00EB6D7F" w:rsidRPr="008E79F7">
        <w:rPr>
          <w:rFonts w:eastAsia="Palatino Linotype" w:cs="Palatino Linotype"/>
          <w:color w:val="000000"/>
          <w:szCs w:val="24"/>
        </w:rPr>
        <w:t xml:space="preserve"> por el Sujeto Obligado</w:t>
      </w:r>
      <w:r w:rsidR="006726AD" w:rsidRPr="008E79F7">
        <w:rPr>
          <w:rFonts w:eastAsia="Palatino Linotype" w:cs="Palatino Linotype"/>
          <w:color w:val="000000"/>
          <w:szCs w:val="24"/>
        </w:rPr>
        <w:t xml:space="preserve">, </w:t>
      </w:r>
      <w:r w:rsidR="008A7F39" w:rsidRPr="008E79F7">
        <w:rPr>
          <w:rFonts w:eastAsia="Palatino Linotype" w:cs="Palatino Linotype"/>
          <w:color w:val="000000"/>
          <w:szCs w:val="24"/>
        </w:rPr>
        <w:t>el Recurrente</w:t>
      </w:r>
      <w:r w:rsidRPr="008E79F7">
        <w:rPr>
          <w:rFonts w:eastAsia="Palatino Linotype" w:cs="Palatino Linotype"/>
          <w:color w:val="000000"/>
          <w:szCs w:val="24"/>
        </w:rPr>
        <w:t xml:space="preserve"> interpuso el presente recurso de revisión el </w:t>
      </w:r>
      <w:r w:rsidR="00EB6D7F" w:rsidRPr="008E79F7">
        <w:rPr>
          <w:rFonts w:eastAsia="Palatino Linotype" w:cs="Palatino Linotype"/>
          <w:color w:val="000000"/>
          <w:szCs w:val="24"/>
        </w:rPr>
        <w:t>once de diciembre</w:t>
      </w:r>
      <w:r w:rsidR="00DE2889" w:rsidRPr="008E79F7">
        <w:rPr>
          <w:rFonts w:eastAsia="Palatino Linotype" w:cs="Palatino Linotype"/>
          <w:color w:val="000000"/>
          <w:szCs w:val="24"/>
        </w:rPr>
        <w:t xml:space="preserve"> de dos mil veinticinco</w:t>
      </w:r>
      <w:r w:rsidRPr="008E79F7">
        <w:rPr>
          <w:rFonts w:eastAsia="Palatino Linotype" w:cs="Palatino Linotype"/>
          <w:color w:val="000000"/>
          <w:szCs w:val="24"/>
        </w:rPr>
        <w:t>, el cual se registró en el SAIMEX con el expediente número</w:t>
      </w:r>
      <w:r w:rsidR="00A970D5" w:rsidRPr="008E79F7">
        <w:rPr>
          <w:rFonts w:eastAsia="Palatino Linotype" w:cs="Palatino Linotype"/>
          <w:color w:val="000000"/>
          <w:szCs w:val="24"/>
        </w:rPr>
        <w:t xml:space="preserve"> </w:t>
      </w:r>
      <w:r w:rsidR="00FA35CE" w:rsidRPr="008E79F7">
        <w:rPr>
          <w:rFonts w:eastAsia="Palatino Linotype" w:cs="Palatino Linotype"/>
          <w:b/>
          <w:color w:val="000000"/>
          <w:szCs w:val="24"/>
        </w:rPr>
        <w:t>14200/INFOEM/IP/RR/2025</w:t>
      </w:r>
      <w:r w:rsidR="00A06896" w:rsidRPr="008E79F7">
        <w:rPr>
          <w:rFonts w:eastAsia="Palatino Linotype" w:cs="Palatino Linotype"/>
          <w:color w:val="000000"/>
          <w:szCs w:val="24"/>
        </w:rPr>
        <w:t xml:space="preserve">, </w:t>
      </w:r>
      <w:r w:rsidRPr="008E79F7">
        <w:rPr>
          <w:rFonts w:eastAsia="Palatino Linotype" w:cs="Palatino Linotype"/>
          <w:color w:val="000000"/>
          <w:szCs w:val="24"/>
        </w:rPr>
        <w:t>en el que manifestó</w:t>
      </w:r>
      <w:r w:rsidR="00A970D5" w:rsidRPr="008E79F7">
        <w:rPr>
          <w:rFonts w:eastAsia="Palatino Linotype" w:cs="Palatino Linotype"/>
          <w:color w:val="000000"/>
          <w:szCs w:val="24"/>
        </w:rPr>
        <w:t xml:space="preserve"> lo siguiente:</w:t>
      </w:r>
    </w:p>
    <w:p w14:paraId="7AA0C9F4" w14:textId="046134A0"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8E79F7" w:rsidRDefault="00A970D5" w:rsidP="006922F5">
      <w:pPr>
        <w:contextualSpacing/>
        <w:rPr>
          <w:rFonts w:eastAsia="Palatino Linotype" w:cs="Palatino Linotype"/>
          <w:b/>
        </w:rPr>
      </w:pPr>
      <w:r w:rsidRPr="008E79F7">
        <w:rPr>
          <w:rFonts w:eastAsia="Palatino Linotype" w:cs="Palatino Linotype"/>
          <w:b/>
        </w:rPr>
        <w:t>Acto Impugnado:</w:t>
      </w:r>
      <w:r w:rsidR="00655007" w:rsidRPr="008E79F7">
        <w:rPr>
          <w:rFonts w:eastAsia="Palatino Linotype" w:cs="Palatino Linotype"/>
          <w:b/>
        </w:rPr>
        <w:t xml:space="preserve"> </w:t>
      </w:r>
    </w:p>
    <w:p w14:paraId="4A0EFE5A" w14:textId="32468952" w:rsidR="00A970D5" w:rsidRPr="008E79F7" w:rsidRDefault="5C35490E" w:rsidP="5C35490E">
      <w:pPr>
        <w:pStyle w:val="Fundamentos"/>
        <w:rPr>
          <w:b/>
          <w:bCs/>
          <w:lang w:val="es-ES"/>
        </w:rPr>
      </w:pPr>
      <w:r w:rsidRPr="008E79F7">
        <w:rPr>
          <w:lang w:val="es-ES"/>
        </w:rPr>
        <w:t>«</w:t>
      </w:r>
      <w:r w:rsidR="00963DD0" w:rsidRPr="008E79F7">
        <w:rPr>
          <w:lang w:val="es-ES"/>
        </w:rPr>
        <w:t>RSPUESTA A LA SOLICITUD 00270/TECAMAC/IP/2025</w:t>
      </w:r>
      <w:r w:rsidRPr="008E79F7">
        <w:rPr>
          <w:lang w:val="es-ES"/>
        </w:rPr>
        <w:t>» (Sic)</w:t>
      </w:r>
    </w:p>
    <w:p w14:paraId="3C40A441" w14:textId="0B2599C4" w:rsidR="00A970D5" w:rsidRPr="008E79F7" w:rsidRDefault="00A970D5" w:rsidP="00FA1919">
      <w:pPr>
        <w:tabs>
          <w:tab w:val="left" w:pos="2515"/>
        </w:tabs>
        <w:contextualSpacing/>
        <w:rPr>
          <w:rFonts w:eastAsia="Palatino Linotype" w:cs="Palatino Linotype"/>
          <w:iCs/>
          <w:szCs w:val="24"/>
          <w:lang w:val="es-ES"/>
        </w:rPr>
      </w:pPr>
    </w:p>
    <w:p w14:paraId="0F6CFE30" w14:textId="719FCACE" w:rsidR="00300EA0" w:rsidRPr="008E79F7" w:rsidRDefault="002B6B0F" w:rsidP="00300EA0">
      <w:pPr>
        <w:contextualSpacing/>
        <w:rPr>
          <w:rFonts w:eastAsia="Palatino Linotype" w:cs="Palatino Linotype"/>
          <w:b/>
        </w:rPr>
      </w:pPr>
      <w:r w:rsidRPr="008E79F7">
        <w:rPr>
          <w:rFonts w:eastAsia="Palatino Linotype" w:cs="Palatino Linotype"/>
          <w:b/>
        </w:rPr>
        <w:lastRenderedPageBreak/>
        <w:t>Razones o motivos de inconformidad</w:t>
      </w:r>
      <w:r w:rsidR="00300EA0" w:rsidRPr="008E79F7">
        <w:rPr>
          <w:rFonts w:eastAsia="Palatino Linotype" w:cs="Palatino Linotype"/>
          <w:b/>
        </w:rPr>
        <w:t xml:space="preserve">: </w:t>
      </w:r>
    </w:p>
    <w:p w14:paraId="636038ED" w14:textId="0A9EB750" w:rsidR="00300EA0" w:rsidRPr="008E79F7" w:rsidRDefault="00017B72" w:rsidP="00300EA0">
      <w:pPr>
        <w:pStyle w:val="Fundamentos"/>
        <w:rPr>
          <w:b/>
          <w:bCs/>
          <w:lang w:val="es-ES"/>
        </w:rPr>
      </w:pPr>
      <w:r w:rsidRPr="008E79F7">
        <w:rPr>
          <w:lang w:val="es-ES"/>
        </w:rPr>
        <w:t>«</w:t>
      </w:r>
      <w:r w:rsidR="00DE721C" w:rsidRPr="008E79F7">
        <w:rPr>
          <w:lang w:val="es-ES"/>
        </w:rPr>
        <w:t>ES CLARA Y CONTUNDENTE LA NEGATIVA DEL SUJETO A ENTREGAR LA INFORMACION PÚBLICA SOLICITADA.</w:t>
      </w:r>
      <w:r w:rsidR="00300EA0" w:rsidRPr="008E79F7">
        <w:rPr>
          <w:lang w:val="es-ES"/>
        </w:rPr>
        <w:t>» (Sic)</w:t>
      </w:r>
    </w:p>
    <w:p w14:paraId="0A3CE1C1" w14:textId="77777777" w:rsidR="00390EBF" w:rsidRPr="008E79F7" w:rsidRDefault="00390EBF" w:rsidP="006922F5">
      <w:pPr>
        <w:contextualSpacing/>
        <w:rPr>
          <w:rFonts w:eastAsia="Palatino Linotype" w:cs="Palatino Linotype"/>
          <w:iCs/>
          <w:szCs w:val="24"/>
          <w:lang w:val="es-ES"/>
        </w:rPr>
      </w:pPr>
    </w:p>
    <w:p w14:paraId="11D7F189" w14:textId="6263F1D2" w:rsidR="00A970D5" w:rsidRPr="008E79F7" w:rsidRDefault="00EB6D7F" w:rsidP="006922F5">
      <w:pPr>
        <w:pStyle w:val="Ttulo2"/>
        <w:rPr>
          <w:rFonts w:eastAsia="Palatino Linotype"/>
        </w:rPr>
      </w:pPr>
      <w:r w:rsidRPr="008E79F7">
        <w:rPr>
          <w:rFonts w:eastAsia="Palatino Linotype"/>
        </w:rPr>
        <w:t>CUAR</w:t>
      </w:r>
      <w:r w:rsidR="007A1154" w:rsidRPr="008E79F7">
        <w:rPr>
          <w:rFonts w:eastAsia="Palatino Linotype"/>
        </w:rPr>
        <w:t>TO</w:t>
      </w:r>
      <w:r w:rsidR="00A970D5" w:rsidRPr="008E79F7">
        <w:rPr>
          <w:rFonts w:eastAsia="Palatino Linotype"/>
        </w:rPr>
        <w:t>. Del turno y admisión del recurso de revisión.</w:t>
      </w:r>
    </w:p>
    <w:p w14:paraId="2459DEBA" w14:textId="14B5EA31" w:rsidR="00A970D5" w:rsidRPr="008E79F7" w:rsidRDefault="70652167" w:rsidP="27EA7DDB">
      <w:pPr>
        <w:pBdr>
          <w:top w:val="nil"/>
          <w:left w:val="nil"/>
          <w:bottom w:val="nil"/>
          <w:right w:val="nil"/>
          <w:between w:val="nil"/>
        </w:pBdr>
        <w:contextualSpacing/>
        <w:rPr>
          <w:rFonts w:eastAsia="Palatino Linotype" w:cs="Palatino Linotype"/>
          <w:color w:val="000000"/>
          <w:lang w:val="es-ES"/>
        </w:rPr>
      </w:pPr>
      <w:r w:rsidRPr="008E79F7">
        <w:rPr>
          <w:rFonts w:eastAsia="Palatino Linotype" w:cs="Palatino Linotype"/>
          <w:color w:val="000000" w:themeColor="text1"/>
          <w:lang w:val="es-ES"/>
        </w:rPr>
        <w:t xml:space="preserve">Medio de impugnación que le fue turnado al </w:t>
      </w:r>
      <w:r w:rsidRPr="008E79F7">
        <w:rPr>
          <w:rFonts w:eastAsia="Palatino Linotype" w:cs="Palatino Linotype"/>
          <w:b/>
          <w:bCs/>
          <w:color w:val="000000" w:themeColor="text1"/>
          <w:lang w:val="es-ES"/>
        </w:rPr>
        <w:t>Comisionado Presidente José Martínez Vilchis</w:t>
      </w:r>
      <w:r w:rsidRPr="008E79F7">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8E79F7">
        <w:rPr>
          <w:rFonts w:eastAsia="Palatino Linotype" w:cs="Palatino Linotype"/>
          <w:color w:val="000000" w:themeColor="text1"/>
          <w:lang w:val="es-ES"/>
        </w:rPr>
        <w:t xml:space="preserve"> admisión de fecha</w:t>
      </w:r>
      <w:r w:rsidR="007E307B" w:rsidRPr="008E79F7">
        <w:rPr>
          <w:rFonts w:eastAsia="Palatino Linotype" w:cs="Palatino Linotype"/>
          <w:color w:val="000000" w:themeColor="text1"/>
          <w:lang w:val="es-ES"/>
        </w:rPr>
        <w:t xml:space="preserve"> </w:t>
      </w:r>
      <w:r w:rsidR="00EB6D7F" w:rsidRPr="008E79F7">
        <w:rPr>
          <w:rFonts w:eastAsia="Palatino Linotype" w:cs="Palatino Linotype"/>
          <w:color w:val="000000" w:themeColor="text1"/>
          <w:lang w:val="es-ES"/>
        </w:rPr>
        <w:t xml:space="preserve">dieciséis de diciembre </w:t>
      </w:r>
      <w:r w:rsidR="00774AC3" w:rsidRPr="008E79F7">
        <w:rPr>
          <w:rFonts w:eastAsia="Palatino Linotype" w:cs="Palatino Linotype"/>
          <w:color w:val="000000" w:themeColor="text1"/>
          <w:lang w:val="es-ES"/>
        </w:rPr>
        <w:t>de dos mil veinticinco</w:t>
      </w:r>
      <w:r w:rsidRPr="008E79F7">
        <w:rPr>
          <w:rFonts w:eastAsia="Palatino Linotype" w:cs="Palatino Linotype"/>
          <w:color w:val="000000" w:themeColor="text1"/>
          <w:lang w:val="es-ES"/>
        </w:rPr>
        <w:t xml:space="preserve">, </w:t>
      </w:r>
      <w:r w:rsidRPr="008E79F7">
        <w:rPr>
          <w:rFonts w:eastAsia="Palatino Linotype" w:cs="Palatino Linotype"/>
          <w:lang w:val="es-ES"/>
        </w:rPr>
        <w:t>otorgándose</w:t>
      </w:r>
      <w:r w:rsidRPr="008E79F7">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8E79F7"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593C4D04" w:rsidR="00A970D5" w:rsidRPr="008E79F7" w:rsidRDefault="00EB6D7F" w:rsidP="006922F5">
      <w:pPr>
        <w:pStyle w:val="Ttulo2"/>
        <w:rPr>
          <w:rFonts w:eastAsia="Palatino Linotype"/>
        </w:rPr>
      </w:pPr>
      <w:r w:rsidRPr="008E79F7">
        <w:rPr>
          <w:rFonts w:eastAsia="Palatino Linotype"/>
        </w:rPr>
        <w:t>QUIN</w:t>
      </w:r>
      <w:r w:rsidR="007A1154" w:rsidRPr="008E79F7">
        <w:rPr>
          <w:rFonts w:eastAsia="Palatino Linotype"/>
        </w:rPr>
        <w:t>TO</w:t>
      </w:r>
      <w:r w:rsidR="00A970D5" w:rsidRPr="008E79F7">
        <w:rPr>
          <w:rFonts w:eastAsia="Palatino Linotype"/>
        </w:rPr>
        <w:t>. De la etapa de instrucción.</w:t>
      </w:r>
    </w:p>
    <w:p w14:paraId="6EF54E4B" w14:textId="77777777" w:rsidR="00D57B6C" w:rsidRPr="008E79F7" w:rsidRDefault="00D57B6C" w:rsidP="00D57B6C">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themeColor="text1"/>
          <w:szCs w:val="24"/>
        </w:rPr>
        <w:t>Se observa que el Sujeto Obligado omitió rendir el Informe Justificado durante la etapa de instrucción. Por su parte, la Recurrente no realizó manifestaciones, vertió alegatos ni presentó pruebas que a su derecho convinieran.</w:t>
      </w:r>
    </w:p>
    <w:p w14:paraId="10350671" w14:textId="77777777" w:rsidR="00EB6D7F" w:rsidRPr="008E79F7" w:rsidRDefault="00EB6D7F" w:rsidP="5257D7BA">
      <w:pPr>
        <w:pBdr>
          <w:top w:val="nil"/>
          <w:left w:val="nil"/>
          <w:bottom w:val="nil"/>
          <w:right w:val="nil"/>
          <w:between w:val="nil"/>
        </w:pBdr>
        <w:rPr>
          <w:rFonts w:eastAsia="Palatino Linotype" w:cs="Palatino Linotype"/>
          <w:color w:val="000000"/>
        </w:rPr>
      </w:pPr>
    </w:p>
    <w:p w14:paraId="75BA122E" w14:textId="20D7E86C" w:rsidR="00EB6D7F" w:rsidRPr="008E79F7" w:rsidRDefault="00EB6D7F" w:rsidP="00EB6D7F">
      <w:pPr>
        <w:pStyle w:val="Ttulo2"/>
        <w:rPr>
          <w:rFonts w:eastAsia="Palatino Linotype"/>
        </w:rPr>
      </w:pPr>
      <w:r w:rsidRPr="008E79F7">
        <w:rPr>
          <w:rFonts w:eastAsiaTheme="minorHAnsi"/>
          <w:lang w:eastAsia="en-US"/>
        </w:rPr>
        <w:t>SEXTO</w:t>
      </w:r>
      <w:r w:rsidRPr="008E79F7">
        <w:rPr>
          <w:rFonts w:eastAsia="Palatino Linotype"/>
        </w:rPr>
        <w:t>. Del cierre de instrucción.</w:t>
      </w:r>
    </w:p>
    <w:p w14:paraId="7E586997" w14:textId="5FD63B1D" w:rsidR="00EB6D7F" w:rsidRPr="008E79F7" w:rsidRDefault="00EB6D7F" w:rsidP="00EB6D7F">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 xml:space="preserve">Así, una vez transcurrido el término legal, se decretó el cierre de instrucción el </w:t>
      </w:r>
      <w:r w:rsidR="005426D9" w:rsidRPr="008E79F7">
        <w:rPr>
          <w:rFonts w:eastAsia="Palatino Linotype" w:cs="Palatino Linotype"/>
          <w:color w:val="000000" w:themeColor="text1"/>
        </w:rPr>
        <w:t>dieciséis</w:t>
      </w:r>
      <w:r w:rsidRPr="008E79F7">
        <w:rPr>
          <w:rFonts w:eastAsia="Palatino Linotype" w:cs="Palatino Linotype"/>
          <w:color w:val="000000" w:themeColor="text1"/>
        </w:rPr>
        <w:t xml:space="preserve"> de enero de dos mil veintiséis</w:t>
      </w:r>
      <w:r w:rsidRPr="008E79F7">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2973A303" w14:textId="77777777" w:rsidR="00066F39" w:rsidRPr="008E79F7"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500CBA9D" w:rsidR="00701C12" w:rsidRPr="008E79F7" w:rsidRDefault="00D1469B" w:rsidP="00701C12">
      <w:pPr>
        <w:pStyle w:val="Ttulo2"/>
        <w:rPr>
          <w:rFonts w:eastAsiaTheme="minorHAnsi"/>
          <w:lang w:eastAsia="en-US"/>
        </w:rPr>
      </w:pPr>
      <w:r w:rsidRPr="008E79F7">
        <w:rPr>
          <w:rFonts w:eastAsiaTheme="minorHAnsi"/>
          <w:lang w:eastAsia="en-US"/>
        </w:rPr>
        <w:lastRenderedPageBreak/>
        <w:t>SÉPTIMO</w:t>
      </w:r>
      <w:r w:rsidR="006B2CFA" w:rsidRPr="008E79F7">
        <w:rPr>
          <w:rFonts w:eastAsiaTheme="minorHAnsi"/>
          <w:lang w:eastAsia="en-US"/>
        </w:rPr>
        <w:t xml:space="preserve">. </w:t>
      </w:r>
      <w:r w:rsidR="00701C12" w:rsidRPr="008E79F7">
        <w:rPr>
          <w:rFonts w:eastAsiaTheme="minorHAnsi"/>
          <w:lang w:eastAsia="en-US"/>
        </w:rPr>
        <w:t>De la ampliación del término para resolver.</w:t>
      </w:r>
    </w:p>
    <w:p w14:paraId="63E8A3C5" w14:textId="5BF7012A" w:rsidR="00701C12" w:rsidRPr="008E79F7" w:rsidRDefault="00701C12" w:rsidP="00701C12">
      <w:pPr>
        <w:pBdr>
          <w:top w:val="nil"/>
          <w:left w:val="nil"/>
          <w:bottom w:val="nil"/>
          <w:right w:val="nil"/>
          <w:between w:val="nil"/>
        </w:pBdr>
        <w:contextualSpacing/>
        <w:rPr>
          <w:rFonts w:eastAsiaTheme="minorHAnsi" w:cstheme="minorBidi"/>
          <w:szCs w:val="24"/>
          <w:lang w:eastAsia="en-US"/>
        </w:rPr>
      </w:pPr>
      <w:r w:rsidRPr="008E79F7">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EB6D7F" w:rsidRPr="008E79F7">
        <w:rPr>
          <w:rFonts w:eastAsia="Palatino Linotype" w:cs="Palatino Linotype"/>
          <w:color w:val="000000" w:themeColor="text1"/>
        </w:rPr>
        <w:t>dieciocho de febrero de dos mil veintiséis</w:t>
      </w:r>
      <w:r w:rsidRPr="008E79F7">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8E79F7"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8E79F7" w:rsidRDefault="00701C12" w:rsidP="00701C12">
      <w:pPr>
        <w:pStyle w:val="Ttulo1"/>
        <w:rPr>
          <w:rFonts w:eastAsia="Palatino Linotype"/>
          <w:lang w:val="es-ES_tradnl"/>
        </w:rPr>
      </w:pPr>
      <w:r w:rsidRPr="008E79F7">
        <w:rPr>
          <w:rFonts w:eastAsia="Palatino Linotype"/>
          <w:lang w:val="es-ES_tradnl"/>
        </w:rPr>
        <w:t>C O N S I D E R A N D O</w:t>
      </w:r>
    </w:p>
    <w:p w14:paraId="1AB65D63"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8E79F7" w:rsidRDefault="00701C12" w:rsidP="00701C12">
      <w:pPr>
        <w:pStyle w:val="Ttulo2"/>
        <w:rPr>
          <w:rFonts w:eastAsia="Palatino Linotype"/>
        </w:rPr>
      </w:pPr>
      <w:r w:rsidRPr="008E79F7">
        <w:rPr>
          <w:rFonts w:eastAsia="Palatino Linotype"/>
        </w:rPr>
        <w:t>PRIMERO. De la competencia.</w:t>
      </w:r>
    </w:p>
    <w:p w14:paraId="2C15601F" w14:textId="701F5E8C" w:rsidR="003337B6" w:rsidRPr="008E79F7" w:rsidRDefault="003337B6" w:rsidP="003337B6">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8E79F7">
        <w:rPr>
          <w:rFonts w:eastAsia="Palatino Linotype" w:cs="Palatino Linotype"/>
          <w:color w:val="000000"/>
          <w:szCs w:val="24"/>
        </w:rPr>
        <w:t>cuadragésimo cuarto, cuadragésimo quinto y cuadragésimo sexto</w:t>
      </w:r>
      <w:r w:rsidRPr="008E79F7">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8E79F7" w:rsidRDefault="00701C12" w:rsidP="00701C12">
      <w:pPr>
        <w:pStyle w:val="Ttulo2"/>
        <w:rPr>
          <w:rFonts w:eastAsia="Palatino Linotype"/>
        </w:rPr>
      </w:pPr>
      <w:r w:rsidRPr="008E79F7">
        <w:rPr>
          <w:rFonts w:eastAsia="Palatino Linotype"/>
        </w:rPr>
        <w:lastRenderedPageBreak/>
        <w:t xml:space="preserve">SEGUNDO. Sobre los alcances del recurso de revisión. </w:t>
      </w:r>
    </w:p>
    <w:p w14:paraId="202D86EE" w14:textId="77777777" w:rsidR="00701C12" w:rsidRPr="008E79F7" w:rsidRDefault="00701C12" w:rsidP="00701C12">
      <w:r w:rsidRPr="008E79F7">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9E25B7" w14:textId="77777777" w:rsidR="00701C12" w:rsidRPr="008E79F7" w:rsidRDefault="00701C12" w:rsidP="00701C12"/>
    <w:p w14:paraId="467F28FA" w14:textId="7DD96A8D" w:rsidR="00701C12" w:rsidRPr="008E79F7" w:rsidRDefault="001902BE" w:rsidP="00701C12">
      <w:pPr>
        <w:pStyle w:val="Ttulo2"/>
        <w:rPr>
          <w:rFonts w:eastAsia="Palatino Linotype"/>
        </w:rPr>
      </w:pPr>
      <w:r w:rsidRPr="008E79F7">
        <w:rPr>
          <w:rFonts w:eastAsia="Palatino Linotype"/>
        </w:rPr>
        <w:t>TERCERO</w:t>
      </w:r>
      <w:r w:rsidR="00701C12" w:rsidRPr="008E79F7">
        <w:rPr>
          <w:rFonts w:eastAsia="Palatino Linotype"/>
        </w:rPr>
        <w:t>. De las causas de improcedencia.</w:t>
      </w:r>
    </w:p>
    <w:p w14:paraId="1753D704"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8E79F7" w:rsidRDefault="00701C12" w:rsidP="00701C12">
      <w:pPr>
        <w:pBdr>
          <w:top w:val="nil"/>
          <w:left w:val="nil"/>
          <w:bottom w:val="nil"/>
          <w:right w:val="nil"/>
          <w:between w:val="nil"/>
        </w:pBdr>
        <w:contextualSpacing/>
        <w:rPr>
          <w:rFonts w:eastAsia="Palatino Linotype" w:cs="Palatino Linotype"/>
          <w:color w:val="000000"/>
          <w:lang w:val="es-ES"/>
        </w:rPr>
      </w:pPr>
      <w:r w:rsidRPr="008E79F7">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8E79F7">
        <w:rPr>
          <w:rFonts w:eastAsia="Palatino Linotype" w:cs="Palatino Linotype"/>
          <w:color w:val="000000"/>
          <w:lang w:val="es-ES"/>
        </w:rPr>
        <w:lastRenderedPageBreak/>
        <w:t>una figura procesal adoptada en la ley de la materia</w:t>
      </w:r>
      <w:r w:rsidRPr="008E79F7">
        <w:rPr>
          <w:rFonts w:eastAsia="Palatino Linotype" w:cs="Palatino Linotype"/>
          <w:color w:val="000000"/>
          <w:vertAlign w:val="superscript"/>
          <w:lang w:val="es-ES"/>
        </w:rPr>
        <w:footnoteReference w:id="2"/>
      </w:r>
      <w:r w:rsidRPr="008E79F7">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CF01DC1" w:rsidR="00701C12" w:rsidRPr="008E79F7" w:rsidRDefault="001902BE" w:rsidP="00701C12">
      <w:pPr>
        <w:pStyle w:val="Ttulo2"/>
        <w:rPr>
          <w:rFonts w:eastAsia="Palatino Linotype"/>
        </w:rPr>
      </w:pPr>
      <w:r w:rsidRPr="008E79F7">
        <w:rPr>
          <w:rFonts w:eastAsia="Palatino Linotype"/>
        </w:rPr>
        <w:lastRenderedPageBreak/>
        <w:t>CUAR</w:t>
      </w:r>
      <w:r w:rsidR="00701C12" w:rsidRPr="008E79F7">
        <w:rPr>
          <w:rFonts w:eastAsia="Palatino Linotype"/>
        </w:rPr>
        <w:t>TO. Estudio y resolución del asunto.</w:t>
      </w:r>
    </w:p>
    <w:p w14:paraId="1946B643" w14:textId="77777777" w:rsidR="00701C12" w:rsidRPr="008E79F7" w:rsidRDefault="00701C12" w:rsidP="00701C12">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8E79F7" w:rsidRDefault="004A3367" w:rsidP="004A3367">
      <w:pPr>
        <w:rPr>
          <w:rFonts w:eastAsiaTheme="minorHAnsi" w:cstheme="minorBidi"/>
          <w:sz w:val="22"/>
          <w:lang w:eastAsia="en-US"/>
        </w:rPr>
      </w:pPr>
    </w:p>
    <w:p w14:paraId="582C42A0" w14:textId="458C3443" w:rsidR="00270B08" w:rsidRPr="008E79F7" w:rsidRDefault="0EE28084" w:rsidP="00F54EF7">
      <w:pPr>
        <w:rPr>
          <w:rFonts w:eastAsiaTheme="minorEastAsia" w:cstheme="minorBidi"/>
          <w:lang w:eastAsia="en-US"/>
        </w:rPr>
      </w:pPr>
      <w:r w:rsidRPr="008E79F7">
        <w:rPr>
          <w:rFonts w:eastAsiaTheme="minorEastAsia" w:cstheme="minorBidi"/>
          <w:lang w:val="es-ES" w:eastAsia="en-US"/>
        </w:rPr>
        <w:t xml:space="preserve">En virtud de lo anterior, es conveniente recordar que </w:t>
      </w:r>
      <w:r w:rsidR="008A7F39" w:rsidRPr="008E79F7">
        <w:rPr>
          <w:rFonts w:eastAsiaTheme="minorEastAsia" w:cstheme="minorBidi"/>
          <w:lang w:val="es-ES" w:eastAsia="en-US"/>
        </w:rPr>
        <w:t>el Recurrente</w:t>
      </w:r>
      <w:r w:rsidRPr="008E79F7">
        <w:rPr>
          <w:rFonts w:eastAsiaTheme="minorEastAsia" w:cstheme="minorBidi"/>
          <w:lang w:val="es-ES" w:eastAsia="en-US"/>
        </w:rPr>
        <w:t xml:space="preserve"> requirió que</w:t>
      </w:r>
      <w:r w:rsidR="00D31CA9" w:rsidRPr="008E79F7">
        <w:rPr>
          <w:rFonts w:eastAsiaTheme="minorEastAsia" w:cstheme="minorBidi"/>
          <w:lang w:val="es-ES" w:eastAsia="en-US"/>
        </w:rPr>
        <w:t xml:space="preserve"> </w:t>
      </w:r>
      <w:r w:rsidR="00E40EDA" w:rsidRPr="008E79F7">
        <w:rPr>
          <w:rFonts w:eastAsiaTheme="minorEastAsia" w:cstheme="minorBidi"/>
          <w:lang w:val="es-ES" w:eastAsia="en-US"/>
        </w:rPr>
        <w:t>se le proporcionara</w:t>
      </w:r>
      <w:r w:rsidR="001902BE" w:rsidRPr="008E79F7">
        <w:rPr>
          <w:rFonts w:eastAsiaTheme="minorEastAsia" w:cstheme="minorBidi"/>
          <w:lang w:val="es-ES" w:eastAsia="en-US"/>
        </w:rPr>
        <w:t xml:space="preserve"> la copia digitalizada de </w:t>
      </w:r>
      <w:r w:rsidR="005910E7" w:rsidRPr="008E79F7">
        <w:rPr>
          <w:rFonts w:eastAsiaTheme="minorEastAsia" w:cstheme="minorBidi"/>
          <w:lang w:val="es-ES" w:eastAsia="en-US"/>
        </w:rPr>
        <w:t>las facturas pagadas y en proceso de pago por más de un $1</w:t>
      </w:r>
      <w:r w:rsidR="00E32448" w:rsidRPr="008E79F7">
        <w:rPr>
          <w:rFonts w:eastAsiaTheme="minorEastAsia" w:cstheme="minorBidi"/>
          <w:lang w:val="es-ES" w:eastAsia="en-US"/>
        </w:rPr>
        <w:t xml:space="preserve"> 000 000.00 (un millón de pesos </w:t>
      </w:r>
      <w:r w:rsidR="003C5351" w:rsidRPr="008E79F7">
        <w:rPr>
          <w:rFonts w:eastAsiaTheme="minorEastAsia" w:cstheme="minorBidi"/>
          <w:lang w:val="es-ES" w:eastAsia="en-US"/>
        </w:rPr>
        <w:t>00/100 M.N.) que se hayan generado durante el periodo comprendido del primero de enero al diez de noviembre de dos mil veinticinco.</w:t>
      </w:r>
    </w:p>
    <w:p w14:paraId="093B1C89" w14:textId="77777777" w:rsidR="00012F8B" w:rsidRPr="008E79F7" w:rsidRDefault="00012F8B" w:rsidP="00AA6088">
      <w:pPr>
        <w:pBdr>
          <w:top w:val="nil"/>
          <w:left w:val="nil"/>
          <w:bottom w:val="nil"/>
          <w:right w:val="nil"/>
          <w:between w:val="nil"/>
        </w:pBdr>
        <w:contextualSpacing/>
        <w:rPr>
          <w:rFonts w:eastAsia="Palatino Linotype" w:cs="Palatino Linotype"/>
          <w:color w:val="000000"/>
          <w:szCs w:val="24"/>
        </w:rPr>
      </w:pPr>
    </w:p>
    <w:p w14:paraId="5C769DBE" w14:textId="22E7B9AC" w:rsidR="003C5351" w:rsidRPr="008E79F7" w:rsidRDefault="00A970D5" w:rsidP="00F12A0B">
      <w:pPr>
        <w:pBdr>
          <w:top w:val="nil"/>
          <w:left w:val="nil"/>
          <w:bottom w:val="nil"/>
          <w:right w:val="nil"/>
          <w:between w:val="nil"/>
        </w:pBdr>
        <w:contextualSpacing/>
        <w:rPr>
          <w:rFonts w:eastAsia="Palatino Linotype" w:cs="Palatino Linotype"/>
          <w:color w:val="000000" w:themeColor="text1"/>
        </w:rPr>
      </w:pPr>
      <w:r w:rsidRPr="008E79F7">
        <w:rPr>
          <w:rFonts w:eastAsia="Palatino Linotype" w:cs="Palatino Linotype"/>
          <w:color w:val="000000"/>
          <w:szCs w:val="24"/>
        </w:rPr>
        <w:t xml:space="preserve">A dicha solicitud, el Sujeto Obligado </w:t>
      </w:r>
      <w:r w:rsidR="001C4CBF" w:rsidRPr="008E79F7">
        <w:rPr>
          <w:rFonts w:eastAsia="Palatino Linotype" w:cs="Palatino Linotype"/>
          <w:color w:val="000000"/>
          <w:szCs w:val="24"/>
        </w:rPr>
        <w:t>respondió</w:t>
      </w:r>
      <w:r w:rsidR="006D6CD1" w:rsidRPr="008E79F7">
        <w:rPr>
          <w:rFonts w:eastAsia="Palatino Linotype" w:cs="Palatino Linotype"/>
          <w:color w:val="000000"/>
          <w:szCs w:val="24"/>
        </w:rPr>
        <w:t xml:space="preserve"> </w:t>
      </w:r>
      <w:r w:rsidR="009E006D" w:rsidRPr="008E79F7">
        <w:rPr>
          <w:rFonts w:eastAsia="Palatino Linotype" w:cs="Palatino Linotype"/>
          <w:color w:val="000000"/>
          <w:szCs w:val="24"/>
        </w:rPr>
        <w:t>que la Tesorería Municipal no cuenta con la capacidad técnica y humana para dar continuidad y proceso a la solicitud, por lo que se recomendó realizar nuevamente el requerimiento de información.</w:t>
      </w:r>
    </w:p>
    <w:p w14:paraId="1530F183" w14:textId="77777777" w:rsidR="003B7D26" w:rsidRPr="008E79F7" w:rsidRDefault="003B7D2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41E1969F" w:rsidR="00A970D5" w:rsidRPr="008E79F7" w:rsidRDefault="44E9108F" w:rsidP="44E9108F">
      <w:pPr>
        <w:pBdr>
          <w:top w:val="nil"/>
          <w:left w:val="nil"/>
          <w:bottom w:val="nil"/>
          <w:right w:val="nil"/>
          <w:between w:val="nil"/>
        </w:pBdr>
        <w:contextualSpacing/>
        <w:rPr>
          <w:rFonts w:eastAsia="Palatino Linotype" w:cs="Palatino Linotype"/>
          <w:color w:val="000000" w:themeColor="text1"/>
          <w:lang w:val="es-ES"/>
        </w:rPr>
      </w:pPr>
      <w:r w:rsidRPr="008E79F7">
        <w:rPr>
          <w:rFonts w:eastAsia="Palatino Linotype" w:cs="Palatino Linotype"/>
          <w:color w:val="000000" w:themeColor="text1"/>
          <w:lang w:val="es-ES"/>
        </w:rPr>
        <w:t>Ante la respuesta em</w:t>
      </w:r>
      <w:r w:rsidR="002623AA" w:rsidRPr="008E79F7">
        <w:rPr>
          <w:rFonts w:eastAsia="Palatino Linotype" w:cs="Palatino Linotype"/>
          <w:color w:val="000000" w:themeColor="text1"/>
          <w:lang w:val="es-ES"/>
        </w:rPr>
        <w:t xml:space="preserve">itida por el Sujeto Obligado, </w:t>
      </w:r>
      <w:r w:rsidR="008A7F39" w:rsidRPr="008E79F7">
        <w:rPr>
          <w:rFonts w:eastAsia="Palatino Linotype" w:cs="Palatino Linotype"/>
          <w:color w:val="000000" w:themeColor="text1"/>
          <w:lang w:val="es-ES"/>
        </w:rPr>
        <w:t>el Recurrente</w:t>
      </w:r>
      <w:r w:rsidRPr="008E79F7">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8E79F7">
        <w:rPr>
          <w:rFonts w:eastAsia="Palatino Linotype" w:cs="Palatino Linotype"/>
          <w:color w:val="000000" w:themeColor="text1"/>
          <w:lang w:val="es-ES"/>
        </w:rPr>
        <w:t xml:space="preserve"> </w:t>
      </w:r>
      <w:r w:rsidR="007B44E0" w:rsidRPr="008E79F7">
        <w:rPr>
          <w:rFonts w:eastAsia="Palatino Linotype" w:cs="Palatino Linotype"/>
          <w:color w:val="000000" w:themeColor="text1"/>
          <w:lang w:val="es-ES"/>
        </w:rPr>
        <w:t xml:space="preserve">la respuesta a la solicitud </w:t>
      </w:r>
      <w:r w:rsidR="00BB1959" w:rsidRPr="008E79F7">
        <w:rPr>
          <w:rFonts w:eastAsia="Palatino Linotype" w:cs="Palatino Linotype"/>
          <w:color w:val="000000" w:themeColor="text1"/>
          <w:lang w:val="es-ES"/>
        </w:rPr>
        <w:t xml:space="preserve">y </w:t>
      </w:r>
      <w:r w:rsidR="003526EA" w:rsidRPr="008E79F7">
        <w:rPr>
          <w:rFonts w:eastAsia="Palatino Linotype" w:cs="Palatino Linotype"/>
          <w:color w:val="000000" w:themeColor="text1"/>
          <w:lang w:val="es-ES"/>
        </w:rPr>
        <w:t>dando como</w:t>
      </w:r>
      <w:r w:rsidR="001C407C" w:rsidRPr="008E79F7">
        <w:rPr>
          <w:rFonts w:eastAsia="Palatino Linotype" w:cs="Palatino Linotype"/>
          <w:color w:val="000000" w:themeColor="text1"/>
          <w:lang w:val="es-ES"/>
        </w:rPr>
        <w:t xml:space="preserve"> razones o motivos de inconformidad que </w:t>
      </w:r>
      <w:r w:rsidR="00C779BD" w:rsidRPr="008E79F7">
        <w:rPr>
          <w:rFonts w:eastAsia="Palatino Linotype" w:cs="Palatino Linotype"/>
          <w:color w:val="000000" w:themeColor="text1"/>
          <w:lang w:val="es-ES"/>
        </w:rPr>
        <w:t>es clara y contundente la negativa del Sujeto Obligado a entregar la información solicitada.</w:t>
      </w:r>
    </w:p>
    <w:p w14:paraId="4C067B6F" w14:textId="77777777" w:rsidR="009A558B" w:rsidRPr="008E79F7" w:rsidRDefault="009A558B" w:rsidP="44E9108F">
      <w:pPr>
        <w:pBdr>
          <w:top w:val="nil"/>
          <w:left w:val="nil"/>
          <w:bottom w:val="nil"/>
          <w:right w:val="nil"/>
          <w:between w:val="nil"/>
        </w:pBdr>
        <w:contextualSpacing/>
        <w:rPr>
          <w:rFonts w:eastAsia="Palatino Linotype" w:cs="Palatino Linotype"/>
          <w:color w:val="000000" w:themeColor="text1"/>
          <w:lang w:val="es-ES"/>
        </w:rPr>
      </w:pPr>
    </w:p>
    <w:p w14:paraId="12D7AA4A" w14:textId="76AC88FC" w:rsidR="009A558B" w:rsidRPr="008E79F7" w:rsidRDefault="009A558B" w:rsidP="44E9108F">
      <w:pPr>
        <w:pBdr>
          <w:top w:val="nil"/>
          <w:left w:val="nil"/>
          <w:bottom w:val="nil"/>
          <w:right w:val="nil"/>
          <w:between w:val="nil"/>
        </w:pBdr>
        <w:contextualSpacing/>
        <w:rPr>
          <w:rFonts w:eastAsia="Palatino Linotype" w:cs="Palatino Linotype"/>
          <w:color w:val="000000"/>
          <w:lang w:val="es-ES"/>
        </w:rPr>
      </w:pPr>
      <w:r w:rsidRPr="008E79F7">
        <w:rPr>
          <w:lang w:val="es-ES"/>
        </w:rPr>
        <w:t>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4A7BEF71" w14:textId="77777777" w:rsidR="00E41A7A" w:rsidRPr="008E79F7" w:rsidRDefault="00E41A7A" w:rsidP="00BE576A">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8E79F7" w:rsidRDefault="006100FC" w:rsidP="006100FC">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8E79F7">
        <w:rPr>
          <w:rFonts w:eastAsia="Palatino Linotype" w:cs="Palatino Linotype"/>
          <w:color w:val="000000"/>
          <w:szCs w:val="24"/>
        </w:rPr>
        <w:t>el Recurrente</w:t>
      </w:r>
      <w:r w:rsidRPr="008E79F7">
        <w:rPr>
          <w:rFonts w:eastAsia="Palatino Linotype" w:cs="Palatino Linotype"/>
          <w:color w:val="000000"/>
          <w:szCs w:val="24"/>
        </w:rPr>
        <w:t>, así como calificar los motivos de inconformidad de</w:t>
      </w:r>
      <w:r w:rsidR="009B0882" w:rsidRPr="008E79F7">
        <w:rPr>
          <w:rFonts w:eastAsia="Palatino Linotype" w:cs="Palatino Linotype"/>
          <w:color w:val="000000"/>
          <w:szCs w:val="24"/>
        </w:rPr>
        <w:t xml:space="preserve"> </w:t>
      </w:r>
      <w:r w:rsidR="00504E6B" w:rsidRPr="008E79F7">
        <w:rPr>
          <w:rFonts w:eastAsia="Palatino Linotype" w:cs="Palatino Linotype"/>
          <w:color w:val="000000"/>
          <w:szCs w:val="24"/>
        </w:rPr>
        <w:t>el particular</w:t>
      </w:r>
      <w:r w:rsidRPr="008E79F7">
        <w:rPr>
          <w:rFonts w:eastAsia="Palatino Linotype" w:cs="Palatino Linotype"/>
          <w:color w:val="000000"/>
          <w:szCs w:val="24"/>
        </w:rPr>
        <w:t xml:space="preserve">. </w:t>
      </w:r>
    </w:p>
    <w:p w14:paraId="7AF7731E" w14:textId="77777777" w:rsidR="006100FC" w:rsidRPr="008E79F7"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8E79F7" w:rsidRDefault="006100FC" w:rsidP="006100FC">
      <w:pPr>
        <w:pBdr>
          <w:top w:val="nil"/>
          <w:left w:val="nil"/>
          <w:bottom w:val="nil"/>
          <w:right w:val="nil"/>
          <w:between w:val="nil"/>
        </w:pBdr>
        <w:contextualSpacing/>
        <w:rPr>
          <w:rFonts w:eastAsia="Palatino Linotype" w:cs="Palatino Linotype"/>
          <w:color w:val="000000"/>
          <w:szCs w:val="24"/>
        </w:rPr>
      </w:pPr>
      <w:r w:rsidRPr="008E79F7">
        <w:rPr>
          <w:rFonts w:eastAsia="Palatino Linotype" w:cs="Palatino Linotype"/>
          <w:color w:val="000000"/>
          <w:szCs w:val="24"/>
        </w:rPr>
        <w:t xml:space="preserve">En este sentido, es pertinente enfatizar lo que, respecto al derecho de acceso a la información pública, refiere el artículo </w:t>
      </w:r>
      <w:r w:rsidR="00E00EC1" w:rsidRPr="008E79F7">
        <w:rPr>
          <w:rFonts w:eastAsia="Palatino Linotype" w:cs="Palatino Linotype"/>
          <w:color w:val="000000"/>
          <w:szCs w:val="24"/>
        </w:rPr>
        <w:t>5</w:t>
      </w:r>
      <w:r w:rsidRPr="008E79F7">
        <w:rPr>
          <w:rFonts w:eastAsia="Palatino Linotype" w:cs="Palatino Linotype"/>
          <w:color w:val="000000"/>
          <w:szCs w:val="24"/>
        </w:rPr>
        <w:t>° de la Constitución Política del Estado Libre y Soberano de México</w:t>
      </w:r>
      <w:r w:rsidR="00E00EC1" w:rsidRPr="008E79F7">
        <w:rPr>
          <w:rFonts w:eastAsia="Palatino Linotype" w:cs="Palatino Linotype"/>
          <w:color w:val="000000"/>
          <w:szCs w:val="24"/>
        </w:rPr>
        <w:t>, que</w:t>
      </w:r>
      <w:r w:rsidRPr="008E79F7">
        <w:rPr>
          <w:rFonts w:eastAsia="Palatino Linotype" w:cs="Palatino Linotype"/>
          <w:color w:val="000000"/>
          <w:szCs w:val="24"/>
        </w:rPr>
        <w:t xml:space="preserve"> en su parte conducente</w:t>
      </w:r>
      <w:r w:rsidR="00E00EC1" w:rsidRPr="008E79F7">
        <w:rPr>
          <w:rFonts w:eastAsia="Palatino Linotype" w:cs="Palatino Linotype"/>
          <w:color w:val="000000"/>
          <w:szCs w:val="24"/>
        </w:rPr>
        <w:t xml:space="preserve"> dispone</w:t>
      </w:r>
      <w:r w:rsidRPr="008E79F7">
        <w:rPr>
          <w:rFonts w:eastAsia="Palatino Linotype" w:cs="Palatino Linotype"/>
          <w:color w:val="000000"/>
          <w:szCs w:val="24"/>
        </w:rPr>
        <w:t xml:space="preserve"> lo siguiente:</w:t>
      </w:r>
    </w:p>
    <w:p w14:paraId="5DA101FA" w14:textId="77777777" w:rsidR="006100FC" w:rsidRPr="008E79F7"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8E79F7" w:rsidRDefault="006100FC" w:rsidP="006100FC">
      <w:pPr>
        <w:pStyle w:val="Fundamentos"/>
      </w:pPr>
      <w:r w:rsidRPr="008E79F7">
        <w:rPr>
          <w:b/>
          <w:bCs/>
        </w:rPr>
        <w:t>Artículo 5.</w:t>
      </w:r>
      <w:r w:rsidRPr="008E79F7">
        <w:t xml:space="preserve"> […]</w:t>
      </w:r>
    </w:p>
    <w:p w14:paraId="1839D29E" w14:textId="77777777" w:rsidR="006100FC" w:rsidRPr="008E79F7" w:rsidRDefault="006100FC" w:rsidP="006100FC">
      <w:pPr>
        <w:pStyle w:val="Fundamentos"/>
      </w:pPr>
    </w:p>
    <w:p w14:paraId="7D51A6D3" w14:textId="77777777" w:rsidR="006100FC" w:rsidRPr="008E79F7" w:rsidRDefault="006100FC" w:rsidP="006100FC">
      <w:pPr>
        <w:pStyle w:val="Fundamentos"/>
      </w:pPr>
      <w:r w:rsidRPr="008E79F7">
        <w:t xml:space="preserve">El derecho a la información será garantizado por el Estado. La ley establecerá las previsiones que permitan asegurar la protección, el respeto y la difusión de este derecho. </w:t>
      </w:r>
    </w:p>
    <w:p w14:paraId="4079EC08" w14:textId="77777777" w:rsidR="006100FC" w:rsidRPr="008E79F7" w:rsidRDefault="006100FC" w:rsidP="006100FC">
      <w:pPr>
        <w:pStyle w:val="Fundamentos"/>
      </w:pPr>
    </w:p>
    <w:p w14:paraId="2060C0A8" w14:textId="77777777" w:rsidR="006100FC" w:rsidRPr="008E79F7" w:rsidRDefault="006100FC" w:rsidP="006100FC">
      <w:pPr>
        <w:pStyle w:val="Fundamentos"/>
      </w:pPr>
      <w:r w:rsidRPr="008E79F7">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8E79F7" w:rsidRDefault="006100FC" w:rsidP="006100FC">
      <w:pPr>
        <w:pStyle w:val="Fundamentos"/>
      </w:pPr>
    </w:p>
    <w:p w14:paraId="31D381A6" w14:textId="77777777" w:rsidR="006100FC" w:rsidRPr="008E79F7" w:rsidRDefault="006100FC" w:rsidP="006100FC">
      <w:pPr>
        <w:pStyle w:val="Fundamentos"/>
      </w:pPr>
      <w:r w:rsidRPr="008E79F7">
        <w:t>Este derecho se regirá por los principios y bases siguientes:</w:t>
      </w:r>
    </w:p>
    <w:p w14:paraId="1A21896F" w14:textId="77777777" w:rsidR="006100FC" w:rsidRPr="008E79F7" w:rsidRDefault="006100FC" w:rsidP="006100FC">
      <w:pPr>
        <w:pStyle w:val="Fundamentos"/>
      </w:pPr>
    </w:p>
    <w:p w14:paraId="13A22FC8" w14:textId="77777777" w:rsidR="006100FC" w:rsidRPr="008E79F7" w:rsidRDefault="006100FC" w:rsidP="006100FC">
      <w:pPr>
        <w:pStyle w:val="Fundamentos"/>
      </w:pPr>
      <w:r w:rsidRPr="008E79F7">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8E79F7" w:rsidRDefault="006100FC" w:rsidP="006100FC">
      <w:pPr>
        <w:pStyle w:val="Fundamentos"/>
      </w:pPr>
      <w:r w:rsidRPr="008E79F7">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8E79F7" w:rsidRDefault="006100FC" w:rsidP="006100FC">
      <w:pPr>
        <w:pStyle w:val="Fundamentos"/>
        <w:rPr>
          <w:lang w:val="es-ES"/>
        </w:rPr>
      </w:pPr>
      <w:r w:rsidRPr="008E79F7">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8E79F7" w:rsidRDefault="006100FC" w:rsidP="006100FC">
      <w:pPr>
        <w:pStyle w:val="Fundamentos"/>
      </w:pPr>
      <w:r w:rsidRPr="008E79F7">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8E79F7" w:rsidRDefault="006100FC" w:rsidP="006100FC">
      <w:pPr>
        <w:pStyle w:val="Fundamentos"/>
      </w:pPr>
      <w:r w:rsidRPr="008E79F7">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8E79F7" w:rsidRDefault="006100FC" w:rsidP="006100FC">
      <w:pPr>
        <w:pStyle w:val="Fundamentos"/>
      </w:pPr>
      <w:r w:rsidRPr="008E79F7">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8E79F7" w:rsidRDefault="006100FC" w:rsidP="006100FC">
      <w:pPr>
        <w:pStyle w:val="Fundamentos"/>
        <w:rPr>
          <w:lang w:val="es-ES"/>
        </w:rPr>
      </w:pPr>
      <w:r w:rsidRPr="008E79F7">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8E79F7"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77777777" w:rsidR="00D20BF9" w:rsidRPr="008E79F7" w:rsidRDefault="00D20BF9" w:rsidP="00D20BF9">
      <w:pPr>
        <w:rPr>
          <w:rFonts w:eastAsia="Palatino Linotype" w:cs="Palatino Linotype"/>
          <w:szCs w:val="24"/>
        </w:rPr>
      </w:pPr>
      <w:r w:rsidRPr="008E79F7">
        <w:rPr>
          <w:rFonts w:eastAsia="Palatino Linotype" w:cs="Palatino Linotype"/>
          <w:szCs w:val="24"/>
        </w:rPr>
        <w:lastRenderedPageBreak/>
        <w:t>En ese orden de ideas, la Ley de Transparencia y Acceso a la Información Pública del Estado de México y Municipios, prevé en su artículo 23, fracción IV, lo siguiente:</w:t>
      </w:r>
    </w:p>
    <w:p w14:paraId="63A00BCC" w14:textId="77777777" w:rsidR="00D20BF9" w:rsidRPr="008E79F7" w:rsidRDefault="00D20BF9" w:rsidP="00D20BF9">
      <w:pPr>
        <w:rPr>
          <w:rFonts w:eastAsia="Palatino Linotype" w:cs="Palatino Linotype"/>
          <w:szCs w:val="24"/>
        </w:rPr>
      </w:pPr>
    </w:p>
    <w:p w14:paraId="0DF17332" w14:textId="77777777" w:rsidR="00D20BF9" w:rsidRPr="008E79F7" w:rsidRDefault="00D20BF9" w:rsidP="00D20BF9">
      <w:pPr>
        <w:pStyle w:val="Fundamentos"/>
      </w:pPr>
      <w:r w:rsidRPr="008E79F7">
        <w:rPr>
          <w:b/>
        </w:rPr>
        <w:t>Artículo 23.</w:t>
      </w:r>
      <w:r w:rsidRPr="008E79F7">
        <w:t xml:space="preserve"> Son sujetos obligados a transparentar y permitir el acceso a su información y proteger los datos personales que obren en su poder:</w:t>
      </w:r>
    </w:p>
    <w:p w14:paraId="02DCEFBA" w14:textId="77777777" w:rsidR="00D20BF9" w:rsidRPr="008E79F7" w:rsidRDefault="00D20BF9" w:rsidP="00D20BF9">
      <w:pPr>
        <w:pStyle w:val="Fundamentos"/>
      </w:pPr>
      <w:r w:rsidRPr="008E79F7">
        <w:t>[…]</w:t>
      </w:r>
    </w:p>
    <w:p w14:paraId="70E56CA3" w14:textId="77777777" w:rsidR="00D20BF9" w:rsidRPr="008E79F7" w:rsidRDefault="00D20BF9" w:rsidP="00D20BF9">
      <w:pPr>
        <w:pStyle w:val="Fundamentos"/>
      </w:pPr>
      <w:r w:rsidRPr="008E79F7">
        <w:rPr>
          <w:b/>
          <w:bCs/>
        </w:rPr>
        <w:t xml:space="preserve">IV. </w:t>
      </w:r>
      <w:r w:rsidRPr="008E79F7">
        <w:t>Los ayuntamientos y las dependencias, organismos, órganos y entidades de la administración municipal;</w:t>
      </w:r>
    </w:p>
    <w:p w14:paraId="2C85A0A8" w14:textId="77777777" w:rsidR="00D20BF9" w:rsidRPr="008E79F7" w:rsidRDefault="00D20BF9" w:rsidP="00D20BF9">
      <w:pPr>
        <w:pStyle w:val="Fundamentos"/>
      </w:pPr>
      <w:r w:rsidRPr="008E79F7">
        <w:t>[…]</w:t>
      </w:r>
    </w:p>
    <w:p w14:paraId="1D71059B" w14:textId="77777777" w:rsidR="00D20BF9" w:rsidRPr="008E79F7"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8E79F7" w:rsidRDefault="00D20BF9" w:rsidP="00D20BF9">
      <w:pPr>
        <w:rPr>
          <w:szCs w:val="24"/>
        </w:rPr>
      </w:pPr>
      <w:r w:rsidRPr="008E79F7">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A00D83" w14:textId="77777777" w:rsidR="00D20BF9" w:rsidRPr="008E79F7" w:rsidRDefault="00D20BF9" w:rsidP="00D20BF9">
      <w:pPr>
        <w:rPr>
          <w:szCs w:val="24"/>
        </w:rPr>
      </w:pPr>
    </w:p>
    <w:p w14:paraId="15331BEE" w14:textId="73881491" w:rsidR="00D20BF9" w:rsidRPr="008E79F7" w:rsidRDefault="00D20BF9" w:rsidP="00D20BF9">
      <w:pPr>
        <w:rPr>
          <w:szCs w:val="24"/>
        </w:rPr>
      </w:pPr>
      <w:r w:rsidRPr="008E79F7">
        <w:rPr>
          <w:szCs w:val="24"/>
        </w:rPr>
        <w:t>Asimismo, de la interpretación al acto impugnado y a los motivos de inconformidad expresados por el Recurrente, se estima que en el presente caso se actualizó la causal de procedencia del recurso de revisión prevista en la fracción I del artículo 179 de la Ley de Transparencia local, que a la letra estipula lo siguiente:</w:t>
      </w:r>
    </w:p>
    <w:p w14:paraId="64C33BEC" w14:textId="77777777" w:rsidR="00D20BF9" w:rsidRPr="008E79F7" w:rsidRDefault="00D20BF9" w:rsidP="00D20BF9"/>
    <w:p w14:paraId="30DEAAFF" w14:textId="77777777" w:rsidR="00D20BF9" w:rsidRPr="008E79F7" w:rsidRDefault="00D20BF9" w:rsidP="00D20BF9">
      <w:pPr>
        <w:pStyle w:val="Fundamentos"/>
        <w:rPr>
          <w:lang w:val="es-MX"/>
        </w:rPr>
      </w:pPr>
      <w:r w:rsidRPr="008E79F7">
        <w:rPr>
          <w:b/>
          <w:lang w:val="es-MX"/>
        </w:rPr>
        <w:t xml:space="preserve">Artículo 179. </w:t>
      </w:r>
      <w:r w:rsidRPr="008E79F7">
        <w:rPr>
          <w:lang w:val="es-MX"/>
        </w:rPr>
        <w:t>El recurso de revisión es un medio de protección que la Ley otorga a los particulares, para hacer valer su derecho de acceso a la información pública, y procederá en contra de las siguientes causas:</w:t>
      </w:r>
    </w:p>
    <w:p w14:paraId="6952BF71" w14:textId="02F2FE62" w:rsidR="00D20BF9" w:rsidRPr="008E79F7" w:rsidRDefault="00D20BF9" w:rsidP="00D20BF9">
      <w:pPr>
        <w:pStyle w:val="Fundamentos"/>
        <w:rPr>
          <w:lang w:val="es-MX"/>
        </w:rPr>
      </w:pPr>
    </w:p>
    <w:p w14:paraId="268744D8" w14:textId="124ADDE0" w:rsidR="00D20BF9" w:rsidRPr="008E79F7" w:rsidRDefault="00D20BF9" w:rsidP="00D20BF9">
      <w:pPr>
        <w:pStyle w:val="Fundamentos"/>
      </w:pPr>
      <w:r w:rsidRPr="008E79F7">
        <w:rPr>
          <w:b/>
          <w:lang w:val="es-ES"/>
        </w:rPr>
        <w:t>I.</w:t>
      </w:r>
      <w:r w:rsidRPr="008E79F7">
        <w:rPr>
          <w:lang w:val="es-ES"/>
        </w:rPr>
        <w:t xml:space="preserve"> La </w:t>
      </w:r>
      <w:r w:rsidR="004D1B83" w:rsidRPr="008E79F7">
        <w:rPr>
          <w:lang w:val="es-ES"/>
        </w:rPr>
        <w:t>negativa a la información solicitada</w:t>
      </w:r>
      <w:r w:rsidRPr="008E79F7">
        <w:rPr>
          <w:lang w:val="es-ES"/>
        </w:rPr>
        <w:t>;</w:t>
      </w:r>
    </w:p>
    <w:p w14:paraId="2E68D070" w14:textId="77777777" w:rsidR="00D20BF9" w:rsidRPr="008E79F7" w:rsidRDefault="00D20BF9" w:rsidP="00D20BF9">
      <w:pPr>
        <w:pStyle w:val="Fundamentos"/>
      </w:pPr>
      <w:r w:rsidRPr="008E79F7">
        <w:t>[…]</w:t>
      </w:r>
    </w:p>
    <w:p w14:paraId="0611147C" w14:textId="77777777" w:rsidR="00D20BF9" w:rsidRPr="008E79F7" w:rsidRDefault="00D20BF9" w:rsidP="00D20BF9"/>
    <w:p w14:paraId="584B8A93" w14:textId="77777777" w:rsidR="00D20BF9" w:rsidRPr="008E79F7" w:rsidRDefault="00D20BF9" w:rsidP="00D20BF9">
      <w:pPr>
        <w:pBdr>
          <w:top w:val="nil"/>
          <w:left w:val="nil"/>
          <w:bottom w:val="nil"/>
          <w:right w:val="nil"/>
          <w:between w:val="nil"/>
        </w:pBdr>
        <w:contextualSpacing/>
        <w:rPr>
          <w:szCs w:val="24"/>
        </w:rPr>
      </w:pPr>
      <w:r w:rsidRPr="008E79F7">
        <w:rPr>
          <w:rFonts w:eastAsia="Palatino Linotype" w:cs="Palatino Linotype"/>
          <w:color w:val="000000"/>
          <w:szCs w:val="24"/>
        </w:rPr>
        <w:lastRenderedPageBreak/>
        <w:t xml:space="preserve">En ese sentido, también </w:t>
      </w:r>
      <w:r w:rsidRPr="008E79F7">
        <w:rPr>
          <w:bCs/>
          <w:szCs w:val="24"/>
        </w:rPr>
        <w:t xml:space="preserve">es importante señalar que </w:t>
      </w:r>
      <w:r w:rsidRPr="008E79F7">
        <w:rPr>
          <w:szCs w:val="24"/>
        </w:rPr>
        <w:t>el artículo 4, párrafo segundo, de la Ley de Transparencia local dispone lo siguiente:</w:t>
      </w:r>
    </w:p>
    <w:p w14:paraId="651005B6" w14:textId="77777777" w:rsidR="00D20BF9" w:rsidRPr="008E79F7" w:rsidRDefault="00D20BF9" w:rsidP="00D20BF9">
      <w:pPr>
        <w:pBdr>
          <w:top w:val="nil"/>
          <w:left w:val="nil"/>
          <w:bottom w:val="nil"/>
          <w:right w:val="nil"/>
          <w:between w:val="nil"/>
        </w:pBdr>
        <w:contextualSpacing/>
        <w:rPr>
          <w:szCs w:val="24"/>
        </w:rPr>
      </w:pPr>
    </w:p>
    <w:p w14:paraId="32B80EEE" w14:textId="77777777" w:rsidR="00D20BF9" w:rsidRPr="008E79F7" w:rsidRDefault="00D20BF9" w:rsidP="00D20BF9">
      <w:pPr>
        <w:pBdr>
          <w:top w:val="nil"/>
          <w:left w:val="nil"/>
          <w:bottom w:val="nil"/>
          <w:right w:val="nil"/>
          <w:between w:val="nil"/>
        </w:pBdr>
        <w:spacing w:line="240" w:lineRule="auto"/>
        <w:ind w:left="567" w:right="616"/>
        <w:contextualSpacing/>
        <w:rPr>
          <w:i/>
          <w:sz w:val="22"/>
        </w:rPr>
      </w:pPr>
      <w:r w:rsidRPr="008E79F7">
        <w:rPr>
          <w:b/>
          <w:i/>
          <w:sz w:val="22"/>
        </w:rPr>
        <w:t xml:space="preserve">Artículo 4. </w:t>
      </w:r>
      <w:r w:rsidRPr="008E79F7">
        <w:rPr>
          <w:i/>
          <w:sz w:val="22"/>
        </w:rPr>
        <w:t>[…]</w:t>
      </w:r>
    </w:p>
    <w:p w14:paraId="5A2184F2" w14:textId="77777777" w:rsidR="00D20BF9" w:rsidRPr="008E79F7"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8E79F7" w:rsidRDefault="00D20BF9" w:rsidP="00D20BF9">
      <w:pPr>
        <w:pBdr>
          <w:top w:val="nil"/>
          <w:left w:val="nil"/>
          <w:bottom w:val="nil"/>
          <w:right w:val="nil"/>
          <w:between w:val="nil"/>
        </w:pBdr>
        <w:spacing w:line="240" w:lineRule="auto"/>
        <w:ind w:left="567" w:right="616"/>
        <w:contextualSpacing/>
        <w:rPr>
          <w:i/>
          <w:sz w:val="22"/>
        </w:rPr>
      </w:pPr>
      <w:r w:rsidRPr="008E79F7">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8E79F7"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8E79F7" w:rsidRDefault="00D20BF9" w:rsidP="00D20BF9">
      <w:pPr>
        <w:pBdr>
          <w:top w:val="nil"/>
          <w:left w:val="nil"/>
          <w:bottom w:val="nil"/>
          <w:right w:val="nil"/>
          <w:between w:val="nil"/>
        </w:pBdr>
        <w:spacing w:line="240" w:lineRule="auto"/>
        <w:ind w:left="567" w:right="616"/>
        <w:contextualSpacing/>
        <w:rPr>
          <w:i/>
          <w:sz w:val="22"/>
        </w:rPr>
      </w:pPr>
      <w:r w:rsidRPr="008E79F7">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8E79F7" w:rsidRDefault="00D20BF9" w:rsidP="00D20BF9">
      <w:pPr>
        <w:pBdr>
          <w:top w:val="nil"/>
          <w:left w:val="nil"/>
          <w:bottom w:val="nil"/>
          <w:right w:val="nil"/>
          <w:between w:val="nil"/>
        </w:pBdr>
        <w:contextualSpacing/>
        <w:rPr>
          <w:szCs w:val="24"/>
        </w:rPr>
      </w:pPr>
    </w:p>
    <w:p w14:paraId="4F45DDF4" w14:textId="77777777" w:rsidR="00D20BF9" w:rsidRPr="008E79F7" w:rsidRDefault="00D20BF9" w:rsidP="00D20BF9">
      <w:pPr>
        <w:rPr>
          <w:rFonts w:cs="Arial"/>
          <w:i/>
        </w:rPr>
      </w:pPr>
      <w:r w:rsidRPr="008E79F7">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8E79F7" w:rsidRDefault="00D20BF9" w:rsidP="00D20BF9">
      <w:pPr>
        <w:rPr>
          <w:rFonts w:cs="Arial"/>
          <w:iCs/>
        </w:rPr>
      </w:pPr>
    </w:p>
    <w:p w14:paraId="085C2CA5" w14:textId="77777777" w:rsidR="00D20BF9" w:rsidRPr="008E79F7" w:rsidRDefault="00D20BF9" w:rsidP="00D20BF9">
      <w:pPr>
        <w:rPr>
          <w:rFonts w:cs="Arial"/>
          <w:szCs w:val="24"/>
        </w:rPr>
      </w:pPr>
      <w:r w:rsidRPr="008E79F7">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8E79F7" w:rsidRDefault="00D20BF9" w:rsidP="00D20BF9">
      <w:pPr>
        <w:spacing w:line="259" w:lineRule="auto"/>
        <w:ind w:right="567"/>
        <w:rPr>
          <w:rFonts w:cs="Arial"/>
          <w:szCs w:val="24"/>
        </w:rPr>
      </w:pPr>
    </w:p>
    <w:p w14:paraId="76F1BD36" w14:textId="77777777" w:rsidR="00D20BF9" w:rsidRPr="008E79F7" w:rsidRDefault="00D20BF9" w:rsidP="00D20BF9">
      <w:pPr>
        <w:spacing w:line="240" w:lineRule="auto"/>
        <w:ind w:left="567" w:right="567"/>
        <w:rPr>
          <w:rFonts w:cs="Arial"/>
          <w:i/>
          <w:color w:val="000000"/>
          <w:sz w:val="22"/>
        </w:rPr>
      </w:pPr>
      <w:r w:rsidRPr="008E79F7">
        <w:rPr>
          <w:rFonts w:cs="Arial"/>
          <w:b/>
          <w:i/>
          <w:color w:val="000000"/>
          <w:sz w:val="22"/>
        </w:rPr>
        <w:t>Artículo 12.</w:t>
      </w:r>
      <w:r w:rsidRPr="008E79F7">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8E79F7" w:rsidRDefault="00D20BF9" w:rsidP="00D20BF9">
      <w:pPr>
        <w:spacing w:line="240" w:lineRule="auto"/>
        <w:ind w:left="567" w:right="567"/>
        <w:rPr>
          <w:rFonts w:cs="Arial"/>
          <w:i/>
          <w:sz w:val="22"/>
        </w:rPr>
      </w:pPr>
    </w:p>
    <w:p w14:paraId="72E68669" w14:textId="77777777" w:rsidR="00D20BF9" w:rsidRPr="008E79F7" w:rsidRDefault="00D20BF9" w:rsidP="00D20BF9">
      <w:pPr>
        <w:spacing w:line="240" w:lineRule="auto"/>
        <w:ind w:left="567" w:right="567"/>
        <w:rPr>
          <w:rFonts w:cs="Arial"/>
          <w:i/>
          <w:iCs/>
          <w:sz w:val="22"/>
          <w:lang w:val="es-ES"/>
        </w:rPr>
      </w:pPr>
      <w:r w:rsidRPr="008E79F7">
        <w:rPr>
          <w:rFonts w:cs="Arial"/>
          <w:b/>
          <w:bCs/>
          <w:i/>
          <w:iCs/>
          <w:color w:val="000000" w:themeColor="text1"/>
          <w:sz w:val="22"/>
          <w:u w:val="single"/>
          <w:lang w:val="es-ES"/>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8E79F7" w:rsidRDefault="00D20BF9" w:rsidP="00D20BF9">
      <w:pPr>
        <w:rPr>
          <w:rFonts w:cs="Arial"/>
          <w:color w:val="000000"/>
        </w:rPr>
      </w:pPr>
    </w:p>
    <w:p w14:paraId="1B4E3F46" w14:textId="77777777" w:rsidR="00D20BF9" w:rsidRPr="008E79F7" w:rsidRDefault="00D20BF9" w:rsidP="00D20BF9">
      <w:pPr>
        <w:rPr>
          <w:rFonts w:cs="Arial"/>
          <w:color w:val="000000"/>
        </w:rPr>
      </w:pPr>
      <w:r w:rsidRPr="008E79F7">
        <w:rPr>
          <w:rFonts w:cs="Arial"/>
          <w:color w:val="000000"/>
        </w:rPr>
        <w:t>En síntesis, el derecho de acceso a la información pública se satisface en aquellos casos en que se entregue el soporte documental en que conste la información pública, toda vez que, los Sujetos Obligados</w:t>
      </w:r>
      <w:r w:rsidRPr="008E79F7">
        <w:rPr>
          <w:rFonts w:cs="Arial"/>
          <w:b/>
          <w:color w:val="000000"/>
        </w:rPr>
        <w:t xml:space="preserve"> </w:t>
      </w:r>
      <w:r w:rsidRPr="008E79F7">
        <w:rPr>
          <w:rFonts w:cs="Arial"/>
          <w:color w:val="000000"/>
        </w:rPr>
        <w:t xml:space="preserve">no tienen el deber de generar, poseer o administrar la información pública con el grado de detalle solicitado; esto es, que no tienen el deber de generar un documento </w:t>
      </w:r>
      <w:r w:rsidRPr="008E79F7">
        <w:rPr>
          <w:rFonts w:cs="Arial"/>
          <w:i/>
          <w:color w:val="000000"/>
        </w:rPr>
        <w:t>ad hoc</w:t>
      </w:r>
      <w:r w:rsidRPr="008E79F7">
        <w:rPr>
          <w:rFonts w:cs="Arial"/>
          <w:color w:val="000000"/>
        </w:rPr>
        <w:t>, para satisfacer el derecho de acceso a la información pública.</w:t>
      </w:r>
    </w:p>
    <w:p w14:paraId="23DE16AE" w14:textId="77777777" w:rsidR="00D20BF9" w:rsidRPr="008E79F7" w:rsidRDefault="00D20BF9" w:rsidP="00D20BF9">
      <w:pPr>
        <w:rPr>
          <w:rFonts w:cs="Arial"/>
          <w:color w:val="000000"/>
        </w:rPr>
      </w:pPr>
    </w:p>
    <w:p w14:paraId="1A18D82C" w14:textId="77777777" w:rsidR="00D20BF9" w:rsidRPr="008E79F7" w:rsidRDefault="00D20BF9" w:rsidP="00D20BF9">
      <w:pPr>
        <w:rPr>
          <w:b/>
          <w:bCs/>
          <w:color w:val="000000"/>
        </w:rPr>
      </w:pPr>
      <w:r w:rsidRPr="008E79F7">
        <w:rPr>
          <w:rFonts w:cs="Arial"/>
          <w:color w:val="000000"/>
        </w:rPr>
        <w:t xml:space="preserve">Como apoyo a lo anterior, es aplicable el Criterio 03-17, emitido por </w:t>
      </w:r>
      <w:r w:rsidRPr="008E79F7">
        <w:rPr>
          <w:rFonts w:eastAsia="Arial Unicode MS" w:cs="Arial"/>
          <w:color w:val="000000"/>
        </w:rPr>
        <w:t>el Instituto Nacional de Transparencia, Acceso a la Información y Protección de Datos Personales,</w:t>
      </w:r>
      <w:r w:rsidRPr="008E79F7">
        <w:rPr>
          <w:bCs/>
          <w:color w:val="000000"/>
        </w:rPr>
        <w:t xml:space="preserve"> que dice:</w:t>
      </w:r>
      <w:r w:rsidRPr="008E79F7">
        <w:rPr>
          <w:b/>
          <w:bCs/>
          <w:color w:val="000000"/>
        </w:rPr>
        <w:t xml:space="preserve"> </w:t>
      </w:r>
    </w:p>
    <w:p w14:paraId="4629C3FC" w14:textId="77777777" w:rsidR="00D20BF9" w:rsidRPr="008E79F7" w:rsidRDefault="00D20BF9" w:rsidP="00D20BF9">
      <w:pPr>
        <w:jc w:val="left"/>
        <w:rPr>
          <w:rFonts w:eastAsia="Times New Roman" w:cs="Times New Roman"/>
          <w:szCs w:val="24"/>
          <w:lang w:eastAsia="es-ES"/>
        </w:rPr>
      </w:pPr>
    </w:p>
    <w:p w14:paraId="4B5076A2" w14:textId="77777777" w:rsidR="00D20BF9" w:rsidRPr="008E79F7" w:rsidRDefault="00D20BF9" w:rsidP="00D20BF9">
      <w:pPr>
        <w:spacing w:line="259" w:lineRule="auto"/>
        <w:ind w:left="851" w:right="850"/>
        <w:rPr>
          <w:rFonts w:cs="Arial"/>
          <w:color w:val="000000"/>
          <w:sz w:val="2"/>
        </w:rPr>
      </w:pPr>
    </w:p>
    <w:p w14:paraId="68E407C1" w14:textId="77777777" w:rsidR="00D20BF9" w:rsidRPr="008E79F7" w:rsidRDefault="00D20BF9" w:rsidP="00D20BF9">
      <w:pPr>
        <w:spacing w:line="240" w:lineRule="auto"/>
        <w:ind w:left="567" w:right="567"/>
        <w:rPr>
          <w:rFonts w:cs="Arial"/>
          <w:i/>
          <w:color w:val="000000"/>
          <w:sz w:val="22"/>
        </w:rPr>
      </w:pPr>
      <w:r w:rsidRPr="008E79F7">
        <w:rPr>
          <w:rFonts w:cs="Arial"/>
          <w:b/>
          <w:i/>
          <w:color w:val="000000"/>
          <w:sz w:val="22"/>
        </w:rPr>
        <w:t>No existe obligación de elaborar documentos ad hoc para atender las solicitudes de acceso a la información.</w:t>
      </w:r>
      <w:r w:rsidRPr="008E79F7">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8E79F7" w:rsidRDefault="00D20BF9" w:rsidP="00D20BF9">
      <w:pPr>
        <w:spacing w:line="240" w:lineRule="auto"/>
        <w:ind w:left="567" w:right="567"/>
        <w:rPr>
          <w:rFonts w:cs="Arial"/>
          <w:i/>
          <w:color w:val="000000"/>
          <w:sz w:val="2"/>
        </w:rPr>
      </w:pPr>
    </w:p>
    <w:p w14:paraId="1E373F9E" w14:textId="77777777" w:rsidR="00D20BF9" w:rsidRPr="008E79F7" w:rsidRDefault="00D20BF9" w:rsidP="00D20BF9">
      <w:pPr>
        <w:rPr>
          <w:rFonts w:cs="Arial"/>
          <w:color w:val="000000" w:themeColor="text1"/>
        </w:rPr>
      </w:pPr>
    </w:p>
    <w:p w14:paraId="48906597" w14:textId="77777777" w:rsidR="00D20BF9" w:rsidRPr="008E79F7" w:rsidRDefault="00D20BF9" w:rsidP="00D20BF9">
      <w:pPr>
        <w:rPr>
          <w:rFonts w:cs="Arial"/>
          <w:color w:val="000000" w:themeColor="text1"/>
        </w:rPr>
      </w:pPr>
      <w:r w:rsidRPr="008E79F7">
        <w:rPr>
          <w:rFonts w:cs="Arial"/>
          <w:color w:val="000000" w:themeColor="text1"/>
        </w:rPr>
        <w:t xml:space="preserve">Asimismo, el artículo 24, de la Ley de la materia, dispone que los Sujetos Obligados sólo proporcionarán la información pública que </w:t>
      </w:r>
      <w:r w:rsidRPr="008E79F7">
        <w:rPr>
          <w:rFonts w:cs="Arial"/>
        </w:rPr>
        <w:t>generen</w:t>
      </w:r>
      <w:r w:rsidRPr="008E79F7">
        <w:rPr>
          <w:rFonts w:cs="Arial"/>
          <w:color w:val="000000" w:themeColor="text1"/>
        </w:rPr>
        <w:t xml:space="preserve">, administren o posean en el ejercicio de sus atribuciones; por consiguiente, la información pública se encuentra a disposición </w:t>
      </w:r>
      <w:r w:rsidRPr="008E79F7">
        <w:rPr>
          <w:rFonts w:cs="Arial"/>
          <w:color w:val="000000" w:themeColor="text1"/>
        </w:rPr>
        <w:lastRenderedPageBreak/>
        <w:t>de cualquier persona, lo que implica que es deber de los Sujetos Obligados, garantizar el derecho de acceso a la información pública.</w:t>
      </w:r>
    </w:p>
    <w:p w14:paraId="66963FD9" w14:textId="77777777" w:rsidR="00D20BF9" w:rsidRPr="008E79F7" w:rsidRDefault="00D20BF9" w:rsidP="00D20BF9">
      <w:pPr>
        <w:rPr>
          <w:rFonts w:cs="Arial"/>
          <w:color w:val="000000" w:themeColor="text1"/>
        </w:rPr>
      </w:pPr>
    </w:p>
    <w:p w14:paraId="2D1C5A8C" w14:textId="77777777" w:rsidR="00D20BF9" w:rsidRPr="008E79F7" w:rsidRDefault="00D20BF9" w:rsidP="00D20BF9">
      <w:pPr>
        <w:rPr>
          <w:rFonts w:cs="Arial"/>
          <w:color w:val="000000" w:themeColor="text1"/>
        </w:rPr>
      </w:pPr>
      <w:r w:rsidRPr="008E79F7">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8E79F7">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8E79F7">
        <w:rPr>
          <w:rFonts w:cs="Arial"/>
          <w:color w:val="000000" w:themeColor="text1"/>
        </w:rPr>
        <w:t xml:space="preserve">; los que, </w:t>
      </w:r>
      <w:r w:rsidRPr="008E79F7">
        <w:rPr>
          <w:rFonts w:cs="Arial"/>
        </w:rPr>
        <w:t>podrán estar en cualquier medio, sea escrito, impreso, sonoro, visual, electrónico, informático u holográfico</w:t>
      </w:r>
      <w:r w:rsidRPr="008E79F7">
        <w:rPr>
          <w:rFonts w:cs="Arial"/>
          <w:color w:val="000000" w:themeColor="text1"/>
        </w:rPr>
        <w:t xml:space="preserve">, de conformidad con el artículo 3, fracción XI, de la Ley de la materia, el cual dispone lo siguiente: </w:t>
      </w:r>
    </w:p>
    <w:p w14:paraId="33CA8A39" w14:textId="77777777" w:rsidR="00D20BF9" w:rsidRPr="008E79F7" w:rsidRDefault="00D20BF9" w:rsidP="00D20BF9">
      <w:pPr>
        <w:pBdr>
          <w:top w:val="nil"/>
          <w:left w:val="nil"/>
          <w:bottom w:val="nil"/>
          <w:right w:val="nil"/>
          <w:between w:val="nil"/>
        </w:pBdr>
        <w:contextualSpacing/>
        <w:rPr>
          <w:szCs w:val="24"/>
        </w:rPr>
      </w:pPr>
    </w:p>
    <w:p w14:paraId="7C256C9E" w14:textId="77777777" w:rsidR="00D20BF9" w:rsidRPr="008E79F7" w:rsidRDefault="00D20BF9" w:rsidP="00D20BF9">
      <w:pPr>
        <w:pStyle w:val="Fundamentos"/>
      </w:pPr>
      <w:r w:rsidRPr="008E79F7">
        <w:rPr>
          <w:b/>
        </w:rPr>
        <w:t xml:space="preserve">Artículo 3. </w:t>
      </w:r>
      <w:r w:rsidRPr="008E79F7">
        <w:t>Para los efectos de la presente Ley se entenderá por:</w:t>
      </w:r>
    </w:p>
    <w:p w14:paraId="42C4E747" w14:textId="77777777" w:rsidR="00D20BF9" w:rsidRPr="008E79F7" w:rsidRDefault="00D20BF9" w:rsidP="00D20BF9">
      <w:pPr>
        <w:pStyle w:val="Fundamentos"/>
      </w:pPr>
      <w:r w:rsidRPr="008E79F7">
        <w:t>[…]</w:t>
      </w:r>
    </w:p>
    <w:p w14:paraId="16E96EA1" w14:textId="77777777" w:rsidR="00D20BF9" w:rsidRPr="008E79F7" w:rsidRDefault="00D20BF9" w:rsidP="00D20BF9">
      <w:pPr>
        <w:pStyle w:val="Fundamentos"/>
      </w:pPr>
      <w:r w:rsidRPr="008E79F7">
        <w:rPr>
          <w:b/>
        </w:rPr>
        <w:t>XI. Documento:</w:t>
      </w:r>
      <w:r w:rsidRPr="008E79F7">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8E79F7">
        <w:rPr>
          <w:b/>
          <w:u w:val="single"/>
        </w:rPr>
        <w:t>Los documentos podrán estar en cualquier medio, sea escrito, impreso, sonoro, visual, electrónico, informático u holográfico</w:t>
      </w:r>
      <w:r w:rsidRPr="008E79F7">
        <w:t>;</w:t>
      </w:r>
    </w:p>
    <w:p w14:paraId="1445D62E" w14:textId="77777777" w:rsidR="00D20BF9" w:rsidRPr="008E79F7" w:rsidRDefault="00D20BF9" w:rsidP="00D20BF9">
      <w:pPr>
        <w:pStyle w:val="Fundamentos"/>
      </w:pPr>
      <w:r w:rsidRPr="008E79F7">
        <w:t>[…]</w:t>
      </w:r>
    </w:p>
    <w:p w14:paraId="56366552" w14:textId="77777777" w:rsidR="00D20BF9" w:rsidRPr="008E79F7" w:rsidRDefault="00D20BF9" w:rsidP="00D20BF9"/>
    <w:p w14:paraId="7FD9E6FB" w14:textId="77777777" w:rsidR="00D20BF9" w:rsidRPr="008E79F7" w:rsidRDefault="00D20BF9" w:rsidP="00D20BF9">
      <w:pPr>
        <w:autoSpaceDE w:val="0"/>
        <w:autoSpaceDN w:val="0"/>
        <w:adjustRightInd w:val="0"/>
        <w:rPr>
          <w:rFonts w:cs="Arial"/>
          <w:szCs w:val="24"/>
        </w:rPr>
      </w:pPr>
      <w:r w:rsidRPr="008E79F7">
        <w:rPr>
          <w:rFonts w:cs="Arial"/>
          <w:szCs w:val="24"/>
        </w:rPr>
        <w:t xml:space="preserve">Siendo aplicable el Criterio </w:t>
      </w:r>
      <w:r w:rsidRPr="008E79F7">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w:t>
      </w:r>
      <w:r w:rsidRPr="008E79F7">
        <w:rPr>
          <w:rFonts w:cs="Arial"/>
          <w:bCs/>
          <w:szCs w:val="24"/>
        </w:rPr>
        <w:lastRenderedPageBreak/>
        <w:t xml:space="preserve">Gobierno del Estado Libre y Soberano de México «Gaceta del Gobierno», el diecinueve de octubre de dos mil once, </w:t>
      </w:r>
      <w:r w:rsidRPr="008E79F7">
        <w:rPr>
          <w:rFonts w:cs="Arial"/>
          <w:szCs w:val="24"/>
        </w:rPr>
        <w:t>cuyo rubro y texto dispone:</w:t>
      </w:r>
    </w:p>
    <w:p w14:paraId="657F3679" w14:textId="77777777" w:rsidR="00D20BF9" w:rsidRPr="008E79F7" w:rsidRDefault="00D20BF9" w:rsidP="00D20BF9">
      <w:pPr>
        <w:jc w:val="left"/>
        <w:rPr>
          <w:rFonts w:eastAsia="Times New Roman" w:cs="Times New Roman"/>
          <w:szCs w:val="24"/>
          <w:lang w:eastAsia="es-ES"/>
        </w:rPr>
      </w:pPr>
    </w:p>
    <w:p w14:paraId="5C59B392" w14:textId="77777777" w:rsidR="00D20BF9" w:rsidRPr="008E79F7" w:rsidRDefault="00D20BF9" w:rsidP="00D20BF9">
      <w:pPr>
        <w:spacing w:line="259" w:lineRule="auto"/>
        <w:ind w:left="567" w:right="567"/>
        <w:rPr>
          <w:rFonts w:cs="Arial"/>
          <w:sz w:val="2"/>
        </w:rPr>
      </w:pPr>
    </w:p>
    <w:p w14:paraId="784ACC4A" w14:textId="77777777" w:rsidR="00D20BF9" w:rsidRPr="008E79F7" w:rsidRDefault="00D20BF9" w:rsidP="00D20BF9">
      <w:pPr>
        <w:spacing w:line="240" w:lineRule="auto"/>
        <w:ind w:left="567" w:right="567"/>
        <w:rPr>
          <w:rFonts w:cs="Arial"/>
          <w:i/>
          <w:iCs/>
          <w:sz w:val="22"/>
          <w:lang w:val="es-ES"/>
        </w:rPr>
      </w:pPr>
      <w:r w:rsidRPr="008E79F7">
        <w:rPr>
          <w:rFonts w:cs="Arial"/>
          <w:b/>
          <w:bCs/>
          <w:i/>
          <w:iCs/>
          <w:sz w:val="22"/>
          <w:lang w:val="es-ES"/>
        </w:rPr>
        <w:t>INFORMACIÓN PÚBLICA, CONCEPTO DE, EN MATERIA DE TRANSPARENCIA. INTERPRETACIÓN SISTEMÁTICA DE LOS ARTÍCULOS 2°, FRACCIÓN V, XV, Y XVI, 3°, 4°, 11 Y 41.</w:t>
      </w:r>
      <w:r w:rsidRPr="008E79F7">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8E79F7" w:rsidRDefault="00D20BF9" w:rsidP="00D20BF9">
      <w:pPr>
        <w:spacing w:line="240" w:lineRule="auto"/>
        <w:ind w:left="567" w:right="567"/>
        <w:rPr>
          <w:rFonts w:cs="Arial"/>
          <w:i/>
          <w:sz w:val="22"/>
        </w:rPr>
      </w:pPr>
    </w:p>
    <w:p w14:paraId="65C46269" w14:textId="77777777" w:rsidR="00D20BF9" w:rsidRPr="008E79F7" w:rsidRDefault="00D20BF9" w:rsidP="00D20BF9">
      <w:pPr>
        <w:spacing w:line="240" w:lineRule="auto"/>
        <w:ind w:left="567" w:right="567"/>
        <w:rPr>
          <w:rFonts w:cs="Arial"/>
          <w:i/>
          <w:iCs/>
          <w:sz w:val="22"/>
          <w:lang w:val="es-ES"/>
        </w:rPr>
      </w:pPr>
      <w:r w:rsidRPr="008E79F7">
        <w:rPr>
          <w:rFonts w:cs="Arial"/>
          <w:i/>
          <w:iCs/>
          <w:sz w:val="22"/>
          <w:lang w:val="es-ES"/>
        </w:rPr>
        <w:t>En consecuencia el acceso a la información se refiere a que se cumplan cualquiera de los siguientes tres supuestos:</w:t>
      </w:r>
    </w:p>
    <w:p w14:paraId="3A00390D" w14:textId="77777777" w:rsidR="00D20BF9" w:rsidRPr="008E79F7" w:rsidRDefault="00D20BF9" w:rsidP="00D20BF9">
      <w:pPr>
        <w:spacing w:line="240" w:lineRule="auto"/>
        <w:ind w:left="567" w:right="567"/>
        <w:rPr>
          <w:rFonts w:cs="Arial"/>
          <w:b/>
          <w:i/>
          <w:sz w:val="22"/>
        </w:rPr>
      </w:pPr>
    </w:p>
    <w:p w14:paraId="35997892" w14:textId="77777777" w:rsidR="00D20BF9" w:rsidRPr="008E79F7" w:rsidRDefault="00D20BF9" w:rsidP="00D20BF9">
      <w:pPr>
        <w:spacing w:line="240" w:lineRule="auto"/>
        <w:ind w:left="567" w:right="567"/>
        <w:rPr>
          <w:rFonts w:cs="Arial"/>
          <w:b/>
          <w:bCs/>
          <w:i/>
          <w:iCs/>
          <w:sz w:val="22"/>
          <w:lang w:val="es-ES"/>
        </w:rPr>
      </w:pPr>
      <w:r w:rsidRPr="008E79F7">
        <w:rPr>
          <w:rFonts w:cs="Arial"/>
          <w:b/>
          <w:bCs/>
          <w:i/>
          <w:iCs/>
          <w:sz w:val="22"/>
          <w:lang w:val="es-ES"/>
        </w:rPr>
        <w:t xml:space="preserve">1) </w:t>
      </w:r>
      <w:r w:rsidRPr="008E79F7">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8E79F7" w:rsidRDefault="00D20BF9" w:rsidP="00D20BF9">
      <w:pPr>
        <w:spacing w:line="240" w:lineRule="auto"/>
        <w:ind w:left="567" w:right="567"/>
        <w:rPr>
          <w:rFonts w:cs="Arial"/>
          <w:i/>
          <w:iCs/>
          <w:sz w:val="22"/>
          <w:lang w:val="es-ES"/>
        </w:rPr>
      </w:pPr>
      <w:r w:rsidRPr="008E79F7">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8E79F7" w:rsidRDefault="00D20BF9" w:rsidP="00D20BF9">
      <w:pPr>
        <w:spacing w:line="240" w:lineRule="auto"/>
        <w:ind w:left="567" w:right="567"/>
        <w:rPr>
          <w:rFonts w:cs="Arial"/>
          <w:i/>
          <w:iCs/>
          <w:sz w:val="18"/>
          <w:szCs w:val="18"/>
          <w:lang w:val="es-ES"/>
        </w:rPr>
      </w:pPr>
      <w:r w:rsidRPr="008E79F7">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8E79F7" w:rsidRDefault="00D20BF9" w:rsidP="00D20BF9">
      <w:pPr>
        <w:pBdr>
          <w:top w:val="nil"/>
          <w:left w:val="nil"/>
          <w:bottom w:val="nil"/>
          <w:right w:val="nil"/>
          <w:between w:val="nil"/>
        </w:pBdr>
        <w:contextualSpacing/>
        <w:rPr>
          <w:rFonts w:eastAsia="Palatino Linotype" w:cs="Palatino Linotype"/>
          <w:color w:val="000000"/>
          <w:szCs w:val="24"/>
        </w:rPr>
      </w:pPr>
    </w:p>
    <w:p w14:paraId="66DFECC1" w14:textId="18BFC3C7" w:rsidR="00901340" w:rsidRPr="008E79F7" w:rsidRDefault="00D20BF9" w:rsidP="00901340">
      <w:pPr>
        <w:ind w:left="-20" w:right="-20"/>
        <w:rPr>
          <w:szCs w:val="24"/>
        </w:rPr>
      </w:pPr>
      <w:r w:rsidRPr="008E79F7">
        <w:rPr>
          <w:rFonts w:eastAsia="Palatino Linotype" w:cs="Palatino Linotype"/>
          <w:color w:val="000000"/>
          <w:szCs w:val="24"/>
          <w:lang w:val="es-ES"/>
        </w:rPr>
        <w:t xml:space="preserve">En segundo término, </w:t>
      </w:r>
      <w:r w:rsidR="00901340" w:rsidRPr="008E79F7">
        <w:rPr>
          <w:szCs w:val="24"/>
        </w:rPr>
        <w:t>se observa que, ante la solicitud de</w:t>
      </w:r>
      <w:r w:rsidR="00E834EB" w:rsidRPr="008E79F7">
        <w:rPr>
          <w:szCs w:val="24"/>
        </w:rPr>
        <w:t xml:space="preserve"> las facturas pagadas y en proceso de pago por m</w:t>
      </w:r>
      <w:r w:rsidR="006F6B1E" w:rsidRPr="008E79F7">
        <w:rPr>
          <w:szCs w:val="24"/>
        </w:rPr>
        <w:t>á</w:t>
      </w:r>
      <w:r w:rsidR="00E834EB" w:rsidRPr="008E79F7">
        <w:rPr>
          <w:szCs w:val="24"/>
        </w:rPr>
        <w:t>s de un millón de pesos</w:t>
      </w:r>
      <w:r w:rsidR="006F6B1E" w:rsidRPr="008E79F7">
        <w:rPr>
          <w:rFonts w:eastAsia="Palatino Linotype" w:cs="Palatino Linotype"/>
          <w:color w:val="000000"/>
          <w:szCs w:val="24"/>
          <w:lang w:val="es-MX"/>
        </w:rPr>
        <w:t xml:space="preserve">, el Sujeto Obligado se limitó a referir que la Tesorereía Municipal no cuenta con la capacidad </w:t>
      </w:r>
      <w:r w:rsidR="008618B8" w:rsidRPr="008E79F7">
        <w:rPr>
          <w:rFonts w:eastAsia="Palatino Linotype" w:cs="Palatino Linotype"/>
          <w:color w:val="000000"/>
          <w:szCs w:val="24"/>
          <w:lang w:val="es-MX"/>
        </w:rPr>
        <w:t>para atender la solicitud.</w:t>
      </w:r>
    </w:p>
    <w:p w14:paraId="378AA445" w14:textId="77777777" w:rsidR="00901340" w:rsidRPr="008E79F7" w:rsidRDefault="00901340" w:rsidP="00901340">
      <w:pPr>
        <w:ind w:left="-20" w:right="-20"/>
        <w:rPr>
          <w:szCs w:val="24"/>
        </w:rPr>
      </w:pPr>
    </w:p>
    <w:p w14:paraId="5CCCC414" w14:textId="48CFC465" w:rsidR="00901340" w:rsidRPr="008E79F7" w:rsidRDefault="00901340" w:rsidP="00901340">
      <w:pPr>
        <w:rPr>
          <w:rFonts w:eastAsia="Palatino Linotype" w:cs="Palatino Linotype"/>
          <w:color w:val="000000" w:themeColor="text1"/>
        </w:rPr>
      </w:pPr>
      <w:r w:rsidRPr="008E79F7">
        <w:rPr>
          <w:rFonts w:eastAsia="Palatino Linotype" w:cs="Palatino Linotype"/>
          <w:color w:val="000000" w:themeColor="text1"/>
        </w:rPr>
        <w:t xml:space="preserve">Al respecto, </w:t>
      </w:r>
      <w:r w:rsidR="00DA28B5" w:rsidRPr="008E79F7">
        <w:rPr>
          <w:rFonts w:eastAsia="Palatino Linotype" w:cs="Palatino Linotype"/>
          <w:color w:val="000000" w:themeColor="text1"/>
        </w:rPr>
        <w:t xml:space="preserve">con relación a las funciones </w:t>
      </w:r>
      <w:r w:rsidR="008618B8" w:rsidRPr="008E79F7">
        <w:rPr>
          <w:rFonts w:eastAsia="Palatino Linotype" w:cs="Palatino Linotype"/>
          <w:color w:val="000000" w:themeColor="text1"/>
        </w:rPr>
        <w:t xml:space="preserve">de la </w:t>
      </w:r>
      <w:r w:rsidRPr="008E79F7">
        <w:rPr>
          <w:rFonts w:eastAsia="Palatino Linotype" w:cs="Palatino Linotype"/>
          <w:color w:val="000000" w:themeColor="text1"/>
        </w:rPr>
        <w:t>Tesorería Municipal, es conveniente hacer referencia a lo dispuesto en los artículos 93 y 95 fracciones I y IV de la Ley Orgánica Municipal del Estado de México, en los que se establece lo siguiente:</w:t>
      </w:r>
    </w:p>
    <w:p w14:paraId="368B2B60" w14:textId="77777777" w:rsidR="00901340" w:rsidRPr="008E79F7" w:rsidRDefault="00901340" w:rsidP="00901340">
      <w:pPr>
        <w:rPr>
          <w:rFonts w:eastAsia="Palatino Linotype" w:cs="Palatino Linotype"/>
          <w:color w:val="000000" w:themeColor="text1"/>
        </w:rPr>
      </w:pPr>
    </w:p>
    <w:p w14:paraId="140BE23C" w14:textId="77777777" w:rsidR="00901340" w:rsidRPr="008E79F7" w:rsidRDefault="00901340" w:rsidP="00901340">
      <w:pPr>
        <w:pStyle w:val="Fundamentos"/>
        <w:rPr>
          <w:lang w:val="es-ES"/>
        </w:rPr>
      </w:pPr>
      <w:r w:rsidRPr="008E79F7">
        <w:rPr>
          <w:b/>
          <w:lang w:val="es-ES"/>
        </w:rPr>
        <w:t>Artículo 93.-</w:t>
      </w:r>
      <w:r w:rsidRPr="008E79F7">
        <w:rPr>
          <w:lang w:val="es-ES"/>
        </w:rPr>
        <w:t xml:space="preserve"> La tesorería municipal es el órgano encargado de la recaudación de los ingresos municipales y responsable de realizar las erogaciones que haga el ayuntamiento.</w:t>
      </w:r>
    </w:p>
    <w:p w14:paraId="26F2E1E7" w14:textId="77777777" w:rsidR="00901340" w:rsidRPr="008E79F7" w:rsidRDefault="00901340" w:rsidP="00901340">
      <w:pPr>
        <w:pStyle w:val="Fundamentos"/>
        <w:rPr>
          <w:lang w:val="es-ES"/>
        </w:rPr>
      </w:pPr>
    </w:p>
    <w:p w14:paraId="4ED1270B" w14:textId="77777777" w:rsidR="00901340" w:rsidRPr="008E79F7" w:rsidRDefault="00901340" w:rsidP="00901340">
      <w:pPr>
        <w:pStyle w:val="Fundamentos"/>
        <w:rPr>
          <w:lang w:val="es-ES"/>
        </w:rPr>
      </w:pPr>
      <w:r w:rsidRPr="008E79F7">
        <w:rPr>
          <w:b/>
          <w:bCs/>
          <w:lang w:val="es-ES"/>
        </w:rPr>
        <w:t>Artículo 95.-</w:t>
      </w:r>
      <w:r w:rsidRPr="008E79F7">
        <w:rPr>
          <w:lang w:val="es-ES"/>
        </w:rPr>
        <w:t xml:space="preserve"> Son atribuciones del tesorero municipal:</w:t>
      </w:r>
    </w:p>
    <w:p w14:paraId="48D3BFD1" w14:textId="77777777" w:rsidR="00901340" w:rsidRPr="008E79F7" w:rsidRDefault="00901340" w:rsidP="00901340">
      <w:pPr>
        <w:pStyle w:val="Fundamentos"/>
        <w:rPr>
          <w:lang w:val="es-ES"/>
        </w:rPr>
      </w:pPr>
    </w:p>
    <w:p w14:paraId="7E728133" w14:textId="77777777" w:rsidR="00901340" w:rsidRPr="008E79F7" w:rsidRDefault="00901340" w:rsidP="00901340">
      <w:pPr>
        <w:pStyle w:val="Fundamentos"/>
        <w:rPr>
          <w:lang w:val="es-ES"/>
        </w:rPr>
      </w:pPr>
      <w:r w:rsidRPr="008E79F7">
        <w:rPr>
          <w:lang w:val="es-ES"/>
        </w:rPr>
        <w:t>I. Administrar la hacienda pública municipal, de conformidad con las disposiciones legales aplicables;</w:t>
      </w:r>
    </w:p>
    <w:p w14:paraId="09D37E49" w14:textId="77777777" w:rsidR="00901340" w:rsidRPr="008E79F7" w:rsidRDefault="00901340" w:rsidP="00901340">
      <w:pPr>
        <w:pStyle w:val="Fundamentos"/>
        <w:rPr>
          <w:lang w:val="es-ES"/>
        </w:rPr>
      </w:pPr>
      <w:r w:rsidRPr="008E79F7">
        <w:rPr>
          <w:lang w:val="es-ES"/>
        </w:rPr>
        <w:t>[…]</w:t>
      </w:r>
    </w:p>
    <w:p w14:paraId="11A07AA2" w14:textId="77777777" w:rsidR="00901340" w:rsidRPr="008E79F7" w:rsidRDefault="00901340" w:rsidP="00901340">
      <w:pPr>
        <w:pStyle w:val="Fundamentos"/>
        <w:rPr>
          <w:lang w:val="es-ES"/>
        </w:rPr>
      </w:pPr>
      <w:r w:rsidRPr="008E79F7">
        <w:rPr>
          <w:lang w:val="es-ES"/>
        </w:rPr>
        <w:t>IV. Llevar los registros contables, financieros y administrativos de los ingresos, egresos, e inventarios;</w:t>
      </w:r>
    </w:p>
    <w:p w14:paraId="548D5099" w14:textId="77777777" w:rsidR="00901340" w:rsidRPr="008E79F7" w:rsidRDefault="00901340" w:rsidP="00901340">
      <w:pPr>
        <w:pStyle w:val="Fundamentos"/>
        <w:rPr>
          <w:lang w:val="es-ES"/>
        </w:rPr>
      </w:pPr>
      <w:r w:rsidRPr="008E79F7">
        <w:rPr>
          <w:lang w:val="es-ES"/>
        </w:rPr>
        <w:t>[…]</w:t>
      </w:r>
    </w:p>
    <w:p w14:paraId="4C59DCD1" w14:textId="77777777" w:rsidR="00901340" w:rsidRPr="008E79F7" w:rsidRDefault="00901340" w:rsidP="00901340">
      <w:pPr>
        <w:rPr>
          <w:rFonts w:eastAsia="Palatino Linotype" w:cs="Palatino Linotype"/>
          <w:color w:val="000000" w:themeColor="text1"/>
          <w:lang w:val="es-ES"/>
        </w:rPr>
      </w:pPr>
    </w:p>
    <w:p w14:paraId="2E791299" w14:textId="77777777" w:rsidR="00901340" w:rsidRPr="008E79F7" w:rsidRDefault="00901340" w:rsidP="00901340">
      <w:pPr>
        <w:rPr>
          <w:rFonts w:eastAsia="Palatino Linotype" w:cs="Palatino Linotype"/>
          <w:color w:val="000000" w:themeColor="text1"/>
          <w:lang w:val="es-ES"/>
        </w:rPr>
      </w:pPr>
      <w:r w:rsidRPr="008E79F7">
        <w:rPr>
          <w:rFonts w:eastAsia="Palatino Linotype" w:cs="Palatino Linotype"/>
          <w:color w:val="000000" w:themeColor="text1"/>
          <w:lang w:val="es-ES"/>
        </w:rPr>
        <w:t>Como se desprende de los preceptos en cita, la Tesorería Municipal es la dependencia responsable de realizar las erogaciones que haga el ayuntamiento, y que está facultada para administrar la hacienda pública y llevar los registros contables, financieros y administrativos de los egresos.</w:t>
      </w:r>
    </w:p>
    <w:p w14:paraId="75CB34CC" w14:textId="77777777" w:rsidR="00901340" w:rsidRPr="008E79F7" w:rsidRDefault="00901340" w:rsidP="00901340">
      <w:pPr>
        <w:rPr>
          <w:rFonts w:eastAsia="Palatino Linotype" w:cs="Palatino Linotype"/>
          <w:color w:val="000000" w:themeColor="text1"/>
        </w:rPr>
      </w:pPr>
    </w:p>
    <w:p w14:paraId="3AE68541" w14:textId="52E864DC" w:rsidR="00901340" w:rsidRPr="008E79F7" w:rsidRDefault="00901340" w:rsidP="00901340">
      <w:pPr>
        <w:rPr>
          <w:rFonts w:cs="Times New Roman"/>
          <w:bCs/>
          <w:color w:val="000000"/>
          <w:szCs w:val="24"/>
          <w:lang w:eastAsia="en-US"/>
        </w:rPr>
      </w:pPr>
      <w:r w:rsidRPr="008E79F7">
        <w:rPr>
          <w:rFonts w:eastAsia="Palatino Linotype" w:cs="Palatino Linotype"/>
          <w:color w:val="000000" w:themeColor="text1"/>
          <w:lang w:val="es-ES"/>
        </w:rPr>
        <w:t>As</w:t>
      </w:r>
      <w:r w:rsidR="00EA1A6E" w:rsidRPr="008E79F7">
        <w:rPr>
          <w:rFonts w:eastAsia="Palatino Linotype" w:cs="Palatino Linotype"/>
          <w:color w:val="000000" w:themeColor="text1"/>
          <w:lang w:val="es-ES"/>
        </w:rPr>
        <w:t>imismo</w:t>
      </w:r>
      <w:r w:rsidRPr="008E79F7">
        <w:rPr>
          <w:rFonts w:eastAsia="Palatino Linotype" w:cs="Palatino Linotype"/>
          <w:color w:val="000000" w:themeColor="text1"/>
          <w:lang w:val="es-ES"/>
        </w:rPr>
        <w:t xml:space="preserve">, </w:t>
      </w:r>
      <w:r w:rsidRPr="008E79F7">
        <w:rPr>
          <w:szCs w:val="24"/>
        </w:rPr>
        <w:t xml:space="preserve">se debe recordar que </w:t>
      </w:r>
      <w:r w:rsidRPr="008E79F7">
        <w:rPr>
          <w:rFonts w:cs="Times New Roman"/>
          <w:bCs/>
          <w:color w:val="000000"/>
          <w:szCs w:val="24"/>
          <w:lang w:eastAsia="en-US"/>
        </w:rPr>
        <w:t xml:space="preserve">el Instructivo del Módulo 1 “Información Contable y Financiera” emitido por el OSFEM, señala que dentro de los formatos que </w:t>
      </w:r>
      <w:r w:rsidR="00682B94" w:rsidRPr="008E79F7">
        <w:rPr>
          <w:rFonts w:cs="Times New Roman"/>
          <w:bCs/>
          <w:color w:val="000000"/>
          <w:szCs w:val="24"/>
          <w:lang w:eastAsia="en-US"/>
        </w:rPr>
        <w:t>integran</w:t>
      </w:r>
      <w:r w:rsidRPr="008E79F7">
        <w:rPr>
          <w:rFonts w:cs="Times New Roman"/>
          <w:bCs/>
          <w:color w:val="000000"/>
          <w:szCs w:val="24"/>
          <w:lang w:eastAsia="en-US"/>
        </w:rPr>
        <w:t xml:space="preserve"> dicho módulo se encuentran la Póliza de Egresos con los documentos comprobatorios. Además, se precisa que dichos documentos deberán contener las imágenes de la documentación comprobatoria y justificativa de los egresos y de las respectivas pólizas, los cuales incluyen los Comprobantes Fiscales Digitales por Internet, facturas o recibos, los cuales contienen el nombre de proveedores o en su caso razón social.</w:t>
      </w:r>
    </w:p>
    <w:p w14:paraId="3892DCEA" w14:textId="77777777" w:rsidR="00901340" w:rsidRPr="008E79F7" w:rsidRDefault="00901340" w:rsidP="00901340">
      <w:pPr>
        <w:contextualSpacing/>
        <w:rPr>
          <w:rFonts w:cs="Times New Roman"/>
          <w:bCs/>
          <w:color w:val="000000"/>
          <w:szCs w:val="24"/>
          <w:lang w:eastAsia="en-US"/>
        </w:rPr>
      </w:pPr>
    </w:p>
    <w:p w14:paraId="7531CFBA" w14:textId="77777777" w:rsidR="00901340" w:rsidRPr="008E79F7" w:rsidRDefault="00901340" w:rsidP="00901340">
      <w:pPr>
        <w:rPr>
          <w:rFonts w:eastAsia="Times New Roman" w:cs="Times New Roman"/>
          <w:color w:val="000000"/>
          <w:szCs w:val="24"/>
          <w:lang w:val="es-ES"/>
        </w:rPr>
      </w:pPr>
      <w:r w:rsidRPr="008E79F7">
        <w:rPr>
          <w:szCs w:val="24"/>
        </w:rPr>
        <w:t xml:space="preserve">En esa tesitura, es conveniente referir que </w:t>
      </w:r>
      <w:r w:rsidRPr="008E79F7">
        <w:rPr>
          <w:rFonts w:eastAsia="Times New Roman" w:cs="Times New Roman"/>
          <w:color w:val="000000"/>
          <w:szCs w:val="24"/>
        </w:rPr>
        <w:t xml:space="preserve">las facturas y las pólizas contables se deben considerar como </w:t>
      </w:r>
      <w:r w:rsidRPr="008E79F7">
        <w:rPr>
          <w:rFonts w:eastAsia="Times New Roman" w:cs="Times New Roman"/>
          <w:color w:val="000000"/>
          <w:szCs w:val="24"/>
          <w:lang w:val="es-ES"/>
        </w:rPr>
        <w:t xml:space="preserve">la documentación comprobatoria de las erogaciones realizadas en ejercicio del presupuesto municipal, entendido éste como </w:t>
      </w:r>
      <w:r w:rsidRPr="008E79F7">
        <w:rPr>
          <w:rFonts w:eastAsia="Times New Roman" w:cs="Times New Roman"/>
          <w:b/>
          <w:color w:val="000000"/>
          <w:szCs w:val="24"/>
          <w:lang w:val="es-ES"/>
        </w:rPr>
        <w:t>Presupuesto ejercido</w:t>
      </w:r>
      <w:r w:rsidRPr="008E79F7">
        <w:rPr>
          <w:rFonts w:eastAsia="Times New Roman" w:cs="Times New Roman"/>
          <w:color w:val="000000"/>
          <w:szCs w:val="24"/>
          <w:lang w:val="es-ES"/>
        </w:rPr>
        <w:t xml:space="preserve">, que </w:t>
      </w:r>
      <w:r w:rsidRPr="008E79F7">
        <w:rPr>
          <w:rFonts w:eastAsia="Times New Roman" w:cs="Times New Roman"/>
          <w:color w:val="000000"/>
          <w:szCs w:val="24"/>
          <w:lang w:val="es-ES"/>
        </w:rPr>
        <w:lastRenderedPageBreak/>
        <w:t xml:space="preserve">según el Glosario de Términos más Usuales en la Administración Pública Federal de la Secretaría de Hacienda y Crédito Público se define como: </w:t>
      </w:r>
    </w:p>
    <w:p w14:paraId="12FB00CB" w14:textId="77777777" w:rsidR="00901340" w:rsidRPr="008E79F7" w:rsidRDefault="00901340" w:rsidP="00901340">
      <w:pPr>
        <w:rPr>
          <w:rFonts w:eastAsia="Times New Roman" w:cs="Times New Roman"/>
          <w:i/>
          <w:color w:val="000000"/>
          <w:szCs w:val="24"/>
          <w:lang w:val="es-ES"/>
        </w:rPr>
      </w:pPr>
    </w:p>
    <w:p w14:paraId="425A26B7" w14:textId="77777777" w:rsidR="00901340" w:rsidRPr="008E79F7" w:rsidRDefault="00901340" w:rsidP="00901340">
      <w:pPr>
        <w:pStyle w:val="Fundamentos"/>
        <w:rPr>
          <w:b/>
          <w:lang w:val="es-ES"/>
        </w:rPr>
      </w:pPr>
      <w:r w:rsidRPr="008E79F7">
        <w:rPr>
          <w:b/>
          <w:lang w:val="es-ES"/>
        </w:rPr>
        <w:t>PRESUPUESTO EJERCIDO.</w:t>
      </w:r>
    </w:p>
    <w:p w14:paraId="178C1273" w14:textId="77777777" w:rsidR="00901340" w:rsidRPr="008E79F7" w:rsidRDefault="00901340" w:rsidP="00901340">
      <w:pPr>
        <w:pStyle w:val="Fundamentos"/>
        <w:rPr>
          <w:lang w:val="es-ES"/>
        </w:rPr>
      </w:pPr>
      <w:r w:rsidRPr="008E79F7">
        <w:rPr>
          <w:lang w:val="es-ES"/>
        </w:rPr>
        <w:t>Importe de las erogaciones realizadas respaldado por los documentos comprobatorios (</w:t>
      </w:r>
      <w:r w:rsidRPr="008E79F7">
        <w:rPr>
          <w:u w:val="single"/>
          <w:lang w:val="es-ES"/>
        </w:rPr>
        <w:t>facturas</w:t>
      </w:r>
      <w:r w:rsidRPr="008E79F7">
        <w:rPr>
          <w:lang w:val="es-ES"/>
        </w:rPr>
        <w:t>, notas, nominas, etc.) presentados a la dependencia o entidad una vez autorizadas para su pago, con cargo al presupuesto autorizado.</w:t>
      </w:r>
    </w:p>
    <w:p w14:paraId="73AC82B1" w14:textId="77777777" w:rsidR="00901340" w:rsidRPr="008E79F7" w:rsidRDefault="00901340" w:rsidP="00901340">
      <w:pPr>
        <w:rPr>
          <w:rFonts w:eastAsia="Times New Roman" w:cs="Times New Roman"/>
          <w:color w:val="000000"/>
          <w:szCs w:val="24"/>
          <w:lang w:val="es-ES"/>
        </w:rPr>
      </w:pPr>
    </w:p>
    <w:p w14:paraId="3C1EB3FE" w14:textId="77777777" w:rsidR="00901340" w:rsidRPr="008E79F7" w:rsidRDefault="00901340" w:rsidP="00901340">
      <w:pPr>
        <w:rPr>
          <w:rFonts w:eastAsia="Times New Roman" w:cs="Times New Roman"/>
          <w:color w:val="000000"/>
          <w:szCs w:val="24"/>
          <w:lang w:val="es-ES"/>
        </w:rPr>
      </w:pPr>
      <w:r w:rsidRPr="008E79F7">
        <w:rPr>
          <w:rFonts w:eastAsia="Times New Roman" w:cs="Times New Roman"/>
          <w:color w:val="000000"/>
          <w:szCs w:val="24"/>
          <w:lang w:val="es-ES"/>
        </w:rPr>
        <w:t xml:space="preserve">Cabe señalar que, en términos del artículo 129, de la Constitución Política del Estado Libre y Soberano de México, los recursos económicos del Estado, de los Municipios, así como de los Organismos Autónomos, se administrarán con eficiencia, eficacia y honradez, para cumplir con los objetivos y programas a los que estén destinados, ello en el cumplimiento a los principios que rigen la función pública. </w:t>
      </w:r>
    </w:p>
    <w:p w14:paraId="00EBDC23" w14:textId="77777777" w:rsidR="00901340" w:rsidRPr="008E79F7" w:rsidRDefault="00901340" w:rsidP="00901340">
      <w:pPr>
        <w:rPr>
          <w:rFonts w:eastAsia="Times New Roman" w:cs="Times New Roman"/>
          <w:color w:val="000000"/>
          <w:szCs w:val="24"/>
          <w:lang w:val="es-ES"/>
        </w:rPr>
      </w:pPr>
    </w:p>
    <w:p w14:paraId="2A96EBDC" w14:textId="3ECE22F0" w:rsidR="00901340" w:rsidRPr="008E79F7" w:rsidRDefault="00901340" w:rsidP="00901340">
      <w:pPr>
        <w:rPr>
          <w:rFonts w:eastAsia="Times New Roman" w:cs="Times New Roman"/>
          <w:color w:val="000000"/>
          <w:szCs w:val="24"/>
          <w:lang w:val="es-ES"/>
        </w:rPr>
      </w:pPr>
      <w:r w:rsidRPr="008E79F7">
        <w:rPr>
          <w:rFonts w:eastAsia="Times New Roman" w:cs="Times New Roman"/>
          <w:color w:val="000000"/>
          <w:szCs w:val="24"/>
          <w:lang w:val="es-ES"/>
        </w:rPr>
        <w:t>Asimismo, dispone que todos los pagos se harán mediante orden escrita en la que se expresará la partida del presupuesto a cargo de la cual se realizan.</w:t>
      </w:r>
      <w:r w:rsidR="00D4555F" w:rsidRPr="008E79F7">
        <w:rPr>
          <w:rFonts w:eastAsia="Times New Roman" w:cs="Times New Roman"/>
          <w:color w:val="000000"/>
          <w:szCs w:val="24"/>
          <w:lang w:val="es-ES"/>
        </w:rPr>
        <w:t xml:space="preserve"> </w:t>
      </w:r>
      <w:r w:rsidRPr="008E79F7">
        <w:rPr>
          <w:rFonts w:eastAsia="Times New Roman" w:cs="Times New Roman"/>
          <w:color w:val="000000"/>
          <w:szCs w:val="24"/>
          <w:lang w:val="es-ES"/>
        </w:rPr>
        <w:t>Al respecto, los artículos 31 fracciones XVIII y 95 fracciones I y IV, de la</w:t>
      </w:r>
      <w:r w:rsidRPr="008E79F7">
        <w:rPr>
          <w:rFonts w:eastAsia="Times New Roman" w:cs="Times New Roman"/>
          <w:b/>
          <w:i/>
          <w:color w:val="000000"/>
          <w:szCs w:val="24"/>
          <w:lang w:val="es-ES"/>
        </w:rPr>
        <w:t xml:space="preserve"> </w:t>
      </w:r>
      <w:r w:rsidRPr="008E79F7">
        <w:rPr>
          <w:rFonts w:eastAsia="Times New Roman" w:cs="Times New Roman"/>
          <w:color w:val="000000"/>
          <w:szCs w:val="24"/>
          <w:lang w:val="es-ES"/>
        </w:rPr>
        <w:t xml:space="preserve">Ley Orgánica Municipal del Estado de México prevén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 </w:t>
      </w:r>
    </w:p>
    <w:p w14:paraId="7AE30F44" w14:textId="77777777" w:rsidR="00901340" w:rsidRPr="008E79F7" w:rsidRDefault="00901340" w:rsidP="00901340">
      <w:pPr>
        <w:rPr>
          <w:rFonts w:eastAsia="Times New Roman" w:cs="Times New Roman"/>
          <w:color w:val="000000"/>
          <w:szCs w:val="24"/>
          <w:lang w:val="es-ES"/>
        </w:rPr>
      </w:pPr>
    </w:p>
    <w:p w14:paraId="73CD9451" w14:textId="528354C0" w:rsidR="00901340" w:rsidRPr="008E79F7" w:rsidRDefault="00901340" w:rsidP="00901340">
      <w:pPr>
        <w:ind w:left="-20" w:right="-20"/>
        <w:rPr>
          <w:szCs w:val="24"/>
        </w:rPr>
      </w:pPr>
      <w:r w:rsidRPr="008E79F7">
        <w:rPr>
          <w:szCs w:val="24"/>
        </w:rPr>
        <w:t>Adicional</w:t>
      </w:r>
      <w:r w:rsidR="00682B94" w:rsidRPr="008E79F7">
        <w:rPr>
          <w:szCs w:val="24"/>
        </w:rPr>
        <w:t>mente</w:t>
      </w:r>
      <w:r w:rsidRPr="008E79F7">
        <w:rPr>
          <w:szCs w:val="24"/>
        </w:rPr>
        <w:t xml:space="preserve">, es pertinente considerar lo dispuesto en los artículos 342, 343, 344 y 345, del Código Financiero del Estado de México y Municipios, los cuales disponen, concretamente el sistema y las políticas que deben seguirse para llevar el registro contable </w:t>
      </w:r>
      <w:r w:rsidRPr="008E79F7">
        <w:rPr>
          <w:szCs w:val="24"/>
        </w:rPr>
        <w:lastRenderedPageBreak/>
        <w:t>y presupuestal de las operaciones financieras que llevan a cabo los Municipios del Estado de México (entendiéndose que también se hace referencia a sus organismos descentralizados); que el registro contable del efecto patrimonial y presupuestal de las operaciones financieras que realice el Municipio se realizará conforme al sistema y a las disposiciones que se aprueben en materia de planeación, programación, presupuestación, evaluación y contabilidad gubernamental.</w:t>
      </w:r>
    </w:p>
    <w:p w14:paraId="30BFE7EE" w14:textId="77777777" w:rsidR="00901340" w:rsidRPr="008E79F7" w:rsidRDefault="00901340" w:rsidP="00901340">
      <w:pPr>
        <w:ind w:left="-20" w:right="-20"/>
        <w:rPr>
          <w:szCs w:val="24"/>
        </w:rPr>
      </w:pPr>
    </w:p>
    <w:p w14:paraId="4D315CB8" w14:textId="7D32F393" w:rsidR="00901340" w:rsidRPr="008E79F7" w:rsidRDefault="004A5D7A" w:rsidP="00901340">
      <w:pPr>
        <w:ind w:left="-20" w:right="-20"/>
      </w:pPr>
      <w:r w:rsidRPr="008E79F7">
        <w:rPr>
          <w:lang w:val="es-ES"/>
        </w:rPr>
        <w:t>En esa tesitura</w:t>
      </w:r>
      <w:r w:rsidR="00901340" w:rsidRPr="008E79F7">
        <w:rPr>
          <w:lang w:val="es-ES"/>
        </w:rPr>
        <w:t>, los preceptos legales citados señalan que, en el caso de los Municipios y organismos municipales, es la Tesorería Municipal o área equivalente, la unidad administrativa que registra contablemente el efecto patrimonial y presupuestal de las operaciones financieras que realizan, en el momento en que ocurran, con base en el sistema y políticas de registro establecidas.</w:t>
      </w:r>
    </w:p>
    <w:p w14:paraId="79BECEB7" w14:textId="77777777" w:rsidR="00901340" w:rsidRPr="008E79F7" w:rsidRDefault="00901340" w:rsidP="00901340">
      <w:pPr>
        <w:ind w:left="-20" w:right="-20"/>
        <w:rPr>
          <w:szCs w:val="24"/>
        </w:rPr>
      </w:pPr>
    </w:p>
    <w:p w14:paraId="280D3473" w14:textId="77777777" w:rsidR="00901340" w:rsidRPr="008E79F7" w:rsidRDefault="00901340" w:rsidP="00901340">
      <w:pPr>
        <w:ind w:left="-20" w:right="-20"/>
        <w:rPr>
          <w:szCs w:val="24"/>
        </w:rPr>
      </w:pPr>
      <w:r w:rsidRPr="008E79F7">
        <w:rPr>
          <w:szCs w:val="24"/>
        </w:rPr>
        <w:t xml:space="preserve">Cabe destacar, que el ordenamiento legal en cita establece que todo registro contable y presupuestal deberá estar soportado con los documentos comprobatorios originales, como son las facturas y pólizas solicitadas, </w:t>
      </w:r>
      <w:r w:rsidRPr="008E79F7">
        <w:rPr>
          <w:b/>
          <w:szCs w:val="24"/>
          <w:u w:val="single"/>
        </w:rPr>
        <w:t>documentos que deberán permanecer en custodia y conservación de la Tesorería Municipal o área equivalente y a disposición del Órgano Superior de Fiscalización del Estado de México y de los órganos de control interno, en el caso de los municipios; por un término de cinco años contados a partir del ejercicio presupuestal siguiente al que corresponda</w:t>
      </w:r>
      <w:r w:rsidRPr="008E79F7">
        <w:rPr>
          <w:szCs w:val="24"/>
        </w:rPr>
        <w:t>.</w:t>
      </w:r>
    </w:p>
    <w:p w14:paraId="1DA1DDE5" w14:textId="77777777" w:rsidR="00901340" w:rsidRPr="008E79F7" w:rsidRDefault="00901340" w:rsidP="00901340">
      <w:pPr>
        <w:ind w:left="-20" w:right="-20"/>
        <w:rPr>
          <w:szCs w:val="24"/>
        </w:rPr>
      </w:pPr>
    </w:p>
    <w:p w14:paraId="5648A0A9" w14:textId="348E6CC1" w:rsidR="00901340" w:rsidRPr="008E79F7" w:rsidRDefault="00901340" w:rsidP="00901340">
      <w:pPr>
        <w:rPr>
          <w:rFonts w:eastAsia="Palatino Linotype" w:cs="Palatino Linotype"/>
          <w:lang w:val="es-MX"/>
        </w:rPr>
      </w:pPr>
      <w:r w:rsidRPr="008E79F7">
        <w:rPr>
          <w:rFonts w:eastAsia="Palatino Linotype" w:cs="Palatino Linotype"/>
          <w:lang w:val="es-MX"/>
        </w:rPr>
        <w:t xml:space="preserve">Por ende, se estima que el Sujeto Obligado se encuentra constreñido a generar, poseer o administrar la información relacionada con </w:t>
      </w:r>
      <w:r w:rsidR="006F1A85" w:rsidRPr="008E79F7">
        <w:rPr>
          <w:rFonts w:eastAsia="Palatino Linotype" w:cs="Palatino Linotype"/>
          <w:lang w:val="es-MX"/>
        </w:rPr>
        <w:t xml:space="preserve">las facturas pagadas y por pagar generadas en el periodo comprendido del primero de enero al diez de noviembre de dos mil </w:t>
      </w:r>
      <w:r w:rsidR="006F1A85" w:rsidRPr="008E79F7">
        <w:rPr>
          <w:rFonts w:eastAsia="Palatino Linotype" w:cs="Palatino Linotype"/>
          <w:lang w:val="es-MX"/>
        </w:rPr>
        <w:lastRenderedPageBreak/>
        <w:t>veinticinco</w:t>
      </w:r>
      <w:r w:rsidR="00420619" w:rsidRPr="008E79F7">
        <w:rPr>
          <w:rFonts w:eastAsia="Palatino Linotype" w:cs="Palatino Linotype"/>
          <w:lang w:val="es-MX"/>
        </w:rPr>
        <w:t xml:space="preserve">, por lo que es viable ordenar su entrega al Recurrente en la modalidad elegida por </w:t>
      </w:r>
      <w:r w:rsidR="00C10504" w:rsidRPr="008E79F7">
        <w:rPr>
          <w:rFonts w:eastAsia="Palatino Linotype" w:cs="Palatino Linotype"/>
          <w:lang w:val="es-MX"/>
        </w:rPr>
        <w:t>éste.</w:t>
      </w:r>
    </w:p>
    <w:p w14:paraId="32093277" w14:textId="3B48642A" w:rsidR="00DE1EAC" w:rsidRPr="008E79F7" w:rsidRDefault="00DE1EAC" w:rsidP="00D20BF9">
      <w:pPr>
        <w:pBdr>
          <w:top w:val="nil"/>
          <w:left w:val="nil"/>
          <w:bottom w:val="nil"/>
          <w:right w:val="nil"/>
          <w:between w:val="nil"/>
        </w:pBdr>
        <w:contextualSpacing/>
        <w:rPr>
          <w:rFonts w:eastAsia="Palatino Linotype" w:cs="Palatino Linotype"/>
          <w:color w:val="000000"/>
          <w:szCs w:val="24"/>
          <w:lang w:val="es-ES"/>
        </w:rPr>
      </w:pPr>
    </w:p>
    <w:p w14:paraId="68B5B0E7" w14:textId="3F8F22DF" w:rsidR="00DE1EAC" w:rsidRPr="008E79F7" w:rsidRDefault="00B11262" w:rsidP="00D20BF9">
      <w:pPr>
        <w:pBdr>
          <w:top w:val="nil"/>
          <w:left w:val="nil"/>
          <w:bottom w:val="nil"/>
          <w:right w:val="nil"/>
          <w:between w:val="nil"/>
        </w:pBdr>
        <w:contextualSpacing/>
        <w:rPr>
          <w:rFonts w:eastAsia="Palatino Linotype" w:cs="Palatino Linotype"/>
          <w:color w:val="000000"/>
          <w:szCs w:val="24"/>
          <w:lang w:val="es-ES"/>
        </w:rPr>
      </w:pPr>
      <w:r w:rsidRPr="008E79F7">
        <w:rPr>
          <w:rFonts w:eastAsia="Palatino Linotype" w:cs="Palatino Linotype"/>
          <w:color w:val="000000"/>
          <w:szCs w:val="24"/>
          <w:lang w:val="es-ES"/>
        </w:rPr>
        <w:t xml:space="preserve">Aunado a lo anterior, se tiene que el Sujeto </w:t>
      </w:r>
      <w:r w:rsidR="00186F53" w:rsidRPr="008E79F7">
        <w:rPr>
          <w:rFonts w:eastAsia="Palatino Linotype" w:cs="Palatino Linotype"/>
          <w:color w:val="000000"/>
          <w:szCs w:val="24"/>
          <w:lang w:val="es-ES"/>
        </w:rPr>
        <w:t>Obligado únicamente manifestó la imposibilidad de atender la solicitud de información debido a su incapacidad</w:t>
      </w:r>
      <w:r w:rsidR="003B1769" w:rsidRPr="008E79F7">
        <w:rPr>
          <w:rFonts w:eastAsia="Palatino Linotype" w:cs="Palatino Linotype"/>
          <w:color w:val="000000"/>
          <w:szCs w:val="24"/>
          <w:lang w:val="es-ES"/>
        </w:rPr>
        <w:t xml:space="preserve"> técnica y humana, sin fundar ni motivar dicha situación.</w:t>
      </w:r>
    </w:p>
    <w:p w14:paraId="1A8B2119" w14:textId="77777777" w:rsidR="00093922" w:rsidRPr="008E79F7" w:rsidRDefault="00093922" w:rsidP="00093922">
      <w:pPr>
        <w:pStyle w:val="NormalINFOEM"/>
        <w:rPr>
          <w:szCs w:val="24"/>
        </w:rPr>
      </w:pPr>
    </w:p>
    <w:p w14:paraId="66818702" w14:textId="7D6F57EA" w:rsidR="00093922" w:rsidRPr="008E79F7" w:rsidRDefault="003B1769" w:rsidP="00093922">
      <w:pPr>
        <w:contextualSpacing/>
        <w:rPr>
          <w:szCs w:val="24"/>
        </w:rPr>
      </w:pPr>
      <w:r w:rsidRPr="008E79F7">
        <w:rPr>
          <w:szCs w:val="24"/>
        </w:rPr>
        <w:t>Así, se tiene que la</w:t>
      </w:r>
      <w:r w:rsidR="00093922" w:rsidRPr="008E79F7">
        <w:rPr>
          <w:szCs w:val="24"/>
        </w:rPr>
        <w:t xml:space="preserve">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12254A25" w14:textId="77777777" w:rsidR="00093922" w:rsidRPr="008E79F7" w:rsidRDefault="00093922" w:rsidP="00093922">
      <w:pPr>
        <w:contextualSpacing/>
        <w:rPr>
          <w:szCs w:val="24"/>
        </w:rPr>
      </w:pPr>
    </w:p>
    <w:p w14:paraId="3B9A2EEE" w14:textId="77777777" w:rsidR="00093922" w:rsidRPr="008E79F7" w:rsidRDefault="00093922" w:rsidP="00093922">
      <w:pPr>
        <w:contextualSpacing/>
        <w:rPr>
          <w:rFonts w:cs="Arial"/>
          <w:color w:val="222222"/>
          <w:szCs w:val="24"/>
        </w:rPr>
      </w:pPr>
      <w:r w:rsidRPr="008E79F7">
        <w:rPr>
          <w:rFonts w:cs="Arial"/>
          <w:color w:val="222222"/>
          <w:szCs w:val="24"/>
        </w:rPr>
        <w:t xml:space="preserve">Han sido vastos los estudios doctrinarios relativos a estos derechos fundamentales y al principio de legalidad en ellos contenidos; como ejemplo, el procesalista José Ovalle Fabela, en su obra «Garantías Constitucionales del Proceso», refiere que </w:t>
      </w:r>
      <w:r w:rsidRPr="008E79F7">
        <w:rPr>
          <w:rFonts w:cs="Arial"/>
          <w:i/>
          <w:color w:val="222222"/>
          <w:szCs w:val="24"/>
        </w:rPr>
        <w:t>«... 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p>
    <w:p w14:paraId="250730DC" w14:textId="77777777" w:rsidR="00093922" w:rsidRPr="008E79F7" w:rsidRDefault="00093922" w:rsidP="00093922">
      <w:pPr>
        <w:contextualSpacing/>
        <w:rPr>
          <w:rFonts w:cs="Arial"/>
          <w:color w:val="222222"/>
          <w:szCs w:val="24"/>
        </w:rPr>
      </w:pPr>
    </w:p>
    <w:p w14:paraId="1FEA3DF1" w14:textId="77777777" w:rsidR="00093922" w:rsidRPr="008E79F7" w:rsidRDefault="00093922" w:rsidP="00093922">
      <w:pPr>
        <w:contextualSpacing/>
        <w:rPr>
          <w:rFonts w:cs="Arial"/>
          <w:color w:val="222222"/>
          <w:szCs w:val="24"/>
        </w:rPr>
      </w:pPr>
      <w:r w:rsidRPr="008E79F7">
        <w:rPr>
          <w:rFonts w:cs="Arial"/>
          <w:color w:val="222222"/>
          <w:szCs w:val="24"/>
        </w:rPr>
        <w:lastRenderedPageBreak/>
        <w:t>Por su parte, la Suprema Corte de Justicia emitió la jurisprudencia con registro digital 203143</w:t>
      </w:r>
      <w:r w:rsidRPr="008E79F7">
        <w:rPr>
          <w:rFonts w:ascii="Calibri" w:hAnsi="Calibri"/>
          <w:szCs w:val="24"/>
          <w:vertAlign w:val="superscript"/>
        </w:rPr>
        <w:footnoteReference w:id="3"/>
      </w:r>
      <w:r w:rsidRPr="008E79F7">
        <w:rPr>
          <w:rFonts w:cs="Arial"/>
          <w:color w:val="222222"/>
          <w:szCs w:val="24"/>
        </w:rPr>
        <w:t xml:space="preserve"> en la que se establece qué debe entenderse por fundamentación y motivación, en la que estipula lo siguiente:</w:t>
      </w:r>
    </w:p>
    <w:p w14:paraId="78570E1B" w14:textId="77777777" w:rsidR="00093922" w:rsidRPr="008E79F7" w:rsidRDefault="00093922" w:rsidP="00093922">
      <w:pPr>
        <w:jc w:val="left"/>
        <w:rPr>
          <w:szCs w:val="24"/>
        </w:rPr>
      </w:pPr>
    </w:p>
    <w:p w14:paraId="3EC50D8E" w14:textId="77777777" w:rsidR="00093922" w:rsidRPr="008E79F7" w:rsidRDefault="00093922" w:rsidP="00093922">
      <w:pPr>
        <w:spacing w:line="240" w:lineRule="auto"/>
        <w:ind w:left="851" w:right="618"/>
        <w:contextualSpacing/>
        <w:rPr>
          <w:rFonts w:cs="Arial"/>
          <w:i/>
          <w:color w:val="000000"/>
          <w:sz w:val="22"/>
        </w:rPr>
      </w:pPr>
      <w:r w:rsidRPr="008E79F7">
        <w:rPr>
          <w:rFonts w:cs="Arial"/>
          <w:b/>
          <w:i/>
          <w:color w:val="000000"/>
          <w:sz w:val="22"/>
        </w:rPr>
        <w:t>FUNDAMENTACIÓN Y MOTIVACIÓN.</w:t>
      </w:r>
      <w:r w:rsidRPr="008E79F7">
        <w:rPr>
          <w:rFonts w:cs="Arial"/>
          <w:i/>
          <w:color w:val="000000"/>
          <w:sz w:val="22"/>
        </w:rPr>
        <w:t xml:space="preserve"> </w:t>
      </w:r>
    </w:p>
    <w:p w14:paraId="28A5E212" w14:textId="77777777" w:rsidR="00093922" w:rsidRPr="008E79F7" w:rsidRDefault="00093922" w:rsidP="00093922">
      <w:pPr>
        <w:spacing w:line="240" w:lineRule="auto"/>
        <w:ind w:left="851" w:right="618"/>
        <w:contextualSpacing/>
        <w:rPr>
          <w:rFonts w:cs="Arial"/>
          <w:i/>
          <w:iCs/>
          <w:color w:val="000000"/>
          <w:sz w:val="22"/>
          <w:lang w:val="es-ES"/>
        </w:rPr>
      </w:pPr>
      <w:r w:rsidRPr="008E79F7">
        <w:rPr>
          <w:rFonts w:cs="Arial"/>
          <w:i/>
          <w:iCs/>
          <w:color w:val="000000" w:themeColor="text1"/>
          <w:sz w:val="22"/>
          <w:lang w:val="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EDE8C13" w14:textId="77777777" w:rsidR="00093922" w:rsidRPr="008E79F7" w:rsidRDefault="00093922" w:rsidP="00093922">
      <w:pPr>
        <w:ind w:right="618"/>
        <w:contextualSpacing/>
        <w:rPr>
          <w:rFonts w:cs="Arial"/>
          <w:color w:val="000000"/>
          <w:szCs w:val="24"/>
        </w:rPr>
      </w:pPr>
    </w:p>
    <w:p w14:paraId="3AB0B64E" w14:textId="77777777" w:rsidR="00093922" w:rsidRPr="008E79F7" w:rsidRDefault="00093922" w:rsidP="00093922">
      <w:pPr>
        <w:contextualSpacing/>
        <w:rPr>
          <w:rFonts w:cs="Arial"/>
          <w:color w:val="222222"/>
          <w:szCs w:val="24"/>
        </w:rPr>
      </w:pPr>
      <w:r w:rsidRPr="008E79F7">
        <w:rPr>
          <w:rFonts w:cs="Arial"/>
          <w:color w:val="222222"/>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284E9C7D" w14:textId="77777777" w:rsidR="00093922" w:rsidRPr="008E79F7" w:rsidRDefault="00093922" w:rsidP="00093922">
      <w:pPr>
        <w:contextualSpacing/>
        <w:rPr>
          <w:rFonts w:cs="Arial"/>
          <w:color w:val="222222"/>
          <w:szCs w:val="24"/>
        </w:rPr>
      </w:pPr>
    </w:p>
    <w:p w14:paraId="6AD62C31" w14:textId="77777777" w:rsidR="00093922" w:rsidRPr="008E79F7" w:rsidRDefault="00093922" w:rsidP="00093922">
      <w:pPr>
        <w:contextualSpacing/>
        <w:rPr>
          <w:rFonts w:cs="Arial"/>
          <w:color w:val="222222"/>
          <w:szCs w:val="24"/>
        </w:rPr>
      </w:pPr>
      <w:r w:rsidRPr="008E79F7">
        <w:rPr>
          <w:rFonts w:cs="Arial"/>
          <w:color w:val="222222"/>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356A4A43" w14:textId="77777777" w:rsidR="00093922" w:rsidRPr="008E79F7" w:rsidRDefault="00093922" w:rsidP="00093922">
      <w:pPr>
        <w:rPr>
          <w:noProof/>
          <w:lang w:val="es-MX"/>
        </w:rPr>
      </w:pPr>
    </w:p>
    <w:p w14:paraId="7D3A5726" w14:textId="77777777" w:rsidR="00093922" w:rsidRPr="008E79F7" w:rsidRDefault="00093922" w:rsidP="00093922">
      <w:r w:rsidRPr="008E79F7">
        <w:t xml:space="preserve">No se omite resaltar que la necesidad de fundar y motivar es imperante en todos los actos que emite cualquier autoridad, por lo que constituye una restricción indirecta del derecho acceso a la información pública, dado que no proporciona la información que requirió el </w:t>
      </w:r>
      <w:r w:rsidRPr="008E79F7">
        <w:lastRenderedPageBreak/>
        <w:t xml:space="preserve">particular y que de manera libre el decidió sobre la vía de la modalidad de entrega de la misma situación que no se respetó. </w:t>
      </w:r>
    </w:p>
    <w:p w14:paraId="422E3CD3" w14:textId="77777777" w:rsidR="00093922" w:rsidRPr="008E79F7" w:rsidRDefault="00093922" w:rsidP="00093922"/>
    <w:p w14:paraId="40ED27AF" w14:textId="5D9EA9FE" w:rsidR="00D97888" w:rsidRPr="008E79F7" w:rsidRDefault="00D97888" w:rsidP="00D97888">
      <w:pPr>
        <w:rPr>
          <w:rFonts w:eastAsia="Palatino Linotype" w:cs="Palatino Linotype"/>
        </w:rPr>
      </w:pPr>
      <w:r w:rsidRPr="008E79F7">
        <w:rPr>
          <w:rFonts w:eastAsia="Palatino Linotype" w:cs="Palatino Linotype"/>
        </w:rPr>
        <w:t xml:space="preserve">Por lo argumentado en párrafos anteriores, este Instituto estima que los motivos de inconformidad planteados por el Recurrente devienen fundados, por lo que es procedente revocar la respuesta y ordenar al Sujeto Obligado a que haga entrega de los documentos </w:t>
      </w:r>
      <w:r w:rsidR="006273C6" w:rsidRPr="008E79F7">
        <w:rPr>
          <w:rFonts w:eastAsia="Palatino Linotype" w:cs="Palatino Linotype"/>
        </w:rPr>
        <w:t xml:space="preserve">en donde consten </w:t>
      </w:r>
      <w:r w:rsidR="00C419AF" w:rsidRPr="008E79F7">
        <w:rPr>
          <w:rFonts w:eastAsiaTheme="minorEastAsia" w:cstheme="minorBidi"/>
          <w:lang w:val="es-ES" w:eastAsia="en-US"/>
        </w:rPr>
        <w:t>las facturas pagadas y en proceso de pago por más de un $1 000 000.00 (un millón de pesos 00/100 M.N.) que se hayan generado durante el periodo comprendido del primero de enero al diez de noviembre de dos mil veinticinco</w:t>
      </w:r>
      <w:r w:rsidRPr="008E79F7">
        <w:rPr>
          <w:rFonts w:eastAsia="Palatino Linotype" w:cs="Palatino Linotype"/>
        </w:rPr>
        <w:t>, en versión pública de ser procedente.</w:t>
      </w:r>
    </w:p>
    <w:p w14:paraId="65182948" w14:textId="77777777" w:rsidR="00D97888" w:rsidRPr="008E79F7" w:rsidRDefault="00D97888" w:rsidP="00D97888"/>
    <w:p w14:paraId="6AF49EA6" w14:textId="77777777" w:rsidR="00D97888" w:rsidRPr="008E79F7" w:rsidRDefault="00D97888" w:rsidP="00D97888">
      <w:pPr>
        <w:pStyle w:val="Ttulo3"/>
        <w:rPr>
          <w:rFonts w:eastAsia="Palatino Linotype"/>
        </w:rPr>
      </w:pPr>
      <w:r w:rsidRPr="008E79F7">
        <w:rPr>
          <w:rFonts w:eastAsia="Palatino Linotype"/>
        </w:rPr>
        <w:t>DE LA VERSIÓN PÚBLICA</w:t>
      </w:r>
    </w:p>
    <w:p w14:paraId="45772AEF" w14:textId="77777777" w:rsidR="00D97888" w:rsidRPr="008E79F7" w:rsidRDefault="00D97888" w:rsidP="00D97888">
      <w:pPr>
        <w:rPr>
          <w:rFonts w:eastAsia="Palatino Linotype" w:cs="Palatino Linotype"/>
          <w:szCs w:val="24"/>
        </w:rPr>
      </w:pPr>
      <w:r w:rsidRPr="008E79F7">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8E79F7" w:rsidRDefault="00D97888" w:rsidP="00D97888">
      <w:pPr>
        <w:rPr>
          <w:rFonts w:eastAsia="Palatino Linotype" w:cs="Palatino Linotype"/>
          <w:szCs w:val="24"/>
        </w:rPr>
      </w:pPr>
    </w:p>
    <w:p w14:paraId="0F518B0E"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Artículo 3.</w:t>
      </w:r>
      <w:r w:rsidRPr="008E79F7">
        <w:rPr>
          <w:rFonts w:eastAsia="Palatino Linotype" w:cs="Palatino Linotype"/>
          <w:i/>
          <w:color w:val="000000"/>
          <w:sz w:val="22"/>
          <w:szCs w:val="24"/>
        </w:rPr>
        <w:t xml:space="preserve"> Para los efectos de la presente Ley se entenderá por:</w:t>
      </w:r>
    </w:p>
    <w:p w14:paraId="46504B69"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i/>
          <w:color w:val="000000"/>
          <w:sz w:val="22"/>
          <w:szCs w:val="24"/>
        </w:rPr>
        <w:t>[…]</w:t>
      </w:r>
    </w:p>
    <w:p w14:paraId="1169E53F"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IX. Datos personales:</w:t>
      </w:r>
      <w:r w:rsidRPr="008E79F7">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XX.</w:t>
      </w:r>
      <w:r w:rsidRPr="008E79F7">
        <w:rPr>
          <w:rFonts w:eastAsia="Palatino Linotype" w:cs="Palatino Linotype"/>
          <w:i/>
          <w:color w:val="000000"/>
          <w:sz w:val="22"/>
          <w:szCs w:val="24"/>
        </w:rPr>
        <w:t xml:space="preserve"> </w:t>
      </w:r>
      <w:r w:rsidRPr="008E79F7">
        <w:rPr>
          <w:rFonts w:eastAsia="Palatino Linotype" w:cs="Palatino Linotype"/>
          <w:b/>
          <w:i/>
          <w:color w:val="000000"/>
          <w:sz w:val="22"/>
          <w:szCs w:val="24"/>
        </w:rPr>
        <w:t>Información clasificada:</w:t>
      </w:r>
      <w:r w:rsidRPr="008E79F7">
        <w:rPr>
          <w:rFonts w:eastAsia="Palatino Linotype" w:cs="Palatino Linotype"/>
          <w:i/>
          <w:color w:val="000000"/>
          <w:sz w:val="22"/>
          <w:szCs w:val="24"/>
        </w:rPr>
        <w:t xml:space="preserve"> Aquella considerada por la presente Ley como reservada o confidencial;</w:t>
      </w:r>
    </w:p>
    <w:p w14:paraId="71DE9501"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XXI.</w:t>
      </w:r>
      <w:r w:rsidRPr="008E79F7">
        <w:rPr>
          <w:rFonts w:eastAsia="Palatino Linotype" w:cs="Palatino Linotype"/>
          <w:i/>
          <w:color w:val="000000"/>
          <w:sz w:val="22"/>
          <w:szCs w:val="24"/>
        </w:rPr>
        <w:t xml:space="preserve"> </w:t>
      </w:r>
      <w:r w:rsidRPr="008E79F7">
        <w:rPr>
          <w:rFonts w:eastAsia="Palatino Linotype" w:cs="Palatino Linotype"/>
          <w:b/>
          <w:i/>
          <w:color w:val="000000"/>
          <w:sz w:val="22"/>
          <w:szCs w:val="24"/>
        </w:rPr>
        <w:t>Información confidencial:</w:t>
      </w:r>
      <w:r w:rsidRPr="008E79F7">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lastRenderedPageBreak/>
        <w:t>[…]</w:t>
      </w:r>
    </w:p>
    <w:p w14:paraId="48432394"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XLV.</w:t>
      </w:r>
      <w:r w:rsidRPr="008E79F7">
        <w:rPr>
          <w:rFonts w:eastAsia="Palatino Linotype" w:cs="Palatino Linotype"/>
          <w:i/>
          <w:color w:val="000000"/>
          <w:sz w:val="22"/>
          <w:szCs w:val="24"/>
        </w:rPr>
        <w:t xml:space="preserve"> </w:t>
      </w:r>
      <w:r w:rsidRPr="008E79F7">
        <w:rPr>
          <w:rFonts w:eastAsia="Palatino Linotype" w:cs="Palatino Linotype"/>
          <w:b/>
          <w:i/>
          <w:color w:val="000000"/>
          <w:sz w:val="22"/>
          <w:szCs w:val="24"/>
        </w:rPr>
        <w:t>Versión pública:</w:t>
      </w:r>
      <w:r w:rsidRPr="008E79F7">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i/>
          <w:color w:val="000000"/>
          <w:sz w:val="22"/>
          <w:szCs w:val="24"/>
        </w:rPr>
        <w:t>[…]</w:t>
      </w:r>
    </w:p>
    <w:p w14:paraId="15FEF745"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 xml:space="preserve">Artículo 91. </w:t>
      </w:r>
      <w:r w:rsidRPr="008E79F7">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Artículo 132.</w:t>
      </w:r>
      <w:r w:rsidRPr="008E79F7">
        <w:rPr>
          <w:rFonts w:eastAsia="Palatino Linotype" w:cs="Palatino Linotype"/>
          <w:i/>
          <w:color w:val="000000"/>
          <w:sz w:val="22"/>
          <w:szCs w:val="24"/>
        </w:rPr>
        <w:t xml:space="preserve"> </w:t>
      </w:r>
      <w:r w:rsidRPr="008E79F7">
        <w:rPr>
          <w:rFonts w:eastAsia="Palatino Linotype" w:cs="Palatino Linotype"/>
          <w:i/>
          <w:color w:val="000000"/>
          <w:sz w:val="22"/>
          <w:szCs w:val="24"/>
          <w:u w:val="single"/>
        </w:rPr>
        <w:t>La clasificación de la información se llevará a cabo en el momento en que</w:t>
      </w:r>
      <w:r w:rsidRPr="008E79F7">
        <w:rPr>
          <w:rFonts w:eastAsia="Palatino Linotype" w:cs="Palatino Linotype"/>
          <w:i/>
          <w:color w:val="000000"/>
          <w:sz w:val="22"/>
          <w:szCs w:val="24"/>
        </w:rPr>
        <w:t>:</w:t>
      </w:r>
    </w:p>
    <w:p w14:paraId="385452F7"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I.</w:t>
      </w:r>
      <w:r w:rsidRPr="008E79F7">
        <w:rPr>
          <w:rFonts w:eastAsia="Palatino Linotype" w:cs="Palatino Linotype"/>
          <w:i/>
          <w:color w:val="000000"/>
          <w:sz w:val="22"/>
          <w:szCs w:val="24"/>
        </w:rPr>
        <w:t xml:space="preserve"> Se reciba una solicitud de acceso a la información;</w:t>
      </w:r>
    </w:p>
    <w:p w14:paraId="15FFA6D3"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II.</w:t>
      </w:r>
      <w:r w:rsidRPr="008E79F7">
        <w:rPr>
          <w:rFonts w:eastAsia="Palatino Linotype" w:cs="Palatino Linotype"/>
          <w:i/>
          <w:color w:val="000000"/>
          <w:sz w:val="22"/>
          <w:szCs w:val="24"/>
        </w:rPr>
        <w:t xml:space="preserve"> </w:t>
      </w:r>
      <w:r w:rsidRPr="008E79F7">
        <w:rPr>
          <w:rFonts w:eastAsia="Palatino Linotype" w:cs="Palatino Linotype"/>
          <w:i/>
          <w:color w:val="000000"/>
          <w:sz w:val="22"/>
          <w:szCs w:val="24"/>
          <w:u w:val="single"/>
        </w:rPr>
        <w:t>Se determine mediante resolución de autoridad competente; o</w:t>
      </w:r>
    </w:p>
    <w:p w14:paraId="0BAF9F02"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8E79F7">
        <w:rPr>
          <w:rFonts w:eastAsia="Palatino Linotype" w:cs="Palatino Linotype"/>
          <w:b/>
          <w:i/>
          <w:color w:val="000000"/>
          <w:sz w:val="22"/>
          <w:szCs w:val="24"/>
        </w:rPr>
        <w:t>III.</w:t>
      </w:r>
      <w:r w:rsidRPr="008E79F7">
        <w:rPr>
          <w:rFonts w:eastAsia="Palatino Linotype" w:cs="Palatino Linotype"/>
          <w:i/>
          <w:color w:val="000000"/>
          <w:sz w:val="22"/>
          <w:szCs w:val="24"/>
        </w:rPr>
        <w:t xml:space="preserve"> </w:t>
      </w:r>
      <w:r w:rsidRPr="008E79F7">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i/>
          <w:color w:val="000000"/>
          <w:sz w:val="22"/>
          <w:szCs w:val="24"/>
        </w:rPr>
        <w:t>[…]</w:t>
      </w:r>
    </w:p>
    <w:p w14:paraId="53706F6C"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Artículo 143.</w:t>
      </w:r>
      <w:r w:rsidRPr="008E79F7">
        <w:rPr>
          <w:rFonts w:eastAsia="Palatino Linotype" w:cs="Palatino Linotype"/>
          <w:i/>
          <w:color w:val="000000"/>
          <w:sz w:val="22"/>
          <w:szCs w:val="24"/>
        </w:rPr>
        <w:t xml:space="preserve"> </w:t>
      </w:r>
      <w:r w:rsidRPr="008E79F7">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8E79F7">
        <w:rPr>
          <w:rFonts w:eastAsia="Palatino Linotype" w:cs="Palatino Linotype"/>
          <w:i/>
          <w:color w:val="000000"/>
          <w:sz w:val="22"/>
          <w:szCs w:val="24"/>
        </w:rPr>
        <w:t>:</w:t>
      </w:r>
    </w:p>
    <w:p w14:paraId="1D56B21B"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I.</w:t>
      </w:r>
      <w:r w:rsidRPr="008E79F7">
        <w:rPr>
          <w:rFonts w:eastAsia="Palatino Linotype" w:cs="Palatino Linotype"/>
          <w:i/>
          <w:color w:val="000000"/>
          <w:sz w:val="22"/>
          <w:szCs w:val="24"/>
        </w:rPr>
        <w:t xml:space="preserve"> </w:t>
      </w:r>
      <w:r w:rsidRPr="008E79F7">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8E79F7">
        <w:rPr>
          <w:rFonts w:eastAsia="Palatino Linotype" w:cs="Palatino Linotype"/>
          <w:i/>
          <w:color w:val="000000"/>
          <w:sz w:val="22"/>
          <w:szCs w:val="24"/>
        </w:rPr>
        <w:t>;</w:t>
      </w:r>
    </w:p>
    <w:p w14:paraId="21FB83F6"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II.</w:t>
      </w:r>
      <w:r w:rsidRPr="008E79F7">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8E79F7">
        <w:rPr>
          <w:rFonts w:eastAsia="Palatino Linotype" w:cs="Palatino Linotype"/>
          <w:i/>
          <w:color w:val="000000"/>
          <w:sz w:val="22"/>
          <w:szCs w:val="24"/>
        </w:rPr>
        <w:t>; y</w:t>
      </w:r>
    </w:p>
    <w:p w14:paraId="49023927"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III.</w:t>
      </w:r>
      <w:r w:rsidRPr="008E79F7">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E79F7">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E79F7">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8E79F7" w:rsidRDefault="00D97888" w:rsidP="00D97888">
      <w:pPr>
        <w:rPr>
          <w:rFonts w:eastAsia="Palatino Linotype" w:cs="Palatino Linotype"/>
          <w:i/>
          <w:szCs w:val="24"/>
        </w:rPr>
      </w:pPr>
    </w:p>
    <w:p w14:paraId="3B411448" w14:textId="77777777" w:rsidR="00D97888" w:rsidRPr="008E79F7" w:rsidRDefault="00D97888" w:rsidP="00D97888">
      <w:pPr>
        <w:rPr>
          <w:rFonts w:eastAsia="Palatino Linotype" w:cs="Palatino Linotype"/>
        </w:rPr>
      </w:pPr>
      <w:r w:rsidRPr="008E79F7">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8E79F7" w:rsidRDefault="00D97888" w:rsidP="00D97888">
      <w:pPr>
        <w:rPr>
          <w:rFonts w:eastAsia="Palatino Linotype" w:cs="Palatino Linotype"/>
          <w:szCs w:val="24"/>
        </w:rPr>
      </w:pPr>
    </w:p>
    <w:p w14:paraId="7059D004" w14:textId="77777777" w:rsidR="00D97888" w:rsidRPr="008E79F7" w:rsidRDefault="00D97888" w:rsidP="00D97888">
      <w:pPr>
        <w:rPr>
          <w:rFonts w:eastAsia="Palatino Linotype" w:cs="Palatino Linotype"/>
          <w:szCs w:val="24"/>
        </w:rPr>
      </w:pPr>
      <w:r w:rsidRPr="008E79F7">
        <w:rPr>
          <w:rFonts w:eastAsia="Palatino Linotype" w:cs="Palatino Linotype"/>
          <w:szCs w:val="24"/>
        </w:rPr>
        <w:lastRenderedPageBreak/>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E235D" w14:textId="77777777" w:rsidR="00D97888" w:rsidRPr="008E79F7" w:rsidRDefault="00D97888" w:rsidP="00D97888">
      <w:pPr>
        <w:rPr>
          <w:rFonts w:eastAsia="Palatino Linotype" w:cs="Palatino Linotype"/>
          <w:szCs w:val="24"/>
        </w:rPr>
      </w:pPr>
    </w:p>
    <w:p w14:paraId="27EF6EA5" w14:textId="77777777" w:rsidR="00D97888" w:rsidRPr="008E79F7" w:rsidRDefault="00D97888" w:rsidP="00D97888">
      <w:pPr>
        <w:rPr>
          <w:rFonts w:eastAsia="Palatino Linotype" w:cs="Palatino Linotype"/>
          <w:szCs w:val="24"/>
        </w:rPr>
      </w:pPr>
      <w:r w:rsidRPr="008E79F7">
        <w:rPr>
          <w:rFonts w:eastAsia="Palatino Linotype" w:cs="Palatino Linotype"/>
          <w:szCs w:val="24"/>
        </w:rPr>
        <w:t>Asimismo, los Lineamientos Quincuagésimo sexto, Quincuagésimo séptimo y Quincuagésimo octavo, establecen lo siguiente:</w:t>
      </w:r>
    </w:p>
    <w:p w14:paraId="27746AD6" w14:textId="77777777" w:rsidR="00D97888" w:rsidRPr="008E79F7" w:rsidRDefault="00D97888" w:rsidP="00D97888">
      <w:pPr>
        <w:rPr>
          <w:rFonts w:eastAsia="Palatino Linotype" w:cs="Palatino Linotype"/>
        </w:rPr>
      </w:pPr>
    </w:p>
    <w:p w14:paraId="383364BE"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8E79F7">
        <w:rPr>
          <w:rFonts w:eastAsia="Palatino Linotype" w:cs="Palatino Linotype"/>
          <w:b/>
          <w:i/>
          <w:color w:val="000000"/>
          <w:sz w:val="22"/>
          <w:szCs w:val="24"/>
        </w:rPr>
        <w:t>Quincuagésimo sexto.</w:t>
      </w:r>
      <w:r w:rsidRPr="008E79F7">
        <w:rPr>
          <w:rFonts w:eastAsia="Palatino Linotype" w:cs="Palatino Linotype"/>
          <w:i/>
          <w:color w:val="000000"/>
          <w:sz w:val="22"/>
          <w:szCs w:val="24"/>
        </w:rPr>
        <w:t xml:space="preserve"> </w:t>
      </w:r>
      <w:r w:rsidRPr="008E79F7">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b/>
          <w:i/>
          <w:color w:val="000000"/>
          <w:sz w:val="22"/>
          <w:szCs w:val="24"/>
        </w:rPr>
        <w:t>Quincuagésimo séptimo.</w:t>
      </w:r>
      <w:r w:rsidRPr="008E79F7">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A94FCFD"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E79F7">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E79F7">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8E79F7"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E79F7">
        <w:rPr>
          <w:rFonts w:eastAsia="Palatino Linotype" w:cs="Palatino Linotype"/>
          <w:b/>
          <w:bCs/>
          <w:i/>
          <w:iCs/>
          <w:color w:val="000000" w:themeColor="text1"/>
          <w:sz w:val="22"/>
        </w:rPr>
        <w:t>Quincuagésimo octavo.</w:t>
      </w:r>
      <w:r w:rsidRPr="008E79F7">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8E79F7" w:rsidRDefault="00D97888" w:rsidP="00D97888">
      <w:pPr>
        <w:rPr>
          <w:rFonts w:eastAsia="Palatino Linotype" w:cs="Palatino Linotype"/>
          <w:i/>
          <w:szCs w:val="24"/>
        </w:rPr>
      </w:pPr>
    </w:p>
    <w:p w14:paraId="1D92A447" w14:textId="77777777" w:rsidR="00D97888" w:rsidRPr="008E79F7" w:rsidRDefault="00D97888" w:rsidP="00D97888">
      <w:pPr>
        <w:rPr>
          <w:rFonts w:eastAsia="Palatino Linotype" w:cs="Palatino Linotype"/>
          <w:szCs w:val="24"/>
        </w:rPr>
      </w:pPr>
      <w:r w:rsidRPr="008E79F7">
        <w:rPr>
          <w:rFonts w:eastAsia="Palatino Linotype" w:cs="Palatino Linotype"/>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DB506FF" w14:textId="77777777" w:rsidR="00D97888" w:rsidRPr="008E79F7" w:rsidRDefault="00D97888" w:rsidP="00D97888">
      <w:pPr>
        <w:rPr>
          <w:rFonts w:eastAsia="Palatino Linotype" w:cs="Palatino Linotype"/>
          <w:szCs w:val="24"/>
        </w:rPr>
      </w:pPr>
    </w:p>
    <w:p w14:paraId="44DA17E3" w14:textId="77777777" w:rsidR="00D97888" w:rsidRPr="008E79F7" w:rsidRDefault="00D97888" w:rsidP="00D97888">
      <w:pPr>
        <w:rPr>
          <w:rFonts w:eastAsia="Palatino Linotype" w:cs="Palatino Linotype"/>
        </w:rPr>
      </w:pPr>
      <w:r w:rsidRPr="008E79F7">
        <w:rPr>
          <w:rFonts w:eastAsia="Palatino Linotype" w:cs="Palatino Linotype"/>
        </w:rPr>
        <w:t xml:space="preserve">Debe agregarse, que el Sujeto Obligado al entregar la referida documentación, debe dejar visible los datos del proveedor o contratistas, el registro federal de contribuyentes y el domicilio fiscal; es decir, no debe testarse dato alguno relacionado con el contribuyente aunque el proveedor o contratista sea una persona física. </w:t>
      </w:r>
    </w:p>
    <w:p w14:paraId="7DD34297" w14:textId="77777777" w:rsidR="00D97888" w:rsidRPr="008E79F7" w:rsidRDefault="00D97888" w:rsidP="00D97888">
      <w:pPr>
        <w:rPr>
          <w:rFonts w:eastAsia="Palatino Linotype" w:cs="Palatino Linotype"/>
          <w:szCs w:val="24"/>
        </w:rPr>
      </w:pPr>
    </w:p>
    <w:p w14:paraId="2CAEA6F9" w14:textId="77777777" w:rsidR="00D97888" w:rsidRPr="008E79F7" w:rsidRDefault="00D97888" w:rsidP="00D97888">
      <w:pPr>
        <w:rPr>
          <w:rFonts w:eastAsia="Palatino Linotype" w:cs="Palatino Linotype"/>
          <w:szCs w:val="24"/>
        </w:rPr>
      </w:pPr>
      <w:r w:rsidRPr="008E79F7">
        <w:rPr>
          <w:rFonts w:eastAsia="Palatino Linotype" w:cs="Palatino Linotype"/>
          <w:szCs w:val="24"/>
        </w:rPr>
        <w:t xml:space="preserve">Lo anterior se debe a que, del ejercicio de ponderación entre el derecho a la protección de datos personales y el derecho de acceso a la información pública, es de mayor trascendencia el que cualquier persona pueda conocer en qué se gastan los recursos </w:t>
      </w:r>
      <w:r w:rsidRPr="008E79F7">
        <w:rPr>
          <w:rFonts w:eastAsia="Palatino Linotype" w:cs="Palatino Linotype"/>
          <w:szCs w:val="24"/>
        </w:rPr>
        <w:lastRenderedPageBreak/>
        <w:t xml:space="preserve">públicos, puesto que se trata de erogaciones de recursos públicos, por lo que se debe transparentar su ejercicio. </w:t>
      </w:r>
    </w:p>
    <w:p w14:paraId="43486B8F" w14:textId="77777777" w:rsidR="00D97888" w:rsidRPr="008E79F7" w:rsidRDefault="00D97888" w:rsidP="00D97888">
      <w:pPr>
        <w:rPr>
          <w:rFonts w:eastAsia="Palatino Linotype" w:cs="Palatino Linotype"/>
          <w:szCs w:val="24"/>
        </w:rPr>
      </w:pPr>
    </w:p>
    <w:p w14:paraId="4C532344" w14:textId="77777777" w:rsidR="00D97888" w:rsidRPr="008E79F7" w:rsidRDefault="00D97888" w:rsidP="00D97888">
      <w:pPr>
        <w:rPr>
          <w:rFonts w:eastAsia="Palatino Linotype" w:cs="Palatino Linotype"/>
          <w:szCs w:val="24"/>
        </w:rPr>
      </w:pPr>
      <w:r w:rsidRPr="008E79F7">
        <w:rPr>
          <w:rFonts w:eastAsia="Palatino Linotype" w:cs="Palatino Linotype"/>
          <w:szCs w:val="24"/>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 esto es, se están realizando pagos a una persona que realiza una obra o presta un servicio, por la que se hizo un pago con dinero del erario público.</w:t>
      </w:r>
    </w:p>
    <w:p w14:paraId="2C7CCB22" w14:textId="77777777" w:rsidR="00D97888" w:rsidRPr="008E79F7" w:rsidRDefault="00D97888" w:rsidP="00D97888">
      <w:pPr>
        <w:rPr>
          <w:rFonts w:eastAsia="Palatino Linotype" w:cs="Palatino Linotype"/>
          <w:szCs w:val="24"/>
        </w:rPr>
      </w:pPr>
    </w:p>
    <w:p w14:paraId="4A89B29D" w14:textId="77777777" w:rsidR="00D97888" w:rsidRPr="008E79F7" w:rsidRDefault="00D97888" w:rsidP="00D97888">
      <w:pPr>
        <w:rPr>
          <w:rFonts w:eastAsia="Palatino Linotype" w:cs="Palatino Linotype"/>
          <w:szCs w:val="24"/>
        </w:rPr>
      </w:pPr>
      <w:r w:rsidRPr="008E79F7">
        <w:rPr>
          <w:rFonts w:eastAsia="Palatino Linotype" w:cs="Palatino Linotype"/>
          <w:szCs w:val="24"/>
        </w:rPr>
        <w:t xml:space="preserve">Ahora bien, respecto de los números de cuentas bancarias, claves estandarizadas interbancarias (CLABES) y de tarjetas de los proveedores, este Pleno considera que es información que debe clasificarse como confidencial y por lo tanto debe elaborarse una versión en que ésta se teste. </w:t>
      </w:r>
    </w:p>
    <w:p w14:paraId="1F961405" w14:textId="77777777" w:rsidR="00D97888" w:rsidRPr="008E79F7" w:rsidRDefault="00D97888" w:rsidP="00D97888">
      <w:pPr>
        <w:rPr>
          <w:rFonts w:eastAsia="Palatino Linotype" w:cs="Palatino Linotype"/>
          <w:szCs w:val="24"/>
        </w:rPr>
      </w:pPr>
    </w:p>
    <w:p w14:paraId="5B8AB545" w14:textId="77777777" w:rsidR="00D97888" w:rsidRPr="008E79F7" w:rsidRDefault="00D97888" w:rsidP="00D97888">
      <w:pPr>
        <w:rPr>
          <w:rFonts w:eastAsia="Palatino Linotype" w:cs="Palatino Linotype"/>
        </w:rPr>
      </w:pPr>
      <w:r w:rsidRPr="008E79F7">
        <w:rPr>
          <w:rFonts w:eastAsia="Palatino Linotype" w:cs="Palatino Linotype"/>
        </w:rPr>
        <w:t>Esto es así, ya que el número de cuenta bancaria se trata de información que sólo su titular o personas autorizadas poseen, entre otros elementos, para el acceso o consulta de información patrimonial, así como para la realización de operaciones bancarias de diversa índole, por lo que la difusión pública de dicha información facilitaría a cualquier persona interesada en afectar el patrimonio del titular de la cuenta; realice conductas tendientes a tal fin y tipificadas como delitos, con lo que se ocasionaría un serio perjuicio a su titular.</w:t>
      </w:r>
    </w:p>
    <w:p w14:paraId="7358ED68" w14:textId="77777777" w:rsidR="00D97888" w:rsidRPr="008E79F7" w:rsidRDefault="00D97888" w:rsidP="00D97888">
      <w:pPr>
        <w:rPr>
          <w:rFonts w:eastAsia="Palatino Linotype" w:cs="Palatino Linotype"/>
          <w:szCs w:val="24"/>
        </w:rPr>
      </w:pPr>
    </w:p>
    <w:p w14:paraId="3598AAB7" w14:textId="77777777" w:rsidR="00D97888" w:rsidRPr="008E79F7" w:rsidRDefault="00D97888" w:rsidP="00D97888">
      <w:pPr>
        <w:rPr>
          <w:rFonts w:eastAsia="Palatino Linotype" w:cs="Palatino Linotype"/>
        </w:rPr>
      </w:pPr>
      <w:r w:rsidRPr="008E79F7">
        <w:rPr>
          <w:rFonts w:eastAsia="Palatino Linotype" w:cs="Palatino Linotype"/>
        </w:rPr>
        <w:t>Por lo anterior, el número de cuenta bancaria debe ser información confidencial en términos del artículo 143 de la Ley de Transparencia y Acceso a la Información Pública del Estado de México y Municipios, debido a que con su difusión se estaría revelando información de una persona física o jurídica colectiva.</w:t>
      </w:r>
    </w:p>
    <w:p w14:paraId="3CD9F297" w14:textId="77777777" w:rsidR="00D97888" w:rsidRPr="008E79F7" w:rsidRDefault="00D97888" w:rsidP="00D97888">
      <w:pPr>
        <w:rPr>
          <w:rFonts w:eastAsia="Palatino Linotype" w:cs="Palatino Linotype"/>
          <w:szCs w:val="24"/>
        </w:rPr>
      </w:pPr>
    </w:p>
    <w:p w14:paraId="103C68F8" w14:textId="77777777" w:rsidR="00D97888" w:rsidRPr="008E79F7" w:rsidRDefault="00D97888" w:rsidP="00D97888">
      <w:pPr>
        <w:rPr>
          <w:rFonts w:eastAsia="Palatino Linotype" w:cs="Palatino Linotype"/>
          <w:szCs w:val="24"/>
        </w:rPr>
      </w:pPr>
      <w:r w:rsidRPr="008E79F7">
        <w:rPr>
          <w:rFonts w:eastAsia="Palatino Linotype" w:cs="Palatino Linotype"/>
          <w:szCs w:val="24"/>
        </w:rPr>
        <w:t xml:space="preserve">Adicional a lo anterior, la publicidad de los números de cuenta bancarios en nada contribuye a la rendición de cuentas o a la transparencia de la gestión gubernamental, sino por el contrario, dar a conocerlos hace vulnerable a su titular, en caso específico de la persona prestadora de bienes o servicios, al abrir la posibilidad de que terceros que cuenten con las posibilidades tecnológicas y/o económicas puedan realizar actos ilícitos mediante operaciones cibernéticas. </w:t>
      </w:r>
    </w:p>
    <w:p w14:paraId="7893AAF6" w14:textId="77777777" w:rsidR="00D97888" w:rsidRPr="008E79F7" w:rsidRDefault="00D97888" w:rsidP="00D97888">
      <w:pPr>
        <w:rPr>
          <w:rFonts w:eastAsia="Palatino Linotype" w:cs="Palatino Linotype"/>
          <w:szCs w:val="24"/>
        </w:rPr>
      </w:pPr>
    </w:p>
    <w:p w14:paraId="54129A66" w14:textId="77777777" w:rsidR="00D97888" w:rsidRPr="008E79F7" w:rsidRDefault="00D97888" w:rsidP="00D97888">
      <w:pPr>
        <w:rPr>
          <w:rFonts w:eastAsia="Palatino Linotype" w:cs="Palatino Linotype"/>
          <w:szCs w:val="24"/>
        </w:rPr>
      </w:pPr>
      <w:r w:rsidRPr="008E79F7">
        <w:rPr>
          <w:rFonts w:eastAsia="Palatino Linotype" w:cs="Palatino Linotype"/>
          <w:szCs w:val="24"/>
        </w:rPr>
        <w:t>En esa virtud, este Pleno determina que dicha información no puede ser del dominio público, toda vez que se podría dar un uso inadecuado a la misma o cometer algún ilícito o fraude en contra de su patrimonio.</w:t>
      </w:r>
    </w:p>
    <w:p w14:paraId="68BA1EA2" w14:textId="77777777" w:rsidR="00D97888" w:rsidRPr="008E79F7" w:rsidRDefault="00D97888" w:rsidP="00D97888">
      <w:pPr>
        <w:rPr>
          <w:rFonts w:eastAsia="Palatino Linotype" w:cs="Palatino Linotype"/>
          <w:szCs w:val="24"/>
        </w:rPr>
      </w:pPr>
    </w:p>
    <w:p w14:paraId="4736160D" w14:textId="77777777" w:rsidR="00D97888" w:rsidRPr="008E79F7" w:rsidRDefault="00D97888" w:rsidP="00D97888">
      <w:pPr>
        <w:rPr>
          <w:rFonts w:eastAsia="Palatino Linotype" w:cs="Palatino Linotype"/>
          <w:szCs w:val="24"/>
        </w:rPr>
      </w:pPr>
      <w:r w:rsidRPr="008E79F7">
        <w:rPr>
          <w:rFonts w:eastAsia="Palatino Linotype" w:cs="Palatino Linotype"/>
          <w:szCs w:val="24"/>
        </w:rPr>
        <w:t>De este modo, en las versiones públicas se deben testar únicamente los números de las cuentas bancarias, CLABES; si es que esta información se advierte en los documentos a otorgar; en caso contrario, se deben entregar en forma íntegra.</w:t>
      </w:r>
    </w:p>
    <w:p w14:paraId="00F8CB77" w14:textId="77777777" w:rsidR="00D97888" w:rsidRPr="008E79F7" w:rsidRDefault="00D97888" w:rsidP="00D97888">
      <w:pPr>
        <w:rPr>
          <w:rFonts w:eastAsia="Palatino Linotype" w:cs="Palatino Linotype"/>
          <w:szCs w:val="24"/>
        </w:rPr>
      </w:pPr>
    </w:p>
    <w:p w14:paraId="5FC692BB" w14:textId="77777777" w:rsidR="003A7EE4" w:rsidRPr="008E79F7" w:rsidRDefault="00D97888" w:rsidP="00D97888">
      <w:pPr>
        <w:rPr>
          <w:rFonts w:eastAsia="Palatino Linotype" w:cs="Palatino Linotype"/>
        </w:rPr>
      </w:pPr>
      <w:r w:rsidRPr="008E79F7">
        <w:rPr>
          <w:rFonts w:eastAsia="Palatino Linotype" w:cs="Palatino Linotype"/>
        </w:rPr>
        <w:t>Además de ello, se considera que se deberá testar el sello digital del contribuyente que lo expide y la cadena original de éste, en virtud de que estos se pueden vincular con la identidad de un sujeto o entidad, su cla</w:t>
      </w:r>
      <w:r w:rsidR="00064009" w:rsidRPr="008E79F7">
        <w:rPr>
          <w:rFonts w:eastAsia="Palatino Linotype" w:cs="Palatino Linotype"/>
        </w:rPr>
        <w:t>b</w:t>
      </w:r>
      <w:r w:rsidRPr="008E79F7">
        <w:rPr>
          <w:rFonts w:eastAsia="Palatino Linotype" w:cs="Palatino Linotype"/>
        </w:rPr>
        <w:t>e pública y la cla</w:t>
      </w:r>
      <w:r w:rsidR="00064009" w:rsidRPr="008E79F7">
        <w:rPr>
          <w:rFonts w:eastAsia="Palatino Linotype" w:cs="Palatino Linotype"/>
        </w:rPr>
        <w:t>b</w:t>
      </w:r>
      <w:r w:rsidRPr="008E79F7">
        <w:rPr>
          <w:rFonts w:eastAsia="Palatino Linotype" w:cs="Palatino Linotype"/>
        </w:rPr>
        <w:t xml:space="preserve">e pública del titular del </w:t>
      </w:r>
      <w:r w:rsidRPr="008E79F7">
        <w:rPr>
          <w:rFonts w:eastAsia="Palatino Linotype" w:cs="Palatino Linotype"/>
        </w:rPr>
        <w:lastRenderedPageBreak/>
        <w:t>certificado; datos que, se insiste, no son de acceso público, de ahí que deben protegerse mediante la versión pública correspondiente.</w:t>
      </w:r>
      <w:r w:rsidR="003A7EE4" w:rsidRPr="008E79F7">
        <w:rPr>
          <w:rFonts w:eastAsia="Palatino Linotype" w:cs="Palatino Linotype"/>
        </w:rPr>
        <w:t xml:space="preserve"> </w:t>
      </w:r>
    </w:p>
    <w:p w14:paraId="4548DD2B" w14:textId="77777777" w:rsidR="003A7EE4" w:rsidRPr="008E79F7" w:rsidRDefault="003A7EE4" w:rsidP="00D97888">
      <w:pPr>
        <w:rPr>
          <w:rFonts w:eastAsia="Palatino Linotype" w:cs="Palatino Linotype"/>
        </w:rPr>
      </w:pPr>
    </w:p>
    <w:p w14:paraId="158D7E50" w14:textId="5FF7ECEB" w:rsidR="00D97888" w:rsidRPr="008E79F7" w:rsidRDefault="00D97888" w:rsidP="00D97888">
      <w:pPr>
        <w:rPr>
          <w:rFonts w:eastAsia="Palatino Linotype" w:cs="Palatino Linotype"/>
          <w:szCs w:val="24"/>
        </w:rPr>
      </w:pPr>
      <w:r w:rsidRPr="008E79F7">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8E79F7" w:rsidRDefault="00D97888" w:rsidP="00D97888">
      <w:pPr>
        <w:rPr>
          <w:rFonts w:eastAsia="Palatino Linotype" w:cs="Palatino Linotype"/>
          <w:szCs w:val="24"/>
        </w:rPr>
      </w:pPr>
    </w:p>
    <w:p w14:paraId="0331A878" w14:textId="77777777" w:rsidR="00D97888" w:rsidRPr="008E79F7" w:rsidRDefault="00D97888" w:rsidP="00D97888">
      <w:pPr>
        <w:pBdr>
          <w:top w:val="nil"/>
          <w:left w:val="nil"/>
          <w:bottom w:val="nil"/>
          <w:right w:val="nil"/>
          <w:between w:val="nil"/>
        </w:pBdr>
        <w:rPr>
          <w:rFonts w:eastAsia="Palatino Linotype" w:cs="Palatino Linotype"/>
          <w:color w:val="000000"/>
          <w:szCs w:val="24"/>
        </w:rPr>
      </w:pPr>
      <w:r w:rsidRPr="008E79F7">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8E79F7" w:rsidRDefault="007856F3" w:rsidP="00637679">
      <w:pPr>
        <w:rPr>
          <w:szCs w:val="24"/>
          <w:lang w:val="es-MX"/>
        </w:rPr>
      </w:pPr>
    </w:p>
    <w:p w14:paraId="07B920B4" w14:textId="35B846E6"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8E79F7">
        <w:rPr>
          <w:rFonts w:eastAsia="Palatino Linotype" w:cs="Palatino Linotype"/>
          <w:color w:val="000000" w:themeColor="text1"/>
          <w:szCs w:val="24"/>
        </w:rPr>
        <w:t>el</w:t>
      </w:r>
      <w:r w:rsidRPr="008E79F7">
        <w:rPr>
          <w:rFonts w:eastAsia="Palatino Linotype" w:cs="Palatino Linotype"/>
          <w:color w:val="000000" w:themeColor="text1"/>
          <w:szCs w:val="24"/>
        </w:rPr>
        <w:t xml:space="preserve"> Recurrente resultan fundados en el recurso de revisión que es materia de esta resolución; por ello </w:t>
      </w:r>
      <w:r w:rsidRPr="008E79F7">
        <w:rPr>
          <w:rFonts w:eastAsia="Palatino Linotype" w:cs="Palatino Linotype"/>
          <w:b/>
          <w:bCs/>
          <w:color w:val="000000" w:themeColor="text1"/>
          <w:szCs w:val="24"/>
        </w:rPr>
        <w:t>co</w:t>
      </w:r>
      <w:r w:rsidR="006451AD" w:rsidRPr="008E79F7">
        <w:rPr>
          <w:rFonts w:eastAsia="Palatino Linotype" w:cs="Palatino Linotype"/>
          <w:b/>
          <w:bCs/>
          <w:color w:val="000000" w:themeColor="text1"/>
          <w:szCs w:val="24"/>
        </w:rPr>
        <w:t xml:space="preserve">n fundamento en la </w:t>
      </w:r>
      <w:r w:rsidR="00EC150E" w:rsidRPr="008E79F7">
        <w:rPr>
          <w:rFonts w:eastAsia="Palatino Linotype" w:cs="Palatino Linotype"/>
          <w:b/>
          <w:bCs/>
          <w:color w:val="000000" w:themeColor="text1"/>
          <w:szCs w:val="24"/>
        </w:rPr>
        <w:t xml:space="preserve">primera </w:t>
      </w:r>
      <w:r w:rsidRPr="008E79F7">
        <w:rPr>
          <w:rFonts w:eastAsia="Palatino Linotype" w:cs="Palatino Linotype"/>
          <w:b/>
          <w:bCs/>
          <w:color w:val="000000" w:themeColor="text1"/>
          <w:szCs w:val="24"/>
        </w:rPr>
        <w:t xml:space="preserve">hipótesis de la fracción III del artículo 186 </w:t>
      </w:r>
      <w:r w:rsidRPr="008E79F7">
        <w:rPr>
          <w:rFonts w:eastAsia="Palatino Linotype" w:cs="Palatino Linotype"/>
          <w:color w:val="000000" w:themeColor="text1"/>
          <w:szCs w:val="24"/>
        </w:rPr>
        <w:t xml:space="preserve">de la Ley de Transparencia y Acceso a la Información Pública del Estado de México y Municipios, se </w:t>
      </w:r>
      <w:r w:rsidR="00EC150E" w:rsidRPr="008E79F7">
        <w:rPr>
          <w:rFonts w:eastAsia="Palatino Linotype" w:cs="Palatino Linotype"/>
          <w:b/>
          <w:bCs/>
          <w:color w:val="000000" w:themeColor="text1"/>
          <w:szCs w:val="24"/>
        </w:rPr>
        <w:t>REVO</w:t>
      </w:r>
      <w:r w:rsidRPr="008E79F7">
        <w:rPr>
          <w:rFonts w:eastAsia="Palatino Linotype" w:cs="Palatino Linotype"/>
          <w:b/>
          <w:bCs/>
          <w:color w:val="000000" w:themeColor="text1"/>
          <w:szCs w:val="24"/>
        </w:rPr>
        <w:t xml:space="preserve">CA </w:t>
      </w:r>
      <w:r w:rsidRPr="008E79F7">
        <w:rPr>
          <w:rFonts w:eastAsia="Palatino Linotype" w:cs="Palatino Linotype"/>
          <w:color w:val="000000" w:themeColor="text1"/>
          <w:szCs w:val="24"/>
        </w:rPr>
        <w:t>la respuesta a la solicitud de información número</w:t>
      </w:r>
      <w:r w:rsidR="00642669" w:rsidRPr="008E79F7">
        <w:rPr>
          <w:rFonts w:eastAsia="Palatino Linotype" w:cs="Palatino Linotype"/>
          <w:color w:val="000000"/>
          <w:szCs w:val="24"/>
        </w:rPr>
        <w:t xml:space="preserve"> </w:t>
      </w:r>
      <w:r w:rsidR="00314209" w:rsidRPr="008E79F7">
        <w:rPr>
          <w:rFonts w:eastAsia="Palatino Linotype" w:cs="Palatino Linotype"/>
          <w:b/>
          <w:bCs/>
          <w:color w:val="000000"/>
          <w:szCs w:val="24"/>
        </w:rPr>
        <w:t>00270/TECAMAC/IP/2025</w:t>
      </w:r>
      <w:r w:rsidRPr="008E79F7">
        <w:rPr>
          <w:rFonts w:eastAsia="Palatino Linotype" w:cs="Palatino Linotype"/>
          <w:color w:val="000000" w:themeColor="text1"/>
          <w:szCs w:val="24"/>
        </w:rPr>
        <w:t>, que ha sido materia del presente estudio.</w:t>
      </w:r>
    </w:p>
    <w:p w14:paraId="33FB236F" w14:textId="259CAD64" w:rsidR="00581587" w:rsidRPr="008E79F7" w:rsidRDefault="00581587" w:rsidP="008F50E6">
      <w:pPr>
        <w:rPr>
          <w:szCs w:val="24"/>
        </w:rPr>
      </w:pPr>
    </w:p>
    <w:p w14:paraId="34755541" w14:textId="77777777"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color w:val="000000"/>
          <w:szCs w:val="24"/>
        </w:rPr>
        <w:t>Por lo antes expuesto y fundado es de resolverse y,</w:t>
      </w:r>
    </w:p>
    <w:p w14:paraId="3AF7767D" w14:textId="3F3141F3" w:rsidR="00454915" w:rsidRPr="008E79F7" w:rsidRDefault="003A7EE4" w:rsidP="008F50E6">
      <w:pPr>
        <w:rPr>
          <w:szCs w:val="24"/>
        </w:rPr>
      </w:pPr>
      <w:r w:rsidRPr="008E79F7">
        <w:rPr>
          <w:szCs w:val="24"/>
        </w:rPr>
        <w:t>---------------------------------------------------------------------------------------------------------------------------------------------------------------------------------------------------------------------------------------------------------------------------------------------------------------------------------------------------------------</w:t>
      </w:r>
    </w:p>
    <w:p w14:paraId="04F69938" w14:textId="77777777" w:rsidR="00581587" w:rsidRPr="008E79F7" w:rsidRDefault="00581587" w:rsidP="00581587">
      <w:pPr>
        <w:pStyle w:val="Ttulo1"/>
        <w:rPr>
          <w:rFonts w:eastAsia="Palatino Linotype"/>
        </w:rPr>
      </w:pPr>
      <w:r w:rsidRPr="008E79F7">
        <w:rPr>
          <w:rFonts w:eastAsia="Palatino Linotype"/>
        </w:rPr>
        <w:lastRenderedPageBreak/>
        <w:t>S E    R E S U E L V E</w:t>
      </w:r>
    </w:p>
    <w:p w14:paraId="0360AA6D" w14:textId="77777777" w:rsidR="00581587" w:rsidRPr="008E79F7" w:rsidRDefault="00581587" w:rsidP="00581587">
      <w:pPr>
        <w:pBdr>
          <w:top w:val="nil"/>
          <w:left w:val="nil"/>
          <w:bottom w:val="nil"/>
          <w:right w:val="nil"/>
          <w:between w:val="nil"/>
        </w:pBdr>
        <w:rPr>
          <w:rFonts w:eastAsia="Palatino Linotype" w:cs="Palatino Linotype"/>
          <w:b/>
          <w:color w:val="000000"/>
          <w:szCs w:val="24"/>
        </w:rPr>
      </w:pPr>
    </w:p>
    <w:p w14:paraId="2E76CA1A" w14:textId="75926D25"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b/>
          <w:bCs/>
          <w:color w:val="000000" w:themeColor="text1"/>
          <w:szCs w:val="24"/>
        </w:rPr>
        <w:t>PRIMERO.</w:t>
      </w:r>
      <w:r w:rsidRPr="008E79F7">
        <w:rPr>
          <w:rFonts w:eastAsia="Palatino Linotype" w:cs="Palatino Linotype"/>
          <w:color w:val="000000" w:themeColor="text1"/>
          <w:szCs w:val="24"/>
        </w:rPr>
        <w:t xml:space="preserve"> Se </w:t>
      </w:r>
      <w:r w:rsidR="00B814ED" w:rsidRPr="008E79F7">
        <w:rPr>
          <w:rFonts w:eastAsia="Palatino Linotype" w:cs="Palatino Linotype"/>
          <w:b/>
          <w:bCs/>
          <w:color w:val="000000" w:themeColor="text1"/>
          <w:szCs w:val="24"/>
        </w:rPr>
        <w:t>REVO</w:t>
      </w:r>
      <w:r w:rsidRPr="008E79F7">
        <w:rPr>
          <w:rFonts w:eastAsia="Palatino Linotype" w:cs="Palatino Linotype"/>
          <w:b/>
          <w:bCs/>
          <w:color w:val="000000" w:themeColor="text1"/>
          <w:szCs w:val="24"/>
        </w:rPr>
        <w:t>CA</w:t>
      </w:r>
      <w:r w:rsidRPr="008E79F7">
        <w:rPr>
          <w:rFonts w:eastAsia="Palatino Linotype" w:cs="Palatino Linotype"/>
          <w:color w:val="000000" w:themeColor="text1"/>
          <w:szCs w:val="24"/>
        </w:rPr>
        <w:t xml:space="preserve"> la respuesta entregada por el Sujeto Obligado</w:t>
      </w:r>
      <w:r w:rsidRPr="008E79F7">
        <w:rPr>
          <w:rFonts w:eastAsia="Palatino Linotype" w:cs="Palatino Linotype"/>
          <w:b/>
          <w:bCs/>
          <w:color w:val="000000" w:themeColor="text1"/>
          <w:szCs w:val="24"/>
        </w:rPr>
        <w:t xml:space="preserve"> </w:t>
      </w:r>
      <w:r w:rsidRPr="008E79F7">
        <w:rPr>
          <w:rFonts w:eastAsia="Palatino Linotype" w:cs="Palatino Linotype"/>
          <w:color w:val="000000" w:themeColor="text1"/>
          <w:szCs w:val="24"/>
        </w:rPr>
        <w:t>a la solicitud de información número</w:t>
      </w:r>
      <w:r w:rsidR="00642669" w:rsidRPr="008E79F7">
        <w:rPr>
          <w:rFonts w:eastAsia="Palatino Linotype" w:cs="Palatino Linotype"/>
          <w:b/>
          <w:bCs/>
          <w:color w:val="000000"/>
          <w:szCs w:val="24"/>
        </w:rPr>
        <w:t xml:space="preserve"> </w:t>
      </w:r>
      <w:r w:rsidR="00314209" w:rsidRPr="008E79F7">
        <w:rPr>
          <w:rFonts w:eastAsia="Palatino Linotype" w:cs="Palatino Linotype"/>
          <w:b/>
          <w:bCs/>
          <w:color w:val="000000"/>
          <w:szCs w:val="24"/>
        </w:rPr>
        <w:t>00270/TECAMAC/IP/2025</w:t>
      </w:r>
      <w:r w:rsidR="000D3DC4" w:rsidRPr="008E79F7">
        <w:rPr>
          <w:rFonts w:eastAsia="Palatino Linotype" w:cs="Palatino Linotype"/>
          <w:color w:val="000000" w:themeColor="text1"/>
          <w:szCs w:val="24"/>
        </w:rPr>
        <w:t>, al resultar</w:t>
      </w:r>
      <w:r w:rsidR="005D743E" w:rsidRPr="008E79F7">
        <w:rPr>
          <w:rFonts w:eastAsia="Palatino Linotype" w:cs="Palatino Linotype"/>
          <w:color w:val="000000" w:themeColor="text1"/>
          <w:szCs w:val="24"/>
        </w:rPr>
        <w:t xml:space="preserve"> </w:t>
      </w:r>
      <w:r w:rsidRPr="008E79F7">
        <w:rPr>
          <w:rFonts w:eastAsia="Palatino Linotype" w:cs="Palatino Linotype"/>
          <w:color w:val="000000" w:themeColor="text1"/>
          <w:szCs w:val="24"/>
        </w:rPr>
        <w:t xml:space="preserve">fundados los motivos de inconformidad argüidos por </w:t>
      </w:r>
      <w:r w:rsidR="008A7F39" w:rsidRPr="008E79F7">
        <w:rPr>
          <w:rFonts w:eastAsia="Palatino Linotype" w:cs="Palatino Linotype"/>
          <w:color w:val="000000" w:themeColor="text1"/>
          <w:szCs w:val="24"/>
        </w:rPr>
        <w:t>el Recurrente</w:t>
      </w:r>
      <w:r w:rsidRPr="008E79F7">
        <w:rPr>
          <w:rFonts w:eastAsia="Palatino Linotype" w:cs="Palatino Linotype"/>
          <w:color w:val="000000" w:themeColor="text1"/>
          <w:szCs w:val="24"/>
        </w:rPr>
        <w:t>, en términos del</w:t>
      </w:r>
      <w:r w:rsidRPr="008E79F7">
        <w:rPr>
          <w:rFonts w:eastAsia="Palatino Linotype" w:cs="Palatino Linotype"/>
          <w:b/>
          <w:bCs/>
          <w:color w:val="000000" w:themeColor="text1"/>
          <w:szCs w:val="24"/>
        </w:rPr>
        <w:t xml:space="preserve"> Considerando </w:t>
      </w:r>
      <w:r w:rsidR="00FB1F7C" w:rsidRPr="008E79F7">
        <w:rPr>
          <w:rFonts w:eastAsia="Palatino Linotype" w:cs="Palatino Linotype"/>
          <w:b/>
          <w:bCs/>
          <w:color w:val="000000" w:themeColor="text1"/>
          <w:szCs w:val="24"/>
        </w:rPr>
        <w:t>CUAR</w:t>
      </w:r>
      <w:r w:rsidRPr="008E79F7">
        <w:rPr>
          <w:rFonts w:eastAsia="Palatino Linotype" w:cs="Palatino Linotype"/>
          <w:b/>
          <w:bCs/>
          <w:color w:val="000000" w:themeColor="text1"/>
          <w:szCs w:val="24"/>
        </w:rPr>
        <w:t xml:space="preserve">TO </w:t>
      </w:r>
      <w:r w:rsidRPr="008E79F7">
        <w:rPr>
          <w:rFonts w:eastAsia="Palatino Linotype" w:cs="Palatino Linotype"/>
          <w:color w:val="000000" w:themeColor="text1"/>
          <w:szCs w:val="24"/>
        </w:rPr>
        <w:t xml:space="preserve">de la presente resolución. </w:t>
      </w:r>
    </w:p>
    <w:p w14:paraId="1E340B42" w14:textId="77777777" w:rsidR="00581587" w:rsidRPr="008E79F7" w:rsidRDefault="00581587" w:rsidP="00581587">
      <w:pPr>
        <w:pBdr>
          <w:top w:val="nil"/>
          <w:left w:val="nil"/>
          <w:bottom w:val="nil"/>
          <w:right w:val="nil"/>
          <w:between w:val="nil"/>
        </w:pBdr>
        <w:rPr>
          <w:rFonts w:eastAsia="Palatino Linotype" w:cs="Palatino Linotype"/>
          <w:color w:val="000000"/>
          <w:szCs w:val="24"/>
        </w:rPr>
      </w:pPr>
    </w:p>
    <w:p w14:paraId="4DA0A536" w14:textId="04587933"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b/>
          <w:color w:val="000000"/>
          <w:szCs w:val="24"/>
        </w:rPr>
        <w:t>SEGUNDO.</w:t>
      </w:r>
      <w:r w:rsidRPr="008E79F7">
        <w:rPr>
          <w:rFonts w:eastAsia="Palatino Linotype" w:cs="Palatino Linotype"/>
          <w:color w:val="000000"/>
          <w:szCs w:val="24"/>
        </w:rPr>
        <w:t xml:space="preserve"> Se </w:t>
      </w:r>
      <w:r w:rsidRPr="008E79F7">
        <w:rPr>
          <w:rFonts w:eastAsia="Palatino Linotype" w:cs="Palatino Linotype"/>
          <w:b/>
          <w:color w:val="000000"/>
          <w:szCs w:val="24"/>
        </w:rPr>
        <w:t>ORDENA</w:t>
      </w:r>
      <w:r w:rsidRPr="008E79F7">
        <w:rPr>
          <w:rFonts w:eastAsia="Palatino Linotype" w:cs="Palatino Linotype"/>
          <w:color w:val="000000"/>
          <w:szCs w:val="24"/>
        </w:rPr>
        <w:t xml:space="preserve"> </w:t>
      </w:r>
      <w:r w:rsidR="007501B9" w:rsidRPr="008E79F7">
        <w:rPr>
          <w:rFonts w:eastAsia="Palatino Linotype" w:cs="Palatino Linotype"/>
          <w:color w:val="000000"/>
          <w:szCs w:val="24"/>
        </w:rPr>
        <w:t>al Sujeto Obligado que</w:t>
      </w:r>
      <w:r w:rsidR="003A51C8" w:rsidRPr="008E79F7">
        <w:rPr>
          <w:rFonts w:eastAsia="Palatino Linotype" w:cs="Palatino Linotype"/>
          <w:color w:val="000000"/>
          <w:szCs w:val="24"/>
        </w:rPr>
        <w:t xml:space="preserve"> </w:t>
      </w:r>
      <w:r w:rsidR="002B5CE9" w:rsidRPr="008E79F7">
        <w:rPr>
          <w:rFonts w:eastAsia="Palatino Linotype" w:cs="Palatino Linotype"/>
          <w:color w:val="000000"/>
          <w:szCs w:val="24"/>
        </w:rPr>
        <w:t xml:space="preserve">haga </w:t>
      </w:r>
      <w:r w:rsidR="007501B9" w:rsidRPr="008E79F7">
        <w:rPr>
          <w:rFonts w:eastAsia="Palatino Linotype" w:cs="Palatino Linotype"/>
          <w:color w:val="000000"/>
          <w:szCs w:val="24"/>
        </w:rPr>
        <w:t>entrega a</w:t>
      </w:r>
      <w:r w:rsidR="008A7F39" w:rsidRPr="008E79F7">
        <w:rPr>
          <w:rFonts w:eastAsia="Palatino Linotype" w:cs="Palatino Linotype"/>
          <w:color w:val="000000"/>
          <w:szCs w:val="24"/>
        </w:rPr>
        <w:t>l Recurrente</w:t>
      </w:r>
      <w:r w:rsidR="007501B9" w:rsidRPr="008E79F7">
        <w:rPr>
          <w:rFonts w:eastAsia="Palatino Linotype" w:cs="Palatino Linotype"/>
          <w:color w:val="000000"/>
          <w:szCs w:val="24"/>
        </w:rPr>
        <w:t xml:space="preserve"> mediante el Sistema de Acceso a la Información Mexiquense (SAIMEX)</w:t>
      </w:r>
      <w:r w:rsidR="00A01F4B" w:rsidRPr="008E79F7">
        <w:rPr>
          <w:rFonts w:eastAsia="Palatino Linotype" w:cs="Palatino Linotype"/>
          <w:color w:val="000000"/>
          <w:szCs w:val="24"/>
        </w:rPr>
        <w:t>, en versión pública</w:t>
      </w:r>
      <w:r w:rsidR="003A51C8" w:rsidRPr="008E79F7">
        <w:rPr>
          <w:rFonts w:eastAsia="Palatino Linotype" w:cs="Palatino Linotype"/>
          <w:color w:val="000000"/>
          <w:szCs w:val="24"/>
        </w:rPr>
        <w:t xml:space="preserve"> y </w:t>
      </w:r>
      <w:r w:rsidR="007501B9" w:rsidRPr="008E79F7">
        <w:rPr>
          <w:rFonts w:eastAsia="Palatino Linotype" w:cs="Palatino Linotype"/>
          <w:color w:val="000000"/>
          <w:szCs w:val="24"/>
        </w:rPr>
        <w:t xml:space="preserve">en términos del </w:t>
      </w:r>
      <w:r w:rsidR="000D3DC4" w:rsidRPr="008E79F7">
        <w:rPr>
          <w:rFonts w:eastAsia="Palatino Linotype" w:cs="Palatino Linotype"/>
          <w:b/>
          <w:color w:val="000000"/>
          <w:szCs w:val="24"/>
        </w:rPr>
        <w:t xml:space="preserve">Considerando </w:t>
      </w:r>
      <w:r w:rsidR="00FB1F7C" w:rsidRPr="008E79F7">
        <w:rPr>
          <w:rFonts w:eastAsia="Palatino Linotype" w:cs="Palatino Linotype"/>
          <w:b/>
          <w:color w:val="000000"/>
          <w:szCs w:val="24"/>
        </w:rPr>
        <w:t>CUAR</w:t>
      </w:r>
      <w:r w:rsidR="007501B9" w:rsidRPr="008E79F7">
        <w:rPr>
          <w:rFonts w:eastAsia="Palatino Linotype" w:cs="Palatino Linotype"/>
          <w:b/>
          <w:color w:val="000000"/>
          <w:szCs w:val="24"/>
        </w:rPr>
        <w:t>TO</w:t>
      </w:r>
      <w:r w:rsidR="00637878" w:rsidRPr="008E79F7">
        <w:rPr>
          <w:rFonts w:eastAsia="Palatino Linotype" w:cs="Palatino Linotype"/>
          <w:color w:val="000000"/>
          <w:szCs w:val="24"/>
        </w:rPr>
        <w:t>, de</w:t>
      </w:r>
      <w:r w:rsidR="001A788F" w:rsidRPr="008E79F7">
        <w:rPr>
          <w:rFonts w:eastAsia="Palatino Linotype" w:cs="Palatino Linotype"/>
          <w:color w:val="000000"/>
          <w:szCs w:val="24"/>
        </w:rPr>
        <w:t xml:space="preserve"> </w:t>
      </w:r>
      <w:r w:rsidR="00FB1F7C" w:rsidRPr="008E79F7">
        <w:rPr>
          <w:rFonts w:eastAsia="Palatino Linotype" w:cs="Palatino Linotype"/>
          <w:color w:val="000000"/>
          <w:szCs w:val="24"/>
        </w:rPr>
        <w:t>l</w:t>
      </w:r>
      <w:r w:rsidR="001A788F" w:rsidRPr="008E79F7">
        <w:rPr>
          <w:rFonts w:eastAsia="Palatino Linotype" w:cs="Palatino Linotype"/>
          <w:color w:val="000000"/>
          <w:szCs w:val="24"/>
        </w:rPr>
        <w:t>os</w:t>
      </w:r>
      <w:r w:rsidR="00FB1F7C" w:rsidRPr="008E79F7">
        <w:rPr>
          <w:rFonts w:eastAsia="Palatino Linotype" w:cs="Palatino Linotype"/>
          <w:color w:val="000000"/>
          <w:szCs w:val="24"/>
        </w:rPr>
        <w:t xml:space="preserve"> documento</w:t>
      </w:r>
      <w:r w:rsidR="001A788F" w:rsidRPr="008E79F7">
        <w:rPr>
          <w:rFonts w:eastAsia="Palatino Linotype" w:cs="Palatino Linotype"/>
          <w:color w:val="000000"/>
          <w:szCs w:val="24"/>
        </w:rPr>
        <w:t>s</w:t>
      </w:r>
      <w:r w:rsidR="00FB1F7C" w:rsidRPr="008E79F7">
        <w:rPr>
          <w:rFonts w:eastAsia="Palatino Linotype" w:cs="Palatino Linotype"/>
          <w:color w:val="000000"/>
          <w:szCs w:val="24"/>
        </w:rPr>
        <w:t xml:space="preserve"> en donde conste</w:t>
      </w:r>
      <w:r w:rsidR="00637878" w:rsidRPr="008E79F7">
        <w:rPr>
          <w:rFonts w:eastAsia="Palatino Linotype" w:cs="Palatino Linotype"/>
          <w:color w:val="000000"/>
          <w:szCs w:val="24"/>
        </w:rPr>
        <w:t xml:space="preserve"> lo siguiente:</w:t>
      </w:r>
    </w:p>
    <w:p w14:paraId="26EEF856" w14:textId="77777777" w:rsidR="00581587" w:rsidRPr="008E79F7" w:rsidRDefault="00581587" w:rsidP="00581587">
      <w:pPr>
        <w:pBdr>
          <w:top w:val="nil"/>
          <w:left w:val="nil"/>
          <w:bottom w:val="nil"/>
          <w:right w:val="nil"/>
          <w:between w:val="nil"/>
        </w:pBdr>
        <w:rPr>
          <w:rFonts w:eastAsia="Palatino Linotype" w:cs="Palatino Linotype"/>
          <w:color w:val="000000"/>
          <w:szCs w:val="24"/>
        </w:rPr>
      </w:pPr>
    </w:p>
    <w:p w14:paraId="75A6886A" w14:textId="4D7B745F" w:rsidR="00FD734D" w:rsidRPr="008E79F7" w:rsidRDefault="00B814ED" w:rsidP="004D239F">
      <w:pPr>
        <w:pStyle w:val="NormalINFOEM"/>
        <w:numPr>
          <w:ilvl w:val="0"/>
          <w:numId w:val="51"/>
        </w:numPr>
        <w:spacing w:line="240" w:lineRule="auto"/>
        <w:rPr>
          <w:rFonts w:eastAsia="Palatino Linotype" w:cs="Palatino Linotype"/>
          <w:i/>
          <w:iCs/>
          <w:color w:val="000000"/>
          <w:szCs w:val="24"/>
          <w:lang w:val="es-ES" w:eastAsia="es-ES"/>
        </w:rPr>
      </w:pPr>
      <w:r w:rsidRPr="008E79F7">
        <w:rPr>
          <w:rFonts w:eastAsia="Palatino Linotype" w:cs="Palatino Linotype"/>
          <w:i/>
          <w:iCs/>
          <w:color w:val="000000"/>
          <w:szCs w:val="24"/>
          <w:lang w:val="es-ES" w:eastAsia="es-ES"/>
        </w:rPr>
        <w:t>L</w:t>
      </w:r>
      <w:r w:rsidR="0094032A" w:rsidRPr="008E79F7">
        <w:rPr>
          <w:rFonts w:eastAsia="Palatino Linotype" w:cs="Palatino Linotype"/>
          <w:i/>
          <w:iCs/>
          <w:color w:val="000000"/>
          <w:szCs w:val="24"/>
          <w:lang w:val="es-ES" w:eastAsia="es-ES"/>
        </w:rPr>
        <w:t>a</w:t>
      </w:r>
      <w:r w:rsidR="001A788F" w:rsidRPr="008E79F7">
        <w:rPr>
          <w:rFonts w:eastAsia="Palatino Linotype" w:cs="Palatino Linotype"/>
          <w:i/>
          <w:iCs/>
          <w:color w:val="000000"/>
          <w:szCs w:val="24"/>
          <w:lang w:val="es-ES" w:eastAsia="es-ES"/>
        </w:rPr>
        <w:t>s</w:t>
      </w:r>
      <w:r w:rsidR="0094032A" w:rsidRPr="008E79F7">
        <w:rPr>
          <w:rFonts w:eastAsia="Palatino Linotype" w:cs="Palatino Linotype"/>
          <w:i/>
          <w:iCs/>
          <w:color w:val="000000"/>
          <w:szCs w:val="24"/>
          <w:lang w:val="es-ES" w:eastAsia="es-ES"/>
        </w:rPr>
        <w:t xml:space="preserve"> </w:t>
      </w:r>
      <w:r w:rsidR="001A788F" w:rsidRPr="008E79F7">
        <w:rPr>
          <w:rFonts w:eastAsia="Palatino Linotype" w:cs="Palatino Linotype"/>
          <w:i/>
          <w:iCs/>
          <w:color w:val="000000"/>
          <w:szCs w:val="24"/>
          <w:lang w:val="es-ES" w:eastAsia="es-ES"/>
        </w:rPr>
        <w:t xml:space="preserve">facturas pagadas y en proceso de pago por más de un $1 000 000.00 (un millón de pesos 00/100 M.N.) que se hayan </w:t>
      </w:r>
      <w:r w:rsidR="000D3E5D" w:rsidRPr="008E79F7">
        <w:rPr>
          <w:rFonts w:eastAsia="Palatino Linotype" w:cs="Palatino Linotype"/>
          <w:i/>
          <w:iCs/>
          <w:color w:val="000000"/>
          <w:szCs w:val="24"/>
          <w:lang w:val="es-ES" w:eastAsia="es-ES"/>
        </w:rPr>
        <w:t>recibid</w:t>
      </w:r>
      <w:r w:rsidR="001A788F" w:rsidRPr="008E79F7">
        <w:rPr>
          <w:rFonts w:eastAsia="Palatino Linotype" w:cs="Palatino Linotype"/>
          <w:i/>
          <w:iCs/>
          <w:color w:val="000000"/>
          <w:szCs w:val="24"/>
          <w:lang w:val="es-ES" w:eastAsia="es-ES"/>
        </w:rPr>
        <w:t>o durante el periodo comprendido del primero de enero al diez de noviembre de dos mil veinticinco</w:t>
      </w:r>
      <w:r w:rsidR="00DF430D" w:rsidRPr="008E79F7">
        <w:rPr>
          <w:rFonts w:eastAsia="Palatino Linotype" w:cs="Palatino Linotype"/>
          <w:i/>
          <w:iCs/>
          <w:color w:val="000000"/>
          <w:szCs w:val="24"/>
          <w:lang w:val="es-ES" w:eastAsia="es-ES"/>
        </w:rPr>
        <w:t>.</w:t>
      </w:r>
    </w:p>
    <w:p w14:paraId="5D3CABD2" w14:textId="77777777" w:rsidR="00637878" w:rsidRPr="008E79F7" w:rsidRDefault="00637878" w:rsidP="00637878">
      <w:pPr>
        <w:pStyle w:val="NormalINFOEM"/>
        <w:rPr>
          <w:lang w:val="es-ES"/>
        </w:rPr>
      </w:pPr>
    </w:p>
    <w:p w14:paraId="455A0062" w14:textId="18D3DD39" w:rsidR="004161DA" w:rsidRPr="008E79F7" w:rsidRDefault="00CE660F" w:rsidP="00637878">
      <w:pPr>
        <w:pStyle w:val="NormalINFOEM"/>
        <w:rPr>
          <w:szCs w:val="24"/>
        </w:rPr>
      </w:pPr>
      <w:r w:rsidRPr="008E79F7">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A1DAF4E" w14:textId="77777777" w:rsidR="009D3DA4" w:rsidRPr="008E79F7" w:rsidRDefault="009D3DA4" w:rsidP="00637878">
      <w:pPr>
        <w:pStyle w:val="NormalINFOEM"/>
        <w:rPr>
          <w:szCs w:val="24"/>
        </w:rPr>
      </w:pPr>
    </w:p>
    <w:p w14:paraId="0BFBD801" w14:textId="343F5C80"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b/>
          <w:color w:val="000000"/>
          <w:szCs w:val="24"/>
        </w:rPr>
        <w:t>TERCERO. Notifíquese</w:t>
      </w:r>
      <w:r w:rsidRPr="008E79F7">
        <w:rPr>
          <w:rFonts w:eastAsia="Palatino Linotype" w:cs="Palatino Linotype"/>
          <w:b/>
          <w:i/>
          <w:color w:val="000000"/>
          <w:szCs w:val="24"/>
        </w:rPr>
        <w:t xml:space="preserve"> </w:t>
      </w:r>
      <w:r w:rsidRPr="008E79F7">
        <w:rPr>
          <w:rFonts w:eastAsia="Palatino Linotype" w:cs="Palatino Linotype"/>
          <w:color w:val="000000"/>
          <w:szCs w:val="24"/>
        </w:rPr>
        <w:t xml:space="preserve">la presente resolución al Titular de la Unidad de Transparencia del Sujeto Obligado </w:t>
      </w:r>
      <w:r w:rsidR="0032659A" w:rsidRPr="008E79F7">
        <w:rPr>
          <w:rFonts w:eastAsia="Palatino Linotype" w:cs="Palatino Linotype"/>
          <w:color w:val="000000"/>
          <w:szCs w:val="24"/>
        </w:rPr>
        <w:t xml:space="preserve">mediante el Sistema de Acceso a la Información Mexiquense (SAIMEX), </w:t>
      </w:r>
      <w:r w:rsidRPr="008E79F7">
        <w:rPr>
          <w:rFonts w:eastAsia="Palatino Linotype" w:cs="Palatino Linotype"/>
          <w:color w:val="000000"/>
          <w:szCs w:val="24"/>
        </w:rPr>
        <w:t xml:space="preserve">para que, conforme a los artículos 186 último párrafo, 189 segundo párrafo y 194 de la Ley de Transparencia y Acceso a la Información Pública del Estado de México </w:t>
      </w:r>
      <w:r w:rsidRPr="008E79F7">
        <w:rPr>
          <w:rFonts w:eastAsia="Palatino Linotype" w:cs="Palatino Linotype"/>
          <w:color w:val="000000"/>
          <w:szCs w:val="24"/>
        </w:rPr>
        <w:lastRenderedPageBreak/>
        <w:t>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8E79F7"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b/>
          <w:color w:val="000000"/>
          <w:szCs w:val="24"/>
        </w:rPr>
        <w:t xml:space="preserve">CUARTO. </w:t>
      </w:r>
      <w:r w:rsidRPr="008E79F7">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8E79F7"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8E79F7" w:rsidRDefault="00581587" w:rsidP="00581587">
      <w:pPr>
        <w:pBdr>
          <w:top w:val="nil"/>
          <w:left w:val="nil"/>
          <w:bottom w:val="nil"/>
          <w:right w:val="nil"/>
          <w:between w:val="nil"/>
        </w:pBdr>
        <w:rPr>
          <w:rFonts w:eastAsia="Palatino Linotype" w:cs="Palatino Linotype"/>
          <w:color w:val="000000"/>
          <w:szCs w:val="24"/>
        </w:rPr>
      </w:pPr>
      <w:r w:rsidRPr="008E79F7">
        <w:rPr>
          <w:rFonts w:eastAsia="Palatino Linotype" w:cs="Palatino Linotype"/>
          <w:b/>
          <w:color w:val="000000"/>
          <w:szCs w:val="24"/>
        </w:rPr>
        <w:t xml:space="preserve">QUINTO. Notifíquese </w:t>
      </w:r>
      <w:r w:rsidRPr="008E79F7">
        <w:rPr>
          <w:rFonts w:eastAsia="Palatino Linotype" w:cs="Palatino Linotype"/>
          <w:color w:val="000000"/>
          <w:szCs w:val="24"/>
        </w:rPr>
        <w:t>la presente resolución a</w:t>
      </w:r>
      <w:r w:rsidR="008A7F39" w:rsidRPr="008E79F7">
        <w:rPr>
          <w:rFonts w:eastAsia="Palatino Linotype" w:cs="Palatino Linotype"/>
          <w:color w:val="000000"/>
          <w:szCs w:val="24"/>
        </w:rPr>
        <w:t>l Recurrente</w:t>
      </w:r>
      <w:r w:rsidRPr="008E79F7">
        <w:rPr>
          <w:rFonts w:eastAsia="Palatino Linotype" w:cs="Palatino Linotype"/>
          <w:color w:val="000000"/>
          <w:szCs w:val="24"/>
        </w:rPr>
        <w:t xml:space="preserve"> mediante el Sistema de Acceso a la Información Mexiquense (SAIMEX)</w:t>
      </w:r>
      <w:r w:rsidR="00FB5BF2" w:rsidRPr="008E79F7">
        <w:rPr>
          <w:rFonts w:eastAsia="Palatino Linotype" w:cs="Palatino Linotype"/>
          <w:color w:val="000000"/>
          <w:szCs w:val="24"/>
        </w:rPr>
        <w:t xml:space="preserve">, </w:t>
      </w:r>
      <w:r w:rsidRPr="008E79F7">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8E79F7" w:rsidRDefault="00454915" w:rsidP="008F50E6">
      <w:pPr>
        <w:rPr>
          <w:szCs w:val="24"/>
        </w:rPr>
      </w:pPr>
    </w:p>
    <w:p w14:paraId="20573BFF" w14:textId="37E215D2" w:rsidR="00A970D5" w:rsidRPr="008E79F7" w:rsidRDefault="008E79F7" w:rsidP="003532D0">
      <w:pPr>
        <w:pBdr>
          <w:top w:val="nil"/>
          <w:left w:val="nil"/>
          <w:bottom w:val="nil"/>
          <w:right w:val="nil"/>
          <w:between w:val="nil"/>
        </w:pBdr>
        <w:contextualSpacing/>
        <w:rPr>
          <w:rFonts w:eastAsia="Palatino Linotype" w:cs="Palatino Linotype"/>
          <w:color w:val="000000"/>
          <w:szCs w:val="24"/>
        </w:rPr>
      </w:pPr>
      <w:r w:rsidRPr="008E79F7">
        <w:rPr>
          <w:rFonts w:eastAsiaTheme="minorHAnsi"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8E79F7">
        <w:rPr>
          <w:rFonts w:eastAsiaTheme="minorHAnsi" w:cs="Arial"/>
          <w:lang w:val="es-MX" w:eastAsia="en-US"/>
        </w:rPr>
        <w:lastRenderedPageBreak/>
        <w:t>NORIEGA (AUSENCIA JUSTIFICADA) Y GUADALUPE RAMÍREZ PEÑA (AUSENCIA JUSTIFICADA); EN LA DÉCIMA SÉPTIMA SESIÓN ORDINARIA CELEBRADA EL TRECE DE MAYO DE DOS MIL VEINTISÉIS, ANTE EL SECRETARIO TÉCNICO DEL PLENO, ALEXIS TAPIA RAMÍREZ</w:t>
      </w:r>
      <w:r w:rsidR="00A970D5" w:rsidRPr="008E79F7">
        <w:rPr>
          <w:rFonts w:eastAsia="Palatino Linotype" w:cs="Palatino Linotype"/>
          <w:color w:val="000000"/>
          <w:szCs w:val="24"/>
        </w:rPr>
        <w:t>.</w:t>
      </w:r>
      <w:r w:rsidR="001957CF" w:rsidRPr="008E79F7">
        <w:rPr>
          <w:rFonts w:eastAsia="Palatino Linotype" w:cs="Palatino Linotype"/>
          <w:color w:val="000000"/>
          <w:szCs w:val="24"/>
        </w:rPr>
        <w:t>--------------</w:t>
      </w:r>
      <w:r w:rsidR="00C6512A" w:rsidRPr="008E79F7">
        <w:rPr>
          <w:rFonts w:eastAsia="Palatino Linotype" w:cs="Palatino Linotype"/>
          <w:color w:val="000000"/>
          <w:szCs w:val="24"/>
        </w:rPr>
        <w:t>---------</w:t>
      </w:r>
      <w:r w:rsidR="00337FA1" w:rsidRPr="008E79F7">
        <w:rPr>
          <w:rFonts w:eastAsia="Palatino Linotype" w:cs="Palatino Linotype"/>
          <w:color w:val="000000"/>
          <w:szCs w:val="24"/>
        </w:rPr>
        <w:t>-----</w:t>
      </w:r>
      <w:r w:rsidR="009033AE" w:rsidRPr="008E79F7">
        <w:rPr>
          <w:rFonts w:eastAsia="Palatino Linotype" w:cs="Palatino Linotype"/>
          <w:color w:val="000000"/>
          <w:szCs w:val="24"/>
        </w:rPr>
        <w:t>-------------------------------------------------------------------------------------------------------------------</w:t>
      </w:r>
      <w:r w:rsidR="00C6457E" w:rsidRPr="008E79F7">
        <w:rPr>
          <w:rFonts w:eastAsia="Palatino Linotype" w:cs="Palatino Linotype"/>
          <w:color w:val="000000"/>
          <w:szCs w:val="24"/>
        </w:rPr>
        <w:t>---------------------------------------------------------------------------------------------------------------------</w:t>
      </w:r>
      <w:r w:rsidR="00757731" w:rsidRPr="008E79F7">
        <w:rPr>
          <w:rFonts w:eastAsia="Palatino Linotype" w:cs="Palatino Linotype"/>
          <w:color w:val="000000"/>
          <w:szCs w:val="24"/>
        </w:rPr>
        <w:t>------------------------------------------------------------------------------------------------------</w:t>
      </w:r>
      <w:r w:rsidR="00B814ED" w:rsidRPr="008E79F7">
        <w:rPr>
          <w:rFonts w:eastAsia="Palatino Linotype" w:cs="Palatino Linotype"/>
          <w:color w:val="000000"/>
          <w:szCs w:val="24"/>
        </w:rPr>
        <w:t>-------------------------------------------------------------------------------------------</w:t>
      </w:r>
      <w:r w:rsidR="007D6E90" w:rsidRPr="008E79F7">
        <w:rPr>
          <w:rFonts w:eastAsia="Palatino Linotype" w:cs="Palatino Linotype"/>
          <w:color w:val="000000"/>
          <w:szCs w:val="24"/>
        </w:rPr>
        <w:t>-------------------</w:t>
      </w:r>
      <w:r w:rsidR="008D0345" w:rsidRPr="008E79F7">
        <w:rPr>
          <w:rFonts w:eastAsia="Palatino Linotype" w:cs="Palatino Linotype"/>
          <w:color w:val="000000"/>
          <w:szCs w:val="24"/>
        </w:rPr>
        <w:t>---------------</w:t>
      </w:r>
      <w:r w:rsidR="007D6E90" w:rsidRPr="008E79F7">
        <w:rPr>
          <w:rFonts w:eastAsia="Palatino Linotype" w:cs="Palatino Linotype"/>
          <w:color w:val="000000"/>
          <w:szCs w:val="24"/>
        </w:rPr>
        <w:t>--------</w:t>
      </w:r>
      <w:r w:rsidR="008D0345" w:rsidRPr="008E79F7">
        <w:rPr>
          <w:rFonts w:eastAsia="Palatino Linotype" w:cs="Palatino Linotype"/>
          <w:color w:val="000000"/>
          <w:szCs w:val="24"/>
        </w:rPr>
        <w:t>---------------------------------------------------------------------------------------------------------------------------------------------------------------------------------------------------------------------------------------------------------------------------------------------------------------------------------------------------------------</w:t>
      </w:r>
      <w:r w:rsidR="00C739C3" w:rsidRPr="008E79F7">
        <w:rPr>
          <w:rFonts w:eastAsia="Palatino Linotype" w:cs="Palatino Linotype"/>
          <w:color w:val="000000"/>
          <w:szCs w:val="24"/>
        </w:rPr>
        <w:t>----------------------------------------------------------------------------------------------------------------------------------------------------------------------------------------------------------------------------------------------------------------------------------------------------------------------------------------------------------------------------------------------------------------------------------------------------------------------------------------------------------------------------------------------------------------------------------------------------------------------------------------------------------------------------------------------------------------------------------------------------------------------------------------------------------------------------------------------------</w:t>
      </w:r>
      <w:r w:rsidR="00491EC0" w:rsidRPr="008E79F7">
        <w:rPr>
          <w:szCs w:val="24"/>
        </w:rPr>
        <w:t>---------------------------------------------------------------------------------------------------------------------------------------------------------------------------------------------------------------------------------------------------------------------------------------------------------------------------------------------------------------------------------------------------------------------------------------------------------------------------------------------------------------------------------------------------------------------------------------------------------</w:t>
      </w:r>
      <w:r w:rsidR="00C739C3" w:rsidRPr="008E79F7">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8E79F7">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A45B5" w14:textId="77777777" w:rsidR="00DD0279" w:rsidRDefault="00DD0279" w:rsidP="00F2498E">
      <w:pPr>
        <w:spacing w:line="240" w:lineRule="auto"/>
      </w:pPr>
      <w:r>
        <w:separator/>
      </w:r>
    </w:p>
  </w:endnote>
  <w:endnote w:type="continuationSeparator" w:id="0">
    <w:p w14:paraId="0E201589" w14:textId="77777777" w:rsidR="00DD0279" w:rsidRDefault="00DD0279" w:rsidP="00F2498E">
      <w:pPr>
        <w:spacing w:line="240" w:lineRule="auto"/>
      </w:pPr>
      <w:r>
        <w:continuationSeparator/>
      </w:r>
    </w:p>
  </w:endnote>
  <w:endnote w:type="continuationNotice" w:id="1">
    <w:p w14:paraId="5748A6CC" w14:textId="77777777" w:rsidR="00DD0279" w:rsidRDefault="00DD02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91AA5">
      <w:rPr>
        <w:rFonts w:ascii="Palatino Linotype" w:hAnsi="Palatino Linotype"/>
        <w:b/>
        <w:bCs/>
        <w:noProof/>
        <w:sz w:val="20"/>
      </w:rPr>
      <w:t>7</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91AA5">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91AA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91AA5">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ABC15" w14:textId="77777777" w:rsidR="00DD0279" w:rsidRDefault="00DD0279" w:rsidP="00F2498E">
      <w:pPr>
        <w:spacing w:line="240" w:lineRule="auto"/>
      </w:pPr>
      <w:r>
        <w:separator/>
      </w:r>
    </w:p>
  </w:footnote>
  <w:footnote w:type="continuationSeparator" w:id="0">
    <w:p w14:paraId="6A46C4E4" w14:textId="77777777" w:rsidR="00DD0279" w:rsidRDefault="00DD0279" w:rsidP="00F2498E">
      <w:pPr>
        <w:spacing w:line="240" w:lineRule="auto"/>
      </w:pPr>
      <w:r>
        <w:continuationSeparator/>
      </w:r>
    </w:p>
  </w:footnote>
  <w:footnote w:type="continuationNotice" w:id="1">
    <w:p w14:paraId="6601FCA8" w14:textId="77777777" w:rsidR="00DD0279" w:rsidRDefault="00DD0279">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8C69E11" w14:textId="77777777" w:rsidR="00093922" w:rsidRPr="00FC64D4" w:rsidRDefault="00093922" w:rsidP="00093922">
      <w:pPr>
        <w:pStyle w:val="Textonotapie"/>
        <w:rPr>
          <w:sz w:val="18"/>
        </w:rPr>
      </w:pPr>
      <w:r w:rsidRPr="00FC64D4">
        <w:rPr>
          <w:rStyle w:val="Refdenotaalpie"/>
          <w:sz w:val="18"/>
        </w:rPr>
        <w:footnoteRef/>
      </w:r>
      <w:r w:rsidRPr="00FC64D4">
        <w:rPr>
          <w:sz w:val="18"/>
        </w:rPr>
        <w:t xml:space="preserve"> Tesis VI.2o. J/43</w:t>
      </w:r>
      <w:r>
        <w:rPr>
          <w:sz w:val="18"/>
        </w:rPr>
        <w:t xml:space="preserve">, </w:t>
      </w:r>
      <w:r>
        <w:rPr>
          <w:i/>
          <w:sz w:val="18"/>
        </w:rPr>
        <w:t>Semanario Judicial de la Federación y su Gaceta</w:t>
      </w:r>
      <w:r>
        <w:rPr>
          <w:sz w:val="18"/>
        </w:rPr>
        <w:t>, Novena Época, Tomo III, marzo de 1996, pág. 769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3E81CAE" w:rsidR="00BC1A3A" w:rsidRPr="00096248" w:rsidRDefault="00FA35CE" w:rsidP="00011C4D">
          <w:pPr>
            <w:spacing w:after="120" w:line="240" w:lineRule="auto"/>
            <w:ind w:right="71"/>
            <w:jc w:val="right"/>
            <w:rPr>
              <w:rFonts w:cs="Arial"/>
              <w:b/>
              <w:szCs w:val="24"/>
            </w:rPr>
          </w:pPr>
          <w:r>
            <w:rPr>
              <w:rFonts w:cs="Arial"/>
              <w:b/>
              <w:bCs/>
              <w:szCs w:val="24"/>
            </w:rPr>
            <w:t>14200/INFOEM/IP/RR/2025</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EA347A0" w:rsidR="00BC1A3A" w:rsidRPr="00096248" w:rsidRDefault="00314209" w:rsidP="226BB7D0">
          <w:pPr>
            <w:spacing w:after="120" w:line="240" w:lineRule="auto"/>
            <w:ind w:left="-81" w:right="71"/>
            <w:jc w:val="right"/>
            <w:rPr>
              <w:rFonts w:cs="Arial"/>
              <w:lang w:val="es-ES"/>
            </w:rPr>
          </w:pPr>
          <w:r>
            <w:rPr>
              <w:rFonts w:cs="Arial"/>
              <w:lang w:val="es-ES"/>
            </w:rPr>
            <w:t>Ayuntamiento de Tecámac</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EDB20EC" w:rsidR="00BC1A3A" w:rsidRPr="00C81ECD" w:rsidRDefault="00FA35CE" w:rsidP="00011C4D">
          <w:pPr>
            <w:spacing w:after="120" w:line="240" w:lineRule="auto"/>
            <w:ind w:left="-486" w:right="68" w:firstLine="558"/>
            <w:jc w:val="right"/>
            <w:rPr>
              <w:rFonts w:cs="Arial"/>
              <w:b/>
              <w:szCs w:val="24"/>
            </w:rPr>
          </w:pPr>
          <w:r>
            <w:rPr>
              <w:rFonts w:cs="Arial"/>
              <w:b/>
              <w:bCs/>
              <w:szCs w:val="24"/>
            </w:rPr>
            <w:t>14200/INFOEM/IP/RR/2025</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B8ADB8C" w:rsidR="00BC1A3A" w:rsidRPr="00663A37" w:rsidRDefault="00F91AA5" w:rsidP="70652167">
          <w:pPr>
            <w:spacing w:after="120" w:line="240" w:lineRule="auto"/>
            <w:ind w:right="68"/>
            <w:jc w:val="right"/>
            <w:rPr>
              <w:rFonts w:cs="Arial"/>
              <w:lang w:val="es-ES"/>
            </w:rPr>
          </w:pPr>
          <w:r>
            <w:rPr>
              <w:rFonts w:cs="Arial"/>
              <w:lang w:val="es-ES"/>
            </w:rPr>
            <w:t>XXXXXXXXXXXX</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4BB3649" w:rsidR="00BC1A3A" w:rsidRPr="00663A37" w:rsidRDefault="00314209" w:rsidP="226BB7D0">
          <w:pPr>
            <w:spacing w:after="120" w:line="240" w:lineRule="auto"/>
            <w:ind w:left="-70" w:right="68"/>
            <w:jc w:val="right"/>
            <w:rPr>
              <w:rFonts w:cs="Arial"/>
              <w:lang w:val="es-ES"/>
            </w:rPr>
          </w:pPr>
          <w:r>
            <w:rPr>
              <w:rFonts w:cs="Arial"/>
              <w:lang w:val="es-ES"/>
            </w:rPr>
            <w:t>Ayuntamiento de Tecámac</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9"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44"/>
  </w:num>
  <w:num w:numId="3">
    <w:abstractNumId w:val="17"/>
  </w:num>
  <w:num w:numId="4">
    <w:abstractNumId w:val="56"/>
  </w:num>
  <w:num w:numId="5">
    <w:abstractNumId w:val="7"/>
  </w:num>
  <w:num w:numId="6">
    <w:abstractNumId w:val="47"/>
  </w:num>
  <w:num w:numId="7">
    <w:abstractNumId w:val="14"/>
  </w:num>
  <w:num w:numId="8">
    <w:abstractNumId w:val="4"/>
  </w:num>
  <w:num w:numId="9">
    <w:abstractNumId w:val="25"/>
  </w:num>
  <w:num w:numId="10">
    <w:abstractNumId w:val="26"/>
  </w:num>
  <w:num w:numId="11">
    <w:abstractNumId w:val="62"/>
  </w:num>
  <w:num w:numId="12">
    <w:abstractNumId w:val="54"/>
  </w:num>
  <w:num w:numId="13">
    <w:abstractNumId w:val="36"/>
  </w:num>
  <w:num w:numId="14">
    <w:abstractNumId w:val="43"/>
  </w:num>
  <w:num w:numId="15">
    <w:abstractNumId w:val="22"/>
  </w:num>
  <w:num w:numId="16">
    <w:abstractNumId w:val="35"/>
  </w:num>
  <w:num w:numId="17">
    <w:abstractNumId w:val="20"/>
  </w:num>
  <w:num w:numId="18">
    <w:abstractNumId w:val="9"/>
  </w:num>
  <w:num w:numId="19">
    <w:abstractNumId w:val="10"/>
  </w:num>
  <w:num w:numId="20">
    <w:abstractNumId w:val="18"/>
  </w:num>
  <w:num w:numId="21">
    <w:abstractNumId w:val="30"/>
  </w:num>
  <w:num w:numId="22">
    <w:abstractNumId w:val="3"/>
  </w:num>
  <w:num w:numId="23">
    <w:abstractNumId w:val="41"/>
  </w:num>
  <w:num w:numId="24">
    <w:abstractNumId w:val="46"/>
  </w:num>
  <w:num w:numId="25">
    <w:abstractNumId w:val="55"/>
  </w:num>
  <w:num w:numId="26">
    <w:abstractNumId w:val="24"/>
  </w:num>
  <w:num w:numId="27">
    <w:abstractNumId w:val="51"/>
  </w:num>
  <w:num w:numId="28">
    <w:abstractNumId w:val="33"/>
  </w:num>
  <w:num w:numId="29">
    <w:abstractNumId w:val="28"/>
  </w:num>
  <w:num w:numId="30">
    <w:abstractNumId w:val="21"/>
  </w:num>
  <w:num w:numId="31">
    <w:abstractNumId w:val="42"/>
  </w:num>
  <w:num w:numId="32">
    <w:abstractNumId w:val="45"/>
  </w:num>
  <w:num w:numId="33">
    <w:abstractNumId w:val="8"/>
  </w:num>
  <w:num w:numId="34">
    <w:abstractNumId w:val="59"/>
  </w:num>
  <w:num w:numId="35">
    <w:abstractNumId w:val="65"/>
  </w:num>
  <w:num w:numId="36">
    <w:abstractNumId w:val="53"/>
  </w:num>
  <w:num w:numId="37">
    <w:abstractNumId w:val="11"/>
  </w:num>
  <w:num w:numId="38">
    <w:abstractNumId w:val="52"/>
  </w:num>
  <w:num w:numId="39">
    <w:abstractNumId w:val="12"/>
  </w:num>
  <w:num w:numId="40">
    <w:abstractNumId w:val="50"/>
  </w:num>
  <w:num w:numId="41">
    <w:abstractNumId w:val="58"/>
  </w:num>
  <w:num w:numId="42">
    <w:abstractNumId w:val="0"/>
  </w:num>
  <w:num w:numId="43">
    <w:abstractNumId w:val="2"/>
  </w:num>
  <w:num w:numId="44">
    <w:abstractNumId w:val="34"/>
  </w:num>
  <w:num w:numId="45">
    <w:abstractNumId w:val="23"/>
  </w:num>
  <w:num w:numId="46">
    <w:abstractNumId w:val="60"/>
  </w:num>
  <w:num w:numId="47">
    <w:abstractNumId w:val="32"/>
  </w:num>
  <w:num w:numId="48">
    <w:abstractNumId w:val="66"/>
  </w:num>
  <w:num w:numId="49">
    <w:abstractNumId w:val="13"/>
  </w:num>
  <w:num w:numId="50">
    <w:abstractNumId w:val="27"/>
  </w:num>
  <w:num w:numId="51">
    <w:abstractNumId w:val="1"/>
  </w:num>
  <w:num w:numId="52">
    <w:abstractNumId w:val="63"/>
  </w:num>
  <w:num w:numId="53">
    <w:abstractNumId w:val="57"/>
  </w:num>
  <w:num w:numId="54">
    <w:abstractNumId w:val="6"/>
  </w:num>
  <w:num w:numId="55">
    <w:abstractNumId w:val="39"/>
  </w:num>
  <w:num w:numId="56">
    <w:abstractNumId w:val="16"/>
  </w:num>
  <w:num w:numId="57">
    <w:abstractNumId w:val="19"/>
  </w:num>
  <w:num w:numId="58">
    <w:abstractNumId w:val="38"/>
  </w:num>
  <w:num w:numId="59">
    <w:abstractNumId w:val="29"/>
  </w:num>
  <w:num w:numId="60">
    <w:abstractNumId w:val="61"/>
  </w:num>
  <w:num w:numId="61">
    <w:abstractNumId w:val="37"/>
  </w:num>
  <w:num w:numId="62">
    <w:abstractNumId w:val="64"/>
  </w:num>
  <w:num w:numId="63">
    <w:abstractNumId w:val="49"/>
  </w:num>
  <w:num w:numId="64">
    <w:abstractNumId w:val="5"/>
  </w:num>
  <w:num w:numId="65">
    <w:abstractNumId w:val="15"/>
  </w:num>
  <w:num w:numId="66">
    <w:abstractNumId w:val="31"/>
  </w:num>
  <w:num w:numId="67">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24F0"/>
    <w:rsid w:val="00002C6A"/>
    <w:rsid w:val="00003412"/>
    <w:rsid w:val="000034AA"/>
    <w:rsid w:val="000037B8"/>
    <w:rsid w:val="00003F45"/>
    <w:rsid w:val="00004014"/>
    <w:rsid w:val="00004465"/>
    <w:rsid w:val="00004479"/>
    <w:rsid w:val="00004B62"/>
    <w:rsid w:val="00004B7D"/>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A6D"/>
    <w:rsid w:val="00025560"/>
    <w:rsid w:val="00025773"/>
    <w:rsid w:val="00026582"/>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75B"/>
    <w:rsid w:val="000429D8"/>
    <w:rsid w:val="00042C8A"/>
    <w:rsid w:val="00042C95"/>
    <w:rsid w:val="00043780"/>
    <w:rsid w:val="00043DF8"/>
    <w:rsid w:val="00043E37"/>
    <w:rsid w:val="000452AA"/>
    <w:rsid w:val="00045F86"/>
    <w:rsid w:val="00046717"/>
    <w:rsid w:val="0004675D"/>
    <w:rsid w:val="00046A15"/>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09"/>
    <w:rsid w:val="000640DA"/>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3E5D"/>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9CE"/>
    <w:rsid w:val="00114B1E"/>
    <w:rsid w:val="00114F1E"/>
    <w:rsid w:val="00115495"/>
    <w:rsid w:val="00116B11"/>
    <w:rsid w:val="00116E4B"/>
    <w:rsid w:val="00116F6B"/>
    <w:rsid w:val="001171FF"/>
    <w:rsid w:val="00121552"/>
    <w:rsid w:val="00121842"/>
    <w:rsid w:val="00121B19"/>
    <w:rsid w:val="00121F46"/>
    <w:rsid w:val="001235A0"/>
    <w:rsid w:val="00123D0B"/>
    <w:rsid w:val="00124B26"/>
    <w:rsid w:val="0012508E"/>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1D85"/>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D1D"/>
    <w:rsid w:val="00186F53"/>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2FC4"/>
    <w:rsid w:val="001D32FC"/>
    <w:rsid w:val="001D3563"/>
    <w:rsid w:val="001D3687"/>
    <w:rsid w:val="001D3EE2"/>
    <w:rsid w:val="001D41E0"/>
    <w:rsid w:val="001D4382"/>
    <w:rsid w:val="001D4CB2"/>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ABD"/>
    <w:rsid w:val="0020257F"/>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5FFB"/>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367"/>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3EE9"/>
    <w:rsid w:val="002E40AD"/>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209"/>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6E96"/>
    <w:rsid w:val="003275F8"/>
    <w:rsid w:val="00327F95"/>
    <w:rsid w:val="003304AC"/>
    <w:rsid w:val="00330546"/>
    <w:rsid w:val="0033070B"/>
    <w:rsid w:val="00330748"/>
    <w:rsid w:val="00330C73"/>
    <w:rsid w:val="00331513"/>
    <w:rsid w:val="00331ECA"/>
    <w:rsid w:val="0033204C"/>
    <w:rsid w:val="003337B6"/>
    <w:rsid w:val="0033491A"/>
    <w:rsid w:val="00334F21"/>
    <w:rsid w:val="00335A61"/>
    <w:rsid w:val="0033687B"/>
    <w:rsid w:val="00337088"/>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1791"/>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A7EE4"/>
    <w:rsid w:val="003B006E"/>
    <w:rsid w:val="003B02EE"/>
    <w:rsid w:val="003B0DD6"/>
    <w:rsid w:val="003B10FB"/>
    <w:rsid w:val="003B1154"/>
    <w:rsid w:val="003B1752"/>
    <w:rsid w:val="003B1769"/>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6C3"/>
    <w:rsid w:val="003C744C"/>
    <w:rsid w:val="003D0AE2"/>
    <w:rsid w:val="003D17AF"/>
    <w:rsid w:val="003D2681"/>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716E"/>
    <w:rsid w:val="003F7354"/>
    <w:rsid w:val="003F7DBF"/>
    <w:rsid w:val="003F7E2F"/>
    <w:rsid w:val="00400374"/>
    <w:rsid w:val="00400915"/>
    <w:rsid w:val="0040187C"/>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619"/>
    <w:rsid w:val="00420AC4"/>
    <w:rsid w:val="00421B87"/>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18D"/>
    <w:rsid w:val="004325EA"/>
    <w:rsid w:val="004338C7"/>
    <w:rsid w:val="00433E65"/>
    <w:rsid w:val="00434171"/>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CC4"/>
    <w:rsid w:val="00447748"/>
    <w:rsid w:val="00447A90"/>
    <w:rsid w:val="00450D3E"/>
    <w:rsid w:val="00451C0A"/>
    <w:rsid w:val="00451E46"/>
    <w:rsid w:val="00453078"/>
    <w:rsid w:val="004533BE"/>
    <w:rsid w:val="0045354B"/>
    <w:rsid w:val="00453687"/>
    <w:rsid w:val="004536F3"/>
    <w:rsid w:val="00453BC4"/>
    <w:rsid w:val="00454915"/>
    <w:rsid w:val="00455885"/>
    <w:rsid w:val="004558BD"/>
    <w:rsid w:val="00455AD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1EC0"/>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D7A"/>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C52"/>
    <w:rsid w:val="004B7FD7"/>
    <w:rsid w:val="004C0469"/>
    <w:rsid w:val="004C0799"/>
    <w:rsid w:val="004C09C8"/>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1B83"/>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065"/>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6D9"/>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10B"/>
    <w:rsid w:val="005742BF"/>
    <w:rsid w:val="00574506"/>
    <w:rsid w:val="00574D31"/>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3D6"/>
    <w:rsid w:val="00587662"/>
    <w:rsid w:val="00587B1E"/>
    <w:rsid w:val="00587E84"/>
    <w:rsid w:val="005910E7"/>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0F44"/>
    <w:rsid w:val="005C16D1"/>
    <w:rsid w:val="005C196C"/>
    <w:rsid w:val="005C27C8"/>
    <w:rsid w:val="005C2DFB"/>
    <w:rsid w:val="005C32BE"/>
    <w:rsid w:val="005C3756"/>
    <w:rsid w:val="005C3DF3"/>
    <w:rsid w:val="005C3F10"/>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6C41"/>
    <w:rsid w:val="00667860"/>
    <w:rsid w:val="0067157E"/>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80659"/>
    <w:rsid w:val="00680D15"/>
    <w:rsid w:val="0068141C"/>
    <w:rsid w:val="00681544"/>
    <w:rsid w:val="006818D9"/>
    <w:rsid w:val="00681CF4"/>
    <w:rsid w:val="00682B9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85"/>
    <w:rsid w:val="006F1A99"/>
    <w:rsid w:val="006F1D3D"/>
    <w:rsid w:val="006F22DE"/>
    <w:rsid w:val="006F3394"/>
    <w:rsid w:val="006F375E"/>
    <w:rsid w:val="006F3EFF"/>
    <w:rsid w:val="006F428B"/>
    <w:rsid w:val="006F48A5"/>
    <w:rsid w:val="006F4C9E"/>
    <w:rsid w:val="006F52DF"/>
    <w:rsid w:val="006F6768"/>
    <w:rsid w:val="006F676C"/>
    <w:rsid w:val="006F6AB6"/>
    <w:rsid w:val="006F6B1E"/>
    <w:rsid w:val="0070042A"/>
    <w:rsid w:val="00700C90"/>
    <w:rsid w:val="00701C12"/>
    <w:rsid w:val="00701F34"/>
    <w:rsid w:val="007031A2"/>
    <w:rsid w:val="00703489"/>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547"/>
    <w:rsid w:val="007826F1"/>
    <w:rsid w:val="00782890"/>
    <w:rsid w:val="007833CB"/>
    <w:rsid w:val="00783618"/>
    <w:rsid w:val="00783B56"/>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556"/>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00"/>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8B8"/>
    <w:rsid w:val="00861D35"/>
    <w:rsid w:val="008623CC"/>
    <w:rsid w:val="00863328"/>
    <w:rsid w:val="008635E0"/>
    <w:rsid w:val="008637D5"/>
    <w:rsid w:val="00863820"/>
    <w:rsid w:val="0086401C"/>
    <w:rsid w:val="00864348"/>
    <w:rsid w:val="0086448F"/>
    <w:rsid w:val="00864554"/>
    <w:rsid w:val="008647F5"/>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2FCB"/>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E79F7"/>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1340"/>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2140"/>
    <w:rsid w:val="009249F3"/>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765"/>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DD0"/>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5BD5"/>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179B"/>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558B"/>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4CB"/>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6D"/>
    <w:rsid w:val="009E00E7"/>
    <w:rsid w:val="009E0874"/>
    <w:rsid w:val="009E0BE8"/>
    <w:rsid w:val="009E172F"/>
    <w:rsid w:val="009E19CB"/>
    <w:rsid w:val="009E1A2C"/>
    <w:rsid w:val="009E1C0E"/>
    <w:rsid w:val="009E1D3C"/>
    <w:rsid w:val="009E2429"/>
    <w:rsid w:val="009E2610"/>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18"/>
    <w:rsid w:val="00A027DE"/>
    <w:rsid w:val="00A031FC"/>
    <w:rsid w:val="00A04222"/>
    <w:rsid w:val="00A046BB"/>
    <w:rsid w:val="00A04C7E"/>
    <w:rsid w:val="00A0565F"/>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524B"/>
    <w:rsid w:val="00A45454"/>
    <w:rsid w:val="00A4637B"/>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6711"/>
    <w:rsid w:val="00A60841"/>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714E"/>
    <w:rsid w:val="00AD76EF"/>
    <w:rsid w:val="00AD7EF5"/>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115C"/>
    <w:rsid w:val="00AF218F"/>
    <w:rsid w:val="00AF2A87"/>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10224"/>
    <w:rsid w:val="00B1073D"/>
    <w:rsid w:val="00B11262"/>
    <w:rsid w:val="00B1129B"/>
    <w:rsid w:val="00B11CD7"/>
    <w:rsid w:val="00B11FAE"/>
    <w:rsid w:val="00B1205D"/>
    <w:rsid w:val="00B1258A"/>
    <w:rsid w:val="00B128F0"/>
    <w:rsid w:val="00B13307"/>
    <w:rsid w:val="00B1367C"/>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F5"/>
    <w:rsid w:val="00B25329"/>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C64"/>
    <w:rsid w:val="00B87E47"/>
    <w:rsid w:val="00B905EB"/>
    <w:rsid w:val="00B90AE3"/>
    <w:rsid w:val="00B90C40"/>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152C"/>
    <w:rsid w:val="00BA1C04"/>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5945"/>
    <w:rsid w:val="00BF5C55"/>
    <w:rsid w:val="00BF5D6D"/>
    <w:rsid w:val="00BF5FB6"/>
    <w:rsid w:val="00BF5FDD"/>
    <w:rsid w:val="00BF6362"/>
    <w:rsid w:val="00BF7293"/>
    <w:rsid w:val="00BF7B4F"/>
    <w:rsid w:val="00BF7FCE"/>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504"/>
    <w:rsid w:val="00C10601"/>
    <w:rsid w:val="00C11E89"/>
    <w:rsid w:val="00C125DC"/>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43D"/>
    <w:rsid w:val="00C235D5"/>
    <w:rsid w:val="00C238FB"/>
    <w:rsid w:val="00C23BF7"/>
    <w:rsid w:val="00C240FA"/>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42D"/>
    <w:rsid w:val="00C510A7"/>
    <w:rsid w:val="00C518EC"/>
    <w:rsid w:val="00C51D6A"/>
    <w:rsid w:val="00C52AC3"/>
    <w:rsid w:val="00C52FE5"/>
    <w:rsid w:val="00C532A4"/>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C4F"/>
    <w:rsid w:val="00C76946"/>
    <w:rsid w:val="00C76CD4"/>
    <w:rsid w:val="00C77686"/>
    <w:rsid w:val="00C779BD"/>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1D39"/>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EA8"/>
    <w:rsid w:val="00CC7706"/>
    <w:rsid w:val="00CD0915"/>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15E"/>
    <w:rsid w:val="00D4521D"/>
    <w:rsid w:val="00D4555F"/>
    <w:rsid w:val="00D45819"/>
    <w:rsid w:val="00D46397"/>
    <w:rsid w:val="00D464F2"/>
    <w:rsid w:val="00D50CCE"/>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B6C"/>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5F78"/>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888"/>
    <w:rsid w:val="00D979CF"/>
    <w:rsid w:val="00D97DD9"/>
    <w:rsid w:val="00DA04CA"/>
    <w:rsid w:val="00DA0B8F"/>
    <w:rsid w:val="00DA17F7"/>
    <w:rsid w:val="00DA1A7B"/>
    <w:rsid w:val="00DA1DC6"/>
    <w:rsid w:val="00DA1F2A"/>
    <w:rsid w:val="00DA1FA8"/>
    <w:rsid w:val="00DA28B5"/>
    <w:rsid w:val="00DA3BBA"/>
    <w:rsid w:val="00DA4093"/>
    <w:rsid w:val="00DA430B"/>
    <w:rsid w:val="00DA432C"/>
    <w:rsid w:val="00DA4677"/>
    <w:rsid w:val="00DA5392"/>
    <w:rsid w:val="00DB0034"/>
    <w:rsid w:val="00DB0677"/>
    <w:rsid w:val="00DB08A2"/>
    <w:rsid w:val="00DB0D6D"/>
    <w:rsid w:val="00DB1035"/>
    <w:rsid w:val="00DB1F84"/>
    <w:rsid w:val="00DB2950"/>
    <w:rsid w:val="00DB2F12"/>
    <w:rsid w:val="00DB447B"/>
    <w:rsid w:val="00DB44A1"/>
    <w:rsid w:val="00DB5CD7"/>
    <w:rsid w:val="00DB6647"/>
    <w:rsid w:val="00DC0C9F"/>
    <w:rsid w:val="00DC1727"/>
    <w:rsid w:val="00DC1843"/>
    <w:rsid w:val="00DC30E4"/>
    <w:rsid w:val="00DC3306"/>
    <w:rsid w:val="00DC33BA"/>
    <w:rsid w:val="00DC4064"/>
    <w:rsid w:val="00DC4957"/>
    <w:rsid w:val="00DC4959"/>
    <w:rsid w:val="00DC4AE2"/>
    <w:rsid w:val="00DC63B3"/>
    <w:rsid w:val="00DC6B6C"/>
    <w:rsid w:val="00DC772E"/>
    <w:rsid w:val="00DD0279"/>
    <w:rsid w:val="00DD2336"/>
    <w:rsid w:val="00DD2877"/>
    <w:rsid w:val="00DD29DC"/>
    <w:rsid w:val="00DD2EDE"/>
    <w:rsid w:val="00DD3144"/>
    <w:rsid w:val="00DD3886"/>
    <w:rsid w:val="00DD38A3"/>
    <w:rsid w:val="00DD406B"/>
    <w:rsid w:val="00DD67AC"/>
    <w:rsid w:val="00DD7FD2"/>
    <w:rsid w:val="00DE0E0F"/>
    <w:rsid w:val="00DE0F3E"/>
    <w:rsid w:val="00DE1DEE"/>
    <w:rsid w:val="00DE1EAC"/>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21C"/>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619E"/>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4E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A6E"/>
    <w:rsid w:val="00EA1F76"/>
    <w:rsid w:val="00EA44FE"/>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B9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A0B"/>
    <w:rsid w:val="00F12BF1"/>
    <w:rsid w:val="00F12F06"/>
    <w:rsid w:val="00F12F4D"/>
    <w:rsid w:val="00F12FB0"/>
    <w:rsid w:val="00F13A10"/>
    <w:rsid w:val="00F1523B"/>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2AA"/>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5F4"/>
    <w:rsid w:val="00F82E5F"/>
    <w:rsid w:val="00F832E4"/>
    <w:rsid w:val="00F84205"/>
    <w:rsid w:val="00F84294"/>
    <w:rsid w:val="00F86C5F"/>
    <w:rsid w:val="00F86D62"/>
    <w:rsid w:val="00F86F41"/>
    <w:rsid w:val="00F874BB"/>
    <w:rsid w:val="00F90DA5"/>
    <w:rsid w:val="00F9118F"/>
    <w:rsid w:val="00F914C6"/>
    <w:rsid w:val="00F91AA5"/>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5CE"/>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0BB8"/>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3C5351"/>
    <w:pPr>
      <w:numPr>
        <w:numId w:val="65"/>
      </w:numPr>
    </w:pPr>
  </w:style>
  <w:style w:type="numbering" w:customStyle="1" w:styleId="Listaactual48">
    <w:name w:val="Lista actual48"/>
    <w:uiPriority w:val="99"/>
    <w:rsid w:val="00E944DD"/>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5D7FE-1BD5-4F0C-A401-69F69F3B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30</Pages>
  <Words>7366</Words>
  <Characters>40519</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132</cp:revision>
  <cp:lastPrinted>2026-05-14T19:13:00Z</cp:lastPrinted>
  <dcterms:created xsi:type="dcterms:W3CDTF">2026-04-22T22:57:00Z</dcterms:created>
  <dcterms:modified xsi:type="dcterms:W3CDTF">2026-05-19T17:26:00Z</dcterms:modified>
</cp:coreProperties>
</file>