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E7413A" w:rsidRDefault="00DF6EAE" w:rsidP="00E7413A">
      <w:pPr>
        <w:spacing w:line="360" w:lineRule="auto"/>
        <w:jc w:val="both"/>
        <w:rPr>
          <w:rFonts w:ascii="Palatino Linotype" w:eastAsia="Palatino Linotype" w:hAnsi="Palatino Linotype" w:cs="Palatino Linotype"/>
          <w:color w:val="000000" w:themeColor="text1"/>
        </w:rPr>
      </w:pPr>
      <w:bookmarkStart w:id="0" w:name="_GoBack"/>
      <w:bookmarkEnd w:id="0"/>
      <w:r w:rsidRPr="00E7413A">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E7413A">
        <w:rPr>
          <w:rFonts w:ascii="Palatino Linotype" w:eastAsia="Palatino Linotype" w:hAnsi="Palatino Linotype" w:cs="Palatino Linotype"/>
          <w:color w:val="000000" w:themeColor="text1"/>
        </w:rPr>
        <w:t xml:space="preserve">do de México; </w:t>
      </w:r>
      <w:r w:rsidR="00E7413A">
        <w:rPr>
          <w:rFonts w:ascii="Palatino Linotype" w:eastAsia="Palatino Linotype" w:hAnsi="Palatino Linotype" w:cs="Palatino Linotype"/>
          <w:b/>
          <w:color w:val="000000" w:themeColor="text1"/>
        </w:rPr>
        <w:t xml:space="preserve">de fecha catorce (14) </w:t>
      </w:r>
      <w:r w:rsidR="00E7413A" w:rsidRPr="00157555">
        <w:rPr>
          <w:rFonts w:ascii="Palatino Linotype" w:eastAsia="Palatino Linotype" w:hAnsi="Palatino Linotype" w:cs="Palatino Linotype"/>
          <w:b/>
          <w:color w:val="000000" w:themeColor="text1"/>
        </w:rPr>
        <w:t xml:space="preserve">de </w:t>
      </w:r>
      <w:r w:rsidR="00E7413A">
        <w:rPr>
          <w:rFonts w:ascii="Palatino Linotype" w:eastAsia="Palatino Linotype" w:hAnsi="Palatino Linotype" w:cs="Palatino Linotype"/>
          <w:b/>
          <w:color w:val="000000" w:themeColor="text1"/>
        </w:rPr>
        <w:t xml:space="preserve">enero </w:t>
      </w:r>
      <w:r w:rsidR="00E7413A" w:rsidRPr="00157555">
        <w:rPr>
          <w:rFonts w:ascii="Palatino Linotype" w:eastAsia="Palatino Linotype" w:hAnsi="Palatino Linotype" w:cs="Palatino Linotype"/>
          <w:b/>
          <w:color w:val="000000" w:themeColor="text1"/>
        </w:rPr>
        <w:t xml:space="preserve">de dos mil </w:t>
      </w:r>
      <w:r w:rsidR="00E7413A">
        <w:rPr>
          <w:rFonts w:ascii="Palatino Linotype" w:eastAsia="Palatino Linotype" w:hAnsi="Palatino Linotype" w:cs="Palatino Linotype"/>
          <w:b/>
          <w:color w:val="000000" w:themeColor="text1"/>
        </w:rPr>
        <w:t>veintiséis</w:t>
      </w:r>
      <w:r w:rsidRPr="00E7413A">
        <w:rPr>
          <w:rFonts w:ascii="Palatino Linotype" w:eastAsia="Palatino Linotype" w:hAnsi="Palatino Linotype" w:cs="Palatino Linotype"/>
          <w:color w:val="000000" w:themeColor="text1"/>
        </w:rPr>
        <w:t>.</w:t>
      </w: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DF6EAE" w:rsidP="00E7413A">
      <w:pPr>
        <w:spacing w:line="360" w:lineRule="auto"/>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b/>
          <w:color w:val="000000" w:themeColor="text1"/>
        </w:rPr>
        <w:t>VISTO</w:t>
      </w:r>
      <w:r w:rsidRPr="00E7413A">
        <w:rPr>
          <w:rFonts w:ascii="Palatino Linotype" w:eastAsia="Palatino Linotype" w:hAnsi="Palatino Linotype" w:cs="Palatino Linotype"/>
          <w:color w:val="000000" w:themeColor="text1"/>
        </w:rPr>
        <w:t xml:space="preserve"> el expediente elec</w:t>
      </w:r>
      <w:r w:rsidR="00A73D35" w:rsidRPr="00E7413A">
        <w:rPr>
          <w:rFonts w:ascii="Palatino Linotype" w:eastAsia="Palatino Linotype" w:hAnsi="Palatino Linotype" w:cs="Palatino Linotype"/>
          <w:color w:val="000000" w:themeColor="text1"/>
        </w:rPr>
        <w:t>trónico formado con motivo del Recurso de R</w:t>
      </w:r>
      <w:r w:rsidRPr="00E7413A">
        <w:rPr>
          <w:rFonts w:ascii="Palatino Linotype" w:eastAsia="Palatino Linotype" w:hAnsi="Palatino Linotype" w:cs="Palatino Linotype"/>
          <w:color w:val="000000" w:themeColor="text1"/>
        </w:rPr>
        <w:t xml:space="preserve">evisión </w:t>
      </w:r>
      <w:r w:rsidR="00D67FFA" w:rsidRPr="00E7413A">
        <w:rPr>
          <w:rFonts w:ascii="Palatino Linotype" w:eastAsia="Palatino Linotype" w:hAnsi="Palatino Linotype" w:cs="Palatino Linotype"/>
          <w:b/>
          <w:color w:val="000000" w:themeColor="text1"/>
        </w:rPr>
        <w:t>05808/INFOEM/IP/RR/2025</w:t>
      </w:r>
      <w:r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promovido por</w:t>
      </w:r>
      <w:r w:rsidR="001660E4" w:rsidRPr="00E7413A">
        <w:rPr>
          <w:rFonts w:ascii="Palatino Linotype" w:eastAsia="Palatino Linotype" w:hAnsi="Palatino Linotype" w:cs="Palatino Linotype"/>
          <w:b/>
          <w:color w:val="000000" w:themeColor="text1"/>
        </w:rPr>
        <w:t xml:space="preserve"> </w:t>
      </w:r>
      <w:r w:rsidR="002527DC" w:rsidRPr="00E7413A">
        <w:rPr>
          <w:rFonts w:ascii="Palatino Linotype" w:eastAsia="Palatino Linotype" w:hAnsi="Palatino Linotype" w:cs="Palatino Linotype"/>
          <w:b/>
          <w:color w:val="000000" w:themeColor="text1"/>
        </w:rPr>
        <w:t>una persona que no proporciono datos de identificación</w:t>
      </w:r>
      <w:r w:rsidRPr="00E7413A">
        <w:rPr>
          <w:rFonts w:ascii="Palatino Linotype" w:eastAsia="Palatino Linotype" w:hAnsi="Palatino Linotype" w:cs="Palatino Linotype"/>
          <w:color w:val="000000" w:themeColor="text1"/>
        </w:rPr>
        <w:t xml:space="preserve">, a quien en lo sucesivo se le identificará como </w:t>
      </w:r>
      <w:r w:rsidR="00A73D35" w:rsidRPr="00E7413A">
        <w:rPr>
          <w:rFonts w:ascii="Palatino Linotype" w:eastAsia="Palatino Linotype" w:hAnsi="Palatino Linotype" w:cs="Palatino Linotype"/>
          <w:b/>
          <w:color w:val="000000" w:themeColor="text1"/>
        </w:rPr>
        <w:t>EL</w:t>
      </w:r>
      <w:r w:rsidR="00BB66B2" w:rsidRPr="00E7413A">
        <w:rPr>
          <w:rFonts w:ascii="Palatino Linotype" w:eastAsia="Palatino Linotype" w:hAnsi="Palatino Linotype" w:cs="Palatino Linotype"/>
          <w:b/>
          <w:color w:val="000000" w:themeColor="text1"/>
        </w:rPr>
        <w:t xml:space="preserve"> RECURRENTE</w:t>
      </w:r>
      <w:r w:rsidRPr="00E7413A">
        <w:rPr>
          <w:rFonts w:ascii="Palatino Linotype" w:eastAsia="Palatino Linotype" w:hAnsi="Palatino Linotype" w:cs="Palatino Linotype"/>
          <w:color w:val="000000" w:themeColor="text1"/>
        </w:rPr>
        <w:t xml:space="preserve">, en contra de la respuesta del </w:t>
      </w:r>
      <w:r w:rsidR="00470C00" w:rsidRPr="00E7413A">
        <w:rPr>
          <w:rFonts w:ascii="Palatino Linotype" w:eastAsia="Palatino Linotype" w:hAnsi="Palatino Linotype" w:cs="Palatino Linotype"/>
          <w:b/>
          <w:color w:val="000000" w:themeColor="text1"/>
        </w:rPr>
        <w:t>Secretaría de Desarrollo Económico</w:t>
      </w:r>
      <w:r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en adelante el</w:t>
      </w:r>
      <w:r w:rsidRPr="00E7413A">
        <w:rPr>
          <w:rFonts w:ascii="Palatino Linotype" w:eastAsia="Palatino Linotype" w:hAnsi="Palatino Linotype" w:cs="Palatino Linotype"/>
          <w:b/>
          <w:color w:val="000000" w:themeColor="text1"/>
        </w:rPr>
        <w:t xml:space="preserve"> SUJETO OBLIGADO</w:t>
      </w:r>
      <w:r w:rsidRPr="00E7413A">
        <w:rPr>
          <w:rFonts w:ascii="Palatino Linotype" w:eastAsia="Palatino Linotype" w:hAnsi="Palatino Linotype" w:cs="Palatino Linotype"/>
          <w:color w:val="000000" w:themeColor="text1"/>
        </w:rPr>
        <w:t xml:space="preserve">, se procede a dictar la presente </w:t>
      </w:r>
      <w:r w:rsidR="00A73D35" w:rsidRPr="00E7413A">
        <w:rPr>
          <w:rFonts w:ascii="Palatino Linotype" w:eastAsia="Palatino Linotype" w:hAnsi="Palatino Linotype" w:cs="Palatino Linotype"/>
          <w:color w:val="000000" w:themeColor="text1"/>
        </w:rPr>
        <w:t>R</w:t>
      </w:r>
      <w:r w:rsidRPr="00E7413A">
        <w:rPr>
          <w:rFonts w:ascii="Palatino Linotype" w:eastAsia="Palatino Linotype" w:hAnsi="Palatino Linotype" w:cs="Palatino Linotype"/>
          <w:color w:val="000000" w:themeColor="text1"/>
        </w:rPr>
        <w:t>esolución, con base en los siguientes:</w:t>
      </w:r>
    </w:p>
    <w:p w:rsidR="00E31311" w:rsidRPr="00E7413A" w:rsidRDefault="00E31311" w:rsidP="00E7413A">
      <w:pPr>
        <w:spacing w:line="360" w:lineRule="auto"/>
        <w:jc w:val="both"/>
        <w:rPr>
          <w:rFonts w:ascii="Palatino Linotype" w:eastAsia="Palatino Linotype" w:hAnsi="Palatino Linotype" w:cs="Palatino Linotype"/>
          <w:b/>
          <w:color w:val="000000" w:themeColor="text1"/>
        </w:rPr>
      </w:pPr>
    </w:p>
    <w:p w:rsidR="00E31311" w:rsidRPr="00E7413A" w:rsidRDefault="00DF6EAE" w:rsidP="00E7413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E7413A">
        <w:rPr>
          <w:rFonts w:ascii="Palatino Linotype" w:eastAsia="Palatino Linotype" w:hAnsi="Palatino Linotype" w:cs="Palatino Linotype"/>
          <w:b/>
          <w:color w:val="000000" w:themeColor="text1"/>
          <w:sz w:val="24"/>
          <w:szCs w:val="24"/>
        </w:rPr>
        <w:t>A N T E C E D E N T E S</w:t>
      </w:r>
    </w:p>
    <w:p w:rsidR="00E31311" w:rsidRPr="00E7413A" w:rsidRDefault="00E31311" w:rsidP="00E7413A">
      <w:pPr>
        <w:spacing w:line="360" w:lineRule="auto"/>
        <w:rPr>
          <w:rFonts w:ascii="Palatino Linotype" w:hAnsi="Palatino Linotype"/>
          <w:color w:val="000000" w:themeColor="text1"/>
        </w:rPr>
      </w:pPr>
    </w:p>
    <w:p w:rsidR="00E31311" w:rsidRPr="00E7413A" w:rsidRDefault="00DF6EAE" w:rsidP="00E7413A">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7413A">
        <w:rPr>
          <w:rFonts w:ascii="Palatino Linotype" w:eastAsia="Palatino Linotype" w:hAnsi="Palatino Linotype" w:cs="Palatino Linotype"/>
          <w:color w:val="000000" w:themeColor="text1"/>
        </w:rPr>
        <w:t>El día</w:t>
      </w:r>
      <w:r w:rsidR="001660E4" w:rsidRPr="00E7413A">
        <w:rPr>
          <w:rFonts w:ascii="Palatino Linotype" w:eastAsia="Palatino Linotype" w:hAnsi="Palatino Linotype" w:cs="Palatino Linotype"/>
          <w:b/>
          <w:color w:val="000000" w:themeColor="text1"/>
        </w:rPr>
        <w:t xml:space="preserve"> </w:t>
      </w:r>
      <w:r w:rsidR="00470C00" w:rsidRPr="00E7413A">
        <w:rPr>
          <w:rFonts w:ascii="Palatino Linotype" w:eastAsia="Palatino Linotype" w:hAnsi="Palatino Linotype" w:cs="Palatino Linotype"/>
          <w:b/>
          <w:color w:val="000000" w:themeColor="text1"/>
        </w:rPr>
        <w:t>seis de mayo</w:t>
      </w:r>
      <w:r w:rsidR="00A278EC" w:rsidRPr="00E7413A">
        <w:rPr>
          <w:rFonts w:ascii="Palatino Linotype" w:eastAsia="Palatino Linotype" w:hAnsi="Palatino Linotype" w:cs="Palatino Linotype"/>
          <w:b/>
          <w:color w:val="000000" w:themeColor="text1"/>
        </w:rPr>
        <w:t xml:space="preserve"> </w:t>
      </w:r>
      <w:r w:rsidR="00BB66B2" w:rsidRPr="00E7413A">
        <w:rPr>
          <w:rFonts w:ascii="Palatino Linotype" w:eastAsia="Palatino Linotype" w:hAnsi="Palatino Linotype" w:cs="Palatino Linotype"/>
          <w:b/>
          <w:color w:val="000000" w:themeColor="text1"/>
        </w:rPr>
        <w:t>dos mil veinticinco</w:t>
      </w:r>
      <w:r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 xml:space="preserve">se presentó ante el </w:t>
      </w:r>
      <w:r w:rsidRPr="00E7413A">
        <w:rPr>
          <w:rFonts w:ascii="Palatino Linotype" w:eastAsia="Palatino Linotype" w:hAnsi="Palatino Linotype" w:cs="Palatino Linotype"/>
          <w:b/>
          <w:color w:val="000000" w:themeColor="text1"/>
        </w:rPr>
        <w:t>SUJETO OBLIGADO</w:t>
      </w:r>
      <w:r w:rsidR="00A87FF1" w:rsidRPr="00E7413A">
        <w:rPr>
          <w:rFonts w:ascii="Palatino Linotype" w:eastAsia="Palatino Linotype" w:hAnsi="Palatino Linotype" w:cs="Palatino Linotype"/>
          <w:color w:val="000000" w:themeColor="text1"/>
        </w:rPr>
        <w:t xml:space="preserve"> vía</w:t>
      </w:r>
      <w:r w:rsidR="005706CE" w:rsidRPr="00E7413A">
        <w:rPr>
          <w:rFonts w:ascii="Palatino Linotype" w:eastAsia="Palatino Linotype" w:hAnsi="Palatino Linotype" w:cs="Palatino Linotype"/>
          <w:color w:val="000000" w:themeColor="text1"/>
        </w:rPr>
        <w:t xml:space="preserve"> </w:t>
      </w:r>
      <w:r w:rsidR="00A87FF1" w:rsidRPr="00E7413A">
        <w:rPr>
          <w:rFonts w:ascii="Palatino Linotype" w:eastAsia="Palatino Linotype" w:hAnsi="Palatino Linotype" w:cs="Palatino Linotype"/>
          <w:color w:val="000000" w:themeColor="text1"/>
        </w:rPr>
        <w:t>Sistema de Acceso a la Información Mexiquense</w:t>
      </w:r>
      <w:r w:rsidR="005706CE" w:rsidRPr="00E7413A">
        <w:rPr>
          <w:rFonts w:ascii="Palatino Linotype" w:eastAsia="Palatino Linotype" w:hAnsi="Palatino Linotype" w:cs="Palatino Linotype"/>
          <w:color w:val="000000" w:themeColor="text1"/>
        </w:rPr>
        <w:t xml:space="preserve"> (SAIMEX)</w:t>
      </w:r>
      <w:r w:rsidRPr="00E7413A">
        <w:rPr>
          <w:rFonts w:ascii="Palatino Linotype" w:eastAsia="Palatino Linotype" w:hAnsi="Palatino Linotype" w:cs="Palatino Linotype"/>
          <w:color w:val="000000" w:themeColor="text1"/>
        </w:rPr>
        <w:t xml:space="preserve">, la </w:t>
      </w:r>
      <w:r w:rsidR="00F826C3" w:rsidRPr="00E7413A">
        <w:rPr>
          <w:rFonts w:ascii="Palatino Linotype" w:eastAsia="Palatino Linotype" w:hAnsi="Palatino Linotype" w:cs="Palatino Linotype"/>
          <w:color w:val="000000" w:themeColor="text1"/>
        </w:rPr>
        <w:t>S</w:t>
      </w:r>
      <w:r w:rsidRPr="00E7413A">
        <w:rPr>
          <w:rFonts w:ascii="Palatino Linotype" w:eastAsia="Palatino Linotype" w:hAnsi="Palatino Linotype" w:cs="Palatino Linotype"/>
          <w:color w:val="000000" w:themeColor="text1"/>
        </w:rPr>
        <w:t xml:space="preserve">olicitud de </w:t>
      </w:r>
      <w:r w:rsidR="00F826C3" w:rsidRPr="00E7413A">
        <w:rPr>
          <w:rFonts w:ascii="Palatino Linotype" w:eastAsia="Palatino Linotype" w:hAnsi="Palatino Linotype" w:cs="Palatino Linotype"/>
          <w:color w:val="000000" w:themeColor="text1"/>
        </w:rPr>
        <w:t>I</w:t>
      </w:r>
      <w:r w:rsidRPr="00E7413A">
        <w:rPr>
          <w:rFonts w:ascii="Palatino Linotype" w:eastAsia="Palatino Linotype" w:hAnsi="Palatino Linotype" w:cs="Palatino Linotype"/>
          <w:color w:val="000000" w:themeColor="text1"/>
        </w:rPr>
        <w:t xml:space="preserve">nformación </w:t>
      </w:r>
      <w:r w:rsidR="00F826C3" w:rsidRPr="00E7413A">
        <w:rPr>
          <w:rFonts w:ascii="Palatino Linotype" w:eastAsia="Palatino Linotype" w:hAnsi="Palatino Linotype" w:cs="Palatino Linotype"/>
          <w:color w:val="000000" w:themeColor="text1"/>
        </w:rPr>
        <w:t>P</w:t>
      </w:r>
      <w:r w:rsidRPr="00E7413A">
        <w:rPr>
          <w:rFonts w:ascii="Palatino Linotype" w:eastAsia="Palatino Linotype" w:hAnsi="Palatino Linotype" w:cs="Palatino Linotype"/>
          <w:color w:val="000000" w:themeColor="text1"/>
        </w:rPr>
        <w:t>ública registrada con el número</w:t>
      </w:r>
      <w:r w:rsidRPr="00E7413A">
        <w:rPr>
          <w:rFonts w:ascii="Palatino Linotype" w:eastAsia="Palatino Linotype" w:hAnsi="Palatino Linotype" w:cs="Palatino Linotype"/>
          <w:b/>
          <w:color w:val="000000" w:themeColor="text1"/>
        </w:rPr>
        <w:t xml:space="preserve">  </w:t>
      </w:r>
      <w:r w:rsidR="00D67FFA" w:rsidRPr="00E7413A">
        <w:rPr>
          <w:rFonts w:ascii="Palatino Linotype" w:eastAsia="Palatino Linotype" w:hAnsi="Palatino Linotype" w:cs="Palatino Linotype"/>
          <w:b/>
          <w:color w:val="000000" w:themeColor="text1"/>
        </w:rPr>
        <w:t>00034/SEDECO/IP/2025</w:t>
      </w:r>
      <w:r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en la que se solicitó la siguiente información:</w:t>
      </w:r>
    </w:p>
    <w:p w:rsidR="00E31311" w:rsidRPr="00E7413A" w:rsidRDefault="00E31311" w:rsidP="00E7413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E7413A" w:rsidRDefault="00A87FF1"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w:t>
      </w:r>
      <w:r w:rsidR="00470C00" w:rsidRPr="00E7413A">
        <w:rPr>
          <w:rFonts w:ascii="Palatino Linotype" w:eastAsia="Palatino Linotype" w:hAnsi="Palatino Linotype" w:cs="Palatino Linotype"/>
          <w:i/>
          <w:color w:val="000000" w:themeColor="text1"/>
        </w:rPr>
        <w:t xml:space="preserve">Como me lo dijeron cuando acudí a las oficias, solicito me den copia de lo siguiente: El formato firmado de la relación de servidores publicas propuestos para recibir gratificaciones 2016, 2017, 2018, 2019, 2020, 2021 y 2022, elaborada por el coordinador o coordinadora administrativa de esa dependencia de gobierno Eso lo solicito ya que mi esposo me refiere que no le fue entregada gratificación en esos años, que no iba incluido su nombre en la solicitud, y actualmente en el juzgado familiar me piden comprobar que si se los entregaron, por lo cual al ser una información pública el dinero que le entregan a los trabajadores de gobierno, agradezco su apoyo para mi y mi menor hija. </w:t>
      </w:r>
      <w:r w:rsidR="00470C00" w:rsidRPr="00E7413A">
        <w:rPr>
          <w:rFonts w:ascii="Palatino Linotype" w:eastAsia="Palatino Linotype" w:hAnsi="Palatino Linotype" w:cs="Palatino Linotype"/>
          <w:i/>
          <w:color w:val="000000" w:themeColor="text1"/>
        </w:rPr>
        <w:lastRenderedPageBreak/>
        <w:t>En el caso de que esos listados y oficios tengan datos de personas, solicito la versión publica de los mismos. Se aclara que las gratificaciones señaladas en el párrafo anterior son todas aquellas que se refieran al capítulo 1000, partidas genéricas y específicas (todas las gratificaciones contenidas en ellas) y en específico las gratificaciones contenidas en las partidas: 1320, 1345, 1346, 1347 Según el clasificador por objeto del gasto del Gobierno del Estado de México.</w:t>
      </w:r>
      <w:r w:rsidR="00DF6EAE" w:rsidRPr="00E7413A">
        <w:rPr>
          <w:rFonts w:ascii="Palatino Linotype" w:eastAsia="Palatino Linotype" w:hAnsi="Palatino Linotype" w:cs="Palatino Linotype"/>
          <w:i/>
          <w:color w:val="000000" w:themeColor="text1"/>
        </w:rPr>
        <w:t>”</w:t>
      </w:r>
    </w:p>
    <w:p w:rsidR="00470C00" w:rsidRPr="00E7413A" w:rsidRDefault="00470C00"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E7413A" w:rsidRDefault="00A87FF1" w:rsidP="00E7413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7413A">
        <w:rPr>
          <w:rFonts w:ascii="Palatino Linotype" w:eastAsia="Palatino Linotype" w:hAnsi="Palatino Linotype" w:cs="Palatino Linotype"/>
          <w:color w:val="000000" w:themeColor="text1"/>
        </w:rPr>
        <w:t>Se eligió como modalidad de entrega</w:t>
      </w:r>
      <w:r w:rsidR="00370DEE" w:rsidRPr="00E7413A">
        <w:rPr>
          <w:rFonts w:ascii="Palatino Linotype" w:eastAsia="Palatino Linotype" w:hAnsi="Palatino Linotype" w:cs="Palatino Linotype"/>
          <w:color w:val="000000" w:themeColor="text1"/>
        </w:rPr>
        <w:t>:</w:t>
      </w:r>
      <w:r w:rsidRPr="00E7413A">
        <w:rPr>
          <w:rFonts w:ascii="Palatino Linotype" w:eastAsia="Palatino Linotype" w:hAnsi="Palatino Linotype" w:cs="Palatino Linotype"/>
          <w:color w:val="000000" w:themeColor="text1"/>
        </w:rPr>
        <w:t xml:space="preserve"> </w:t>
      </w:r>
      <w:r w:rsidRPr="00E7413A">
        <w:rPr>
          <w:rFonts w:ascii="Palatino Linotype" w:eastAsia="Palatino Linotype" w:hAnsi="Palatino Linotype" w:cs="Palatino Linotype"/>
          <w:b/>
          <w:color w:val="000000" w:themeColor="text1"/>
        </w:rPr>
        <w:t>SAIMEX</w:t>
      </w:r>
    </w:p>
    <w:p w:rsidR="005D1288" w:rsidRPr="00E7413A" w:rsidRDefault="00411EDF" w:rsidP="00E7413A">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b/>
          <w:i/>
          <w:color w:val="000000" w:themeColor="text1"/>
        </w:rPr>
      </w:pPr>
      <w:r w:rsidRPr="00E7413A">
        <w:rPr>
          <w:rFonts w:ascii="Palatino Linotype" w:hAnsi="Palatino Linotype"/>
          <w:color w:val="000000" w:themeColor="text1"/>
        </w:rPr>
        <w:t xml:space="preserve">El </w:t>
      </w:r>
      <w:r w:rsidR="00470C00" w:rsidRPr="00E7413A">
        <w:rPr>
          <w:rFonts w:ascii="Palatino Linotype" w:hAnsi="Palatino Linotype"/>
          <w:b/>
          <w:color w:val="000000" w:themeColor="text1"/>
        </w:rPr>
        <w:t>quince de mayo</w:t>
      </w:r>
      <w:r w:rsidRPr="00E7413A">
        <w:rPr>
          <w:rFonts w:ascii="Palatino Linotype" w:hAnsi="Palatino Linotype"/>
          <w:b/>
          <w:color w:val="000000" w:themeColor="text1"/>
        </w:rPr>
        <w:t xml:space="preserve"> de dos mil veinticinco</w:t>
      </w:r>
      <w:r w:rsidR="00517509" w:rsidRPr="00E7413A">
        <w:rPr>
          <w:rFonts w:ascii="Palatino Linotype" w:hAnsi="Palatino Linotype"/>
          <w:color w:val="000000" w:themeColor="text1"/>
        </w:rPr>
        <w:t xml:space="preserve">, el </w:t>
      </w:r>
      <w:r w:rsidR="00517509" w:rsidRPr="00E7413A">
        <w:rPr>
          <w:rFonts w:ascii="Palatino Linotype" w:hAnsi="Palatino Linotype"/>
          <w:b/>
          <w:color w:val="000000" w:themeColor="text1"/>
        </w:rPr>
        <w:t>SUJETO OBLIGADO</w:t>
      </w:r>
      <w:r w:rsidR="00517509" w:rsidRPr="00E7413A">
        <w:rPr>
          <w:rFonts w:ascii="Palatino Linotype" w:hAnsi="Palatino Linotype"/>
          <w:color w:val="000000" w:themeColor="text1"/>
        </w:rPr>
        <w:t xml:space="preserve"> </w:t>
      </w:r>
      <w:r w:rsidR="00DF6EAE" w:rsidRPr="00E7413A">
        <w:rPr>
          <w:rFonts w:ascii="Palatino Linotype" w:eastAsia="Palatino Linotype" w:hAnsi="Palatino Linotype" w:cs="Palatino Linotype"/>
          <w:color w:val="000000" w:themeColor="text1"/>
        </w:rPr>
        <w:t>dio respuesta a la solicitud</w:t>
      </w:r>
      <w:r w:rsidR="003142E9" w:rsidRPr="00E7413A">
        <w:rPr>
          <w:rFonts w:ascii="Palatino Linotype" w:eastAsia="Palatino Linotype" w:hAnsi="Palatino Linotype" w:cs="Palatino Linotype"/>
          <w:color w:val="000000" w:themeColor="text1"/>
        </w:rPr>
        <w:t xml:space="preserve">, </w:t>
      </w:r>
      <w:r w:rsidR="005D1288" w:rsidRPr="00E7413A">
        <w:rPr>
          <w:rFonts w:ascii="Palatino Linotype" w:eastAsia="Palatino Linotype" w:hAnsi="Palatino Linotype" w:cs="Palatino Linotype"/>
          <w:color w:val="000000" w:themeColor="text1"/>
        </w:rPr>
        <w:t xml:space="preserve">adjuntando </w:t>
      </w:r>
      <w:r w:rsidR="00470C00" w:rsidRPr="00E7413A">
        <w:rPr>
          <w:rFonts w:ascii="Palatino Linotype" w:eastAsia="Palatino Linotype" w:hAnsi="Palatino Linotype" w:cs="Palatino Linotype"/>
          <w:color w:val="000000" w:themeColor="text1"/>
        </w:rPr>
        <w:t xml:space="preserve">dos archivos </w:t>
      </w:r>
      <w:r w:rsidR="00470C00" w:rsidRPr="00E7413A">
        <w:rPr>
          <w:rFonts w:ascii="Palatino Linotype" w:eastAsia="Palatino Linotype" w:hAnsi="Palatino Linotype" w:cs="Palatino Linotype"/>
          <w:b/>
          <w:color w:val="000000" w:themeColor="text1"/>
        </w:rPr>
        <w:t>Resp_00034.pdf</w:t>
      </w:r>
      <w:r w:rsidR="00470C00" w:rsidRPr="00E7413A">
        <w:rPr>
          <w:rFonts w:ascii="Palatino Linotype" w:eastAsia="Palatino Linotype" w:hAnsi="Palatino Linotype" w:cs="Palatino Linotype"/>
          <w:color w:val="000000" w:themeColor="text1"/>
        </w:rPr>
        <w:t xml:space="preserve"> y, </w:t>
      </w:r>
      <w:r w:rsidR="00470C00" w:rsidRPr="00E7413A">
        <w:rPr>
          <w:rFonts w:ascii="Palatino Linotype" w:eastAsia="Palatino Linotype" w:hAnsi="Palatino Linotype" w:cs="Palatino Linotype"/>
          <w:b/>
          <w:color w:val="000000" w:themeColor="text1"/>
        </w:rPr>
        <w:t>ANEXO UNO.pdf</w:t>
      </w:r>
      <w:r w:rsidR="00470C00" w:rsidRPr="00E7413A">
        <w:rPr>
          <w:rFonts w:ascii="Palatino Linotype" w:eastAsia="Palatino Linotype" w:hAnsi="Palatino Linotype" w:cs="Palatino Linotype"/>
          <w:color w:val="000000" w:themeColor="text1"/>
        </w:rPr>
        <w:t>, que contiene un oficio signado por la Titular de la Unidad de Transparencia, a través del cual informa a la solicitante de la respuesta emitida por la persona servidora pública de la Coordinación Administrativa, y el archivo siguiente que contiene la respuesta emitida por la Coordinadora Administrativa y Servidora Pública Habilitada de la Coordinación Administrativa, consistente en la entrega de en un listado con la información tocante a las gratificaciones de los años referidos en la solicitud de información.</w:t>
      </w:r>
    </w:p>
    <w:p w:rsidR="005D1288" w:rsidRPr="00E7413A" w:rsidRDefault="005D1288" w:rsidP="00E7413A">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E7413A" w:rsidRDefault="00AE1941" w:rsidP="00E7413A">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7413A">
        <w:rPr>
          <w:rFonts w:ascii="Palatino Linotype" w:eastAsia="Palatino Linotype" w:hAnsi="Palatino Linotype" w:cs="Palatino Linotype"/>
          <w:color w:val="000000" w:themeColor="text1"/>
        </w:rPr>
        <w:t xml:space="preserve">Inconforme con la respuesta el </w:t>
      </w:r>
      <w:r w:rsidR="000E2104" w:rsidRPr="00E7413A">
        <w:rPr>
          <w:rFonts w:ascii="Palatino Linotype" w:eastAsia="Palatino Linotype" w:hAnsi="Palatino Linotype" w:cs="Palatino Linotype"/>
          <w:b/>
          <w:color w:val="000000" w:themeColor="text1"/>
        </w:rPr>
        <w:t>veintidós de mayo</w:t>
      </w:r>
      <w:r w:rsidRPr="00E7413A">
        <w:rPr>
          <w:rFonts w:ascii="Palatino Linotype" w:eastAsia="Palatino Linotype" w:hAnsi="Palatino Linotype" w:cs="Palatino Linotype"/>
          <w:b/>
          <w:color w:val="000000" w:themeColor="text1"/>
        </w:rPr>
        <w:t xml:space="preserve"> del año en curso</w:t>
      </w:r>
      <w:r w:rsidRPr="00E7413A">
        <w:rPr>
          <w:rFonts w:ascii="Palatino Linotype" w:eastAsia="Palatino Linotype" w:hAnsi="Palatino Linotype" w:cs="Palatino Linotype"/>
          <w:color w:val="000000" w:themeColor="text1"/>
        </w:rPr>
        <w:t xml:space="preserve">, </w:t>
      </w:r>
      <w:r w:rsidR="00DF6EAE" w:rsidRPr="00E7413A">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470C00" w:rsidRPr="00E7413A" w:rsidRDefault="00470C00" w:rsidP="00E7413A">
      <w:pPr>
        <w:pStyle w:val="Prrafodelista"/>
        <w:spacing w:line="360" w:lineRule="auto"/>
        <w:ind w:left="0"/>
        <w:rPr>
          <w:rFonts w:ascii="Palatino Linotype" w:hAnsi="Palatino Linotype"/>
          <w:color w:val="000000" w:themeColor="text1"/>
        </w:rPr>
      </w:pPr>
    </w:p>
    <w:p w:rsidR="00E31311" w:rsidRPr="00E7413A" w:rsidRDefault="00D119B4" w:rsidP="00E7413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E7413A">
        <w:rPr>
          <w:rFonts w:ascii="Palatino Linotype" w:eastAsia="Palatino Linotype" w:hAnsi="Palatino Linotype" w:cs="Palatino Linotype"/>
          <w:b/>
          <w:color w:val="000000" w:themeColor="text1"/>
        </w:rPr>
        <w:t>ACTO IMPUGNADO</w:t>
      </w:r>
      <w:r w:rsidR="00DF6EAE" w:rsidRPr="00E7413A">
        <w:rPr>
          <w:rFonts w:ascii="Palatino Linotype" w:eastAsia="Palatino Linotype" w:hAnsi="Palatino Linotype" w:cs="Palatino Linotype"/>
          <w:b/>
          <w:color w:val="000000" w:themeColor="text1"/>
        </w:rPr>
        <w:t xml:space="preserve">: </w:t>
      </w:r>
      <w:r w:rsidR="00A87FF1" w:rsidRPr="00E7413A">
        <w:rPr>
          <w:rFonts w:ascii="Palatino Linotype" w:eastAsia="Palatino Linotype" w:hAnsi="Palatino Linotype" w:cs="Palatino Linotype"/>
          <w:i/>
          <w:color w:val="000000" w:themeColor="text1"/>
        </w:rPr>
        <w:t>“</w:t>
      </w:r>
      <w:r w:rsidR="000E2104" w:rsidRPr="00E7413A">
        <w:rPr>
          <w:rFonts w:ascii="Palatino Linotype" w:eastAsia="Palatino Linotype" w:hAnsi="Palatino Linotype" w:cs="Palatino Linotype"/>
          <w:i/>
          <w:color w:val="000000" w:themeColor="text1"/>
        </w:rPr>
        <w:t>Documentos e información incompleta que se anexan a la respuesta de la solicitud de información pública</w:t>
      </w:r>
      <w:r w:rsidR="00DF6EAE" w:rsidRPr="00E7413A">
        <w:rPr>
          <w:rFonts w:ascii="Palatino Linotype" w:eastAsia="Palatino Linotype" w:hAnsi="Palatino Linotype" w:cs="Palatino Linotype"/>
          <w:i/>
          <w:color w:val="000000" w:themeColor="text1"/>
        </w:rPr>
        <w:t>”</w:t>
      </w:r>
    </w:p>
    <w:p w:rsidR="00A87FF1" w:rsidRPr="00E7413A" w:rsidRDefault="00A87FF1"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E7413A" w:rsidRDefault="00D119B4" w:rsidP="00E7413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color w:val="000000" w:themeColor="text1"/>
        </w:rPr>
        <w:lastRenderedPageBreak/>
        <w:t>RAZONES O MOTIVOS DE INCONFORMIDAD</w:t>
      </w:r>
      <w:r w:rsidR="00DF6EAE" w:rsidRPr="00E7413A">
        <w:rPr>
          <w:rFonts w:ascii="Palatino Linotype" w:eastAsia="Palatino Linotype" w:hAnsi="Palatino Linotype" w:cs="Palatino Linotype"/>
          <w:b/>
          <w:color w:val="000000" w:themeColor="text1"/>
        </w:rPr>
        <w:t>:</w:t>
      </w:r>
      <w:r w:rsidR="00A87FF1" w:rsidRPr="00E7413A">
        <w:rPr>
          <w:rFonts w:ascii="Palatino Linotype" w:eastAsia="Palatino Linotype" w:hAnsi="Palatino Linotype" w:cs="Palatino Linotype"/>
          <w:i/>
          <w:color w:val="000000" w:themeColor="text1"/>
        </w:rPr>
        <w:t xml:space="preserve"> “</w:t>
      </w:r>
      <w:r w:rsidR="000E2104" w:rsidRPr="00E7413A">
        <w:rPr>
          <w:rFonts w:ascii="Palatino Linotype" w:eastAsia="Palatino Linotype" w:hAnsi="Palatino Linotype" w:cs="Palatino Linotype"/>
          <w:i/>
          <w:color w:val="000000" w:themeColor="text1"/>
        </w:rPr>
        <w:t>Agradezco la información, pero la misma se encuentra incompleta, debido a que se solicitó el formato firmado por el coordinador administrativo o coordinadora administrativa, de la relación de servidores públicos propuestos para recibir gratificaciones 2016, 2017, 2018, 2019, 2020, 2021 y 2022 y no remiten el formato firmado; asimismo faltó entregar la información correspondiente a la partida 1320 y de la partida 1345 faltó la información correspondiente a la gratificación que se entrega a los servidores públicos en el mes de diciembre, tal y como lo refleja la cuenta pública.</w:t>
      </w:r>
      <w:r w:rsidR="00DF6EAE" w:rsidRPr="00E7413A">
        <w:rPr>
          <w:rFonts w:ascii="Palatino Linotype" w:eastAsia="Palatino Linotype" w:hAnsi="Palatino Linotype" w:cs="Palatino Linotype"/>
          <w:i/>
          <w:color w:val="000000" w:themeColor="text1"/>
        </w:rPr>
        <w:t>”</w:t>
      </w:r>
      <w:r w:rsidR="00F23FBF" w:rsidRPr="00E7413A">
        <w:rPr>
          <w:rFonts w:ascii="Palatino Linotype" w:eastAsia="Palatino Linotype" w:hAnsi="Palatino Linotype" w:cs="Palatino Linotype"/>
          <w:i/>
          <w:color w:val="000000" w:themeColor="text1"/>
        </w:rPr>
        <w:t xml:space="preserve"> </w:t>
      </w:r>
    </w:p>
    <w:p w:rsidR="00F23FBF" w:rsidRPr="00E7413A" w:rsidRDefault="00F23FBF" w:rsidP="00E7413A">
      <w:pPr>
        <w:spacing w:line="360" w:lineRule="auto"/>
        <w:rPr>
          <w:rFonts w:ascii="Palatino Linotype" w:eastAsia="Palatino Linotype" w:hAnsi="Palatino Linotype" w:cs="Palatino Linotype"/>
          <w:i/>
          <w:color w:val="000000" w:themeColor="text1"/>
        </w:rPr>
      </w:pPr>
    </w:p>
    <w:p w:rsidR="00E31311" w:rsidRPr="00D119B4" w:rsidRDefault="00D119B4" w:rsidP="00E7413A">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DF6EAE" w:rsidRPr="00E7413A">
        <w:rPr>
          <w:rFonts w:ascii="Palatino Linotype" w:eastAsia="Palatino Linotype" w:hAnsi="Palatino Linotype" w:cs="Palatino Linotype"/>
          <w:color w:val="000000" w:themeColor="text1"/>
        </w:rPr>
        <w:t>onente con fundamento en lo dispuesto por el artículo 185 fracción II de la ley de la materia, a través del a</w:t>
      </w:r>
      <w:r w:rsidR="00A87FF1" w:rsidRPr="00E7413A">
        <w:rPr>
          <w:rFonts w:ascii="Palatino Linotype" w:eastAsia="Palatino Linotype" w:hAnsi="Palatino Linotype" w:cs="Palatino Linotype"/>
          <w:color w:val="000000" w:themeColor="text1"/>
        </w:rPr>
        <w:t xml:space="preserve">cuerdo de admisión de fecha </w:t>
      </w:r>
      <w:r w:rsidR="000E2104" w:rsidRPr="00E7413A">
        <w:rPr>
          <w:rFonts w:ascii="Palatino Linotype" w:eastAsia="Palatino Linotype" w:hAnsi="Palatino Linotype" w:cs="Palatino Linotype"/>
          <w:b/>
          <w:color w:val="000000" w:themeColor="text1"/>
        </w:rPr>
        <w:t xml:space="preserve">veintitrés de mayo </w:t>
      </w:r>
      <w:r w:rsidR="002008D5" w:rsidRPr="00E7413A">
        <w:rPr>
          <w:rFonts w:ascii="Palatino Linotype" w:eastAsia="Palatino Linotype" w:hAnsi="Palatino Linotype" w:cs="Palatino Linotype"/>
          <w:b/>
          <w:color w:val="000000" w:themeColor="text1"/>
        </w:rPr>
        <w:t>de dos mil veinticinc</w:t>
      </w:r>
      <w:r w:rsidR="00DF6EAE" w:rsidRPr="00E7413A">
        <w:rPr>
          <w:rFonts w:ascii="Palatino Linotype" w:eastAsia="Palatino Linotype" w:hAnsi="Palatino Linotype" w:cs="Palatino Linotype"/>
          <w:b/>
          <w:color w:val="000000" w:themeColor="text1"/>
        </w:rPr>
        <w:t>o</w:t>
      </w:r>
      <w:r w:rsidR="00DF6EAE" w:rsidRPr="00E7413A">
        <w:rPr>
          <w:rFonts w:ascii="Palatino Linotype" w:eastAsia="Palatino Linotype" w:hAnsi="Palatino Linotype" w:cs="Palatino Linotype"/>
          <w:color w:val="000000" w:themeColor="text1"/>
        </w:rPr>
        <w:t xml:space="preserve">, puso a disposición de las partes el expediente electrónico vía </w:t>
      </w:r>
      <w:r w:rsidR="00DF6EAE" w:rsidRPr="00E7413A">
        <w:rPr>
          <w:rFonts w:ascii="Palatino Linotype" w:eastAsia="Palatino Linotype" w:hAnsi="Palatino Linotype" w:cs="Palatino Linotype"/>
          <w:b/>
          <w:color w:val="000000" w:themeColor="text1"/>
        </w:rPr>
        <w:t xml:space="preserve">SAIMEX </w:t>
      </w:r>
      <w:r w:rsidR="00DF6EAE" w:rsidRPr="00E7413A">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DF6EAE" w:rsidRPr="00E7413A">
        <w:rPr>
          <w:rFonts w:ascii="Palatino Linotype" w:eastAsia="Palatino Linotype" w:hAnsi="Palatino Linotype" w:cs="Palatino Linotype"/>
          <w:b/>
          <w:color w:val="000000" w:themeColor="text1"/>
        </w:rPr>
        <w:t>SUJETO OBLIGADO</w:t>
      </w:r>
      <w:r w:rsidR="00DF6EAE" w:rsidRPr="00E7413A">
        <w:rPr>
          <w:rFonts w:ascii="Palatino Linotype" w:eastAsia="Palatino Linotype" w:hAnsi="Palatino Linotype" w:cs="Palatino Linotype"/>
          <w:color w:val="000000" w:themeColor="text1"/>
        </w:rPr>
        <w:t xml:space="preserve"> presentará el Informe Justificado procedente.</w:t>
      </w:r>
    </w:p>
    <w:p w:rsidR="00D119B4" w:rsidRPr="00E7413A" w:rsidRDefault="00D119B4" w:rsidP="00D119B4">
      <w:pPr>
        <w:pBdr>
          <w:top w:val="nil"/>
          <w:left w:val="nil"/>
          <w:bottom w:val="nil"/>
          <w:right w:val="nil"/>
          <w:between w:val="nil"/>
        </w:pBdr>
        <w:spacing w:line="360" w:lineRule="auto"/>
        <w:jc w:val="both"/>
        <w:rPr>
          <w:rFonts w:ascii="Palatino Linotype" w:hAnsi="Palatino Linotype"/>
          <w:color w:val="000000" w:themeColor="text1"/>
        </w:rPr>
      </w:pPr>
    </w:p>
    <w:p w:rsidR="000E2104" w:rsidRPr="00E7413A" w:rsidRDefault="000E2104" w:rsidP="00E7413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color w:val="000000" w:themeColor="text1"/>
        </w:rPr>
        <w:t xml:space="preserve">De lo anterior, </w:t>
      </w:r>
      <w:r w:rsidR="00DF6EAE" w:rsidRPr="00E7413A">
        <w:rPr>
          <w:rFonts w:ascii="Palatino Linotype" w:eastAsia="Palatino Linotype" w:hAnsi="Palatino Linotype" w:cs="Palatino Linotype"/>
          <w:color w:val="000000" w:themeColor="text1"/>
        </w:rPr>
        <w:t>l</w:t>
      </w:r>
      <w:r w:rsidRPr="00E7413A">
        <w:rPr>
          <w:rFonts w:ascii="Palatino Linotype" w:eastAsia="Palatino Linotype" w:hAnsi="Palatino Linotype" w:cs="Palatino Linotype"/>
          <w:color w:val="000000" w:themeColor="text1"/>
        </w:rPr>
        <w:t>a</w:t>
      </w:r>
      <w:r w:rsidR="00DF6EAE" w:rsidRPr="00E7413A">
        <w:rPr>
          <w:rFonts w:ascii="Palatino Linotype" w:eastAsia="Palatino Linotype" w:hAnsi="Palatino Linotype" w:cs="Palatino Linotype"/>
          <w:color w:val="000000" w:themeColor="text1"/>
        </w:rPr>
        <w:t xml:space="preserve"> </w:t>
      </w:r>
      <w:r w:rsidR="008F4362" w:rsidRPr="00E7413A">
        <w:rPr>
          <w:rFonts w:ascii="Palatino Linotype" w:eastAsia="Palatino Linotype" w:hAnsi="Palatino Linotype" w:cs="Palatino Linotype"/>
          <w:b/>
          <w:color w:val="000000" w:themeColor="text1"/>
        </w:rPr>
        <w:t>RECURRENTE</w:t>
      </w:r>
      <w:r w:rsidR="00DF6EAE"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 xml:space="preserve">realizó manifestaciones adjuntando un archivo denominado </w:t>
      </w:r>
      <w:r w:rsidRPr="00E7413A">
        <w:rPr>
          <w:rFonts w:ascii="Palatino Linotype" w:eastAsia="Palatino Linotype" w:hAnsi="Palatino Linotype" w:cs="Palatino Linotype"/>
          <w:i/>
          <w:color w:val="000000" w:themeColor="text1"/>
        </w:rPr>
        <w:t xml:space="preserve">Circular Ipomex.pdf, </w:t>
      </w:r>
      <w:r w:rsidR="00AD54D9" w:rsidRPr="00E7413A">
        <w:rPr>
          <w:rFonts w:ascii="Palatino Linotype" w:eastAsia="Palatino Linotype" w:hAnsi="Palatino Linotype" w:cs="Palatino Linotype"/>
          <w:color w:val="000000" w:themeColor="text1"/>
        </w:rPr>
        <w:t>que corresponde a un oficio con una circular dirigida a los titulares de las dependencias o equivalentes del Poder Ejecutivo del Gobierno del Estado de México, en la que se informa de los “LINEAMIENTOS PARA EL OTORGAMIENTO DE LA "GRATIFICACIÓN DE FIN DE AÑO" PARA EL EJERCICIO FISCAL 2023" y, el archivo denominado</w:t>
      </w:r>
      <w:r w:rsidR="00AD54D9" w:rsidRPr="00E7413A">
        <w:rPr>
          <w:rFonts w:ascii="Palatino Linotype" w:eastAsia="Palatino Linotype" w:hAnsi="Palatino Linotype" w:cs="Palatino Linotype"/>
          <w:i/>
          <w:color w:val="000000" w:themeColor="text1"/>
        </w:rPr>
        <w:t xml:space="preserve"> Manifstaciones 04.pdf, </w:t>
      </w:r>
      <w:r w:rsidR="00AD54D9" w:rsidRPr="00E7413A">
        <w:rPr>
          <w:rFonts w:ascii="Palatino Linotype" w:eastAsia="Palatino Linotype" w:hAnsi="Palatino Linotype" w:cs="Palatino Linotype"/>
          <w:color w:val="000000" w:themeColor="text1"/>
        </w:rPr>
        <w:t>que contiene el siguiente texto:</w:t>
      </w:r>
      <w:r w:rsidR="00AD54D9" w:rsidRPr="00E7413A">
        <w:rPr>
          <w:rFonts w:ascii="Palatino Linotype" w:eastAsia="Palatino Linotype" w:hAnsi="Palatino Linotype" w:cs="Palatino Linotype"/>
          <w:i/>
          <w:color w:val="000000" w:themeColor="text1"/>
        </w:rPr>
        <w:t xml:space="preserve"> "La Dependencia niega la información debido a que tiene conocimiento de la existencia del formato o documento denominado “Relación de servidores públicos propuestos para recibir la gratificación de fin de año” como hace referencia la disposición “Décima cuarta” de los </w:t>
      </w:r>
      <w:r w:rsidR="00AD54D9" w:rsidRPr="00E7413A">
        <w:rPr>
          <w:rFonts w:ascii="Palatino Linotype" w:eastAsia="Palatino Linotype" w:hAnsi="Palatino Linotype" w:cs="Palatino Linotype"/>
          <w:i/>
          <w:color w:val="000000" w:themeColor="text1"/>
        </w:rPr>
        <w:lastRenderedPageBreak/>
        <w:t>“Lineamientos para el otorgamiento de la Gratificación de Fin de Año”, mismo documento que es emitido del sistema de planeación y presupuesto (SPP), impreso, validado y firmado por las dependencias y organismos auxiliares, se agrega copia de la circular y lineamientos para soporte de estos alegatos."</w:t>
      </w:r>
    </w:p>
    <w:p w:rsidR="000E2104" w:rsidRPr="00E7413A" w:rsidRDefault="000E2104" w:rsidP="00E7413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65EFF" w:rsidRPr="00E7413A" w:rsidRDefault="00A62AF4" w:rsidP="00E7413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Por su parte</w:t>
      </w:r>
      <w:r w:rsidR="00D61BA3" w:rsidRPr="00E7413A">
        <w:rPr>
          <w:rFonts w:ascii="Palatino Linotype" w:eastAsia="Palatino Linotype" w:hAnsi="Palatino Linotype" w:cs="Palatino Linotype"/>
          <w:color w:val="000000" w:themeColor="text1"/>
        </w:rPr>
        <w:t xml:space="preserve"> el </w:t>
      </w:r>
      <w:r w:rsidR="00D61BA3" w:rsidRPr="00E7413A">
        <w:rPr>
          <w:rFonts w:ascii="Palatino Linotype" w:eastAsia="Palatino Linotype" w:hAnsi="Palatino Linotype" w:cs="Palatino Linotype"/>
          <w:b/>
          <w:color w:val="000000" w:themeColor="text1"/>
        </w:rPr>
        <w:t>SUJETO OBLIGADO</w:t>
      </w:r>
      <w:r w:rsidR="00D61BA3" w:rsidRPr="00E7413A">
        <w:rPr>
          <w:rFonts w:ascii="Palatino Linotype" w:eastAsia="Palatino Linotype" w:hAnsi="Palatino Linotype" w:cs="Palatino Linotype"/>
          <w:color w:val="000000" w:themeColor="text1"/>
        </w:rPr>
        <w:t xml:space="preserve"> </w:t>
      </w:r>
      <w:r w:rsidR="00D61BA3" w:rsidRPr="00E7413A">
        <w:rPr>
          <w:rFonts w:ascii="Palatino Linotype" w:eastAsia="Palatino Linotype" w:hAnsi="Palatino Linotype" w:cs="Palatino Linotype"/>
          <w:i/>
          <w:color w:val="000000" w:themeColor="text1"/>
        </w:rPr>
        <w:t>Manifestaciones 05808.pdf</w:t>
      </w:r>
      <w:r w:rsidR="00D61BA3" w:rsidRPr="00E7413A">
        <w:rPr>
          <w:rFonts w:ascii="Palatino Linotype" w:eastAsia="Palatino Linotype" w:hAnsi="Palatino Linotype" w:cs="Palatino Linotype"/>
          <w:color w:val="000000" w:themeColor="text1"/>
        </w:rPr>
        <w:t xml:space="preserve">, que contiene un oficio signado por el Titular de la Unidad de Transparencia a través del cual informa a este Órgano Garante se remiten las manifestaciones esgrimidas por el Servidor Público Habilitado. Consecutivamente se adjunta un oficio signado por la Coordinadora Administrativa en el que de manera general manifiesta que con relación a la partida 1320, independientemente de que su denominación es Primas vacacionales, dominical y gratificación de fin de año, solo tiene considerados dos pagos extraordinarios, los cuales corresponden a las subpartidas 1321 Prima vacacional y 1322 Aguinaldo; debido a que la solicitante solo requirió gratificaciones, siendo que la información de esa partida no fue incluida. </w:t>
      </w:r>
    </w:p>
    <w:p w:rsidR="00165EFF" w:rsidRPr="00E7413A" w:rsidRDefault="00165EFF" w:rsidP="00E7413A">
      <w:pPr>
        <w:pStyle w:val="Prrafodelista"/>
        <w:spacing w:line="360" w:lineRule="auto"/>
        <w:ind w:left="0"/>
        <w:rPr>
          <w:rFonts w:ascii="Palatino Linotype" w:eastAsia="Palatino Linotype" w:hAnsi="Palatino Linotype" w:cs="Palatino Linotype"/>
          <w:color w:val="000000" w:themeColor="text1"/>
        </w:rPr>
      </w:pPr>
    </w:p>
    <w:p w:rsidR="000E2104" w:rsidRPr="00E7413A" w:rsidRDefault="00D61BA3" w:rsidP="00E7413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Por otro lado informa que en cuanto a la partida 1345, la solicitante hace alusión a información relacionada con "su esposo", motivo por el cual se envió información relacionada con servidores públicos del sexo masculino, por lo que la cantidad que refleja la Cuenta Pública no va a coincidir con la remitida. Finalmente informa que con relación a la Circular </w:t>
      </w:r>
      <w:r w:rsidR="00165EFF" w:rsidRPr="00E7413A">
        <w:rPr>
          <w:rFonts w:ascii="Palatino Linotype" w:eastAsia="Palatino Linotype" w:hAnsi="Palatino Linotype" w:cs="Palatino Linotype"/>
          <w:color w:val="000000" w:themeColor="text1"/>
        </w:rPr>
        <w:t>anexa</w:t>
      </w:r>
      <w:r w:rsidRPr="00E7413A">
        <w:rPr>
          <w:rFonts w:ascii="Palatino Linotype" w:eastAsia="Palatino Linotype" w:hAnsi="Palatino Linotype" w:cs="Palatino Linotype"/>
          <w:color w:val="000000" w:themeColor="text1"/>
        </w:rPr>
        <w:t xml:space="preserve"> en calidad de alegatos, se aduce que corresponde</w:t>
      </w:r>
      <w:r w:rsidR="00165EFF" w:rsidRPr="00E7413A">
        <w:rPr>
          <w:rFonts w:ascii="Palatino Linotype" w:eastAsia="Palatino Linotype" w:hAnsi="Palatino Linotype" w:cs="Palatino Linotype"/>
          <w:color w:val="000000" w:themeColor="text1"/>
        </w:rPr>
        <w:t xml:space="preserve"> al Ejercicio Fiscal 2023 para el pago de gratificación por única vez en dicho ejercicio, por lo que resulta inobservable dado que la solicitud inicial versa de los Ejercicios Fiscales 2016 a 2022.</w:t>
      </w:r>
    </w:p>
    <w:p w:rsidR="00AD54D9" w:rsidRPr="00E7413A" w:rsidRDefault="00AD54D9" w:rsidP="00E7413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E7413A" w:rsidRDefault="00DF6EAE" w:rsidP="00E7413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E7413A">
        <w:rPr>
          <w:rFonts w:ascii="Palatino Linotype" w:eastAsia="Palatino Linotype" w:hAnsi="Palatino Linotype" w:cs="Palatino Linotype"/>
          <w:color w:val="000000" w:themeColor="text1"/>
        </w:rPr>
        <w:lastRenderedPageBreak/>
        <w:t xml:space="preserve">Seguidamente, mediante </w:t>
      </w:r>
      <w:r w:rsidR="00914AB9" w:rsidRPr="00E7413A">
        <w:rPr>
          <w:rFonts w:ascii="Palatino Linotype" w:eastAsia="Palatino Linotype" w:hAnsi="Palatino Linotype" w:cs="Palatino Linotype"/>
          <w:color w:val="000000" w:themeColor="text1"/>
        </w:rPr>
        <w:t>A</w:t>
      </w:r>
      <w:r w:rsidR="00D746B0" w:rsidRPr="00E7413A">
        <w:rPr>
          <w:rFonts w:ascii="Palatino Linotype" w:eastAsia="Palatino Linotype" w:hAnsi="Palatino Linotype" w:cs="Palatino Linotype"/>
          <w:color w:val="000000" w:themeColor="text1"/>
        </w:rPr>
        <w:t xml:space="preserve">cuerdo de fecha </w:t>
      </w:r>
      <w:r w:rsidR="00192053" w:rsidRPr="00E7413A">
        <w:rPr>
          <w:rFonts w:ascii="Palatino Linotype" w:eastAsia="Palatino Linotype" w:hAnsi="Palatino Linotype" w:cs="Palatino Linotype"/>
          <w:b/>
          <w:color w:val="000000" w:themeColor="text1"/>
        </w:rPr>
        <w:t>diecisiet</w:t>
      </w:r>
      <w:r w:rsidR="00B17889" w:rsidRPr="00E7413A">
        <w:rPr>
          <w:rFonts w:ascii="Palatino Linotype" w:eastAsia="Palatino Linotype" w:hAnsi="Palatino Linotype" w:cs="Palatino Linotype"/>
          <w:b/>
          <w:color w:val="000000" w:themeColor="text1"/>
        </w:rPr>
        <w:t>e</w:t>
      </w:r>
      <w:r w:rsidR="0090601E" w:rsidRPr="00E7413A">
        <w:rPr>
          <w:rFonts w:ascii="Palatino Linotype" w:eastAsia="Palatino Linotype" w:hAnsi="Palatino Linotype" w:cs="Palatino Linotype"/>
          <w:b/>
          <w:color w:val="000000" w:themeColor="text1"/>
        </w:rPr>
        <w:t xml:space="preserve"> de </w:t>
      </w:r>
      <w:r w:rsidR="00192053" w:rsidRPr="00E7413A">
        <w:rPr>
          <w:rFonts w:ascii="Palatino Linotype" w:eastAsia="Palatino Linotype" w:hAnsi="Palatino Linotype" w:cs="Palatino Linotype"/>
          <w:b/>
          <w:color w:val="000000" w:themeColor="text1"/>
        </w:rPr>
        <w:t xml:space="preserve">diciembre </w:t>
      </w:r>
      <w:r w:rsidR="0090601E" w:rsidRPr="00E7413A">
        <w:rPr>
          <w:rFonts w:ascii="Palatino Linotype" w:eastAsia="Palatino Linotype" w:hAnsi="Palatino Linotype" w:cs="Palatino Linotype"/>
          <w:b/>
          <w:color w:val="000000" w:themeColor="text1"/>
        </w:rPr>
        <w:t>dos mil veinticinco</w:t>
      </w:r>
      <w:r w:rsidR="00B17889" w:rsidRPr="00E7413A">
        <w:rPr>
          <w:rFonts w:ascii="Palatino Linotype" w:eastAsia="Palatino Linotype" w:hAnsi="Palatino Linotype" w:cs="Palatino Linotype"/>
          <w:b/>
          <w:color w:val="000000" w:themeColor="text1"/>
        </w:rPr>
        <w:t>,</w:t>
      </w:r>
      <w:r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 xml:space="preserve">se </w:t>
      </w:r>
      <w:r w:rsidR="005D1B66" w:rsidRPr="00E7413A">
        <w:rPr>
          <w:rFonts w:ascii="Palatino Linotype" w:eastAsia="Palatino Linotype" w:hAnsi="Palatino Linotype" w:cs="Palatino Linotype"/>
          <w:color w:val="000000" w:themeColor="text1"/>
        </w:rPr>
        <w:t xml:space="preserve">amplió el termino para resolver, </w:t>
      </w:r>
      <w:r w:rsidR="00271F83" w:rsidRPr="00E7413A">
        <w:rPr>
          <w:rFonts w:ascii="Palatino Linotype" w:eastAsia="Palatino Linotype" w:hAnsi="Palatino Linotype" w:cs="Palatino Linotype"/>
          <w:color w:val="000000" w:themeColor="text1"/>
        </w:rPr>
        <w:t>con</w:t>
      </w:r>
      <w:r w:rsidR="009F32B0" w:rsidRPr="00E7413A">
        <w:rPr>
          <w:rFonts w:ascii="Palatino Linotype" w:eastAsia="Palatino Linotype" w:hAnsi="Palatino Linotype" w:cs="Palatino Linotype"/>
          <w:color w:val="000000" w:themeColor="text1"/>
        </w:rPr>
        <w:t xml:space="preserve">secutivamente </w:t>
      </w:r>
      <w:r w:rsidR="00271F83" w:rsidRPr="00E7413A">
        <w:rPr>
          <w:rFonts w:ascii="Palatino Linotype" w:eastAsia="Palatino Linotype" w:hAnsi="Palatino Linotype" w:cs="Palatino Linotype"/>
          <w:color w:val="000000" w:themeColor="text1"/>
        </w:rPr>
        <w:t xml:space="preserve">se </w:t>
      </w:r>
      <w:r w:rsidRPr="00E7413A">
        <w:rPr>
          <w:rFonts w:ascii="Palatino Linotype" w:eastAsia="Palatino Linotype" w:hAnsi="Palatino Linotype" w:cs="Palatino Linotype"/>
          <w:color w:val="000000" w:themeColor="text1"/>
        </w:rPr>
        <w:t>decretó el cierre de instrucción</w:t>
      </w:r>
      <w:r w:rsidR="008B6385" w:rsidRPr="00E7413A">
        <w:rPr>
          <w:rFonts w:ascii="Palatino Linotype" w:eastAsia="Palatino Linotype" w:hAnsi="Palatino Linotype" w:cs="Palatino Linotype"/>
          <w:color w:val="000000" w:themeColor="text1"/>
        </w:rPr>
        <w:t xml:space="preserve"> mediante Acuerdo de</w:t>
      </w:r>
      <w:r w:rsidR="00E36B7B" w:rsidRPr="00E7413A">
        <w:rPr>
          <w:rFonts w:ascii="Palatino Linotype" w:eastAsia="Palatino Linotype" w:hAnsi="Palatino Linotype" w:cs="Palatino Linotype"/>
          <w:color w:val="000000" w:themeColor="text1"/>
        </w:rPr>
        <w:t xml:space="preserve"> </w:t>
      </w:r>
      <w:r w:rsidR="00192053" w:rsidRPr="00E7413A">
        <w:rPr>
          <w:rFonts w:ascii="Palatino Linotype" w:eastAsia="Palatino Linotype" w:hAnsi="Palatino Linotype" w:cs="Palatino Linotype"/>
          <w:color w:val="000000" w:themeColor="text1"/>
        </w:rPr>
        <w:t>fecha ocho de enero de dos mil veintiséis</w:t>
      </w:r>
      <w:r w:rsidRPr="00E7413A">
        <w:rPr>
          <w:rFonts w:ascii="Palatino Linotype" w:eastAsia="Palatino Linotype" w:hAnsi="Palatino Linotype" w:cs="Palatino Linotype"/>
          <w:color w:val="000000" w:themeColor="text1"/>
        </w:rPr>
        <w:t>, por lo que no habiendo más que hacer constar, y</w:t>
      </w:r>
      <w:r w:rsidR="006114E5" w:rsidRPr="00E7413A">
        <w:rPr>
          <w:rFonts w:ascii="Palatino Linotype" w:eastAsia="Palatino Linotype" w:hAnsi="Palatino Linotype" w:cs="Palatino Linotype"/>
          <w:color w:val="000000" w:themeColor="text1"/>
        </w:rPr>
        <w:t xml:space="preserve">: </w:t>
      </w:r>
    </w:p>
    <w:p w:rsidR="00E31311" w:rsidRPr="00E7413A" w:rsidRDefault="00E31311" w:rsidP="00E7413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E7413A" w:rsidRDefault="00DF6EAE" w:rsidP="00E7413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E7413A">
        <w:rPr>
          <w:rFonts w:ascii="Palatino Linotype" w:eastAsia="Palatino Linotype" w:hAnsi="Palatino Linotype" w:cs="Palatino Linotype"/>
          <w:b/>
          <w:color w:val="000000" w:themeColor="text1"/>
        </w:rPr>
        <w:t>C O N S I D E R A N D O</w:t>
      </w:r>
    </w:p>
    <w:p w:rsidR="00E31311" w:rsidRPr="00E7413A" w:rsidRDefault="00E31311" w:rsidP="00E7413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E7413A" w:rsidRDefault="00DF6EAE" w:rsidP="00E7413A">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E7413A">
        <w:rPr>
          <w:rFonts w:ascii="Palatino Linotype" w:eastAsia="Palatino Linotype" w:hAnsi="Palatino Linotype" w:cs="Palatino Linotype"/>
          <w:b/>
          <w:color w:val="000000" w:themeColor="text1"/>
          <w:sz w:val="24"/>
          <w:szCs w:val="24"/>
        </w:rPr>
        <w:t>PRIMERO. De la competencia</w:t>
      </w:r>
    </w:p>
    <w:p w:rsidR="00E31311" w:rsidRPr="00E7413A" w:rsidRDefault="00547C4E" w:rsidP="00E7413A">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7413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71DC9" w:rsidRPr="00E7413A" w:rsidRDefault="00671DC9" w:rsidP="00E7413A">
      <w:pPr>
        <w:pBdr>
          <w:top w:val="nil"/>
          <w:left w:val="nil"/>
          <w:bottom w:val="nil"/>
          <w:right w:val="nil"/>
          <w:between w:val="nil"/>
        </w:pBdr>
        <w:spacing w:line="360" w:lineRule="auto"/>
        <w:jc w:val="both"/>
        <w:rPr>
          <w:rFonts w:ascii="Palatino Linotype" w:hAnsi="Palatino Linotype"/>
          <w:color w:val="000000" w:themeColor="text1"/>
        </w:rPr>
      </w:pPr>
    </w:p>
    <w:p w:rsidR="00E31311" w:rsidRPr="00E7413A" w:rsidRDefault="00DF6EAE" w:rsidP="00E7413A">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E7413A">
        <w:rPr>
          <w:rFonts w:ascii="Palatino Linotype" w:eastAsia="Palatino Linotype" w:hAnsi="Palatino Linotype" w:cs="Palatino Linotype"/>
          <w:b/>
          <w:color w:val="000000" w:themeColor="text1"/>
          <w:sz w:val="24"/>
          <w:szCs w:val="24"/>
        </w:rPr>
        <w:t>SEGUNDO. De la oportunidad y procedencia.</w:t>
      </w:r>
    </w:p>
    <w:p w:rsidR="006B1EE0" w:rsidRPr="00E7413A" w:rsidRDefault="006B1EE0" w:rsidP="00E7413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E7413A" w:rsidRDefault="00405DED" w:rsidP="00E7413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05DED" w:rsidRPr="00E7413A" w:rsidRDefault="00405DED"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w:t>
      </w:r>
      <w:r w:rsidRPr="00E7413A">
        <w:rPr>
          <w:rFonts w:ascii="Palatino Linotype" w:eastAsia="Palatino Linotype" w:hAnsi="Palatino Linotype" w:cs="Palatino Linotype"/>
          <w:b/>
          <w:i/>
          <w:color w:val="000000" w:themeColor="text1"/>
        </w:rPr>
        <w:t>Las solicitudes anónimas</w:t>
      </w:r>
      <w:r w:rsidRPr="00E7413A">
        <w:rPr>
          <w:rFonts w:ascii="Palatino Linotype" w:eastAsia="Palatino Linotype" w:hAnsi="Palatino Linotype" w:cs="Palatino Linotype"/>
          <w:i/>
          <w:color w:val="000000" w:themeColor="text1"/>
        </w:rPr>
        <w:t xml:space="preserve">, con nombre incompleto o seudónimo </w:t>
      </w:r>
      <w:r w:rsidRPr="00E7413A">
        <w:rPr>
          <w:rFonts w:ascii="Palatino Linotype" w:eastAsia="Palatino Linotype" w:hAnsi="Palatino Linotype" w:cs="Palatino Linotype"/>
          <w:b/>
          <w:i/>
          <w:color w:val="000000" w:themeColor="text1"/>
        </w:rPr>
        <w:t>serán procedentes para su trámite por parte del sujeto obligado ante quien se presente</w:t>
      </w:r>
      <w:r w:rsidRPr="00E7413A">
        <w:rPr>
          <w:rFonts w:ascii="Palatino Linotype" w:eastAsia="Palatino Linotype" w:hAnsi="Palatino Linotype" w:cs="Palatino Linotype"/>
          <w:i/>
          <w:color w:val="000000" w:themeColor="text1"/>
        </w:rPr>
        <w:t>. No podrá requerirse información adicional con motivo del nombre proporcionado por el solicitante."</w:t>
      </w:r>
    </w:p>
    <w:p w:rsidR="00405DED" w:rsidRPr="00E7413A" w:rsidRDefault="00405DED" w:rsidP="00E7413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E7413A" w:rsidRDefault="00405DED" w:rsidP="00E7413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0179F4" w:rsidRPr="00E7413A" w:rsidRDefault="000179F4" w:rsidP="00E7413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E7413A" w:rsidRDefault="006B1EE0" w:rsidP="00E7413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405DED" w:rsidRPr="00E7413A" w:rsidRDefault="00405DED" w:rsidP="00E7413A">
      <w:pPr>
        <w:spacing w:line="360" w:lineRule="auto"/>
        <w:rPr>
          <w:rFonts w:ascii="Palatino Linotype" w:eastAsia="Palatino Linotype" w:hAnsi="Palatino Linotype" w:cs="Palatino Linotype"/>
          <w:color w:val="000000" w:themeColor="text1"/>
        </w:rPr>
      </w:pPr>
    </w:p>
    <w:p w:rsidR="00E31311" w:rsidRPr="00E7413A" w:rsidRDefault="00DF6EAE" w:rsidP="00E7413A">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E7413A">
        <w:rPr>
          <w:rFonts w:ascii="Palatino Linotype" w:eastAsia="Palatino Linotype" w:hAnsi="Palatino Linotype" w:cs="Palatino Linotype"/>
          <w:b/>
          <w:color w:val="000000" w:themeColor="text1"/>
          <w:sz w:val="24"/>
          <w:szCs w:val="24"/>
        </w:rPr>
        <w:t xml:space="preserve">TERCERO. Del planteamiento de la </w:t>
      </w:r>
      <w:r w:rsidRPr="00E7413A">
        <w:rPr>
          <w:rFonts w:ascii="Palatino Linotype" w:eastAsia="Palatino Linotype" w:hAnsi="Palatino Linotype" w:cs="Palatino Linotype"/>
          <w:b/>
          <w:i/>
          <w:color w:val="000000" w:themeColor="text1"/>
          <w:sz w:val="24"/>
          <w:szCs w:val="24"/>
        </w:rPr>
        <w:t>Litis</w:t>
      </w:r>
      <w:r w:rsidRPr="00E7413A">
        <w:rPr>
          <w:rFonts w:ascii="Palatino Linotype" w:eastAsia="Palatino Linotype" w:hAnsi="Palatino Linotype" w:cs="Palatino Linotype"/>
          <w:b/>
          <w:color w:val="000000" w:themeColor="text1"/>
          <w:sz w:val="24"/>
          <w:szCs w:val="24"/>
        </w:rPr>
        <w:t>.</w:t>
      </w:r>
    </w:p>
    <w:p w:rsidR="00E31311" w:rsidRPr="00E7413A" w:rsidRDefault="00DF6EAE" w:rsidP="00E7413A">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7413A">
        <w:rPr>
          <w:rFonts w:ascii="Palatino Linotype" w:eastAsia="Palatino Linotype" w:hAnsi="Palatino Linotype" w:cs="Palatino Linotype"/>
          <w:color w:val="000000" w:themeColor="text1"/>
        </w:rPr>
        <w:t>Se solicitó tener acceso, a la información que a continuación se desagrega:</w:t>
      </w:r>
    </w:p>
    <w:p w:rsidR="00480F1E" w:rsidRPr="00E7413A" w:rsidRDefault="001F48C5" w:rsidP="00E7413A">
      <w:pPr>
        <w:pStyle w:val="Prrafodelista"/>
        <w:numPr>
          <w:ilvl w:val="0"/>
          <w:numId w:val="2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El formato firmado de la relación de servidores publicas propuestos para recibir gratificaciones en los Ejercicios Fiscales 2016, 2017, 2018, 2019, 2020, 2021 y 2022, correspondientes al capítulo 1000, partidas genéricas y específicas (todas las gratificaciones contenidas en ellas) así como las gratificaciones contenidas en las partidas: 1320, 1345, 1346, 1347 según el clasificador por objeto del gasto del Gobierno del Estado de México.</w:t>
      </w:r>
    </w:p>
    <w:p w:rsidR="00D05C1C" w:rsidRPr="00E7413A" w:rsidRDefault="00D05C1C" w:rsidP="00E7413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E7413A" w:rsidRDefault="006B1EE0"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En respuesta, el </w:t>
      </w:r>
      <w:r w:rsidRPr="00E7413A">
        <w:rPr>
          <w:rFonts w:ascii="Palatino Linotype" w:eastAsia="Palatino Linotype" w:hAnsi="Palatino Linotype" w:cs="Palatino Linotype"/>
          <w:b/>
          <w:color w:val="000000" w:themeColor="text1"/>
        </w:rPr>
        <w:t xml:space="preserve">SUJETO OBLIGADO </w:t>
      </w:r>
      <w:r w:rsidRPr="00E7413A">
        <w:rPr>
          <w:rFonts w:ascii="Palatino Linotype" w:eastAsia="Palatino Linotype" w:hAnsi="Palatino Linotype" w:cs="Palatino Linotype"/>
          <w:color w:val="000000" w:themeColor="text1"/>
        </w:rPr>
        <w:t>remitió la información ya descrita en e</w:t>
      </w:r>
      <w:r w:rsidR="00150225" w:rsidRPr="00E7413A">
        <w:rPr>
          <w:rFonts w:ascii="Palatino Linotype" w:eastAsia="Palatino Linotype" w:hAnsi="Palatino Linotype" w:cs="Palatino Linotype"/>
          <w:color w:val="000000" w:themeColor="text1"/>
        </w:rPr>
        <w:t>l párrafo 2. Inconforme con la misma</w:t>
      </w:r>
      <w:r w:rsidRPr="00E7413A">
        <w:rPr>
          <w:rFonts w:ascii="Palatino Linotype" w:eastAsia="Palatino Linotype" w:hAnsi="Palatino Linotype" w:cs="Palatino Linotype"/>
          <w:color w:val="000000" w:themeColor="text1"/>
        </w:rPr>
        <w:t xml:space="preserve">, se interpuso recurso de revisión </w:t>
      </w:r>
      <w:r w:rsidR="00150225" w:rsidRPr="00E7413A">
        <w:rPr>
          <w:rFonts w:ascii="Palatino Linotype" w:eastAsia="Palatino Linotype" w:hAnsi="Palatino Linotype" w:cs="Palatino Linotype"/>
          <w:color w:val="000000" w:themeColor="text1"/>
        </w:rPr>
        <w:t xml:space="preserve">en contra de la </w:t>
      </w:r>
      <w:r w:rsidR="00C54FDF" w:rsidRPr="00E7413A">
        <w:rPr>
          <w:rFonts w:ascii="Palatino Linotype" w:eastAsia="Palatino Linotype" w:hAnsi="Palatino Linotype" w:cs="Palatino Linotype"/>
          <w:color w:val="000000" w:themeColor="text1"/>
        </w:rPr>
        <w:t>entrega de la información</w:t>
      </w:r>
      <w:r w:rsidR="00DA5371" w:rsidRPr="00E7413A">
        <w:rPr>
          <w:rFonts w:ascii="Palatino Linotype" w:eastAsia="Palatino Linotype" w:hAnsi="Palatino Linotype" w:cs="Palatino Linotype"/>
          <w:color w:val="000000" w:themeColor="text1"/>
        </w:rPr>
        <w:t xml:space="preserve"> incompleta</w:t>
      </w:r>
      <w:r w:rsidR="00236042" w:rsidRPr="00E7413A">
        <w:rPr>
          <w:rFonts w:ascii="Palatino Linotype" w:eastAsia="Palatino Linotype" w:hAnsi="Palatino Linotype" w:cs="Palatino Linotype"/>
          <w:color w:val="000000" w:themeColor="text1"/>
        </w:rPr>
        <w:t>.</w:t>
      </w:r>
    </w:p>
    <w:p w:rsidR="00E31311" w:rsidRPr="00E7413A" w:rsidRDefault="00E31311" w:rsidP="00E7413A">
      <w:pPr>
        <w:tabs>
          <w:tab w:val="left" w:pos="933"/>
        </w:tabs>
        <w:spacing w:line="360" w:lineRule="auto"/>
        <w:jc w:val="both"/>
        <w:rPr>
          <w:rFonts w:ascii="Palatino Linotype" w:eastAsia="Palatino Linotype" w:hAnsi="Palatino Linotype" w:cs="Palatino Linotype"/>
          <w:color w:val="000000" w:themeColor="text1"/>
        </w:rPr>
      </w:pPr>
    </w:p>
    <w:p w:rsidR="00E31311" w:rsidRPr="00E7413A" w:rsidRDefault="00DF6EAE"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eastAsia="Palatino Linotype" w:hAnsi="Palatino Linotype" w:cs="Palatino Linotype"/>
          <w:color w:val="000000" w:themeColor="text1"/>
        </w:rPr>
        <w:t>En dichas condiciones</w:t>
      </w:r>
      <w:r w:rsidR="00E938F5" w:rsidRPr="00E7413A">
        <w:rPr>
          <w:rFonts w:ascii="Palatino Linotype" w:eastAsia="Palatino Linotype" w:hAnsi="Palatino Linotype" w:cs="Palatino Linotype"/>
          <w:color w:val="000000" w:themeColor="text1"/>
        </w:rPr>
        <w:t xml:space="preserve"> se presume que el particular se duele de la negativa de la entrega de la información</w:t>
      </w:r>
      <w:r w:rsidRPr="00E7413A">
        <w:rPr>
          <w:rFonts w:ascii="Palatino Linotype" w:eastAsia="Palatino Linotype" w:hAnsi="Palatino Linotype" w:cs="Palatino Linotype"/>
          <w:color w:val="000000" w:themeColor="text1"/>
        </w:rPr>
        <w:t>,</w:t>
      </w:r>
      <w:r w:rsidR="00E938F5" w:rsidRPr="00E7413A">
        <w:rPr>
          <w:rFonts w:ascii="Palatino Linotype" w:eastAsia="Palatino Linotype" w:hAnsi="Palatino Linotype" w:cs="Palatino Linotype"/>
          <w:color w:val="000000" w:themeColor="text1"/>
        </w:rPr>
        <w:t xml:space="preserve"> por lo tanto</w:t>
      </w:r>
      <w:r w:rsidRPr="00E7413A">
        <w:rPr>
          <w:rFonts w:ascii="Palatino Linotype" w:eastAsia="Palatino Linotype" w:hAnsi="Palatino Linotype" w:cs="Palatino Linotype"/>
          <w:color w:val="000000" w:themeColor="text1"/>
        </w:rPr>
        <w:t xml:space="preserve"> la </w:t>
      </w:r>
      <w:r w:rsidRPr="00E7413A">
        <w:rPr>
          <w:rFonts w:ascii="Palatino Linotype" w:eastAsia="Palatino Linotype" w:hAnsi="Palatino Linotype" w:cs="Palatino Linotype"/>
          <w:i/>
          <w:color w:val="000000" w:themeColor="text1"/>
        </w:rPr>
        <w:t>Litis</w:t>
      </w:r>
      <w:r w:rsidRPr="00E7413A">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14AB9" w:rsidRPr="00E7413A">
        <w:rPr>
          <w:rFonts w:ascii="Palatino Linotype" w:eastAsia="Palatino Linotype" w:hAnsi="Palatino Linotype" w:cs="Palatino Linotype"/>
          <w:b/>
          <w:color w:val="000000" w:themeColor="text1"/>
        </w:rPr>
        <w:t>fracción</w:t>
      </w:r>
      <w:r w:rsidRPr="00E7413A">
        <w:rPr>
          <w:rFonts w:ascii="Palatino Linotype" w:eastAsia="Palatino Linotype" w:hAnsi="Palatino Linotype" w:cs="Palatino Linotype"/>
          <w:b/>
          <w:color w:val="000000" w:themeColor="text1"/>
        </w:rPr>
        <w:t xml:space="preserve"> </w:t>
      </w:r>
      <w:r w:rsidR="00DA5371" w:rsidRPr="00E7413A">
        <w:rPr>
          <w:rFonts w:ascii="Palatino Linotype" w:eastAsia="Palatino Linotype" w:hAnsi="Palatino Linotype" w:cs="Palatino Linotype"/>
          <w:b/>
          <w:color w:val="000000" w:themeColor="text1"/>
        </w:rPr>
        <w:t>V</w:t>
      </w:r>
      <w:r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 xml:space="preserve">de la </w:t>
      </w:r>
      <w:r w:rsidRPr="00E7413A">
        <w:rPr>
          <w:rFonts w:ascii="Palatino Linotype" w:eastAsia="Palatino Linotype" w:hAnsi="Palatino Linotype" w:cs="Palatino Linotype"/>
          <w:b/>
          <w:color w:val="000000" w:themeColor="text1"/>
        </w:rPr>
        <w:t>Ley de Transparencia y Acceso a la Información Pública del Estado de México y Municipios</w:t>
      </w:r>
      <w:r w:rsidRPr="00E7413A">
        <w:rPr>
          <w:rFonts w:ascii="Palatino Linotype" w:eastAsia="Palatino Linotype" w:hAnsi="Palatino Linotype" w:cs="Palatino Linotype"/>
          <w:color w:val="000000" w:themeColor="text1"/>
        </w:rPr>
        <w:t xml:space="preserve">; </w:t>
      </w:r>
      <w:r w:rsidR="00914AB9" w:rsidRPr="00E7413A">
        <w:rPr>
          <w:rFonts w:ascii="Palatino Linotype" w:eastAsia="Palatino Linotype" w:hAnsi="Palatino Linotype" w:cs="Palatino Linotype"/>
          <w:color w:val="000000" w:themeColor="text1"/>
        </w:rPr>
        <w:t>fracción</w:t>
      </w:r>
      <w:r w:rsidRPr="00E7413A">
        <w:rPr>
          <w:rFonts w:ascii="Palatino Linotype" w:eastAsia="Palatino Linotype" w:hAnsi="Palatino Linotype" w:cs="Palatino Linotype"/>
          <w:color w:val="000000" w:themeColor="text1"/>
        </w:rPr>
        <w:t xml:space="preserve"> que determina la hipót</w:t>
      </w:r>
      <w:r w:rsidR="00677898" w:rsidRPr="00E7413A">
        <w:rPr>
          <w:rFonts w:ascii="Palatino Linotype" w:eastAsia="Palatino Linotype" w:hAnsi="Palatino Linotype" w:cs="Palatino Linotype"/>
          <w:color w:val="000000" w:themeColor="text1"/>
        </w:rPr>
        <w:t xml:space="preserve">esis jurídica relativa a </w:t>
      </w:r>
      <w:r w:rsidR="00236042" w:rsidRPr="00E7413A">
        <w:rPr>
          <w:rFonts w:ascii="Palatino Linotype" w:eastAsia="Palatino Linotype" w:hAnsi="Palatino Linotype" w:cs="Palatino Linotype"/>
          <w:color w:val="000000" w:themeColor="text1"/>
        </w:rPr>
        <w:t xml:space="preserve">la </w:t>
      </w:r>
      <w:r w:rsidR="00DA5371" w:rsidRPr="00E7413A">
        <w:rPr>
          <w:rFonts w:ascii="Palatino Linotype" w:eastAsia="Palatino Linotype" w:hAnsi="Palatino Linotype" w:cs="Palatino Linotype"/>
          <w:color w:val="000000" w:themeColor="text1"/>
        </w:rPr>
        <w:t>entrega de información incompleta</w:t>
      </w:r>
      <w:r w:rsidRPr="00E7413A">
        <w:rPr>
          <w:rFonts w:ascii="Palatino Linotype" w:eastAsia="Palatino Linotype" w:hAnsi="Palatino Linotype" w:cs="Palatino Linotype"/>
          <w:color w:val="000000" w:themeColor="text1"/>
        </w:rPr>
        <w:t xml:space="preserve">; contexto del cual se dolió </w:t>
      </w:r>
      <w:r w:rsidR="00914AB9" w:rsidRPr="00E7413A">
        <w:rPr>
          <w:rFonts w:ascii="Palatino Linotype" w:eastAsia="Palatino Linotype" w:hAnsi="Palatino Linotype" w:cs="Palatino Linotype"/>
          <w:b/>
          <w:color w:val="000000" w:themeColor="text1"/>
        </w:rPr>
        <w:t>EL</w:t>
      </w:r>
      <w:r w:rsidR="00BB66B2" w:rsidRPr="00E7413A">
        <w:rPr>
          <w:rFonts w:ascii="Palatino Linotype" w:eastAsia="Palatino Linotype" w:hAnsi="Palatino Linotype" w:cs="Palatino Linotype"/>
          <w:b/>
          <w:color w:val="000000" w:themeColor="text1"/>
        </w:rPr>
        <w:t xml:space="preserve"> RECURRENTE</w:t>
      </w:r>
      <w:r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al momento de interponer su inconformidad.</w:t>
      </w:r>
    </w:p>
    <w:p w:rsidR="00150225" w:rsidRPr="00E7413A" w:rsidRDefault="00150225" w:rsidP="00E7413A">
      <w:pPr>
        <w:spacing w:line="360" w:lineRule="auto"/>
        <w:rPr>
          <w:rFonts w:ascii="Palatino Linotype" w:hAnsi="Palatino Linotype"/>
          <w:color w:val="000000" w:themeColor="text1"/>
        </w:rPr>
      </w:pPr>
    </w:p>
    <w:p w:rsidR="00E31311" w:rsidRPr="00E7413A" w:rsidRDefault="00914AB9"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eastAsia="Palatino Linotype" w:hAnsi="Palatino Linotype" w:cs="Palatino Linotype"/>
          <w:color w:val="000000" w:themeColor="text1"/>
        </w:rPr>
        <w:t>De modo tal que el presente R</w:t>
      </w:r>
      <w:r w:rsidR="00DF6EAE" w:rsidRPr="00E7413A">
        <w:rPr>
          <w:rFonts w:ascii="Palatino Linotype" w:eastAsia="Palatino Linotype" w:hAnsi="Palatino Linotype" w:cs="Palatino Linotype"/>
          <w:color w:val="000000" w:themeColor="text1"/>
        </w:rPr>
        <w:t xml:space="preserve">ecurso de </w:t>
      </w:r>
      <w:r w:rsidRPr="00E7413A">
        <w:rPr>
          <w:rFonts w:ascii="Palatino Linotype" w:eastAsia="Palatino Linotype" w:hAnsi="Palatino Linotype" w:cs="Palatino Linotype"/>
          <w:color w:val="000000" w:themeColor="text1"/>
        </w:rPr>
        <w:t>R</w:t>
      </w:r>
      <w:r w:rsidR="00DF6EAE" w:rsidRPr="00E7413A">
        <w:rPr>
          <w:rFonts w:ascii="Palatino Linotype" w:eastAsia="Palatino Linotype" w:hAnsi="Palatino Linotype" w:cs="Palatino Linotype"/>
          <w:color w:val="000000" w:themeColor="text1"/>
        </w:rPr>
        <w:t xml:space="preserve">evisión se abocará en determinar si el </w:t>
      </w:r>
      <w:r w:rsidR="00DF6EAE" w:rsidRPr="00E7413A">
        <w:rPr>
          <w:rFonts w:ascii="Palatino Linotype" w:eastAsia="Palatino Linotype" w:hAnsi="Palatino Linotype" w:cs="Palatino Linotype"/>
          <w:b/>
          <w:color w:val="000000" w:themeColor="text1"/>
        </w:rPr>
        <w:t>SUJETO</w:t>
      </w:r>
      <w:r w:rsidR="00DF6EAE" w:rsidRPr="00E7413A">
        <w:rPr>
          <w:rFonts w:ascii="Palatino Linotype" w:eastAsia="Palatino Linotype" w:hAnsi="Palatino Linotype" w:cs="Palatino Linotype"/>
          <w:color w:val="000000" w:themeColor="text1"/>
        </w:rPr>
        <w:t xml:space="preserve"> </w:t>
      </w:r>
      <w:r w:rsidR="00DF6EAE" w:rsidRPr="00E7413A">
        <w:rPr>
          <w:rFonts w:ascii="Palatino Linotype" w:eastAsia="Palatino Linotype" w:hAnsi="Palatino Linotype" w:cs="Palatino Linotype"/>
          <w:b/>
          <w:color w:val="000000" w:themeColor="text1"/>
        </w:rPr>
        <w:t>OBLIGADO</w:t>
      </w:r>
      <w:r w:rsidR="00DF6EAE" w:rsidRPr="00E7413A">
        <w:rPr>
          <w:rFonts w:ascii="Palatino Linotype" w:eastAsia="Palatino Linotype" w:hAnsi="Palatino Linotype" w:cs="Palatino Linotype"/>
          <w:color w:val="000000" w:themeColor="text1"/>
        </w:rPr>
        <w:t xml:space="preserve"> con su respuesta ciertamente actualiza la causal de procedencia</w:t>
      </w:r>
      <w:r w:rsidR="00DF6EAE" w:rsidRPr="00E7413A">
        <w:rPr>
          <w:rFonts w:ascii="Palatino Linotype" w:eastAsia="Palatino Linotype" w:hAnsi="Palatino Linotype" w:cs="Palatino Linotype"/>
          <w:b/>
          <w:color w:val="000000" w:themeColor="text1"/>
        </w:rPr>
        <w:t xml:space="preserve"> </w:t>
      </w:r>
      <w:r w:rsidR="00DF6EAE" w:rsidRPr="00E7413A">
        <w:rPr>
          <w:rFonts w:ascii="Palatino Linotype" w:eastAsia="Palatino Linotype" w:hAnsi="Palatino Linotype" w:cs="Palatino Linotype"/>
          <w:color w:val="000000" w:themeColor="text1"/>
        </w:rPr>
        <w:t xml:space="preserve">antes señalada. </w:t>
      </w:r>
    </w:p>
    <w:p w:rsidR="00516184" w:rsidRPr="00E7413A" w:rsidRDefault="00516184" w:rsidP="00E7413A">
      <w:pPr>
        <w:pStyle w:val="Prrafodelista"/>
        <w:spacing w:line="360" w:lineRule="auto"/>
        <w:ind w:left="0"/>
        <w:rPr>
          <w:rFonts w:ascii="Palatino Linotype" w:hAnsi="Palatino Linotype"/>
          <w:color w:val="000000" w:themeColor="text1"/>
        </w:rPr>
      </w:pPr>
    </w:p>
    <w:p w:rsidR="00E31311" w:rsidRPr="00E7413A" w:rsidRDefault="00DF6EAE" w:rsidP="00E7413A">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E7413A">
        <w:rPr>
          <w:rFonts w:ascii="Palatino Linotype" w:eastAsia="Palatino Linotype" w:hAnsi="Palatino Linotype" w:cs="Palatino Linotype"/>
          <w:b/>
          <w:color w:val="000000" w:themeColor="text1"/>
          <w:sz w:val="24"/>
          <w:szCs w:val="24"/>
        </w:rPr>
        <w:lastRenderedPageBreak/>
        <w:t>CUARTO. Del estudio y resolución del asunto.</w:t>
      </w:r>
    </w:p>
    <w:p w:rsidR="006B1EE0" w:rsidRPr="00E7413A" w:rsidRDefault="006B1EE0"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04EE5" w:rsidRPr="00E7413A" w:rsidRDefault="00304EE5" w:rsidP="00E7413A">
      <w:pPr>
        <w:spacing w:line="360" w:lineRule="auto"/>
        <w:jc w:val="both"/>
        <w:rPr>
          <w:rFonts w:ascii="Palatino Linotype" w:eastAsia="Palatino Linotype" w:hAnsi="Palatino Linotype" w:cs="Palatino Linotype"/>
          <w:color w:val="000000" w:themeColor="text1"/>
        </w:rPr>
      </w:pPr>
    </w:p>
    <w:p w:rsidR="006B1EE0" w:rsidRPr="00E7413A" w:rsidRDefault="006B1EE0"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2E18" w:rsidRPr="00E7413A" w:rsidRDefault="009E2E18" w:rsidP="00E7413A">
      <w:pPr>
        <w:pStyle w:val="Prrafodelista"/>
        <w:spacing w:line="360" w:lineRule="auto"/>
        <w:ind w:left="0"/>
        <w:rPr>
          <w:rFonts w:ascii="Palatino Linotype" w:eastAsia="Palatino Linotype" w:hAnsi="Palatino Linotype" w:cs="Palatino Linotype"/>
          <w:color w:val="000000" w:themeColor="text1"/>
        </w:rPr>
      </w:pPr>
    </w:p>
    <w:p w:rsidR="006B1EE0" w:rsidRPr="00E7413A" w:rsidRDefault="006B1EE0"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w:t>
      </w:r>
      <w:r w:rsidRPr="00E7413A">
        <w:rPr>
          <w:rFonts w:ascii="Palatino Linotype" w:eastAsia="Palatino Linotype" w:hAnsi="Palatino Linotype" w:cs="Palatino Linotype"/>
          <w:color w:val="000000" w:themeColor="text1"/>
        </w:rPr>
        <w:lastRenderedPageBreak/>
        <w:t>encontrarse publicada en cualquier medio de difusión o porque la requieren a través de una solicitud de acceso a la información, siempre y cuando no encuadre en una de las excepciones contempladas por la ley.</w:t>
      </w:r>
    </w:p>
    <w:p w:rsidR="00A373FC" w:rsidRPr="00E7413A" w:rsidRDefault="00A373FC" w:rsidP="00E7413A">
      <w:pPr>
        <w:pStyle w:val="Prrafodelista"/>
        <w:spacing w:line="360" w:lineRule="auto"/>
        <w:ind w:left="0"/>
        <w:rPr>
          <w:rFonts w:ascii="Palatino Linotype" w:eastAsia="Palatino Linotype" w:hAnsi="Palatino Linotype" w:cs="Palatino Linotype"/>
          <w:color w:val="000000" w:themeColor="text1"/>
        </w:rPr>
      </w:pPr>
    </w:p>
    <w:p w:rsidR="00384231" w:rsidRPr="00E7413A" w:rsidRDefault="006B1EE0"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eastAsia="Palatino Linotype" w:hAnsi="Palatino Linotype" w:cs="Palatino Linotype"/>
          <w:color w:val="000000" w:themeColor="text1"/>
        </w:rPr>
        <w:t xml:space="preserve">Una vez sentado lo anterior, resulta </w:t>
      </w:r>
      <w:r w:rsidR="00304EE5" w:rsidRPr="00E7413A">
        <w:rPr>
          <w:rFonts w:ascii="Palatino Linotype" w:eastAsia="Palatino Linotype" w:hAnsi="Palatino Linotype" w:cs="Palatino Linotype"/>
          <w:color w:val="000000" w:themeColor="text1"/>
        </w:rPr>
        <w:t xml:space="preserve">dable traer primeramente a contexto </w:t>
      </w:r>
      <w:r w:rsidR="004974CF" w:rsidRPr="00E7413A">
        <w:rPr>
          <w:rFonts w:ascii="Palatino Linotype" w:eastAsia="Palatino Linotype" w:hAnsi="Palatino Linotype" w:cs="Palatino Linotype"/>
          <w:color w:val="000000" w:themeColor="text1"/>
        </w:rPr>
        <w:t xml:space="preserve">el motivo de inconformidad, </w:t>
      </w:r>
      <w:r w:rsidR="00384231" w:rsidRPr="00E7413A">
        <w:rPr>
          <w:rFonts w:ascii="Palatino Linotype" w:eastAsia="Palatino Linotype" w:hAnsi="Palatino Linotype" w:cs="Palatino Linotype"/>
          <w:color w:val="000000" w:themeColor="text1"/>
        </w:rPr>
        <w:t>del que se desprende solo se inconforma por la falta de firma autógrafa de un servidor público y de la información relativa a las partidas 1320 y 1345, consintiendo lo entregado en respuesta.</w:t>
      </w:r>
    </w:p>
    <w:p w:rsidR="00384231" w:rsidRPr="00E7413A" w:rsidRDefault="00384231" w:rsidP="00E7413A">
      <w:pPr>
        <w:pStyle w:val="Prrafodelista"/>
        <w:spacing w:line="360" w:lineRule="auto"/>
        <w:ind w:left="0"/>
        <w:rPr>
          <w:rFonts w:ascii="Palatino Linotype" w:eastAsia="Palatino Linotype" w:hAnsi="Palatino Linotype" w:cs="Palatino Linotype"/>
          <w:color w:val="000000" w:themeColor="text1"/>
        </w:rPr>
      </w:pPr>
    </w:p>
    <w:p w:rsidR="00BD3C95" w:rsidRPr="00E7413A" w:rsidRDefault="00BD3C95"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BD3C95" w:rsidRPr="00E7413A" w:rsidRDefault="00BD3C95" w:rsidP="00E7413A">
      <w:pPr>
        <w:pStyle w:val="Prrafodelista"/>
        <w:spacing w:line="360" w:lineRule="auto"/>
        <w:ind w:left="0"/>
        <w:rPr>
          <w:rFonts w:ascii="Palatino Linotype" w:eastAsia="Palatino Linotype" w:hAnsi="Palatino Linotype" w:cs="Palatino Linotype"/>
          <w:color w:val="000000" w:themeColor="text1"/>
        </w:rPr>
      </w:pPr>
    </w:p>
    <w:p w:rsidR="00BD3C95" w:rsidRPr="00E7413A" w:rsidRDefault="00BD3C95"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BD3C95" w:rsidRPr="00E7413A" w:rsidRDefault="00BD3C95" w:rsidP="00E7413A">
      <w:pPr>
        <w:tabs>
          <w:tab w:val="left" w:pos="851"/>
        </w:tabs>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 xml:space="preserve">“ACTOS CONSENTIDOS. SON LOS QUE NO SE IMPUGNAN MEDIANTE EL RECURSO IDÓNEO. </w:t>
      </w:r>
      <w:r w:rsidRPr="00E7413A">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D3C95" w:rsidRPr="00E7413A" w:rsidRDefault="00BD3C95" w:rsidP="00E7413A">
      <w:pPr>
        <w:tabs>
          <w:tab w:val="left" w:pos="851"/>
        </w:tabs>
        <w:spacing w:line="360" w:lineRule="auto"/>
        <w:jc w:val="both"/>
        <w:rPr>
          <w:rFonts w:ascii="Palatino Linotype" w:eastAsia="Palatino Linotype" w:hAnsi="Palatino Linotype" w:cs="Palatino Linotype"/>
          <w:i/>
          <w:color w:val="000000" w:themeColor="text1"/>
        </w:rPr>
      </w:pPr>
    </w:p>
    <w:p w:rsidR="00BD3C95" w:rsidRPr="00E7413A" w:rsidRDefault="00BD3C95"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 xml:space="preserve">De la interpretación del criterio antes citado, se advierte que cuando el particular impugnó la respuesta del </w:t>
      </w:r>
      <w:r w:rsidRPr="00E7413A">
        <w:rPr>
          <w:rFonts w:ascii="Palatino Linotype" w:eastAsia="Palatino Linotype" w:hAnsi="Palatino Linotype" w:cs="Palatino Linotype"/>
          <w:b/>
          <w:color w:val="000000" w:themeColor="text1"/>
        </w:rPr>
        <w:t>SUJETO OBLIGADO</w:t>
      </w:r>
      <w:r w:rsidRPr="00E7413A">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E7413A">
        <w:rPr>
          <w:rFonts w:ascii="Palatino Linotype" w:eastAsia="Palatino Linotype" w:hAnsi="Palatino Linotype" w:cs="Palatino Linotype"/>
          <w:b/>
          <w:color w:val="000000" w:themeColor="text1"/>
        </w:rPr>
        <w:t>EL RECURRENTE</w:t>
      </w:r>
      <w:r w:rsidRPr="00E7413A">
        <w:rPr>
          <w:rFonts w:ascii="Palatino Linotype" w:eastAsia="Palatino Linotype" w:hAnsi="Palatino Linotype" w:cs="Palatino Linotype"/>
          <w:color w:val="000000" w:themeColor="text1"/>
        </w:rPr>
        <w:t xml:space="preserve"> está conforme con la respuesta proporcionada por </w:t>
      </w:r>
      <w:r w:rsidRPr="00E7413A">
        <w:rPr>
          <w:rFonts w:ascii="Palatino Linotype" w:eastAsia="Palatino Linotype" w:hAnsi="Palatino Linotype" w:cs="Palatino Linotype"/>
          <w:b/>
          <w:color w:val="000000" w:themeColor="text1"/>
        </w:rPr>
        <w:t>EL SUJETO OBLIGADO,</w:t>
      </w:r>
      <w:r w:rsidRPr="00E7413A">
        <w:rPr>
          <w:rFonts w:ascii="Palatino Linotype" w:eastAsia="Palatino Linotype" w:hAnsi="Palatino Linotype" w:cs="Palatino Linotype"/>
          <w:color w:val="000000" w:themeColor="text1"/>
        </w:rPr>
        <w:t xml:space="preserve"> al no contravenir la misma.</w:t>
      </w:r>
    </w:p>
    <w:p w:rsidR="00BD3C95" w:rsidRPr="00E7413A" w:rsidRDefault="00BD3C95" w:rsidP="00E7413A">
      <w:pPr>
        <w:spacing w:line="360" w:lineRule="auto"/>
        <w:jc w:val="both"/>
        <w:rPr>
          <w:rFonts w:ascii="Palatino Linotype" w:eastAsia="Palatino Linotype" w:hAnsi="Palatino Linotype" w:cs="Palatino Linotype"/>
          <w:color w:val="000000" w:themeColor="text1"/>
        </w:rPr>
      </w:pPr>
    </w:p>
    <w:p w:rsidR="00BD3C95" w:rsidRPr="00E7413A" w:rsidRDefault="00BD3C95"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rsidR="00BD3C95" w:rsidRPr="00E7413A" w:rsidRDefault="00BD3C95" w:rsidP="00E7413A">
      <w:pPr>
        <w:tabs>
          <w:tab w:val="left" w:pos="7937"/>
          <w:tab w:val="left" w:pos="8222"/>
        </w:tabs>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 xml:space="preserve">“REVISIÓN EN AMPARO. LOS RESOLUTIVOS NO COMBATIDOS DEBEN DECLARARSE FIRMES. </w:t>
      </w:r>
      <w:r w:rsidRPr="00E7413A">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D3C95" w:rsidRPr="00E7413A" w:rsidRDefault="00BD3C95" w:rsidP="00E7413A">
      <w:pPr>
        <w:tabs>
          <w:tab w:val="left" w:pos="7937"/>
          <w:tab w:val="left" w:pos="8222"/>
        </w:tabs>
        <w:spacing w:line="360" w:lineRule="auto"/>
        <w:jc w:val="both"/>
        <w:rPr>
          <w:rFonts w:ascii="Palatino Linotype" w:eastAsia="Palatino Linotype" w:hAnsi="Palatino Linotype" w:cs="Palatino Linotype"/>
          <w:i/>
          <w:color w:val="000000" w:themeColor="text1"/>
        </w:rPr>
      </w:pPr>
    </w:p>
    <w:p w:rsidR="00BD3C95" w:rsidRDefault="00BD3C95"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En consecuencia que los demás fundamentos remitidos en respuesta. Se consideran un acto consentido y, en consecuencia, este Órgano Resolutor no entrará al estudio del mismo por las razones hasta aquí expuestas. </w:t>
      </w:r>
    </w:p>
    <w:p w:rsidR="00E7413A" w:rsidRPr="00E7413A" w:rsidRDefault="00E7413A" w:rsidP="00E7413A">
      <w:pPr>
        <w:spacing w:line="360" w:lineRule="auto"/>
        <w:jc w:val="both"/>
        <w:rPr>
          <w:rFonts w:ascii="Palatino Linotype" w:eastAsia="Palatino Linotype" w:hAnsi="Palatino Linotype" w:cs="Palatino Linotype"/>
          <w:color w:val="000000" w:themeColor="text1"/>
        </w:rPr>
      </w:pPr>
    </w:p>
    <w:p w:rsidR="00A5781D" w:rsidRPr="00E7413A" w:rsidRDefault="00BD3C95"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eastAsia="Palatino Linotype" w:hAnsi="Palatino Linotype" w:cs="Palatino Linotype"/>
          <w:color w:val="000000" w:themeColor="text1"/>
        </w:rPr>
        <w:t>R</w:t>
      </w:r>
      <w:r w:rsidR="004974CF" w:rsidRPr="00E7413A">
        <w:rPr>
          <w:rFonts w:ascii="Palatino Linotype" w:eastAsia="Palatino Linotype" w:hAnsi="Palatino Linotype" w:cs="Palatino Linotype"/>
          <w:color w:val="000000" w:themeColor="text1"/>
        </w:rPr>
        <w:t xml:space="preserve">elativo a que lo entregado no se encuentra firmado por el Coordinador Administrativo; </w:t>
      </w:r>
      <w:r w:rsidRPr="00E7413A">
        <w:rPr>
          <w:rFonts w:ascii="Palatino Linotype" w:eastAsia="Palatino Linotype" w:hAnsi="Palatino Linotype" w:cs="Palatino Linotype"/>
          <w:color w:val="000000" w:themeColor="text1"/>
        </w:rPr>
        <w:t xml:space="preserve">corresponde a un </w:t>
      </w:r>
      <w:r w:rsidR="004974CF" w:rsidRPr="00E7413A">
        <w:rPr>
          <w:rFonts w:ascii="Palatino Linotype" w:eastAsia="Palatino Linotype" w:hAnsi="Palatino Linotype" w:cs="Palatino Linotype"/>
          <w:color w:val="000000" w:themeColor="text1"/>
        </w:rPr>
        <w:t xml:space="preserve">contexto que resulta improcedente, en virtud que </w:t>
      </w:r>
      <w:r w:rsidR="00E7413A" w:rsidRPr="00E7413A">
        <w:rPr>
          <w:rFonts w:ascii="Palatino Linotype" w:eastAsia="Palatino Linotype" w:hAnsi="Palatino Linotype" w:cs="Palatino Linotype"/>
          <w:color w:val="000000" w:themeColor="text1"/>
        </w:rPr>
        <w:t xml:space="preserve">el </w:t>
      </w:r>
      <w:r w:rsidR="00E7413A" w:rsidRPr="00E7413A">
        <w:rPr>
          <w:rFonts w:ascii="Palatino Linotype" w:eastAsia="Palatino Linotype" w:hAnsi="Palatino Linotype" w:cs="Palatino Linotype"/>
          <w:color w:val="000000" w:themeColor="text1"/>
        </w:rPr>
        <w:lastRenderedPageBreak/>
        <w:t>acceso</w:t>
      </w:r>
      <w:r w:rsidR="004974CF" w:rsidRPr="00E7413A">
        <w:rPr>
          <w:rFonts w:ascii="Palatino Linotype" w:eastAsia="Palatino Linotype" w:hAnsi="Palatino Linotype" w:cs="Palatino Linotype"/>
          <w:color w:val="000000" w:themeColor="text1"/>
        </w:rPr>
        <w:t xml:space="preserve"> a la información pública, es un derecho que se colma con la entrega de documentos generados por los entes públicos en ejercicio de sus funciones y atribuciones, sin la necesidad de generar documentos </w:t>
      </w:r>
      <w:r w:rsidR="004974CF" w:rsidRPr="00E7413A">
        <w:rPr>
          <w:rFonts w:ascii="Palatino Linotype" w:eastAsia="Palatino Linotype" w:hAnsi="Palatino Linotype" w:cs="Palatino Linotype"/>
          <w:i/>
          <w:color w:val="000000" w:themeColor="text1"/>
        </w:rPr>
        <w:t xml:space="preserve">ad hoc </w:t>
      </w:r>
      <w:r w:rsidR="004974CF" w:rsidRPr="00E7413A">
        <w:rPr>
          <w:rFonts w:ascii="Palatino Linotype" w:eastAsia="Palatino Linotype" w:hAnsi="Palatino Linotype" w:cs="Palatino Linotype"/>
          <w:color w:val="000000" w:themeColor="text1"/>
        </w:rPr>
        <w:t>conforme a los intereses particulares de los solicitantes.</w:t>
      </w:r>
      <w:r w:rsidR="00A5781D" w:rsidRPr="00E7413A">
        <w:rPr>
          <w:rFonts w:ascii="Palatino Linotype" w:eastAsia="Palatino Linotype" w:hAnsi="Palatino Linotype" w:cs="Palatino Linotype"/>
          <w:color w:val="000000" w:themeColor="text1"/>
        </w:rPr>
        <w:t xml:space="preserve"> </w:t>
      </w:r>
      <w:r w:rsidR="00A5781D" w:rsidRPr="00E7413A">
        <w:rPr>
          <w:rFonts w:ascii="Palatino Linotype" w:eastAsia="MS Mincho" w:hAnsi="Palatino Linotype" w:cs="Arial"/>
          <w:color w:val="000000" w:themeColor="text1"/>
        </w:rPr>
        <w:t>c</w:t>
      </w:r>
      <w:r w:rsidR="00A5781D" w:rsidRPr="00E7413A">
        <w:rPr>
          <w:rFonts w:ascii="Palatino Linotype" w:hAnsi="Palatino Linotype" w:cs="Arial"/>
          <w:color w:val="000000" w:themeColor="text1"/>
        </w:rPr>
        <w:t xml:space="preserve">omo apoyo a lo anterior, es aplicable por analogía el </w:t>
      </w:r>
      <w:r w:rsidR="00A5781D" w:rsidRPr="00E7413A">
        <w:rPr>
          <w:rFonts w:ascii="Palatino Linotype" w:hAnsi="Palatino Linotype" w:cs="Arial"/>
          <w:b/>
          <w:color w:val="000000" w:themeColor="text1"/>
        </w:rPr>
        <w:t>Criterio 03/17</w:t>
      </w:r>
      <w:r w:rsidR="00A5781D" w:rsidRPr="00E7413A">
        <w:rPr>
          <w:rFonts w:ascii="Palatino Linotype" w:hAnsi="Palatino Linotype" w:cs="Arial"/>
          <w:color w:val="000000" w:themeColor="text1"/>
        </w:rPr>
        <w:t>, emitido por el Pleno del Instituto Nacional de Transparencia, Acceso a la Información y Protección de Datos Personales (INAI)</w:t>
      </w:r>
      <w:r w:rsidR="00A5781D" w:rsidRPr="00E7413A">
        <w:rPr>
          <w:rFonts w:ascii="Palatino Linotype" w:hAnsi="Palatino Linotype" w:cs="Arial"/>
          <w:bCs/>
          <w:color w:val="000000" w:themeColor="text1"/>
        </w:rPr>
        <w:t>, que a la letra dice:</w:t>
      </w:r>
    </w:p>
    <w:p w:rsidR="00A5781D" w:rsidRPr="00E7413A" w:rsidRDefault="00A5781D" w:rsidP="00E7413A">
      <w:pPr>
        <w:pStyle w:val="Prrafodelista"/>
        <w:spacing w:line="360" w:lineRule="auto"/>
        <w:ind w:left="0"/>
        <w:jc w:val="both"/>
        <w:rPr>
          <w:rFonts w:ascii="Palatino Linotype" w:hAnsi="Palatino Linotype" w:cs="Arial"/>
          <w:bCs/>
          <w:i/>
          <w:color w:val="000000" w:themeColor="text1"/>
        </w:rPr>
      </w:pPr>
      <w:r w:rsidRPr="00E7413A">
        <w:rPr>
          <w:rFonts w:ascii="Palatino Linotype" w:hAnsi="Palatino Linotype" w:cs="Arial"/>
          <w:b/>
          <w:bCs/>
          <w:i/>
          <w:color w:val="000000" w:themeColor="text1"/>
        </w:rPr>
        <w:t xml:space="preserve">“No existe obligación de elaborar documentos ad hoc para atender las solicitudes de acceso a la información. </w:t>
      </w:r>
      <w:r w:rsidRPr="00E7413A">
        <w:rPr>
          <w:rFonts w:ascii="Palatino Linotype" w:hAnsi="Palatino Linotype" w:cs="Arial"/>
          <w:bCs/>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5781D" w:rsidRPr="00E7413A" w:rsidRDefault="00A5781D" w:rsidP="00E7413A">
      <w:pPr>
        <w:spacing w:line="360" w:lineRule="auto"/>
        <w:jc w:val="both"/>
        <w:rPr>
          <w:rFonts w:ascii="Palatino Linotype" w:hAnsi="Palatino Linotype" w:cs="Arial"/>
          <w:bCs/>
          <w:i/>
          <w:color w:val="000000" w:themeColor="text1"/>
        </w:rPr>
      </w:pPr>
    </w:p>
    <w:p w:rsidR="00516184" w:rsidRPr="00E7413A" w:rsidRDefault="00A5781D"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hAnsi="Palatino Linotype"/>
          <w:color w:val="000000" w:themeColor="text1"/>
        </w:rPr>
        <w:t xml:space="preserve">Luego entonces, si en lo entregado obra la información requerida, resulta improcedente que </w:t>
      </w:r>
      <w:r w:rsidR="009633CF" w:rsidRPr="00E7413A">
        <w:rPr>
          <w:rFonts w:ascii="Palatino Linotype" w:hAnsi="Palatino Linotype"/>
          <w:color w:val="000000" w:themeColor="text1"/>
        </w:rPr>
        <w:t>necesariamente deba estar firmado por determinado servidor público para integrarla conforme al interés particular de la solicitante.</w:t>
      </w:r>
    </w:p>
    <w:p w:rsidR="009633CF" w:rsidRPr="00E7413A" w:rsidRDefault="009633CF" w:rsidP="00E7413A">
      <w:pPr>
        <w:spacing w:line="360" w:lineRule="auto"/>
        <w:jc w:val="both"/>
        <w:rPr>
          <w:rFonts w:ascii="Palatino Linotype" w:hAnsi="Palatino Linotype"/>
          <w:color w:val="000000" w:themeColor="text1"/>
        </w:rPr>
      </w:pPr>
    </w:p>
    <w:p w:rsidR="00E23CDA" w:rsidRPr="00E7413A" w:rsidRDefault="00E23CDA"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hAnsi="Palatino Linotype"/>
          <w:color w:val="000000" w:themeColor="text1"/>
        </w:rPr>
        <w:t xml:space="preserve">En ese sentido no pasa desapercibido que la </w:t>
      </w:r>
      <w:r w:rsidRPr="00E7413A">
        <w:rPr>
          <w:rFonts w:ascii="Palatino Linotype" w:hAnsi="Palatino Linotype"/>
          <w:b/>
          <w:color w:val="000000" w:themeColor="text1"/>
        </w:rPr>
        <w:t xml:space="preserve">RECURRENTE </w:t>
      </w:r>
      <w:r w:rsidRPr="00E7413A">
        <w:rPr>
          <w:rFonts w:ascii="Palatino Linotype" w:hAnsi="Palatino Linotype"/>
          <w:color w:val="000000" w:themeColor="text1"/>
        </w:rPr>
        <w:t>en sus manifestaciones remitió los “</w:t>
      </w:r>
      <w:r w:rsidRPr="00E7413A">
        <w:rPr>
          <w:rFonts w:ascii="Palatino Linotype" w:hAnsi="Palatino Linotype"/>
          <w:i/>
          <w:color w:val="000000" w:themeColor="text1"/>
        </w:rPr>
        <w:t>Lineamientos para el otorgamiento de la Gratificación de Fin de Año 2023</w:t>
      </w:r>
      <w:r w:rsidRPr="00E7413A">
        <w:rPr>
          <w:rFonts w:ascii="Palatino Linotype" w:hAnsi="Palatino Linotype"/>
          <w:color w:val="000000" w:themeColor="text1"/>
        </w:rPr>
        <w:t xml:space="preserve">”, lo que el </w:t>
      </w:r>
      <w:r w:rsidRPr="00E7413A">
        <w:rPr>
          <w:rFonts w:ascii="Palatino Linotype" w:hAnsi="Palatino Linotype"/>
          <w:b/>
          <w:color w:val="000000" w:themeColor="text1"/>
        </w:rPr>
        <w:t>SUJETO OBLIGADO</w:t>
      </w:r>
      <w:r w:rsidRPr="00E7413A">
        <w:rPr>
          <w:rFonts w:ascii="Palatino Linotype" w:hAnsi="Palatino Linotype"/>
          <w:color w:val="000000" w:themeColor="text1"/>
        </w:rPr>
        <w:t xml:space="preserve"> interpretó como una ampliación de la solicitud; toda vez que esa </w:t>
      </w:r>
      <w:r w:rsidRPr="00E7413A">
        <w:rPr>
          <w:rFonts w:ascii="Palatino Linotype" w:hAnsi="Palatino Linotype"/>
          <w:color w:val="000000" w:themeColor="text1"/>
        </w:rPr>
        <w:lastRenderedPageBreak/>
        <w:t>anualidad no está incluida en la solicitud de información. No obstante la solicitante, lo adjunto con la finalidad de demostrar que de la disposición “Décima cuarta”, se desprende que el documento que es emitido del sistema de planeación y presupuesto (SPP), impreso, validado y firmado por las dependencias y organismos auxiliares, como se observa:</w:t>
      </w:r>
    </w:p>
    <w:p w:rsidR="00E23CDA" w:rsidRPr="00E7413A" w:rsidRDefault="00E23CDA" w:rsidP="00D119B4">
      <w:pPr>
        <w:spacing w:line="360" w:lineRule="auto"/>
        <w:jc w:val="center"/>
        <w:rPr>
          <w:rFonts w:ascii="Palatino Linotype" w:hAnsi="Palatino Linotype"/>
          <w:color w:val="000000" w:themeColor="text1"/>
        </w:rPr>
      </w:pPr>
      <w:r w:rsidRPr="00E7413A">
        <w:rPr>
          <w:rFonts w:ascii="Palatino Linotype" w:hAnsi="Palatino Linotype"/>
          <w:noProof/>
          <w:color w:val="000000" w:themeColor="text1"/>
          <w:lang w:val="es-MX" w:eastAsia="es-MX"/>
        </w:rPr>
        <w:drawing>
          <wp:inline distT="0" distB="0" distL="0" distR="0" wp14:anchorId="50F10B44" wp14:editId="282CE55D">
            <wp:extent cx="5671185" cy="139700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1397000"/>
                    </a:xfrm>
                    <a:prstGeom prst="rect">
                      <a:avLst/>
                    </a:prstGeom>
                  </pic:spPr>
                </pic:pic>
              </a:graphicData>
            </a:graphic>
          </wp:inline>
        </w:drawing>
      </w:r>
    </w:p>
    <w:p w:rsidR="00E23CDA" w:rsidRPr="00E7413A" w:rsidRDefault="00E23CDA" w:rsidP="00E7413A">
      <w:pPr>
        <w:spacing w:line="360" w:lineRule="auto"/>
        <w:rPr>
          <w:rFonts w:ascii="Palatino Linotype" w:hAnsi="Palatino Linotype"/>
          <w:color w:val="000000" w:themeColor="text1"/>
        </w:rPr>
      </w:pPr>
    </w:p>
    <w:p w:rsidR="00E23CDA" w:rsidRPr="00E7413A" w:rsidRDefault="00E23CDA"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hAnsi="Palatino Linotype"/>
          <w:color w:val="000000" w:themeColor="text1"/>
        </w:rPr>
        <w:t>Luego entonces, conforme a lo anteriormente señalado, los sujetos obligados deberán entregar la información que en ejercicio de sus funciones de derecho público hayan generado, poseído o administrado sin necesidad de procesarla, resumirla o entregarla conforme a los intereses de los solicitantes como se advierte de la respuesta emitida al asunto de mérito. No obstante, tampoco hay disposición legal o marco normativo que lo prohíba, siempre y cuando en lo entregado conste o se advierta lo solicitado.</w:t>
      </w:r>
    </w:p>
    <w:p w:rsidR="00E23CDA" w:rsidRPr="00E7413A" w:rsidRDefault="00E23CDA" w:rsidP="00E7413A">
      <w:pPr>
        <w:spacing w:line="360" w:lineRule="auto"/>
        <w:jc w:val="both"/>
        <w:rPr>
          <w:rFonts w:ascii="Palatino Linotype" w:hAnsi="Palatino Linotype"/>
          <w:color w:val="000000" w:themeColor="text1"/>
        </w:rPr>
      </w:pPr>
    </w:p>
    <w:p w:rsidR="009633CF" w:rsidRPr="00E7413A" w:rsidRDefault="00BD3C95"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hAnsi="Palatino Linotype"/>
          <w:color w:val="000000" w:themeColor="text1"/>
        </w:rPr>
        <w:t>Finalmente relativo a la falta de información correspondiente a las partidas</w:t>
      </w:r>
      <w:r w:rsidR="00E94027" w:rsidRPr="00E7413A">
        <w:rPr>
          <w:rFonts w:ascii="Palatino Linotype" w:hAnsi="Palatino Linotype"/>
          <w:color w:val="000000" w:themeColor="text1"/>
        </w:rPr>
        <w:t xml:space="preserve"> 1320 y 1345</w:t>
      </w:r>
      <w:r w:rsidR="00E23CDA" w:rsidRPr="00E7413A">
        <w:rPr>
          <w:rFonts w:ascii="Palatino Linotype" w:hAnsi="Palatino Linotype"/>
          <w:color w:val="000000" w:themeColor="text1"/>
        </w:rPr>
        <w:t>:</w:t>
      </w:r>
      <w:r w:rsidR="00E94027" w:rsidRPr="00E7413A">
        <w:rPr>
          <w:rFonts w:ascii="Palatino Linotype" w:hAnsi="Palatino Linotype"/>
          <w:color w:val="000000" w:themeColor="text1"/>
        </w:rPr>
        <w:t xml:space="preserve"> corresponde a un motivo de inconformidad procedente, derivado que de las constancias remitidas en calidad de respuesta, ciertamente se aprecia que no fue entregada información o pronunciamiento al respecto.</w:t>
      </w:r>
    </w:p>
    <w:p w:rsidR="00E94027" w:rsidRPr="00E7413A" w:rsidRDefault="00E94027" w:rsidP="00E7413A">
      <w:pPr>
        <w:pStyle w:val="Prrafodelista"/>
        <w:spacing w:line="360" w:lineRule="auto"/>
        <w:ind w:left="0"/>
        <w:rPr>
          <w:rFonts w:ascii="Palatino Linotype" w:hAnsi="Palatino Linotype"/>
          <w:color w:val="000000" w:themeColor="text1"/>
        </w:rPr>
      </w:pPr>
    </w:p>
    <w:p w:rsidR="00E94027" w:rsidRPr="00E7413A" w:rsidRDefault="00E94027"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hAnsi="Palatino Linotype"/>
          <w:color w:val="000000" w:themeColor="text1"/>
        </w:rPr>
        <w:lastRenderedPageBreak/>
        <w:t xml:space="preserve">No obstante en un hecho posterior a la interposición del recurso de revisión vía informe justificado, el </w:t>
      </w:r>
      <w:r w:rsidRPr="00E7413A">
        <w:rPr>
          <w:rFonts w:ascii="Palatino Linotype" w:hAnsi="Palatino Linotype"/>
          <w:b/>
          <w:color w:val="000000" w:themeColor="text1"/>
        </w:rPr>
        <w:t>SUJETO OBLIGADO</w:t>
      </w:r>
      <w:r w:rsidRPr="00E7413A">
        <w:rPr>
          <w:rFonts w:ascii="Palatino Linotype" w:hAnsi="Palatino Linotype"/>
          <w:color w:val="000000" w:themeColor="text1"/>
        </w:rPr>
        <w:t xml:space="preserve"> se pronunció al respecto</w:t>
      </w:r>
      <w:r w:rsidR="004D5A55" w:rsidRPr="00E7413A">
        <w:rPr>
          <w:rFonts w:ascii="Palatino Linotype" w:hAnsi="Palatino Linotype"/>
          <w:color w:val="000000" w:themeColor="text1"/>
        </w:rPr>
        <w:t>, señalando</w:t>
      </w:r>
      <w:r w:rsidRPr="00E7413A">
        <w:rPr>
          <w:rFonts w:ascii="Palatino Linotype" w:hAnsi="Palatino Linotype"/>
          <w:color w:val="000000" w:themeColor="text1"/>
        </w:rPr>
        <w:t xml:space="preserve"> </w:t>
      </w:r>
      <w:r w:rsidR="004D5A55" w:rsidRPr="00E7413A">
        <w:rPr>
          <w:rFonts w:ascii="Palatino Linotype" w:eastAsia="Palatino Linotype" w:hAnsi="Palatino Linotype" w:cs="Palatino Linotype"/>
          <w:color w:val="000000" w:themeColor="text1"/>
        </w:rPr>
        <w:t>que con relación a la partida 1320, independientemente de que su denominación es “Primas vacacionales, dominical y gratificación de fin de año”, solo tiene considerados dos pagos extraordinarios, los cuales corresponden a las sub partidas 1321 Prima vacacional y 1322 Aguinaldo, por lo que debido a que la solicitante solo requirió gratificaciones, la información de esa partida no fue incluida.</w:t>
      </w:r>
    </w:p>
    <w:p w:rsidR="004D5A55" w:rsidRPr="00E7413A" w:rsidRDefault="004D5A55" w:rsidP="00E7413A">
      <w:pPr>
        <w:pStyle w:val="Prrafodelista"/>
        <w:spacing w:line="360" w:lineRule="auto"/>
        <w:ind w:left="0"/>
        <w:rPr>
          <w:rFonts w:ascii="Palatino Linotype" w:hAnsi="Palatino Linotype"/>
          <w:color w:val="000000" w:themeColor="text1"/>
        </w:rPr>
      </w:pPr>
    </w:p>
    <w:p w:rsidR="004D5A55" w:rsidRPr="00E7413A" w:rsidRDefault="00DA77B4"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hAnsi="Palatino Linotype"/>
          <w:color w:val="000000" w:themeColor="text1"/>
        </w:rPr>
        <w:t>Respecto de la partida 1345 únicamente se aclaró que lo reflejado en la cuenta pública (referida en el escrito recursal) no coincide, toda vez que lo entregado en la respuesta corresponde únicamente a servidores públicos de sexo masculino, derivado que se pidió información de "su esposo"; sin embargo no se entregó información al respecto.</w:t>
      </w:r>
    </w:p>
    <w:p w:rsidR="00DA77B4" w:rsidRPr="00E7413A" w:rsidRDefault="00DA77B4" w:rsidP="00E7413A">
      <w:pPr>
        <w:pStyle w:val="Prrafodelista"/>
        <w:spacing w:line="360" w:lineRule="auto"/>
        <w:ind w:left="0"/>
        <w:rPr>
          <w:rFonts w:ascii="Palatino Linotype" w:hAnsi="Palatino Linotype"/>
          <w:color w:val="000000" w:themeColor="text1"/>
        </w:rPr>
      </w:pPr>
    </w:p>
    <w:p w:rsidR="00DA77B4" w:rsidRPr="00E7413A" w:rsidRDefault="0043724F" w:rsidP="00E7413A">
      <w:pPr>
        <w:numPr>
          <w:ilvl w:val="0"/>
          <w:numId w:val="3"/>
        </w:numPr>
        <w:spacing w:line="360" w:lineRule="auto"/>
        <w:ind w:left="0" w:firstLine="0"/>
        <w:jc w:val="both"/>
        <w:rPr>
          <w:rFonts w:ascii="Palatino Linotype" w:hAnsi="Palatino Linotype"/>
          <w:color w:val="000000" w:themeColor="text1"/>
        </w:rPr>
      </w:pPr>
      <w:r w:rsidRPr="00E7413A">
        <w:rPr>
          <w:rFonts w:ascii="Palatino Linotype" w:hAnsi="Palatino Linotype"/>
          <w:color w:val="000000" w:themeColor="text1"/>
        </w:rPr>
        <w:t xml:space="preserve">Luego entonces, respecto de la partida 1320, el </w:t>
      </w:r>
      <w:r w:rsidRPr="00E7413A">
        <w:rPr>
          <w:rFonts w:ascii="Palatino Linotype" w:hAnsi="Palatino Linotype"/>
          <w:b/>
          <w:color w:val="000000" w:themeColor="text1"/>
        </w:rPr>
        <w:t>SUJETO OBLIGADO</w:t>
      </w:r>
      <w:r w:rsidRPr="00E7413A">
        <w:rPr>
          <w:rFonts w:ascii="Palatino Linotype" w:hAnsi="Palatino Linotype"/>
          <w:color w:val="000000" w:themeColor="text1"/>
        </w:rPr>
        <w:t xml:space="preserve"> omitió entregar información derivado que en estricto sentido se solicitaron gratificaciones, siendo que de esa partida solo se desprenden dos pagos extraordinarios (prima vacacional y aguinaldo)</w:t>
      </w:r>
      <w:r w:rsidR="00BD4F99" w:rsidRPr="00E7413A">
        <w:rPr>
          <w:rFonts w:ascii="Palatino Linotype" w:hAnsi="Palatino Linotype"/>
          <w:color w:val="000000" w:themeColor="text1"/>
        </w:rPr>
        <w:t>, compensaciones</w:t>
      </w:r>
      <w:r w:rsidRPr="00E7413A">
        <w:rPr>
          <w:rFonts w:ascii="Palatino Linotype" w:hAnsi="Palatino Linotype"/>
          <w:color w:val="000000" w:themeColor="text1"/>
        </w:rPr>
        <w:t xml:space="preserve">, lo que </w:t>
      </w:r>
      <w:r w:rsidR="00DA77B4" w:rsidRPr="00E7413A">
        <w:rPr>
          <w:rFonts w:ascii="Palatino Linotype" w:eastAsia="Palatino Linotype" w:hAnsi="Palatino Linotype" w:cs="Palatino Linotype"/>
          <w:color w:val="000000" w:themeColor="text1"/>
        </w:rPr>
        <w:t xml:space="preserve"> </w:t>
      </w:r>
      <w:r w:rsidR="00BE146C" w:rsidRPr="00E7413A">
        <w:rPr>
          <w:rFonts w:ascii="Palatino Linotype" w:eastAsia="Palatino Linotype" w:hAnsi="Palatino Linotype" w:cs="Palatino Linotype"/>
          <w:color w:val="000000" w:themeColor="text1"/>
        </w:rPr>
        <w:t>se colige que se expone en razón de que el aguinaldo y prima vacacional no está ligado al desempeño, productividad o resultados de los servidores públicos, sino que corresponden a derecho</w:t>
      </w:r>
      <w:r w:rsidR="00E23CDA" w:rsidRPr="00E7413A">
        <w:rPr>
          <w:rFonts w:ascii="Palatino Linotype" w:eastAsia="Palatino Linotype" w:hAnsi="Palatino Linotype" w:cs="Palatino Linotype"/>
          <w:color w:val="000000" w:themeColor="text1"/>
        </w:rPr>
        <w:t xml:space="preserve">s laborales adquiridos y, aunque </w:t>
      </w:r>
      <w:r w:rsidR="00BE146C" w:rsidRPr="00E7413A">
        <w:rPr>
          <w:rFonts w:ascii="Palatino Linotype" w:eastAsia="Palatino Linotype" w:hAnsi="Palatino Linotype" w:cs="Palatino Linotype"/>
          <w:color w:val="000000" w:themeColor="text1"/>
        </w:rPr>
        <w:t>si bien aguinaldo se puede considerar como una gratificación en el sentido de que es una prestación económica adicional al salario base, con independencia de la interpretación; también lo es que desde la solicitud inicial se solicitaron los pagos erogados puntualmente en esas dos partidas, que de acuerdo al Clasificador por Objeto de Gasto Estatal-Municipal, corresponden a las siguientes:</w:t>
      </w:r>
    </w:p>
    <w:p w:rsidR="00304EE5" w:rsidRPr="00E7413A" w:rsidRDefault="00304EE5" w:rsidP="00E7413A">
      <w:pPr>
        <w:pStyle w:val="Prrafodelista"/>
        <w:spacing w:line="360" w:lineRule="auto"/>
        <w:ind w:left="0"/>
        <w:rPr>
          <w:rFonts w:ascii="Palatino Linotype" w:hAnsi="Palatino Linotype"/>
          <w:color w:val="000000" w:themeColor="text1"/>
        </w:rPr>
      </w:pPr>
    </w:p>
    <w:p w:rsidR="00304EE5" w:rsidRPr="00E7413A" w:rsidRDefault="00BE146C" w:rsidP="00E7413A">
      <w:pPr>
        <w:spacing w:line="360" w:lineRule="auto"/>
        <w:jc w:val="both"/>
        <w:rPr>
          <w:rFonts w:ascii="Palatino Linotype" w:hAnsi="Palatino Linotype"/>
          <w:color w:val="000000" w:themeColor="text1"/>
        </w:rPr>
      </w:pPr>
      <w:r w:rsidRPr="00E7413A">
        <w:rPr>
          <w:rFonts w:ascii="Palatino Linotype" w:hAnsi="Palatino Linotype"/>
          <w:noProof/>
          <w:color w:val="000000" w:themeColor="text1"/>
          <w:lang w:val="es-MX" w:eastAsia="es-MX"/>
        </w:rPr>
        <w:drawing>
          <wp:inline distT="0" distB="0" distL="0" distR="0" wp14:anchorId="37B70646" wp14:editId="52F1909A">
            <wp:extent cx="5671185" cy="267398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2673985"/>
                    </a:xfrm>
                    <a:prstGeom prst="rect">
                      <a:avLst/>
                    </a:prstGeom>
                  </pic:spPr>
                </pic:pic>
              </a:graphicData>
            </a:graphic>
          </wp:inline>
        </w:drawing>
      </w:r>
    </w:p>
    <w:p w:rsidR="00BE146C" w:rsidRPr="00E7413A" w:rsidRDefault="00BE146C" w:rsidP="00E7413A">
      <w:pPr>
        <w:spacing w:line="360" w:lineRule="auto"/>
        <w:jc w:val="both"/>
        <w:rPr>
          <w:rFonts w:ascii="Palatino Linotype" w:hAnsi="Palatino Linotype"/>
          <w:color w:val="000000" w:themeColor="text1"/>
        </w:rPr>
      </w:pPr>
    </w:p>
    <w:p w:rsidR="00BE146C" w:rsidRPr="00E7413A" w:rsidRDefault="00BE146C" w:rsidP="00E7413A">
      <w:pPr>
        <w:spacing w:line="360" w:lineRule="auto"/>
        <w:jc w:val="both"/>
        <w:rPr>
          <w:rFonts w:ascii="Palatino Linotype" w:hAnsi="Palatino Linotype"/>
          <w:color w:val="000000" w:themeColor="text1"/>
        </w:rPr>
      </w:pPr>
      <w:r w:rsidRPr="00E7413A">
        <w:rPr>
          <w:rFonts w:ascii="Palatino Linotype" w:hAnsi="Palatino Linotype"/>
          <w:noProof/>
          <w:color w:val="000000" w:themeColor="text1"/>
          <w:lang w:val="es-MX" w:eastAsia="es-MX"/>
        </w:rPr>
        <w:drawing>
          <wp:inline distT="0" distB="0" distL="0" distR="0" wp14:anchorId="7D158BFD" wp14:editId="5F568867">
            <wp:extent cx="5671185" cy="3597275"/>
            <wp:effectExtent l="0" t="0" r="571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3597275"/>
                    </a:xfrm>
                    <a:prstGeom prst="rect">
                      <a:avLst/>
                    </a:prstGeom>
                  </pic:spPr>
                </pic:pic>
              </a:graphicData>
            </a:graphic>
          </wp:inline>
        </w:drawing>
      </w:r>
    </w:p>
    <w:p w:rsidR="00036A70" w:rsidRPr="00E7413A" w:rsidRDefault="00036A70" w:rsidP="00E7413A">
      <w:pPr>
        <w:pStyle w:val="Prrafodelista"/>
        <w:spacing w:line="360" w:lineRule="auto"/>
        <w:ind w:left="0"/>
        <w:rPr>
          <w:rFonts w:ascii="Palatino Linotype" w:hAnsi="Palatino Linotype"/>
          <w:color w:val="000000" w:themeColor="text1"/>
        </w:rPr>
      </w:pPr>
    </w:p>
    <w:p w:rsidR="00B224EA" w:rsidRPr="00E7413A" w:rsidRDefault="00B224EA" w:rsidP="00E7413A">
      <w:pPr>
        <w:numPr>
          <w:ilvl w:val="0"/>
          <w:numId w:val="3"/>
        </w:numPr>
        <w:spacing w:line="360" w:lineRule="auto"/>
        <w:ind w:left="0" w:firstLine="0"/>
        <w:jc w:val="both"/>
        <w:rPr>
          <w:rFonts w:ascii="Palatino Linotype" w:hAnsi="Palatino Linotype" w:cs="Arial"/>
          <w:color w:val="000000" w:themeColor="text1"/>
          <w:lang w:val="es-ES"/>
        </w:rPr>
      </w:pPr>
      <w:r w:rsidRPr="00E7413A">
        <w:rPr>
          <w:rFonts w:ascii="Palatino Linotype" w:hAnsi="Palatino Linotype" w:cs="Arial"/>
          <w:color w:val="000000" w:themeColor="text1"/>
          <w:lang w:val="es-ES"/>
        </w:rPr>
        <w:lastRenderedPageBreak/>
        <w:t>Luego entonces, con independencia del concepto de dichos pagos, se debe entregar lo puntualmente solicitado; toda vez que es de explorado derecho que para el ejercicio del derecho humano acceso a la información pública, los solicitantes no están obligados a conocer</w:t>
      </w:r>
      <w:r w:rsidR="00A82F20" w:rsidRPr="00E7413A">
        <w:rPr>
          <w:rFonts w:ascii="Palatino Linotype" w:hAnsi="Palatino Linotype" w:cs="Arial"/>
          <w:color w:val="000000" w:themeColor="text1"/>
          <w:lang w:val="es-ES"/>
        </w:rPr>
        <w:t xml:space="preserve"> los términos legales, administrativos, contables o técnicos de la información o del soporte documental al que desean acceder, bastando con otorgar cualquier expresión documental respecto de lo que desean acceder. En todo caso a quien corresponde otorgar una expresión documental y subsanar cualquier deficiencia es a los sujetos obligados</w:t>
      </w:r>
      <w:r w:rsidR="00EC1B49" w:rsidRPr="00E7413A">
        <w:rPr>
          <w:rFonts w:ascii="Palatino Linotype" w:hAnsi="Palatino Linotype" w:cs="Arial"/>
          <w:color w:val="000000" w:themeColor="text1"/>
          <w:lang w:val="es-ES"/>
        </w:rPr>
        <w:t>.</w:t>
      </w:r>
    </w:p>
    <w:p w:rsidR="00EC1B49" w:rsidRPr="00E7413A" w:rsidRDefault="00EC1B49" w:rsidP="00E7413A">
      <w:pPr>
        <w:spacing w:line="360" w:lineRule="auto"/>
        <w:jc w:val="both"/>
        <w:rPr>
          <w:rFonts w:ascii="Palatino Linotype" w:hAnsi="Palatino Linotype" w:cs="Arial"/>
          <w:color w:val="000000" w:themeColor="text1"/>
          <w:lang w:val="es-ES"/>
        </w:rPr>
      </w:pPr>
    </w:p>
    <w:p w:rsidR="00EC1B49" w:rsidRPr="00E7413A" w:rsidRDefault="00EC1B49" w:rsidP="00E7413A">
      <w:pPr>
        <w:numPr>
          <w:ilvl w:val="0"/>
          <w:numId w:val="3"/>
        </w:numPr>
        <w:spacing w:line="360" w:lineRule="auto"/>
        <w:ind w:left="0" w:firstLine="0"/>
        <w:jc w:val="both"/>
        <w:rPr>
          <w:rFonts w:ascii="Palatino Linotype" w:eastAsia="MS Mincho" w:hAnsi="Palatino Linotype" w:cs="Times New Roman"/>
          <w:color w:val="000000" w:themeColor="text1"/>
        </w:rPr>
      </w:pPr>
      <w:r w:rsidRPr="00E7413A">
        <w:rPr>
          <w:rFonts w:ascii="Palatino Linotype" w:hAnsi="Palatino Linotype" w:cs="Arial"/>
          <w:color w:val="000000" w:themeColor="text1"/>
        </w:rPr>
        <w:t xml:space="preserve">Sirve de sustente el Criterio </w:t>
      </w:r>
      <w:r w:rsidRPr="00E7413A">
        <w:rPr>
          <w:rFonts w:ascii="Palatino Linotype" w:eastAsia="MS Mincho" w:hAnsi="Palatino Linotype" w:cs="Times New Roman"/>
          <w:color w:val="000000" w:themeColor="text1"/>
        </w:rPr>
        <w:t xml:space="preserve">28/10, emitido por el entonces Instituto Federal de Acceso a la Información Pública y Protección de Datos Personales, mismo que menciona lo siguiente:  </w:t>
      </w:r>
    </w:p>
    <w:p w:rsidR="00EC1B49" w:rsidRPr="00E7413A" w:rsidRDefault="00EC1B49" w:rsidP="00E7413A">
      <w:pPr>
        <w:spacing w:line="360" w:lineRule="auto"/>
        <w:contextualSpacing/>
        <w:jc w:val="both"/>
        <w:rPr>
          <w:rFonts w:ascii="Palatino Linotype" w:eastAsia="MS Mincho" w:hAnsi="Palatino Linotype" w:cs="Times New Roman"/>
          <w:i/>
          <w:color w:val="000000" w:themeColor="text1"/>
        </w:rPr>
      </w:pPr>
      <w:r w:rsidRPr="00E7413A">
        <w:rPr>
          <w:rFonts w:ascii="Palatino Linotype" w:eastAsia="MS Mincho" w:hAnsi="Palatino Linotype" w:cs="Times New Roman"/>
          <w:i/>
          <w:color w:val="000000" w:themeColor="text1"/>
        </w:rPr>
        <w:t>“</w:t>
      </w:r>
      <w:r w:rsidRPr="00E7413A">
        <w:rPr>
          <w:rFonts w:ascii="Palatino Linotype" w:eastAsia="MS Mincho" w:hAnsi="Palatino Linotype" w:cs="Times New Roman"/>
          <w:b/>
          <w:i/>
          <w:color w:val="000000" w:themeColor="text1"/>
        </w:rPr>
        <w:t>Cuando en una solicitud de información no se identifique un documento en específico, si ésta tiene una expresión documental, el sujeto obligado deberá entregar al particular el documento en específico</w:t>
      </w:r>
      <w:r w:rsidRPr="00E7413A">
        <w:rPr>
          <w:rFonts w:ascii="Palatino Linotype" w:eastAsia="MS Mincho" w:hAnsi="Palatino Linotype" w:cs="Times New Roman"/>
          <w:i/>
          <w:color w:val="000000" w:themeColor="text1"/>
        </w:rPr>
        <w:t xml:space="preserve">. La Ley Federal de Transparencia y Acceso a la Información Pública Gubernamental tiene por objeto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w:t>
      </w:r>
      <w:r w:rsidRPr="00E7413A">
        <w:rPr>
          <w:rFonts w:ascii="Palatino Linotype" w:eastAsia="MS Mincho" w:hAnsi="Palatino Linotype" w:cs="Times New Roman"/>
          <w:b/>
          <w:i/>
          <w:color w:val="000000" w:themeColor="text1"/>
        </w:rPr>
        <w:t xml:space="preserve">Es decir, si la respuesta a la solicitud obra </w:t>
      </w:r>
      <w:r w:rsidRPr="00E7413A">
        <w:rPr>
          <w:rFonts w:ascii="Palatino Linotype" w:eastAsia="MS Mincho" w:hAnsi="Palatino Linotype" w:cs="Times New Roman"/>
          <w:b/>
          <w:i/>
          <w:color w:val="000000" w:themeColor="text1"/>
        </w:rPr>
        <w:lastRenderedPageBreak/>
        <w:t>en algún documento en poder de la autoridad, pero el particular no hace referencia específica a tal documento, se deberá hacer entrega del mismo al solicitante</w:t>
      </w:r>
      <w:r w:rsidRPr="00E7413A">
        <w:rPr>
          <w:rFonts w:ascii="Palatino Linotype" w:eastAsia="MS Mincho" w:hAnsi="Palatino Linotype" w:cs="Times New Roman"/>
          <w:i/>
          <w:color w:val="000000" w:themeColor="text1"/>
        </w:rPr>
        <w:t>.” (</w:t>
      </w:r>
      <w:r w:rsidRPr="00E7413A">
        <w:rPr>
          <w:rFonts w:ascii="Palatino Linotype" w:eastAsia="MS Mincho" w:hAnsi="Palatino Linotype" w:cs="Times New Roman"/>
          <w:color w:val="000000" w:themeColor="text1"/>
        </w:rPr>
        <w:t>Sic</w:t>
      </w:r>
      <w:r w:rsidRPr="00E7413A">
        <w:rPr>
          <w:rFonts w:ascii="Palatino Linotype" w:eastAsia="MS Mincho" w:hAnsi="Palatino Linotype" w:cs="Times New Roman"/>
          <w:i/>
          <w:color w:val="000000" w:themeColor="text1"/>
        </w:rPr>
        <w:t>).</w:t>
      </w:r>
    </w:p>
    <w:p w:rsidR="00EC1B49" w:rsidRPr="00E7413A" w:rsidRDefault="00EC1B49" w:rsidP="00E7413A">
      <w:pPr>
        <w:spacing w:line="360" w:lineRule="auto"/>
        <w:contextualSpacing/>
        <w:jc w:val="both"/>
        <w:rPr>
          <w:rFonts w:ascii="Palatino Linotype" w:eastAsia="MS Mincho" w:hAnsi="Palatino Linotype" w:cs="Times New Roman"/>
          <w:i/>
          <w:color w:val="000000" w:themeColor="text1"/>
        </w:rPr>
      </w:pPr>
    </w:p>
    <w:p w:rsidR="00EC1B49" w:rsidRPr="00E7413A" w:rsidRDefault="00EC1B49" w:rsidP="00E7413A">
      <w:pPr>
        <w:spacing w:line="360" w:lineRule="auto"/>
        <w:contextualSpacing/>
        <w:jc w:val="both"/>
        <w:rPr>
          <w:rFonts w:ascii="Palatino Linotype" w:eastAsia="MS Mincho" w:hAnsi="Palatino Linotype" w:cs="Times New Roman"/>
          <w:color w:val="000000" w:themeColor="text1"/>
        </w:rPr>
      </w:pPr>
      <w:r w:rsidRPr="00E7413A">
        <w:rPr>
          <w:rFonts w:ascii="Palatino Linotype" w:eastAsia="MS Mincho" w:hAnsi="Palatino Linotype" w:cs="Times New Roman"/>
          <w:color w:val="000000" w:themeColor="text1"/>
        </w:rPr>
        <w:t>(Énfasis añadido)</w:t>
      </w:r>
    </w:p>
    <w:p w:rsidR="00EC1B49" w:rsidRPr="00E7413A" w:rsidRDefault="00EC1B49" w:rsidP="00E7413A">
      <w:pPr>
        <w:spacing w:line="360" w:lineRule="auto"/>
        <w:contextualSpacing/>
        <w:jc w:val="both"/>
        <w:rPr>
          <w:rFonts w:ascii="Palatino Linotype" w:eastAsia="MS Mincho" w:hAnsi="Palatino Linotype" w:cs="Times New Roman"/>
          <w:color w:val="000000" w:themeColor="text1"/>
          <w:lang w:val="es-ES"/>
        </w:rPr>
      </w:pPr>
    </w:p>
    <w:p w:rsidR="00EC1B49" w:rsidRPr="00E7413A" w:rsidRDefault="00EC1B49" w:rsidP="00E7413A">
      <w:pPr>
        <w:numPr>
          <w:ilvl w:val="0"/>
          <w:numId w:val="3"/>
        </w:numPr>
        <w:spacing w:line="360" w:lineRule="auto"/>
        <w:ind w:left="0" w:firstLine="0"/>
        <w:jc w:val="both"/>
        <w:rPr>
          <w:rFonts w:ascii="Palatino Linotype" w:eastAsia="MS Mincho" w:hAnsi="Palatino Linotype" w:cs="Times New Roman"/>
          <w:color w:val="000000" w:themeColor="text1"/>
        </w:rPr>
      </w:pPr>
      <w:r w:rsidRPr="00E7413A">
        <w:rPr>
          <w:rFonts w:ascii="Palatino Linotype" w:eastAsia="MS Mincho" w:hAnsi="Palatino Linotype" w:cs="Times New Roman"/>
          <w:color w:val="000000" w:themeColor="text1"/>
          <w:lang w:val="es-ES"/>
        </w:rPr>
        <w:t xml:space="preserve">Robustece lo anterior </w:t>
      </w:r>
      <w:r w:rsidRPr="00E7413A">
        <w:rPr>
          <w:rFonts w:ascii="Palatino Linotype" w:eastAsia="MS Mincho" w:hAnsi="Palatino Linotype" w:cs="Times New Roman"/>
          <w:color w:val="000000" w:themeColor="text1"/>
        </w:rPr>
        <w:t>el Criterio 16/17 emitido de igual forma por el entonces Instituto Nacional de Transparencia, Acceso a la Información y Protección de Datos Personales que a la literalidad prevé:</w:t>
      </w:r>
    </w:p>
    <w:p w:rsidR="00EC1B49" w:rsidRPr="00E7413A" w:rsidRDefault="00EC1B49" w:rsidP="00E7413A">
      <w:pPr>
        <w:spacing w:line="360" w:lineRule="auto"/>
        <w:contextualSpacing/>
        <w:jc w:val="both"/>
        <w:rPr>
          <w:rFonts w:ascii="Palatino Linotype" w:eastAsia="MS Mincho" w:hAnsi="Palatino Linotype" w:cs="Times New Roman"/>
          <w:i/>
          <w:color w:val="000000" w:themeColor="text1"/>
        </w:rPr>
      </w:pPr>
      <w:r w:rsidRPr="00E7413A">
        <w:rPr>
          <w:rFonts w:ascii="Palatino Linotype" w:eastAsia="MS Mincho" w:hAnsi="Palatino Linotype" w:cs="Times New Roman"/>
          <w:b/>
          <w:i/>
          <w:color w:val="000000" w:themeColor="text1"/>
        </w:rPr>
        <w:t>“Expresión documental</w:t>
      </w:r>
      <w:r w:rsidRPr="00E7413A">
        <w:rPr>
          <w:rFonts w:ascii="Palatino Linotype" w:eastAsia="MS Mincho" w:hAnsi="Palatino Linotype" w:cs="Times New Roman"/>
          <w:i/>
          <w:color w:val="000000" w:themeColor="text1"/>
        </w:rPr>
        <w:t xml:space="preserve">. Cuando los particulares presenten solicitudes de acceso a la información </w:t>
      </w:r>
      <w:r w:rsidRPr="00E7413A">
        <w:rPr>
          <w:rFonts w:ascii="Palatino Linotype" w:eastAsia="MS Mincho" w:hAnsi="Palatino Linotype" w:cs="Times New Roman"/>
          <w:b/>
          <w:i/>
          <w:color w:val="000000" w:themeColor="text1"/>
        </w:rPr>
        <w:t>sin identificar de forma precisa la documentación que pudiera contener la información de su interés</w:t>
      </w:r>
      <w:r w:rsidRPr="00E7413A">
        <w:rPr>
          <w:rFonts w:ascii="Palatino Linotype" w:eastAsia="MS Mincho" w:hAnsi="Palatino Linotype" w:cs="Times New Roman"/>
          <w:i/>
          <w:color w:val="000000" w:themeColor="text1"/>
        </w:rPr>
        <w:t xml:space="preserve">, o bien, la solicitud constituya una consulta, </w:t>
      </w:r>
      <w:r w:rsidRPr="00E7413A">
        <w:rPr>
          <w:rFonts w:ascii="Palatino Linotype" w:eastAsia="MS Mincho" w:hAnsi="Palatino Linotype" w:cs="Times New Roman"/>
          <w:b/>
          <w:i/>
          <w:color w:val="000000" w:themeColor="text1"/>
        </w:rPr>
        <w:t>pero la respuesta pudiera obrar en algún documento en poder de los sujetos obligados, éstos deben dar a dichas solicitudes una interpretación que les otorgue una expresión documental</w:t>
      </w:r>
      <w:r w:rsidRPr="00E7413A">
        <w:rPr>
          <w:rFonts w:ascii="Palatino Linotype" w:eastAsia="MS Mincho" w:hAnsi="Palatino Linotype" w:cs="Times New Roman"/>
          <w:i/>
          <w:color w:val="000000" w:themeColor="text1"/>
        </w:rPr>
        <w:t>.”</w:t>
      </w:r>
    </w:p>
    <w:p w:rsidR="00EC1B49" w:rsidRPr="00E7413A" w:rsidRDefault="00EC1B49" w:rsidP="00E7413A">
      <w:pPr>
        <w:spacing w:line="360" w:lineRule="auto"/>
        <w:contextualSpacing/>
        <w:jc w:val="both"/>
        <w:rPr>
          <w:rFonts w:ascii="Palatino Linotype" w:eastAsia="MS Mincho" w:hAnsi="Palatino Linotype" w:cs="Times New Roman"/>
          <w:color w:val="000000" w:themeColor="text1"/>
        </w:rPr>
      </w:pPr>
      <w:r w:rsidRPr="00E7413A">
        <w:rPr>
          <w:rFonts w:ascii="Palatino Linotype" w:eastAsia="MS Mincho" w:hAnsi="Palatino Linotype" w:cs="Times New Roman"/>
          <w:b/>
          <w:color w:val="000000" w:themeColor="text1"/>
        </w:rPr>
        <w:t>Énfasis propio</w:t>
      </w:r>
    </w:p>
    <w:p w:rsidR="00EC1B49" w:rsidRPr="00E7413A" w:rsidRDefault="00EC1B49" w:rsidP="00E7413A">
      <w:pPr>
        <w:spacing w:line="360" w:lineRule="auto"/>
        <w:contextualSpacing/>
        <w:jc w:val="both"/>
        <w:rPr>
          <w:rFonts w:ascii="Palatino Linotype" w:eastAsia="MS Mincho" w:hAnsi="Palatino Linotype" w:cs="Times New Roman"/>
          <w:color w:val="000000" w:themeColor="text1"/>
        </w:rPr>
      </w:pPr>
    </w:p>
    <w:p w:rsidR="00EC1B49" w:rsidRPr="00E7413A" w:rsidRDefault="00EC1B49" w:rsidP="00E7413A">
      <w:pPr>
        <w:numPr>
          <w:ilvl w:val="0"/>
          <w:numId w:val="3"/>
        </w:numPr>
        <w:spacing w:line="360" w:lineRule="auto"/>
        <w:ind w:left="0" w:firstLine="0"/>
        <w:jc w:val="both"/>
        <w:rPr>
          <w:rFonts w:ascii="Palatino Linotype" w:eastAsia="Arial Unicode MS" w:hAnsi="Palatino Linotype" w:cs="Arial"/>
          <w:color w:val="000000" w:themeColor="text1"/>
        </w:rPr>
      </w:pPr>
      <w:r w:rsidRPr="00E7413A">
        <w:rPr>
          <w:rFonts w:ascii="Palatino Linotype" w:eastAsia="MS Mincho" w:hAnsi="Palatino Linotype" w:cs="Times New Roman"/>
          <w:color w:val="000000" w:themeColor="text1"/>
        </w:rPr>
        <w:t xml:space="preserve">Es así, </w:t>
      </w:r>
      <w:r w:rsidRPr="00E7413A">
        <w:rPr>
          <w:rFonts w:ascii="Palatino Linotype" w:eastAsia="MS Mincho" w:hAnsi="Palatino Linotype" w:cs="Times New Roman"/>
          <w:color w:val="000000" w:themeColor="text1"/>
          <w:lang w:val="es-ES"/>
        </w:rPr>
        <w:t>que</w:t>
      </w:r>
      <w:r w:rsidRPr="00E7413A">
        <w:rPr>
          <w:rFonts w:ascii="Palatino Linotype" w:eastAsia="MS Mincho" w:hAnsi="Palatino Linotype" w:cs="Times New Roman"/>
          <w:color w:val="000000" w:themeColor="text1"/>
        </w:rPr>
        <w:t xml:space="preserve"> los </w:t>
      </w:r>
      <w:r w:rsidRPr="00E7413A">
        <w:rPr>
          <w:rFonts w:ascii="Palatino Linotype" w:eastAsia="MS Mincho" w:hAnsi="Palatino Linotype" w:cs="Times New Roman"/>
          <w:b/>
          <w:color w:val="000000" w:themeColor="text1"/>
        </w:rPr>
        <w:t>Sujetos Obligados</w:t>
      </w:r>
      <w:r w:rsidRPr="00E7413A">
        <w:rPr>
          <w:rFonts w:ascii="Palatino Linotype" w:eastAsia="MS Mincho" w:hAnsi="Palatino Linotype" w:cs="Times New Roman"/>
          <w:color w:val="000000" w:themeColor="text1"/>
        </w:rPr>
        <w:t xml:space="preserve">, </w:t>
      </w:r>
      <w:r w:rsidRPr="00E7413A">
        <w:rPr>
          <w:rFonts w:ascii="Palatino Linotype" w:eastAsia="MS Mincho" w:hAnsi="Palatino Linotype" w:cs="Times New Roman"/>
          <w:b/>
          <w:color w:val="000000" w:themeColor="text1"/>
          <w:u w:val="single"/>
        </w:rPr>
        <w:t>deben de poner a disposición de los particulares los documentos donde conste o se aprecie la información solicitada</w:t>
      </w:r>
      <w:r w:rsidRPr="00E7413A">
        <w:rPr>
          <w:rFonts w:ascii="Palatino Linotype" w:eastAsia="MS Mincho" w:hAnsi="Palatino Linotype" w:cs="Times New Roman"/>
          <w:color w:val="000000" w:themeColor="text1"/>
        </w:rPr>
        <w:t xml:space="preserve">, tratando en todo </w:t>
      </w:r>
      <w:r w:rsidRPr="00E7413A">
        <w:rPr>
          <w:rFonts w:ascii="Palatino Linotype" w:eastAsia="Arial Unicode MS" w:hAnsi="Palatino Linotype" w:cs="Arial"/>
          <w:color w:val="000000" w:themeColor="text1"/>
        </w:rPr>
        <w:t xml:space="preserve">momento de privilegiar el derecho de acceso a la información pública, siendo necesario poner mayor énfasis en  la normatividad en materia de acceso a la información </w:t>
      </w:r>
      <w:r w:rsidRPr="00E7413A">
        <w:rPr>
          <w:rFonts w:ascii="Palatino Linotype" w:eastAsia="MS Mincho" w:hAnsi="Palatino Linotype" w:cs="Times New Roman"/>
          <w:color w:val="000000" w:themeColor="text1"/>
          <w:lang w:val="es-ES"/>
        </w:rPr>
        <w:t>y</w:t>
      </w:r>
      <w:r w:rsidRPr="00E7413A">
        <w:rPr>
          <w:rFonts w:ascii="Palatino Linotype" w:eastAsia="Arial Unicode MS" w:hAnsi="Palatino Linotype" w:cs="Arial"/>
          <w:color w:val="000000" w:themeColor="text1"/>
        </w:rPr>
        <w:t>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rsidR="00D81635" w:rsidRDefault="00D81635" w:rsidP="00E7413A">
      <w:pPr>
        <w:numPr>
          <w:ilvl w:val="0"/>
          <w:numId w:val="3"/>
        </w:numPr>
        <w:spacing w:line="360" w:lineRule="auto"/>
        <w:ind w:left="0" w:firstLine="0"/>
        <w:jc w:val="both"/>
        <w:rPr>
          <w:rFonts w:ascii="Palatino Linotype" w:eastAsia="Arial Unicode MS" w:hAnsi="Palatino Linotype" w:cs="Arial"/>
          <w:color w:val="000000" w:themeColor="text1"/>
        </w:rPr>
      </w:pPr>
      <w:r w:rsidRPr="00E7413A">
        <w:rPr>
          <w:rFonts w:ascii="Palatino Linotype" w:eastAsia="Arial Unicode MS" w:hAnsi="Palatino Linotype" w:cs="Arial"/>
          <w:color w:val="000000" w:themeColor="text1"/>
        </w:rPr>
        <w:lastRenderedPageBreak/>
        <w:t xml:space="preserve">Lo anterior como justamente si hizo el </w:t>
      </w:r>
      <w:r w:rsidRPr="00E7413A">
        <w:rPr>
          <w:rFonts w:ascii="Palatino Linotype" w:eastAsia="Arial Unicode MS" w:hAnsi="Palatino Linotype" w:cs="Arial"/>
          <w:b/>
          <w:color w:val="000000" w:themeColor="text1"/>
        </w:rPr>
        <w:t>SUJETO OBLIGADO</w:t>
      </w:r>
      <w:r w:rsidRPr="00E7413A">
        <w:rPr>
          <w:rFonts w:ascii="Palatino Linotype" w:eastAsia="Arial Unicode MS" w:hAnsi="Palatino Linotype" w:cs="Arial"/>
          <w:color w:val="000000" w:themeColor="text1"/>
        </w:rPr>
        <w:t xml:space="preserve">, al interpretar que la solicitud competía únicamente a personas del sexo masculino, dado que la solicitante si bien no está obligada a explicar las razones o motivos para las que requiere la información; si lo hizo, exponiendo que su búsqueda compete a la de personas del sexo masculino por estar relacionado con información de </w:t>
      </w:r>
      <w:r w:rsidRPr="00E7413A">
        <w:rPr>
          <w:rFonts w:ascii="Palatino Linotype" w:eastAsia="Arial Unicode MS" w:hAnsi="Palatino Linotype" w:cs="Arial"/>
          <w:i/>
          <w:color w:val="000000" w:themeColor="text1"/>
        </w:rPr>
        <w:t>su esposo</w:t>
      </w:r>
      <w:r w:rsidRPr="00E7413A">
        <w:rPr>
          <w:rFonts w:ascii="Palatino Linotype" w:eastAsia="Arial Unicode MS" w:hAnsi="Palatino Linotype" w:cs="Arial"/>
          <w:color w:val="000000" w:themeColor="text1"/>
        </w:rPr>
        <w:t>, resultando i</w:t>
      </w:r>
      <w:r w:rsidR="00243F7C" w:rsidRPr="00E7413A">
        <w:rPr>
          <w:rFonts w:ascii="Palatino Linotype" w:eastAsia="Arial Unicode MS" w:hAnsi="Palatino Linotype" w:cs="Arial"/>
          <w:color w:val="000000" w:themeColor="text1"/>
        </w:rPr>
        <w:t>neficaz remitir de personal de otro sexo que no es de su interés.</w:t>
      </w:r>
    </w:p>
    <w:p w:rsidR="00E7413A" w:rsidRPr="00E7413A" w:rsidRDefault="00E7413A" w:rsidP="00E7413A">
      <w:pPr>
        <w:spacing w:line="360" w:lineRule="auto"/>
        <w:jc w:val="both"/>
        <w:rPr>
          <w:rFonts w:ascii="Palatino Linotype" w:eastAsia="Arial Unicode MS" w:hAnsi="Palatino Linotype" w:cs="Arial"/>
          <w:color w:val="000000" w:themeColor="text1"/>
        </w:rPr>
      </w:pPr>
    </w:p>
    <w:p w:rsidR="00243F7C" w:rsidRPr="00E7413A" w:rsidRDefault="00243F7C" w:rsidP="00E7413A">
      <w:pPr>
        <w:numPr>
          <w:ilvl w:val="0"/>
          <w:numId w:val="3"/>
        </w:numPr>
        <w:spacing w:line="360" w:lineRule="auto"/>
        <w:ind w:left="0" w:firstLine="0"/>
        <w:jc w:val="both"/>
        <w:rPr>
          <w:rFonts w:ascii="Palatino Linotype" w:hAnsi="Palatino Linotype" w:cs="Arial"/>
          <w:color w:val="000000" w:themeColor="text1"/>
          <w:lang w:val="es-ES"/>
        </w:rPr>
      </w:pPr>
      <w:r w:rsidRPr="00E7413A">
        <w:rPr>
          <w:rFonts w:ascii="Palatino Linotype" w:hAnsi="Palatino Linotype" w:cs="Arial"/>
          <w:color w:val="000000" w:themeColor="text1"/>
          <w:lang w:val="es-ES"/>
        </w:rPr>
        <w:t>Retomando, la expresión documental al caso concreto</w:t>
      </w:r>
      <w:r w:rsidR="00D81635" w:rsidRPr="00E7413A">
        <w:rPr>
          <w:rFonts w:ascii="Palatino Linotype" w:hAnsi="Palatino Linotype" w:cs="Arial"/>
          <w:color w:val="000000" w:themeColor="text1"/>
          <w:lang w:val="es-ES"/>
        </w:rPr>
        <w:t xml:space="preserve"> es </w:t>
      </w:r>
      <w:r w:rsidR="00D81635" w:rsidRPr="00E7413A">
        <w:rPr>
          <w:rFonts w:ascii="Palatino Linotype" w:eastAsia="Arial Unicode MS" w:hAnsi="Palatino Linotype" w:cs="Arial"/>
          <w:color w:val="000000" w:themeColor="text1"/>
        </w:rPr>
        <w:t>aplicable</w:t>
      </w:r>
      <w:r w:rsidR="00D81635" w:rsidRPr="00E7413A">
        <w:rPr>
          <w:rFonts w:ascii="Palatino Linotype" w:hAnsi="Palatino Linotype" w:cs="Arial"/>
          <w:color w:val="000000" w:themeColor="text1"/>
          <w:lang w:val="es-ES"/>
        </w:rPr>
        <w:t xml:space="preserve"> </w:t>
      </w:r>
      <w:r w:rsidRPr="00E7413A">
        <w:rPr>
          <w:rFonts w:ascii="Palatino Linotype" w:hAnsi="Palatino Linotype" w:cs="Arial"/>
          <w:color w:val="000000" w:themeColor="text1"/>
          <w:lang w:val="es-ES"/>
        </w:rPr>
        <w:t>–</w:t>
      </w:r>
      <w:r w:rsidR="00D81635" w:rsidRPr="00E7413A">
        <w:rPr>
          <w:rFonts w:ascii="Palatino Linotype" w:hAnsi="Palatino Linotype" w:cs="Arial"/>
          <w:color w:val="000000" w:themeColor="text1"/>
          <w:lang w:val="es-ES"/>
        </w:rPr>
        <w:t>incluso</w:t>
      </w:r>
      <w:r w:rsidRPr="00E7413A">
        <w:rPr>
          <w:rFonts w:ascii="Palatino Linotype" w:hAnsi="Palatino Linotype" w:cs="Arial"/>
          <w:color w:val="000000" w:themeColor="text1"/>
          <w:lang w:val="es-ES"/>
        </w:rPr>
        <w:t>–</w:t>
      </w:r>
      <w:r w:rsidR="00D81635" w:rsidRPr="00E7413A">
        <w:rPr>
          <w:rFonts w:ascii="Palatino Linotype" w:hAnsi="Palatino Linotype" w:cs="Arial"/>
          <w:color w:val="000000" w:themeColor="text1"/>
          <w:lang w:val="es-ES"/>
        </w:rPr>
        <w:t xml:space="preserve"> de manera parcial, ya que </w:t>
      </w:r>
      <w:r w:rsidRPr="00E7413A">
        <w:rPr>
          <w:rFonts w:ascii="Palatino Linotype" w:hAnsi="Palatino Linotype" w:cs="Arial"/>
          <w:color w:val="000000" w:themeColor="text1"/>
          <w:lang w:val="es-ES"/>
        </w:rPr>
        <w:t>de manera precisa</w:t>
      </w:r>
      <w:r w:rsidR="00D81635" w:rsidRPr="00E7413A">
        <w:rPr>
          <w:rFonts w:ascii="Palatino Linotype" w:hAnsi="Palatino Linotype" w:cs="Arial"/>
          <w:color w:val="000000" w:themeColor="text1"/>
          <w:lang w:val="es-ES"/>
        </w:rPr>
        <w:t xml:space="preserve"> si se señaló “</w:t>
      </w:r>
      <w:r w:rsidR="00D81635" w:rsidRPr="00E7413A">
        <w:rPr>
          <w:rFonts w:ascii="Palatino Linotype" w:hAnsi="Palatino Linotype" w:cs="Arial"/>
          <w:i/>
          <w:color w:val="000000" w:themeColor="text1"/>
          <w:lang w:val="es-ES"/>
        </w:rPr>
        <w:t>todas aquellas que se refieran al capítulo 1000, partidas genéricas y específicas (todas las gratificaciones contenidas en ellas) y en específico las gratificaciones contenidas en las partidas: 1320, 1345</w:t>
      </w:r>
      <w:r w:rsidR="00D81635" w:rsidRPr="00E7413A">
        <w:rPr>
          <w:rFonts w:ascii="Palatino Linotype" w:hAnsi="Palatino Linotype" w:cs="Arial"/>
          <w:color w:val="000000" w:themeColor="text1"/>
          <w:lang w:val="es-ES"/>
        </w:rPr>
        <w:t xml:space="preserve">", situación que resulta puntual con independencia de la controversia de una interpretación al concepto vertido por la solicitante, pero en todo caso –se insiste– se otorgó la expresión documental suficiente. </w:t>
      </w:r>
    </w:p>
    <w:p w:rsidR="00243F7C" w:rsidRPr="00E7413A" w:rsidRDefault="00243F7C" w:rsidP="00E7413A">
      <w:pPr>
        <w:spacing w:line="360" w:lineRule="auto"/>
        <w:jc w:val="both"/>
        <w:rPr>
          <w:rFonts w:ascii="Palatino Linotype" w:hAnsi="Palatino Linotype" w:cs="Arial"/>
          <w:color w:val="000000" w:themeColor="text1"/>
          <w:lang w:val="es-ES"/>
        </w:rPr>
      </w:pPr>
    </w:p>
    <w:p w:rsidR="00B224EA" w:rsidRPr="00E7413A" w:rsidRDefault="00D81635" w:rsidP="00E7413A">
      <w:pPr>
        <w:numPr>
          <w:ilvl w:val="0"/>
          <w:numId w:val="3"/>
        </w:numPr>
        <w:spacing w:line="360" w:lineRule="auto"/>
        <w:ind w:left="0" w:firstLine="0"/>
        <w:jc w:val="both"/>
        <w:rPr>
          <w:rFonts w:ascii="Palatino Linotype" w:hAnsi="Palatino Linotype" w:cs="Arial"/>
          <w:color w:val="000000" w:themeColor="text1"/>
          <w:lang w:val="es-ES"/>
        </w:rPr>
      </w:pPr>
      <w:r w:rsidRPr="00E7413A">
        <w:rPr>
          <w:rFonts w:ascii="Palatino Linotype" w:hAnsi="Palatino Linotype" w:cs="Arial"/>
          <w:color w:val="000000" w:themeColor="text1"/>
          <w:lang w:val="es-ES"/>
        </w:rPr>
        <w:t>De modo tal que resulta procedente su entrega en virtud que lo solicitado dada su propia y especial naturaleza relacionada con la erogación de recursos público</w:t>
      </w:r>
      <w:r w:rsidR="00243F7C" w:rsidRPr="00E7413A">
        <w:rPr>
          <w:rFonts w:ascii="Palatino Linotype" w:hAnsi="Palatino Linotype" w:cs="Arial"/>
          <w:color w:val="000000" w:themeColor="text1"/>
          <w:lang w:val="es-ES"/>
        </w:rPr>
        <w:t>s</w:t>
      </w:r>
      <w:r w:rsidRPr="00E7413A">
        <w:rPr>
          <w:rFonts w:ascii="Palatino Linotype" w:hAnsi="Palatino Linotype" w:cs="Arial"/>
          <w:color w:val="000000" w:themeColor="text1"/>
          <w:lang w:val="es-ES"/>
        </w:rPr>
        <w:t>, es eminentemente pública; toda vez que el Capítulo 1000, corresponde a servicios personales y a su vez la partida al nivel de agregación más específico en el cual se describen las expresiones concretas y detalladas de los bienes y/o servicios que se adquieren, siendo entonces las requeridas, las tocantes a</w:t>
      </w:r>
      <w:r w:rsidR="00243F7C" w:rsidRPr="00E7413A">
        <w:rPr>
          <w:rFonts w:ascii="Palatino Linotype" w:hAnsi="Palatino Linotype" w:cs="Arial"/>
          <w:color w:val="000000" w:themeColor="text1"/>
          <w:lang w:val="es-ES"/>
        </w:rPr>
        <w:t>:</w:t>
      </w:r>
    </w:p>
    <w:p w:rsidR="00D81635" w:rsidRPr="00E7413A" w:rsidRDefault="00243F7C" w:rsidP="00E7413A">
      <w:pPr>
        <w:spacing w:line="360" w:lineRule="auto"/>
        <w:jc w:val="both"/>
        <w:rPr>
          <w:rFonts w:ascii="Palatino Linotype" w:hAnsi="Palatino Linotype" w:cs="Arial"/>
          <w:i/>
          <w:color w:val="000000" w:themeColor="text1"/>
          <w:lang w:val="es-ES"/>
        </w:rPr>
      </w:pPr>
      <w:r w:rsidRPr="00E7413A">
        <w:rPr>
          <w:rFonts w:ascii="Palatino Linotype" w:hAnsi="Palatino Linotype" w:cs="Arial"/>
          <w:i/>
          <w:color w:val="000000" w:themeColor="text1"/>
          <w:lang w:val="es-ES"/>
        </w:rPr>
        <w:t>“</w:t>
      </w:r>
      <w:r w:rsidR="00D81635" w:rsidRPr="00E7413A">
        <w:rPr>
          <w:rFonts w:ascii="Palatino Linotype" w:hAnsi="Palatino Linotype" w:cs="Arial"/>
          <w:i/>
          <w:color w:val="000000" w:themeColor="text1"/>
          <w:lang w:val="es-ES"/>
        </w:rPr>
        <w:t>1321 Prima vacacional. Asignación adicional a los servidores públicos que tengan derecho a vacaciones, misma que se cubre de acuerdo a las condiciones establecidas en los convenios suscritos con las organizaciones sindicales, incluye la asignación adicional a docentes incorporados a carrera magisterial y docentes de educación media superior y superior incorporados a carrera docente.</w:t>
      </w:r>
      <w:r w:rsidRPr="00E7413A">
        <w:rPr>
          <w:rFonts w:ascii="Palatino Linotype" w:hAnsi="Palatino Linotype" w:cs="Arial"/>
          <w:i/>
          <w:color w:val="000000" w:themeColor="text1"/>
          <w:lang w:val="es-ES"/>
        </w:rPr>
        <w:t>”</w:t>
      </w:r>
    </w:p>
    <w:p w:rsidR="00D81635" w:rsidRPr="00E7413A" w:rsidRDefault="00243F7C" w:rsidP="00E7413A">
      <w:pPr>
        <w:spacing w:line="360" w:lineRule="auto"/>
        <w:jc w:val="both"/>
        <w:rPr>
          <w:rFonts w:ascii="Palatino Linotype" w:hAnsi="Palatino Linotype" w:cs="Arial"/>
          <w:i/>
          <w:color w:val="000000" w:themeColor="text1"/>
          <w:lang w:val="es-ES"/>
        </w:rPr>
      </w:pPr>
      <w:r w:rsidRPr="00E7413A">
        <w:rPr>
          <w:rFonts w:ascii="Palatino Linotype" w:hAnsi="Palatino Linotype" w:cs="Arial"/>
          <w:i/>
          <w:color w:val="000000" w:themeColor="text1"/>
          <w:lang w:val="es-ES"/>
        </w:rPr>
        <w:lastRenderedPageBreak/>
        <w:t>“</w:t>
      </w:r>
      <w:r w:rsidR="00D81635" w:rsidRPr="00E7413A">
        <w:rPr>
          <w:rFonts w:ascii="Palatino Linotype" w:hAnsi="Palatino Linotype" w:cs="Arial"/>
          <w:i/>
          <w:color w:val="000000" w:themeColor="text1"/>
          <w:lang w:val="es-ES"/>
        </w:rPr>
        <w:t>1322 Aguinaldo. Asignación que con motivo de fin de año se otorga a los servidores públicos que tengan derecho conforme a la normatividad vigente. Esta asignación se cubre de acuerdo a las condiciones establecidas en los convenios suscritos con las organizaciones sindicales. Incluye la asignación adicional a docentes incorporados a la carrera magisterial y a docentes de educación media superior y superior incorporados a carrera docente.</w:t>
      </w:r>
      <w:r w:rsidRPr="00E7413A">
        <w:rPr>
          <w:rFonts w:ascii="Palatino Linotype" w:hAnsi="Palatino Linotype" w:cs="Arial"/>
          <w:i/>
          <w:color w:val="000000" w:themeColor="text1"/>
          <w:lang w:val="es-ES"/>
        </w:rPr>
        <w:t>”</w:t>
      </w:r>
    </w:p>
    <w:p w:rsidR="00B224EA" w:rsidRPr="00E7413A" w:rsidRDefault="00B224EA" w:rsidP="00E7413A">
      <w:pPr>
        <w:spacing w:line="360" w:lineRule="auto"/>
        <w:jc w:val="both"/>
        <w:rPr>
          <w:rFonts w:ascii="Palatino Linotype" w:hAnsi="Palatino Linotype" w:cs="Arial"/>
          <w:color w:val="000000" w:themeColor="text1"/>
          <w:lang w:val="es-ES"/>
        </w:rPr>
      </w:pPr>
    </w:p>
    <w:p w:rsidR="00243F7C" w:rsidRPr="00E7413A" w:rsidRDefault="00243F7C"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hAnsi="Palatino Linotype" w:cs="Arial"/>
          <w:color w:val="000000" w:themeColor="text1"/>
          <w:lang w:val="es-ES"/>
        </w:rPr>
        <w:t xml:space="preserve">Siendo entonces dable ordenar la entrega de dicho soporte documental de los ejercicios fiscales señalados en la solicitud de información, la cual </w:t>
      </w:r>
      <w:r w:rsidR="00F91717" w:rsidRPr="00E7413A">
        <w:rPr>
          <w:rFonts w:ascii="Palatino Linotype" w:hAnsi="Palatino Linotype" w:cs="Arial"/>
          <w:color w:val="000000" w:themeColor="text1"/>
          <w:lang w:val="es-ES"/>
        </w:rPr>
        <w:t>el</w:t>
      </w:r>
      <w:r w:rsidRPr="00E7413A">
        <w:rPr>
          <w:rFonts w:ascii="Palatino Linotype" w:eastAsia="Palatino Linotype" w:hAnsi="Palatino Linotype" w:cs="Palatino Linotype"/>
          <w:color w:val="000000" w:themeColor="text1"/>
        </w:rPr>
        <w:t xml:space="preserve"> </w:t>
      </w:r>
      <w:r w:rsidR="00F91717" w:rsidRPr="00E7413A">
        <w:rPr>
          <w:rFonts w:ascii="Palatino Linotype" w:eastAsia="Palatino Linotype" w:hAnsi="Palatino Linotype" w:cs="Palatino Linotype"/>
          <w:b/>
          <w:color w:val="000000" w:themeColor="text1"/>
        </w:rPr>
        <w:t>SUJETO OBLIGADO</w:t>
      </w:r>
      <w:r w:rsidRPr="00E7413A">
        <w:rPr>
          <w:rFonts w:ascii="Palatino Linotype" w:eastAsia="Palatino Linotype" w:hAnsi="Palatino Linotype" w:cs="Palatino Linotype"/>
          <w:color w:val="000000" w:themeColor="text1"/>
        </w:rPr>
        <w:t xml:space="preserve"> debe documentar </w:t>
      </w:r>
      <w:r w:rsidR="00F91717" w:rsidRPr="00E7413A">
        <w:rPr>
          <w:rFonts w:ascii="Palatino Linotype" w:eastAsia="Palatino Linotype" w:hAnsi="Palatino Linotype" w:cs="Palatino Linotype"/>
          <w:color w:val="000000" w:themeColor="text1"/>
        </w:rPr>
        <w:t>por corresponder a un acto que se deriva</w:t>
      </w:r>
      <w:r w:rsidRPr="00E7413A">
        <w:rPr>
          <w:rFonts w:ascii="Palatino Linotype" w:eastAsia="Palatino Linotype" w:hAnsi="Palatino Linotype" w:cs="Palatino Linotype"/>
          <w:color w:val="000000" w:themeColor="text1"/>
        </w:rPr>
        <w:t xml:space="preserve"> del ejercicio de sus facultades, competencias o funciones, considerando desde su origen la eventual publicidad y reutilización de la información que gener</w:t>
      </w:r>
      <w:r w:rsidR="00F91717" w:rsidRPr="00E7413A">
        <w:rPr>
          <w:rFonts w:ascii="Palatino Linotype" w:eastAsia="Palatino Linotype" w:hAnsi="Palatino Linotype" w:cs="Palatino Linotype"/>
          <w:color w:val="000000" w:themeColor="text1"/>
        </w:rPr>
        <w:t>a</w:t>
      </w:r>
      <w:r w:rsidRPr="00E7413A">
        <w:rPr>
          <w:rFonts w:ascii="Palatino Linotype" w:eastAsia="Palatino Linotype" w:hAnsi="Palatino Linotype" w:cs="Palatino Linotype"/>
          <w:color w:val="000000" w:themeColor="text1"/>
        </w:rPr>
        <w:t>, pose</w:t>
      </w:r>
      <w:r w:rsidR="00F91717" w:rsidRPr="00E7413A">
        <w:rPr>
          <w:rFonts w:ascii="Palatino Linotype" w:eastAsia="Palatino Linotype" w:hAnsi="Palatino Linotype" w:cs="Palatino Linotype"/>
          <w:color w:val="000000" w:themeColor="text1"/>
        </w:rPr>
        <w:t>e o administra</w:t>
      </w:r>
      <w:r w:rsidRPr="00E7413A">
        <w:rPr>
          <w:rFonts w:ascii="Palatino Linotype" w:eastAsia="Palatino Linotype" w:hAnsi="Palatino Linotype" w:cs="Palatino Linotype"/>
          <w:color w:val="000000" w:themeColor="text1"/>
        </w:rPr>
        <w:t>.</w:t>
      </w:r>
    </w:p>
    <w:p w:rsidR="00243F7C" w:rsidRPr="00E7413A" w:rsidRDefault="00243F7C" w:rsidP="00E7413A">
      <w:pPr>
        <w:spacing w:line="360" w:lineRule="auto"/>
        <w:jc w:val="both"/>
        <w:rPr>
          <w:rFonts w:ascii="Palatino Linotype" w:eastAsia="Palatino Linotype" w:hAnsi="Palatino Linotype" w:cs="Palatino Linotype"/>
          <w:color w:val="000000" w:themeColor="text1"/>
        </w:rPr>
      </w:pPr>
    </w:p>
    <w:p w:rsidR="00243F7C" w:rsidRPr="00E7413A" w:rsidRDefault="00243F7C"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Además, debemos tomar en cuenta los artículos 4 y 12, de la Ley de </w:t>
      </w:r>
      <w:r w:rsidRPr="00E7413A">
        <w:rPr>
          <w:rFonts w:ascii="Palatino Linotype" w:hAnsi="Palatino Linotype" w:cs="Arial"/>
          <w:color w:val="000000" w:themeColor="text1"/>
          <w:lang w:val="es-ES"/>
        </w:rPr>
        <w:t>Transparencia</w:t>
      </w:r>
      <w:r w:rsidRPr="00E7413A">
        <w:rPr>
          <w:rFonts w:ascii="Palatino Linotype" w:eastAsia="Palatino Linotype" w:hAnsi="Palatino Linotype" w:cs="Palatino Linotype"/>
          <w:color w:val="000000" w:themeColor="text1"/>
        </w:rPr>
        <w:t xml:space="preserve"> y Acceso a la Información Pública del Estado de México y Municipios, los cuales establecen lo siguiente:</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Artículo 4.</w:t>
      </w:r>
      <w:r w:rsidRPr="00E7413A">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E7413A">
        <w:rPr>
          <w:rFonts w:ascii="Palatino Linotype" w:eastAsia="Palatino Linotype" w:hAnsi="Palatino Linotype" w:cs="Palatino Linotype"/>
          <w:i/>
          <w:color w:val="000000" w:themeColor="text1"/>
        </w:rPr>
        <w:lastRenderedPageBreak/>
        <w:t>reservada temporalmente por razones de interés público, en los términos de las causas legítimas y estrictamente necesarias previstas por esta Ley.</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Artículo 12.</w:t>
      </w:r>
      <w:r w:rsidRPr="00E7413A">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43F7C" w:rsidRPr="00E7413A" w:rsidRDefault="00243F7C" w:rsidP="00E7413A">
      <w:pPr>
        <w:spacing w:line="360" w:lineRule="auto"/>
        <w:jc w:val="both"/>
        <w:rPr>
          <w:rFonts w:ascii="Palatino Linotype" w:eastAsia="Palatino Linotype" w:hAnsi="Palatino Linotype" w:cs="Palatino Linotype"/>
          <w:color w:val="000000" w:themeColor="text1"/>
        </w:rPr>
      </w:pPr>
    </w:p>
    <w:p w:rsidR="00243F7C" w:rsidRPr="00E7413A" w:rsidRDefault="00243F7C"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Es así que, </w:t>
      </w:r>
      <w:r w:rsidRPr="00E7413A">
        <w:rPr>
          <w:rFonts w:ascii="Palatino Linotype" w:hAnsi="Palatino Linotype" w:cs="Arial"/>
          <w:color w:val="000000" w:themeColor="text1"/>
          <w:lang w:val="es-ES"/>
        </w:rPr>
        <w:t>por</w:t>
      </w:r>
      <w:r w:rsidRPr="00E7413A">
        <w:rPr>
          <w:rFonts w:ascii="Palatino Linotype" w:eastAsia="Palatino Linotype" w:hAnsi="Palatino Linotype" w:cs="Palatino Linotype"/>
          <w:color w:val="000000" w:themeColor="text1"/>
        </w:rPr>
        <w:t xml:space="preserve">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43F7C" w:rsidRPr="00E7413A" w:rsidRDefault="00243F7C"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E7413A">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43F7C" w:rsidRPr="00E7413A" w:rsidRDefault="00243F7C"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 xml:space="preserve">Como se ha señalado, los Sujetos Obligados deberán proporcionar toda la información que se encuentre en su posesión bajo los estándares más altos de transparencia y máxima publicidad. </w:t>
      </w:r>
    </w:p>
    <w:p w:rsidR="00243F7C" w:rsidRPr="00E7413A" w:rsidRDefault="00243F7C" w:rsidP="00E7413A">
      <w:pPr>
        <w:spacing w:line="360" w:lineRule="auto"/>
        <w:jc w:val="both"/>
        <w:rPr>
          <w:rFonts w:ascii="Palatino Linotype" w:eastAsia="Palatino Linotype" w:hAnsi="Palatino Linotype" w:cs="Palatino Linotype"/>
          <w:color w:val="000000" w:themeColor="text1"/>
        </w:rPr>
      </w:pPr>
    </w:p>
    <w:p w:rsidR="00243F7C" w:rsidRPr="00E7413A" w:rsidRDefault="00243F7C"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Es pertinente enfatizar lo que respecto al derecho de acceso a la información pública, refiere el artículo 6° de la Constitución Política de los Estados Unidos Mexicanos, que en su parte conducente señala:</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“Artículo 6o.</w:t>
      </w:r>
      <w:r w:rsidRPr="00E7413A">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Toda persona tiene derecho al libre acceso a información plural y oportuna, así como a buscar, recibir y difundir información e ideas de toda índole por cualquier medio de expresión.</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Para efectos de lo dispuesto en el presente artículo se observará lo siguiente:</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numPr>
          <w:ilvl w:val="4"/>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Para el ejercicio del derecho de acceso a la información, la Federación, los Estados y el Distrito Federal, en el ámbito de sus respectivas competencias, se regirán por los siguientes principios y bases:</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w:t>
      </w:r>
      <w:r w:rsidRPr="00E7413A">
        <w:rPr>
          <w:rFonts w:ascii="Palatino Linotype" w:eastAsia="Palatino Linotype" w:hAnsi="Palatino Linotype" w:cs="Palatino Linotype"/>
          <w:i/>
          <w:color w:val="000000" w:themeColor="text1"/>
        </w:rPr>
        <w:lastRenderedPageBreak/>
        <w:t>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La información que se refiere a la vida privada y los datos personales será protegida en los términos y con las excepciones que fijen las leyes.</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Se establecerán mecanismos de acceso a la información y procedimientos de revisión expeditos que se sustanciarán ante los organismos autónomos especializados e imparciales que establece esta Constitución.</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Las leyes determinarán la manera en que los sujetos obligados deberán hacer pública la información relativa a los recursos públicos que entreguen a personas físicas o morales.</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lastRenderedPageBreak/>
        <w:t>La inobservancia a las disposiciones en materia de acceso a la información pública será sancionada en los términos que dispongan las leyes.</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La ley establecerá aquella información que se considere reservada o confidencial.”</w:t>
      </w:r>
    </w:p>
    <w:p w:rsidR="00243F7C" w:rsidRPr="00E7413A" w:rsidRDefault="00243F7C" w:rsidP="00E7413A">
      <w:pPr>
        <w:spacing w:line="360" w:lineRule="auto"/>
        <w:jc w:val="both"/>
        <w:rPr>
          <w:rFonts w:ascii="Palatino Linotype" w:eastAsia="Palatino Linotype" w:hAnsi="Palatino Linotype" w:cs="Palatino Linotype"/>
          <w:color w:val="000000" w:themeColor="text1"/>
        </w:rPr>
      </w:pPr>
    </w:p>
    <w:p w:rsidR="00243F7C" w:rsidRPr="00E7413A" w:rsidRDefault="00243F7C"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E7413A">
        <w:rPr>
          <w:rFonts w:ascii="Palatino Linotype" w:eastAsia="Palatino Linotype" w:hAnsi="Palatino Linotype" w:cs="Palatino Linotype"/>
          <w:b/>
          <w:i/>
          <w:color w:val="000000" w:themeColor="text1"/>
        </w:rPr>
        <w:t xml:space="preserve">“Artículo 5. … </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El derecho a la información será garantizado por el Estado</w:t>
      </w:r>
      <w:r w:rsidRPr="00E7413A">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Este derecho se regirá por los principios y bases siguientes:</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Toda la información en posesión de cualquier autoridad</w:t>
      </w:r>
      <w:r w:rsidRPr="00E7413A">
        <w:rPr>
          <w:rFonts w:ascii="Palatino Linotype" w:eastAsia="Palatino Linotype" w:hAnsi="Palatino Linotype" w:cs="Palatino Linotype"/>
          <w:i/>
          <w:color w:val="000000" w:themeColor="text1"/>
        </w:rPr>
        <w:t xml:space="preserve">, entidad, órgano y organismos de los Poderes Ejecutivo, Legislativo y Judicial, órganos autónomos, partidos políticos, fideicomisos </w:t>
      </w:r>
      <w:r w:rsidRPr="00E7413A">
        <w:rPr>
          <w:rFonts w:ascii="Palatino Linotype" w:eastAsia="Palatino Linotype" w:hAnsi="Palatino Linotype" w:cs="Palatino Linotype"/>
          <w:i/>
          <w:color w:val="000000" w:themeColor="text1"/>
        </w:rPr>
        <w:lastRenderedPageBreak/>
        <w:t xml:space="preserve">y fondos públicos estatales y municipales, </w:t>
      </w:r>
      <w:r w:rsidRPr="00E7413A">
        <w:rPr>
          <w:rFonts w:ascii="Palatino Linotype" w:eastAsia="Palatino Linotype" w:hAnsi="Palatino Linotype" w:cs="Palatino Linotype"/>
          <w:b/>
          <w:i/>
          <w:color w:val="000000" w:themeColor="text1"/>
        </w:rPr>
        <w:t>así como del gobierno y de la administración pública municipal y sus organismos descentralizados</w:t>
      </w:r>
      <w:r w:rsidRPr="00E7413A">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E7413A">
        <w:rPr>
          <w:rFonts w:ascii="Palatino Linotype" w:eastAsia="Palatino Linotype" w:hAnsi="Palatino Linotype" w:cs="Palatino Linotype"/>
          <w:b/>
          <w:i/>
          <w:color w:val="000000" w:themeColor="text1"/>
        </w:rPr>
        <w:t>es pública</w:t>
      </w:r>
      <w:r w:rsidRPr="00E7413A">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43F7C" w:rsidRPr="00E7413A" w:rsidRDefault="00243F7C" w:rsidP="00E7413A">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La información referente a la intimidad de la vida privada y la imagen de las personas será protegida a través de un marco jurídico rígido de tratamiento y manejo de datos personales, con las excepciones que establezca la ley reglamentaria.</w:t>
      </w:r>
    </w:p>
    <w:p w:rsidR="00243F7C" w:rsidRPr="00E7413A" w:rsidRDefault="00243F7C" w:rsidP="00E7413A">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243F7C" w:rsidRPr="00E7413A" w:rsidRDefault="00243F7C" w:rsidP="00E7413A">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Se establecerán mecanismos de acceso a la información y procedimientos de revisión expeditos que se sustanciarán ante el organismo autónomo especializado e imparcial que establece esta Constitución.</w:t>
      </w:r>
    </w:p>
    <w:p w:rsidR="00243F7C" w:rsidRPr="00E7413A" w:rsidRDefault="00243F7C" w:rsidP="00E7413A">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43F7C" w:rsidRPr="00E7413A" w:rsidRDefault="00243F7C" w:rsidP="00E7413A">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 xml:space="preserve">Los sujetos obligados deberán preservar sus documentos en archivos administrativos actualizados y publicarán, a través de los medios electrónicos </w:t>
      </w:r>
      <w:r w:rsidRPr="00E7413A">
        <w:rPr>
          <w:rFonts w:ascii="Palatino Linotype" w:eastAsia="Palatino Linotype" w:hAnsi="Palatino Linotype" w:cs="Palatino Linotype"/>
          <w:b/>
          <w:i/>
          <w:color w:val="000000" w:themeColor="text1"/>
        </w:rPr>
        <w:lastRenderedPageBreak/>
        <w:t>disponibles, la información completa y actualizada sobre el ejercicio de los recursos públicos</w:t>
      </w:r>
      <w:r w:rsidRPr="00E7413A">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rsidR="00243F7C" w:rsidRPr="00E7413A" w:rsidRDefault="00243F7C" w:rsidP="00E7413A">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La ley reglamentaria, determinará la manera en que los sujetos obligados deberán hacer pública la información relativa a los recursos públicos que entreguen a personas físicas o jurídicas colectivas.”</w:t>
      </w:r>
    </w:p>
    <w:p w:rsidR="00F91717" w:rsidRPr="00E7413A" w:rsidRDefault="00F91717"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 lo siguiente:</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“Artículo 23.</w:t>
      </w:r>
      <w:r w:rsidRPr="00E7413A">
        <w:rPr>
          <w:rFonts w:ascii="Palatino Linotype" w:eastAsia="Palatino Linotype" w:hAnsi="Palatino Linotype" w:cs="Palatino Linotype"/>
          <w:i/>
          <w:color w:val="000000" w:themeColor="text1"/>
        </w:rPr>
        <w:t xml:space="preserve"> Son sujetos obligados a transparentar y permitir el acceso a su información y proteger los datos personales que obren en su poder:</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 xml:space="preserve">I. El Poder Ejecutivo del Estado de México, las dependencias, organismos auxiliares, órganos, entidades, fideicomisos y fondos públicos, así como la Fiscalía General de Justicia del Estado de México; </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w:t>
      </w:r>
    </w:p>
    <w:p w:rsidR="00243F7C" w:rsidRPr="00E7413A"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43F7C" w:rsidRPr="00E7413A" w:rsidRDefault="00243F7C" w:rsidP="00E7413A">
      <w:pPr>
        <w:spacing w:line="360" w:lineRule="auto"/>
        <w:jc w:val="both"/>
        <w:rPr>
          <w:rFonts w:ascii="Palatino Linotype" w:eastAsia="Palatino Linotype" w:hAnsi="Palatino Linotype" w:cs="Palatino Linotype"/>
          <w:i/>
          <w:color w:val="000000" w:themeColor="text1"/>
        </w:rPr>
      </w:pPr>
    </w:p>
    <w:p w:rsidR="00243F7C" w:rsidRDefault="00243F7C"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p>
    <w:p w:rsidR="00D119B4" w:rsidRPr="00E7413A" w:rsidRDefault="00D119B4" w:rsidP="00E7413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43F7C" w:rsidRPr="00E7413A" w:rsidRDefault="00243F7C"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91717" w:rsidRPr="00E7413A" w:rsidRDefault="00F91717" w:rsidP="00E7413A">
      <w:pPr>
        <w:spacing w:line="360" w:lineRule="auto"/>
        <w:jc w:val="both"/>
        <w:rPr>
          <w:rFonts w:ascii="Palatino Linotype" w:eastAsia="Palatino Linotype" w:hAnsi="Palatino Linotype" w:cs="Palatino Linotype"/>
          <w:color w:val="000000" w:themeColor="text1"/>
        </w:rPr>
      </w:pPr>
    </w:p>
    <w:p w:rsidR="00243F7C" w:rsidRPr="00E7413A" w:rsidRDefault="00243F7C" w:rsidP="00E7413A">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Por l</w:t>
      </w:r>
      <w:r w:rsidR="00F91717" w:rsidRPr="00E7413A">
        <w:rPr>
          <w:rFonts w:ascii="Palatino Linotype" w:eastAsia="Palatino Linotype" w:hAnsi="Palatino Linotype" w:cs="Palatino Linotype"/>
          <w:color w:val="000000" w:themeColor="text1"/>
        </w:rPr>
        <w:t xml:space="preserve">o anterior, es de referir que, </w:t>
      </w:r>
      <w:r w:rsidRPr="00E7413A">
        <w:rPr>
          <w:rFonts w:ascii="Palatino Linotype" w:eastAsia="Palatino Linotype" w:hAnsi="Palatino Linotype" w:cs="Palatino Linotype"/>
          <w:color w:val="000000" w:themeColor="text1"/>
        </w:rPr>
        <w:t>l</w:t>
      </w:r>
      <w:r w:rsidR="00F91717" w:rsidRPr="00E7413A">
        <w:rPr>
          <w:rFonts w:ascii="Palatino Linotype" w:eastAsia="Palatino Linotype" w:hAnsi="Palatino Linotype" w:cs="Palatino Linotype"/>
          <w:color w:val="000000" w:themeColor="text1"/>
        </w:rPr>
        <w:t>a</w:t>
      </w:r>
      <w:r w:rsidRPr="00E7413A">
        <w:rPr>
          <w:rFonts w:ascii="Palatino Linotype" w:eastAsia="Palatino Linotype" w:hAnsi="Palatino Linotype" w:cs="Palatino Linotype"/>
          <w:color w:val="000000" w:themeColor="text1"/>
        </w:rPr>
        <w:t xml:space="preserve"> </w:t>
      </w:r>
      <w:r w:rsidR="00F91717" w:rsidRPr="00E7413A">
        <w:rPr>
          <w:rFonts w:ascii="Palatino Linotype" w:eastAsia="Palatino Linotype" w:hAnsi="Palatino Linotype" w:cs="Palatino Linotype"/>
          <w:color w:val="000000" w:themeColor="text1"/>
        </w:rPr>
        <w:t>Secretaría de Desarrollo Económico</w:t>
      </w:r>
      <w:r w:rsidRPr="00E7413A">
        <w:rPr>
          <w:rFonts w:ascii="Palatino Linotype" w:eastAsia="Palatino Linotype" w:hAnsi="Palatino Linotype" w:cs="Palatino Linotype"/>
          <w:color w:val="000000" w:themeColor="text1"/>
        </w:rPr>
        <w:t>, al ser un Sujeto Obligado comprendido por la Legislación Local en materia de Transparencia, se encuentra obligado a hacer pública toda aquella información que genere, administre o posea.</w:t>
      </w:r>
    </w:p>
    <w:p w:rsidR="00D277DC" w:rsidRPr="00E7413A" w:rsidRDefault="00D277DC" w:rsidP="00E7413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4E40CA" w:rsidRPr="00E7413A" w:rsidRDefault="004E40CA" w:rsidP="00E7413A">
      <w:pPr>
        <w:pStyle w:val="Prrafodelista"/>
        <w:tabs>
          <w:tab w:val="left" w:pos="284"/>
          <w:tab w:val="left" w:pos="426"/>
        </w:tabs>
        <w:spacing w:line="360" w:lineRule="auto"/>
        <w:ind w:left="0"/>
        <w:jc w:val="both"/>
        <w:rPr>
          <w:rFonts w:ascii="Palatino Linotype" w:eastAsia="Palatino Linotype" w:hAnsi="Palatino Linotype" w:cs="Palatino Linotype"/>
          <w:b/>
          <w:color w:val="000000" w:themeColor="text1"/>
        </w:rPr>
      </w:pPr>
      <w:r w:rsidRPr="00E7413A">
        <w:rPr>
          <w:rFonts w:ascii="Palatino Linotype" w:eastAsia="Palatino Linotype" w:hAnsi="Palatino Linotype" w:cs="Palatino Linotype"/>
          <w:b/>
          <w:color w:val="000000" w:themeColor="text1"/>
        </w:rPr>
        <w:t>QUINTO. De la versión pública.</w:t>
      </w: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Finalmente, debe señalarse que dada la propia y especial naturaleza de lo solicitado, </w:t>
      </w:r>
      <w:r w:rsidR="00F91717" w:rsidRPr="00E7413A">
        <w:rPr>
          <w:rFonts w:ascii="Palatino Linotype" w:eastAsia="Palatino Linotype" w:hAnsi="Palatino Linotype" w:cs="Palatino Linotype"/>
          <w:color w:val="000000" w:themeColor="text1"/>
        </w:rPr>
        <w:t>eventualmente pudiera contener</w:t>
      </w:r>
      <w:r w:rsidRPr="00E7413A">
        <w:rPr>
          <w:rFonts w:ascii="Palatino Linotype" w:eastAsia="Palatino Linotype" w:hAnsi="Palatino Linotype" w:cs="Palatino Linotype"/>
          <w:color w:val="000000" w:themeColor="text1"/>
        </w:rPr>
        <w:t xml:space="preserve"> datos personales que deberán ser protegidos. Para dar cumplimiento a la presente resolución, contengan datos que deban ser clasificados, el </w:t>
      </w:r>
      <w:r w:rsidRPr="00E7413A">
        <w:rPr>
          <w:rFonts w:ascii="Palatino Linotype" w:eastAsia="Palatino Linotype" w:hAnsi="Palatino Linotype" w:cs="Palatino Linotype"/>
          <w:b/>
          <w:color w:val="000000" w:themeColor="text1"/>
        </w:rPr>
        <w:t>Sujeto Obligado</w:t>
      </w:r>
      <w:r w:rsidRPr="00E7413A">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6617E1" w:rsidRPr="00E7413A" w:rsidRDefault="006617E1" w:rsidP="00E7413A">
      <w:pPr>
        <w:pStyle w:val="Prrafodelista"/>
        <w:spacing w:line="360" w:lineRule="auto"/>
        <w:ind w:left="0"/>
        <w:jc w:val="both"/>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6617E1" w:rsidRPr="00E7413A" w:rsidRDefault="006617E1" w:rsidP="00E7413A">
      <w:pPr>
        <w:spacing w:line="360" w:lineRule="auto"/>
        <w:jc w:val="both"/>
        <w:rPr>
          <w:rFonts w:ascii="Palatino Linotype" w:eastAsia="Palatino Linotype" w:hAnsi="Palatino Linotype" w:cs="Palatino Linotype"/>
          <w:b/>
          <w:i/>
          <w:color w:val="000000" w:themeColor="text1"/>
        </w:rPr>
      </w:pPr>
      <w:r w:rsidRPr="00E7413A">
        <w:rPr>
          <w:rFonts w:ascii="Palatino Linotype" w:eastAsia="Palatino Linotype" w:hAnsi="Palatino Linotype" w:cs="Palatino Linotype"/>
          <w:b/>
          <w:i/>
          <w:color w:val="000000" w:themeColor="text1"/>
        </w:rPr>
        <w:t xml:space="preserve"> “Artículo 3. Para los efectos de la presente Ley se entenderá por:</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lastRenderedPageBreak/>
        <w:t>IX. Datos personales:</w:t>
      </w:r>
      <w:r w:rsidRPr="00E7413A">
        <w:rPr>
          <w:rFonts w:ascii="Palatino Linotype" w:eastAsia="Palatino Linotype" w:hAnsi="Palatino Linotype" w:cs="Palatino Linotype"/>
          <w:i/>
          <w:color w:val="000000" w:themeColor="text1"/>
        </w:rPr>
        <w:t xml:space="preserve"> </w:t>
      </w:r>
      <w:r w:rsidRPr="00E7413A">
        <w:rPr>
          <w:rFonts w:ascii="Palatino Linotype" w:eastAsia="Palatino Linotype" w:hAnsi="Palatino Linotype" w:cs="Palatino Linotype"/>
          <w:b/>
          <w:i/>
          <w:color w:val="000000" w:themeColor="text1"/>
        </w:rPr>
        <w:t>La información concerniente a una persona, identificada o identificable</w:t>
      </w:r>
      <w:r w:rsidRPr="00E7413A">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XX. Información clasificada:</w:t>
      </w:r>
      <w:r w:rsidRPr="00E7413A">
        <w:rPr>
          <w:rFonts w:ascii="Palatino Linotype" w:eastAsia="Palatino Linotype" w:hAnsi="Palatino Linotype" w:cs="Palatino Linotype"/>
          <w:i/>
          <w:color w:val="000000" w:themeColor="text1"/>
        </w:rPr>
        <w:t xml:space="preserve"> Aquella considerada por la presente Ley como reservada o confidencial;</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XXXII. Protección de Datos Personales:</w:t>
      </w:r>
      <w:r w:rsidRPr="00E7413A">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XLV. Versión pública</w:t>
      </w:r>
      <w:r w:rsidRPr="00E7413A">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“Artículo 6.</w:t>
      </w:r>
      <w:r w:rsidRPr="00E7413A">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 </w:t>
      </w:r>
      <w:r w:rsidRPr="00E7413A">
        <w:rPr>
          <w:rFonts w:ascii="Palatino Linotype" w:eastAsia="Palatino Linotype" w:hAnsi="Palatino Linotype" w:cs="Palatino Linotype"/>
          <w:b/>
          <w:i/>
          <w:color w:val="000000" w:themeColor="text1"/>
        </w:rPr>
        <w:t>Artículo 49.</w:t>
      </w:r>
      <w:r w:rsidRPr="00E7413A">
        <w:rPr>
          <w:rFonts w:ascii="Palatino Linotype" w:eastAsia="Palatino Linotype" w:hAnsi="Palatino Linotype" w:cs="Palatino Linotype"/>
          <w:i/>
          <w:color w:val="000000" w:themeColor="text1"/>
        </w:rPr>
        <w:t> Los Comités de Transparencia tendrán las siguientes atribuciones:</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VIII</w:t>
      </w:r>
      <w:r w:rsidRPr="00E7413A">
        <w:rPr>
          <w:rFonts w:ascii="Palatino Linotype" w:eastAsia="Palatino Linotype" w:hAnsi="Palatino Linotype" w:cs="Palatino Linotype"/>
          <w:i/>
          <w:color w:val="000000" w:themeColor="text1"/>
        </w:rPr>
        <w:t>. Aprobar, modificar o revocar la clasificación de la información;</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 xml:space="preserve">Artículo 91. </w:t>
      </w:r>
      <w:r w:rsidRPr="00E7413A">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p>
    <w:p w:rsidR="006617E1" w:rsidRPr="00E7413A" w:rsidRDefault="006617E1" w:rsidP="00E7413A">
      <w:pPr>
        <w:spacing w:line="360" w:lineRule="auto"/>
        <w:jc w:val="both"/>
        <w:rPr>
          <w:rFonts w:ascii="Palatino Linotype" w:eastAsia="Palatino Linotype" w:hAnsi="Palatino Linotype" w:cs="Palatino Linotype"/>
          <w:b/>
          <w:i/>
          <w:color w:val="000000" w:themeColor="text1"/>
        </w:rPr>
      </w:pPr>
      <w:r w:rsidRPr="00E7413A">
        <w:rPr>
          <w:rFonts w:ascii="Palatino Linotype" w:eastAsia="Palatino Linotype" w:hAnsi="Palatino Linotype" w:cs="Palatino Linotype"/>
          <w:b/>
          <w:i/>
          <w:color w:val="000000" w:themeColor="text1"/>
        </w:rPr>
        <w:lastRenderedPageBreak/>
        <w:t>“Artículo 137.</w:t>
      </w:r>
      <w:r w:rsidRPr="00E7413A">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617E1" w:rsidRPr="00E7413A" w:rsidRDefault="006617E1" w:rsidP="00E7413A">
      <w:pPr>
        <w:spacing w:line="360" w:lineRule="auto"/>
        <w:jc w:val="both"/>
        <w:rPr>
          <w:rFonts w:ascii="Palatino Linotype" w:eastAsia="Palatino Linotype" w:hAnsi="Palatino Linotype" w:cs="Palatino Linotype"/>
          <w:b/>
          <w:i/>
          <w:color w:val="000000" w:themeColor="text1"/>
        </w:rPr>
      </w:pP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“Artículo 143</w:t>
      </w:r>
      <w:r w:rsidRPr="00E7413A">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I.</w:t>
      </w:r>
      <w:r w:rsidRPr="00E7413A">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w:t>
      </w:r>
      <w:r w:rsidRPr="00E7413A">
        <w:rPr>
          <w:rFonts w:ascii="Palatino Linotype" w:eastAsia="Palatino Linotype" w:hAnsi="Palatino Linotype" w:cs="Palatino Linotype"/>
          <w:color w:val="000000" w:themeColor="text1"/>
        </w:rPr>
        <w:lastRenderedPageBreak/>
        <w:t>discriminación o conlleven un riesgo grave para aquel de acuerdo a lo que señala la fracción XII del artículo 4 de la Ley de Protección de Datos Personales en Posesión de Sujetos Obligados del Estado de México.</w:t>
      </w:r>
    </w:p>
    <w:p w:rsidR="006617E1" w:rsidRPr="00E7413A" w:rsidRDefault="006617E1" w:rsidP="00E7413A">
      <w:pPr>
        <w:spacing w:line="360" w:lineRule="auto"/>
        <w:jc w:val="both"/>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617E1" w:rsidRPr="00E7413A" w:rsidRDefault="006617E1" w:rsidP="00E7413A">
      <w:pPr>
        <w:spacing w:line="360" w:lineRule="auto"/>
        <w:jc w:val="both"/>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“Artículo 49.</w:t>
      </w:r>
      <w:r w:rsidRPr="00E7413A">
        <w:rPr>
          <w:rFonts w:ascii="Palatino Linotype" w:eastAsia="Palatino Linotype" w:hAnsi="Palatino Linotype" w:cs="Palatino Linotype"/>
          <w:i/>
          <w:color w:val="000000" w:themeColor="text1"/>
        </w:rPr>
        <w:t xml:space="preserve"> </w:t>
      </w:r>
      <w:r w:rsidRPr="00E7413A">
        <w:rPr>
          <w:rFonts w:ascii="Palatino Linotype" w:eastAsia="Palatino Linotype" w:hAnsi="Palatino Linotype" w:cs="Palatino Linotype"/>
          <w:b/>
          <w:i/>
          <w:color w:val="000000" w:themeColor="text1"/>
        </w:rPr>
        <w:t>Los Comités de Transparencia</w:t>
      </w:r>
      <w:r w:rsidRPr="00E7413A">
        <w:rPr>
          <w:rFonts w:ascii="Palatino Linotype" w:eastAsia="Palatino Linotype" w:hAnsi="Palatino Linotype" w:cs="Palatino Linotype"/>
          <w:i/>
          <w:color w:val="000000" w:themeColor="text1"/>
        </w:rPr>
        <w:t xml:space="preserve"> tendrán las siguientes atribuciones:</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VIII. Aprobar, modificar o revocar la clasificación de la información</w:t>
      </w:r>
      <w:r w:rsidRPr="00E7413A">
        <w:rPr>
          <w:rFonts w:ascii="Palatino Linotype" w:eastAsia="Palatino Linotype" w:hAnsi="Palatino Linotype" w:cs="Palatino Linotype"/>
          <w:i/>
          <w:color w:val="000000" w:themeColor="text1"/>
        </w:rPr>
        <w:t>…”</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w:t>
      </w:r>
      <w:r w:rsidRPr="00E7413A">
        <w:rPr>
          <w:rFonts w:ascii="Palatino Linotype" w:eastAsia="Palatino Linotype" w:hAnsi="Palatino Linotype" w:cs="Palatino Linotype"/>
          <w:b/>
          <w:i/>
          <w:color w:val="000000" w:themeColor="text1"/>
        </w:rPr>
        <w:t>Artículo 53.</w:t>
      </w:r>
      <w:r w:rsidRPr="00E7413A">
        <w:rPr>
          <w:rFonts w:ascii="Palatino Linotype" w:eastAsia="Palatino Linotype" w:hAnsi="Palatino Linotype" w:cs="Palatino Linotype"/>
          <w:i/>
          <w:color w:val="000000" w:themeColor="text1"/>
        </w:rPr>
        <w:t xml:space="preserve"> Las </w:t>
      </w:r>
      <w:r w:rsidRPr="00E7413A">
        <w:rPr>
          <w:rFonts w:ascii="Palatino Linotype" w:eastAsia="Palatino Linotype" w:hAnsi="Palatino Linotype" w:cs="Palatino Linotype"/>
          <w:b/>
          <w:i/>
          <w:color w:val="000000" w:themeColor="text1"/>
        </w:rPr>
        <w:t>Unidades de Transparencia</w:t>
      </w:r>
      <w:r w:rsidRPr="00E7413A">
        <w:rPr>
          <w:rFonts w:ascii="Palatino Linotype" w:eastAsia="Palatino Linotype" w:hAnsi="Palatino Linotype" w:cs="Palatino Linotype"/>
          <w:i/>
          <w:color w:val="000000" w:themeColor="text1"/>
        </w:rPr>
        <w:t xml:space="preserve"> tendrán las siguientes </w:t>
      </w:r>
      <w:r w:rsidRPr="00E7413A">
        <w:rPr>
          <w:rFonts w:ascii="Palatino Linotype" w:eastAsia="Palatino Linotype" w:hAnsi="Palatino Linotype" w:cs="Palatino Linotype"/>
          <w:b/>
          <w:i/>
          <w:color w:val="000000" w:themeColor="text1"/>
        </w:rPr>
        <w:t>funciones</w:t>
      </w:r>
      <w:r w:rsidRPr="00E7413A">
        <w:rPr>
          <w:rFonts w:ascii="Palatino Linotype" w:eastAsia="Palatino Linotype" w:hAnsi="Palatino Linotype" w:cs="Palatino Linotype"/>
          <w:i/>
          <w:color w:val="000000" w:themeColor="text1"/>
        </w:rPr>
        <w:t>:</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X. Presentar ante el Comité, el proyecto de clasificación de información</w:t>
      </w:r>
      <w:r w:rsidRPr="00E7413A">
        <w:rPr>
          <w:rFonts w:ascii="Palatino Linotype" w:eastAsia="Palatino Linotype" w:hAnsi="Palatino Linotype" w:cs="Palatino Linotype"/>
          <w:i/>
          <w:color w:val="000000" w:themeColor="text1"/>
        </w:rPr>
        <w:t xml:space="preserve">…” </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“Artículo 59.</w:t>
      </w:r>
      <w:r w:rsidRPr="00E7413A">
        <w:rPr>
          <w:rFonts w:ascii="Palatino Linotype" w:eastAsia="Palatino Linotype" w:hAnsi="Palatino Linotype" w:cs="Palatino Linotype"/>
          <w:i/>
          <w:color w:val="000000" w:themeColor="text1"/>
        </w:rPr>
        <w:t xml:space="preserve"> Los </w:t>
      </w:r>
      <w:r w:rsidRPr="00E7413A">
        <w:rPr>
          <w:rFonts w:ascii="Palatino Linotype" w:eastAsia="Palatino Linotype" w:hAnsi="Palatino Linotype" w:cs="Palatino Linotype"/>
          <w:b/>
          <w:i/>
          <w:color w:val="000000" w:themeColor="text1"/>
        </w:rPr>
        <w:t>servidores públicos habilitados</w:t>
      </w:r>
      <w:r w:rsidRPr="00E7413A">
        <w:rPr>
          <w:rFonts w:ascii="Palatino Linotype" w:eastAsia="Palatino Linotype" w:hAnsi="Palatino Linotype" w:cs="Palatino Linotype"/>
          <w:i/>
          <w:color w:val="000000" w:themeColor="text1"/>
        </w:rPr>
        <w:t xml:space="preserve"> tendrán las </w:t>
      </w:r>
      <w:r w:rsidRPr="00E7413A">
        <w:rPr>
          <w:rFonts w:ascii="Palatino Linotype" w:eastAsia="Palatino Linotype" w:hAnsi="Palatino Linotype" w:cs="Palatino Linotype"/>
          <w:b/>
          <w:i/>
          <w:color w:val="000000" w:themeColor="text1"/>
        </w:rPr>
        <w:t>funciones</w:t>
      </w:r>
      <w:r w:rsidRPr="00E7413A">
        <w:rPr>
          <w:rFonts w:ascii="Palatino Linotype" w:eastAsia="Palatino Linotype" w:hAnsi="Palatino Linotype" w:cs="Palatino Linotype"/>
          <w:i/>
          <w:color w:val="000000" w:themeColor="text1"/>
        </w:rPr>
        <w:t xml:space="preserve"> siguientes:</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E7413A">
        <w:rPr>
          <w:rFonts w:ascii="Palatino Linotype" w:eastAsia="Palatino Linotype" w:hAnsi="Palatino Linotype" w:cs="Palatino Linotype"/>
          <w:i/>
          <w:color w:val="000000" w:themeColor="text1"/>
        </w:rPr>
        <w:t>, la cual tendrá los fundamentos y argumentos en que se basa dicha propuesta…”</w:t>
      </w: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617E1" w:rsidRPr="00E7413A" w:rsidRDefault="006617E1" w:rsidP="00E7413A">
      <w:pPr>
        <w:spacing w:line="360" w:lineRule="auto"/>
        <w:jc w:val="both"/>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w:t>
      </w:r>
      <w:r w:rsidRPr="00E7413A">
        <w:rPr>
          <w:rFonts w:ascii="Palatino Linotype" w:eastAsia="Palatino Linotype" w:hAnsi="Palatino Linotype" w:cs="Palatino Linotype"/>
          <w:b/>
          <w:i/>
          <w:color w:val="000000" w:themeColor="text1"/>
        </w:rPr>
        <w:t>Artículo 149.</w:t>
      </w:r>
      <w:r w:rsidRPr="00E7413A">
        <w:rPr>
          <w:rFonts w:ascii="Palatino Linotype" w:eastAsia="Palatino Linotype" w:hAnsi="Palatino Linotype" w:cs="Palatino Linotype"/>
          <w:i/>
          <w:color w:val="000000" w:themeColor="text1"/>
        </w:rPr>
        <w:t xml:space="preserve"> El </w:t>
      </w:r>
      <w:r w:rsidRPr="00E7413A">
        <w:rPr>
          <w:rFonts w:ascii="Palatino Linotype" w:eastAsia="Palatino Linotype" w:hAnsi="Palatino Linotype" w:cs="Palatino Linotype"/>
          <w:b/>
          <w:i/>
          <w:color w:val="000000" w:themeColor="text1"/>
        </w:rPr>
        <w:t>acuerdo que clasifique la información como confidencial</w:t>
      </w:r>
      <w:r w:rsidRPr="00E7413A">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7413A">
        <w:rPr>
          <w:rFonts w:ascii="Palatino Linotype" w:eastAsia="Palatino Linotype" w:hAnsi="Palatino Linotype" w:cs="Palatino Linotype"/>
          <w:b/>
          <w:color w:val="000000" w:themeColor="text1"/>
        </w:rPr>
        <w:t>Registro Federal de Contribuyentes</w:t>
      </w:r>
      <w:r w:rsidRPr="00E7413A">
        <w:rPr>
          <w:rFonts w:ascii="Palatino Linotype" w:eastAsia="Palatino Linotype" w:hAnsi="Palatino Linotype" w:cs="Palatino Linotype"/>
          <w:color w:val="000000" w:themeColor="text1"/>
        </w:rPr>
        <w:t xml:space="preserve"> (RFC), la </w:t>
      </w:r>
      <w:r w:rsidRPr="00E7413A">
        <w:rPr>
          <w:rFonts w:ascii="Palatino Linotype" w:eastAsia="Palatino Linotype" w:hAnsi="Palatino Linotype" w:cs="Palatino Linotype"/>
          <w:b/>
          <w:color w:val="000000" w:themeColor="text1"/>
        </w:rPr>
        <w:t>Clave Única de Registro de Población</w:t>
      </w:r>
      <w:r w:rsidRPr="00E7413A">
        <w:rPr>
          <w:rFonts w:ascii="Palatino Linotype" w:eastAsia="Palatino Linotype" w:hAnsi="Palatino Linotype" w:cs="Palatino Linotype"/>
          <w:color w:val="000000" w:themeColor="text1"/>
        </w:rPr>
        <w:t xml:space="preserve"> (CURP), la </w:t>
      </w:r>
      <w:r w:rsidRPr="00E7413A">
        <w:rPr>
          <w:rFonts w:ascii="Palatino Linotype" w:eastAsia="Palatino Linotype" w:hAnsi="Palatino Linotype" w:cs="Palatino Linotype"/>
          <w:b/>
          <w:color w:val="000000" w:themeColor="text1"/>
        </w:rPr>
        <w:t>Clave de cualquier tipo de seguridad social</w:t>
      </w:r>
      <w:r w:rsidRPr="00E7413A">
        <w:rPr>
          <w:rFonts w:ascii="Palatino Linotype" w:eastAsia="Palatino Linotype" w:hAnsi="Palatino Linotype" w:cs="Palatino Linotype"/>
          <w:color w:val="000000" w:themeColor="text1"/>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6617E1" w:rsidRPr="00E7413A" w:rsidRDefault="006617E1" w:rsidP="00E7413A">
      <w:pPr>
        <w:pStyle w:val="Prrafodelista"/>
        <w:spacing w:line="360" w:lineRule="auto"/>
        <w:ind w:left="0"/>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Por cuanto hace al </w:t>
      </w:r>
      <w:r w:rsidRPr="00E7413A">
        <w:rPr>
          <w:rFonts w:ascii="Palatino Linotype" w:eastAsia="Palatino Linotype" w:hAnsi="Palatino Linotype" w:cs="Palatino Linotype"/>
          <w:b/>
          <w:color w:val="000000" w:themeColor="text1"/>
        </w:rPr>
        <w:t>Registro Federal de Contribuyentes (RFC),</w:t>
      </w:r>
      <w:r w:rsidRPr="00E7413A">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6617E1" w:rsidRPr="00E7413A" w:rsidRDefault="006617E1" w:rsidP="00E7413A">
      <w:pPr>
        <w:pStyle w:val="Prrafodelista"/>
        <w:spacing w:line="360" w:lineRule="auto"/>
        <w:ind w:left="0"/>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617E1" w:rsidRPr="00E7413A" w:rsidRDefault="006617E1" w:rsidP="00E7413A">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Lo anterior es compartido por el entonces Instituto Federal de Acceso a la Información Pública y Protección de Datos Personales (IFAI) a través del Criterio 19/17, el cual es del tenor literal siguiente:</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“Registro Federal de Contribuyentes (RFC) de personas físicas</w:t>
      </w:r>
      <w:r w:rsidRPr="00E7413A">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6617E1" w:rsidRPr="00E7413A" w:rsidRDefault="006617E1" w:rsidP="00E7413A">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De igual manera la </w:t>
      </w:r>
      <w:r w:rsidRPr="00E7413A">
        <w:rPr>
          <w:rFonts w:ascii="Palatino Linotype" w:eastAsia="Palatino Linotype" w:hAnsi="Palatino Linotype" w:cs="Palatino Linotype"/>
          <w:b/>
          <w:color w:val="000000" w:themeColor="text1"/>
        </w:rPr>
        <w:t>Clave Única de Registro de Población (CURP)</w:t>
      </w:r>
      <w:r w:rsidRPr="00E7413A">
        <w:rPr>
          <w:rFonts w:ascii="Palatino Linotype" w:eastAsia="Palatino Linotype" w:hAnsi="Palatino Linotype" w:cs="Palatino Linotype"/>
          <w:color w:val="000000" w:themeColor="text1"/>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6617E1" w:rsidRPr="00E7413A" w:rsidRDefault="006617E1" w:rsidP="00E7413A">
      <w:pPr>
        <w:pStyle w:val="Prrafodelista"/>
        <w:spacing w:line="360" w:lineRule="auto"/>
        <w:ind w:left="0"/>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Argumento que es compartido por el Instituto Nacional de Transparencia, Acceso a la Información y Protección de Datos Personales, INAI</w:t>
      </w:r>
      <w:r w:rsidRPr="00E7413A">
        <w:rPr>
          <w:rFonts w:ascii="Palatino Linotype" w:eastAsia="Palatino Linotype" w:hAnsi="Palatino Linotype" w:cs="Palatino Linotype"/>
          <w:b/>
          <w:color w:val="000000" w:themeColor="text1"/>
        </w:rPr>
        <w:t xml:space="preserve">, conforme al </w:t>
      </w:r>
      <w:r w:rsidRPr="00E7413A">
        <w:rPr>
          <w:rFonts w:ascii="Palatino Linotype" w:eastAsia="Palatino Linotype" w:hAnsi="Palatino Linotype" w:cs="Palatino Linotype"/>
          <w:color w:val="000000" w:themeColor="text1"/>
        </w:rPr>
        <w:t xml:space="preserve">criterio 18/17, el cual refiere: </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 xml:space="preserve">“Clave Única de Registro de Población (CURP). </w:t>
      </w:r>
      <w:r w:rsidRPr="00E7413A">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6617E1" w:rsidRPr="00E7413A" w:rsidRDefault="006617E1" w:rsidP="00E7413A">
      <w:pPr>
        <w:pStyle w:val="Prrafodelista"/>
        <w:spacing w:line="360" w:lineRule="auto"/>
        <w:ind w:left="0"/>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Sirven de sustento a lo anterior, las tesis jurisprudenciales </w:t>
      </w:r>
      <w:r w:rsidRPr="00E7413A">
        <w:rPr>
          <w:rFonts w:ascii="Palatino Linotype" w:eastAsia="Palatino Linotype" w:hAnsi="Palatino Linotype" w:cs="Palatino Linotype"/>
          <w:i/>
          <w:color w:val="000000" w:themeColor="text1"/>
        </w:rPr>
        <w:t xml:space="preserve">P. LX/2000 </w:t>
      </w:r>
      <w:r w:rsidRPr="00E7413A">
        <w:rPr>
          <w:rFonts w:ascii="Palatino Linotype" w:eastAsia="Palatino Linotype" w:hAnsi="Palatino Linotype" w:cs="Palatino Linotype"/>
          <w:color w:val="000000" w:themeColor="text1"/>
        </w:rPr>
        <w:t xml:space="preserve">y </w:t>
      </w:r>
      <w:r w:rsidRPr="00E7413A">
        <w:rPr>
          <w:rFonts w:ascii="Palatino Linotype" w:eastAsia="Palatino Linotype" w:hAnsi="Palatino Linotype" w:cs="Palatino Linotype"/>
          <w:i/>
          <w:color w:val="000000" w:themeColor="text1"/>
        </w:rPr>
        <w:t>2a. XLIII/2008</w:t>
      </w:r>
      <w:r w:rsidRPr="00E7413A">
        <w:rPr>
          <w:rFonts w:ascii="Palatino Linotype" w:eastAsia="Tahoma" w:hAnsi="Palatino Linotype" w:cs="Tahoma"/>
          <w:b/>
          <w:color w:val="000000" w:themeColor="text1"/>
        </w:rPr>
        <w:t xml:space="preserve"> </w:t>
      </w:r>
      <w:r w:rsidRPr="00E7413A">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E7413A">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w:t>
      </w:r>
      <w:r w:rsidRPr="00E7413A">
        <w:rPr>
          <w:rFonts w:ascii="Palatino Linotype" w:eastAsia="Palatino Linotype" w:hAnsi="Palatino Linotype" w:cs="Palatino Linotype"/>
          <w:i/>
          <w:color w:val="000000" w:themeColor="text1"/>
        </w:rPr>
        <w:lastRenderedPageBreak/>
        <w:t xml:space="preserve">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7413A">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E7413A">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E7413A">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E7413A">
        <w:rPr>
          <w:rFonts w:ascii="Palatino Linotype" w:eastAsia="Palatino Linotype" w:hAnsi="Palatino Linotype" w:cs="Palatino Linotype"/>
          <w:i/>
          <w:color w:val="000000" w:themeColor="text1"/>
        </w:rPr>
        <w:t>.”</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E7413A">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w:t>
      </w:r>
      <w:r w:rsidRPr="00E7413A">
        <w:rPr>
          <w:rFonts w:ascii="Palatino Linotype" w:eastAsia="Palatino Linotype" w:hAnsi="Palatino Linotype" w:cs="Palatino Linotype"/>
          <w:i/>
          <w:color w:val="000000" w:themeColor="text1"/>
        </w:rPr>
        <w:lastRenderedPageBreak/>
        <w:t xml:space="preserve">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7413A">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7413A">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hAnsi="Palatino Linotype"/>
          <w:color w:val="000000" w:themeColor="text1"/>
        </w:rPr>
      </w:pPr>
      <w:r w:rsidRPr="00E7413A">
        <w:rPr>
          <w:rFonts w:ascii="Palatino Linotype" w:eastAsia="Palatino Linotype" w:hAnsi="Palatino Linotype" w:cs="Palatino Linotype"/>
          <w:color w:val="000000" w:themeColor="text1"/>
        </w:rPr>
        <w:t>Por otra parte y respecto a</w:t>
      </w:r>
      <w:r w:rsidRPr="00E7413A">
        <w:rPr>
          <w:rFonts w:ascii="Palatino Linotype" w:eastAsia="Palatino Linotype" w:hAnsi="Palatino Linotype" w:cs="Palatino Linotype"/>
          <w:b/>
          <w:color w:val="000000" w:themeColor="text1"/>
        </w:rPr>
        <w:t xml:space="preserve"> la clave de seguridad social y en su caso clave o número del servidor público –trabajador-,</w:t>
      </w:r>
      <w:r w:rsidRPr="00E7413A">
        <w:rPr>
          <w:rFonts w:ascii="Palatino Linotype" w:eastAsia="Palatino Linotype" w:hAnsi="Palatino Linotype" w:cs="Palatino Linotype"/>
          <w:color w:val="000000" w:themeColor="text1"/>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6617E1" w:rsidRPr="00E7413A" w:rsidRDefault="006617E1" w:rsidP="00E7413A">
      <w:pPr>
        <w:shd w:val="clear" w:color="auto" w:fill="FFFFFF"/>
        <w:spacing w:line="360" w:lineRule="auto"/>
        <w:jc w:val="both"/>
        <w:rPr>
          <w:rFonts w:ascii="Palatino Linotype" w:hAnsi="Palatino Linotype"/>
          <w:color w:val="000000" w:themeColor="text1"/>
        </w:rPr>
      </w:pPr>
      <w:r w:rsidRPr="00E7413A">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E7413A">
        <w:rPr>
          <w:rFonts w:ascii="Palatino Linotype" w:eastAsia="Palatino Linotype" w:hAnsi="Palatino Linotype" w:cs="Palatino Linotype"/>
          <w:i/>
          <w:color w:val="000000" w:themeColor="text1"/>
        </w:rPr>
        <w:t> </w:t>
      </w:r>
      <w:r w:rsidRPr="00E7413A">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E7413A">
        <w:rPr>
          <w:rFonts w:ascii="Palatino Linotype" w:eastAsia="Palatino Linotype" w:hAnsi="Palatino Linotype" w:cs="Palatino Linotype"/>
          <w:i/>
          <w:color w:val="000000" w:themeColor="text1"/>
        </w:rPr>
        <w:t>, </w:t>
      </w:r>
      <w:r w:rsidRPr="00E7413A">
        <w:rPr>
          <w:rFonts w:ascii="Palatino Linotype" w:eastAsia="Palatino Linotype" w:hAnsi="Palatino Linotype" w:cs="Palatino Linotype"/>
          <w:i/>
          <w:color w:val="000000" w:themeColor="text1"/>
          <w:u w:val="single"/>
        </w:rPr>
        <w:t xml:space="preserve">dicha información es susceptible de clasificarse con </w:t>
      </w:r>
      <w:r w:rsidRPr="00E7413A">
        <w:rPr>
          <w:rFonts w:ascii="Palatino Linotype" w:eastAsia="Palatino Linotype" w:hAnsi="Palatino Linotype" w:cs="Palatino Linotype"/>
          <w:i/>
          <w:color w:val="000000" w:themeColor="text1"/>
          <w:u w:val="single"/>
        </w:rPr>
        <w:lastRenderedPageBreak/>
        <w:t>el carácter de confidencial</w:t>
      </w:r>
      <w:r w:rsidRPr="00E7413A">
        <w:rPr>
          <w:rFonts w:ascii="Palatino Linotype" w:eastAsia="Palatino Linotype" w:hAnsi="Palatino Linotype" w:cs="Palatino Linotype"/>
          <w:i/>
          <w:color w:val="000000" w:themeColor="text1"/>
        </w:rPr>
        <w:t xml:space="preserve">, en términos de lo establecido en el artículo 18, fracción II de la Ley Federal de Transparencia y Acceso a la Información Pública Gubernamental, en virtud de que a través de la misma es posible conocer información personal de su titular.” </w:t>
      </w:r>
    </w:p>
    <w:p w:rsidR="006617E1" w:rsidRPr="00E7413A" w:rsidRDefault="006617E1" w:rsidP="00E7413A">
      <w:pPr>
        <w:spacing w:line="360" w:lineRule="auto"/>
        <w:jc w:val="both"/>
        <w:rPr>
          <w:rFonts w:ascii="Palatino Linotype" w:eastAsia="Palatino Linotype" w:hAnsi="Palatino Linotype" w:cs="Palatino Linotype"/>
          <w:color w:val="000000" w:themeColor="text1"/>
        </w:rPr>
      </w:pPr>
    </w:p>
    <w:p w:rsidR="006617E1"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Al respecto, se destaca que la versión pública que elabore el </w:t>
      </w:r>
      <w:r w:rsidRPr="00E7413A">
        <w:rPr>
          <w:rFonts w:ascii="Palatino Linotype" w:eastAsia="Palatino Linotype" w:hAnsi="Palatino Linotype" w:cs="Palatino Linotype"/>
          <w:b/>
          <w:color w:val="000000" w:themeColor="text1"/>
        </w:rPr>
        <w:t>SUJETO OBLIGADO</w:t>
      </w:r>
      <w:r w:rsidRPr="00E7413A">
        <w:rPr>
          <w:rFonts w:ascii="Palatino Linotype" w:eastAsia="Palatino Linotype" w:hAnsi="Palatino Linotype" w:cs="Palatino Linotype"/>
          <w:color w:val="000000" w:themeColor="text1"/>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D119B4" w:rsidRPr="00E7413A" w:rsidRDefault="00D119B4" w:rsidP="00D119B4">
      <w:pPr>
        <w:pStyle w:val="Prrafodelista"/>
        <w:tabs>
          <w:tab w:val="left" w:pos="142"/>
          <w:tab w:val="left" w:pos="284"/>
        </w:tabs>
        <w:spacing w:line="360" w:lineRule="auto"/>
        <w:ind w:left="0"/>
        <w:jc w:val="both"/>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rsidR="006617E1" w:rsidRPr="00E7413A" w:rsidRDefault="006617E1" w:rsidP="00E7413A">
      <w:pPr>
        <w:pStyle w:val="Prrafodelista"/>
        <w:spacing w:line="360" w:lineRule="auto"/>
        <w:ind w:left="0"/>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E7413A">
        <w:rPr>
          <w:rFonts w:ascii="Palatino Linotype" w:eastAsia="Palatino Linotype" w:hAnsi="Palatino Linotype" w:cs="Palatino Linotype"/>
          <w:b/>
          <w:color w:val="000000" w:themeColor="text1"/>
        </w:rPr>
        <w:t>SUJETO OBLIGADO</w:t>
      </w:r>
      <w:r w:rsidRPr="00E7413A">
        <w:rPr>
          <w:rFonts w:ascii="Palatino Linotype" w:eastAsia="Palatino Linotype" w:hAnsi="Palatino Linotype" w:cs="Palatino Linotype"/>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w:t>
      </w:r>
      <w:r w:rsidRPr="00E7413A">
        <w:rPr>
          <w:rFonts w:ascii="Palatino Linotype" w:eastAsia="Palatino Linotype" w:hAnsi="Palatino Linotype" w:cs="Palatino Linotype"/>
          <w:color w:val="000000" w:themeColor="text1"/>
        </w:rPr>
        <w:lastRenderedPageBreak/>
        <w:t>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E7413A">
        <w:rPr>
          <w:rFonts w:ascii="Palatino Linotype" w:eastAsia="Palatino Linotype" w:hAnsi="Palatino Linotype" w:cs="Palatino Linotype"/>
          <w:b/>
          <w:color w:val="000000" w:themeColor="text1"/>
        </w:rPr>
        <w:t>RECURRENTE.</w:t>
      </w:r>
    </w:p>
    <w:p w:rsidR="006617E1" w:rsidRPr="00E7413A" w:rsidRDefault="006617E1" w:rsidP="00E7413A">
      <w:pPr>
        <w:pStyle w:val="Prrafodelista"/>
        <w:spacing w:line="360" w:lineRule="auto"/>
        <w:ind w:left="0"/>
        <w:rPr>
          <w:rFonts w:ascii="Palatino Linotype" w:eastAsia="Palatino Linotype" w:hAnsi="Palatino Linotype" w:cs="Palatino Linotype"/>
          <w:color w:val="000000" w:themeColor="text1"/>
        </w:rPr>
      </w:pPr>
    </w:p>
    <w:p w:rsidR="006617E1"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E7413A" w:rsidRPr="00E7413A" w:rsidRDefault="00E7413A" w:rsidP="00E7413A">
      <w:pPr>
        <w:pStyle w:val="Prrafodelista"/>
        <w:tabs>
          <w:tab w:val="left" w:pos="142"/>
          <w:tab w:val="left" w:pos="284"/>
        </w:tabs>
        <w:spacing w:line="360" w:lineRule="auto"/>
        <w:ind w:left="0"/>
        <w:jc w:val="both"/>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617E1" w:rsidRPr="00E7413A" w:rsidRDefault="006617E1" w:rsidP="00E7413A">
      <w:pPr>
        <w:pStyle w:val="Prrafodelista"/>
        <w:spacing w:line="360" w:lineRule="auto"/>
        <w:ind w:left="0"/>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lastRenderedPageBreak/>
        <w:t>“Quincuagésimo sexto</w:t>
      </w:r>
      <w:r w:rsidRPr="00E7413A">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r w:rsidRPr="00E7413A">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rsidR="006617E1" w:rsidRPr="00E7413A" w:rsidRDefault="006617E1" w:rsidP="00E7413A">
      <w:pPr>
        <w:spacing w:line="360" w:lineRule="auto"/>
        <w:jc w:val="both"/>
        <w:rPr>
          <w:rFonts w:ascii="Palatino Linotype" w:eastAsia="Palatino Linotype" w:hAnsi="Palatino Linotype" w:cs="Palatino Linotype"/>
          <w:i/>
          <w:color w:val="000000" w:themeColor="text1"/>
        </w:rPr>
      </w:pPr>
    </w:p>
    <w:p w:rsidR="006617E1"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Por lo tanto, </w:t>
      </w:r>
      <w:r w:rsidRPr="00E7413A">
        <w:rPr>
          <w:rFonts w:ascii="Palatino Linotype" w:eastAsia="Palatino Linotype" w:hAnsi="Palatino Linotype" w:cs="Palatino Linotype"/>
          <w:b/>
          <w:color w:val="000000" w:themeColor="text1"/>
        </w:rPr>
        <w:t xml:space="preserve">la entrega de documentos en su versión pública debe </w:t>
      </w:r>
      <w:r w:rsidRPr="00E7413A">
        <w:rPr>
          <w:rFonts w:ascii="Palatino Linotype" w:eastAsia="Palatino Linotype" w:hAnsi="Palatino Linotype" w:cs="Palatino Linotype"/>
          <w:color w:val="000000" w:themeColor="text1"/>
        </w:rPr>
        <w:t>acompañarse</w:t>
      </w:r>
      <w:r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necesariamente</w:t>
      </w:r>
      <w:r w:rsidRPr="00E7413A">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E7413A">
        <w:rPr>
          <w:rFonts w:ascii="Palatino Linotype" w:eastAsia="Palatino Linotype" w:hAnsi="Palatino Linotype" w:cs="Palatino Linotype"/>
          <w:color w:val="000000" w:themeColor="text1"/>
        </w:rPr>
        <w:t xml:space="preserve">, ya que no hacerlo, se reitera que lo entregado no tendría un </w:t>
      </w:r>
      <w:r w:rsidRPr="00E7413A">
        <w:rPr>
          <w:rFonts w:ascii="Palatino Linotype" w:eastAsia="Palatino Linotype" w:hAnsi="Palatino Linotype" w:cs="Palatino Linotype"/>
          <w:color w:val="000000" w:themeColor="text1"/>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7413A" w:rsidRPr="00E7413A" w:rsidRDefault="00E7413A" w:rsidP="00E7413A">
      <w:pPr>
        <w:pStyle w:val="Prrafodelista"/>
        <w:tabs>
          <w:tab w:val="left" w:pos="142"/>
          <w:tab w:val="left" w:pos="284"/>
        </w:tabs>
        <w:spacing w:line="360" w:lineRule="auto"/>
        <w:ind w:left="0"/>
        <w:jc w:val="both"/>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Los sujetos obligados</w:t>
      </w:r>
      <w:r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617E1" w:rsidRPr="00E7413A" w:rsidRDefault="006617E1" w:rsidP="00E7413A">
      <w:pPr>
        <w:tabs>
          <w:tab w:val="left" w:pos="284"/>
        </w:tabs>
        <w:spacing w:line="360" w:lineRule="auto"/>
        <w:jc w:val="both"/>
        <w:rPr>
          <w:rFonts w:ascii="Palatino Linotype" w:eastAsia="Palatino Linotype" w:hAnsi="Palatino Linotype" w:cs="Palatino Linotype"/>
          <w:color w:val="000000" w:themeColor="text1"/>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804"/>
      </w:tblGrid>
      <w:tr w:rsidR="00E7413A" w:rsidRPr="00E7413A" w:rsidTr="00D119B4">
        <w:tc>
          <w:tcPr>
            <w:tcW w:w="2689" w:type="dxa"/>
          </w:tcPr>
          <w:p w:rsidR="006617E1" w:rsidRPr="00E7413A" w:rsidRDefault="006617E1" w:rsidP="00E7413A">
            <w:pPr>
              <w:tabs>
                <w:tab w:val="left" w:pos="284"/>
              </w:tabs>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a) Requisitos previos.</w:t>
            </w:r>
          </w:p>
        </w:tc>
        <w:tc>
          <w:tcPr>
            <w:tcW w:w="6804" w:type="dxa"/>
          </w:tcPr>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7413A">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E7413A">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w:t>
            </w:r>
            <w:r w:rsidRPr="00E7413A">
              <w:rPr>
                <w:rFonts w:ascii="Palatino Linotype" w:eastAsia="Palatino Linotype" w:hAnsi="Palatino Linotype" w:cs="Palatino Linotype"/>
                <w:color w:val="000000" w:themeColor="text1"/>
              </w:rPr>
              <w:lastRenderedPageBreak/>
              <w:t>documento con diez datos, por ejemplo, susceptibles de ser clasificados.</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p>
        </w:tc>
      </w:tr>
      <w:tr w:rsidR="00E7413A" w:rsidRPr="00E7413A" w:rsidTr="00D119B4">
        <w:tc>
          <w:tcPr>
            <w:tcW w:w="2689" w:type="dxa"/>
          </w:tcPr>
          <w:p w:rsidR="006617E1" w:rsidRPr="00E7413A" w:rsidRDefault="006617E1" w:rsidP="00E7413A">
            <w:pPr>
              <w:tabs>
                <w:tab w:val="left" w:pos="284"/>
              </w:tabs>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b) Supuestos de clasificación.</w:t>
            </w:r>
          </w:p>
        </w:tc>
        <w:tc>
          <w:tcPr>
            <w:tcW w:w="6804" w:type="dxa"/>
          </w:tcPr>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El </w:t>
            </w:r>
            <w:r w:rsidRPr="00E7413A">
              <w:rPr>
                <w:rFonts w:ascii="Palatino Linotype" w:eastAsia="Palatino Linotype" w:hAnsi="Palatino Linotype" w:cs="Palatino Linotype"/>
                <w:b/>
                <w:color w:val="000000" w:themeColor="text1"/>
              </w:rPr>
              <w:t>Sujeto Obligado</w:t>
            </w:r>
            <w:r w:rsidRPr="00E7413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p>
        </w:tc>
      </w:tr>
      <w:tr w:rsidR="00E7413A" w:rsidRPr="00E7413A" w:rsidTr="00D119B4">
        <w:tc>
          <w:tcPr>
            <w:tcW w:w="2689" w:type="dxa"/>
          </w:tcPr>
          <w:p w:rsidR="006617E1" w:rsidRPr="00E7413A" w:rsidRDefault="006617E1" w:rsidP="00E7413A">
            <w:pPr>
              <w:tabs>
                <w:tab w:val="left" w:pos="284"/>
              </w:tabs>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c) Formalidades para emitir el acuerdo de clasificación.</w:t>
            </w:r>
          </w:p>
        </w:tc>
        <w:tc>
          <w:tcPr>
            <w:tcW w:w="6804" w:type="dxa"/>
          </w:tcPr>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Es necesario que </w:t>
            </w:r>
            <w:r w:rsidRPr="00E7413A">
              <w:rPr>
                <w:rFonts w:ascii="Palatino Linotype" w:eastAsia="Palatino Linotype" w:hAnsi="Palatino Linotype" w:cs="Palatino Linotype"/>
                <w:b/>
                <w:color w:val="000000" w:themeColor="text1"/>
                <w:u w:val="single"/>
              </w:rPr>
              <w:t>el acto reúna con los requisitos elementales</w:t>
            </w:r>
            <w:r w:rsidRPr="00E7413A">
              <w:rPr>
                <w:rFonts w:ascii="Palatino Linotype" w:eastAsia="Palatino Linotype" w:hAnsi="Palatino Linotype" w:cs="Palatino Linotype"/>
                <w:color w:val="000000" w:themeColor="text1"/>
              </w:rPr>
              <w:t>, entre ellos, que la autoridad que va a emitir el acto de autoridad sea la legalmente facultada para ello.</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E7413A">
              <w:rPr>
                <w:rFonts w:ascii="Palatino Linotype" w:eastAsia="Palatino Linotype" w:hAnsi="Palatino Linotype" w:cs="Palatino Linotype"/>
                <w:color w:val="000000" w:themeColor="text1"/>
              </w:rPr>
              <w:lastRenderedPageBreak/>
              <w:t>áreas y que son sujetas a control, en primera instancia, por el Comité de Transparencia.</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p>
        </w:tc>
      </w:tr>
      <w:tr w:rsidR="00E7413A" w:rsidRPr="00E7413A" w:rsidTr="00D119B4">
        <w:tc>
          <w:tcPr>
            <w:tcW w:w="2689" w:type="dxa"/>
          </w:tcPr>
          <w:p w:rsidR="006617E1" w:rsidRPr="00E7413A" w:rsidRDefault="006617E1" w:rsidP="00E7413A">
            <w:pPr>
              <w:tabs>
                <w:tab w:val="left" w:pos="284"/>
              </w:tabs>
              <w:rPr>
                <w:rFonts w:ascii="Palatino Linotype" w:eastAsia="Palatino Linotype" w:hAnsi="Palatino Linotype" w:cs="Palatino Linotype"/>
                <w:color w:val="000000" w:themeColor="text1"/>
              </w:rPr>
            </w:pP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d) Requisitos de fondo del acuerdo de clasificación. </w:t>
            </w:r>
          </w:p>
        </w:tc>
        <w:tc>
          <w:tcPr>
            <w:tcW w:w="6804" w:type="dxa"/>
          </w:tcPr>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7413A">
              <w:rPr>
                <w:rFonts w:ascii="Palatino Linotype" w:eastAsia="Palatino Linotype" w:hAnsi="Palatino Linotype" w:cs="Palatino Linotype"/>
                <w:b/>
                <w:color w:val="000000" w:themeColor="text1"/>
              </w:rPr>
              <w:t>Sujetos Obligados</w:t>
            </w:r>
            <w:r w:rsidRPr="00E7413A">
              <w:rPr>
                <w:rFonts w:ascii="Palatino Linotype" w:eastAsia="Palatino Linotype" w:hAnsi="Palatino Linotype" w:cs="Palatino Linotype"/>
                <w:color w:val="000000" w:themeColor="text1"/>
              </w:rPr>
              <w:t xml:space="preserve">, por lo que deberán fundar y motivar debidamente la clasificación. </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De lo anterior, se desprende que para una correcta </w:t>
            </w:r>
            <w:r w:rsidRPr="00E7413A">
              <w:rPr>
                <w:rFonts w:ascii="Palatino Linotype" w:eastAsia="Palatino Linotype" w:hAnsi="Palatino Linotype" w:cs="Palatino Linotype"/>
                <w:b/>
                <w:color w:val="000000" w:themeColor="text1"/>
              </w:rPr>
              <w:t>clasificación total o parcial</w:t>
            </w:r>
            <w:r w:rsidRPr="00E7413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Ahora bien, </w:t>
            </w:r>
            <w:r w:rsidRPr="00E7413A">
              <w:rPr>
                <w:rFonts w:ascii="Palatino Linotype" w:eastAsia="Palatino Linotype" w:hAnsi="Palatino Linotype" w:cs="Palatino Linotype"/>
                <w:b/>
                <w:color w:val="000000" w:themeColor="text1"/>
                <w:u w:val="single"/>
              </w:rPr>
              <w:t>para cada caso además de fundar y motivar</w:t>
            </w:r>
            <w:r w:rsidRPr="00E7413A">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w:t>
            </w:r>
            <w:r w:rsidRPr="00E7413A">
              <w:rPr>
                <w:rFonts w:ascii="Palatino Linotype" w:eastAsia="Palatino Linotype" w:hAnsi="Palatino Linotype" w:cs="Palatino Linotype"/>
                <w:color w:val="000000" w:themeColor="text1"/>
              </w:rPr>
              <w:lastRenderedPageBreak/>
              <w:t>préstamos o descuentos personales, secretos bancario, fiduciario, industrial, comercial, fiscal, bursátil y postal, cuya titularidad corresponda a particulares, entre otros.</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p>
        </w:tc>
      </w:tr>
      <w:tr w:rsidR="006617E1" w:rsidRPr="00E7413A" w:rsidTr="00D119B4">
        <w:tc>
          <w:tcPr>
            <w:tcW w:w="2689" w:type="dxa"/>
          </w:tcPr>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04" w:type="dxa"/>
          </w:tcPr>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6617E1" w:rsidRPr="00E7413A" w:rsidRDefault="006617E1" w:rsidP="00E7413A">
            <w:pPr>
              <w:tabs>
                <w:tab w:val="left" w:pos="284"/>
              </w:tabs>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617E1" w:rsidRPr="00E7413A" w:rsidRDefault="006617E1" w:rsidP="00E7413A">
            <w:pPr>
              <w:tabs>
                <w:tab w:val="left" w:pos="284"/>
              </w:tabs>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6617E1" w:rsidRPr="00E7413A" w:rsidRDefault="006617E1" w:rsidP="00E7413A">
            <w:pPr>
              <w:tabs>
                <w:tab w:val="left" w:pos="284"/>
              </w:tabs>
              <w:rPr>
                <w:rFonts w:ascii="Palatino Linotype" w:eastAsia="Palatino Linotype" w:hAnsi="Palatino Linotype" w:cs="Palatino Linotype"/>
                <w:color w:val="000000" w:themeColor="text1"/>
              </w:rPr>
            </w:pPr>
          </w:p>
        </w:tc>
      </w:tr>
    </w:tbl>
    <w:p w:rsidR="006617E1" w:rsidRPr="00E7413A" w:rsidRDefault="006617E1" w:rsidP="00E7413A">
      <w:pPr>
        <w:tabs>
          <w:tab w:val="left" w:pos="284"/>
        </w:tabs>
        <w:spacing w:line="360" w:lineRule="auto"/>
        <w:rPr>
          <w:rFonts w:ascii="Palatino Linotype" w:eastAsia="Palatino Linotype" w:hAnsi="Palatino Linotype" w:cs="Palatino Linotype"/>
          <w:color w:val="000000" w:themeColor="text1"/>
        </w:rPr>
      </w:pPr>
    </w:p>
    <w:p w:rsidR="006617E1" w:rsidRPr="00E7413A" w:rsidRDefault="006617E1" w:rsidP="00E7413A">
      <w:pPr>
        <w:pStyle w:val="Prrafodelista"/>
        <w:numPr>
          <w:ilvl w:val="0"/>
          <w:numId w:val="3"/>
        </w:numPr>
        <w:tabs>
          <w:tab w:val="left" w:pos="142"/>
          <w:tab w:val="left" w:pos="284"/>
        </w:tabs>
        <w:spacing w:line="360" w:lineRule="auto"/>
        <w:ind w:left="0" w:firstLine="0"/>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 xml:space="preserve">Si el servidor </w:t>
      </w:r>
      <w:r w:rsidRPr="00E7413A">
        <w:rPr>
          <w:rFonts w:ascii="Palatino Linotype" w:eastAsia="Arial Unicode MS" w:hAnsi="Palatino Linotype" w:cs="Arial"/>
          <w:color w:val="000000" w:themeColor="text1"/>
        </w:rPr>
        <w:t>público</w:t>
      </w:r>
      <w:r w:rsidRPr="00E7413A">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rsidR="006617E1" w:rsidRPr="00E7413A" w:rsidRDefault="006617E1" w:rsidP="00E7413A">
      <w:pPr>
        <w:pStyle w:val="Prrafodelista"/>
        <w:widowControl w:val="0"/>
        <w:autoSpaceDE w:val="0"/>
        <w:autoSpaceDN w:val="0"/>
        <w:adjustRightInd w:val="0"/>
        <w:spacing w:line="360" w:lineRule="auto"/>
        <w:ind w:left="0"/>
        <w:jc w:val="both"/>
        <w:rPr>
          <w:rFonts w:ascii="Palatino Linotype" w:eastAsia="Calibri" w:hAnsi="Palatino Linotype" w:cs="Arial"/>
          <w:color w:val="000000" w:themeColor="text1"/>
        </w:rPr>
      </w:pPr>
    </w:p>
    <w:p w:rsidR="006617E1" w:rsidRPr="00D119B4" w:rsidRDefault="006617E1" w:rsidP="00E7413A">
      <w:pPr>
        <w:pStyle w:val="Prrafodelista"/>
        <w:numPr>
          <w:ilvl w:val="0"/>
          <w:numId w:val="3"/>
        </w:numPr>
        <w:tabs>
          <w:tab w:val="left" w:pos="142"/>
          <w:tab w:val="left" w:pos="284"/>
        </w:tabs>
        <w:spacing w:line="360" w:lineRule="auto"/>
        <w:ind w:left="0" w:firstLine="0"/>
        <w:jc w:val="both"/>
        <w:rPr>
          <w:rFonts w:ascii="Palatino Linotype" w:eastAsia="Calibri" w:hAnsi="Palatino Linotype" w:cs="Arial"/>
          <w:color w:val="000000" w:themeColor="text1"/>
        </w:rPr>
      </w:pPr>
      <w:r w:rsidRPr="00E7413A">
        <w:rPr>
          <w:rFonts w:ascii="Palatino Linotype" w:eastAsia="Arial Unicode MS" w:hAnsi="Palatino Linotype" w:cs="Arial"/>
          <w:color w:val="000000" w:themeColor="text1"/>
        </w:rPr>
        <w:t>Por</w:t>
      </w:r>
      <w:r w:rsidRPr="00E7413A">
        <w:rPr>
          <w:rFonts w:ascii="Palatino Linotype" w:eastAsia="MS Mincho" w:hAnsi="Palatino Linotype"/>
          <w:color w:val="000000" w:themeColor="text1"/>
        </w:rPr>
        <w:t xml:space="preserve"> lo anteriormente expuesto y fundado, este Órgano Garante emite los </w:t>
      </w:r>
      <w:r w:rsidRPr="00E7413A">
        <w:rPr>
          <w:rFonts w:ascii="Palatino Linotype" w:eastAsia="Palatino Linotype" w:hAnsi="Palatino Linotype" w:cs="Palatino Linotype"/>
          <w:color w:val="000000" w:themeColor="text1"/>
        </w:rPr>
        <w:t>siguientes</w:t>
      </w:r>
      <w:r w:rsidRPr="00E7413A">
        <w:rPr>
          <w:rFonts w:ascii="Palatino Linotype" w:eastAsia="MS Mincho" w:hAnsi="Palatino Linotype"/>
          <w:color w:val="000000" w:themeColor="text1"/>
        </w:rPr>
        <w:t xml:space="preserve">: </w:t>
      </w:r>
    </w:p>
    <w:p w:rsidR="00D119B4" w:rsidRPr="00D119B4" w:rsidRDefault="00D119B4" w:rsidP="00D119B4">
      <w:pPr>
        <w:pStyle w:val="Prrafodelista"/>
        <w:rPr>
          <w:rFonts w:ascii="Palatino Linotype" w:eastAsia="Calibri" w:hAnsi="Palatino Linotype" w:cs="Arial"/>
          <w:color w:val="000000" w:themeColor="text1"/>
        </w:rPr>
      </w:pPr>
    </w:p>
    <w:p w:rsidR="00D119B4" w:rsidRDefault="00D119B4" w:rsidP="00D119B4">
      <w:pPr>
        <w:tabs>
          <w:tab w:val="left" w:pos="142"/>
          <w:tab w:val="left" w:pos="284"/>
        </w:tabs>
        <w:spacing w:line="360" w:lineRule="auto"/>
        <w:jc w:val="both"/>
        <w:rPr>
          <w:rFonts w:ascii="Palatino Linotype" w:eastAsia="Calibri" w:hAnsi="Palatino Linotype" w:cs="Arial"/>
          <w:color w:val="000000" w:themeColor="text1"/>
        </w:rPr>
      </w:pPr>
    </w:p>
    <w:p w:rsidR="00D119B4" w:rsidRPr="00D119B4" w:rsidRDefault="00D119B4" w:rsidP="00D119B4">
      <w:pPr>
        <w:tabs>
          <w:tab w:val="left" w:pos="142"/>
          <w:tab w:val="left" w:pos="284"/>
        </w:tabs>
        <w:spacing w:line="360" w:lineRule="auto"/>
        <w:jc w:val="both"/>
        <w:rPr>
          <w:rFonts w:ascii="Palatino Linotype" w:eastAsia="Calibri" w:hAnsi="Palatino Linotype" w:cs="Arial"/>
          <w:color w:val="000000" w:themeColor="text1"/>
        </w:rPr>
      </w:pPr>
    </w:p>
    <w:p w:rsidR="00955CFD" w:rsidRPr="00E7413A" w:rsidRDefault="00955CFD" w:rsidP="00E7413A">
      <w:pPr>
        <w:keepNext/>
        <w:keepLines/>
        <w:spacing w:line="360" w:lineRule="auto"/>
        <w:jc w:val="center"/>
        <w:rPr>
          <w:rFonts w:ascii="Palatino Linotype" w:eastAsia="Palatino Linotype" w:hAnsi="Palatino Linotype" w:cs="Palatino Linotype"/>
          <w:b/>
          <w:color w:val="000000" w:themeColor="text1"/>
        </w:rPr>
      </w:pPr>
      <w:r w:rsidRPr="00E7413A">
        <w:rPr>
          <w:rFonts w:ascii="Palatino Linotype" w:eastAsia="Palatino Linotype" w:hAnsi="Palatino Linotype" w:cs="Palatino Linotype"/>
          <w:b/>
          <w:color w:val="000000" w:themeColor="text1"/>
        </w:rPr>
        <w:lastRenderedPageBreak/>
        <w:t>R E S O L U T I V O S</w:t>
      </w:r>
    </w:p>
    <w:p w:rsidR="00955CFD" w:rsidRPr="00E7413A" w:rsidRDefault="00955CFD" w:rsidP="00E7413A">
      <w:pPr>
        <w:spacing w:line="360" w:lineRule="auto"/>
        <w:jc w:val="both"/>
        <w:rPr>
          <w:rFonts w:ascii="Palatino Linotype" w:eastAsia="Palatino Linotype" w:hAnsi="Palatino Linotype" w:cs="Palatino Linotype"/>
          <w:b/>
          <w:color w:val="000000" w:themeColor="text1"/>
        </w:rPr>
      </w:pPr>
      <w:r w:rsidRPr="00E7413A">
        <w:rPr>
          <w:rFonts w:ascii="Palatino Linotype" w:eastAsia="Palatino Linotype" w:hAnsi="Palatino Linotype" w:cs="Palatino Linotype"/>
          <w:b/>
          <w:color w:val="000000" w:themeColor="text1"/>
        </w:rPr>
        <w:tab/>
      </w:r>
    </w:p>
    <w:p w:rsidR="00063A2F" w:rsidRPr="00E7413A" w:rsidRDefault="00063A2F" w:rsidP="00E7413A">
      <w:pPr>
        <w:spacing w:line="360" w:lineRule="auto"/>
        <w:jc w:val="both"/>
        <w:rPr>
          <w:rFonts w:ascii="Palatino Linotype" w:eastAsia="Palatino Linotype" w:hAnsi="Palatino Linotype" w:cs="Palatino Linotype"/>
          <w:color w:val="000000" w:themeColor="text1"/>
        </w:rPr>
      </w:pPr>
      <w:r w:rsidRPr="00E7413A">
        <w:rPr>
          <w:rFonts w:ascii="Palatino Linotype" w:eastAsia="Times New Roman" w:hAnsi="Palatino Linotype" w:cs="Arial"/>
          <w:b/>
          <w:bCs/>
          <w:color w:val="000000" w:themeColor="text1"/>
        </w:rPr>
        <w:t>PRIMERO</w:t>
      </w:r>
      <w:r w:rsidRPr="00E7413A">
        <w:rPr>
          <w:rFonts w:ascii="Palatino Linotype" w:eastAsia="Times New Roman" w:hAnsi="Palatino Linotype" w:cs="Arial"/>
          <w:color w:val="000000" w:themeColor="text1"/>
        </w:rPr>
        <w:t xml:space="preserve">. Resultan </w:t>
      </w:r>
      <w:r w:rsidR="00C242EB" w:rsidRPr="00E7413A">
        <w:rPr>
          <w:rFonts w:ascii="Palatino Linotype" w:eastAsia="Times New Roman" w:hAnsi="Palatino Linotype" w:cs="Arial"/>
          <w:color w:val="000000" w:themeColor="text1"/>
        </w:rPr>
        <w:t xml:space="preserve">parcialmente </w:t>
      </w:r>
      <w:r w:rsidRPr="00E7413A">
        <w:rPr>
          <w:rFonts w:ascii="Palatino Linotype" w:eastAsia="Times New Roman" w:hAnsi="Palatino Linotype" w:cs="Arial"/>
          <w:color w:val="000000" w:themeColor="text1"/>
        </w:rPr>
        <w:t xml:space="preserve">fundadas las </w:t>
      </w:r>
      <w:r w:rsidRPr="00E7413A">
        <w:rPr>
          <w:rFonts w:ascii="Palatino Linotype" w:eastAsia="Times New Roman" w:hAnsi="Palatino Linotype" w:cs="Arial"/>
          <w:color w:val="000000" w:themeColor="text1"/>
          <w:lang w:val="es-ES"/>
        </w:rPr>
        <w:t xml:space="preserve">razones o motivos de inconformidad hechos valer en el Recurso de Revisión </w:t>
      </w:r>
      <w:r w:rsidR="00D67FFA" w:rsidRPr="00E7413A">
        <w:rPr>
          <w:rFonts w:ascii="Palatino Linotype" w:eastAsia="Times New Roman" w:hAnsi="Palatino Linotype" w:cs="Arial"/>
          <w:b/>
          <w:color w:val="000000" w:themeColor="text1"/>
          <w:lang w:val="es-ES"/>
        </w:rPr>
        <w:t>05808/INFOEM/IP/RR/2025</w:t>
      </w:r>
      <w:r w:rsidRPr="00E7413A">
        <w:rPr>
          <w:rFonts w:ascii="Palatino Linotype" w:eastAsia="Times New Roman" w:hAnsi="Palatino Linotype" w:cs="Arial"/>
          <w:b/>
          <w:color w:val="000000" w:themeColor="text1"/>
          <w:lang w:val="es-ES"/>
        </w:rPr>
        <w:t xml:space="preserve">, </w:t>
      </w:r>
      <w:r w:rsidRPr="00E7413A">
        <w:rPr>
          <w:rFonts w:ascii="Palatino Linotype" w:eastAsia="Palatino Linotype" w:hAnsi="Palatino Linotype" w:cs="Palatino Linotype"/>
          <w:color w:val="000000" w:themeColor="text1"/>
        </w:rPr>
        <w:t xml:space="preserve">en términos </w:t>
      </w:r>
      <w:r w:rsidR="009F1709" w:rsidRPr="00E7413A">
        <w:rPr>
          <w:rFonts w:ascii="Palatino Linotype" w:eastAsia="Palatino Linotype" w:hAnsi="Palatino Linotype" w:cs="Palatino Linotype"/>
          <w:color w:val="000000" w:themeColor="text1"/>
        </w:rPr>
        <w:t>de</w:t>
      </w:r>
      <w:r w:rsidR="0048101F" w:rsidRPr="00E7413A">
        <w:rPr>
          <w:rFonts w:ascii="Palatino Linotype" w:eastAsia="Palatino Linotype" w:hAnsi="Palatino Linotype" w:cs="Palatino Linotype"/>
          <w:color w:val="000000" w:themeColor="text1"/>
        </w:rPr>
        <w:t xml:space="preserve"> </w:t>
      </w:r>
      <w:r w:rsidR="009F1709" w:rsidRPr="00E7413A">
        <w:rPr>
          <w:rFonts w:ascii="Palatino Linotype" w:eastAsia="Palatino Linotype" w:hAnsi="Palatino Linotype" w:cs="Palatino Linotype"/>
          <w:color w:val="000000" w:themeColor="text1"/>
        </w:rPr>
        <w:t>l</w:t>
      </w:r>
      <w:r w:rsidR="0048101F" w:rsidRPr="00E7413A">
        <w:rPr>
          <w:rFonts w:ascii="Palatino Linotype" w:eastAsia="Palatino Linotype" w:hAnsi="Palatino Linotype" w:cs="Palatino Linotype"/>
          <w:color w:val="000000" w:themeColor="text1"/>
        </w:rPr>
        <w:t>os</w:t>
      </w:r>
      <w:r w:rsidR="009F1709" w:rsidRPr="00E7413A">
        <w:rPr>
          <w:rFonts w:ascii="Palatino Linotype" w:eastAsia="Palatino Linotype" w:hAnsi="Palatino Linotype" w:cs="Palatino Linotype"/>
          <w:color w:val="000000" w:themeColor="text1"/>
        </w:rPr>
        <w:t xml:space="preserve"> </w:t>
      </w:r>
      <w:r w:rsidRPr="00E7413A">
        <w:rPr>
          <w:rFonts w:ascii="Palatino Linotype" w:eastAsia="Palatino Linotype" w:hAnsi="Palatino Linotype" w:cs="Palatino Linotype"/>
          <w:b/>
          <w:color w:val="000000" w:themeColor="text1"/>
        </w:rPr>
        <w:t>Considerando</w:t>
      </w:r>
      <w:r w:rsidR="0048101F" w:rsidRPr="00E7413A">
        <w:rPr>
          <w:rFonts w:ascii="Palatino Linotype" w:eastAsia="Palatino Linotype" w:hAnsi="Palatino Linotype" w:cs="Palatino Linotype"/>
          <w:b/>
          <w:color w:val="000000" w:themeColor="text1"/>
        </w:rPr>
        <w:t>s</w:t>
      </w:r>
      <w:r w:rsidRPr="00E7413A">
        <w:rPr>
          <w:rFonts w:ascii="Palatino Linotype" w:eastAsia="Palatino Linotype" w:hAnsi="Palatino Linotype" w:cs="Palatino Linotype"/>
          <w:color w:val="000000" w:themeColor="text1"/>
        </w:rPr>
        <w:t xml:space="preserve"> </w:t>
      </w:r>
      <w:r w:rsidRPr="00E7413A">
        <w:rPr>
          <w:rFonts w:ascii="Palatino Linotype" w:eastAsia="Palatino Linotype" w:hAnsi="Palatino Linotype" w:cs="Palatino Linotype"/>
          <w:b/>
          <w:color w:val="000000" w:themeColor="text1"/>
        </w:rPr>
        <w:t>Cuarto</w:t>
      </w:r>
      <w:r w:rsidR="0048101F" w:rsidRPr="00E7413A">
        <w:rPr>
          <w:rFonts w:ascii="Palatino Linotype" w:eastAsia="Palatino Linotype" w:hAnsi="Palatino Linotype" w:cs="Palatino Linotype"/>
          <w:b/>
          <w:color w:val="000000" w:themeColor="text1"/>
        </w:rPr>
        <w:t xml:space="preserve"> y Quinto</w:t>
      </w:r>
      <w:r w:rsidRPr="00E7413A">
        <w:rPr>
          <w:rFonts w:ascii="Palatino Linotype" w:eastAsia="Palatino Linotype" w:hAnsi="Palatino Linotype" w:cs="Palatino Linotype"/>
          <w:b/>
          <w:color w:val="000000" w:themeColor="text1"/>
        </w:rPr>
        <w:t xml:space="preserve"> </w:t>
      </w:r>
      <w:r w:rsidRPr="00E7413A">
        <w:rPr>
          <w:rFonts w:ascii="Palatino Linotype" w:eastAsia="Palatino Linotype" w:hAnsi="Palatino Linotype" w:cs="Palatino Linotype"/>
          <w:color w:val="000000" w:themeColor="text1"/>
        </w:rPr>
        <w:t>de la presente Resolución.</w:t>
      </w:r>
    </w:p>
    <w:p w:rsidR="00FD19C8" w:rsidRPr="00E7413A" w:rsidRDefault="00FD19C8" w:rsidP="00E7413A">
      <w:pPr>
        <w:spacing w:line="360" w:lineRule="auto"/>
        <w:jc w:val="both"/>
        <w:rPr>
          <w:rFonts w:ascii="Palatino Linotype" w:eastAsia="Palatino Linotype" w:hAnsi="Palatino Linotype" w:cs="Palatino Linotype"/>
          <w:color w:val="000000" w:themeColor="text1"/>
        </w:rPr>
      </w:pPr>
    </w:p>
    <w:p w:rsidR="00C70DBF" w:rsidRPr="00E7413A" w:rsidRDefault="00063A2F" w:rsidP="00E7413A">
      <w:pPr>
        <w:spacing w:line="360" w:lineRule="auto"/>
        <w:jc w:val="both"/>
        <w:rPr>
          <w:rFonts w:ascii="Palatino Linotype" w:hAnsi="Palatino Linotype" w:cs="Arial"/>
          <w:color w:val="000000" w:themeColor="text1"/>
        </w:rPr>
      </w:pPr>
      <w:r w:rsidRPr="00E7413A">
        <w:rPr>
          <w:rFonts w:ascii="Palatino Linotype" w:eastAsia="Times New Roman" w:hAnsi="Palatino Linotype" w:cs="Times New Roman"/>
          <w:b/>
          <w:color w:val="000000" w:themeColor="text1"/>
        </w:rPr>
        <w:t xml:space="preserve">SEGUNDO. </w:t>
      </w:r>
      <w:r w:rsidRPr="00E7413A">
        <w:rPr>
          <w:rFonts w:ascii="Palatino Linotype" w:eastAsia="MS Mincho" w:hAnsi="Palatino Linotype" w:cs="Times New Roman"/>
          <w:color w:val="000000" w:themeColor="text1"/>
        </w:rPr>
        <w:t xml:space="preserve">Se </w:t>
      </w:r>
      <w:r w:rsidR="00D451D4" w:rsidRPr="00E7413A">
        <w:rPr>
          <w:rFonts w:ascii="Palatino Linotype" w:eastAsia="MS Mincho" w:hAnsi="Palatino Linotype" w:cs="Times New Roman"/>
          <w:b/>
          <w:color w:val="000000" w:themeColor="text1"/>
        </w:rPr>
        <w:t>MODIFI</w:t>
      </w:r>
      <w:r w:rsidRPr="00E7413A">
        <w:rPr>
          <w:rFonts w:ascii="Palatino Linotype" w:eastAsia="MS Mincho" w:hAnsi="Palatino Linotype" w:cs="Times New Roman"/>
          <w:b/>
          <w:color w:val="000000" w:themeColor="text1"/>
        </w:rPr>
        <w:t xml:space="preserve">CA </w:t>
      </w:r>
      <w:r w:rsidRPr="00E7413A">
        <w:rPr>
          <w:rFonts w:ascii="Palatino Linotype" w:eastAsia="MS Mincho" w:hAnsi="Palatino Linotype" w:cs="Times New Roman"/>
          <w:color w:val="000000" w:themeColor="text1"/>
        </w:rPr>
        <w:t xml:space="preserve">la respuesta emitida por el </w:t>
      </w:r>
      <w:r w:rsidR="00470C00" w:rsidRPr="00E7413A">
        <w:rPr>
          <w:rFonts w:ascii="Palatino Linotype" w:hAnsi="Palatino Linotype"/>
          <w:b/>
          <w:bCs/>
          <w:color w:val="000000" w:themeColor="text1"/>
        </w:rPr>
        <w:t>Secretaría de Desarrollo Económico</w:t>
      </w:r>
      <w:r w:rsidRPr="00E7413A">
        <w:rPr>
          <w:rFonts w:ascii="Palatino Linotype" w:eastAsia="Times New Roman" w:hAnsi="Palatino Linotype" w:cs="Arial"/>
          <w:b/>
          <w:color w:val="000000" w:themeColor="text1"/>
          <w:lang w:val="es-ES"/>
        </w:rPr>
        <w:t>;</w:t>
      </w:r>
      <w:r w:rsidRPr="00E7413A">
        <w:rPr>
          <w:rFonts w:ascii="Palatino Linotype" w:eastAsia="Palatino Linotype" w:hAnsi="Palatino Linotype" w:cs="Palatino Linotype"/>
          <w:color w:val="000000" w:themeColor="text1"/>
        </w:rPr>
        <w:t xml:space="preserve"> por lo que</w:t>
      </w:r>
      <w:r w:rsidRPr="00E7413A">
        <w:rPr>
          <w:rFonts w:ascii="Palatino Linotype" w:eastAsia="MS Mincho" w:hAnsi="Palatino Linotype" w:cs="Times New Roman"/>
          <w:color w:val="000000" w:themeColor="text1"/>
        </w:rPr>
        <w:t xml:space="preserve"> se </w:t>
      </w:r>
      <w:r w:rsidRPr="00E7413A">
        <w:rPr>
          <w:rFonts w:ascii="Palatino Linotype" w:eastAsia="MS Mincho" w:hAnsi="Palatino Linotype" w:cs="Times New Roman"/>
          <w:b/>
          <w:color w:val="000000" w:themeColor="text1"/>
        </w:rPr>
        <w:t>ORDENA</w:t>
      </w:r>
      <w:r w:rsidRPr="00E7413A">
        <w:rPr>
          <w:rFonts w:ascii="Palatino Linotype" w:eastAsia="MS Mincho" w:hAnsi="Palatino Linotype" w:cs="Times New Roman"/>
          <w:color w:val="000000" w:themeColor="text1"/>
        </w:rPr>
        <w:t xml:space="preserve"> entregar vía Sistema de Acceso a la Información Mexiquense (</w:t>
      </w:r>
      <w:r w:rsidRPr="00E7413A">
        <w:rPr>
          <w:rFonts w:ascii="Palatino Linotype" w:eastAsia="MS Mincho" w:hAnsi="Palatino Linotype" w:cs="Times New Roman"/>
          <w:b/>
          <w:color w:val="000000" w:themeColor="text1"/>
        </w:rPr>
        <w:t>SAIMEX</w:t>
      </w:r>
      <w:r w:rsidRPr="00E7413A">
        <w:rPr>
          <w:rFonts w:ascii="Palatino Linotype" w:eastAsia="MS Mincho" w:hAnsi="Palatino Linotype" w:cs="Times New Roman"/>
          <w:color w:val="000000" w:themeColor="text1"/>
        </w:rPr>
        <w:t xml:space="preserve">) </w:t>
      </w:r>
      <w:r w:rsidR="00F91717" w:rsidRPr="00E7413A">
        <w:rPr>
          <w:rFonts w:ascii="Palatino Linotype" w:eastAsia="MS Mincho" w:hAnsi="Palatino Linotype" w:cs="Times New Roman"/>
          <w:color w:val="000000" w:themeColor="text1"/>
        </w:rPr>
        <w:t xml:space="preserve">de ser el caso </w:t>
      </w:r>
      <w:r w:rsidR="00C70DBF" w:rsidRPr="00E7413A">
        <w:rPr>
          <w:rFonts w:ascii="Palatino Linotype" w:eastAsia="MS Mincho" w:hAnsi="Palatino Linotype" w:cs="Times New Roman"/>
          <w:color w:val="000000" w:themeColor="text1"/>
        </w:rPr>
        <w:t>en versión pública</w:t>
      </w:r>
      <w:r w:rsidR="001B2FBF" w:rsidRPr="00E7413A">
        <w:rPr>
          <w:rFonts w:ascii="Palatino Linotype" w:eastAsia="MS Mincho" w:hAnsi="Palatino Linotype" w:cs="Times New Roman"/>
          <w:color w:val="000000" w:themeColor="text1"/>
        </w:rPr>
        <w:t>, la siguiente información</w:t>
      </w:r>
      <w:r w:rsidRPr="00E7413A">
        <w:rPr>
          <w:rFonts w:ascii="Palatino Linotype" w:hAnsi="Palatino Linotype" w:cs="Arial"/>
          <w:color w:val="000000" w:themeColor="text1"/>
        </w:rPr>
        <w:t>:</w:t>
      </w:r>
    </w:p>
    <w:p w:rsidR="00C70DBF" w:rsidRPr="00E7413A" w:rsidRDefault="00C70DBF" w:rsidP="00E7413A">
      <w:pPr>
        <w:spacing w:line="360" w:lineRule="auto"/>
        <w:jc w:val="both"/>
        <w:rPr>
          <w:rFonts w:ascii="Palatino Linotype" w:hAnsi="Palatino Linotype" w:cs="Arial"/>
          <w:color w:val="000000" w:themeColor="text1"/>
        </w:rPr>
      </w:pPr>
    </w:p>
    <w:p w:rsidR="00063A2F" w:rsidRPr="00E7413A" w:rsidRDefault="00BD4F99" w:rsidP="00E7413A">
      <w:pPr>
        <w:pStyle w:val="Prrafodelista"/>
        <w:numPr>
          <w:ilvl w:val="0"/>
          <w:numId w:val="21"/>
        </w:numPr>
        <w:spacing w:line="360" w:lineRule="auto"/>
        <w:ind w:left="0" w:firstLine="0"/>
        <w:jc w:val="both"/>
        <w:rPr>
          <w:rFonts w:ascii="Palatino Linotype" w:eastAsia="Palatino Linotype" w:hAnsi="Palatino Linotype" w:cs="Palatino Linotype"/>
          <w:b/>
          <w:color w:val="000000" w:themeColor="text1"/>
        </w:rPr>
      </w:pPr>
      <w:r w:rsidRPr="00E7413A">
        <w:rPr>
          <w:rFonts w:ascii="Palatino Linotype" w:eastAsia="Palatino Linotype" w:hAnsi="Palatino Linotype" w:cs="Palatino Linotype"/>
          <w:b/>
          <w:color w:val="000000" w:themeColor="text1"/>
        </w:rPr>
        <w:t>Soporte documental en que conste o se advierta la relación de servidores publicas propuestos para recibir asignaciones de la partida genérica 1320 y, de la partida específica 1345, de los Ejercicios Fiscales 2016, 2017, 2018, 2019, 2020, 2021 y 2022</w:t>
      </w:r>
      <w:r w:rsidR="00FC7AE4" w:rsidRPr="00E7413A">
        <w:rPr>
          <w:rFonts w:ascii="Palatino Linotype" w:eastAsia="Palatino Linotype" w:hAnsi="Palatino Linotype" w:cs="Palatino Linotype"/>
          <w:b/>
          <w:color w:val="000000" w:themeColor="text1"/>
        </w:rPr>
        <w:t>.</w:t>
      </w:r>
    </w:p>
    <w:p w:rsidR="00BD4F99" w:rsidRPr="00E7413A" w:rsidRDefault="00BD4F99" w:rsidP="00E7413A">
      <w:pPr>
        <w:pStyle w:val="Prrafodelista"/>
        <w:spacing w:line="360" w:lineRule="auto"/>
        <w:ind w:left="0"/>
        <w:jc w:val="both"/>
        <w:rPr>
          <w:rFonts w:ascii="Palatino Linotype" w:eastAsia="Palatino Linotype" w:hAnsi="Palatino Linotype" w:cs="Palatino Linotype"/>
          <w:b/>
          <w:color w:val="000000" w:themeColor="text1"/>
        </w:rPr>
      </w:pPr>
    </w:p>
    <w:p w:rsidR="00736794" w:rsidRPr="00E7413A" w:rsidRDefault="00736794" w:rsidP="00E7413A">
      <w:pPr>
        <w:spacing w:line="360" w:lineRule="auto"/>
        <w:jc w:val="both"/>
        <w:rPr>
          <w:rFonts w:ascii="Palatino Linotype" w:eastAsia="Palatino Linotype" w:hAnsi="Palatino Linotype" w:cs="Palatino Linotype"/>
          <w:b/>
          <w:color w:val="000000" w:themeColor="text1"/>
        </w:rPr>
      </w:pPr>
      <w:r w:rsidRPr="00E7413A">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w:t>
      </w:r>
      <w:r w:rsidRPr="00E7413A">
        <w:rPr>
          <w:rFonts w:ascii="Palatino Linotype" w:eastAsia="Palatino Linotype" w:hAnsi="Palatino Linotype" w:cs="Palatino Linotype"/>
          <w:color w:val="000000" w:themeColor="text1"/>
        </w:rPr>
        <w:t>razones</w:t>
      </w:r>
      <w:r w:rsidRPr="00E7413A">
        <w:rPr>
          <w:rFonts w:ascii="Palatino Linotype" w:eastAsia="Calibri" w:hAnsi="Palatino Linotype" w:cs="Arial"/>
          <w:color w:val="000000" w:themeColor="text1"/>
        </w:rPr>
        <w:t xml:space="preserve"> sobre los datos que se supriman o eliminen dentro del soporte documental respectivo objeto de las versiones públicas que se formulen y se p</w:t>
      </w:r>
      <w:r w:rsidR="00530D63" w:rsidRPr="00E7413A">
        <w:rPr>
          <w:rFonts w:ascii="Palatino Linotype" w:eastAsia="Calibri" w:hAnsi="Palatino Linotype" w:cs="Arial"/>
          <w:color w:val="000000" w:themeColor="text1"/>
        </w:rPr>
        <w:t>onga a disposición de la parte R</w:t>
      </w:r>
      <w:r w:rsidRPr="00E7413A">
        <w:rPr>
          <w:rFonts w:ascii="Palatino Linotype" w:eastAsia="Calibri" w:hAnsi="Palatino Linotype" w:cs="Arial"/>
          <w:color w:val="000000" w:themeColor="text1"/>
        </w:rPr>
        <w:t>ecurrente.</w:t>
      </w:r>
    </w:p>
    <w:p w:rsidR="00736794" w:rsidRPr="00E7413A" w:rsidRDefault="00736794" w:rsidP="00E7413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63A2F" w:rsidRPr="00E7413A" w:rsidRDefault="00063A2F" w:rsidP="00E7413A">
      <w:pPr>
        <w:spacing w:line="360" w:lineRule="auto"/>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b/>
          <w:color w:val="000000" w:themeColor="text1"/>
        </w:rPr>
        <w:t xml:space="preserve">TERCERO. Notifíquese </w:t>
      </w:r>
      <w:r w:rsidRPr="00E7413A">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w:t>
      </w:r>
      <w:r w:rsidRPr="00E7413A">
        <w:rPr>
          <w:rFonts w:ascii="Palatino Linotype" w:eastAsia="Palatino Linotype" w:hAnsi="Palatino Linotype" w:cs="Palatino Linotype"/>
          <w:color w:val="000000" w:themeColor="text1"/>
        </w:rPr>
        <w:lastRenderedPageBreak/>
        <w:t xml:space="preserve">Estado de México y Municipios; </w:t>
      </w:r>
      <w:r w:rsidRPr="00E7413A">
        <w:rPr>
          <w:rFonts w:ascii="Palatino Linotype" w:eastAsia="Palatino Linotype" w:hAnsi="Palatino Linotype" w:cs="Palatino Linotype"/>
          <w:b/>
          <w:color w:val="000000" w:themeColor="text1"/>
        </w:rPr>
        <w:t>dé cumplimiento a lo ordenado dentro del plazo de diez días hábiles,</w:t>
      </w:r>
      <w:r w:rsidRPr="00E7413A">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w:t>
      </w:r>
      <w:r w:rsidR="00530D63" w:rsidRPr="00E7413A">
        <w:rPr>
          <w:rFonts w:ascii="Palatino Linotype" w:eastAsia="Palatino Linotype" w:hAnsi="Palatino Linotype" w:cs="Palatino Linotype"/>
          <w:color w:val="000000" w:themeColor="text1"/>
        </w:rPr>
        <w:t xml:space="preserve"> negarse a cumplir la presente R</w:t>
      </w:r>
      <w:r w:rsidRPr="00E7413A">
        <w:rPr>
          <w:rFonts w:ascii="Palatino Linotype" w:eastAsia="Palatino Linotype" w:hAnsi="Palatino Linotype" w:cs="Palatino Linotype"/>
          <w:color w:val="000000" w:themeColor="text1"/>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D19C8" w:rsidRPr="00E7413A" w:rsidRDefault="00FD19C8" w:rsidP="00E7413A">
      <w:pPr>
        <w:spacing w:line="360" w:lineRule="auto"/>
        <w:jc w:val="both"/>
        <w:rPr>
          <w:rFonts w:ascii="Palatino Linotype" w:eastAsia="Palatino Linotype" w:hAnsi="Palatino Linotype" w:cs="Palatino Linotype"/>
          <w:color w:val="000000" w:themeColor="text1"/>
        </w:rPr>
      </w:pPr>
    </w:p>
    <w:p w:rsidR="00063A2F" w:rsidRPr="00E7413A" w:rsidRDefault="00063A2F" w:rsidP="00E7413A">
      <w:pPr>
        <w:spacing w:line="360" w:lineRule="auto"/>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b/>
          <w:color w:val="000000" w:themeColor="text1"/>
        </w:rPr>
        <w:t xml:space="preserve">CUARTO. </w:t>
      </w:r>
      <w:r w:rsidRPr="00E7413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7413A">
        <w:rPr>
          <w:rFonts w:ascii="Palatino Linotype" w:eastAsia="Palatino Linotype" w:hAnsi="Palatino Linotype" w:cs="Palatino Linotype"/>
          <w:b/>
          <w:color w:val="000000" w:themeColor="text1"/>
        </w:rPr>
        <w:t>SUJETO OBLIGADO</w:t>
      </w:r>
      <w:r w:rsidRPr="00E7413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63A2F" w:rsidRPr="00E7413A" w:rsidRDefault="00063A2F" w:rsidP="00E7413A">
      <w:pPr>
        <w:spacing w:line="360" w:lineRule="auto"/>
        <w:jc w:val="both"/>
        <w:rPr>
          <w:rFonts w:ascii="Palatino Linotype" w:eastAsia="Palatino Linotype" w:hAnsi="Palatino Linotype" w:cs="Palatino Linotype"/>
          <w:color w:val="000000" w:themeColor="text1"/>
        </w:rPr>
      </w:pPr>
    </w:p>
    <w:p w:rsidR="00063A2F" w:rsidRPr="00E7413A" w:rsidRDefault="00063A2F" w:rsidP="00E7413A">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E7413A">
        <w:rPr>
          <w:rFonts w:ascii="Palatino Linotype" w:eastAsia="Palatino Linotype" w:hAnsi="Palatino Linotype" w:cs="Palatino Linotype"/>
          <w:b/>
          <w:color w:val="000000" w:themeColor="text1"/>
        </w:rPr>
        <w:t xml:space="preserve">QUINTO. </w:t>
      </w:r>
      <w:r w:rsidRPr="00E7413A">
        <w:rPr>
          <w:rFonts w:ascii="Palatino Linotype" w:eastAsia="Palatino Linotype" w:hAnsi="Palatino Linotype" w:cs="Palatino Linotype"/>
          <w:color w:val="000000" w:themeColor="text1"/>
        </w:rPr>
        <w:t xml:space="preserve">Notifíquese al </w:t>
      </w:r>
      <w:r w:rsidRPr="00E7413A">
        <w:rPr>
          <w:rFonts w:ascii="Palatino Linotype" w:eastAsia="Palatino Linotype" w:hAnsi="Palatino Linotype" w:cs="Palatino Linotype"/>
          <w:b/>
          <w:color w:val="000000" w:themeColor="text1"/>
        </w:rPr>
        <w:t>RECURRENTE</w:t>
      </w:r>
      <w:r w:rsidRPr="00E7413A">
        <w:rPr>
          <w:rFonts w:ascii="Palatino Linotype" w:eastAsia="Palatino Linotype" w:hAnsi="Palatino Linotype" w:cs="Palatino Linotype"/>
          <w:color w:val="000000" w:themeColor="text1"/>
        </w:rPr>
        <w:t xml:space="preserve"> la presente Resolución, vía </w:t>
      </w:r>
      <w:r w:rsidRPr="00E7413A">
        <w:rPr>
          <w:rFonts w:ascii="Palatino Linotype" w:eastAsia="Palatino Linotype" w:hAnsi="Palatino Linotype" w:cs="Palatino Linotype"/>
          <w:b/>
          <w:color w:val="000000" w:themeColor="text1"/>
        </w:rPr>
        <w:t>SAIMEX</w:t>
      </w:r>
      <w:r w:rsidRPr="00E7413A">
        <w:rPr>
          <w:rFonts w:ascii="Palatino Linotype" w:eastAsia="Palatino Linotype" w:hAnsi="Palatino Linotype" w:cs="Palatino Linotype"/>
          <w:color w:val="000000" w:themeColor="text1"/>
        </w:rPr>
        <w:t>.</w:t>
      </w:r>
    </w:p>
    <w:p w:rsidR="00063A2F" w:rsidRPr="00E7413A" w:rsidRDefault="00063A2F" w:rsidP="00E7413A">
      <w:pPr>
        <w:tabs>
          <w:tab w:val="left" w:pos="8080"/>
        </w:tabs>
        <w:spacing w:line="360" w:lineRule="auto"/>
        <w:jc w:val="both"/>
        <w:rPr>
          <w:rFonts w:ascii="Palatino Linotype" w:eastAsia="Palatino Linotype" w:hAnsi="Palatino Linotype" w:cs="Palatino Linotype"/>
          <w:color w:val="000000" w:themeColor="text1"/>
        </w:rPr>
      </w:pPr>
    </w:p>
    <w:p w:rsidR="00063A2F" w:rsidRPr="00E7413A" w:rsidRDefault="00063A2F" w:rsidP="00E7413A">
      <w:pPr>
        <w:shd w:val="clear" w:color="auto" w:fill="FFFFFF"/>
        <w:spacing w:line="360" w:lineRule="auto"/>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b/>
          <w:color w:val="000000" w:themeColor="text1"/>
        </w:rPr>
        <w:t xml:space="preserve">SEXTO. </w:t>
      </w:r>
      <w:r w:rsidRPr="00E7413A">
        <w:rPr>
          <w:rFonts w:ascii="Palatino Linotype" w:eastAsia="Palatino Linotype" w:hAnsi="Palatino Linotype" w:cs="Palatino Linotype"/>
          <w:color w:val="000000" w:themeColor="text1"/>
        </w:rPr>
        <w:t>Se hace del conocimiento del</w:t>
      </w:r>
      <w:r w:rsidRPr="00E7413A">
        <w:rPr>
          <w:rFonts w:ascii="Palatino Linotype" w:eastAsia="Palatino Linotype" w:hAnsi="Palatino Linotype" w:cs="Palatino Linotype"/>
          <w:b/>
          <w:color w:val="000000" w:themeColor="text1"/>
        </w:rPr>
        <w:t xml:space="preserve"> RECURRENTE </w:t>
      </w:r>
      <w:r w:rsidRPr="00E7413A">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31311" w:rsidRDefault="00E31311" w:rsidP="00E7413A">
      <w:pPr>
        <w:spacing w:line="360" w:lineRule="auto"/>
        <w:jc w:val="both"/>
        <w:rPr>
          <w:rFonts w:ascii="Palatino Linotype" w:eastAsia="Palatino Linotype" w:hAnsi="Palatino Linotype" w:cs="Palatino Linotype"/>
          <w:color w:val="000000" w:themeColor="text1"/>
        </w:rPr>
      </w:pPr>
    </w:p>
    <w:p w:rsidR="00E7413A" w:rsidRDefault="00E7413A" w:rsidP="00E7413A">
      <w:pPr>
        <w:spacing w:line="360" w:lineRule="auto"/>
        <w:jc w:val="both"/>
        <w:rPr>
          <w:rFonts w:ascii="Palatino Linotype" w:eastAsia="Palatino Linotype" w:hAnsi="Palatino Linotype" w:cs="Palatino Linotype"/>
          <w:color w:val="000000" w:themeColor="text1"/>
        </w:rPr>
      </w:pPr>
    </w:p>
    <w:p w:rsidR="00E7413A" w:rsidRPr="00E7413A" w:rsidRDefault="00E7413A" w:rsidP="00E7413A">
      <w:pPr>
        <w:spacing w:line="360" w:lineRule="auto"/>
        <w:jc w:val="both"/>
        <w:rPr>
          <w:rFonts w:ascii="Palatino Linotype" w:eastAsia="Palatino Linotype" w:hAnsi="Palatino Linotype" w:cs="Palatino Linotype"/>
          <w:color w:val="000000" w:themeColor="text1"/>
        </w:rPr>
      </w:pPr>
    </w:p>
    <w:p w:rsidR="00E31311" w:rsidRPr="00E7413A" w:rsidRDefault="00E7413A" w:rsidP="00E7413A">
      <w:pPr>
        <w:spacing w:line="360" w:lineRule="auto"/>
        <w:jc w:val="both"/>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(14) DE ENERO DE DOS MIL VEINTISÉIS, ANTE EL SECRETARIO TÉCNICO DEL PLENO ALEXIS TAPIA RAMÍREZ.</w:t>
      </w: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E31311" w:rsidP="00E7413A">
      <w:pPr>
        <w:spacing w:line="360" w:lineRule="auto"/>
        <w:jc w:val="both"/>
        <w:rPr>
          <w:rFonts w:ascii="Palatino Linotype" w:eastAsia="Palatino Linotype" w:hAnsi="Palatino Linotype" w:cs="Palatino Linotype"/>
          <w:color w:val="000000" w:themeColor="text1"/>
        </w:rPr>
      </w:pPr>
    </w:p>
    <w:p w:rsidR="00E31311" w:rsidRPr="00E7413A" w:rsidRDefault="00E31311" w:rsidP="00E7413A">
      <w:pPr>
        <w:spacing w:line="360" w:lineRule="auto"/>
        <w:rPr>
          <w:rFonts w:ascii="Palatino Linotype" w:eastAsia="Palatino Linotype" w:hAnsi="Palatino Linotype" w:cs="Palatino Linotype"/>
          <w:color w:val="000000" w:themeColor="text1"/>
        </w:rPr>
      </w:pPr>
    </w:p>
    <w:p w:rsidR="00E31311" w:rsidRPr="00E7413A" w:rsidRDefault="00E31311" w:rsidP="00E7413A">
      <w:pPr>
        <w:spacing w:line="360" w:lineRule="auto"/>
        <w:rPr>
          <w:rFonts w:ascii="Palatino Linotype" w:eastAsia="Palatino Linotype" w:hAnsi="Palatino Linotype" w:cs="Palatino Linotype"/>
          <w:color w:val="000000" w:themeColor="text1"/>
        </w:rPr>
      </w:pPr>
    </w:p>
    <w:p w:rsidR="00E31311" w:rsidRPr="00E7413A" w:rsidRDefault="00E31311" w:rsidP="00E7413A">
      <w:pPr>
        <w:spacing w:line="360" w:lineRule="auto"/>
        <w:rPr>
          <w:rFonts w:ascii="Palatino Linotype" w:eastAsia="Palatino Linotype" w:hAnsi="Palatino Linotype" w:cs="Palatino Linotype"/>
          <w:color w:val="000000" w:themeColor="text1"/>
        </w:rPr>
      </w:pPr>
    </w:p>
    <w:p w:rsidR="00E31311" w:rsidRPr="00E7413A" w:rsidRDefault="00E31311" w:rsidP="00E7413A">
      <w:pPr>
        <w:spacing w:line="360" w:lineRule="auto"/>
        <w:rPr>
          <w:rFonts w:ascii="Palatino Linotype" w:eastAsia="Palatino Linotype" w:hAnsi="Palatino Linotype" w:cs="Palatino Linotype"/>
          <w:color w:val="000000" w:themeColor="text1"/>
        </w:rPr>
      </w:pPr>
    </w:p>
    <w:p w:rsidR="00E31311" w:rsidRPr="00E7413A" w:rsidRDefault="00E31311" w:rsidP="00E7413A">
      <w:pPr>
        <w:spacing w:line="360" w:lineRule="auto"/>
        <w:rPr>
          <w:rFonts w:ascii="Palatino Linotype" w:eastAsia="Palatino Linotype" w:hAnsi="Palatino Linotype" w:cs="Palatino Linotype"/>
          <w:color w:val="000000" w:themeColor="text1"/>
        </w:rPr>
      </w:pPr>
    </w:p>
    <w:p w:rsidR="00E31311" w:rsidRPr="00E7413A" w:rsidRDefault="00E31311" w:rsidP="00E7413A">
      <w:pPr>
        <w:spacing w:line="360" w:lineRule="auto"/>
        <w:rPr>
          <w:rFonts w:ascii="Palatino Linotype" w:eastAsia="Palatino Linotype" w:hAnsi="Palatino Linotype" w:cs="Palatino Linotype"/>
          <w:color w:val="000000" w:themeColor="text1"/>
        </w:rPr>
      </w:pPr>
    </w:p>
    <w:p w:rsidR="00E31311" w:rsidRPr="00E7413A" w:rsidRDefault="00E31311" w:rsidP="00E7413A">
      <w:pPr>
        <w:spacing w:line="360" w:lineRule="auto"/>
        <w:rPr>
          <w:rFonts w:ascii="Palatino Linotype" w:eastAsia="Palatino Linotype" w:hAnsi="Palatino Linotype" w:cs="Palatino Linotype"/>
          <w:color w:val="000000" w:themeColor="text1"/>
        </w:rPr>
      </w:pPr>
    </w:p>
    <w:p w:rsidR="00E31311" w:rsidRPr="00E7413A" w:rsidRDefault="00DF6EAE" w:rsidP="00E7413A">
      <w:pPr>
        <w:tabs>
          <w:tab w:val="left" w:pos="3374"/>
        </w:tabs>
        <w:spacing w:line="360" w:lineRule="auto"/>
        <w:rPr>
          <w:rFonts w:ascii="Palatino Linotype" w:eastAsia="Palatino Linotype" w:hAnsi="Palatino Linotype" w:cs="Palatino Linotype"/>
          <w:color w:val="000000" w:themeColor="text1"/>
        </w:rPr>
      </w:pPr>
      <w:r w:rsidRPr="00E7413A">
        <w:rPr>
          <w:rFonts w:ascii="Palatino Linotype" w:eastAsia="Palatino Linotype" w:hAnsi="Palatino Linotype" w:cs="Palatino Linotype"/>
          <w:color w:val="000000" w:themeColor="text1"/>
        </w:rPr>
        <w:tab/>
      </w:r>
    </w:p>
    <w:sectPr w:rsidR="00E31311" w:rsidRPr="00E7413A" w:rsidSect="00D119B4">
      <w:headerReference w:type="even" r:id="rId12"/>
      <w:headerReference w:type="default" r:id="rId13"/>
      <w:footerReference w:type="default" r:id="rId14"/>
      <w:headerReference w:type="first" r:id="rId15"/>
      <w:footerReference w:type="first" r:id="rId16"/>
      <w:pgSz w:w="12240" w:h="15840"/>
      <w:pgMar w:top="2021"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D30" w:rsidRDefault="00A21D30">
      <w:r>
        <w:separator/>
      </w:r>
    </w:p>
  </w:endnote>
  <w:endnote w:type="continuationSeparator" w:id="0">
    <w:p w:rsidR="00A21D30" w:rsidRDefault="00A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635" w:rsidRPr="00D119B4" w:rsidRDefault="00D8163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D119B4">
      <w:rPr>
        <w:rFonts w:ascii="Palatino Linotype" w:eastAsia="Palatino Linotype" w:hAnsi="Palatino Linotype" w:cs="Palatino Linotype"/>
        <w:color w:val="000000"/>
        <w:sz w:val="22"/>
        <w:szCs w:val="20"/>
      </w:rPr>
      <w:t xml:space="preserve">Página </w:t>
    </w:r>
    <w:r w:rsidRPr="00D119B4">
      <w:rPr>
        <w:rFonts w:ascii="Palatino Linotype" w:eastAsia="Palatino Linotype" w:hAnsi="Palatino Linotype" w:cs="Palatino Linotype"/>
        <w:color w:val="000000"/>
        <w:sz w:val="22"/>
        <w:szCs w:val="20"/>
      </w:rPr>
      <w:fldChar w:fldCharType="begin"/>
    </w:r>
    <w:r w:rsidRPr="00D119B4">
      <w:rPr>
        <w:rFonts w:ascii="Palatino Linotype" w:eastAsia="Palatino Linotype" w:hAnsi="Palatino Linotype" w:cs="Palatino Linotype"/>
        <w:color w:val="000000"/>
        <w:sz w:val="22"/>
        <w:szCs w:val="20"/>
      </w:rPr>
      <w:instrText>PAGE</w:instrText>
    </w:r>
    <w:r w:rsidRPr="00D119B4">
      <w:rPr>
        <w:rFonts w:ascii="Palatino Linotype" w:eastAsia="Palatino Linotype" w:hAnsi="Palatino Linotype" w:cs="Palatino Linotype"/>
        <w:color w:val="000000"/>
        <w:sz w:val="22"/>
        <w:szCs w:val="20"/>
      </w:rPr>
      <w:fldChar w:fldCharType="separate"/>
    </w:r>
    <w:r w:rsidR="00D119B4">
      <w:rPr>
        <w:rFonts w:ascii="Palatino Linotype" w:eastAsia="Palatino Linotype" w:hAnsi="Palatino Linotype" w:cs="Palatino Linotype"/>
        <w:noProof/>
        <w:color w:val="000000"/>
        <w:sz w:val="22"/>
        <w:szCs w:val="20"/>
      </w:rPr>
      <w:t>2</w:t>
    </w:r>
    <w:r w:rsidRPr="00D119B4">
      <w:rPr>
        <w:rFonts w:ascii="Palatino Linotype" w:eastAsia="Palatino Linotype" w:hAnsi="Palatino Linotype" w:cs="Palatino Linotype"/>
        <w:color w:val="000000"/>
        <w:sz w:val="22"/>
        <w:szCs w:val="20"/>
      </w:rPr>
      <w:fldChar w:fldCharType="end"/>
    </w:r>
    <w:r w:rsidRPr="00D119B4">
      <w:rPr>
        <w:rFonts w:ascii="Palatino Linotype" w:eastAsia="Palatino Linotype" w:hAnsi="Palatino Linotype" w:cs="Palatino Linotype"/>
        <w:color w:val="000000"/>
        <w:sz w:val="22"/>
        <w:szCs w:val="20"/>
      </w:rPr>
      <w:t xml:space="preserve"> de </w:t>
    </w:r>
    <w:r w:rsidRPr="00D119B4">
      <w:rPr>
        <w:rFonts w:ascii="Palatino Linotype" w:eastAsia="Palatino Linotype" w:hAnsi="Palatino Linotype" w:cs="Palatino Linotype"/>
        <w:color w:val="000000"/>
        <w:sz w:val="22"/>
        <w:szCs w:val="20"/>
      </w:rPr>
      <w:fldChar w:fldCharType="begin"/>
    </w:r>
    <w:r w:rsidRPr="00D119B4">
      <w:rPr>
        <w:rFonts w:ascii="Palatino Linotype" w:eastAsia="Palatino Linotype" w:hAnsi="Palatino Linotype" w:cs="Palatino Linotype"/>
        <w:color w:val="000000"/>
        <w:sz w:val="22"/>
        <w:szCs w:val="20"/>
      </w:rPr>
      <w:instrText>NUMPAGES</w:instrText>
    </w:r>
    <w:r w:rsidRPr="00D119B4">
      <w:rPr>
        <w:rFonts w:ascii="Palatino Linotype" w:eastAsia="Palatino Linotype" w:hAnsi="Palatino Linotype" w:cs="Palatino Linotype"/>
        <w:color w:val="000000"/>
        <w:sz w:val="22"/>
        <w:szCs w:val="20"/>
      </w:rPr>
      <w:fldChar w:fldCharType="separate"/>
    </w:r>
    <w:r w:rsidR="00D119B4">
      <w:rPr>
        <w:rFonts w:ascii="Palatino Linotype" w:eastAsia="Palatino Linotype" w:hAnsi="Palatino Linotype" w:cs="Palatino Linotype"/>
        <w:noProof/>
        <w:color w:val="000000"/>
        <w:sz w:val="22"/>
        <w:szCs w:val="20"/>
      </w:rPr>
      <w:t>46</w:t>
    </w:r>
    <w:r w:rsidRPr="00D119B4">
      <w:rPr>
        <w:rFonts w:ascii="Palatino Linotype" w:eastAsia="Palatino Linotype" w:hAnsi="Palatino Linotype" w:cs="Palatino Linotype"/>
        <w:color w:val="000000"/>
        <w:sz w:val="22"/>
        <w:szCs w:val="20"/>
      </w:rPr>
      <w:fldChar w:fldCharType="end"/>
    </w:r>
  </w:p>
  <w:p w:rsidR="00D81635" w:rsidRDefault="00D81635">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635" w:rsidRPr="00D119B4" w:rsidRDefault="00D8163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D119B4">
      <w:rPr>
        <w:rFonts w:ascii="Palatino Linotype" w:eastAsia="Palatino Linotype" w:hAnsi="Palatino Linotype" w:cs="Palatino Linotype"/>
        <w:color w:val="000000"/>
        <w:sz w:val="22"/>
        <w:szCs w:val="20"/>
      </w:rPr>
      <w:t xml:space="preserve">Página </w:t>
    </w:r>
    <w:r w:rsidRPr="00D119B4">
      <w:rPr>
        <w:rFonts w:ascii="Palatino Linotype" w:eastAsia="Palatino Linotype" w:hAnsi="Palatino Linotype" w:cs="Palatino Linotype"/>
        <w:color w:val="000000"/>
        <w:sz w:val="22"/>
        <w:szCs w:val="20"/>
      </w:rPr>
      <w:fldChar w:fldCharType="begin"/>
    </w:r>
    <w:r w:rsidRPr="00D119B4">
      <w:rPr>
        <w:rFonts w:ascii="Palatino Linotype" w:eastAsia="Palatino Linotype" w:hAnsi="Palatino Linotype" w:cs="Palatino Linotype"/>
        <w:color w:val="000000"/>
        <w:sz w:val="22"/>
        <w:szCs w:val="20"/>
      </w:rPr>
      <w:instrText>PAGE</w:instrText>
    </w:r>
    <w:r w:rsidRPr="00D119B4">
      <w:rPr>
        <w:rFonts w:ascii="Palatino Linotype" w:eastAsia="Palatino Linotype" w:hAnsi="Palatino Linotype" w:cs="Palatino Linotype"/>
        <w:color w:val="000000"/>
        <w:sz w:val="22"/>
        <w:szCs w:val="20"/>
      </w:rPr>
      <w:fldChar w:fldCharType="separate"/>
    </w:r>
    <w:r w:rsidR="00D119B4">
      <w:rPr>
        <w:rFonts w:ascii="Palatino Linotype" w:eastAsia="Palatino Linotype" w:hAnsi="Palatino Linotype" w:cs="Palatino Linotype"/>
        <w:noProof/>
        <w:color w:val="000000"/>
        <w:sz w:val="22"/>
        <w:szCs w:val="20"/>
      </w:rPr>
      <w:t>1</w:t>
    </w:r>
    <w:r w:rsidRPr="00D119B4">
      <w:rPr>
        <w:rFonts w:ascii="Palatino Linotype" w:eastAsia="Palatino Linotype" w:hAnsi="Palatino Linotype" w:cs="Palatino Linotype"/>
        <w:color w:val="000000"/>
        <w:sz w:val="22"/>
        <w:szCs w:val="20"/>
      </w:rPr>
      <w:fldChar w:fldCharType="end"/>
    </w:r>
    <w:r w:rsidRPr="00D119B4">
      <w:rPr>
        <w:rFonts w:ascii="Palatino Linotype" w:eastAsia="Palatino Linotype" w:hAnsi="Palatino Linotype" w:cs="Palatino Linotype"/>
        <w:color w:val="000000"/>
        <w:sz w:val="22"/>
        <w:szCs w:val="20"/>
      </w:rPr>
      <w:t xml:space="preserve"> de </w:t>
    </w:r>
    <w:r w:rsidRPr="00D119B4">
      <w:rPr>
        <w:rFonts w:ascii="Palatino Linotype" w:eastAsia="Palatino Linotype" w:hAnsi="Palatino Linotype" w:cs="Palatino Linotype"/>
        <w:color w:val="000000"/>
        <w:sz w:val="22"/>
        <w:szCs w:val="20"/>
      </w:rPr>
      <w:fldChar w:fldCharType="begin"/>
    </w:r>
    <w:r w:rsidRPr="00D119B4">
      <w:rPr>
        <w:rFonts w:ascii="Palatino Linotype" w:eastAsia="Palatino Linotype" w:hAnsi="Palatino Linotype" w:cs="Palatino Linotype"/>
        <w:color w:val="000000"/>
        <w:sz w:val="22"/>
        <w:szCs w:val="20"/>
      </w:rPr>
      <w:instrText>NUMPAGES</w:instrText>
    </w:r>
    <w:r w:rsidRPr="00D119B4">
      <w:rPr>
        <w:rFonts w:ascii="Palatino Linotype" w:eastAsia="Palatino Linotype" w:hAnsi="Palatino Linotype" w:cs="Palatino Linotype"/>
        <w:color w:val="000000"/>
        <w:sz w:val="22"/>
        <w:szCs w:val="20"/>
      </w:rPr>
      <w:fldChar w:fldCharType="separate"/>
    </w:r>
    <w:r w:rsidR="00D119B4">
      <w:rPr>
        <w:rFonts w:ascii="Palatino Linotype" w:eastAsia="Palatino Linotype" w:hAnsi="Palatino Linotype" w:cs="Palatino Linotype"/>
        <w:noProof/>
        <w:color w:val="000000"/>
        <w:sz w:val="22"/>
        <w:szCs w:val="20"/>
      </w:rPr>
      <w:t>46</w:t>
    </w:r>
    <w:r w:rsidRPr="00D119B4">
      <w:rPr>
        <w:rFonts w:ascii="Palatino Linotype" w:eastAsia="Palatino Linotype" w:hAnsi="Palatino Linotype" w:cs="Palatino Linotype"/>
        <w:color w:val="000000"/>
        <w:sz w:val="22"/>
        <w:szCs w:val="20"/>
      </w:rPr>
      <w:fldChar w:fldCharType="end"/>
    </w:r>
  </w:p>
  <w:p w:rsidR="00D81635" w:rsidRDefault="00D81635">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D30" w:rsidRDefault="00A21D30">
      <w:r>
        <w:separator/>
      </w:r>
    </w:p>
  </w:footnote>
  <w:footnote w:type="continuationSeparator" w:id="0">
    <w:p w:rsidR="00A21D30" w:rsidRDefault="00A21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635" w:rsidRDefault="00A21D30">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229" w:type="dxa"/>
      <w:tblInd w:w="2694" w:type="dxa"/>
      <w:tblLayout w:type="fixed"/>
      <w:tblLook w:val="0400" w:firstRow="0" w:lastRow="0" w:firstColumn="0" w:lastColumn="0" w:noHBand="0" w:noVBand="1"/>
    </w:tblPr>
    <w:tblGrid>
      <w:gridCol w:w="2976"/>
      <w:gridCol w:w="4253"/>
    </w:tblGrid>
    <w:tr w:rsidR="00D81635" w:rsidTr="00E7413A">
      <w:trPr>
        <w:trHeight w:val="227"/>
      </w:trPr>
      <w:tc>
        <w:tcPr>
          <w:tcW w:w="2976" w:type="dxa"/>
          <w:vAlign w:val="center"/>
        </w:tcPr>
        <w:p w:rsidR="00D81635" w:rsidRPr="00E7413A" w:rsidRDefault="00D81635" w:rsidP="00E7413A">
          <w:pPr>
            <w:ind w:right="34"/>
            <w:jc w:val="right"/>
            <w:rPr>
              <w:rFonts w:ascii="Palatino Linotype" w:eastAsia="Palatino Linotype" w:hAnsi="Palatino Linotype" w:cs="Palatino Linotype"/>
              <w:b/>
            </w:rPr>
          </w:pPr>
          <w:r w:rsidRPr="00E7413A">
            <w:rPr>
              <w:rFonts w:ascii="Palatino Linotype" w:eastAsia="Palatino Linotype" w:hAnsi="Palatino Linotype" w:cs="Palatino Linotype"/>
              <w:b/>
            </w:rPr>
            <w:t>Recurso de Revisión:</w:t>
          </w:r>
        </w:p>
      </w:tc>
      <w:tc>
        <w:tcPr>
          <w:tcW w:w="4253" w:type="dxa"/>
          <w:vAlign w:val="center"/>
        </w:tcPr>
        <w:p w:rsidR="00D81635" w:rsidRPr="00E7413A" w:rsidRDefault="00D81635" w:rsidP="00E7413A">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E7413A">
            <w:rPr>
              <w:rFonts w:ascii="Palatino Linotype" w:eastAsia="Palatino Linotype" w:hAnsi="Palatino Linotype" w:cs="Palatino Linotype"/>
              <w:color w:val="000000"/>
            </w:rPr>
            <w:t>05808/INFOEM/IP/RR/2025</w:t>
          </w:r>
        </w:p>
      </w:tc>
    </w:tr>
    <w:tr w:rsidR="00D81635" w:rsidTr="00E7413A">
      <w:trPr>
        <w:trHeight w:val="242"/>
      </w:trPr>
      <w:tc>
        <w:tcPr>
          <w:tcW w:w="2976" w:type="dxa"/>
          <w:vAlign w:val="center"/>
        </w:tcPr>
        <w:p w:rsidR="00D81635" w:rsidRPr="00E7413A" w:rsidRDefault="00D81635" w:rsidP="00E7413A">
          <w:pPr>
            <w:ind w:right="34"/>
            <w:jc w:val="right"/>
            <w:rPr>
              <w:rFonts w:ascii="Palatino Linotype" w:eastAsia="Palatino Linotype" w:hAnsi="Palatino Linotype" w:cs="Palatino Linotype"/>
              <w:b/>
            </w:rPr>
          </w:pPr>
          <w:r w:rsidRPr="00E7413A">
            <w:rPr>
              <w:rFonts w:ascii="Palatino Linotype" w:eastAsia="Palatino Linotype" w:hAnsi="Palatino Linotype" w:cs="Palatino Linotype"/>
              <w:b/>
            </w:rPr>
            <w:t>Sujeto Obligado:</w:t>
          </w:r>
        </w:p>
      </w:tc>
      <w:tc>
        <w:tcPr>
          <w:tcW w:w="4253" w:type="dxa"/>
          <w:vAlign w:val="center"/>
        </w:tcPr>
        <w:p w:rsidR="00D81635" w:rsidRPr="00E7413A" w:rsidRDefault="00D81635" w:rsidP="00E7413A">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E7413A">
            <w:rPr>
              <w:rFonts w:ascii="Palatino Linotype" w:eastAsia="Palatino Linotype" w:hAnsi="Palatino Linotype" w:cs="Palatino Linotype"/>
              <w:color w:val="000000"/>
            </w:rPr>
            <w:t>Secretaría de Desarrollo Económico</w:t>
          </w:r>
        </w:p>
      </w:tc>
    </w:tr>
    <w:tr w:rsidR="00D81635" w:rsidTr="00E7413A">
      <w:trPr>
        <w:trHeight w:val="342"/>
      </w:trPr>
      <w:tc>
        <w:tcPr>
          <w:tcW w:w="2976" w:type="dxa"/>
          <w:vAlign w:val="center"/>
        </w:tcPr>
        <w:p w:rsidR="00D81635" w:rsidRPr="00E7413A" w:rsidRDefault="00D81635" w:rsidP="00E7413A">
          <w:pPr>
            <w:ind w:right="34"/>
            <w:jc w:val="right"/>
            <w:rPr>
              <w:rFonts w:ascii="Palatino Linotype" w:eastAsia="Palatino Linotype" w:hAnsi="Palatino Linotype" w:cs="Palatino Linotype"/>
              <w:b/>
            </w:rPr>
          </w:pPr>
          <w:r w:rsidRPr="00E7413A">
            <w:rPr>
              <w:rFonts w:ascii="Palatino Linotype" w:eastAsia="Palatino Linotype" w:hAnsi="Palatino Linotype" w:cs="Palatino Linotype"/>
              <w:b/>
            </w:rPr>
            <w:t>Comisionada Ponente:</w:t>
          </w:r>
        </w:p>
      </w:tc>
      <w:tc>
        <w:tcPr>
          <w:tcW w:w="4253" w:type="dxa"/>
          <w:vAlign w:val="center"/>
        </w:tcPr>
        <w:p w:rsidR="00D81635" w:rsidRPr="00E7413A" w:rsidRDefault="00D81635" w:rsidP="00E7413A">
          <w:pPr>
            <w:pBdr>
              <w:top w:val="nil"/>
              <w:left w:val="nil"/>
              <w:bottom w:val="nil"/>
              <w:right w:val="nil"/>
              <w:between w:val="nil"/>
            </w:pBdr>
            <w:tabs>
              <w:tab w:val="right" w:pos="8838"/>
            </w:tabs>
            <w:rPr>
              <w:rFonts w:ascii="Palatino Linotype" w:eastAsia="Palatino Linotype" w:hAnsi="Palatino Linotype" w:cs="Palatino Linotype"/>
              <w:color w:val="000000"/>
            </w:rPr>
          </w:pPr>
          <w:r w:rsidRPr="00E7413A">
            <w:rPr>
              <w:rFonts w:ascii="Palatino Linotype" w:eastAsia="Palatino Linotype" w:hAnsi="Palatino Linotype" w:cs="Palatino Linotype"/>
              <w:color w:val="000000"/>
            </w:rPr>
            <w:t>María del Rosario Mejía Ayala</w:t>
          </w:r>
        </w:p>
      </w:tc>
    </w:tr>
  </w:tbl>
  <w:p w:rsidR="00D81635" w:rsidRDefault="00D119B4">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3.1pt;margin-top:-111.3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371" w:type="dxa"/>
      <w:tblInd w:w="2977" w:type="dxa"/>
      <w:tblLayout w:type="fixed"/>
      <w:tblLook w:val="0400" w:firstRow="0" w:lastRow="0" w:firstColumn="0" w:lastColumn="0" w:noHBand="0" w:noVBand="1"/>
    </w:tblPr>
    <w:tblGrid>
      <w:gridCol w:w="2977"/>
      <w:gridCol w:w="4394"/>
    </w:tblGrid>
    <w:tr w:rsidR="00D81635" w:rsidRPr="00E7413A" w:rsidTr="00D119B4">
      <w:trPr>
        <w:trHeight w:val="227"/>
      </w:trPr>
      <w:tc>
        <w:tcPr>
          <w:tcW w:w="2977" w:type="dxa"/>
          <w:vAlign w:val="center"/>
        </w:tcPr>
        <w:p w:rsidR="00D81635" w:rsidRPr="00E7413A" w:rsidRDefault="00D81635" w:rsidP="00E7413A">
          <w:pPr>
            <w:jc w:val="right"/>
            <w:rPr>
              <w:rFonts w:ascii="Palatino Linotype" w:eastAsia="Palatino Linotype" w:hAnsi="Palatino Linotype" w:cs="Palatino Linotype"/>
              <w:b/>
            </w:rPr>
          </w:pPr>
          <w:r w:rsidRPr="00E7413A">
            <w:rPr>
              <w:rFonts w:ascii="Palatino Linotype" w:eastAsia="Palatino Linotype" w:hAnsi="Palatino Linotype" w:cs="Palatino Linotype"/>
              <w:b/>
            </w:rPr>
            <w:t>Recurso de Revisión:</w:t>
          </w:r>
        </w:p>
      </w:tc>
      <w:tc>
        <w:tcPr>
          <w:tcW w:w="4394" w:type="dxa"/>
          <w:vAlign w:val="center"/>
        </w:tcPr>
        <w:p w:rsidR="00D81635" w:rsidRPr="00E7413A" w:rsidRDefault="00D81635" w:rsidP="00D119B4">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E7413A">
            <w:rPr>
              <w:rFonts w:ascii="Palatino Linotype" w:eastAsia="Palatino Linotype" w:hAnsi="Palatino Linotype" w:cs="Palatino Linotype"/>
              <w:color w:val="000000"/>
            </w:rPr>
            <w:t>05808/INFOEM/IP/RR/2025</w:t>
          </w:r>
        </w:p>
      </w:tc>
    </w:tr>
    <w:tr w:rsidR="00D81635" w:rsidRPr="00E7413A" w:rsidTr="00D119B4">
      <w:trPr>
        <w:trHeight w:val="242"/>
      </w:trPr>
      <w:tc>
        <w:tcPr>
          <w:tcW w:w="2977" w:type="dxa"/>
          <w:vAlign w:val="center"/>
        </w:tcPr>
        <w:p w:rsidR="00D81635" w:rsidRPr="00E7413A" w:rsidRDefault="00D81635" w:rsidP="00E7413A">
          <w:pPr>
            <w:jc w:val="right"/>
            <w:rPr>
              <w:rFonts w:ascii="Palatino Linotype" w:eastAsia="Palatino Linotype" w:hAnsi="Palatino Linotype" w:cs="Palatino Linotype"/>
              <w:b/>
            </w:rPr>
          </w:pPr>
          <w:r w:rsidRPr="00E7413A">
            <w:rPr>
              <w:rFonts w:ascii="Palatino Linotype" w:eastAsia="Palatino Linotype" w:hAnsi="Palatino Linotype" w:cs="Palatino Linotype"/>
              <w:b/>
            </w:rPr>
            <w:t>Recurrente:</w:t>
          </w:r>
        </w:p>
      </w:tc>
      <w:tc>
        <w:tcPr>
          <w:tcW w:w="4394" w:type="dxa"/>
        </w:tcPr>
        <w:p w:rsidR="00D81635" w:rsidRPr="00E7413A" w:rsidRDefault="00D81635" w:rsidP="00D119B4">
          <w:pPr>
            <w:pBdr>
              <w:top w:val="nil"/>
              <w:left w:val="nil"/>
              <w:bottom w:val="nil"/>
              <w:right w:val="nil"/>
              <w:between w:val="nil"/>
            </w:pBdr>
            <w:tabs>
              <w:tab w:val="right" w:pos="8838"/>
              <w:tab w:val="left" w:pos="521"/>
            </w:tabs>
            <w:rPr>
              <w:rFonts w:ascii="Palatino Linotype" w:eastAsia="Palatino Linotype" w:hAnsi="Palatino Linotype" w:cs="Palatino Linotype"/>
              <w:highlight w:val="green"/>
            </w:rPr>
          </w:pPr>
        </w:p>
      </w:tc>
    </w:tr>
    <w:tr w:rsidR="00D81635" w:rsidRPr="00E7413A" w:rsidTr="00D119B4">
      <w:trPr>
        <w:trHeight w:val="342"/>
      </w:trPr>
      <w:tc>
        <w:tcPr>
          <w:tcW w:w="2977" w:type="dxa"/>
          <w:vAlign w:val="center"/>
        </w:tcPr>
        <w:p w:rsidR="00D81635" w:rsidRPr="00E7413A" w:rsidRDefault="00D81635" w:rsidP="00E7413A">
          <w:pPr>
            <w:jc w:val="right"/>
            <w:rPr>
              <w:rFonts w:ascii="Palatino Linotype" w:eastAsia="Palatino Linotype" w:hAnsi="Palatino Linotype" w:cs="Palatino Linotype"/>
              <w:b/>
            </w:rPr>
          </w:pPr>
          <w:r w:rsidRPr="00E7413A">
            <w:rPr>
              <w:rFonts w:ascii="Palatino Linotype" w:eastAsia="Palatino Linotype" w:hAnsi="Palatino Linotype" w:cs="Palatino Linotype"/>
              <w:b/>
            </w:rPr>
            <w:t>Sujeto Obligado:</w:t>
          </w:r>
        </w:p>
      </w:tc>
      <w:tc>
        <w:tcPr>
          <w:tcW w:w="4394" w:type="dxa"/>
          <w:vAlign w:val="center"/>
        </w:tcPr>
        <w:p w:rsidR="00D81635" w:rsidRPr="00E7413A" w:rsidRDefault="00D81635" w:rsidP="00D119B4">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E7413A">
            <w:rPr>
              <w:rFonts w:ascii="Palatino Linotype" w:eastAsia="Palatino Linotype" w:hAnsi="Palatino Linotype" w:cs="Palatino Linotype"/>
              <w:color w:val="000000"/>
            </w:rPr>
            <w:t>Secretaría de Desarrollo Económico</w:t>
          </w:r>
        </w:p>
      </w:tc>
    </w:tr>
    <w:tr w:rsidR="00D81635" w:rsidRPr="00E7413A" w:rsidTr="00D119B4">
      <w:trPr>
        <w:trHeight w:val="342"/>
      </w:trPr>
      <w:tc>
        <w:tcPr>
          <w:tcW w:w="2977" w:type="dxa"/>
          <w:vAlign w:val="center"/>
        </w:tcPr>
        <w:p w:rsidR="00D81635" w:rsidRPr="00E7413A" w:rsidRDefault="00D81635" w:rsidP="00E7413A">
          <w:pPr>
            <w:jc w:val="right"/>
            <w:rPr>
              <w:rFonts w:ascii="Palatino Linotype" w:eastAsia="Palatino Linotype" w:hAnsi="Palatino Linotype" w:cs="Palatino Linotype"/>
              <w:b/>
            </w:rPr>
          </w:pPr>
          <w:r w:rsidRPr="00E7413A">
            <w:rPr>
              <w:rFonts w:ascii="Palatino Linotype" w:eastAsia="Palatino Linotype" w:hAnsi="Palatino Linotype" w:cs="Palatino Linotype"/>
              <w:b/>
            </w:rPr>
            <w:t>Comisionada Ponente:</w:t>
          </w:r>
        </w:p>
      </w:tc>
      <w:tc>
        <w:tcPr>
          <w:tcW w:w="4394" w:type="dxa"/>
          <w:vAlign w:val="center"/>
        </w:tcPr>
        <w:p w:rsidR="00D81635" w:rsidRPr="00E7413A" w:rsidRDefault="00D81635" w:rsidP="00D119B4">
          <w:pPr>
            <w:pBdr>
              <w:top w:val="nil"/>
              <w:left w:val="nil"/>
              <w:bottom w:val="nil"/>
              <w:right w:val="nil"/>
              <w:between w:val="nil"/>
            </w:pBdr>
            <w:tabs>
              <w:tab w:val="right" w:pos="8838"/>
            </w:tabs>
            <w:rPr>
              <w:rFonts w:ascii="Palatino Linotype" w:eastAsia="Palatino Linotype" w:hAnsi="Palatino Linotype" w:cs="Palatino Linotype"/>
              <w:color w:val="000000"/>
            </w:rPr>
          </w:pPr>
          <w:r w:rsidRPr="00E7413A">
            <w:rPr>
              <w:rFonts w:ascii="Palatino Linotype" w:eastAsia="Palatino Linotype" w:hAnsi="Palatino Linotype" w:cs="Palatino Linotype"/>
              <w:color w:val="000000"/>
            </w:rPr>
            <w:t>María del Rosario Mejía Ayala</w:t>
          </w:r>
        </w:p>
      </w:tc>
    </w:tr>
  </w:tbl>
  <w:p w:rsidR="00D81635" w:rsidRPr="00E7413A" w:rsidRDefault="00D119B4" w:rsidP="00E7413A">
    <w:pPr>
      <w:pBdr>
        <w:top w:val="nil"/>
        <w:left w:val="nil"/>
        <w:bottom w:val="nil"/>
        <w:right w:val="nil"/>
        <w:between w:val="nil"/>
      </w:pBdr>
      <w:tabs>
        <w:tab w:val="center" w:pos="4419"/>
        <w:tab w:val="right" w:pos="8838"/>
      </w:tabs>
      <w:rPr>
        <w:rFonts w:eastAsia="Calibri"/>
        <w:color w:val="000000"/>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9pt;margin-top:-119.45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EE2595"/>
    <w:multiLevelType w:val="hybridMultilevel"/>
    <w:tmpl w:val="F350F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7"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5"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6A32FE"/>
    <w:multiLevelType w:val="hybridMultilevel"/>
    <w:tmpl w:val="F33E191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5"/>
  </w:num>
  <w:num w:numId="4">
    <w:abstractNumId w:val="19"/>
  </w:num>
  <w:num w:numId="5">
    <w:abstractNumId w:val="1"/>
  </w:num>
  <w:num w:numId="6">
    <w:abstractNumId w:val="2"/>
  </w:num>
  <w:num w:numId="7">
    <w:abstractNumId w:val="28"/>
  </w:num>
  <w:num w:numId="8">
    <w:abstractNumId w:val="3"/>
  </w:num>
  <w:num w:numId="9">
    <w:abstractNumId w:val="8"/>
  </w:num>
  <w:num w:numId="10">
    <w:abstractNumId w:val="7"/>
  </w:num>
  <w:num w:numId="11">
    <w:abstractNumId w:val="14"/>
  </w:num>
  <w:num w:numId="12">
    <w:abstractNumId w:val="12"/>
  </w:num>
  <w:num w:numId="13">
    <w:abstractNumId w:val="17"/>
  </w:num>
  <w:num w:numId="14">
    <w:abstractNumId w:val="10"/>
  </w:num>
  <w:num w:numId="15">
    <w:abstractNumId w:val="13"/>
  </w:num>
  <w:num w:numId="16">
    <w:abstractNumId w:val="4"/>
  </w:num>
  <w:num w:numId="17">
    <w:abstractNumId w:val="18"/>
  </w:num>
  <w:num w:numId="18">
    <w:abstractNumId w:val="2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0"/>
  </w:num>
  <w:num w:numId="22">
    <w:abstractNumId w:val="22"/>
  </w:num>
  <w:num w:numId="23">
    <w:abstractNumId w:val="11"/>
  </w:num>
  <w:num w:numId="24">
    <w:abstractNumId w:val="21"/>
  </w:num>
  <w:num w:numId="25">
    <w:abstractNumId w:val="9"/>
  </w:num>
  <w:num w:numId="26">
    <w:abstractNumId w:val="6"/>
  </w:num>
  <w:num w:numId="27">
    <w:abstractNumId w:val="27"/>
  </w:num>
  <w:num w:numId="28">
    <w:abstractNumId w:val="25"/>
  </w:num>
  <w:num w:numId="29">
    <w:abstractNumId w:val="29"/>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34B2"/>
    <w:rsid w:val="00012B2E"/>
    <w:rsid w:val="00014868"/>
    <w:rsid w:val="000179F4"/>
    <w:rsid w:val="00024E64"/>
    <w:rsid w:val="00035F7A"/>
    <w:rsid w:val="00036A70"/>
    <w:rsid w:val="00053058"/>
    <w:rsid w:val="00053794"/>
    <w:rsid w:val="0006234A"/>
    <w:rsid w:val="00063A2F"/>
    <w:rsid w:val="0007156C"/>
    <w:rsid w:val="00095A94"/>
    <w:rsid w:val="000B1552"/>
    <w:rsid w:val="000B3D0E"/>
    <w:rsid w:val="000C29B1"/>
    <w:rsid w:val="000C4575"/>
    <w:rsid w:val="000E2104"/>
    <w:rsid w:val="000E6DDA"/>
    <w:rsid w:val="000F7F76"/>
    <w:rsid w:val="0010095F"/>
    <w:rsid w:val="00110519"/>
    <w:rsid w:val="0012046A"/>
    <w:rsid w:val="00141693"/>
    <w:rsid w:val="00150225"/>
    <w:rsid w:val="00155228"/>
    <w:rsid w:val="00156833"/>
    <w:rsid w:val="00165EFF"/>
    <w:rsid w:val="001660E4"/>
    <w:rsid w:val="0017347A"/>
    <w:rsid w:val="001751BA"/>
    <w:rsid w:val="00192053"/>
    <w:rsid w:val="001A4837"/>
    <w:rsid w:val="001A5A2D"/>
    <w:rsid w:val="001A6C55"/>
    <w:rsid w:val="001B2FBF"/>
    <w:rsid w:val="001B560B"/>
    <w:rsid w:val="001C2DE1"/>
    <w:rsid w:val="001C3493"/>
    <w:rsid w:val="001C7507"/>
    <w:rsid w:val="001F48C5"/>
    <w:rsid w:val="002008D5"/>
    <w:rsid w:val="002163C4"/>
    <w:rsid w:val="002177C3"/>
    <w:rsid w:val="00225E9D"/>
    <w:rsid w:val="00236042"/>
    <w:rsid w:val="00243F7C"/>
    <w:rsid w:val="002527DC"/>
    <w:rsid w:val="00254C8D"/>
    <w:rsid w:val="002648B5"/>
    <w:rsid w:val="00271F83"/>
    <w:rsid w:val="00293D4F"/>
    <w:rsid w:val="002972B9"/>
    <w:rsid w:val="002A206D"/>
    <w:rsid w:val="002A2988"/>
    <w:rsid w:val="002B1C7B"/>
    <w:rsid w:val="002C6186"/>
    <w:rsid w:val="002E1496"/>
    <w:rsid w:val="002E46FD"/>
    <w:rsid w:val="002F71A2"/>
    <w:rsid w:val="00304EE5"/>
    <w:rsid w:val="00305F41"/>
    <w:rsid w:val="00312A5D"/>
    <w:rsid w:val="003142E9"/>
    <w:rsid w:val="003213C3"/>
    <w:rsid w:val="00345480"/>
    <w:rsid w:val="0034764D"/>
    <w:rsid w:val="003533A7"/>
    <w:rsid w:val="003660CB"/>
    <w:rsid w:val="00370DEE"/>
    <w:rsid w:val="003737B1"/>
    <w:rsid w:val="00376DC6"/>
    <w:rsid w:val="00376E2C"/>
    <w:rsid w:val="00383965"/>
    <w:rsid w:val="00384231"/>
    <w:rsid w:val="00394779"/>
    <w:rsid w:val="003A058D"/>
    <w:rsid w:val="003A1F29"/>
    <w:rsid w:val="003B3844"/>
    <w:rsid w:val="003B42C1"/>
    <w:rsid w:val="003B4AA7"/>
    <w:rsid w:val="003C78A2"/>
    <w:rsid w:val="003F6645"/>
    <w:rsid w:val="00403937"/>
    <w:rsid w:val="00405DED"/>
    <w:rsid w:val="004067A2"/>
    <w:rsid w:val="00411EDF"/>
    <w:rsid w:val="004140A4"/>
    <w:rsid w:val="00423492"/>
    <w:rsid w:val="00434173"/>
    <w:rsid w:val="0043724F"/>
    <w:rsid w:val="004455BD"/>
    <w:rsid w:val="00445E63"/>
    <w:rsid w:val="004461EB"/>
    <w:rsid w:val="00452529"/>
    <w:rsid w:val="00470C00"/>
    <w:rsid w:val="00480F1E"/>
    <w:rsid w:val="0048101F"/>
    <w:rsid w:val="00492E8F"/>
    <w:rsid w:val="00492E9C"/>
    <w:rsid w:val="004974CF"/>
    <w:rsid w:val="004A55A4"/>
    <w:rsid w:val="004B3254"/>
    <w:rsid w:val="004B3858"/>
    <w:rsid w:val="004D5A55"/>
    <w:rsid w:val="004D5F6E"/>
    <w:rsid w:val="004E0E4F"/>
    <w:rsid w:val="004E40CA"/>
    <w:rsid w:val="00507E2E"/>
    <w:rsid w:val="00514616"/>
    <w:rsid w:val="00516184"/>
    <w:rsid w:val="00517509"/>
    <w:rsid w:val="00530D63"/>
    <w:rsid w:val="00533334"/>
    <w:rsid w:val="005377E0"/>
    <w:rsid w:val="00540656"/>
    <w:rsid w:val="00547C4E"/>
    <w:rsid w:val="00552084"/>
    <w:rsid w:val="00563D25"/>
    <w:rsid w:val="00564F4B"/>
    <w:rsid w:val="005706CE"/>
    <w:rsid w:val="00571EC5"/>
    <w:rsid w:val="0059173B"/>
    <w:rsid w:val="0059798B"/>
    <w:rsid w:val="005B176B"/>
    <w:rsid w:val="005C4343"/>
    <w:rsid w:val="005D1288"/>
    <w:rsid w:val="005D1B66"/>
    <w:rsid w:val="005D3ED6"/>
    <w:rsid w:val="005E2747"/>
    <w:rsid w:val="005E7C16"/>
    <w:rsid w:val="005F42C6"/>
    <w:rsid w:val="006114E5"/>
    <w:rsid w:val="006130D8"/>
    <w:rsid w:val="006410F7"/>
    <w:rsid w:val="00657156"/>
    <w:rsid w:val="00660597"/>
    <w:rsid w:val="006617E1"/>
    <w:rsid w:val="00671DC9"/>
    <w:rsid w:val="00677898"/>
    <w:rsid w:val="006820D0"/>
    <w:rsid w:val="006927F3"/>
    <w:rsid w:val="006A1F4A"/>
    <w:rsid w:val="006A7088"/>
    <w:rsid w:val="006B1EE0"/>
    <w:rsid w:val="006C4BAA"/>
    <w:rsid w:val="006C5D09"/>
    <w:rsid w:val="006F426A"/>
    <w:rsid w:val="00720536"/>
    <w:rsid w:val="00725714"/>
    <w:rsid w:val="00736794"/>
    <w:rsid w:val="007504D1"/>
    <w:rsid w:val="00763717"/>
    <w:rsid w:val="00766ED5"/>
    <w:rsid w:val="00767598"/>
    <w:rsid w:val="00773A75"/>
    <w:rsid w:val="007803C1"/>
    <w:rsid w:val="007810DA"/>
    <w:rsid w:val="007821F9"/>
    <w:rsid w:val="00787956"/>
    <w:rsid w:val="00790547"/>
    <w:rsid w:val="00796E5A"/>
    <w:rsid w:val="007B2482"/>
    <w:rsid w:val="007C0C24"/>
    <w:rsid w:val="007C5E85"/>
    <w:rsid w:val="007D4815"/>
    <w:rsid w:val="007F25DB"/>
    <w:rsid w:val="00814882"/>
    <w:rsid w:val="008526DE"/>
    <w:rsid w:val="008701B0"/>
    <w:rsid w:val="00876DFF"/>
    <w:rsid w:val="0089767E"/>
    <w:rsid w:val="008A7920"/>
    <w:rsid w:val="008B6385"/>
    <w:rsid w:val="008B645E"/>
    <w:rsid w:val="008D0878"/>
    <w:rsid w:val="008F4362"/>
    <w:rsid w:val="008F6ED9"/>
    <w:rsid w:val="0090601E"/>
    <w:rsid w:val="00914AB9"/>
    <w:rsid w:val="00917F48"/>
    <w:rsid w:val="00933F05"/>
    <w:rsid w:val="00934E2D"/>
    <w:rsid w:val="00955CFD"/>
    <w:rsid w:val="00961B5F"/>
    <w:rsid w:val="009633CF"/>
    <w:rsid w:val="009877EE"/>
    <w:rsid w:val="009B2EA6"/>
    <w:rsid w:val="009C2E06"/>
    <w:rsid w:val="009C6D00"/>
    <w:rsid w:val="009D6A1C"/>
    <w:rsid w:val="009E2E18"/>
    <w:rsid w:val="009F1709"/>
    <w:rsid w:val="009F25B7"/>
    <w:rsid w:val="009F32B0"/>
    <w:rsid w:val="009F4D8B"/>
    <w:rsid w:val="00A00B7F"/>
    <w:rsid w:val="00A170D1"/>
    <w:rsid w:val="00A20B58"/>
    <w:rsid w:val="00A21D30"/>
    <w:rsid w:val="00A24E82"/>
    <w:rsid w:val="00A278EC"/>
    <w:rsid w:val="00A30B7E"/>
    <w:rsid w:val="00A373FC"/>
    <w:rsid w:val="00A441F1"/>
    <w:rsid w:val="00A46B60"/>
    <w:rsid w:val="00A47761"/>
    <w:rsid w:val="00A53E91"/>
    <w:rsid w:val="00A5781D"/>
    <w:rsid w:val="00A62AF4"/>
    <w:rsid w:val="00A73D35"/>
    <w:rsid w:val="00A80C86"/>
    <w:rsid w:val="00A82F20"/>
    <w:rsid w:val="00A85955"/>
    <w:rsid w:val="00A87FF1"/>
    <w:rsid w:val="00AC6305"/>
    <w:rsid w:val="00AC66DE"/>
    <w:rsid w:val="00AD54D9"/>
    <w:rsid w:val="00AE1941"/>
    <w:rsid w:val="00AF0BFE"/>
    <w:rsid w:val="00B00A44"/>
    <w:rsid w:val="00B02611"/>
    <w:rsid w:val="00B0634C"/>
    <w:rsid w:val="00B17889"/>
    <w:rsid w:val="00B20094"/>
    <w:rsid w:val="00B2104B"/>
    <w:rsid w:val="00B224EA"/>
    <w:rsid w:val="00B33882"/>
    <w:rsid w:val="00B41429"/>
    <w:rsid w:val="00B42FB1"/>
    <w:rsid w:val="00B721D0"/>
    <w:rsid w:val="00B776CE"/>
    <w:rsid w:val="00B8054A"/>
    <w:rsid w:val="00B81C16"/>
    <w:rsid w:val="00B8290A"/>
    <w:rsid w:val="00B84E6F"/>
    <w:rsid w:val="00BA0D64"/>
    <w:rsid w:val="00BA289E"/>
    <w:rsid w:val="00BB47EA"/>
    <w:rsid w:val="00BB5D0C"/>
    <w:rsid w:val="00BB66B2"/>
    <w:rsid w:val="00BB76B5"/>
    <w:rsid w:val="00BD011E"/>
    <w:rsid w:val="00BD3C95"/>
    <w:rsid w:val="00BD4F99"/>
    <w:rsid w:val="00BE146C"/>
    <w:rsid w:val="00BE3176"/>
    <w:rsid w:val="00C21B22"/>
    <w:rsid w:val="00C225B1"/>
    <w:rsid w:val="00C242EB"/>
    <w:rsid w:val="00C301CE"/>
    <w:rsid w:val="00C377E7"/>
    <w:rsid w:val="00C54FDF"/>
    <w:rsid w:val="00C6117C"/>
    <w:rsid w:val="00C70DBF"/>
    <w:rsid w:val="00C818D2"/>
    <w:rsid w:val="00CA2F08"/>
    <w:rsid w:val="00CB204B"/>
    <w:rsid w:val="00CD2423"/>
    <w:rsid w:val="00D05C1C"/>
    <w:rsid w:val="00D119B4"/>
    <w:rsid w:val="00D1478B"/>
    <w:rsid w:val="00D22B72"/>
    <w:rsid w:val="00D275EF"/>
    <w:rsid w:val="00D277DC"/>
    <w:rsid w:val="00D279AC"/>
    <w:rsid w:val="00D44622"/>
    <w:rsid w:val="00D451D4"/>
    <w:rsid w:val="00D547A6"/>
    <w:rsid w:val="00D5645A"/>
    <w:rsid w:val="00D61BA3"/>
    <w:rsid w:val="00D61D82"/>
    <w:rsid w:val="00D67FFA"/>
    <w:rsid w:val="00D746B0"/>
    <w:rsid w:val="00D81635"/>
    <w:rsid w:val="00D9308A"/>
    <w:rsid w:val="00DA5371"/>
    <w:rsid w:val="00DA77B4"/>
    <w:rsid w:val="00DC3FEC"/>
    <w:rsid w:val="00DD0B70"/>
    <w:rsid w:val="00DF6E12"/>
    <w:rsid w:val="00DF6EAE"/>
    <w:rsid w:val="00E03CF0"/>
    <w:rsid w:val="00E12C42"/>
    <w:rsid w:val="00E13957"/>
    <w:rsid w:val="00E23CDA"/>
    <w:rsid w:val="00E31311"/>
    <w:rsid w:val="00E31D41"/>
    <w:rsid w:val="00E36B7B"/>
    <w:rsid w:val="00E37824"/>
    <w:rsid w:val="00E7413A"/>
    <w:rsid w:val="00E76B45"/>
    <w:rsid w:val="00E85BC6"/>
    <w:rsid w:val="00E90DFD"/>
    <w:rsid w:val="00E938F5"/>
    <w:rsid w:val="00E94027"/>
    <w:rsid w:val="00EC1B49"/>
    <w:rsid w:val="00ED615B"/>
    <w:rsid w:val="00F17970"/>
    <w:rsid w:val="00F23FBF"/>
    <w:rsid w:val="00F31A48"/>
    <w:rsid w:val="00F37149"/>
    <w:rsid w:val="00F40924"/>
    <w:rsid w:val="00F57977"/>
    <w:rsid w:val="00F70E27"/>
    <w:rsid w:val="00F826C3"/>
    <w:rsid w:val="00F91717"/>
    <w:rsid w:val="00FB567C"/>
    <w:rsid w:val="00FC0B11"/>
    <w:rsid w:val="00FC7AE4"/>
    <w:rsid w:val="00FD19C8"/>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0E6DDA"/>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01DDDB-4F9C-4624-AB70-947DF3DB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46</Pages>
  <Words>11196</Words>
  <Characters>61580</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14</cp:revision>
  <cp:lastPrinted>2026-01-16T16:20:00Z</cp:lastPrinted>
  <dcterms:created xsi:type="dcterms:W3CDTF">2025-12-17T18:04:00Z</dcterms:created>
  <dcterms:modified xsi:type="dcterms:W3CDTF">2026-01-26T23:34:00Z</dcterms:modified>
</cp:coreProperties>
</file>