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BEB" w:rsidRPr="00BE5FBE" w:rsidRDefault="000B245E">
      <w:pPr>
        <w:tabs>
          <w:tab w:val="left" w:pos="0"/>
        </w:tabs>
        <w:spacing w:line="360" w:lineRule="auto"/>
        <w:jc w:val="both"/>
        <w:rPr>
          <w:rFonts w:ascii="Palatino Linotype" w:eastAsia="Palatino Linotype" w:hAnsi="Palatino Linotype" w:cs="Palatino Linotype"/>
          <w:b/>
        </w:rPr>
      </w:pPr>
      <w:bookmarkStart w:id="0" w:name="_heading=h.sre9h05q4v0b" w:colFirst="0" w:colLast="0"/>
      <w:bookmarkStart w:id="1" w:name="_GoBack"/>
      <w:bookmarkEnd w:id="0"/>
      <w:bookmarkEnd w:id="1"/>
      <w:r w:rsidRPr="00BE5FB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BE5FBE">
        <w:rPr>
          <w:rFonts w:ascii="Palatino Linotype" w:eastAsia="Palatino Linotype" w:hAnsi="Palatino Linotype" w:cs="Palatino Linotype"/>
          <w:b/>
        </w:rPr>
        <w:t xml:space="preserve">de fecha </w:t>
      </w:r>
      <w:r w:rsidR="00132484" w:rsidRPr="00BE5FBE">
        <w:rPr>
          <w:rFonts w:ascii="Palatino Linotype" w:eastAsia="Palatino Linotype" w:hAnsi="Palatino Linotype" w:cs="Palatino Linotype"/>
          <w:b/>
        </w:rPr>
        <w:t>dieciocho</w:t>
      </w:r>
      <w:r w:rsidR="00BE5FBE" w:rsidRPr="00BE5FBE">
        <w:rPr>
          <w:rFonts w:ascii="Palatino Linotype" w:eastAsia="Palatino Linotype" w:hAnsi="Palatino Linotype" w:cs="Palatino Linotype"/>
          <w:b/>
        </w:rPr>
        <w:t xml:space="preserve"> (18)</w:t>
      </w:r>
      <w:r w:rsidR="00132484" w:rsidRPr="00BE5FBE">
        <w:rPr>
          <w:rFonts w:ascii="Palatino Linotype" w:eastAsia="Palatino Linotype" w:hAnsi="Palatino Linotype" w:cs="Palatino Linotype"/>
          <w:b/>
        </w:rPr>
        <w:t xml:space="preserve"> </w:t>
      </w:r>
      <w:r w:rsidRPr="00BE5FBE">
        <w:rPr>
          <w:rFonts w:ascii="Palatino Linotype" w:eastAsia="Palatino Linotype" w:hAnsi="Palatino Linotype" w:cs="Palatino Linotype"/>
          <w:b/>
        </w:rPr>
        <w:t xml:space="preserve">de </w:t>
      </w:r>
      <w:r w:rsidR="00132484" w:rsidRPr="00BE5FBE">
        <w:rPr>
          <w:rFonts w:ascii="Palatino Linotype" w:eastAsia="Palatino Linotype" w:hAnsi="Palatino Linotype" w:cs="Palatino Linotype"/>
          <w:b/>
        </w:rPr>
        <w:t xml:space="preserve">febrero </w:t>
      </w:r>
      <w:r w:rsidRPr="00BE5FBE">
        <w:rPr>
          <w:rFonts w:ascii="Palatino Linotype" w:eastAsia="Palatino Linotype" w:hAnsi="Palatino Linotype" w:cs="Palatino Linotype"/>
          <w:b/>
        </w:rPr>
        <w:t xml:space="preserve">de dos mil </w:t>
      </w:r>
      <w:r w:rsidR="00132484" w:rsidRPr="00BE5FBE">
        <w:rPr>
          <w:rFonts w:ascii="Palatino Linotype" w:eastAsia="Palatino Linotype" w:hAnsi="Palatino Linotype" w:cs="Palatino Linotype"/>
          <w:b/>
        </w:rPr>
        <w:t>veintiséis</w:t>
      </w:r>
      <w:r w:rsidRPr="00BE5FBE">
        <w:rPr>
          <w:rFonts w:ascii="Palatino Linotype" w:eastAsia="Palatino Linotype" w:hAnsi="Palatino Linotype" w:cs="Palatino Linotype"/>
          <w:b/>
        </w:rPr>
        <w:t>.</w:t>
      </w:r>
    </w:p>
    <w:p w:rsidR="00337BEB" w:rsidRPr="00BE5FBE" w:rsidRDefault="00337BEB">
      <w:pPr>
        <w:tabs>
          <w:tab w:val="left" w:pos="567"/>
        </w:tabs>
        <w:spacing w:line="360" w:lineRule="auto"/>
        <w:jc w:val="both"/>
        <w:rPr>
          <w:rFonts w:ascii="Palatino Linotype" w:eastAsia="Palatino Linotype" w:hAnsi="Palatino Linotype" w:cs="Palatino Linotype"/>
        </w:rPr>
      </w:pPr>
    </w:p>
    <w:p w:rsidR="00337BEB" w:rsidRPr="00BE5FBE" w:rsidRDefault="000B245E">
      <w:pPr>
        <w:spacing w:line="360" w:lineRule="auto"/>
        <w:jc w:val="both"/>
        <w:rPr>
          <w:rFonts w:ascii="Palatino Linotype" w:eastAsia="Palatino Linotype" w:hAnsi="Palatino Linotype" w:cs="Palatino Linotype"/>
        </w:rPr>
      </w:pPr>
      <w:bookmarkStart w:id="2" w:name="_heading=h.gjdgxs" w:colFirst="0" w:colLast="0"/>
      <w:bookmarkEnd w:id="2"/>
      <w:r w:rsidRPr="00BE5FBE">
        <w:rPr>
          <w:rFonts w:ascii="Palatino Linotype" w:eastAsia="Palatino Linotype" w:hAnsi="Palatino Linotype" w:cs="Palatino Linotype"/>
          <w:b/>
        </w:rPr>
        <w:t>VISTO</w:t>
      </w:r>
      <w:r w:rsidRPr="00BE5FBE">
        <w:rPr>
          <w:rFonts w:ascii="Palatino Linotype" w:eastAsia="Palatino Linotype" w:hAnsi="Palatino Linotype" w:cs="Palatino Linotype"/>
        </w:rPr>
        <w:t xml:space="preserve"> el expediente electrónico formado con motivo del recurso de revisión </w:t>
      </w:r>
      <w:r w:rsidR="00132484" w:rsidRPr="00BE5FBE">
        <w:rPr>
          <w:rFonts w:ascii="Palatino Linotype" w:eastAsia="Palatino Linotype" w:hAnsi="Palatino Linotype" w:cs="Palatino Linotype"/>
          <w:b/>
        </w:rPr>
        <w:t>14703</w:t>
      </w:r>
      <w:r w:rsidRPr="00BE5FBE">
        <w:rPr>
          <w:rFonts w:ascii="Palatino Linotype" w:eastAsia="Palatino Linotype" w:hAnsi="Palatino Linotype" w:cs="Palatino Linotype"/>
          <w:b/>
        </w:rPr>
        <w:t>/INFOEM/IP/RR/2025</w:t>
      </w:r>
      <w:r w:rsidRPr="00BE5FBE">
        <w:rPr>
          <w:rFonts w:ascii="Palatino Linotype" w:eastAsia="Palatino Linotype" w:hAnsi="Palatino Linotype" w:cs="Palatino Linotype"/>
        </w:rPr>
        <w:t>,</w:t>
      </w:r>
      <w:r w:rsidRPr="00BE5FBE">
        <w:rPr>
          <w:rFonts w:ascii="Palatino Linotype" w:eastAsia="Palatino Linotype" w:hAnsi="Palatino Linotype" w:cs="Palatino Linotype"/>
          <w:b/>
        </w:rPr>
        <w:t xml:space="preserve"> </w:t>
      </w:r>
      <w:r w:rsidRPr="00BE5FBE">
        <w:rPr>
          <w:rFonts w:ascii="Palatino Linotype" w:eastAsia="Palatino Linotype" w:hAnsi="Palatino Linotype" w:cs="Palatino Linotype"/>
        </w:rPr>
        <w:t xml:space="preserve">promovido por </w:t>
      </w:r>
      <w:r w:rsidRPr="00BE5FBE">
        <w:rPr>
          <w:rFonts w:ascii="Palatino Linotype" w:eastAsia="Palatino Linotype" w:hAnsi="Palatino Linotype" w:cs="Palatino Linotype"/>
          <w:b/>
        </w:rPr>
        <w:t>una persona que no proporcionó datos de identificación</w:t>
      </w:r>
      <w:r w:rsidRPr="00BE5FBE">
        <w:rPr>
          <w:rFonts w:ascii="Palatino Linotype" w:eastAsia="Palatino Linotype" w:hAnsi="Palatino Linotype" w:cs="Palatino Linotype"/>
        </w:rPr>
        <w:t xml:space="preserve">, a quien en lo sucesivo se le identificará como </w:t>
      </w:r>
      <w:r w:rsidRPr="00BE5FBE">
        <w:rPr>
          <w:rFonts w:ascii="Palatino Linotype" w:eastAsia="Palatino Linotype" w:hAnsi="Palatino Linotype" w:cs="Palatino Linotype"/>
          <w:b/>
        </w:rPr>
        <w:t>EL RECURRENTE</w:t>
      </w:r>
      <w:r w:rsidRPr="00BE5FBE">
        <w:rPr>
          <w:rFonts w:ascii="Palatino Linotype" w:eastAsia="Palatino Linotype" w:hAnsi="Palatino Linotype" w:cs="Palatino Linotype"/>
        </w:rPr>
        <w:t xml:space="preserve">, en contra de la respuesta del </w:t>
      </w:r>
      <w:r w:rsidR="00132484" w:rsidRPr="00BE5FBE">
        <w:rPr>
          <w:rFonts w:ascii="Palatino Linotype" w:eastAsia="Palatino Linotype" w:hAnsi="Palatino Linotype" w:cs="Palatino Linotype"/>
          <w:b/>
        </w:rPr>
        <w:t>Sistem</w:t>
      </w:r>
      <w:r w:rsidR="00E83B81" w:rsidRPr="00BE5FBE">
        <w:rPr>
          <w:rFonts w:ascii="Palatino Linotype" w:eastAsia="Palatino Linotype" w:hAnsi="Palatino Linotype" w:cs="Palatino Linotype"/>
          <w:b/>
        </w:rPr>
        <w:t>a Municipal para el Desarrollo I</w:t>
      </w:r>
      <w:r w:rsidR="00132484" w:rsidRPr="00BE5FBE">
        <w:rPr>
          <w:rFonts w:ascii="Palatino Linotype" w:eastAsia="Palatino Linotype" w:hAnsi="Palatino Linotype" w:cs="Palatino Linotype"/>
          <w:b/>
        </w:rPr>
        <w:t>ntegral de la Familia de Huehuetoca</w:t>
      </w:r>
      <w:r w:rsidRPr="00BE5FBE">
        <w:rPr>
          <w:rFonts w:ascii="Palatino Linotype" w:eastAsia="Palatino Linotype" w:hAnsi="Palatino Linotype" w:cs="Palatino Linotype"/>
          <w:b/>
        </w:rPr>
        <w:t xml:space="preserve">, </w:t>
      </w:r>
      <w:r w:rsidRPr="00BE5FBE">
        <w:rPr>
          <w:rFonts w:ascii="Palatino Linotype" w:eastAsia="Palatino Linotype" w:hAnsi="Palatino Linotype" w:cs="Palatino Linotype"/>
        </w:rPr>
        <w:t>en adelante el</w:t>
      </w:r>
      <w:r w:rsidRPr="00BE5FBE">
        <w:rPr>
          <w:rFonts w:ascii="Palatino Linotype" w:eastAsia="Palatino Linotype" w:hAnsi="Palatino Linotype" w:cs="Palatino Linotype"/>
          <w:b/>
        </w:rPr>
        <w:t xml:space="preserve"> SUJETO OBLIGADO</w:t>
      </w:r>
      <w:r w:rsidRPr="00BE5FBE">
        <w:rPr>
          <w:rFonts w:ascii="Palatino Linotype" w:eastAsia="Palatino Linotype" w:hAnsi="Palatino Linotype" w:cs="Palatino Linotype"/>
        </w:rPr>
        <w:t>, se procede a dictar la presente resolución, con base en los siguientes:</w:t>
      </w:r>
    </w:p>
    <w:p w:rsidR="00337BEB" w:rsidRPr="00BE5FBE" w:rsidRDefault="00337BEB">
      <w:pPr>
        <w:spacing w:line="360" w:lineRule="auto"/>
        <w:jc w:val="both"/>
        <w:rPr>
          <w:rFonts w:ascii="Palatino Linotype" w:eastAsia="Palatino Linotype" w:hAnsi="Palatino Linotype" w:cs="Palatino Linotype"/>
        </w:rPr>
      </w:pPr>
    </w:p>
    <w:p w:rsidR="00337BEB" w:rsidRPr="00BE5FBE" w:rsidRDefault="000B245E">
      <w:pPr>
        <w:pStyle w:val="Ttulo1"/>
        <w:tabs>
          <w:tab w:val="left" w:pos="567"/>
        </w:tabs>
        <w:spacing w:before="0" w:line="360" w:lineRule="auto"/>
        <w:jc w:val="center"/>
        <w:rPr>
          <w:b w:val="0"/>
          <w:color w:val="000000"/>
          <w:szCs w:val="24"/>
        </w:rPr>
      </w:pPr>
      <w:bookmarkStart w:id="3" w:name="_heading=h.30j0zll" w:colFirst="0" w:colLast="0"/>
      <w:bookmarkEnd w:id="3"/>
      <w:r w:rsidRPr="00BE5FBE">
        <w:rPr>
          <w:color w:val="000000"/>
          <w:szCs w:val="24"/>
        </w:rPr>
        <w:t>A N T E C E D E N T E S</w:t>
      </w:r>
    </w:p>
    <w:p w:rsidR="00337BEB" w:rsidRPr="00BE5FBE" w:rsidRDefault="00337BEB">
      <w:pPr>
        <w:pStyle w:val="Ttulo1"/>
        <w:tabs>
          <w:tab w:val="left" w:pos="567"/>
        </w:tabs>
        <w:spacing w:before="0" w:line="360" w:lineRule="auto"/>
        <w:jc w:val="center"/>
        <w:rPr>
          <w:szCs w:val="24"/>
        </w:rPr>
      </w:pPr>
    </w:p>
    <w:p w:rsidR="00337BEB" w:rsidRPr="00BE5FBE" w:rsidRDefault="000B245E">
      <w:pPr>
        <w:numPr>
          <w:ilvl w:val="0"/>
          <w:numId w:val="11"/>
        </w:numPr>
        <w:pBdr>
          <w:top w:val="nil"/>
          <w:left w:val="nil"/>
          <w:bottom w:val="nil"/>
          <w:right w:val="nil"/>
          <w:between w:val="nil"/>
        </w:pBdr>
        <w:spacing w:line="360" w:lineRule="auto"/>
        <w:jc w:val="both"/>
        <w:rPr>
          <w:color w:val="000000"/>
        </w:rPr>
      </w:pPr>
      <w:r w:rsidRPr="00BE5FBE">
        <w:rPr>
          <w:rFonts w:ascii="Palatino Linotype" w:eastAsia="Palatino Linotype" w:hAnsi="Palatino Linotype" w:cs="Palatino Linotype"/>
          <w:color w:val="000000"/>
        </w:rPr>
        <w:t xml:space="preserve">El </w:t>
      </w:r>
      <w:r w:rsidR="00132484" w:rsidRPr="00BE5FBE">
        <w:rPr>
          <w:rFonts w:ascii="Palatino Linotype" w:eastAsia="Palatino Linotype" w:hAnsi="Palatino Linotype" w:cs="Palatino Linotype"/>
          <w:b/>
          <w:color w:val="000000"/>
        </w:rPr>
        <w:t xml:space="preserve">veintiséis de noviembre </w:t>
      </w:r>
      <w:r w:rsidRPr="00BE5FBE">
        <w:rPr>
          <w:rFonts w:ascii="Palatino Linotype" w:eastAsia="Palatino Linotype" w:hAnsi="Palatino Linotype" w:cs="Palatino Linotype"/>
          <w:b/>
          <w:color w:val="000000"/>
        </w:rPr>
        <w:t xml:space="preserve">de dos mil veinticinco, </w:t>
      </w:r>
      <w:r w:rsidRPr="00BE5FBE">
        <w:rPr>
          <w:rFonts w:ascii="Palatino Linotype" w:eastAsia="Palatino Linotype" w:hAnsi="Palatino Linotype" w:cs="Palatino Linotype"/>
          <w:color w:val="000000"/>
        </w:rPr>
        <w:t xml:space="preserve">se presentó ante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vía SAIMEX, la solicitud de información pública registrada con el número</w:t>
      </w:r>
      <w:r w:rsidR="00132484" w:rsidRPr="00BE5FBE">
        <w:rPr>
          <w:rFonts w:ascii="Palatino Linotype" w:eastAsia="Palatino Linotype" w:hAnsi="Palatino Linotype" w:cs="Palatino Linotype"/>
          <w:b/>
          <w:color w:val="000000"/>
        </w:rPr>
        <w:t xml:space="preserve"> 00266</w:t>
      </w:r>
      <w:r w:rsidRPr="00BE5FBE">
        <w:rPr>
          <w:rFonts w:ascii="Palatino Linotype" w:eastAsia="Palatino Linotype" w:hAnsi="Palatino Linotype" w:cs="Palatino Linotype"/>
          <w:b/>
          <w:color w:val="000000"/>
        </w:rPr>
        <w:t>/</w:t>
      </w:r>
      <w:r w:rsidR="00132484" w:rsidRPr="00BE5FBE">
        <w:rPr>
          <w:rFonts w:ascii="Palatino Linotype" w:eastAsia="Palatino Linotype" w:hAnsi="Palatino Linotype" w:cs="Palatino Linotype"/>
          <w:b/>
          <w:color w:val="000000"/>
        </w:rPr>
        <w:t>DIFHUEHUET</w:t>
      </w:r>
      <w:r w:rsidRPr="00BE5FBE">
        <w:rPr>
          <w:rFonts w:ascii="Palatino Linotype" w:eastAsia="Palatino Linotype" w:hAnsi="Palatino Linotype" w:cs="Palatino Linotype"/>
          <w:b/>
          <w:color w:val="000000"/>
        </w:rPr>
        <w:t xml:space="preserve">/IP/2025; </w:t>
      </w:r>
      <w:r w:rsidR="00BE5FBE" w:rsidRPr="00BE5FBE">
        <w:rPr>
          <w:rFonts w:ascii="Palatino Linotype" w:eastAsia="Palatino Linotype" w:hAnsi="Palatino Linotype" w:cs="Palatino Linotype"/>
          <w:color w:val="000000"/>
        </w:rPr>
        <w:t>en la que</w:t>
      </w:r>
      <w:r w:rsidRPr="00BE5FBE">
        <w:rPr>
          <w:rFonts w:ascii="Palatino Linotype" w:eastAsia="Palatino Linotype" w:hAnsi="Palatino Linotype" w:cs="Palatino Linotype"/>
          <w:color w:val="000000"/>
        </w:rPr>
        <w:t xml:space="preserve"> se solicitó la siguiente información:</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37BEB" w:rsidRPr="00BE5FBE" w:rsidRDefault="000B245E">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w:t>
      </w:r>
      <w:r w:rsidR="00132484" w:rsidRPr="00BE5FBE">
        <w:rPr>
          <w:rFonts w:ascii="Palatino Linotype" w:eastAsia="Palatino Linotype" w:hAnsi="Palatino Linotype" w:cs="Palatino Linotype"/>
          <w:i/>
          <w:color w:val="000000"/>
        </w:rPr>
        <w:t>SOLICITO LOS RECIBOS DE NOMINA, ASI COMO EL ACTA DEL COMITÉ DE TRANSPARENCIA EN LA CUAL SE APRUEBA LA CORRECTA VERSION PUBLICA, PARA EL TESTADO DE LA INFORMACION DE CARÁCTER CONFIDENCIA, DEL TERCER TRIMESTRE DE 2025 DE LAS SIGUIENTES PERSONAS: . DIRECTORA GENERAL . COORDINADORA DE LA UIPPE . COORDINADORA DE LA UNIDAD DE TRANSPARENCIA . TESORERO . JEFA DE RECURSOS HUMANOS. ESTO CON EL FIN DE TRANSPARENTAR EL SUELDO QUE DEVENGAN DICHOS SERVIDORES PUBLICOS.” (</w:t>
      </w:r>
      <w:r w:rsidRPr="00BE5FBE">
        <w:rPr>
          <w:rFonts w:ascii="Palatino Linotype" w:eastAsia="Palatino Linotype" w:hAnsi="Palatino Linotype" w:cs="Palatino Linotype"/>
          <w:i/>
          <w:color w:val="000000"/>
        </w:rPr>
        <w:t>Sic)</w:t>
      </w:r>
    </w:p>
    <w:p w:rsidR="00337BEB" w:rsidRPr="00BE5FBE" w:rsidRDefault="00337BEB">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337BEB" w:rsidRPr="00BE5FBE" w:rsidRDefault="000B245E" w:rsidP="00BE5FBE">
      <w:pPr>
        <w:numPr>
          <w:ilvl w:val="0"/>
          <w:numId w:val="12"/>
        </w:numPr>
        <w:pBdr>
          <w:top w:val="nil"/>
          <w:left w:val="nil"/>
          <w:bottom w:val="nil"/>
          <w:right w:val="nil"/>
          <w:between w:val="nil"/>
        </w:pBdr>
        <w:ind w:left="0" w:right="34" w:firstLine="0"/>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 xml:space="preserve">Se eligió como modalidad de entrega de la información: A través del </w:t>
      </w:r>
      <w:r w:rsidRPr="00BE5FBE">
        <w:rPr>
          <w:rFonts w:ascii="Palatino Linotype" w:eastAsia="Palatino Linotype" w:hAnsi="Palatino Linotype" w:cs="Palatino Linotype"/>
          <w:b/>
          <w:color w:val="000000"/>
        </w:rPr>
        <w:t>SAIMEX.</w:t>
      </w:r>
    </w:p>
    <w:p w:rsidR="00132484" w:rsidRDefault="00132484" w:rsidP="00132484">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BE5FBE" w:rsidRPr="00BE5FBE" w:rsidRDefault="00BE5FBE" w:rsidP="00132484">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tabs>
          <w:tab w:val="left" w:pos="0"/>
        </w:tabs>
        <w:spacing w:line="360" w:lineRule="auto"/>
        <w:ind w:right="51"/>
        <w:jc w:val="both"/>
        <w:rPr>
          <w:color w:val="000000"/>
        </w:rPr>
      </w:pPr>
      <w:r w:rsidRPr="00BE5FBE">
        <w:rPr>
          <w:rFonts w:ascii="Palatino Linotype" w:eastAsia="Palatino Linotype" w:hAnsi="Palatino Linotype" w:cs="Palatino Linotype"/>
          <w:color w:val="000000"/>
        </w:rPr>
        <w:t xml:space="preserve">El </w:t>
      </w:r>
      <w:r w:rsidR="00132484" w:rsidRPr="00BE5FBE">
        <w:rPr>
          <w:rFonts w:ascii="Palatino Linotype" w:eastAsia="Palatino Linotype" w:hAnsi="Palatino Linotype" w:cs="Palatino Linotype"/>
          <w:b/>
          <w:color w:val="000000"/>
        </w:rPr>
        <w:t xml:space="preserve">diecisiete de diciembre </w:t>
      </w:r>
      <w:r w:rsidRPr="00BE5FBE">
        <w:rPr>
          <w:rFonts w:ascii="Palatino Linotype" w:eastAsia="Palatino Linotype" w:hAnsi="Palatino Linotype" w:cs="Palatino Linotype"/>
          <w:b/>
          <w:color w:val="000000"/>
        </w:rPr>
        <w:t>de dos mil veinticinco</w:t>
      </w:r>
      <w:r w:rsidRPr="00BE5FBE">
        <w:rPr>
          <w:rFonts w:ascii="Palatino Linotype" w:eastAsia="Palatino Linotype" w:hAnsi="Palatino Linotype" w:cs="Palatino Linotype"/>
          <w:color w:val="000000"/>
        </w:rPr>
        <w:t xml:space="preserv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w:t>
      </w:r>
      <w:r w:rsidRPr="00BE5FBE">
        <w:rPr>
          <w:rFonts w:ascii="Palatino Linotype" w:eastAsia="Palatino Linotype" w:hAnsi="Palatino Linotype" w:cs="Palatino Linotype"/>
        </w:rPr>
        <w:t xml:space="preserve">dio respuesta a la solicitud de información </w:t>
      </w:r>
      <w:r w:rsidRPr="00BE5FBE">
        <w:rPr>
          <w:rFonts w:ascii="Palatino Linotype" w:eastAsia="Palatino Linotype" w:hAnsi="Palatino Linotype" w:cs="Palatino Linotype"/>
          <w:color w:val="000000"/>
        </w:rPr>
        <w:t>en el tenor siguiente:</w:t>
      </w:r>
    </w:p>
    <w:p w:rsidR="00337BEB" w:rsidRPr="00BE5FBE" w:rsidRDefault="00337BEB">
      <w:pPr>
        <w:tabs>
          <w:tab w:val="left" w:pos="284"/>
        </w:tabs>
        <w:ind w:left="284" w:right="425"/>
        <w:jc w:val="both"/>
        <w:rPr>
          <w:rFonts w:ascii="Palatino Linotype" w:eastAsia="Palatino Linotype" w:hAnsi="Palatino Linotype" w:cs="Palatino Linotype"/>
          <w:i/>
          <w:color w:val="000000"/>
        </w:rPr>
      </w:pPr>
    </w:p>
    <w:tbl>
      <w:tblPr>
        <w:tblStyle w:val="a4"/>
        <w:tblW w:w="10500" w:type="dxa"/>
        <w:jc w:val="center"/>
        <w:tblInd w:w="0" w:type="dxa"/>
        <w:tblLayout w:type="fixed"/>
        <w:tblLook w:val="0400" w:firstRow="0" w:lastRow="0" w:firstColumn="0" w:lastColumn="0" w:noHBand="0" w:noVBand="1"/>
      </w:tblPr>
      <w:tblGrid>
        <w:gridCol w:w="10500"/>
      </w:tblGrid>
      <w:tr w:rsidR="00337BEB" w:rsidRPr="00BE5FBE">
        <w:trPr>
          <w:trHeight w:val="739"/>
          <w:jc w:val="center"/>
        </w:trPr>
        <w:tc>
          <w:tcPr>
            <w:tcW w:w="10500" w:type="dxa"/>
            <w:vAlign w:val="center"/>
          </w:tcPr>
          <w:p w:rsidR="00337BEB" w:rsidRPr="00BE5FBE" w:rsidRDefault="000B245E" w:rsidP="00132484">
            <w:pPr>
              <w:ind w:left="1418" w:right="156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w:t>
            </w:r>
            <w:r w:rsidR="00132484" w:rsidRPr="00BE5FBE">
              <w:rPr>
                <w:rFonts w:ascii="Palatino Linotype" w:eastAsia="Palatino Linotype" w:hAnsi="Palatino Linotype" w:cs="Palatino Linotype"/>
                <w:i/>
                <w:color w:val="000000"/>
              </w:rPr>
              <w:t>ADJUNTO REMITO RESPUESTA ENTREGADA POR EL AREA CORRSPONDIENTE A LA INFORMACION SOLICITDA</w:t>
            </w:r>
            <w:r w:rsidRPr="00BE5FBE">
              <w:rPr>
                <w:rFonts w:ascii="Palatino Linotype" w:eastAsia="Palatino Linotype" w:hAnsi="Palatino Linotype" w:cs="Palatino Linotype"/>
                <w:i/>
                <w:color w:val="000000"/>
              </w:rPr>
              <w:t>”.(sic)</w:t>
            </w:r>
          </w:p>
          <w:p w:rsidR="00337BEB" w:rsidRPr="00BE5FBE" w:rsidRDefault="00337BEB">
            <w:pPr>
              <w:ind w:left="1418" w:right="1569"/>
              <w:jc w:val="both"/>
            </w:pPr>
          </w:p>
        </w:tc>
      </w:tr>
    </w:tbl>
    <w:p w:rsidR="000B245E" w:rsidRPr="00BE5FBE" w:rsidRDefault="000B245E" w:rsidP="000B245E">
      <w:pPr>
        <w:pBdr>
          <w:top w:val="nil"/>
          <w:left w:val="nil"/>
          <w:bottom w:val="nil"/>
          <w:right w:val="nil"/>
          <w:between w:val="nil"/>
        </w:pBdr>
        <w:tabs>
          <w:tab w:val="left" w:pos="0"/>
        </w:tabs>
        <w:spacing w:line="360" w:lineRule="auto"/>
        <w:ind w:left="720" w:right="709"/>
        <w:jc w:val="both"/>
        <w:rPr>
          <w:color w:val="000000"/>
        </w:rPr>
      </w:pPr>
    </w:p>
    <w:p w:rsidR="000B245E" w:rsidRPr="00BE5FBE" w:rsidRDefault="00132484" w:rsidP="00BE5FBE">
      <w:p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Se adjuntó</w:t>
      </w:r>
      <w:r w:rsidR="000B245E" w:rsidRPr="00BE5FBE">
        <w:rPr>
          <w:rFonts w:ascii="Palatino Linotype" w:eastAsia="Palatino Linotype" w:hAnsi="Palatino Linotype" w:cs="Palatino Linotype"/>
          <w:color w:val="000000"/>
        </w:rPr>
        <w:t xml:space="preserve"> </w:t>
      </w:r>
      <w:r w:rsidRPr="00BE5FBE">
        <w:rPr>
          <w:rFonts w:ascii="Palatino Linotype" w:eastAsia="Palatino Linotype" w:hAnsi="Palatino Linotype" w:cs="Palatino Linotype"/>
          <w:color w:val="000000"/>
        </w:rPr>
        <w:t>el siguiente archivo</w:t>
      </w:r>
      <w:r w:rsidR="000B245E" w:rsidRPr="00BE5FBE">
        <w:rPr>
          <w:rFonts w:ascii="Palatino Linotype" w:eastAsia="Palatino Linotype" w:hAnsi="Palatino Linotype" w:cs="Palatino Linotype"/>
          <w:color w:val="000000"/>
        </w:rPr>
        <w:t xml:space="preserve"> electrónico:</w:t>
      </w:r>
    </w:p>
    <w:p w:rsidR="00132484" w:rsidRDefault="00132484">
      <w:pPr>
        <w:numPr>
          <w:ilvl w:val="0"/>
          <w:numId w:val="8"/>
        </w:numPr>
        <w:pBdr>
          <w:top w:val="nil"/>
          <w:left w:val="nil"/>
          <w:bottom w:val="nil"/>
          <w:right w:val="nil"/>
          <w:between w:val="nil"/>
        </w:pBdr>
        <w:tabs>
          <w:tab w:val="left" w:pos="0"/>
        </w:tabs>
        <w:spacing w:line="360" w:lineRule="auto"/>
        <w:ind w:right="709"/>
        <w:jc w:val="both"/>
        <w:rPr>
          <w:b/>
          <w:color w:val="000000"/>
        </w:rPr>
      </w:pPr>
      <w:r w:rsidRPr="00BE5FBE">
        <w:rPr>
          <w:rFonts w:ascii="Palatino Linotype" w:eastAsia="Palatino Linotype" w:hAnsi="Palatino Linotype" w:cs="Palatino Linotype"/>
          <w:b/>
          <w:color w:val="000000"/>
        </w:rPr>
        <w:t xml:space="preserve">Cam Scanner 17-12-2025 08.26.pdf: </w:t>
      </w:r>
      <w:r w:rsidR="000B245E" w:rsidRPr="00BE5FBE">
        <w:rPr>
          <w:rFonts w:ascii="Palatino Linotype" w:eastAsia="Palatino Linotype" w:hAnsi="Palatino Linotype" w:cs="Palatino Linotype"/>
          <w:color w:val="000000"/>
        </w:rPr>
        <w:t xml:space="preserve">Oficio </w:t>
      </w:r>
      <w:r w:rsidRPr="00BE5FBE">
        <w:rPr>
          <w:rFonts w:ascii="Palatino Linotype" w:eastAsia="Palatino Linotype" w:hAnsi="Palatino Linotype" w:cs="Palatino Linotype"/>
          <w:color w:val="000000"/>
        </w:rPr>
        <w:t>DIF/TES/0167/2025</w:t>
      </w:r>
      <w:r w:rsidR="000B245E" w:rsidRPr="00BE5FBE">
        <w:rPr>
          <w:rFonts w:ascii="Palatino Linotype" w:eastAsia="Palatino Linotype" w:hAnsi="Palatino Linotype" w:cs="Palatino Linotype"/>
          <w:color w:val="000000"/>
        </w:rPr>
        <w:t xml:space="preserve">, de fecha </w:t>
      </w:r>
      <w:r w:rsidRPr="00BE5FBE">
        <w:rPr>
          <w:rFonts w:ascii="Palatino Linotype" w:eastAsia="Palatino Linotype" w:hAnsi="Palatino Linotype" w:cs="Palatino Linotype"/>
          <w:color w:val="000000"/>
        </w:rPr>
        <w:t xml:space="preserve">cuatro de diciembre </w:t>
      </w:r>
      <w:r w:rsidR="000B245E" w:rsidRPr="00BE5FBE">
        <w:rPr>
          <w:rFonts w:ascii="Palatino Linotype" w:eastAsia="Palatino Linotype" w:hAnsi="Palatino Linotype" w:cs="Palatino Linotype"/>
          <w:color w:val="000000"/>
        </w:rPr>
        <w:t xml:space="preserve">de dos mil veinticinco, suscrito por el </w:t>
      </w:r>
      <w:r w:rsidRPr="00BE5FBE">
        <w:rPr>
          <w:rFonts w:ascii="Palatino Linotype" w:eastAsia="Palatino Linotype" w:hAnsi="Palatino Linotype" w:cs="Palatino Linotype"/>
          <w:color w:val="000000"/>
        </w:rPr>
        <w:t>Encargado de Despacho de la Tesorería Municipal DIF Huehuetoca</w:t>
      </w:r>
      <w:r w:rsidR="000B245E" w:rsidRPr="00BE5FBE">
        <w:rPr>
          <w:rFonts w:ascii="Palatino Linotype" w:eastAsia="Palatino Linotype" w:hAnsi="Palatino Linotype" w:cs="Palatino Linotype"/>
          <w:color w:val="000000"/>
        </w:rPr>
        <w:t xml:space="preserve">, mediante el cual </w:t>
      </w:r>
      <w:r w:rsidRPr="00BE5FBE">
        <w:rPr>
          <w:rFonts w:ascii="Palatino Linotype" w:eastAsia="Palatino Linotype" w:hAnsi="Palatino Linotype" w:cs="Palatino Linotype"/>
          <w:color w:val="000000"/>
        </w:rPr>
        <w:t>pone a disposición del solicitante la información correspondiente a la Tesorería para consulta directa o en su defecto si requiere reproducción de la misma, deberá acudir a las oficinas centrales que ocupa el Sistema Municipal DIF, ubicado en Av. Juárez S/N Col Centro Huehuetoca Estado de México en un horario de 9 a 17 horas de lunes a viernes</w:t>
      </w:r>
      <w:r w:rsidRPr="00BE5FBE">
        <w:rPr>
          <w:b/>
          <w:color w:val="000000"/>
        </w:rPr>
        <w:t xml:space="preserve"> </w:t>
      </w:r>
    </w:p>
    <w:p w:rsidR="00BE5FBE" w:rsidRPr="00BE5FBE" w:rsidRDefault="00BE5FBE" w:rsidP="00BE5FBE">
      <w:pPr>
        <w:pBdr>
          <w:top w:val="nil"/>
          <w:left w:val="nil"/>
          <w:bottom w:val="nil"/>
          <w:right w:val="nil"/>
          <w:between w:val="nil"/>
        </w:pBdr>
        <w:tabs>
          <w:tab w:val="left" w:pos="0"/>
        </w:tabs>
        <w:spacing w:line="360" w:lineRule="auto"/>
        <w:ind w:left="720" w:right="709"/>
        <w:jc w:val="both"/>
        <w:rPr>
          <w:b/>
          <w:color w:val="000000"/>
        </w:rPr>
      </w:pPr>
    </w:p>
    <w:p w:rsidR="00337BEB" w:rsidRPr="00BE5FBE" w:rsidRDefault="000B245E">
      <w:pPr>
        <w:numPr>
          <w:ilvl w:val="0"/>
          <w:numId w:val="11"/>
        </w:numPr>
        <w:pBdr>
          <w:top w:val="nil"/>
          <w:left w:val="nil"/>
          <w:bottom w:val="nil"/>
          <w:right w:val="nil"/>
          <w:between w:val="nil"/>
        </w:pBdr>
        <w:tabs>
          <w:tab w:val="left" w:pos="0"/>
        </w:tabs>
        <w:spacing w:line="360" w:lineRule="auto"/>
        <w:ind w:right="49"/>
        <w:jc w:val="both"/>
        <w:rPr>
          <w:color w:val="000000"/>
        </w:rPr>
      </w:pPr>
      <w:r w:rsidRPr="00BE5FBE">
        <w:rPr>
          <w:rFonts w:ascii="Palatino Linotype" w:eastAsia="Palatino Linotype" w:hAnsi="Palatino Linotype" w:cs="Palatino Linotype"/>
          <w:color w:val="000000"/>
        </w:rPr>
        <w:t xml:space="preserve">Inconforme con lo anterior, el </w:t>
      </w:r>
      <w:r w:rsidRPr="00BE5FBE">
        <w:rPr>
          <w:rFonts w:ascii="Palatino Linotype" w:eastAsia="Palatino Linotype" w:hAnsi="Palatino Linotype" w:cs="Palatino Linotype"/>
          <w:b/>
          <w:color w:val="000000"/>
        </w:rPr>
        <w:t>PARTICULAR</w:t>
      </w:r>
      <w:r w:rsidRPr="00BE5FBE">
        <w:rPr>
          <w:rFonts w:ascii="Palatino Linotype" w:eastAsia="Palatino Linotype" w:hAnsi="Palatino Linotype" w:cs="Palatino Linotype"/>
          <w:color w:val="000000"/>
        </w:rPr>
        <w:t xml:space="preserve"> en fecha</w:t>
      </w:r>
      <w:r w:rsidR="00132484" w:rsidRPr="00BE5FBE">
        <w:rPr>
          <w:rFonts w:ascii="Palatino Linotype" w:eastAsia="Palatino Linotype" w:hAnsi="Palatino Linotype" w:cs="Palatino Linotype"/>
          <w:b/>
          <w:color w:val="000000"/>
        </w:rPr>
        <w:t xml:space="preserve"> diecinueve de diciembre </w:t>
      </w:r>
      <w:r w:rsidRPr="00BE5FBE">
        <w:rPr>
          <w:rFonts w:ascii="Palatino Linotype" w:eastAsia="Palatino Linotype" w:hAnsi="Palatino Linotype" w:cs="Palatino Linotype"/>
          <w:b/>
          <w:color w:val="000000"/>
        </w:rPr>
        <w:t xml:space="preserve">de dos mil veinticinco, </w:t>
      </w:r>
      <w:r w:rsidRPr="00BE5FBE">
        <w:rPr>
          <w:rFonts w:ascii="Palatino Linotype" w:eastAsia="Palatino Linotype" w:hAnsi="Palatino Linotype" w:cs="Palatino Linotype"/>
          <w:color w:val="000000"/>
        </w:rPr>
        <w:t>interpuso el recurso de revisión en contra de la respuesta, manifestando las siguientes razones o motivos de inconformidad:</w:t>
      </w:r>
    </w:p>
    <w:p w:rsidR="00132484" w:rsidRPr="00BE5FBE" w:rsidRDefault="00132484" w:rsidP="00132484">
      <w:pPr>
        <w:pBdr>
          <w:top w:val="nil"/>
          <w:left w:val="nil"/>
          <w:bottom w:val="nil"/>
          <w:right w:val="nil"/>
          <w:between w:val="nil"/>
        </w:pBdr>
        <w:ind w:left="567"/>
        <w:jc w:val="both"/>
        <w:rPr>
          <w:rFonts w:ascii="Palatino Linotype" w:eastAsia="Palatino Linotype" w:hAnsi="Palatino Linotype" w:cs="Palatino Linotype"/>
          <w:b/>
          <w:i/>
          <w:color w:val="000000"/>
        </w:rPr>
      </w:pPr>
      <w:bookmarkStart w:id="4" w:name="_heading=h.1fob9te" w:colFirst="0" w:colLast="0"/>
      <w:bookmarkEnd w:id="4"/>
    </w:p>
    <w:p w:rsidR="00337BEB" w:rsidRPr="00BE5FBE" w:rsidRDefault="00BE5FBE">
      <w:pPr>
        <w:numPr>
          <w:ilvl w:val="0"/>
          <w:numId w:val="12"/>
        </w:numPr>
        <w:pBdr>
          <w:top w:val="nil"/>
          <w:left w:val="nil"/>
          <w:bottom w:val="nil"/>
          <w:right w:val="nil"/>
          <w:between w:val="nil"/>
        </w:pBdr>
        <w:ind w:left="567"/>
        <w:jc w:val="both"/>
        <w:rPr>
          <w:rFonts w:ascii="Palatino Linotype" w:eastAsia="Palatino Linotype" w:hAnsi="Palatino Linotype" w:cs="Palatino Linotype"/>
          <w:b/>
          <w:i/>
          <w:color w:val="000000"/>
        </w:rPr>
      </w:pPr>
      <w:r w:rsidRPr="00BE5FBE">
        <w:rPr>
          <w:rFonts w:ascii="Palatino Linotype" w:eastAsia="Palatino Linotype" w:hAnsi="Palatino Linotype" w:cs="Palatino Linotype"/>
          <w:b/>
          <w:color w:val="000000"/>
        </w:rPr>
        <w:t>ACTO IMPUGNADO</w:t>
      </w:r>
      <w:r w:rsidRPr="00BE5FBE">
        <w:rPr>
          <w:rFonts w:ascii="Palatino Linotype" w:eastAsia="Palatino Linotype" w:hAnsi="Palatino Linotype" w:cs="Palatino Linotype"/>
          <w:color w:val="000000"/>
        </w:rPr>
        <w:t xml:space="preserve">: </w:t>
      </w:r>
      <w:r w:rsidR="000B245E" w:rsidRPr="00BE5FBE">
        <w:rPr>
          <w:rFonts w:ascii="Palatino Linotype" w:eastAsia="Palatino Linotype" w:hAnsi="Palatino Linotype" w:cs="Palatino Linotype"/>
          <w:i/>
          <w:color w:val="000000"/>
        </w:rPr>
        <w:t>“</w:t>
      </w:r>
      <w:r w:rsidR="00132484" w:rsidRPr="00BE5FBE">
        <w:rPr>
          <w:rFonts w:ascii="Palatino Linotype" w:eastAsia="Palatino Linotype" w:hAnsi="Palatino Linotype" w:cs="Palatino Linotype"/>
          <w:i/>
          <w:color w:val="000000"/>
        </w:rPr>
        <w:t>Pretenden dar la información requerida en otro formato de entrega distinto al solicitado</w:t>
      </w:r>
      <w:r w:rsidR="000B245E" w:rsidRPr="00BE5FBE">
        <w:rPr>
          <w:rFonts w:ascii="Palatino Linotype" w:eastAsia="Palatino Linotype" w:hAnsi="Palatino Linotype" w:cs="Palatino Linotype"/>
          <w:i/>
          <w:color w:val="000000"/>
        </w:rPr>
        <w:t>” (Sic.)</w:t>
      </w:r>
    </w:p>
    <w:p w:rsidR="00337BEB" w:rsidRPr="00BE5FBE" w:rsidRDefault="00BE5FBE">
      <w:pPr>
        <w:numPr>
          <w:ilvl w:val="0"/>
          <w:numId w:val="12"/>
        </w:numPr>
        <w:pBdr>
          <w:top w:val="nil"/>
          <w:left w:val="nil"/>
          <w:bottom w:val="nil"/>
          <w:right w:val="nil"/>
          <w:between w:val="nil"/>
        </w:pBdr>
        <w:ind w:left="567"/>
        <w:jc w:val="both"/>
        <w:rPr>
          <w:rFonts w:ascii="Palatino Linotype" w:eastAsia="Palatino Linotype" w:hAnsi="Palatino Linotype" w:cs="Palatino Linotype"/>
          <w:i/>
          <w:color w:val="000000"/>
        </w:rPr>
      </w:pPr>
      <w:bookmarkStart w:id="5" w:name="_heading=h.3znysh7" w:colFirst="0" w:colLast="0"/>
      <w:bookmarkEnd w:id="5"/>
      <w:r w:rsidRPr="00BE5FBE">
        <w:rPr>
          <w:rFonts w:ascii="Palatino Linotype" w:eastAsia="Palatino Linotype" w:hAnsi="Palatino Linotype" w:cs="Palatino Linotype"/>
          <w:b/>
          <w:color w:val="000000"/>
        </w:rPr>
        <w:t>RAZONES O MOTIVOS DE INCONFORMIDAD</w:t>
      </w:r>
      <w:r w:rsidR="000B245E" w:rsidRPr="00BE5FBE">
        <w:rPr>
          <w:rFonts w:ascii="Palatino Linotype" w:eastAsia="Palatino Linotype" w:hAnsi="Palatino Linotype" w:cs="Palatino Linotype"/>
          <w:b/>
          <w:color w:val="000000"/>
        </w:rPr>
        <w:t xml:space="preserve">: </w:t>
      </w:r>
      <w:r w:rsidR="000B245E" w:rsidRPr="00BE5FBE">
        <w:rPr>
          <w:rFonts w:ascii="Palatino Linotype" w:eastAsia="Palatino Linotype" w:hAnsi="Palatino Linotype" w:cs="Palatino Linotype"/>
          <w:i/>
          <w:color w:val="000000"/>
        </w:rPr>
        <w:t>“</w:t>
      </w:r>
      <w:r w:rsidR="00132484" w:rsidRPr="00BE5FBE">
        <w:rPr>
          <w:rFonts w:ascii="Palatino Linotype" w:eastAsia="Palatino Linotype" w:hAnsi="Palatino Linotype" w:cs="Palatino Linotype"/>
          <w:i/>
          <w:color w:val="000000"/>
        </w:rPr>
        <w:t>Pretenden dar la información requerida en otro formato de entrega distinto al solicitado</w:t>
      </w:r>
      <w:r w:rsidR="000B245E" w:rsidRPr="00BE5FBE">
        <w:rPr>
          <w:rFonts w:ascii="Palatino Linotype" w:eastAsia="Palatino Linotype" w:hAnsi="Palatino Linotype" w:cs="Palatino Linotype"/>
          <w:i/>
          <w:color w:val="000000"/>
        </w:rPr>
        <w:t>.” (Sic.)</w:t>
      </w:r>
    </w:p>
    <w:p w:rsidR="005E54B6" w:rsidRPr="00BE5FBE" w:rsidRDefault="00BE5FBE" w:rsidP="005E54B6">
      <w:pPr>
        <w:numPr>
          <w:ilvl w:val="0"/>
          <w:numId w:val="11"/>
        </w:numPr>
        <w:pBdr>
          <w:top w:val="nil"/>
          <w:left w:val="nil"/>
          <w:bottom w:val="nil"/>
          <w:right w:val="nil"/>
          <w:between w:val="nil"/>
        </w:pBdr>
        <w:spacing w:line="360" w:lineRule="auto"/>
        <w:jc w:val="both"/>
        <w:rPr>
          <w:color w:val="000000"/>
        </w:rPr>
      </w:pPr>
      <w:r>
        <w:rPr>
          <w:rFonts w:ascii="Palatino Linotype" w:eastAsia="Palatino Linotype" w:hAnsi="Palatino Linotype" w:cs="Palatino Linotype"/>
          <w:color w:val="000000"/>
        </w:rPr>
        <w:lastRenderedPageBreak/>
        <w:t>La Comisionada p</w:t>
      </w:r>
      <w:r w:rsidR="000B245E" w:rsidRPr="00BE5FBE">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0B245E" w:rsidRPr="00BE5FBE">
        <w:rPr>
          <w:rFonts w:ascii="Palatino Linotype" w:eastAsia="Palatino Linotype" w:hAnsi="Palatino Linotype" w:cs="Palatino Linotype"/>
        </w:rPr>
        <w:t>notificado</w:t>
      </w:r>
      <w:r w:rsidR="000B245E" w:rsidRPr="00BE5FBE">
        <w:rPr>
          <w:rFonts w:ascii="Palatino Linotype" w:eastAsia="Palatino Linotype" w:hAnsi="Palatino Linotype" w:cs="Palatino Linotype"/>
          <w:color w:val="000000"/>
        </w:rPr>
        <w:t xml:space="preserve"> en fecha </w:t>
      </w:r>
      <w:r w:rsidR="005E54B6" w:rsidRPr="00BE5FBE">
        <w:rPr>
          <w:rFonts w:ascii="Palatino Linotype" w:eastAsia="Palatino Linotype" w:hAnsi="Palatino Linotype" w:cs="Palatino Linotype"/>
          <w:b/>
          <w:color w:val="000000"/>
        </w:rPr>
        <w:t xml:space="preserve">trece </w:t>
      </w:r>
      <w:r w:rsidR="007A2CA1" w:rsidRPr="00BE5FBE">
        <w:rPr>
          <w:rFonts w:ascii="Palatino Linotype" w:eastAsia="Palatino Linotype" w:hAnsi="Palatino Linotype" w:cs="Palatino Linotype"/>
          <w:b/>
          <w:color w:val="000000"/>
        </w:rPr>
        <w:t xml:space="preserve">de </w:t>
      </w:r>
      <w:r w:rsidR="005E54B6" w:rsidRPr="00BE5FBE">
        <w:rPr>
          <w:rFonts w:ascii="Palatino Linotype" w:eastAsia="Palatino Linotype" w:hAnsi="Palatino Linotype" w:cs="Palatino Linotype"/>
          <w:b/>
          <w:color w:val="000000"/>
        </w:rPr>
        <w:t xml:space="preserve">enero </w:t>
      </w:r>
      <w:r w:rsidR="000B245E" w:rsidRPr="00BE5FBE">
        <w:rPr>
          <w:rFonts w:ascii="Palatino Linotype" w:eastAsia="Palatino Linotype" w:hAnsi="Palatino Linotype" w:cs="Palatino Linotype"/>
          <w:b/>
          <w:color w:val="000000"/>
        </w:rPr>
        <w:t>de dos mil veinticinco</w:t>
      </w:r>
      <w:r w:rsidR="000B245E" w:rsidRPr="00BE5FBE">
        <w:rPr>
          <w:rFonts w:ascii="Palatino Linotype" w:eastAsia="Palatino Linotype" w:hAnsi="Palatino Linotype" w:cs="Palatino Linotype"/>
          <w:color w:val="000000"/>
        </w:rPr>
        <w:t xml:space="preserve">, puso a disposición de las partes el expediente electrónico vía </w:t>
      </w:r>
      <w:r w:rsidR="000B245E" w:rsidRPr="00BE5FBE">
        <w:rPr>
          <w:rFonts w:ascii="Palatino Linotype" w:eastAsia="Palatino Linotype" w:hAnsi="Palatino Linotype" w:cs="Palatino Linotype"/>
          <w:b/>
          <w:color w:val="000000"/>
        </w:rPr>
        <w:t xml:space="preserve">SAIMEX </w:t>
      </w:r>
      <w:r w:rsidR="000B245E" w:rsidRPr="00BE5FBE">
        <w:rPr>
          <w:rFonts w:ascii="Palatino Linotype" w:eastAsia="Palatino Linotype" w:hAnsi="Palatino Linotype" w:cs="Palatino Linotype"/>
          <w:color w:val="000000"/>
        </w:rPr>
        <w:t xml:space="preserve">a efecto de que en un plazo máximo de siete días </w:t>
      </w:r>
      <w:r w:rsidR="000B245E" w:rsidRPr="00BE5FBE">
        <w:rPr>
          <w:rFonts w:ascii="Palatino Linotype" w:eastAsia="Palatino Linotype" w:hAnsi="Palatino Linotype" w:cs="Palatino Linotype"/>
        </w:rPr>
        <w:t>manifestara</w:t>
      </w:r>
      <w:r w:rsidR="000B245E" w:rsidRPr="00BE5FBE">
        <w:rPr>
          <w:rFonts w:ascii="Palatino Linotype" w:eastAsia="Palatino Linotype" w:hAnsi="Palatino Linotype" w:cs="Palatino Linotype"/>
          <w:color w:val="000000"/>
        </w:rPr>
        <w:t xml:space="preserve"> lo que a su derecho conviniera, </w:t>
      </w:r>
      <w:r w:rsidR="000B245E" w:rsidRPr="00BE5FBE">
        <w:rPr>
          <w:rFonts w:ascii="Palatino Linotype" w:eastAsia="Palatino Linotype" w:hAnsi="Palatino Linotype" w:cs="Palatino Linotype"/>
        </w:rPr>
        <w:t>ofreciera</w:t>
      </w:r>
      <w:r w:rsidR="000B245E" w:rsidRPr="00BE5FBE">
        <w:rPr>
          <w:rFonts w:ascii="Palatino Linotype" w:eastAsia="Palatino Linotype" w:hAnsi="Palatino Linotype" w:cs="Palatino Linotype"/>
          <w:color w:val="000000"/>
        </w:rPr>
        <w:t xml:space="preserve"> pruebas y alegatos según corresponda a los casos concretos, y el </w:t>
      </w:r>
      <w:r w:rsidR="000B245E" w:rsidRPr="00BE5FBE">
        <w:rPr>
          <w:rFonts w:ascii="Palatino Linotype" w:eastAsia="Palatino Linotype" w:hAnsi="Palatino Linotype" w:cs="Palatino Linotype"/>
          <w:b/>
          <w:color w:val="000000"/>
        </w:rPr>
        <w:t>SUJETO OBLIGADO</w:t>
      </w:r>
      <w:r w:rsidR="000B245E" w:rsidRPr="00BE5FBE">
        <w:rPr>
          <w:rFonts w:ascii="Palatino Linotype" w:eastAsia="Palatino Linotype" w:hAnsi="Palatino Linotype" w:cs="Palatino Linotype"/>
          <w:color w:val="000000"/>
        </w:rPr>
        <w:t xml:space="preserve"> presentará el Informe Justificado procedente.</w:t>
      </w:r>
      <w:bookmarkStart w:id="6" w:name="_heading=h.2et92p0" w:colFirst="0" w:colLast="0"/>
      <w:bookmarkEnd w:id="6"/>
    </w:p>
    <w:p w:rsidR="005E54B6" w:rsidRPr="00BE5FBE" w:rsidRDefault="005E54B6" w:rsidP="005E54B6">
      <w:pPr>
        <w:pBdr>
          <w:top w:val="nil"/>
          <w:left w:val="nil"/>
          <w:bottom w:val="nil"/>
          <w:right w:val="nil"/>
          <w:between w:val="nil"/>
        </w:pBdr>
        <w:spacing w:line="360" w:lineRule="auto"/>
        <w:jc w:val="both"/>
        <w:rPr>
          <w:color w:val="000000"/>
        </w:rPr>
      </w:pPr>
    </w:p>
    <w:p w:rsidR="005E54B6" w:rsidRPr="00BE5FBE" w:rsidRDefault="005E54B6" w:rsidP="005E54B6">
      <w:pPr>
        <w:numPr>
          <w:ilvl w:val="0"/>
          <w:numId w:val="11"/>
        </w:numPr>
        <w:pBdr>
          <w:top w:val="nil"/>
          <w:left w:val="nil"/>
          <w:bottom w:val="nil"/>
          <w:right w:val="nil"/>
          <w:between w:val="nil"/>
        </w:pBdr>
        <w:spacing w:line="360" w:lineRule="auto"/>
        <w:jc w:val="both"/>
        <w:rPr>
          <w:color w:val="000000"/>
        </w:rPr>
      </w:pPr>
      <w:r w:rsidRPr="00BE5FBE">
        <w:rPr>
          <w:rFonts w:ascii="Palatino Linotype" w:hAnsi="Palatino Linotype"/>
        </w:rPr>
        <w:t xml:space="preserve">De lo anterior el </w:t>
      </w:r>
      <w:r w:rsidRPr="00BE5FBE">
        <w:rPr>
          <w:rFonts w:ascii="Palatino Linotype" w:hAnsi="Palatino Linotype"/>
          <w:b/>
        </w:rPr>
        <w:t xml:space="preserve">SUJETO OBLIGADO y el RECURRENTE </w:t>
      </w:r>
      <w:r w:rsidRPr="00BE5FBE">
        <w:rPr>
          <w:rFonts w:ascii="Palatino Linotype" w:hAnsi="Palatino Linotype"/>
        </w:rPr>
        <w:t xml:space="preserve">dejaron de realizar manifestaciones que a su derecho conviniera y asistiera, respectivamente en cada uno de los recursos de revisión. </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i/>
          <w:color w:val="000000"/>
        </w:rPr>
      </w:pPr>
    </w:p>
    <w:p w:rsidR="00337BEB" w:rsidRPr="00BE5FBE" w:rsidRDefault="000B245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color w:val="000000"/>
        </w:rPr>
        <w:t>Finalmente, mediante acuerdo de</w:t>
      </w:r>
      <w:r w:rsidR="005E54B6" w:rsidRPr="00BE5FBE">
        <w:rPr>
          <w:rFonts w:ascii="Palatino Linotype" w:eastAsia="Palatino Linotype" w:hAnsi="Palatino Linotype" w:cs="Palatino Linotype"/>
          <w:color w:val="000000"/>
        </w:rPr>
        <w:t>l</w:t>
      </w:r>
      <w:r w:rsidRPr="00BE5FBE">
        <w:rPr>
          <w:rFonts w:ascii="Palatino Linotype" w:eastAsia="Palatino Linotype" w:hAnsi="Palatino Linotype" w:cs="Palatino Linotype"/>
          <w:color w:val="000000"/>
        </w:rPr>
        <w:t xml:space="preserve"> </w:t>
      </w:r>
      <w:r w:rsidR="005E54B6" w:rsidRPr="00BE5FBE">
        <w:rPr>
          <w:rFonts w:ascii="Palatino Linotype" w:eastAsia="Palatino Linotype" w:hAnsi="Palatino Linotype" w:cs="Palatino Linotype"/>
          <w:b/>
          <w:color w:val="000000"/>
        </w:rPr>
        <w:t>doce de febrero de dos mil veintiséis</w:t>
      </w:r>
      <w:r w:rsidRPr="00BE5FBE">
        <w:rPr>
          <w:rFonts w:ascii="Palatino Linotype" w:eastAsia="Palatino Linotype" w:hAnsi="Palatino Linotype" w:cs="Palatino Linotype"/>
          <w:color w:val="000000"/>
        </w:rPr>
        <w:t>, se decretó el cierre de instrucción, por lo que no habiendo más que hacer constar, y</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b/>
          <w:color w:val="000000"/>
        </w:rPr>
      </w:pP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337BEB" w:rsidRPr="00BE5FBE" w:rsidRDefault="000B245E">
      <w:pPr>
        <w:pStyle w:val="Ttulo1"/>
        <w:tabs>
          <w:tab w:val="left" w:pos="567"/>
        </w:tabs>
        <w:spacing w:before="0" w:line="360" w:lineRule="auto"/>
        <w:jc w:val="center"/>
        <w:rPr>
          <w:szCs w:val="24"/>
        </w:rPr>
      </w:pPr>
      <w:bookmarkStart w:id="7" w:name="_heading=h.tyjcwt" w:colFirst="0" w:colLast="0"/>
      <w:bookmarkEnd w:id="7"/>
      <w:r w:rsidRPr="00BE5FBE">
        <w:rPr>
          <w:szCs w:val="24"/>
        </w:rPr>
        <w:t>C O N S I D E R A N D O</w:t>
      </w:r>
    </w:p>
    <w:p w:rsidR="00337BEB" w:rsidRPr="00BE5FBE" w:rsidRDefault="00337BEB">
      <w:pPr>
        <w:spacing w:line="360" w:lineRule="auto"/>
        <w:rPr>
          <w:rFonts w:ascii="Palatino Linotype" w:eastAsia="Palatino Linotype" w:hAnsi="Palatino Linotype" w:cs="Palatino Linotype"/>
        </w:rPr>
      </w:pPr>
    </w:p>
    <w:p w:rsidR="00337BEB" w:rsidRPr="00BE5FBE" w:rsidRDefault="000B245E">
      <w:pPr>
        <w:pStyle w:val="Ttulo1"/>
        <w:tabs>
          <w:tab w:val="left" w:pos="567"/>
        </w:tabs>
        <w:spacing w:before="0" w:line="360" w:lineRule="auto"/>
        <w:rPr>
          <w:b w:val="0"/>
          <w:szCs w:val="24"/>
        </w:rPr>
      </w:pPr>
      <w:bookmarkStart w:id="8" w:name="_heading=h.3dy6vkm" w:colFirst="0" w:colLast="0"/>
      <w:bookmarkEnd w:id="8"/>
      <w:r w:rsidRPr="00BE5FBE">
        <w:rPr>
          <w:szCs w:val="24"/>
        </w:rPr>
        <w:t>PRIMERO. De la competencia</w:t>
      </w:r>
    </w:p>
    <w:p w:rsidR="00337BEB" w:rsidRPr="00BE5FBE" w:rsidRDefault="000B245E">
      <w:pPr>
        <w:numPr>
          <w:ilvl w:val="0"/>
          <w:numId w:val="1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 </w:t>
      </w:r>
      <w:r w:rsidR="00EB1F8F" w:rsidRPr="00BE5FBE">
        <w:rPr>
          <w:rFonts w:ascii="Palatino Linotype" w:hAnsi="Palatino Linotype"/>
          <w:color w:val="000000"/>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00EB1F8F" w:rsidRPr="00BE5FBE">
        <w:rPr>
          <w:rFonts w:ascii="Palatino Linotype" w:hAnsi="Palatino Linotype"/>
          <w:b/>
          <w:bCs/>
          <w:color w:val="000000"/>
          <w:shd w:val="clear" w:color="auto" w:fill="FFFFFF"/>
        </w:rPr>
        <w:t>Constitución Política de los Estados Unidos Mexicanos</w:t>
      </w:r>
      <w:r w:rsidR="00EB1F8F" w:rsidRPr="00BE5FBE">
        <w:rPr>
          <w:rFonts w:ascii="Palatino Linotype" w:hAnsi="Palatino Linotype"/>
          <w:color w:val="000000"/>
          <w:shd w:val="clear" w:color="auto" w:fill="FFFFFF"/>
        </w:rPr>
        <w:t>; 5, párrafos trigésimo segundo, trigésimo tercero y trigésimo cuarto fracciones IV y V de la </w:t>
      </w:r>
      <w:r w:rsidR="00EB1F8F" w:rsidRPr="00BE5FBE">
        <w:rPr>
          <w:rFonts w:ascii="Palatino Linotype" w:hAnsi="Palatino Linotype"/>
          <w:b/>
          <w:bCs/>
          <w:color w:val="000000"/>
          <w:shd w:val="clear" w:color="auto" w:fill="FFFFFF"/>
        </w:rPr>
        <w:t>Constitución Política del Estado Libre y Soberano de México</w:t>
      </w:r>
      <w:r w:rsidR="00EB1F8F" w:rsidRPr="00BE5FBE">
        <w:rPr>
          <w:rFonts w:ascii="Palatino Linotype" w:hAnsi="Palatino Linotype"/>
          <w:color w:val="000000"/>
          <w:shd w:val="clear" w:color="auto" w:fill="FFFFFF"/>
        </w:rPr>
        <w:t xml:space="preserve">; artículos 1, 2 fracción II, 13, 29, 36 fracciones I y II, 176, 178, 179, 181 párrafo tercero </w:t>
      </w:r>
      <w:r w:rsidR="00EB1F8F" w:rsidRPr="00BE5FBE">
        <w:rPr>
          <w:rFonts w:ascii="Palatino Linotype" w:hAnsi="Palatino Linotype"/>
          <w:color w:val="000000"/>
          <w:shd w:val="clear" w:color="auto" w:fill="FFFFFF"/>
        </w:rPr>
        <w:lastRenderedPageBreak/>
        <w:t>y 185 de la </w:t>
      </w:r>
      <w:r w:rsidR="00EB1F8F" w:rsidRPr="00BE5FBE">
        <w:rPr>
          <w:rFonts w:ascii="Palatino Linotype" w:hAnsi="Palatino Linotype"/>
          <w:b/>
          <w:bCs/>
          <w:color w:val="000000"/>
          <w:shd w:val="clear" w:color="auto" w:fill="FFFFFF"/>
        </w:rPr>
        <w:t>Ley de Transparencia y Acceso a la Información Pública del Estado de México y Municipios</w:t>
      </w:r>
      <w:r w:rsidR="00EB1F8F" w:rsidRPr="00BE5FBE">
        <w:rPr>
          <w:rFonts w:ascii="Palatino Linotype" w:hAnsi="Palatino Linotype"/>
          <w:color w:val="000000"/>
          <w:shd w:val="clear" w:color="auto" w:fill="FFFFFF"/>
        </w:rPr>
        <w:t>; y 7, 9 fracciones I y XXIII, y 11 del </w:t>
      </w:r>
      <w:r w:rsidR="00EB1F8F" w:rsidRPr="00BE5FBE">
        <w:rPr>
          <w:rFonts w:ascii="Palatino Linotype" w:hAnsi="Palatino Linotype"/>
          <w:b/>
          <w:bCs/>
          <w:color w:val="000000"/>
          <w:shd w:val="clear" w:color="auto" w:fill="FFFFFF"/>
        </w:rPr>
        <w:t>Reglamento Interior del Instituto de Transparencia, Acceso a la Información Pública y Protección de Datos Personales del Estado de México y Municipios</w:t>
      </w:r>
      <w:r w:rsidR="00EB1F8F" w:rsidRPr="00BE5FBE">
        <w:rPr>
          <w:rFonts w:ascii="Palatino Linotype" w:hAnsi="Palatino Linotype"/>
          <w:color w:val="000000"/>
          <w:shd w:val="clear" w:color="auto" w:fill="FFFFFF"/>
        </w:rPr>
        <w:t>.</w:t>
      </w:r>
    </w:p>
    <w:p w:rsidR="00337BEB" w:rsidRPr="00BE5FBE" w:rsidRDefault="00337BE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337BEB" w:rsidRPr="00BE5FBE" w:rsidRDefault="000B245E">
      <w:pPr>
        <w:pStyle w:val="Ttulo2"/>
        <w:spacing w:before="0" w:line="360" w:lineRule="auto"/>
        <w:rPr>
          <w:color w:val="000000"/>
          <w:szCs w:val="24"/>
        </w:rPr>
      </w:pPr>
      <w:bookmarkStart w:id="9" w:name="_heading=h.1t3h5sf" w:colFirst="0" w:colLast="0"/>
      <w:bookmarkEnd w:id="9"/>
      <w:r w:rsidRPr="00BE5FBE">
        <w:rPr>
          <w:color w:val="000000"/>
          <w:szCs w:val="24"/>
        </w:rPr>
        <w:t>SEGUNDO. De la oportunidad y procedencia.</w:t>
      </w:r>
    </w:p>
    <w:p w:rsidR="00337BEB" w:rsidRPr="00BE5FBE" w:rsidRDefault="000B245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 El medio de impugnación fue presentado a través del </w:t>
      </w:r>
      <w:r w:rsidRPr="00BE5FBE">
        <w:rPr>
          <w:rFonts w:ascii="Palatino Linotype" w:eastAsia="Palatino Linotype" w:hAnsi="Palatino Linotype" w:cs="Palatino Linotype"/>
          <w:b/>
          <w:color w:val="000000"/>
        </w:rPr>
        <w:t>SAIMEX,</w:t>
      </w:r>
      <w:r w:rsidRPr="00BE5FBE">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entregó su respuesta el </w:t>
      </w:r>
      <w:r w:rsidR="005E54B6" w:rsidRPr="00BE5FBE">
        <w:rPr>
          <w:rFonts w:ascii="Palatino Linotype" w:eastAsia="Palatino Linotype" w:hAnsi="Palatino Linotype" w:cs="Palatino Linotype"/>
          <w:b/>
          <w:color w:val="000000"/>
        </w:rPr>
        <w:t xml:space="preserve">diecisiete de diciembre </w:t>
      </w:r>
      <w:r w:rsidRPr="00BE5FBE">
        <w:rPr>
          <w:rFonts w:ascii="Palatino Linotype" w:eastAsia="Palatino Linotype" w:hAnsi="Palatino Linotype" w:cs="Palatino Linotype"/>
          <w:b/>
          <w:color w:val="000000"/>
        </w:rPr>
        <w:t>de dos mil veinticinco</w:t>
      </w:r>
      <w:r w:rsidRPr="00BE5FBE">
        <w:rPr>
          <w:rFonts w:ascii="Palatino Linotype" w:eastAsia="Palatino Linotype" w:hAnsi="Palatino Linotype" w:cs="Palatino Linotype"/>
          <w:color w:val="000000"/>
        </w:rPr>
        <w:t xml:space="preserve">, de tal forma que el plazo para interponer el recurso de revisión transcurrió del </w:t>
      </w:r>
      <w:r w:rsidR="005E54B6" w:rsidRPr="00BE5FBE">
        <w:rPr>
          <w:rFonts w:ascii="Palatino Linotype" w:eastAsia="Palatino Linotype" w:hAnsi="Palatino Linotype" w:cs="Palatino Linotype"/>
          <w:b/>
          <w:color w:val="000000"/>
        </w:rPr>
        <w:t xml:space="preserve">dieciocho </w:t>
      </w:r>
      <w:r w:rsidR="00EB1F8F" w:rsidRPr="00BE5FBE">
        <w:rPr>
          <w:rFonts w:ascii="Palatino Linotype" w:eastAsia="Palatino Linotype" w:hAnsi="Palatino Linotype" w:cs="Palatino Linotype"/>
          <w:b/>
          <w:color w:val="000000"/>
        </w:rPr>
        <w:t xml:space="preserve">de </w:t>
      </w:r>
      <w:r w:rsidR="005E54B6" w:rsidRPr="00BE5FBE">
        <w:rPr>
          <w:rFonts w:ascii="Palatino Linotype" w:eastAsia="Palatino Linotype" w:hAnsi="Palatino Linotype" w:cs="Palatino Linotype"/>
          <w:b/>
          <w:color w:val="000000"/>
        </w:rPr>
        <w:t xml:space="preserve">diciembre </w:t>
      </w:r>
      <w:r w:rsidR="00EB1F8F" w:rsidRPr="00BE5FBE">
        <w:rPr>
          <w:rFonts w:ascii="Palatino Linotype" w:eastAsia="Palatino Linotype" w:hAnsi="Palatino Linotype" w:cs="Palatino Linotype"/>
          <w:b/>
          <w:color w:val="000000"/>
        </w:rPr>
        <w:t xml:space="preserve">al </w:t>
      </w:r>
      <w:r w:rsidR="005E54B6" w:rsidRPr="00BE5FBE">
        <w:rPr>
          <w:rFonts w:ascii="Palatino Linotype" w:eastAsia="Palatino Linotype" w:hAnsi="Palatino Linotype" w:cs="Palatino Linotype"/>
          <w:b/>
          <w:color w:val="000000"/>
        </w:rPr>
        <w:t xml:space="preserve">veintiséis </w:t>
      </w:r>
      <w:r w:rsidR="00EB1F8F" w:rsidRPr="00BE5FBE">
        <w:rPr>
          <w:rFonts w:ascii="Palatino Linotype" w:eastAsia="Palatino Linotype" w:hAnsi="Palatino Linotype" w:cs="Palatino Linotype"/>
          <w:b/>
          <w:color w:val="000000"/>
        </w:rPr>
        <w:t xml:space="preserve">de </w:t>
      </w:r>
      <w:r w:rsidR="005E54B6" w:rsidRPr="00BE5FBE">
        <w:rPr>
          <w:rFonts w:ascii="Palatino Linotype" w:eastAsia="Palatino Linotype" w:hAnsi="Palatino Linotype" w:cs="Palatino Linotype"/>
          <w:b/>
          <w:color w:val="000000"/>
        </w:rPr>
        <w:t xml:space="preserve">enero </w:t>
      </w:r>
      <w:r w:rsidRPr="00BE5FBE">
        <w:rPr>
          <w:rFonts w:ascii="Palatino Linotype" w:eastAsia="Palatino Linotype" w:hAnsi="Palatino Linotype" w:cs="Palatino Linotype"/>
          <w:b/>
          <w:color w:val="000000"/>
        </w:rPr>
        <w:t>de dos mil veinticinco</w:t>
      </w:r>
      <w:r w:rsidRPr="00BE5FBE">
        <w:rPr>
          <w:rFonts w:ascii="Palatino Linotype" w:eastAsia="Palatino Linotype" w:hAnsi="Palatino Linotype" w:cs="Palatino Linotype"/>
          <w:color w:val="000000"/>
        </w:rPr>
        <w:t xml:space="preserve">; en consecuencia, el ahora </w:t>
      </w:r>
      <w:r w:rsidRPr="00BE5FBE">
        <w:rPr>
          <w:rFonts w:ascii="Palatino Linotype" w:eastAsia="Palatino Linotype" w:hAnsi="Palatino Linotype" w:cs="Palatino Linotype"/>
          <w:b/>
          <w:color w:val="000000"/>
        </w:rPr>
        <w:t>RECURRENTE</w:t>
      </w:r>
      <w:r w:rsidRPr="00BE5FBE">
        <w:rPr>
          <w:rFonts w:ascii="Palatino Linotype" w:eastAsia="Palatino Linotype" w:hAnsi="Palatino Linotype" w:cs="Palatino Linotype"/>
          <w:color w:val="000000"/>
        </w:rPr>
        <w:t xml:space="preserve"> presentó su inconformidad el </w:t>
      </w:r>
      <w:r w:rsidR="005E54B6" w:rsidRPr="00BE5FBE">
        <w:rPr>
          <w:rFonts w:ascii="Palatino Linotype" w:eastAsia="Palatino Linotype" w:hAnsi="Palatino Linotype" w:cs="Palatino Linotype"/>
          <w:b/>
          <w:color w:val="000000"/>
        </w:rPr>
        <w:t xml:space="preserve">diecinueve </w:t>
      </w:r>
      <w:r w:rsidR="00EB1F8F" w:rsidRPr="00BE5FBE">
        <w:rPr>
          <w:rFonts w:ascii="Palatino Linotype" w:eastAsia="Palatino Linotype" w:hAnsi="Palatino Linotype" w:cs="Palatino Linotype"/>
          <w:b/>
          <w:color w:val="000000"/>
        </w:rPr>
        <w:t xml:space="preserve">de </w:t>
      </w:r>
      <w:r w:rsidR="005E54B6" w:rsidRPr="00BE5FBE">
        <w:rPr>
          <w:rFonts w:ascii="Palatino Linotype" w:eastAsia="Palatino Linotype" w:hAnsi="Palatino Linotype" w:cs="Palatino Linotype"/>
          <w:b/>
          <w:color w:val="000000"/>
        </w:rPr>
        <w:t xml:space="preserve">diciembre </w:t>
      </w:r>
      <w:r w:rsidRPr="00BE5FBE">
        <w:rPr>
          <w:rFonts w:ascii="Palatino Linotype" w:eastAsia="Palatino Linotype" w:hAnsi="Palatino Linotype" w:cs="Palatino Linotype"/>
          <w:b/>
          <w:color w:val="000000"/>
        </w:rPr>
        <w:t>de dos mil veinticinco</w:t>
      </w:r>
      <w:r w:rsidRPr="00BE5FBE">
        <w:rPr>
          <w:rFonts w:ascii="Palatino Linotype" w:eastAsia="Palatino Linotype" w:hAnsi="Palatino Linotype" w:cs="Palatino Linotype"/>
          <w:color w:val="000000"/>
        </w:rPr>
        <w:t>; por lo que se estima que la inconformidad se presentó dentro del lapso legalmente establecido para tal efecto.</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B1F8F" w:rsidRPr="00BE5FBE" w:rsidRDefault="00EB1F8F" w:rsidP="00EB1F8F">
      <w:pPr>
        <w:numPr>
          <w:ilvl w:val="0"/>
          <w:numId w:val="11"/>
        </w:numPr>
        <w:spacing w:line="360" w:lineRule="auto"/>
        <w:contextualSpacing/>
        <w:jc w:val="both"/>
        <w:rPr>
          <w:rFonts w:ascii="Palatino Linotype" w:eastAsiaTheme="minorEastAsia" w:hAnsi="Palatino Linotype"/>
          <w:lang w:eastAsia="es-ES"/>
        </w:rPr>
      </w:pPr>
      <w:r w:rsidRPr="00BE5FBE">
        <w:rPr>
          <w:rFonts w:ascii="Palatino Linotype" w:eastAsia="Calibri" w:hAnsi="Palatino Linotype" w:cs="Arial"/>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EB1F8F" w:rsidRPr="00BE5FBE" w:rsidRDefault="00EB1F8F" w:rsidP="00EB1F8F">
      <w:pPr>
        <w:spacing w:line="360" w:lineRule="auto"/>
        <w:contextualSpacing/>
        <w:jc w:val="both"/>
        <w:rPr>
          <w:rFonts w:ascii="Palatino Linotype" w:eastAsiaTheme="minorEastAsia" w:hAnsi="Palatino Linotype"/>
          <w:lang w:eastAsia="es-ES"/>
        </w:rPr>
      </w:pPr>
    </w:p>
    <w:p w:rsidR="00EB1F8F" w:rsidRPr="00BE5FBE" w:rsidRDefault="00EB1F8F" w:rsidP="00EB1F8F">
      <w:pPr>
        <w:pStyle w:val="Prrafodelista"/>
        <w:tabs>
          <w:tab w:val="left" w:pos="7655"/>
        </w:tabs>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lastRenderedPageBreak/>
        <w:t>"</w:t>
      </w:r>
      <w:r w:rsidRPr="00BE5FBE">
        <w:rPr>
          <w:rFonts w:ascii="Palatino Linotype" w:eastAsia="Palatino Linotype" w:hAnsi="Palatino Linotype" w:cs="Palatino Linotype"/>
          <w:b/>
          <w:i/>
        </w:rPr>
        <w:t>Las solicitudes anónimas</w:t>
      </w:r>
      <w:r w:rsidRPr="00BE5FBE">
        <w:rPr>
          <w:rFonts w:ascii="Palatino Linotype" w:eastAsia="Palatino Linotype" w:hAnsi="Palatino Linotype" w:cs="Palatino Linotype"/>
          <w:i/>
        </w:rPr>
        <w:t xml:space="preserve">, con nombre incompleto o seudónimo </w:t>
      </w:r>
      <w:r w:rsidRPr="00BE5FBE">
        <w:rPr>
          <w:rFonts w:ascii="Palatino Linotype" w:eastAsia="Palatino Linotype" w:hAnsi="Palatino Linotype" w:cs="Palatino Linotype"/>
          <w:b/>
          <w:i/>
        </w:rPr>
        <w:t>serán procedentes para su trámite por parte del sujeto obligado ante quien se presente</w:t>
      </w:r>
      <w:r w:rsidRPr="00BE5FBE">
        <w:rPr>
          <w:rFonts w:ascii="Palatino Linotype" w:eastAsia="Palatino Linotype" w:hAnsi="Palatino Linotype" w:cs="Palatino Linotype"/>
          <w:i/>
        </w:rPr>
        <w:t>. No podrá requerirse información adicional con motivo del nombre proporcionado por el solicitante."</w:t>
      </w:r>
    </w:p>
    <w:p w:rsidR="00EB1F8F" w:rsidRPr="00BE5FBE" w:rsidRDefault="00EB1F8F" w:rsidP="00EB1F8F">
      <w:pPr>
        <w:pStyle w:val="Prrafodelista"/>
        <w:rPr>
          <w:rFonts w:ascii="Palatino Linotype" w:eastAsiaTheme="minorEastAsia" w:hAnsi="Palatino Linotype"/>
          <w:lang w:eastAsia="es-ES"/>
        </w:rPr>
      </w:pPr>
    </w:p>
    <w:p w:rsidR="00EB1F8F" w:rsidRPr="00BE5FBE" w:rsidRDefault="00EB1F8F" w:rsidP="00EB1F8F">
      <w:pPr>
        <w:pStyle w:val="Prrafodelista"/>
        <w:numPr>
          <w:ilvl w:val="0"/>
          <w:numId w:val="11"/>
        </w:numPr>
        <w:spacing w:line="360" w:lineRule="auto"/>
        <w:jc w:val="both"/>
        <w:rPr>
          <w:rFonts w:ascii="Palatino Linotype" w:eastAsia="Calibri" w:hAnsi="Palatino Linotype" w:cs="Arial"/>
        </w:rPr>
      </w:pPr>
      <w:r w:rsidRPr="00BE5FBE">
        <w:rPr>
          <w:rFonts w:ascii="Palatino Linotype" w:eastAsia="Calibri" w:hAnsi="Palatino Linotype" w:cs="Arial"/>
        </w:rPr>
        <w:t>Robusteciendo lo anterior se encuentra lo dispuesto en el artículo 6, Apartado A, fracciones III de la Constitución Política de los Estados Unidos Mexicanos que establece:</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r w:rsidRPr="00BE5FBE">
        <w:rPr>
          <w:rFonts w:ascii="Palatino Linotype" w:eastAsia="Palatino Linotype" w:hAnsi="Palatino Linotype" w:cs="Palatino Linotype"/>
          <w:b/>
          <w:i/>
        </w:rPr>
        <w:t>Artículo 6.-</w:t>
      </w:r>
      <w:r w:rsidRPr="00BE5FBE">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EB1F8F" w:rsidRPr="00BE5FBE" w:rsidRDefault="00EB1F8F" w:rsidP="00EB1F8F">
      <w:pPr>
        <w:pStyle w:val="Prrafodelista"/>
        <w:ind w:left="567" w:right="539"/>
        <w:jc w:val="both"/>
        <w:rPr>
          <w:rFonts w:ascii="Palatino Linotype" w:eastAsia="Palatino Linotype" w:hAnsi="Palatino Linotype" w:cs="Palatino Linotype"/>
          <w:i/>
        </w:rPr>
      </w:pP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Para efectos de lo dispuesto en el presente artículo se observará lo siguiente:</w:t>
      </w:r>
    </w:p>
    <w:p w:rsidR="00EB1F8F" w:rsidRPr="00BE5FBE" w:rsidRDefault="00EB1F8F" w:rsidP="00EB1F8F">
      <w:pPr>
        <w:pStyle w:val="Prrafodelista"/>
        <w:ind w:left="567" w:right="539"/>
        <w:jc w:val="both"/>
        <w:rPr>
          <w:rFonts w:ascii="Palatino Linotype" w:eastAsia="Palatino Linotype" w:hAnsi="Palatino Linotype" w:cs="Palatino Linotype"/>
          <w:i/>
        </w:rPr>
      </w:pP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EB1F8F" w:rsidRPr="00BE5FBE" w:rsidRDefault="00EB1F8F" w:rsidP="00EB1F8F">
      <w:pPr>
        <w:pStyle w:val="Prrafodelista"/>
        <w:ind w:left="567" w:right="539"/>
        <w:jc w:val="both"/>
        <w:rPr>
          <w:rFonts w:ascii="Palatino Linotype" w:eastAsia="Palatino Linotype" w:hAnsi="Palatino Linotype" w:cs="Palatino Linotype"/>
          <w:i/>
        </w:rPr>
      </w:pP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r w:rsidRPr="00BE5FBE">
        <w:rPr>
          <w:rFonts w:ascii="Palatino Linotype" w:eastAsia="Palatino Linotype" w:hAnsi="Palatino Linotype" w:cs="Palatino Linotype"/>
        </w:rPr>
        <w:t>(Sic)</w:t>
      </w:r>
    </w:p>
    <w:p w:rsidR="00EB1F8F" w:rsidRPr="00BE5FBE" w:rsidRDefault="00EB1F8F" w:rsidP="00EB1F8F">
      <w:pPr>
        <w:pStyle w:val="Prrafodelista"/>
        <w:spacing w:line="360" w:lineRule="auto"/>
        <w:ind w:left="0"/>
        <w:jc w:val="both"/>
        <w:rPr>
          <w:rFonts w:ascii="Palatino Linotype" w:eastAsia="Calibri" w:hAnsi="Palatino Linotype" w:cs="Arial"/>
        </w:rPr>
      </w:pPr>
    </w:p>
    <w:p w:rsidR="00EB1F8F" w:rsidRPr="00BE5FBE" w:rsidRDefault="00EB1F8F" w:rsidP="00EB1F8F">
      <w:pPr>
        <w:pStyle w:val="Prrafodelista"/>
        <w:numPr>
          <w:ilvl w:val="0"/>
          <w:numId w:val="11"/>
        </w:numPr>
        <w:spacing w:line="360" w:lineRule="auto"/>
        <w:jc w:val="both"/>
        <w:rPr>
          <w:rFonts w:ascii="Palatino Linotype" w:eastAsia="Calibri" w:hAnsi="Palatino Linotype" w:cs="Arial"/>
        </w:rPr>
      </w:pPr>
      <w:r w:rsidRPr="00BE5FBE">
        <w:rPr>
          <w:rFonts w:ascii="Palatino Linotype" w:eastAsia="Calibri" w:hAnsi="Palatino Linotype" w:cs="Arial"/>
        </w:rPr>
        <w:t>Así como el artículo 5 fracción III, párrafo vigésimo noveno, trigésimo y trigésimo primero, de la Constitución Política del Estado Libre y Soberano de México, que determina lo siguiente:</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r w:rsidRPr="00BE5FBE">
        <w:rPr>
          <w:rFonts w:ascii="Palatino Linotype" w:eastAsia="Palatino Linotype" w:hAnsi="Palatino Linotype" w:cs="Palatino Linotype"/>
          <w:b/>
          <w:i/>
        </w:rPr>
        <w:t>Artículo 5.-</w:t>
      </w:r>
      <w:r w:rsidRPr="00BE5FBE">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lastRenderedPageBreak/>
        <w:t>Toda persona en el Estado de México, tiene derecho al libre acceso a la información plural y oportuna, así como a buscar recibir y difundir información e ideas de toda índole por cualquier medio de expresión.</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BE5FBE">
        <w:rPr>
          <w:rFonts w:ascii="Palatino Linotype" w:eastAsia="Palatino Linotype" w:hAnsi="Palatino Linotype" w:cs="Palatino Linotype"/>
        </w:rPr>
        <w:t>(Sic)</w:t>
      </w:r>
    </w:p>
    <w:p w:rsidR="00EB1F8F" w:rsidRPr="00BE5FBE" w:rsidRDefault="00EB1F8F" w:rsidP="00EB1F8F">
      <w:pPr>
        <w:tabs>
          <w:tab w:val="left" w:pos="7655"/>
        </w:tabs>
        <w:ind w:left="567"/>
        <w:jc w:val="both"/>
        <w:rPr>
          <w:rFonts w:ascii="Palatino Linotype" w:eastAsia="Palatino Linotype" w:hAnsi="Palatino Linotype" w:cs="Palatino Linotype"/>
          <w:i/>
        </w:rPr>
      </w:pPr>
    </w:p>
    <w:p w:rsidR="00EB1F8F" w:rsidRPr="00BE5FBE" w:rsidRDefault="00EB1F8F" w:rsidP="00EB1F8F">
      <w:pPr>
        <w:pStyle w:val="Prrafodelista"/>
        <w:numPr>
          <w:ilvl w:val="0"/>
          <w:numId w:val="11"/>
        </w:numPr>
        <w:spacing w:line="360" w:lineRule="auto"/>
        <w:jc w:val="both"/>
        <w:rPr>
          <w:rFonts w:ascii="Palatino Linotype" w:eastAsia="Calibri" w:hAnsi="Palatino Linotype" w:cs="Arial"/>
        </w:rPr>
      </w:pPr>
      <w:r w:rsidRPr="00BE5FBE">
        <w:rPr>
          <w:rFonts w:ascii="Palatino Linotype" w:eastAsia="Calibri" w:hAnsi="Palatino Linotype" w:cs="Arial"/>
        </w:rPr>
        <w:t>Por otra parte, del contenido del artículo 1 de la Constitución Política de los Estados Unidos mexicanos, se destaca lo siguiente:</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r w:rsidRPr="00BE5FBE">
        <w:rPr>
          <w:rFonts w:ascii="Palatino Linotype" w:eastAsia="Palatino Linotype" w:hAnsi="Palatino Linotype" w:cs="Palatino Linotype"/>
          <w:b/>
          <w:i/>
        </w:rPr>
        <w:t>Artículo 1</w:t>
      </w:r>
      <w:r w:rsidRPr="00BE5FBE">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rsidR="00EB1F8F" w:rsidRPr="00BE5FBE" w:rsidRDefault="00EB1F8F" w:rsidP="00EB1F8F">
      <w:pPr>
        <w:pStyle w:val="Prrafodelista"/>
        <w:ind w:left="567"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 xml:space="preserve">Todas las autoridades, en el ámbito de sus competencias, tienen la obligación de promover, respetar, proteger y garantizar los derechos humanos de conformidad con los principios de </w:t>
      </w:r>
      <w:r w:rsidRPr="00BE5FBE">
        <w:rPr>
          <w:rFonts w:ascii="Palatino Linotype" w:eastAsia="Palatino Linotype" w:hAnsi="Palatino Linotype" w:cs="Palatino Linotype"/>
          <w:i/>
        </w:rPr>
        <w:lastRenderedPageBreak/>
        <w:t>universalidad, interdependencia, indivisibilidad y progresividad. En consecuencia, el Estado deberá prevenir, investigar, sancionar y reparar las violaciones a los derechos humanos, en los términos que establezca la ley."(Sic)</w:t>
      </w:r>
    </w:p>
    <w:p w:rsidR="00EB1F8F" w:rsidRPr="00BE5FBE" w:rsidRDefault="00EB1F8F" w:rsidP="00EB1F8F">
      <w:pPr>
        <w:spacing w:line="360" w:lineRule="auto"/>
        <w:jc w:val="both"/>
        <w:rPr>
          <w:rFonts w:ascii="Palatino Linotype" w:eastAsia="Calibri" w:hAnsi="Palatino Linotype" w:cs="Arial"/>
        </w:rPr>
      </w:pPr>
    </w:p>
    <w:p w:rsidR="00EB1F8F" w:rsidRPr="00BE5FBE" w:rsidRDefault="00EB1F8F" w:rsidP="00EB1F8F">
      <w:pPr>
        <w:numPr>
          <w:ilvl w:val="0"/>
          <w:numId w:val="11"/>
        </w:numPr>
        <w:spacing w:line="360" w:lineRule="auto"/>
        <w:jc w:val="both"/>
        <w:rPr>
          <w:rFonts w:ascii="Palatino Linotype" w:eastAsia="Calibri" w:hAnsi="Palatino Linotype" w:cs="Arial"/>
        </w:rPr>
      </w:pPr>
      <w:r w:rsidRPr="00BE5FBE">
        <w:rPr>
          <w:rFonts w:ascii="Palatino Linotype" w:eastAsia="Calibri"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BE5FBE">
        <w:rPr>
          <w:rFonts w:ascii="Palatino Linotype" w:eastAsia="Palatino Linotype" w:hAnsi="Palatino Linotype" w:cs="Palatino Linotype"/>
          <w:lang w:val="es-ES" w:eastAsia="en-US"/>
        </w:rPr>
        <w:t xml:space="preserve"> </w:t>
      </w:r>
      <w:r w:rsidRPr="00BE5FBE">
        <w:rPr>
          <w:rFonts w:ascii="Palatino Linotype" w:eastAsia="Palatino Linotype" w:hAnsi="Palatino Linotype" w:cs="Palatino Linotype"/>
          <w:i/>
          <w:lang w:val="es-ES" w:eastAsia="en-US"/>
        </w:rPr>
        <w:t>derecho fundamental exime a quien lo ejerce</w:t>
      </w:r>
      <w:r w:rsidRPr="00BE5FBE">
        <w:rPr>
          <w:rFonts w:ascii="Palatino Linotype" w:eastAsia="Palatino Linotype" w:hAnsi="Palatino Linotype" w:cs="Palatino Linotype"/>
          <w:lang w:val="es-ES" w:eastAsia="en-US"/>
        </w:rPr>
        <w:t xml:space="preserve">, </w:t>
      </w:r>
      <w:r w:rsidRPr="00BE5FBE">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EB1F8F" w:rsidRPr="00BE5FBE" w:rsidRDefault="00EB1F8F" w:rsidP="00EB1F8F">
      <w:pPr>
        <w:spacing w:line="360" w:lineRule="auto"/>
        <w:contextualSpacing/>
        <w:jc w:val="both"/>
        <w:rPr>
          <w:rFonts w:ascii="Palatino Linotype" w:eastAsia="Calibri" w:hAnsi="Palatino Linotype" w:cs="Arial"/>
          <w:b/>
        </w:rPr>
      </w:pPr>
    </w:p>
    <w:p w:rsidR="00EB1F8F" w:rsidRPr="00BE5FBE" w:rsidRDefault="00EB1F8F" w:rsidP="00EB1F8F">
      <w:pPr>
        <w:numPr>
          <w:ilvl w:val="0"/>
          <w:numId w:val="11"/>
        </w:numPr>
        <w:spacing w:line="360" w:lineRule="auto"/>
        <w:jc w:val="both"/>
        <w:rPr>
          <w:rFonts w:ascii="Palatino Linotype" w:eastAsia="Calibri" w:hAnsi="Palatino Linotype" w:cs="Arial"/>
        </w:rPr>
      </w:pPr>
      <w:r w:rsidRPr="00BE5FBE">
        <w:rPr>
          <w:rFonts w:ascii="Palatino Linotype" w:eastAsia="Calibri" w:hAnsi="Palatino Linotype" w:cs="Arial"/>
        </w:rPr>
        <w:t xml:space="preserve">En consecuencia, dado lo expuesto y fundado con anterioridad, se estima que el requisito relativo al nombre del </w:t>
      </w:r>
      <w:r w:rsidRPr="00BE5FBE">
        <w:rPr>
          <w:rFonts w:ascii="Palatino Linotype" w:eastAsia="Calibri" w:hAnsi="Palatino Linotype" w:cs="Arial"/>
          <w:b/>
        </w:rPr>
        <w:t>RECURRENTE</w:t>
      </w:r>
      <w:r w:rsidRPr="00BE5FBE">
        <w:rPr>
          <w:rFonts w:ascii="Palatino Linotype" w:eastAsia="Calibri" w:hAnsi="Palatino Linotype" w:cs="Arial"/>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EB1F8F" w:rsidRPr="00BE5FBE" w:rsidRDefault="00EB1F8F" w:rsidP="00EB1F8F">
      <w:pPr>
        <w:spacing w:line="360" w:lineRule="auto"/>
        <w:jc w:val="both"/>
        <w:rPr>
          <w:rFonts w:ascii="Palatino Linotype" w:eastAsia="Palatino Linotype" w:hAnsi="Palatino Linotype" w:cs="Palatino Linotype"/>
          <w:b/>
        </w:rPr>
      </w:pPr>
    </w:p>
    <w:p w:rsidR="00337BEB" w:rsidRPr="00BE5FBE" w:rsidRDefault="000B245E">
      <w:pPr>
        <w:numPr>
          <w:ilvl w:val="0"/>
          <w:numId w:val="11"/>
        </w:numPr>
        <w:spacing w:line="360" w:lineRule="auto"/>
        <w:jc w:val="both"/>
        <w:rPr>
          <w:rFonts w:ascii="Palatino Linotype" w:eastAsia="Palatino Linotype" w:hAnsi="Palatino Linotype" w:cs="Palatino Linotype"/>
          <w:b/>
        </w:rPr>
      </w:pPr>
      <w:r w:rsidRPr="00BE5FBE">
        <w:rPr>
          <w:rFonts w:ascii="Palatino Linotype" w:eastAsia="Palatino Linotype" w:hAnsi="Palatino Linotype" w:cs="Palatino Linotype"/>
        </w:rPr>
        <w:t xml:space="preserve">Consecuentemente, el escrito contiene las formalidades previstas por el artículo 180 último párrafo de la Ley de la materia actual, por lo que es procedente que este Instituto de </w:t>
      </w:r>
      <w:r w:rsidRPr="00BE5FBE">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337BEB" w:rsidRPr="00BE5FBE" w:rsidRDefault="00337BEB">
      <w:pPr>
        <w:spacing w:line="360" w:lineRule="auto"/>
        <w:rPr>
          <w:rFonts w:ascii="Palatino Linotype" w:eastAsia="Palatino Linotype" w:hAnsi="Palatino Linotype" w:cs="Palatino Linotype"/>
        </w:rPr>
      </w:pPr>
    </w:p>
    <w:p w:rsidR="00337BEB" w:rsidRPr="00BE5FBE" w:rsidRDefault="000B245E">
      <w:pPr>
        <w:pStyle w:val="Ttulo1"/>
        <w:spacing w:before="0" w:line="360" w:lineRule="auto"/>
        <w:rPr>
          <w:color w:val="000000"/>
          <w:szCs w:val="24"/>
        </w:rPr>
      </w:pPr>
      <w:r w:rsidRPr="00BE5FBE">
        <w:rPr>
          <w:color w:val="000000"/>
          <w:szCs w:val="24"/>
        </w:rPr>
        <w:t xml:space="preserve">TERCERO. Del planteamiento de la </w:t>
      </w:r>
      <w:r w:rsidRPr="00BE5FBE">
        <w:rPr>
          <w:i/>
          <w:color w:val="000000"/>
          <w:szCs w:val="24"/>
        </w:rPr>
        <w:t>Litis</w:t>
      </w:r>
      <w:r w:rsidRPr="00BE5FBE">
        <w:rPr>
          <w:color w:val="000000"/>
          <w:szCs w:val="24"/>
        </w:rPr>
        <w:t>.</w:t>
      </w:r>
    </w:p>
    <w:p w:rsidR="005E54B6"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i/>
        </w:rPr>
      </w:pPr>
      <w:r w:rsidRPr="00BE5FBE">
        <w:rPr>
          <w:rFonts w:ascii="Palatino Linotype" w:eastAsia="Palatino Linotype" w:hAnsi="Palatino Linotype" w:cs="Palatino Linotype"/>
          <w:color w:val="000000"/>
        </w:rPr>
        <w:t>De las constancias que integran el expediente al rubro indicado, se despr</w:t>
      </w:r>
      <w:r w:rsidR="005E54B6" w:rsidRPr="00BE5FBE">
        <w:rPr>
          <w:rFonts w:ascii="Palatino Linotype" w:eastAsia="Palatino Linotype" w:hAnsi="Palatino Linotype" w:cs="Palatino Linotype"/>
          <w:color w:val="000000"/>
        </w:rPr>
        <w:t xml:space="preserve">ende que el particular solicitó </w:t>
      </w:r>
      <w:r w:rsidR="005E54B6" w:rsidRPr="00BE5FBE">
        <w:rPr>
          <w:rFonts w:ascii="Palatino Linotype" w:eastAsia="Palatino Linotype" w:hAnsi="Palatino Linotype" w:cs="Palatino Linotype"/>
          <w:b/>
          <w:color w:val="000000"/>
        </w:rPr>
        <w:t>del Tercer Trimestre del ejercicio Fiscal 2025</w:t>
      </w:r>
      <w:r w:rsidR="005E54B6" w:rsidRPr="00BE5FBE">
        <w:rPr>
          <w:rFonts w:ascii="Palatino Linotype" w:eastAsia="Palatino Linotype" w:hAnsi="Palatino Linotype" w:cs="Palatino Linotype"/>
          <w:color w:val="000000"/>
        </w:rPr>
        <w:t>:</w:t>
      </w:r>
    </w:p>
    <w:p w:rsidR="005E54B6" w:rsidRPr="00BE5FBE" w:rsidRDefault="005E54B6" w:rsidP="005E54B6">
      <w:pPr>
        <w:pStyle w:val="Prrafodelista"/>
        <w:numPr>
          <w:ilvl w:val="0"/>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Recibos de Nómina de:</w:t>
      </w:r>
    </w:p>
    <w:p w:rsidR="005E54B6" w:rsidRPr="00BE5FBE" w:rsidRDefault="005E54B6" w:rsidP="005E54B6">
      <w:pPr>
        <w:pStyle w:val="Prrafodelista"/>
        <w:numPr>
          <w:ilvl w:val="1"/>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Directora General</w:t>
      </w:r>
    </w:p>
    <w:p w:rsidR="005E54B6" w:rsidRPr="00BE5FBE" w:rsidRDefault="005E54B6" w:rsidP="005E54B6">
      <w:pPr>
        <w:pStyle w:val="Prrafodelista"/>
        <w:numPr>
          <w:ilvl w:val="1"/>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Coordinadora de la UIPPE</w:t>
      </w:r>
    </w:p>
    <w:p w:rsidR="005E54B6" w:rsidRPr="00BE5FBE" w:rsidRDefault="005E54B6" w:rsidP="005E54B6">
      <w:pPr>
        <w:pStyle w:val="Prrafodelista"/>
        <w:numPr>
          <w:ilvl w:val="1"/>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Coordinadora de la Unidad de Transparencia</w:t>
      </w:r>
    </w:p>
    <w:p w:rsidR="005E54B6" w:rsidRPr="00BE5FBE" w:rsidRDefault="005E54B6" w:rsidP="005E54B6">
      <w:pPr>
        <w:pStyle w:val="Prrafodelista"/>
        <w:numPr>
          <w:ilvl w:val="1"/>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Tesorero</w:t>
      </w:r>
    </w:p>
    <w:p w:rsidR="005E54B6" w:rsidRPr="00BE5FBE" w:rsidRDefault="005E54B6" w:rsidP="005E54B6">
      <w:pPr>
        <w:pStyle w:val="Prrafodelista"/>
        <w:numPr>
          <w:ilvl w:val="1"/>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 xml:space="preserve">Jefa de Recursos Humanos </w:t>
      </w:r>
    </w:p>
    <w:p w:rsidR="005E54B6" w:rsidRPr="00BE5FBE" w:rsidRDefault="005E54B6" w:rsidP="005E54B6">
      <w:pPr>
        <w:pStyle w:val="Prrafodelista"/>
        <w:numPr>
          <w:ilvl w:val="0"/>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 xml:space="preserve">Acta del Comité de Transparencia, mediante el cual se apruebe la versión pública de los documentos solicitados </w:t>
      </w:r>
    </w:p>
    <w:p w:rsidR="005E54B6" w:rsidRPr="00BE5FBE" w:rsidRDefault="005E54B6" w:rsidP="005E54B6">
      <w:pPr>
        <w:pStyle w:val="Prrafodelista"/>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p>
    <w:p w:rsidR="005E54B6" w:rsidRPr="00BE5FBE" w:rsidRDefault="000B245E">
      <w:pPr>
        <w:numPr>
          <w:ilvl w:val="0"/>
          <w:numId w:val="1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En respuesta el </w:t>
      </w:r>
      <w:r w:rsidRPr="00BE5FBE">
        <w:rPr>
          <w:rFonts w:ascii="Palatino Linotype" w:eastAsia="Palatino Linotype" w:hAnsi="Palatino Linotype" w:cs="Palatino Linotype"/>
          <w:b/>
          <w:color w:val="000000"/>
        </w:rPr>
        <w:t>SUJETO OBLIGADO,</w:t>
      </w:r>
      <w:r w:rsidR="005E54B6" w:rsidRPr="00BE5FBE">
        <w:rPr>
          <w:rFonts w:ascii="Palatino Linotype" w:eastAsia="Palatino Linotype" w:hAnsi="Palatino Linotype" w:cs="Palatino Linotype"/>
          <w:color w:val="000000"/>
        </w:rPr>
        <w:t xml:space="preserve"> ofreció cambio de modalidad</w:t>
      </w:r>
      <w:r w:rsidRPr="00BE5FBE">
        <w:rPr>
          <w:rFonts w:ascii="Palatino Linotype" w:eastAsia="Palatino Linotype" w:hAnsi="Palatino Linotype" w:cs="Palatino Linotype"/>
          <w:color w:val="000000"/>
        </w:rPr>
        <w:t>, por lo que se pone a disposición l</w:t>
      </w:r>
      <w:r w:rsidR="00F77106" w:rsidRPr="00BE5FBE">
        <w:rPr>
          <w:rFonts w:ascii="Palatino Linotype" w:eastAsia="Palatino Linotype" w:hAnsi="Palatino Linotype" w:cs="Palatino Linotype"/>
          <w:color w:val="000000"/>
        </w:rPr>
        <w:t>os documentos para su consulta</w:t>
      </w:r>
      <w:r w:rsidR="005E54B6" w:rsidRPr="00BE5FBE">
        <w:rPr>
          <w:rFonts w:ascii="Palatino Linotype" w:eastAsia="Palatino Linotype" w:hAnsi="Palatino Linotype" w:cs="Palatino Linotype"/>
          <w:color w:val="000000"/>
        </w:rPr>
        <w:t>; así mismo informa que en caso de requerir la reproducción de la información en necesario acudir a la dirección que ocupan las oficinas centrales del Sistema Municipal DIF, proporcionado dirección y horario de atención.</w:t>
      </w:r>
    </w:p>
    <w:p w:rsidR="00337BEB" w:rsidRPr="00BE5FBE" w:rsidRDefault="00337BEB">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Inconforme con la respuesta proporcionada, el </w:t>
      </w:r>
      <w:r w:rsidRPr="00BE5FBE">
        <w:rPr>
          <w:rFonts w:ascii="Palatino Linotype" w:eastAsia="Palatino Linotype" w:hAnsi="Palatino Linotype" w:cs="Palatino Linotype"/>
          <w:b/>
          <w:color w:val="000000"/>
        </w:rPr>
        <w:t xml:space="preserve">RECURRENTE </w:t>
      </w:r>
      <w:r w:rsidRPr="00BE5FBE">
        <w:rPr>
          <w:rFonts w:ascii="Palatino Linotype" w:eastAsia="Palatino Linotype" w:hAnsi="Palatino Linotype" w:cs="Palatino Linotype"/>
          <w:color w:val="000000"/>
        </w:rPr>
        <w:t xml:space="preserve">interpuso recurso de revisión arguyendo </w:t>
      </w:r>
      <w:r w:rsidR="00DD6770" w:rsidRPr="00BE5FBE">
        <w:rPr>
          <w:rFonts w:ascii="Palatino Linotype" w:eastAsia="Palatino Linotype" w:hAnsi="Palatino Linotype" w:cs="Palatino Linotype"/>
          <w:color w:val="000000"/>
        </w:rPr>
        <w:t>“</w:t>
      </w:r>
      <w:r w:rsidR="00DD6770" w:rsidRPr="00BE5FBE">
        <w:rPr>
          <w:rFonts w:ascii="Palatino Linotype" w:eastAsia="Palatino Linotype" w:hAnsi="Palatino Linotype" w:cs="Palatino Linotype"/>
          <w:i/>
          <w:color w:val="000000"/>
        </w:rPr>
        <w:t>p</w:t>
      </w:r>
      <w:r w:rsidR="00DD6770" w:rsidRPr="00BE5FBE">
        <w:rPr>
          <w:rFonts w:ascii="Palatino Linotype" w:hAnsi="Palatino Linotype"/>
          <w:i/>
          <w:color w:val="000000"/>
        </w:rPr>
        <w:t>retenden dar la información requerida en otro formato de entrega distinto al solicitado”. (Sic.)</w:t>
      </w:r>
    </w:p>
    <w:p w:rsidR="00337BEB" w:rsidRPr="00BE5FBE" w:rsidRDefault="00337BEB">
      <w:pPr>
        <w:pBdr>
          <w:top w:val="nil"/>
          <w:left w:val="nil"/>
          <w:bottom w:val="nil"/>
          <w:right w:val="nil"/>
          <w:between w:val="nil"/>
        </w:pBdr>
        <w:ind w:left="567"/>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color w:val="000000"/>
        </w:rPr>
        <w:lastRenderedPageBreak/>
        <w:t xml:space="preserve">En dichas condiciones, la </w:t>
      </w:r>
      <w:r w:rsidRPr="00BE5FBE">
        <w:rPr>
          <w:rFonts w:ascii="Palatino Linotype" w:eastAsia="Palatino Linotype" w:hAnsi="Palatino Linotype" w:cs="Palatino Linotype"/>
          <w:i/>
          <w:color w:val="000000"/>
        </w:rPr>
        <w:t>Litis</w:t>
      </w:r>
      <w:r w:rsidRPr="00BE5FBE">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F77106" w:rsidRPr="00BE5FBE">
        <w:rPr>
          <w:rFonts w:ascii="Palatino Linotype" w:eastAsia="Palatino Linotype" w:hAnsi="Palatino Linotype" w:cs="Palatino Linotype"/>
          <w:b/>
          <w:color w:val="000000"/>
        </w:rPr>
        <w:t xml:space="preserve">fracción </w:t>
      </w:r>
      <w:r w:rsidR="00DD6770" w:rsidRPr="00BE5FBE">
        <w:rPr>
          <w:rFonts w:ascii="Palatino Linotype" w:eastAsia="Palatino Linotype" w:hAnsi="Palatino Linotype" w:cs="Palatino Linotype"/>
          <w:b/>
          <w:color w:val="000000"/>
        </w:rPr>
        <w:t>VIII</w:t>
      </w:r>
      <w:r w:rsidRPr="00BE5FBE">
        <w:rPr>
          <w:rFonts w:ascii="Palatino Linotype" w:eastAsia="Palatino Linotype" w:hAnsi="Palatino Linotype" w:cs="Palatino Linotype"/>
          <w:b/>
          <w:color w:val="000000"/>
        </w:rPr>
        <w:t xml:space="preserve"> </w:t>
      </w:r>
      <w:r w:rsidRPr="00BE5FBE">
        <w:rPr>
          <w:rFonts w:ascii="Palatino Linotype" w:eastAsia="Palatino Linotype" w:hAnsi="Palatino Linotype" w:cs="Palatino Linotype"/>
          <w:color w:val="000000"/>
        </w:rPr>
        <w:t>de la Ley</w:t>
      </w:r>
      <w:r w:rsidRPr="00BE5FBE">
        <w:rPr>
          <w:rFonts w:ascii="Palatino Linotype" w:eastAsia="Palatino Linotype" w:hAnsi="Palatino Linotype" w:cs="Palatino Linotype"/>
          <w:b/>
          <w:color w:val="000000"/>
        </w:rPr>
        <w:t xml:space="preserve"> de Transparencia y Acceso a la Información Pública del Estado de </w:t>
      </w:r>
      <w:r w:rsidRPr="00BE5FBE">
        <w:rPr>
          <w:rFonts w:ascii="Palatino Linotype" w:eastAsia="Palatino Linotype" w:hAnsi="Palatino Linotype" w:cs="Palatino Linotype"/>
          <w:color w:val="000000"/>
        </w:rPr>
        <w:t>México</w:t>
      </w:r>
      <w:r w:rsidRPr="00BE5FBE">
        <w:rPr>
          <w:rFonts w:ascii="Palatino Linotype" w:eastAsia="Palatino Linotype" w:hAnsi="Palatino Linotype" w:cs="Palatino Linotype"/>
          <w:b/>
          <w:color w:val="000000"/>
        </w:rPr>
        <w:t xml:space="preserve"> y Municipios</w:t>
      </w:r>
      <w:r w:rsidRPr="00BE5FBE">
        <w:rPr>
          <w:rFonts w:ascii="Palatino Linotype" w:eastAsia="Palatino Linotype" w:hAnsi="Palatino Linotype" w:cs="Palatino Linotype"/>
          <w:color w:val="000000"/>
        </w:rPr>
        <w:t xml:space="preserve">; fracción que determina la hipótesis jurídica relativa a </w:t>
      </w:r>
      <w:r w:rsidR="00DD6770" w:rsidRPr="00BE5FBE">
        <w:rPr>
          <w:rFonts w:ascii="Palatino Linotype" w:eastAsia="Palatino Linotype" w:hAnsi="Palatino Linotype" w:cs="Palatino Linotype"/>
          <w:b/>
          <w:color w:val="000000"/>
        </w:rPr>
        <w:t xml:space="preserve">la notificación, entrega o puesta a disposición de información en una modalidad o formato distinto al solicitado </w:t>
      </w:r>
      <w:r w:rsidRPr="00BE5FBE">
        <w:rPr>
          <w:rFonts w:ascii="Palatino Linotype" w:eastAsia="Palatino Linotype" w:hAnsi="Palatino Linotype" w:cs="Palatino Linotype"/>
          <w:color w:val="000000"/>
        </w:rPr>
        <w:t xml:space="preserve">por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contexto del cual se dolió </w:t>
      </w:r>
      <w:r w:rsidRPr="00BE5FBE">
        <w:rPr>
          <w:rFonts w:ascii="Palatino Linotype" w:eastAsia="Palatino Linotype" w:hAnsi="Palatino Linotype" w:cs="Palatino Linotype"/>
          <w:b/>
          <w:color w:val="000000"/>
        </w:rPr>
        <w:t xml:space="preserve">EL RECURRENTE </w:t>
      </w:r>
      <w:r w:rsidRPr="00BE5FBE">
        <w:rPr>
          <w:rFonts w:ascii="Palatino Linotype" w:eastAsia="Palatino Linotype" w:hAnsi="Palatino Linotype" w:cs="Palatino Linotype"/>
          <w:color w:val="000000"/>
        </w:rPr>
        <w:t>al momento de interponer su inconformidad.</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De modo tal que el presente recurso de revisión se abocara en determinar si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con su respuesta ciertamente actualizan las causales de procedencia</w:t>
      </w:r>
      <w:r w:rsidRPr="00BE5FBE">
        <w:rPr>
          <w:rFonts w:ascii="Palatino Linotype" w:eastAsia="Palatino Linotype" w:hAnsi="Palatino Linotype" w:cs="Palatino Linotype"/>
          <w:b/>
          <w:color w:val="000000"/>
        </w:rPr>
        <w:t xml:space="preserve"> </w:t>
      </w:r>
      <w:r w:rsidRPr="00BE5FBE">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37BEB" w:rsidRPr="00BE5FBE" w:rsidRDefault="00337BEB">
      <w:pPr>
        <w:pBdr>
          <w:top w:val="nil"/>
          <w:left w:val="nil"/>
          <w:bottom w:val="nil"/>
          <w:right w:val="nil"/>
          <w:between w:val="nil"/>
        </w:pBdr>
        <w:ind w:left="708"/>
        <w:rPr>
          <w:rFonts w:ascii="Palatino Linotype" w:eastAsia="Palatino Linotype" w:hAnsi="Palatino Linotype" w:cs="Palatino Linotype"/>
          <w:color w:val="000000"/>
        </w:rPr>
      </w:pPr>
    </w:p>
    <w:p w:rsidR="00337BEB" w:rsidRPr="00BE5FBE" w:rsidRDefault="000B245E">
      <w:pPr>
        <w:pStyle w:val="Ttulo1"/>
        <w:spacing w:before="0" w:line="360" w:lineRule="auto"/>
        <w:rPr>
          <w:b w:val="0"/>
          <w:color w:val="000000"/>
          <w:szCs w:val="24"/>
        </w:rPr>
      </w:pPr>
      <w:r w:rsidRPr="00BE5FBE">
        <w:rPr>
          <w:color w:val="000000"/>
          <w:szCs w:val="24"/>
        </w:rPr>
        <w:t>CUARTO. Del estudio y resolución del asunto.</w:t>
      </w: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Acotada la </w:t>
      </w:r>
      <w:r w:rsidRPr="00BE5FBE">
        <w:rPr>
          <w:rFonts w:ascii="Palatino Linotype" w:eastAsia="Palatino Linotype" w:hAnsi="Palatino Linotype" w:cs="Palatino Linotype"/>
          <w:i/>
          <w:color w:val="000000"/>
        </w:rPr>
        <w:t>Litis</w:t>
      </w:r>
      <w:r w:rsidRPr="00BE5FBE">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337BEB" w:rsidRPr="00BE5FBE" w:rsidRDefault="00337BEB">
      <w:pPr>
        <w:spacing w:line="360" w:lineRule="auto"/>
        <w:jc w:val="both"/>
        <w:rPr>
          <w:rFonts w:ascii="Palatino Linotype" w:eastAsia="Palatino Linotype" w:hAnsi="Palatino Linotype" w:cs="Palatino Linotype"/>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37BEB" w:rsidRPr="00BE5FBE" w:rsidRDefault="00337BEB">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37BEB" w:rsidRDefault="00337BEB">
      <w:pPr>
        <w:spacing w:line="360" w:lineRule="auto"/>
        <w:rPr>
          <w:rFonts w:ascii="Palatino Linotype" w:eastAsia="Palatino Linotype" w:hAnsi="Palatino Linotype" w:cs="Palatino Linotype"/>
        </w:rPr>
      </w:pPr>
    </w:p>
    <w:p w:rsidR="00BE5FBE" w:rsidRPr="00BE5FBE" w:rsidRDefault="00BE5FBE">
      <w:pPr>
        <w:spacing w:line="360" w:lineRule="auto"/>
        <w:rPr>
          <w:rFonts w:ascii="Palatino Linotype" w:eastAsia="Palatino Linotype" w:hAnsi="Palatino Linotype" w:cs="Palatino Linotype"/>
        </w:rPr>
      </w:pPr>
    </w:p>
    <w:p w:rsidR="00337BEB" w:rsidRPr="00BE5FBE" w:rsidRDefault="000B245E">
      <w:pPr>
        <w:numPr>
          <w:ilvl w:val="0"/>
          <w:numId w:val="10"/>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lastRenderedPageBreak/>
        <w:t>Estudio de fondo</w:t>
      </w: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Acotada la </w:t>
      </w:r>
      <w:r w:rsidRPr="00BE5FBE">
        <w:rPr>
          <w:rFonts w:ascii="Palatino Linotype" w:eastAsia="Palatino Linotype" w:hAnsi="Palatino Linotype" w:cs="Palatino Linotype"/>
          <w:i/>
          <w:color w:val="000000"/>
        </w:rPr>
        <w:t>Litis</w:t>
      </w:r>
      <w:r w:rsidRPr="00BE5FBE">
        <w:rPr>
          <w:rFonts w:ascii="Palatino Linotype" w:eastAsia="Palatino Linotype" w:hAnsi="Palatino Linotype" w:cs="Palatino Linotype"/>
          <w:color w:val="000000"/>
        </w:rPr>
        <w:t xml:space="preserve"> del presente asunto, es de recordar que la respuesta versó en realizar un cambio de modalidad de entrega de la información a </w:t>
      </w:r>
      <w:r w:rsidRPr="00BE5FBE">
        <w:rPr>
          <w:rFonts w:ascii="Palatino Linotype" w:eastAsia="Palatino Linotype" w:hAnsi="Palatino Linotype" w:cs="Palatino Linotype"/>
          <w:b/>
          <w:color w:val="000000"/>
        </w:rPr>
        <w:t>consulta directa</w:t>
      </w:r>
      <w:r w:rsidRPr="00BE5FBE">
        <w:rPr>
          <w:rFonts w:ascii="Palatino Linotype" w:eastAsia="Palatino Linotype" w:hAnsi="Palatino Linotype" w:cs="Palatino Linotype"/>
          <w:color w:val="000000"/>
        </w:rPr>
        <w:t xml:space="preserve">, </w:t>
      </w:r>
      <w:r w:rsidR="00DD6770" w:rsidRPr="00BE5FBE">
        <w:rPr>
          <w:rFonts w:ascii="Palatino Linotype" w:eastAsia="Palatino Linotype" w:hAnsi="Palatino Linotype" w:cs="Palatino Linotype"/>
          <w:color w:val="000000"/>
        </w:rPr>
        <w:t xml:space="preserve">así como el pago de la reproducción de la información; </w:t>
      </w:r>
      <w:r w:rsidRPr="00BE5FBE">
        <w:rPr>
          <w:rFonts w:ascii="Palatino Linotype" w:eastAsia="Palatino Linotype" w:hAnsi="Palatino Linotype" w:cs="Palatino Linotype"/>
          <w:color w:val="000000"/>
        </w:rPr>
        <w:t xml:space="preserve">sin embargo no adjuntan el Acta de Comité que sustenta dicho cambio, ni mucho menos existe evidencia de que hayan </w:t>
      </w:r>
      <w:r w:rsidR="00F77106" w:rsidRPr="00BE5FBE">
        <w:rPr>
          <w:rFonts w:ascii="Palatino Linotype" w:eastAsia="Palatino Linotype" w:hAnsi="Palatino Linotype" w:cs="Palatino Linotype"/>
          <w:color w:val="000000"/>
        </w:rPr>
        <w:t>realizado</w:t>
      </w:r>
      <w:r w:rsidRPr="00BE5FBE">
        <w:rPr>
          <w:rFonts w:ascii="Palatino Linotype" w:eastAsia="Palatino Linotype" w:hAnsi="Palatino Linotype" w:cs="Palatino Linotype"/>
          <w:color w:val="000000"/>
        </w:rPr>
        <w:t xml:space="preserve"> la validación ante la Dirección d</w:t>
      </w:r>
      <w:r w:rsidR="00F77106" w:rsidRPr="00BE5FBE">
        <w:rPr>
          <w:rFonts w:ascii="Palatino Linotype" w:eastAsia="Palatino Linotype" w:hAnsi="Palatino Linotype" w:cs="Palatino Linotype"/>
          <w:color w:val="000000"/>
        </w:rPr>
        <w:t>e Informática de este Instituto; así mismo, no informa la cantidad de fojas que conforman los documentos a entregar, ni ofrece las diversas modalidades de entrega de la información.</w:t>
      </w:r>
    </w:p>
    <w:p w:rsidR="00337BEB" w:rsidRPr="00BE5FBE" w:rsidRDefault="00337BEB">
      <w:pPr>
        <w:spacing w:line="360" w:lineRule="auto"/>
        <w:ind w:right="48"/>
        <w:jc w:val="both"/>
        <w:rPr>
          <w:rFonts w:ascii="Palatino Linotype" w:eastAsia="Palatino Linotype" w:hAnsi="Palatino Linotype" w:cs="Palatino Linotype"/>
          <w:color w:val="000000"/>
        </w:rPr>
      </w:pPr>
    </w:p>
    <w:p w:rsidR="00337BEB" w:rsidRPr="00BE5FBE" w:rsidRDefault="000B245E" w:rsidP="00DD6770">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Primeramente resulta necesario referir que,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asume de manera expresa que genera, posee y administra lo solicitado, tan es así que </w:t>
      </w:r>
      <w:r w:rsidR="00DD6770" w:rsidRPr="00BE5FBE">
        <w:rPr>
          <w:rFonts w:ascii="Palatino Linotype" w:eastAsia="Palatino Linotype" w:hAnsi="Palatino Linotype" w:cs="Palatino Linotype"/>
          <w:color w:val="000000"/>
        </w:rPr>
        <w:t xml:space="preserve">pone a disposición la información en la modalidad de consulta directa, ello aunado a que pretendo realizar el cobro por la reproducción de la información solicitada, </w:t>
      </w:r>
      <w:r w:rsidRPr="00BE5FBE">
        <w:rPr>
          <w:rFonts w:ascii="Palatino Linotype" w:eastAsia="Palatino Linotype" w:hAnsi="Palatino Linotype" w:cs="Palatino Linotype"/>
          <w:color w:val="000000"/>
        </w:rPr>
        <w:t xml:space="preserve">por lo que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ofrece al particular que la consulta sea directa con las formalidades que ya han sido precisadas en líneas anteriores.</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Al respecto es de suma importancia aclarar que el </w:t>
      </w:r>
      <w:r w:rsidRPr="00BE5FBE">
        <w:rPr>
          <w:rFonts w:ascii="Palatino Linotype" w:eastAsia="Palatino Linotype" w:hAnsi="Palatino Linotype" w:cs="Palatino Linotype"/>
          <w:b/>
          <w:color w:val="000000"/>
        </w:rPr>
        <w:t>SUEJTO OBLIGADO</w:t>
      </w:r>
      <w:r w:rsidRPr="00BE5FBE">
        <w:rPr>
          <w:rFonts w:ascii="Palatino Linotype" w:eastAsia="Palatino Linotype" w:hAnsi="Palatino Linotype" w:cs="Palatino Linotype"/>
          <w:color w:val="000000"/>
        </w:rPr>
        <w:t>, señaló que el particular podría acudir a la consulta directa de l</w:t>
      </w:r>
      <w:r w:rsidR="00F77106" w:rsidRPr="00BE5FBE">
        <w:rPr>
          <w:rFonts w:ascii="Palatino Linotype" w:eastAsia="Palatino Linotype" w:hAnsi="Palatino Linotype" w:cs="Palatino Linotype"/>
          <w:color w:val="000000"/>
        </w:rPr>
        <w:t>os</w:t>
      </w:r>
      <w:r w:rsidRPr="00BE5FBE">
        <w:rPr>
          <w:rFonts w:ascii="Palatino Linotype" w:eastAsia="Palatino Linotype" w:hAnsi="Palatino Linotype" w:cs="Palatino Linotype"/>
          <w:color w:val="000000"/>
        </w:rPr>
        <w:t xml:space="preserve"> </w:t>
      </w:r>
      <w:r w:rsidR="00F77106" w:rsidRPr="00BE5FBE">
        <w:rPr>
          <w:rFonts w:ascii="Palatino Linotype" w:eastAsia="Palatino Linotype" w:hAnsi="Palatino Linotype" w:cs="Palatino Linotype"/>
          <w:color w:val="000000"/>
        </w:rPr>
        <w:t xml:space="preserve">Recibos </w:t>
      </w:r>
      <w:r w:rsidRPr="00BE5FBE">
        <w:rPr>
          <w:rFonts w:ascii="Palatino Linotype" w:eastAsia="Palatino Linotype" w:hAnsi="Palatino Linotype" w:cs="Palatino Linotype"/>
          <w:color w:val="000000"/>
        </w:rPr>
        <w:t xml:space="preserve">de Nómina correspondiente </w:t>
      </w:r>
      <w:r w:rsidR="00DD6770" w:rsidRPr="00BE5FBE">
        <w:rPr>
          <w:rFonts w:ascii="Palatino Linotype" w:eastAsia="Palatino Linotype" w:hAnsi="Palatino Linotype" w:cs="Palatino Linotype"/>
          <w:color w:val="000000"/>
        </w:rPr>
        <w:t>al tercer trimestre del ejercicio fiscal dos mil veinticinco es decir de</w:t>
      </w:r>
      <w:r w:rsidRPr="00BE5FBE">
        <w:rPr>
          <w:rFonts w:ascii="Palatino Linotype" w:eastAsia="Palatino Linotype" w:hAnsi="Palatino Linotype" w:cs="Palatino Linotype"/>
          <w:color w:val="000000"/>
        </w:rPr>
        <w:t xml:space="preserve"> la primera </w:t>
      </w:r>
      <w:r w:rsidR="00DD6770" w:rsidRPr="00BE5FBE">
        <w:rPr>
          <w:rFonts w:ascii="Palatino Linotype" w:eastAsia="Palatino Linotype" w:hAnsi="Palatino Linotype" w:cs="Palatino Linotype"/>
          <w:color w:val="000000"/>
        </w:rPr>
        <w:t>quincena de julio a la segunda quincena de septiembre de dos mil veinticinco, empero no justifica el cambio de modalidad</w:t>
      </w:r>
      <w:r w:rsidR="004329C0" w:rsidRPr="00BE5FBE">
        <w:rPr>
          <w:rFonts w:ascii="Palatino Linotype" w:eastAsia="Palatino Linotype" w:hAnsi="Palatino Linotype" w:cs="Palatino Linotype"/>
          <w:color w:val="000000"/>
        </w:rPr>
        <w:t>, no obstante cabe precisar que el particular refirió como modalidad de entrega a través del SAIMEX</w:t>
      </w:r>
      <w:r w:rsidRPr="00BE5FBE">
        <w:rPr>
          <w:rFonts w:ascii="Palatino Linotype" w:eastAsia="Palatino Linotype" w:hAnsi="Palatino Linotype" w:cs="Palatino Linotype"/>
          <w:color w:val="000000"/>
        </w:rPr>
        <w:t>.</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 xml:space="preserve">Aclarado lo anterior, un segundo aspecto que resulta importante establecer, es que debido a que el mismo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manifestar que pone a disposición la información en consulta directa, este reconoce contar con la misma. </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En efecto, el hecho de que </w:t>
      </w:r>
      <w:r w:rsidRPr="00BE5FBE">
        <w:rPr>
          <w:rFonts w:ascii="Palatino Linotype" w:eastAsia="Palatino Linotype" w:hAnsi="Palatino Linotype" w:cs="Palatino Linotype"/>
          <w:b/>
          <w:color w:val="000000"/>
        </w:rPr>
        <w:t>EL SUJETO OBLIGADO</w:t>
      </w:r>
      <w:r w:rsidRPr="00BE5FBE">
        <w:rPr>
          <w:rFonts w:ascii="Palatino Linotype" w:eastAsia="Palatino Linotype" w:hAnsi="Palatino Linotype" w:cs="Palatino Linotype"/>
          <w:color w:val="000000"/>
        </w:rPr>
        <w:t xml:space="preserve"> se haya pronunciado respecto de la información requerida por </w:t>
      </w:r>
      <w:r w:rsidRPr="00BE5FBE">
        <w:rPr>
          <w:rFonts w:ascii="Palatino Linotype" w:eastAsia="Palatino Linotype" w:hAnsi="Palatino Linotype" w:cs="Palatino Linotype"/>
          <w:b/>
          <w:color w:val="000000"/>
        </w:rPr>
        <w:t>EL RECURRENTE</w:t>
      </w:r>
      <w:r w:rsidRPr="00BE5FBE">
        <w:rPr>
          <w:rFonts w:ascii="Palatino Linotype" w:eastAsia="Palatino Linotype" w:hAnsi="Palatino Linotype" w:cs="Palatino Linotype"/>
          <w:color w:val="000000"/>
        </w:rPr>
        <w:t>, acepta que genera, posee y administra dicha información, en ejercicio de sus funciones de derecho público, motivo por el cual se actualiza el supuesto jurídico, previsto en el artículo 12 de la Ley de Transparencia y Acceso a la Información Pública del Estado de México y Municipios.</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En atención a ello es importante invocar el contenido del artículo 12 antes mencionado así como el 4 de la Ley de Transparencia y Acceso a la Información Pública del Estado de México y Municipios, mismos que son del tenor siguiente:</w:t>
      </w:r>
    </w:p>
    <w:p w:rsidR="00337BEB" w:rsidRPr="00BE5FBE" w:rsidRDefault="000B245E">
      <w:pPr>
        <w:spacing w:line="360" w:lineRule="auto"/>
        <w:ind w:left="567" w:right="709"/>
        <w:jc w:val="both"/>
        <w:rPr>
          <w:rFonts w:ascii="Palatino Linotype" w:eastAsia="Palatino Linotype" w:hAnsi="Palatino Linotype" w:cs="Palatino Linotype"/>
        </w:rPr>
      </w:pPr>
      <w:r w:rsidRPr="00BE5FBE">
        <w:rPr>
          <w:rFonts w:ascii="Palatino Linotype" w:eastAsia="Palatino Linotype" w:hAnsi="Palatino Linotype" w:cs="Palatino Linotype"/>
          <w:i/>
        </w:rPr>
        <w:t>“</w:t>
      </w:r>
      <w:r w:rsidRPr="00BE5FBE">
        <w:rPr>
          <w:rFonts w:ascii="Palatino Linotype" w:eastAsia="Palatino Linotype" w:hAnsi="Palatino Linotype" w:cs="Palatino Linotype"/>
          <w:b/>
          <w:i/>
        </w:rPr>
        <w:t>Artículo 4.</w:t>
      </w:r>
      <w:r w:rsidRPr="00BE5FBE">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337BEB" w:rsidRPr="00BE5FBE" w:rsidRDefault="000B245E">
      <w:pPr>
        <w:spacing w:line="360" w:lineRule="auto"/>
        <w:ind w:left="567" w:right="709"/>
        <w:jc w:val="both"/>
        <w:rPr>
          <w:rFonts w:ascii="Palatino Linotype" w:eastAsia="Palatino Linotype" w:hAnsi="Palatino Linotype" w:cs="Palatino Linotype"/>
        </w:rPr>
      </w:pPr>
      <w:r w:rsidRPr="00BE5FBE">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w:t>
      </w:r>
      <w:r w:rsidRPr="00BE5FBE">
        <w:rPr>
          <w:rFonts w:ascii="Palatino Linotype" w:eastAsia="Palatino Linotype" w:hAnsi="Palatino Linotype" w:cs="Palatino Linotype"/>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w:t>
      </w:r>
      <w:r w:rsidRPr="00BE5FBE">
        <w:rPr>
          <w:rFonts w:ascii="Palatino Linotype" w:eastAsia="Palatino Linotype" w:hAnsi="Palatino Linotype" w:cs="Palatino Linotype"/>
          <w:i/>
        </w:rPr>
        <w:lastRenderedPageBreak/>
        <w:t>temporalmente por razones de interés público, en los términos de las causas legítimas y estrictamente necesarias previstas por esta Ley.</w:t>
      </w:r>
    </w:p>
    <w:p w:rsidR="00337BEB" w:rsidRPr="00BE5FBE" w:rsidRDefault="000B245E">
      <w:pPr>
        <w:spacing w:line="360" w:lineRule="auto"/>
        <w:ind w:left="567" w:right="709"/>
        <w:jc w:val="both"/>
        <w:rPr>
          <w:rFonts w:ascii="Palatino Linotype" w:eastAsia="Palatino Linotype" w:hAnsi="Palatino Linotype" w:cs="Palatino Linotype"/>
        </w:rPr>
      </w:pPr>
      <w:r w:rsidRPr="00BE5FBE">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337BEB" w:rsidRPr="00BE5FBE" w:rsidRDefault="00337BEB">
      <w:pPr>
        <w:spacing w:line="360" w:lineRule="auto"/>
        <w:ind w:left="567" w:right="709"/>
        <w:rPr>
          <w:rFonts w:ascii="Palatino Linotype" w:eastAsia="Palatino Linotype" w:hAnsi="Palatino Linotype" w:cs="Palatino Linotype"/>
        </w:rPr>
      </w:pPr>
    </w:p>
    <w:p w:rsidR="00337BEB" w:rsidRPr="00BE5FBE" w:rsidRDefault="000B245E">
      <w:pPr>
        <w:spacing w:line="360" w:lineRule="auto"/>
        <w:ind w:left="567" w:right="709"/>
        <w:jc w:val="both"/>
        <w:rPr>
          <w:rFonts w:ascii="Palatino Linotype" w:eastAsia="Palatino Linotype" w:hAnsi="Palatino Linotype" w:cs="Palatino Linotype"/>
        </w:rPr>
      </w:pPr>
      <w:r w:rsidRPr="00BE5FBE">
        <w:rPr>
          <w:rFonts w:ascii="Palatino Linotype" w:eastAsia="Palatino Linotype" w:hAnsi="Palatino Linotype" w:cs="Palatino Linotype"/>
          <w:b/>
          <w:i/>
        </w:rPr>
        <w:t>Artículo 12.</w:t>
      </w:r>
      <w:r w:rsidRPr="00BE5FBE">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w:t>
      </w:r>
    </w:p>
    <w:p w:rsidR="00337BEB" w:rsidRPr="00BE5FBE" w:rsidRDefault="000B245E">
      <w:pPr>
        <w:spacing w:line="360" w:lineRule="auto"/>
        <w:ind w:left="567" w:right="709"/>
        <w:jc w:val="both"/>
        <w:rPr>
          <w:rFonts w:ascii="Palatino Linotype" w:eastAsia="Palatino Linotype" w:hAnsi="Palatino Linotype" w:cs="Palatino Linotype"/>
        </w:rPr>
      </w:pPr>
      <w:r w:rsidRPr="00BE5FBE">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BE5FBE">
        <w:rPr>
          <w:rFonts w:ascii="Palatino Linotype" w:eastAsia="Palatino Linotype" w:hAnsi="Palatino Linotype" w:cs="Palatino Linotype"/>
          <w:i/>
        </w:rPr>
        <w:t xml:space="preserve"> La obligación de proporcionar información no comprende el procesamiento de la misma, ni el presentarla conforme al interés del solicitante; no estarán obligados a generarla, resumirla, efectuar cálculos o practicar investigaciones.” </w:t>
      </w:r>
    </w:p>
    <w:p w:rsidR="00337BEB" w:rsidRPr="00BE5FBE" w:rsidRDefault="000B245E">
      <w:pPr>
        <w:spacing w:line="360" w:lineRule="auto"/>
        <w:ind w:left="567" w:right="709"/>
        <w:jc w:val="both"/>
        <w:rPr>
          <w:rFonts w:ascii="Palatino Linotype" w:eastAsia="Palatino Linotype" w:hAnsi="Palatino Linotype" w:cs="Palatino Linotype"/>
        </w:rPr>
      </w:pPr>
      <w:r w:rsidRPr="00BE5FBE">
        <w:rPr>
          <w:rFonts w:ascii="Palatino Linotype" w:eastAsia="Palatino Linotype" w:hAnsi="Palatino Linotype" w:cs="Palatino Linotype"/>
        </w:rPr>
        <w:t>(Énfasis añadido)</w:t>
      </w:r>
    </w:p>
    <w:p w:rsidR="00337BEB" w:rsidRPr="00BE5FBE" w:rsidRDefault="00337BEB">
      <w:pPr>
        <w:spacing w:line="360" w:lineRule="auto"/>
        <w:ind w:left="851" w:right="901"/>
        <w:jc w:val="both"/>
        <w:rPr>
          <w:rFonts w:ascii="Palatino Linotype" w:eastAsia="Palatino Linotype" w:hAnsi="Palatino Linotype" w:cs="Palatino Linotype"/>
        </w:rPr>
      </w:pPr>
    </w:p>
    <w:p w:rsidR="00337BEB" w:rsidRPr="00BE5FBE" w:rsidRDefault="00C952E1" w:rsidP="00BE5FBE">
      <w:pPr>
        <w:numPr>
          <w:ilvl w:val="0"/>
          <w:numId w:val="1"/>
        </w:numPr>
        <w:pBdr>
          <w:top w:val="nil"/>
          <w:left w:val="nil"/>
          <w:bottom w:val="nil"/>
          <w:right w:val="nil"/>
          <w:between w:val="nil"/>
        </w:pBdr>
        <w:spacing w:line="360" w:lineRule="auto"/>
        <w:ind w:left="426" w:right="901"/>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 xml:space="preserve">Recibos de </w:t>
      </w:r>
      <w:r w:rsidR="000B245E" w:rsidRPr="00BE5FBE">
        <w:rPr>
          <w:rFonts w:ascii="Palatino Linotype" w:eastAsia="Palatino Linotype" w:hAnsi="Palatino Linotype" w:cs="Palatino Linotype"/>
          <w:b/>
          <w:color w:val="000000"/>
        </w:rPr>
        <w:t>Nómina</w:t>
      </w:r>
    </w:p>
    <w:p w:rsidR="00337BEB" w:rsidRPr="00BE5FBE" w:rsidRDefault="000B245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En ese sentido, sobre la nómina nos lleva a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w:t>
      </w:r>
      <w:r w:rsidRPr="00BE5FBE">
        <w:rPr>
          <w:rFonts w:ascii="Palatino Linotype" w:eastAsia="Palatino Linotype" w:hAnsi="Palatino Linotype" w:cs="Palatino Linotype"/>
          <w:color w:val="000000"/>
        </w:rPr>
        <w:lastRenderedPageBreak/>
        <w:t>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337BEB" w:rsidRPr="00BE5FBE" w:rsidRDefault="000B245E">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b/>
          <w:i/>
          <w:color w:val="000000"/>
        </w:rPr>
        <w:t xml:space="preserve">“NÓMINA </w:t>
      </w:r>
      <w:r w:rsidRPr="00BE5FBE">
        <w:rPr>
          <w:rFonts w:ascii="Palatino Linotype" w:eastAsia="Palatino Linotype" w:hAnsi="Palatino Linotype" w:cs="Palatino Linotype"/>
          <w:i/>
          <w:color w:val="000000"/>
        </w:rPr>
        <w:t>Listado general de los trabajadores de una institución, en</w:t>
      </w:r>
      <w:r w:rsidRPr="00BE5FBE">
        <w:rPr>
          <w:rFonts w:ascii="Palatino Linotype" w:eastAsia="Palatino Linotype" w:hAnsi="Palatino Linotype" w:cs="Palatino Linotype"/>
          <w:b/>
          <w:i/>
          <w:color w:val="000000"/>
        </w:rPr>
        <w:t xml:space="preserve"> </w:t>
      </w:r>
      <w:r w:rsidRPr="00BE5FBE">
        <w:rPr>
          <w:rFonts w:ascii="Palatino Linotype" w:eastAsia="Palatino Linotype" w:hAnsi="Palatino Linotype" w:cs="Palatino Linotype"/>
          <w:i/>
          <w:color w:val="000000"/>
        </w:rPr>
        <w:t>el cual se asientan las percepciones brutas, deducciones y</w:t>
      </w:r>
      <w:r w:rsidRPr="00BE5FBE">
        <w:rPr>
          <w:rFonts w:ascii="Palatino Linotype" w:eastAsia="Palatino Linotype" w:hAnsi="Palatino Linotype" w:cs="Palatino Linotype"/>
          <w:b/>
          <w:i/>
          <w:color w:val="000000"/>
        </w:rPr>
        <w:t xml:space="preserve"> </w:t>
      </w:r>
      <w:r w:rsidRPr="00BE5FBE">
        <w:rPr>
          <w:rFonts w:ascii="Palatino Linotype" w:eastAsia="Palatino Linotype" w:hAnsi="Palatino Linotype" w:cs="Palatino Linotype"/>
          <w:i/>
          <w:color w:val="000000"/>
        </w:rPr>
        <w:t>alcance neto de las mismas; la nómina es utilizada para</w:t>
      </w:r>
      <w:r w:rsidRPr="00BE5FBE">
        <w:rPr>
          <w:rFonts w:ascii="Palatino Linotype" w:eastAsia="Palatino Linotype" w:hAnsi="Palatino Linotype" w:cs="Palatino Linotype"/>
          <w:b/>
          <w:i/>
          <w:color w:val="000000"/>
        </w:rPr>
        <w:t xml:space="preserve"> </w:t>
      </w:r>
      <w:r w:rsidRPr="00BE5FBE">
        <w:rPr>
          <w:rFonts w:ascii="Palatino Linotype" w:eastAsia="Palatino Linotype" w:hAnsi="Palatino Linotype" w:cs="Palatino Linotype"/>
          <w:i/>
          <w:color w:val="000000"/>
        </w:rPr>
        <w:t>efectuar los pagos periódicos (semanales, quincenales o</w:t>
      </w:r>
      <w:r w:rsidRPr="00BE5FBE">
        <w:rPr>
          <w:rFonts w:ascii="Palatino Linotype" w:eastAsia="Palatino Linotype" w:hAnsi="Palatino Linotype" w:cs="Palatino Linotype"/>
          <w:b/>
          <w:i/>
          <w:color w:val="000000"/>
        </w:rPr>
        <w:t xml:space="preserve"> </w:t>
      </w:r>
      <w:r w:rsidRPr="00BE5FBE">
        <w:rPr>
          <w:rFonts w:ascii="Palatino Linotype" w:eastAsia="Palatino Linotype" w:hAnsi="Palatino Linotype" w:cs="Palatino Linotype"/>
          <w:i/>
          <w:color w:val="000000"/>
        </w:rPr>
        <w:t>mensuales) a los trabajadores por concepto de sueldos y</w:t>
      </w:r>
      <w:r w:rsidRPr="00BE5FBE">
        <w:rPr>
          <w:rFonts w:ascii="Palatino Linotype" w:eastAsia="Palatino Linotype" w:hAnsi="Palatino Linotype" w:cs="Palatino Linotype"/>
          <w:b/>
          <w:i/>
          <w:color w:val="000000"/>
        </w:rPr>
        <w:t xml:space="preserve"> </w:t>
      </w:r>
      <w:r w:rsidRPr="00BE5FBE">
        <w:rPr>
          <w:rFonts w:ascii="Palatino Linotype" w:eastAsia="Palatino Linotype" w:hAnsi="Palatino Linotype" w:cs="Palatino Linotype"/>
          <w:i/>
          <w:color w:val="000000"/>
        </w:rPr>
        <w:t>salarios.”(Sic)</w:t>
      </w:r>
    </w:p>
    <w:p w:rsidR="00337BEB" w:rsidRPr="00BE5FBE" w:rsidRDefault="00337BEB">
      <w:pPr>
        <w:spacing w:line="360" w:lineRule="auto"/>
        <w:ind w:left="851" w:right="901"/>
        <w:jc w:val="both"/>
        <w:rPr>
          <w:rFonts w:ascii="Palatino Linotype" w:eastAsia="Palatino Linotype" w:hAnsi="Palatino Linotype" w:cs="Palatino Linotype"/>
        </w:rPr>
      </w:pPr>
    </w:p>
    <w:p w:rsidR="00337BEB" w:rsidRPr="00BE5FBE" w:rsidRDefault="000B245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337BEB" w:rsidRPr="00BE5FBE" w:rsidRDefault="000B245E">
      <w:pPr>
        <w:ind w:left="567"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r w:rsidRPr="00BE5FBE">
        <w:rPr>
          <w:rFonts w:ascii="Palatino Linotype" w:eastAsia="Palatino Linotype" w:hAnsi="Palatino Linotype" w:cs="Palatino Linotype"/>
          <w:b/>
          <w:i/>
        </w:rPr>
        <w:t>Artículo 804.-</w:t>
      </w:r>
      <w:r w:rsidRPr="00BE5FBE">
        <w:rPr>
          <w:rFonts w:ascii="Palatino Linotype" w:eastAsia="Palatino Linotype" w:hAnsi="Palatino Linotype" w:cs="Palatino Linotype"/>
          <w:i/>
        </w:rPr>
        <w:t xml:space="preserve"> </w:t>
      </w:r>
      <w:r w:rsidRPr="00BE5FBE">
        <w:rPr>
          <w:rFonts w:ascii="Palatino Linotype" w:eastAsia="Palatino Linotype" w:hAnsi="Palatino Linotype" w:cs="Palatino Linotype"/>
          <w:b/>
          <w:i/>
        </w:rPr>
        <w:t>El patrón tiene obligación de conservar y exhibir en juicio los documentos que a continuación se precisan</w:t>
      </w:r>
      <w:r w:rsidRPr="00BE5FBE">
        <w:rPr>
          <w:rFonts w:ascii="Palatino Linotype" w:eastAsia="Palatino Linotype" w:hAnsi="Palatino Linotype" w:cs="Palatino Linotype"/>
          <w:i/>
        </w:rPr>
        <w:t>:</w:t>
      </w:r>
    </w:p>
    <w:p w:rsidR="00337BEB" w:rsidRPr="00BE5FBE" w:rsidRDefault="00337BEB">
      <w:pPr>
        <w:ind w:left="567" w:right="851"/>
        <w:jc w:val="both"/>
        <w:rPr>
          <w:rFonts w:ascii="Palatino Linotype" w:eastAsia="Palatino Linotype" w:hAnsi="Palatino Linotype" w:cs="Palatino Linotype"/>
          <w:i/>
        </w:rPr>
      </w:pPr>
    </w:p>
    <w:p w:rsidR="00337BEB" w:rsidRPr="00BE5FBE" w:rsidRDefault="000B245E">
      <w:pPr>
        <w:ind w:left="567" w:right="851"/>
        <w:jc w:val="both"/>
        <w:rPr>
          <w:rFonts w:ascii="Palatino Linotype" w:eastAsia="Palatino Linotype" w:hAnsi="Palatino Linotype" w:cs="Palatino Linotype"/>
          <w:b/>
          <w:i/>
        </w:rPr>
      </w:pPr>
      <w:r w:rsidRPr="00BE5FBE">
        <w:rPr>
          <w:rFonts w:ascii="Palatino Linotype" w:eastAsia="Palatino Linotype" w:hAnsi="Palatino Linotype" w:cs="Palatino Linotype"/>
          <w:b/>
          <w:i/>
        </w:rPr>
        <w:t>II.</w:t>
      </w:r>
      <w:r w:rsidRPr="00BE5FBE">
        <w:rPr>
          <w:rFonts w:ascii="Palatino Linotype" w:eastAsia="Palatino Linotype" w:hAnsi="Palatino Linotype" w:cs="Palatino Linotype"/>
          <w:i/>
        </w:rPr>
        <w:t xml:space="preserve"> </w:t>
      </w:r>
      <w:r w:rsidRPr="00BE5FBE">
        <w:rPr>
          <w:rFonts w:ascii="Palatino Linotype" w:eastAsia="Palatino Linotype" w:hAnsi="Palatino Linotype" w:cs="Palatino Linotype"/>
          <w:b/>
          <w:i/>
        </w:rPr>
        <w:t>Listas de raya o nómina de personal</w:t>
      </w:r>
      <w:r w:rsidRPr="00BE5FBE">
        <w:rPr>
          <w:rFonts w:ascii="Palatino Linotype" w:eastAsia="Palatino Linotype" w:hAnsi="Palatino Linotype" w:cs="Palatino Linotype"/>
          <w:i/>
        </w:rPr>
        <w:t xml:space="preserve">, </w:t>
      </w:r>
      <w:r w:rsidRPr="00BE5FBE">
        <w:rPr>
          <w:rFonts w:ascii="Palatino Linotype" w:eastAsia="Palatino Linotype" w:hAnsi="Palatino Linotype" w:cs="Palatino Linotype"/>
          <w:b/>
          <w:i/>
        </w:rPr>
        <w:t xml:space="preserve">cuando se lleven en el centro de trabajo; o recibos de pagos de salarios; </w:t>
      </w:r>
    </w:p>
    <w:p w:rsidR="00337BEB" w:rsidRPr="00BE5FBE" w:rsidRDefault="000B245E">
      <w:pPr>
        <w:ind w:left="567"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p>
    <w:p w:rsidR="00337BEB" w:rsidRPr="00BE5FBE" w:rsidRDefault="000B245E">
      <w:pPr>
        <w:ind w:left="567"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BE5FBE">
        <w:rPr>
          <w:rFonts w:ascii="Palatino Linotype" w:eastAsia="Palatino Linotype" w:hAnsi="Palatino Linotype" w:cs="Palatino Linotype"/>
          <w:b/>
          <w:i/>
        </w:rPr>
        <w:t>los señalados en las fracciones II, III y IV, durante el último año y un año después de que se extinga la relación laboral</w:t>
      </w:r>
      <w:r w:rsidRPr="00BE5FBE">
        <w:rPr>
          <w:rFonts w:ascii="Palatino Linotype" w:eastAsia="Palatino Linotype" w:hAnsi="Palatino Linotype" w:cs="Palatino Linotype"/>
          <w:i/>
        </w:rPr>
        <w:t>; y los mencionados en la fracción V, conforme lo señalen las Leyes que los rijan.” (Sic)</w:t>
      </w:r>
    </w:p>
    <w:p w:rsidR="00337BEB" w:rsidRPr="00BE5FBE" w:rsidRDefault="00337BEB">
      <w:pPr>
        <w:spacing w:line="360" w:lineRule="auto"/>
        <w:ind w:left="851" w:right="901"/>
        <w:jc w:val="both"/>
        <w:rPr>
          <w:rFonts w:ascii="Palatino Linotype" w:eastAsia="Palatino Linotype" w:hAnsi="Palatino Linotype" w:cs="Palatino Linotype"/>
        </w:rPr>
      </w:pPr>
    </w:p>
    <w:p w:rsidR="00337BEB" w:rsidRPr="00BE5FBE" w:rsidRDefault="000B245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En ese contexto, tratándose de servidores públicos de los Municipios la Ley del Trabajo de los Servidores Públicos del Estado y Municipios, en su artículo 220-K, establece lo siguiente:</w:t>
      </w:r>
    </w:p>
    <w:p w:rsidR="00337BEB" w:rsidRPr="00BE5FBE" w:rsidRDefault="000B245E">
      <w:pPr>
        <w:tabs>
          <w:tab w:val="left" w:pos="9072"/>
        </w:tabs>
        <w:spacing w:before="240"/>
        <w:ind w:left="851" w:right="851"/>
        <w:jc w:val="both"/>
        <w:rPr>
          <w:rFonts w:ascii="Palatino Linotype" w:eastAsia="Palatino Linotype" w:hAnsi="Palatino Linotype" w:cs="Palatino Linotype"/>
          <w:i/>
        </w:rPr>
      </w:pPr>
      <w:r w:rsidRPr="00BE5FBE">
        <w:rPr>
          <w:rFonts w:ascii="Palatino Linotype" w:eastAsia="Palatino Linotype" w:hAnsi="Palatino Linotype" w:cs="Palatino Linotype"/>
          <w:b/>
          <w:i/>
        </w:rPr>
        <w:t>“ARTÍCULO 220 K.-</w:t>
      </w:r>
      <w:r w:rsidRPr="00BE5FBE">
        <w:rPr>
          <w:rFonts w:ascii="Palatino Linotype" w:eastAsia="Palatino Linotype" w:hAnsi="Palatino Linotype" w:cs="Palatino Linotype"/>
          <w:i/>
        </w:rPr>
        <w:t xml:space="preserve"> La </w:t>
      </w:r>
      <w:r w:rsidRPr="00BE5FBE">
        <w:rPr>
          <w:rFonts w:ascii="Palatino Linotype" w:eastAsia="Palatino Linotype" w:hAnsi="Palatino Linotype" w:cs="Palatino Linotype"/>
          <w:b/>
          <w:i/>
        </w:rPr>
        <w:t>institución o dependencia pública tiene la obligación de conservar y exhibir en el proceso los documentos que a continuación</w:t>
      </w:r>
      <w:r w:rsidRPr="00BE5FBE">
        <w:rPr>
          <w:rFonts w:ascii="Palatino Linotype" w:eastAsia="Palatino Linotype" w:hAnsi="Palatino Linotype" w:cs="Palatino Linotype"/>
          <w:i/>
        </w:rPr>
        <w:t xml:space="preserve"> </w:t>
      </w:r>
      <w:r w:rsidRPr="00BE5FBE">
        <w:rPr>
          <w:rFonts w:ascii="Palatino Linotype" w:eastAsia="Palatino Linotype" w:hAnsi="Palatino Linotype" w:cs="Palatino Linotype"/>
          <w:b/>
          <w:i/>
        </w:rPr>
        <w:t>se precisan</w:t>
      </w:r>
      <w:r w:rsidRPr="00BE5FBE">
        <w:rPr>
          <w:rFonts w:ascii="Palatino Linotype" w:eastAsia="Palatino Linotype" w:hAnsi="Palatino Linotype" w:cs="Palatino Linotype"/>
          <w:i/>
        </w:rPr>
        <w:t>:</w:t>
      </w:r>
    </w:p>
    <w:p w:rsidR="00337BEB" w:rsidRPr="00BE5FBE" w:rsidRDefault="000B245E">
      <w:pPr>
        <w:tabs>
          <w:tab w:val="left" w:pos="9072"/>
        </w:tabs>
        <w:ind w:left="851"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p>
    <w:p w:rsidR="00337BEB" w:rsidRPr="00BE5FBE" w:rsidRDefault="000B245E">
      <w:pPr>
        <w:tabs>
          <w:tab w:val="left" w:pos="9072"/>
        </w:tabs>
        <w:ind w:left="851" w:right="851"/>
        <w:jc w:val="both"/>
        <w:rPr>
          <w:rFonts w:ascii="Palatino Linotype" w:eastAsia="Palatino Linotype" w:hAnsi="Palatino Linotype" w:cs="Palatino Linotype"/>
          <w:b/>
          <w:i/>
        </w:rPr>
      </w:pPr>
      <w:r w:rsidRPr="00BE5FBE">
        <w:rPr>
          <w:rFonts w:ascii="Palatino Linotype" w:eastAsia="Palatino Linotype" w:hAnsi="Palatino Linotype" w:cs="Palatino Linotype"/>
          <w:i/>
        </w:rPr>
        <w:t xml:space="preserve">II. </w:t>
      </w:r>
      <w:r w:rsidRPr="00BE5FBE">
        <w:rPr>
          <w:rFonts w:ascii="Palatino Linotype" w:eastAsia="Palatino Linotype" w:hAnsi="Palatino Linotype" w:cs="Palatino Linotype"/>
          <w:b/>
          <w:i/>
        </w:rPr>
        <w:t>Recibos de pagos de salarios o</w:t>
      </w:r>
      <w:r w:rsidRPr="00BE5FBE">
        <w:rPr>
          <w:rFonts w:ascii="Palatino Linotype" w:eastAsia="Palatino Linotype" w:hAnsi="Palatino Linotype" w:cs="Palatino Linotype"/>
          <w:i/>
        </w:rPr>
        <w:t xml:space="preserve"> </w:t>
      </w:r>
      <w:r w:rsidRPr="00BE5FBE">
        <w:rPr>
          <w:rFonts w:ascii="Palatino Linotype" w:eastAsia="Palatino Linotype" w:hAnsi="Palatino Linotype" w:cs="Palatino Linotype"/>
          <w:b/>
          <w:i/>
        </w:rPr>
        <w:t>las constancias documentales del pago de salario</w:t>
      </w:r>
      <w:r w:rsidRPr="00BE5FBE">
        <w:rPr>
          <w:rFonts w:ascii="Palatino Linotype" w:eastAsia="Palatino Linotype" w:hAnsi="Palatino Linotype" w:cs="Palatino Linotype"/>
          <w:i/>
        </w:rPr>
        <w:t xml:space="preserve"> </w:t>
      </w:r>
      <w:r w:rsidRPr="00BE5FBE">
        <w:rPr>
          <w:rFonts w:ascii="Palatino Linotype" w:eastAsia="Palatino Linotype" w:hAnsi="Palatino Linotype" w:cs="Palatino Linotype"/>
          <w:b/>
          <w:i/>
        </w:rPr>
        <w:t xml:space="preserve">cuando </w:t>
      </w:r>
      <w:r w:rsidRPr="00BE5FBE">
        <w:rPr>
          <w:rFonts w:ascii="Palatino Linotype" w:eastAsia="Palatino Linotype" w:hAnsi="Palatino Linotype" w:cs="Palatino Linotype"/>
          <w:b/>
          <w:i/>
          <w:u w:val="single"/>
        </w:rPr>
        <w:t>sea por depósito o mediante información electrónica</w:t>
      </w:r>
      <w:r w:rsidRPr="00BE5FBE">
        <w:rPr>
          <w:rFonts w:ascii="Palatino Linotype" w:eastAsia="Palatino Linotype" w:hAnsi="Palatino Linotype" w:cs="Palatino Linotype"/>
          <w:b/>
          <w:i/>
        </w:rPr>
        <w:t>;</w:t>
      </w:r>
    </w:p>
    <w:p w:rsidR="00337BEB" w:rsidRPr="00BE5FBE" w:rsidRDefault="000B245E">
      <w:pPr>
        <w:tabs>
          <w:tab w:val="left" w:pos="9072"/>
        </w:tabs>
        <w:ind w:left="851"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w:t>
      </w:r>
    </w:p>
    <w:p w:rsidR="00337BEB" w:rsidRPr="00BE5FBE" w:rsidRDefault="000B245E">
      <w:pPr>
        <w:tabs>
          <w:tab w:val="left" w:pos="9072"/>
        </w:tabs>
        <w:ind w:left="851"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337BEB" w:rsidRPr="00BE5FBE" w:rsidRDefault="000B245E">
      <w:pPr>
        <w:tabs>
          <w:tab w:val="left" w:pos="9072"/>
        </w:tabs>
        <w:ind w:left="851" w:right="851"/>
        <w:jc w:val="both"/>
        <w:rPr>
          <w:rFonts w:ascii="Palatino Linotype" w:eastAsia="Palatino Linotype" w:hAnsi="Palatino Linotype" w:cs="Palatino Linotype"/>
          <w:i/>
        </w:rPr>
      </w:pPr>
      <w:r w:rsidRPr="00BE5FBE">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337BEB" w:rsidRPr="00BE5FBE" w:rsidRDefault="00337BEB">
      <w:pPr>
        <w:spacing w:line="360" w:lineRule="auto"/>
        <w:ind w:left="851" w:right="901"/>
        <w:jc w:val="both"/>
        <w:rPr>
          <w:rFonts w:ascii="Palatino Linotype" w:eastAsia="Palatino Linotype" w:hAnsi="Palatino Linotype" w:cs="Palatino Linotype"/>
        </w:rPr>
      </w:pPr>
    </w:p>
    <w:p w:rsidR="00AF7E8C" w:rsidRPr="00BE5FBE" w:rsidRDefault="000B245E" w:rsidP="00AF7E8C">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AF7E8C" w:rsidRPr="00BE5FBE" w:rsidRDefault="00AF7E8C" w:rsidP="00AF7E8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F7E8C" w:rsidRPr="00BE5FBE" w:rsidRDefault="00AF7E8C" w:rsidP="00AF7E8C">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Ahora bien en atención al área que emitió la respuesta siendo la Tesorería del Sistema Municipal para el Desarrollo Integral de la Familia de Huehuetoca, el artículo 15 de la Ley que crea los Organismos Públicos Descentralizados de Asistencia Social, de Carácter </w:t>
      </w:r>
      <w:r w:rsidRPr="00BE5FBE">
        <w:rPr>
          <w:rFonts w:ascii="Palatino Linotype" w:eastAsia="Palatino Linotype" w:hAnsi="Palatino Linotype" w:cs="Palatino Linotype"/>
          <w:color w:val="000000"/>
        </w:rPr>
        <w:lastRenderedPageBreak/>
        <w:t>Municipal, Denominados "Sistemas Municipales para el Desarrollo Integral de La Familia" establecen:</w:t>
      </w:r>
    </w:p>
    <w:p w:rsidR="00AF7E8C" w:rsidRPr="00BE5FBE" w:rsidRDefault="00AF7E8C" w:rsidP="00AF7E8C">
      <w:pPr>
        <w:ind w:left="851" w:right="822"/>
        <w:jc w:val="both"/>
        <w:rPr>
          <w:rFonts w:ascii="Palatino Linotype" w:hAnsi="Palatino Linotype"/>
          <w:b/>
          <w:bCs/>
          <w:i/>
        </w:rPr>
      </w:pPr>
      <w:r w:rsidRPr="00BE5FBE">
        <w:rPr>
          <w:rFonts w:ascii="Palatino Linotype" w:hAnsi="Palatino Linotype"/>
          <w:b/>
          <w:bCs/>
          <w:i/>
        </w:rPr>
        <w:t>Artículo 15.-</w:t>
      </w:r>
      <w:r w:rsidRPr="00BE5FBE">
        <w:rPr>
          <w:rFonts w:ascii="Palatino Linotype" w:hAnsi="Palatino Linotype"/>
          <w:bCs/>
          <w:i/>
        </w:rPr>
        <w:t xml:space="preserve"> El </w:t>
      </w:r>
      <w:r w:rsidRPr="00BE5FBE">
        <w:rPr>
          <w:rFonts w:ascii="Palatino Linotype" w:hAnsi="Palatino Linotype"/>
          <w:b/>
          <w:bCs/>
          <w:i/>
        </w:rPr>
        <w:t>Tesorero será el responsable del manejo del presupuesto</w:t>
      </w:r>
      <w:r w:rsidRPr="00BE5FBE">
        <w:rPr>
          <w:rFonts w:ascii="Palatino Linotype" w:hAnsi="Palatino Linotype"/>
          <w:bCs/>
          <w:i/>
        </w:rPr>
        <w:t xml:space="preserve"> </w:t>
      </w:r>
      <w:r w:rsidRPr="00BE5FBE">
        <w:rPr>
          <w:rFonts w:ascii="Palatino Linotype" w:hAnsi="Palatino Linotype"/>
          <w:b/>
          <w:bCs/>
          <w:i/>
        </w:rPr>
        <w:t>del Sistema Municipal</w:t>
      </w:r>
      <w:r w:rsidRPr="00BE5FBE">
        <w:rPr>
          <w:rFonts w:ascii="Palatino Linotype" w:hAnsi="Palatino Linotype"/>
          <w:bCs/>
          <w:i/>
        </w:rPr>
        <w:t xml:space="preserve">, </w:t>
      </w:r>
      <w:r w:rsidRPr="00BE5FBE">
        <w:rPr>
          <w:rFonts w:ascii="Palatino Linotype" w:hAnsi="Palatino Linotype"/>
          <w:b/>
          <w:bCs/>
          <w:i/>
        </w:rPr>
        <w:t>y de la administración de los recursos</w:t>
      </w:r>
      <w:r w:rsidRPr="00BE5FBE">
        <w:rPr>
          <w:rFonts w:ascii="Palatino Linotype" w:hAnsi="Palatino Linotype"/>
          <w:bCs/>
          <w:i/>
        </w:rPr>
        <w:t xml:space="preserve"> que conforman el patrimonio del organismo, lo cual hará en coordinación con el Director, debiendo informar los estados financieros mensualmente a la Junta de Gobierno o cuando ésta y la presidencia lo soliciten, además tendrá las siguientes atribuciones:</w:t>
      </w:r>
      <w:r w:rsidRPr="00BE5FBE">
        <w:rPr>
          <w:rFonts w:ascii="Palatino Linotype" w:hAnsi="Palatino Linotype"/>
          <w:b/>
          <w:bCs/>
          <w:i/>
        </w:rPr>
        <w:t xml:space="preserve"> </w:t>
      </w:r>
    </w:p>
    <w:p w:rsidR="00AF7E8C" w:rsidRPr="00BE5FBE" w:rsidRDefault="00AF7E8C" w:rsidP="00AF7E8C">
      <w:pPr>
        <w:ind w:left="851" w:right="822"/>
        <w:jc w:val="both"/>
        <w:rPr>
          <w:rFonts w:ascii="Palatino Linotype" w:hAnsi="Palatino Linotype"/>
          <w:b/>
          <w:bCs/>
          <w:i/>
        </w:rPr>
      </w:pPr>
    </w:p>
    <w:p w:rsidR="00AF7E8C" w:rsidRPr="00BE5FBE" w:rsidRDefault="00AF7E8C" w:rsidP="00AF7E8C">
      <w:pPr>
        <w:ind w:left="851" w:right="822"/>
        <w:jc w:val="both"/>
        <w:rPr>
          <w:rFonts w:ascii="Palatino Linotype" w:hAnsi="Palatino Linotype"/>
          <w:b/>
          <w:bCs/>
          <w:i/>
        </w:rPr>
      </w:pPr>
      <w:r w:rsidRPr="00BE5FBE">
        <w:rPr>
          <w:rFonts w:ascii="Palatino Linotype" w:hAnsi="Palatino Linotype"/>
          <w:b/>
          <w:bCs/>
          <w:i/>
        </w:rPr>
        <w:t xml:space="preserve">I. Administrar los recursos que conforman el patrimonio del organismo de conformidad con lo establecido en las disposiciones legales aplicables; </w:t>
      </w:r>
    </w:p>
    <w:p w:rsidR="00AF7E8C" w:rsidRPr="00BE5FBE" w:rsidRDefault="00AF7E8C" w:rsidP="00AF7E8C">
      <w:pPr>
        <w:ind w:left="851" w:right="822"/>
        <w:jc w:val="both"/>
        <w:rPr>
          <w:rFonts w:ascii="Palatino Linotype" w:hAnsi="Palatino Linotype"/>
          <w:bCs/>
          <w:i/>
        </w:rPr>
      </w:pPr>
      <w:r w:rsidRPr="00BE5FBE">
        <w:rPr>
          <w:rFonts w:ascii="Palatino Linotype" w:hAnsi="Palatino Linotype"/>
          <w:bCs/>
          <w:i/>
        </w:rPr>
        <w:t>II. Llevar los libros y registros contables, financieros y administrativos de los ingresos, egresos e inventarios;</w:t>
      </w:r>
    </w:p>
    <w:p w:rsidR="00AF7E8C" w:rsidRPr="00BE5FBE" w:rsidRDefault="00AF7E8C" w:rsidP="00AF7E8C">
      <w:pPr>
        <w:ind w:left="851" w:right="822"/>
        <w:jc w:val="both"/>
        <w:rPr>
          <w:rFonts w:ascii="Palatino Linotype" w:hAnsi="Palatino Linotype"/>
          <w:i/>
        </w:rPr>
      </w:pPr>
      <w:r w:rsidRPr="00BE5FBE">
        <w:rPr>
          <w:rFonts w:ascii="Palatino Linotype" w:hAnsi="Palatino Linotype"/>
          <w:i/>
        </w:rPr>
        <w:t xml:space="preserve">III. Proporcionar oportunamente a la Junta de Gobierno todos los datos e informes que sean necesarios para la formulación del Presupuesto de Egresos del organismo, vigilando que se ajuste a las disposiciones legales aplicables; </w:t>
      </w:r>
    </w:p>
    <w:p w:rsidR="00AF7E8C" w:rsidRPr="00BE5FBE" w:rsidRDefault="00AF7E8C" w:rsidP="00AF7E8C">
      <w:pPr>
        <w:ind w:left="851" w:right="822"/>
        <w:jc w:val="both"/>
        <w:rPr>
          <w:rFonts w:ascii="Palatino Linotype" w:hAnsi="Palatino Linotype"/>
          <w:i/>
        </w:rPr>
      </w:pPr>
      <w:r w:rsidRPr="00BE5FBE">
        <w:rPr>
          <w:rFonts w:ascii="Palatino Linotype" w:hAnsi="Palatino Linotype"/>
          <w:i/>
        </w:rPr>
        <w:t xml:space="preserve">IV. Presentar anualmente a la Junta de Gobierno un informe de la situación contable financiera de la Tesorería del Organismo; </w:t>
      </w:r>
    </w:p>
    <w:p w:rsidR="00AF7E8C" w:rsidRPr="00BE5FBE" w:rsidRDefault="00AF7E8C" w:rsidP="00AF7E8C">
      <w:pPr>
        <w:ind w:left="851" w:right="822"/>
        <w:jc w:val="both"/>
        <w:rPr>
          <w:rFonts w:ascii="Palatino Linotype" w:hAnsi="Palatino Linotype"/>
          <w:i/>
        </w:rPr>
      </w:pPr>
      <w:r w:rsidRPr="00BE5FBE">
        <w:rPr>
          <w:rFonts w:ascii="Palatino Linotype" w:hAnsi="Palatino Linotype"/>
          <w:i/>
        </w:rPr>
        <w:t xml:space="preserve">V. Contestar oportunamente los pliegos de observaciones y responsabilidades que haga el Órgano Superior de Fiscalización del Estado de México, así como atender en tiempo y forma las solicitudes de información que éste requiera, informando al Consejo Directivo. </w:t>
      </w:r>
    </w:p>
    <w:p w:rsidR="00AF7E8C" w:rsidRPr="00BE5FBE" w:rsidRDefault="00AF7E8C" w:rsidP="00AF7E8C">
      <w:pPr>
        <w:ind w:left="851" w:right="822"/>
        <w:jc w:val="both"/>
        <w:rPr>
          <w:rFonts w:ascii="Palatino Linotype" w:hAnsi="Palatino Linotype"/>
          <w:i/>
        </w:rPr>
      </w:pPr>
      <w:r w:rsidRPr="00BE5FBE">
        <w:rPr>
          <w:rFonts w:ascii="Palatino Linotype" w:hAnsi="Palatino Linotype"/>
          <w:i/>
        </w:rPr>
        <w:t xml:space="preserve">VI. Certificar los documentos a su cuidado, por acuerdo expreso de la Junta de Gobierno y cuando se trate de documentación presentada ante el Órgano Superior de Fiscalización del Estado de México; </w:t>
      </w:r>
    </w:p>
    <w:p w:rsidR="00AF7E8C" w:rsidRPr="00BE5FBE" w:rsidRDefault="00AF7E8C" w:rsidP="00AF7E8C">
      <w:pPr>
        <w:ind w:left="851" w:right="822"/>
        <w:jc w:val="both"/>
        <w:rPr>
          <w:rFonts w:ascii="Palatino Linotype" w:hAnsi="Palatino Linotype"/>
          <w:i/>
        </w:rPr>
      </w:pPr>
      <w:r w:rsidRPr="00BE5FBE">
        <w:rPr>
          <w:rFonts w:ascii="Palatino Linotype" w:hAnsi="Palatino Linotype"/>
          <w:i/>
        </w:rPr>
        <w:t xml:space="preserve">VII. Integrar y autorizar con su firma, la documentación que deba presentarse al Órgano Superior de Fiscalización del Estado de México; y </w:t>
      </w:r>
    </w:p>
    <w:p w:rsidR="00AF7E8C" w:rsidRPr="00BE5FBE" w:rsidRDefault="00AF7E8C" w:rsidP="00AF7E8C">
      <w:pPr>
        <w:ind w:left="851" w:right="822"/>
        <w:jc w:val="both"/>
        <w:rPr>
          <w:rFonts w:ascii="Palatino Linotype" w:hAnsi="Palatino Linotype"/>
          <w:i/>
        </w:rPr>
      </w:pPr>
      <w:r w:rsidRPr="00BE5FBE">
        <w:rPr>
          <w:rFonts w:ascii="Palatino Linotype" w:hAnsi="Palatino Linotype"/>
          <w:i/>
        </w:rPr>
        <w:t>VIII. Las demás que le confieran los ordenamientos legales y la Junta de Gobierno.</w:t>
      </w:r>
    </w:p>
    <w:p w:rsidR="00337BEB" w:rsidRPr="00BE5FBE" w:rsidRDefault="00337BEB">
      <w:pPr>
        <w:spacing w:line="360" w:lineRule="auto"/>
        <w:jc w:val="both"/>
        <w:rPr>
          <w:rFonts w:ascii="Palatino Linotype" w:eastAsia="Palatino Linotype" w:hAnsi="Palatino Linotype" w:cs="Palatino Linotype"/>
        </w:rPr>
      </w:pPr>
    </w:p>
    <w:p w:rsidR="00337BEB" w:rsidRPr="00BE5FBE" w:rsidRDefault="000B245E">
      <w:pPr>
        <w:numPr>
          <w:ilvl w:val="0"/>
          <w:numId w:val="11"/>
        </w:num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Como lo establece el artículo citado en el párrafo anterior la </w:t>
      </w:r>
      <w:r w:rsidR="00DB639A" w:rsidRPr="00BE5FBE">
        <w:rPr>
          <w:rFonts w:ascii="Palatino Linotype" w:eastAsia="Palatino Linotype" w:hAnsi="Palatino Linotype" w:cs="Palatino Linotype"/>
          <w:color w:val="000000"/>
        </w:rPr>
        <w:t xml:space="preserve">Tesorería Municipal </w:t>
      </w:r>
      <w:r w:rsidRPr="00BE5FBE">
        <w:rPr>
          <w:rFonts w:ascii="Palatino Linotype" w:eastAsia="Palatino Linotype" w:hAnsi="Palatino Linotype" w:cs="Palatino Linotype"/>
          <w:color w:val="000000"/>
        </w:rPr>
        <w:t xml:space="preserve">es </w:t>
      </w:r>
      <w:r w:rsidR="00DB639A" w:rsidRPr="00BE5FBE">
        <w:rPr>
          <w:rFonts w:ascii="Palatino Linotype" w:eastAsia="Palatino Linotype" w:hAnsi="Palatino Linotype" w:cs="Palatino Linotype"/>
          <w:color w:val="000000"/>
        </w:rPr>
        <w:t xml:space="preserve">la </w:t>
      </w:r>
      <w:r w:rsidRPr="00BE5FBE">
        <w:rPr>
          <w:rFonts w:ascii="Palatino Linotype" w:eastAsia="Palatino Linotype" w:hAnsi="Palatino Linotype" w:cs="Palatino Linotype"/>
          <w:color w:val="000000"/>
        </w:rPr>
        <w:t xml:space="preserve">responsable </w:t>
      </w:r>
      <w:r w:rsidR="00AF7E8C" w:rsidRPr="00BE5FBE">
        <w:rPr>
          <w:rFonts w:ascii="Palatino Linotype" w:eastAsia="Palatino Linotype" w:hAnsi="Palatino Linotype" w:cs="Palatino Linotype"/>
          <w:color w:val="000000"/>
        </w:rPr>
        <w:t>administrar los recursos del Organismo,</w:t>
      </w:r>
      <w:r w:rsidRPr="00BE5FBE">
        <w:rPr>
          <w:rFonts w:ascii="Palatino Linotype" w:eastAsia="Palatino Linotype" w:hAnsi="Palatino Linotype" w:cs="Palatino Linotype"/>
          <w:color w:val="000000"/>
        </w:rPr>
        <w:t xml:space="preserve"> por tanto </w:t>
      </w:r>
      <w:r w:rsidR="00AF7E8C" w:rsidRPr="00BE5FBE">
        <w:rPr>
          <w:rFonts w:ascii="Palatino Linotype" w:eastAsia="Palatino Linotype" w:hAnsi="Palatino Linotype" w:cs="Palatino Linotype"/>
          <w:color w:val="000000"/>
        </w:rPr>
        <w:t>es</w:t>
      </w:r>
      <w:r w:rsidRPr="00BE5FBE">
        <w:rPr>
          <w:rFonts w:ascii="Palatino Linotype" w:eastAsia="Palatino Linotype" w:hAnsi="Palatino Linotype" w:cs="Palatino Linotype"/>
          <w:color w:val="000000"/>
        </w:rPr>
        <w:t xml:space="preserve"> el área competente que posee la información solicitada por el particular.</w:t>
      </w:r>
    </w:p>
    <w:p w:rsidR="00337BEB" w:rsidRPr="00BE5FBE" w:rsidRDefault="00337BEB">
      <w:pPr>
        <w:spacing w:line="360" w:lineRule="auto"/>
        <w:jc w:val="both"/>
        <w:rPr>
          <w:rFonts w:ascii="Palatino Linotype" w:eastAsia="Palatino Linotype" w:hAnsi="Palatino Linotype" w:cs="Palatino Linotype"/>
          <w:color w:val="000000"/>
        </w:rPr>
      </w:pPr>
    </w:p>
    <w:p w:rsidR="00337BEB" w:rsidRPr="00BE5FBE" w:rsidRDefault="000B245E">
      <w:pPr>
        <w:numPr>
          <w:ilvl w:val="0"/>
          <w:numId w:val="11"/>
        </w:num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 xml:space="preserve">Por lo anterior se reconoce que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cuenta con la obligación de generar los documentos en donde conste la información requerida por el particular, siendo el documento idóneo, </w:t>
      </w:r>
      <w:r w:rsidR="00DB639A" w:rsidRPr="00BE5FBE">
        <w:rPr>
          <w:rFonts w:ascii="Palatino Linotype" w:eastAsia="Palatino Linotype" w:hAnsi="Palatino Linotype" w:cs="Palatino Linotype"/>
          <w:color w:val="000000"/>
        </w:rPr>
        <w:t>los Recibos de Nómina</w:t>
      </w:r>
      <w:r w:rsidRPr="00BE5FBE">
        <w:rPr>
          <w:rFonts w:ascii="Palatino Linotype" w:eastAsia="Palatino Linotype" w:hAnsi="Palatino Linotype" w:cs="Palatino Linotype"/>
          <w:color w:val="000000"/>
        </w:rPr>
        <w:t xml:space="preserve">. </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0B70D2" w:rsidRPr="00BE5FBE" w:rsidRDefault="000B245E">
      <w:pPr>
        <w:numPr>
          <w:ilvl w:val="0"/>
          <w:numId w:val="11"/>
        </w:num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Precisado lo anterior, resulta viable establecer que a pesar de que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cuenta con la información solicitada, este no garantizó el derecho de acceso a la información del </w:t>
      </w:r>
      <w:r w:rsidR="000B70D2" w:rsidRPr="00BE5FBE">
        <w:rPr>
          <w:rFonts w:ascii="Palatino Linotype" w:eastAsia="Palatino Linotype" w:hAnsi="Palatino Linotype" w:cs="Palatino Linotype"/>
          <w:color w:val="000000"/>
        </w:rPr>
        <w:t xml:space="preserve">particular, argumentando que los documentos solicitados se ponen a disposición en la modalidad de consulta directa; situación de la que se duele el impetrante; así mismo, que en caso de requerir la reproducción de la información tendría que acudir a las instalaciones que ocupan las oficinas centrales del DIF Municipal, a cubrir el costo de las misma, sin embargo el </w:t>
      </w:r>
      <w:r w:rsidR="000B70D2" w:rsidRPr="00BE5FBE">
        <w:rPr>
          <w:rFonts w:ascii="Palatino Linotype" w:eastAsia="Palatino Linotype" w:hAnsi="Palatino Linotype" w:cs="Palatino Linotype"/>
          <w:b/>
          <w:color w:val="000000"/>
        </w:rPr>
        <w:t xml:space="preserve">SUJETO OBLIGADO, </w:t>
      </w:r>
      <w:r w:rsidR="000B70D2" w:rsidRPr="00BE5FBE">
        <w:rPr>
          <w:rFonts w:ascii="Palatino Linotype" w:eastAsia="Palatino Linotype" w:hAnsi="Palatino Linotype" w:cs="Palatino Linotype"/>
          <w:color w:val="000000"/>
        </w:rPr>
        <w:t>no motiva ni fundamento el cambio de modalidad ofrecido, solo se limita a referirlo.</w:t>
      </w:r>
    </w:p>
    <w:p w:rsidR="000B70D2" w:rsidRPr="00BE5FBE" w:rsidRDefault="000B70D2" w:rsidP="000B70D2">
      <w:pPr>
        <w:pStyle w:val="Prrafodelista"/>
        <w:rPr>
          <w:rFonts w:ascii="Palatino Linotype" w:eastAsia="Palatino Linotype" w:hAnsi="Palatino Linotype" w:cs="Palatino Linotype"/>
          <w:color w:val="000000"/>
        </w:rPr>
      </w:pPr>
    </w:p>
    <w:p w:rsidR="00337BEB" w:rsidRPr="00BE5FBE" w:rsidRDefault="000B70D2" w:rsidP="00E37EE2">
      <w:pPr>
        <w:numPr>
          <w:ilvl w:val="0"/>
          <w:numId w:val="11"/>
        </w:numPr>
        <w:spacing w:line="360" w:lineRule="auto"/>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color w:val="000000"/>
        </w:rPr>
        <w:t>En continuidad, conviene reiterar que el particular solicito los recibos de nómina del tercer trimestre del ejercicio fiscal dos mil veinticinco, es decir de la primera quincena de julio a la segunda qui</w:t>
      </w:r>
      <w:r w:rsidR="004329C0" w:rsidRPr="00BE5FBE">
        <w:rPr>
          <w:rFonts w:ascii="Palatino Linotype" w:eastAsia="Palatino Linotype" w:hAnsi="Palatino Linotype" w:cs="Palatino Linotype"/>
          <w:color w:val="000000"/>
        </w:rPr>
        <w:t>nce</w:t>
      </w:r>
      <w:r w:rsidRPr="00BE5FBE">
        <w:rPr>
          <w:rFonts w:ascii="Palatino Linotype" w:eastAsia="Palatino Linotype" w:hAnsi="Palatino Linotype" w:cs="Palatino Linotype"/>
          <w:color w:val="000000"/>
        </w:rPr>
        <w:t>na de septiembre</w:t>
      </w:r>
      <w:r w:rsidR="004329C0" w:rsidRPr="00BE5FBE">
        <w:rPr>
          <w:rFonts w:ascii="Palatino Linotype" w:eastAsia="Palatino Linotype" w:hAnsi="Palatino Linotype" w:cs="Palatino Linotype"/>
          <w:color w:val="000000"/>
        </w:rPr>
        <w:t xml:space="preserve"> de dos mil veinticinco, </w:t>
      </w:r>
      <w:r w:rsidRPr="00BE5FBE">
        <w:rPr>
          <w:rFonts w:ascii="Palatino Linotype" w:eastAsia="Palatino Linotype" w:hAnsi="Palatino Linotype" w:cs="Palatino Linotype"/>
          <w:color w:val="000000"/>
        </w:rPr>
        <w:t xml:space="preserve">de </w:t>
      </w:r>
      <w:r w:rsidR="004329C0" w:rsidRPr="00BE5FBE">
        <w:rPr>
          <w:rFonts w:ascii="Palatino Linotype" w:eastAsia="Palatino Linotype" w:hAnsi="Palatino Linotype" w:cs="Palatino Linotype"/>
          <w:b/>
          <w:color w:val="000000"/>
        </w:rPr>
        <w:t xml:space="preserve">la Directora General, Coordinadora de la UIPPE, Coordinadora de la Unidad de Transparencia, Tesorero y de la Jefa de Recursos Humanos, </w:t>
      </w:r>
      <w:r w:rsidRPr="00BE5FBE">
        <w:rPr>
          <w:rFonts w:ascii="Palatino Linotype" w:eastAsia="Palatino Linotype" w:hAnsi="Palatino Linotype" w:cs="Palatino Linotype"/>
          <w:color w:val="000000"/>
        </w:rPr>
        <w:t>lo que alude a que se están requiriendo 30 recibos de nómina</w:t>
      </w:r>
      <w:r w:rsidR="004329C0" w:rsidRPr="00BE5FBE">
        <w:rPr>
          <w:rFonts w:ascii="Palatino Linotype" w:eastAsia="Palatino Linotype" w:hAnsi="Palatino Linotype" w:cs="Palatino Linotype"/>
          <w:color w:val="000000"/>
        </w:rPr>
        <w:t xml:space="preserve">; </w:t>
      </w:r>
      <w:r w:rsidR="000B245E" w:rsidRPr="00BE5FBE">
        <w:rPr>
          <w:rFonts w:ascii="Palatino Linotype" w:eastAsia="Palatino Linotype" w:hAnsi="Palatino Linotype" w:cs="Palatino Linotype"/>
          <w:color w:val="000000"/>
        </w:rPr>
        <w:t>documento</w:t>
      </w:r>
      <w:r w:rsidRPr="00BE5FBE">
        <w:rPr>
          <w:rFonts w:ascii="Palatino Linotype" w:eastAsia="Palatino Linotype" w:hAnsi="Palatino Linotype" w:cs="Palatino Linotype"/>
          <w:color w:val="000000"/>
        </w:rPr>
        <w:t>s</w:t>
      </w:r>
      <w:r w:rsidR="000B245E" w:rsidRPr="00BE5FBE">
        <w:rPr>
          <w:rFonts w:ascii="Palatino Linotype" w:eastAsia="Palatino Linotype" w:hAnsi="Palatino Linotype" w:cs="Palatino Linotype"/>
          <w:color w:val="000000"/>
        </w:rPr>
        <w:t xml:space="preserve"> </w:t>
      </w:r>
      <w:r w:rsidRPr="00BE5FBE">
        <w:rPr>
          <w:rFonts w:ascii="Palatino Linotype" w:eastAsia="Palatino Linotype" w:hAnsi="Palatino Linotype" w:cs="Palatino Linotype"/>
          <w:color w:val="000000"/>
        </w:rPr>
        <w:t xml:space="preserve">que </w:t>
      </w:r>
      <w:r w:rsidR="004329C0" w:rsidRPr="00BE5FBE">
        <w:rPr>
          <w:rFonts w:ascii="Palatino Linotype" w:eastAsia="Palatino Linotype" w:hAnsi="Palatino Linotype" w:cs="Palatino Linotype"/>
          <w:color w:val="000000"/>
        </w:rPr>
        <w:t xml:space="preserve">se considera </w:t>
      </w:r>
      <w:r w:rsidRPr="00BE5FBE">
        <w:rPr>
          <w:rFonts w:ascii="Palatino Linotype" w:eastAsia="Palatino Linotype" w:hAnsi="Palatino Linotype" w:cs="Palatino Linotype"/>
          <w:color w:val="000000"/>
        </w:rPr>
        <w:t xml:space="preserve">no </w:t>
      </w:r>
      <w:r w:rsidR="000B245E" w:rsidRPr="00BE5FBE">
        <w:rPr>
          <w:rFonts w:ascii="Palatino Linotype" w:eastAsia="Palatino Linotype" w:hAnsi="Palatino Linotype" w:cs="Palatino Linotype"/>
          <w:color w:val="000000"/>
        </w:rPr>
        <w:t>sobrepasa</w:t>
      </w:r>
      <w:r w:rsidRPr="00BE5FBE">
        <w:rPr>
          <w:rFonts w:ascii="Palatino Linotype" w:eastAsia="Palatino Linotype" w:hAnsi="Palatino Linotype" w:cs="Palatino Linotype"/>
          <w:color w:val="000000"/>
        </w:rPr>
        <w:t>n</w:t>
      </w:r>
      <w:r w:rsidR="000B245E" w:rsidRPr="00BE5FBE">
        <w:rPr>
          <w:rFonts w:ascii="Palatino Linotype" w:eastAsia="Palatino Linotype" w:hAnsi="Palatino Linotype" w:cs="Palatino Linotype"/>
          <w:color w:val="000000"/>
        </w:rPr>
        <w:t xml:space="preserve"> las capacidades técnicas, administrativas y humanas, </w:t>
      </w:r>
      <w:r w:rsidRPr="00BE5FBE">
        <w:rPr>
          <w:rFonts w:ascii="Palatino Linotype" w:eastAsia="Palatino Linotype" w:hAnsi="Palatino Linotype" w:cs="Palatino Linotype"/>
          <w:color w:val="000000"/>
        </w:rPr>
        <w:t xml:space="preserve">del </w:t>
      </w:r>
      <w:r w:rsidRPr="00BE5FBE">
        <w:rPr>
          <w:rFonts w:ascii="Palatino Linotype" w:eastAsia="Palatino Linotype" w:hAnsi="Palatino Linotype" w:cs="Palatino Linotype"/>
          <w:b/>
          <w:color w:val="000000"/>
        </w:rPr>
        <w:t xml:space="preserve">SUJETO OBLIGADO, </w:t>
      </w:r>
      <w:r w:rsidRPr="00BE5FBE">
        <w:rPr>
          <w:rFonts w:ascii="Palatino Linotype" w:eastAsia="Palatino Linotype" w:hAnsi="Palatino Linotype" w:cs="Palatino Linotype"/>
          <w:color w:val="000000"/>
        </w:rPr>
        <w:t xml:space="preserve">así mismo, </w:t>
      </w:r>
      <w:r w:rsidR="000B245E" w:rsidRPr="00BE5FBE">
        <w:rPr>
          <w:rFonts w:ascii="Palatino Linotype" w:eastAsia="Palatino Linotype" w:hAnsi="Palatino Linotype" w:cs="Palatino Linotype"/>
          <w:color w:val="000000"/>
        </w:rPr>
        <w:t>no rebasa</w:t>
      </w:r>
      <w:r w:rsidRPr="00BE5FBE">
        <w:rPr>
          <w:rFonts w:ascii="Palatino Linotype" w:eastAsia="Palatino Linotype" w:hAnsi="Palatino Linotype" w:cs="Palatino Linotype"/>
          <w:color w:val="000000"/>
        </w:rPr>
        <w:t>n</w:t>
      </w:r>
      <w:r w:rsidR="000B245E" w:rsidRPr="00BE5FBE">
        <w:rPr>
          <w:rFonts w:ascii="Palatino Linotype" w:eastAsia="Palatino Linotype" w:hAnsi="Palatino Linotype" w:cs="Palatino Linotype"/>
          <w:color w:val="000000"/>
        </w:rPr>
        <w:t xml:space="preserve"> la capacidad de 8,000 hojas permitido por el sistema SAIMEX; además</w:t>
      </w:r>
      <w:r w:rsidR="004329C0" w:rsidRPr="00BE5FBE">
        <w:rPr>
          <w:rFonts w:ascii="Palatino Linotype" w:eastAsia="Palatino Linotype" w:hAnsi="Palatino Linotype" w:cs="Palatino Linotype"/>
          <w:color w:val="000000"/>
        </w:rPr>
        <w:t xml:space="preserve"> cabe precisar que</w:t>
      </w:r>
      <w:r w:rsidR="000B245E" w:rsidRPr="00BE5FBE">
        <w:rPr>
          <w:rFonts w:ascii="Palatino Linotype" w:eastAsia="Palatino Linotype" w:hAnsi="Palatino Linotype" w:cs="Palatino Linotype"/>
          <w:color w:val="000000"/>
        </w:rPr>
        <w:t xml:space="preserve"> no realizó el reporte de incidencias ante la Dirección de Informática, específicamente en el área de so</w:t>
      </w:r>
      <w:r w:rsidR="00EB4509" w:rsidRPr="00BE5FBE">
        <w:rPr>
          <w:rFonts w:ascii="Palatino Linotype" w:eastAsia="Palatino Linotype" w:hAnsi="Palatino Linotype" w:cs="Palatino Linotype"/>
          <w:color w:val="000000"/>
        </w:rPr>
        <w:t>porte técnico de este instituto</w:t>
      </w:r>
      <w:r w:rsidRPr="00BE5FBE">
        <w:rPr>
          <w:rFonts w:ascii="Palatino Linotype" w:eastAsia="Palatino Linotype" w:hAnsi="Palatino Linotype" w:cs="Palatino Linotype"/>
          <w:color w:val="000000"/>
        </w:rPr>
        <w:t>, ni mucho menos ofreció las diversas modalidades de entrega de la información</w:t>
      </w:r>
      <w:r w:rsidR="000B245E" w:rsidRPr="00BE5FBE">
        <w:rPr>
          <w:rFonts w:ascii="Palatino Linotype" w:eastAsia="Palatino Linotype" w:hAnsi="Palatino Linotype" w:cs="Palatino Linotype"/>
          <w:color w:val="000000"/>
        </w:rPr>
        <w:t xml:space="preserve">, por tanto no proporciona la certeza jurídica para este Órgano Resolutor pueda confirmar el </w:t>
      </w:r>
      <w:r w:rsidR="000B245E" w:rsidRPr="00BE5FBE">
        <w:rPr>
          <w:rFonts w:ascii="Palatino Linotype" w:eastAsia="Palatino Linotype" w:hAnsi="Palatino Linotype" w:cs="Palatino Linotype"/>
          <w:color w:val="000000"/>
        </w:rPr>
        <w:lastRenderedPageBreak/>
        <w:t xml:space="preserve">cambio de modalidad que se pretende hacer valer, ya que si bien es cierto, el documento solicitado no sobrepasa las capacidades utilizando la resolución sugerida de 150Dpi´s en escala de grises y formato PDF, extraído del escáner, </w:t>
      </w:r>
      <w:r w:rsidR="000B245E" w:rsidRPr="00BE5FBE">
        <w:rPr>
          <w:rFonts w:ascii="Palatino Linotype" w:eastAsia="Palatino Linotype" w:hAnsi="Palatino Linotype" w:cs="Palatino Linotype"/>
          <w:b/>
          <w:color w:val="000000"/>
        </w:rPr>
        <w:t>lo que conlleva a poder hacer entrega de la información vía SAIMEX.</w:t>
      </w:r>
    </w:p>
    <w:p w:rsidR="00337BEB" w:rsidRPr="00BE5FBE" w:rsidRDefault="00337BEB">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p>
    <w:p w:rsidR="00337BEB" w:rsidRPr="00BE5FBE" w:rsidRDefault="000B245E">
      <w:pPr>
        <w:numPr>
          <w:ilvl w:val="0"/>
          <w:numId w:val="11"/>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334D65" w:rsidRPr="00BE5FBE" w:rsidRDefault="00334D65" w:rsidP="00334D65">
      <w:pPr>
        <w:pStyle w:val="Prrafodelista"/>
        <w:numPr>
          <w:ilvl w:val="0"/>
          <w:numId w:val="11"/>
        </w:num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rPr>
        <w:t xml:space="preserve">Así mismo, cabe precisar que el entonces Órgano Garante Nacional, ha considerado es necesario demostrar los impedimentos con el fin de privilegiar el Principio de Gratuidad y Máxima Publicidad; argumentos que encuentran sustento dentro diversas de sus resoluciones de Recursos de Inconformidad como el RIA 136/20, RIA 140/20, RIA 153/20 RIA 237/20, RIA 257/20, RIA 258/20. </w:t>
      </w:r>
    </w:p>
    <w:p w:rsidR="00334D65" w:rsidRPr="00BE5FBE" w:rsidRDefault="00334D65" w:rsidP="00BE5FBE">
      <w:pPr>
        <w:pStyle w:val="Prrafodelista"/>
        <w:spacing w:line="360" w:lineRule="auto"/>
        <w:ind w:left="0"/>
        <w:jc w:val="both"/>
        <w:rPr>
          <w:rFonts w:ascii="Palatino Linotype" w:eastAsia="Palatino Linotype" w:hAnsi="Palatino Linotype" w:cs="Palatino Linotype"/>
        </w:rPr>
      </w:pPr>
    </w:p>
    <w:p w:rsidR="00334D65" w:rsidRPr="00BE5FBE" w:rsidRDefault="00334D65" w:rsidP="00334D65">
      <w:pPr>
        <w:pStyle w:val="Prrafodelista"/>
        <w:numPr>
          <w:ilvl w:val="0"/>
          <w:numId w:val="11"/>
        </w:numPr>
        <w:spacing w:line="360" w:lineRule="auto"/>
        <w:ind w:right="-28"/>
        <w:jc w:val="both"/>
        <w:rPr>
          <w:rFonts w:ascii="Palatino Linotype" w:eastAsia="Palatino Linotype" w:hAnsi="Palatino Linotype" w:cs="Palatino Linotype"/>
        </w:rPr>
      </w:pPr>
      <w:r w:rsidRPr="00BE5FBE">
        <w:rPr>
          <w:rFonts w:ascii="Palatino Linotype" w:eastAsia="Palatino Linotype" w:hAnsi="Palatino Linotype" w:cs="Palatino Linotype"/>
        </w:rPr>
        <w:t>Además, precisan que no se debe ceñir el cambio de modalidad, directamente a consulta directa, sino que los sujetos obligados, deben de buscar la posibilidad de proporcionarla en las otras formas que establecen en la Ley, ya sean electrónicas o físicas.</w:t>
      </w:r>
    </w:p>
    <w:p w:rsidR="00334D65" w:rsidRPr="00BE5FBE" w:rsidRDefault="00334D65" w:rsidP="00334D65">
      <w:pPr>
        <w:pStyle w:val="Prrafodelista"/>
        <w:spacing w:line="360" w:lineRule="auto"/>
        <w:ind w:left="0" w:right="-28"/>
        <w:jc w:val="both"/>
        <w:rPr>
          <w:rFonts w:ascii="Palatino Linotype" w:eastAsia="Palatino Linotype" w:hAnsi="Palatino Linotype" w:cs="Palatino Linotype"/>
        </w:rPr>
      </w:pPr>
    </w:p>
    <w:p w:rsidR="00334D65" w:rsidRPr="00BE5FBE" w:rsidRDefault="00334D65" w:rsidP="00334D65">
      <w:pPr>
        <w:pStyle w:val="Prrafodelista"/>
        <w:numPr>
          <w:ilvl w:val="0"/>
          <w:numId w:val="11"/>
        </w:numPr>
        <w:spacing w:line="360" w:lineRule="auto"/>
        <w:ind w:right="-28"/>
        <w:jc w:val="both"/>
        <w:rPr>
          <w:rFonts w:ascii="Palatino Linotype" w:eastAsia="Palatino Linotype" w:hAnsi="Palatino Linotype" w:cs="Palatino Linotype"/>
          <w:b/>
        </w:rPr>
      </w:pPr>
      <w:r w:rsidRPr="00BE5FBE">
        <w:rPr>
          <w:rFonts w:ascii="Palatino Linotype" w:eastAsia="Palatino Linotype" w:hAnsi="Palatino Linotype" w:cs="Palatino Linotype"/>
        </w:rPr>
        <w:lastRenderedPageBreak/>
        <w:t xml:space="preserve">Conforme a lo anterior, cabe precisar que el </w:t>
      </w:r>
      <w:r w:rsidRPr="00BE5FBE">
        <w:rPr>
          <w:rFonts w:ascii="Palatino Linotype" w:eastAsia="Palatino Linotype" w:hAnsi="Palatino Linotype" w:cs="Palatino Linotype"/>
          <w:b/>
        </w:rPr>
        <w:t xml:space="preserve">Sujeto Obligado </w:t>
      </w:r>
      <w:r w:rsidRPr="00BE5FBE">
        <w:rPr>
          <w:rFonts w:ascii="Palatino Linotype" w:eastAsia="Palatino Linotype" w:hAnsi="Palatino Linotype" w:cs="Palatino Linotype"/>
        </w:rPr>
        <w:t>omitió ponerla a disposición en todas las modalidades posibles, como por ejemplo, la entrega a través de un dispositivo USB o disco duro extraíble, sin costo si la persona solicitante los proporciona; correo certificado, previo pago de los costos de reproducción y envío, así como habilitar una liga electrónica en una plataforma electrónica de almacenamiento, entre otras.</w:t>
      </w:r>
    </w:p>
    <w:p w:rsidR="00334D65" w:rsidRPr="00BE5FBE" w:rsidRDefault="00334D65" w:rsidP="00334D65">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Derivado de todo lo anteriormente señalado, al no fundar y motivar el cambio de entrega de la información resulta dable ordenar la entrega de la información vía SAIMEX, de ser el caso de que la información que se </w:t>
      </w:r>
      <w:r w:rsidRPr="00BE5FBE">
        <w:rPr>
          <w:rFonts w:ascii="Palatino Linotype" w:eastAsia="Palatino Linotype" w:hAnsi="Palatino Linotype" w:cs="Palatino Linotype"/>
          <w:b/>
          <w:color w:val="000000"/>
        </w:rPr>
        <w:t xml:space="preserve">ORDENA </w:t>
      </w:r>
      <w:r w:rsidRPr="00BE5FBE">
        <w:rPr>
          <w:rFonts w:ascii="Palatino Linotype" w:eastAsia="Palatino Linotype" w:hAnsi="Palatino Linotype" w:cs="Palatino Linotype"/>
          <w:color w:val="000000"/>
        </w:rPr>
        <w:t xml:space="preserve">entregar contenga datos personales susceptibles de clasificarse como confidenciales, 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estará a lo dispuesto en el Considerando que más adelante se enuncia.</w:t>
      </w:r>
    </w:p>
    <w:p w:rsidR="00337BEB" w:rsidRPr="00BE5FBE" w:rsidRDefault="00337BEB">
      <w:pPr>
        <w:tabs>
          <w:tab w:val="left" w:pos="284"/>
        </w:tabs>
        <w:spacing w:line="360" w:lineRule="auto"/>
        <w:ind w:right="49"/>
        <w:jc w:val="both"/>
        <w:rPr>
          <w:rFonts w:ascii="Palatino Linotype" w:eastAsia="Palatino Linotype" w:hAnsi="Palatino Linotype" w:cs="Palatino Linotype"/>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Con la determinación a la que se arriba se concluye que quedará por colmado el Derecho de Acceso a la Información Pública del ahora </w:t>
      </w:r>
      <w:r w:rsidRPr="00BE5FBE">
        <w:rPr>
          <w:rFonts w:ascii="Palatino Linotype" w:eastAsia="Palatino Linotype" w:hAnsi="Palatino Linotype" w:cs="Palatino Linotype"/>
          <w:b/>
          <w:color w:val="000000"/>
        </w:rPr>
        <w:t>RECURRENTE</w:t>
      </w:r>
      <w:r w:rsidRPr="00BE5FBE">
        <w:rPr>
          <w:rFonts w:ascii="Palatino Linotype" w:eastAsia="Palatino Linotype" w:hAnsi="Palatino Linotype" w:cs="Palatino Linotype"/>
          <w:color w:val="000000"/>
        </w:rPr>
        <w:t xml:space="preserve"> el cual se define como: </w:t>
      </w:r>
      <w:r w:rsidRPr="00BE5FBE">
        <w:rPr>
          <w:rFonts w:ascii="Palatino Linotype" w:eastAsia="Palatino Linotype" w:hAnsi="Palatino Linotype" w:cs="Palatino Linotype"/>
          <w:i/>
          <w:color w:val="000000"/>
        </w:rPr>
        <w:t>La igualdad de oportunidades para recibir, buscar e impartir información</w:t>
      </w:r>
      <w:r w:rsidRPr="00BE5FBE">
        <w:rPr>
          <w:i/>
          <w:color w:val="000000"/>
          <w:vertAlign w:val="superscript"/>
        </w:rPr>
        <w:footnoteReference w:id="1"/>
      </w:r>
      <w:r w:rsidRPr="00BE5FBE">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w:t>
      </w:r>
      <w:r w:rsidRPr="00BE5FBE">
        <w:rPr>
          <w:rFonts w:ascii="Palatino Linotype" w:eastAsia="Palatino Linotype" w:hAnsi="Palatino Linotype" w:cs="Palatino Linotype"/>
          <w:color w:val="000000"/>
        </w:rPr>
        <w:t>física</w:t>
      </w:r>
      <w:r w:rsidRPr="00BE5FBE">
        <w:rPr>
          <w:rFonts w:ascii="Palatino Linotype" w:eastAsia="Palatino Linotype" w:hAnsi="Palatino Linotype" w:cs="Palatino Linotype"/>
          <w:i/>
          <w:color w:val="000000"/>
        </w:rPr>
        <w:t>, moral o sindicato que reciba y ejerza recursos públicos o realice actos de autoridad en el ámbito federal, estatal y municipal,</w:t>
      </w:r>
      <w:r w:rsidRPr="00BE5FBE">
        <w:rPr>
          <w:i/>
          <w:color w:val="000000"/>
          <w:vertAlign w:val="superscript"/>
        </w:rPr>
        <w:footnoteReference w:id="2"/>
      </w:r>
      <w:r w:rsidRPr="00BE5FBE">
        <w:rPr>
          <w:rFonts w:ascii="Palatino Linotype" w:eastAsia="Palatino Linotype" w:hAnsi="Palatino Linotype" w:cs="Palatino Linotype"/>
          <w:color w:val="000000"/>
        </w:rPr>
        <w:t>que se constituye como una herramienta fundamental para ejercer</w:t>
      </w:r>
      <w:r w:rsidRPr="00BE5FBE">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BE5FBE">
        <w:rPr>
          <w:i/>
          <w:color w:val="000000"/>
          <w:vertAlign w:val="superscript"/>
        </w:rPr>
        <w:footnoteReference w:id="3"/>
      </w:r>
      <w:r w:rsidRPr="00BE5FBE">
        <w:rPr>
          <w:rFonts w:ascii="Palatino Linotype" w:eastAsia="Palatino Linotype" w:hAnsi="Palatino Linotype" w:cs="Palatino Linotype"/>
          <w:color w:val="000000"/>
        </w:rPr>
        <w:t>fomentando</w:t>
      </w:r>
      <w:r w:rsidRPr="00BE5FBE">
        <w:rPr>
          <w:rFonts w:ascii="Palatino Linotype" w:eastAsia="Palatino Linotype" w:hAnsi="Palatino Linotype" w:cs="Palatino Linotype"/>
          <w:i/>
          <w:color w:val="000000"/>
        </w:rPr>
        <w:t xml:space="preserve"> la transparencia de </w:t>
      </w:r>
      <w:r w:rsidRPr="00BE5FBE">
        <w:rPr>
          <w:rFonts w:ascii="Palatino Linotype" w:eastAsia="Palatino Linotype" w:hAnsi="Palatino Linotype" w:cs="Palatino Linotype"/>
          <w:i/>
          <w:color w:val="000000"/>
        </w:rPr>
        <w:lastRenderedPageBreak/>
        <w:t xml:space="preserve">las actividades estatales y </w:t>
      </w:r>
      <w:r w:rsidRPr="00BE5FBE">
        <w:rPr>
          <w:rFonts w:ascii="Palatino Linotype" w:eastAsia="Palatino Linotype" w:hAnsi="Palatino Linotype" w:cs="Palatino Linotype"/>
          <w:color w:val="000000"/>
        </w:rPr>
        <w:t>promoviendo</w:t>
      </w:r>
      <w:r w:rsidRPr="00BE5FBE">
        <w:rPr>
          <w:rFonts w:ascii="Palatino Linotype" w:eastAsia="Palatino Linotype" w:hAnsi="Palatino Linotype" w:cs="Palatino Linotype"/>
          <w:i/>
          <w:color w:val="000000"/>
        </w:rPr>
        <w:t xml:space="preserve"> la responsabilidad de los funcionarios sobre su gestión pública,</w:t>
      </w:r>
      <w:r w:rsidRPr="00BE5FBE">
        <w:rPr>
          <w:i/>
          <w:color w:val="000000"/>
          <w:vertAlign w:val="superscript"/>
        </w:rPr>
        <w:footnoteReference w:id="4"/>
      </w:r>
      <w:r w:rsidRPr="00BE5FBE">
        <w:rPr>
          <w:rFonts w:ascii="Palatino Linotype" w:eastAsia="Palatino Linotype" w:hAnsi="Palatino Linotype" w:cs="Palatino Linotype"/>
          <w:color w:val="000000"/>
        </w:rPr>
        <w:t>que permite</w:t>
      </w:r>
      <w:r w:rsidRPr="00BE5FBE">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337BEB" w:rsidRPr="00BE5FBE" w:rsidRDefault="00337BEB">
      <w:pPr>
        <w:tabs>
          <w:tab w:val="left" w:pos="284"/>
        </w:tabs>
        <w:spacing w:line="360" w:lineRule="auto"/>
        <w:rPr>
          <w:rFonts w:ascii="Palatino Linotype" w:eastAsia="Palatino Linotype" w:hAnsi="Palatino Linotype" w:cs="Palatino Linotype"/>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color w:val="000000"/>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337BEB" w:rsidRPr="00BE5FBE" w:rsidRDefault="000B245E">
      <w:pPr>
        <w:tabs>
          <w:tab w:val="left" w:pos="284"/>
        </w:tabs>
        <w:spacing w:line="360" w:lineRule="auto"/>
        <w:jc w:val="both"/>
        <w:rPr>
          <w:rFonts w:ascii="Palatino Linotype" w:eastAsia="Palatino Linotype" w:hAnsi="Palatino Linotype" w:cs="Palatino Linotype"/>
          <w:i/>
        </w:rPr>
      </w:pPr>
      <w:r w:rsidRPr="00BE5FBE">
        <w:rPr>
          <w:rFonts w:ascii="Palatino Linotype" w:eastAsia="Palatino Linotype" w:hAnsi="Palatino Linotype" w:cs="Palatino Linotype"/>
          <w:i/>
        </w:rPr>
        <w:t xml:space="preserve"> </w:t>
      </w: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sidRPr="00BE5FBE">
        <w:rPr>
          <w:rFonts w:ascii="Palatino Linotype" w:eastAsia="Palatino Linotype" w:hAnsi="Palatino Linotype" w:cs="Palatino Linotype"/>
          <w:i/>
          <w:color w:val="000000"/>
        </w:rPr>
        <w:t>por los principios de simplicidad, rapidez gratuidad del procedimiento, auxilio y orientación a los particulares</w:t>
      </w:r>
      <w:r w:rsidRPr="00BE5FBE">
        <w:rPr>
          <w:rFonts w:ascii="Palatino Linotype" w:eastAsia="Palatino Linotype" w:hAnsi="Palatino Linotype" w:cs="Palatino Linotype"/>
          <w:color w:val="000000"/>
        </w:rPr>
        <w:t xml:space="preserve">, contemplando el derecho de las personas con discapacidad y hablantes de lengua indígena. </w:t>
      </w:r>
    </w:p>
    <w:p w:rsidR="00337BEB" w:rsidRPr="00BE5FBE" w:rsidRDefault="00337BEB">
      <w:pPr>
        <w:tabs>
          <w:tab w:val="left" w:pos="284"/>
        </w:tabs>
        <w:spacing w:line="360" w:lineRule="auto"/>
        <w:jc w:val="both"/>
        <w:rPr>
          <w:rFonts w:ascii="Palatino Linotype" w:eastAsia="Palatino Linotype" w:hAnsi="Palatino Linotype" w:cs="Palatino Linotype"/>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Es así que la </w:t>
      </w:r>
      <w:r w:rsidRPr="00BE5FBE">
        <w:rPr>
          <w:rFonts w:ascii="Palatino Linotype" w:eastAsia="Palatino Linotype" w:hAnsi="Palatino Linotype" w:cs="Palatino Linotype"/>
          <w:b/>
          <w:color w:val="000000"/>
        </w:rPr>
        <w:t xml:space="preserve">Ley de Transparencia y Acceso a la Información Pública del Estado de México y Municipios, </w:t>
      </w:r>
      <w:r w:rsidRPr="00BE5FBE">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sidRPr="00BE5FBE">
        <w:rPr>
          <w:rFonts w:ascii="Palatino Linotype" w:eastAsia="Palatino Linotype" w:hAnsi="Palatino Linotype" w:cs="Palatino Linotype"/>
          <w:b/>
          <w:color w:val="000000"/>
        </w:rPr>
        <w:t xml:space="preserve"> </w:t>
      </w:r>
      <w:r w:rsidRPr="00BE5FBE">
        <w:rPr>
          <w:rFonts w:ascii="Palatino Linotype" w:eastAsia="Palatino Linotype" w:hAnsi="Palatino Linotype" w:cs="Palatino Linotype"/>
          <w:color w:val="000000"/>
        </w:rPr>
        <w:t xml:space="preserve">establece que </w:t>
      </w:r>
      <w:r w:rsidRPr="00BE5FBE">
        <w:rPr>
          <w:rFonts w:ascii="Palatino Linotype" w:eastAsia="Palatino Linotype" w:hAnsi="Palatino Linotype" w:cs="Palatino Linotype"/>
          <w:b/>
          <w:i/>
          <w:color w:val="000000"/>
          <w:u w:val="single"/>
        </w:rPr>
        <w:t>el recurso de revisión es la garantía secundaria</w:t>
      </w:r>
      <w:r w:rsidRPr="00BE5FBE">
        <w:rPr>
          <w:rFonts w:ascii="Palatino Linotype" w:eastAsia="Palatino Linotype" w:hAnsi="Palatino Linotype" w:cs="Palatino Linotype"/>
          <w:b/>
          <w:i/>
          <w:color w:val="000000"/>
        </w:rPr>
        <w:t xml:space="preserve"> mediante la cual se pretende reparar cualquier posible afectación al derecho de acceso a la información pública</w:t>
      </w:r>
      <w:r w:rsidRPr="00BE5FBE">
        <w:rPr>
          <w:rFonts w:ascii="Palatino Linotype" w:eastAsia="Palatino Linotype" w:hAnsi="Palatino Linotype" w:cs="Palatino Linotype"/>
          <w:b/>
          <w:color w:val="000000"/>
        </w:rPr>
        <w:t>, s</w:t>
      </w:r>
      <w:r w:rsidRPr="00BE5FBE">
        <w:rPr>
          <w:rFonts w:ascii="Palatino Linotype" w:eastAsia="Palatino Linotype" w:hAnsi="Palatino Linotype" w:cs="Palatino Linotype"/>
          <w:color w:val="000000"/>
        </w:rPr>
        <w:t xml:space="preserve">iendo éste el medio a través del cual, este Órgano Garante después de realizar el análisis al procedimiento de acceso a la </w:t>
      </w:r>
      <w:r w:rsidRPr="00BE5FBE">
        <w:rPr>
          <w:rFonts w:ascii="Palatino Linotype" w:eastAsia="Palatino Linotype" w:hAnsi="Palatino Linotype" w:cs="Palatino Linotype"/>
          <w:color w:val="000000"/>
        </w:rPr>
        <w:lastRenderedPageBreak/>
        <w:t xml:space="preserve">información, podrá determinar la posible afectación y de ser el caso ordenar la reparación a la violación del derecho en cuestión.  </w:t>
      </w:r>
    </w:p>
    <w:p w:rsidR="00337BEB" w:rsidRPr="00BE5FBE" w:rsidRDefault="00337BEB">
      <w:pPr>
        <w:pBdr>
          <w:top w:val="nil"/>
          <w:left w:val="nil"/>
          <w:bottom w:val="nil"/>
          <w:right w:val="nil"/>
          <w:between w:val="nil"/>
        </w:pBdr>
        <w:spacing w:line="360" w:lineRule="auto"/>
        <w:ind w:left="708"/>
        <w:rPr>
          <w:rFonts w:ascii="Palatino Linotype" w:eastAsia="Palatino Linotype" w:hAnsi="Palatino Linotype" w:cs="Palatino Linotype"/>
          <w:b/>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337BEB" w:rsidRPr="00BE5FBE" w:rsidRDefault="000B245E">
      <w:pPr>
        <w:spacing w:line="360" w:lineRule="auto"/>
        <w:ind w:left="567" w:right="567"/>
        <w:jc w:val="both"/>
        <w:rPr>
          <w:rFonts w:ascii="Palatino Linotype" w:eastAsia="Palatino Linotype" w:hAnsi="Palatino Linotype" w:cs="Palatino Linotype"/>
          <w:b/>
          <w:i/>
        </w:rPr>
      </w:pPr>
      <w:r w:rsidRPr="00BE5FBE">
        <w:rPr>
          <w:rFonts w:ascii="Palatino Linotype" w:eastAsia="Palatino Linotype" w:hAnsi="Palatino Linotype" w:cs="Palatino Linotype"/>
          <w:b/>
          <w:i/>
        </w:rPr>
        <w:t>“CRITERIO 0002-11</w:t>
      </w: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BE5FB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i/>
        </w:rPr>
        <w:t>En consecuencia el acceso a la información se refiere a que se cumplan cualquiera de los siguientes tres supuestos:</w:t>
      </w: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337BEB" w:rsidRPr="00BE5FBE" w:rsidRDefault="000B245E">
      <w:pPr>
        <w:spacing w:line="360" w:lineRule="auto"/>
        <w:ind w:left="567" w:right="567"/>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rPr>
        <w:lastRenderedPageBreak/>
        <w:t>Que se trate de información registrada en cualquier soporte documental, que en ejercicio de las atribuciones conferidas, se encuentre en posesión de los Sujetos Obligados.”</w:t>
      </w:r>
    </w:p>
    <w:p w:rsidR="00337BEB" w:rsidRPr="00BE5FBE" w:rsidRDefault="00337BEB">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b/>
          <w:i/>
        </w:rPr>
        <w:t xml:space="preserve">XI. Documento: </w:t>
      </w:r>
      <w:r w:rsidRPr="00BE5FBE">
        <w:rPr>
          <w:rFonts w:ascii="Palatino Linotype" w:eastAsia="Palatino Linotype" w:hAnsi="Palatino Linotype" w:cs="Palatino Linotype"/>
          <w:i/>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337BEB" w:rsidRPr="00BE5FBE" w:rsidRDefault="00337BEB">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BE5FBE">
        <w:rPr>
          <w:rFonts w:ascii="Palatino Linotype" w:eastAsia="Palatino Linotype" w:hAnsi="Palatino Linotype" w:cs="Palatino Linotype"/>
          <w:b/>
          <w:color w:val="000000"/>
        </w:rPr>
        <w:t xml:space="preserve">los Sujetos Obligados </w:t>
      </w:r>
      <w:r w:rsidRPr="00BE5FBE">
        <w:rPr>
          <w:rFonts w:ascii="Palatino Linotype" w:eastAsia="Palatino Linotype" w:hAnsi="Palatino Linotype" w:cs="Palatino Linotype"/>
          <w:b/>
          <w:color w:val="000000"/>
        </w:rPr>
        <w:lastRenderedPageBreak/>
        <w:t>deberán documentar todo acto que se derive del ejercicio de sus facultades, competencias o funciones,</w:t>
      </w:r>
      <w:r w:rsidRPr="00BE5FBE">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337BEB" w:rsidRPr="00BE5FBE" w:rsidRDefault="00337BEB">
      <w:pPr>
        <w:pBdr>
          <w:top w:val="nil"/>
          <w:left w:val="nil"/>
          <w:bottom w:val="nil"/>
          <w:right w:val="nil"/>
          <w:between w:val="nil"/>
        </w:pBdr>
        <w:ind w:left="708"/>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b/>
          <w:i/>
        </w:rPr>
        <w:t xml:space="preserve">Artículo 4. </w:t>
      </w:r>
      <w:r w:rsidRPr="00BE5FBE">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337BEB" w:rsidRPr="00BE5FBE" w:rsidRDefault="00337BEB">
      <w:pPr>
        <w:spacing w:line="360" w:lineRule="auto"/>
        <w:ind w:left="567" w:right="567"/>
        <w:jc w:val="both"/>
        <w:rPr>
          <w:rFonts w:ascii="Palatino Linotype" w:eastAsia="Palatino Linotype" w:hAnsi="Palatino Linotype" w:cs="Palatino Linotype"/>
          <w:i/>
        </w:rPr>
      </w:pP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37BEB" w:rsidRPr="00BE5FBE" w:rsidRDefault="00337BEB">
      <w:pPr>
        <w:spacing w:line="360" w:lineRule="auto"/>
        <w:ind w:left="567" w:right="567"/>
        <w:jc w:val="both"/>
        <w:rPr>
          <w:rFonts w:ascii="Palatino Linotype" w:eastAsia="Palatino Linotype" w:hAnsi="Palatino Linotype" w:cs="Palatino Linotype"/>
          <w:i/>
        </w:rPr>
      </w:pPr>
    </w:p>
    <w:p w:rsidR="00337BEB" w:rsidRPr="00BE5FBE" w:rsidRDefault="000B245E">
      <w:pPr>
        <w:spacing w:line="360" w:lineRule="auto"/>
        <w:ind w:left="567" w:right="567"/>
        <w:jc w:val="both"/>
        <w:rPr>
          <w:rFonts w:ascii="Palatino Linotype" w:eastAsia="Palatino Linotype" w:hAnsi="Palatino Linotype" w:cs="Palatino Linotype"/>
          <w:i/>
        </w:rPr>
      </w:pPr>
      <w:r w:rsidRPr="00BE5FBE">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337BEB" w:rsidRPr="00BE5FBE" w:rsidRDefault="00337BEB">
      <w:pPr>
        <w:spacing w:line="360" w:lineRule="auto"/>
        <w:ind w:left="567" w:right="567"/>
        <w:jc w:val="both"/>
        <w:rPr>
          <w:rFonts w:ascii="Palatino Linotype" w:eastAsia="Palatino Linotype" w:hAnsi="Palatino Linotype" w:cs="Palatino Linotype"/>
          <w:i/>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b/>
          <w:color w:val="000000"/>
        </w:rPr>
        <w:lastRenderedPageBreak/>
        <w:t xml:space="preserve"> </w:t>
      </w:r>
      <w:r w:rsidRPr="00BE5FBE">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BE5FBE">
        <w:rPr>
          <w:color w:val="000000"/>
          <w:vertAlign w:val="superscript"/>
        </w:rPr>
        <w:footnoteReference w:id="5"/>
      </w:r>
      <w:r w:rsidRPr="00BE5FBE">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337BEB" w:rsidRPr="00BE5FBE" w:rsidRDefault="00337BE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Ahora bien, cabe la posibilidad de que dentro de la información solicitada, se encuentren documentos que contengan información que actualicen alguna de las causales de reserva o confidencialidad establecidas en los artículos 140 y 143 de la Ley de la materia, como por ejemplo oficios relacionados con procedimientos administrativos en trámite, es decir, que el principio de definitividad no se haya actualizado, por aún existir instancias para su revisión o impugnación o en su caso que no haya causado estado, dicha información reviste el carácter de información reservada y, en este caso, se deberá emitir un acuerdo que clasifique como reservado el procedimiento sobre responsabilidad administrativa. </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Por lo anterior, es necesario citar el artículo 140 de la Ley de Transparencia y Acceso a la Información Pública del Estado de México y Municipios, el cual precisa que, la información pública será de acceso restringido cuando por razones de interés público, esta sea clasificada como reservada, conforme a los criterios siguientes: </w:t>
      </w:r>
    </w:p>
    <w:p w:rsidR="00337BEB" w:rsidRPr="00BE5FBE" w:rsidRDefault="000B245E">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rsidR="00337BEB" w:rsidRPr="00BE5FBE" w:rsidRDefault="000B245E">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 Vulnere la conducción de los expedientes judiciales o de los procedimientos administrativos seguidos en forma de juicio, en tanto no hayan quedado firmes. </w:t>
      </w:r>
    </w:p>
    <w:p w:rsidR="00337BEB" w:rsidRPr="00BE5FBE" w:rsidRDefault="000B245E">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En ese sentido, cabe la posibilidad de que dentro de la información que se ordena, se encuentren documentos que contengan información que sí actualicen alguna de las causales de reserva o confidencialidad establecidas en los artículos 140 y 143 de la Ley de la materia, dicha información reviste el carácter de información reservada y en este caso, se deberá emitir un acuerdo que clasifique como reservado.</w:t>
      </w:r>
    </w:p>
    <w:p w:rsidR="00337BEB" w:rsidRPr="00BE5FBE" w:rsidRDefault="00337BEB">
      <w:pPr>
        <w:pBdr>
          <w:top w:val="nil"/>
          <w:left w:val="nil"/>
          <w:bottom w:val="nil"/>
          <w:right w:val="nil"/>
          <w:between w:val="nil"/>
        </w:pBdr>
        <w:ind w:left="720"/>
        <w:rPr>
          <w:rFonts w:ascii="Palatino Linotype" w:eastAsia="Palatino Linotype" w:hAnsi="Palatino Linotype" w:cs="Palatino Linotype"/>
          <w:color w:val="222222"/>
          <w:highlight w:val="cyan"/>
        </w:rPr>
      </w:pPr>
    </w:p>
    <w:p w:rsidR="00337BEB" w:rsidRPr="00BE5FBE" w:rsidRDefault="000B245E">
      <w:pPr>
        <w:keepNext/>
        <w:keepLines/>
        <w:spacing w:line="360" w:lineRule="auto"/>
        <w:rPr>
          <w:rFonts w:ascii="Palatino Linotype" w:eastAsia="Palatino Linotype" w:hAnsi="Palatino Linotype" w:cs="Palatino Linotype"/>
          <w:b/>
          <w:color w:val="000000"/>
        </w:rPr>
      </w:pPr>
      <w:bookmarkStart w:id="10" w:name="_heading=h.17dp8vu" w:colFirst="0" w:colLast="0"/>
      <w:bookmarkEnd w:id="10"/>
      <w:r w:rsidRPr="00BE5FBE">
        <w:rPr>
          <w:rFonts w:ascii="Palatino Linotype" w:eastAsia="Palatino Linotype" w:hAnsi="Palatino Linotype" w:cs="Palatino Linotype"/>
          <w:b/>
          <w:color w:val="000000"/>
        </w:rPr>
        <w:lastRenderedPageBreak/>
        <w:t>QUINTO. De la versión pública.</w:t>
      </w:r>
    </w:p>
    <w:p w:rsidR="00337BEB" w:rsidRPr="00BE5FBE" w:rsidRDefault="000B245E">
      <w:pPr>
        <w:keepNext/>
        <w:keepLines/>
        <w:numPr>
          <w:ilvl w:val="0"/>
          <w:numId w:val="9"/>
        </w:numPr>
        <w:tabs>
          <w:tab w:val="left" w:pos="284"/>
        </w:tabs>
        <w:spacing w:line="360" w:lineRule="auto"/>
        <w:rPr>
          <w:rFonts w:ascii="Palatino Linotype" w:eastAsia="Palatino Linotype" w:hAnsi="Palatino Linotype" w:cs="Palatino Linotype"/>
          <w:b/>
          <w:color w:val="000000"/>
        </w:rPr>
      </w:pPr>
      <w:bookmarkStart w:id="11" w:name="_heading=h.3rdcrjn" w:colFirst="0" w:colLast="0"/>
      <w:bookmarkEnd w:id="11"/>
      <w:r w:rsidRPr="00BE5FBE">
        <w:rPr>
          <w:rFonts w:ascii="Palatino Linotype" w:eastAsia="Palatino Linotype" w:hAnsi="Palatino Linotype" w:cs="Palatino Linotype"/>
          <w:b/>
          <w:color w:val="000000"/>
        </w:rPr>
        <w:t xml:space="preserve">Nociones generales. </w:t>
      </w: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Debe destacarse que, debido a la naturaleza de la información solicitada</w:t>
      </w:r>
      <w:r w:rsidRPr="00BE5FBE">
        <w:rPr>
          <w:rFonts w:ascii="Palatino Linotype" w:eastAsia="Palatino Linotype" w:hAnsi="Palatino Linotype" w:cs="Palatino Linotype"/>
          <w:b/>
          <w:color w:val="000000"/>
        </w:rPr>
        <w:t xml:space="preserve">, </w:t>
      </w:r>
      <w:r w:rsidRPr="00BE5FBE">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BE5FBE">
        <w:rPr>
          <w:rFonts w:ascii="Palatino Linotype" w:eastAsia="Palatino Linotype" w:hAnsi="Palatino Linotype" w:cs="Palatino Linotype"/>
          <w:b/>
          <w:color w:val="000000"/>
        </w:rPr>
        <w:t xml:space="preserve">SUJETO OBLIGADO </w:t>
      </w:r>
      <w:r w:rsidRPr="00BE5FB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37BEB" w:rsidRPr="00BE5FBE" w:rsidRDefault="00337BEB">
      <w:pPr>
        <w:tabs>
          <w:tab w:val="left" w:pos="0"/>
          <w:tab w:val="left" w:pos="284"/>
        </w:tabs>
        <w:spacing w:line="360" w:lineRule="auto"/>
        <w:ind w:right="49"/>
        <w:jc w:val="both"/>
        <w:rPr>
          <w:rFonts w:ascii="Palatino Linotype" w:eastAsia="Palatino Linotype" w:hAnsi="Palatino Linotype" w:cs="Palatino Linotype"/>
          <w:b/>
          <w:highlight w:val="yellow"/>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No pasa desapercibido para este Órgano Garante que los sujetos obligados</w:t>
      </w:r>
      <w:r w:rsidRPr="00BE5FBE">
        <w:rPr>
          <w:rFonts w:ascii="Palatino Linotype" w:eastAsia="Palatino Linotype" w:hAnsi="Palatino Linotype" w:cs="Palatino Linotype"/>
          <w:b/>
          <w:color w:val="000000"/>
        </w:rPr>
        <w:t xml:space="preserve"> </w:t>
      </w:r>
      <w:r w:rsidRPr="00BE5FB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37BEB" w:rsidRPr="00BE5FBE" w:rsidRDefault="00337BEB">
      <w:pPr>
        <w:tabs>
          <w:tab w:val="left" w:pos="284"/>
        </w:tabs>
        <w:spacing w:line="360" w:lineRule="auto"/>
        <w:ind w:right="49"/>
        <w:jc w:val="both"/>
        <w:rPr>
          <w:rFonts w:ascii="Palatino Linotype" w:eastAsia="Palatino Linotype" w:hAnsi="Palatino Linotype" w:cs="Palatino Linotype"/>
          <w:color w:val="000000"/>
        </w:rPr>
      </w:pPr>
    </w:p>
    <w:tbl>
      <w:tblPr>
        <w:tblStyle w:val="a5"/>
        <w:tblW w:w="9896"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07"/>
      </w:tblGrid>
      <w:tr w:rsidR="00337BEB" w:rsidRPr="00BE5FBE" w:rsidTr="00BE5FBE">
        <w:tc>
          <w:tcPr>
            <w:tcW w:w="2689" w:type="dxa"/>
          </w:tcPr>
          <w:p w:rsidR="00337BEB" w:rsidRPr="00BE5FBE" w:rsidRDefault="000B245E" w:rsidP="00BE5FBE">
            <w:pPr>
              <w:spacing w:line="360" w:lineRule="auto"/>
              <w:rPr>
                <w:rFonts w:ascii="Palatino Linotype" w:eastAsia="Palatino Linotype" w:hAnsi="Palatino Linotype" w:cs="Palatino Linotype"/>
              </w:rPr>
            </w:pPr>
            <w:r w:rsidRPr="00BE5FBE">
              <w:rPr>
                <w:rFonts w:ascii="Palatino Linotype" w:eastAsia="Palatino Linotype" w:hAnsi="Palatino Linotype" w:cs="Palatino Linotype"/>
              </w:rPr>
              <w:t>a) Requisitos previos.</w:t>
            </w:r>
          </w:p>
        </w:tc>
        <w:tc>
          <w:tcPr>
            <w:tcW w:w="7207" w:type="dxa"/>
          </w:tcPr>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337BEB" w:rsidRPr="00BE5FBE" w:rsidRDefault="000B245E" w:rsidP="00BE5FB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BE5FB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BE5FB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37BEB" w:rsidRPr="00BE5FBE" w:rsidTr="00BE5FBE">
        <w:tc>
          <w:tcPr>
            <w:tcW w:w="2689" w:type="dxa"/>
          </w:tcPr>
          <w:p w:rsidR="00337BEB" w:rsidRPr="00BE5FBE" w:rsidRDefault="000B245E" w:rsidP="00BE5FBE">
            <w:pPr>
              <w:spacing w:line="360" w:lineRule="auto"/>
              <w:rPr>
                <w:rFonts w:ascii="Palatino Linotype" w:eastAsia="Palatino Linotype" w:hAnsi="Palatino Linotype" w:cs="Palatino Linotype"/>
              </w:rPr>
            </w:pPr>
            <w:r w:rsidRPr="00BE5FBE">
              <w:rPr>
                <w:rFonts w:ascii="Palatino Linotype" w:eastAsia="Palatino Linotype" w:hAnsi="Palatino Linotype" w:cs="Palatino Linotype"/>
              </w:rPr>
              <w:lastRenderedPageBreak/>
              <w:t>b) Supuestos de clasificación.</w:t>
            </w:r>
          </w:p>
        </w:tc>
        <w:tc>
          <w:tcPr>
            <w:tcW w:w="7207" w:type="dxa"/>
          </w:tcPr>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37BEB" w:rsidRPr="00BE5FBE" w:rsidRDefault="000B245E" w:rsidP="00BE5FB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color w:val="000000"/>
              </w:rPr>
              <w:lastRenderedPageBreak/>
              <w:t xml:space="preserve">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37BEB" w:rsidRPr="00BE5FBE" w:rsidTr="00BE5FBE">
        <w:tc>
          <w:tcPr>
            <w:tcW w:w="2689" w:type="dxa"/>
          </w:tcPr>
          <w:p w:rsidR="00337BEB" w:rsidRPr="00BE5FBE" w:rsidRDefault="000B245E" w:rsidP="00BE5FBE">
            <w:pPr>
              <w:spacing w:line="360" w:lineRule="auto"/>
              <w:rPr>
                <w:rFonts w:ascii="Palatino Linotype" w:eastAsia="Palatino Linotype" w:hAnsi="Palatino Linotype" w:cs="Palatino Linotype"/>
              </w:rPr>
            </w:pPr>
            <w:r w:rsidRPr="00BE5FBE">
              <w:rPr>
                <w:rFonts w:ascii="Palatino Linotype" w:eastAsia="Palatino Linotype" w:hAnsi="Palatino Linotype" w:cs="Palatino Linotype"/>
              </w:rPr>
              <w:lastRenderedPageBreak/>
              <w:t>c) Formalidades para emitir el acuerdo de clasificación.</w:t>
            </w:r>
          </w:p>
        </w:tc>
        <w:tc>
          <w:tcPr>
            <w:tcW w:w="7207" w:type="dxa"/>
          </w:tcPr>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Es necesario que </w:t>
            </w:r>
            <w:r w:rsidRPr="00BE5FBE">
              <w:rPr>
                <w:rFonts w:ascii="Palatino Linotype" w:eastAsia="Palatino Linotype" w:hAnsi="Palatino Linotype" w:cs="Palatino Linotype"/>
                <w:b/>
                <w:color w:val="000000"/>
                <w:u w:val="single"/>
              </w:rPr>
              <w:t>el acto reúna con los requisitos elementales</w:t>
            </w:r>
            <w:r w:rsidRPr="00BE5FBE">
              <w:rPr>
                <w:rFonts w:ascii="Palatino Linotype" w:eastAsia="Palatino Linotype" w:hAnsi="Palatino Linotype" w:cs="Palatino Linotype"/>
                <w:color w:val="000000"/>
              </w:rPr>
              <w:t>, entre ellos, que la autoridad que va a emitir el acto de autoridad sea la legalmente facultada para ello.</w:t>
            </w:r>
          </w:p>
          <w:p w:rsidR="00337BEB" w:rsidRPr="00BE5FBE" w:rsidRDefault="000B245E" w:rsidP="00BE5FB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37BEB" w:rsidRPr="00BE5FBE" w:rsidTr="00BE5FBE">
        <w:tc>
          <w:tcPr>
            <w:tcW w:w="2689" w:type="dxa"/>
          </w:tcPr>
          <w:p w:rsidR="00337BEB" w:rsidRPr="00BE5FBE" w:rsidRDefault="00337BEB" w:rsidP="00BE5FBE">
            <w:pPr>
              <w:spacing w:line="360" w:lineRule="auto"/>
              <w:rPr>
                <w:rFonts w:ascii="Palatino Linotype" w:eastAsia="Palatino Linotype" w:hAnsi="Palatino Linotype" w:cs="Palatino Linotype"/>
              </w:rPr>
            </w:pPr>
          </w:p>
          <w:p w:rsidR="00337BEB" w:rsidRPr="00BE5FBE" w:rsidRDefault="000B245E" w:rsidP="00BE5FB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color w:val="000000"/>
              </w:rPr>
              <w:lastRenderedPageBreak/>
              <w:t xml:space="preserve">d) Requisitos de fondo del acuerdo de clasificación. </w:t>
            </w:r>
          </w:p>
        </w:tc>
        <w:tc>
          <w:tcPr>
            <w:tcW w:w="7207" w:type="dxa"/>
          </w:tcPr>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acreditar la estricta correspondencia entre un elemento y otro. </w:t>
            </w:r>
            <w:r w:rsidRPr="00BE5FBE">
              <w:rPr>
                <w:rFonts w:ascii="Palatino Linotype" w:eastAsia="Palatino Linotype" w:hAnsi="Palatino Linotype" w:cs="Palatino Linotype"/>
                <w:color w:val="000000"/>
              </w:rPr>
              <w:lastRenderedPageBreak/>
              <w:t xml:space="preserve">Ahora, en esta parte del procedimiento, que se desahoga en sede del Comité de Transparencia, la ley señala que la carga de la prueba, para justificar las restricciones, corresponde a los </w:t>
            </w:r>
            <w:r w:rsidRPr="00BE5FBE">
              <w:rPr>
                <w:rFonts w:ascii="Palatino Linotype" w:eastAsia="Palatino Linotype" w:hAnsi="Palatino Linotype" w:cs="Palatino Linotype"/>
                <w:b/>
                <w:color w:val="000000"/>
              </w:rPr>
              <w:t>Sujetos Obligados</w:t>
            </w:r>
            <w:r w:rsidRPr="00BE5FBE">
              <w:rPr>
                <w:rFonts w:ascii="Palatino Linotype" w:eastAsia="Palatino Linotype" w:hAnsi="Palatino Linotype" w:cs="Palatino Linotype"/>
                <w:color w:val="000000"/>
              </w:rPr>
              <w:t xml:space="preserve">, por lo que deberán fundar y motivar debidamente la clasificación. </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De lo anterior, se desprende que para una correcta </w:t>
            </w:r>
            <w:r w:rsidRPr="00BE5FBE">
              <w:rPr>
                <w:rFonts w:ascii="Palatino Linotype" w:eastAsia="Palatino Linotype" w:hAnsi="Palatino Linotype" w:cs="Palatino Linotype"/>
                <w:b/>
                <w:color w:val="000000"/>
              </w:rPr>
              <w:t>clasificación total o parcial</w:t>
            </w:r>
            <w:r w:rsidRPr="00BE5FB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 xml:space="preserve">Ahora bien, </w:t>
            </w:r>
            <w:r w:rsidRPr="00BE5FBE">
              <w:rPr>
                <w:rFonts w:ascii="Palatino Linotype" w:eastAsia="Palatino Linotype" w:hAnsi="Palatino Linotype" w:cs="Palatino Linotype"/>
                <w:b/>
                <w:color w:val="000000"/>
                <w:u w:val="single"/>
              </w:rPr>
              <w:t>para cada caso además de fundar y motivar</w:t>
            </w:r>
            <w:r w:rsidRPr="00BE5FB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37BEB" w:rsidRPr="00BE5FBE" w:rsidTr="00BE5FBE">
        <w:tc>
          <w:tcPr>
            <w:tcW w:w="2689" w:type="dxa"/>
          </w:tcPr>
          <w:p w:rsidR="00337BEB" w:rsidRPr="00BE5FBE" w:rsidRDefault="000B245E" w:rsidP="00BE5FB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rPr>
              <w:lastRenderedPageBreak/>
              <w:t xml:space="preserve">e) Condiciones especiales de la clasificación de la información como confidencial. </w:t>
            </w:r>
          </w:p>
        </w:tc>
        <w:tc>
          <w:tcPr>
            <w:tcW w:w="7207" w:type="dxa"/>
          </w:tcPr>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37BEB" w:rsidRPr="00BE5FBE" w:rsidRDefault="000B245E" w:rsidP="00BE5FBE">
            <w:pP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37BEB" w:rsidRPr="00BE5FBE" w:rsidRDefault="000B245E" w:rsidP="00BE5FBE">
            <w:pPr>
              <w:spacing w:line="360" w:lineRule="auto"/>
              <w:rPr>
                <w:rFonts w:ascii="Palatino Linotype" w:eastAsia="Palatino Linotype" w:hAnsi="Palatino Linotype" w:cs="Palatino Linotype"/>
              </w:rPr>
            </w:pPr>
            <w:r w:rsidRPr="00BE5FB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337BEB" w:rsidRPr="00BE5FBE" w:rsidRDefault="00337BEB">
      <w:pPr>
        <w:tabs>
          <w:tab w:val="left" w:pos="284"/>
        </w:tabs>
        <w:spacing w:line="360" w:lineRule="auto"/>
        <w:rPr>
          <w:rFonts w:ascii="Palatino Linotype" w:eastAsia="Palatino Linotype" w:hAnsi="Palatino Linotype" w:cs="Palatino Linotype"/>
          <w:color w:val="000000"/>
        </w:rPr>
      </w:pPr>
    </w:p>
    <w:p w:rsidR="00337BEB" w:rsidRPr="00BE5FBE" w:rsidRDefault="00337BE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rsidR="00337BEB" w:rsidRPr="00BE5FBE" w:rsidRDefault="000B245E">
      <w:pPr>
        <w:numPr>
          <w:ilvl w:val="0"/>
          <w:numId w:val="11"/>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222222"/>
        </w:rPr>
        <w:lastRenderedPageBreak/>
        <w:t>Por otro lado, de manera enunciativa mas no limitativas, dentro de los elementos que integran los recibos de nómina se pueden encontrar los siguientes:</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Clave Única de Registro de Población (CURP);</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Número de ISSEMyM;</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Número de empleado;</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Registro Federal de Contribuyentes (RFC);</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Número de Serie del CSD del SAT;</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Número de Serie del CDS del emisor;</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Serie y folio;</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Firma;</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Código QR;</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Sello Digital del Contribuyente; y</w:t>
      </w:r>
    </w:p>
    <w:p w:rsidR="00337BEB" w:rsidRPr="00BE5FBE" w:rsidRDefault="000B245E">
      <w:pPr>
        <w:numPr>
          <w:ilvl w:val="0"/>
          <w:numId w:val="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Sello Digital del SAT.</w:t>
      </w:r>
    </w:p>
    <w:p w:rsidR="00337BEB" w:rsidRPr="00BE5FBE" w:rsidRDefault="00337BEB">
      <w:pPr>
        <w:pBdr>
          <w:top w:val="nil"/>
          <w:left w:val="nil"/>
          <w:bottom w:val="nil"/>
          <w:right w:val="nil"/>
          <w:between w:val="nil"/>
        </w:pBdr>
        <w:tabs>
          <w:tab w:val="left" w:pos="567"/>
        </w:tabs>
        <w:spacing w:line="360" w:lineRule="auto"/>
        <w:ind w:left="720"/>
        <w:jc w:val="both"/>
        <w:rPr>
          <w:rFonts w:ascii="Palatino Linotype" w:eastAsia="Palatino Linotype" w:hAnsi="Palatino Linotype" w:cs="Palatino Linotype"/>
          <w:color w:val="000000"/>
        </w:rPr>
      </w:pPr>
    </w:p>
    <w:p w:rsidR="00337BEB" w:rsidRPr="00BE5FBE" w:rsidRDefault="000B245E" w:rsidP="00BE5FBE">
      <w:pPr>
        <w:pStyle w:val="Ttulo3"/>
        <w:numPr>
          <w:ilvl w:val="0"/>
          <w:numId w:val="2"/>
        </w:numPr>
        <w:ind w:left="426"/>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Clave Única de Registro de Población (CURP).</w:t>
      </w:r>
    </w:p>
    <w:p w:rsidR="00337BEB" w:rsidRPr="00BE5FBE" w:rsidRDefault="000B245E">
      <w:pPr>
        <w:numPr>
          <w:ilvl w:val="0"/>
          <w:numId w:val="11"/>
        </w:numPr>
        <w:pBdr>
          <w:top w:val="nil"/>
          <w:left w:val="nil"/>
          <w:bottom w:val="nil"/>
          <w:right w:val="nil"/>
          <w:between w:val="nil"/>
        </w:pBd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337BEB" w:rsidRPr="00BE5FBE" w:rsidRDefault="000B245E" w:rsidP="00BE5FBE">
      <w:pPr>
        <w:shd w:val="clear" w:color="auto" w:fill="FFFFFF"/>
        <w:spacing w:before="240" w:after="240" w:line="360" w:lineRule="auto"/>
        <w:jc w:val="center"/>
        <w:rPr>
          <w:rFonts w:ascii="Palatino Linotype" w:eastAsia="Palatino Linotype" w:hAnsi="Palatino Linotype" w:cs="Palatino Linotype"/>
          <w:color w:val="222222"/>
        </w:rPr>
      </w:pPr>
      <w:r w:rsidRPr="00BE5FBE">
        <w:rPr>
          <w:noProof/>
          <w:lang w:val="es-MX"/>
        </w:rPr>
        <w:lastRenderedPageBreak/>
        <w:drawing>
          <wp:inline distT="0" distB="0" distL="0" distR="0">
            <wp:extent cx="5305425" cy="4676775"/>
            <wp:effectExtent l="0" t="0" r="0" b="0"/>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l="25747" t="8269" r="41253" b="18081"/>
                    <a:stretch>
                      <a:fillRect/>
                    </a:stretch>
                  </pic:blipFill>
                  <pic:spPr>
                    <a:xfrm>
                      <a:off x="0" y="0"/>
                      <a:ext cx="5305425" cy="4676775"/>
                    </a:xfrm>
                    <a:prstGeom prst="rect">
                      <a:avLst/>
                    </a:prstGeom>
                    <a:ln/>
                  </pic:spPr>
                </pic:pic>
              </a:graphicData>
            </a:graphic>
          </wp:inline>
        </w:drawing>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Entre las características de la CURP, se encuentra: </w:t>
      </w:r>
    </w:p>
    <w:p w:rsidR="00337BEB" w:rsidRPr="00BE5FBE" w:rsidRDefault="000B245E">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b/>
          <w:color w:val="000000"/>
        </w:rPr>
        <w:t xml:space="preserve">Composición. </w:t>
      </w:r>
      <w:r w:rsidRPr="00BE5FBE">
        <w:rPr>
          <w:rFonts w:ascii="Palatino Linotype" w:eastAsia="Palatino Linotype" w:hAnsi="Palatino Linotype" w:cs="Palatino Linotype"/>
          <w:color w:val="000000"/>
        </w:rPr>
        <w:t>Alfanumérica.</w:t>
      </w:r>
    </w:p>
    <w:p w:rsidR="00337BEB" w:rsidRPr="00BE5FBE" w:rsidRDefault="000B245E">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b/>
          <w:color w:val="000000"/>
        </w:rPr>
        <w:t xml:space="preserve">Longitud. </w:t>
      </w:r>
      <w:r w:rsidRPr="00BE5FBE">
        <w:rPr>
          <w:rFonts w:ascii="Palatino Linotype" w:eastAsia="Palatino Linotype" w:hAnsi="Palatino Linotype" w:cs="Palatino Linotype"/>
          <w:color w:val="000000"/>
        </w:rPr>
        <w:t xml:space="preserve"> 18 caracteres.</w:t>
      </w:r>
    </w:p>
    <w:p w:rsidR="00337BEB" w:rsidRPr="00BE5FBE" w:rsidRDefault="000B245E">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b/>
          <w:color w:val="000000"/>
        </w:rPr>
        <w:lastRenderedPageBreak/>
        <w:t xml:space="preserve">Naturaleza. </w:t>
      </w:r>
      <w:r w:rsidRPr="00BE5FBE">
        <w:rPr>
          <w:rFonts w:ascii="Palatino Linotype" w:eastAsia="Palatino Linotype" w:hAnsi="Palatino Linotype" w:cs="Palatino Linotype"/>
          <w:color w:val="000000"/>
        </w:rPr>
        <w:t>Biunívoca.</w:t>
      </w:r>
    </w:p>
    <w:p w:rsidR="00337BEB" w:rsidRPr="00BE5FBE" w:rsidRDefault="000B245E">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b/>
          <w:color w:val="000000"/>
        </w:rPr>
        <w:t xml:space="preserve">Universalidad. </w:t>
      </w:r>
      <w:r w:rsidRPr="00BE5FBE">
        <w:rPr>
          <w:rFonts w:ascii="Palatino Linotype" w:eastAsia="Palatino Linotype" w:hAnsi="Palatino Linotype" w:cs="Palatino Linotype"/>
          <w:color w:val="000000"/>
        </w:rPr>
        <w:t>Se asigna a todas las personas que conforman la población.</w:t>
      </w:r>
    </w:p>
    <w:p w:rsidR="00337BEB" w:rsidRPr="00BE5FBE" w:rsidRDefault="000B245E">
      <w:pPr>
        <w:pBdr>
          <w:top w:val="nil"/>
          <w:left w:val="nil"/>
          <w:bottom w:val="nil"/>
          <w:right w:val="nil"/>
          <w:between w:val="nil"/>
        </w:pBdr>
        <w:tabs>
          <w:tab w:val="left" w:pos="426"/>
          <w:tab w:val="left" w:pos="567"/>
        </w:tabs>
        <w:spacing w:line="360" w:lineRule="auto"/>
        <w:ind w:left="851"/>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337BEB" w:rsidRPr="00BE5FBE" w:rsidRDefault="000B245E">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i/>
          <w:color w:val="000000"/>
        </w:rPr>
        <w:t>“</w:t>
      </w:r>
      <w:r w:rsidRPr="00BE5FBE">
        <w:rPr>
          <w:rFonts w:ascii="Palatino Linotype" w:eastAsia="Palatino Linotype" w:hAnsi="Palatino Linotype" w:cs="Palatino Linotype"/>
          <w:b/>
          <w:i/>
          <w:color w:val="000000"/>
        </w:rPr>
        <w:t xml:space="preserve">Clave Única de Registro de Población (CURP). </w:t>
      </w:r>
      <w:r w:rsidRPr="00BE5FBE">
        <w:rPr>
          <w:rFonts w:ascii="Palatino Linotype" w:eastAsia="Palatino Linotype" w:hAnsi="Palatino Linotype" w:cs="Palatino Linotype"/>
          <w:i/>
          <w:color w:val="000000"/>
        </w:rPr>
        <w:t xml:space="preserve">La Clave Única de Registro de Población se integra por datos personales que sólo conciernen al particular titular de la misma, como lo son su </w:t>
      </w:r>
      <w:r w:rsidRPr="00BE5FBE">
        <w:rPr>
          <w:rFonts w:ascii="Palatino Linotype" w:eastAsia="Palatino Linotype" w:hAnsi="Palatino Linotype" w:cs="Palatino Linotype"/>
          <w:i/>
          <w:color w:val="000000"/>
        </w:rPr>
        <w:lastRenderedPageBreak/>
        <w:t>nombre, apellidos, fecha de nacimiento, lugar de nacimiento y sexo. Dichos datos, constituyen información que distingue plenamente a una persona física del resto de los habitantes del</w:t>
      </w:r>
    </w:p>
    <w:p w:rsidR="00337BEB" w:rsidRPr="00BE5FBE" w:rsidRDefault="00337BEB">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337BEB" w:rsidRPr="00BE5FBE" w:rsidRDefault="000B245E" w:rsidP="00BE5FBE">
      <w:pPr>
        <w:pStyle w:val="Ttulo3"/>
        <w:numPr>
          <w:ilvl w:val="0"/>
          <w:numId w:val="4"/>
        </w:numPr>
        <w:ind w:left="426"/>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Clave ISSEMyM</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w:t>
      </w:r>
      <w:r w:rsidRPr="00BE5FBE">
        <w:rPr>
          <w:rFonts w:ascii="Palatino Linotype" w:eastAsia="Palatino Linotype" w:hAnsi="Palatino Linotype" w:cs="Palatino Linotype"/>
          <w:color w:val="000000"/>
        </w:rPr>
        <w:lastRenderedPageBreak/>
        <w:t>derecho a esta prestación de seguridad social; además, es de destacar que dicho dato no cambia, aunque el trabajador se dé de baja y alta en diversas ocasiones, con motivo de haber trabajado en diferentes instituciones gubernamentales de la Entidad.</w:t>
      </w:r>
    </w:p>
    <w:p w:rsidR="00337BEB" w:rsidRPr="00BE5FBE" w:rsidRDefault="000B245E" w:rsidP="00BE5FBE">
      <w:pPr>
        <w:pStyle w:val="Ttulo3"/>
        <w:numPr>
          <w:ilvl w:val="0"/>
          <w:numId w:val="4"/>
        </w:numPr>
        <w:ind w:left="426"/>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Número de empleado.</w:t>
      </w:r>
    </w:p>
    <w:p w:rsidR="00337BEB" w:rsidRPr="00BE5FBE" w:rsidRDefault="000B245E">
      <w:pPr>
        <w:numPr>
          <w:ilvl w:val="0"/>
          <w:numId w:val="11"/>
        </w:numPr>
        <w:shd w:val="clear" w:color="auto" w:fill="FFFFFF"/>
        <w:spacing w:before="240" w:after="240" w:line="360" w:lineRule="auto"/>
        <w:ind w:hanging="142"/>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337BEB" w:rsidRPr="00BE5FBE" w:rsidRDefault="000B245E">
      <w:pPr>
        <w:numPr>
          <w:ilvl w:val="0"/>
          <w:numId w:val="11"/>
        </w:numPr>
        <w:shd w:val="clear" w:color="auto" w:fill="FFFFFF"/>
        <w:spacing w:before="240" w:after="240" w:line="360" w:lineRule="auto"/>
        <w:ind w:hanging="142"/>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337BEB" w:rsidRPr="00BE5FBE" w:rsidRDefault="000B245E">
      <w:pPr>
        <w:pBdr>
          <w:top w:val="nil"/>
          <w:left w:val="nil"/>
          <w:bottom w:val="nil"/>
          <w:right w:val="nil"/>
          <w:between w:val="nil"/>
        </w:pBdr>
        <w:spacing w:line="360" w:lineRule="auto"/>
        <w:ind w:left="851"/>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b/>
          <w:i/>
          <w:color w:val="000000"/>
        </w:rPr>
        <w:t>Número de empleado.</w:t>
      </w:r>
      <w:r w:rsidRPr="00BE5FBE">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337BEB" w:rsidRPr="00BE5FBE" w:rsidRDefault="000B245E" w:rsidP="00BE5FBE">
      <w:pPr>
        <w:pStyle w:val="Ttulo3"/>
        <w:numPr>
          <w:ilvl w:val="0"/>
          <w:numId w:val="4"/>
        </w:numPr>
        <w:ind w:left="284"/>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lastRenderedPageBreak/>
        <w:t>Registro Federal de Contribuyentes (RFC)</w:t>
      </w:r>
    </w:p>
    <w:p w:rsidR="00337BEB" w:rsidRPr="00BE5FBE" w:rsidRDefault="00337BEB"/>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337BEB" w:rsidRPr="00BE5FBE" w:rsidRDefault="000B245E">
      <w:pPr>
        <w:pBdr>
          <w:top w:val="nil"/>
          <w:left w:val="nil"/>
          <w:bottom w:val="nil"/>
          <w:right w:val="nil"/>
          <w:between w:val="nil"/>
        </w:pBdr>
        <w:spacing w:line="360" w:lineRule="auto"/>
        <w:ind w:left="851"/>
        <w:jc w:val="both"/>
        <w:rPr>
          <w:rFonts w:ascii="Palatino Linotype" w:eastAsia="Palatino Linotype" w:hAnsi="Palatino Linotype" w:cs="Palatino Linotype"/>
          <w:b/>
          <w:i/>
          <w:color w:val="000000"/>
        </w:rPr>
      </w:pPr>
      <w:r w:rsidRPr="00BE5FBE">
        <w:rPr>
          <w:rFonts w:ascii="Palatino Linotype" w:eastAsia="Palatino Linotype" w:hAnsi="Palatino Linotype" w:cs="Palatino Linotype"/>
          <w:b/>
          <w:i/>
          <w:color w:val="000000"/>
        </w:rPr>
        <w:t xml:space="preserve">Registro Federal de Contribuyentes (RFC) de personas físicas. </w:t>
      </w:r>
    </w:p>
    <w:p w:rsidR="00337BEB" w:rsidRPr="00BE5FBE" w:rsidRDefault="000B245E">
      <w:pPr>
        <w:pBdr>
          <w:top w:val="nil"/>
          <w:left w:val="nil"/>
          <w:bottom w:val="nil"/>
          <w:right w:val="nil"/>
          <w:between w:val="nil"/>
        </w:pBdr>
        <w:spacing w:line="360" w:lineRule="auto"/>
        <w:ind w:left="851"/>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BE5FBE">
        <w:rPr>
          <w:rFonts w:ascii="Palatino Linotype" w:eastAsia="Palatino Linotype" w:hAnsi="Palatino Linotype" w:cs="Palatino Linotype"/>
          <w:color w:val="000000"/>
        </w:rPr>
        <w:t>, así como tampoco con el desempeño laboral que pueda tener una persona.</w:t>
      </w:r>
    </w:p>
    <w:p w:rsidR="00337BEB" w:rsidRPr="00BE5FBE" w:rsidRDefault="000B245E" w:rsidP="00BE5FBE">
      <w:pPr>
        <w:pStyle w:val="Ttulo3"/>
        <w:numPr>
          <w:ilvl w:val="0"/>
          <w:numId w:val="4"/>
        </w:numPr>
        <w:ind w:left="284"/>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Deducciones personales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BE5FBE">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BE5FBE">
        <w:rPr>
          <w:rFonts w:ascii="Palatino Linotype" w:eastAsia="Palatino Linotype" w:hAnsi="Palatino Linotype" w:cs="Palatino Linotype"/>
          <w:color w:val="000000"/>
        </w:rPr>
        <w:t>, seguro de vida, accidentes y enfermedades.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w:t>
      </w:r>
      <w:r w:rsidRPr="00BE5FBE">
        <w:rPr>
          <w:rFonts w:ascii="Palatino Linotype" w:eastAsia="Palatino Linotype" w:hAnsi="Palatino Linotype" w:cs="Palatino Linotype"/>
          <w:color w:val="000000"/>
        </w:rPr>
        <w:lastRenderedPageBreak/>
        <w:t xml:space="preserve">y tampoco reflejan el ejercicio de una prestación; por el contrario, en dichos casos se trata del libre ejercicio del servidor público para disponer de un ingreso que forma parte de su patrimonio.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bookmarkStart w:id="12" w:name="_heading=h.1ksv4uv" w:colFirst="0" w:colLast="0"/>
      <w:bookmarkEnd w:id="12"/>
      <w:r w:rsidRPr="00BE5FBE">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p w:rsidR="00337BEB" w:rsidRPr="00BE5FBE" w:rsidRDefault="000B245E" w:rsidP="00BE5FBE">
      <w:pPr>
        <w:pStyle w:val="Ttulo3"/>
        <w:numPr>
          <w:ilvl w:val="0"/>
          <w:numId w:val="4"/>
        </w:numPr>
        <w:ind w:left="426"/>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CÓDIGO QR</w:t>
      </w:r>
    </w:p>
    <w:p w:rsidR="00352B3E" w:rsidRPr="00BE5FBE" w:rsidRDefault="00352B3E" w:rsidP="00352B3E">
      <w:pPr>
        <w:numPr>
          <w:ilvl w:val="0"/>
          <w:numId w:val="11"/>
        </w:numPr>
        <w:shd w:val="clear" w:color="auto" w:fill="FFFFFF"/>
        <w:spacing w:before="240" w:after="240"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rPr>
        <w:t xml:space="preserve">Los </w:t>
      </w:r>
      <w:r w:rsidRPr="00BE5FBE">
        <w:rPr>
          <w:rFonts w:ascii="Palatino Linotype" w:eastAsia="Palatino Linotype" w:hAnsi="Palatino Linotype" w:cs="Palatino Linotype"/>
          <w:b/>
        </w:rPr>
        <w:t>códigos bidimensionales</w:t>
      </w:r>
      <w:r w:rsidRPr="00BE5FBE">
        <w:rPr>
          <w:rFonts w:ascii="Palatino Linotype" w:eastAsia="Palatino Linotype" w:hAnsi="Palatino Linotype" w:cs="Palatino Linotype"/>
        </w:rPr>
        <w:t xml:space="preserve"> o </w:t>
      </w:r>
      <w:r w:rsidRPr="00BE5FBE">
        <w:rPr>
          <w:rFonts w:ascii="Palatino Linotype" w:eastAsia="Palatino Linotype" w:hAnsi="Palatino Linotype" w:cs="Palatino Linotype"/>
          <w:b/>
        </w:rPr>
        <w:t xml:space="preserve">códigos QR, </w:t>
      </w:r>
      <w:r w:rsidRPr="00BE5FBE">
        <w:rPr>
          <w:rFonts w:ascii="Palatino Linotype" w:eastAsia="Palatino Linotype" w:hAnsi="Palatino Linotype" w:cs="Palatino Linotype"/>
        </w:rPr>
        <w:t>al</w:t>
      </w:r>
      <w:r w:rsidRPr="00BE5FBE">
        <w:rPr>
          <w:rFonts w:ascii="Palatino Linotype" w:eastAsia="Palatino Linotype" w:hAnsi="Palatino Linotype" w:cs="Palatino Linotype"/>
          <w:b/>
        </w:rPr>
        <w:t xml:space="preserve"> c</w:t>
      </w:r>
      <w:r w:rsidRPr="00BE5FBE">
        <w:rPr>
          <w:rFonts w:ascii="Palatino Linotype" w:eastAsia="Palatino Linotype" w:hAnsi="Palatino Linotype" w:cs="Palatino Linotype"/>
          <w:color w:val="000000"/>
        </w:rPr>
        <w:t>orresponder a barras en dos dimensiones que, al igual que los códigos de barras o códigos unidimensionales, son utilizados para almacenar diversos tipos de datos de manera codificada, los cuales a través de lectores que pueden ser obtenidos por cualquier persona, pueden contener datos personales, no susceptibles de conocimiento público, debiendo el Sujeto Obligado analizar dicha circunstancia con la finalidad de determinar si se actualiza algún supuesto de confidencialidad.</w:t>
      </w:r>
    </w:p>
    <w:p w:rsidR="00352B3E" w:rsidRPr="00BE5FBE" w:rsidRDefault="00352B3E" w:rsidP="00352B3E">
      <w:pPr>
        <w:pStyle w:val="Prrafodelista"/>
        <w:numPr>
          <w:ilvl w:val="0"/>
          <w:numId w:val="11"/>
        </w:numPr>
        <w:spacing w:before="240" w:after="240"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En tal sentido, si derivado del análisis efectuado por el Sujeto Obligado en el presente caso,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vulnerar la esfera más íntima de privacidad de su titular, deberá clasificarla como confidencial, de manera fundada y motivada en términos del artículo 143, fracción I de la Ley de Transparencia y Acceso a la Información Pública del Estado de México y Municipios.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lastRenderedPageBreak/>
        <w:t>Hasta este punto, se considera que la información relacionada con los siguientes puntos actualiza una causal de confidencialidad, toda vez que identifica o hace identificable a su titular.</w:t>
      </w:r>
    </w:p>
    <w:p w:rsidR="00337BEB" w:rsidRPr="00BE5FBE" w:rsidRDefault="000B245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Clave Única de Registro de Población (CURP)</w:t>
      </w:r>
    </w:p>
    <w:p w:rsidR="00337BEB" w:rsidRPr="00BE5FBE" w:rsidRDefault="000B245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Clave ISSEMyM</w:t>
      </w:r>
    </w:p>
    <w:p w:rsidR="00337BEB" w:rsidRPr="00BE5FBE" w:rsidRDefault="000B245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Número de empleado </w:t>
      </w:r>
      <w:r w:rsidRPr="00BE5FBE">
        <w:rPr>
          <w:rFonts w:ascii="Palatino Linotype" w:eastAsia="Palatino Linotype" w:hAnsi="Palatino Linotype" w:cs="Palatino Linotype"/>
          <w:b/>
          <w:color w:val="000000"/>
        </w:rPr>
        <w:t>(sólo en el caso de que contenga datos personales o se relacione con los mismos, de lo contrario es información pública)</w:t>
      </w:r>
    </w:p>
    <w:p w:rsidR="00337BEB" w:rsidRPr="00BE5FBE" w:rsidRDefault="000B245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Registro Federal de Contribuyentes (RFC)</w:t>
      </w:r>
    </w:p>
    <w:p w:rsidR="00337BEB" w:rsidRPr="00BE5FBE" w:rsidRDefault="000B245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Deducciones personales</w:t>
      </w:r>
    </w:p>
    <w:p w:rsidR="00337BEB" w:rsidRPr="00BE5FBE" w:rsidRDefault="000B245E">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Código QR</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bookmarkStart w:id="13" w:name="_heading=h.44sinio" w:colFirst="0" w:colLast="0"/>
      <w:bookmarkEnd w:id="13"/>
      <w:r w:rsidRPr="00BE5FBE">
        <w:rPr>
          <w:rFonts w:ascii="Palatino Linotype" w:eastAsia="Palatino Linotype" w:hAnsi="Palatino Linotype" w:cs="Palatino Linotype"/>
          <w:color w:val="000000"/>
        </w:rPr>
        <w:t>Ahora bien, siguiendo con el análisis de los datos que contienen los recibos remitidos, siguen los siguientes:</w:t>
      </w:r>
    </w:p>
    <w:p w:rsidR="00337BEB" w:rsidRPr="00BE5FBE" w:rsidRDefault="000B245E" w:rsidP="00BE5FBE">
      <w:pPr>
        <w:pStyle w:val="Ttulo3"/>
        <w:numPr>
          <w:ilvl w:val="0"/>
          <w:numId w:val="5"/>
        </w:numPr>
        <w:spacing w:line="360" w:lineRule="auto"/>
        <w:ind w:left="426"/>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lastRenderedPageBreak/>
        <w:t>Sellos digitales del emisor y del Servicio de Administración Tributaria y cadena original del complemento de certificación digital del órgano previamente señalado; así como folio fiscal. (PUBLICOS)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Las cadenas originales y sellos que se agregan a las facturas</w:t>
      </w:r>
      <w:r w:rsidRPr="00BE5FBE">
        <w:rPr>
          <w:rFonts w:ascii="Palatino Linotype" w:eastAsia="Palatino Linotype" w:hAnsi="Palatino Linotype" w:cs="Palatino Linotype"/>
          <w:b/>
          <w:color w:val="000000"/>
        </w:rPr>
        <w:t>,</w:t>
      </w:r>
      <w:r w:rsidRPr="00BE5FBE">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“Elementos utilizados en la generación de Sellos Digitales:</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lastRenderedPageBreak/>
        <w:t>•Cadena Original, el elemento a sellar, en este caso de un comprobante fiscal digital a través de Internet.</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•Certificado de Sello Digital y su correspondiente clave privada.</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•Algoritmos de criptografía de clave pública para firma electrónica avanzada.</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•Especificaciones de conversión de la firma electrónica avanzada a Base 64.</w:t>
      </w:r>
    </w:p>
    <w:p w:rsidR="00337BEB" w:rsidRPr="00BE5FBE" w:rsidRDefault="000B245E">
      <w:pPr>
        <w:spacing w:line="360" w:lineRule="auto"/>
        <w:ind w:left="851" w:right="539"/>
        <w:jc w:val="both"/>
        <w:rPr>
          <w:rFonts w:ascii="Palatino Linotype" w:eastAsia="Palatino Linotype" w:hAnsi="Palatino Linotype" w:cs="Palatino Linotype"/>
          <w:i/>
        </w:rPr>
      </w:pPr>
      <w:r w:rsidRPr="00BE5FBE">
        <w:rPr>
          <w:rFonts w:ascii="Palatino Linotype" w:eastAsia="Palatino Linotype" w:hAnsi="Palatino Linotype" w:cs="Palatino Linotype"/>
          <w:i/>
        </w:rPr>
        <w:t>Para la generación de sellos digitales se utiliza criptografía de clave pública aplicada a una cadena original.</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Criptografía de la Clave Pública</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Por otra parte, por lo que hace Folio Fiscal, cabe precisar que conforme al ANEXO 20 de la Segunda Resolución de modificaciones a la Resolución Miscelánea Fiscal para dos mil diecisiete, el folio fiscal se conforma de treinta seis caracteres alfanuméricos; además, que </w:t>
      </w:r>
      <w:r w:rsidRPr="00BE5FBE">
        <w:rPr>
          <w:rFonts w:ascii="Palatino Linotype" w:eastAsia="Palatino Linotype" w:hAnsi="Palatino Linotype" w:cs="Palatino Linotype"/>
          <w:color w:val="000000"/>
        </w:rPr>
        <w:lastRenderedPageBreak/>
        <w:t>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337BEB" w:rsidRPr="00BE5FBE" w:rsidRDefault="000B245E" w:rsidP="00BE5FBE">
      <w:pPr>
        <w:shd w:val="clear" w:color="auto" w:fill="FFFFFF"/>
        <w:spacing w:before="240" w:after="240" w:line="360" w:lineRule="auto"/>
        <w:jc w:val="center"/>
        <w:rPr>
          <w:rFonts w:ascii="Palatino Linotype" w:eastAsia="Palatino Linotype" w:hAnsi="Palatino Linotype" w:cs="Palatino Linotype"/>
          <w:color w:val="222222"/>
        </w:rPr>
      </w:pPr>
      <w:r w:rsidRPr="00BE5FBE">
        <w:rPr>
          <w:rFonts w:ascii="Palatino Linotype" w:eastAsia="Palatino Linotype" w:hAnsi="Palatino Linotype" w:cs="Palatino Linotype"/>
          <w:noProof/>
          <w:lang w:val="es-MX"/>
        </w:rPr>
        <w:drawing>
          <wp:inline distT="0" distB="0" distL="0" distR="0">
            <wp:extent cx="5612130" cy="424735"/>
            <wp:effectExtent l="0" t="0" r="0" b="0"/>
            <wp:docPr id="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t="40505" r="32587" b="47481"/>
                    <a:stretch>
                      <a:fillRect/>
                    </a:stretch>
                  </pic:blipFill>
                  <pic:spPr>
                    <a:xfrm>
                      <a:off x="0" y="0"/>
                      <a:ext cx="5612130" cy="424735"/>
                    </a:xfrm>
                    <a:prstGeom prst="rect">
                      <a:avLst/>
                    </a:prstGeom>
                    <a:ln/>
                  </pic:spPr>
                </pic:pic>
              </a:graphicData>
            </a:graphic>
          </wp:inline>
        </w:drawing>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color w:val="000000"/>
        </w:rPr>
        <w:t xml:space="preserve">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w:t>
      </w:r>
      <w:r w:rsidRPr="00BE5FBE">
        <w:rPr>
          <w:rFonts w:ascii="Palatino Linotype" w:eastAsia="Palatino Linotype" w:hAnsi="Palatino Linotype" w:cs="Palatino Linotype"/>
          <w:color w:val="000000"/>
        </w:rPr>
        <w:lastRenderedPageBreak/>
        <w:t>situación que no ocurrió, en consecuencia, se ORDENA entregar esta última en una correcta versión pública.</w:t>
      </w:r>
    </w:p>
    <w:p w:rsidR="00337BEB" w:rsidRPr="00BE5FBE" w:rsidRDefault="000B245E" w:rsidP="00BE5FBE">
      <w:pPr>
        <w:pStyle w:val="Prrafodelista"/>
        <w:numPr>
          <w:ilvl w:val="0"/>
          <w:numId w:val="20"/>
        </w:numPr>
        <w:pBdr>
          <w:top w:val="nil"/>
          <w:left w:val="nil"/>
          <w:bottom w:val="nil"/>
          <w:right w:val="nil"/>
          <w:between w:val="nil"/>
        </w:pBdr>
        <w:spacing w:line="360" w:lineRule="auto"/>
        <w:ind w:left="284"/>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Deducciones que no son personales.</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rPr>
        <w:t>La Ley del Trabajo de los Servidores Públicos del Estado y Municipios</w:t>
      </w:r>
      <w:r w:rsidRPr="00BE5FBE">
        <w:rPr>
          <w:rFonts w:ascii="Palatino Linotype" w:eastAsia="Palatino Linotype" w:hAnsi="Palatino Linotype" w:cs="Palatino Linotype"/>
          <w:vertAlign w:val="superscript"/>
        </w:rPr>
        <w:footnoteReference w:id="6"/>
      </w:r>
      <w:r w:rsidRPr="00BE5FBE">
        <w:rPr>
          <w:rFonts w:ascii="Palatino Linotype" w:eastAsia="Palatino Linotype" w:hAnsi="Palatino Linotype" w:cs="Palatino Linotype"/>
        </w:rPr>
        <w:t xml:space="preserve"> en el artículo 84 establece lo siguiente:</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 xml:space="preserve">ARTÍCULO 84. Sólo podrán hacerse retenciones, descuentos o deducciones al sueldo de los servidores públicos por concepto de: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b/>
          <w:i/>
          <w:color w:val="000000"/>
        </w:rPr>
      </w:pPr>
      <w:r w:rsidRPr="00BE5FBE">
        <w:rPr>
          <w:rFonts w:ascii="Palatino Linotype" w:eastAsia="Palatino Linotype" w:hAnsi="Palatino Linotype" w:cs="Palatino Linotype"/>
          <w:b/>
          <w:i/>
          <w:color w:val="000000"/>
        </w:rPr>
        <w:t>I. Gravámenes fiscales relacionados con el sueldo;</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 xml:space="preserve">II. Deudas contraídas con las instituciones públicas o dependencias por concepto de anticipos de sueldo, pagos hechos con exceso, errores o pérdidas debidamente comprobados;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 xml:space="preserve">III. Cuotas sindicales;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b/>
          <w:i/>
          <w:color w:val="000000"/>
        </w:rPr>
      </w:pPr>
      <w:r w:rsidRPr="00BE5FBE">
        <w:rPr>
          <w:rFonts w:ascii="Palatino Linotype" w:eastAsia="Palatino Linotype" w:hAnsi="Palatino Linotype" w:cs="Palatino Linotype"/>
          <w:b/>
          <w:i/>
          <w:color w:val="000000"/>
        </w:rPr>
        <w:t xml:space="preserve">IV. Cuotas de aportación a fondos para la constitución de cooperativas y de cajas de ahorro, siempre que el servidor público hubiese manifestado previamente, de manera expresa, su conformidad;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b/>
          <w:i/>
          <w:color w:val="000000"/>
        </w:rPr>
      </w:pPr>
      <w:r w:rsidRPr="00BE5FBE">
        <w:rPr>
          <w:rFonts w:ascii="Palatino Linotype" w:eastAsia="Palatino Linotype" w:hAnsi="Palatino Linotype" w:cs="Palatino Linotype"/>
          <w:b/>
          <w:i/>
          <w:color w:val="000000"/>
        </w:rPr>
        <w:t xml:space="preserve">V. Descuentos ordenados por el Instituto de Seguridad Social del Estado de México y Municipios, con motivo de cuotas y obligaciones contraídas con éste por los servidores públicos;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 xml:space="preserve">VI. Obligaciones a cargo del servidor público con las que haya consentido, derivadas de la adquisición o del uso de habitaciones consideradas como de interés social;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lastRenderedPageBreak/>
        <w:t xml:space="preserve">VII. Faltas de puntualidad o de asistencia injustificadas;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 xml:space="preserve">VIII. Pensiones alimenticias ordenadas por la autoridad judicial; o </w:t>
      </w:r>
    </w:p>
    <w:p w:rsidR="00337BEB" w:rsidRPr="00BE5FBE" w:rsidRDefault="000B245E">
      <w:pPr>
        <w:pBdr>
          <w:top w:val="nil"/>
          <w:left w:val="nil"/>
          <w:bottom w:val="nil"/>
          <w:right w:val="nil"/>
          <w:between w:val="nil"/>
        </w:pBdr>
        <w:spacing w:line="360" w:lineRule="auto"/>
        <w:ind w:left="851"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IX. Cualquier otro convenido con instituciones de servicios y aceptado por el servidor público.</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337BEB" w:rsidRPr="00BE5FBE" w:rsidRDefault="000B245E" w:rsidP="00BE5FBE">
      <w:pPr>
        <w:numPr>
          <w:ilvl w:val="0"/>
          <w:numId w:val="5"/>
        </w:numPr>
        <w:pBdr>
          <w:top w:val="nil"/>
          <w:left w:val="nil"/>
          <w:bottom w:val="nil"/>
          <w:right w:val="nil"/>
          <w:between w:val="nil"/>
        </w:pBdr>
        <w:spacing w:line="360" w:lineRule="auto"/>
        <w:ind w:left="284"/>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b/>
          <w:color w:val="000000"/>
        </w:rPr>
        <w:t>Seguro de Capitalización Individualizado.</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rsidR="00337BEB" w:rsidRPr="00BE5FBE" w:rsidRDefault="000B245E">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w:t>
      </w:r>
      <w:r w:rsidRPr="00BE5FBE">
        <w:rPr>
          <w:rFonts w:ascii="Palatino Linotype" w:eastAsia="Palatino Linotype" w:hAnsi="Palatino Linotype" w:cs="Palatino Linotype"/>
          <w:color w:val="000000"/>
        </w:rPr>
        <w:tab/>
        <w:t>Subcuenta de cuota obligatoria; que corresponde a un porcentaje del sueldo sujeto a cotización, que se descuenta al servir público de manera automática.</w:t>
      </w:r>
    </w:p>
    <w:p w:rsidR="00337BEB" w:rsidRPr="00BE5FBE" w:rsidRDefault="000B245E">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w:t>
      </w:r>
      <w:r w:rsidRPr="00BE5FBE">
        <w:rPr>
          <w:rFonts w:ascii="Palatino Linotype" w:eastAsia="Palatino Linotype" w:hAnsi="Palatino Linotype" w:cs="Palatino Linotype"/>
          <w:color w:val="000000"/>
        </w:rPr>
        <w:tab/>
        <w:t>Subcuenta de aportación obligatoria: que es la aportación que realiza la Institución a favor del servidor público, el cual equivale a un porcentaje del sueldo sujeto a cotización.</w:t>
      </w:r>
    </w:p>
    <w:p w:rsidR="00337BEB" w:rsidRPr="00BE5FBE" w:rsidRDefault="000B245E">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lastRenderedPageBreak/>
        <w:t>•</w:t>
      </w:r>
      <w:r w:rsidRPr="00BE5FBE">
        <w:rPr>
          <w:rFonts w:ascii="Palatino Linotype" w:eastAsia="Palatino Linotype" w:hAnsi="Palatino Linotype" w:cs="Palatino Linotype"/>
          <w:color w:val="000000"/>
        </w:rPr>
        <w:tab/>
        <w:t xml:space="preserve">Subcuenta voluntaria: que es la cantidad que cada servidor público decide ahorrar de acuerdo con sus aportaciones, permitiendo acumular mayores ingresos para su retiro.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337BEB" w:rsidRPr="00BE5FBE" w:rsidRDefault="000B245E">
      <w:pPr>
        <w:pBdr>
          <w:top w:val="nil"/>
          <w:left w:val="nil"/>
          <w:bottom w:val="nil"/>
          <w:right w:val="nil"/>
          <w:between w:val="nil"/>
        </w:pBdr>
        <w:spacing w:line="360" w:lineRule="auto"/>
        <w:ind w:left="567" w:right="539"/>
        <w:jc w:val="both"/>
        <w:rPr>
          <w:rFonts w:ascii="Palatino Linotype" w:eastAsia="Palatino Linotype" w:hAnsi="Palatino Linotype" w:cs="Palatino Linotype"/>
          <w:i/>
          <w:color w:val="000000"/>
        </w:rPr>
      </w:pPr>
      <w:r w:rsidRPr="00BE5FBE">
        <w:rPr>
          <w:rFonts w:ascii="Palatino Linotype" w:eastAsia="Palatino Linotype" w:hAnsi="Palatino Linotype" w:cs="Palatino Linotype"/>
          <w:i/>
          <w:color w:val="000000"/>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w:t>
      </w:r>
      <w:r w:rsidRPr="00BE5FBE">
        <w:rPr>
          <w:rFonts w:ascii="Palatino Linotype" w:eastAsia="Palatino Linotype" w:hAnsi="Palatino Linotype" w:cs="Palatino Linotype"/>
          <w:i/>
          <w:color w:val="000000"/>
        </w:rPr>
        <w:lastRenderedPageBreak/>
        <w:t>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BE5FBE">
        <w:rPr>
          <w:rFonts w:ascii="Palatino Linotype" w:eastAsia="Palatino Linotype" w:hAnsi="Palatino Linotype" w:cs="Palatino Linotype"/>
          <w:color w:val="000000"/>
        </w:rPr>
        <w:t xml:space="preserve"> </w:t>
      </w:r>
    </w:p>
    <w:p w:rsidR="00337BEB" w:rsidRPr="00BE5FBE" w:rsidRDefault="000B245E">
      <w:pPr>
        <w:numPr>
          <w:ilvl w:val="0"/>
          <w:numId w:val="11"/>
        </w:numPr>
        <w:shd w:val="clear" w:color="auto" w:fill="FFFFFF"/>
        <w:spacing w:before="240" w:after="240" w:line="360" w:lineRule="auto"/>
        <w:jc w:val="both"/>
        <w:rPr>
          <w:rFonts w:ascii="Palatino Linotype" w:eastAsia="Palatino Linotype" w:hAnsi="Palatino Linotype" w:cs="Palatino Linotype"/>
          <w:color w:val="222222"/>
        </w:rPr>
      </w:pPr>
      <w:r w:rsidRPr="00BE5FBE">
        <w:rPr>
          <w:rFonts w:ascii="Palatino Linotype" w:eastAsia="Palatino Linotype" w:hAnsi="Palatino Linotype" w:cs="Palatino Linotype"/>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w:t>
      </w:r>
      <w:r w:rsidRPr="00BE5FBE">
        <w:rPr>
          <w:rFonts w:ascii="Palatino Linotype" w:eastAsia="Palatino Linotype" w:hAnsi="Palatino Linotype" w:cs="Palatino Linotype"/>
          <w:color w:val="000000"/>
        </w:rPr>
        <w:lastRenderedPageBreak/>
        <w:t>establecidas; asimismo que si entrega un documento testado sin el debido acuerdo de clasificación.</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337BEB" w:rsidRPr="00BE5FBE" w:rsidRDefault="000B245E">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BE5FBE">
        <w:rPr>
          <w:rFonts w:ascii="Palatino Linotype" w:eastAsia="Palatino Linotype" w:hAnsi="Palatino Linotype" w:cs="Palatino Linotype"/>
          <w:color w:val="000000"/>
        </w:rPr>
        <w:t>Por lo anteriormente expuesto, este Órgano Garante considera fundadas las razones o motivos de inconformidad que plantea el</w:t>
      </w:r>
      <w:r w:rsidRPr="00BE5FBE">
        <w:rPr>
          <w:rFonts w:ascii="Palatino Linotype" w:eastAsia="Palatino Linotype" w:hAnsi="Palatino Linotype" w:cs="Palatino Linotype"/>
          <w:b/>
          <w:color w:val="000000"/>
        </w:rPr>
        <w:t xml:space="preserve"> RECURRENTE</w:t>
      </w:r>
      <w:r w:rsidRPr="00BE5FBE">
        <w:rPr>
          <w:rFonts w:ascii="Palatino Linotype" w:eastAsia="Palatino Linotype" w:hAnsi="Palatino Linotype" w:cs="Palatino Linotype"/>
          <w:color w:val="000000"/>
        </w:rPr>
        <w:t xml:space="preserve">, determinando </w:t>
      </w:r>
      <w:r w:rsidRPr="00BE5FBE">
        <w:rPr>
          <w:rFonts w:ascii="Palatino Linotype" w:eastAsia="Palatino Linotype" w:hAnsi="Palatino Linotype" w:cs="Palatino Linotype"/>
          <w:b/>
          <w:color w:val="000000"/>
        </w:rPr>
        <w:t xml:space="preserve">REVOCAR </w:t>
      </w:r>
      <w:r w:rsidRPr="00BE5FBE">
        <w:rPr>
          <w:rFonts w:ascii="Palatino Linotype" w:eastAsia="Palatino Linotype" w:hAnsi="Palatino Linotype" w:cs="Palatino Linotype"/>
          <w:color w:val="000000"/>
        </w:rPr>
        <w:t xml:space="preserve">la respuesta del </w:t>
      </w:r>
      <w:r w:rsidRPr="00BE5FBE">
        <w:rPr>
          <w:rFonts w:ascii="Palatino Linotype" w:eastAsia="Palatino Linotype" w:hAnsi="Palatino Linotype" w:cs="Palatino Linotype"/>
          <w:b/>
          <w:color w:val="000000"/>
        </w:rPr>
        <w:t>SUJETO OBLIGADO</w:t>
      </w:r>
      <w:r w:rsidRPr="00BE5FBE">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BE5FBE">
        <w:rPr>
          <w:rFonts w:ascii="Palatino Linotype" w:eastAsia="Palatino Linotype" w:hAnsi="Palatino Linotype" w:cs="Palatino Linotype"/>
          <w:b/>
          <w:color w:val="000000"/>
        </w:rPr>
        <w:t>ÓRGANO GARANTE</w:t>
      </w:r>
      <w:r w:rsidRPr="00BE5FBE">
        <w:rPr>
          <w:rFonts w:ascii="Palatino Linotype" w:eastAsia="Palatino Linotype" w:hAnsi="Palatino Linotype" w:cs="Palatino Linotype"/>
          <w:color w:val="000000"/>
        </w:rPr>
        <w:t xml:space="preserve"> emite los siguientes.</w:t>
      </w:r>
    </w:p>
    <w:p w:rsidR="00337BEB" w:rsidRPr="00BE5FBE" w:rsidRDefault="00337BE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337BEB" w:rsidRPr="00BE5FBE" w:rsidRDefault="000B245E">
      <w:pPr>
        <w:pStyle w:val="Ttulo1"/>
        <w:spacing w:before="0" w:line="360" w:lineRule="auto"/>
        <w:jc w:val="center"/>
        <w:rPr>
          <w:b w:val="0"/>
          <w:color w:val="000000"/>
          <w:szCs w:val="24"/>
        </w:rPr>
      </w:pPr>
      <w:r w:rsidRPr="00BE5FBE">
        <w:rPr>
          <w:color w:val="000000"/>
          <w:szCs w:val="24"/>
        </w:rPr>
        <w:t>R E S O L U T I V O S</w:t>
      </w:r>
    </w:p>
    <w:p w:rsidR="00337BEB" w:rsidRPr="00BE5FBE" w:rsidRDefault="00337BEB">
      <w:pPr>
        <w:spacing w:line="360" w:lineRule="auto"/>
        <w:rPr>
          <w:rFonts w:ascii="Palatino Linotype" w:eastAsia="Palatino Linotype" w:hAnsi="Palatino Linotype" w:cs="Palatino Linotype"/>
        </w:rPr>
      </w:pPr>
    </w:p>
    <w:p w:rsidR="00337BEB" w:rsidRPr="00BE5FBE" w:rsidRDefault="000B245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b/>
        </w:rPr>
        <w:t>PRIMERO</w:t>
      </w:r>
      <w:r w:rsidRPr="00BE5FBE">
        <w:rPr>
          <w:rFonts w:ascii="Palatino Linotype" w:eastAsia="Palatino Linotype" w:hAnsi="Palatino Linotype" w:cs="Palatino Linotype"/>
        </w:rPr>
        <w:t xml:space="preserve">. Resultan fundadas las razones o motivos de inconformidad hechos valer en el Recursos de Revisión </w:t>
      </w:r>
      <w:r w:rsidR="005042CB" w:rsidRPr="00BE5FBE">
        <w:rPr>
          <w:rFonts w:ascii="Palatino Linotype" w:eastAsia="Palatino Linotype" w:hAnsi="Palatino Linotype" w:cs="Palatino Linotype"/>
          <w:b/>
        </w:rPr>
        <w:t>14703</w:t>
      </w:r>
      <w:r w:rsidRPr="00BE5FBE">
        <w:rPr>
          <w:rFonts w:ascii="Palatino Linotype" w:eastAsia="Palatino Linotype" w:hAnsi="Palatino Linotype" w:cs="Palatino Linotype"/>
          <w:b/>
        </w:rPr>
        <w:t xml:space="preserve">/INFOEM/IP/RR/2025 </w:t>
      </w:r>
      <w:r w:rsidRPr="00BE5FBE">
        <w:rPr>
          <w:rFonts w:ascii="Palatino Linotype" w:eastAsia="Palatino Linotype" w:hAnsi="Palatino Linotype" w:cs="Palatino Linotype"/>
        </w:rPr>
        <w:t xml:space="preserve">en términos del Considerando </w:t>
      </w:r>
      <w:r w:rsidRPr="00BE5FBE">
        <w:rPr>
          <w:rFonts w:ascii="Palatino Linotype" w:eastAsia="Palatino Linotype" w:hAnsi="Palatino Linotype" w:cs="Palatino Linotype"/>
          <w:b/>
        </w:rPr>
        <w:t xml:space="preserve">Cuarto y Quinto </w:t>
      </w:r>
      <w:r w:rsidRPr="00BE5FBE">
        <w:rPr>
          <w:rFonts w:ascii="Palatino Linotype" w:eastAsia="Palatino Linotype" w:hAnsi="Palatino Linotype" w:cs="Palatino Linotype"/>
        </w:rPr>
        <w:t xml:space="preserve">de la presente resolución. </w:t>
      </w:r>
    </w:p>
    <w:p w:rsidR="00337BEB" w:rsidRPr="00BE5FBE" w:rsidRDefault="00337BEB">
      <w:pPr>
        <w:spacing w:line="360" w:lineRule="auto"/>
        <w:jc w:val="both"/>
        <w:rPr>
          <w:rFonts w:ascii="Palatino Linotype" w:eastAsia="Palatino Linotype" w:hAnsi="Palatino Linotype" w:cs="Palatino Linotype"/>
        </w:rPr>
      </w:pPr>
    </w:p>
    <w:p w:rsidR="00C94E83" w:rsidRPr="00BE5FBE" w:rsidRDefault="000B245E" w:rsidP="00C94E83">
      <w:pPr>
        <w:spacing w:line="360" w:lineRule="auto"/>
        <w:jc w:val="both"/>
        <w:rPr>
          <w:rFonts w:ascii="Palatino Linotype" w:eastAsia="Palatino Linotype" w:hAnsi="Palatino Linotype" w:cs="Palatino Linotype"/>
          <w:color w:val="000000"/>
        </w:rPr>
      </w:pPr>
      <w:bookmarkStart w:id="14" w:name="_heading=h.26in1rg" w:colFirst="0" w:colLast="0"/>
      <w:bookmarkEnd w:id="14"/>
      <w:r w:rsidRPr="00BE5FBE">
        <w:rPr>
          <w:rFonts w:ascii="Palatino Linotype" w:eastAsia="Palatino Linotype" w:hAnsi="Palatino Linotype" w:cs="Palatino Linotype"/>
          <w:b/>
        </w:rPr>
        <w:t xml:space="preserve">SEGUNDO. </w:t>
      </w:r>
      <w:r w:rsidRPr="00BE5FBE">
        <w:rPr>
          <w:rFonts w:ascii="Palatino Linotype" w:eastAsia="Palatino Linotype" w:hAnsi="Palatino Linotype" w:cs="Palatino Linotype"/>
          <w:color w:val="000000"/>
        </w:rPr>
        <w:t xml:space="preserve">Se </w:t>
      </w:r>
      <w:r w:rsidRPr="00BE5FBE">
        <w:rPr>
          <w:rFonts w:ascii="Palatino Linotype" w:eastAsia="Palatino Linotype" w:hAnsi="Palatino Linotype" w:cs="Palatino Linotype"/>
          <w:b/>
          <w:color w:val="000000"/>
        </w:rPr>
        <w:t xml:space="preserve">REVOCA </w:t>
      </w:r>
      <w:r w:rsidRPr="00BE5FBE">
        <w:rPr>
          <w:rFonts w:ascii="Palatino Linotype" w:eastAsia="Palatino Linotype" w:hAnsi="Palatino Linotype" w:cs="Palatino Linotype"/>
          <w:color w:val="000000"/>
        </w:rPr>
        <w:t xml:space="preserve">la respuesta emitida por el </w:t>
      </w:r>
      <w:r w:rsidR="00C94E83" w:rsidRPr="00BE5FBE">
        <w:rPr>
          <w:rFonts w:ascii="Palatino Linotype" w:eastAsia="Palatino Linotype" w:hAnsi="Palatino Linotype" w:cs="Palatino Linotype"/>
          <w:b/>
          <w:color w:val="000000"/>
        </w:rPr>
        <w:t>Sistema Municipal para el Desarrollo Integral de la Familia de Huehuetoca</w:t>
      </w:r>
      <w:r w:rsidRPr="00BE5FBE">
        <w:rPr>
          <w:rFonts w:ascii="Palatino Linotype" w:eastAsia="Palatino Linotype" w:hAnsi="Palatino Linotype" w:cs="Palatino Linotype"/>
          <w:b/>
          <w:color w:val="000000"/>
        </w:rPr>
        <w:t>,</w:t>
      </w:r>
      <w:r w:rsidRPr="00BE5FBE">
        <w:rPr>
          <w:rFonts w:ascii="Palatino Linotype" w:eastAsia="Palatino Linotype" w:hAnsi="Palatino Linotype" w:cs="Palatino Linotype"/>
          <w:color w:val="000000"/>
        </w:rPr>
        <w:t xml:space="preserve"> a la </w:t>
      </w:r>
      <w:r w:rsidRPr="00BE5FBE">
        <w:rPr>
          <w:rFonts w:ascii="Palatino Linotype" w:eastAsia="Palatino Linotype" w:hAnsi="Palatino Linotype" w:cs="Palatino Linotype"/>
        </w:rPr>
        <w:t>solicitud de información pública registrada con el número</w:t>
      </w:r>
      <w:r w:rsidR="00C94E83" w:rsidRPr="00BE5FBE">
        <w:rPr>
          <w:rFonts w:ascii="Palatino Linotype" w:eastAsia="Palatino Linotype" w:hAnsi="Palatino Linotype" w:cs="Palatino Linotype"/>
          <w:b/>
        </w:rPr>
        <w:t xml:space="preserve"> 00266</w:t>
      </w:r>
      <w:r w:rsidRPr="00BE5FBE">
        <w:rPr>
          <w:rFonts w:ascii="Palatino Linotype" w:eastAsia="Palatino Linotype" w:hAnsi="Palatino Linotype" w:cs="Palatino Linotype"/>
          <w:b/>
        </w:rPr>
        <w:t>/</w:t>
      </w:r>
      <w:r w:rsidR="00C94E83" w:rsidRPr="00BE5FBE">
        <w:rPr>
          <w:rFonts w:ascii="Palatino Linotype" w:eastAsia="Palatino Linotype" w:hAnsi="Palatino Linotype" w:cs="Palatino Linotype"/>
          <w:b/>
        </w:rPr>
        <w:t>DIFHUEHUET</w:t>
      </w:r>
      <w:r w:rsidRPr="00BE5FBE">
        <w:rPr>
          <w:rFonts w:ascii="Palatino Linotype" w:eastAsia="Palatino Linotype" w:hAnsi="Palatino Linotype" w:cs="Palatino Linotype"/>
          <w:b/>
        </w:rPr>
        <w:t>/IP/2025</w:t>
      </w:r>
      <w:r w:rsidRPr="00BE5FBE">
        <w:rPr>
          <w:rFonts w:ascii="Palatino Linotype" w:eastAsia="Palatino Linotype" w:hAnsi="Palatino Linotype" w:cs="Palatino Linotype"/>
          <w:color w:val="000000"/>
        </w:rPr>
        <w:t xml:space="preserve"> y se </w:t>
      </w:r>
      <w:r w:rsidRPr="00BE5FBE">
        <w:rPr>
          <w:rFonts w:ascii="Palatino Linotype" w:eastAsia="Palatino Linotype" w:hAnsi="Palatino Linotype" w:cs="Palatino Linotype"/>
          <w:b/>
          <w:color w:val="000000"/>
        </w:rPr>
        <w:t>ORDENA</w:t>
      </w:r>
      <w:r w:rsidRPr="00BE5FBE">
        <w:rPr>
          <w:rFonts w:ascii="Palatino Linotype" w:eastAsia="Palatino Linotype" w:hAnsi="Palatino Linotype" w:cs="Palatino Linotype"/>
          <w:color w:val="000000"/>
        </w:rPr>
        <w:t xml:space="preserve"> </w:t>
      </w:r>
      <w:r w:rsidRPr="00BE5FBE">
        <w:rPr>
          <w:rFonts w:ascii="Palatino Linotype" w:eastAsia="Palatino Linotype" w:hAnsi="Palatino Linotype" w:cs="Palatino Linotype"/>
          <w:b/>
          <w:color w:val="000000"/>
        </w:rPr>
        <w:t>entregar vía Sistema de Acceso a la Información Mexiquense (SAIMEX)</w:t>
      </w:r>
      <w:r w:rsidRPr="00BE5FBE">
        <w:rPr>
          <w:rFonts w:ascii="Palatino Linotype" w:eastAsia="Palatino Linotype" w:hAnsi="Palatino Linotype" w:cs="Palatino Linotype"/>
          <w:color w:val="000000"/>
        </w:rPr>
        <w:t>, en versión pú</w:t>
      </w:r>
      <w:r w:rsidR="00C94E83" w:rsidRPr="00BE5FBE">
        <w:rPr>
          <w:rFonts w:ascii="Palatino Linotype" w:eastAsia="Palatino Linotype" w:hAnsi="Palatino Linotype" w:cs="Palatino Linotype"/>
          <w:color w:val="000000"/>
        </w:rPr>
        <w:t xml:space="preserve">blica, </w:t>
      </w:r>
      <w:r w:rsidR="002D7718" w:rsidRPr="00BE5FBE">
        <w:rPr>
          <w:rFonts w:ascii="Palatino Linotype" w:eastAsia="Palatino Linotype" w:hAnsi="Palatino Linotype" w:cs="Palatino Linotype"/>
          <w:color w:val="000000"/>
        </w:rPr>
        <w:t xml:space="preserve">los </w:t>
      </w:r>
      <w:r w:rsidR="002D7718" w:rsidRPr="00BE5FBE">
        <w:rPr>
          <w:rFonts w:ascii="Palatino Linotype" w:eastAsia="Palatino Linotype" w:hAnsi="Palatino Linotype" w:cs="Palatino Linotype"/>
          <w:b/>
          <w:color w:val="000000"/>
        </w:rPr>
        <w:t>Recibos de Nómina correspondientes a</w:t>
      </w:r>
      <w:r w:rsidR="00C94E83" w:rsidRPr="00BE5FBE">
        <w:rPr>
          <w:rFonts w:ascii="Palatino Linotype" w:eastAsia="Palatino Linotype" w:hAnsi="Palatino Linotype" w:cs="Palatino Linotype"/>
          <w:b/>
          <w:color w:val="000000"/>
        </w:rPr>
        <w:t xml:space="preserve">l Tercer Trimestre del Ejercicio Fiscal 2025 </w:t>
      </w:r>
      <w:r w:rsidR="002D7718" w:rsidRPr="00BE5FBE">
        <w:rPr>
          <w:rFonts w:ascii="Palatino Linotype" w:eastAsia="Palatino Linotype" w:hAnsi="Palatino Linotype" w:cs="Palatino Linotype"/>
          <w:b/>
          <w:color w:val="000000"/>
        </w:rPr>
        <w:t xml:space="preserve">de </w:t>
      </w:r>
      <w:r w:rsidR="00C94E83" w:rsidRPr="00BE5FBE">
        <w:rPr>
          <w:rFonts w:ascii="Palatino Linotype" w:eastAsia="Palatino Linotype" w:hAnsi="Palatino Linotype" w:cs="Palatino Linotype"/>
          <w:b/>
          <w:color w:val="000000"/>
        </w:rPr>
        <w:t>lo</w:t>
      </w:r>
      <w:r w:rsidR="002D7718" w:rsidRPr="00BE5FBE">
        <w:rPr>
          <w:rFonts w:ascii="Palatino Linotype" w:eastAsia="Palatino Linotype" w:hAnsi="Palatino Linotype" w:cs="Palatino Linotype"/>
          <w:b/>
          <w:color w:val="000000"/>
        </w:rPr>
        <w:t>s</w:t>
      </w:r>
      <w:r w:rsidR="00C94E83" w:rsidRPr="00BE5FBE">
        <w:rPr>
          <w:rFonts w:ascii="Palatino Linotype" w:eastAsia="Palatino Linotype" w:hAnsi="Palatino Linotype" w:cs="Palatino Linotype"/>
          <w:b/>
          <w:color w:val="000000"/>
        </w:rPr>
        <w:t xml:space="preserve"> siguiente</w:t>
      </w:r>
      <w:r w:rsidR="002D7718" w:rsidRPr="00BE5FBE">
        <w:rPr>
          <w:rFonts w:ascii="Palatino Linotype" w:eastAsia="Palatino Linotype" w:hAnsi="Palatino Linotype" w:cs="Palatino Linotype"/>
          <w:b/>
          <w:color w:val="000000"/>
        </w:rPr>
        <w:t xml:space="preserve">s servidores </w:t>
      </w:r>
      <w:r w:rsidR="00F07D5D" w:rsidRPr="00BE5FBE">
        <w:rPr>
          <w:rFonts w:ascii="Palatino Linotype" w:eastAsia="Palatino Linotype" w:hAnsi="Palatino Linotype" w:cs="Palatino Linotype"/>
          <w:b/>
          <w:color w:val="000000"/>
        </w:rPr>
        <w:t>p</w:t>
      </w:r>
      <w:r w:rsidR="002D7718" w:rsidRPr="00BE5FBE">
        <w:rPr>
          <w:rFonts w:ascii="Palatino Linotype" w:eastAsia="Palatino Linotype" w:hAnsi="Palatino Linotype" w:cs="Palatino Linotype"/>
          <w:b/>
          <w:color w:val="000000"/>
        </w:rPr>
        <w:t>úblicos</w:t>
      </w:r>
      <w:r w:rsidR="00C94E83" w:rsidRPr="00BE5FBE">
        <w:rPr>
          <w:rFonts w:ascii="Palatino Linotype" w:eastAsia="Palatino Linotype" w:hAnsi="Palatino Linotype" w:cs="Palatino Linotype"/>
          <w:color w:val="000000"/>
        </w:rPr>
        <w:t>:</w:t>
      </w:r>
    </w:p>
    <w:p w:rsidR="00C94E83" w:rsidRPr="00BE5FBE" w:rsidRDefault="00C94E83" w:rsidP="00C94E83">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C94E83" w:rsidRPr="00BE5FBE" w:rsidRDefault="00C94E83" w:rsidP="00C94E83">
      <w:pPr>
        <w:pStyle w:val="Prrafodelista"/>
        <w:numPr>
          <w:ilvl w:val="2"/>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lastRenderedPageBreak/>
        <w:t>Directora General</w:t>
      </w:r>
      <w:r w:rsidR="00F07D5D" w:rsidRPr="00BE5FBE">
        <w:rPr>
          <w:rFonts w:ascii="Palatino Linotype" w:eastAsia="Palatino Linotype" w:hAnsi="Palatino Linotype" w:cs="Palatino Linotype"/>
          <w:b/>
          <w:color w:val="000000"/>
        </w:rPr>
        <w:t xml:space="preserve"> del DIF Municipal</w:t>
      </w:r>
    </w:p>
    <w:p w:rsidR="00C94E83" w:rsidRPr="00BE5FBE" w:rsidRDefault="00C94E83" w:rsidP="00C94E83">
      <w:pPr>
        <w:pStyle w:val="Prrafodelista"/>
        <w:numPr>
          <w:ilvl w:val="2"/>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Coordinadora de la UIPPE</w:t>
      </w:r>
    </w:p>
    <w:p w:rsidR="00C94E83" w:rsidRPr="00BE5FBE" w:rsidRDefault="00C94E83" w:rsidP="00C94E83">
      <w:pPr>
        <w:pStyle w:val="Prrafodelista"/>
        <w:numPr>
          <w:ilvl w:val="2"/>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Coordinadora de la Unidad de Transparencia</w:t>
      </w:r>
    </w:p>
    <w:p w:rsidR="00C94E83" w:rsidRPr="00BE5FBE" w:rsidRDefault="00F07D5D" w:rsidP="00C94E83">
      <w:pPr>
        <w:pStyle w:val="Prrafodelista"/>
        <w:numPr>
          <w:ilvl w:val="2"/>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Titular de Tesorería</w:t>
      </w:r>
    </w:p>
    <w:p w:rsidR="00C94E83" w:rsidRPr="00BE5FBE" w:rsidRDefault="00C94E83" w:rsidP="00C94E83">
      <w:pPr>
        <w:pStyle w:val="Prrafodelista"/>
        <w:numPr>
          <w:ilvl w:val="2"/>
          <w:numId w:val="18"/>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BE5FBE">
        <w:rPr>
          <w:rFonts w:ascii="Palatino Linotype" w:eastAsia="Palatino Linotype" w:hAnsi="Palatino Linotype" w:cs="Palatino Linotype"/>
          <w:b/>
          <w:color w:val="000000"/>
        </w:rPr>
        <w:t xml:space="preserve">Jefa de Recursos Humanos </w:t>
      </w:r>
    </w:p>
    <w:p w:rsidR="002D7718" w:rsidRPr="00BE5FBE" w:rsidRDefault="002D7718">
      <w:pPr>
        <w:spacing w:line="360" w:lineRule="auto"/>
        <w:jc w:val="both"/>
        <w:rPr>
          <w:rFonts w:ascii="Palatino Linotype" w:eastAsia="Palatino Linotype" w:hAnsi="Palatino Linotype" w:cs="Palatino Linotype"/>
        </w:rPr>
      </w:pPr>
    </w:p>
    <w:p w:rsidR="00337BEB" w:rsidRPr="00BE5FBE" w:rsidRDefault="000B245E">
      <w:pPr>
        <w:spacing w:line="360" w:lineRule="auto"/>
        <w:jc w:val="both"/>
        <w:rPr>
          <w:rFonts w:ascii="Palatino Linotype" w:eastAsia="Palatino Linotype" w:hAnsi="Palatino Linotype" w:cs="Palatino Linotype"/>
          <w:b/>
        </w:rPr>
      </w:pPr>
      <w:r w:rsidRPr="00BE5FBE">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BE5FBE">
        <w:rPr>
          <w:rFonts w:ascii="Palatino Linotype" w:eastAsia="Palatino Linotype" w:hAnsi="Palatino Linotype" w:cs="Palatino Linotype"/>
          <w:b/>
        </w:rPr>
        <w:t>RECURRENTE.</w:t>
      </w:r>
    </w:p>
    <w:p w:rsidR="00337BEB" w:rsidRPr="00BE5FBE" w:rsidRDefault="00337BE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5" w:name="_heading=h.4d34og8" w:colFirst="0" w:colLast="0"/>
      <w:bookmarkEnd w:id="15"/>
    </w:p>
    <w:p w:rsidR="00337BEB" w:rsidRPr="00BE5FBE" w:rsidRDefault="000B245E">
      <w:pPr>
        <w:tabs>
          <w:tab w:val="left" w:pos="8080"/>
        </w:tabs>
        <w:spacing w:line="360" w:lineRule="auto"/>
        <w:ind w:right="49"/>
        <w:jc w:val="both"/>
        <w:rPr>
          <w:rFonts w:ascii="Palatino Linotype" w:eastAsia="Palatino Linotype" w:hAnsi="Palatino Linotype" w:cs="Palatino Linotype"/>
          <w:b/>
        </w:rPr>
      </w:pPr>
      <w:bookmarkStart w:id="16" w:name="_heading=h.lnxbz9" w:colFirst="0" w:colLast="0"/>
      <w:bookmarkEnd w:id="16"/>
      <w:r w:rsidRPr="00BE5FBE">
        <w:rPr>
          <w:rFonts w:ascii="Palatino Linotype" w:eastAsia="Palatino Linotype" w:hAnsi="Palatino Linotype" w:cs="Palatino Linotype"/>
          <w:b/>
        </w:rPr>
        <w:t xml:space="preserve">TERCERO. NOTIFÍQUESE </w:t>
      </w:r>
      <w:r w:rsidRPr="00BE5FBE">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E5FBE">
        <w:rPr>
          <w:rFonts w:ascii="Palatino Linotype" w:eastAsia="Palatino Linotype" w:hAnsi="Palatino Linotype" w:cs="Palatino Linotype"/>
          <w:b/>
        </w:rPr>
        <w:t>dé cumplimiento a lo ordenado dentro del plazo de diez días hábiles,</w:t>
      </w:r>
      <w:r w:rsidRPr="00BE5FBE">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37BEB" w:rsidRPr="00BE5FBE" w:rsidRDefault="00337BEB">
      <w:pPr>
        <w:tabs>
          <w:tab w:val="left" w:pos="8080"/>
        </w:tabs>
        <w:spacing w:line="360" w:lineRule="auto"/>
        <w:ind w:right="49"/>
        <w:jc w:val="both"/>
        <w:rPr>
          <w:rFonts w:ascii="Palatino Linotype" w:eastAsia="Palatino Linotype" w:hAnsi="Palatino Linotype" w:cs="Palatino Linotype"/>
          <w:highlight w:val="white"/>
        </w:rPr>
      </w:pPr>
    </w:p>
    <w:p w:rsidR="00337BEB" w:rsidRPr="00BE5FBE" w:rsidRDefault="000B245E">
      <w:pPr>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b/>
        </w:rPr>
        <w:lastRenderedPageBreak/>
        <w:t xml:space="preserve">CUARTO. </w:t>
      </w:r>
      <w:r w:rsidRPr="00BE5FB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BE5FBE">
        <w:rPr>
          <w:rFonts w:ascii="Palatino Linotype" w:eastAsia="Palatino Linotype" w:hAnsi="Palatino Linotype" w:cs="Palatino Linotype"/>
          <w:b/>
        </w:rPr>
        <w:t>SUJETO OBLIGADO</w:t>
      </w:r>
      <w:r w:rsidRPr="00BE5FBE">
        <w:rPr>
          <w:rFonts w:ascii="Palatino Linotype" w:eastAsia="Palatino Linotype" w:hAnsi="Palatino Linotype" w:cs="Palatino Linotype"/>
        </w:rPr>
        <w:t xml:space="preserve"> de manera fundada y motivada, podrá solicitar una ampliación de plazo para el cumplimiento de la presente resolución.</w:t>
      </w:r>
    </w:p>
    <w:p w:rsidR="00337BEB" w:rsidRPr="00BE5FBE" w:rsidRDefault="00337BEB">
      <w:pPr>
        <w:spacing w:line="360" w:lineRule="auto"/>
        <w:jc w:val="both"/>
        <w:rPr>
          <w:rFonts w:ascii="Palatino Linotype" w:eastAsia="Palatino Linotype" w:hAnsi="Palatino Linotype" w:cs="Palatino Linotype"/>
        </w:rPr>
      </w:pPr>
    </w:p>
    <w:p w:rsidR="00337BEB" w:rsidRPr="00BE5FBE" w:rsidRDefault="000B245E">
      <w:pPr>
        <w:tabs>
          <w:tab w:val="left" w:pos="8080"/>
        </w:tabs>
        <w:spacing w:line="360" w:lineRule="auto"/>
        <w:ind w:right="49"/>
        <w:jc w:val="both"/>
        <w:rPr>
          <w:rFonts w:ascii="Palatino Linotype" w:eastAsia="Palatino Linotype" w:hAnsi="Palatino Linotype" w:cs="Palatino Linotype"/>
        </w:rPr>
      </w:pPr>
      <w:bookmarkStart w:id="17" w:name="_heading=h.35nkun2" w:colFirst="0" w:colLast="0"/>
      <w:bookmarkEnd w:id="17"/>
      <w:r w:rsidRPr="00BE5FBE">
        <w:rPr>
          <w:rFonts w:ascii="Palatino Linotype" w:eastAsia="Palatino Linotype" w:hAnsi="Palatino Linotype" w:cs="Palatino Linotype"/>
          <w:b/>
        </w:rPr>
        <w:t xml:space="preserve">QUINTO. </w:t>
      </w:r>
      <w:r w:rsidRPr="00BE5FBE">
        <w:rPr>
          <w:rFonts w:ascii="Palatino Linotype" w:eastAsia="Palatino Linotype" w:hAnsi="Palatino Linotype" w:cs="Palatino Linotype"/>
        </w:rPr>
        <w:t xml:space="preserve">Notifíquese a </w:t>
      </w:r>
      <w:r w:rsidRPr="00BE5FBE">
        <w:rPr>
          <w:rFonts w:ascii="Palatino Linotype" w:eastAsia="Palatino Linotype" w:hAnsi="Palatino Linotype" w:cs="Palatino Linotype"/>
          <w:b/>
        </w:rPr>
        <w:t>EL RECURRENTE</w:t>
      </w:r>
      <w:r w:rsidRPr="00BE5FBE">
        <w:rPr>
          <w:rFonts w:ascii="Palatino Linotype" w:eastAsia="Palatino Linotype" w:hAnsi="Palatino Linotype" w:cs="Palatino Linotype"/>
        </w:rPr>
        <w:t xml:space="preserve"> la presente resolución, vía SAIMEX.</w:t>
      </w:r>
    </w:p>
    <w:p w:rsidR="00337BEB" w:rsidRPr="00BE5FBE" w:rsidRDefault="00337BEB">
      <w:pPr>
        <w:tabs>
          <w:tab w:val="left" w:pos="8080"/>
        </w:tabs>
        <w:spacing w:line="360" w:lineRule="auto"/>
        <w:ind w:right="49"/>
        <w:jc w:val="both"/>
        <w:rPr>
          <w:rFonts w:ascii="Palatino Linotype" w:eastAsia="Palatino Linotype" w:hAnsi="Palatino Linotype" w:cs="Palatino Linotype"/>
        </w:rPr>
      </w:pPr>
    </w:p>
    <w:p w:rsidR="00337BEB" w:rsidRPr="00BE5FBE" w:rsidRDefault="000B245E">
      <w:pPr>
        <w:shd w:val="clear" w:color="auto" w:fill="FFFFFF"/>
        <w:spacing w:line="360" w:lineRule="auto"/>
        <w:jc w:val="both"/>
        <w:rPr>
          <w:rFonts w:ascii="Palatino Linotype" w:eastAsia="Palatino Linotype" w:hAnsi="Palatino Linotype" w:cs="Palatino Linotype"/>
        </w:rPr>
      </w:pPr>
      <w:r w:rsidRPr="00BE5FBE">
        <w:rPr>
          <w:rFonts w:ascii="Palatino Linotype" w:eastAsia="Palatino Linotype" w:hAnsi="Palatino Linotype" w:cs="Palatino Linotype"/>
          <w:b/>
        </w:rPr>
        <w:t>SEXTO.</w:t>
      </w:r>
      <w:r w:rsidRPr="00BE5FBE">
        <w:rPr>
          <w:rFonts w:ascii="Palatino Linotype" w:eastAsia="Palatino Linotype" w:hAnsi="Palatino Linotype" w:cs="Palatino Linotype"/>
        </w:rPr>
        <w:t xml:space="preserve"> Se hace del conocimiento de </w:t>
      </w:r>
      <w:r w:rsidRPr="00BE5FBE">
        <w:rPr>
          <w:rFonts w:ascii="Palatino Linotype" w:eastAsia="Palatino Linotype" w:hAnsi="Palatino Linotype" w:cs="Palatino Linotype"/>
          <w:b/>
        </w:rPr>
        <w:t>EL RECURRENTE</w:t>
      </w:r>
      <w:r w:rsidRPr="00BE5FBE">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37BEB" w:rsidRPr="00BE5FBE" w:rsidRDefault="00337BEB">
      <w:pPr>
        <w:shd w:val="clear" w:color="auto" w:fill="FFFFFF"/>
        <w:spacing w:line="360" w:lineRule="auto"/>
        <w:jc w:val="both"/>
        <w:rPr>
          <w:rFonts w:ascii="Palatino Linotype" w:eastAsia="Palatino Linotype" w:hAnsi="Palatino Linotype" w:cs="Palatino Linotype"/>
        </w:rPr>
      </w:pPr>
    </w:p>
    <w:p w:rsidR="00823C51" w:rsidRPr="00BE5FBE" w:rsidRDefault="00823C51" w:rsidP="00823C51">
      <w:pPr>
        <w:spacing w:before="240" w:after="240" w:line="360" w:lineRule="auto"/>
        <w:ind w:firstLine="1"/>
        <w:jc w:val="both"/>
        <w:rPr>
          <w:rFonts w:ascii="Palatino Linotype" w:hAnsi="Palatino Linotype"/>
        </w:rPr>
      </w:pPr>
      <w:bookmarkStart w:id="18" w:name="_Hlk99014733"/>
      <w:r w:rsidRPr="00BE5FB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BE5FBE">
        <w:rPr>
          <w:rFonts w:ascii="Palatino Linotype" w:hAnsi="Palatino Linotype" w:cs="Palatino Linotype"/>
          <w:color w:val="000000" w:themeColor="text1"/>
        </w:rPr>
        <w:t>ALEXIS TAPIA RAMÍREZ.</w:t>
      </w:r>
    </w:p>
    <w:bookmarkEnd w:id="18"/>
    <w:p w:rsidR="00337BEB" w:rsidRPr="00BE5FBE" w:rsidRDefault="00337BEB">
      <w:pPr>
        <w:spacing w:before="240" w:after="240" w:line="360" w:lineRule="auto"/>
        <w:ind w:firstLine="1"/>
        <w:jc w:val="both"/>
        <w:rPr>
          <w:rFonts w:ascii="Palatino Linotype" w:eastAsia="Palatino Linotype" w:hAnsi="Palatino Linotype" w:cs="Palatino Linotype"/>
        </w:rPr>
      </w:pPr>
    </w:p>
    <w:p w:rsidR="00337BEB" w:rsidRPr="00BE5FBE" w:rsidRDefault="00337BEB">
      <w:pPr>
        <w:spacing w:before="240" w:after="240" w:line="360" w:lineRule="auto"/>
        <w:ind w:firstLine="1"/>
        <w:jc w:val="both"/>
        <w:rPr>
          <w:rFonts w:ascii="Palatino Linotype" w:eastAsia="Palatino Linotype" w:hAnsi="Palatino Linotype" w:cs="Palatino Linotype"/>
        </w:rPr>
      </w:pPr>
    </w:p>
    <w:p w:rsidR="00337BEB" w:rsidRPr="00BE5FBE" w:rsidRDefault="00337BEB">
      <w:pPr>
        <w:pStyle w:val="Ttulo2"/>
        <w:spacing w:before="0" w:line="360" w:lineRule="auto"/>
        <w:rPr>
          <w:szCs w:val="24"/>
        </w:rPr>
      </w:pPr>
    </w:p>
    <w:p w:rsidR="00E85692" w:rsidRPr="00BE5FBE" w:rsidRDefault="00E85692" w:rsidP="00E85692">
      <w:pPr>
        <w:rPr>
          <w:lang w:val="es-MX" w:eastAsia="en-US"/>
        </w:rPr>
      </w:pPr>
    </w:p>
    <w:p w:rsidR="00E85692" w:rsidRPr="00BE5FBE" w:rsidRDefault="00E85692" w:rsidP="00E85692">
      <w:pPr>
        <w:rPr>
          <w:lang w:val="es-MX" w:eastAsia="en-US"/>
        </w:rPr>
      </w:pPr>
    </w:p>
    <w:p w:rsidR="00E85692" w:rsidRPr="00BE5FBE" w:rsidRDefault="00E85692" w:rsidP="00E85692">
      <w:pPr>
        <w:rPr>
          <w:lang w:val="es-MX" w:eastAsia="en-US"/>
        </w:rPr>
      </w:pPr>
    </w:p>
    <w:p w:rsidR="00E85692" w:rsidRPr="00BE5FBE" w:rsidRDefault="00E85692" w:rsidP="00E85692">
      <w:pPr>
        <w:rPr>
          <w:lang w:val="es-MX" w:eastAsia="en-US"/>
        </w:rPr>
      </w:pPr>
    </w:p>
    <w:p w:rsidR="00E85692" w:rsidRPr="00BE5FBE" w:rsidRDefault="00E85692" w:rsidP="00E85692">
      <w:pPr>
        <w:rPr>
          <w:lang w:val="es-MX" w:eastAsia="en-US"/>
        </w:rPr>
      </w:pPr>
    </w:p>
    <w:p w:rsidR="00E85692" w:rsidRPr="00BE5FBE" w:rsidRDefault="00E85692" w:rsidP="00E85692">
      <w:pPr>
        <w:rPr>
          <w:lang w:val="es-MX" w:eastAsia="en-US"/>
        </w:rPr>
      </w:pPr>
    </w:p>
    <w:sectPr w:rsidR="00E85692" w:rsidRPr="00BE5FBE" w:rsidSect="00BE5FBE">
      <w:headerReference w:type="default" r:id="rId10"/>
      <w:footerReference w:type="default" r:id="rId11"/>
      <w:headerReference w:type="first" r:id="rId12"/>
      <w:footerReference w:type="first" r:id="rId13"/>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E91" w:rsidRDefault="00984E91">
      <w:r>
        <w:separator/>
      </w:r>
    </w:p>
  </w:endnote>
  <w:endnote w:type="continuationSeparator" w:id="0">
    <w:p w:rsidR="00984E91" w:rsidRDefault="0098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B81" w:rsidRPr="00BE5FBE" w:rsidRDefault="00E83B81">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BE5FBE">
      <w:rPr>
        <w:rFonts w:ascii="Palatino Linotype" w:eastAsia="Palatino Linotype" w:hAnsi="Palatino Linotype" w:cs="Palatino Linotype"/>
        <w:b/>
        <w:color w:val="000000"/>
        <w:sz w:val="22"/>
        <w:szCs w:val="22"/>
      </w:rPr>
      <w:t xml:space="preserve">Página </w:t>
    </w:r>
    <w:r w:rsidRPr="00BE5FBE">
      <w:rPr>
        <w:rFonts w:ascii="Palatino Linotype" w:eastAsia="Palatino Linotype" w:hAnsi="Palatino Linotype" w:cs="Palatino Linotype"/>
        <w:b/>
        <w:color w:val="000000"/>
        <w:sz w:val="22"/>
        <w:szCs w:val="22"/>
      </w:rPr>
      <w:fldChar w:fldCharType="begin"/>
    </w:r>
    <w:r w:rsidRPr="00BE5FBE">
      <w:rPr>
        <w:rFonts w:ascii="Palatino Linotype" w:eastAsia="Palatino Linotype" w:hAnsi="Palatino Linotype" w:cs="Palatino Linotype"/>
        <w:b/>
        <w:color w:val="000000"/>
        <w:sz w:val="22"/>
        <w:szCs w:val="22"/>
      </w:rPr>
      <w:instrText>PAGE</w:instrText>
    </w:r>
    <w:r w:rsidRPr="00BE5FBE">
      <w:rPr>
        <w:rFonts w:ascii="Palatino Linotype" w:eastAsia="Palatino Linotype" w:hAnsi="Palatino Linotype" w:cs="Palatino Linotype"/>
        <w:b/>
        <w:color w:val="000000"/>
        <w:sz w:val="22"/>
        <w:szCs w:val="22"/>
      </w:rPr>
      <w:fldChar w:fldCharType="separate"/>
    </w:r>
    <w:r w:rsidR="00BE5FBE">
      <w:rPr>
        <w:rFonts w:ascii="Palatino Linotype" w:eastAsia="Palatino Linotype" w:hAnsi="Palatino Linotype" w:cs="Palatino Linotype"/>
        <w:b/>
        <w:noProof/>
        <w:color w:val="000000"/>
        <w:sz w:val="22"/>
        <w:szCs w:val="22"/>
      </w:rPr>
      <w:t>21</w:t>
    </w:r>
    <w:r w:rsidRPr="00BE5FBE">
      <w:rPr>
        <w:rFonts w:ascii="Palatino Linotype" w:eastAsia="Palatino Linotype" w:hAnsi="Palatino Linotype" w:cs="Palatino Linotype"/>
        <w:b/>
        <w:color w:val="000000"/>
        <w:sz w:val="22"/>
        <w:szCs w:val="22"/>
      </w:rPr>
      <w:fldChar w:fldCharType="end"/>
    </w:r>
    <w:r w:rsidRPr="00BE5FBE">
      <w:rPr>
        <w:rFonts w:ascii="Palatino Linotype" w:eastAsia="Palatino Linotype" w:hAnsi="Palatino Linotype" w:cs="Palatino Linotype"/>
        <w:b/>
        <w:color w:val="000000"/>
        <w:sz w:val="22"/>
        <w:szCs w:val="22"/>
      </w:rPr>
      <w:t xml:space="preserve"> de </w:t>
    </w:r>
    <w:r w:rsidRPr="00BE5FBE">
      <w:rPr>
        <w:rFonts w:ascii="Palatino Linotype" w:eastAsia="Palatino Linotype" w:hAnsi="Palatino Linotype" w:cs="Palatino Linotype"/>
        <w:b/>
        <w:color w:val="000000"/>
        <w:sz w:val="22"/>
        <w:szCs w:val="22"/>
      </w:rPr>
      <w:fldChar w:fldCharType="begin"/>
    </w:r>
    <w:r w:rsidRPr="00BE5FBE">
      <w:rPr>
        <w:rFonts w:ascii="Palatino Linotype" w:eastAsia="Palatino Linotype" w:hAnsi="Palatino Linotype" w:cs="Palatino Linotype"/>
        <w:b/>
        <w:color w:val="000000"/>
        <w:sz w:val="22"/>
        <w:szCs w:val="22"/>
      </w:rPr>
      <w:instrText>NUMPAGES</w:instrText>
    </w:r>
    <w:r w:rsidRPr="00BE5FBE">
      <w:rPr>
        <w:rFonts w:ascii="Palatino Linotype" w:eastAsia="Palatino Linotype" w:hAnsi="Palatino Linotype" w:cs="Palatino Linotype"/>
        <w:b/>
        <w:color w:val="000000"/>
        <w:sz w:val="22"/>
        <w:szCs w:val="22"/>
      </w:rPr>
      <w:fldChar w:fldCharType="separate"/>
    </w:r>
    <w:r w:rsidR="00BE5FBE">
      <w:rPr>
        <w:rFonts w:ascii="Palatino Linotype" w:eastAsia="Palatino Linotype" w:hAnsi="Palatino Linotype" w:cs="Palatino Linotype"/>
        <w:b/>
        <w:noProof/>
        <w:color w:val="000000"/>
        <w:sz w:val="22"/>
        <w:szCs w:val="22"/>
      </w:rPr>
      <w:t>50</w:t>
    </w:r>
    <w:r w:rsidRPr="00BE5FBE">
      <w:rPr>
        <w:rFonts w:ascii="Palatino Linotype" w:eastAsia="Palatino Linotype" w:hAnsi="Palatino Linotype" w:cs="Palatino Linotype"/>
        <w:b/>
        <w:color w:val="000000"/>
        <w:sz w:val="22"/>
        <w:szCs w:val="22"/>
      </w:rPr>
      <w:fldChar w:fldCharType="end"/>
    </w:r>
  </w:p>
  <w:p w:rsidR="00E83B81" w:rsidRDefault="00E83B8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E83B81" w:rsidRDefault="00E83B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B81" w:rsidRPr="00BE5FBE" w:rsidRDefault="00E83B81">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BE5FBE">
      <w:rPr>
        <w:rFonts w:ascii="Palatino Linotype" w:eastAsia="Palatino Linotype" w:hAnsi="Palatino Linotype" w:cs="Palatino Linotype"/>
        <w:b/>
        <w:color w:val="000000"/>
        <w:sz w:val="22"/>
        <w:szCs w:val="22"/>
      </w:rPr>
      <w:t xml:space="preserve">Página </w:t>
    </w:r>
    <w:r w:rsidRPr="00BE5FBE">
      <w:rPr>
        <w:rFonts w:ascii="Palatino Linotype" w:eastAsia="Palatino Linotype" w:hAnsi="Palatino Linotype" w:cs="Palatino Linotype"/>
        <w:b/>
        <w:color w:val="000000"/>
        <w:sz w:val="22"/>
        <w:szCs w:val="22"/>
      </w:rPr>
      <w:fldChar w:fldCharType="begin"/>
    </w:r>
    <w:r w:rsidRPr="00BE5FBE">
      <w:rPr>
        <w:rFonts w:ascii="Palatino Linotype" w:eastAsia="Palatino Linotype" w:hAnsi="Palatino Linotype" w:cs="Palatino Linotype"/>
        <w:b/>
        <w:color w:val="000000"/>
        <w:sz w:val="22"/>
        <w:szCs w:val="22"/>
      </w:rPr>
      <w:instrText>PAGE</w:instrText>
    </w:r>
    <w:r w:rsidRPr="00BE5FBE">
      <w:rPr>
        <w:rFonts w:ascii="Palatino Linotype" w:eastAsia="Palatino Linotype" w:hAnsi="Palatino Linotype" w:cs="Palatino Linotype"/>
        <w:b/>
        <w:color w:val="000000"/>
        <w:sz w:val="22"/>
        <w:szCs w:val="22"/>
      </w:rPr>
      <w:fldChar w:fldCharType="separate"/>
    </w:r>
    <w:r w:rsidR="00BE5FBE">
      <w:rPr>
        <w:rFonts w:ascii="Palatino Linotype" w:eastAsia="Palatino Linotype" w:hAnsi="Palatino Linotype" w:cs="Palatino Linotype"/>
        <w:b/>
        <w:noProof/>
        <w:color w:val="000000"/>
        <w:sz w:val="22"/>
        <w:szCs w:val="22"/>
      </w:rPr>
      <w:t>1</w:t>
    </w:r>
    <w:r w:rsidRPr="00BE5FBE">
      <w:rPr>
        <w:rFonts w:ascii="Palatino Linotype" w:eastAsia="Palatino Linotype" w:hAnsi="Palatino Linotype" w:cs="Palatino Linotype"/>
        <w:b/>
        <w:color w:val="000000"/>
        <w:sz w:val="22"/>
        <w:szCs w:val="22"/>
      </w:rPr>
      <w:fldChar w:fldCharType="end"/>
    </w:r>
    <w:r w:rsidRPr="00BE5FBE">
      <w:rPr>
        <w:rFonts w:ascii="Palatino Linotype" w:eastAsia="Palatino Linotype" w:hAnsi="Palatino Linotype" w:cs="Palatino Linotype"/>
        <w:b/>
        <w:color w:val="000000"/>
        <w:sz w:val="22"/>
        <w:szCs w:val="22"/>
      </w:rPr>
      <w:t xml:space="preserve"> de </w:t>
    </w:r>
    <w:r w:rsidRPr="00BE5FBE">
      <w:rPr>
        <w:rFonts w:ascii="Palatino Linotype" w:eastAsia="Palatino Linotype" w:hAnsi="Palatino Linotype" w:cs="Palatino Linotype"/>
        <w:b/>
        <w:color w:val="000000"/>
        <w:sz w:val="22"/>
        <w:szCs w:val="22"/>
      </w:rPr>
      <w:fldChar w:fldCharType="begin"/>
    </w:r>
    <w:r w:rsidRPr="00BE5FBE">
      <w:rPr>
        <w:rFonts w:ascii="Palatino Linotype" w:eastAsia="Palatino Linotype" w:hAnsi="Palatino Linotype" w:cs="Palatino Linotype"/>
        <w:b/>
        <w:color w:val="000000"/>
        <w:sz w:val="22"/>
        <w:szCs w:val="22"/>
      </w:rPr>
      <w:instrText>NUMPAGES</w:instrText>
    </w:r>
    <w:r w:rsidRPr="00BE5FBE">
      <w:rPr>
        <w:rFonts w:ascii="Palatino Linotype" w:eastAsia="Palatino Linotype" w:hAnsi="Palatino Linotype" w:cs="Palatino Linotype"/>
        <w:b/>
        <w:color w:val="000000"/>
        <w:sz w:val="22"/>
        <w:szCs w:val="22"/>
      </w:rPr>
      <w:fldChar w:fldCharType="separate"/>
    </w:r>
    <w:r w:rsidR="00BE5FBE">
      <w:rPr>
        <w:rFonts w:ascii="Palatino Linotype" w:eastAsia="Palatino Linotype" w:hAnsi="Palatino Linotype" w:cs="Palatino Linotype"/>
        <w:b/>
        <w:noProof/>
        <w:color w:val="000000"/>
        <w:sz w:val="22"/>
        <w:szCs w:val="22"/>
      </w:rPr>
      <w:t>50</w:t>
    </w:r>
    <w:r w:rsidRPr="00BE5FBE">
      <w:rPr>
        <w:rFonts w:ascii="Palatino Linotype" w:eastAsia="Palatino Linotype" w:hAnsi="Palatino Linotype" w:cs="Palatino Linotype"/>
        <w:b/>
        <w:color w:val="000000"/>
        <w:sz w:val="22"/>
        <w:szCs w:val="22"/>
      </w:rPr>
      <w:fldChar w:fldCharType="end"/>
    </w:r>
  </w:p>
  <w:p w:rsidR="00E83B81" w:rsidRDefault="00E83B8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E83B81" w:rsidRDefault="00E83B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E91" w:rsidRDefault="00984E91">
      <w:r>
        <w:separator/>
      </w:r>
    </w:p>
  </w:footnote>
  <w:footnote w:type="continuationSeparator" w:id="0">
    <w:p w:rsidR="00984E91" w:rsidRDefault="00984E91">
      <w:r>
        <w:continuationSeparator/>
      </w:r>
    </w:p>
  </w:footnote>
  <w:footnote w:id="1">
    <w:p w:rsidR="00E83B81" w:rsidRDefault="00E83B8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E83B81" w:rsidRDefault="00E83B8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E83B81" w:rsidRDefault="00E83B8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E83B81" w:rsidRDefault="00E83B8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E83B81" w:rsidRDefault="00E83B8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E83B81" w:rsidRDefault="00E83B81">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E83B81" w:rsidRDefault="00E83B81">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 w:id="6">
    <w:p w:rsidR="00E83B81" w:rsidRDefault="00E83B8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https://legislacion.edomex.gob.mx/sites/legislacion.edomex.gob.mx/files/files/pdf/ley/vig/leyvig083.pdf</w:t>
        </w:r>
      </w:hyperlink>
    </w:p>
    <w:p w:rsidR="00E83B81" w:rsidRDefault="00E83B81">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7270"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734"/>
      <w:gridCol w:w="4536"/>
    </w:tblGrid>
    <w:tr w:rsidR="00E83B81" w:rsidTr="00BE5FBE">
      <w:trPr>
        <w:trHeight w:val="138"/>
      </w:trPr>
      <w:tc>
        <w:tcPr>
          <w:tcW w:w="2734" w:type="dxa"/>
          <w:vAlign w:val="center"/>
        </w:tcPr>
        <w:p w:rsidR="00E83B81" w:rsidRPr="00BE5FBE" w:rsidRDefault="00E83B81">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Recurso de Revisión:</w:t>
          </w:r>
        </w:p>
      </w:tc>
      <w:tc>
        <w:tcPr>
          <w:tcW w:w="4536" w:type="dxa"/>
          <w:vAlign w:val="center"/>
        </w:tcPr>
        <w:p w:rsidR="00E83B81" w:rsidRPr="00BE5FBE" w:rsidRDefault="00E83B8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BE5FBE">
            <w:rPr>
              <w:rFonts w:ascii="Palatino Linotype" w:eastAsia="Palatino Linotype" w:hAnsi="Palatino Linotype" w:cs="Palatino Linotype"/>
              <w:color w:val="000000"/>
              <w:sz w:val="24"/>
            </w:rPr>
            <w:t>14703/INFOEM/IP/RR/2025</w:t>
          </w:r>
        </w:p>
      </w:tc>
    </w:tr>
    <w:tr w:rsidR="00E83B81" w:rsidTr="00BE5FBE">
      <w:trPr>
        <w:trHeight w:val="321"/>
      </w:trPr>
      <w:tc>
        <w:tcPr>
          <w:tcW w:w="2734" w:type="dxa"/>
          <w:vAlign w:val="center"/>
        </w:tcPr>
        <w:p w:rsidR="00E83B81" w:rsidRPr="00BE5FBE" w:rsidRDefault="00E83B81">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Sujeto Obligado:</w:t>
          </w:r>
        </w:p>
      </w:tc>
      <w:tc>
        <w:tcPr>
          <w:tcW w:w="4536" w:type="dxa"/>
          <w:vAlign w:val="center"/>
        </w:tcPr>
        <w:p w:rsidR="00E83B81" w:rsidRPr="00BE5FBE" w:rsidRDefault="00E83B81" w:rsidP="008560C2">
          <w:pPr>
            <w:rPr>
              <w:rFonts w:ascii="Palatino Linotype" w:eastAsia="Palatino Linotype" w:hAnsi="Palatino Linotype" w:cs="Palatino Linotype"/>
              <w:sz w:val="24"/>
            </w:rPr>
          </w:pPr>
          <w:r w:rsidRPr="00BE5FBE">
            <w:rPr>
              <w:rFonts w:ascii="Palatino Linotype" w:eastAsia="Palatino Linotype" w:hAnsi="Palatino Linotype" w:cs="Palatino Linotype"/>
              <w:sz w:val="24"/>
            </w:rPr>
            <w:t>Sistema Municipal para el Desarrollo integral de la Familia de Huehuetoca</w:t>
          </w:r>
        </w:p>
      </w:tc>
    </w:tr>
    <w:tr w:rsidR="00E83B81" w:rsidTr="00BE5FBE">
      <w:trPr>
        <w:trHeight w:val="321"/>
      </w:trPr>
      <w:tc>
        <w:tcPr>
          <w:tcW w:w="2734" w:type="dxa"/>
          <w:vAlign w:val="center"/>
        </w:tcPr>
        <w:p w:rsidR="00E83B81" w:rsidRPr="00BE5FBE" w:rsidRDefault="00E83B81">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Comisionada Ponente:</w:t>
          </w:r>
        </w:p>
      </w:tc>
      <w:tc>
        <w:tcPr>
          <w:tcW w:w="4536" w:type="dxa"/>
          <w:vAlign w:val="center"/>
        </w:tcPr>
        <w:p w:rsidR="00E83B81" w:rsidRPr="00BE5FBE" w:rsidRDefault="00E83B8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BE5FBE">
            <w:rPr>
              <w:rFonts w:ascii="Palatino Linotype" w:eastAsia="Palatino Linotype" w:hAnsi="Palatino Linotype" w:cs="Palatino Linotype"/>
              <w:color w:val="000000"/>
              <w:sz w:val="24"/>
            </w:rPr>
            <w:t>María del Rosario Mejía Ayala</w:t>
          </w:r>
        </w:p>
      </w:tc>
    </w:tr>
  </w:tbl>
  <w:p w:rsidR="00E83B81" w:rsidRDefault="00BE5FBE">
    <w:pPr>
      <w:pBdr>
        <w:top w:val="nil"/>
        <w:left w:val="nil"/>
        <w:bottom w:val="nil"/>
        <w:right w:val="nil"/>
        <w:between w:val="nil"/>
      </w:pBdr>
      <w:tabs>
        <w:tab w:val="center" w:pos="4252"/>
        <w:tab w:val="right" w:pos="8504"/>
      </w:tabs>
      <w:rPr>
        <w:color w:val="000000"/>
      </w:rPr>
    </w:pPr>
    <w:r w:rsidRPr="00BE5FBE">
      <w:rPr>
        <w:noProof/>
        <w:lang w:val="es-MX"/>
      </w:rPr>
      <w:drawing>
        <wp:anchor distT="0" distB="0" distL="0" distR="0" simplePos="0" relativeHeight="251658240" behindDoc="1" locked="0" layoutInCell="1" hidden="0" allowOverlap="1">
          <wp:simplePos x="0" y="0"/>
          <wp:positionH relativeFrom="column">
            <wp:posOffset>-1061552</wp:posOffset>
          </wp:positionH>
          <wp:positionV relativeFrom="paragraph">
            <wp:posOffset>-1259948</wp:posOffset>
          </wp:positionV>
          <wp:extent cx="7809876" cy="10165823"/>
          <wp:effectExtent l="0" t="0" r="0" b="0"/>
          <wp:wrapNone/>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E83B81" w:rsidRDefault="00E83B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402" w:type="dxa"/>
      <w:tblInd w:w="27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4536"/>
    </w:tblGrid>
    <w:tr w:rsidR="00BE5FBE" w:rsidTr="00BE5FBE">
      <w:trPr>
        <w:trHeight w:val="138"/>
      </w:trPr>
      <w:tc>
        <w:tcPr>
          <w:tcW w:w="2866" w:type="dxa"/>
          <w:vAlign w:val="center"/>
        </w:tcPr>
        <w:p w:rsidR="00BE5FBE" w:rsidRPr="00BE5FBE" w:rsidRDefault="00BE5FBE">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Recurso de Revisión:</w:t>
          </w:r>
        </w:p>
      </w:tc>
      <w:tc>
        <w:tcPr>
          <w:tcW w:w="4536" w:type="dxa"/>
          <w:vAlign w:val="center"/>
        </w:tcPr>
        <w:p w:rsidR="00BE5FBE" w:rsidRPr="00BE5FBE" w:rsidRDefault="00BE5FBE" w:rsidP="00BE5FBE">
          <w:pPr>
            <w:pBdr>
              <w:top w:val="nil"/>
              <w:left w:val="nil"/>
              <w:bottom w:val="nil"/>
              <w:right w:val="nil"/>
              <w:between w:val="nil"/>
            </w:pBdr>
            <w:tabs>
              <w:tab w:val="right" w:pos="8504"/>
            </w:tabs>
            <w:ind w:right="-73"/>
            <w:rPr>
              <w:rFonts w:ascii="Palatino Linotype" w:eastAsia="Palatino Linotype" w:hAnsi="Palatino Linotype" w:cs="Palatino Linotype"/>
              <w:color w:val="000000"/>
              <w:sz w:val="24"/>
            </w:rPr>
          </w:pPr>
          <w:r w:rsidRPr="00BE5FBE">
            <w:rPr>
              <w:rFonts w:ascii="Palatino Linotype" w:eastAsia="Palatino Linotype" w:hAnsi="Palatino Linotype" w:cs="Palatino Linotype"/>
              <w:color w:val="000000"/>
              <w:sz w:val="24"/>
            </w:rPr>
            <w:t>14703/INFOEM/IP/RR/2025</w:t>
          </w:r>
        </w:p>
      </w:tc>
    </w:tr>
    <w:tr w:rsidR="00BE5FBE" w:rsidTr="00BE5FBE">
      <w:trPr>
        <w:trHeight w:val="227"/>
      </w:trPr>
      <w:tc>
        <w:tcPr>
          <w:tcW w:w="2866" w:type="dxa"/>
          <w:vAlign w:val="center"/>
        </w:tcPr>
        <w:p w:rsidR="00BE5FBE" w:rsidRPr="00BE5FBE" w:rsidRDefault="00BE5FBE">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Recurrente:</w:t>
          </w:r>
        </w:p>
      </w:tc>
      <w:tc>
        <w:tcPr>
          <w:tcW w:w="4536" w:type="dxa"/>
          <w:vAlign w:val="center"/>
        </w:tcPr>
        <w:p w:rsidR="00BE5FBE" w:rsidRPr="00BE5FBE" w:rsidRDefault="00BE5FBE" w:rsidP="00BE5FBE">
          <w:pPr>
            <w:pBdr>
              <w:top w:val="nil"/>
              <w:left w:val="nil"/>
              <w:bottom w:val="nil"/>
              <w:right w:val="nil"/>
              <w:between w:val="nil"/>
            </w:pBdr>
            <w:tabs>
              <w:tab w:val="right" w:pos="8504"/>
            </w:tabs>
            <w:ind w:right="-73"/>
            <w:rPr>
              <w:rFonts w:ascii="Palatino Linotype" w:eastAsia="Palatino Linotype" w:hAnsi="Palatino Linotype" w:cs="Palatino Linotype"/>
              <w:color w:val="000000"/>
              <w:sz w:val="24"/>
            </w:rPr>
          </w:pPr>
        </w:p>
      </w:tc>
    </w:tr>
    <w:tr w:rsidR="00BE5FBE" w:rsidTr="00BE5FBE">
      <w:trPr>
        <w:trHeight w:val="232"/>
      </w:trPr>
      <w:tc>
        <w:tcPr>
          <w:tcW w:w="2866" w:type="dxa"/>
          <w:vAlign w:val="center"/>
        </w:tcPr>
        <w:p w:rsidR="00BE5FBE" w:rsidRPr="00BE5FBE" w:rsidRDefault="00BE5FBE">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Sujeto Obligado:</w:t>
          </w:r>
        </w:p>
      </w:tc>
      <w:tc>
        <w:tcPr>
          <w:tcW w:w="4536" w:type="dxa"/>
          <w:vAlign w:val="center"/>
        </w:tcPr>
        <w:p w:rsidR="00BE5FBE" w:rsidRPr="00BE5FBE" w:rsidRDefault="00BE5FBE" w:rsidP="00BE5FBE">
          <w:pPr>
            <w:ind w:right="-73"/>
            <w:rPr>
              <w:sz w:val="24"/>
            </w:rPr>
          </w:pPr>
          <w:r w:rsidRPr="00BE5FBE">
            <w:rPr>
              <w:rFonts w:ascii="Palatino Linotype" w:eastAsia="Palatino Linotype" w:hAnsi="Palatino Linotype" w:cs="Palatino Linotype"/>
              <w:sz w:val="24"/>
            </w:rPr>
            <w:t>Sistema Municipal para el Desarrollo Integral de la Familia de Huehuetoca</w:t>
          </w:r>
        </w:p>
      </w:tc>
    </w:tr>
    <w:tr w:rsidR="00BE5FBE" w:rsidTr="00BE5FBE">
      <w:trPr>
        <w:trHeight w:val="320"/>
      </w:trPr>
      <w:tc>
        <w:tcPr>
          <w:tcW w:w="2866" w:type="dxa"/>
          <w:vAlign w:val="center"/>
        </w:tcPr>
        <w:p w:rsidR="00BE5FBE" w:rsidRPr="00BE5FBE" w:rsidRDefault="00BE5FBE">
          <w:pPr>
            <w:rPr>
              <w:rFonts w:ascii="Palatino Linotype" w:eastAsia="Palatino Linotype" w:hAnsi="Palatino Linotype" w:cs="Palatino Linotype"/>
              <w:b/>
              <w:sz w:val="24"/>
            </w:rPr>
          </w:pPr>
          <w:r w:rsidRPr="00BE5FBE">
            <w:rPr>
              <w:rFonts w:ascii="Palatino Linotype" w:eastAsia="Palatino Linotype" w:hAnsi="Palatino Linotype" w:cs="Palatino Linotype"/>
              <w:b/>
              <w:sz w:val="24"/>
            </w:rPr>
            <w:t>Comisionada Ponente:</w:t>
          </w:r>
        </w:p>
      </w:tc>
      <w:tc>
        <w:tcPr>
          <w:tcW w:w="4536" w:type="dxa"/>
          <w:vAlign w:val="center"/>
        </w:tcPr>
        <w:p w:rsidR="00BE5FBE" w:rsidRPr="00BE5FBE" w:rsidRDefault="00BE5FBE" w:rsidP="00BE5FBE">
          <w:pPr>
            <w:pBdr>
              <w:top w:val="nil"/>
              <w:left w:val="nil"/>
              <w:bottom w:val="nil"/>
              <w:right w:val="nil"/>
              <w:between w:val="nil"/>
            </w:pBdr>
            <w:tabs>
              <w:tab w:val="right" w:pos="8504"/>
            </w:tabs>
            <w:ind w:right="-73"/>
            <w:rPr>
              <w:rFonts w:ascii="Palatino Linotype" w:eastAsia="Palatino Linotype" w:hAnsi="Palatino Linotype" w:cs="Palatino Linotype"/>
              <w:color w:val="000000"/>
              <w:sz w:val="24"/>
            </w:rPr>
          </w:pPr>
          <w:r w:rsidRPr="00BE5FBE">
            <w:rPr>
              <w:rFonts w:ascii="Palatino Linotype" w:eastAsia="Palatino Linotype" w:hAnsi="Palatino Linotype" w:cs="Palatino Linotype"/>
              <w:color w:val="000000"/>
              <w:sz w:val="24"/>
            </w:rPr>
            <w:t>María del Rosario Mejía Ayala</w:t>
          </w:r>
        </w:p>
      </w:tc>
    </w:tr>
  </w:tbl>
  <w:p w:rsidR="00E83B81" w:rsidRDefault="00BE5FBE">
    <w:pPr>
      <w:pBdr>
        <w:top w:val="nil"/>
        <w:left w:val="nil"/>
        <w:bottom w:val="nil"/>
        <w:right w:val="nil"/>
        <w:between w:val="nil"/>
      </w:pBdr>
      <w:tabs>
        <w:tab w:val="center" w:pos="4252"/>
        <w:tab w:val="right" w:pos="8504"/>
      </w:tabs>
      <w:rPr>
        <w:color w:val="000000"/>
      </w:rPr>
    </w:pPr>
    <w:r w:rsidRPr="00BE5FBE">
      <w:rPr>
        <w:noProof/>
        <w:lang w:val="es-MX"/>
      </w:rPr>
      <w:drawing>
        <wp:anchor distT="0" distB="0" distL="0" distR="0" simplePos="0" relativeHeight="251661312" behindDoc="1" locked="0" layoutInCell="1" hidden="0" allowOverlap="1" wp14:anchorId="437C9FCB" wp14:editId="1F0B06F0">
          <wp:simplePos x="0" y="0"/>
          <wp:positionH relativeFrom="page">
            <wp:align>right</wp:align>
          </wp:positionH>
          <wp:positionV relativeFrom="paragraph">
            <wp:posOffset>-1506388</wp:posOffset>
          </wp:positionV>
          <wp:extent cx="7809876" cy="10165823"/>
          <wp:effectExtent l="0" t="0" r="635" b="6985"/>
          <wp:wrapNone/>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E83B81" w:rsidRDefault="00E83B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827BDE"/>
    <w:multiLevelType w:val="multilevel"/>
    <w:tmpl w:val="8BD047B6"/>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279C3F6F"/>
    <w:multiLevelType w:val="multilevel"/>
    <w:tmpl w:val="77EAE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4C1AFB"/>
    <w:multiLevelType w:val="multilevel"/>
    <w:tmpl w:val="6C5A112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932668"/>
    <w:multiLevelType w:val="hybridMultilevel"/>
    <w:tmpl w:val="3CDE5C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1611F24"/>
    <w:multiLevelType w:val="multilevel"/>
    <w:tmpl w:val="D436CE78"/>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D93E29"/>
    <w:multiLevelType w:val="multilevel"/>
    <w:tmpl w:val="D2A477F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254DB2"/>
    <w:multiLevelType w:val="multilevel"/>
    <w:tmpl w:val="C4406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5A408D"/>
    <w:multiLevelType w:val="multilevel"/>
    <w:tmpl w:val="4A82B2A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4019FA"/>
    <w:multiLevelType w:val="hybridMultilevel"/>
    <w:tmpl w:val="593CD8B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E70AF846">
      <w:start w:val="1"/>
      <w:numFmt w:val="lowerLetter"/>
      <w:lvlText w:val="%3)"/>
      <w:lvlJc w:val="right"/>
      <w:pPr>
        <w:ind w:left="2160" w:hanging="180"/>
      </w:pPr>
      <w:rPr>
        <w:rFonts w:ascii="Palatino Linotype" w:eastAsia="Palatino Linotype" w:hAnsi="Palatino Linotype" w:cs="Palatino Linotype"/>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0E2E06"/>
    <w:multiLevelType w:val="multilevel"/>
    <w:tmpl w:val="B4D032E0"/>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3FF674C7"/>
    <w:multiLevelType w:val="multilevel"/>
    <w:tmpl w:val="7B2A8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391C31"/>
    <w:multiLevelType w:val="multilevel"/>
    <w:tmpl w:val="5B32D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8D1EE4"/>
    <w:multiLevelType w:val="multilevel"/>
    <w:tmpl w:val="9D36B94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4" w15:restartNumberingAfterBreak="0">
    <w:nsid w:val="55352C08"/>
    <w:multiLevelType w:val="hybridMultilevel"/>
    <w:tmpl w:val="D34826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5" w15:restartNumberingAfterBreak="0">
    <w:nsid w:val="56053F3C"/>
    <w:multiLevelType w:val="hybridMultilevel"/>
    <w:tmpl w:val="3D44A8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AE67FC1"/>
    <w:multiLevelType w:val="multilevel"/>
    <w:tmpl w:val="AEC8B5D6"/>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7" w15:restartNumberingAfterBreak="0">
    <w:nsid w:val="5F906B1C"/>
    <w:multiLevelType w:val="multilevel"/>
    <w:tmpl w:val="D8967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657046B3"/>
    <w:multiLevelType w:val="hybridMultilevel"/>
    <w:tmpl w:val="F43E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1"/>
  </w:num>
  <w:num w:numId="4">
    <w:abstractNumId w:val="7"/>
  </w:num>
  <w:num w:numId="5">
    <w:abstractNumId w:val="2"/>
  </w:num>
  <w:num w:numId="6">
    <w:abstractNumId w:val="10"/>
  </w:num>
  <w:num w:numId="7">
    <w:abstractNumId w:val="1"/>
  </w:num>
  <w:num w:numId="8">
    <w:abstractNumId w:val="12"/>
  </w:num>
  <w:num w:numId="9">
    <w:abstractNumId w:val="8"/>
  </w:num>
  <w:num w:numId="10">
    <w:abstractNumId w:val="5"/>
  </w:num>
  <w:num w:numId="11">
    <w:abstractNumId w:val="3"/>
  </w:num>
  <w:num w:numId="12">
    <w:abstractNumId w:val="16"/>
  </w:num>
  <w:num w:numId="13">
    <w:abstractNumId w:val="6"/>
  </w:num>
  <w:num w:numId="14">
    <w:abstractNumId w:val="0"/>
  </w:num>
  <w:num w:numId="15">
    <w:abstractNumId w:val="18"/>
  </w:num>
  <w:num w:numId="16">
    <w:abstractNumId w:val="4"/>
  </w:num>
  <w:num w:numId="17">
    <w:abstractNumId w:val="15"/>
  </w:num>
  <w:num w:numId="18">
    <w:abstractNumId w:val="9"/>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EB"/>
    <w:rsid w:val="000B245E"/>
    <w:rsid w:val="000B70D2"/>
    <w:rsid w:val="00132484"/>
    <w:rsid w:val="002D7718"/>
    <w:rsid w:val="00334D65"/>
    <w:rsid w:val="00337BEB"/>
    <w:rsid w:val="00352B3E"/>
    <w:rsid w:val="00367DE9"/>
    <w:rsid w:val="004065CF"/>
    <w:rsid w:val="004329C0"/>
    <w:rsid w:val="004609BC"/>
    <w:rsid w:val="005042CB"/>
    <w:rsid w:val="005E54B6"/>
    <w:rsid w:val="006D0E4B"/>
    <w:rsid w:val="006F546B"/>
    <w:rsid w:val="007728EC"/>
    <w:rsid w:val="007A2CA1"/>
    <w:rsid w:val="007C2F36"/>
    <w:rsid w:val="00823C51"/>
    <w:rsid w:val="008560C2"/>
    <w:rsid w:val="00984E91"/>
    <w:rsid w:val="00AE4133"/>
    <w:rsid w:val="00AF7E8C"/>
    <w:rsid w:val="00B92B32"/>
    <w:rsid w:val="00BE5FBE"/>
    <w:rsid w:val="00C065A8"/>
    <w:rsid w:val="00C347DF"/>
    <w:rsid w:val="00C94E83"/>
    <w:rsid w:val="00C952E1"/>
    <w:rsid w:val="00CB3832"/>
    <w:rsid w:val="00D5314C"/>
    <w:rsid w:val="00DB639A"/>
    <w:rsid w:val="00DD6770"/>
    <w:rsid w:val="00E83B81"/>
    <w:rsid w:val="00E85692"/>
    <w:rsid w:val="00EA1DFA"/>
    <w:rsid w:val="00EB1F8F"/>
    <w:rsid w:val="00EB4509"/>
    <w:rsid w:val="00F07D5D"/>
    <w:rsid w:val="00F21579"/>
    <w:rsid w:val="00F77106"/>
    <w:rsid w:val="00FE69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CCDD6D-6BDE-4CFD-98D6-70B88B33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14E5"/>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paragraph" w:styleId="Ttulo2">
    <w:name w:val="heading 2"/>
    <w:basedOn w:val="Normal"/>
    <w:next w:val="Normal"/>
    <w:link w:val="Ttulo2Car"/>
    <w:uiPriority w:val="9"/>
    <w:unhideWhenUsed/>
    <w:qFormat/>
    <w:rsid w:val="008E2E89"/>
    <w:pPr>
      <w:keepNext/>
      <w:keepLines/>
      <w:spacing w:before="40" w:line="259" w:lineRule="auto"/>
      <w:outlineLvl w:val="1"/>
    </w:pPr>
    <w:rPr>
      <w:rFonts w:ascii="Palatino Linotype" w:eastAsiaTheme="majorEastAsia" w:hAnsi="Palatino Linotype" w:cstheme="majorBidi"/>
      <w:b/>
      <w:color w:val="000000" w:themeColor="text1"/>
      <w:szCs w:val="26"/>
      <w:lang w:val="es-MX" w:eastAsia="en-US"/>
    </w:rPr>
  </w:style>
  <w:style w:type="paragraph" w:styleId="Ttulo3">
    <w:name w:val="heading 3"/>
    <w:basedOn w:val="Normal"/>
    <w:next w:val="Normal"/>
    <w:link w:val="Ttulo3Car"/>
    <w:uiPriority w:val="9"/>
    <w:unhideWhenUsed/>
    <w:qFormat/>
    <w:rsid w:val="004D215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55B7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link w:val="Ttulo1"/>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link w:val="Ttulo2"/>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CD7893"/>
    <w:pPr>
      <w:outlineLvl w:val="9"/>
    </w:pPr>
    <w:rPr>
      <w:lang w:eastAsia="es-MX"/>
    </w:rPr>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link w:val="Ttulo3"/>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link w:val="Ttulo4"/>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rPr>
      <w:sz w:val="22"/>
      <w:szCs w:val="22"/>
    </w:rPr>
    <w:tblPr>
      <w:tblStyleRowBandSize w:val="1"/>
      <w:tblStyleColBandSize w:val="1"/>
      <w:tblCellMar>
        <w:left w:w="108" w:type="dxa"/>
        <w:right w:w="108" w:type="dxa"/>
      </w:tblCellMar>
    </w:tblPr>
  </w:style>
  <w:style w:type="table" w:customStyle="1" w:styleId="1">
    <w:name w:val="1"/>
    <w:basedOn w:val="TableNormal1"/>
    <w:rPr>
      <w:sz w:val="22"/>
      <w:szCs w:val="22"/>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2"/>
      <w:szCs w:val="22"/>
    </w:rPr>
    <w:tblPr>
      <w:tblStyleRowBandSize w:val="1"/>
      <w:tblStyleColBandSize w:val="1"/>
      <w:tblCellMar>
        <w:left w:w="108" w:type="dxa"/>
        <w:right w:w="108" w:type="dxa"/>
      </w:tblCellMar>
    </w:tblPr>
  </w:style>
  <w:style w:type="table" w:customStyle="1" w:styleId="a3">
    <w:basedOn w:val="TableNormal1"/>
    <w:rPr>
      <w:sz w:val="22"/>
      <w:szCs w:val="22"/>
    </w:rPr>
    <w:tblPr>
      <w:tblStyleRowBandSize w:val="1"/>
      <w:tblStyleColBandSize w:val="1"/>
      <w:tblCellMar>
        <w:left w:w="108" w:type="dxa"/>
        <w:right w:w="108"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rPr>
      <w:sz w:val="22"/>
      <w:szCs w:val="22"/>
    </w:rPr>
    <w:tblPr>
      <w:tblStyleRowBandSize w:val="1"/>
      <w:tblStyleColBandSize w:val="1"/>
      <w:tblCellMar>
        <w:left w:w="108" w:type="dxa"/>
        <w:right w:w="108" w:type="dxa"/>
      </w:tblCellMar>
    </w:tblPr>
  </w:style>
  <w:style w:type="table" w:customStyle="1" w:styleId="a7">
    <w:basedOn w:val="TableNormal0"/>
    <w:rPr>
      <w:sz w:val="22"/>
      <w:szCs w:val="22"/>
    </w:rPr>
    <w:tblPr>
      <w:tblStyleRowBandSize w:val="1"/>
      <w:tblStyleColBandSize w:val="1"/>
      <w:tblCellMar>
        <w:left w:w="108" w:type="dxa"/>
        <w:right w:w="108" w:type="dxa"/>
      </w:tblCellMar>
    </w:tblPr>
  </w:style>
  <w:style w:type="paragraph" w:customStyle="1" w:styleId="xmsonormal">
    <w:name w:val="x_msonormal"/>
    <w:basedOn w:val="Normal"/>
    <w:rsid w:val="00DB639A"/>
    <w:pPr>
      <w:spacing w:before="100" w:beforeAutospacing="1" w:after="100" w:afterAutospacing="1"/>
    </w:pPr>
    <w:rPr>
      <w:rFonts w:ascii="Times New Roman" w:eastAsia="Times New Roman" w:hAnsi="Times New Roman" w:cs="Times New Roman"/>
      <w:lang w:val="es-MX"/>
    </w:rPr>
  </w:style>
  <w:style w:type="paragraph" w:customStyle="1" w:styleId="xgmail-msonormal">
    <w:name w:val="x_gmail-msonormal"/>
    <w:basedOn w:val="Normal"/>
    <w:rsid w:val="00DB639A"/>
    <w:pPr>
      <w:spacing w:before="100" w:beforeAutospacing="1" w:after="100" w:afterAutospacing="1"/>
    </w:pPr>
    <w:rPr>
      <w:rFonts w:ascii="Times New Roman" w:eastAsia="Times New Roman" w:hAnsi="Times New Roman" w:cs="Times New Roman"/>
      <w:lang w:val="es-MX"/>
    </w:rPr>
  </w:style>
  <w:style w:type="character" w:customStyle="1" w:styleId="markxupqafu2i">
    <w:name w:val="markxupqafu2i"/>
    <w:basedOn w:val="Fuentedeprrafopredeter"/>
    <w:rsid w:val="00DB639A"/>
  </w:style>
  <w:style w:type="character" w:customStyle="1" w:styleId="xgmail-msocommentreference">
    <w:name w:val="x_gmail-msocommentreference"/>
    <w:basedOn w:val="Fuentedeprrafopredeter"/>
    <w:rsid w:val="00DB6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440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nAzLnlwEetBGchRkULJVP0B/w==">CgMxLjAyDmguc3JlOWgwNXE0djBiMghoLmdqZGd4czIJaC4zMGowemxsMgloLjFmb2I5dGUyCWguM3pueXNoNzIJaC4yZXQ5MnAwMghoLnR5amN3dDIJaC4zZHk2dmttMgloLjF0M2g1c2YyDmguZXhhZzlhYWl3bDc5MgloLjE3ZHA4dnUyCWguM3JkY3JqbjIJaC4xa3N2NHV2MgloLjQ0c2luaW8yCWguMjZpbjFyZzIJaC40ZDM0b2c4MghoLmxueGJ6OTIJaC4zNW5rdW4yOAByITFCdEdEZml2aHdSSW5rWmNzMVdpMkkwSDFMOU9SSGdn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50</Pages>
  <Words>11651</Words>
  <Characters>64084</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14</cp:revision>
  <cp:lastPrinted>2026-02-20T16:20:00Z</cp:lastPrinted>
  <dcterms:created xsi:type="dcterms:W3CDTF">2026-02-12T21:11:00Z</dcterms:created>
  <dcterms:modified xsi:type="dcterms:W3CDTF">2026-02-26T22:54:00Z</dcterms:modified>
</cp:coreProperties>
</file>