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F648B2" w:rsidRDefault="004C465F" w:rsidP="00153588">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Content>
        <w:p w14:paraId="7F182055" w14:textId="59F0367A" w:rsidR="00C4052B" w:rsidRPr="00F648B2" w:rsidRDefault="00C4052B" w:rsidP="00153588">
          <w:pPr>
            <w:pStyle w:val="TtuloTDC"/>
            <w:spacing w:before="0" w:line="360" w:lineRule="auto"/>
            <w:jc w:val="center"/>
            <w:rPr>
              <w:rFonts w:ascii="Palatino Linotype" w:hAnsi="Palatino Linotype"/>
              <w:color w:val="auto"/>
              <w:sz w:val="22"/>
              <w:szCs w:val="22"/>
            </w:rPr>
          </w:pPr>
          <w:r w:rsidRPr="00F648B2">
            <w:rPr>
              <w:rFonts w:ascii="Palatino Linotype" w:hAnsi="Palatino Linotype"/>
              <w:color w:val="auto"/>
              <w:sz w:val="22"/>
              <w:szCs w:val="22"/>
              <w:lang w:val="es-ES"/>
            </w:rPr>
            <w:t xml:space="preserve">RESOLUCIÓN DEL RECURSO DE REVISIÓN </w:t>
          </w:r>
          <w:r w:rsidR="00F648B2" w:rsidRPr="00F648B2">
            <w:rPr>
              <w:rFonts w:ascii="Palatino Linotype" w:hAnsi="Palatino Linotype"/>
              <w:color w:val="auto"/>
              <w:sz w:val="22"/>
              <w:szCs w:val="22"/>
            </w:rPr>
            <w:t>10311</w:t>
          </w:r>
          <w:r w:rsidR="000D392E" w:rsidRPr="00F648B2">
            <w:rPr>
              <w:rFonts w:ascii="Palatino Linotype" w:hAnsi="Palatino Linotype"/>
              <w:color w:val="auto"/>
              <w:sz w:val="22"/>
              <w:szCs w:val="22"/>
            </w:rPr>
            <w:t>/INFOEM/IP/RR/2025</w:t>
          </w:r>
        </w:p>
        <w:p w14:paraId="73933EFA" w14:textId="77777777" w:rsidR="00C4052B" w:rsidRPr="00F648B2" w:rsidRDefault="00C4052B" w:rsidP="00153588">
          <w:pPr>
            <w:spacing w:after="0" w:line="360" w:lineRule="auto"/>
            <w:rPr>
              <w:color w:val="FF0000"/>
            </w:rPr>
          </w:pPr>
        </w:p>
        <w:p w14:paraId="20F20EA8" w14:textId="1A131173" w:rsidR="00C47D5B"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8D21F0">
            <w:rPr>
              <w:color w:val="FF0000"/>
            </w:rPr>
            <w:fldChar w:fldCharType="begin"/>
          </w:r>
          <w:r w:rsidRPr="008D21F0">
            <w:rPr>
              <w:color w:val="FF0000"/>
            </w:rPr>
            <w:instrText xml:space="preserve"> TOC \o "1-3" \h \z \u </w:instrText>
          </w:r>
          <w:r w:rsidRPr="008D21F0">
            <w:rPr>
              <w:color w:val="FF0000"/>
            </w:rPr>
            <w:fldChar w:fldCharType="separate"/>
          </w:r>
          <w:hyperlink w:anchor="_Toc221812048" w:history="1">
            <w:r w:rsidR="00C47D5B" w:rsidRPr="00332C0D">
              <w:rPr>
                <w:rStyle w:val="Hipervnculo"/>
                <w:noProof/>
              </w:rPr>
              <w:t>A N T E C E D E N T E S</w:t>
            </w:r>
            <w:r w:rsidR="00C47D5B">
              <w:rPr>
                <w:noProof/>
                <w:webHidden/>
              </w:rPr>
              <w:tab/>
            </w:r>
            <w:r w:rsidR="00C47D5B">
              <w:rPr>
                <w:noProof/>
                <w:webHidden/>
              </w:rPr>
              <w:fldChar w:fldCharType="begin"/>
            </w:r>
            <w:r w:rsidR="00C47D5B">
              <w:rPr>
                <w:noProof/>
                <w:webHidden/>
              </w:rPr>
              <w:instrText xml:space="preserve"> PAGEREF _Toc221812048 \h </w:instrText>
            </w:r>
            <w:r w:rsidR="00C47D5B">
              <w:rPr>
                <w:noProof/>
                <w:webHidden/>
              </w:rPr>
            </w:r>
            <w:r w:rsidR="00C47D5B">
              <w:rPr>
                <w:noProof/>
                <w:webHidden/>
              </w:rPr>
              <w:fldChar w:fldCharType="separate"/>
            </w:r>
            <w:r w:rsidR="00261AD9">
              <w:rPr>
                <w:noProof/>
                <w:webHidden/>
              </w:rPr>
              <w:t>2</w:t>
            </w:r>
            <w:r w:rsidR="00C47D5B">
              <w:rPr>
                <w:noProof/>
                <w:webHidden/>
              </w:rPr>
              <w:fldChar w:fldCharType="end"/>
            </w:r>
          </w:hyperlink>
        </w:p>
        <w:p w14:paraId="0128F457" w14:textId="58AA7428" w:rsid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49" w:history="1">
            <w:r w:rsidR="00C47D5B" w:rsidRPr="00332C0D">
              <w:rPr>
                <w:rStyle w:val="Hipervnculo"/>
                <w:noProof/>
                <w:lang w:eastAsia="es-ES"/>
              </w:rPr>
              <w:t>I. Presentación de la solicitud de información</w:t>
            </w:r>
            <w:r w:rsidR="00C47D5B">
              <w:rPr>
                <w:noProof/>
                <w:webHidden/>
              </w:rPr>
              <w:tab/>
            </w:r>
            <w:r w:rsidR="00C47D5B">
              <w:rPr>
                <w:noProof/>
                <w:webHidden/>
              </w:rPr>
              <w:fldChar w:fldCharType="begin"/>
            </w:r>
            <w:r w:rsidR="00C47D5B">
              <w:rPr>
                <w:noProof/>
                <w:webHidden/>
              </w:rPr>
              <w:instrText xml:space="preserve"> PAGEREF _Toc221812049 \h </w:instrText>
            </w:r>
            <w:r w:rsidR="00C47D5B">
              <w:rPr>
                <w:noProof/>
                <w:webHidden/>
              </w:rPr>
            </w:r>
            <w:r w:rsidR="00C47D5B">
              <w:rPr>
                <w:noProof/>
                <w:webHidden/>
              </w:rPr>
              <w:fldChar w:fldCharType="separate"/>
            </w:r>
            <w:r w:rsidR="00261AD9">
              <w:rPr>
                <w:noProof/>
                <w:webHidden/>
              </w:rPr>
              <w:t>2</w:t>
            </w:r>
            <w:r w:rsidR="00C47D5B">
              <w:rPr>
                <w:noProof/>
                <w:webHidden/>
              </w:rPr>
              <w:fldChar w:fldCharType="end"/>
            </w:r>
          </w:hyperlink>
        </w:p>
        <w:p w14:paraId="1B324EA7" w14:textId="05D1099A" w:rsid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0" w:history="1">
            <w:r w:rsidR="00C47D5B" w:rsidRPr="00332C0D">
              <w:rPr>
                <w:rStyle w:val="Hipervnculo"/>
                <w:rFonts w:cs="Tahoma"/>
                <w:noProof/>
              </w:rPr>
              <w:t>II.</w:t>
            </w:r>
            <w:r w:rsidR="00C47D5B" w:rsidRPr="00332C0D">
              <w:rPr>
                <w:rStyle w:val="Hipervnculo"/>
                <w:noProof/>
              </w:rPr>
              <w:t xml:space="preserve"> Respuesta del Sujeto Obligado</w:t>
            </w:r>
            <w:r w:rsidR="00C47D5B">
              <w:rPr>
                <w:noProof/>
                <w:webHidden/>
              </w:rPr>
              <w:tab/>
            </w:r>
            <w:r w:rsidR="00C47D5B">
              <w:rPr>
                <w:noProof/>
                <w:webHidden/>
              </w:rPr>
              <w:fldChar w:fldCharType="begin"/>
            </w:r>
            <w:r w:rsidR="00C47D5B">
              <w:rPr>
                <w:noProof/>
                <w:webHidden/>
              </w:rPr>
              <w:instrText xml:space="preserve"> PAGEREF _Toc221812050 \h </w:instrText>
            </w:r>
            <w:r w:rsidR="00C47D5B">
              <w:rPr>
                <w:noProof/>
                <w:webHidden/>
              </w:rPr>
            </w:r>
            <w:r w:rsidR="00C47D5B">
              <w:rPr>
                <w:noProof/>
                <w:webHidden/>
              </w:rPr>
              <w:fldChar w:fldCharType="separate"/>
            </w:r>
            <w:r w:rsidR="00261AD9">
              <w:rPr>
                <w:noProof/>
                <w:webHidden/>
              </w:rPr>
              <w:t>3</w:t>
            </w:r>
            <w:r w:rsidR="00C47D5B">
              <w:rPr>
                <w:noProof/>
                <w:webHidden/>
              </w:rPr>
              <w:fldChar w:fldCharType="end"/>
            </w:r>
          </w:hyperlink>
        </w:p>
        <w:p w14:paraId="7400141D" w14:textId="08A05C42" w:rsid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1" w:history="1">
            <w:r w:rsidR="00C47D5B" w:rsidRPr="00332C0D">
              <w:rPr>
                <w:rStyle w:val="Hipervnculo"/>
                <w:noProof/>
              </w:rPr>
              <w:t>III. Interposición del Recurso de Revisión</w:t>
            </w:r>
            <w:r w:rsidR="00C47D5B">
              <w:rPr>
                <w:noProof/>
                <w:webHidden/>
              </w:rPr>
              <w:tab/>
            </w:r>
            <w:r w:rsidR="00C47D5B">
              <w:rPr>
                <w:noProof/>
                <w:webHidden/>
              </w:rPr>
              <w:fldChar w:fldCharType="begin"/>
            </w:r>
            <w:r w:rsidR="00C47D5B">
              <w:rPr>
                <w:noProof/>
                <w:webHidden/>
              </w:rPr>
              <w:instrText xml:space="preserve"> PAGEREF _Toc221812051 \h </w:instrText>
            </w:r>
            <w:r w:rsidR="00C47D5B">
              <w:rPr>
                <w:noProof/>
                <w:webHidden/>
              </w:rPr>
            </w:r>
            <w:r w:rsidR="00C47D5B">
              <w:rPr>
                <w:noProof/>
                <w:webHidden/>
              </w:rPr>
              <w:fldChar w:fldCharType="separate"/>
            </w:r>
            <w:r w:rsidR="00261AD9">
              <w:rPr>
                <w:noProof/>
                <w:webHidden/>
              </w:rPr>
              <w:t>9</w:t>
            </w:r>
            <w:r w:rsidR="00C47D5B">
              <w:rPr>
                <w:noProof/>
                <w:webHidden/>
              </w:rPr>
              <w:fldChar w:fldCharType="end"/>
            </w:r>
          </w:hyperlink>
        </w:p>
        <w:p w14:paraId="421091C3" w14:textId="31639ECC" w:rsid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2" w:history="1">
            <w:r w:rsidR="00C47D5B" w:rsidRPr="00332C0D">
              <w:rPr>
                <w:rStyle w:val="Hipervnculo"/>
                <w:noProof/>
              </w:rPr>
              <w:t>IV. Trámite del Recurso de Revisión ante este Instituto</w:t>
            </w:r>
            <w:r w:rsidR="00C47D5B">
              <w:rPr>
                <w:noProof/>
                <w:webHidden/>
              </w:rPr>
              <w:tab/>
            </w:r>
            <w:r w:rsidR="00C47D5B">
              <w:rPr>
                <w:noProof/>
                <w:webHidden/>
              </w:rPr>
              <w:fldChar w:fldCharType="begin"/>
            </w:r>
            <w:r w:rsidR="00C47D5B">
              <w:rPr>
                <w:noProof/>
                <w:webHidden/>
              </w:rPr>
              <w:instrText xml:space="preserve"> PAGEREF _Toc221812052 \h </w:instrText>
            </w:r>
            <w:r w:rsidR="00C47D5B">
              <w:rPr>
                <w:noProof/>
                <w:webHidden/>
              </w:rPr>
            </w:r>
            <w:r w:rsidR="00C47D5B">
              <w:rPr>
                <w:noProof/>
                <w:webHidden/>
              </w:rPr>
              <w:fldChar w:fldCharType="separate"/>
            </w:r>
            <w:r w:rsidR="00261AD9">
              <w:rPr>
                <w:noProof/>
                <w:webHidden/>
              </w:rPr>
              <w:t>9</w:t>
            </w:r>
            <w:r w:rsidR="00C47D5B">
              <w:rPr>
                <w:noProof/>
                <w:webHidden/>
              </w:rPr>
              <w:fldChar w:fldCharType="end"/>
            </w:r>
          </w:hyperlink>
        </w:p>
        <w:p w14:paraId="10B4B365" w14:textId="1AEE45D8" w:rsidR="00C47D5B"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2053" w:history="1">
            <w:r w:rsidR="00C47D5B" w:rsidRPr="00332C0D">
              <w:rPr>
                <w:rStyle w:val="Hipervnculo"/>
                <w:noProof/>
              </w:rPr>
              <w:t>C O N S I D E R A N D O S</w:t>
            </w:r>
            <w:r w:rsidR="00C47D5B">
              <w:rPr>
                <w:noProof/>
                <w:webHidden/>
              </w:rPr>
              <w:tab/>
            </w:r>
            <w:r w:rsidR="00C47D5B">
              <w:rPr>
                <w:noProof/>
                <w:webHidden/>
              </w:rPr>
              <w:fldChar w:fldCharType="begin"/>
            </w:r>
            <w:r w:rsidR="00C47D5B">
              <w:rPr>
                <w:noProof/>
                <w:webHidden/>
              </w:rPr>
              <w:instrText xml:space="preserve"> PAGEREF _Toc221812053 \h </w:instrText>
            </w:r>
            <w:r w:rsidR="00C47D5B">
              <w:rPr>
                <w:noProof/>
                <w:webHidden/>
              </w:rPr>
            </w:r>
            <w:r w:rsidR="00C47D5B">
              <w:rPr>
                <w:noProof/>
                <w:webHidden/>
              </w:rPr>
              <w:fldChar w:fldCharType="separate"/>
            </w:r>
            <w:r w:rsidR="00261AD9">
              <w:rPr>
                <w:noProof/>
                <w:webHidden/>
              </w:rPr>
              <w:t>12</w:t>
            </w:r>
            <w:r w:rsidR="00C47D5B">
              <w:rPr>
                <w:noProof/>
                <w:webHidden/>
              </w:rPr>
              <w:fldChar w:fldCharType="end"/>
            </w:r>
          </w:hyperlink>
        </w:p>
        <w:p w14:paraId="7F52DD17" w14:textId="3914ECB2" w:rsid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4" w:history="1">
            <w:r w:rsidR="00C47D5B" w:rsidRPr="00332C0D">
              <w:rPr>
                <w:rStyle w:val="Hipervnculo"/>
                <w:noProof/>
              </w:rPr>
              <w:t>PRIMERO. Competencia</w:t>
            </w:r>
            <w:r w:rsidR="00C47D5B">
              <w:rPr>
                <w:noProof/>
                <w:webHidden/>
              </w:rPr>
              <w:tab/>
            </w:r>
            <w:r w:rsidR="00C47D5B">
              <w:rPr>
                <w:noProof/>
                <w:webHidden/>
              </w:rPr>
              <w:fldChar w:fldCharType="begin"/>
            </w:r>
            <w:r w:rsidR="00C47D5B">
              <w:rPr>
                <w:noProof/>
                <w:webHidden/>
              </w:rPr>
              <w:instrText xml:space="preserve"> PAGEREF _Toc221812054 \h </w:instrText>
            </w:r>
            <w:r w:rsidR="00C47D5B">
              <w:rPr>
                <w:noProof/>
                <w:webHidden/>
              </w:rPr>
            </w:r>
            <w:r w:rsidR="00C47D5B">
              <w:rPr>
                <w:noProof/>
                <w:webHidden/>
              </w:rPr>
              <w:fldChar w:fldCharType="separate"/>
            </w:r>
            <w:r w:rsidR="00261AD9">
              <w:rPr>
                <w:noProof/>
                <w:webHidden/>
              </w:rPr>
              <w:t>12</w:t>
            </w:r>
            <w:r w:rsidR="00C47D5B">
              <w:rPr>
                <w:noProof/>
                <w:webHidden/>
              </w:rPr>
              <w:fldChar w:fldCharType="end"/>
            </w:r>
          </w:hyperlink>
        </w:p>
        <w:p w14:paraId="28F8AC6D" w14:textId="7E11413E" w:rsid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5" w:history="1">
            <w:r w:rsidR="00C47D5B" w:rsidRPr="00332C0D">
              <w:rPr>
                <w:rStyle w:val="Hipervnculo"/>
                <w:noProof/>
              </w:rPr>
              <w:t>SEGUNDO. Causales de improcedencia y sobreseimiento</w:t>
            </w:r>
            <w:r w:rsidR="00C47D5B">
              <w:rPr>
                <w:noProof/>
                <w:webHidden/>
              </w:rPr>
              <w:tab/>
            </w:r>
            <w:r w:rsidR="00C47D5B">
              <w:rPr>
                <w:noProof/>
                <w:webHidden/>
              </w:rPr>
              <w:fldChar w:fldCharType="begin"/>
            </w:r>
            <w:r w:rsidR="00C47D5B">
              <w:rPr>
                <w:noProof/>
                <w:webHidden/>
              </w:rPr>
              <w:instrText xml:space="preserve"> PAGEREF _Toc221812055 \h </w:instrText>
            </w:r>
            <w:r w:rsidR="00C47D5B">
              <w:rPr>
                <w:noProof/>
                <w:webHidden/>
              </w:rPr>
            </w:r>
            <w:r w:rsidR="00C47D5B">
              <w:rPr>
                <w:noProof/>
                <w:webHidden/>
              </w:rPr>
              <w:fldChar w:fldCharType="separate"/>
            </w:r>
            <w:r w:rsidR="00261AD9">
              <w:rPr>
                <w:noProof/>
                <w:webHidden/>
              </w:rPr>
              <w:t>13</w:t>
            </w:r>
            <w:r w:rsidR="00C47D5B">
              <w:rPr>
                <w:noProof/>
                <w:webHidden/>
              </w:rPr>
              <w:fldChar w:fldCharType="end"/>
            </w:r>
          </w:hyperlink>
        </w:p>
        <w:p w14:paraId="66FB88D1" w14:textId="588CF298" w:rsidR="00C47D5B" w:rsidRP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6" w:history="1">
            <w:r w:rsidR="00C47D5B" w:rsidRPr="00C47D5B">
              <w:rPr>
                <w:rStyle w:val="Hipervnculo"/>
                <w:noProof/>
              </w:rPr>
              <w:t>TERCERO. Determinación de la Controversia</w:t>
            </w:r>
            <w:r w:rsidR="00C47D5B" w:rsidRPr="00C47D5B">
              <w:rPr>
                <w:noProof/>
                <w:webHidden/>
              </w:rPr>
              <w:tab/>
            </w:r>
            <w:r w:rsidR="00C47D5B" w:rsidRPr="00C47D5B">
              <w:rPr>
                <w:noProof/>
                <w:webHidden/>
              </w:rPr>
              <w:fldChar w:fldCharType="begin"/>
            </w:r>
            <w:r w:rsidR="00C47D5B" w:rsidRPr="00C47D5B">
              <w:rPr>
                <w:noProof/>
                <w:webHidden/>
              </w:rPr>
              <w:instrText xml:space="preserve"> PAGEREF _Toc221812056 \h </w:instrText>
            </w:r>
            <w:r w:rsidR="00C47D5B" w:rsidRPr="00C47D5B">
              <w:rPr>
                <w:noProof/>
                <w:webHidden/>
              </w:rPr>
            </w:r>
            <w:r w:rsidR="00C47D5B" w:rsidRPr="00C47D5B">
              <w:rPr>
                <w:noProof/>
                <w:webHidden/>
              </w:rPr>
              <w:fldChar w:fldCharType="separate"/>
            </w:r>
            <w:r w:rsidR="00261AD9">
              <w:rPr>
                <w:noProof/>
                <w:webHidden/>
              </w:rPr>
              <w:t>15</w:t>
            </w:r>
            <w:r w:rsidR="00C47D5B" w:rsidRPr="00C47D5B">
              <w:rPr>
                <w:noProof/>
                <w:webHidden/>
              </w:rPr>
              <w:fldChar w:fldCharType="end"/>
            </w:r>
          </w:hyperlink>
        </w:p>
        <w:p w14:paraId="5ABCB51B" w14:textId="6A8739A8" w:rsidR="00C47D5B" w:rsidRP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7" w:history="1">
            <w:r w:rsidR="00C47D5B" w:rsidRPr="00C47D5B">
              <w:rPr>
                <w:rStyle w:val="Hipervnculo"/>
                <w:noProof/>
              </w:rPr>
              <w:t>CUARTO. Marco normativo aplicable en materia de transparencia y acceso a la información pública</w:t>
            </w:r>
            <w:r w:rsidR="00C47D5B" w:rsidRPr="00C47D5B">
              <w:rPr>
                <w:noProof/>
                <w:webHidden/>
              </w:rPr>
              <w:tab/>
            </w:r>
            <w:r w:rsidR="00C47D5B" w:rsidRPr="00C47D5B">
              <w:rPr>
                <w:noProof/>
                <w:webHidden/>
              </w:rPr>
              <w:fldChar w:fldCharType="begin"/>
            </w:r>
            <w:r w:rsidR="00C47D5B" w:rsidRPr="00C47D5B">
              <w:rPr>
                <w:noProof/>
                <w:webHidden/>
              </w:rPr>
              <w:instrText xml:space="preserve"> PAGEREF _Toc221812057 \h </w:instrText>
            </w:r>
            <w:r w:rsidR="00C47D5B" w:rsidRPr="00C47D5B">
              <w:rPr>
                <w:noProof/>
                <w:webHidden/>
              </w:rPr>
            </w:r>
            <w:r w:rsidR="00C47D5B" w:rsidRPr="00C47D5B">
              <w:rPr>
                <w:noProof/>
                <w:webHidden/>
              </w:rPr>
              <w:fldChar w:fldCharType="separate"/>
            </w:r>
            <w:r w:rsidR="00261AD9">
              <w:rPr>
                <w:noProof/>
                <w:webHidden/>
              </w:rPr>
              <w:t>16</w:t>
            </w:r>
            <w:r w:rsidR="00C47D5B" w:rsidRPr="00C47D5B">
              <w:rPr>
                <w:noProof/>
                <w:webHidden/>
              </w:rPr>
              <w:fldChar w:fldCharType="end"/>
            </w:r>
          </w:hyperlink>
        </w:p>
        <w:p w14:paraId="147CBE54" w14:textId="1FE6E3EE" w:rsidR="00C47D5B" w:rsidRP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8" w:history="1">
            <w:r w:rsidR="00C47D5B" w:rsidRPr="00C47D5B">
              <w:rPr>
                <w:rStyle w:val="Hipervnculo"/>
                <w:noProof/>
              </w:rPr>
              <w:t>QUINTO. Estudio de Fondo</w:t>
            </w:r>
            <w:r w:rsidR="00C47D5B" w:rsidRPr="00C47D5B">
              <w:rPr>
                <w:noProof/>
                <w:webHidden/>
              </w:rPr>
              <w:tab/>
            </w:r>
            <w:r w:rsidR="00C47D5B" w:rsidRPr="00C47D5B">
              <w:rPr>
                <w:noProof/>
                <w:webHidden/>
              </w:rPr>
              <w:fldChar w:fldCharType="begin"/>
            </w:r>
            <w:r w:rsidR="00C47D5B" w:rsidRPr="00C47D5B">
              <w:rPr>
                <w:noProof/>
                <w:webHidden/>
              </w:rPr>
              <w:instrText xml:space="preserve"> PAGEREF _Toc221812058 \h </w:instrText>
            </w:r>
            <w:r w:rsidR="00C47D5B" w:rsidRPr="00C47D5B">
              <w:rPr>
                <w:noProof/>
                <w:webHidden/>
              </w:rPr>
            </w:r>
            <w:r w:rsidR="00C47D5B" w:rsidRPr="00C47D5B">
              <w:rPr>
                <w:noProof/>
                <w:webHidden/>
              </w:rPr>
              <w:fldChar w:fldCharType="separate"/>
            </w:r>
            <w:r w:rsidR="00261AD9">
              <w:rPr>
                <w:noProof/>
                <w:webHidden/>
              </w:rPr>
              <w:t>17</w:t>
            </w:r>
            <w:r w:rsidR="00C47D5B" w:rsidRPr="00C47D5B">
              <w:rPr>
                <w:noProof/>
                <w:webHidden/>
              </w:rPr>
              <w:fldChar w:fldCharType="end"/>
            </w:r>
          </w:hyperlink>
        </w:p>
        <w:p w14:paraId="109E571D" w14:textId="76BD3A0A" w:rsidR="00C47D5B" w:rsidRPr="00C47D5B"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1812059" w:history="1">
            <w:r w:rsidR="00C47D5B" w:rsidRPr="00C47D5B">
              <w:rPr>
                <w:rStyle w:val="Hipervnculo"/>
                <w:noProof/>
              </w:rPr>
              <w:t>SEXTO. Decisión</w:t>
            </w:r>
            <w:r w:rsidR="00C47D5B" w:rsidRPr="00C47D5B">
              <w:rPr>
                <w:noProof/>
                <w:webHidden/>
              </w:rPr>
              <w:tab/>
            </w:r>
            <w:r w:rsidR="00C47D5B" w:rsidRPr="00C47D5B">
              <w:rPr>
                <w:noProof/>
                <w:webHidden/>
              </w:rPr>
              <w:fldChar w:fldCharType="begin"/>
            </w:r>
            <w:r w:rsidR="00C47D5B" w:rsidRPr="00C47D5B">
              <w:rPr>
                <w:noProof/>
                <w:webHidden/>
              </w:rPr>
              <w:instrText xml:space="preserve"> PAGEREF _Toc221812059 \h </w:instrText>
            </w:r>
            <w:r w:rsidR="00C47D5B" w:rsidRPr="00C47D5B">
              <w:rPr>
                <w:noProof/>
                <w:webHidden/>
              </w:rPr>
            </w:r>
            <w:r w:rsidR="00C47D5B" w:rsidRPr="00C47D5B">
              <w:rPr>
                <w:noProof/>
                <w:webHidden/>
              </w:rPr>
              <w:fldChar w:fldCharType="separate"/>
            </w:r>
            <w:r w:rsidR="00261AD9">
              <w:rPr>
                <w:noProof/>
                <w:webHidden/>
              </w:rPr>
              <w:t>37</w:t>
            </w:r>
            <w:r w:rsidR="00C47D5B" w:rsidRPr="00C47D5B">
              <w:rPr>
                <w:noProof/>
                <w:webHidden/>
              </w:rPr>
              <w:fldChar w:fldCharType="end"/>
            </w:r>
          </w:hyperlink>
        </w:p>
        <w:p w14:paraId="2580A8A9" w14:textId="5E7FD62D" w:rsidR="00C47D5B" w:rsidRPr="00C47D5B"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12060" w:history="1">
            <w:r w:rsidR="00C47D5B" w:rsidRPr="00C47D5B">
              <w:rPr>
                <w:rStyle w:val="Hipervnculo"/>
                <w:noProof/>
              </w:rPr>
              <w:t>R E S U E L V E</w:t>
            </w:r>
            <w:r w:rsidR="00C47D5B" w:rsidRPr="00C47D5B">
              <w:rPr>
                <w:noProof/>
                <w:webHidden/>
              </w:rPr>
              <w:tab/>
            </w:r>
            <w:r w:rsidR="00C47D5B" w:rsidRPr="00C47D5B">
              <w:rPr>
                <w:noProof/>
                <w:webHidden/>
              </w:rPr>
              <w:fldChar w:fldCharType="begin"/>
            </w:r>
            <w:r w:rsidR="00C47D5B" w:rsidRPr="00C47D5B">
              <w:rPr>
                <w:noProof/>
                <w:webHidden/>
              </w:rPr>
              <w:instrText xml:space="preserve"> PAGEREF _Toc221812060 \h </w:instrText>
            </w:r>
            <w:r w:rsidR="00C47D5B" w:rsidRPr="00C47D5B">
              <w:rPr>
                <w:noProof/>
                <w:webHidden/>
              </w:rPr>
            </w:r>
            <w:r w:rsidR="00C47D5B" w:rsidRPr="00C47D5B">
              <w:rPr>
                <w:noProof/>
                <w:webHidden/>
              </w:rPr>
              <w:fldChar w:fldCharType="separate"/>
            </w:r>
            <w:r w:rsidR="00261AD9">
              <w:rPr>
                <w:noProof/>
                <w:webHidden/>
              </w:rPr>
              <w:t>38</w:t>
            </w:r>
            <w:r w:rsidR="00C47D5B" w:rsidRPr="00C47D5B">
              <w:rPr>
                <w:noProof/>
                <w:webHidden/>
              </w:rPr>
              <w:fldChar w:fldCharType="end"/>
            </w:r>
          </w:hyperlink>
        </w:p>
        <w:p w14:paraId="5B9D6C11" w14:textId="53D32CEA" w:rsidR="00C4052B" w:rsidRPr="008D21F0" w:rsidRDefault="00C4052B" w:rsidP="00153588">
          <w:pPr>
            <w:spacing w:after="0" w:line="360" w:lineRule="auto"/>
            <w:rPr>
              <w:color w:val="FF0000"/>
            </w:rPr>
          </w:pPr>
          <w:r w:rsidRPr="008D21F0">
            <w:rPr>
              <w:color w:val="FF0000"/>
              <w:lang w:val="es-ES"/>
            </w:rPr>
            <w:fldChar w:fldCharType="end"/>
          </w:r>
        </w:p>
      </w:sdtContent>
    </w:sdt>
    <w:p w14:paraId="57481942" w14:textId="77777777" w:rsidR="00C4052B" w:rsidRPr="00F648B2" w:rsidRDefault="00C4052B" w:rsidP="00153588">
      <w:pPr>
        <w:tabs>
          <w:tab w:val="left" w:pos="8931"/>
        </w:tabs>
        <w:spacing w:after="0" w:line="360" w:lineRule="auto"/>
        <w:rPr>
          <w:color w:val="FF0000"/>
        </w:rPr>
      </w:pPr>
    </w:p>
    <w:p w14:paraId="411B5995" w14:textId="77777777" w:rsidR="00C4052B" w:rsidRPr="00F648B2" w:rsidRDefault="00C4052B" w:rsidP="00153588">
      <w:pPr>
        <w:tabs>
          <w:tab w:val="left" w:pos="8931"/>
        </w:tabs>
        <w:spacing w:after="0" w:line="360" w:lineRule="auto"/>
        <w:rPr>
          <w:color w:val="FF0000"/>
        </w:rPr>
      </w:pPr>
    </w:p>
    <w:p w14:paraId="6784625D" w14:textId="77777777" w:rsidR="00C4052B" w:rsidRPr="00F648B2" w:rsidRDefault="00C4052B" w:rsidP="00153588">
      <w:pPr>
        <w:tabs>
          <w:tab w:val="left" w:pos="8931"/>
        </w:tabs>
        <w:spacing w:after="0" w:line="360" w:lineRule="auto"/>
        <w:rPr>
          <w:color w:val="FF0000"/>
        </w:rPr>
      </w:pPr>
    </w:p>
    <w:p w14:paraId="140888DD" w14:textId="77777777" w:rsidR="00C4052B" w:rsidRPr="00F648B2" w:rsidRDefault="00C4052B" w:rsidP="00153588">
      <w:pPr>
        <w:tabs>
          <w:tab w:val="left" w:pos="8931"/>
        </w:tabs>
        <w:spacing w:after="0" w:line="360" w:lineRule="auto"/>
        <w:rPr>
          <w:color w:val="FF0000"/>
        </w:rPr>
      </w:pPr>
    </w:p>
    <w:p w14:paraId="46268890" w14:textId="77777777" w:rsidR="00C4052B" w:rsidRPr="00F648B2" w:rsidRDefault="00C4052B" w:rsidP="00153588">
      <w:pPr>
        <w:tabs>
          <w:tab w:val="left" w:pos="8931"/>
        </w:tabs>
        <w:spacing w:after="0" w:line="360" w:lineRule="auto"/>
        <w:rPr>
          <w:color w:val="FF0000"/>
        </w:rPr>
      </w:pPr>
    </w:p>
    <w:p w14:paraId="147CC638" w14:textId="77777777" w:rsidR="00C4052B" w:rsidRPr="00F648B2" w:rsidRDefault="00C4052B" w:rsidP="00153588">
      <w:pPr>
        <w:tabs>
          <w:tab w:val="left" w:pos="8931"/>
        </w:tabs>
        <w:spacing w:after="0" w:line="360" w:lineRule="auto"/>
        <w:rPr>
          <w:color w:val="FF0000"/>
        </w:rPr>
      </w:pPr>
    </w:p>
    <w:p w14:paraId="01BB5716" w14:textId="77777777" w:rsidR="00C4052B" w:rsidRPr="00F648B2" w:rsidRDefault="00C4052B" w:rsidP="00153588">
      <w:pPr>
        <w:tabs>
          <w:tab w:val="left" w:pos="8931"/>
        </w:tabs>
        <w:spacing w:after="0" w:line="360" w:lineRule="auto"/>
        <w:rPr>
          <w:color w:val="FF0000"/>
        </w:rPr>
      </w:pPr>
    </w:p>
    <w:p w14:paraId="62C1CEC9" w14:textId="77777777" w:rsidR="00C4052B" w:rsidRPr="00F648B2" w:rsidRDefault="00C4052B" w:rsidP="00153588">
      <w:pPr>
        <w:tabs>
          <w:tab w:val="left" w:pos="8931"/>
        </w:tabs>
        <w:spacing w:after="0" w:line="360" w:lineRule="auto"/>
        <w:rPr>
          <w:color w:val="FF0000"/>
        </w:rPr>
      </w:pPr>
    </w:p>
    <w:p w14:paraId="14058F28" w14:textId="77777777" w:rsidR="009F5661" w:rsidRPr="00F648B2" w:rsidRDefault="009F5661" w:rsidP="00153588">
      <w:pPr>
        <w:tabs>
          <w:tab w:val="left" w:pos="8931"/>
        </w:tabs>
        <w:spacing w:after="0" w:line="360" w:lineRule="auto"/>
        <w:rPr>
          <w:color w:val="FF0000"/>
        </w:rPr>
      </w:pPr>
    </w:p>
    <w:p w14:paraId="3FB7EB5E" w14:textId="4DC4F664" w:rsidR="005C690F" w:rsidRPr="00FD1A0D" w:rsidRDefault="007D6307" w:rsidP="00153588">
      <w:pPr>
        <w:tabs>
          <w:tab w:val="left" w:pos="8931"/>
        </w:tabs>
        <w:spacing w:after="0" w:line="360" w:lineRule="auto"/>
        <w:rPr>
          <w:color w:val="auto"/>
        </w:rPr>
      </w:pPr>
      <w:r w:rsidRPr="00FD1A0D">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FD1A0D">
        <w:rPr>
          <w:color w:val="auto"/>
        </w:rPr>
        <w:t xml:space="preserve">fecha </w:t>
      </w:r>
      <w:r w:rsidR="00F648B2" w:rsidRPr="00FD1A0D">
        <w:rPr>
          <w:color w:val="auto"/>
        </w:rPr>
        <w:t>once de febrero de dos mil veintiséis.</w:t>
      </w:r>
    </w:p>
    <w:p w14:paraId="0DCD3B82" w14:textId="77777777" w:rsidR="005C690F" w:rsidRPr="00F648B2" w:rsidRDefault="005C690F" w:rsidP="00153588">
      <w:pPr>
        <w:spacing w:after="0" w:line="360" w:lineRule="auto"/>
        <w:rPr>
          <w:b/>
          <w:color w:val="FF0000"/>
        </w:rPr>
      </w:pPr>
    </w:p>
    <w:p w14:paraId="1570B336" w14:textId="0B89EF3B" w:rsidR="005C690F" w:rsidRPr="00FD1A0D" w:rsidRDefault="007D6307" w:rsidP="00153588">
      <w:pPr>
        <w:spacing w:after="0" w:line="360" w:lineRule="auto"/>
        <w:rPr>
          <w:color w:val="auto"/>
        </w:rPr>
      </w:pPr>
      <w:r w:rsidRPr="00FD1A0D">
        <w:rPr>
          <w:b/>
          <w:color w:val="auto"/>
        </w:rPr>
        <w:t xml:space="preserve">VISTO </w:t>
      </w:r>
      <w:r w:rsidRPr="00FD1A0D">
        <w:rPr>
          <w:color w:val="auto"/>
        </w:rPr>
        <w:t xml:space="preserve">el expediente electrónico conformado con motivo del Recurso de Revisión </w:t>
      </w:r>
      <w:r w:rsidR="00FD1A0D" w:rsidRPr="0018111B">
        <w:rPr>
          <w:b/>
          <w:color w:val="auto"/>
        </w:rPr>
        <w:t>10311/INFOEM/IP/RR/2025</w:t>
      </w:r>
      <w:r w:rsidRPr="00FD1A0D">
        <w:rPr>
          <w:bCs/>
          <w:color w:val="auto"/>
        </w:rPr>
        <w:t xml:space="preserve">, interpuesto </w:t>
      </w:r>
      <w:r w:rsidR="00AD39C3" w:rsidRPr="00FD1A0D">
        <w:rPr>
          <w:bCs/>
          <w:color w:val="auto"/>
        </w:rPr>
        <w:t xml:space="preserve">por </w:t>
      </w:r>
      <w:r w:rsidR="00D906B2" w:rsidRPr="00FD1A0D">
        <w:rPr>
          <w:bCs/>
          <w:color w:val="auto"/>
        </w:rPr>
        <w:t>la persona</w:t>
      </w:r>
      <w:r w:rsidRPr="00FD1A0D">
        <w:rPr>
          <w:bCs/>
          <w:color w:val="auto"/>
        </w:rPr>
        <w:t xml:space="preserve"> Recurrente o Particular, en contra de la respuesta del Sujeto Obligado</w:t>
      </w:r>
      <w:r w:rsidR="00705FBB" w:rsidRPr="00FD1A0D">
        <w:rPr>
          <w:bCs/>
          <w:color w:val="auto"/>
        </w:rPr>
        <w:t>,</w:t>
      </w:r>
      <w:r w:rsidR="00FD1A0D" w:rsidRPr="00FD1A0D">
        <w:rPr>
          <w:bCs/>
          <w:color w:val="auto"/>
        </w:rPr>
        <w:t xml:space="preserve"> </w:t>
      </w:r>
      <w:r w:rsidR="00FD1A0D" w:rsidRPr="0018111B">
        <w:rPr>
          <w:b/>
          <w:color w:val="auto"/>
        </w:rPr>
        <w:t>Sistema Municipal Para el Desarrollo Integral de la Familia de Tlalnepantla de Baz</w:t>
      </w:r>
      <w:r w:rsidR="00EF0C39" w:rsidRPr="0018111B">
        <w:rPr>
          <w:b/>
          <w:bCs/>
          <w:color w:val="auto"/>
        </w:rPr>
        <w:t>,</w:t>
      </w:r>
      <w:r w:rsidRPr="00FD1A0D">
        <w:rPr>
          <w:bCs/>
          <w:color w:val="auto"/>
        </w:rPr>
        <w:t xml:space="preserve"> </w:t>
      </w:r>
      <w:r w:rsidRPr="00FD1A0D">
        <w:rPr>
          <w:color w:val="auto"/>
        </w:rPr>
        <w:t>a la solicitud de acceso a la información pública</w:t>
      </w:r>
      <w:r w:rsidR="00800641" w:rsidRPr="00FD1A0D">
        <w:rPr>
          <w:color w:val="auto"/>
        </w:rPr>
        <w:t xml:space="preserve"> </w:t>
      </w:r>
      <w:r w:rsidR="00FD1A0D" w:rsidRPr="00FD1A0D">
        <w:rPr>
          <w:color w:val="auto"/>
        </w:rPr>
        <w:t>00147/DIFTLALNE/IP/2025</w:t>
      </w:r>
      <w:r w:rsidRPr="00FD1A0D">
        <w:rPr>
          <w:color w:val="auto"/>
        </w:rPr>
        <w:t>, se emite la presente Resolución, con base en los Antecedentes y Considerandos que se exponen a continuación:</w:t>
      </w:r>
    </w:p>
    <w:p w14:paraId="1F97CEF3" w14:textId="77777777" w:rsidR="005C690F" w:rsidRPr="00F648B2" w:rsidRDefault="005C690F" w:rsidP="00153588">
      <w:pPr>
        <w:spacing w:after="0" w:line="360" w:lineRule="auto"/>
        <w:rPr>
          <w:b/>
          <w:color w:val="FF0000"/>
        </w:rPr>
      </w:pPr>
    </w:p>
    <w:p w14:paraId="1DEAF9D3" w14:textId="24D35555" w:rsidR="005C690F" w:rsidRPr="00FD1A0D" w:rsidRDefault="00CD6238" w:rsidP="00153588">
      <w:pPr>
        <w:pStyle w:val="Ttulo1"/>
        <w:spacing w:before="0" w:after="0" w:line="360" w:lineRule="auto"/>
        <w:jc w:val="center"/>
        <w:rPr>
          <w:color w:val="auto"/>
          <w:sz w:val="22"/>
          <w:szCs w:val="22"/>
        </w:rPr>
      </w:pPr>
      <w:bookmarkStart w:id="0" w:name="_Toc221812048"/>
      <w:r w:rsidRPr="00FD1A0D">
        <w:rPr>
          <w:color w:val="auto"/>
          <w:sz w:val="22"/>
          <w:szCs w:val="22"/>
        </w:rPr>
        <w:t>A N T E C E D E N T E S</w:t>
      </w:r>
      <w:bookmarkEnd w:id="0"/>
    </w:p>
    <w:p w14:paraId="5A7EDA4F" w14:textId="77777777" w:rsidR="005C690F" w:rsidRPr="00FD1A0D" w:rsidRDefault="005C690F" w:rsidP="00153588">
      <w:pPr>
        <w:spacing w:after="0" w:line="360" w:lineRule="auto"/>
        <w:jc w:val="center"/>
        <w:rPr>
          <w:b/>
          <w:color w:val="auto"/>
        </w:rPr>
      </w:pPr>
    </w:p>
    <w:p w14:paraId="4930DAB9" w14:textId="701611A7" w:rsidR="00E22EA8" w:rsidRPr="00FD1A0D" w:rsidRDefault="009215C2" w:rsidP="00153588">
      <w:pPr>
        <w:pStyle w:val="Ttulo2"/>
        <w:spacing w:before="0" w:after="0" w:line="360" w:lineRule="auto"/>
        <w:rPr>
          <w:color w:val="auto"/>
          <w:sz w:val="22"/>
          <w:szCs w:val="22"/>
          <w:lang w:eastAsia="es-ES"/>
        </w:rPr>
      </w:pPr>
      <w:bookmarkStart w:id="1" w:name="_Toc221812049"/>
      <w:r w:rsidRPr="00FD1A0D">
        <w:rPr>
          <w:color w:val="auto"/>
          <w:sz w:val="22"/>
          <w:szCs w:val="22"/>
          <w:lang w:eastAsia="es-ES"/>
        </w:rPr>
        <w:t xml:space="preserve">I. </w:t>
      </w:r>
      <w:r w:rsidR="00E22EA8" w:rsidRPr="00FD1A0D">
        <w:rPr>
          <w:color w:val="auto"/>
          <w:sz w:val="22"/>
          <w:szCs w:val="22"/>
          <w:lang w:eastAsia="es-ES"/>
        </w:rPr>
        <w:t>Presentación de la solicitud de información</w:t>
      </w:r>
      <w:bookmarkEnd w:id="1"/>
    </w:p>
    <w:p w14:paraId="63A20E25" w14:textId="77777777" w:rsidR="009215C2" w:rsidRPr="00F648B2" w:rsidRDefault="009215C2" w:rsidP="00153588">
      <w:pPr>
        <w:tabs>
          <w:tab w:val="left" w:pos="567"/>
        </w:tabs>
        <w:spacing w:after="0" w:line="360" w:lineRule="auto"/>
        <w:rPr>
          <w:rFonts w:eastAsia="Times New Roman" w:cs="Tahoma"/>
          <w:color w:val="FF0000"/>
          <w:lang w:eastAsia="es-ES"/>
        </w:rPr>
      </w:pPr>
    </w:p>
    <w:p w14:paraId="301B8A4E" w14:textId="608E9A48" w:rsidR="00E22EA8" w:rsidRPr="00D2287E" w:rsidRDefault="00D906B2" w:rsidP="00153588">
      <w:pPr>
        <w:spacing w:after="0" w:line="360" w:lineRule="auto"/>
        <w:rPr>
          <w:color w:val="auto"/>
        </w:rPr>
      </w:pPr>
      <w:r w:rsidRPr="00D2287E">
        <w:rPr>
          <w:rFonts w:eastAsia="Times New Roman" w:cs="Tahoma"/>
          <w:color w:val="auto"/>
          <w:lang w:eastAsia="es-ES"/>
        </w:rPr>
        <w:t>El</w:t>
      </w:r>
      <w:r w:rsidR="00D52EC1" w:rsidRPr="00D2287E">
        <w:rPr>
          <w:rFonts w:eastAsia="Times New Roman" w:cs="Tahoma"/>
          <w:color w:val="auto"/>
          <w:lang w:eastAsia="es-ES"/>
        </w:rPr>
        <w:t xml:space="preserve"> </w:t>
      </w:r>
      <w:r w:rsidR="00D2287E" w:rsidRPr="00D2287E">
        <w:rPr>
          <w:rFonts w:eastAsia="Times New Roman" w:cs="Tahoma"/>
          <w:color w:val="auto"/>
          <w:lang w:eastAsia="es-ES"/>
        </w:rPr>
        <w:t xml:space="preserve">cuatro de agosto de dos mil veinticinco, </w:t>
      </w:r>
      <w:r w:rsidR="00E22EA8" w:rsidRPr="00D2287E">
        <w:rPr>
          <w:rFonts w:eastAsia="Times New Roman" w:cs="Tahoma"/>
          <w:color w:val="auto"/>
          <w:lang w:eastAsia="es-ES"/>
        </w:rPr>
        <w:t xml:space="preserve">el Particular presentó una solicitud de acceso a la información pública, </w:t>
      </w:r>
      <w:r w:rsidR="00D2287E" w:rsidRPr="00D2287E">
        <w:rPr>
          <w:rFonts w:eastAsia="Times New Roman" w:cs="Tahoma"/>
          <w:color w:val="auto"/>
          <w:lang w:eastAsia="es-ES"/>
        </w:rPr>
        <w:t xml:space="preserve">(ya que si bien se registró el veinte de julio de dos mil veinticinco, este fue inhábil, por lo que se tuvo por presentada el día hábil siguiente), </w:t>
      </w:r>
      <w:r w:rsidR="00E22EA8" w:rsidRPr="00D2287E">
        <w:rPr>
          <w:rFonts w:eastAsia="Times New Roman" w:cs="Tahoma"/>
          <w:color w:val="auto"/>
          <w:lang w:eastAsia="es-ES"/>
        </w:rPr>
        <w:t>a través del Sistema de Acceso a la Información Mexiquense (SAIMEX), ante</w:t>
      </w:r>
      <w:r w:rsidR="000B3C56" w:rsidRPr="00D2287E">
        <w:rPr>
          <w:rFonts w:eastAsia="Times New Roman" w:cs="Tahoma"/>
          <w:color w:val="auto"/>
          <w:lang w:eastAsia="es-ES"/>
        </w:rPr>
        <w:t xml:space="preserve"> </w:t>
      </w:r>
      <w:r w:rsidR="00DC175C" w:rsidRPr="00D2287E">
        <w:rPr>
          <w:rFonts w:eastAsia="Times New Roman" w:cs="Tahoma"/>
          <w:color w:val="auto"/>
          <w:lang w:eastAsia="es-ES"/>
        </w:rPr>
        <w:t>el</w:t>
      </w:r>
      <w:r w:rsidR="008246F7" w:rsidRPr="00D2287E">
        <w:rPr>
          <w:color w:val="auto"/>
        </w:rPr>
        <w:t xml:space="preserve"> </w:t>
      </w:r>
      <w:r w:rsidR="00D2287E" w:rsidRPr="00D2287E">
        <w:rPr>
          <w:color w:val="auto"/>
        </w:rPr>
        <w:t>Sistema Municipal Para el Desarrollo Integral de la Familia de Tlalnepantla de Baz</w:t>
      </w:r>
      <w:r w:rsidR="008E0DC4" w:rsidRPr="00D2287E">
        <w:rPr>
          <w:rFonts w:eastAsia="Calibri" w:cs="Times New Roman"/>
          <w:color w:val="auto"/>
        </w:rPr>
        <w:t>,</w:t>
      </w:r>
      <w:r w:rsidR="00DC175C" w:rsidRPr="00D2287E">
        <w:rPr>
          <w:rFonts w:eastAsia="Calibri" w:cs="Tahoma"/>
          <w:color w:val="auto"/>
        </w:rPr>
        <w:t xml:space="preserve"> </w:t>
      </w:r>
      <w:r w:rsidR="00E22EA8" w:rsidRPr="00D2287E">
        <w:rPr>
          <w:rFonts w:eastAsia="Calibri" w:cs="Tahoma"/>
          <w:color w:val="auto"/>
        </w:rPr>
        <w:t xml:space="preserve">en los siguientes términos: </w:t>
      </w:r>
    </w:p>
    <w:p w14:paraId="2B959865" w14:textId="77777777" w:rsidR="00E22EA8" w:rsidRPr="00F648B2" w:rsidRDefault="00E22EA8" w:rsidP="00153588">
      <w:pPr>
        <w:spacing w:after="0" w:line="360" w:lineRule="auto"/>
        <w:rPr>
          <w:rFonts w:eastAsia="Calibri" w:cs="Tahoma"/>
          <w:color w:val="FF0000"/>
        </w:rPr>
      </w:pPr>
    </w:p>
    <w:p w14:paraId="3FBC9D66" w14:textId="0F26255C" w:rsidR="00A41789" w:rsidRPr="00D2287E" w:rsidRDefault="00125F26" w:rsidP="00153588">
      <w:pPr>
        <w:tabs>
          <w:tab w:val="left" w:pos="4667"/>
        </w:tabs>
        <w:spacing w:after="0" w:line="360" w:lineRule="auto"/>
        <w:ind w:left="567" w:right="567"/>
        <w:rPr>
          <w:rFonts w:eastAsia="Times New Roman" w:cs="Tahoma"/>
          <w:b/>
          <w:i/>
          <w:iCs/>
          <w:color w:val="auto"/>
          <w:sz w:val="20"/>
          <w:szCs w:val="20"/>
          <w:lang w:eastAsia="es-ES"/>
        </w:rPr>
      </w:pPr>
      <w:r w:rsidRPr="00D2287E">
        <w:rPr>
          <w:rFonts w:eastAsia="Times New Roman" w:cs="Tahoma"/>
          <w:b/>
          <w:i/>
          <w:iCs/>
          <w:color w:val="auto"/>
          <w:sz w:val="20"/>
          <w:szCs w:val="20"/>
          <w:lang w:eastAsia="es-ES"/>
        </w:rPr>
        <w:t>“</w:t>
      </w:r>
      <w:r w:rsidR="00E22EA8" w:rsidRPr="00D2287E">
        <w:rPr>
          <w:rFonts w:eastAsia="Times New Roman" w:cs="Tahoma"/>
          <w:b/>
          <w:i/>
          <w:iCs/>
          <w:color w:val="auto"/>
          <w:sz w:val="20"/>
          <w:szCs w:val="20"/>
          <w:lang w:eastAsia="es-ES"/>
        </w:rPr>
        <w:t>DESCRIPCIÓN CLARA Y PRECI</w:t>
      </w:r>
      <w:r w:rsidR="0084143D" w:rsidRPr="00D2287E">
        <w:rPr>
          <w:rFonts w:eastAsia="Times New Roman" w:cs="Tahoma"/>
          <w:b/>
          <w:i/>
          <w:iCs/>
          <w:color w:val="auto"/>
          <w:sz w:val="20"/>
          <w:szCs w:val="20"/>
          <w:lang w:eastAsia="es-ES"/>
        </w:rPr>
        <w:t xml:space="preserve">SA DE LA </w:t>
      </w:r>
      <w:r w:rsidR="00A41789" w:rsidRPr="00D2287E">
        <w:rPr>
          <w:rFonts w:eastAsia="Times New Roman" w:cs="Tahoma"/>
          <w:b/>
          <w:i/>
          <w:iCs/>
          <w:color w:val="auto"/>
          <w:sz w:val="20"/>
          <w:szCs w:val="20"/>
          <w:lang w:eastAsia="es-ES"/>
        </w:rPr>
        <w:t>INFORMACIÓN SOLICITADA</w:t>
      </w:r>
    </w:p>
    <w:p w14:paraId="2C6BC213" w14:textId="5F705513" w:rsidR="00E22EA8" w:rsidRPr="00D2287E" w:rsidRDefault="00D2287E" w:rsidP="00153588">
      <w:pPr>
        <w:tabs>
          <w:tab w:val="left" w:pos="4667"/>
        </w:tabs>
        <w:spacing w:after="0" w:line="360" w:lineRule="auto"/>
        <w:ind w:left="567" w:right="567"/>
        <w:rPr>
          <w:i/>
          <w:iCs/>
          <w:color w:val="auto"/>
          <w:sz w:val="20"/>
          <w:szCs w:val="20"/>
        </w:rPr>
      </w:pPr>
      <w:r w:rsidRPr="00D2287E">
        <w:rPr>
          <w:i/>
          <w:iCs/>
          <w:color w:val="auto"/>
          <w:sz w:val="20"/>
          <w:szCs w:val="20"/>
        </w:rPr>
        <w:t>Solicito la dispersión de nomina y conciliación de nomina de enero 2025 a la fecha de la solicitud</w:t>
      </w:r>
      <w:r w:rsidR="008E68B6" w:rsidRPr="00D2287E">
        <w:rPr>
          <w:i/>
          <w:iCs/>
          <w:color w:val="auto"/>
          <w:sz w:val="20"/>
          <w:szCs w:val="20"/>
        </w:rPr>
        <w:t>.</w:t>
      </w:r>
      <w:r w:rsidR="009215C2" w:rsidRPr="00D2287E">
        <w:rPr>
          <w:i/>
          <w:iCs/>
          <w:color w:val="auto"/>
          <w:sz w:val="20"/>
          <w:szCs w:val="20"/>
        </w:rPr>
        <w:t>”</w:t>
      </w:r>
      <w:r w:rsidR="00857C17" w:rsidRPr="00D2287E">
        <w:rPr>
          <w:i/>
          <w:iCs/>
          <w:color w:val="auto"/>
          <w:sz w:val="20"/>
          <w:szCs w:val="20"/>
        </w:rPr>
        <w:t xml:space="preserve"> (Sic.)</w:t>
      </w:r>
    </w:p>
    <w:p w14:paraId="5E88ED39" w14:textId="77777777" w:rsidR="00BF362A" w:rsidRPr="00F648B2" w:rsidRDefault="00BF362A" w:rsidP="00153588">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D2287E" w:rsidRDefault="00125F26" w:rsidP="00153588">
      <w:pPr>
        <w:tabs>
          <w:tab w:val="left" w:pos="4667"/>
        </w:tabs>
        <w:spacing w:after="0" w:line="360" w:lineRule="auto"/>
        <w:ind w:left="567" w:right="567"/>
        <w:rPr>
          <w:rFonts w:eastAsia="Times New Roman" w:cs="Tahoma"/>
          <w:b/>
          <w:bCs/>
          <w:i/>
          <w:iCs/>
          <w:color w:val="auto"/>
          <w:sz w:val="20"/>
          <w:lang w:eastAsia="es-ES"/>
        </w:rPr>
      </w:pPr>
      <w:r w:rsidRPr="00D2287E">
        <w:rPr>
          <w:rFonts w:eastAsia="Times New Roman" w:cs="Tahoma"/>
          <w:b/>
          <w:bCs/>
          <w:i/>
          <w:iCs/>
          <w:color w:val="auto"/>
          <w:sz w:val="20"/>
          <w:lang w:eastAsia="es-ES"/>
        </w:rPr>
        <w:lastRenderedPageBreak/>
        <w:t>“</w:t>
      </w:r>
      <w:r w:rsidR="00E22EA8" w:rsidRPr="00D2287E">
        <w:rPr>
          <w:rFonts w:eastAsia="Times New Roman" w:cs="Tahoma"/>
          <w:b/>
          <w:bCs/>
          <w:i/>
          <w:iCs/>
          <w:color w:val="auto"/>
          <w:sz w:val="20"/>
          <w:lang w:eastAsia="es-ES"/>
        </w:rPr>
        <w:t>MODALIDAD DE ENTREGA</w:t>
      </w:r>
    </w:p>
    <w:p w14:paraId="3CA8F82F" w14:textId="1B5A8200" w:rsidR="00EB386A" w:rsidRPr="00D2287E" w:rsidRDefault="00BB6693" w:rsidP="00153588">
      <w:pPr>
        <w:spacing w:after="0" w:line="360" w:lineRule="auto"/>
        <w:ind w:left="567" w:right="567"/>
        <w:rPr>
          <w:rFonts w:eastAsia="Times New Roman" w:cs="Arial"/>
          <w:bCs/>
          <w:i/>
          <w:iCs/>
          <w:color w:val="auto"/>
          <w:sz w:val="20"/>
          <w:lang w:eastAsia="es-ES"/>
        </w:rPr>
      </w:pPr>
      <w:r w:rsidRPr="00D2287E">
        <w:rPr>
          <w:rFonts w:eastAsia="Times New Roman" w:cs="Arial"/>
          <w:bCs/>
          <w:i/>
          <w:iCs/>
          <w:color w:val="auto"/>
          <w:sz w:val="20"/>
          <w:lang w:eastAsia="es-ES"/>
        </w:rPr>
        <w:t>A través del SAIMEX</w:t>
      </w:r>
      <w:r w:rsidR="00E22EA8" w:rsidRPr="00D2287E">
        <w:rPr>
          <w:rFonts w:eastAsia="Times New Roman" w:cs="Arial"/>
          <w:bCs/>
          <w:i/>
          <w:iCs/>
          <w:color w:val="auto"/>
          <w:sz w:val="20"/>
          <w:lang w:eastAsia="es-ES"/>
        </w:rPr>
        <w:t>”</w:t>
      </w:r>
    </w:p>
    <w:p w14:paraId="1BB3AF0E" w14:textId="77777777" w:rsidR="00D2287E" w:rsidRPr="00464B66" w:rsidRDefault="00D2287E" w:rsidP="00153588">
      <w:pPr>
        <w:spacing w:after="0" w:line="360" w:lineRule="auto"/>
        <w:ind w:left="567" w:right="567"/>
        <w:rPr>
          <w:rFonts w:eastAsia="Times New Roman" w:cs="Arial"/>
          <w:bCs/>
          <w:i/>
          <w:iCs/>
          <w:color w:val="auto"/>
          <w:sz w:val="20"/>
          <w:lang w:eastAsia="es-ES"/>
        </w:rPr>
      </w:pPr>
    </w:p>
    <w:p w14:paraId="0A604AAC" w14:textId="05F71014" w:rsidR="00E22EA8" w:rsidRPr="00464B66" w:rsidRDefault="000B3C56" w:rsidP="00153588">
      <w:pPr>
        <w:pStyle w:val="Ttulo2"/>
        <w:spacing w:before="0" w:after="0" w:line="360" w:lineRule="auto"/>
        <w:rPr>
          <w:color w:val="auto"/>
          <w:sz w:val="22"/>
          <w:szCs w:val="22"/>
        </w:rPr>
      </w:pPr>
      <w:bookmarkStart w:id="2" w:name="_Toc221812050"/>
      <w:r w:rsidRPr="00464B66">
        <w:rPr>
          <w:rFonts w:cs="Tahoma"/>
          <w:color w:val="auto"/>
          <w:sz w:val="22"/>
          <w:szCs w:val="22"/>
        </w:rPr>
        <w:t>I</w:t>
      </w:r>
      <w:r w:rsidR="00AB116C" w:rsidRPr="00464B66">
        <w:rPr>
          <w:rFonts w:cs="Tahoma"/>
          <w:color w:val="auto"/>
          <w:sz w:val="22"/>
          <w:szCs w:val="22"/>
        </w:rPr>
        <w:t>I</w:t>
      </w:r>
      <w:r w:rsidR="00E22EA8" w:rsidRPr="00464B66">
        <w:rPr>
          <w:rFonts w:cs="Tahoma"/>
          <w:color w:val="auto"/>
          <w:sz w:val="22"/>
          <w:szCs w:val="22"/>
        </w:rPr>
        <w:t>.</w:t>
      </w:r>
      <w:r w:rsidR="00E22EA8" w:rsidRPr="00464B66">
        <w:rPr>
          <w:color w:val="auto"/>
          <w:sz w:val="22"/>
          <w:szCs w:val="22"/>
        </w:rPr>
        <w:t xml:space="preserve"> Respuesta del Sujeto Obligado</w:t>
      </w:r>
      <w:bookmarkEnd w:id="2"/>
    </w:p>
    <w:p w14:paraId="10CE94A9" w14:textId="77777777" w:rsidR="00C06004" w:rsidRPr="00F648B2" w:rsidRDefault="00C06004" w:rsidP="00153588">
      <w:pPr>
        <w:autoSpaceDE w:val="0"/>
        <w:autoSpaceDN w:val="0"/>
        <w:adjustRightInd w:val="0"/>
        <w:spacing w:after="0" w:line="360" w:lineRule="auto"/>
        <w:rPr>
          <w:b/>
          <w:bCs/>
          <w:color w:val="FF0000"/>
        </w:rPr>
      </w:pPr>
    </w:p>
    <w:p w14:paraId="71648C5C" w14:textId="743E93D3" w:rsidR="00AD67CA" w:rsidRPr="00464B66" w:rsidRDefault="00EB386A" w:rsidP="00153588">
      <w:pPr>
        <w:spacing w:after="0" w:line="360" w:lineRule="auto"/>
        <w:rPr>
          <w:color w:val="auto"/>
        </w:rPr>
      </w:pPr>
      <w:r w:rsidRPr="00464B66">
        <w:rPr>
          <w:color w:val="auto"/>
        </w:rPr>
        <w:t xml:space="preserve">El </w:t>
      </w:r>
      <w:r w:rsidR="00464B66" w:rsidRPr="00464B66">
        <w:rPr>
          <w:color w:val="auto"/>
        </w:rPr>
        <w:t xml:space="preserve">quince de agosto de dos mil veinticinco, </w:t>
      </w:r>
      <w:r w:rsidR="00E22EA8" w:rsidRPr="00464B66">
        <w:rPr>
          <w:color w:val="auto"/>
        </w:rPr>
        <w:t xml:space="preserve">el Sujeto Obligado notificó, a través del Sistema de Acceso a la Información Mexiquense (SAIMEX), la respuesta a la solicitud de acceso a la información pública, </w:t>
      </w:r>
      <w:r w:rsidR="00AD67CA" w:rsidRPr="00464B66">
        <w:rPr>
          <w:color w:val="auto"/>
        </w:rPr>
        <w:t>a través de los documentos siguientes:</w:t>
      </w:r>
    </w:p>
    <w:p w14:paraId="14D6D2D0" w14:textId="77777777" w:rsidR="00AD67CA" w:rsidRPr="00F648B2" w:rsidRDefault="00AD67CA" w:rsidP="00153588">
      <w:pPr>
        <w:spacing w:after="0" w:line="360" w:lineRule="auto"/>
        <w:rPr>
          <w:color w:val="FF0000"/>
        </w:rPr>
      </w:pPr>
    </w:p>
    <w:p w14:paraId="31655C19" w14:textId="4E4536A7" w:rsidR="007D7F44" w:rsidRDefault="00464B66" w:rsidP="00566723">
      <w:pPr>
        <w:spacing w:after="0" w:line="360" w:lineRule="auto"/>
        <w:rPr>
          <w:color w:val="auto"/>
        </w:rPr>
      </w:pPr>
      <w:r w:rsidRPr="00464B66">
        <w:rPr>
          <w:color w:val="auto"/>
        </w:rPr>
        <w:t xml:space="preserve">i. Conciliación de nómina correspondiente a la primera quincena del mes de abril de dos mil veinticinco. </w:t>
      </w:r>
    </w:p>
    <w:p w14:paraId="4935185B" w14:textId="77777777" w:rsidR="00464B66" w:rsidRDefault="00464B66" w:rsidP="00566723">
      <w:pPr>
        <w:spacing w:after="0" w:line="360" w:lineRule="auto"/>
        <w:rPr>
          <w:color w:val="auto"/>
        </w:rPr>
      </w:pPr>
    </w:p>
    <w:p w14:paraId="1D0974CE" w14:textId="24A4710A" w:rsidR="00464B66" w:rsidRDefault="00464B66" w:rsidP="00464B66">
      <w:pPr>
        <w:spacing w:after="0" w:line="360" w:lineRule="auto"/>
        <w:rPr>
          <w:color w:val="auto"/>
        </w:rPr>
      </w:pPr>
      <w:r w:rsidRPr="00464B66">
        <w:rPr>
          <w:color w:val="auto"/>
        </w:rPr>
        <w:t>i</w:t>
      </w:r>
      <w:r>
        <w:rPr>
          <w:color w:val="auto"/>
        </w:rPr>
        <w:t>i</w:t>
      </w:r>
      <w:r w:rsidRPr="00464B66">
        <w:rPr>
          <w:color w:val="auto"/>
        </w:rPr>
        <w:t xml:space="preserve">. Conciliación de nómina correspondiente a la </w:t>
      </w:r>
      <w:r>
        <w:rPr>
          <w:color w:val="auto"/>
        </w:rPr>
        <w:t>segunda</w:t>
      </w:r>
      <w:r w:rsidRPr="00464B66">
        <w:rPr>
          <w:color w:val="auto"/>
        </w:rPr>
        <w:t xml:space="preserve"> quincena del mes de abril de dos mil veinticinco. </w:t>
      </w:r>
    </w:p>
    <w:p w14:paraId="72F4DE22" w14:textId="77777777" w:rsidR="00464B66" w:rsidRDefault="00464B66" w:rsidP="00464B66">
      <w:pPr>
        <w:spacing w:after="0" w:line="360" w:lineRule="auto"/>
        <w:rPr>
          <w:color w:val="auto"/>
        </w:rPr>
      </w:pPr>
    </w:p>
    <w:p w14:paraId="17034182" w14:textId="4CB792E5" w:rsidR="00464B66" w:rsidRDefault="00464B66" w:rsidP="00464B66">
      <w:pPr>
        <w:spacing w:after="0" w:line="360" w:lineRule="auto"/>
        <w:rPr>
          <w:color w:val="auto"/>
        </w:rPr>
      </w:pPr>
      <w:r w:rsidRPr="00464B66">
        <w:rPr>
          <w:color w:val="auto"/>
        </w:rPr>
        <w:t>i</w:t>
      </w:r>
      <w:r>
        <w:rPr>
          <w:color w:val="auto"/>
        </w:rPr>
        <w:t>ii</w:t>
      </w:r>
      <w:r w:rsidRPr="00464B66">
        <w:rPr>
          <w:color w:val="auto"/>
        </w:rPr>
        <w:t xml:space="preserve">. Conciliación de nómina correspondiente a la primera quincena del mes de </w:t>
      </w:r>
      <w:r>
        <w:rPr>
          <w:color w:val="auto"/>
        </w:rPr>
        <w:t xml:space="preserve">mayo </w:t>
      </w:r>
      <w:r w:rsidRPr="00464B66">
        <w:rPr>
          <w:color w:val="auto"/>
        </w:rPr>
        <w:t xml:space="preserve">de dos mil veinticinco. </w:t>
      </w:r>
    </w:p>
    <w:p w14:paraId="53914B6C" w14:textId="77777777" w:rsidR="00464B66" w:rsidRDefault="00464B66" w:rsidP="00464B66">
      <w:pPr>
        <w:spacing w:after="0" w:line="360" w:lineRule="auto"/>
        <w:rPr>
          <w:color w:val="auto"/>
        </w:rPr>
      </w:pPr>
    </w:p>
    <w:p w14:paraId="08205C3C" w14:textId="55712800" w:rsidR="00464B66" w:rsidRDefault="00464B66" w:rsidP="00464B66">
      <w:pPr>
        <w:spacing w:after="0" w:line="360" w:lineRule="auto"/>
        <w:rPr>
          <w:color w:val="auto"/>
        </w:rPr>
      </w:pPr>
      <w:r w:rsidRPr="00464B66">
        <w:rPr>
          <w:color w:val="auto"/>
        </w:rPr>
        <w:t>i</w:t>
      </w:r>
      <w:r>
        <w:rPr>
          <w:color w:val="auto"/>
        </w:rPr>
        <w:t>v</w:t>
      </w:r>
      <w:r w:rsidRPr="00464B66">
        <w:rPr>
          <w:color w:val="auto"/>
        </w:rPr>
        <w:t xml:space="preserve">. Conciliación de nómina correspondiente a la </w:t>
      </w:r>
      <w:r>
        <w:rPr>
          <w:color w:val="auto"/>
        </w:rPr>
        <w:t>segunda</w:t>
      </w:r>
      <w:r w:rsidRPr="00464B66">
        <w:rPr>
          <w:color w:val="auto"/>
        </w:rPr>
        <w:t xml:space="preserve"> quincena del mes de</w:t>
      </w:r>
      <w:r>
        <w:rPr>
          <w:color w:val="auto"/>
        </w:rPr>
        <w:t xml:space="preserve"> mayo</w:t>
      </w:r>
      <w:r w:rsidRPr="00464B66">
        <w:rPr>
          <w:color w:val="auto"/>
        </w:rPr>
        <w:t xml:space="preserve"> de dos mil veinticinco. </w:t>
      </w:r>
    </w:p>
    <w:p w14:paraId="08075052" w14:textId="2F64539C" w:rsidR="00464B66" w:rsidRPr="00464B66" w:rsidRDefault="00464B66" w:rsidP="00464B66">
      <w:pPr>
        <w:spacing w:after="0" w:line="360" w:lineRule="auto"/>
        <w:rPr>
          <w:color w:val="auto"/>
        </w:rPr>
      </w:pPr>
    </w:p>
    <w:p w14:paraId="3AAB48C6" w14:textId="2CFAE400" w:rsidR="00B33567" w:rsidRDefault="00B33567" w:rsidP="00B33567">
      <w:pPr>
        <w:spacing w:after="0" w:line="360" w:lineRule="auto"/>
        <w:rPr>
          <w:color w:val="auto"/>
        </w:rPr>
      </w:pPr>
      <w:r>
        <w:rPr>
          <w:color w:val="auto"/>
        </w:rPr>
        <w:t>v</w:t>
      </w:r>
      <w:r w:rsidRPr="00464B66">
        <w:rPr>
          <w:color w:val="auto"/>
        </w:rPr>
        <w:t xml:space="preserve">. Conciliación de nómina correspondiente a la primera quincena del mes de </w:t>
      </w:r>
      <w:r>
        <w:rPr>
          <w:color w:val="auto"/>
        </w:rPr>
        <w:t>junio</w:t>
      </w:r>
      <w:r w:rsidRPr="00464B66">
        <w:rPr>
          <w:color w:val="auto"/>
        </w:rPr>
        <w:t xml:space="preserve"> de dos mil veinticinco. </w:t>
      </w:r>
    </w:p>
    <w:p w14:paraId="344BDDFA" w14:textId="77777777" w:rsidR="005E2826" w:rsidRDefault="005E2826" w:rsidP="00B33567">
      <w:pPr>
        <w:spacing w:after="0" w:line="360" w:lineRule="auto"/>
        <w:rPr>
          <w:color w:val="auto"/>
        </w:rPr>
      </w:pPr>
    </w:p>
    <w:p w14:paraId="6D1C4BFA" w14:textId="203BC817" w:rsidR="00DB7980" w:rsidRDefault="00DB7980" w:rsidP="00DB7980">
      <w:pPr>
        <w:spacing w:after="0" w:line="360" w:lineRule="auto"/>
        <w:rPr>
          <w:color w:val="auto"/>
        </w:rPr>
      </w:pPr>
      <w:r>
        <w:rPr>
          <w:color w:val="auto"/>
        </w:rPr>
        <w:lastRenderedPageBreak/>
        <w:t>vi</w:t>
      </w:r>
      <w:r w:rsidRPr="00464B66">
        <w:rPr>
          <w:color w:val="auto"/>
        </w:rPr>
        <w:t xml:space="preserve">. Conciliación de nómina correspondiente a la </w:t>
      </w:r>
      <w:r>
        <w:rPr>
          <w:color w:val="auto"/>
        </w:rPr>
        <w:t>segunda</w:t>
      </w:r>
      <w:r w:rsidRPr="00464B66">
        <w:rPr>
          <w:color w:val="auto"/>
        </w:rPr>
        <w:t xml:space="preserve"> quincena del mes de </w:t>
      </w:r>
      <w:r>
        <w:rPr>
          <w:color w:val="auto"/>
        </w:rPr>
        <w:t>junio</w:t>
      </w:r>
      <w:r w:rsidRPr="00464B66">
        <w:rPr>
          <w:color w:val="auto"/>
        </w:rPr>
        <w:t xml:space="preserve"> de dos mil veinticinco. </w:t>
      </w:r>
    </w:p>
    <w:p w14:paraId="3009AEE4" w14:textId="77777777" w:rsidR="00B33567" w:rsidRDefault="00B33567" w:rsidP="00B33567">
      <w:pPr>
        <w:spacing w:after="0" w:line="360" w:lineRule="auto"/>
        <w:rPr>
          <w:color w:val="auto"/>
        </w:rPr>
      </w:pPr>
    </w:p>
    <w:p w14:paraId="2C85737E" w14:textId="2E9156F8" w:rsidR="00004528" w:rsidRPr="00464B66" w:rsidRDefault="00004528" w:rsidP="00004528">
      <w:pPr>
        <w:spacing w:after="0" w:line="360" w:lineRule="auto"/>
        <w:rPr>
          <w:color w:val="auto"/>
        </w:rPr>
      </w:pPr>
      <w:r>
        <w:rPr>
          <w:color w:val="auto"/>
        </w:rPr>
        <w:t>vii. Reporte de Operaciones de Santander  (Dispersión de Nómina) de la primera quincena de abril de dos mil veinticinco.</w:t>
      </w:r>
    </w:p>
    <w:p w14:paraId="06F26B42" w14:textId="585F220F" w:rsidR="00464B66" w:rsidRDefault="00464B66" w:rsidP="00566723">
      <w:pPr>
        <w:spacing w:after="0" w:line="360" w:lineRule="auto"/>
        <w:rPr>
          <w:color w:val="auto"/>
        </w:rPr>
      </w:pPr>
    </w:p>
    <w:p w14:paraId="1DCAE3B7" w14:textId="5D2B2386" w:rsidR="00004528" w:rsidRPr="00464B66" w:rsidRDefault="00004528" w:rsidP="00566723">
      <w:pPr>
        <w:spacing w:after="0" w:line="360" w:lineRule="auto"/>
        <w:rPr>
          <w:color w:val="auto"/>
        </w:rPr>
      </w:pPr>
      <w:r>
        <w:rPr>
          <w:color w:val="auto"/>
        </w:rPr>
        <w:t xml:space="preserve">viii. </w:t>
      </w:r>
      <w:r w:rsidR="00337085">
        <w:rPr>
          <w:color w:val="auto"/>
        </w:rPr>
        <w:t>C</w:t>
      </w:r>
      <w:r>
        <w:rPr>
          <w:color w:val="auto"/>
        </w:rPr>
        <w:t>omprobantes de pago de nómina BBVA de la primera quincena de abril de dos mil veinticuatro.</w:t>
      </w:r>
    </w:p>
    <w:p w14:paraId="080923AB" w14:textId="77777777" w:rsidR="00464B66" w:rsidRPr="00F648B2" w:rsidRDefault="00464B66" w:rsidP="00566723">
      <w:pPr>
        <w:spacing w:after="0" w:line="360" w:lineRule="auto"/>
        <w:rPr>
          <w:color w:val="FF0000"/>
        </w:rPr>
      </w:pPr>
    </w:p>
    <w:p w14:paraId="16AC7641" w14:textId="205CA0E9" w:rsidR="00004528" w:rsidRPr="00464B66" w:rsidRDefault="00004528" w:rsidP="00004528">
      <w:pPr>
        <w:spacing w:after="0" w:line="360" w:lineRule="auto"/>
        <w:rPr>
          <w:color w:val="auto"/>
        </w:rPr>
      </w:pPr>
      <w:r>
        <w:rPr>
          <w:color w:val="auto"/>
        </w:rPr>
        <w:t>vii. Reporte de Operaciones de Santander  (Dispersión de Nómina) de la segunda quincena de abril de dos mil veinticinco.</w:t>
      </w:r>
    </w:p>
    <w:p w14:paraId="59634B43" w14:textId="77777777" w:rsidR="00004528" w:rsidRDefault="00004528" w:rsidP="00004528">
      <w:pPr>
        <w:spacing w:after="0" w:line="360" w:lineRule="auto"/>
        <w:rPr>
          <w:color w:val="auto"/>
        </w:rPr>
      </w:pPr>
    </w:p>
    <w:p w14:paraId="49DC5588" w14:textId="6D2F1E16" w:rsidR="00004528" w:rsidRDefault="00004528" w:rsidP="00004528">
      <w:pPr>
        <w:spacing w:after="0" w:line="360" w:lineRule="auto"/>
        <w:rPr>
          <w:color w:val="auto"/>
        </w:rPr>
      </w:pPr>
      <w:r>
        <w:rPr>
          <w:color w:val="auto"/>
        </w:rPr>
        <w:t>i</w:t>
      </w:r>
      <w:r w:rsidR="00204EDA">
        <w:rPr>
          <w:color w:val="auto"/>
        </w:rPr>
        <w:t>x</w:t>
      </w:r>
      <w:r w:rsidR="00337085">
        <w:rPr>
          <w:color w:val="auto"/>
        </w:rPr>
        <w:t>. C</w:t>
      </w:r>
      <w:r>
        <w:rPr>
          <w:color w:val="auto"/>
        </w:rPr>
        <w:t>omprobantes de pago de nómina BBVA de la quincena de la segunda quincena de abril de dos mil veinticinco.</w:t>
      </w:r>
    </w:p>
    <w:p w14:paraId="71EB7DDE" w14:textId="77777777" w:rsidR="00204EDA" w:rsidRDefault="00204EDA" w:rsidP="00004528">
      <w:pPr>
        <w:spacing w:after="0" w:line="360" w:lineRule="auto"/>
        <w:rPr>
          <w:color w:val="auto"/>
        </w:rPr>
      </w:pPr>
    </w:p>
    <w:p w14:paraId="64F2879A" w14:textId="2DD64D39" w:rsidR="00204EDA" w:rsidRDefault="00204EDA" w:rsidP="00204EDA">
      <w:pPr>
        <w:spacing w:after="0" w:line="360" w:lineRule="auto"/>
        <w:rPr>
          <w:color w:val="auto"/>
        </w:rPr>
      </w:pPr>
      <w:r>
        <w:rPr>
          <w:color w:val="auto"/>
        </w:rPr>
        <w:t>x. Reporte de Operaciones de Santander  (Dispersión de Nómina) de la primera quincena de mayo de dos mil veinticinco.</w:t>
      </w:r>
    </w:p>
    <w:p w14:paraId="1B172F2A" w14:textId="77777777" w:rsidR="00663FBB" w:rsidRPr="00464B66" w:rsidRDefault="00663FBB" w:rsidP="00204EDA">
      <w:pPr>
        <w:spacing w:after="0" w:line="360" w:lineRule="auto"/>
        <w:rPr>
          <w:color w:val="auto"/>
        </w:rPr>
      </w:pPr>
    </w:p>
    <w:p w14:paraId="17B52348" w14:textId="0BD8BF45" w:rsidR="00663FBB" w:rsidRDefault="00337085" w:rsidP="00663FBB">
      <w:pPr>
        <w:spacing w:after="0" w:line="360" w:lineRule="auto"/>
        <w:rPr>
          <w:color w:val="auto"/>
        </w:rPr>
      </w:pPr>
      <w:r>
        <w:rPr>
          <w:color w:val="auto"/>
        </w:rPr>
        <w:t>xi. C</w:t>
      </w:r>
      <w:r w:rsidR="00663FBB">
        <w:rPr>
          <w:color w:val="auto"/>
        </w:rPr>
        <w:t>omprobantes de pago de nómina BBVA de la primera quincena de mayo de dos mil veinticuatro.</w:t>
      </w:r>
    </w:p>
    <w:p w14:paraId="3C09C2F8" w14:textId="77777777" w:rsidR="00663FBB" w:rsidRDefault="00663FBB" w:rsidP="00663FBB">
      <w:pPr>
        <w:spacing w:after="0" w:line="360" w:lineRule="auto"/>
        <w:rPr>
          <w:color w:val="auto"/>
        </w:rPr>
      </w:pPr>
    </w:p>
    <w:p w14:paraId="7D3B5C4E" w14:textId="45A07632" w:rsidR="00663FBB" w:rsidRPr="00464B66" w:rsidRDefault="00663FBB" w:rsidP="00663FBB">
      <w:pPr>
        <w:spacing w:after="0" w:line="360" w:lineRule="auto"/>
        <w:rPr>
          <w:color w:val="auto"/>
        </w:rPr>
      </w:pPr>
      <w:r>
        <w:rPr>
          <w:color w:val="auto"/>
        </w:rPr>
        <w:t>xii. Reporte de Operaciones de Santander  (Dispersión de Nómina) de la segunda quincena de mayo de dos mil veinticinco.</w:t>
      </w:r>
    </w:p>
    <w:p w14:paraId="69511ABD" w14:textId="77777777" w:rsidR="00663FBB" w:rsidRDefault="00663FBB" w:rsidP="00663FBB">
      <w:pPr>
        <w:spacing w:after="0" w:line="360" w:lineRule="auto"/>
        <w:rPr>
          <w:color w:val="auto"/>
        </w:rPr>
      </w:pPr>
    </w:p>
    <w:p w14:paraId="677BAEFB" w14:textId="05A1A07D" w:rsidR="00663FBB" w:rsidRDefault="00337085" w:rsidP="00663FBB">
      <w:pPr>
        <w:spacing w:after="0" w:line="360" w:lineRule="auto"/>
        <w:rPr>
          <w:color w:val="auto"/>
        </w:rPr>
      </w:pPr>
      <w:r>
        <w:rPr>
          <w:color w:val="auto"/>
        </w:rPr>
        <w:lastRenderedPageBreak/>
        <w:t>xiii. C</w:t>
      </w:r>
      <w:r w:rsidR="00663FBB">
        <w:rPr>
          <w:color w:val="auto"/>
        </w:rPr>
        <w:t>omprobantes de pago de nómina BBVA de la quincena de la segunda quincena de mayo de dos mil veinticinco.</w:t>
      </w:r>
    </w:p>
    <w:p w14:paraId="419489DE" w14:textId="77777777" w:rsidR="00663FBB" w:rsidRDefault="00663FBB" w:rsidP="00663FBB">
      <w:pPr>
        <w:spacing w:after="0" w:line="360" w:lineRule="auto"/>
        <w:rPr>
          <w:color w:val="auto"/>
        </w:rPr>
      </w:pPr>
    </w:p>
    <w:p w14:paraId="11FB2199" w14:textId="2E7B0F0E" w:rsidR="00663FBB" w:rsidRDefault="00663FBB" w:rsidP="00663FBB">
      <w:pPr>
        <w:spacing w:after="0" w:line="360" w:lineRule="auto"/>
        <w:rPr>
          <w:color w:val="auto"/>
        </w:rPr>
      </w:pPr>
      <w:r>
        <w:rPr>
          <w:color w:val="auto"/>
        </w:rPr>
        <w:t>xiv. Reporte de Operaciones de Santander  (Dispersión de Nómina) de la primera quincena de junio de dos mil veinticinco.</w:t>
      </w:r>
    </w:p>
    <w:p w14:paraId="6A44B535" w14:textId="77777777" w:rsidR="00663FBB" w:rsidRPr="00464B66" w:rsidRDefault="00663FBB" w:rsidP="00663FBB">
      <w:pPr>
        <w:spacing w:after="0" w:line="360" w:lineRule="auto"/>
        <w:rPr>
          <w:color w:val="auto"/>
        </w:rPr>
      </w:pPr>
    </w:p>
    <w:p w14:paraId="68E8AF28" w14:textId="2CABB862" w:rsidR="00663FBB" w:rsidRDefault="00337085" w:rsidP="00663FBB">
      <w:pPr>
        <w:spacing w:after="0" w:line="360" w:lineRule="auto"/>
        <w:rPr>
          <w:color w:val="auto"/>
        </w:rPr>
      </w:pPr>
      <w:r>
        <w:rPr>
          <w:color w:val="auto"/>
        </w:rPr>
        <w:t>xv. C</w:t>
      </w:r>
      <w:r w:rsidR="00663FBB">
        <w:rPr>
          <w:color w:val="auto"/>
        </w:rPr>
        <w:t>omprobantes de pago de nómina BBVA de la primera quincena de junio de dos mil veinticuatro.</w:t>
      </w:r>
    </w:p>
    <w:p w14:paraId="4911F3E2" w14:textId="77777777" w:rsidR="00663FBB" w:rsidRDefault="00663FBB" w:rsidP="00663FBB">
      <w:pPr>
        <w:spacing w:after="0" w:line="360" w:lineRule="auto"/>
        <w:rPr>
          <w:color w:val="auto"/>
        </w:rPr>
      </w:pPr>
    </w:p>
    <w:p w14:paraId="59B4F3FC" w14:textId="33592113" w:rsidR="00663FBB" w:rsidRPr="00464B66" w:rsidRDefault="00663FBB" w:rsidP="00663FBB">
      <w:pPr>
        <w:spacing w:after="0" w:line="360" w:lineRule="auto"/>
        <w:rPr>
          <w:color w:val="auto"/>
        </w:rPr>
      </w:pPr>
      <w:r>
        <w:rPr>
          <w:color w:val="auto"/>
        </w:rPr>
        <w:t>xvi. Reporte de Operaciones de Santander  (Dispersión de Nómina) de la segunda quincena de mayo de dos mil veinticinco.</w:t>
      </w:r>
    </w:p>
    <w:p w14:paraId="0E00F300" w14:textId="77777777" w:rsidR="00663FBB" w:rsidRDefault="00663FBB" w:rsidP="00663FBB">
      <w:pPr>
        <w:spacing w:after="0" w:line="360" w:lineRule="auto"/>
        <w:rPr>
          <w:color w:val="auto"/>
        </w:rPr>
      </w:pPr>
    </w:p>
    <w:p w14:paraId="5577026B" w14:textId="4E02EC3A" w:rsidR="00663FBB" w:rsidRDefault="00663FBB" w:rsidP="00663FBB">
      <w:pPr>
        <w:spacing w:after="0" w:line="360" w:lineRule="auto"/>
        <w:rPr>
          <w:color w:val="auto"/>
        </w:rPr>
      </w:pPr>
      <w:r>
        <w:rPr>
          <w:color w:val="auto"/>
        </w:rPr>
        <w:t xml:space="preserve">xvii. </w:t>
      </w:r>
      <w:r w:rsidR="00337085">
        <w:rPr>
          <w:color w:val="auto"/>
        </w:rPr>
        <w:t>C</w:t>
      </w:r>
      <w:r>
        <w:rPr>
          <w:color w:val="auto"/>
        </w:rPr>
        <w:t>omprobantes de pago de nómina BBVA de la quincena de la segunda quincena de mayo de dos mil veinticinco.</w:t>
      </w:r>
    </w:p>
    <w:p w14:paraId="50C61232" w14:textId="77777777" w:rsidR="00663FBB" w:rsidRDefault="00663FBB" w:rsidP="00663FBB">
      <w:pPr>
        <w:spacing w:after="0" w:line="360" w:lineRule="auto"/>
        <w:rPr>
          <w:color w:val="auto"/>
        </w:rPr>
      </w:pPr>
    </w:p>
    <w:p w14:paraId="5D897431" w14:textId="40318515" w:rsidR="00663FBB" w:rsidRDefault="00EB7EE5" w:rsidP="00663FBB">
      <w:pPr>
        <w:spacing w:after="0" w:line="360" w:lineRule="auto"/>
      </w:pPr>
      <w:r>
        <w:rPr>
          <w:color w:val="auto"/>
        </w:rPr>
        <w:t xml:space="preserve">xviii. Oficio </w:t>
      </w:r>
      <w:r>
        <w:t>SMDIF-TLA/OM/502/2025 del ocho de agosto de dos mil veinticinco, suscrito por la Oficialía Mayor, dirigido al Titular de la Unidad de Transparencia, por medio del cual solicito solicitar a consideración del Comité de Transparencia, la propuesta de la clasificación parcial como confidencial, respecto a determinada información contenida en la Dispersión y conciliación de nómina del personal del Sistema Municipal para el Desarrollo Integral de la Familia de Tlalnepantla De Baz, México, correspondiente al primer y segundo trimestre del dos mil veinticinco.</w:t>
      </w:r>
    </w:p>
    <w:p w14:paraId="7E79805B" w14:textId="77777777" w:rsidR="0059681A" w:rsidRDefault="0059681A" w:rsidP="00663FBB">
      <w:pPr>
        <w:spacing w:after="0" w:line="360" w:lineRule="auto"/>
      </w:pPr>
    </w:p>
    <w:p w14:paraId="163E31BA" w14:textId="231CB1F7" w:rsidR="0059681A" w:rsidRDefault="0059681A" w:rsidP="00663FBB">
      <w:pPr>
        <w:spacing w:after="0" w:line="360" w:lineRule="auto"/>
      </w:pPr>
      <w:r>
        <w:lastRenderedPageBreak/>
        <w:t xml:space="preserve">xiv. </w:t>
      </w:r>
      <w:r w:rsidR="00BC6FAE">
        <w:t xml:space="preserve">Escrito del quince de agosto de dos mil veinticinco, </w:t>
      </w:r>
      <w:r w:rsidR="007D0B4A">
        <w:t>suscrito por el Titular de la Unidad de Transparencia y Protección de Datos Personales, dirigido al solicitante, por medio del cual  se menciona lo siguiente:</w:t>
      </w:r>
    </w:p>
    <w:p w14:paraId="088F40F2" w14:textId="77777777" w:rsidR="00EE785F" w:rsidRDefault="00EE785F" w:rsidP="00663FBB">
      <w:pPr>
        <w:spacing w:after="0" w:line="360" w:lineRule="auto"/>
      </w:pPr>
    </w:p>
    <w:p w14:paraId="1EE411C5" w14:textId="766065A7" w:rsidR="007D0B4A" w:rsidRPr="00EE785F" w:rsidRDefault="00EE785F" w:rsidP="00EE785F">
      <w:pPr>
        <w:spacing w:after="0" w:line="360" w:lineRule="auto"/>
        <w:ind w:left="360"/>
        <w:rPr>
          <w:i/>
          <w:color w:val="auto"/>
          <w:sz w:val="20"/>
          <w:szCs w:val="20"/>
        </w:rPr>
      </w:pPr>
      <w:r w:rsidRPr="00EE785F">
        <w:rPr>
          <w:i/>
          <w:color w:val="auto"/>
          <w:sz w:val="20"/>
          <w:szCs w:val="20"/>
        </w:rPr>
        <w:t xml:space="preserve">“…Sírvase en encontrar en archivo adjunto la respuesta emitida por el órgano Interno de Control, del Sistema Municipal para el Desarrollo Integral de la Familia de Tlalnepantla de Baz, Estado de México; así como el Acuerdo CT/16SO/05/2025 de la Décima Sexta Sesión Ordinaria del Comité Interno de Transparencia, mediante el cual se aprueba la versión pública propuesta por la Unidad Administrativa de mérito, respecto de los documentos con los que se pretende dar respuesta a la solicitud de acceso a la información pública número: 00147/DIFTLALNE/IP/2025…” </w:t>
      </w:r>
    </w:p>
    <w:p w14:paraId="6E38973D" w14:textId="77777777" w:rsidR="001F13D4" w:rsidRDefault="001F13D4" w:rsidP="00004528">
      <w:pPr>
        <w:spacing w:after="0" w:line="360" w:lineRule="auto"/>
        <w:rPr>
          <w:color w:val="auto"/>
        </w:rPr>
      </w:pPr>
    </w:p>
    <w:p w14:paraId="1C585AE7" w14:textId="0203FFD7" w:rsidR="001F13D4" w:rsidRDefault="001F13D4" w:rsidP="00004528">
      <w:pPr>
        <w:spacing w:after="0" w:line="360" w:lineRule="auto"/>
        <w:rPr>
          <w:color w:val="auto"/>
        </w:rPr>
      </w:pPr>
      <w:r>
        <w:rPr>
          <w:color w:val="auto"/>
        </w:rPr>
        <w:t xml:space="preserve">xv. </w:t>
      </w:r>
      <w:r w:rsidR="00447218">
        <w:rPr>
          <w:color w:val="auto"/>
        </w:rPr>
        <w:t>Décima Sexta Sesión Ordinaria del Comité Interno de Transparencia, Acceso a la Información Pública  y Datos Personales del Sistema Municipal para el Desarrollo Integral de la Familia de Tlalnepantla de Baz, del Ejercicio fiscal dos mil veinticinco, en la cual se acordó la versión pública de los documentos remitidos en respuesta, tal como se muestra a continuación:</w:t>
      </w:r>
    </w:p>
    <w:p w14:paraId="61EAB3AA" w14:textId="77777777" w:rsidR="00447218" w:rsidRDefault="00447218" w:rsidP="00004528">
      <w:pPr>
        <w:spacing w:after="0" w:line="360" w:lineRule="auto"/>
        <w:rPr>
          <w:color w:val="auto"/>
        </w:rPr>
      </w:pPr>
    </w:p>
    <w:p w14:paraId="6E7A995E" w14:textId="7FD7DD7F" w:rsidR="00447218" w:rsidRDefault="00447218" w:rsidP="00447218">
      <w:pPr>
        <w:spacing w:after="0" w:line="360" w:lineRule="auto"/>
        <w:jc w:val="center"/>
        <w:rPr>
          <w:color w:val="auto"/>
        </w:rPr>
      </w:pPr>
      <w:r w:rsidRPr="00447218">
        <w:rPr>
          <w:noProof/>
          <w:color w:val="auto"/>
        </w:rPr>
        <w:drawing>
          <wp:inline distT="0" distB="0" distL="0" distR="0" wp14:anchorId="17593C5D" wp14:editId="556D6C90">
            <wp:extent cx="5077534" cy="876422"/>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7534" cy="876422"/>
                    </a:xfrm>
                    <a:prstGeom prst="rect">
                      <a:avLst/>
                    </a:prstGeom>
                  </pic:spPr>
                </pic:pic>
              </a:graphicData>
            </a:graphic>
          </wp:inline>
        </w:drawing>
      </w:r>
    </w:p>
    <w:p w14:paraId="03FB7B6B" w14:textId="4F5F916B" w:rsidR="00447218" w:rsidRPr="00464B66" w:rsidRDefault="00447218" w:rsidP="00447218">
      <w:pPr>
        <w:spacing w:after="0" w:line="360" w:lineRule="auto"/>
        <w:jc w:val="center"/>
        <w:rPr>
          <w:color w:val="auto"/>
        </w:rPr>
      </w:pPr>
      <w:r>
        <w:rPr>
          <w:noProof/>
          <w:color w:val="auto"/>
        </w:rPr>
        <w:drawing>
          <wp:inline distT="0" distB="0" distL="0" distR="0" wp14:anchorId="0E4DABA8" wp14:editId="011B5F0D">
            <wp:extent cx="5057775" cy="89620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9855" cy="898348"/>
                    </a:xfrm>
                    <a:prstGeom prst="rect">
                      <a:avLst/>
                    </a:prstGeom>
                    <a:noFill/>
                  </pic:spPr>
                </pic:pic>
              </a:graphicData>
            </a:graphic>
          </wp:inline>
        </w:drawing>
      </w:r>
    </w:p>
    <w:p w14:paraId="049465DF" w14:textId="77777777" w:rsidR="00916D8D" w:rsidRDefault="00916D8D" w:rsidP="00566723">
      <w:pPr>
        <w:spacing w:after="0" w:line="360" w:lineRule="auto"/>
        <w:rPr>
          <w:color w:val="FF0000"/>
        </w:rPr>
      </w:pPr>
    </w:p>
    <w:p w14:paraId="4C14BF9A" w14:textId="77777777" w:rsidR="00916D8D" w:rsidRDefault="00916D8D" w:rsidP="00566723">
      <w:pPr>
        <w:spacing w:after="0" w:line="360" w:lineRule="auto"/>
        <w:rPr>
          <w:color w:val="FF0000"/>
        </w:rPr>
      </w:pPr>
    </w:p>
    <w:p w14:paraId="2ABAFB70" w14:textId="65C1C3F2" w:rsidR="00DA0371" w:rsidRDefault="00E47D55" w:rsidP="00DA0371">
      <w:pPr>
        <w:spacing w:after="0" w:line="360" w:lineRule="auto"/>
        <w:rPr>
          <w:color w:val="auto"/>
        </w:rPr>
      </w:pPr>
      <w:r>
        <w:rPr>
          <w:color w:val="auto"/>
        </w:rPr>
        <w:lastRenderedPageBreak/>
        <w:t>xv</w:t>
      </w:r>
      <w:r w:rsidR="00DA0371" w:rsidRPr="00464B66">
        <w:rPr>
          <w:color w:val="auto"/>
        </w:rPr>
        <w:t>i. Conciliación de nómina correspondiente a la p</w:t>
      </w:r>
      <w:r w:rsidR="00DA0371">
        <w:rPr>
          <w:color w:val="auto"/>
        </w:rPr>
        <w:t>rimera quincena del mes de enero</w:t>
      </w:r>
      <w:r w:rsidR="00DA0371" w:rsidRPr="00464B66">
        <w:rPr>
          <w:color w:val="auto"/>
        </w:rPr>
        <w:t xml:space="preserve"> de dos mil veinticinco. </w:t>
      </w:r>
    </w:p>
    <w:p w14:paraId="55871B44" w14:textId="77777777" w:rsidR="00E47D55" w:rsidRDefault="00E47D55" w:rsidP="00DA0371">
      <w:pPr>
        <w:spacing w:after="0" w:line="360" w:lineRule="auto"/>
        <w:rPr>
          <w:color w:val="auto"/>
        </w:rPr>
      </w:pPr>
    </w:p>
    <w:p w14:paraId="770BEDE2" w14:textId="60F69A8A" w:rsidR="00E47D55" w:rsidRDefault="00E47D55" w:rsidP="00E47D55">
      <w:pPr>
        <w:spacing w:after="0" w:line="360" w:lineRule="auto"/>
        <w:rPr>
          <w:color w:val="auto"/>
        </w:rPr>
      </w:pPr>
      <w:r>
        <w:rPr>
          <w:color w:val="auto"/>
        </w:rPr>
        <w:t xml:space="preserve">xvii. </w:t>
      </w:r>
      <w:r w:rsidRPr="00464B66">
        <w:rPr>
          <w:color w:val="auto"/>
        </w:rPr>
        <w:t xml:space="preserve">Conciliación de nómina </w:t>
      </w:r>
      <w:r>
        <w:rPr>
          <w:color w:val="auto"/>
        </w:rPr>
        <w:t>correspondiente a la segunda quincena del mes de enero</w:t>
      </w:r>
      <w:r w:rsidRPr="00464B66">
        <w:rPr>
          <w:color w:val="auto"/>
        </w:rPr>
        <w:t xml:space="preserve"> de dos mil veinticinco. </w:t>
      </w:r>
    </w:p>
    <w:p w14:paraId="2048FA45" w14:textId="77777777" w:rsidR="003E5CFD" w:rsidRDefault="003E5CFD" w:rsidP="00E47D55">
      <w:pPr>
        <w:spacing w:after="0" w:line="360" w:lineRule="auto"/>
        <w:rPr>
          <w:color w:val="auto"/>
        </w:rPr>
      </w:pPr>
    </w:p>
    <w:p w14:paraId="6F937A45" w14:textId="68994E01" w:rsidR="003E5CFD" w:rsidRDefault="003E5CFD" w:rsidP="003E5CFD">
      <w:pPr>
        <w:spacing w:after="0" w:line="360" w:lineRule="auto"/>
        <w:rPr>
          <w:color w:val="auto"/>
        </w:rPr>
      </w:pPr>
      <w:r>
        <w:rPr>
          <w:color w:val="auto"/>
        </w:rPr>
        <w:t>xvii</w:t>
      </w:r>
      <w:r w:rsidRPr="00464B66">
        <w:rPr>
          <w:color w:val="auto"/>
        </w:rPr>
        <w:t>i. Conciliación de nómina correspondiente a la p</w:t>
      </w:r>
      <w:r>
        <w:rPr>
          <w:color w:val="auto"/>
        </w:rPr>
        <w:t>rimera quincena del mes de febrero</w:t>
      </w:r>
      <w:r w:rsidRPr="00464B66">
        <w:rPr>
          <w:color w:val="auto"/>
        </w:rPr>
        <w:t xml:space="preserve"> de dos mil veinticinco. </w:t>
      </w:r>
    </w:p>
    <w:p w14:paraId="51CACBF6" w14:textId="77777777" w:rsidR="00325B70" w:rsidRDefault="00325B70" w:rsidP="003E5CFD">
      <w:pPr>
        <w:spacing w:after="0" w:line="360" w:lineRule="auto"/>
        <w:rPr>
          <w:color w:val="auto"/>
        </w:rPr>
      </w:pPr>
    </w:p>
    <w:p w14:paraId="4318D8E8" w14:textId="51197ACD" w:rsidR="00325B70" w:rsidRDefault="00325B70" w:rsidP="00325B70">
      <w:pPr>
        <w:spacing w:after="0" w:line="360" w:lineRule="auto"/>
        <w:rPr>
          <w:color w:val="auto"/>
        </w:rPr>
      </w:pPr>
      <w:r>
        <w:rPr>
          <w:color w:val="auto"/>
        </w:rPr>
        <w:t>x</w:t>
      </w:r>
      <w:r w:rsidRPr="00464B66">
        <w:rPr>
          <w:color w:val="auto"/>
        </w:rPr>
        <w:t>i</w:t>
      </w:r>
      <w:r>
        <w:rPr>
          <w:color w:val="auto"/>
        </w:rPr>
        <w:t>x</w:t>
      </w:r>
      <w:r w:rsidRPr="00464B66">
        <w:rPr>
          <w:color w:val="auto"/>
        </w:rPr>
        <w:t xml:space="preserve">. Conciliación de nómina </w:t>
      </w:r>
      <w:r>
        <w:rPr>
          <w:color w:val="auto"/>
        </w:rPr>
        <w:t>correspondiente a la segunda quincena del mes de febrero</w:t>
      </w:r>
      <w:r w:rsidRPr="00464B66">
        <w:rPr>
          <w:color w:val="auto"/>
        </w:rPr>
        <w:t xml:space="preserve"> de dos mil veinticinco. </w:t>
      </w:r>
    </w:p>
    <w:p w14:paraId="5988F625" w14:textId="77777777" w:rsidR="00325B70" w:rsidRDefault="00325B70" w:rsidP="00325B70">
      <w:pPr>
        <w:spacing w:after="0" w:line="360" w:lineRule="auto"/>
        <w:rPr>
          <w:color w:val="auto"/>
        </w:rPr>
      </w:pPr>
    </w:p>
    <w:p w14:paraId="200551AB" w14:textId="5727067C" w:rsidR="00325B70" w:rsidRDefault="00325B70" w:rsidP="00325B70">
      <w:pPr>
        <w:spacing w:after="0" w:line="360" w:lineRule="auto"/>
        <w:rPr>
          <w:color w:val="auto"/>
        </w:rPr>
      </w:pPr>
      <w:r>
        <w:rPr>
          <w:color w:val="auto"/>
        </w:rPr>
        <w:t xml:space="preserve">xx. </w:t>
      </w:r>
      <w:r w:rsidR="00541D9D" w:rsidRPr="00464B66">
        <w:rPr>
          <w:color w:val="auto"/>
        </w:rPr>
        <w:t>Conciliación de nómina correspondiente a la p</w:t>
      </w:r>
      <w:r w:rsidR="00541D9D">
        <w:rPr>
          <w:color w:val="auto"/>
        </w:rPr>
        <w:t>rimera quincena del mes de marzo</w:t>
      </w:r>
      <w:r w:rsidR="00541D9D" w:rsidRPr="00464B66">
        <w:rPr>
          <w:color w:val="auto"/>
        </w:rPr>
        <w:t xml:space="preserve"> de dos mil veinticinco.</w:t>
      </w:r>
    </w:p>
    <w:p w14:paraId="6C9868F4" w14:textId="77777777" w:rsidR="00541D9D" w:rsidRDefault="00541D9D" w:rsidP="00325B70">
      <w:pPr>
        <w:spacing w:after="0" w:line="360" w:lineRule="auto"/>
        <w:rPr>
          <w:color w:val="auto"/>
        </w:rPr>
      </w:pPr>
    </w:p>
    <w:p w14:paraId="10FA4792" w14:textId="042C0D5E" w:rsidR="00541D9D" w:rsidRDefault="00541D9D" w:rsidP="00541D9D">
      <w:pPr>
        <w:spacing w:after="0" w:line="360" w:lineRule="auto"/>
        <w:rPr>
          <w:color w:val="auto"/>
        </w:rPr>
      </w:pPr>
      <w:r>
        <w:rPr>
          <w:color w:val="auto"/>
        </w:rPr>
        <w:t>xxi</w:t>
      </w:r>
      <w:r w:rsidRPr="00464B66">
        <w:rPr>
          <w:color w:val="auto"/>
        </w:rPr>
        <w:t xml:space="preserve">. Conciliación de nómina </w:t>
      </w:r>
      <w:r>
        <w:rPr>
          <w:color w:val="auto"/>
        </w:rPr>
        <w:t>correspondiente a la segunda quincena del mes de marzo</w:t>
      </w:r>
      <w:r w:rsidRPr="00464B66">
        <w:rPr>
          <w:color w:val="auto"/>
        </w:rPr>
        <w:t xml:space="preserve"> de dos mil veinticinco. </w:t>
      </w:r>
    </w:p>
    <w:p w14:paraId="1AB0EFA7" w14:textId="77777777" w:rsidR="0033112B" w:rsidRDefault="0033112B" w:rsidP="00541D9D">
      <w:pPr>
        <w:spacing w:after="0" w:line="360" w:lineRule="auto"/>
        <w:rPr>
          <w:color w:val="auto"/>
        </w:rPr>
      </w:pPr>
    </w:p>
    <w:p w14:paraId="45E7EA68" w14:textId="3401F7E8" w:rsidR="00AB0A88" w:rsidRDefault="0033112B" w:rsidP="00AB0A88">
      <w:pPr>
        <w:spacing w:after="0" w:line="360" w:lineRule="auto"/>
        <w:rPr>
          <w:color w:val="auto"/>
        </w:rPr>
      </w:pPr>
      <w:r>
        <w:rPr>
          <w:color w:val="auto"/>
        </w:rPr>
        <w:t xml:space="preserve">xxii. </w:t>
      </w:r>
      <w:r w:rsidR="00AB0A88">
        <w:rPr>
          <w:color w:val="auto"/>
        </w:rPr>
        <w:t xml:space="preserve">Reporte de Operaciones de Santander  (Dispersión de Nómina) de la primera quincena de </w:t>
      </w:r>
      <w:r w:rsidR="002D6D1D">
        <w:rPr>
          <w:color w:val="auto"/>
        </w:rPr>
        <w:t>enero</w:t>
      </w:r>
      <w:r w:rsidR="00AB0A88">
        <w:rPr>
          <w:color w:val="auto"/>
        </w:rPr>
        <w:t xml:space="preserve"> de dos mil veinticinco.</w:t>
      </w:r>
    </w:p>
    <w:p w14:paraId="10E69517" w14:textId="729439BA" w:rsidR="0033112B" w:rsidRDefault="0033112B" w:rsidP="00541D9D">
      <w:pPr>
        <w:spacing w:after="0" w:line="360" w:lineRule="auto"/>
        <w:rPr>
          <w:color w:val="auto"/>
        </w:rPr>
      </w:pPr>
    </w:p>
    <w:p w14:paraId="3FB0A92E" w14:textId="3BA45987" w:rsidR="002D6D1D" w:rsidRDefault="00AB0A88" w:rsidP="002D6D1D">
      <w:pPr>
        <w:spacing w:after="0" w:line="360" w:lineRule="auto"/>
        <w:rPr>
          <w:color w:val="auto"/>
        </w:rPr>
      </w:pPr>
      <w:r>
        <w:rPr>
          <w:color w:val="auto"/>
        </w:rPr>
        <w:t>xxii</w:t>
      </w:r>
      <w:r w:rsidR="00851E7F">
        <w:rPr>
          <w:color w:val="auto"/>
        </w:rPr>
        <w:t xml:space="preserve">i. </w:t>
      </w:r>
      <w:r w:rsidR="002D6D1D">
        <w:rPr>
          <w:color w:val="auto"/>
        </w:rPr>
        <w:t>Comprobantes de pago de nómina Santander de la quincena de la primera quincena de enero  de dos mil veinticinco.</w:t>
      </w:r>
    </w:p>
    <w:p w14:paraId="59DE0323" w14:textId="4DACF64E" w:rsidR="00AB0A88" w:rsidRDefault="00AB0A88" w:rsidP="00541D9D">
      <w:pPr>
        <w:spacing w:after="0" w:line="360" w:lineRule="auto"/>
        <w:rPr>
          <w:color w:val="auto"/>
        </w:rPr>
      </w:pPr>
    </w:p>
    <w:p w14:paraId="5EA01AA7" w14:textId="77777777" w:rsidR="00904764" w:rsidRDefault="00904764" w:rsidP="00904764">
      <w:pPr>
        <w:spacing w:after="0" w:line="360" w:lineRule="auto"/>
        <w:rPr>
          <w:color w:val="auto"/>
        </w:rPr>
      </w:pPr>
    </w:p>
    <w:p w14:paraId="3F2B5DD2" w14:textId="7DB0C9C7" w:rsidR="00904764" w:rsidRDefault="00904764" w:rsidP="00904764">
      <w:pPr>
        <w:spacing w:after="0" w:line="360" w:lineRule="auto"/>
        <w:rPr>
          <w:color w:val="auto"/>
        </w:rPr>
      </w:pPr>
      <w:r>
        <w:rPr>
          <w:color w:val="auto"/>
        </w:rPr>
        <w:lastRenderedPageBreak/>
        <w:t>xxiv. Reporte de Operaciones de Santander  (Dispersión de Nómina) de la segunda quincena de enero de dos mil veinticinco.</w:t>
      </w:r>
    </w:p>
    <w:p w14:paraId="7657C3F4" w14:textId="77777777" w:rsidR="00325B70" w:rsidRDefault="00325B70" w:rsidP="00325B70">
      <w:pPr>
        <w:spacing w:after="0" w:line="360" w:lineRule="auto"/>
        <w:rPr>
          <w:color w:val="auto"/>
        </w:rPr>
      </w:pPr>
    </w:p>
    <w:p w14:paraId="33DD6F9B" w14:textId="0D582AAF" w:rsidR="008F5C51" w:rsidRDefault="008F5C51" w:rsidP="008F5C51">
      <w:pPr>
        <w:spacing w:after="0" w:line="360" w:lineRule="auto"/>
        <w:rPr>
          <w:color w:val="auto"/>
        </w:rPr>
      </w:pPr>
      <w:r>
        <w:rPr>
          <w:color w:val="auto"/>
        </w:rPr>
        <w:t>xxv. Reporte de Operaciones de Santander  (Dispersión de Nómina) de la primera quincena de febrero de dos mil veinticinco.</w:t>
      </w:r>
    </w:p>
    <w:p w14:paraId="6BFF7AD9" w14:textId="77777777" w:rsidR="00325B70" w:rsidRDefault="00325B70" w:rsidP="003E5CFD">
      <w:pPr>
        <w:spacing w:after="0" w:line="360" w:lineRule="auto"/>
        <w:rPr>
          <w:color w:val="auto"/>
        </w:rPr>
      </w:pPr>
    </w:p>
    <w:p w14:paraId="0A6A2769" w14:textId="07D49E6B" w:rsidR="00912FD3" w:rsidRDefault="00912FD3" w:rsidP="00912FD3">
      <w:pPr>
        <w:spacing w:after="0" w:line="360" w:lineRule="auto"/>
        <w:rPr>
          <w:color w:val="auto"/>
        </w:rPr>
      </w:pPr>
      <w:r>
        <w:rPr>
          <w:color w:val="auto"/>
        </w:rPr>
        <w:t>xxvi. Reporte de Operaciones de Santander  (Dispersión de Nómina) de la segunda quincena de febrero de dos mil veinticinco.</w:t>
      </w:r>
    </w:p>
    <w:p w14:paraId="0A89F085" w14:textId="77777777" w:rsidR="002C0315" w:rsidRDefault="002C0315" w:rsidP="00912FD3">
      <w:pPr>
        <w:spacing w:after="0" w:line="360" w:lineRule="auto"/>
        <w:rPr>
          <w:color w:val="auto"/>
        </w:rPr>
      </w:pPr>
    </w:p>
    <w:p w14:paraId="0CDCBD03" w14:textId="7202A734" w:rsidR="002C0315" w:rsidRDefault="002C0315" w:rsidP="002C0315">
      <w:pPr>
        <w:spacing w:after="0" w:line="360" w:lineRule="auto"/>
        <w:rPr>
          <w:color w:val="auto"/>
        </w:rPr>
      </w:pPr>
      <w:r>
        <w:rPr>
          <w:color w:val="auto"/>
        </w:rPr>
        <w:t>xxvii. Reporte de Operaciones de Santander  (Dispersión de Nómina) de la primera quincena de marzo de dos mil veinticinco.</w:t>
      </w:r>
    </w:p>
    <w:p w14:paraId="676597B9" w14:textId="77777777" w:rsidR="0079110E" w:rsidRDefault="0079110E" w:rsidP="002C0315">
      <w:pPr>
        <w:spacing w:after="0" w:line="360" w:lineRule="auto"/>
        <w:rPr>
          <w:color w:val="auto"/>
        </w:rPr>
      </w:pPr>
    </w:p>
    <w:p w14:paraId="5B4C00F2" w14:textId="024CE1ED" w:rsidR="0079110E" w:rsidRDefault="0079110E" w:rsidP="0079110E">
      <w:pPr>
        <w:spacing w:after="0" w:line="360" w:lineRule="auto"/>
        <w:rPr>
          <w:color w:val="auto"/>
        </w:rPr>
      </w:pPr>
      <w:r>
        <w:rPr>
          <w:color w:val="auto"/>
        </w:rPr>
        <w:t>xxviii. Reporte de Operaciones de Santander  (Dispersión de Nómina) de la segunda quincena de marzo de dos mil veinticinco.</w:t>
      </w:r>
    </w:p>
    <w:p w14:paraId="68DCC760" w14:textId="4D09D27C" w:rsidR="002C0315" w:rsidRDefault="002C0315" w:rsidP="00912FD3">
      <w:pPr>
        <w:spacing w:after="0" w:line="360" w:lineRule="auto"/>
        <w:rPr>
          <w:color w:val="auto"/>
        </w:rPr>
      </w:pPr>
    </w:p>
    <w:p w14:paraId="141C5F23" w14:textId="33EB54EE" w:rsidR="0079110E" w:rsidRDefault="00E33790" w:rsidP="0079110E">
      <w:pPr>
        <w:spacing w:after="0" w:line="360" w:lineRule="auto"/>
        <w:rPr>
          <w:color w:val="auto"/>
        </w:rPr>
      </w:pPr>
      <w:r>
        <w:rPr>
          <w:color w:val="auto"/>
        </w:rPr>
        <w:t>x</w:t>
      </w:r>
      <w:r w:rsidR="0079110E">
        <w:rPr>
          <w:color w:val="auto"/>
        </w:rPr>
        <w:t>xix. Comprobantes de pago de nómina BBVA de la quincena de la primera quincena de enero de dos mil veinticinco.</w:t>
      </w:r>
    </w:p>
    <w:p w14:paraId="2AB5F7E5" w14:textId="77777777" w:rsidR="003E5CFD" w:rsidRDefault="003E5CFD" w:rsidP="00E47D55">
      <w:pPr>
        <w:spacing w:after="0" w:line="360" w:lineRule="auto"/>
        <w:rPr>
          <w:color w:val="auto"/>
        </w:rPr>
      </w:pPr>
    </w:p>
    <w:p w14:paraId="3AB8937F" w14:textId="276E0D50" w:rsidR="00DA0371" w:rsidRDefault="00E33790" w:rsidP="00DA0371">
      <w:pPr>
        <w:spacing w:after="0" w:line="360" w:lineRule="auto"/>
        <w:rPr>
          <w:color w:val="auto"/>
        </w:rPr>
      </w:pPr>
      <w:r>
        <w:rPr>
          <w:color w:val="auto"/>
        </w:rPr>
        <w:t>xx</w:t>
      </w:r>
      <w:r w:rsidR="0079110E">
        <w:rPr>
          <w:color w:val="auto"/>
        </w:rPr>
        <w:t xml:space="preserve">x. Comprobantes de pago de nómina BBVA de la </w:t>
      </w:r>
      <w:r w:rsidR="00C21E9C">
        <w:rPr>
          <w:color w:val="auto"/>
        </w:rPr>
        <w:t xml:space="preserve">segunda quince de febrero </w:t>
      </w:r>
      <w:r>
        <w:rPr>
          <w:color w:val="auto"/>
        </w:rPr>
        <w:t>de dos mil veinticinco.</w:t>
      </w:r>
    </w:p>
    <w:p w14:paraId="44018E2E" w14:textId="77777777" w:rsidR="00E33790" w:rsidRDefault="00E33790" w:rsidP="00DA0371">
      <w:pPr>
        <w:spacing w:after="0" w:line="360" w:lineRule="auto"/>
        <w:rPr>
          <w:color w:val="auto"/>
        </w:rPr>
      </w:pPr>
    </w:p>
    <w:p w14:paraId="5B3FA6B5" w14:textId="2A6B8EDB" w:rsidR="00E33790" w:rsidRDefault="00E33790" w:rsidP="00E33790">
      <w:pPr>
        <w:spacing w:after="0" w:line="360" w:lineRule="auto"/>
        <w:rPr>
          <w:color w:val="auto"/>
        </w:rPr>
      </w:pPr>
      <w:r>
        <w:rPr>
          <w:color w:val="auto"/>
        </w:rPr>
        <w:t>xxxi. Comprobantes de pago de nómina BBVA de la quincena de la primera quince de febrero de dos mil veinticinco.</w:t>
      </w:r>
    </w:p>
    <w:p w14:paraId="7B5436AE" w14:textId="77777777" w:rsidR="00E33790" w:rsidRDefault="00E33790" w:rsidP="00E33790">
      <w:pPr>
        <w:spacing w:after="0" w:line="360" w:lineRule="auto"/>
        <w:rPr>
          <w:color w:val="auto"/>
        </w:rPr>
      </w:pPr>
    </w:p>
    <w:p w14:paraId="68C2AA38" w14:textId="3437CC7D" w:rsidR="00E33790" w:rsidRDefault="00E33790" w:rsidP="00E33790">
      <w:pPr>
        <w:spacing w:after="0" w:line="360" w:lineRule="auto"/>
        <w:rPr>
          <w:color w:val="auto"/>
        </w:rPr>
      </w:pPr>
      <w:r w:rsidRPr="00E33790">
        <w:rPr>
          <w:color w:val="auto"/>
        </w:rPr>
        <w:lastRenderedPageBreak/>
        <w:t>xxx</w:t>
      </w:r>
      <w:r>
        <w:rPr>
          <w:color w:val="auto"/>
        </w:rPr>
        <w:t>i</w:t>
      </w:r>
      <w:r w:rsidRPr="00E33790">
        <w:rPr>
          <w:color w:val="auto"/>
        </w:rPr>
        <w:t>i. Comprobantes de pago de nómina BBVA de la quincena de la primera quince de marzo de dos mil veinticinco</w:t>
      </w:r>
      <w:r>
        <w:rPr>
          <w:color w:val="auto"/>
        </w:rPr>
        <w:t>.</w:t>
      </w:r>
    </w:p>
    <w:p w14:paraId="55E45904" w14:textId="77777777" w:rsidR="00E33790" w:rsidRDefault="00E33790" w:rsidP="00E33790">
      <w:pPr>
        <w:spacing w:after="0" w:line="360" w:lineRule="auto"/>
        <w:rPr>
          <w:color w:val="auto"/>
        </w:rPr>
      </w:pPr>
    </w:p>
    <w:p w14:paraId="4241486C" w14:textId="77984868" w:rsidR="00E33790" w:rsidRDefault="00E33790" w:rsidP="00E33790">
      <w:pPr>
        <w:spacing w:after="0" w:line="360" w:lineRule="auto"/>
        <w:rPr>
          <w:color w:val="auto"/>
        </w:rPr>
      </w:pPr>
      <w:r w:rsidRPr="00E33790">
        <w:rPr>
          <w:color w:val="auto"/>
        </w:rPr>
        <w:t>xxx</w:t>
      </w:r>
      <w:r>
        <w:rPr>
          <w:color w:val="auto"/>
        </w:rPr>
        <w:t>i</w:t>
      </w:r>
      <w:r w:rsidRPr="00E33790">
        <w:rPr>
          <w:color w:val="auto"/>
        </w:rPr>
        <w:t xml:space="preserve">i. Comprobantes de pago de nómina BBVA de la quincena de la </w:t>
      </w:r>
      <w:r>
        <w:rPr>
          <w:color w:val="auto"/>
        </w:rPr>
        <w:t>segunda</w:t>
      </w:r>
      <w:r w:rsidRPr="00E33790">
        <w:rPr>
          <w:color w:val="auto"/>
        </w:rPr>
        <w:t xml:space="preserve"> quince de marzo de dos mil veinticinco</w:t>
      </w:r>
      <w:r>
        <w:rPr>
          <w:color w:val="auto"/>
        </w:rPr>
        <w:t>.</w:t>
      </w:r>
    </w:p>
    <w:p w14:paraId="5C4E0E32" w14:textId="77777777" w:rsidR="00916D8D" w:rsidRDefault="00916D8D" w:rsidP="00566723">
      <w:pPr>
        <w:spacing w:after="0" w:line="360" w:lineRule="auto"/>
        <w:rPr>
          <w:color w:val="FF0000"/>
        </w:rPr>
      </w:pPr>
    </w:p>
    <w:p w14:paraId="7E7FBB31" w14:textId="33A6A646" w:rsidR="00E22EA8" w:rsidRPr="00265A6B" w:rsidRDefault="002207FA" w:rsidP="00153588">
      <w:pPr>
        <w:pStyle w:val="Ttulo2"/>
        <w:spacing w:before="0" w:after="0" w:line="360" w:lineRule="auto"/>
        <w:rPr>
          <w:color w:val="auto"/>
          <w:sz w:val="22"/>
          <w:szCs w:val="22"/>
        </w:rPr>
      </w:pPr>
      <w:bookmarkStart w:id="3" w:name="_Toc221812051"/>
      <w:r w:rsidRPr="00265A6B">
        <w:rPr>
          <w:color w:val="auto"/>
          <w:sz w:val="22"/>
          <w:szCs w:val="22"/>
        </w:rPr>
        <w:t>I</w:t>
      </w:r>
      <w:r w:rsidR="008E68B6" w:rsidRPr="00265A6B">
        <w:rPr>
          <w:color w:val="auto"/>
          <w:sz w:val="22"/>
          <w:szCs w:val="22"/>
        </w:rPr>
        <w:t>II</w:t>
      </w:r>
      <w:r w:rsidR="00E22EA8" w:rsidRPr="00265A6B">
        <w:rPr>
          <w:color w:val="auto"/>
          <w:sz w:val="22"/>
          <w:szCs w:val="22"/>
        </w:rPr>
        <w:t>. Interposición del Recurso de Revisión</w:t>
      </w:r>
      <w:bookmarkEnd w:id="3"/>
    </w:p>
    <w:p w14:paraId="053D45CF" w14:textId="77777777" w:rsidR="00E22EA8" w:rsidRPr="00265A6B" w:rsidRDefault="00E22EA8" w:rsidP="00153588">
      <w:pPr>
        <w:spacing w:after="0" w:line="360" w:lineRule="auto"/>
        <w:rPr>
          <w:b/>
          <w:color w:val="auto"/>
        </w:rPr>
      </w:pPr>
    </w:p>
    <w:p w14:paraId="355C8CC6" w14:textId="4D06584B" w:rsidR="009C5A71" w:rsidRPr="00265A6B" w:rsidRDefault="00083169" w:rsidP="00153588">
      <w:pPr>
        <w:spacing w:after="0" w:line="360" w:lineRule="auto"/>
        <w:rPr>
          <w:bCs/>
          <w:color w:val="auto"/>
        </w:rPr>
      </w:pPr>
      <w:r w:rsidRPr="00265A6B">
        <w:rPr>
          <w:bCs/>
          <w:color w:val="auto"/>
        </w:rPr>
        <w:t>El</w:t>
      </w:r>
      <w:r w:rsidR="008E5E71" w:rsidRPr="00265A6B">
        <w:rPr>
          <w:bCs/>
          <w:color w:val="auto"/>
        </w:rPr>
        <w:t xml:space="preserve"> </w:t>
      </w:r>
      <w:r w:rsidR="00265A6B" w:rsidRPr="00265A6B">
        <w:rPr>
          <w:color w:val="auto"/>
        </w:rPr>
        <w:t xml:space="preserve">primero de septiembre </w:t>
      </w:r>
      <w:r w:rsidR="008E5E71" w:rsidRPr="00265A6B">
        <w:rPr>
          <w:color w:val="auto"/>
        </w:rPr>
        <w:t>de dos mil</w:t>
      </w:r>
      <w:r w:rsidR="00A51A71" w:rsidRPr="00265A6B">
        <w:rPr>
          <w:color w:val="auto"/>
        </w:rPr>
        <w:t xml:space="preserve"> veinticinco</w:t>
      </w:r>
      <w:r w:rsidR="00E22EA8" w:rsidRPr="00265A6B">
        <w:rPr>
          <w:bCs/>
          <w:color w:val="auto"/>
        </w:rPr>
        <w:t xml:space="preserve">, se recibió en este Instituto, a través del </w:t>
      </w:r>
      <w:r w:rsidR="00E22EA8" w:rsidRPr="00265A6B">
        <w:rPr>
          <w:bCs/>
          <w:color w:val="auto"/>
          <w:lang w:val="es-ES"/>
        </w:rPr>
        <w:t>Sistema de Acceso a la Información Mexiquense (SAIMEX)</w:t>
      </w:r>
      <w:r w:rsidR="00E22EA8" w:rsidRPr="00265A6B">
        <w:rPr>
          <w:bCs/>
          <w:color w:val="auto"/>
        </w:rPr>
        <w:t xml:space="preserve">, </w:t>
      </w:r>
      <w:r w:rsidR="009019A8" w:rsidRPr="00265A6B">
        <w:rPr>
          <w:bCs/>
          <w:color w:val="auto"/>
        </w:rPr>
        <w:t xml:space="preserve">el </w:t>
      </w:r>
      <w:r w:rsidR="00E22EA8" w:rsidRPr="00265A6B">
        <w:rPr>
          <w:bCs/>
          <w:color w:val="auto"/>
        </w:rPr>
        <w:t>Recurso de Revisión interpuesto por la p</w:t>
      </w:r>
      <w:r w:rsidRPr="00265A6B">
        <w:rPr>
          <w:bCs/>
          <w:color w:val="auto"/>
        </w:rPr>
        <w:t>ersona</w:t>
      </w:r>
      <w:r w:rsidR="00E22EA8" w:rsidRPr="00265A6B">
        <w:rPr>
          <w:bCs/>
          <w:color w:val="auto"/>
        </w:rPr>
        <w:t xml:space="preserve"> Recurrente, en contra de la respuesta por el Sujeto Obligado, a la solicitud de información</w:t>
      </w:r>
      <w:r w:rsidR="00F43789" w:rsidRPr="00265A6B">
        <w:rPr>
          <w:rFonts w:eastAsia="Calibri" w:cs="Times New Roman"/>
          <w:color w:val="auto"/>
        </w:rPr>
        <w:t xml:space="preserve">, </w:t>
      </w:r>
      <w:r w:rsidR="00E22EA8" w:rsidRPr="00265A6B">
        <w:rPr>
          <w:bCs/>
          <w:color w:val="auto"/>
        </w:rPr>
        <w:t>en los siguientes términos:</w:t>
      </w:r>
    </w:p>
    <w:p w14:paraId="499DDBDB" w14:textId="77777777" w:rsidR="008E5E71" w:rsidRPr="00F648B2" w:rsidRDefault="008E5E71" w:rsidP="00153588">
      <w:pPr>
        <w:spacing w:after="0" w:line="360" w:lineRule="auto"/>
        <w:ind w:left="567" w:right="567"/>
        <w:rPr>
          <w:b/>
          <w:bCs/>
          <w:i/>
          <w:color w:val="FF0000"/>
          <w:sz w:val="20"/>
          <w:szCs w:val="20"/>
        </w:rPr>
      </w:pPr>
    </w:p>
    <w:p w14:paraId="1B2CCD45" w14:textId="1F34B3A9" w:rsidR="00E22EA8" w:rsidRPr="00265A6B" w:rsidRDefault="00E12804" w:rsidP="00153588">
      <w:pPr>
        <w:spacing w:after="0" w:line="360" w:lineRule="auto"/>
        <w:ind w:left="567" w:right="567"/>
        <w:rPr>
          <w:bCs/>
          <w:i/>
          <w:color w:val="auto"/>
          <w:sz w:val="20"/>
          <w:szCs w:val="20"/>
        </w:rPr>
      </w:pPr>
      <w:r w:rsidRPr="00265A6B">
        <w:rPr>
          <w:b/>
          <w:bCs/>
          <w:i/>
          <w:color w:val="auto"/>
          <w:sz w:val="20"/>
          <w:szCs w:val="20"/>
        </w:rPr>
        <w:t>‘’</w:t>
      </w:r>
      <w:r w:rsidR="00E22EA8" w:rsidRPr="00265A6B">
        <w:rPr>
          <w:b/>
          <w:bCs/>
          <w:i/>
          <w:color w:val="auto"/>
          <w:sz w:val="20"/>
          <w:szCs w:val="20"/>
        </w:rPr>
        <w:t>ACTO IMPUGNADO</w:t>
      </w:r>
    </w:p>
    <w:p w14:paraId="20CB87D1" w14:textId="53611E2F" w:rsidR="00E22EA8" w:rsidRPr="00265A6B" w:rsidRDefault="00265A6B" w:rsidP="00153588">
      <w:pPr>
        <w:spacing w:after="0" w:line="360" w:lineRule="auto"/>
        <w:ind w:left="567" w:right="567"/>
        <w:rPr>
          <w:i/>
          <w:iCs/>
          <w:color w:val="auto"/>
          <w:sz w:val="20"/>
          <w:szCs w:val="20"/>
        </w:rPr>
      </w:pPr>
      <w:r w:rsidRPr="00265A6B">
        <w:rPr>
          <w:i/>
          <w:iCs/>
          <w:color w:val="auto"/>
          <w:sz w:val="20"/>
          <w:szCs w:val="20"/>
        </w:rPr>
        <w:t>Oficio</w:t>
      </w:r>
      <w:r w:rsidR="00E22EA8" w:rsidRPr="00265A6B">
        <w:rPr>
          <w:i/>
          <w:iCs/>
          <w:color w:val="auto"/>
          <w:sz w:val="20"/>
          <w:szCs w:val="20"/>
        </w:rPr>
        <w:t>”</w:t>
      </w:r>
      <w:r w:rsidR="002D6CA6" w:rsidRPr="00265A6B">
        <w:rPr>
          <w:i/>
          <w:iCs/>
          <w:color w:val="auto"/>
          <w:sz w:val="20"/>
          <w:szCs w:val="20"/>
        </w:rPr>
        <w:t xml:space="preserve"> (Sic.)</w:t>
      </w:r>
    </w:p>
    <w:p w14:paraId="3B2615CC" w14:textId="77777777" w:rsidR="00E22EA8" w:rsidRPr="00265A6B" w:rsidRDefault="00E22EA8" w:rsidP="00153588">
      <w:pPr>
        <w:spacing w:after="0" w:line="360" w:lineRule="auto"/>
        <w:ind w:left="567" w:right="567"/>
        <w:rPr>
          <w:i/>
          <w:color w:val="auto"/>
          <w:sz w:val="20"/>
          <w:szCs w:val="20"/>
        </w:rPr>
      </w:pPr>
    </w:p>
    <w:p w14:paraId="3F1F07C7" w14:textId="49F2AE96" w:rsidR="00E22EA8" w:rsidRPr="00265A6B" w:rsidRDefault="00E12804" w:rsidP="00153588">
      <w:pPr>
        <w:spacing w:after="0" w:line="360" w:lineRule="auto"/>
        <w:ind w:left="567" w:right="567"/>
        <w:rPr>
          <w:b/>
          <w:i/>
          <w:color w:val="auto"/>
          <w:sz w:val="20"/>
          <w:szCs w:val="20"/>
        </w:rPr>
      </w:pPr>
      <w:r w:rsidRPr="00265A6B">
        <w:rPr>
          <w:b/>
          <w:i/>
          <w:color w:val="auto"/>
          <w:sz w:val="20"/>
          <w:szCs w:val="20"/>
        </w:rPr>
        <w:t>‘’</w:t>
      </w:r>
      <w:r w:rsidR="00E22EA8" w:rsidRPr="00265A6B">
        <w:rPr>
          <w:b/>
          <w:i/>
          <w:color w:val="auto"/>
          <w:sz w:val="20"/>
          <w:szCs w:val="20"/>
        </w:rPr>
        <w:t>RAZONES O MOTIVOS DE LA INCONFORMIDAD</w:t>
      </w:r>
    </w:p>
    <w:p w14:paraId="31B716B5" w14:textId="760C9DE6" w:rsidR="00E12804" w:rsidRPr="00265A6B" w:rsidRDefault="00265A6B" w:rsidP="00153588">
      <w:pPr>
        <w:spacing w:after="0" w:line="360" w:lineRule="auto"/>
        <w:ind w:left="567" w:right="567"/>
        <w:rPr>
          <w:i/>
          <w:iCs/>
          <w:color w:val="auto"/>
          <w:sz w:val="20"/>
          <w:szCs w:val="20"/>
        </w:rPr>
      </w:pPr>
      <w:r w:rsidRPr="00265A6B">
        <w:rPr>
          <w:i/>
          <w:iCs/>
          <w:color w:val="auto"/>
          <w:sz w:val="20"/>
          <w:szCs w:val="20"/>
        </w:rPr>
        <w:t>No remiten lo solicitado, ya que mandan incompleto</w:t>
      </w:r>
      <w:r w:rsidR="003C5F59" w:rsidRPr="00265A6B">
        <w:rPr>
          <w:i/>
          <w:iCs/>
          <w:color w:val="auto"/>
          <w:sz w:val="20"/>
          <w:szCs w:val="20"/>
        </w:rPr>
        <w:t>”</w:t>
      </w:r>
      <w:r w:rsidR="002D6CA6" w:rsidRPr="00265A6B">
        <w:rPr>
          <w:i/>
          <w:iCs/>
          <w:color w:val="auto"/>
          <w:sz w:val="20"/>
          <w:szCs w:val="20"/>
        </w:rPr>
        <w:t xml:space="preserve"> (Sic.)</w:t>
      </w:r>
    </w:p>
    <w:p w14:paraId="3111F1DF" w14:textId="77777777" w:rsidR="00A9319B" w:rsidRPr="00F648B2" w:rsidRDefault="00A9319B" w:rsidP="00153588">
      <w:pPr>
        <w:spacing w:after="0" w:line="360" w:lineRule="auto"/>
        <w:ind w:right="567"/>
        <w:rPr>
          <w:i/>
          <w:color w:val="FF0000"/>
          <w:sz w:val="20"/>
          <w:szCs w:val="20"/>
        </w:rPr>
      </w:pPr>
    </w:p>
    <w:p w14:paraId="009DB65C" w14:textId="1B4598E8" w:rsidR="00E22EA8" w:rsidRPr="002B0A85" w:rsidRDefault="008E68B6" w:rsidP="00153588">
      <w:pPr>
        <w:pStyle w:val="Ttulo2"/>
        <w:spacing w:before="0" w:after="0" w:line="360" w:lineRule="auto"/>
        <w:rPr>
          <w:color w:val="auto"/>
          <w:sz w:val="22"/>
          <w:szCs w:val="22"/>
        </w:rPr>
      </w:pPr>
      <w:bookmarkStart w:id="4" w:name="_Toc221812052"/>
      <w:r w:rsidRPr="002B0A85">
        <w:rPr>
          <w:color w:val="auto"/>
          <w:sz w:val="22"/>
          <w:szCs w:val="22"/>
        </w:rPr>
        <w:t>I</w:t>
      </w:r>
      <w:r w:rsidR="00E22EA8" w:rsidRPr="002B0A85">
        <w:rPr>
          <w:color w:val="auto"/>
          <w:sz w:val="22"/>
          <w:szCs w:val="22"/>
        </w:rPr>
        <w:t>V. Trámite del Recurso de Revisión ante este Instituto</w:t>
      </w:r>
      <w:bookmarkEnd w:id="4"/>
    </w:p>
    <w:p w14:paraId="5C9B63F8" w14:textId="77777777" w:rsidR="009B2DAB" w:rsidRPr="00F648B2" w:rsidRDefault="009B2DAB" w:rsidP="00153588">
      <w:pPr>
        <w:spacing w:after="0" w:line="360" w:lineRule="auto"/>
        <w:rPr>
          <w:b/>
          <w:bCs/>
          <w:color w:val="FF0000"/>
        </w:rPr>
      </w:pPr>
    </w:p>
    <w:p w14:paraId="173768ED" w14:textId="72CAA10E" w:rsidR="00E22EA8" w:rsidRPr="002B0A85" w:rsidRDefault="00E22EA8" w:rsidP="00153588">
      <w:pPr>
        <w:spacing w:after="0" w:line="360" w:lineRule="auto"/>
        <w:rPr>
          <w:bCs/>
          <w:color w:val="auto"/>
        </w:rPr>
      </w:pPr>
      <w:r w:rsidRPr="002B0A85">
        <w:rPr>
          <w:b/>
          <w:bCs/>
          <w:color w:val="auto"/>
        </w:rPr>
        <w:t>a) Turno del Medio de Impugnación.</w:t>
      </w:r>
      <w:r w:rsidR="000A706F" w:rsidRPr="002B0A85">
        <w:rPr>
          <w:bCs/>
          <w:color w:val="auto"/>
        </w:rPr>
        <w:t xml:space="preserve"> </w:t>
      </w:r>
      <w:r w:rsidR="003C5F59" w:rsidRPr="002B0A85">
        <w:rPr>
          <w:bCs/>
          <w:color w:val="auto"/>
        </w:rPr>
        <w:t>El</w:t>
      </w:r>
      <w:r w:rsidR="002B0A85" w:rsidRPr="002B0A85">
        <w:rPr>
          <w:bCs/>
          <w:color w:val="auto"/>
        </w:rPr>
        <w:t xml:space="preserve"> primero de septiembre</w:t>
      </w:r>
      <w:r w:rsidRPr="002B0A85">
        <w:rPr>
          <w:bCs/>
          <w:color w:val="auto"/>
        </w:rPr>
        <w:t xml:space="preserve">, el </w:t>
      </w:r>
      <w:r w:rsidRPr="002B0A85">
        <w:rPr>
          <w:color w:val="auto"/>
          <w:lang w:val="es-ES"/>
        </w:rPr>
        <w:t>Sistema de Acceso a la Información Mexiquense (SAIMEX),</w:t>
      </w:r>
      <w:r w:rsidRPr="002B0A85">
        <w:rPr>
          <w:bCs/>
          <w:color w:val="auto"/>
        </w:rPr>
        <w:t xml:space="preserve"> asignó el número de expediente </w:t>
      </w:r>
      <w:r w:rsidR="002B0A85" w:rsidRPr="002B0A85">
        <w:rPr>
          <w:b/>
          <w:bCs/>
          <w:color w:val="auto"/>
        </w:rPr>
        <w:t>10311</w:t>
      </w:r>
      <w:r w:rsidR="000D392E" w:rsidRPr="002B0A85">
        <w:rPr>
          <w:b/>
          <w:bCs/>
          <w:color w:val="auto"/>
        </w:rPr>
        <w:t>/INFOEM/IP/RR/2025</w:t>
      </w:r>
      <w:r w:rsidRPr="002B0A85">
        <w:rPr>
          <w:bCs/>
          <w:color w:val="auto"/>
        </w:rPr>
        <w:t xml:space="preserve">, al medio de impugnación que nos ocupa, con base en el sistema aprobado por el Pleno de este </w:t>
      </w:r>
      <w:r w:rsidR="00B65BCA" w:rsidRPr="002B0A85">
        <w:rPr>
          <w:bCs/>
          <w:color w:val="auto"/>
        </w:rPr>
        <w:t>Organismo</w:t>
      </w:r>
      <w:r w:rsidRPr="002B0A85">
        <w:rPr>
          <w:bCs/>
          <w:color w:val="auto"/>
        </w:rPr>
        <w:t xml:space="preserve"> Garante y lo turnó al Comisionado Ponente Luis </w:t>
      </w:r>
      <w:r w:rsidRPr="002B0A85">
        <w:rPr>
          <w:bCs/>
          <w:color w:val="auto"/>
        </w:rPr>
        <w:lastRenderedPageBreak/>
        <w:t>Gustavo Parra Noriega, para los efectos del artículo 185, fracción I de la Ley de Transparencia y Acceso a la Información Pública del Estado de México y Municipios.</w:t>
      </w:r>
    </w:p>
    <w:p w14:paraId="443F3CFF" w14:textId="77777777" w:rsidR="00253A88" w:rsidRPr="00F648B2" w:rsidRDefault="00253A88" w:rsidP="00153588">
      <w:pPr>
        <w:spacing w:after="0" w:line="360" w:lineRule="auto"/>
        <w:rPr>
          <w:bCs/>
          <w:color w:val="FF0000"/>
        </w:rPr>
      </w:pPr>
    </w:p>
    <w:p w14:paraId="61891480" w14:textId="3A6A4AC8" w:rsidR="00E22EA8" w:rsidRPr="002B0A85" w:rsidRDefault="00E22EA8" w:rsidP="00153588">
      <w:pPr>
        <w:spacing w:after="0" w:line="360" w:lineRule="auto"/>
        <w:rPr>
          <w:color w:val="auto"/>
        </w:rPr>
      </w:pPr>
      <w:r w:rsidRPr="002B0A85">
        <w:rPr>
          <w:b/>
          <w:bCs/>
          <w:color w:val="auto"/>
        </w:rPr>
        <w:t>b) Admisión del Recurso de Revisión</w:t>
      </w:r>
      <w:r w:rsidRPr="002B0A85">
        <w:rPr>
          <w:b/>
          <w:bCs/>
          <w:color w:val="auto"/>
          <w:lang w:val="es-ES_tradnl"/>
        </w:rPr>
        <w:t xml:space="preserve">. </w:t>
      </w:r>
      <w:r w:rsidR="003C5F59" w:rsidRPr="002B0A85">
        <w:rPr>
          <w:color w:val="auto"/>
        </w:rPr>
        <w:t xml:space="preserve">El </w:t>
      </w:r>
      <w:r w:rsidR="002B0A85" w:rsidRPr="002B0A85">
        <w:rPr>
          <w:color w:val="auto"/>
        </w:rPr>
        <w:t xml:space="preserve">cuatro de septiembre </w:t>
      </w:r>
      <w:r w:rsidR="00E64E18" w:rsidRPr="002B0A85">
        <w:rPr>
          <w:color w:val="auto"/>
        </w:rPr>
        <w:t>de dos mil veinticinco</w:t>
      </w:r>
      <w:r w:rsidRPr="002B0A85">
        <w:rPr>
          <w:bCs/>
          <w:color w:val="auto"/>
          <w:lang w:val="es-ES_tradnl"/>
        </w:rPr>
        <w:t xml:space="preserve">, se acordó la admisión del Recurso de Revisión interpuesto por </w:t>
      </w:r>
      <w:r w:rsidR="00261B92" w:rsidRPr="002B0A85">
        <w:rPr>
          <w:bCs/>
          <w:color w:val="auto"/>
          <w:lang w:val="es-ES_tradnl"/>
        </w:rPr>
        <w:t>la persona</w:t>
      </w:r>
      <w:r w:rsidRPr="002B0A85">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B0A85">
        <w:rPr>
          <w:bCs/>
          <w:color w:val="auto"/>
          <w:lang w:val="es-ES_tradnl"/>
        </w:rPr>
        <w:t>el</w:t>
      </w:r>
      <w:r w:rsidR="007C4D4E" w:rsidRPr="002B0A85">
        <w:rPr>
          <w:bCs/>
          <w:color w:val="auto"/>
          <w:lang w:val="es-ES_tradnl"/>
        </w:rPr>
        <w:t xml:space="preserve"> mismo día</w:t>
      </w:r>
      <w:r w:rsidRPr="002B0A85">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648B2" w:rsidRDefault="00E22EA8" w:rsidP="00153588">
      <w:pPr>
        <w:spacing w:after="0" w:line="360" w:lineRule="auto"/>
        <w:rPr>
          <w:rFonts w:cs="Tahoma"/>
          <w:color w:val="FF0000"/>
          <w:lang w:val="es-ES_tradnl"/>
        </w:rPr>
      </w:pPr>
    </w:p>
    <w:p w14:paraId="1717496D" w14:textId="3D174269" w:rsidR="00AD39C3" w:rsidRPr="002B0A85" w:rsidRDefault="000410E6" w:rsidP="00AD39C3">
      <w:pPr>
        <w:spacing w:after="0" w:line="360" w:lineRule="auto"/>
        <w:rPr>
          <w:color w:val="auto"/>
        </w:rPr>
      </w:pPr>
      <w:r w:rsidRPr="002B0A85">
        <w:rPr>
          <w:b/>
          <w:color w:val="auto"/>
        </w:rPr>
        <w:t>c) Informe Justificado</w:t>
      </w:r>
      <w:r w:rsidR="00364788" w:rsidRPr="002B0A85">
        <w:rPr>
          <w:b/>
          <w:color w:val="auto"/>
        </w:rPr>
        <w:t xml:space="preserve">. </w:t>
      </w:r>
      <w:r w:rsidR="00AD39C3" w:rsidRPr="002B0A85">
        <w:rPr>
          <w:color w:val="auto"/>
        </w:rPr>
        <w:t xml:space="preserve">El </w:t>
      </w:r>
      <w:r w:rsidR="002B0A85" w:rsidRPr="002B0A85">
        <w:rPr>
          <w:color w:val="auto"/>
        </w:rPr>
        <w:t>once</w:t>
      </w:r>
      <w:r w:rsidR="00210408" w:rsidRPr="002B0A85">
        <w:rPr>
          <w:color w:val="auto"/>
        </w:rPr>
        <w:t xml:space="preserve"> de septiembre</w:t>
      </w:r>
      <w:r w:rsidR="00AD39C3" w:rsidRPr="002B0A85">
        <w:rPr>
          <w:color w:val="auto"/>
        </w:rPr>
        <w:t xml:space="preserve"> de dos mil veinticinco, se recibió, a través del Sistema de Acceso a la Información Mexiquense (SAIMEX), el Informe Justificado del Sujeto Obligado, a través de los documentos siguientes:</w:t>
      </w:r>
    </w:p>
    <w:p w14:paraId="73688C6C" w14:textId="77777777" w:rsidR="00AD39C3" w:rsidRPr="00F648B2" w:rsidRDefault="00AD39C3" w:rsidP="00AD39C3">
      <w:pPr>
        <w:spacing w:after="0" w:line="360" w:lineRule="auto"/>
        <w:rPr>
          <w:color w:val="FF0000"/>
        </w:rPr>
      </w:pPr>
    </w:p>
    <w:p w14:paraId="67BCE076" w14:textId="2C78A52A" w:rsidR="003A0D06" w:rsidRPr="003A0D06" w:rsidRDefault="00457287" w:rsidP="00AD39C3">
      <w:pPr>
        <w:spacing w:after="0" w:line="360" w:lineRule="auto"/>
      </w:pPr>
      <w:r w:rsidRPr="002B0A85">
        <w:rPr>
          <w:color w:val="auto"/>
        </w:rPr>
        <w:t xml:space="preserve">i. </w:t>
      </w:r>
      <w:r w:rsidR="002B0A85" w:rsidRPr="002B0A85">
        <w:rPr>
          <w:color w:val="auto"/>
        </w:rPr>
        <w:t>Oficio SMDIF-TLA/OM/570/2025</w:t>
      </w:r>
      <w:r w:rsidR="004C66E6">
        <w:rPr>
          <w:color w:val="auto"/>
        </w:rPr>
        <w:t xml:space="preserve"> del cuatro de septiembre de dos mil veinticinco</w:t>
      </w:r>
      <w:r w:rsidR="003A0D06">
        <w:rPr>
          <w:color w:val="auto"/>
        </w:rPr>
        <w:t xml:space="preserve">, suscrito por el Oficial Mayor, dirigido al Titular de la Unidad de Transparencia, por medio del cual se solicita se </w:t>
      </w:r>
      <w:r w:rsidR="003A0D06">
        <w:t xml:space="preserve">someta a la consideración del Comité de Transparencia, la propuesta de la clasificación parcial como confidencial, respecto a la información que da respuesta a la solicitud con número de folio 000161/DIFTLALNE/IP/2025. </w:t>
      </w:r>
      <w:r w:rsidR="003A0D06" w:rsidRPr="00337085">
        <w:t>(Por lo que no se puso a la vista del Particular)</w:t>
      </w:r>
    </w:p>
    <w:p w14:paraId="50C8F903" w14:textId="77777777" w:rsidR="003A0D06" w:rsidRPr="002B0A85" w:rsidRDefault="003A0D06" w:rsidP="00AD39C3">
      <w:pPr>
        <w:spacing w:after="0" w:line="360" w:lineRule="auto"/>
        <w:rPr>
          <w:color w:val="auto"/>
        </w:rPr>
      </w:pPr>
    </w:p>
    <w:p w14:paraId="310C2A9A" w14:textId="70904BF1" w:rsidR="003A0D06" w:rsidRDefault="003A0D06" w:rsidP="003A0D06">
      <w:pPr>
        <w:spacing w:after="0" w:line="360" w:lineRule="auto"/>
        <w:rPr>
          <w:color w:val="auto"/>
        </w:rPr>
      </w:pPr>
      <w:r w:rsidRPr="003A0D06">
        <w:rPr>
          <w:color w:val="auto"/>
        </w:rPr>
        <w:t>ii. Conciliación de nómina correspondiente a la primera quincena del mes de julio de dos mil veinticinco.</w:t>
      </w:r>
    </w:p>
    <w:p w14:paraId="68348270" w14:textId="5A5BD9E0" w:rsidR="003A0D06" w:rsidRDefault="003A0D06" w:rsidP="003A0D06">
      <w:pPr>
        <w:spacing w:after="0" w:line="360" w:lineRule="auto"/>
        <w:rPr>
          <w:color w:val="auto"/>
        </w:rPr>
      </w:pPr>
      <w:r>
        <w:rPr>
          <w:color w:val="auto"/>
        </w:rPr>
        <w:lastRenderedPageBreak/>
        <w:t xml:space="preserve">iii. Reporte de Operaciones de Santander  (Dispersión de Nómina) de la primera quincena </w:t>
      </w:r>
      <w:r w:rsidR="00337085">
        <w:rPr>
          <w:color w:val="auto"/>
        </w:rPr>
        <w:t>de julio de dos mil veinticinco (Los cuales no se pusieron a la vista  del Particular por estar mal testados)</w:t>
      </w:r>
    </w:p>
    <w:p w14:paraId="286E0F48" w14:textId="77777777" w:rsidR="003A0D06" w:rsidRDefault="003A0D06" w:rsidP="003A0D06">
      <w:pPr>
        <w:spacing w:after="0" w:line="360" w:lineRule="auto"/>
        <w:rPr>
          <w:color w:val="auto"/>
        </w:rPr>
      </w:pPr>
    </w:p>
    <w:p w14:paraId="53310C71" w14:textId="3F4C11D6" w:rsidR="003A0D06" w:rsidRDefault="003A0D06" w:rsidP="003A0D06">
      <w:pPr>
        <w:spacing w:after="0" w:line="360" w:lineRule="auto"/>
        <w:rPr>
          <w:color w:val="auto"/>
        </w:rPr>
      </w:pPr>
      <w:r w:rsidRPr="00E33790">
        <w:rPr>
          <w:color w:val="auto"/>
        </w:rPr>
        <w:t>i</w:t>
      </w:r>
      <w:r>
        <w:rPr>
          <w:color w:val="auto"/>
        </w:rPr>
        <w:t>v</w:t>
      </w:r>
      <w:r w:rsidRPr="00E33790">
        <w:rPr>
          <w:color w:val="auto"/>
        </w:rPr>
        <w:t xml:space="preserve">. Comprobantes de pago de nómina BBVA de la quincena de la primera quince de </w:t>
      </w:r>
      <w:r>
        <w:rPr>
          <w:color w:val="auto"/>
        </w:rPr>
        <w:t xml:space="preserve">julio </w:t>
      </w:r>
      <w:r w:rsidRPr="00E33790">
        <w:rPr>
          <w:color w:val="auto"/>
        </w:rPr>
        <w:t>de dos mil veinticinco</w:t>
      </w:r>
      <w:r>
        <w:rPr>
          <w:color w:val="auto"/>
        </w:rPr>
        <w:t>.</w:t>
      </w:r>
      <w:r w:rsidR="00337085">
        <w:rPr>
          <w:color w:val="auto"/>
        </w:rPr>
        <w:t xml:space="preserve"> (Los cuales no se pusieron a la vista  del Particular por estar mal testados)</w:t>
      </w:r>
    </w:p>
    <w:p w14:paraId="2194E57C" w14:textId="77777777" w:rsidR="003A0D06" w:rsidRDefault="003A0D06" w:rsidP="003A0D06">
      <w:pPr>
        <w:spacing w:after="0" w:line="360" w:lineRule="auto"/>
        <w:rPr>
          <w:color w:val="auto"/>
        </w:rPr>
      </w:pPr>
    </w:p>
    <w:p w14:paraId="7CB6BE90" w14:textId="0E145311" w:rsidR="00401670" w:rsidRDefault="00401670" w:rsidP="003A0D06">
      <w:pPr>
        <w:spacing w:after="0" w:line="360" w:lineRule="auto"/>
        <w:rPr>
          <w:color w:val="auto"/>
        </w:rPr>
      </w:pPr>
      <w:r>
        <w:rPr>
          <w:color w:val="auto"/>
        </w:rPr>
        <w:t xml:space="preserve">v. Décima Octava Sesión Ordinaria del Comité de Transparencia, Acceso a la Información Pública y Protección de Datos Personales del Sistema Municipal para el Desarrollo Integral de la Familia de Tlalnepantla de Baz, ejercicio dos mil veinticinco, por medio de la cual se aprobó la versión pública </w:t>
      </w:r>
      <w:r w:rsidR="00F72AEB">
        <w:rPr>
          <w:color w:val="auto"/>
        </w:rPr>
        <w:t>de los documentos que dan respuesta al Recurso de Revisión que nos ocupa, tal como se muestra a continuación:</w:t>
      </w:r>
    </w:p>
    <w:p w14:paraId="2F055B96" w14:textId="77777777" w:rsidR="00F72AEB" w:rsidRDefault="00F72AEB" w:rsidP="003A0D06">
      <w:pPr>
        <w:spacing w:after="0" w:line="360" w:lineRule="auto"/>
        <w:rPr>
          <w:color w:val="auto"/>
        </w:rPr>
      </w:pPr>
    </w:p>
    <w:p w14:paraId="41BCCFE0" w14:textId="4BE27A75" w:rsidR="00F72AEB" w:rsidRPr="003A0D06" w:rsidRDefault="00F72AEB" w:rsidP="00F72AEB">
      <w:pPr>
        <w:spacing w:after="0" w:line="360" w:lineRule="auto"/>
        <w:jc w:val="center"/>
        <w:rPr>
          <w:color w:val="auto"/>
        </w:rPr>
      </w:pPr>
      <w:r w:rsidRPr="00F72AEB">
        <w:rPr>
          <w:noProof/>
          <w:color w:val="auto"/>
        </w:rPr>
        <w:drawing>
          <wp:inline distT="0" distB="0" distL="0" distR="0" wp14:anchorId="4A80C50D" wp14:editId="491468CD">
            <wp:extent cx="5382376" cy="876422"/>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2376" cy="876422"/>
                    </a:xfrm>
                    <a:prstGeom prst="rect">
                      <a:avLst/>
                    </a:prstGeom>
                  </pic:spPr>
                </pic:pic>
              </a:graphicData>
            </a:graphic>
          </wp:inline>
        </w:drawing>
      </w:r>
    </w:p>
    <w:p w14:paraId="08F00733" w14:textId="67DCC3A3" w:rsidR="00AD39C3" w:rsidRDefault="00F72AEB" w:rsidP="00F72AEB">
      <w:pPr>
        <w:spacing w:after="0" w:line="360" w:lineRule="auto"/>
        <w:jc w:val="center"/>
        <w:rPr>
          <w:color w:val="FF0000"/>
        </w:rPr>
      </w:pPr>
      <w:r>
        <w:rPr>
          <w:noProof/>
          <w:color w:val="FF0000"/>
        </w:rPr>
        <w:drawing>
          <wp:inline distT="0" distB="0" distL="0" distR="0" wp14:anchorId="79128DD3" wp14:editId="4DEF13F0">
            <wp:extent cx="5401310" cy="81915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310" cy="819150"/>
                    </a:xfrm>
                    <a:prstGeom prst="rect">
                      <a:avLst/>
                    </a:prstGeom>
                    <a:noFill/>
                  </pic:spPr>
                </pic:pic>
              </a:graphicData>
            </a:graphic>
          </wp:inline>
        </w:drawing>
      </w:r>
    </w:p>
    <w:p w14:paraId="31C692E9" w14:textId="77777777" w:rsidR="00364788" w:rsidRPr="00F648B2" w:rsidRDefault="00364788" w:rsidP="00153588">
      <w:pPr>
        <w:spacing w:after="0" w:line="360" w:lineRule="auto"/>
        <w:rPr>
          <w:color w:val="FF0000"/>
        </w:rPr>
      </w:pPr>
    </w:p>
    <w:p w14:paraId="24C398FA" w14:textId="14873FC9" w:rsidR="000B20C2" w:rsidRDefault="00C27868" w:rsidP="00153588">
      <w:pPr>
        <w:spacing w:after="0" w:line="360" w:lineRule="auto"/>
        <w:rPr>
          <w:color w:val="auto"/>
        </w:rPr>
      </w:pPr>
      <w:r>
        <w:rPr>
          <w:b/>
          <w:color w:val="auto"/>
        </w:rPr>
        <w:t>d</w:t>
      </w:r>
      <w:r w:rsidR="00364788" w:rsidRPr="00A6209E">
        <w:rPr>
          <w:b/>
          <w:color w:val="auto"/>
        </w:rPr>
        <w:t>) Ampliación de plazo para resolver.</w:t>
      </w:r>
      <w:r w:rsidR="00364788" w:rsidRPr="00A6209E">
        <w:rPr>
          <w:color w:val="auto"/>
        </w:rPr>
        <w:t xml:space="preserve"> El</w:t>
      </w:r>
      <w:r w:rsidR="00A6209E" w:rsidRPr="00A6209E">
        <w:rPr>
          <w:color w:val="auto"/>
        </w:rPr>
        <w:t xml:space="preserve"> tres de febrero de dos mil veintiséis</w:t>
      </w:r>
      <w:r w:rsidR="00364788" w:rsidRPr="00A6209E">
        <w:rPr>
          <w:color w:val="auto"/>
        </w:rPr>
        <w:t>, el Comisionado Ponente, con fundamento en lo dispuesto por el artículo 181, párrafo tercero, de la Ley de Transparencia y Acceso a la Información Pública del Estado de México y Municipios, acordó ampliar por un periodo</w:t>
      </w:r>
      <w:r w:rsidR="00861536" w:rsidRPr="00A6209E">
        <w:rPr>
          <w:color w:val="auto"/>
        </w:rPr>
        <w:t xml:space="preserve"> </w:t>
      </w:r>
      <w:r w:rsidR="009A619E" w:rsidRPr="00A6209E">
        <w:rPr>
          <w:color w:val="auto"/>
        </w:rPr>
        <w:t>razonable</w:t>
      </w:r>
      <w:r w:rsidR="00364788" w:rsidRPr="00A6209E">
        <w:rPr>
          <w:color w:val="auto"/>
        </w:rPr>
        <w:t xml:space="preserve">, el plazo para resolver el Recurso de </w:t>
      </w:r>
      <w:r w:rsidR="00364788" w:rsidRPr="00A6209E">
        <w:rPr>
          <w:color w:val="auto"/>
        </w:rPr>
        <w:lastRenderedPageBreak/>
        <w:t>Revisión que nos ocupa; acto que fue notificado a las partes el mismo día, mediante el Sistema de Acceso a la Información Mexiquense (SAIMEX).</w:t>
      </w:r>
    </w:p>
    <w:p w14:paraId="0A1E21B0" w14:textId="77777777" w:rsidR="00C27868" w:rsidRDefault="00C27868" w:rsidP="00153588">
      <w:pPr>
        <w:spacing w:after="0" w:line="360" w:lineRule="auto"/>
        <w:rPr>
          <w:color w:val="auto"/>
        </w:rPr>
      </w:pPr>
    </w:p>
    <w:p w14:paraId="33E5D726" w14:textId="07D4CF37" w:rsidR="00C27868" w:rsidRPr="00F648B2" w:rsidRDefault="00C27868" w:rsidP="00C27868">
      <w:pPr>
        <w:spacing w:after="0" w:line="360" w:lineRule="auto"/>
        <w:rPr>
          <w:color w:val="FF0000"/>
        </w:rPr>
      </w:pPr>
      <w:r>
        <w:rPr>
          <w:b/>
          <w:color w:val="auto"/>
        </w:rPr>
        <w:t>e</w:t>
      </w:r>
      <w:r w:rsidRPr="00C27868">
        <w:rPr>
          <w:b/>
          <w:color w:val="auto"/>
        </w:rPr>
        <w:t>) Vista del Informe Justificado.</w:t>
      </w:r>
      <w:r w:rsidRPr="00C27868">
        <w:rPr>
          <w:color w:val="auto"/>
        </w:rPr>
        <w:t xml:space="preserve"> El cuatro de febrero de dos mil veintiséis,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C27868">
        <w:rPr>
          <w:b/>
          <w:color w:val="auto"/>
        </w:rPr>
        <w:t>Cabe señalar que el Particular fue omiso en realizar manifestación alguna.</w:t>
      </w:r>
    </w:p>
    <w:p w14:paraId="6EFC71EC" w14:textId="77777777" w:rsidR="003C5FE0" w:rsidRPr="00F648B2" w:rsidRDefault="003C5FE0" w:rsidP="00153588">
      <w:pPr>
        <w:spacing w:after="0" w:line="360" w:lineRule="auto"/>
        <w:rPr>
          <w:b/>
          <w:color w:val="FF0000"/>
        </w:rPr>
      </w:pPr>
      <w:bookmarkStart w:id="5" w:name="_Hlk182976945"/>
    </w:p>
    <w:p w14:paraId="1220E37C" w14:textId="11A55295" w:rsidR="003C5FE0" w:rsidRPr="00C61554" w:rsidRDefault="00364788" w:rsidP="00153588">
      <w:pPr>
        <w:spacing w:after="0" w:line="360" w:lineRule="auto"/>
        <w:contextualSpacing/>
        <w:rPr>
          <w:color w:val="auto"/>
        </w:rPr>
      </w:pPr>
      <w:r w:rsidRPr="00C61554">
        <w:rPr>
          <w:rFonts w:eastAsia="Batang" w:cs="Tahoma"/>
          <w:b/>
          <w:color w:val="auto"/>
        </w:rPr>
        <w:t>f</w:t>
      </w:r>
      <w:r w:rsidR="003C5FE0" w:rsidRPr="00C61554">
        <w:rPr>
          <w:rFonts w:eastAsia="Batang" w:cs="Tahoma"/>
          <w:b/>
          <w:color w:val="auto"/>
        </w:rPr>
        <w:t xml:space="preserve">) </w:t>
      </w:r>
      <w:r w:rsidR="00002B20" w:rsidRPr="00C61554">
        <w:rPr>
          <w:rFonts w:eastAsia="Times New Roman" w:cs="Tahoma"/>
          <w:b/>
          <w:color w:val="auto"/>
          <w:szCs w:val="24"/>
          <w:lang w:eastAsia="es-ES"/>
        </w:rPr>
        <w:t>Cierre de instrucción.</w:t>
      </w:r>
      <w:r w:rsidR="00C06C06" w:rsidRPr="00C61554">
        <w:rPr>
          <w:rFonts w:eastAsia="Times New Roman" w:cs="Tahoma"/>
          <w:color w:val="auto"/>
          <w:szCs w:val="24"/>
          <w:lang w:eastAsia="es-ES"/>
        </w:rPr>
        <w:t xml:space="preserve"> El</w:t>
      </w:r>
      <w:r w:rsidR="00323061" w:rsidRPr="00C61554">
        <w:rPr>
          <w:rFonts w:eastAsia="Times New Roman" w:cs="Tahoma"/>
          <w:color w:val="auto"/>
          <w:szCs w:val="24"/>
          <w:lang w:eastAsia="es-ES"/>
        </w:rPr>
        <w:t xml:space="preserve"> </w:t>
      </w:r>
      <w:r w:rsidR="00C47D5B">
        <w:rPr>
          <w:rFonts w:eastAsia="Times New Roman" w:cs="Tahoma"/>
          <w:color w:val="auto"/>
          <w:szCs w:val="24"/>
          <w:lang w:eastAsia="es-ES"/>
        </w:rPr>
        <w:t>diez</w:t>
      </w:r>
      <w:r w:rsidR="00323061" w:rsidRPr="00C61554">
        <w:rPr>
          <w:rFonts w:eastAsia="Times New Roman" w:cs="Tahoma"/>
          <w:color w:val="auto"/>
          <w:szCs w:val="24"/>
          <w:lang w:eastAsia="es-ES"/>
        </w:rPr>
        <w:t xml:space="preserve"> de febrero de dos mil veintiséis</w:t>
      </w:r>
      <w:r w:rsidR="00002B20" w:rsidRPr="00C61554">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61554">
        <w:rPr>
          <w:color w:val="auto"/>
          <w:lang w:val="es-ES"/>
        </w:rPr>
        <w:t>acto que fue notificado a las partes, mediante el Sistema de Acceso a la Información Mexiquense (SAIMEX), el mismo día.</w:t>
      </w:r>
    </w:p>
    <w:bookmarkEnd w:id="5"/>
    <w:p w14:paraId="08D98E1D" w14:textId="77777777" w:rsidR="000410E6" w:rsidRPr="00F648B2" w:rsidRDefault="000410E6" w:rsidP="00153588">
      <w:pPr>
        <w:spacing w:after="0" w:line="360" w:lineRule="auto"/>
        <w:rPr>
          <w:b/>
          <w:bCs/>
          <w:color w:val="FF0000"/>
          <w:lang w:val="es-ES"/>
        </w:rPr>
      </w:pPr>
    </w:p>
    <w:p w14:paraId="1D2DAFCD" w14:textId="77777777" w:rsidR="000410E6" w:rsidRPr="00C61554" w:rsidRDefault="000410E6" w:rsidP="00153588">
      <w:pPr>
        <w:spacing w:after="0" w:line="360" w:lineRule="auto"/>
        <w:rPr>
          <w:color w:val="auto"/>
        </w:rPr>
      </w:pPr>
      <w:r w:rsidRPr="00C61554">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61554" w:rsidRDefault="00674DAF" w:rsidP="00153588">
      <w:pPr>
        <w:spacing w:after="0" w:line="360" w:lineRule="auto"/>
        <w:rPr>
          <w:color w:val="auto"/>
        </w:rPr>
      </w:pPr>
    </w:p>
    <w:p w14:paraId="250F6589" w14:textId="3F880C72" w:rsidR="005C690F" w:rsidRPr="00C61554" w:rsidRDefault="00CD6238" w:rsidP="00153588">
      <w:pPr>
        <w:pStyle w:val="Ttulo1"/>
        <w:spacing w:before="0" w:after="0" w:line="360" w:lineRule="auto"/>
        <w:jc w:val="center"/>
        <w:rPr>
          <w:color w:val="auto"/>
          <w:sz w:val="22"/>
          <w:szCs w:val="22"/>
        </w:rPr>
      </w:pPr>
      <w:bookmarkStart w:id="6" w:name="_Toc221812053"/>
      <w:r w:rsidRPr="00C61554">
        <w:rPr>
          <w:color w:val="auto"/>
          <w:sz w:val="22"/>
          <w:szCs w:val="22"/>
        </w:rPr>
        <w:t>C O N S I D E R A N D O S</w:t>
      </w:r>
      <w:bookmarkEnd w:id="6"/>
    </w:p>
    <w:p w14:paraId="5AB6ED71" w14:textId="77777777" w:rsidR="005C690F" w:rsidRPr="00C61554" w:rsidRDefault="005C690F" w:rsidP="00153588">
      <w:pPr>
        <w:spacing w:after="0" w:line="360" w:lineRule="auto"/>
        <w:jc w:val="center"/>
        <w:rPr>
          <w:b/>
          <w:color w:val="auto"/>
        </w:rPr>
      </w:pPr>
    </w:p>
    <w:p w14:paraId="36BFFC7E" w14:textId="2F0F17EA" w:rsidR="005C690F" w:rsidRPr="00C61554" w:rsidRDefault="007D6307" w:rsidP="00153588">
      <w:pPr>
        <w:pStyle w:val="Ttulo2"/>
        <w:spacing w:before="0" w:after="0" w:line="360" w:lineRule="auto"/>
        <w:rPr>
          <w:color w:val="auto"/>
          <w:sz w:val="22"/>
          <w:szCs w:val="22"/>
        </w:rPr>
      </w:pPr>
      <w:bookmarkStart w:id="7" w:name="_Toc221812054"/>
      <w:r w:rsidRPr="00C61554">
        <w:rPr>
          <w:color w:val="auto"/>
          <w:sz w:val="22"/>
          <w:szCs w:val="22"/>
        </w:rPr>
        <w:t xml:space="preserve">PRIMERO. </w:t>
      </w:r>
      <w:r w:rsidR="00CD6238" w:rsidRPr="00C61554">
        <w:rPr>
          <w:color w:val="auto"/>
          <w:sz w:val="22"/>
          <w:szCs w:val="22"/>
        </w:rPr>
        <w:t>Competencia</w:t>
      </w:r>
      <w:bookmarkEnd w:id="7"/>
    </w:p>
    <w:p w14:paraId="34E42005" w14:textId="77777777" w:rsidR="0084143D" w:rsidRPr="00F648B2" w:rsidRDefault="0084143D" w:rsidP="00153588">
      <w:pPr>
        <w:spacing w:after="0" w:line="360" w:lineRule="auto"/>
        <w:contextualSpacing/>
        <w:rPr>
          <w:rFonts w:eastAsia="Times New Roman" w:cs="Tahoma"/>
          <w:bCs/>
          <w:color w:val="FF0000"/>
          <w:lang w:eastAsia="es-ES"/>
        </w:rPr>
      </w:pPr>
      <w:bookmarkStart w:id="8" w:name="_heading=h.30j0zll" w:colFirst="0" w:colLast="0"/>
      <w:bookmarkEnd w:id="8"/>
    </w:p>
    <w:p w14:paraId="4225FD09" w14:textId="2C93B2B6" w:rsidR="005C690F" w:rsidRPr="00C61554" w:rsidRDefault="00C61554" w:rsidP="00153588">
      <w:pPr>
        <w:spacing w:after="0" w:line="360" w:lineRule="auto"/>
        <w:rPr>
          <w:color w:val="auto"/>
        </w:rPr>
      </w:pPr>
      <w:r w:rsidRPr="00C61554">
        <w:rPr>
          <w:color w:val="auto"/>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3BBC78" w14:textId="77777777" w:rsidR="00C61554" w:rsidRPr="00F648B2" w:rsidRDefault="00C61554" w:rsidP="00153588">
      <w:pPr>
        <w:spacing w:after="0" w:line="360" w:lineRule="auto"/>
        <w:rPr>
          <w:b/>
          <w:color w:val="FF0000"/>
        </w:rPr>
      </w:pPr>
    </w:p>
    <w:p w14:paraId="299A9F21" w14:textId="77777777" w:rsidR="005934FD" w:rsidRPr="00C61554" w:rsidRDefault="007D6307" w:rsidP="00153588">
      <w:pPr>
        <w:pStyle w:val="Ttulo2"/>
        <w:spacing w:before="0" w:after="0" w:line="360" w:lineRule="auto"/>
        <w:rPr>
          <w:color w:val="auto"/>
          <w:sz w:val="22"/>
          <w:szCs w:val="22"/>
        </w:rPr>
      </w:pPr>
      <w:bookmarkStart w:id="9" w:name="_Toc221812055"/>
      <w:r w:rsidRPr="00C61554">
        <w:rPr>
          <w:color w:val="auto"/>
          <w:sz w:val="22"/>
          <w:szCs w:val="22"/>
        </w:rPr>
        <w:t>SEGUNDO. Causales de</w:t>
      </w:r>
      <w:r w:rsidR="00CD6238" w:rsidRPr="00C61554">
        <w:rPr>
          <w:color w:val="auto"/>
          <w:sz w:val="22"/>
          <w:szCs w:val="22"/>
        </w:rPr>
        <w:t xml:space="preserve"> improcedencia </w:t>
      </w:r>
      <w:r w:rsidR="005934FD" w:rsidRPr="00C61554">
        <w:rPr>
          <w:color w:val="auto"/>
          <w:sz w:val="22"/>
          <w:szCs w:val="22"/>
        </w:rPr>
        <w:t>y sobreseimiento</w:t>
      </w:r>
      <w:bookmarkEnd w:id="9"/>
    </w:p>
    <w:p w14:paraId="2BD77C52" w14:textId="77777777" w:rsidR="005934FD" w:rsidRPr="00C61554" w:rsidRDefault="005934FD" w:rsidP="00153588">
      <w:pPr>
        <w:spacing w:after="0" w:line="360" w:lineRule="auto"/>
        <w:rPr>
          <w:color w:val="auto"/>
        </w:rPr>
      </w:pPr>
    </w:p>
    <w:p w14:paraId="04C92CA3" w14:textId="77777777" w:rsidR="005934FD" w:rsidRPr="00C61554" w:rsidRDefault="005934FD" w:rsidP="00153588">
      <w:pPr>
        <w:spacing w:after="0" w:line="360" w:lineRule="auto"/>
        <w:rPr>
          <w:color w:val="auto"/>
        </w:rPr>
      </w:pPr>
      <w:r w:rsidRPr="00C61554">
        <w:rPr>
          <w:color w:val="auto"/>
        </w:rPr>
        <w:t xml:space="preserve">De las constancias que forma parte del Recurso de Revisión que se analiza, se advierte que previo al estudio del fondo de la </w:t>
      </w:r>
      <w:r w:rsidRPr="00C61554">
        <w:rPr>
          <w:i/>
          <w:color w:val="auto"/>
        </w:rPr>
        <w:t>litis</w:t>
      </w:r>
      <w:r w:rsidRPr="00C61554">
        <w:rPr>
          <w:color w:val="auto"/>
        </w:rPr>
        <w:t>, es necesario estudiar las causales de improcedencia y sobreseimiento que se adviertan, para determinar lo que en Derecho proceda.</w:t>
      </w:r>
    </w:p>
    <w:p w14:paraId="34C20A56" w14:textId="77777777" w:rsidR="005934FD" w:rsidRPr="00C61554" w:rsidRDefault="005934FD" w:rsidP="00153588">
      <w:pPr>
        <w:spacing w:after="0" w:line="360" w:lineRule="auto"/>
        <w:rPr>
          <w:color w:val="auto"/>
        </w:rPr>
      </w:pPr>
    </w:p>
    <w:p w14:paraId="131343A9" w14:textId="77777777" w:rsidR="005934FD" w:rsidRPr="00C61554" w:rsidRDefault="005934FD" w:rsidP="00153588">
      <w:pPr>
        <w:spacing w:after="0" w:line="360" w:lineRule="auto"/>
        <w:rPr>
          <w:b/>
          <w:color w:val="auto"/>
        </w:rPr>
      </w:pPr>
      <w:r w:rsidRPr="00C61554">
        <w:rPr>
          <w:b/>
          <w:color w:val="auto"/>
        </w:rPr>
        <w:t>Causales de improcedencia</w:t>
      </w:r>
    </w:p>
    <w:p w14:paraId="651769A2" w14:textId="77777777" w:rsidR="005934FD" w:rsidRPr="00C61554" w:rsidRDefault="005934FD" w:rsidP="00153588">
      <w:pPr>
        <w:spacing w:after="0" w:line="360" w:lineRule="auto"/>
        <w:rPr>
          <w:b/>
          <w:color w:val="auto"/>
        </w:rPr>
      </w:pPr>
    </w:p>
    <w:p w14:paraId="4E3C5161" w14:textId="77777777" w:rsidR="005934FD" w:rsidRPr="00C61554" w:rsidRDefault="005934FD" w:rsidP="00153588">
      <w:pPr>
        <w:spacing w:after="0" w:line="360" w:lineRule="auto"/>
        <w:rPr>
          <w:color w:val="auto"/>
        </w:rPr>
      </w:pPr>
      <w:r w:rsidRPr="00C61554">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C61554">
        <w:rPr>
          <w:color w:val="auto"/>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C61554" w:rsidRDefault="005934FD" w:rsidP="00153588">
      <w:pPr>
        <w:spacing w:after="0" w:line="360" w:lineRule="auto"/>
        <w:rPr>
          <w:color w:val="auto"/>
        </w:rPr>
      </w:pPr>
    </w:p>
    <w:p w14:paraId="699278CA" w14:textId="77777777" w:rsidR="005934FD" w:rsidRPr="00C61554" w:rsidRDefault="005934FD" w:rsidP="00153588">
      <w:pPr>
        <w:spacing w:after="0" w:line="360" w:lineRule="auto"/>
        <w:rPr>
          <w:color w:val="auto"/>
        </w:rPr>
      </w:pPr>
      <w:r w:rsidRPr="00C61554">
        <w:rPr>
          <w:color w:val="auto"/>
        </w:rPr>
        <w:t>En el presente caso, </w:t>
      </w:r>
      <w:r w:rsidRPr="00C61554">
        <w:rPr>
          <w:b/>
          <w:color w:val="auto"/>
        </w:rPr>
        <w:t>no se actualiza ninguna de las causales de improcedencia</w:t>
      </w:r>
      <w:r w:rsidRPr="00C61554">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536FA888" w14:textId="77777777" w:rsidR="004E2BF0" w:rsidRPr="00C61554" w:rsidRDefault="004E2BF0" w:rsidP="00153588">
      <w:pPr>
        <w:spacing w:after="0" w:line="360" w:lineRule="auto"/>
        <w:rPr>
          <w:color w:val="auto"/>
        </w:rPr>
      </w:pPr>
    </w:p>
    <w:p w14:paraId="6A3BA529" w14:textId="162CD304" w:rsidR="005934FD" w:rsidRPr="00C61554" w:rsidRDefault="005934FD" w:rsidP="00D54714">
      <w:pPr>
        <w:spacing w:after="0" w:line="360" w:lineRule="auto"/>
        <w:rPr>
          <w:color w:val="auto"/>
        </w:rPr>
      </w:pPr>
      <w:r w:rsidRPr="00C61554">
        <w:rPr>
          <w:color w:val="auto"/>
        </w:rPr>
        <w:t>Por lo cual, se actualiza la causal de procedencia del Recurso de Revisión señalada</w:t>
      </w:r>
      <w:r w:rsidR="004F4B13" w:rsidRPr="00C61554">
        <w:rPr>
          <w:color w:val="auto"/>
        </w:rPr>
        <w:t xml:space="preserve"> en el artículo 179, fracción V</w:t>
      </w:r>
      <w:r w:rsidRPr="00C61554">
        <w:rPr>
          <w:color w:val="auto"/>
        </w:rPr>
        <w:t>, de la Ley en cita, pues la persona Recurrente se inconformó de l</w:t>
      </w:r>
      <w:r w:rsidR="00D54714" w:rsidRPr="00C61554">
        <w:rPr>
          <w:color w:val="auto"/>
        </w:rPr>
        <w:t xml:space="preserve">a </w:t>
      </w:r>
      <w:r w:rsidR="004E2BF0" w:rsidRPr="00C61554">
        <w:rPr>
          <w:color w:val="auto"/>
        </w:rPr>
        <w:t>entrega de información incompleta.</w:t>
      </w:r>
    </w:p>
    <w:p w14:paraId="5EB0D3C6" w14:textId="77777777" w:rsidR="00D54714" w:rsidRPr="00C61554" w:rsidRDefault="00D54714" w:rsidP="00D54714">
      <w:pPr>
        <w:spacing w:after="0" w:line="360" w:lineRule="auto"/>
        <w:rPr>
          <w:color w:val="auto"/>
        </w:rPr>
      </w:pPr>
    </w:p>
    <w:p w14:paraId="0D3C0EE8" w14:textId="77777777" w:rsidR="005934FD" w:rsidRPr="00C61554" w:rsidRDefault="005934FD" w:rsidP="00153588">
      <w:pPr>
        <w:spacing w:after="0" w:line="360" w:lineRule="auto"/>
        <w:rPr>
          <w:color w:val="auto"/>
        </w:rPr>
      </w:pPr>
      <w:r w:rsidRPr="00C61554">
        <w:rPr>
          <w:b/>
          <w:color w:val="auto"/>
        </w:rPr>
        <w:t>Causales de sobreseimiento</w:t>
      </w:r>
    </w:p>
    <w:p w14:paraId="54149B2B" w14:textId="77777777" w:rsidR="005934FD" w:rsidRPr="00C61554" w:rsidRDefault="005934FD" w:rsidP="00153588">
      <w:pPr>
        <w:spacing w:after="0" w:line="360" w:lineRule="auto"/>
        <w:rPr>
          <w:color w:val="auto"/>
        </w:rPr>
      </w:pPr>
    </w:p>
    <w:p w14:paraId="3591A600" w14:textId="77777777" w:rsidR="005934FD" w:rsidRPr="00C61554" w:rsidRDefault="005934FD" w:rsidP="00153588">
      <w:pPr>
        <w:spacing w:after="0" w:line="360" w:lineRule="auto"/>
        <w:rPr>
          <w:color w:val="auto"/>
        </w:rPr>
      </w:pPr>
      <w:r w:rsidRPr="00C61554">
        <w:rPr>
          <w:color w:val="auto"/>
        </w:rPr>
        <w:t>Por ser de previo y especial pronunciamiento, este Instituto analiza si se actualiza alguna causal de sobreseimiento.</w:t>
      </w:r>
    </w:p>
    <w:p w14:paraId="2F9A1EA0" w14:textId="77777777" w:rsidR="005934FD" w:rsidRPr="00C61554" w:rsidRDefault="005934FD" w:rsidP="00153588">
      <w:pPr>
        <w:spacing w:after="0" w:line="360" w:lineRule="auto"/>
        <w:rPr>
          <w:color w:val="auto"/>
        </w:rPr>
      </w:pPr>
    </w:p>
    <w:p w14:paraId="4695A4AF" w14:textId="77777777" w:rsidR="005934FD" w:rsidRPr="00C61554" w:rsidRDefault="005934FD" w:rsidP="00153588">
      <w:pPr>
        <w:spacing w:after="0" w:line="360" w:lineRule="auto"/>
        <w:rPr>
          <w:color w:val="auto"/>
        </w:rPr>
      </w:pPr>
      <w:r w:rsidRPr="00C61554">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w:t>
      </w:r>
      <w:r w:rsidRPr="00C61554">
        <w:rPr>
          <w:color w:val="auto"/>
        </w:rPr>
        <w:lastRenderedPageBreak/>
        <w:t>del recurso, haya fallecido, sobreviniera alguna causal de improcedencia, que el Sujeto Obligado hubiese modificado o revocado el acto impugnado o bien, haya quedado sin materia.</w:t>
      </w:r>
    </w:p>
    <w:p w14:paraId="75DBAF21" w14:textId="77777777" w:rsidR="005934FD" w:rsidRPr="00C61554" w:rsidRDefault="005934FD" w:rsidP="00153588">
      <w:pPr>
        <w:spacing w:after="0" w:line="360" w:lineRule="auto"/>
        <w:rPr>
          <w:color w:val="auto"/>
        </w:rPr>
      </w:pPr>
    </w:p>
    <w:p w14:paraId="07DA71DD" w14:textId="77777777" w:rsidR="005934FD" w:rsidRPr="00C61554" w:rsidRDefault="005934FD" w:rsidP="00153588">
      <w:pPr>
        <w:spacing w:after="0" w:line="360" w:lineRule="auto"/>
        <w:rPr>
          <w:color w:val="auto"/>
        </w:rPr>
      </w:pPr>
      <w:r w:rsidRPr="00C61554">
        <w:rPr>
          <w:color w:val="auto"/>
        </w:rPr>
        <w:t>Por tales motivos, se considera procedente entrar al fondo del presente asunto.</w:t>
      </w:r>
    </w:p>
    <w:p w14:paraId="624EDBE9" w14:textId="77777777" w:rsidR="005934FD" w:rsidRPr="00C61554" w:rsidRDefault="005934FD" w:rsidP="00153588">
      <w:pPr>
        <w:spacing w:after="0" w:line="360" w:lineRule="auto"/>
        <w:rPr>
          <w:color w:val="auto"/>
        </w:rPr>
      </w:pPr>
    </w:p>
    <w:p w14:paraId="46691DD5" w14:textId="3672CDE1" w:rsidR="005C690F" w:rsidRPr="00C61554" w:rsidRDefault="005934FD" w:rsidP="00153588">
      <w:pPr>
        <w:keepNext/>
        <w:keepLines/>
        <w:spacing w:after="0" w:line="360" w:lineRule="auto"/>
        <w:outlineLvl w:val="1"/>
        <w:rPr>
          <w:b/>
          <w:color w:val="auto"/>
        </w:rPr>
      </w:pPr>
      <w:bookmarkStart w:id="10" w:name="_Toc203512599"/>
      <w:bookmarkStart w:id="11" w:name="_Toc221812056"/>
      <w:r w:rsidRPr="00C61554">
        <w:rPr>
          <w:b/>
          <w:color w:val="auto"/>
        </w:rPr>
        <w:t>TERCERO. Determinación de la Controversia</w:t>
      </w:r>
      <w:bookmarkEnd w:id="10"/>
      <w:bookmarkEnd w:id="11"/>
      <w:r w:rsidRPr="00C61554">
        <w:rPr>
          <w:b/>
          <w:color w:val="auto"/>
        </w:rPr>
        <w:t xml:space="preserve"> </w:t>
      </w:r>
    </w:p>
    <w:p w14:paraId="706394D4" w14:textId="77777777" w:rsidR="00304DE6" w:rsidRPr="00C61554" w:rsidRDefault="00304DE6" w:rsidP="00153588">
      <w:pPr>
        <w:spacing w:after="0" w:line="360" w:lineRule="auto"/>
        <w:rPr>
          <w:b/>
          <w:color w:val="auto"/>
        </w:rPr>
      </w:pPr>
    </w:p>
    <w:p w14:paraId="068F6FDD" w14:textId="010E8B30" w:rsidR="004E2BF0" w:rsidRPr="00C61554" w:rsidRDefault="005934FD" w:rsidP="00D54714">
      <w:pPr>
        <w:spacing w:after="0" w:line="360" w:lineRule="auto"/>
        <w:rPr>
          <w:rFonts w:cs="Tahoma"/>
          <w:color w:val="auto"/>
        </w:rPr>
      </w:pPr>
      <w:r w:rsidRPr="00C61554">
        <w:rPr>
          <w:rFonts w:cs="Tahoma"/>
          <w:color w:val="auto"/>
        </w:rPr>
        <w:t>Con el objetivo de ilustrar la controversia planteada, resulta conveniente precisar, que una vez realizado el estudio de las constancias que integran el expediente en el que se actúa, se despr</w:t>
      </w:r>
      <w:r w:rsidR="002B385B" w:rsidRPr="00C61554">
        <w:rPr>
          <w:rFonts w:cs="Tahoma"/>
          <w:color w:val="auto"/>
        </w:rPr>
        <w:t xml:space="preserve">ende que el Particular requirió, </w:t>
      </w:r>
      <w:r w:rsidR="00C61554">
        <w:rPr>
          <w:rFonts w:cs="Tahoma"/>
          <w:color w:val="auto"/>
        </w:rPr>
        <w:t>la dispersión de nómina y conciliación de nómina del primero de enero al cuatro de agosto de dos mil veinticinco.</w:t>
      </w:r>
    </w:p>
    <w:p w14:paraId="7DD10A9D" w14:textId="77777777" w:rsidR="004E2BF0" w:rsidRPr="00F648B2" w:rsidRDefault="004E2BF0" w:rsidP="00D54714">
      <w:pPr>
        <w:spacing w:after="0" w:line="360" w:lineRule="auto"/>
        <w:rPr>
          <w:rFonts w:cs="Tahoma"/>
          <w:color w:val="FF0000"/>
        </w:rPr>
      </w:pPr>
    </w:p>
    <w:p w14:paraId="22755ED1" w14:textId="53E9AB30" w:rsidR="00904B71" w:rsidRDefault="005934FD" w:rsidP="00763F0B">
      <w:pPr>
        <w:spacing w:after="0" w:line="360" w:lineRule="auto"/>
        <w:rPr>
          <w:rFonts w:eastAsia="Calibri" w:cs="Tahoma"/>
          <w:color w:val="FF0000"/>
        </w:rPr>
      </w:pPr>
      <w:r w:rsidRPr="00C61554">
        <w:rPr>
          <w:color w:val="auto"/>
        </w:rPr>
        <w:t xml:space="preserve">En respuesta, </w:t>
      </w:r>
      <w:r w:rsidR="00763F0B" w:rsidRPr="00C61554">
        <w:rPr>
          <w:color w:val="auto"/>
        </w:rPr>
        <w:t>el Sujeto Obligado, a</w:t>
      </w:r>
      <w:r w:rsidR="00C61554" w:rsidRPr="00C61554">
        <w:rPr>
          <w:color w:val="auto"/>
        </w:rPr>
        <w:t xml:space="preserve">djuntó la conciliación de nómina de la primera y segunda quincena de los meses de enero, febrero, marzo, abril, mayo y junio, los reportes de operaciones de Santander </w:t>
      </w:r>
      <w:r w:rsidR="00C61554" w:rsidRPr="00183D02">
        <w:rPr>
          <w:color w:val="auto"/>
        </w:rPr>
        <w:t>(Dispersión de Nómina) de la</w:t>
      </w:r>
      <w:r w:rsidR="00C61554" w:rsidRPr="00C61554">
        <w:rPr>
          <w:color w:val="auto"/>
        </w:rPr>
        <w:t xml:space="preserve"> primera y segunda quincena de los meses señalados</w:t>
      </w:r>
      <w:r w:rsidR="00904B71">
        <w:rPr>
          <w:color w:val="auto"/>
        </w:rPr>
        <w:t xml:space="preserve">, </w:t>
      </w:r>
      <w:r w:rsidR="00C61554">
        <w:rPr>
          <w:color w:val="auto"/>
        </w:rPr>
        <w:t xml:space="preserve">comprobantes de pago de nómina de Santander y BBVA de algunos servidores públicos de la </w:t>
      </w:r>
      <w:r w:rsidR="00904B71">
        <w:rPr>
          <w:color w:val="auto"/>
        </w:rPr>
        <w:t xml:space="preserve">primera y segunda quincena de los meses de </w:t>
      </w:r>
      <w:r w:rsidR="00904B71" w:rsidRPr="00C61554">
        <w:rPr>
          <w:color w:val="auto"/>
        </w:rPr>
        <w:t>febrero, marzo, abril, mayo y junio</w:t>
      </w:r>
      <w:r w:rsidR="00904B71">
        <w:rPr>
          <w:color w:val="auto"/>
        </w:rPr>
        <w:t xml:space="preserve">, así como la primer quincena de enero, así como el acuerdo de clasificación de las versiones públicas de los documentos </w:t>
      </w:r>
      <w:r w:rsidR="00904B71" w:rsidRPr="00904B71">
        <w:rPr>
          <w:color w:val="auto"/>
        </w:rPr>
        <w:t>remitidos</w:t>
      </w:r>
      <w:r w:rsidR="00763F0B" w:rsidRPr="00904B71">
        <w:rPr>
          <w:color w:val="auto"/>
        </w:rPr>
        <w:t xml:space="preserve">; </w:t>
      </w:r>
      <w:r w:rsidR="009102BA" w:rsidRPr="00904B71">
        <w:rPr>
          <w:color w:val="auto"/>
        </w:rPr>
        <w:t xml:space="preserve">ante </w:t>
      </w:r>
      <w:r w:rsidRPr="00904B71">
        <w:rPr>
          <w:rFonts w:cs="Tahoma"/>
          <w:color w:val="auto"/>
          <w:lang w:val="es-ES"/>
        </w:rPr>
        <w:t xml:space="preserve">dicha circunstancia, el Particular se inconformó </w:t>
      </w:r>
      <w:r w:rsidR="00D54714" w:rsidRPr="00904B71">
        <w:rPr>
          <w:rFonts w:cs="Tahoma"/>
          <w:color w:val="auto"/>
          <w:lang w:val="es-ES"/>
        </w:rPr>
        <w:t xml:space="preserve">de </w:t>
      </w:r>
      <w:r w:rsidR="00763F0B" w:rsidRPr="00904B71">
        <w:rPr>
          <w:rFonts w:cs="Tahoma"/>
          <w:color w:val="auto"/>
          <w:lang w:val="es-ES"/>
        </w:rPr>
        <w:t xml:space="preserve">la entrega de información incompleta </w:t>
      </w:r>
      <w:r w:rsidRPr="00904B71">
        <w:rPr>
          <w:rFonts w:cs="Tahoma"/>
          <w:color w:val="auto"/>
          <w:lang w:val="es-ES"/>
        </w:rPr>
        <w:t>al mencionar que</w:t>
      </w:r>
      <w:r w:rsidR="00763F0B" w:rsidRPr="00904B71">
        <w:rPr>
          <w:rFonts w:cs="Tahoma"/>
          <w:color w:val="auto"/>
          <w:lang w:val="es-ES"/>
        </w:rPr>
        <w:t xml:space="preserve"> la información solicitada no está completa</w:t>
      </w:r>
      <w:r w:rsidRPr="00904B71">
        <w:rPr>
          <w:rFonts w:cs="Tahoma"/>
          <w:color w:val="auto"/>
          <w:lang w:val="es-ES"/>
        </w:rPr>
        <w:t xml:space="preserve">, lo cual </w:t>
      </w:r>
      <w:r w:rsidRPr="00904B71">
        <w:rPr>
          <w:rFonts w:eastAsia="Calibri" w:cs="Tahoma"/>
          <w:color w:val="auto"/>
        </w:rPr>
        <w:t>actualiza la causal de proced</w:t>
      </w:r>
      <w:r w:rsidR="002B385B" w:rsidRPr="00904B71">
        <w:rPr>
          <w:rFonts w:eastAsia="Calibri" w:cs="Tahoma"/>
          <w:color w:val="auto"/>
        </w:rPr>
        <w:t>encia prevista en la fracción V</w:t>
      </w:r>
      <w:r w:rsidRPr="00904B71">
        <w:rPr>
          <w:rFonts w:eastAsia="Calibri" w:cs="Tahoma"/>
          <w:color w:val="auto"/>
        </w:rPr>
        <w:t>, del artículo 179 de la Ley de Transparencia y Acceso a la Información Pública del Estado de México y Municipios</w:t>
      </w:r>
      <w:r w:rsidRPr="00904B71">
        <w:rPr>
          <w:rFonts w:cs="Tahoma"/>
          <w:bCs/>
          <w:color w:val="auto"/>
          <w:lang w:val="es-ES"/>
        </w:rPr>
        <w:t xml:space="preserve">. </w:t>
      </w:r>
      <w:r w:rsidRPr="00904B71">
        <w:rPr>
          <w:rFonts w:eastAsia="Calibri" w:cs="Tahoma"/>
          <w:color w:val="auto"/>
        </w:rPr>
        <w:t xml:space="preserve">Así, las cosas, una vez admitido y notificado el Recurso de Revisión a las partes, </w:t>
      </w:r>
      <w:r w:rsidR="002B385B" w:rsidRPr="00904B71">
        <w:rPr>
          <w:rFonts w:eastAsia="Calibri" w:cs="Tahoma"/>
          <w:color w:val="auto"/>
        </w:rPr>
        <w:t xml:space="preserve">el Sujeto Obligado </w:t>
      </w:r>
      <w:r w:rsidR="00D54714" w:rsidRPr="00904B71">
        <w:rPr>
          <w:rFonts w:eastAsia="Calibri" w:cs="Tahoma"/>
          <w:color w:val="auto"/>
        </w:rPr>
        <w:t xml:space="preserve">adjuntó </w:t>
      </w:r>
      <w:r w:rsidR="00904B71">
        <w:rPr>
          <w:rFonts w:eastAsia="Calibri" w:cs="Tahoma"/>
          <w:color w:val="auto"/>
        </w:rPr>
        <w:t xml:space="preserve"> la conciliación de nómina de la primera quincena de </w:t>
      </w:r>
      <w:r w:rsidR="00904B71">
        <w:rPr>
          <w:rFonts w:eastAsia="Calibri" w:cs="Tahoma"/>
          <w:color w:val="auto"/>
        </w:rPr>
        <w:lastRenderedPageBreak/>
        <w:t xml:space="preserve">julio, el </w:t>
      </w:r>
      <w:r w:rsidR="00904B71" w:rsidRPr="00183D02">
        <w:rPr>
          <w:color w:val="auto"/>
        </w:rPr>
        <w:t>Reporte de Operaciones de Santander  (Dispersión de Nómina) de la primera quincena de julio de dos mil veinticinco</w:t>
      </w:r>
      <w:r w:rsidR="00904B71">
        <w:rPr>
          <w:color w:val="auto"/>
        </w:rPr>
        <w:t xml:space="preserve"> y c</w:t>
      </w:r>
      <w:r w:rsidR="00904B71" w:rsidRPr="00183D02">
        <w:rPr>
          <w:color w:val="auto"/>
        </w:rPr>
        <w:t>omprobantes de pago de nómina BBVA de la quincena de la primera quince de julio de dos mil veinticinco</w:t>
      </w:r>
      <w:r w:rsidR="00904B71">
        <w:rPr>
          <w:color w:val="auto"/>
        </w:rPr>
        <w:t>, además del acuerdo de clasificación de las versiones públicas remitidas.</w:t>
      </w:r>
    </w:p>
    <w:p w14:paraId="6F157D38" w14:textId="77777777" w:rsidR="005D334A" w:rsidRPr="00F648B2" w:rsidRDefault="005D334A" w:rsidP="00763F0B">
      <w:pPr>
        <w:spacing w:after="0" w:line="360" w:lineRule="auto"/>
        <w:rPr>
          <w:i/>
          <w:iCs/>
          <w:color w:val="FF0000"/>
          <w:sz w:val="20"/>
          <w:szCs w:val="20"/>
        </w:rPr>
      </w:pPr>
    </w:p>
    <w:p w14:paraId="28B7F968" w14:textId="77777777" w:rsidR="005934FD" w:rsidRPr="00904B71" w:rsidRDefault="005934FD" w:rsidP="00153588">
      <w:pPr>
        <w:tabs>
          <w:tab w:val="left" w:pos="4962"/>
        </w:tabs>
        <w:spacing w:after="0" w:line="360" w:lineRule="auto"/>
        <w:rPr>
          <w:rFonts w:eastAsia="Calibri" w:cs="Tahoma"/>
          <w:bCs/>
          <w:color w:val="auto"/>
        </w:rPr>
      </w:pPr>
      <w:r w:rsidRPr="00904B71">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w:t>
      </w:r>
      <w:r w:rsidRPr="00904B71">
        <w:rPr>
          <w:rFonts w:eastAsia="Calibri" w:cs="Tahoma"/>
          <w:iCs/>
          <w:color w:val="auto"/>
          <w:lang w:eastAsia="es-ES_tradnl"/>
        </w:rPr>
        <w:t xml:space="preserve">el escrito recursal y el Informe Justificado; </w:t>
      </w:r>
      <w:r w:rsidRPr="00904B71">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F648B2" w:rsidRDefault="007460D7" w:rsidP="00153588">
      <w:pPr>
        <w:tabs>
          <w:tab w:val="left" w:pos="4962"/>
        </w:tabs>
        <w:spacing w:after="0" w:line="360" w:lineRule="auto"/>
        <w:rPr>
          <w:rFonts w:eastAsia="Calibri" w:cs="Tahoma"/>
          <w:bCs/>
          <w:color w:val="FF0000"/>
        </w:rPr>
      </w:pPr>
    </w:p>
    <w:p w14:paraId="5D8A57F1" w14:textId="77777777" w:rsidR="007460D7" w:rsidRPr="00337085" w:rsidRDefault="007460D7" w:rsidP="00153588">
      <w:pPr>
        <w:keepNext/>
        <w:keepLines/>
        <w:spacing w:after="0" w:line="360" w:lineRule="auto"/>
        <w:outlineLvl w:val="1"/>
        <w:rPr>
          <w:b/>
          <w:color w:val="auto"/>
        </w:rPr>
      </w:pPr>
      <w:bookmarkStart w:id="12" w:name="_Toc203512600"/>
      <w:bookmarkStart w:id="13" w:name="_Toc221812057"/>
      <w:r w:rsidRPr="00337085">
        <w:rPr>
          <w:b/>
          <w:color w:val="auto"/>
        </w:rPr>
        <w:t>CUARTO. Marco normativo aplicable en materia de transparencia y acceso a la información pública</w:t>
      </w:r>
      <w:bookmarkEnd w:id="12"/>
      <w:bookmarkEnd w:id="13"/>
    </w:p>
    <w:p w14:paraId="1F5C99BC" w14:textId="77777777" w:rsidR="007460D7" w:rsidRPr="00337085" w:rsidRDefault="007460D7" w:rsidP="00153588">
      <w:pPr>
        <w:spacing w:after="0" w:line="360" w:lineRule="auto"/>
        <w:rPr>
          <w:color w:val="auto"/>
        </w:rPr>
      </w:pPr>
    </w:p>
    <w:p w14:paraId="3E828B54" w14:textId="77777777" w:rsidR="007460D7" w:rsidRPr="00337085" w:rsidRDefault="007460D7" w:rsidP="00153588">
      <w:pPr>
        <w:spacing w:after="0" w:line="360" w:lineRule="auto"/>
        <w:rPr>
          <w:color w:val="auto"/>
        </w:rPr>
      </w:pPr>
      <w:r w:rsidRPr="00337085">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337085" w:rsidRDefault="007460D7" w:rsidP="00153588">
      <w:pPr>
        <w:spacing w:after="0" w:line="360" w:lineRule="auto"/>
        <w:rPr>
          <w:color w:val="auto"/>
        </w:rPr>
      </w:pPr>
    </w:p>
    <w:p w14:paraId="7CAE8869" w14:textId="47015886" w:rsidR="007460D7" w:rsidRPr="00337085" w:rsidRDefault="007460D7" w:rsidP="00153588">
      <w:pPr>
        <w:spacing w:after="0" w:line="360" w:lineRule="auto"/>
        <w:rPr>
          <w:color w:val="auto"/>
        </w:rPr>
      </w:pPr>
      <w:r w:rsidRPr="00337085">
        <w:rPr>
          <w:color w:val="auto"/>
        </w:rPr>
        <w:t>Por su parte, la Ley de Transparencia y Acceso a la Información Pública del Estado de México y Municipios</w:t>
      </w:r>
      <w:r w:rsidR="005D334A" w:rsidRPr="00337085">
        <w:rPr>
          <w:color w:val="auto"/>
        </w:rPr>
        <w:t xml:space="preserve">, </w:t>
      </w:r>
      <w:r w:rsidRPr="00337085">
        <w:rPr>
          <w:color w:val="auto"/>
        </w:rPr>
        <w:t>establece lo siguiente:</w:t>
      </w:r>
    </w:p>
    <w:p w14:paraId="4EB42326" w14:textId="77777777" w:rsidR="007460D7" w:rsidRPr="00337085" w:rsidRDefault="007460D7" w:rsidP="00153588">
      <w:pPr>
        <w:spacing w:after="0" w:line="360" w:lineRule="auto"/>
        <w:rPr>
          <w:color w:val="auto"/>
        </w:rPr>
      </w:pPr>
    </w:p>
    <w:p w14:paraId="6FB53E25" w14:textId="77777777" w:rsidR="007460D7" w:rsidRPr="00337085" w:rsidRDefault="007460D7" w:rsidP="00153588">
      <w:pPr>
        <w:spacing w:after="0" w:line="360" w:lineRule="auto"/>
        <w:rPr>
          <w:color w:val="auto"/>
        </w:rPr>
      </w:pPr>
      <w:r w:rsidRPr="00337085">
        <w:rPr>
          <w:color w:val="auto"/>
        </w:rPr>
        <w:t>El artículo 12, que, quienes generen, recopilen, administren, manejen, procesen, archiven o conserven información pública serán responsables de la misma.</w:t>
      </w:r>
    </w:p>
    <w:p w14:paraId="171E0D60" w14:textId="77777777" w:rsidR="007460D7" w:rsidRPr="00337085" w:rsidRDefault="007460D7" w:rsidP="00153588">
      <w:pPr>
        <w:spacing w:after="0" w:line="360" w:lineRule="auto"/>
        <w:rPr>
          <w:color w:val="auto"/>
        </w:rPr>
      </w:pPr>
    </w:p>
    <w:p w14:paraId="76F3E022" w14:textId="77777777" w:rsidR="007460D7" w:rsidRPr="00337085" w:rsidRDefault="007460D7" w:rsidP="00153588">
      <w:pPr>
        <w:widowControl w:val="0"/>
        <w:spacing w:after="0" w:line="360" w:lineRule="auto"/>
        <w:rPr>
          <w:color w:val="auto"/>
        </w:rPr>
      </w:pPr>
      <w:r w:rsidRPr="00337085">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337085" w:rsidRDefault="007460D7" w:rsidP="00153588">
      <w:pPr>
        <w:widowControl w:val="0"/>
        <w:spacing w:after="0" w:line="360" w:lineRule="auto"/>
        <w:rPr>
          <w:color w:val="auto"/>
        </w:rPr>
      </w:pPr>
    </w:p>
    <w:p w14:paraId="2F1A7433" w14:textId="77777777" w:rsidR="007460D7" w:rsidRPr="00337085" w:rsidRDefault="007460D7" w:rsidP="00153588">
      <w:pPr>
        <w:spacing w:after="0" w:line="360" w:lineRule="auto"/>
        <w:rPr>
          <w:color w:val="auto"/>
        </w:rPr>
      </w:pPr>
      <w:r w:rsidRPr="00337085">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337085" w:rsidRDefault="007460D7" w:rsidP="00153588">
      <w:pPr>
        <w:spacing w:after="0" w:line="360" w:lineRule="auto"/>
        <w:rPr>
          <w:color w:val="auto"/>
        </w:rPr>
      </w:pPr>
    </w:p>
    <w:p w14:paraId="0757139D" w14:textId="77777777" w:rsidR="007460D7" w:rsidRPr="00337085" w:rsidRDefault="007460D7" w:rsidP="00153588">
      <w:pPr>
        <w:keepNext/>
        <w:keepLines/>
        <w:spacing w:after="0" w:line="360" w:lineRule="auto"/>
        <w:outlineLvl w:val="1"/>
        <w:rPr>
          <w:b/>
          <w:color w:val="auto"/>
        </w:rPr>
      </w:pPr>
      <w:bookmarkStart w:id="14" w:name="_Toc203512601"/>
      <w:bookmarkStart w:id="15" w:name="_Toc221812058"/>
      <w:r w:rsidRPr="00337085">
        <w:rPr>
          <w:b/>
          <w:color w:val="auto"/>
        </w:rPr>
        <w:t>QUINTO. Estudio de Fondo</w:t>
      </w:r>
      <w:bookmarkEnd w:id="14"/>
      <w:bookmarkEnd w:id="15"/>
    </w:p>
    <w:p w14:paraId="32982EC6" w14:textId="77777777" w:rsidR="007460D7" w:rsidRPr="00F648B2" w:rsidRDefault="007460D7" w:rsidP="00153588">
      <w:pPr>
        <w:spacing w:after="0" w:line="360" w:lineRule="auto"/>
        <w:rPr>
          <w:b/>
          <w:color w:val="FF0000"/>
        </w:rPr>
      </w:pPr>
    </w:p>
    <w:p w14:paraId="13473960" w14:textId="77777777" w:rsidR="007460D7" w:rsidRPr="00406651" w:rsidRDefault="007460D7" w:rsidP="00153588">
      <w:pPr>
        <w:spacing w:after="0" w:line="360" w:lineRule="auto"/>
        <w:rPr>
          <w:rFonts w:eastAsia="Times New Roman" w:cs="Tahoma"/>
          <w:bCs/>
          <w:iCs/>
          <w:color w:val="auto"/>
          <w:lang w:eastAsia="es-ES"/>
        </w:rPr>
      </w:pPr>
      <w:r w:rsidRPr="00406651">
        <w:rPr>
          <w:color w:val="auto"/>
        </w:rPr>
        <w:t xml:space="preserve">Expuestas las posturas de las partes, se procede al análisis de los agravios hechos valer por la persona Recurrente, </w:t>
      </w:r>
      <w:r w:rsidRPr="00406651">
        <w:rPr>
          <w:rFonts w:eastAsia="Times New Roman" w:cs="Tahoma"/>
          <w:bCs/>
          <w:iCs/>
          <w:color w:val="auto"/>
          <w:lang w:eastAsia="es-ES"/>
        </w:rPr>
        <w:t>por lo que, en principio es necesario contextualizar la solicitud de información.</w:t>
      </w:r>
    </w:p>
    <w:p w14:paraId="420497D4" w14:textId="77777777" w:rsidR="009E482A" w:rsidRDefault="009E482A" w:rsidP="00153588">
      <w:pPr>
        <w:spacing w:after="0" w:line="360" w:lineRule="auto"/>
        <w:rPr>
          <w:rFonts w:eastAsia="Times New Roman" w:cs="Tahoma"/>
          <w:bCs/>
          <w:iCs/>
          <w:color w:val="FF0000"/>
          <w:lang w:eastAsia="es-ES"/>
        </w:rPr>
      </w:pPr>
    </w:p>
    <w:p w14:paraId="79D69E0E" w14:textId="78ACFB5A" w:rsidR="00406651" w:rsidRDefault="00406651" w:rsidP="00153588">
      <w:pPr>
        <w:spacing w:after="0" w:line="360" w:lineRule="auto"/>
        <w:rPr>
          <w:rFonts w:eastAsia="Times New Roman" w:cs="Tahoma"/>
          <w:bCs/>
          <w:iCs/>
          <w:color w:val="FF0000"/>
          <w:lang w:eastAsia="es-ES"/>
        </w:rPr>
      </w:pPr>
      <w:r>
        <w:t>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w:t>
      </w:r>
      <w:r w:rsidR="00D77885">
        <w:t xml:space="preserve">   Administración Pública. De la misma manera, el artículo 130 de la Constitución Política del Estado Libre y Soberano de México, precisa que son </w:t>
      </w:r>
      <w:r w:rsidR="00D77885" w:rsidRPr="00D77885">
        <w:rPr>
          <w:b/>
        </w:rPr>
        <w:t>servidores públicos a todas las personas que desempeñen un empleo, cargo o comisión en los Municipios.</w:t>
      </w:r>
    </w:p>
    <w:p w14:paraId="397A8A27" w14:textId="77777777" w:rsidR="00406651" w:rsidRDefault="00406651" w:rsidP="00153588">
      <w:pPr>
        <w:spacing w:after="0" w:line="360" w:lineRule="auto"/>
        <w:rPr>
          <w:rFonts w:eastAsia="Times New Roman" w:cs="Tahoma"/>
          <w:bCs/>
          <w:iCs/>
          <w:color w:val="FF0000"/>
          <w:lang w:eastAsia="es-ES"/>
        </w:rPr>
      </w:pPr>
    </w:p>
    <w:p w14:paraId="2D12D8CE" w14:textId="77777777" w:rsidR="00406651" w:rsidRDefault="00406651" w:rsidP="00153588">
      <w:pPr>
        <w:spacing w:after="0" w:line="360" w:lineRule="auto"/>
        <w:rPr>
          <w:rFonts w:eastAsia="Times New Roman" w:cs="Tahoma"/>
          <w:bCs/>
          <w:iCs/>
          <w:color w:val="FF0000"/>
          <w:lang w:eastAsia="es-ES"/>
        </w:rPr>
      </w:pPr>
    </w:p>
    <w:p w14:paraId="47141A1F" w14:textId="218E887B" w:rsidR="00406651" w:rsidRDefault="00D77885" w:rsidP="00153588">
      <w:pPr>
        <w:spacing w:after="0" w:line="360" w:lineRule="auto"/>
      </w:pPr>
      <w:r>
        <w:lastRenderedPageBreak/>
        <w:t xml:space="preserve">Además, el artículo 4°, fracción VI, de la Ley del Trabajo de los servidores públicos del Estado y Municipios, precisa que son </w:t>
      </w:r>
      <w:r w:rsidRPr="00D77885">
        <w:rPr>
          <w:b/>
        </w:rPr>
        <w:t>servidores</w:t>
      </w:r>
      <w:r>
        <w:t xml:space="preserve"> </w:t>
      </w:r>
      <w:r w:rsidRPr="00D77885">
        <w:rPr>
          <w:b/>
        </w:rPr>
        <w:t>públicos</w:t>
      </w:r>
      <w:r>
        <w:t>, todas las personas físicas que presten a una institución pública un trabajo personal subordinado, mediante el pago de un sueldo.</w:t>
      </w:r>
    </w:p>
    <w:p w14:paraId="268D57E1" w14:textId="77777777" w:rsidR="00B21816" w:rsidRDefault="00B21816" w:rsidP="00153588">
      <w:pPr>
        <w:spacing w:after="0" w:line="360" w:lineRule="auto"/>
      </w:pPr>
    </w:p>
    <w:p w14:paraId="1771284F" w14:textId="28998307" w:rsidR="00B21816" w:rsidRDefault="00B21816" w:rsidP="00153588">
      <w:pPr>
        <w:spacing w:after="0" w:line="360" w:lineRule="auto"/>
      </w:pPr>
      <w: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44471FF" w14:textId="77777777" w:rsidR="00B21816" w:rsidRDefault="00B21816" w:rsidP="009E482A">
      <w:pPr>
        <w:spacing w:after="0" w:line="360" w:lineRule="auto"/>
        <w:rPr>
          <w:rFonts w:eastAsia="Calibri" w:cs="Times New Roman"/>
          <w:bCs/>
          <w:color w:val="FF0000"/>
          <w:lang w:val="es-ES"/>
        </w:rPr>
      </w:pPr>
    </w:p>
    <w:p w14:paraId="70D5FDEE" w14:textId="39CBB63D" w:rsidR="00B21816" w:rsidRDefault="00B21816" w:rsidP="009E482A">
      <w:pPr>
        <w:spacing w:after="0" w:line="360" w:lineRule="auto"/>
        <w:rPr>
          <w:rFonts w:eastAsia="Calibri" w:cs="Times New Roman"/>
          <w:bCs/>
          <w:color w:val="FF0000"/>
          <w:lang w:val="es-ES"/>
        </w:rPr>
      </w:pPr>
      <w: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C7B7970" w14:textId="77777777" w:rsidR="00B21816" w:rsidRDefault="00B21816" w:rsidP="009E482A">
      <w:pPr>
        <w:spacing w:after="0" w:line="360" w:lineRule="auto"/>
        <w:rPr>
          <w:rFonts w:eastAsia="Calibri" w:cs="Times New Roman"/>
          <w:bCs/>
          <w:color w:val="FF0000"/>
          <w:lang w:val="es-ES"/>
        </w:rPr>
      </w:pPr>
    </w:p>
    <w:p w14:paraId="07EE9FC6" w14:textId="59516978" w:rsidR="00B21816" w:rsidRPr="00B21816" w:rsidRDefault="00B21816" w:rsidP="009E482A">
      <w:pPr>
        <w:spacing w:after="0" w:line="360" w:lineRule="auto"/>
        <w:rPr>
          <w:rFonts w:eastAsia="Calibri" w:cs="Times New Roman"/>
          <w:b/>
          <w:bCs/>
          <w:color w:val="FF0000"/>
          <w:lang w:val="es-ES"/>
        </w:rPr>
      </w:pPr>
      <w:r>
        <w:t>Por otra parte, respecto al documento requerido, el Glosario localizado en la página de Transparencia Presupuestaria de la Secretaría de Hacienda y Crédito Público (</w:t>
      </w:r>
      <w:hyperlink r:id="rId13" w:history="1">
        <w:r w:rsidRPr="00941FB9">
          <w:rPr>
            <w:rStyle w:val="Hipervnculo"/>
          </w:rPr>
          <w:t>http://www.transparenciapresupuestaria.gob.mx/es/PTP/Glosario</w:t>
        </w:r>
      </w:hyperlink>
      <w:r>
        <w:t xml:space="preserve"> ), establece que la </w:t>
      </w:r>
      <w:r w:rsidRPr="00B21816">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874197D" w14:textId="77777777" w:rsidR="00B21816" w:rsidRDefault="00B21816" w:rsidP="009E482A">
      <w:pPr>
        <w:spacing w:after="0" w:line="360" w:lineRule="auto"/>
        <w:rPr>
          <w:rFonts w:eastAsia="Calibri" w:cs="Times New Roman"/>
          <w:bCs/>
          <w:color w:val="FF0000"/>
          <w:lang w:val="es-ES"/>
        </w:rPr>
      </w:pPr>
    </w:p>
    <w:p w14:paraId="31B01023" w14:textId="07D1CF27" w:rsidR="00B21816" w:rsidRDefault="00B21816" w:rsidP="009E482A">
      <w:pPr>
        <w:spacing w:after="0" w:line="360" w:lineRule="auto"/>
        <w:rPr>
          <w:b/>
        </w:rPr>
      </w:pPr>
      <w:r>
        <w:lastRenderedPageBreak/>
        <w:t>De la misma manera, el Glosario de términos más usuales en la Administración Pública Federal, emitido por la Secretaría de Hacienda y Crédito Público (</w:t>
      </w:r>
      <w:hyperlink r:id="rId14" w:history="1">
        <w:r w:rsidRPr="00941FB9">
          <w:rPr>
            <w:rStyle w:val="Hipervnculo"/>
          </w:rPr>
          <w:t>https://www.apartados.hacienda.gob.mx/contabilidad/documentos/informe_cuenta/1998/c uenta_publica/Glosario/n.htm</w:t>
        </w:r>
      </w:hyperlink>
      <w:r>
        <w:t xml:space="preserve"> ), establece que la</w:t>
      </w:r>
      <w:r w:rsidRPr="00B21816">
        <w:rPr>
          <w:b/>
        </w:rPr>
        <w:t xml:space="preserve"> </w:t>
      </w:r>
      <w:r w:rsidRPr="00B21816">
        <w:rPr>
          <w:b/>
          <w:u w:val="single"/>
        </w:rPr>
        <w:t>nómina es un listado</w:t>
      </w:r>
      <w:r w:rsidRPr="00B21816">
        <w:rPr>
          <w:b/>
        </w:rPr>
        <w:t xml:space="preserve"> general de los trabajadores de una institución, en el cual se asientan las percepciones brutas, deducciones y alcance neto de las mismas.</w:t>
      </w:r>
    </w:p>
    <w:p w14:paraId="23481376" w14:textId="77777777" w:rsidR="00B21816" w:rsidRDefault="00B21816" w:rsidP="009E482A">
      <w:pPr>
        <w:spacing w:after="0" w:line="360" w:lineRule="auto"/>
        <w:rPr>
          <w:b/>
        </w:rPr>
      </w:pPr>
    </w:p>
    <w:p w14:paraId="1F1F5ACE" w14:textId="3ABF4BAA" w:rsidR="00B21816" w:rsidRDefault="00B21816" w:rsidP="009E482A">
      <w:pPr>
        <w:spacing w:after="0" w:line="360" w:lineRule="auto"/>
      </w:pPr>
      <w:r>
        <w:t>Conforme a lo anterior, se puede advertir que la nómina se puede referir a lo siguiente:</w:t>
      </w:r>
    </w:p>
    <w:p w14:paraId="57C67F6A" w14:textId="77777777" w:rsidR="00B21816" w:rsidRDefault="00B21816" w:rsidP="009E482A">
      <w:pPr>
        <w:spacing w:after="0" w:line="360" w:lineRule="auto"/>
      </w:pPr>
    </w:p>
    <w:p w14:paraId="263051F6" w14:textId="77777777" w:rsidR="00B21816" w:rsidRDefault="00B21816" w:rsidP="00B21816">
      <w:pPr>
        <w:pStyle w:val="Prrafodelista"/>
        <w:numPr>
          <w:ilvl w:val="0"/>
          <w:numId w:val="46"/>
        </w:numPr>
        <w:spacing w:line="360" w:lineRule="auto"/>
        <w:rPr>
          <w:color w:val="auto"/>
        </w:rPr>
      </w:pPr>
      <w:r w:rsidRPr="00B21816">
        <w:rPr>
          <w:color w:val="auto"/>
        </w:rPr>
        <w:t>Relación de trabajadores con las percepciones monetarias de cada uno.</w:t>
      </w:r>
    </w:p>
    <w:p w14:paraId="7DCB32AC" w14:textId="77777777" w:rsidR="00B21816" w:rsidRPr="00B21816" w:rsidRDefault="00B21816" w:rsidP="00B21816">
      <w:pPr>
        <w:pStyle w:val="Prrafodelista"/>
        <w:spacing w:line="360" w:lineRule="auto"/>
        <w:rPr>
          <w:color w:val="auto"/>
        </w:rPr>
      </w:pPr>
    </w:p>
    <w:p w14:paraId="2D515D34" w14:textId="77777777" w:rsidR="00B21816" w:rsidRDefault="00B21816" w:rsidP="00B21816">
      <w:pPr>
        <w:pStyle w:val="Prrafodelista"/>
        <w:numPr>
          <w:ilvl w:val="0"/>
          <w:numId w:val="46"/>
        </w:numPr>
        <w:spacing w:line="360" w:lineRule="auto"/>
        <w:rPr>
          <w:color w:val="auto"/>
        </w:rPr>
      </w:pPr>
      <w:r w:rsidRPr="00B21816">
        <w:rPr>
          <w:color w:val="auto"/>
        </w:rPr>
        <w:t>Recibo individual que contiene las prestaciones y deducciones de un trabajador.</w:t>
      </w:r>
    </w:p>
    <w:p w14:paraId="7763DE7A" w14:textId="77777777" w:rsidR="00B21816" w:rsidRPr="00B21816" w:rsidRDefault="00B21816" w:rsidP="00B21816">
      <w:pPr>
        <w:pStyle w:val="Prrafodelista"/>
        <w:spacing w:line="360" w:lineRule="auto"/>
        <w:rPr>
          <w:color w:val="auto"/>
        </w:rPr>
      </w:pPr>
    </w:p>
    <w:p w14:paraId="7512EA5C" w14:textId="257156E1" w:rsidR="00B21816" w:rsidRPr="00B21816" w:rsidRDefault="00B21816" w:rsidP="00B21816">
      <w:pPr>
        <w:pStyle w:val="Prrafodelista"/>
        <w:numPr>
          <w:ilvl w:val="0"/>
          <w:numId w:val="46"/>
        </w:numPr>
        <w:spacing w:line="360" w:lineRule="auto"/>
        <w:rPr>
          <w:rFonts w:eastAsia="Calibri"/>
          <w:b/>
          <w:bCs/>
          <w:color w:val="auto"/>
          <w:lang w:val="es-ES"/>
        </w:rPr>
      </w:pPr>
      <w:r w:rsidRPr="00B21816">
        <w:rPr>
          <w:b/>
          <w:color w:val="auto"/>
        </w:rPr>
        <w:t>Listado general de los servidores públicos de una institución o dependencia, en el cual se asientan las percepciones brutas, deducciones y alcance neto de las mismas</w:t>
      </w:r>
    </w:p>
    <w:p w14:paraId="4D5AE109" w14:textId="77777777" w:rsidR="00B21816" w:rsidRDefault="00B21816" w:rsidP="009E482A">
      <w:pPr>
        <w:spacing w:after="0" w:line="360" w:lineRule="auto"/>
        <w:rPr>
          <w:rFonts w:eastAsia="Calibri" w:cs="Times New Roman"/>
          <w:bCs/>
          <w:color w:val="FF0000"/>
          <w:lang w:val="es-ES"/>
        </w:rPr>
      </w:pPr>
    </w:p>
    <w:p w14:paraId="536D03E9" w14:textId="158671A4" w:rsidR="004017BD" w:rsidRDefault="004017BD" w:rsidP="009E482A">
      <w:pPr>
        <w:spacing w:after="0" w:line="360" w:lineRule="auto"/>
      </w:pPr>
      <w:r>
        <w:t>En ese contexto, el Instructivo de</w:t>
      </w:r>
      <w:r w:rsidR="00596AAA">
        <w:t xml:space="preserve">l Módulo 4 “Información Administrativa”, emitidos por el Órgano Superior de Fiscalización, establece que dentro de los formatos que se remiten a dicho Órgano se encuentra la </w:t>
      </w:r>
      <w:r w:rsidR="00596AAA">
        <w:rPr>
          <w:b/>
        </w:rPr>
        <w:t xml:space="preserve">Conciliación de Nómina, </w:t>
      </w:r>
      <w:r w:rsidR="00596AAA">
        <w:t xml:space="preserve">la cual tiene como finalidad presentar el concentrado mensual de las cifras derivadas de </w:t>
      </w:r>
      <w:r w:rsidR="00596AAA" w:rsidRPr="00596AAA">
        <w:rPr>
          <w:b/>
        </w:rPr>
        <w:t>todas las erogaciones realizadas por concepto de remuneraciones al trabajo, registradas en la nómina</w:t>
      </w:r>
      <w:r w:rsidR="00596AAA">
        <w:t>; las cuales deben de coincidir con las contenidas en los registros contables, por concepto de remuneraciones al trabajo personal, los cuales se elaboran de manera mensual.</w:t>
      </w:r>
    </w:p>
    <w:p w14:paraId="61C26BBB" w14:textId="77777777" w:rsidR="00596AAA" w:rsidRDefault="00596AAA" w:rsidP="009E482A">
      <w:pPr>
        <w:spacing w:after="0" w:line="360" w:lineRule="auto"/>
      </w:pPr>
    </w:p>
    <w:p w14:paraId="7AABC5E3" w14:textId="77777777" w:rsidR="00596AAA" w:rsidRDefault="00596AAA" w:rsidP="009E482A">
      <w:pPr>
        <w:spacing w:after="0" w:line="360" w:lineRule="auto"/>
      </w:pPr>
    </w:p>
    <w:p w14:paraId="2AD39751" w14:textId="6A7DA6F1" w:rsidR="00596AAA" w:rsidRPr="00596AAA" w:rsidRDefault="00596AAA" w:rsidP="009E482A">
      <w:pPr>
        <w:spacing w:after="0" w:line="360" w:lineRule="auto"/>
      </w:pPr>
      <w:r>
        <w:lastRenderedPageBreak/>
        <w:t xml:space="preserve">En esa misma consecución de ideas, el Instructivo citado señala que dentro de los formatos que se remiten al Órgano Superior de Fiscalización se localizan </w:t>
      </w:r>
      <w:r w:rsidRPr="00596AAA">
        <w:rPr>
          <w:b/>
        </w:rPr>
        <w:t>los comprobantes bancarios de la dispersión de la nómina</w:t>
      </w:r>
      <w:r>
        <w:rPr>
          <w:b/>
        </w:rPr>
        <w:t xml:space="preserve">, </w:t>
      </w:r>
      <w:r>
        <w:t xml:space="preserve"> los cuales se deben integrar de manera quincenal en un solo documento en formato PDF el o los comprobantes que emite la institución bancaria por la(s) transferencia(s) realizadas respecto del pago de las remuneraciones de cada servidor del Ente Público, en caso de que la nómina se haya pagado mediante cheques u otra forma de pago se deberán anexar en el mismo documento.</w:t>
      </w:r>
    </w:p>
    <w:p w14:paraId="4C71096F" w14:textId="77777777" w:rsidR="004017BD" w:rsidRDefault="004017BD" w:rsidP="009E482A">
      <w:pPr>
        <w:spacing w:after="0" w:line="360" w:lineRule="auto"/>
      </w:pPr>
    </w:p>
    <w:p w14:paraId="5325736A" w14:textId="77777777" w:rsidR="00E649E8" w:rsidRDefault="00E649E8" w:rsidP="00153588">
      <w:pPr>
        <w:spacing w:after="0" w:line="360" w:lineRule="auto"/>
      </w:pPr>
      <w:r>
        <w:t>Conforme a lo anterior, se logra vislumbrar que la pretensión del ahora recurrente es obtener</w:t>
      </w:r>
      <w:r>
        <w:rPr>
          <w:rFonts w:cs="Tahoma"/>
          <w:color w:val="auto"/>
        </w:rPr>
        <w:t>la dispersión de nómina y conciliación de nómina de la primer quincena de enero a la segunda quincena de julio de dos mil veinticinco.</w:t>
      </w:r>
    </w:p>
    <w:p w14:paraId="737EA1FA" w14:textId="77777777" w:rsidR="00E649E8" w:rsidRDefault="00E649E8" w:rsidP="00153588">
      <w:pPr>
        <w:spacing w:after="0" w:line="360" w:lineRule="auto"/>
      </w:pPr>
    </w:p>
    <w:p w14:paraId="0AD71CE5" w14:textId="3733F2F8" w:rsidR="00035C18" w:rsidRPr="005258F3" w:rsidRDefault="00035C18" w:rsidP="00153588">
      <w:pPr>
        <w:spacing w:after="0" w:line="360" w:lineRule="auto"/>
        <w:rPr>
          <w:rFonts w:cs="Tahoma"/>
          <w:bCs/>
          <w:iCs/>
          <w:color w:val="FF0000"/>
          <w:lang w:val="es-ES"/>
        </w:rPr>
      </w:pPr>
      <w:r w:rsidRPr="00EF42D9">
        <w:rPr>
          <w:rFonts w:cs="Tahoma"/>
          <w:bCs/>
          <w:iCs/>
          <w:color w:val="auto"/>
          <w:lang w:val="es-ES"/>
        </w:rPr>
        <w:t xml:space="preserve">Establecida dicha circunstancia, de las constancias que obran en el expediente electrónico, se advierte </w:t>
      </w:r>
      <w:r w:rsidRPr="005258F3">
        <w:rPr>
          <w:rFonts w:cs="Tahoma"/>
          <w:bCs/>
          <w:iCs/>
          <w:color w:val="auto"/>
          <w:lang w:val="es-ES"/>
        </w:rPr>
        <w:t>que el Sujeto Obligado</w:t>
      </w:r>
      <w:r w:rsidR="00F50CB1" w:rsidRPr="005258F3">
        <w:rPr>
          <w:rFonts w:cs="Tahoma"/>
          <w:bCs/>
          <w:iCs/>
          <w:color w:val="auto"/>
          <w:lang w:val="es-ES"/>
        </w:rPr>
        <w:t xml:space="preserve"> turno la solicitud de información a </w:t>
      </w:r>
      <w:r w:rsidR="005258F3" w:rsidRPr="005258F3">
        <w:rPr>
          <w:rFonts w:cs="Tahoma"/>
          <w:bCs/>
          <w:iCs/>
          <w:color w:val="auto"/>
          <w:lang w:val="es-ES"/>
        </w:rPr>
        <w:t xml:space="preserve">la </w:t>
      </w:r>
      <w:r w:rsidR="005258F3" w:rsidRPr="005258F3">
        <w:rPr>
          <w:rFonts w:cs="Tahoma"/>
          <w:b/>
          <w:bCs/>
          <w:iCs/>
          <w:color w:val="auto"/>
          <w:lang w:val="es-ES"/>
        </w:rPr>
        <w:t>Oficialía Mayor</w:t>
      </w:r>
      <w:r w:rsidRPr="005258F3">
        <w:rPr>
          <w:rFonts w:cs="Tahoma"/>
          <w:bCs/>
          <w:iCs/>
          <w:color w:val="auto"/>
          <w:lang w:val="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97C287F" w14:textId="77777777" w:rsidR="00035C18" w:rsidRDefault="00035C18" w:rsidP="00153588">
      <w:pPr>
        <w:spacing w:after="0" w:line="360" w:lineRule="auto"/>
        <w:rPr>
          <w:rFonts w:cs="Tahoma"/>
          <w:bCs/>
          <w:iCs/>
          <w:color w:val="FF0000"/>
          <w:lang w:val="es-ES"/>
        </w:rPr>
      </w:pPr>
    </w:p>
    <w:p w14:paraId="25413E07" w14:textId="799F4914" w:rsidR="005258F3" w:rsidRDefault="005258F3" w:rsidP="00153588">
      <w:pPr>
        <w:spacing w:after="0" w:line="360" w:lineRule="auto"/>
      </w:pPr>
      <w:r>
        <w:t xml:space="preserve">Así, con la finalidad de determinar si el Sujeto Obligado cumplió con el procedimiento de búsqueda previamente establecido, es necesario traer a colación  el artículo 92 fracción III </w:t>
      </w:r>
      <w:r>
        <w:lastRenderedPageBreak/>
        <w:t xml:space="preserve">“Facultades de cada área” el </w:t>
      </w:r>
      <w:r w:rsidR="00834C0C">
        <w:t>Portal de Información Pública de Oficio Mexiquense, del Sujeto Obligado, en el cual se establece que el Sistema Municipal para el Desarrollo Integral de la Familia de Tlalnepantla de Baz, cuenta con una Oficialía Mayor, la cual s su vez cuenta con las siguientes áreas:</w:t>
      </w:r>
    </w:p>
    <w:p w14:paraId="4364C59A" w14:textId="77777777" w:rsidR="00C953CB" w:rsidRDefault="00C953CB" w:rsidP="00153588">
      <w:pPr>
        <w:spacing w:after="0" w:line="360" w:lineRule="auto"/>
      </w:pPr>
    </w:p>
    <w:p w14:paraId="6EC38E95" w14:textId="0D67AE65" w:rsidR="00834C0C" w:rsidRPr="00834C0C" w:rsidRDefault="00834C0C" w:rsidP="00834C0C">
      <w:pPr>
        <w:pStyle w:val="Prrafodelista"/>
        <w:numPr>
          <w:ilvl w:val="0"/>
          <w:numId w:val="47"/>
        </w:numPr>
        <w:spacing w:line="360" w:lineRule="auto"/>
        <w:rPr>
          <w:color w:val="auto"/>
        </w:rPr>
      </w:pPr>
      <w:r w:rsidRPr="00834C0C">
        <w:rPr>
          <w:color w:val="auto"/>
        </w:rPr>
        <w:t>Área de Recursos Financieros y Control, Presupuestario</w:t>
      </w:r>
    </w:p>
    <w:p w14:paraId="2FC028F4" w14:textId="62AC8B9B" w:rsidR="00834C0C" w:rsidRPr="00834C0C" w:rsidRDefault="00834C0C" w:rsidP="00834C0C">
      <w:pPr>
        <w:pStyle w:val="Prrafodelista"/>
        <w:numPr>
          <w:ilvl w:val="0"/>
          <w:numId w:val="47"/>
        </w:numPr>
        <w:spacing w:line="360" w:lineRule="auto"/>
        <w:rPr>
          <w:rFonts w:cs="Tahoma"/>
          <w:bCs/>
          <w:iCs/>
          <w:color w:val="auto"/>
          <w:lang w:val="es-ES"/>
        </w:rPr>
      </w:pPr>
      <w:r w:rsidRPr="00834C0C">
        <w:rPr>
          <w:rFonts w:cs="Tahoma"/>
          <w:bCs/>
          <w:iCs/>
          <w:color w:val="auto"/>
          <w:lang w:val="es-ES"/>
        </w:rPr>
        <w:t>Área de Ingresos</w:t>
      </w:r>
    </w:p>
    <w:p w14:paraId="1074B624" w14:textId="690ACD26" w:rsidR="00834C0C" w:rsidRPr="00834C0C" w:rsidRDefault="00834C0C" w:rsidP="00834C0C">
      <w:pPr>
        <w:pStyle w:val="Prrafodelista"/>
        <w:numPr>
          <w:ilvl w:val="0"/>
          <w:numId w:val="47"/>
        </w:numPr>
        <w:spacing w:line="360" w:lineRule="auto"/>
        <w:rPr>
          <w:rFonts w:cs="Tahoma"/>
          <w:bCs/>
          <w:iCs/>
          <w:color w:val="auto"/>
          <w:lang w:val="es-ES"/>
        </w:rPr>
      </w:pPr>
      <w:r w:rsidRPr="00834C0C">
        <w:rPr>
          <w:rFonts w:cs="Tahoma"/>
          <w:bCs/>
          <w:iCs/>
          <w:color w:val="auto"/>
          <w:lang w:val="es-ES"/>
        </w:rPr>
        <w:t>Área de gestión del talento humano</w:t>
      </w:r>
    </w:p>
    <w:p w14:paraId="5E6D10C8" w14:textId="6D73C400" w:rsidR="00834C0C" w:rsidRPr="00834C0C" w:rsidRDefault="00834C0C" w:rsidP="00834C0C">
      <w:pPr>
        <w:pStyle w:val="Prrafodelista"/>
        <w:numPr>
          <w:ilvl w:val="0"/>
          <w:numId w:val="47"/>
        </w:numPr>
        <w:spacing w:line="360" w:lineRule="auto"/>
        <w:rPr>
          <w:rFonts w:cs="Tahoma"/>
          <w:bCs/>
          <w:iCs/>
          <w:color w:val="auto"/>
          <w:lang w:val="es-ES"/>
        </w:rPr>
      </w:pPr>
      <w:r w:rsidRPr="00834C0C">
        <w:rPr>
          <w:rFonts w:cs="Tahoma"/>
          <w:bCs/>
          <w:iCs/>
          <w:color w:val="auto"/>
          <w:lang w:val="es-ES"/>
        </w:rPr>
        <w:t>Área de servicios generales y control vehicular</w:t>
      </w:r>
    </w:p>
    <w:p w14:paraId="75D1D845" w14:textId="726A2BAE" w:rsidR="00834C0C" w:rsidRPr="00834C0C" w:rsidRDefault="00834C0C" w:rsidP="00834C0C">
      <w:pPr>
        <w:pStyle w:val="Prrafodelista"/>
        <w:numPr>
          <w:ilvl w:val="0"/>
          <w:numId w:val="47"/>
        </w:numPr>
        <w:spacing w:line="360" w:lineRule="auto"/>
        <w:rPr>
          <w:rFonts w:cs="Tahoma"/>
          <w:bCs/>
          <w:iCs/>
          <w:color w:val="auto"/>
          <w:lang w:val="es-ES"/>
        </w:rPr>
      </w:pPr>
      <w:r w:rsidRPr="00834C0C">
        <w:rPr>
          <w:rFonts w:cs="Tahoma"/>
          <w:bCs/>
          <w:iCs/>
          <w:color w:val="auto"/>
          <w:lang w:val="es-ES"/>
        </w:rPr>
        <w:t>Área de recursos Materiales; y</w:t>
      </w:r>
    </w:p>
    <w:p w14:paraId="6E1AAD51" w14:textId="3FC64827" w:rsidR="00834C0C" w:rsidRPr="00834C0C" w:rsidRDefault="00834C0C" w:rsidP="00834C0C">
      <w:pPr>
        <w:pStyle w:val="Prrafodelista"/>
        <w:numPr>
          <w:ilvl w:val="0"/>
          <w:numId w:val="47"/>
        </w:numPr>
        <w:spacing w:line="360" w:lineRule="auto"/>
        <w:rPr>
          <w:rFonts w:cs="Tahoma"/>
          <w:bCs/>
          <w:iCs/>
          <w:color w:val="auto"/>
          <w:lang w:val="es-ES"/>
        </w:rPr>
      </w:pPr>
      <w:r w:rsidRPr="00834C0C">
        <w:rPr>
          <w:rFonts w:cs="Tahoma"/>
          <w:bCs/>
          <w:iCs/>
          <w:color w:val="auto"/>
          <w:lang w:val="es-ES"/>
        </w:rPr>
        <w:t>Área de Patrimonio</w:t>
      </w:r>
    </w:p>
    <w:p w14:paraId="52F55FB8" w14:textId="77777777" w:rsidR="005258F3" w:rsidRDefault="005258F3" w:rsidP="00153588">
      <w:pPr>
        <w:spacing w:after="0" w:line="360" w:lineRule="auto"/>
        <w:rPr>
          <w:rFonts w:cs="Tahoma"/>
          <w:bCs/>
          <w:iCs/>
          <w:color w:val="FF0000"/>
          <w:lang w:val="es-ES"/>
        </w:rPr>
      </w:pPr>
    </w:p>
    <w:p w14:paraId="3FE30257" w14:textId="1AD3DA03" w:rsidR="00834C0C" w:rsidRDefault="00834C0C" w:rsidP="00153588">
      <w:pPr>
        <w:spacing w:after="0" w:line="360" w:lineRule="auto"/>
        <w:rPr>
          <w:rFonts w:cs="Tahoma"/>
          <w:b/>
          <w:bCs/>
          <w:iCs/>
          <w:color w:val="auto"/>
          <w:lang w:val="es-ES"/>
        </w:rPr>
      </w:pPr>
      <w:r w:rsidRPr="00834C0C">
        <w:rPr>
          <w:rFonts w:cs="Tahoma"/>
          <w:bCs/>
          <w:iCs/>
          <w:color w:val="auto"/>
          <w:lang w:val="es-ES"/>
        </w:rPr>
        <w:t xml:space="preserve">Siendo el </w:t>
      </w:r>
      <w:r w:rsidRPr="00834C0C">
        <w:rPr>
          <w:rFonts w:cs="Tahoma"/>
          <w:b/>
          <w:bCs/>
          <w:iCs/>
          <w:color w:val="auto"/>
          <w:u w:val="single"/>
          <w:lang w:val="es-ES"/>
        </w:rPr>
        <w:t>área de gestión de talento humano</w:t>
      </w:r>
      <w:r>
        <w:rPr>
          <w:rFonts w:cs="Tahoma"/>
          <w:b/>
          <w:bCs/>
          <w:iCs/>
          <w:color w:val="auto"/>
          <w:lang w:val="es-ES"/>
        </w:rPr>
        <w:t xml:space="preserve"> la encargada de </w:t>
      </w:r>
      <w:r w:rsidRPr="00834C0C">
        <w:rPr>
          <w:rFonts w:cs="Tahoma"/>
          <w:b/>
          <w:bCs/>
          <w:iCs/>
          <w:color w:val="auto"/>
          <w:lang w:val="es-ES"/>
        </w:rPr>
        <w:t>programar, supervisar y controlar el oportuno procesamiento y emisión de la nómina quincenal</w:t>
      </w:r>
      <w:r>
        <w:rPr>
          <w:rFonts w:cs="Tahoma"/>
          <w:b/>
          <w:bCs/>
          <w:iCs/>
          <w:color w:val="auto"/>
          <w:lang w:val="es-ES"/>
        </w:rPr>
        <w:t xml:space="preserve">, realizar la dispersión de nómina </w:t>
      </w:r>
      <w:r w:rsidRPr="00834C0C">
        <w:rPr>
          <w:rFonts w:cs="Tahoma"/>
          <w:b/>
          <w:bCs/>
          <w:iCs/>
          <w:color w:val="auto"/>
          <w:lang w:val="es-ES"/>
        </w:rPr>
        <w:t>prima vacacional, aguinaldo u otros a las personas servido</w:t>
      </w:r>
      <w:r>
        <w:rPr>
          <w:rFonts w:cs="Tahoma"/>
          <w:b/>
          <w:bCs/>
          <w:iCs/>
          <w:color w:val="auto"/>
          <w:lang w:val="es-ES"/>
        </w:rPr>
        <w:t xml:space="preserve">ras públicas del Sistema Municipal, así como </w:t>
      </w:r>
      <w:r w:rsidRPr="00834C0C">
        <w:rPr>
          <w:rFonts w:cs="Tahoma"/>
          <w:b/>
          <w:bCs/>
          <w:iCs/>
          <w:color w:val="auto"/>
          <w:lang w:val="es-ES"/>
        </w:rPr>
        <w:t>llevar a cabo la gestión de la entrega de los recibos de nómina</w:t>
      </w:r>
      <w:r>
        <w:rPr>
          <w:rFonts w:cs="Tahoma"/>
          <w:b/>
          <w:bCs/>
          <w:iCs/>
          <w:color w:val="auto"/>
          <w:lang w:val="es-ES"/>
        </w:rPr>
        <w:t>.</w:t>
      </w:r>
    </w:p>
    <w:p w14:paraId="4C5F61EE" w14:textId="77777777" w:rsidR="00834C0C" w:rsidRDefault="00834C0C" w:rsidP="00153588">
      <w:pPr>
        <w:spacing w:after="0" w:line="360" w:lineRule="auto"/>
        <w:rPr>
          <w:rFonts w:cs="Tahoma"/>
          <w:b/>
          <w:bCs/>
          <w:iCs/>
          <w:color w:val="auto"/>
          <w:lang w:val="es-ES"/>
        </w:rPr>
      </w:pPr>
    </w:p>
    <w:p w14:paraId="023CD430" w14:textId="30DB61A8" w:rsidR="00834C0C" w:rsidRDefault="00313C68" w:rsidP="00153588">
      <w:pPr>
        <w:spacing w:after="0" w:line="360" w:lineRule="auto"/>
      </w:pPr>
      <w:r w:rsidRPr="00313C68">
        <w:rPr>
          <w:rFonts w:cs="Tahoma"/>
          <w:bCs/>
          <w:iCs/>
          <w:color w:val="auto"/>
          <w:lang w:val="es-ES"/>
        </w:rPr>
        <w:t xml:space="preserve">Mientras que el </w:t>
      </w:r>
      <w:r w:rsidRPr="00313C68">
        <w:rPr>
          <w:rFonts w:cs="Tahoma"/>
          <w:b/>
          <w:bCs/>
          <w:iCs/>
          <w:color w:val="auto"/>
          <w:lang w:val="es-ES"/>
        </w:rPr>
        <w:t xml:space="preserve">área de recursos financieros y control </w:t>
      </w:r>
      <w:r w:rsidR="008D21F0" w:rsidRPr="00313C68">
        <w:rPr>
          <w:rFonts w:cs="Tahoma"/>
          <w:b/>
          <w:bCs/>
          <w:iCs/>
          <w:color w:val="auto"/>
          <w:lang w:val="es-ES"/>
        </w:rPr>
        <w:t>presupuestario</w:t>
      </w:r>
      <w:r w:rsidRPr="00313C68">
        <w:rPr>
          <w:rFonts w:cs="Tahoma"/>
          <w:b/>
          <w:bCs/>
          <w:iCs/>
          <w:color w:val="auto"/>
          <w:lang w:val="es-ES"/>
        </w:rPr>
        <w:t xml:space="preserve"> </w:t>
      </w:r>
      <w:r w:rsidRPr="00313C68">
        <w:rPr>
          <w:rFonts w:cs="Tahoma"/>
          <w:bCs/>
          <w:iCs/>
          <w:color w:val="auto"/>
          <w:lang w:val="es-ES"/>
        </w:rPr>
        <w:t xml:space="preserve">es el área encargada de determinar y </w:t>
      </w:r>
      <w:r w:rsidRPr="00313C68">
        <w:rPr>
          <w:rFonts w:cs="Tahoma"/>
          <w:b/>
          <w:bCs/>
          <w:iCs/>
          <w:color w:val="auto"/>
          <w:lang w:val="es-ES"/>
        </w:rPr>
        <w:t>efectuar los pagos</w:t>
      </w:r>
      <w:r w:rsidRPr="00313C68">
        <w:rPr>
          <w:rFonts w:cs="Tahoma"/>
          <w:bCs/>
          <w:iCs/>
          <w:color w:val="auto"/>
          <w:lang w:val="es-ES"/>
        </w:rPr>
        <w:t xml:space="preserve"> en general con base a los presupuestos aprobados y a la liquidez</w:t>
      </w:r>
      <w:r>
        <w:rPr>
          <w:rFonts w:cs="Tahoma"/>
          <w:bCs/>
          <w:iCs/>
          <w:color w:val="auto"/>
          <w:lang w:val="es-ES"/>
        </w:rPr>
        <w:t xml:space="preserve"> del Sistema Municipal, </w:t>
      </w:r>
      <w:r w:rsidR="00790A15">
        <w:rPr>
          <w:rFonts w:cs="Tahoma"/>
          <w:bCs/>
          <w:iCs/>
          <w:color w:val="auto"/>
          <w:lang w:val="es-ES"/>
        </w:rPr>
        <w:t xml:space="preserve">así como de </w:t>
      </w:r>
      <w:r w:rsidR="00790A15" w:rsidRPr="00790A15">
        <w:rPr>
          <w:rFonts w:cs="Tahoma"/>
          <w:bCs/>
          <w:iCs/>
          <w:color w:val="auto"/>
          <w:lang w:val="es-ES"/>
        </w:rPr>
        <w:t>la integración y presentación del informe trimestral y la cuenta pública ante el</w:t>
      </w:r>
      <w:r w:rsidR="00790A15">
        <w:rPr>
          <w:rFonts w:cs="Tahoma"/>
          <w:bCs/>
          <w:iCs/>
          <w:color w:val="auto"/>
          <w:lang w:val="es-ES"/>
        </w:rPr>
        <w:t xml:space="preserve"> </w:t>
      </w:r>
      <w:r w:rsidR="00790A15">
        <w:t>Órgano Superior de Fiscalización.</w:t>
      </w:r>
    </w:p>
    <w:p w14:paraId="4C7763C2" w14:textId="77777777" w:rsidR="00C953CB" w:rsidRPr="00313C68" w:rsidRDefault="00C953CB" w:rsidP="00153588">
      <w:pPr>
        <w:spacing w:after="0" w:line="360" w:lineRule="auto"/>
        <w:rPr>
          <w:rFonts w:cs="Tahoma"/>
          <w:bCs/>
          <w:iCs/>
          <w:color w:val="auto"/>
          <w:lang w:val="es-ES"/>
        </w:rPr>
      </w:pPr>
    </w:p>
    <w:p w14:paraId="1B3AE6B1" w14:textId="77777777" w:rsidR="00C953CB" w:rsidRDefault="00035C18" w:rsidP="00153588">
      <w:pPr>
        <w:spacing w:after="0" w:line="360" w:lineRule="auto"/>
        <w:rPr>
          <w:rFonts w:cs="Tahoma"/>
          <w:bCs/>
          <w:iCs/>
          <w:color w:val="FF0000"/>
          <w:lang w:val="es-ES"/>
        </w:rPr>
      </w:pPr>
      <w:r w:rsidRPr="00C953CB">
        <w:rPr>
          <w:rFonts w:cs="Tahoma"/>
          <w:bCs/>
          <w:iCs/>
          <w:color w:val="auto"/>
          <w:lang w:val="es-ES"/>
        </w:rPr>
        <w:t>Así y de lo plasmado en párrafos anteriores, se logra colegir que el Sujeto Obligad</w:t>
      </w:r>
      <w:r w:rsidR="00F50CB1" w:rsidRPr="00C953CB">
        <w:rPr>
          <w:rFonts w:cs="Tahoma"/>
          <w:bCs/>
          <w:iCs/>
          <w:color w:val="auto"/>
          <w:lang w:val="es-ES"/>
        </w:rPr>
        <w:t>o</w:t>
      </w:r>
      <w:r w:rsidRPr="00C953CB">
        <w:rPr>
          <w:rFonts w:cs="Tahoma"/>
          <w:bCs/>
          <w:iCs/>
          <w:color w:val="auto"/>
          <w:lang w:val="es-ES"/>
        </w:rPr>
        <w:t xml:space="preserve"> cumplió con el procedimiento de búsqueda establecido en el artículo 162 de la Ley de Transparencia </w:t>
      </w:r>
      <w:r w:rsidRPr="00C953CB">
        <w:rPr>
          <w:rFonts w:cs="Tahoma"/>
          <w:bCs/>
          <w:iCs/>
          <w:color w:val="auto"/>
          <w:lang w:val="es-ES"/>
        </w:rPr>
        <w:lastRenderedPageBreak/>
        <w:t xml:space="preserve">y Acceso a la Información Pública del Estado de México y Municipios, toda vez, que gestionó el requerimiento de información </w:t>
      </w:r>
      <w:r w:rsidR="00F50CB1" w:rsidRPr="00C953CB">
        <w:rPr>
          <w:rFonts w:cs="Tahoma"/>
          <w:bCs/>
          <w:iCs/>
          <w:color w:val="auto"/>
          <w:lang w:val="es-ES"/>
        </w:rPr>
        <w:t>al área competente de conocer de la información solicitada.</w:t>
      </w:r>
      <w:r w:rsidR="00F54470" w:rsidRPr="00C953CB">
        <w:rPr>
          <w:rFonts w:cs="Tahoma"/>
          <w:bCs/>
          <w:iCs/>
          <w:color w:val="auto"/>
          <w:lang w:val="es-ES"/>
        </w:rPr>
        <w:t xml:space="preserve"> </w:t>
      </w:r>
    </w:p>
    <w:p w14:paraId="1C180D4F" w14:textId="77777777" w:rsidR="00C953CB" w:rsidRDefault="00C953CB" w:rsidP="00153588">
      <w:pPr>
        <w:spacing w:after="0" w:line="360" w:lineRule="auto"/>
        <w:rPr>
          <w:rFonts w:cs="Tahoma"/>
          <w:bCs/>
          <w:iCs/>
          <w:color w:val="FF0000"/>
          <w:lang w:val="es-ES"/>
        </w:rPr>
      </w:pPr>
    </w:p>
    <w:p w14:paraId="78BDAF75" w14:textId="3DB0C647" w:rsidR="005A6533" w:rsidRDefault="00F54470" w:rsidP="00153588">
      <w:pPr>
        <w:spacing w:after="0" w:line="360" w:lineRule="auto"/>
        <w:rPr>
          <w:rFonts w:cs="Tahoma"/>
          <w:bCs/>
          <w:iCs/>
          <w:color w:val="auto"/>
          <w:lang w:val="es-ES"/>
        </w:rPr>
      </w:pPr>
      <w:r w:rsidRPr="00C953CB">
        <w:rPr>
          <w:rFonts w:cs="Tahoma"/>
          <w:bCs/>
          <w:iCs/>
          <w:color w:val="auto"/>
          <w:lang w:val="es-ES"/>
        </w:rPr>
        <w:t>Por lo que, es procedente realizar un análisis por puntos conforme a lo siguiente:</w:t>
      </w:r>
    </w:p>
    <w:p w14:paraId="2498D101" w14:textId="77777777" w:rsidR="00C953CB" w:rsidRDefault="00C953CB" w:rsidP="00153588">
      <w:pPr>
        <w:spacing w:after="0" w:line="360" w:lineRule="auto"/>
        <w:rPr>
          <w:rFonts w:cs="Tahoma"/>
          <w:bCs/>
          <w:iCs/>
          <w:color w:val="auto"/>
          <w:lang w:val="es-ES"/>
        </w:rPr>
      </w:pPr>
    </w:p>
    <w:p w14:paraId="1596CEB6" w14:textId="6CA24A30" w:rsidR="00C953CB" w:rsidRDefault="00C953CB" w:rsidP="00153588">
      <w:pPr>
        <w:spacing w:after="0" w:line="360" w:lineRule="auto"/>
        <w:rPr>
          <w:rFonts w:cs="Tahoma"/>
          <w:b/>
          <w:bCs/>
          <w:iCs/>
          <w:color w:val="auto"/>
          <w:lang w:val="es-ES"/>
        </w:rPr>
      </w:pPr>
      <w:r>
        <w:rPr>
          <w:rFonts w:cs="Tahoma"/>
          <w:b/>
          <w:bCs/>
          <w:iCs/>
          <w:color w:val="auto"/>
          <w:lang w:val="es-ES"/>
        </w:rPr>
        <w:t>Conciliación de Nómina</w:t>
      </w:r>
    </w:p>
    <w:p w14:paraId="2905178A" w14:textId="77777777" w:rsidR="00C953CB" w:rsidRPr="00C953CB" w:rsidRDefault="00C953CB" w:rsidP="00153588">
      <w:pPr>
        <w:spacing w:after="0" w:line="360" w:lineRule="auto"/>
        <w:rPr>
          <w:rFonts w:cs="Tahoma"/>
          <w:b/>
          <w:bCs/>
          <w:iCs/>
          <w:color w:val="auto"/>
          <w:lang w:val="es-ES"/>
        </w:rPr>
      </w:pPr>
    </w:p>
    <w:p w14:paraId="6716DBEF" w14:textId="43CB7B7A" w:rsidR="00F54470" w:rsidRDefault="00325CBA" w:rsidP="00153588">
      <w:pPr>
        <w:spacing w:after="0" w:line="360" w:lineRule="auto"/>
        <w:rPr>
          <w:color w:val="auto"/>
        </w:rPr>
      </w:pPr>
      <w:r w:rsidRPr="00C21DD7">
        <w:rPr>
          <w:color w:val="auto"/>
        </w:rPr>
        <w:t>En respuesta, el Sujeto Obligado, adjuntó la conciliación de nómina de la primera y segunda quincena de los meses de enero, febrero, marzo, abril, mayo y junio</w:t>
      </w:r>
      <w:r>
        <w:rPr>
          <w:color w:val="auto"/>
        </w:rPr>
        <w:t>, además mediante informe justificado proporciono la conciliación de nómina de la primera quincena de julio de dos mil veinticinco</w:t>
      </w:r>
      <w:r w:rsidR="00E05FBB">
        <w:rPr>
          <w:color w:val="auto"/>
        </w:rPr>
        <w:t>, en versión pública la cual será analizada en párrafos posteriores.</w:t>
      </w:r>
    </w:p>
    <w:p w14:paraId="53569385" w14:textId="77777777" w:rsidR="00325CBA" w:rsidRDefault="00325CBA" w:rsidP="00153588">
      <w:pPr>
        <w:spacing w:after="0" w:line="360" w:lineRule="auto"/>
        <w:rPr>
          <w:color w:val="auto"/>
        </w:rPr>
      </w:pPr>
    </w:p>
    <w:p w14:paraId="3B662DE2" w14:textId="6F4B8253" w:rsidR="00325CBA" w:rsidRDefault="00325CBA" w:rsidP="00153588">
      <w:pPr>
        <w:spacing w:after="0" w:line="360" w:lineRule="auto"/>
      </w:pPr>
      <w:r>
        <w:t>Conforme a lo anterior, se logra advertir que si bien el Sujeto Obligado proporcionó parte de la información solicitada, la misma no puede validarse por las siguientes consideraciones:</w:t>
      </w:r>
    </w:p>
    <w:p w14:paraId="6C3C15C4" w14:textId="77777777" w:rsidR="00325CBA" w:rsidRDefault="00325CBA" w:rsidP="00153588">
      <w:pPr>
        <w:spacing w:after="0" w:line="360" w:lineRule="auto"/>
        <w:rPr>
          <w:color w:val="auto"/>
        </w:rPr>
      </w:pPr>
    </w:p>
    <w:p w14:paraId="3AB5D39E" w14:textId="3D4D327B" w:rsidR="00325CBA" w:rsidRPr="00E05FBB" w:rsidRDefault="00325CBA" w:rsidP="00E05FBB">
      <w:pPr>
        <w:pStyle w:val="Prrafodelista"/>
        <w:numPr>
          <w:ilvl w:val="0"/>
          <w:numId w:val="48"/>
        </w:numPr>
        <w:spacing w:line="360" w:lineRule="auto"/>
        <w:rPr>
          <w:color w:val="auto"/>
        </w:rPr>
      </w:pPr>
      <w:r w:rsidRPr="00E05FBB">
        <w:rPr>
          <w:color w:val="auto"/>
        </w:rPr>
        <w:t>El Sujeto Obligado fue omiso en proporcionar la conciliación de nómina  de la segunda quincena de julio de dos mil veinticinco.</w:t>
      </w:r>
    </w:p>
    <w:p w14:paraId="768E894E" w14:textId="5CD1A49D" w:rsidR="00325CBA" w:rsidRPr="00E05FBB" w:rsidRDefault="00E05FBB" w:rsidP="00E05FBB">
      <w:pPr>
        <w:pStyle w:val="Prrafodelista"/>
        <w:numPr>
          <w:ilvl w:val="0"/>
          <w:numId w:val="48"/>
        </w:numPr>
        <w:spacing w:line="360" w:lineRule="auto"/>
        <w:rPr>
          <w:color w:val="auto"/>
        </w:rPr>
      </w:pPr>
      <w:r w:rsidRPr="00E05FBB">
        <w:rPr>
          <w:color w:val="auto"/>
        </w:rPr>
        <w:t>No se tiene certeza que el número de cheque o referencia bancaria testado en las conciliaciones remitidas, constituya un dato de naturaleza privada.</w:t>
      </w:r>
    </w:p>
    <w:p w14:paraId="55367B3B" w14:textId="77777777" w:rsidR="00325CBA" w:rsidRDefault="00325CBA" w:rsidP="00153588">
      <w:pPr>
        <w:spacing w:after="0" w:line="360" w:lineRule="auto"/>
        <w:rPr>
          <w:color w:val="auto"/>
        </w:rPr>
      </w:pPr>
    </w:p>
    <w:p w14:paraId="64D02958" w14:textId="3AFAA095" w:rsidR="00666624" w:rsidRDefault="00666624" w:rsidP="00153588">
      <w:pPr>
        <w:spacing w:after="0" w:line="360" w:lineRule="auto"/>
      </w:pPr>
      <w:r>
        <w:t>Así, para atender al requerimiento en análisis, se considera que el Sujeto Obligado deberá realizar una búsqueda exhaustiva y razonable en</w:t>
      </w:r>
      <w:r w:rsidRPr="00666624">
        <w:t xml:space="preserve"> </w:t>
      </w:r>
      <w:r>
        <w:t xml:space="preserve">todas sus áreas competentes, dentro de las cuales no podrá omitir a Oficialía Mayor, a efecto de que proporcione la conciliación de nómina de los servidores públicos adscritos al </w:t>
      </w:r>
      <w:r w:rsidR="00C74D12" w:rsidRPr="00C74D12">
        <w:t xml:space="preserve">Sistema Municipal para el Desarrollo Integral de la Familia de Tlalnepantla de Baz </w:t>
      </w:r>
      <w:r w:rsidRPr="00C74D12">
        <w:t>correspondiente</w:t>
      </w:r>
      <w:r>
        <w:t xml:space="preserve"> a la segunda quincena de julio de dos </w:t>
      </w:r>
      <w:r>
        <w:lastRenderedPageBreak/>
        <w:t xml:space="preserve">mil veinticinco, así mismo, en el caso de que el </w:t>
      </w:r>
      <w:r w:rsidRPr="00E05FBB">
        <w:rPr>
          <w:color w:val="auto"/>
        </w:rPr>
        <w:t>número de cheque o referencia bancaria</w:t>
      </w:r>
      <w:r w:rsidRPr="00666624">
        <w:rPr>
          <w:color w:val="auto"/>
        </w:rPr>
        <w:t xml:space="preserve"> </w:t>
      </w:r>
      <w:r w:rsidRPr="00E05FBB">
        <w:rPr>
          <w:color w:val="auto"/>
        </w:rPr>
        <w:t>testado en las conciliaciones remitidas</w:t>
      </w:r>
      <w:r>
        <w:rPr>
          <w:color w:val="auto"/>
        </w:rPr>
        <w:t xml:space="preserve"> no constituya un dato de naturaleza privada, deberá entregar dichas conciliaciones de manera correcta; </w:t>
      </w:r>
      <w: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402B157" w14:textId="77777777" w:rsidR="00666624" w:rsidRDefault="00666624" w:rsidP="00153588">
      <w:pPr>
        <w:spacing w:after="0" w:line="360" w:lineRule="auto"/>
      </w:pPr>
    </w:p>
    <w:p w14:paraId="265A560F" w14:textId="3A40D930" w:rsidR="00666624" w:rsidRDefault="001A5CAA" w:rsidP="00153588">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sidRPr="001A5CAA">
        <w:rPr>
          <w:i/>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64D8E332" w14:textId="77777777" w:rsidR="001A5CAA" w:rsidRDefault="001A5CAA" w:rsidP="00153588">
      <w:pPr>
        <w:spacing w:after="0" w:line="360" w:lineRule="auto"/>
      </w:pPr>
    </w:p>
    <w:p w14:paraId="6F90F06B" w14:textId="7691D226" w:rsidR="001A5CAA" w:rsidRDefault="00DF5DA9" w:rsidP="00153588">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conciliación de nómina faltante y de ser necesario las remitidas en respuesta como en informe justificado de manera correcta.</w:t>
      </w:r>
    </w:p>
    <w:p w14:paraId="4C113AFE" w14:textId="77777777" w:rsidR="00756910" w:rsidRDefault="00756910" w:rsidP="00153588">
      <w:pPr>
        <w:spacing w:after="0" w:line="360" w:lineRule="auto"/>
      </w:pPr>
    </w:p>
    <w:p w14:paraId="4C10FB23" w14:textId="30478E43" w:rsidR="00756910" w:rsidRDefault="00BB4DBC" w:rsidP="00153588">
      <w:pPr>
        <w:spacing w:after="0" w:line="360" w:lineRule="auto"/>
        <w:rPr>
          <w:b/>
        </w:rPr>
      </w:pPr>
      <w:r>
        <w:rPr>
          <w:b/>
        </w:rPr>
        <w:t>Dispersión de nómina</w:t>
      </w:r>
    </w:p>
    <w:p w14:paraId="44297D53" w14:textId="77777777" w:rsidR="00BB4DBC" w:rsidRDefault="00BB4DBC" w:rsidP="00153588">
      <w:pPr>
        <w:spacing w:after="0" w:line="360" w:lineRule="auto"/>
        <w:rPr>
          <w:b/>
        </w:rPr>
      </w:pPr>
    </w:p>
    <w:p w14:paraId="06B9C2F4" w14:textId="5300DBB5" w:rsidR="00BB4DBC" w:rsidRDefault="00BB4DBC" w:rsidP="00153588">
      <w:pPr>
        <w:spacing w:after="0" w:line="360" w:lineRule="auto"/>
        <w:rPr>
          <w:color w:val="auto"/>
        </w:rPr>
      </w:pPr>
      <w:r w:rsidRPr="00BB4DBC">
        <w:lastRenderedPageBreak/>
        <w:t>Al respecto</w:t>
      </w:r>
      <w:r>
        <w:t>,</w:t>
      </w:r>
      <w:r w:rsidRPr="00BB4DBC">
        <w:t xml:space="preserve"> el </w:t>
      </w:r>
      <w:r w:rsidRPr="00C21DD7">
        <w:rPr>
          <w:color w:val="auto"/>
        </w:rPr>
        <w:t xml:space="preserve">Sujeto Obligado, </w:t>
      </w:r>
      <w:r w:rsidR="004D646D">
        <w:rPr>
          <w:color w:val="auto"/>
        </w:rPr>
        <w:t xml:space="preserve"> en respuesta </w:t>
      </w:r>
      <w:r w:rsidRPr="00C21DD7">
        <w:rPr>
          <w:color w:val="auto"/>
        </w:rPr>
        <w:t>adjuntó</w:t>
      </w:r>
      <w:r w:rsidRPr="00BB4DBC">
        <w:rPr>
          <w:color w:val="auto"/>
        </w:rPr>
        <w:t xml:space="preserve"> </w:t>
      </w:r>
      <w:r w:rsidRPr="00C21DD7">
        <w:rPr>
          <w:color w:val="auto"/>
        </w:rPr>
        <w:t>los reportes de operaciones de Santander (Dispersión de Nómina) de la primera y segunda quincena de los meses</w:t>
      </w:r>
      <w:r>
        <w:rPr>
          <w:color w:val="auto"/>
        </w:rPr>
        <w:t xml:space="preserve"> </w:t>
      </w:r>
      <w:r w:rsidRPr="00C21DD7">
        <w:rPr>
          <w:color w:val="auto"/>
        </w:rPr>
        <w:t>de enero, febrero, marzo, abril, mayo y junio</w:t>
      </w:r>
      <w:r w:rsidR="004D646D">
        <w:rPr>
          <w:color w:val="auto"/>
        </w:rPr>
        <w:t xml:space="preserve"> así como </w:t>
      </w:r>
      <w:r w:rsidR="004D646D" w:rsidRPr="00C21DD7">
        <w:rPr>
          <w:color w:val="auto"/>
        </w:rPr>
        <w:t>comprobantes de pago de nómina de Santander y BBVA de algunos servidores públicos de la primera y segunda quincena de los meses de febrero, marzo, abril, mayo y junio, así como la primer quincena de enero</w:t>
      </w:r>
      <w:r w:rsidR="004D646D">
        <w:rPr>
          <w:color w:val="auto"/>
        </w:rPr>
        <w:t>.</w:t>
      </w:r>
    </w:p>
    <w:p w14:paraId="62F97FC0" w14:textId="77777777" w:rsidR="004D646D" w:rsidRDefault="004D646D" w:rsidP="00153588">
      <w:pPr>
        <w:spacing w:after="0" w:line="360" w:lineRule="auto"/>
        <w:rPr>
          <w:color w:val="auto"/>
        </w:rPr>
      </w:pPr>
    </w:p>
    <w:p w14:paraId="18A6D027" w14:textId="51166A97" w:rsidR="004D646D" w:rsidRDefault="004D646D" w:rsidP="00153588">
      <w:pPr>
        <w:spacing w:after="0" w:line="360" w:lineRule="auto"/>
        <w:rPr>
          <w:color w:val="auto"/>
        </w:rPr>
      </w:pPr>
      <w:r>
        <w:rPr>
          <w:color w:val="auto"/>
        </w:rPr>
        <w:t xml:space="preserve">Además, durante la sustanciación del Recurso de Revisión remitió </w:t>
      </w:r>
      <w:r w:rsidRPr="00C21DD7">
        <w:rPr>
          <w:rFonts w:eastAsia="Calibri" w:cs="Tahoma"/>
          <w:color w:val="auto"/>
        </w:rPr>
        <w:t xml:space="preserve">el </w:t>
      </w:r>
      <w:r w:rsidRPr="00C21DD7">
        <w:rPr>
          <w:color w:val="auto"/>
        </w:rPr>
        <w:t>Reporte de Operaciones de Santander  (Dispersión de Nómina) y comprobantes de pago de nómina BBVA</w:t>
      </w:r>
      <w:r w:rsidRPr="004D646D">
        <w:rPr>
          <w:color w:val="auto"/>
        </w:rPr>
        <w:t xml:space="preserve"> </w:t>
      </w:r>
      <w:r w:rsidRPr="00C21DD7">
        <w:rPr>
          <w:color w:val="auto"/>
        </w:rPr>
        <w:t>de la primera quincena de julio de dos mil veinticinco</w:t>
      </w:r>
      <w:r>
        <w:rPr>
          <w:color w:val="auto"/>
        </w:rPr>
        <w:t>.</w:t>
      </w:r>
    </w:p>
    <w:p w14:paraId="64040F80" w14:textId="77777777" w:rsidR="004D646D" w:rsidRDefault="004D646D" w:rsidP="00153588">
      <w:pPr>
        <w:spacing w:after="0" w:line="360" w:lineRule="auto"/>
        <w:rPr>
          <w:color w:val="auto"/>
        </w:rPr>
      </w:pPr>
    </w:p>
    <w:p w14:paraId="5FF5306A" w14:textId="514311B6" w:rsidR="004D646D" w:rsidRDefault="004D646D" w:rsidP="00153588">
      <w:pPr>
        <w:spacing w:after="0" w:line="360" w:lineRule="auto"/>
        <w:rPr>
          <w:color w:val="auto"/>
        </w:rPr>
      </w:pPr>
      <w:r>
        <w:t xml:space="preserve">Conforme a lo anterior, se logra advertir que si bien el Sujeto Obligado proporcionó parte de la información solicitada, la misma no puede validarse toda vez que, si bien, el Sistema Municipal para el Desarrollo Integral de la familia remitió los comprobantes de la dispersión de nómina de la primera y segunda quincena de los meses </w:t>
      </w:r>
      <w:r w:rsidRPr="00C21DD7">
        <w:rPr>
          <w:color w:val="auto"/>
        </w:rPr>
        <w:t>enero, febrero, marzo, abril, mayo y junio</w:t>
      </w:r>
      <w:r>
        <w:rPr>
          <w:color w:val="auto"/>
        </w:rPr>
        <w:t>, en los mismos se testaron datos de naturaleza pública los cuales se analizaran en párrafos que anteceden y en el caso de los remitidos en informe justificado se testaron de manera  incorrecta, pues al copiar y pegar los datos testados, se pueden tener a la vista por lo que no se hicieron del conocimiento de la persona Particular.</w:t>
      </w:r>
    </w:p>
    <w:p w14:paraId="2A9C96ED" w14:textId="77777777" w:rsidR="004D646D" w:rsidRDefault="004D646D" w:rsidP="00153588">
      <w:pPr>
        <w:spacing w:after="0" w:line="360" w:lineRule="auto"/>
        <w:rPr>
          <w:color w:val="auto"/>
        </w:rPr>
      </w:pPr>
    </w:p>
    <w:p w14:paraId="133E07CA" w14:textId="3401E115" w:rsidR="00325CBA" w:rsidRDefault="004D646D" w:rsidP="00153588">
      <w:pPr>
        <w:spacing w:after="0" w:line="360" w:lineRule="auto"/>
      </w:pPr>
      <w:r>
        <w:rPr>
          <w:color w:val="auto"/>
        </w:rPr>
        <w:t xml:space="preserve">A lo anterior se suma que el Sujeto Obligado fue omiso en proporcionar los </w:t>
      </w:r>
      <w:r w:rsidRPr="004D646D">
        <w:t>comprobantes bancarios de la dispersión de la nómina</w:t>
      </w:r>
      <w:r>
        <w:t xml:space="preserve"> de la segunda quincena de julio.</w:t>
      </w:r>
    </w:p>
    <w:p w14:paraId="65B2CC88" w14:textId="77777777" w:rsidR="004D646D" w:rsidRPr="00F648B2" w:rsidRDefault="004D646D" w:rsidP="00153588">
      <w:pPr>
        <w:spacing w:after="0" w:line="360" w:lineRule="auto"/>
        <w:rPr>
          <w:rFonts w:cs="Tahoma"/>
          <w:bCs/>
          <w:iCs/>
          <w:color w:val="FF0000"/>
          <w:lang w:val="es-ES"/>
        </w:rPr>
      </w:pPr>
    </w:p>
    <w:p w14:paraId="150B63AA" w14:textId="5AABBC98" w:rsidR="004D646D" w:rsidRPr="004D646D" w:rsidRDefault="004D646D" w:rsidP="004D646D">
      <w:pPr>
        <w:spacing w:after="0" w:line="360" w:lineRule="auto"/>
      </w:pPr>
      <w:r w:rsidRPr="004D646D">
        <w:rPr>
          <w:color w:val="auto"/>
        </w:rPr>
        <w:t>Por lo que, para atender al requerimiento en análisis, se considera que el Sujeto Obligado deberá realizar una búsqueda exhaustiva y razonable en todas sus áreas competentes, dentro de las cuales no podrá omitir a Oficialía Mayor, a efecto de que proporcione</w:t>
      </w:r>
      <w:r>
        <w:rPr>
          <w:color w:val="auto"/>
        </w:rPr>
        <w:t xml:space="preserve"> los </w:t>
      </w:r>
      <w:r w:rsidRPr="004D646D">
        <w:t xml:space="preserve">comprobantes </w:t>
      </w:r>
      <w:r w:rsidRPr="004D646D">
        <w:lastRenderedPageBreak/>
        <w:t>bancarios de la dispersión de la nómina</w:t>
      </w:r>
      <w:r>
        <w:t xml:space="preserve"> entregados en respuesta como en informe justificado de manera correcta, así como los correspondientes a la segunda quincena de julio de dos mil veinticinco, con el fin de dar cumplimiento a los artículos 12 y 160 de la Ley de la materia.</w:t>
      </w:r>
    </w:p>
    <w:p w14:paraId="64C711D2" w14:textId="77777777" w:rsidR="004D646D" w:rsidRDefault="004D646D" w:rsidP="00722FE8">
      <w:pPr>
        <w:spacing w:after="0" w:line="360" w:lineRule="auto"/>
        <w:rPr>
          <w:color w:val="FF0000"/>
        </w:rPr>
      </w:pPr>
    </w:p>
    <w:p w14:paraId="4A871470" w14:textId="7D4A5514" w:rsidR="00722FE8" w:rsidRPr="00B24195" w:rsidRDefault="00722FE8" w:rsidP="00722FE8">
      <w:pPr>
        <w:spacing w:after="0" w:line="360" w:lineRule="auto"/>
        <w:rPr>
          <w:color w:val="auto"/>
        </w:rPr>
      </w:pPr>
      <w:r w:rsidRPr="003B2F9A">
        <w:rPr>
          <w:color w:val="auto"/>
        </w:rPr>
        <w:t>De lo anterior se observa que, el Sujeto Obligado entregó</w:t>
      </w:r>
      <w:r w:rsidR="003B2F9A" w:rsidRPr="003B2F9A">
        <w:rPr>
          <w:color w:val="auto"/>
        </w:rPr>
        <w:t xml:space="preserve"> documentos</w:t>
      </w:r>
      <w:r w:rsidRPr="003B2F9A">
        <w:rPr>
          <w:color w:val="auto"/>
        </w:rPr>
        <w:t xml:space="preserve">, </w:t>
      </w:r>
      <w:r w:rsidR="003B2F9A" w:rsidRPr="003B2F9A">
        <w:rPr>
          <w:color w:val="auto"/>
        </w:rPr>
        <w:t xml:space="preserve">en los que sé </w:t>
      </w:r>
      <w:r w:rsidRPr="003B2F9A">
        <w:rPr>
          <w:color w:val="auto"/>
        </w:rPr>
        <w:t xml:space="preserve">que </w:t>
      </w:r>
      <w:r w:rsidRPr="00B24195">
        <w:rPr>
          <w:color w:val="auto"/>
        </w:rPr>
        <w:t>testaron los siguientes datos:</w:t>
      </w:r>
    </w:p>
    <w:p w14:paraId="43384A29" w14:textId="77777777" w:rsidR="00722FE8" w:rsidRPr="00B24195" w:rsidRDefault="00722FE8" w:rsidP="00722FE8">
      <w:pPr>
        <w:spacing w:after="0" w:line="360" w:lineRule="auto"/>
        <w:rPr>
          <w:color w:val="FF0000"/>
        </w:rPr>
      </w:pPr>
    </w:p>
    <w:p w14:paraId="29E90FC6" w14:textId="77777777" w:rsidR="00722FE8" w:rsidRPr="00B24195" w:rsidRDefault="00722FE8" w:rsidP="00722FE8">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Clave Única de Registro de Población (CURP);</w:t>
      </w:r>
    </w:p>
    <w:p w14:paraId="6D0EE7E8" w14:textId="77777777" w:rsidR="00722FE8" w:rsidRPr="00B24195" w:rsidRDefault="00722FE8" w:rsidP="00722FE8">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Registro Federal de Contribuyentes del servidor público (RFC);</w:t>
      </w:r>
    </w:p>
    <w:p w14:paraId="6FE3AC55" w14:textId="77777777" w:rsidR="00722FE8" w:rsidRPr="00B24195" w:rsidRDefault="00722FE8" w:rsidP="00722FE8">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Número de seguridad social del Instituto de Seguridad Social del Estado de México y Municipios;</w:t>
      </w:r>
    </w:p>
    <w:p w14:paraId="0C573F3B" w14:textId="77777777" w:rsidR="00722FE8" w:rsidRPr="00B24195" w:rsidRDefault="00722FE8" w:rsidP="00722FE8">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Deducciones personales;</w:t>
      </w:r>
    </w:p>
    <w:p w14:paraId="4D91C9BD" w14:textId="22E9DE9D" w:rsidR="00722FE8" w:rsidRPr="00B24195" w:rsidRDefault="003B2F9A" w:rsidP="003B2F9A">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Cuenta Bancaria de servidores públicos;</w:t>
      </w:r>
    </w:p>
    <w:p w14:paraId="010DF3FF" w14:textId="45161470" w:rsidR="003B2F9A" w:rsidRPr="00B24195" w:rsidRDefault="003B2F9A" w:rsidP="003B2F9A">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Cuenta Bancaria del Municipio;</w:t>
      </w:r>
    </w:p>
    <w:p w14:paraId="7B1ADBCF" w14:textId="2E5CC310" w:rsidR="003B2F9A" w:rsidRPr="00B24195" w:rsidRDefault="003B2F9A" w:rsidP="003B2F9A">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 xml:space="preserve">Número de contrato; y </w:t>
      </w:r>
    </w:p>
    <w:p w14:paraId="1FA3C36F" w14:textId="771BAEF9" w:rsidR="003B2F9A" w:rsidRPr="00B24195" w:rsidRDefault="003B2F9A" w:rsidP="003B2F9A">
      <w:pPr>
        <w:numPr>
          <w:ilvl w:val="0"/>
          <w:numId w:val="33"/>
        </w:numPr>
        <w:spacing w:after="0" w:line="360" w:lineRule="auto"/>
        <w:contextualSpacing/>
        <w:rPr>
          <w:rFonts w:eastAsia="Times New Roman" w:cs="Times New Roman"/>
          <w:color w:val="auto"/>
          <w:szCs w:val="24"/>
          <w:lang w:eastAsia="es-ES"/>
        </w:rPr>
      </w:pPr>
      <w:r w:rsidRPr="00B24195">
        <w:rPr>
          <w:rFonts w:eastAsia="Times New Roman" w:cs="Times New Roman"/>
          <w:color w:val="auto"/>
          <w:szCs w:val="24"/>
          <w:lang w:eastAsia="es-ES"/>
        </w:rPr>
        <w:t>Número de cheque o referencia bancario.</w:t>
      </w:r>
    </w:p>
    <w:p w14:paraId="7C147293" w14:textId="77777777" w:rsidR="003B2F9A" w:rsidRPr="003B2F9A" w:rsidRDefault="003B2F9A" w:rsidP="003B2F9A">
      <w:pPr>
        <w:spacing w:after="0" w:line="360" w:lineRule="auto"/>
        <w:ind w:left="720"/>
        <w:contextualSpacing/>
        <w:rPr>
          <w:rFonts w:eastAsia="Times New Roman" w:cs="Times New Roman"/>
          <w:color w:val="auto"/>
          <w:szCs w:val="24"/>
          <w:lang w:eastAsia="es-ES"/>
        </w:rPr>
      </w:pPr>
    </w:p>
    <w:p w14:paraId="355B688A" w14:textId="77777777" w:rsidR="00722FE8" w:rsidRPr="004A0C16" w:rsidRDefault="00722FE8" w:rsidP="00722FE8">
      <w:pPr>
        <w:spacing w:after="0" w:line="360" w:lineRule="auto"/>
        <w:ind w:right="-28"/>
        <w:rPr>
          <w:color w:val="auto"/>
        </w:rPr>
      </w:pPr>
      <w:r w:rsidRPr="004A0C16">
        <w:rPr>
          <w:color w:val="auto"/>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0EC64DF4" w14:textId="77777777" w:rsidR="00722FE8" w:rsidRPr="004A0C16" w:rsidRDefault="00722FE8" w:rsidP="00722FE8">
      <w:pPr>
        <w:spacing w:after="0" w:line="360" w:lineRule="auto"/>
        <w:rPr>
          <w:color w:val="auto"/>
        </w:rPr>
      </w:pPr>
    </w:p>
    <w:p w14:paraId="68A9389E" w14:textId="77777777" w:rsidR="00722FE8" w:rsidRPr="004A0C16" w:rsidRDefault="00722FE8" w:rsidP="00722FE8">
      <w:pPr>
        <w:spacing w:after="0" w:line="360" w:lineRule="auto"/>
        <w:rPr>
          <w:color w:val="auto"/>
        </w:rPr>
      </w:pPr>
      <w:r w:rsidRPr="004A0C16">
        <w:rPr>
          <w:color w:val="auto"/>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w:t>
      </w:r>
      <w:r w:rsidRPr="004A0C16">
        <w:rPr>
          <w:color w:val="auto"/>
        </w:rPr>
        <w:lastRenderedPageBreak/>
        <w:t>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EEE0155" w14:textId="77777777" w:rsidR="00722FE8" w:rsidRPr="004A0C16" w:rsidRDefault="00722FE8" w:rsidP="00722FE8">
      <w:pPr>
        <w:spacing w:after="0" w:line="360" w:lineRule="auto"/>
        <w:rPr>
          <w:color w:val="auto"/>
        </w:rPr>
      </w:pPr>
    </w:p>
    <w:p w14:paraId="4BB5DDFD" w14:textId="77777777" w:rsidR="00722FE8" w:rsidRPr="004A0C16" w:rsidRDefault="00722FE8" w:rsidP="00722FE8">
      <w:pPr>
        <w:spacing w:after="0" w:line="360" w:lineRule="auto"/>
        <w:rPr>
          <w:color w:val="auto"/>
        </w:rPr>
      </w:pPr>
      <w:r w:rsidRPr="004A0C16">
        <w:rPr>
          <w:color w:val="auto"/>
        </w:rPr>
        <w:t>En términos de lo expuesto, la documentación y aquellos datos que se consideren confidenciales, serán una limitante del derecho de acceso a la información, siempre y cuando:</w:t>
      </w:r>
    </w:p>
    <w:p w14:paraId="1B121106" w14:textId="77777777" w:rsidR="00722FE8" w:rsidRPr="004A0C16" w:rsidRDefault="00722FE8" w:rsidP="00722FE8">
      <w:pPr>
        <w:spacing w:after="0" w:line="360" w:lineRule="auto"/>
        <w:rPr>
          <w:color w:val="auto"/>
        </w:rPr>
      </w:pPr>
    </w:p>
    <w:p w14:paraId="1F23CC0D" w14:textId="77777777" w:rsidR="00722FE8" w:rsidRPr="004A0C16" w:rsidRDefault="00722FE8" w:rsidP="00722FE8">
      <w:pPr>
        <w:numPr>
          <w:ilvl w:val="0"/>
          <w:numId w:val="34"/>
        </w:numPr>
        <w:spacing w:after="0" w:line="360" w:lineRule="auto"/>
        <w:rPr>
          <w:color w:val="auto"/>
        </w:rPr>
      </w:pPr>
      <w:r w:rsidRPr="004A0C16">
        <w:rPr>
          <w:color w:val="auto"/>
        </w:rPr>
        <w:t xml:space="preserve">Se trate de datos personales o información privada; esto es, información concerniente a una persona física o jurídico colectiva y que esta sea identificada o identificable. </w:t>
      </w:r>
    </w:p>
    <w:p w14:paraId="3B57E364" w14:textId="77777777" w:rsidR="00722FE8" w:rsidRPr="004A0C16" w:rsidRDefault="00722FE8" w:rsidP="00722FE8">
      <w:pPr>
        <w:numPr>
          <w:ilvl w:val="0"/>
          <w:numId w:val="34"/>
        </w:numPr>
        <w:spacing w:after="0" w:line="360" w:lineRule="auto"/>
        <w:rPr>
          <w:color w:val="auto"/>
        </w:rPr>
      </w:pPr>
      <w:r w:rsidRPr="004A0C16">
        <w:rPr>
          <w:color w:val="auto"/>
        </w:rPr>
        <w:t xml:space="preserve">Para la difusión de los datos, se requiera el consentimiento del titular. </w:t>
      </w:r>
    </w:p>
    <w:p w14:paraId="35BB56E9" w14:textId="77777777" w:rsidR="00722FE8" w:rsidRPr="004A0C16" w:rsidRDefault="00722FE8" w:rsidP="00722FE8">
      <w:pPr>
        <w:spacing w:after="0" w:line="360" w:lineRule="auto"/>
        <w:rPr>
          <w:color w:val="auto"/>
        </w:rPr>
      </w:pPr>
    </w:p>
    <w:p w14:paraId="6F01EB7A" w14:textId="77777777" w:rsidR="00722FE8" w:rsidRPr="004A0C16" w:rsidRDefault="00722FE8" w:rsidP="00722FE8">
      <w:pPr>
        <w:spacing w:after="0" w:line="360" w:lineRule="auto"/>
        <w:rPr>
          <w:color w:val="auto"/>
        </w:rPr>
      </w:pPr>
      <w:r w:rsidRPr="004A0C16">
        <w:rPr>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7B3A86C" w14:textId="77777777" w:rsidR="00722FE8" w:rsidRPr="004A0C16" w:rsidRDefault="00722FE8" w:rsidP="00722FE8">
      <w:pPr>
        <w:spacing w:after="0" w:line="360" w:lineRule="auto"/>
        <w:rPr>
          <w:color w:val="auto"/>
        </w:rPr>
      </w:pPr>
    </w:p>
    <w:p w14:paraId="02510FE1" w14:textId="77777777" w:rsidR="00722FE8" w:rsidRPr="004A0C16" w:rsidRDefault="00722FE8" w:rsidP="00722FE8">
      <w:pPr>
        <w:spacing w:after="0" w:line="360" w:lineRule="auto"/>
        <w:rPr>
          <w:color w:val="auto"/>
        </w:rPr>
      </w:pPr>
      <w:r w:rsidRPr="004A0C16">
        <w:rPr>
          <w:color w:val="auto"/>
        </w:rPr>
        <w:t>Además, en el artículo 5° de dicho ordenamiento jurídico, establece que es la Ley aplicable para todo tratamiento de datos personales.</w:t>
      </w:r>
    </w:p>
    <w:p w14:paraId="7ADAD9A4" w14:textId="77777777" w:rsidR="00722FE8" w:rsidRPr="004A0C16" w:rsidRDefault="00722FE8" w:rsidP="00722FE8">
      <w:pPr>
        <w:spacing w:after="0" w:line="360" w:lineRule="auto"/>
        <w:rPr>
          <w:color w:val="auto"/>
        </w:rPr>
      </w:pPr>
    </w:p>
    <w:p w14:paraId="38DC5D8B" w14:textId="77777777" w:rsidR="00722FE8" w:rsidRPr="004A0C16" w:rsidRDefault="00722FE8" w:rsidP="00722FE8">
      <w:pPr>
        <w:spacing w:after="0" w:line="360" w:lineRule="auto"/>
        <w:rPr>
          <w:color w:val="auto"/>
        </w:rPr>
      </w:pPr>
      <w:r w:rsidRPr="004A0C16">
        <w:rPr>
          <w:color w:val="auto"/>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8FD7CBA" w14:textId="77777777" w:rsidR="00722FE8" w:rsidRPr="004A0C16" w:rsidRDefault="00722FE8" w:rsidP="00722FE8">
      <w:pPr>
        <w:spacing w:after="0" w:line="360" w:lineRule="auto"/>
        <w:rPr>
          <w:color w:val="auto"/>
        </w:rPr>
      </w:pPr>
    </w:p>
    <w:p w14:paraId="2FA6E69B" w14:textId="77777777" w:rsidR="00722FE8" w:rsidRPr="004A0C16" w:rsidRDefault="00722FE8" w:rsidP="00722FE8">
      <w:pPr>
        <w:spacing w:after="0" w:line="360" w:lineRule="auto"/>
        <w:rPr>
          <w:color w:val="auto"/>
        </w:rPr>
      </w:pPr>
      <w:r w:rsidRPr="004A0C16">
        <w:rPr>
          <w:color w:val="auto"/>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0E985AD" w14:textId="77777777" w:rsidR="00722FE8" w:rsidRPr="004A0C16" w:rsidRDefault="00722FE8" w:rsidP="00722FE8">
      <w:pPr>
        <w:spacing w:after="0" w:line="360" w:lineRule="auto"/>
        <w:rPr>
          <w:color w:val="auto"/>
        </w:rPr>
      </w:pPr>
    </w:p>
    <w:p w14:paraId="09BA0EA0" w14:textId="77777777" w:rsidR="00722FE8" w:rsidRPr="004A0C16" w:rsidRDefault="00722FE8" w:rsidP="00722FE8">
      <w:pPr>
        <w:numPr>
          <w:ilvl w:val="0"/>
          <w:numId w:val="36"/>
        </w:numPr>
        <w:spacing w:after="0" w:line="360" w:lineRule="auto"/>
        <w:rPr>
          <w:b/>
          <w:color w:val="auto"/>
        </w:rPr>
      </w:pPr>
      <w:r w:rsidRPr="004A0C16">
        <w:rPr>
          <w:b/>
          <w:color w:val="auto"/>
        </w:rPr>
        <w:t>Clave Única de Registro de Población (CURP)</w:t>
      </w:r>
    </w:p>
    <w:p w14:paraId="41CFBC42" w14:textId="77777777" w:rsidR="00722FE8" w:rsidRPr="004A0C16" w:rsidRDefault="00722FE8" w:rsidP="00722FE8">
      <w:pPr>
        <w:spacing w:after="0" w:line="360" w:lineRule="auto"/>
        <w:rPr>
          <w:color w:val="auto"/>
        </w:rPr>
      </w:pPr>
    </w:p>
    <w:p w14:paraId="5976094A" w14:textId="77777777" w:rsidR="00722FE8" w:rsidRPr="004A0C16" w:rsidRDefault="00722FE8" w:rsidP="00722FE8">
      <w:pPr>
        <w:spacing w:after="0" w:line="360" w:lineRule="auto"/>
        <w:rPr>
          <w:color w:val="auto"/>
        </w:rPr>
      </w:pPr>
      <w:r w:rsidRPr="004A0C16">
        <w:rPr>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04F4981" w14:textId="77777777" w:rsidR="00722FE8" w:rsidRPr="004A0C16" w:rsidRDefault="00722FE8" w:rsidP="00722FE8">
      <w:pPr>
        <w:spacing w:after="0" w:line="360" w:lineRule="auto"/>
        <w:rPr>
          <w:color w:val="auto"/>
        </w:rPr>
      </w:pPr>
    </w:p>
    <w:p w14:paraId="1CC3A9BD" w14:textId="77777777" w:rsidR="00722FE8" w:rsidRPr="004A0C16" w:rsidRDefault="00722FE8" w:rsidP="00722FE8">
      <w:pPr>
        <w:spacing w:after="0" w:line="360" w:lineRule="auto"/>
        <w:rPr>
          <w:color w:val="auto"/>
        </w:rPr>
      </w:pPr>
      <w:r w:rsidRPr="004A0C16">
        <w:rPr>
          <w:color w:val="auto"/>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w:t>
      </w:r>
      <w:r w:rsidRPr="004A0C16">
        <w:rPr>
          <w:color w:val="auto"/>
        </w:rPr>
        <w:lastRenderedPageBreak/>
        <w:t>de Población a todas las personas residentes en el país, así como a los mexicanos que residan en el extranjero.</w:t>
      </w:r>
    </w:p>
    <w:p w14:paraId="19538344" w14:textId="77777777" w:rsidR="00722FE8" w:rsidRPr="004A0C16" w:rsidRDefault="00722FE8" w:rsidP="00722FE8">
      <w:pPr>
        <w:spacing w:after="0" w:line="360" w:lineRule="auto"/>
        <w:rPr>
          <w:color w:val="auto"/>
        </w:rPr>
      </w:pPr>
    </w:p>
    <w:p w14:paraId="33DF85BF" w14:textId="0678E241" w:rsidR="00722FE8" w:rsidRPr="004A0C16" w:rsidRDefault="00722FE8" w:rsidP="00722FE8">
      <w:pPr>
        <w:spacing w:after="0" w:line="360" w:lineRule="auto"/>
        <w:rPr>
          <w:color w:val="auto"/>
        </w:rPr>
      </w:pPr>
      <w:r w:rsidRPr="004A0C16">
        <w:rPr>
          <w:color w:val="auto"/>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A0C16">
        <w:rPr>
          <w:b/>
          <w:color w:val="auto"/>
        </w:rPr>
        <w:t>se generan a partir de los datos contenidos en el documento probatorio de la identidad</w:t>
      </w:r>
      <w:r w:rsidRPr="004A0C16">
        <w:rPr>
          <w:color w:val="auto"/>
        </w:rPr>
        <w:t xml:space="preserve"> </w:t>
      </w:r>
      <w:r w:rsidRPr="004A0C16">
        <w:rPr>
          <w:b/>
          <w:color w:val="auto"/>
        </w:rPr>
        <w:t xml:space="preserve">del interesado </w:t>
      </w:r>
      <w:r w:rsidRPr="004A0C16">
        <w:rPr>
          <w:color w:val="auto"/>
        </w:rPr>
        <w:t>(acta de nacimiento, carta de naturalización o documento migratorio) de la siguiente forma:</w:t>
      </w:r>
    </w:p>
    <w:p w14:paraId="211AB326" w14:textId="77777777" w:rsidR="00722FE8" w:rsidRPr="004A0C16" w:rsidRDefault="00722FE8" w:rsidP="00722FE8">
      <w:pPr>
        <w:spacing w:after="0" w:line="360" w:lineRule="auto"/>
        <w:rPr>
          <w:color w:val="auto"/>
        </w:rPr>
      </w:pPr>
    </w:p>
    <w:p w14:paraId="18578C94" w14:textId="77777777" w:rsidR="00722FE8" w:rsidRPr="004A0C16" w:rsidRDefault="00722FE8" w:rsidP="00722FE8">
      <w:pPr>
        <w:numPr>
          <w:ilvl w:val="0"/>
          <w:numId w:val="37"/>
        </w:numPr>
        <w:spacing w:after="0" w:line="360" w:lineRule="auto"/>
        <w:rPr>
          <w:color w:val="auto"/>
        </w:rPr>
      </w:pPr>
      <w:r w:rsidRPr="004A0C16">
        <w:rPr>
          <w:color w:val="auto"/>
        </w:rPr>
        <w:t>El primero y segundo apellidos, así como al nombre de pila;</w:t>
      </w:r>
    </w:p>
    <w:p w14:paraId="71B8C016" w14:textId="77777777" w:rsidR="00722FE8" w:rsidRPr="004A0C16" w:rsidRDefault="00722FE8" w:rsidP="00722FE8">
      <w:pPr>
        <w:numPr>
          <w:ilvl w:val="0"/>
          <w:numId w:val="37"/>
        </w:numPr>
        <w:spacing w:after="0" w:line="360" w:lineRule="auto"/>
        <w:rPr>
          <w:color w:val="auto"/>
        </w:rPr>
      </w:pPr>
      <w:r w:rsidRPr="004A0C16">
        <w:rPr>
          <w:color w:val="auto"/>
        </w:rPr>
        <w:t>La fecha de nacimiento;</w:t>
      </w:r>
    </w:p>
    <w:p w14:paraId="57AE0048" w14:textId="77777777" w:rsidR="00722FE8" w:rsidRPr="004A0C16" w:rsidRDefault="00722FE8" w:rsidP="00722FE8">
      <w:pPr>
        <w:numPr>
          <w:ilvl w:val="0"/>
          <w:numId w:val="37"/>
        </w:numPr>
        <w:spacing w:after="0" w:line="360" w:lineRule="auto"/>
        <w:rPr>
          <w:color w:val="auto"/>
        </w:rPr>
      </w:pPr>
      <w:r w:rsidRPr="004A0C16">
        <w:rPr>
          <w:color w:val="auto"/>
        </w:rPr>
        <w:t>El sexo, y</w:t>
      </w:r>
    </w:p>
    <w:p w14:paraId="494DA066" w14:textId="77777777" w:rsidR="00722FE8" w:rsidRPr="004A0C16" w:rsidRDefault="00722FE8" w:rsidP="00722FE8">
      <w:pPr>
        <w:numPr>
          <w:ilvl w:val="0"/>
          <w:numId w:val="37"/>
        </w:numPr>
        <w:spacing w:after="0" w:line="360" w:lineRule="auto"/>
        <w:rPr>
          <w:color w:val="auto"/>
        </w:rPr>
      </w:pPr>
      <w:r w:rsidRPr="004A0C16">
        <w:rPr>
          <w:color w:val="auto"/>
        </w:rPr>
        <w:t>La entidad federativa de nacimiento.</w:t>
      </w:r>
    </w:p>
    <w:p w14:paraId="420F4584" w14:textId="77777777" w:rsidR="00722FE8" w:rsidRPr="004A0C16" w:rsidRDefault="00722FE8" w:rsidP="00722FE8">
      <w:pPr>
        <w:spacing w:after="0" w:line="360" w:lineRule="auto"/>
        <w:rPr>
          <w:color w:val="auto"/>
        </w:rPr>
      </w:pPr>
    </w:p>
    <w:p w14:paraId="5EEAB856" w14:textId="77777777" w:rsidR="00722FE8" w:rsidRPr="004A0C16" w:rsidRDefault="00722FE8" w:rsidP="00722FE8">
      <w:pPr>
        <w:spacing w:after="0" w:line="360" w:lineRule="auto"/>
        <w:rPr>
          <w:color w:val="auto"/>
        </w:rPr>
      </w:pPr>
      <w:r w:rsidRPr="004A0C16">
        <w:rPr>
          <w:color w:val="auto"/>
        </w:rPr>
        <w:t>Los dos últimos elementos de la Clave Única de Registro de Población evitan la duplicidad de la Clave y garantizan su correcta integración.</w:t>
      </w:r>
    </w:p>
    <w:p w14:paraId="6DAE9DD8" w14:textId="77777777" w:rsidR="00722FE8" w:rsidRPr="004A0C16" w:rsidRDefault="00722FE8" w:rsidP="00722FE8">
      <w:pPr>
        <w:spacing w:after="0" w:line="360" w:lineRule="auto"/>
        <w:rPr>
          <w:color w:val="auto"/>
        </w:rPr>
      </w:pPr>
    </w:p>
    <w:p w14:paraId="5EEA692B" w14:textId="77777777" w:rsidR="00722FE8" w:rsidRPr="004A0C16" w:rsidRDefault="00722FE8" w:rsidP="00722FE8">
      <w:pPr>
        <w:spacing w:after="0" w:line="360" w:lineRule="auto"/>
        <w:rPr>
          <w:color w:val="auto"/>
        </w:rPr>
      </w:pPr>
      <w:r w:rsidRPr="004A0C16">
        <w:rPr>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1D180A5" w14:textId="77777777" w:rsidR="00722FE8" w:rsidRPr="004A0C16" w:rsidRDefault="00722FE8" w:rsidP="00722FE8">
      <w:pPr>
        <w:spacing w:after="0" w:line="360" w:lineRule="auto"/>
        <w:rPr>
          <w:color w:val="auto"/>
        </w:rPr>
      </w:pPr>
    </w:p>
    <w:p w14:paraId="3D41149B" w14:textId="77777777" w:rsidR="00722FE8" w:rsidRPr="004A0C16" w:rsidRDefault="00722FE8" w:rsidP="00722FE8">
      <w:pPr>
        <w:spacing w:after="0" w:line="360" w:lineRule="auto"/>
        <w:rPr>
          <w:color w:val="auto"/>
        </w:rPr>
      </w:pPr>
      <w:r w:rsidRPr="004A0C16">
        <w:rPr>
          <w:color w:val="auto"/>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04C04FE9" w14:textId="77777777" w:rsidR="00722FE8" w:rsidRPr="004A0C16" w:rsidRDefault="00722FE8" w:rsidP="00722FE8">
      <w:pPr>
        <w:spacing w:after="0" w:line="360" w:lineRule="auto"/>
        <w:ind w:left="567" w:right="567"/>
        <w:rPr>
          <w:color w:val="auto"/>
          <w:sz w:val="20"/>
          <w:szCs w:val="20"/>
        </w:rPr>
      </w:pPr>
    </w:p>
    <w:p w14:paraId="60C649B3" w14:textId="77777777" w:rsidR="00722FE8" w:rsidRPr="004A0C16" w:rsidRDefault="00722FE8" w:rsidP="00722FE8">
      <w:pPr>
        <w:spacing w:after="0" w:line="360" w:lineRule="auto"/>
        <w:ind w:left="567" w:right="567"/>
        <w:rPr>
          <w:i/>
          <w:color w:val="auto"/>
          <w:sz w:val="20"/>
          <w:szCs w:val="20"/>
        </w:rPr>
      </w:pPr>
      <w:r w:rsidRPr="004A0C16">
        <w:rPr>
          <w:b/>
          <w:i/>
          <w:color w:val="auto"/>
          <w:sz w:val="20"/>
          <w:szCs w:val="20"/>
        </w:rPr>
        <w:t xml:space="preserve">“Clave Única de Registro de Población (CURP). </w:t>
      </w:r>
      <w:r w:rsidRPr="004A0C16">
        <w:rPr>
          <w:i/>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20650BD" w14:textId="77777777" w:rsidR="00722FE8" w:rsidRPr="004A0C16" w:rsidRDefault="00722FE8" w:rsidP="00722FE8">
      <w:pPr>
        <w:spacing w:after="0" w:line="360" w:lineRule="auto"/>
        <w:rPr>
          <w:color w:val="auto"/>
        </w:rPr>
      </w:pPr>
    </w:p>
    <w:p w14:paraId="37542E0A" w14:textId="77777777" w:rsidR="00722FE8" w:rsidRPr="004A0C16" w:rsidRDefault="00722FE8" w:rsidP="00722FE8">
      <w:pPr>
        <w:spacing w:after="0" w:line="360" w:lineRule="auto"/>
        <w:rPr>
          <w:color w:val="auto"/>
        </w:rPr>
      </w:pPr>
      <w:r w:rsidRPr="004A0C16">
        <w:rPr>
          <w:color w:val="auto"/>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3770522" w14:textId="77777777" w:rsidR="00722FE8" w:rsidRPr="004A0C16" w:rsidRDefault="00722FE8" w:rsidP="00722FE8">
      <w:pPr>
        <w:spacing w:after="0" w:line="360" w:lineRule="auto"/>
        <w:rPr>
          <w:color w:val="auto"/>
        </w:rPr>
      </w:pPr>
    </w:p>
    <w:p w14:paraId="780CB879" w14:textId="77777777" w:rsidR="00722FE8" w:rsidRPr="004A0C16" w:rsidRDefault="00722FE8" w:rsidP="00722FE8">
      <w:pPr>
        <w:numPr>
          <w:ilvl w:val="0"/>
          <w:numId w:val="36"/>
        </w:numPr>
        <w:spacing w:after="0" w:line="360" w:lineRule="auto"/>
        <w:rPr>
          <w:b/>
          <w:color w:val="auto"/>
        </w:rPr>
      </w:pPr>
      <w:r w:rsidRPr="004A0C16">
        <w:rPr>
          <w:b/>
          <w:color w:val="auto"/>
        </w:rPr>
        <w:t>Registro Federal de Contribuyentes (RFC)</w:t>
      </w:r>
    </w:p>
    <w:p w14:paraId="1B0DF2F8" w14:textId="77777777" w:rsidR="00722FE8" w:rsidRPr="004A0C16" w:rsidRDefault="00722FE8" w:rsidP="00722FE8">
      <w:pPr>
        <w:spacing w:after="0" w:line="360" w:lineRule="auto"/>
        <w:rPr>
          <w:color w:val="auto"/>
        </w:rPr>
      </w:pPr>
    </w:p>
    <w:p w14:paraId="012ED510" w14:textId="77777777" w:rsidR="00722FE8" w:rsidRPr="004A0C16" w:rsidRDefault="00722FE8" w:rsidP="00722FE8">
      <w:pPr>
        <w:spacing w:after="0" w:line="360" w:lineRule="auto"/>
        <w:rPr>
          <w:color w:val="auto"/>
        </w:rPr>
      </w:pPr>
      <w:r w:rsidRPr="004A0C16">
        <w:rPr>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CB0666E" w14:textId="77777777" w:rsidR="00722FE8" w:rsidRPr="004A0C16" w:rsidRDefault="00722FE8" w:rsidP="00722FE8">
      <w:pPr>
        <w:spacing w:after="0" w:line="360" w:lineRule="auto"/>
        <w:rPr>
          <w:color w:val="auto"/>
        </w:rPr>
      </w:pPr>
    </w:p>
    <w:p w14:paraId="16567CD4" w14:textId="77777777" w:rsidR="00722FE8" w:rsidRPr="004A0C16" w:rsidRDefault="00722FE8" w:rsidP="00722FE8">
      <w:pPr>
        <w:spacing w:after="0" w:line="360" w:lineRule="auto"/>
        <w:rPr>
          <w:color w:val="auto"/>
        </w:rPr>
      </w:pPr>
      <w:r w:rsidRPr="004A0C16">
        <w:rPr>
          <w:color w:val="auto"/>
        </w:rPr>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EFFA191" w14:textId="77777777" w:rsidR="00722FE8" w:rsidRPr="004A0C16" w:rsidRDefault="00722FE8" w:rsidP="00722FE8">
      <w:pPr>
        <w:spacing w:after="0" w:line="360" w:lineRule="auto"/>
        <w:rPr>
          <w:color w:val="auto"/>
        </w:rPr>
      </w:pPr>
    </w:p>
    <w:p w14:paraId="7FE5F543" w14:textId="77777777" w:rsidR="00722FE8" w:rsidRPr="004A0C16" w:rsidRDefault="00722FE8" w:rsidP="00722FE8">
      <w:pPr>
        <w:spacing w:after="0" w:line="360" w:lineRule="auto"/>
        <w:rPr>
          <w:color w:val="auto"/>
        </w:rPr>
      </w:pPr>
      <w:r w:rsidRPr="004A0C16">
        <w:rPr>
          <w:color w:val="auto"/>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3FF1762" w14:textId="77777777" w:rsidR="00722FE8" w:rsidRPr="004A0C16" w:rsidRDefault="00722FE8" w:rsidP="00722FE8">
      <w:pPr>
        <w:spacing w:after="0" w:line="360" w:lineRule="auto"/>
        <w:rPr>
          <w:color w:val="auto"/>
        </w:rPr>
      </w:pPr>
    </w:p>
    <w:p w14:paraId="5C30D0CF" w14:textId="77777777" w:rsidR="00722FE8" w:rsidRPr="004A0C16" w:rsidRDefault="00722FE8" w:rsidP="00722FE8">
      <w:pPr>
        <w:spacing w:after="0" w:line="360" w:lineRule="auto"/>
        <w:rPr>
          <w:color w:val="auto"/>
        </w:rPr>
      </w:pPr>
      <w:r w:rsidRPr="004A0C16">
        <w:rPr>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7C7769B" w14:textId="77777777" w:rsidR="00722FE8" w:rsidRPr="004A0C16" w:rsidRDefault="00722FE8" w:rsidP="00722FE8">
      <w:pPr>
        <w:spacing w:after="0" w:line="360" w:lineRule="auto"/>
        <w:rPr>
          <w:color w:val="auto"/>
        </w:rPr>
      </w:pPr>
    </w:p>
    <w:p w14:paraId="1A1DF73F" w14:textId="77777777" w:rsidR="00722FE8" w:rsidRPr="004A0C16" w:rsidRDefault="00722FE8" w:rsidP="00722FE8">
      <w:pPr>
        <w:spacing w:after="0" w:line="360" w:lineRule="auto"/>
        <w:rPr>
          <w:color w:val="auto"/>
        </w:rPr>
      </w:pPr>
      <w:r w:rsidRPr="004A0C16">
        <w:rPr>
          <w:color w:val="auto"/>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AA2E4B0" w14:textId="77777777" w:rsidR="00722FE8" w:rsidRPr="004A0C16" w:rsidRDefault="00722FE8" w:rsidP="00722FE8">
      <w:pPr>
        <w:spacing w:after="0" w:line="360" w:lineRule="auto"/>
        <w:rPr>
          <w:color w:val="auto"/>
        </w:rPr>
      </w:pPr>
    </w:p>
    <w:p w14:paraId="262BDB47" w14:textId="77777777" w:rsidR="00722FE8" w:rsidRPr="004A0C16" w:rsidRDefault="00722FE8" w:rsidP="00722FE8">
      <w:pPr>
        <w:spacing w:after="0" w:line="360" w:lineRule="auto"/>
        <w:ind w:left="567" w:right="567"/>
        <w:rPr>
          <w:i/>
          <w:color w:val="auto"/>
          <w:sz w:val="20"/>
          <w:szCs w:val="20"/>
        </w:rPr>
      </w:pPr>
      <w:r w:rsidRPr="004A0C16">
        <w:rPr>
          <w:b/>
          <w:i/>
          <w:color w:val="auto"/>
          <w:sz w:val="20"/>
          <w:szCs w:val="20"/>
        </w:rPr>
        <w:lastRenderedPageBreak/>
        <w:t>“Registro Federal de Contribuyentes (RFC) de personas físicas.</w:t>
      </w:r>
      <w:r w:rsidRPr="004A0C16">
        <w:rPr>
          <w:i/>
          <w:color w:val="auto"/>
          <w:sz w:val="20"/>
          <w:szCs w:val="20"/>
        </w:rPr>
        <w:t xml:space="preserve"> El RFC es una clave de carácter fiscal, única e irrepetible, que permite identificar al titular, su edad y fecha de nacimiento, por lo que es un dato personal de carácter confidencial.”</w:t>
      </w:r>
    </w:p>
    <w:p w14:paraId="7B87F421" w14:textId="77777777" w:rsidR="00722FE8" w:rsidRPr="004A0C16" w:rsidRDefault="00722FE8" w:rsidP="00722FE8">
      <w:pPr>
        <w:spacing w:after="0" w:line="360" w:lineRule="auto"/>
        <w:rPr>
          <w:color w:val="auto"/>
        </w:rPr>
      </w:pPr>
    </w:p>
    <w:p w14:paraId="29AD7ED1" w14:textId="77777777" w:rsidR="00722FE8" w:rsidRPr="00F648B2" w:rsidRDefault="00722FE8" w:rsidP="00722FE8">
      <w:pPr>
        <w:spacing w:after="0" w:line="360" w:lineRule="auto"/>
        <w:rPr>
          <w:color w:val="FF0000"/>
        </w:rPr>
      </w:pPr>
      <w:r w:rsidRPr="004A0C16">
        <w:rPr>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F648B2">
        <w:rPr>
          <w:color w:val="FF0000"/>
        </w:rPr>
        <w:t>.</w:t>
      </w:r>
    </w:p>
    <w:p w14:paraId="55424D4F" w14:textId="4507FE8F" w:rsidR="00722FE8" w:rsidRPr="004A0C16" w:rsidRDefault="00722FE8" w:rsidP="004A0C16">
      <w:pPr>
        <w:spacing w:after="0" w:line="360" w:lineRule="auto"/>
        <w:contextualSpacing/>
        <w:rPr>
          <w:rFonts w:eastAsia="Calibri" w:cs="Tahoma"/>
          <w:bCs/>
          <w:color w:val="FF0000"/>
        </w:rPr>
      </w:pPr>
    </w:p>
    <w:p w14:paraId="6B9CB30D" w14:textId="77777777" w:rsidR="00722FE8" w:rsidRPr="004A0C16" w:rsidRDefault="00722FE8" w:rsidP="00722FE8">
      <w:pPr>
        <w:numPr>
          <w:ilvl w:val="0"/>
          <w:numId w:val="36"/>
        </w:numPr>
        <w:spacing w:after="0" w:line="360" w:lineRule="auto"/>
        <w:rPr>
          <w:b/>
          <w:color w:val="auto"/>
        </w:rPr>
      </w:pPr>
      <w:r w:rsidRPr="004A0C16">
        <w:rPr>
          <w:b/>
          <w:color w:val="auto"/>
        </w:rPr>
        <w:t>Número de seguridad social del Instituto de Seguridad Social del Estado de México y Municipios</w:t>
      </w:r>
    </w:p>
    <w:p w14:paraId="758DF461" w14:textId="77777777" w:rsidR="00722FE8" w:rsidRPr="004A0C16" w:rsidRDefault="00722FE8" w:rsidP="00722FE8">
      <w:pPr>
        <w:spacing w:after="0" w:line="360" w:lineRule="auto"/>
        <w:rPr>
          <w:b/>
          <w:color w:val="auto"/>
        </w:rPr>
      </w:pPr>
    </w:p>
    <w:p w14:paraId="61E5146A" w14:textId="77777777" w:rsidR="00722FE8" w:rsidRPr="004A0C16" w:rsidRDefault="00722FE8" w:rsidP="00722FE8">
      <w:pPr>
        <w:spacing w:after="0" w:line="360" w:lineRule="auto"/>
        <w:rPr>
          <w:color w:val="auto"/>
        </w:rPr>
      </w:pPr>
      <w:r w:rsidRPr="004A0C16">
        <w:rPr>
          <w:color w:val="auto"/>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C4D04FE" w14:textId="77777777" w:rsidR="00722FE8" w:rsidRPr="004A0C16" w:rsidRDefault="00722FE8" w:rsidP="00722FE8">
      <w:pPr>
        <w:spacing w:after="0" w:line="360" w:lineRule="auto"/>
        <w:rPr>
          <w:color w:val="auto"/>
        </w:rPr>
      </w:pPr>
    </w:p>
    <w:p w14:paraId="21C55FFD" w14:textId="77777777" w:rsidR="00722FE8" w:rsidRPr="004A0C16" w:rsidRDefault="00722FE8" w:rsidP="00722FE8">
      <w:pPr>
        <w:spacing w:after="0" w:line="360" w:lineRule="auto"/>
        <w:rPr>
          <w:color w:val="auto"/>
        </w:rPr>
      </w:pPr>
      <w:r w:rsidRPr="004A0C16">
        <w:rPr>
          <w:color w:val="auto"/>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w:t>
      </w:r>
      <w:r w:rsidRPr="004A0C16">
        <w:rPr>
          <w:color w:val="auto"/>
        </w:rPr>
        <w:lastRenderedPageBreak/>
        <w:t>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C002CFA" w14:textId="77777777" w:rsidR="00722FE8" w:rsidRPr="004A0C16" w:rsidRDefault="00722FE8" w:rsidP="00722FE8">
      <w:pPr>
        <w:spacing w:after="0" w:line="360" w:lineRule="auto"/>
        <w:rPr>
          <w:color w:val="auto"/>
        </w:rPr>
      </w:pPr>
    </w:p>
    <w:p w14:paraId="1DCA31EA" w14:textId="77777777" w:rsidR="00722FE8" w:rsidRPr="004A0C16" w:rsidRDefault="00722FE8" w:rsidP="00722FE8">
      <w:pPr>
        <w:spacing w:after="0" w:line="360" w:lineRule="auto"/>
        <w:rPr>
          <w:color w:val="auto"/>
        </w:rPr>
      </w:pPr>
      <w:r w:rsidRPr="004A0C16">
        <w:rPr>
          <w:color w:val="auto"/>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0E98F3C" w14:textId="77777777" w:rsidR="00722FE8" w:rsidRPr="004A0C16" w:rsidRDefault="00722FE8" w:rsidP="00722FE8">
      <w:pPr>
        <w:spacing w:after="0" w:line="360" w:lineRule="auto"/>
        <w:rPr>
          <w:color w:val="auto"/>
        </w:rPr>
      </w:pPr>
    </w:p>
    <w:p w14:paraId="4B28D799" w14:textId="77777777" w:rsidR="00722FE8" w:rsidRPr="004A0C16" w:rsidRDefault="00722FE8" w:rsidP="00722FE8">
      <w:pPr>
        <w:spacing w:after="0" w:line="360" w:lineRule="auto"/>
        <w:rPr>
          <w:color w:val="auto"/>
        </w:rPr>
      </w:pPr>
      <w:r w:rsidRPr="004A0C16">
        <w:rPr>
          <w:color w:val="auto"/>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8E3EA83" w14:textId="77777777" w:rsidR="00722FE8" w:rsidRPr="004A0C16" w:rsidRDefault="00722FE8" w:rsidP="00722FE8">
      <w:pPr>
        <w:spacing w:after="0" w:line="360" w:lineRule="auto"/>
        <w:rPr>
          <w:color w:val="auto"/>
        </w:rPr>
      </w:pPr>
    </w:p>
    <w:p w14:paraId="5AA88CF0" w14:textId="77777777" w:rsidR="00722FE8" w:rsidRPr="004A0C16" w:rsidRDefault="00722FE8" w:rsidP="00722FE8">
      <w:pPr>
        <w:numPr>
          <w:ilvl w:val="0"/>
          <w:numId w:val="38"/>
        </w:numPr>
        <w:spacing w:after="0" w:line="360" w:lineRule="auto"/>
        <w:jc w:val="left"/>
        <w:rPr>
          <w:b/>
          <w:color w:val="auto"/>
        </w:rPr>
      </w:pPr>
      <w:r w:rsidRPr="004A0C16">
        <w:rPr>
          <w:b/>
          <w:color w:val="auto"/>
        </w:rPr>
        <w:t>Deducciones personales</w:t>
      </w:r>
    </w:p>
    <w:p w14:paraId="0F33BC04" w14:textId="77777777" w:rsidR="00722FE8" w:rsidRPr="004A0C16" w:rsidRDefault="00722FE8" w:rsidP="00722FE8">
      <w:pPr>
        <w:spacing w:after="0" w:line="360" w:lineRule="auto"/>
        <w:ind w:left="720"/>
        <w:rPr>
          <w:b/>
          <w:color w:val="auto"/>
        </w:rPr>
      </w:pPr>
    </w:p>
    <w:p w14:paraId="4EC09D59" w14:textId="77777777" w:rsidR="00722FE8" w:rsidRPr="004A0C16" w:rsidRDefault="00722FE8" w:rsidP="00722FE8">
      <w:pPr>
        <w:spacing w:after="0" w:line="360" w:lineRule="auto"/>
        <w:rPr>
          <w:color w:val="auto"/>
        </w:rPr>
      </w:pPr>
      <w:r w:rsidRPr="004A0C16">
        <w:rPr>
          <w:color w:val="auto"/>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4A0C16">
        <w:rPr>
          <w:color w:val="auto"/>
        </w:rPr>
        <w:lastRenderedPageBreak/>
        <w:t>Institución Descentralizadas del Estado de México, seguro de vida, accidentes y enfermedades.</w:t>
      </w:r>
    </w:p>
    <w:p w14:paraId="4E614C81" w14:textId="77777777" w:rsidR="00722FE8" w:rsidRPr="004A0C16" w:rsidRDefault="00722FE8" w:rsidP="00722FE8">
      <w:pPr>
        <w:spacing w:after="0" w:line="360" w:lineRule="auto"/>
        <w:rPr>
          <w:color w:val="auto"/>
        </w:rPr>
      </w:pPr>
    </w:p>
    <w:p w14:paraId="05C0BD4B" w14:textId="77777777" w:rsidR="00722FE8" w:rsidRPr="004A0C16" w:rsidRDefault="00722FE8" w:rsidP="00722FE8">
      <w:pPr>
        <w:spacing w:after="0" w:line="360" w:lineRule="auto"/>
        <w:rPr>
          <w:color w:val="auto"/>
        </w:rPr>
      </w:pPr>
      <w:r w:rsidRPr="004A0C16">
        <w:rPr>
          <w:color w:val="auto"/>
        </w:rPr>
        <w:t xml:space="preserve">Asimismo, hay otras que se generan con motivo de una sentencia judicial, como es la pensión alimenticia que periódicamente se retira de la cuenta de un empleado, a efecto de que sea entregado a un tercero.  </w:t>
      </w:r>
    </w:p>
    <w:p w14:paraId="454DBCD2" w14:textId="77777777" w:rsidR="00722FE8" w:rsidRPr="004A0C16" w:rsidRDefault="00722FE8" w:rsidP="00722FE8">
      <w:pPr>
        <w:spacing w:after="0" w:line="360" w:lineRule="auto"/>
        <w:rPr>
          <w:color w:val="auto"/>
        </w:rPr>
      </w:pPr>
    </w:p>
    <w:p w14:paraId="5251A09A" w14:textId="77777777" w:rsidR="00722FE8" w:rsidRPr="004A0C16" w:rsidRDefault="00722FE8" w:rsidP="00722FE8">
      <w:pPr>
        <w:spacing w:after="0" w:line="360" w:lineRule="auto"/>
        <w:rPr>
          <w:color w:val="auto"/>
        </w:rPr>
      </w:pPr>
      <w:r w:rsidRPr="004A0C16">
        <w:rPr>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08B0565" w14:textId="77777777" w:rsidR="00722FE8" w:rsidRPr="004A0C16" w:rsidRDefault="00722FE8" w:rsidP="00722FE8">
      <w:pPr>
        <w:spacing w:after="0" w:line="360" w:lineRule="auto"/>
        <w:rPr>
          <w:color w:val="auto"/>
        </w:rPr>
      </w:pPr>
    </w:p>
    <w:p w14:paraId="105AB82E" w14:textId="77777777" w:rsidR="00722FE8" w:rsidRPr="004A0C16" w:rsidRDefault="00722FE8" w:rsidP="00722FE8">
      <w:pPr>
        <w:spacing w:after="0" w:line="360" w:lineRule="auto"/>
        <w:rPr>
          <w:color w:val="auto"/>
        </w:rPr>
      </w:pPr>
      <w:r w:rsidRPr="004A0C16">
        <w:rPr>
          <w:color w:val="auto"/>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41F0915C" w14:textId="77777777" w:rsidR="00330B69" w:rsidRPr="00F648B2" w:rsidRDefault="00330B69" w:rsidP="00722FE8">
      <w:pPr>
        <w:spacing w:after="0" w:line="360" w:lineRule="auto"/>
        <w:rPr>
          <w:color w:val="FF0000"/>
        </w:rPr>
      </w:pPr>
    </w:p>
    <w:p w14:paraId="36F0E92E" w14:textId="77777777" w:rsidR="00992255" w:rsidRPr="00992255" w:rsidRDefault="00992255" w:rsidP="00992255">
      <w:pPr>
        <w:numPr>
          <w:ilvl w:val="0"/>
          <w:numId w:val="38"/>
        </w:numPr>
        <w:spacing w:after="0" w:line="360" w:lineRule="auto"/>
        <w:jc w:val="left"/>
        <w:rPr>
          <w:b/>
          <w:color w:val="auto"/>
        </w:rPr>
      </w:pPr>
      <w:r w:rsidRPr="00992255">
        <w:rPr>
          <w:b/>
          <w:color w:val="auto"/>
        </w:rPr>
        <w:t>Cuenta bancaria de servidores públicos</w:t>
      </w:r>
    </w:p>
    <w:p w14:paraId="532E47E7" w14:textId="77777777" w:rsidR="00992255" w:rsidRPr="00992255" w:rsidRDefault="00992255" w:rsidP="00992255">
      <w:pPr>
        <w:spacing w:after="0" w:line="360" w:lineRule="auto"/>
        <w:ind w:left="720"/>
        <w:rPr>
          <w:b/>
          <w:color w:val="auto"/>
        </w:rPr>
      </w:pPr>
    </w:p>
    <w:p w14:paraId="3189399E" w14:textId="77777777" w:rsidR="00992255" w:rsidRPr="00992255" w:rsidRDefault="00992255" w:rsidP="00992255">
      <w:pPr>
        <w:spacing w:after="0" w:line="360" w:lineRule="auto"/>
        <w:rPr>
          <w:color w:val="auto"/>
        </w:rPr>
      </w:pPr>
      <w:r w:rsidRPr="00992255">
        <w:rPr>
          <w:color w:val="auto"/>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w:t>
      </w:r>
      <w:r w:rsidRPr="00992255">
        <w:rPr>
          <w:color w:val="auto"/>
        </w:rPr>
        <w:lastRenderedPageBreak/>
        <w:t>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78742DEC" w14:textId="77777777" w:rsidR="00992255" w:rsidRPr="00992255" w:rsidRDefault="00992255" w:rsidP="00992255">
      <w:pPr>
        <w:spacing w:after="0" w:line="360" w:lineRule="auto"/>
        <w:rPr>
          <w:color w:val="auto"/>
        </w:rPr>
      </w:pPr>
      <w:r w:rsidRPr="00992255">
        <w:rPr>
          <w:color w:val="auto"/>
        </w:rPr>
        <w:t> </w:t>
      </w:r>
    </w:p>
    <w:p w14:paraId="1C12BA89" w14:textId="77777777" w:rsidR="00992255" w:rsidRPr="00992255" w:rsidRDefault="00992255" w:rsidP="00992255">
      <w:pPr>
        <w:spacing w:after="0" w:line="360" w:lineRule="auto"/>
        <w:rPr>
          <w:color w:val="auto"/>
        </w:rPr>
      </w:pPr>
      <w:r w:rsidRPr="00992255">
        <w:rPr>
          <w:color w:val="auto"/>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158AE0BB" w14:textId="77777777" w:rsidR="00992255" w:rsidRPr="00992255" w:rsidRDefault="00992255" w:rsidP="00992255">
      <w:pPr>
        <w:spacing w:after="0" w:line="360" w:lineRule="auto"/>
        <w:rPr>
          <w:color w:val="auto"/>
        </w:rPr>
      </w:pPr>
    </w:p>
    <w:p w14:paraId="0BDC19F0" w14:textId="77777777" w:rsidR="00992255" w:rsidRPr="00992255" w:rsidRDefault="00992255" w:rsidP="00992255">
      <w:pPr>
        <w:spacing w:after="0" w:line="360" w:lineRule="auto"/>
        <w:ind w:left="567" w:right="567"/>
        <w:rPr>
          <w:i/>
          <w:color w:val="auto"/>
          <w:sz w:val="20"/>
          <w:szCs w:val="20"/>
        </w:rPr>
      </w:pPr>
      <w:r w:rsidRPr="00992255">
        <w:rPr>
          <w:i/>
          <w:color w:val="auto"/>
          <w:sz w:val="20"/>
          <w:szCs w:val="20"/>
        </w:rPr>
        <w:t>“</w:t>
      </w:r>
      <w:r w:rsidRPr="00992255">
        <w:rPr>
          <w:b/>
          <w:i/>
          <w:color w:val="auto"/>
          <w:sz w:val="20"/>
          <w:szCs w:val="20"/>
        </w:rPr>
        <w:t>Cuentas bancarias y/o CLABE interbancaria de personas físicas y morales privadas.</w:t>
      </w:r>
      <w:r w:rsidRPr="00992255">
        <w:rPr>
          <w:i/>
          <w:color w:val="auto"/>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5DBC1EA" w14:textId="77777777" w:rsidR="00992255" w:rsidRPr="00992255" w:rsidRDefault="00992255" w:rsidP="00992255">
      <w:pPr>
        <w:spacing w:after="0" w:line="360" w:lineRule="auto"/>
        <w:rPr>
          <w:color w:val="auto"/>
        </w:rPr>
      </w:pPr>
    </w:p>
    <w:p w14:paraId="2AAAEA8D" w14:textId="77777777" w:rsidR="00992255" w:rsidRPr="00992255" w:rsidRDefault="00992255" w:rsidP="00992255">
      <w:pPr>
        <w:spacing w:after="0" w:line="360" w:lineRule="auto"/>
        <w:rPr>
          <w:color w:val="auto"/>
        </w:rPr>
      </w:pPr>
      <w:r w:rsidRPr="00992255">
        <w:rPr>
          <w:color w:val="auto"/>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9F4F411" w14:textId="77777777" w:rsidR="00992255" w:rsidRPr="00992255" w:rsidRDefault="00992255" w:rsidP="00992255">
      <w:pPr>
        <w:spacing w:after="0" w:line="360" w:lineRule="auto"/>
        <w:contextualSpacing/>
        <w:rPr>
          <w:rFonts w:eastAsia="Times New Roman" w:cs="Tahoma"/>
          <w:iCs/>
          <w:color w:val="auto"/>
          <w:lang w:eastAsia="es-ES"/>
        </w:rPr>
      </w:pPr>
    </w:p>
    <w:p w14:paraId="3F9A0AB4" w14:textId="0DF97D2B" w:rsidR="00992255" w:rsidRPr="00992255" w:rsidRDefault="00992255" w:rsidP="00992255">
      <w:pPr>
        <w:numPr>
          <w:ilvl w:val="0"/>
          <w:numId w:val="35"/>
        </w:numPr>
        <w:spacing w:after="0" w:line="360" w:lineRule="auto"/>
        <w:contextualSpacing/>
        <w:jc w:val="left"/>
        <w:rPr>
          <w:rFonts w:eastAsia="Times New Roman" w:cs="Tahoma"/>
          <w:b/>
          <w:color w:val="auto"/>
          <w:kern w:val="2"/>
          <w:lang w:eastAsia="es-ES"/>
          <w14:ligatures w14:val="standardContextual"/>
        </w:rPr>
      </w:pPr>
      <w:r>
        <w:rPr>
          <w:rFonts w:eastAsia="Times New Roman" w:cs="Tahoma"/>
          <w:b/>
          <w:color w:val="auto"/>
          <w:kern w:val="2"/>
          <w:lang w:eastAsia="es-ES"/>
          <w14:ligatures w14:val="standardContextual"/>
        </w:rPr>
        <w:t>Número de contrato</w:t>
      </w:r>
    </w:p>
    <w:p w14:paraId="13995EC1" w14:textId="77777777" w:rsidR="00992255" w:rsidRPr="00992255" w:rsidRDefault="00992255" w:rsidP="00992255">
      <w:pPr>
        <w:spacing w:after="0" w:line="360" w:lineRule="auto"/>
        <w:rPr>
          <w:rFonts w:eastAsia="Times New Roman" w:cs="Tahoma"/>
          <w:b/>
          <w:color w:val="auto"/>
          <w:lang w:eastAsia="es-ES"/>
        </w:rPr>
      </w:pPr>
    </w:p>
    <w:p w14:paraId="397B3BD1" w14:textId="35A2C3E6" w:rsidR="00992255" w:rsidRDefault="00992255" w:rsidP="00992255">
      <w:pPr>
        <w:spacing w:after="0" w:line="360" w:lineRule="auto"/>
        <w:rPr>
          <w:rFonts w:eastAsia="Calibri" w:cs="Tahoma"/>
          <w:bCs/>
          <w:iCs/>
          <w:color w:val="auto"/>
          <w:lang w:eastAsia="es-ES"/>
        </w:rPr>
      </w:pPr>
      <w:r w:rsidRPr="00992255">
        <w:rPr>
          <w:rFonts w:eastAsia="Calibri" w:cs="Tahoma"/>
          <w:bCs/>
          <w:iCs/>
          <w:color w:val="auto"/>
          <w:lang w:eastAsia="es-ES"/>
        </w:rPr>
        <w:t>En relación con el número de</w:t>
      </w:r>
      <w:r>
        <w:rPr>
          <w:rFonts w:eastAsia="Calibri" w:cs="Tahoma"/>
          <w:bCs/>
          <w:iCs/>
          <w:color w:val="auto"/>
          <w:lang w:eastAsia="es-ES"/>
        </w:rPr>
        <w:t xml:space="preserve"> contrato bancario</w:t>
      </w:r>
      <w:r w:rsidRPr="00992255">
        <w:rPr>
          <w:rFonts w:eastAsia="Calibri" w:cs="Tahoma"/>
          <w:bCs/>
          <w:iCs/>
          <w:color w:val="auto"/>
          <w:lang w:eastAsia="es-ES"/>
        </w:rPr>
        <w:t xml:space="preserve">, con independencia del nombre que reciba, constituye un instrumento de control interno que permite a las dependencias </w:t>
      </w:r>
      <w:r>
        <w:rPr>
          <w:rFonts w:eastAsia="Calibri" w:cs="Tahoma"/>
          <w:bCs/>
          <w:iCs/>
          <w:color w:val="auto"/>
          <w:lang w:eastAsia="es-ES"/>
        </w:rPr>
        <w:t xml:space="preserve">e instituciones </w:t>
      </w:r>
      <w:r w:rsidR="00B6689E">
        <w:rPr>
          <w:rFonts w:eastAsia="Calibri" w:cs="Tahoma"/>
          <w:bCs/>
          <w:iCs/>
          <w:color w:val="auto"/>
          <w:lang w:eastAsia="es-ES"/>
        </w:rPr>
        <w:t>bancarias identificar los instrumentos que celebraron, facilitando las gestiones.</w:t>
      </w:r>
    </w:p>
    <w:p w14:paraId="28B1B0D8" w14:textId="77777777" w:rsidR="00992255" w:rsidRDefault="00992255" w:rsidP="00992255">
      <w:pPr>
        <w:spacing w:after="0" w:line="360" w:lineRule="auto"/>
        <w:rPr>
          <w:rFonts w:eastAsia="Calibri" w:cs="Tahoma"/>
          <w:bCs/>
          <w:iCs/>
          <w:color w:val="auto"/>
          <w:lang w:eastAsia="es-ES"/>
        </w:rPr>
      </w:pPr>
    </w:p>
    <w:p w14:paraId="21F5A100" w14:textId="5D24EFB9" w:rsidR="00992255" w:rsidRPr="00992255" w:rsidRDefault="00992255" w:rsidP="00992255">
      <w:pPr>
        <w:spacing w:after="0" w:line="360" w:lineRule="auto"/>
        <w:rPr>
          <w:rFonts w:eastAsia="Calibri" w:cs="Tahoma"/>
          <w:bCs/>
          <w:iCs/>
          <w:color w:val="auto"/>
          <w:lang w:eastAsia="es-ES"/>
        </w:rPr>
      </w:pPr>
      <w:r w:rsidRPr="00992255">
        <w:rPr>
          <w:rFonts w:eastAsia="Calibri" w:cs="Tahoma"/>
          <w:bCs/>
          <w:iCs/>
          <w:color w:val="auto"/>
          <w:lang w:eastAsia="es-ES"/>
        </w:rPr>
        <w:t>E</w:t>
      </w:r>
      <w:r w:rsidR="00B6689E">
        <w:rPr>
          <w:rFonts w:eastAsia="Calibri" w:cs="Tahoma"/>
          <w:bCs/>
          <w:iCs/>
          <w:color w:val="auto"/>
          <w:lang w:eastAsia="es-ES"/>
        </w:rPr>
        <w:t xml:space="preserve">n ese sentido, el número de contrato  no es susceptible de ser clasificado </w:t>
      </w:r>
      <w:r w:rsidRPr="00992255">
        <w:rPr>
          <w:rFonts w:eastAsia="Calibri" w:cs="Tahoma"/>
          <w:bCs/>
          <w:iCs/>
          <w:color w:val="auto"/>
          <w:lang w:eastAsia="es-ES"/>
        </w:rPr>
        <w:t>en términos de lo previsto en el artículo 143, fracción I de la Ley de Transparencia y Acceso a la Información Pública del</w:t>
      </w:r>
      <w:r w:rsidR="00B6689E">
        <w:rPr>
          <w:rFonts w:eastAsia="Calibri" w:cs="Tahoma"/>
          <w:bCs/>
          <w:iCs/>
          <w:color w:val="auto"/>
          <w:lang w:eastAsia="es-ES"/>
        </w:rPr>
        <w:t xml:space="preserve"> Estado de México y Municipios.</w:t>
      </w:r>
    </w:p>
    <w:p w14:paraId="0AA029DF" w14:textId="77777777" w:rsidR="00722FE8" w:rsidRPr="00F648B2" w:rsidRDefault="00722FE8" w:rsidP="00722FE8">
      <w:pPr>
        <w:spacing w:after="0" w:line="360" w:lineRule="auto"/>
        <w:contextualSpacing/>
        <w:rPr>
          <w:rFonts w:eastAsia="Times New Roman" w:cs="Tahoma"/>
          <w:bCs/>
          <w:color w:val="FF0000"/>
          <w:lang w:val="es-ES" w:eastAsia="es-ES"/>
        </w:rPr>
      </w:pPr>
    </w:p>
    <w:p w14:paraId="29873F45" w14:textId="54F2E8BA" w:rsidR="00285055" w:rsidRPr="00285055" w:rsidRDefault="00285055" w:rsidP="00285055">
      <w:pPr>
        <w:numPr>
          <w:ilvl w:val="0"/>
          <w:numId w:val="35"/>
        </w:numPr>
        <w:spacing w:after="0" w:line="360" w:lineRule="auto"/>
        <w:contextualSpacing/>
        <w:jc w:val="left"/>
        <w:rPr>
          <w:rFonts w:eastAsia="Times New Roman" w:cs="Tahoma"/>
          <w:b/>
          <w:color w:val="auto"/>
          <w:kern w:val="2"/>
          <w:lang w:eastAsia="es-ES"/>
          <w14:ligatures w14:val="standardContextual"/>
        </w:rPr>
      </w:pPr>
      <w:r w:rsidRPr="00285055">
        <w:rPr>
          <w:rFonts w:eastAsia="Times New Roman" w:cs="Tahoma"/>
          <w:b/>
          <w:color w:val="auto"/>
          <w:kern w:val="2"/>
          <w:lang w:eastAsia="es-ES"/>
          <w14:ligatures w14:val="standardContextual"/>
        </w:rPr>
        <w:t>Cuenta bancaria</w:t>
      </w:r>
      <w:r>
        <w:rPr>
          <w:rFonts w:eastAsia="Times New Roman" w:cs="Tahoma"/>
          <w:b/>
          <w:color w:val="auto"/>
          <w:kern w:val="2"/>
          <w:lang w:eastAsia="es-ES"/>
          <w14:ligatures w14:val="standardContextual"/>
        </w:rPr>
        <w:t xml:space="preserve"> del Municipio </w:t>
      </w:r>
    </w:p>
    <w:p w14:paraId="44930961" w14:textId="77777777" w:rsidR="00285055" w:rsidRDefault="00285055" w:rsidP="00722FE8">
      <w:pPr>
        <w:spacing w:after="0" w:line="360" w:lineRule="auto"/>
        <w:contextualSpacing/>
        <w:rPr>
          <w:rFonts w:eastAsia="Times New Roman" w:cs="Tahoma"/>
          <w:bCs/>
          <w:color w:val="FF0000"/>
          <w:lang w:val="es-ES" w:eastAsia="es-ES"/>
        </w:rPr>
      </w:pPr>
    </w:p>
    <w:p w14:paraId="751B22BB" w14:textId="77777777" w:rsidR="00285055" w:rsidRPr="00285055" w:rsidRDefault="00285055" w:rsidP="00285055">
      <w:pPr>
        <w:spacing w:after="0" w:line="360" w:lineRule="auto"/>
        <w:ind w:right="-28"/>
        <w:rPr>
          <w:rFonts w:eastAsia="Times New Roman" w:cs="Times New Roman"/>
          <w:bCs/>
          <w:iCs/>
          <w:color w:val="auto"/>
          <w:szCs w:val="20"/>
          <w:lang w:eastAsia="es-ES"/>
        </w:rPr>
      </w:pPr>
      <w:r w:rsidRPr="00285055">
        <w:rPr>
          <w:rFonts w:eastAsia="Times New Roman" w:cs="Times New Roman"/>
          <w:bCs/>
          <w:iCs/>
          <w:color w:val="auto"/>
          <w:szCs w:val="20"/>
          <w:lang w:eastAsia="es-ES"/>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47BCDE27" w14:textId="77777777" w:rsidR="00285055" w:rsidRDefault="00285055" w:rsidP="00722FE8">
      <w:pPr>
        <w:spacing w:after="0" w:line="360" w:lineRule="auto"/>
        <w:contextualSpacing/>
        <w:rPr>
          <w:rFonts w:eastAsia="Times New Roman" w:cs="Tahoma"/>
          <w:bCs/>
          <w:color w:val="FF0000"/>
          <w:lang w:val="es-ES" w:eastAsia="es-ES"/>
        </w:rPr>
      </w:pPr>
    </w:p>
    <w:p w14:paraId="64204042" w14:textId="1ABBC021" w:rsidR="00285055" w:rsidRPr="00285055" w:rsidRDefault="00285055" w:rsidP="00285055">
      <w:pPr>
        <w:spacing w:after="0" w:line="360" w:lineRule="auto"/>
        <w:ind w:right="-28"/>
        <w:rPr>
          <w:rFonts w:eastAsia="Times New Roman" w:cs="Times New Roman"/>
          <w:bCs/>
          <w:iCs/>
          <w:color w:val="auto"/>
          <w:szCs w:val="20"/>
          <w:lang w:eastAsia="es-ES"/>
        </w:rPr>
      </w:pPr>
      <w:r w:rsidRPr="00285055">
        <w:rPr>
          <w:rFonts w:eastAsia="Times New Roman" w:cs="Times New Roman"/>
          <w:bCs/>
          <w:iCs/>
          <w:color w:val="auto"/>
          <w:szCs w:val="20"/>
          <w:lang w:eastAsia="es-ES"/>
        </w:rPr>
        <w:t xml:space="preserve">Por lo cual, se puede colegir que dichos datos </w:t>
      </w:r>
      <w:r>
        <w:rPr>
          <w:rFonts w:eastAsia="Times New Roman" w:cs="Times New Roman"/>
          <w:bCs/>
          <w:iCs/>
          <w:color w:val="auto"/>
          <w:szCs w:val="20"/>
          <w:lang w:eastAsia="es-ES"/>
        </w:rPr>
        <w:t xml:space="preserve">en el presente caso se relacionan con el uso de  </w:t>
      </w:r>
      <w:r w:rsidRPr="00285055">
        <w:rPr>
          <w:rFonts w:eastAsia="Times New Roman" w:cs="Times New Roman"/>
          <w:bCs/>
          <w:iCs/>
          <w:color w:val="auto"/>
          <w:szCs w:val="20"/>
          <w:lang w:eastAsia="es-ES"/>
        </w:rPr>
        <w:t>los recursos públicos</w:t>
      </w:r>
      <w:r>
        <w:rPr>
          <w:rFonts w:eastAsia="Times New Roman" w:cs="Times New Roman"/>
          <w:bCs/>
          <w:iCs/>
          <w:color w:val="auto"/>
          <w:szCs w:val="20"/>
          <w:lang w:eastAsia="es-ES"/>
        </w:rPr>
        <w:t>; por lo que este número  no c</w:t>
      </w:r>
      <w:r w:rsidRPr="00285055">
        <w:rPr>
          <w:rFonts w:eastAsia="Times New Roman" w:cs="Times New Roman"/>
          <w:bCs/>
          <w:iCs/>
          <w:color w:val="auto"/>
          <w:szCs w:val="20"/>
          <w:lang w:eastAsia="es-ES"/>
        </w:rPr>
        <w:t>onstituye información confidencial de conformidad con el artículo 143, fracción I, de la Ley de Transparencia y Acceso a la Información Pública del Estado de México y Municipios.</w:t>
      </w:r>
    </w:p>
    <w:p w14:paraId="33A36425" w14:textId="77777777" w:rsidR="00285055" w:rsidRDefault="00285055" w:rsidP="00722FE8">
      <w:pPr>
        <w:spacing w:after="0" w:line="360" w:lineRule="auto"/>
        <w:contextualSpacing/>
        <w:rPr>
          <w:rFonts w:eastAsia="Times New Roman" w:cs="Tahoma"/>
          <w:bCs/>
          <w:color w:val="FF0000"/>
          <w:lang w:val="es-ES" w:eastAsia="es-ES"/>
        </w:rPr>
      </w:pPr>
    </w:p>
    <w:p w14:paraId="1E45C173" w14:textId="08F3372C" w:rsidR="00285055" w:rsidRDefault="006140CF" w:rsidP="006140CF">
      <w:pPr>
        <w:numPr>
          <w:ilvl w:val="0"/>
          <w:numId w:val="35"/>
        </w:numPr>
        <w:spacing w:after="0" w:line="360" w:lineRule="auto"/>
        <w:contextualSpacing/>
        <w:jc w:val="left"/>
        <w:rPr>
          <w:rFonts w:eastAsia="Times New Roman" w:cs="Tahoma"/>
          <w:b/>
          <w:color w:val="auto"/>
          <w:kern w:val="2"/>
          <w:lang w:eastAsia="es-ES"/>
          <w14:ligatures w14:val="standardContextual"/>
        </w:rPr>
      </w:pPr>
      <w:r w:rsidRPr="006140CF">
        <w:rPr>
          <w:rFonts w:eastAsia="Times New Roman" w:cs="Tahoma"/>
          <w:b/>
          <w:color w:val="auto"/>
          <w:kern w:val="2"/>
          <w:lang w:eastAsia="es-ES"/>
          <w14:ligatures w14:val="standardContextual"/>
        </w:rPr>
        <w:t>Número de cheque o referencia bancaria</w:t>
      </w:r>
    </w:p>
    <w:p w14:paraId="1DFE3D21" w14:textId="3399500D" w:rsidR="00B24195" w:rsidRPr="00B24195" w:rsidRDefault="006140CF" w:rsidP="00B24195">
      <w:pPr>
        <w:spacing w:after="0" w:line="360" w:lineRule="auto"/>
        <w:contextualSpacing/>
        <w:rPr>
          <w:rFonts w:eastAsia="Times New Roman" w:cs="Tahoma"/>
          <w:color w:val="auto"/>
          <w:kern w:val="2"/>
          <w:lang w:eastAsia="es-ES"/>
          <w14:ligatures w14:val="standardContextual"/>
        </w:rPr>
      </w:pPr>
      <w:r>
        <w:rPr>
          <w:rFonts w:eastAsia="Times New Roman" w:cs="Tahoma"/>
          <w:color w:val="auto"/>
          <w:kern w:val="2"/>
          <w:lang w:eastAsia="es-ES"/>
          <w14:ligatures w14:val="standardContextual"/>
        </w:rPr>
        <w:lastRenderedPageBreak/>
        <w:t xml:space="preserve">En relación con el cheque este es </w:t>
      </w:r>
      <w:r w:rsidRPr="006140CF">
        <w:rPr>
          <w:rFonts w:eastAsia="Times New Roman" w:cs="Tahoma"/>
          <w:color w:val="auto"/>
          <w:kern w:val="2"/>
          <w:lang w:eastAsia="es-ES"/>
          <w14:ligatures w14:val="standardContextual"/>
        </w:rPr>
        <w:t> un identificador único, generalmente el último grupo de números en la parte inferior derecha o en la esquina superior derecha, usado para control personal</w:t>
      </w:r>
      <w:r>
        <w:rPr>
          <w:rFonts w:eastAsia="Times New Roman" w:cs="Tahoma"/>
          <w:color w:val="auto"/>
          <w:kern w:val="2"/>
          <w:lang w:eastAsia="es-ES"/>
          <w14:ligatures w14:val="standardContextual"/>
        </w:rPr>
        <w:t xml:space="preserve">. Mientras la </w:t>
      </w:r>
      <w:r w:rsidRPr="006140CF">
        <w:rPr>
          <w:rFonts w:eastAsia="Times New Roman" w:cs="Tahoma"/>
          <w:color w:val="auto"/>
          <w:kern w:val="2"/>
          <w:lang w:eastAsia="es-ES"/>
          <w14:ligatures w14:val="standardContextual"/>
        </w:rPr>
        <w:t> </w:t>
      </w:r>
      <w:hyperlink r:id="rId15" w:history="1">
        <w:r w:rsidRPr="006140CF">
          <w:rPr>
            <w:rFonts w:eastAsia="Times New Roman" w:cs="Tahoma"/>
            <w:color w:val="auto"/>
            <w:kern w:val="2"/>
            <w:lang w:eastAsia="es-ES"/>
            <w14:ligatures w14:val="standardContextual"/>
          </w:rPr>
          <w:t>referencia bancaria</w:t>
        </w:r>
      </w:hyperlink>
      <w:r w:rsidRPr="006140CF">
        <w:rPr>
          <w:rFonts w:eastAsia="Times New Roman" w:cs="Tahoma"/>
          <w:color w:val="auto"/>
          <w:kern w:val="2"/>
          <w:lang w:eastAsia="es-ES"/>
          <w14:ligatures w14:val="standardContextual"/>
        </w:rPr>
        <w:t> es un código alfanumérico (20-30 dígitos) generado en transferencias para identificar transacciones, hallándose en comprobantes o estados de cuenta</w:t>
      </w:r>
      <w:r w:rsidR="00B24195">
        <w:rPr>
          <w:rFonts w:eastAsia="Times New Roman" w:cs="Tahoma"/>
          <w:color w:val="auto"/>
          <w:kern w:val="2"/>
          <w:lang w:eastAsia="es-ES"/>
          <w14:ligatures w14:val="standardContextual"/>
        </w:rPr>
        <w:t xml:space="preserve">, además de constituir </w:t>
      </w:r>
      <w:r w:rsidR="00B24195" w:rsidRPr="00B24195">
        <w:rPr>
          <w:rFonts w:eastAsia="Times New Roman" w:cs="Tahoma"/>
          <w:color w:val="auto"/>
          <w:kern w:val="2"/>
          <w:lang w:eastAsia="es-ES"/>
          <w14:ligatures w14:val="standardContextual"/>
        </w:rPr>
        <w:t>un número único, diferente de la CLABE o número de cuenta, que rastrea el pago.</w:t>
      </w:r>
    </w:p>
    <w:p w14:paraId="6C0571B4" w14:textId="77777777" w:rsidR="00B24195" w:rsidRDefault="00B24195" w:rsidP="00722FE8">
      <w:pPr>
        <w:spacing w:after="0" w:line="360" w:lineRule="auto"/>
        <w:contextualSpacing/>
        <w:rPr>
          <w:rFonts w:eastAsia="Times New Roman" w:cs="Tahoma"/>
          <w:color w:val="auto"/>
          <w:kern w:val="2"/>
          <w:lang w:eastAsia="es-ES"/>
          <w14:ligatures w14:val="standardContextual"/>
        </w:rPr>
      </w:pPr>
    </w:p>
    <w:p w14:paraId="27E7F4FD" w14:textId="3B08CC60" w:rsidR="00B24195" w:rsidRDefault="00B24195" w:rsidP="00722FE8">
      <w:pPr>
        <w:spacing w:after="0" w:line="360" w:lineRule="auto"/>
        <w:contextualSpacing/>
        <w:rPr>
          <w:rFonts w:eastAsia="Times New Roman" w:cs="Tahoma"/>
          <w:color w:val="auto"/>
          <w:kern w:val="2"/>
          <w:lang w:eastAsia="es-ES"/>
          <w14:ligatures w14:val="standardContextual"/>
        </w:rPr>
      </w:pPr>
      <w:r w:rsidRPr="00B24195">
        <w:rPr>
          <w:rFonts w:eastAsia="Times New Roman" w:cs="Tahoma"/>
          <w:color w:val="auto"/>
          <w:kern w:val="2"/>
          <w:lang w:eastAsia="es-ES"/>
          <w14:ligatures w14:val="standardContextual"/>
        </w:rPr>
        <w:t>El número de referencia puede incluir información como el número de factura, el número de cuenta del beneficiario, fecha, número de contrato u otros datos relevantes para la transacción en cuestión. </w:t>
      </w:r>
    </w:p>
    <w:p w14:paraId="4D143221" w14:textId="77777777" w:rsidR="006140CF" w:rsidRDefault="006140CF" w:rsidP="00722FE8">
      <w:pPr>
        <w:spacing w:after="0" w:line="360" w:lineRule="auto"/>
        <w:contextualSpacing/>
        <w:rPr>
          <w:rFonts w:eastAsia="Times New Roman" w:cs="Tahoma"/>
          <w:color w:val="auto"/>
          <w:kern w:val="2"/>
          <w:lang w:eastAsia="es-ES"/>
          <w14:ligatures w14:val="standardContextual"/>
        </w:rPr>
      </w:pPr>
    </w:p>
    <w:p w14:paraId="47C11ADB" w14:textId="01E80FC6" w:rsidR="00B24195" w:rsidRDefault="00B24195" w:rsidP="00722FE8">
      <w:pPr>
        <w:spacing w:after="0" w:line="360" w:lineRule="auto"/>
        <w:contextualSpacing/>
        <w:rPr>
          <w:rFonts w:eastAsia="Calibri" w:cs="Tahoma"/>
          <w:bCs/>
          <w:iCs/>
          <w:lang w:eastAsia="es-ES"/>
        </w:rPr>
      </w:pPr>
      <w:r w:rsidRPr="00DA64FF">
        <w:rPr>
          <w:rFonts w:eastAsia="Calibri" w:cs="Tahoma"/>
          <w:bCs/>
          <w:iCs/>
          <w:lang w:eastAsia="es-ES"/>
        </w:rPr>
        <w:t>En ese sentido, cuando el número</w:t>
      </w:r>
      <w:r>
        <w:rPr>
          <w:rFonts w:eastAsia="Calibri" w:cs="Tahoma"/>
          <w:bCs/>
          <w:iCs/>
          <w:lang w:eastAsia="es-ES"/>
        </w:rPr>
        <w:t xml:space="preserve"> de cheque o referencia bancarios contienen el número de cuenta de los servidores públicos, </w:t>
      </w:r>
      <w:r w:rsidRPr="00DA64FF">
        <w:rPr>
          <w:rFonts w:eastAsia="Calibri" w:cs="Tahoma"/>
          <w:bCs/>
          <w:iCs/>
          <w:lang w:eastAsia="es-ES"/>
        </w:rPr>
        <w:t>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EB1E044" w14:textId="77777777" w:rsidR="00B24195" w:rsidRDefault="00B24195" w:rsidP="00722FE8">
      <w:pPr>
        <w:spacing w:after="0" w:line="360" w:lineRule="auto"/>
        <w:contextualSpacing/>
        <w:rPr>
          <w:rFonts w:eastAsia="Calibri" w:cs="Tahoma"/>
          <w:bCs/>
          <w:iCs/>
          <w:lang w:eastAsia="es-ES"/>
        </w:rPr>
      </w:pPr>
    </w:p>
    <w:p w14:paraId="3FA7594C" w14:textId="0CBB2C85" w:rsidR="00B24195" w:rsidRPr="00B24195" w:rsidRDefault="004014BF" w:rsidP="004014BF">
      <w:pPr>
        <w:spacing w:after="0" w:line="360" w:lineRule="auto"/>
        <w:rPr>
          <w:rFonts w:eastAsia="Calibri" w:cs="Tahoma"/>
          <w:color w:val="auto"/>
          <w:lang w:val="es-ES"/>
        </w:rPr>
      </w:pPr>
      <w:r w:rsidRPr="00B24195">
        <w:rPr>
          <w:rFonts w:eastAsia="Calibri" w:cs="Tahoma"/>
          <w:color w:val="auto"/>
          <w:lang w:val="es-ES"/>
        </w:rPr>
        <w:t>Conforme a lo anterior, se logra vislumbrar que el Sujeto Obligado entregó</w:t>
      </w:r>
      <w:r w:rsidR="00B24195" w:rsidRPr="00B24195">
        <w:rPr>
          <w:rFonts w:eastAsia="Calibri" w:cs="Tahoma"/>
          <w:color w:val="auto"/>
          <w:lang w:val="es-ES"/>
        </w:rPr>
        <w:t xml:space="preserve"> comprobantes bancarios de la dispersión de nómina</w:t>
      </w:r>
      <w:r w:rsidRPr="00B24195">
        <w:rPr>
          <w:rFonts w:eastAsia="Calibri" w:cs="Tahoma"/>
          <w:color w:val="auto"/>
          <w:lang w:val="es-ES"/>
        </w:rPr>
        <w:t xml:space="preserve">, donde el Sujeto Obligado testó datos de naturaleza pública, por lo que, deberá proporcionarlos en donde deberá dejar visibles, </w:t>
      </w:r>
      <w:r w:rsidR="00B24195" w:rsidRPr="00B24195">
        <w:rPr>
          <w:rFonts w:eastAsia="Calibri" w:cs="Tahoma"/>
          <w:color w:val="auto"/>
          <w:lang w:val="es-ES"/>
        </w:rPr>
        <w:t xml:space="preserve">datos como el número de contrato y número de cuenta del municipio, ahora bien, respecto a las conciliaciones de nómina remitidas en respuesta como en informe justificado, no se tiene certeza de que el número de cheque o referencia sean susceptibles de ser clasificadas, por lo </w:t>
      </w:r>
      <w:r w:rsidR="00B24195" w:rsidRPr="00B24195">
        <w:rPr>
          <w:rFonts w:eastAsia="Calibri" w:cs="Tahoma"/>
          <w:color w:val="auto"/>
          <w:lang w:val="es-ES"/>
        </w:rPr>
        <w:lastRenderedPageBreak/>
        <w:t>que para el caso de no contener datos de los servidores públicos, deberán de remitirlas de manera correcta.</w:t>
      </w:r>
    </w:p>
    <w:p w14:paraId="21D84069" w14:textId="77777777" w:rsidR="004014BF" w:rsidRPr="00B24195" w:rsidRDefault="004014BF" w:rsidP="004014BF">
      <w:pPr>
        <w:spacing w:after="0" w:line="360" w:lineRule="auto"/>
        <w:rPr>
          <w:rFonts w:eastAsia="Calibri" w:cs="Times New Roman"/>
          <w:color w:val="auto"/>
          <w:lang w:eastAsia="en-US"/>
        </w:rPr>
      </w:pPr>
    </w:p>
    <w:p w14:paraId="002BC61A" w14:textId="0CD0FA0A" w:rsidR="004014BF" w:rsidRPr="00B24195" w:rsidRDefault="004014BF" w:rsidP="00B24195">
      <w:pPr>
        <w:spacing w:after="0" w:line="360" w:lineRule="auto"/>
        <w:rPr>
          <w:rFonts w:eastAsia="Calibri" w:cs="Tahoma"/>
          <w:color w:val="auto"/>
          <w:lang w:val="es-ES"/>
        </w:rPr>
      </w:pPr>
      <w:r w:rsidRPr="00B24195">
        <w:rPr>
          <w:rFonts w:eastAsia="Calibri" w:cs="Tahoma"/>
          <w:color w:val="auto"/>
          <w:lang w:val="es-ES"/>
        </w:rPr>
        <w:t>Para tal situación, el Sujeto Obligado deberá seguir el procedimiento establ</w:t>
      </w:r>
      <w:r w:rsidR="00B24195" w:rsidRPr="00B24195">
        <w:rPr>
          <w:rFonts w:eastAsia="Calibri" w:cs="Tahoma"/>
          <w:color w:val="auto"/>
          <w:lang w:val="es-ES"/>
        </w:rPr>
        <w:t>ecido en el a</w:t>
      </w:r>
      <w:r w:rsidRPr="00B24195">
        <w:rPr>
          <w:rFonts w:eastAsia="Calibri" w:cs="Tahoma"/>
          <w:color w:val="auto"/>
          <w:lang w:val="es-ES"/>
        </w:rPr>
        <w:t>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88776B" w14:textId="77777777" w:rsidR="00E829E3" w:rsidRPr="00F648B2" w:rsidRDefault="00E829E3" w:rsidP="00153588">
      <w:pPr>
        <w:spacing w:after="0" w:line="360" w:lineRule="auto"/>
        <w:rPr>
          <w:rFonts w:cs="Tahoma"/>
          <w:bCs/>
          <w:iCs/>
          <w:color w:val="FF0000"/>
          <w:lang w:val="es-ES"/>
        </w:rPr>
      </w:pPr>
    </w:p>
    <w:p w14:paraId="13FA2AEF" w14:textId="77777777" w:rsidR="002A33C7" w:rsidRPr="00B24195" w:rsidRDefault="002A33C7" w:rsidP="00153588">
      <w:pPr>
        <w:keepNext/>
        <w:keepLines/>
        <w:spacing w:after="0" w:line="360" w:lineRule="auto"/>
        <w:outlineLvl w:val="1"/>
        <w:rPr>
          <w:b/>
          <w:color w:val="auto"/>
        </w:rPr>
      </w:pPr>
      <w:bookmarkStart w:id="16" w:name="_Toc205321094"/>
      <w:bookmarkStart w:id="17" w:name="_Toc221812059"/>
      <w:r w:rsidRPr="00B24195">
        <w:rPr>
          <w:b/>
          <w:color w:val="auto"/>
        </w:rPr>
        <w:t>SEXTO. Decisión</w:t>
      </w:r>
      <w:bookmarkEnd w:id="16"/>
      <w:bookmarkEnd w:id="17"/>
    </w:p>
    <w:p w14:paraId="7F4DC373" w14:textId="77777777" w:rsidR="002A33C7" w:rsidRPr="00F648B2" w:rsidRDefault="002A33C7" w:rsidP="00153588">
      <w:pPr>
        <w:spacing w:after="0" w:line="360" w:lineRule="auto"/>
        <w:contextualSpacing/>
        <w:rPr>
          <w:rFonts w:eastAsia="Calibri" w:cs="Tahoma"/>
          <w:b/>
          <w:color w:val="FF0000"/>
        </w:rPr>
      </w:pPr>
    </w:p>
    <w:p w14:paraId="5E71577F" w14:textId="53B325FE" w:rsidR="00FC7C29" w:rsidRPr="00B24195" w:rsidRDefault="002A33C7" w:rsidP="00153588">
      <w:pPr>
        <w:spacing w:after="0" w:line="360" w:lineRule="auto"/>
        <w:rPr>
          <w:color w:val="auto"/>
        </w:rPr>
      </w:pPr>
      <w:r w:rsidRPr="00B24195">
        <w:rPr>
          <w:color w:val="auto"/>
        </w:rPr>
        <w:t xml:space="preserve">De acuerdo con lo expuesto y, con fundamento en el artículo 186, fracción III, de la Ley de Transparencia y Acceso a la Información Pública del Estado de México y Municipios, este Instituto considera procedente </w:t>
      </w:r>
      <w:r w:rsidRPr="00B24195">
        <w:rPr>
          <w:b/>
          <w:color w:val="auto"/>
        </w:rPr>
        <w:t xml:space="preserve">MODIFICAR </w:t>
      </w:r>
      <w:r w:rsidRPr="00B24195">
        <w:rPr>
          <w:color w:val="auto"/>
        </w:rPr>
        <w:t xml:space="preserve">la respuesta del </w:t>
      </w:r>
      <w:r w:rsidR="00B24195" w:rsidRPr="00B24195">
        <w:rPr>
          <w:color w:val="auto"/>
        </w:rPr>
        <w:t xml:space="preserve"> Sistema Municipal Para el Desarrollo Integral de la Familia de Tlalnepantla de Baz</w:t>
      </w:r>
      <w:r w:rsidRPr="00B24195">
        <w:rPr>
          <w:b/>
          <w:color w:val="auto"/>
        </w:rPr>
        <w:t xml:space="preserve">, </w:t>
      </w:r>
      <w:r w:rsidRPr="00B24195">
        <w:rPr>
          <w:color w:val="auto"/>
        </w:rPr>
        <w:t xml:space="preserve">a efecto de que </w:t>
      </w:r>
      <w:r w:rsidR="00E70DD8" w:rsidRPr="00B24195">
        <w:rPr>
          <w:color w:val="auto"/>
        </w:rPr>
        <w:t xml:space="preserve">entregue la información </w:t>
      </w:r>
      <w:r w:rsidR="00B24195" w:rsidRPr="00B24195">
        <w:rPr>
          <w:color w:val="auto"/>
        </w:rPr>
        <w:t>faltante, así como la remitida en respuesta como en informe justificado de manera correcta.</w:t>
      </w:r>
    </w:p>
    <w:p w14:paraId="3277EF32" w14:textId="77777777" w:rsidR="002A33C7" w:rsidRPr="00F648B2" w:rsidRDefault="002A33C7" w:rsidP="00153588">
      <w:pPr>
        <w:spacing w:after="0" w:line="360" w:lineRule="auto"/>
        <w:rPr>
          <w:color w:val="FF0000"/>
        </w:rPr>
      </w:pPr>
    </w:p>
    <w:p w14:paraId="3D3686A4" w14:textId="77777777" w:rsidR="00FC7C29" w:rsidRPr="00B24195" w:rsidRDefault="00FC7C29" w:rsidP="00153588">
      <w:pPr>
        <w:spacing w:after="0" w:line="360" w:lineRule="auto"/>
        <w:contextualSpacing/>
        <w:rPr>
          <w:rFonts w:eastAsia="Calibri" w:cs="Tahoma"/>
          <w:b/>
          <w:bCs/>
          <w:color w:val="auto"/>
        </w:rPr>
      </w:pPr>
      <w:r w:rsidRPr="00B24195">
        <w:rPr>
          <w:rFonts w:eastAsia="Calibri" w:cs="Tahoma"/>
          <w:b/>
          <w:bCs/>
          <w:color w:val="auto"/>
        </w:rPr>
        <w:t>Términos de la Resolución para conocimiento del Particular</w:t>
      </w:r>
    </w:p>
    <w:p w14:paraId="6FD823CE" w14:textId="77777777" w:rsidR="00FC7C29" w:rsidRPr="00B24195" w:rsidRDefault="00FC7C29" w:rsidP="00153588">
      <w:pPr>
        <w:spacing w:after="0" w:line="360" w:lineRule="auto"/>
        <w:contextualSpacing/>
        <w:rPr>
          <w:rFonts w:eastAsia="Calibri" w:cs="Tahoma"/>
          <w:b/>
          <w:bCs/>
          <w:color w:val="auto"/>
        </w:rPr>
      </w:pPr>
    </w:p>
    <w:p w14:paraId="51E29B0F" w14:textId="44BE399A" w:rsidR="00FC7C29" w:rsidRPr="00B24195" w:rsidRDefault="00FC7C29" w:rsidP="00153588">
      <w:pPr>
        <w:spacing w:after="0" w:line="360" w:lineRule="auto"/>
        <w:ind w:right="-28"/>
        <w:rPr>
          <w:rFonts w:eastAsia="Times New Roman" w:cs="Tahoma"/>
          <w:bCs/>
          <w:iCs/>
          <w:color w:val="auto"/>
          <w:szCs w:val="24"/>
          <w:lang w:val="es-ES" w:eastAsia="es-ES"/>
        </w:rPr>
      </w:pPr>
      <w:r w:rsidRPr="00B24195">
        <w:rPr>
          <w:rFonts w:eastAsia="Times New Roman" w:cs="Tahoma"/>
          <w:bCs/>
          <w:iCs/>
          <w:color w:val="auto"/>
          <w:szCs w:val="24"/>
          <w:lang w:val="es-ES" w:eastAsia="es-ES"/>
        </w:rPr>
        <w:t xml:space="preserve">Se le hace del conocimiento al Particular, que, </w:t>
      </w:r>
      <w:r w:rsidR="002A33C7" w:rsidRPr="00B24195">
        <w:rPr>
          <w:rFonts w:eastAsia="Times New Roman" w:cs="Tahoma"/>
          <w:bCs/>
          <w:iCs/>
          <w:color w:val="auto"/>
          <w:szCs w:val="24"/>
          <w:lang w:val="es-ES" w:eastAsia="es-ES"/>
        </w:rPr>
        <w:t>se le da</w:t>
      </w:r>
      <w:r w:rsidRPr="00B24195">
        <w:rPr>
          <w:rFonts w:eastAsia="Times New Roman" w:cs="Tahoma"/>
          <w:bCs/>
          <w:iCs/>
          <w:color w:val="auto"/>
          <w:szCs w:val="24"/>
          <w:lang w:val="es-ES" w:eastAsia="es-ES"/>
        </w:rPr>
        <w:t xml:space="preserve"> la razón, pues el Sujeto Obligado </w:t>
      </w:r>
      <w:r w:rsidR="00B24195">
        <w:rPr>
          <w:rFonts w:eastAsia="Times New Roman" w:cs="Tahoma"/>
          <w:bCs/>
          <w:iCs/>
          <w:color w:val="auto"/>
          <w:szCs w:val="24"/>
          <w:lang w:val="es-ES" w:eastAsia="es-ES"/>
        </w:rPr>
        <w:t>no entrego la información de manera completa y parte de la información remitida la proporcionó de manera incorrecta, por lo que deberá de entregarla</w:t>
      </w:r>
      <w:r w:rsidR="00364FFD" w:rsidRPr="00B24195">
        <w:rPr>
          <w:rFonts w:eastAsia="Times New Roman" w:cs="Tahoma"/>
          <w:bCs/>
          <w:iCs/>
          <w:color w:val="auto"/>
          <w:szCs w:val="24"/>
          <w:lang w:val="es-ES" w:eastAsia="es-ES"/>
        </w:rPr>
        <w:t xml:space="preserve">. </w:t>
      </w:r>
      <w:r w:rsidRPr="00B24195">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7D6366C9" w14:textId="77777777" w:rsidR="00FC7C29" w:rsidRPr="00B24195" w:rsidRDefault="00FC7C29" w:rsidP="00153588">
      <w:pPr>
        <w:spacing w:after="0" w:line="360" w:lineRule="auto"/>
        <w:rPr>
          <w:color w:val="auto"/>
        </w:rPr>
      </w:pPr>
    </w:p>
    <w:p w14:paraId="696B3324" w14:textId="77777777" w:rsidR="00FC7C29" w:rsidRPr="00B24195" w:rsidRDefault="00FC7C29" w:rsidP="00153588">
      <w:pPr>
        <w:spacing w:after="0" w:line="360" w:lineRule="auto"/>
        <w:contextualSpacing/>
        <w:rPr>
          <w:rFonts w:eastAsia="Calibri"/>
          <w:color w:val="auto"/>
        </w:rPr>
      </w:pPr>
      <w:r w:rsidRPr="00B24195">
        <w:rPr>
          <w:rFonts w:eastAsia="Calibri"/>
          <w:color w:val="auto"/>
        </w:rPr>
        <w:t>Por lo expuesto y fundado, este Pleno:</w:t>
      </w:r>
    </w:p>
    <w:p w14:paraId="5095CB50" w14:textId="77777777" w:rsidR="00FC7C29" w:rsidRPr="00B24195" w:rsidRDefault="00FC7C29" w:rsidP="00153588">
      <w:pPr>
        <w:spacing w:after="0" w:line="360" w:lineRule="auto"/>
        <w:contextualSpacing/>
        <w:rPr>
          <w:rFonts w:eastAsia="Calibri"/>
          <w:color w:val="auto"/>
        </w:rPr>
      </w:pPr>
    </w:p>
    <w:p w14:paraId="1DA590BC" w14:textId="77777777" w:rsidR="00FC7C29" w:rsidRPr="00B24195" w:rsidRDefault="00FC7C29" w:rsidP="00153588">
      <w:pPr>
        <w:pStyle w:val="Ttulo1"/>
        <w:spacing w:before="0" w:after="0" w:line="360" w:lineRule="auto"/>
        <w:jc w:val="center"/>
        <w:rPr>
          <w:color w:val="auto"/>
          <w:sz w:val="22"/>
          <w:szCs w:val="22"/>
        </w:rPr>
      </w:pPr>
      <w:bookmarkStart w:id="18" w:name="_Toc202899304"/>
      <w:bookmarkStart w:id="19" w:name="_Toc221812060"/>
      <w:r w:rsidRPr="00B24195">
        <w:rPr>
          <w:color w:val="auto"/>
          <w:sz w:val="22"/>
          <w:szCs w:val="22"/>
        </w:rPr>
        <w:t>R E S U E L V E</w:t>
      </w:r>
      <w:bookmarkEnd w:id="18"/>
      <w:bookmarkEnd w:id="19"/>
    </w:p>
    <w:p w14:paraId="73AE3983" w14:textId="77777777" w:rsidR="00FC7C29" w:rsidRPr="00B24195" w:rsidRDefault="00FC7C29" w:rsidP="00153588">
      <w:pPr>
        <w:spacing w:after="0" w:line="360" w:lineRule="auto"/>
        <w:rPr>
          <w:rFonts w:eastAsia="Calibri" w:cs="Tahoma"/>
          <w:b/>
          <w:bCs/>
          <w:iCs/>
          <w:color w:val="auto"/>
        </w:rPr>
      </w:pPr>
    </w:p>
    <w:p w14:paraId="4FFE14FB" w14:textId="4D93D881" w:rsidR="002A33C7" w:rsidRPr="00B24195" w:rsidRDefault="002A33C7" w:rsidP="00153588">
      <w:pPr>
        <w:spacing w:after="0" w:line="360" w:lineRule="auto"/>
        <w:contextualSpacing/>
        <w:rPr>
          <w:color w:val="FF0000"/>
        </w:rPr>
      </w:pPr>
      <w:r w:rsidRPr="00B24195">
        <w:rPr>
          <w:rFonts w:cs="Tahoma"/>
          <w:b/>
          <w:bCs/>
          <w:color w:val="auto"/>
        </w:rPr>
        <w:t xml:space="preserve">PRIMERO. </w:t>
      </w:r>
      <w:r w:rsidRPr="00B24195">
        <w:rPr>
          <w:rFonts w:cs="Tahoma"/>
          <w:bCs/>
          <w:color w:val="auto"/>
        </w:rPr>
        <w:t xml:space="preserve">Se </w:t>
      </w:r>
      <w:r w:rsidRPr="00B24195">
        <w:rPr>
          <w:rFonts w:cs="Tahoma"/>
          <w:b/>
          <w:bCs/>
          <w:color w:val="auto"/>
        </w:rPr>
        <w:t xml:space="preserve">MODIFICA </w:t>
      </w:r>
      <w:r w:rsidRPr="00B24195">
        <w:rPr>
          <w:rFonts w:cs="Tahoma"/>
          <w:bCs/>
          <w:color w:val="auto"/>
        </w:rPr>
        <w:t xml:space="preserve">la respuesta entregada por el </w:t>
      </w:r>
      <w:r w:rsidR="00B24195">
        <w:rPr>
          <w:rFonts w:cs="Tahoma"/>
          <w:bCs/>
          <w:color w:val="auto"/>
        </w:rPr>
        <w:t xml:space="preserve"> </w:t>
      </w:r>
      <w:r w:rsidR="00B24195" w:rsidRPr="00F648B2">
        <w:t xml:space="preserve">Sistema Municipal Para el Desarrollo </w:t>
      </w:r>
      <w:r w:rsidR="00B24195" w:rsidRPr="00B24195">
        <w:rPr>
          <w:color w:val="auto"/>
        </w:rPr>
        <w:t>Integral de la Familia de Tlalnepantla de Baz</w:t>
      </w:r>
      <w:r w:rsidRPr="00B24195">
        <w:rPr>
          <w:color w:val="auto"/>
        </w:rPr>
        <w:t>, a la solicitud de información</w:t>
      </w:r>
      <w:r w:rsidR="00364FFD" w:rsidRPr="00B24195">
        <w:rPr>
          <w:color w:val="auto"/>
        </w:rPr>
        <w:t xml:space="preserve"> </w:t>
      </w:r>
      <w:r w:rsidR="00B24195" w:rsidRPr="00B24195">
        <w:rPr>
          <w:color w:val="auto"/>
        </w:rPr>
        <w:t>00147/DIFTLALNE/IP/2025</w:t>
      </w:r>
      <w:r w:rsidRPr="00B24195">
        <w:rPr>
          <w:bCs/>
          <w:color w:val="auto"/>
        </w:rPr>
        <w:t xml:space="preserve">, por resultar </w:t>
      </w:r>
      <w:r w:rsidRPr="00B24195">
        <w:rPr>
          <w:b/>
          <w:bCs/>
          <w:color w:val="auto"/>
        </w:rPr>
        <w:t>FUNDADAS</w:t>
      </w:r>
      <w:r w:rsidRPr="00B24195">
        <w:rPr>
          <w:rFonts w:cs="Tahoma"/>
          <w:b/>
          <w:bCs/>
          <w:color w:val="auto"/>
        </w:rPr>
        <w:t xml:space="preserve"> </w:t>
      </w:r>
      <w:r w:rsidRPr="00B24195">
        <w:rPr>
          <w:rFonts w:eastAsia="Calibri" w:cs="Tahoma"/>
          <w:bCs/>
          <w:color w:val="auto"/>
        </w:rPr>
        <w:t>las razones o motivos de inconformidad hechos valer por el Recurrente</w:t>
      </w:r>
      <w:r w:rsidRPr="00B24195">
        <w:rPr>
          <w:rFonts w:cs="Tahoma"/>
          <w:bCs/>
          <w:color w:val="auto"/>
        </w:rPr>
        <w:t xml:space="preserve">, </w:t>
      </w:r>
      <w:r w:rsidRPr="00B24195">
        <w:rPr>
          <w:rFonts w:eastAsia="Calibri" w:cs="Tahoma"/>
          <w:bCs/>
          <w:color w:val="auto"/>
        </w:rPr>
        <w:t>en términos de los considerandos QUINTO y SEXTO de la presente Resolución.</w:t>
      </w:r>
    </w:p>
    <w:p w14:paraId="7893948C" w14:textId="77777777" w:rsidR="00364FFD" w:rsidRPr="00F648B2" w:rsidRDefault="00364FFD" w:rsidP="00153588">
      <w:pPr>
        <w:spacing w:after="0" w:line="360" w:lineRule="auto"/>
        <w:contextualSpacing/>
        <w:rPr>
          <w:bCs/>
          <w:color w:val="FF0000"/>
        </w:rPr>
      </w:pPr>
    </w:p>
    <w:p w14:paraId="50A17C4C" w14:textId="05BD4EBB" w:rsidR="00364FFD" w:rsidRPr="00B24195" w:rsidRDefault="002A33C7" w:rsidP="00153588">
      <w:pPr>
        <w:spacing w:after="0" w:line="360" w:lineRule="auto"/>
        <w:rPr>
          <w:color w:val="auto"/>
        </w:rPr>
      </w:pPr>
      <w:r w:rsidRPr="00B24195">
        <w:rPr>
          <w:rFonts w:cs="Tahoma"/>
          <w:b/>
          <w:bCs/>
          <w:color w:val="auto"/>
        </w:rPr>
        <w:t xml:space="preserve">SEGUNDO. </w:t>
      </w:r>
      <w:r w:rsidRPr="00B24195">
        <w:rPr>
          <w:color w:val="auto"/>
        </w:rPr>
        <w:t xml:space="preserve">Se </w:t>
      </w:r>
      <w:r w:rsidRPr="00B24195">
        <w:rPr>
          <w:b/>
          <w:color w:val="auto"/>
        </w:rPr>
        <w:t>ORDENA</w:t>
      </w:r>
      <w:r w:rsidRPr="00B24195">
        <w:rPr>
          <w:color w:val="auto"/>
        </w:rPr>
        <w:t xml:space="preserve"> al Ente Recurrido</w:t>
      </w:r>
      <w:r w:rsidRPr="00B24195">
        <w:rPr>
          <w:b/>
          <w:color w:val="auto"/>
        </w:rPr>
        <w:t xml:space="preserve">, </w:t>
      </w:r>
      <w:r w:rsidRPr="00B24195">
        <w:rPr>
          <w:color w:val="auto"/>
        </w:rPr>
        <w:t>a efecto de que</w:t>
      </w:r>
      <w:r w:rsidR="00E5639F" w:rsidRPr="00B24195">
        <w:rPr>
          <w:color w:val="auto"/>
        </w:rPr>
        <w:t xml:space="preserve"> entregue</w:t>
      </w:r>
      <w:r w:rsidRPr="00B24195">
        <w:rPr>
          <w:color w:val="auto"/>
        </w:rPr>
        <w:t>, a través del Sistema de Acceso a la I</w:t>
      </w:r>
      <w:r w:rsidR="006A1C14" w:rsidRPr="00B24195">
        <w:rPr>
          <w:color w:val="auto"/>
        </w:rPr>
        <w:t>nformación Mexiquense (SAIMEX)</w:t>
      </w:r>
      <w:r w:rsidR="00364FFD" w:rsidRPr="00B24195">
        <w:rPr>
          <w:color w:val="auto"/>
        </w:rPr>
        <w:t xml:space="preserve">, </w:t>
      </w:r>
      <w:r w:rsidR="00B24195">
        <w:rPr>
          <w:color w:val="auto"/>
        </w:rPr>
        <w:t xml:space="preserve">en versión pública, </w:t>
      </w:r>
      <w:r w:rsidR="00364FFD" w:rsidRPr="00B24195">
        <w:rPr>
          <w:color w:val="auto"/>
        </w:rPr>
        <w:t>lo siguiente:</w:t>
      </w:r>
    </w:p>
    <w:p w14:paraId="0BE638CF" w14:textId="77777777" w:rsidR="00B24195" w:rsidRDefault="00B24195" w:rsidP="00B24195">
      <w:pPr>
        <w:pStyle w:val="Prrafodelista"/>
        <w:spacing w:line="360" w:lineRule="auto"/>
        <w:rPr>
          <w:rFonts w:cs="Tahoma"/>
          <w:bCs/>
          <w:iCs/>
          <w:color w:val="FF0000"/>
        </w:rPr>
      </w:pPr>
    </w:p>
    <w:p w14:paraId="16DBE76C" w14:textId="525E949F" w:rsidR="00C74D12" w:rsidRPr="00C74D12" w:rsidRDefault="00B24195" w:rsidP="00E5639F">
      <w:pPr>
        <w:pStyle w:val="Prrafodelista"/>
        <w:numPr>
          <w:ilvl w:val="0"/>
          <w:numId w:val="40"/>
        </w:numPr>
        <w:spacing w:line="360" w:lineRule="auto"/>
        <w:rPr>
          <w:rFonts w:cs="Tahoma"/>
          <w:bCs/>
          <w:iCs/>
          <w:color w:val="auto"/>
        </w:rPr>
      </w:pPr>
      <w:r w:rsidRPr="00092048">
        <w:rPr>
          <w:color w:val="auto"/>
        </w:rPr>
        <w:t xml:space="preserve">La conciliación de nómina de los servidores públicos adscritos al </w:t>
      </w:r>
      <w:r w:rsidR="00C74D12">
        <w:rPr>
          <w:color w:val="auto"/>
        </w:rPr>
        <w:t>Sistema Municipal para el Desarrollo Integral de la Familia de Tlalnepantla de Baz y los Comprobantes bancarios de la dispersión, de la nómina de la segunda quincena de julio de dos mil veinticinco.</w:t>
      </w:r>
    </w:p>
    <w:p w14:paraId="33176591" w14:textId="77777777" w:rsidR="00C74D12" w:rsidRDefault="00C74D12" w:rsidP="00C74D12">
      <w:pPr>
        <w:pStyle w:val="Prrafodelista"/>
        <w:spacing w:line="360" w:lineRule="auto"/>
        <w:rPr>
          <w:color w:val="auto"/>
        </w:rPr>
      </w:pPr>
    </w:p>
    <w:p w14:paraId="2907B90D" w14:textId="0CCCBC20" w:rsidR="00C74D12" w:rsidRPr="00C74D12" w:rsidRDefault="00C74D12" w:rsidP="00012872">
      <w:pPr>
        <w:pStyle w:val="Prrafodelista"/>
        <w:numPr>
          <w:ilvl w:val="0"/>
          <w:numId w:val="40"/>
        </w:numPr>
        <w:spacing w:line="360" w:lineRule="auto"/>
        <w:rPr>
          <w:rFonts w:cs="Tahoma"/>
          <w:bCs/>
          <w:iCs/>
          <w:color w:val="auto"/>
        </w:rPr>
      </w:pPr>
      <w:r w:rsidRPr="00C74D12">
        <w:rPr>
          <w:color w:val="auto"/>
        </w:rPr>
        <w:t xml:space="preserve">La conciliación de nómina y los Comprobantes bancarios de la </w:t>
      </w:r>
      <w:r>
        <w:rPr>
          <w:color w:val="auto"/>
        </w:rPr>
        <w:t>dispersión de nómina, entregados en respuesta e Informe Justificado, en términos del Considerando QUINTO.</w:t>
      </w:r>
    </w:p>
    <w:p w14:paraId="68A1FCA4" w14:textId="77777777" w:rsidR="00C74D12" w:rsidRPr="00C74D12" w:rsidRDefault="00C74D12" w:rsidP="00C74D12">
      <w:pPr>
        <w:pStyle w:val="Prrafodelista"/>
        <w:rPr>
          <w:color w:val="auto"/>
        </w:rPr>
      </w:pPr>
    </w:p>
    <w:p w14:paraId="551189B5" w14:textId="77777777" w:rsidR="00092048" w:rsidRDefault="00092048" w:rsidP="00092048">
      <w:pPr>
        <w:spacing w:line="360" w:lineRule="auto"/>
        <w:rPr>
          <w:rFonts w:cs="Tahoma"/>
          <w:bCs/>
          <w:iCs/>
          <w:color w:val="FF0000"/>
        </w:rPr>
      </w:pPr>
    </w:p>
    <w:p w14:paraId="17AD4825" w14:textId="77777777" w:rsidR="00092048" w:rsidRPr="00092048" w:rsidRDefault="00092048" w:rsidP="00092048">
      <w:pPr>
        <w:spacing w:after="0" w:line="360" w:lineRule="auto"/>
        <w:rPr>
          <w:color w:val="auto"/>
        </w:rPr>
      </w:pPr>
      <w:r w:rsidRPr="00092048">
        <w:rPr>
          <w:color w:val="auto"/>
        </w:rPr>
        <w:lastRenderedPageBreak/>
        <w:t>Además, deberá proporcionar el Acuerdo de Clasificación donde el Comité de Transparencia, confirme la eliminación de los datos o información clasificada, en términos del Considerando QUINTO, en la versión pública, de conformidad con los artículos 49, fracciones II y VIII y 132, fracción II de la Ley de Transparencia y Acceso a la Información</w:t>
      </w:r>
    </w:p>
    <w:p w14:paraId="6DB57141" w14:textId="77777777" w:rsidR="00092048" w:rsidRPr="00092048" w:rsidRDefault="00092048" w:rsidP="00092048">
      <w:pPr>
        <w:spacing w:after="0" w:line="360" w:lineRule="auto"/>
        <w:rPr>
          <w:color w:val="auto"/>
        </w:rPr>
      </w:pPr>
      <w:r w:rsidRPr="00092048">
        <w:rPr>
          <w:color w:val="auto"/>
        </w:rPr>
        <w:t>Pública del Estado de México y Municipios.</w:t>
      </w:r>
    </w:p>
    <w:p w14:paraId="014E5F98" w14:textId="77777777" w:rsidR="006A1C14" w:rsidRPr="00F648B2" w:rsidRDefault="006A1C14" w:rsidP="00153588">
      <w:pPr>
        <w:spacing w:after="0" w:line="360" w:lineRule="auto"/>
        <w:rPr>
          <w:rFonts w:cs="Tahoma"/>
          <w:bCs/>
          <w:iCs/>
          <w:color w:val="FF0000"/>
        </w:rPr>
      </w:pPr>
    </w:p>
    <w:p w14:paraId="0CE828D9" w14:textId="77777777" w:rsidR="006B7076" w:rsidRPr="00092048" w:rsidRDefault="002A33C7" w:rsidP="00153588">
      <w:pPr>
        <w:spacing w:after="0" w:line="360" w:lineRule="auto"/>
        <w:ind w:right="-28"/>
        <w:contextualSpacing/>
        <w:rPr>
          <w:rFonts w:cs="Tahoma"/>
          <w:bCs/>
          <w:iCs/>
          <w:color w:val="auto"/>
        </w:rPr>
      </w:pPr>
      <w:r w:rsidRPr="00092048">
        <w:rPr>
          <w:rFonts w:eastAsia="Calibri" w:cs="Tahoma"/>
          <w:b/>
          <w:bCs/>
          <w:color w:val="auto"/>
        </w:rPr>
        <w:t xml:space="preserve">TERCERO. </w:t>
      </w:r>
      <w:r w:rsidRPr="00092048">
        <w:rPr>
          <w:rFonts w:cs="Tahoma"/>
          <w:b/>
          <w:bCs/>
          <w:iCs/>
          <w:color w:val="auto"/>
        </w:rPr>
        <w:t xml:space="preserve">NOTIFÍQUESE POR SAIMEX </w:t>
      </w:r>
      <w:r w:rsidRPr="00092048">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0BF4736" w14:textId="77777777" w:rsidR="006B7076" w:rsidRPr="00092048" w:rsidRDefault="006B7076" w:rsidP="00153588">
      <w:pPr>
        <w:spacing w:after="0" w:line="360" w:lineRule="auto"/>
        <w:ind w:right="-28"/>
        <w:contextualSpacing/>
        <w:rPr>
          <w:rFonts w:cs="Tahoma"/>
          <w:bCs/>
          <w:iCs/>
          <w:color w:val="auto"/>
        </w:rPr>
      </w:pPr>
    </w:p>
    <w:p w14:paraId="5EC28B22" w14:textId="4173C0FB" w:rsidR="002A33C7" w:rsidRPr="00092048" w:rsidRDefault="002A33C7" w:rsidP="00153588">
      <w:pPr>
        <w:spacing w:after="0" w:line="360" w:lineRule="auto"/>
        <w:ind w:right="-28"/>
        <w:contextualSpacing/>
        <w:rPr>
          <w:rFonts w:cs="Tahoma"/>
          <w:bCs/>
          <w:iCs/>
          <w:color w:val="auto"/>
        </w:rPr>
      </w:pPr>
      <w:r w:rsidRPr="00092048">
        <w:rPr>
          <w:rFonts w:eastAsia="Calibri" w:cs="Tahoma"/>
          <w:iCs/>
          <w:color w:val="auto"/>
        </w:rPr>
        <w:t xml:space="preserve">De conformidad con el artículo 198 de la </w:t>
      </w:r>
      <w:r w:rsidRPr="00092048">
        <w:rPr>
          <w:rFonts w:cs="Tahoma"/>
          <w:bCs/>
          <w:iCs/>
          <w:color w:val="auto"/>
        </w:rPr>
        <w:t>Ley de Transparencia y Acceso a la Información Pública del Estado de México y Municipios</w:t>
      </w:r>
      <w:r w:rsidRPr="00092048">
        <w:rPr>
          <w:rFonts w:eastAsia="Calibri" w:cs="Tahoma"/>
          <w:iCs/>
          <w:color w:val="auto"/>
        </w:rPr>
        <w:t>, de considerarlo procedente, el Sujeto Obligado de manera fundada y motivada, podrá solicitar una ampliación de plazo para el cumplimiento de la presente resolución.</w:t>
      </w:r>
    </w:p>
    <w:p w14:paraId="68608E8F" w14:textId="77777777" w:rsidR="002A33C7" w:rsidRPr="00092048" w:rsidRDefault="002A33C7" w:rsidP="00153588">
      <w:pPr>
        <w:spacing w:after="0" w:line="360" w:lineRule="auto"/>
        <w:contextualSpacing/>
        <w:rPr>
          <w:rFonts w:eastAsia="Calibri" w:cs="Tahoma"/>
          <w:color w:val="auto"/>
          <w:lang w:val="es-ES"/>
        </w:rPr>
      </w:pPr>
    </w:p>
    <w:p w14:paraId="5B4A03C7" w14:textId="77777777" w:rsidR="002A33C7" w:rsidRPr="00092048" w:rsidRDefault="002A33C7" w:rsidP="00153588">
      <w:pPr>
        <w:spacing w:after="0" w:line="360" w:lineRule="auto"/>
        <w:contextualSpacing/>
        <w:rPr>
          <w:rFonts w:cs="Tahoma"/>
          <w:color w:val="auto"/>
        </w:rPr>
      </w:pPr>
      <w:r w:rsidRPr="00092048">
        <w:rPr>
          <w:rFonts w:eastAsia="Calibri" w:cs="Tahoma"/>
          <w:b/>
          <w:color w:val="auto"/>
        </w:rPr>
        <w:t>CUARTO</w:t>
      </w:r>
      <w:r w:rsidRPr="00092048">
        <w:rPr>
          <w:rFonts w:eastAsia="Calibri" w:cs="Tahoma"/>
          <w:b/>
          <w:bCs/>
          <w:color w:val="auto"/>
        </w:rPr>
        <w:t xml:space="preserve">. </w:t>
      </w:r>
      <w:r w:rsidRPr="00092048">
        <w:rPr>
          <w:rFonts w:cs="Tahoma"/>
          <w:b/>
          <w:color w:val="auto"/>
        </w:rPr>
        <w:t>NOTIFÍQUESE POR SAIMEX</w:t>
      </w:r>
      <w:r w:rsidRPr="00092048">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7FBE7D" w14:textId="77777777" w:rsidR="002A33C7" w:rsidRPr="00092048" w:rsidRDefault="002A33C7" w:rsidP="00153588">
      <w:pPr>
        <w:spacing w:after="0" w:line="360" w:lineRule="auto"/>
        <w:contextualSpacing/>
        <w:rPr>
          <w:rFonts w:cs="Arial"/>
          <w:b/>
          <w:bCs/>
          <w:color w:val="auto"/>
        </w:rPr>
      </w:pPr>
    </w:p>
    <w:p w14:paraId="5CBB890A" w14:textId="39F16334" w:rsidR="002A33C7" w:rsidRPr="00092048" w:rsidRDefault="002A33C7" w:rsidP="00153588">
      <w:pPr>
        <w:spacing w:after="0" w:line="360" w:lineRule="auto"/>
        <w:contextualSpacing/>
        <w:rPr>
          <w:rFonts w:cs="Tahoma"/>
          <w:b/>
          <w:bCs/>
          <w:color w:val="auto"/>
        </w:rPr>
      </w:pPr>
      <w:r w:rsidRPr="00092048">
        <w:rPr>
          <w:rFonts w:eastAsia="Calibri" w:cs="Tahoma"/>
          <w:bCs/>
          <w:color w:val="auto"/>
        </w:rPr>
        <w:t>ASÍ LO RESUELVE, POR </w:t>
      </w:r>
      <w:r w:rsidRPr="00092048">
        <w:rPr>
          <w:rFonts w:eastAsia="Calibri" w:cs="Tahoma"/>
          <w:b/>
          <w:bCs/>
          <w:color w:val="auto"/>
        </w:rPr>
        <w:t>UNANIMIDAD</w:t>
      </w:r>
      <w:r w:rsidRPr="00092048">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92048">
        <w:rPr>
          <w:rFonts w:eastAsia="Calibri" w:cs="Tahoma"/>
          <w:bCs/>
          <w:color w:val="auto"/>
        </w:rPr>
        <w:t xml:space="preserve"> QUINTA SESIÓN </w:t>
      </w:r>
      <w:r w:rsidRPr="00092048">
        <w:rPr>
          <w:rFonts w:eastAsia="Calibri" w:cs="Tahoma"/>
          <w:bCs/>
          <w:color w:val="auto"/>
        </w:rPr>
        <w:t>ORDINARIA, CELEBRADA EL</w:t>
      </w:r>
      <w:r w:rsidR="00092048">
        <w:rPr>
          <w:rFonts w:eastAsia="Calibri" w:cs="Tahoma"/>
          <w:bCs/>
          <w:color w:val="auto"/>
        </w:rPr>
        <w:t xml:space="preserve"> ONCE DE FEBRERO DE DOS MIL VEINTISÉIS</w:t>
      </w:r>
      <w:r w:rsidRPr="00092048">
        <w:rPr>
          <w:rFonts w:eastAsia="Calibri" w:cs="Tahoma"/>
          <w:bCs/>
          <w:color w:val="auto"/>
        </w:rPr>
        <w:t>, ANTE EL SECRETARIO TÉCNICO DEL PLENO, ALEXIS TAPIA RAMÍREZ.</w:t>
      </w:r>
    </w:p>
    <w:p w14:paraId="718B0D95" w14:textId="77777777" w:rsidR="002A33C7" w:rsidRPr="00092048" w:rsidRDefault="002A33C7" w:rsidP="00153588">
      <w:pPr>
        <w:spacing w:after="0" w:line="360" w:lineRule="auto"/>
        <w:rPr>
          <w:rFonts w:eastAsia="Calibri" w:cs="Tahoma"/>
          <w:b/>
          <w:bCs/>
          <w:iCs/>
          <w:color w:val="auto"/>
        </w:rPr>
      </w:pPr>
    </w:p>
    <w:p w14:paraId="7E94FABF" w14:textId="77777777" w:rsidR="002A33C7" w:rsidRPr="00092048" w:rsidRDefault="002A33C7" w:rsidP="00153588">
      <w:pPr>
        <w:spacing w:after="0" w:line="360" w:lineRule="auto"/>
        <w:rPr>
          <w:rFonts w:eastAsia="Calibri" w:cs="Tahoma"/>
          <w:b/>
          <w:bCs/>
          <w:iCs/>
          <w:color w:val="auto"/>
        </w:rPr>
      </w:pPr>
    </w:p>
    <w:p w14:paraId="2BA380C7" w14:textId="77777777" w:rsidR="00D1318A" w:rsidRPr="00F648B2" w:rsidRDefault="00D1318A" w:rsidP="00153588">
      <w:pPr>
        <w:spacing w:after="0" w:line="360" w:lineRule="auto"/>
        <w:ind w:right="-28"/>
        <w:rPr>
          <w:color w:val="FF0000"/>
        </w:rPr>
      </w:pPr>
    </w:p>
    <w:p w14:paraId="1FFCF4F3" w14:textId="77777777" w:rsidR="00B02499" w:rsidRPr="00F648B2" w:rsidRDefault="00B02499" w:rsidP="00153588">
      <w:pPr>
        <w:spacing w:after="0" w:line="360" w:lineRule="auto"/>
        <w:rPr>
          <w:rFonts w:eastAsia="Calibri" w:cs="Times New Roman"/>
          <w:b/>
          <w:bCs/>
          <w:color w:val="FF0000"/>
        </w:rPr>
      </w:pPr>
    </w:p>
    <w:p w14:paraId="654C889D" w14:textId="77777777" w:rsidR="00B02499" w:rsidRPr="00F648B2" w:rsidRDefault="00B02499" w:rsidP="00153588">
      <w:pPr>
        <w:spacing w:after="0" w:line="360" w:lineRule="auto"/>
        <w:rPr>
          <w:rFonts w:eastAsia="Calibri" w:cs="Times New Roman"/>
          <w:b/>
          <w:bCs/>
          <w:color w:val="FF0000"/>
        </w:rPr>
      </w:pPr>
    </w:p>
    <w:p w14:paraId="097C707A" w14:textId="77777777" w:rsidR="004A10B0" w:rsidRPr="00F648B2" w:rsidRDefault="004A10B0" w:rsidP="00153588">
      <w:pPr>
        <w:spacing w:after="0" w:line="360" w:lineRule="auto"/>
        <w:contextualSpacing/>
        <w:rPr>
          <w:rFonts w:eastAsia="Calibri" w:cs="Times New Roman"/>
          <w:color w:val="FF0000"/>
        </w:rPr>
      </w:pPr>
    </w:p>
    <w:p w14:paraId="3677DBED" w14:textId="77777777" w:rsidR="004A10B0" w:rsidRPr="00F648B2" w:rsidRDefault="004A10B0" w:rsidP="00153588">
      <w:pPr>
        <w:spacing w:after="0" w:line="360" w:lineRule="auto"/>
        <w:contextualSpacing/>
        <w:rPr>
          <w:color w:val="FF0000"/>
        </w:rPr>
      </w:pPr>
    </w:p>
    <w:p w14:paraId="74E8DB3F" w14:textId="77777777" w:rsidR="00C556AB" w:rsidRPr="00F648B2" w:rsidRDefault="00C556AB" w:rsidP="00153588">
      <w:pPr>
        <w:spacing w:after="0" w:line="360" w:lineRule="auto"/>
        <w:rPr>
          <w:color w:val="FF0000"/>
        </w:rPr>
      </w:pPr>
    </w:p>
    <w:p w14:paraId="1A555613" w14:textId="77777777" w:rsidR="00023BBD" w:rsidRPr="00F648B2" w:rsidRDefault="00023BBD" w:rsidP="00153588">
      <w:pPr>
        <w:spacing w:after="0" w:line="360" w:lineRule="auto"/>
        <w:rPr>
          <w:color w:val="FF0000"/>
        </w:rPr>
      </w:pPr>
    </w:p>
    <w:p w14:paraId="2DB71CAF" w14:textId="49BEE08C" w:rsidR="001D4F21" w:rsidRPr="00F648B2" w:rsidRDefault="001D4F21" w:rsidP="00153588">
      <w:pPr>
        <w:spacing w:after="0" w:line="360" w:lineRule="auto"/>
        <w:rPr>
          <w:color w:val="FF0000"/>
        </w:rPr>
      </w:pPr>
    </w:p>
    <w:p w14:paraId="38B4EF2E" w14:textId="77777777" w:rsidR="001D4F21" w:rsidRPr="00F648B2" w:rsidRDefault="001D4F21" w:rsidP="00153588">
      <w:pPr>
        <w:spacing w:after="0" w:line="360" w:lineRule="auto"/>
        <w:rPr>
          <w:color w:val="FF0000"/>
        </w:rPr>
      </w:pPr>
    </w:p>
    <w:p w14:paraId="4201A0A0" w14:textId="77777777" w:rsidR="00E864E9" w:rsidRPr="00F648B2" w:rsidRDefault="00E864E9" w:rsidP="00153588">
      <w:pPr>
        <w:tabs>
          <w:tab w:val="right" w:pos="8931"/>
        </w:tabs>
        <w:spacing w:after="0" w:line="360" w:lineRule="auto"/>
        <w:rPr>
          <w:color w:val="FF0000"/>
        </w:rPr>
      </w:pPr>
    </w:p>
    <w:p w14:paraId="543728D1" w14:textId="77777777" w:rsidR="00E864E9" w:rsidRPr="00F648B2" w:rsidRDefault="00E864E9" w:rsidP="00153588">
      <w:pPr>
        <w:tabs>
          <w:tab w:val="right" w:pos="8931"/>
        </w:tabs>
        <w:spacing w:after="0" w:line="360" w:lineRule="auto"/>
        <w:rPr>
          <w:color w:val="FF0000"/>
        </w:rPr>
      </w:pPr>
    </w:p>
    <w:p w14:paraId="0E4439D0" w14:textId="5248D3C9" w:rsidR="007B58B9" w:rsidRPr="00F648B2" w:rsidRDefault="007B58B9" w:rsidP="00153588">
      <w:pPr>
        <w:spacing w:after="0" w:line="360" w:lineRule="auto"/>
        <w:rPr>
          <w:color w:val="FF0000"/>
        </w:rPr>
      </w:pPr>
    </w:p>
    <w:p w14:paraId="26916C77" w14:textId="77777777" w:rsidR="00A37EDE" w:rsidRDefault="00A37EDE" w:rsidP="00153588">
      <w:pPr>
        <w:spacing w:after="0" w:line="360" w:lineRule="auto"/>
        <w:rPr>
          <w:color w:val="FF0000"/>
        </w:rPr>
      </w:pPr>
    </w:p>
    <w:p w14:paraId="41950997" w14:textId="77777777" w:rsidR="00C47D5B" w:rsidRDefault="00C47D5B" w:rsidP="00153588">
      <w:pPr>
        <w:spacing w:after="0" w:line="360" w:lineRule="auto"/>
        <w:rPr>
          <w:color w:val="FF0000"/>
        </w:rPr>
      </w:pPr>
    </w:p>
    <w:p w14:paraId="78FDB3C1" w14:textId="77777777" w:rsidR="00C47D5B" w:rsidRPr="00F648B2" w:rsidRDefault="00C47D5B" w:rsidP="00153588">
      <w:pPr>
        <w:spacing w:after="0" w:line="360" w:lineRule="auto"/>
        <w:rPr>
          <w:color w:val="FF0000"/>
        </w:rPr>
      </w:pPr>
    </w:p>
    <w:sectPr w:rsidR="00C47D5B" w:rsidRPr="00F648B2" w:rsidSect="000B49C4">
      <w:headerReference w:type="even" r:id="rId16"/>
      <w:headerReference w:type="default" r:id="rId17"/>
      <w:footerReference w:type="even" r:id="rId18"/>
      <w:footerReference w:type="default" r:id="rId19"/>
      <w:headerReference w:type="first" r:id="rId20"/>
      <w:footerReference w:type="first" r:id="rId21"/>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B2962" w14:textId="77777777" w:rsidR="00F14B47" w:rsidRDefault="00F14B47">
      <w:pPr>
        <w:spacing w:after="0" w:line="240" w:lineRule="auto"/>
      </w:pPr>
      <w:r>
        <w:separator/>
      </w:r>
    </w:p>
  </w:endnote>
  <w:endnote w:type="continuationSeparator" w:id="0">
    <w:p w14:paraId="1D3B81E7" w14:textId="77777777" w:rsidR="00F14B47" w:rsidRDefault="00F1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B24195" w:rsidRDefault="00B2419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61AD9">
      <w:rPr>
        <w:b/>
        <w:noProof/>
        <w:color w:val="000000"/>
        <w:sz w:val="24"/>
        <w:szCs w:val="24"/>
      </w:rPr>
      <w:t>41</w:t>
    </w:r>
    <w:r>
      <w:rPr>
        <w:b/>
        <w:color w:val="000000"/>
        <w:sz w:val="24"/>
        <w:szCs w:val="24"/>
      </w:rPr>
      <w:fldChar w:fldCharType="end"/>
    </w:r>
  </w:p>
  <w:p w14:paraId="7EB9860B" w14:textId="77777777" w:rsidR="00B24195" w:rsidRDefault="00B2419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B24195" w:rsidRDefault="00B2419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61AD9">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61AD9">
      <w:rPr>
        <w:b/>
        <w:noProof/>
        <w:color w:val="000000"/>
        <w:sz w:val="24"/>
        <w:szCs w:val="24"/>
      </w:rPr>
      <w:t>41</w:t>
    </w:r>
    <w:r>
      <w:rPr>
        <w:b/>
        <w:color w:val="000000"/>
        <w:sz w:val="24"/>
        <w:szCs w:val="24"/>
      </w:rPr>
      <w:fldChar w:fldCharType="end"/>
    </w:r>
  </w:p>
  <w:p w14:paraId="0D7FA8D9" w14:textId="77777777" w:rsidR="00B24195" w:rsidRDefault="00B2419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B24195" w:rsidRDefault="00B2419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61AD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61AD9">
      <w:rPr>
        <w:b/>
        <w:noProof/>
        <w:color w:val="000000"/>
        <w:sz w:val="24"/>
        <w:szCs w:val="24"/>
      </w:rPr>
      <w:t>41</w:t>
    </w:r>
    <w:r>
      <w:rPr>
        <w:b/>
        <w:color w:val="000000"/>
        <w:sz w:val="24"/>
        <w:szCs w:val="24"/>
      </w:rPr>
      <w:fldChar w:fldCharType="end"/>
    </w:r>
  </w:p>
  <w:p w14:paraId="6796AF5F" w14:textId="77777777" w:rsidR="00B24195" w:rsidRDefault="00B2419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D785D" w14:textId="77777777" w:rsidR="00F14B47" w:rsidRDefault="00F14B47">
      <w:pPr>
        <w:spacing w:after="0" w:line="240" w:lineRule="auto"/>
      </w:pPr>
      <w:r>
        <w:separator/>
      </w:r>
    </w:p>
  </w:footnote>
  <w:footnote w:type="continuationSeparator" w:id="0">
    <w:p w14:paraId="3B1E6F65" w14:textId="77777777" w:rsidR="00F14B47" w:rsidRDefault="00F14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B24195" w:rsidRDefault="00B2419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24195" w14:paraId="10C29E94" w14:textId="77777777">
      <w:trPr>
        <w:trHeight w:val="132"/>
      </w:trPr>
      <w:tc>
        <w:tcPr>
          <w:tcW w:w="2691" w:type="dxa"/>
        </w:tcPr>
        <w:p w14:paraId="7D85A4B8" w14:textId="77777777" w:rsidR="00B24195" w:rsidRDefault="00B24195">
          <w:pPr>
            <w:tabs>
              <w:tab w:val="right" w:pos="8838"/>
            </w:tabs>
            <w:ind w:right="-105"/>
            <w:rPr>
              <w:b/>
            </w:rPr>
          </w:pPr>
          <w:r>
            <w:rPr>
              <w:b/>
            </w:rPr>
            <w:t>Recurso de Revisión:</w:t>
          </w:r>
        </w:p>
      </w:tc>
      <w:tc>
        <w:tcPr>
          <w:tcW w:w="3405" w:type="dxa"/>
        </w:tcPr>
        <w:p w14:paraId="0B0D1A9D" w14:textId="77777777" w:rsidR="00B24195" w:rsidRDefault="00B24195">
          <w:pPr>
            <w:tabs>
              <w:tab w:val="right" w:pos="8838"/>
            </w:tabs>
            <w:ind w:left="-28" w:right="-32"/>
          </w:pPr>
          <w:r>
            <w:t>03846/INFOEM/IP/RR/2020</w:t>
          </w:r>
        </w:p>
      </w:tc>
    </w:tr>
    <w:tr w:rsidR="00B24195" w14:paraId="2F47AC72" w14:textId="77777777">
      <w:trPr>
        <w:trHeight w:val="261"/>
      </w:trPr>
      <w:tc>
        <w:tcPr>
          <w:tcW w:w="2691" w:type="dxa"/>
        </w:tcPr>
        <w:p w14:paraId="154A4752" w14:textId="77777777" w:rsidR="00B24195" w:rsidRDefault="00B24195">
          <w:pPr>
            <w:tabs>
              <w:tab w:val="right" w:pos="8838"/>
            </w:tabs>
            <w:ind w:right="-105"/>
            <w:rPr>
              <w:b/>
            </w:rPr>
          </w:pPr>
          <w:r>
            <w:rPr>
              <w:b/>
            </w:rPr>
            <w:t>Sujeto Obligado:</w:t>
          </w:r>
        </w:p>
      </w:tc>
      <w:tc>
        <w:tcPr>
          <w:tcW w:w="3405" w:type="dxa"/>
        </w:tcPr>
        <w:p w14:paraId="5D9EC711" w14:textId="77777777" w:rsidR="00B24195" w:rsidRDefault="00B24195">
          <w:pPr>
            <w:tabs>
              <w:tab w:val="right" w:pos="8838"/>
            </w:tabs>
            <w:ind w:right="-32"/>
          </w:pPr>
          <w:r>
            <w:t>Ayuntamiento de Temascalcingo</w:t>
          </w:r>
        </w:p>
      </w:tc>
    </w:tr>
    <w:tr w:rsidR="00B24195" w14:paraId="11FBB450" w14:textId="77777777">
      <w:trPr>
        <w:trHeight w:val="261"/>
      </w:trPr>
      <w:tc>
        <w:tcPr>
          <w:tcW w:w="2691" w:type="dxa"/>
        </w:tcPr>
        <w:p w14:paraId="6BAF6003" w14:textId="77777777" w:rsidR="00B24195" w:rsidRDefault="00B24195">
          <w:pPr>
            <w:tabs>
              <w:tab w:val="right" w:pos="8838"/>
            </w:tabs>
            <w:ind w:right="-105"/>
            <w:rPr>
              <w:b/>
            </w:rPr>
          </w:pPr>
          <w:r>
            <w:rPr>
              <w:b/>
            </w:rPr>
            <w:t>Comisionado Ponente:</w:t>
          </w:r>
        </w:p>
      </w:tc>
      <w:tc>
        <w:tcPr>
          <w:tcW w:w="3405" w:type="dxa"/>
        </w:tcPr>
        <w:p w14:paraId="420341AF" w14:textId="77777777" w:rsidR="00B24195" w:rsidRDefault="00B24195">
          <w:pPr>
            <w:tabs>
              <w:tab w:val="right" w:pos="8838"/>
            </w:tabs>
            <w:ind w:right="-32"/>
            <w:rPr>
              <w:b/>
            </w:rPr>
          </w:pPr>
          <w:r>
            <w:t>Luis Gustavo Parra Noriega</w:t>
          </w:r>
        </w:p>
      </w:tc>
    </w:tr>
  </w:tbl>
  <w:p w14:paraId="00411D75" w14:textId="77777777" w:rsidR="00B2419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B24195"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24195" w14:paraId="40D5D5A3" w14:textId="77777777" w:rsidTr="002529FA">
      <w:trPr>
        <w:trHeight w:val="138"/>
      </w:trPr>
      <w:tc>
        <w:tcPr>
          <w:tcW w:w="2693" w:type="dxa"/>
          <w:vAlign w:val="center"/>
        </w:tcPr>
        <w:p w14:paraId="43377EBE" w14:textId="77777777" w:rsidR="00B24195" w:rsidRDefault="00B24195" w:rsidP="008C266D">
          <w:pPr>
            <w:tabs>
              <w:tab w:val="right" w:pos="8838"/>
            </w:tabs>
            <w:ind w:left="-108" w:right="-105"/>
            <w:jc w:val="left"/>
            <w:rPr>
              <w:b/>
            </w:rPr>
          </w:pPr>
        </w:p>
        <w:p w14:paraId="1DB5C8D0" w14:textId="7E98B3D2" w:rsidR="00B24195" w:rsidRDefault="00B24195" w:rsidP="008C266D">
          <w:pPr>
            <w:tabs>
              <w:tab w:val="right" w:pos="8838"/>
            </w:tabs>
            <w:ind w:left="-108" w:right="-105"/>
            <w:jc w:val="left"/>
            <w:rPr>
              <w:b/>
            </w:rPr>
          </w:pPr>
          <w:r>
            <w:rPr>
              <w:b/>
            </w:rPr>
            <w:t>Recurso de Revisión:</w:t>
          </w:r>
        </w:p>
      </w:tc>
      <w:tc>
        <w:tcPr>
          <w:tcW w:w="3969" w:type="dxa"/>
        </w:tcPr>
        <w:p w14:paraId="5BCC69C4" w14:textId="77777777" w:rsidR="00B24195" w:rsidRPr="00EF0C39" w:rsidRDefault="00B24195" w:rsidP="008C266D">
          <w:pPr>
            <w:tabs>
              <w:tab w:val="right" w:pos="8838"/>
            </w:tabs>
            <w:ind w:right="57"/>
          </w:pPr>
        </w:p>
        <w:p w14:paraId="61E59D71" w14:textId="0E95FE6E" w:rsidR="00B24195" w:rsidRPr="00EF0C39" w:rsidRDefault="00B24195" w:rsidP="008C266D">
          <w:pPr>
            <w:tabs>
              <w:tab w:val="right" w:pos="8838"/>
            </w:tabs>
            <w:ind w:right="57"/>
          </w:pPr>
          <w:r w:rsidRPr="00F648B2">
            <w:t>10311/INFOEM/IP/RR/2025</w:t>
          </w:r>
        </w:p>
      </w:tc>
    </w:tr>
    <w:tr w:rsidR="00B24195" w14:paraId="7A281F30" w14:textId="77777777" w:rsidTr="002529FA">
      <w:trPr>
        <w:trHeight w:val="273"/>
      </w:trPr>
      <w:tc>
        <w:tcPr>
          <w:tcW w:w="2693" w:type="dxa"/>
        </w:tcPr>
        <w:p w14:paraId="6671A308" w14:textId="77777777" w:rsidR="00B24195" w:rsidRDefault="00B24195" w:rsidP="008C266D">
          <w:pPr>
            <w:tabs>
              <w:tab w:val="right" w:pos="8838"/>
            </w:tabs>
            <w:ind w:left="-108" w:right="-105"/>
            <w:rPr>
              <w:b/>
            </w:rPr>
          </w:pPr>
          <w:r>
            <w:rPr>
              <w:b/>
            </w:rPr>
            <w:t>Sujeto Obligado:</w:t>
          </w:r>
        </w:p>
      </w:tc>
      <w:tc>
        <w:tcPr>
          <w:tcW w:w="3969" w:type="dxa"/>
        </w:tcPr>
        <w:p w14:paraId="30885B6D" w14:textId="24DF813E" w:rsidR="00B24195" w:rsidRPr="00EF0C39" w:rsidRDefault="00B24195" w:rsidP="007B4717">
          <w:pPr>
            <w:tabs>
              <w:tab w:val="right" w:pos="8838"/>
            </w:tabs>
            <w:ind w:right="180"/>
          </w:pPr>
          <w:r w:rsidRPr="00F648B2">
            <w:t>Sistema Municipal Para el Desarrollo Integral de la Familia de Tlalnepantla de Baz</w:t>
          </w:r>
        </w:p>
      </w:tc>
    </w:tr>
    <w:tr w:rsidR="00B24195" w14:paraId="00C22F2F" w14:textId="77777777" w:rsidTr="002529FA">
      <w:trPr>
        <w:trHeight w:val="273"/>
      </w:trPr>
      <w:tc>
        <w:tcPr>
          <w:tcW w:w="2693" w:type="dxa"/>
        </w:tcPr>
        <w:p w14:paraId="70417649" w14:textId="77777777" w:rsidR="00B24195" w:rsidRDefault="00B24195" w:rsidP="008C266D">
          <w:pPr>
            <w:tabs>
              <w:tab w:val="right" w:pos="8838"/>
            </w:tabs>
            <w:ind w:left="-108" w:right="-105"/>
            <w:rPr>
              <w:b/>
            </w:rPr>
          </w:pPr>
          <w:r>
            <w:rPr>
              <w:b/>
            </w:rPr>
            <w:t>Comisionado Ponente:</w:t>
          </w:r>
        </w:p>
      </w:tc>
      <w:tc>
        <w:tcPr>
          <w:tcW w:w="3969" w:type="dxa"/>
        </w:tcPr>
        <w:p w14:paraId="5E6EB38B" w14:textId="77777777" w:rsidR="00B24195" w:rsidRPr="00EF0C39" w:rsidRDefault="00B24195" w:rsidP="008C266D">
          <w:pPr>
            <w:tabs>
              <w:tab w:val="right" w:pos="8838"/>
            </w:tabs>
            <w:ind w:right="-170"/>
          </w:pPr>
          <w:r w:rsidRPr="00EF0C39">
            <w:t>Luis Gustavo Parra Noriega</w:t>
          </w:r>
        </w:p>
        <w:p w14:paraId="1A63C67B" w14:textId="77777777" w:rsidR="00B24195" w:rsidRPr="00EF0C39" w:rsidRDefault="00B24195" w:rsidP="008C266D">
          <w:pPr>
            <w:tabs>
              <w:tab w:val="right" w:pos="8838"/>
            </w:tabs>
            <w:ind w:right="-170"/>
            <w:rPr>
              <w:b/>
            </w:rPr>
          </w:pPr>
        </w:p>
      </w:tc>
    </w:tr>
  </w:tbl>
  <w:p w14:paraId="3498D107" w14:textId="7E17876C" w:rsidR="00B24195" w:rsidRDefault="00B2419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B24195" w:rsidRDefault="00B24195">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24195" w14:paraId="6B3232BD" w14:textId="77777777" w:rsidTr="001D549C">
      <w:trPr>
        <w:trHeight w:val="132"/>
      </w:trPr>
      <w:tc>
        <w:tcPr>
          <w:tcW w:w="2551" w:type="dxa"/>
        </w:tcPr>
        <w:p w14:paraId="38F16E2F" w14:textId="77777777" w:rsidR="00B24195" w:rsidRDefault="00B24195">
          <w:pPr>
            <w:tabs>
              <w:tab w:val="right" w:pos="8838"/>
            </w:tabs>
            <w:ind w:right="-105"/>
            <w:rPr>
              <w:b/>
            </w:rPr>
          </w:pPr>
          <w:r>
            <w:rPr>
              <w:b/>
            </w:rPr>
            <w:t>Recurso de Revisión:</w:t>
          </w:r>
        </w:p>
      </w:tc>
      <w:tc>
        <w:tcPr>
          <w:tcW w:w="4253" w:type="dxa"/>
        </w:tcPr>
        <w:p w14:paraId="211CDC0A" w14:textId="7EF55327" w:rsidR="00B24195" w:rsidRPr="00026C6B" w:rsidRDefault="00B24195" w:rsidP="00026C6B">
          <w:r>
            <w:rPr>
              <w:rFonts w:ascii="Verdana" w:hAnsi="Verdana"/>
              <w:b/>
              <w:bCs/>
              <w:color w:val="FF0000"/>
            </w:rPr>
            <w:t> </w:t>
          </w:r>
          <w:r w:rsidRPr="00F648B2">
            <w:t>10311/INFOEM/IP/RR/2025</w:t>
          </w:r>
        </w:p>
      </w:tc>
    </w:tr>
    <w:tr w:rsidR="00B24195" w14:paraId="6AA3CC58" w14:textId="77777777" w:rsidTr="001D549C">
      <w:trPr>
        <w:trHeight w:val="132"/>
      </w:trPr>
      <w:tc>
        <w:tcPr>
          <w:tcW w:w="2551" w:type="dxa"/>
        </w:tcPr>
        <w:p w14:paraId="7FD164F5" w14:textId="77777777" w:rsidR="00B24195" w:rsidRDefault="00B24195">
          <w:pPr>
            <w:tabs>
              <w:tab w:val="left" w:pos="1875"/>
            </w:tabs>
            <w:ind w:right="-105"/>
            <w:rPr>
              <w:b/>
            </w:rPr>
          </w:pPr>
          <w:r>
            <w:rPr>
              <w:b/>
            </w:rPr>
            <w:t>Recurrente:</w:t>
          </w:r>
          <w:r>
            <w:rPr>
              <w:b/>
            </w:rPr>
            <w:tab/>
          </w:r>
        </w:p>
      </w:tc>
      <w:tc>
        <w:tcPr>
          <w:tcW w:w="4253" w:type="dxa"/>
        </w:tcPr>
        <w:p w14:paraId="1F1B0537" w14:textId="7551EE26" w:rsidR="00B24195" w:rsidRPr="00EF0C39" w:rsidRDefault="00B24195" w:rsidP="00F648B2">
          <w:pPr>
            <w:tabs>
              <w:tab w:val="right" w:pos="8838"/>
            </w:tabs>
            <w:ind w:right="-250"/>
          </w:pPr>
          <w:r>
            <w:t xml:space="preserve"> </w:t>
          </w:r>
        </w:p>
      </w:tc>
    </w:tr>
    <w:tr w:rsidR="00B24195" w14:paraId="5113CAA6" w14:textId="77777777" w:rsidTr="001D549C">
      <w:trPr>
        <w:trHeight w:val="261"/>
      </w:trPr>
      <w:tc>
        <w:tcPr>
          <w:tcW w:w="2551" w:type="dxa"/>
        </w:tcPr>
        <w:p w14:paraId="28E3431B" w14:textId="30EC7C18" w:rsidR="00B24195" w:rsidRDefault="00B24195">
          <w:pPr>
            <w:tabs>
              <w:tab w:val="right" w:pos="8838"/>
            </w:tabs>
            <w:ind w:right="-105"/>
            <w:rPr>
              <w:b/>
            </w:rPr>
          </w:pPr>
          <w:r>
            <w:rPr>
              <w:b/>
            </w:rPr>
            <w:t>Sujeto Obligado:</w:t>
          </w:r>
        </w:p>
      </w:tc>
      <w:tc>
        <w:tcPr>
          <w:tcW w:w="4253" w:type="dxa"/>
        </w:tcPr>
        <w:p w14:paraId="3192354E" w14:textId="318F6BC5" w:rsidR="00B24195" w:rsidRPr="00026C6B" w:rsidRDefault="00B24195" w:rsidP="00026C6B">
          <w:r w:rsidRPr="00F648B2">
            <w:t>Sistema Municipal Para el Desarrollo Integral de la Familia de Tlalnepantla de Baz</w:t>
          </w:r>
        </w:p>
      </w:tc>
    </w:tr>
    <w:tr w:rsidR="00B24195" w14:paraId="5D4C2A35" w14:textId="77777777" w:rsidTr="001D549C">
      <w:trPr>
        <w:trHeight w:val="261"/>
      </w:trPr>
      <w:tc>
        <w:tcPr>
          <w:tcW w:w="2551" w:type="dxa"/>
        </w:tcPr>
        <w:p w14:paraId="7F522FEC" w14:textId="77777777" w:rsidR="00B24195" w:rsidRDefault="00B24195">
          <w:pPr>
            <w:tabs>
              <w:tab w:val="right" w:pos="8838"/>
            </w:tabs>
            <w:ind w:right="-105"/>
            <w:rPr>
              <w:b/>
            </w:rPr>
          </w:pPr>
          <w:r>
            <w:rPr>
              <w:b/>
            </w:rPr>
            <w:t>Comisionado Ponente:</w:t>
          </w:r>
        </w:p>
      </w:tc>
      <w:tc>
        <w:tcPr>
          <w:tcW w:w="4253" w:type="dxa"/>
        </w:tcPr>
        <w:p w14:paraId="0F0566F9" w14:textId="77777777" w:rsidR="00B24195" w:rsidRPr="00EF0C39" w:rsidRDefault="00B24195" w:rsidP="00C46A25">
          <w:pPr>
            <w:tabs>
              <w:tab w:val="right" w:pos="8838"/>
            </w:tabs>
            <w:ind w:right="-32"/>
            <w:rPr>
              <w:b/>
            </w:rPr>
          </w:pPr>
          <w:r w:rsidRPr="00EF0C39">
            <w:t>Luis Gustavo Parra Noriega</w:t>
          </w:r>
        </w:p>
      </w:tc>
    </w:tr>
  </w:tbl>
  <w:p w14:paraId="4DFC2598" w14:textId="77777777" w:rsidR="00B24195"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5478F0"/>
    <w:multiLevelType w:val="hybridMultilevel"/>
    <w:tmpl w:val="BA54D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356711"/>
    <w:multiLevelType w:val="hybridMultilevel"/>
    <w:tmpl w:val="74D0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45B38"/>
    <w:multiLevelType w:val="hybridMultilevel"/>
    <w:tmpl w:val="7B2EEF8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5A05D02"/>
    <w:multiLevelType w:val="hybridMultilevel"/>
    <w:tmpl w:val="BA166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086F9D"/>
    <w:multiLevelType w:val="hybridMultilevel"/>
    <w:tmpl w:val="A7722E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B504FE"/>
    <w:multiLevelType w:val="hybridMultilevel"/>
    <w:tmpl w:val="7B2EEF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C678BB"/>
    <w:multiLevelType w:val="hybridMultilevel"/>
    <w:tmpl w:val="FB822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3D7990"/>
    <w:multiLevelType w:val="hybridMultilevel"/>
    <w:tmpl w:val="9E7CA5E8"/>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5964FB"/>
    <w:multiLevelType w:val="hybridMultilevel"/>
    <w:tmpl w:val="5930F51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AA6397"/>
    <w:multiLevelType w:val="hybridMultilevel"/>
    <w:tmpl w:val="EAEC0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CA63FF"/>
    <w:multiLevelType w:val="hybridMultilevel"/>
    <w:tmpl w:val="0D2CB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E6087B"/>
    <w:multiLevelType w:val="hybridMultilevel"/>
    <w:tmpl w:val="F4EA76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264C26"/>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5413F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7B6FA6"/>
    <w:multiLevelType w:val="hybridMultilevel"/>
    <w:tmpl w:val="C09CA8A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2" w15:restartNumberingAfterBreak="0">
    <w:nsid w:val="54FD3720"/>
    <w:multiLevelType w:val="hybridMultilevel"/>
    <w:tmpl w:val="F780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93710"/>
    <w:multiLevelType w:val="hybridMultilevel"/>
    <w:tmpl w:val="CA12A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C1232B"/>
    <w:multiLevelType w:val="hybridMultilevel"/>
    <w:tmpl w:val="CA12A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1558C2"/>
    <w:multiLevelType w:val="multilevel"/>
    <w:tmpl w:val="A2E2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3A3BB8"/>
    <w:multiLevelType w:val="hybridMultilevel"/>
    <w:tmpl w:val="FB822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A5045D"/>
    <w:multiLevelType w:val="hybridMultilevel"/>
    <w:tmpl w:val="A7722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52CAF"/>
    <w:multiLevelType w:val="hybridMultilevel"/>
    <w:tmpl w:val="1D049D28"/>
    <w:lvl w:ilvl="0" w:tplc="A67200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855FC1"/>
    <w:multiLevelType w:val="multilevel"/>
    <w:tmpl w:val="990E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C0D62D6"/>
    <w:multiLevelType w:val="hybridMultilevel"/>
    <w:tmpl w:val="E71C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DD7016"/>
    <w:multiLevelType w:val="hybridMultilevel"/>
    <w:tmpl w:val="98FC77E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9181508">
    <w:abstractNumId w:val="16"/>
  </w:num>
  <w:num w:numId="2" w16cid:durableId="1958364858">
    <w:abstractNumId w:val="35"/>
  </w:num>
  <w:num w:numId="3" w16cid:durableId="1338311781">
    <w:abstractNumId w:val="49"/>
  </w:num>
  <w:num w:numId="4" w16cid:durableId="1207522939">
    <w:abstractNumId w:val="29"/>
  </w:num>
  <w:num w:numId="5" w16cid:durableId="1100443554">
    <w:abstractNumId w:val="28"/>
  </w:num>
  <w:num w:numId="6" w16cid:durableId="99447823">
    <w:abstractNumId w:val="27"/>
  </w:num>
  <w:num w:numId="7" w16cid:durableId="158666179">
    <w:abstractNumId w:val="25"/>
  </w:num>
  <w:num w:numId="8" w16cid:durableId="368722834">
    <w:abstractNumId w:val="17"/>
  </w:num>
  <w:num w:numId="9" w16cid:durableId="1910068664">
    <w:abstractNumId w:val="26"/>
  </w:num>
  <w:num w:numId="10" w16cid:durableId="803960827">
    <w:abstractNumId w:val="44"/>
  </w:num>
  <w:num w:numId="11" w16cid:durableId="615259802">
    <w:abstractNumId w:val="9"/>
  </w:num>
  <w:num w:numId="12" w16cid:durableId="535237703">
    <w:abstractNumId w:val="6"/>
  </w:num>
  <w:num w:numId="13" w16cid:durableId="2124684722">
    <w:abstractNumId w:val="7"/>
  </w:num>
  <w:num w:numId="14" w16cid:durableId="1783693972">
    <w:abstractNumId w:val="23"/>
  </w:num>
  <w:num w:numId="15" w16cid:durableId="1820997260">
    <w:abstractNumId w:val="37"/>
  </w:num>
  <w:num w:numId="16" w16cid:durableId="1796024834">
    <w:abstractNumId w:val="12"/>
  </w:num>
  <w:num w:numId="17" w16cid:durableId="678778869">
    <w:abstractNumId w:val="36"/>
  </w:num>
  <w:num w:numId="18" w16cid:durableId="2035764227">
    <w:abstractNumId w:val="43"/>
  </w:num>
  <w:num w:numId="19" w16cid:durableId="97071593">
    <w:abstractNumId w:val="3"/>
  </w:num>
  <w:num w:numId="20" w16cid:durableId="1412697216">
    <w:abstractNumId w:val="33"/>
  </w:num>
  <w:num w:numId="21" w16cid:durableId="255873027">
    <w:abstractNumId w:val="30"/>
  </w:num>
  <w:num w:numId="22" w16cid:durableId="523640630">
    <w:abstractNumId w:val="24"/>
  </w:num>
  <w:num w:numId="23" w16cid:durableId="68315324">
    <w:abstractNumId w:val="39"/>
  </w:num>
  <w:num w:numId="24" w16cid:durableId="1622346404">
    <w:abstractNumId w:val="46"/>
  </w:num>
  <w:num w:numId="25" w16cid:durableId="170801756">
    <w:abstractNumId w:val="31"/>
  </w:num>
  <w:num w:numId="26" w16cid:durableId="1647318512">
    <w:abstractNumId w:val="2"/>
  </w:num>
  <w:num w:numId="27" w16cid:durableId="78064616">
    <w:abstractNumId w:val="18"/>
  </w:num>
  <w:num w:numId="28" w16cid:durableId="1539510771">
    <w:abstractNumId w:val="5"/>
  </w:num>
  <w:num w:numId="29" w16cid:durableId="584412929">
    <w:abstractNumId w:val="8"/>
  </w:num>
  <w:num w:numId="30" w16cid:durableId="1599945324">
    <w:abstractNumId w:val="21"/>
  </w:num>
  <w:num w:numId="31" w16cid:durableId="1231039297">
    <w:abstractNumId w:val="32"/>
  </w:num>
  <w:num w:numId="32" w16cid:durableId="1988168717">
    <w:abstractNumId w:val="42"/>
  </w:num>
  <w:num w:numId="33" w16cid:durableId="72509835">
    <w:abstractNumId w:val="1"/>
  </w:num>
  <w:num w:numId="34" w16cid:durableId="1013917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7066323">
    <w:abstractNumId w:val="10"/>
  </w:num>
  <w:num w:numId="36" w16cid:durableId="1862694722">
    <w:abstractNumId w:val="0"/>
  </w:num>
  <w:num w:numId="37" w16cid:durableId="630747527">
    <w:abstractNumId w:val="22"/>
  </w:num>
  <w:num w:numId="38" w16cid:durableId="446237686">
    <w:abstractNumId w:val="34"/>
  </w:num>
  <w:num w:numId="39" w16cid:durableId="468547278">
    <w:abstractNumId w:val="15"/>
  </w:num>
  <w:num w:numId="40" w16cid:durableId="622997574">
    <w:abstractNumId w:val="14"/>
  </w:num>
  <w:num w:numId="41" w16cid:durableId="1641226983">
    <w:abstractNumId w:val="40"/>
  </w:num>
  <w:num w:numId="42" w16cid:durableId="252252336">
    <w:abstractNumId w:val="13"/>
  </w:num>
  <w:num w:numId="43" w16cid:durableId="2123841113">
    <w:abstractNumId w:val="4"/>
  </w:num>
  <w:num w:numId="44" w16cid:durableId="76942204">
    <w:abstractNumId w:val="41"/>
  </w:num>
  <w:num w:numId="45" w16cid:durableId="781726072">
    <w:abstractNumId w:val="11"/>
  </w:num>
  <w:num w:numId="46" w16cid:durableId="1952392615">
    <w:abstractNumId w:val="48"/>
  </w:num>
  <w:num w:numId="47" w16cid:durableId="331109753">
    <w:abstractNumId w:val="20"/>
  </w:num>
  <w:num w:numId="48" w16cid:durableId="1182278673">
    <w:abstractNumId w:val="47"/>
  </w:num>
  <w:num w:numId="49" w16cid:durableId="1647514895">
    <w:abstractNumId w:val="38"/>
  </w:num>
  <w:num w:numId="50" w16cid:durableId="1026100500">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4528"/>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70D8"/>
    <w:rsid w:val="00047E2C"/>
    <w:rsid w:val="00050E2E"/>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048"/>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5EC"/>
    <w:rsid w:val="000F3776"/>
    <w:rsid w:val="000F3B49"/>
    <w:rsid w:val="000F3DC3"/>
    <w:rsid w:val="000F4583"/>
    <w:rsid w:val="000F4AC1"/>
    <w:rsid w:val="000F562C"/>
    <w:rsid w:val="000F6219"/>
    <w:rsid w:val="000F6E36"/>
    <w:rsid w:val="0010165F"/>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21A"/>
    <w:rsid w:val="001479C0"/>
    <w:rsid w:val="00147F25"/>
    <w:rsid w:val="001502AB"/>
    <w:rsid w:val="001507E8"/>
    <w:rsid w:val="00150ADA"/>
    <w:rsid w:val="00153139"/>
    <w:rsid w:val="00153588"/>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60A"/>
    <w:rsid w:val="00171D2A"/>
    <w:rsid w:val="0017245F"/>
    <w:rsid w:val="00175607"/>
    <w:rsid w:val="00175910"/>
    <w:rsid w:val="0017782E"/>
    <w:rsid w:val="0018003C"/>
    <w:rsid w:val="001805A9"/>
    <w:rsid w:val="0018111B"/>
    <w:rsid w:val="00181D59"/>
    <w:rsid w:val="00184025"/>
    <w:rsid w:val="00184ED6"/>
    <w:rsid w:val="00184F08"/>
    <w:rsid w:val="00185925"/>
    <w:rsid w:val="001873A9"/>
    <w:rsid w:val="00192C48"/>
    <w:rsid w:val="00193CE3"/>
    <w:rsid w:val="00195EC3"/>
    <w:rsid w:val="00196F6A"/>
    <w:rsid w:val="0019787E"/>
    <w:rsid w:val="001A0321"/>
    <w:rsid w:val="001A2062"/>
    <w:rsid w:val="001A3934"/>
    <w:rsid w:val="001A3C87"/>
    <w:rsid w:val="001A44D1"/>
    <w:rsid w:val="001A51C8"/>
    <w:rsid w:val="001A5A72"/>
    <w:rsid w:val="001A5B6F"/>
    <w:rsid w:val="001A5CAA"/>
    <w:rsid w:val="001A6C0E"/>
    <w:rsid w:val="001A7F04"/>
    <w:rsid w:val="001B2090"/>
    <w:rsid w:val="001B34AA"/>
    <w:rsid w:val="001B4144"/>
    <w:rsid w:val="001B7EFB"/>
    <w:rsid w:val="001C4DF4"/>
    <w:rsid w:val="001C638A"/>
    <w:rsid w:val="001C6B7A"/>
    <w:rsid w:val="001D1635"/>
    <w:rsid w:val="001D24CD"/>
    <w:rsid w:val="001D3FB9"/>
    <w:rsid w:val="001D4F21"/>
    <w:rsid w:val="001D549C"/>
    <w:rsid w:val="001D5DBE"/>
    <w:rsid w:val="001D7D0E"/>
    <w:rsid w:val="001D7F0C"/>
    <w:rsid w:val="001E4284"/>
    <w:rsid w:val="001E4ECA"/>
    <w:rsid w:val="001E6077"/>
    <w:rsid w:val="001E6891"/>
    <w:rsid w:val="001F13D4"/>
    <w:rsid w:val="001F285F"/>
    <w:rsid w:val="001F5043"/>
    <w:rsid w:val="001F5610"/>
    <w:rsid w:val="001F6FD5"/>
    <w:rsid w:val="00200E63"/>
    <w:rsid w:val="00201354"/>
    <w:rsid w:val="002019AA"/>
    <w:rsid w:val="00202189"/>
    <w:rsid w:val="002025F4"/>
    <w:rsid w:val="00203520"/>
    <w:rsid w:val="00203F8C"/>
    <w:rsid w:val="00204DE3"/>
    <w:rsid w:val="00204EDA"/>
    <w:rsid w:val="0020727C"/>
    <w:rsid w:val="002075C1"/>
    <w:rsid w:val="00207F1E"/>
    <w:rsid w:val="00210408"/>
    <w:rsid w:val="00211CD8"/>
    <w:rsid w:val="00215D49"/>
    <w:rsid w:val="002202E7"/>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88"/>
    <w:rsid w:val="00253A9C"/>
    <w:rsid w:val="0025520C"/>
    <w:rsid w:val="00256B48"/>
    <w:rsid w:val="00257C2B"/>
    <w:rsid w:val="0026163E"/>
    <w:rsid w:val="00261AD9"/>
    <w:rsid w:val="00261B92"/>
    <w:rsid w:val="00261CB4"/>
    <w:rsid w:val="00261DF6"/>
    <w:rsid w:val="0026345D"/>
    <w:rsid w:val="00265A6B"/>
    <w:rsid w:val="00266E26"/>
    <w:rsid w:val="00267457"/>
    <w:rsid w:val="00270FA0"/>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5055"/>
    <w:rsid w:val="00287374"/>
    <w:rsid w:val="00287797"/>
    <w:rsid w:val="0029130B"/>
    <w:rsid w:val="00291318"/>
    <w:rsid w:val="0029310D"/>
    <w:rsid w:val="00293A22"/>
    <w:rsid w:val="00294C03"/>
    <w:rsid w:val="00295482"/>
    <w:rsid w:val="0029784D"/>
    <w:rsid w:val="002A02CD"/>
    <w:rsid w:val="002A1126"/>
    <w:rsid w:val="002A2E77"/>
    <w:rsid w:val="002A33C7"/>
    <w:rsid w:val="002A3487"/>
    <w:rsid w:val="002A376A"/>
    <w:rsid w:val="002A3A8E"/>
    <w:rsid w:val="002A5DEB"/>
    <w:rsid w:val="002A6695"/>
    <w:rsid w:val="002B0A85"/>
    <w:rsid w:val="002B2FEA"/>
    <w:rsid w:val="002B385B"/>
    <w:rsid w:val="002B5A2D"/>
    <w:rsid w:val="002B5CE7"/>
    <w:rsid w:val="002B772B"/>
    <w:rsid w:val="002B7C4B"/>
    <w:rsid w:val="002C0315"/>
    <w:rsid w:val="002C061B"/>
    <w:rsid w:val="002C0C3A"/>
    <w:rsid w:val="002C24E1"/>
    <w:rsid w:val="002C3C0A"/>
    <w:rsid w:val="002C4A39"/>
    <w:rsid w:val="002C4D41"/>
    <w:rsid w:val="002C516D"/>
    <w:rsid w:val="002C7604"/>
    <w:rsid w:val="002C7C43"/>
    <w:rsid w:val="002D2107"/>
    <w:rsid w:val="002D2619"/>
    <w:rsid w:val="002D2A77"/>
    <w:rsid w:val="002D6CA6"/>
    <w:rsid w:val="002D6D1D"/>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48"/>
    <w:rsid w:val="00302BCB"/>
    <w:rsid w:val="003037BC"/>
    <w:rsid w:val="00303A1B"/>
    <w:rsid w:val="00303BA0"/>
    <w:rsid w:val="00304DE6"/>
    <w:rsid w:val="00310366"/>
    <w:rsid w:val="00310A3F"/>
    <w:rsid w:val="00311CAF"/>
    <w:rsid w:val="0031200F"/>
    <w:rsid w:val="00312EFE"/>
    <w:rsid w:val="00312F6B"/>
    <w:rsid w:val="003131F2"/>
    <w:rsid w:val="00313684"/>
    <w:rsid w:val="00313C68"/>
    <w:rsid w:val="00314919"/>
    <w:rsid w:val="003151E7"/>
    <w:rsid w:val="003155C2"/>
    <w:rsid w:val="00316458"/>
    <w:rsid w:val="00320D4E"/>
    <w:rsid w:val="00321E54"/>
    <w:rsid w:val="0032276A"/>
    <w:rsid w:val="00322E84"/>
    <w:rsid w:val="00323061"/>
    <w:rsid w:val="0032438A"/>
    <w:rsid w:val="00325B13"/>
    <w:rsid w:val="00325B70"/>
    <w:rsid w:val="00325CBA"/>
    <w:rsid w:val="00325D1E"/>
    <w:rsid w:val="003303EB"/>
    <w:rsid w:val="00330566"/>
    <w:rsid w:val="00330942"/>
    <w:rsid w:val="00330B69"/>
    <w:rsid w:val="0033112B"/>
    <w:rsid w:val="00333468"/>
    <w:rsid w:val="00333808"/>
    <w:rsid w:val="0033681E"/>
    <w:rsid w:val="00336E20"/>
    <w:rsid w:val="00337085"/>
    <w:rsid w:val="00341669"/>
    <w:rsid w:val="00342465"/>
    <w:rsid w:val="00345E3B"/>
    <w:rsid w:val="00352906"/>
    <w:rsid w:val="00353296"/>
    <w:rsid w:val="0035368D"/>
    <w:rsid w:val="00354255"/>
    <w:rsid w:val="00354FD0"/>
    <w:rsid w:val="00355D05"/>
    <w:rsid w:val="00356E1B"/>
    <w:rsid w:val="003602C9"/>
    <w:rsid w:val="0036042F"/>
    <w:rsid w:val="00364788"/>
    <w:rsid w:val="00364FFD"/>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0D06"/>
    <w:rsid w:val="003A103F"/>
    <w:rsid w:val="003A2B31"/>
    <w:rsid w:val="003A47C4"/>
    <w:rsid w:val="003A4BB8"/>
    <w:rsid w:val="003A4CF8"/>
    <w:rsid w:val="003A4EEC"/>
    <w:rsid w:val="003B2F9A"/>
    <w:rsid w:val="003B3C6F"/>
    <w:rsid w:val="003B5A66"/>
    <w:rsid w:val="003B6E04"/>
    <w:rsid w:val="003B6F0C"/>
    <w:rsid w:val="003B7FAD"/>
    <w:rsid w:val="003C07A7"/>
    <w:rsid w:val="003C13CD"/>
    <w:rsid w:val="003C19EC"/>
    <w:rsid w:val="003C28F2"/>
    <w:rsid w:val="003C331A"/>
    <w:rsid w:val="003C5CDF"/>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5CFD"/>
    <w:rsid w:val="003E63AC"/>
    <w:rsid w:val="003E6941"/>
    <w:rsid w:val="003F0A87"/>
    <w:rsid w:val="003F18D5"/>
    <w:rsid w:val="003F1D74"/>
    <w:rsid w:val="003F2BF4"/>
    <w:rsid w:val="003F2C8E"/>
    <w:rsid w:val="003F4C6D"/>
    <w:rsid w:val="003F5F91"/>
    <w:rsid w:val="003F6C55"/>
    <w:rsid w:val="004014BF"/>
    <w:rsid w:val="00401670"/>
    <w:rsid w:val="004017BD"/>
    <w:rsid w:val="0040398B"/>
    <w:rsid w:val="00403F0E"/>
    <w:rsid w:val="00404B15"/>
    <w:rsid w:val="00406651"/>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6DF4"/>
    <w:rsid w:val="00447218"/>
    <w:rsid w:val="004475C6"/>
    <w:rsid w:val="004479B9"/>
    <w:rsid w:val="00447FEB"/>
    <w:rsid w:val="0045046D"/>
    <w:rsid w:val="00455EA5"/>
    <w:rsid w:val="00456B23"/>
    <w:rsid w:val="00457287"/>
    <w:rsid w:val="00457B51"/>
    <w:rsid w:val="00461DF2"/>
    <w:rsid w:val="00462ED0"/>
    <w:rsid w:val="00463218"/>
    <w:rsid w:val="004649E0"/>
    <w:rsid w:val="00464B66"/>
    <w:rsid w:val="0046597D"/>
    <w:rsid w:val="00467659"/>
    <w:rsid w:val="00471E99"/>
    <w:rsid w:val="004721AA"/>
    <w:rsid w:val="0047290D"/>
    <w:rsid w:val="00473151"/>
    <w:rsid w:val="00473542"/>
    <w:rsid w:val="00474793"/>
    <w:rsid w:val="00475E62"/>
    <w:rsid w:val="004809E1"/>
    <w:rsid w:val="00481F23"/>
    <w:rsid w:val="00483320"/>
    <w:rsid w:val="00483BC1"/>
    <w:rsid w:val="00484E27"/>
    <w:rsid w:val="00487556"/>
    <w:rsid w:val="00487D86"/>
    <w:rsid w:val="00492333"/>
    <w:rsid w:val="004953BE"/>
    <w:rsid w:val="0049696B"/>
    <w:rsid w:val="0049788F"/>
    <w:rsid w:val="004A0C16"/>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6E6"/>
    <w:rsid w:val="004C689B"/>
    <w:rsid w:val="004C74FA"/>
    <w:rsid w:val="004D1D8F"/>
    <w:rsid w:val="004D243B"/>
    <w:rsid w:val="004D63D9"/>
    <w:rsid w:val="004D646D"/>
    <w:rsid w:val="004E0AD6"/>
    <w:rsid w:val="004E22FF"/>
    <w:rsid w:val="004E2BF0"/>
    <w:rsid w:val="004E2EF2"/>
    <w:rsid w:val="004E3063"/>
    <w:rsid w:val="004E4029"/>
    <w:rsid w:val="004E47CC"/>
    <w:rsid w:val="004F0490"/>
    <w:rsid w:val="004F2DE2"/>
    <w:rsid w:val="004F4B13"/>
    <w:rsid w:val="004F525F"/>
    <w:rsid w:val="004F56D3"/>
    <w:rsid w:val="004F59FB"/>
    <w:rsid w:val="004F76F4"/>
    <w:rsid w:val="004F7F19"/>
    <w:rsid w:val="00500B4F"/>
    <w:rsid w:val="005018D0"/>
    <w:rsid w:val="00501B98"/>
    <w:rsid w:val="005027D1"/>
    <w:rsid w:val="005033C1"/>
    <w:rsid w:val="00506126"/>
    <w:rsid w:val="005072F4"/>
    <w:rsid w:val="0051107B"/>
    <w:rsid w:val="00511E76"/>
    <w:rsid w:val="00512046"/>
    <w:rsid w:val="00512879"/>
    <w:rsid w:val="00512B4E"/>
    <w:rsid w:val="0051497B"/>
    <w:rsid w:val="00514B20"/>
    <w:rsid w:val="00515399"/>
    <w:rsid w:val="00521F1D"/>
    <w:rsid w:val="00521F47"/>
    <w:rsid w:val="00522A47"/>
    <w:rsid w:val="00523008"/>
    <w:rsid w:val="00524283"/>
    <w:rsid w:val="005258F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1D9D"/>
    <w:rsid w:val="00545D04"/>
    <w:rsid w:val="005501BA"/>
    <w:rsid w:val="00550C0B"/>
    <w:rsid w:val="005520E3"/>
    <w:rsid w:val="00552C67"/>
    <w:rsid w:val="005569DD"/>
    <w:rsid w:val="00556A90"/>
    <w:rsid w:val="00562D89"/>
    <w:rsid w:val="0056443F"/>
    <w:rsid w:val="00565399"/>
    <w:rsid w:val="00565861"/>
    <w:rsid w:val="00566723"/>
    <w:rsid w:val="005673D1"/>
    <w:rsid w:val="00572946"/>
    <w:rsid w:val="005732F8"/>
    <w:rsid w:val="00580345"/>
    <w:rsid w:val="005816DE"/>
    <w:rsid w:val="00582FC0"/>
    <w:rsid w:val="00585C29"/>
    <w:rsid w:val="005867A9"/>
    <w:rsid w:val="0058767A"/>
    <w:rsid w:val="00590FB7"/>
    <w:rsid w:val="005914EE"/>
    <w:rsid w:val="005934FD"/>
    <w:rsid w:val="00595FCC"/>
    <w:rsid w:val="0059681A"/>
    <w:rsid w:val="00596AAA"/>
    <w:rsid w:val="005A0A77"/>
    <w:rsid w:val="005A3083"/>
    <w:rsid w:val="005A381E"/>
    <w:rsid w:val="005A39F4"/>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34A"/>
    <w:rsid w:val="005D38F1"/>
    <w:rsid w:val="005D4959"/>
    <w:rsid w:val="005D53B0"/>
    <w:rsid w:val="005D5B03"/>
    <w:rsid w:val="005D7325"/>
    <w:rsid w:val="005D73EF"/>
    <w:rsid w:val="005D76DF"/>
    <w:rsid w:val="005E0BD4"/>
    <w:rsid w:val="005E16CC"/>
    <w:rsid w:val="005E2826"/>
    <w:rsid w:val="005F199D"/>
    <w:rsid w:val="005F3697"/>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140CF"/>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37DE4"/>
    <w:rsid w:val="00640115"/>
    <w:rsid w:val="006404F6"/>
    <w:rsid w:val="0064067B"/>
    <w:rsid w:val="006409B2"/>
    <w:rsid w:val="006418B3"/>
    <w:rsid w:val="006430B1"/>
    <w:rsid w:val="00644832"/>
    <w:rsid w:val="00644B2E"/>
    <w:rsid w:val="0064644A"/>
    <w:rsid w:val="00654DE3"/>
    <w:rsid w:val="00655068"/>
    <w:rsid w:val="00655B7F"/>
    <w:rsid w:val="00656245"/>
    <w:rsid w:val="0065646F"/>
    <w:rsid w:val="006573B9"/>
    <w:rsid w:val="00660AAD"/>
    <w:rsid w:val="00661603"/>
    <w:rsid w:val="0066178F"/>
    <w:rsid w:val="00661B94"/>
    <w:rsid w:val="00662C70"/>
    <w:rsid w:val="00662D89"/>
    <w:rsid w:val="00663FBB"/>
    <w:rsid w:val="0066640F"/>
    <w:rsid w:val="006664D4"/>
    <w:rsid w:val="0066662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1EAA"/>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3E34"/>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0200"/>
    <w:rsid w:val="00722FE8"/>
    <w:rsid w:val="007248C4"/>
    <w:rsid w:val="007279D2"/>
    <w:rsid w:val="0073003B"/>
    <w:rsid w:val="00730D6D"/>
    <w:rsid w:val="00731FB9"/>
    <w:rsid w:val="0073274C"/>
    <w:rsid w:val="007331D2"/>
    <w:rsid w:val="0073611B"/>
    <w:rsid w:val="00736B03"/>
    <w:rsid w:val="00736BFC"/>
    <w:rsid w:val="00741DC7"/>
    <w:rsid w:val="007428C7"/>
    <w:rsid w:val="00743915"/>
    <w:rsid w:val="0074523A"/>
    <w:rsid w:val="007460D7"/>
    <w:rsid w:val="00747CDF"/>
    <w:rsid w:val="00751A94"/>
    <w:rsid w:val="00754B31"/>
    <w:rsid w:val="00756910"/>
    <w:rsid w:val="0076190F"/>
    <w:rsid w:val="00762A7C"/>
    <w:rsid w:val="00763C77"/>
    <w:rsid w:val="00763F0B"/>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0A15"/>
    <w:rsid w:val="0079110E"/>
    <w:rsid w:val="007911F1"/>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5E24"/>
    <w:rsid w:val="007C636E"/>
    <w:rsid w:val="007C76F2"/>
    <w:rsid w:val="007C7BAF"/>
    <w:rsid w:val="007C7F1F"/>
    <w:rsid w:val="007D04B8"/>
    <w:rsid w:val="007D086D"/>
    <w:rsid w:val="007D0B4A"/>
    <w:rsid w:val="007D354B"/>
    <w:rsid w:val="007D6307"/>
    <w:rsid w:val="007D7F44"/>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E84"/>
    <w:rsid w:val="00830986"/>
    <w:rsid w:val="00832312"/>
    <w:rsid w:val="00834C0C"/>
    <w:rsid w:val="00836427"/>
    <w:rsid w:val="00836749"/>
    <w:rsid w:val="0084143D"/>
    <w:rsid w:val="008415EA"/>
    <w:rsid w:val="008416D9"/>
    <w:rsid w:val="008441D0"/>
    <w:rsid w:val="008449E4"/>
    <w:rsid w:val="008469C9"/>
    <w:rsid w:val="008473B9"/>
    <w:rsid w:val="00850BF6"/>
    <w:rsid w:val="00851E7F"/>
    <w:rsid w:val="00853828"/>
    <w:rsid w:val="00853A05"/>
    <w:rsid w:val="00853AA3"/>
    <w:rsid w:val="008546E5"/>
    <w:rsid w:val="0085490B"/>
    <w:rsid w:val="0085572A"/>
    <w:rsid w:val="00856D1C"/>
    <w:rsid w:val="00857A87"/>
    <w:rsid w:val="00857B5B"/>
    <w:rsid w:val="00857C17"/>
    <w:rsid w:val="008614CC"/>
    <w:rsid w:val="00861536"/>
    <w:rsid w:val="0086265B"/>
    <w:rsid w:val="0086309F"/>
    <w:rsid w:val="008638A5"/>
    <w:rsid w:val="00864C7E"/>
    <w:rsid w:val="008659B7"/>
    <w:rsid w:val="008659CE"/>
    <w:rsid w:val="00865C80"/>
    <w:rsid w:val="0087213E"/>
    <w:rsid w:val="00874AAE"/>
    <w:rsid w:val="00874D8A"/>
    <w:rsid w:val="008758D4"/>
    <w:rsid w:val="00877B42"/>
    <w:rsid w:val="00877D7C"/>
    <w:rsid w:val="00881288"/>
    <w:rsid w:val="00881F03"/>
    <w:rsid w:val="0088400C"/>
    <w:rsid w:val="00884148"/>
    <w:rsid w:val="00884812"/>
    <w:rsid w:val="00884B61"/>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1F0"/>
    <w:rsid w:val="008D28E1"/>
    <w:rsid w:val="008D3B3F"/>
    <w:rsid w:val="008D43A8"/>
    <w:rsid w:val="008D46FC"/>
    <w:rsid w:val="008D58F4"/>
    <w:rsid w:val="008D7C22"/>
    <w:rsid w:val="008E0D53"/>
    <w:rsid w:val="008E0DC4"/>
    <w:rsid w:val="008E4BE5"/>
    <w:rsid w:val="008E5E71"/>
    <w:rsid w:val="008E68B6"/>
    <w:rsid w:val="008E736C"/>
    <w:rsid w:val="008E7959"/>
    <w:rsid w:val="008F0749"/>
    <w:rsid w:val="008F25FE"/>
    <w:rsid w:val="008F4E82"/>
    <w:rsid w:val="008F5691"/>
    <w:rsid w:val="008F5A51"/>
    <w:rsid w:val="008F5C51"/>
    <w:rsid w:val="008F6A4A"/>
    <w:rsid w:val="00900916"/>
    <w:rsid w:val="009019A8"/>
    <w:rsid w:val="0090220A"/>
    <w:rsid w:val="00903BBE"/>
    <w:rsid w:val="00903E21"/>
    <w:rsid w:val="0090431D"/>
    <w:rsid w:val="009046DD"/>
    <w:rsid w:val="00904764"/>
    <w:rsid w:val="009048A7"/>
    <w:rsid w:val="00904B71"/>
    <w:rsid w:val="00905638"/>
    <w:rsid w:val="009102BA"/>
    <w:rsid w:val="00910872"/>
    <w:rsid w:val="00912FD3"/>
    <w:rsid w:val="00913279"/>
    <w:rsid w:val="00913AC7"/>
    <w:rsid w:val="00915E1E"/>
    <w:rsid w:val="00916347"/>
    <w:rsid w:val="00916C99"/>
    <w:rsid w:val="00916D8D"/>
    <w:rsid w:val="009215C2"/>
    <w:rsid w:val="00922B5D"/>
    <w:rsid w:val="00922F61"/>
    <w:rsid w:val="00922F8C"/>
    <w:rsid w:val="00926758"/>
    <w:rsid w:val="00927131"/>
    <w:rsid w:val="00930BE4"/>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255"/>
    <w:rsid w:val="00992901"/>
    <w:rsid w:val="009948FA"/>
    <w:rsid w:val="00996BDA"/>
    <w:rsid w:val="0099716B"/>
    <w:rsid w:val="009973CB"/>
    <w:rsid w:val="00997E6B"/>
    <w:rsid w:val="009A08E5"/>
    <w:rsid w:val="009A57D2"/>
    <w:rsid w:val="009A5A8E"/>
    <w:rsid w:val="009A619E"/>
    <w:rsid w:val="009B19D8"/>
    <w:rsid w:val="009B1B0E"/>
    <w:rsid w:val="009B2DAB"/>
    <w:rsid w:val="009B3320"/>
    <w:rsid w:val="009B356F"/>
    <w:rsid w:val="009B3CF8"/>
    <w:rsid w:val="009B3E17"/>
    <w:rsid w:val="009B3F4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82A"/>
    <w:rsid w:val="009E4A04"/>
    <w:rsid w:val="009F2202"/>
    <w:rsid w:val="009F3790"/>
    <w:rsid w:val="009F39DF"/>
    <w:rsid w:val="009F5661"/>
    <w:rsid w:val="009F6813"/>
    <w:rsid w:val="00A02DDB"/>
    <w:rsid w:val="00A03F8F"/>
    <w:rsid w:val="00A042BC"/>
    <w:rsid w:val="00A045F2"/>
    <w:rsid w:val="00A071E9"/>
    <w:rsid w:val="00A12378"/>
    <w:rsid w:val="00A130E9"/>
    <w:rsid w:val="00A1369B"/>
    <w:rsid w:val="00A13AF3"/>
    <w:rsid w:val="00A1415D"/>
    <w:rsid w:val="00A15402"/>
    <w:rsid w:val="00A16D8E"/>
    <w:rsid w:val="00A20875"/>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1D60"/>
    <w:rsid w:val="00A426AB"/>
    <w:rsid w:val="00A43BA2"/>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9E"/>
    <w:rsid w:val="00A620E2"/>
    <w:rsid w:val="00A6337A"/>
    <w:rsid w:val="00A63444"/>
    <w:rsid w:val="00A63E30"/>
    <w:rsid w:val="00A6488A"/>
    <w:rsid w:val="00A660B5"/>
    <w:rsid w:val="00A6674B"/>
    <w:rsid w:val="00A71C66"/>
    <w:rsid w:val="00A73E9A"/>
    <w:rsid w:val="00A74237"/>
    <w:rsid w:val="00A7487F"/>
    <w:rsid w:val="00A753B3"/>
    <w:rsid w:val="00A754E7"/>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A88"/>
    <w:rsid w:val="00AB0BA1"/>
    <w:rsid w:val="00AB116C"/>
    <w:rsid w:val="00AB1C9F"/>
    <w:rsid w:val="00AB328F"/>
    <w:rsid w:val="00AB4AC2"/>
    <w:rsid w:val="00AB4F34"/>
    <w:rsid w:val="00AB51A8"/>
    <w:rsid w:val="00AC0AE0"/>
    <w:rsid w:val="00AC45E1"/>
    <w:rsid w:val="00AC4EC9"/>
    <w:rsid w:val="00AC5582"/>
    <w:rsid w:val="00AC5D01"/>
    <w:rsid w:val="00AC70CA"/>
    <w:rsid w:val="00AC7111"/>
    <w:rsid w:val="00AC7567"/>
    <w:rsid w:val="00AD39C3"/>
    <w:rsid w:val="00AD3E0D"/>
    <w:rsid w:val="00AD4570"/>
    <w:rsid w:val="00AD468B"/>
    <w:rsid w:val="00AD4F7B"/>
    <w:rsid w:val="00AD67CA"/>
    <w:rsid w:val="00AD7046"/>
    <w:rsid w:val="00AD7954"/>
    <w:rsid w:val="00AE0F80"/>
    <w:rsid w:val="00AE23FB"/>
    <w:rsid w:val="00AE256C"/>
    <w:rsid w:val="00AE3A14"/>
    <w:rsid w:val="00AE4EB7"/>
    <w:rsid w:val="00AE5058"/>
    <w:rsid w:val="00AE6691"/>
    <w:rsid w:val="00AE73C9"/>
    <w:rsid w:val="00AE7B9D"/>
    <w:rsid w:val="00AF1F40"/>
    <w:rsid w:val="00AF276F"/>
    <w:rsid w:val="00AF3E50"/>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1816"/>
    <w:rsid w:val="00B22A17"/>
    <w:rsid w:val="00B22B9F"/>
    <w:rsid w:val="00B22F78"/>
    <w:rsid w:val="00B24195"/>
    <w:rsid w:val="00B248F0"/>
    <w:rsid w:val="00B27131"/>
    <w:rsid w:val="00B27951"/>
    <w:rsid w:val="00B31892"/>
    <w:rsid w:val="00B32602"/>
    <w:rsid w:val="00B32689"/>
    <w:rsid w:val="00B331EC"/>
    <w:rsid w:val="00B33567"/>
    <w:rsid w:val="00B35DA2"/>
    <w:rsid w:val="00B35F83"/>
    <w:rsid w:val="00B36A30"/>
    <w:rsid w:val="00B37A6D"/>
    <w:rsid w:val="00B418F0"/>
    <w:rsid w:val="00B42F31"/>
    <w:rsid w:val="00B43C12"/>
    <w:rsid w:val="00B43D92"/>
    <w:rsid w:val="00B51050"/>
    <w:rsid w:val="00B51E75"/>
    <w:rsid w:val="00B520BC"/>
    <w:rsid w:val="00B52CAD"/>
    <w:rsid w:val="00B53933"/>
    <w:rsid w:val="00B53EAF"/>
    <w:rsid w:val="00B554D6"/>
    <w:rsid w:val="00B5672A"/>
    <w:rsid w:val="00B60996"/>
    <w:rsid w:val="00B6454E"/>
    <w:rsid w:val="00B65BCA"/>
    <w:rsid w:val="00B6639B"/>
    <w:rsid w:val="00B6689E"/>
    <w:rsid w:val="00B66A6D"/>
    <w:rsid w:val="00B66F84"/>
    <w:rsid w:val="00B675A3"/>
    <w:rsid w:val="00B67947"/>
    <w:rsid w:val="00B71E26"/>
    <w:rsid w:val="00B73B1F"/>
    <w:rsid w:val="00B74556"/>
    <w:rsid w:val="00B7570D"/>
    <w:rsid w:val="00B75C77"/>
    <w:rsid w:val="00B76292"/>
    <w:rsid w:val="00B80E36"/>
    <w:rsid w:val="00B83ACA"/>
    <w:rsid w:val="00B83D05"/>
    <w:rsid w:val="00B84F6E"/>
    <w:rsid w:val="00B859EC"/>
    <w:rsid w:val="00B869C6"/>
    <w:rsid w:val="00B87554"/>
    <w:rsid w:val="00B901B7"/>
    <w:rsid w:val="00B90713"/>
    <w:rsid w:val="00B92069"/>
    <w:rsid w:val="00B92FFF"/>
    <w:rsid w:val="00B94EBD"/>
    <w:rsid w:val="00B9500B"/>
    <w:rsid w:val="00B970C0"/>
    <w:rsid w:val="00BA1D80"/>
    <w:rsid w:val="00BA3ED9"/>
    <w:rsid w:val="00BA4E6F"/>
    <w:rsid w:val="00BA56A8"/>
    <w:rsid w:val="00BA6C50"/>
    <w:rsid w:val="00BA784F"/>
    <w:rsid w:val="00BA7A1E"/>
    <w:rsid w:val="00BB05C0"/>
    <w:rsid w:val="00BB1275"/>
    <w:rsid w:val="00BB3F28"/>
    <w:rsid w:val="00BB4D05"/>
    <w:rsid w:val="00BB4DBC"/>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6D8D"/>
    <w:rsid w:val="00BC6FAE"/>
    <w:rsid w:val="00BC75AB"/>
    <w:rsid w:val="00BC7F67"/>
    <w:rsid w:val="00BD03AD"/>
    <w:rsid w:val="00BD2771"/>
    <w:rsid w:val="00BD2C1B"/>
    <w:rsid w:val="00BD35AA"/>
    <w:rsid w:val="00BD3C78"/>
    <w:rsid w:val="00BD6505"/>
    <w:rsid w:val="00BE288A"/>
    <w:rsid w:val="00BE314D"/>
    <w:rsid w:val="00BE5634"/>
    <w:rsid w:val="00BE57BB"/>
    <w:rsid w:val="00BE5A3C"/>
    <w:rsid w:val="00BE7092"/>
    <w:rsid w:val="00BE7118"/>
    <w:rsid w:val="00BF03AB"/>
    <w:rsid w:val="00BF0C25"/>
    <w:rsid w:val="00BF2CD0"/>
    <w:rsid w:val="00BF362A"/>
    <w:rsid w:val="00BF381B"/>
    <w:rsid w:val="00BF3880"/>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1E9C"/>
    <w:rsid w:val="00C231AA"/>
    <w:rsid w:val="00C231EB"/>
    <w:rsid w:val="00C24DAF"/>
    <w:rsid w:val="00C25F9F"/>
    <w:rsid w:val="00C26633"/>
    <w:rsid w:val="00C27868"/>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D5B"/>
    <w:rsid w:val="00C47E88"/>
    <w:rsid w:val="00C500A8"/>
    <w:rsid w:val="00C51B7F"/>
    <w:rsid w:val="00C529B0"/>
    <w:rsid w:val="00C52E9B"/>
    <w:rsid w:val="00C53D9F"/>
    <w:rsid w:val="00C540CA"/>
    <w:rsid w:val="00C5545E"/>
    <w:rsid w:val="00C556AB"/>
    <w:rsid w:val="00C56B62"/>
    <w:rsid w:val="00C57D4C"/>
    <w:rsid w:val="00C60D14"/>
    <w:rsid w:val="00C61554"/>
    <w:rsid w:val="00C63806"/>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4D12"/>
    <w:rsid w:val="00C75DFF"/>
    <w:rsid w:val="00C77D00"/>
    <w:rsid w:val="00C8054F"/>
    <w:rsid w:val="00C8214A"/>
    <w:rsid w:val="00C825E5"/>
    <w:rsid w:val="00C8345C"/>
    <w:rsid w:val="00C849B4"/>
    <w:rsid w:val="00C85CD7"/>
    <w:rsid w:val="00C8729E"/>
    <w:rsid w:val="00C91A6F"/>
    <w:rsid w:val="00C91E33"/>
    <w:rsid w:val="00C930C8"/>
    <w:rsid w:val="00C953CB"/>
    <w:rsid w:val="00C95611"/>
    <w:rsid w:val="00C960AC"/>
    <w:rsid w:val="00C97FC1"/>
    <w:rsid w:val="00CA45CB"/>
    <w:rsid w:val="00CA4C3A"/>
    <w:rsid w:val="00CA4E57"/>
    <w:rsid w:val="00CA7215"/>
    <w:rsid w:val="00CA7AA6"/>
    <w:rsid w:val="00CA7ADA"/>
    <w:rsid w:val="00CA7C07"/>
    <w:rsid w:val="00CA7EAE"/>
    <w:rsid w:val="00CA7F1D"/>
    <w:rsid w:val="00CB19C6"/>
    <w:rsid w:val="00CB4683"/>
    <w:rsid w:val="00CB5C38"/>
    <w:rsid w:val="00CC1C87"/>
    <w:rsid w:val="00CC1F8C"/>
    <w:rsid w:val="00CC29B3"/>
    <w:rsid w:val="00CC2EA8"/>
    <w:rsid w:val="00CC442F"/>
    <w:rsid w:val="00CC5500"/>
    <w:rsid w:val="00CC6E48"/>
    <w:rsid w:val="00CC7CB5"/>
    <w:rsid w:val="00CD1990"/>
    <w:rsid w:val="00CD2B96"/>
    <w:rsid w:val="00CD43D1"/>
    <w:rsid w:val="00CD4DE8"/>
    <w:rsid w:val="00CD5841"/>
    <w:rsid w:val="00CD5A8F"/>
    <w:rsid w:val="00CD611D"/>
    <w:rsid w:val="00CD6238"/>
    <w:rsid w:val="00CD6617"/>
    <w:rsid w:val="00CD6876"/>
    <w:rsid w:val="00CD6D28"/>
    <w:rsid w:val="00CE0F1F"/>
    <w:rsid w:val="00CE216A"/>
    <w:rsid w:val="00CE2494"/>
    <w:rsid w:val="00CE2973"/>
    <w:rsid w:val="00CE3BC3"/>
    <w:rsid w:val="00CE4073"/>
    <w:rsid w:val="00CE719D"/>
    <w:rsid w:val="00CE724E"/>
    <w:rsid w:val="00CE7322"/>
    <w:rsid w:val="00CE7470"/>
    <w:rsid w:val="00CE7DD9"/>
    <w:rsid w:val="00CE7F68"/>
    <w:rsid w:val="00CF0757"/>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287E"/>
    <w:rsid w:val="00D23481"/>
    <w:rsid w:val="00D25C63"/>
    <w:rsid w:val="00D26835"/>
    <w:rsid w:val="00D279F0"/>
    <w:rsid w:val="00D3496C"/>
    <w:rsid w:val="00D36181"/>
    <w:rsid w:val="00D36A13"/>
    <w:rsid w:val="00D36A9F"/>
    <w:rsid w:val="00D42E23"/>
    <w:rsid w:val="00D43A3A"/>
    <w:rsid w:val="00D466A8"/>
    <w:rsid w:val="00D46E14"/>
    <w:rsid w:val="00D474D0"/>
    <w:rsid w:val="00D50CBF"/>
    <w:rsid w:val="00D51004"/>
    <w:rsid w:val="00D5128D"/>
    <w:rsid w:val="00D52E5B"/>
    <w:rsid w:val="00D52EC1"/>
    <w:rsid w:val="00D54714"/>
    <w:rsid w:val="00D55A56"/>
    <w:rsid w:val="00D579E6"/>
    <w:rsid w:val="00D60DC2"/>
    <w:rsid w:val="00D61CB8"/>
    <w:rsid w:val="00D61FF9"/>
    <w:rsid w:val="00D62480"/>
    <w:rsid w:val="00D629E3"/>
    <w:rsid w:val="00D63EB7"/>
    <w:rsid w:val="00D64273"/>
    <w:rsid w:val="00D64C4F"/>
    <w:rsid w:val="00D66DDB"/>
    <w:rsid w:val="00D70766"/>
    <w:rsid w:val="00D708AE"/>
    <w:rsid w:val="00D72175"/>
    <w:rsid w:val="00D7252C"/>
    <w:rsid w:val="00D74D06"/>
    <w:rsid w:val="00D768A4"/>
    <w:rsid w:val="00D7768F"/>
    <w:rsid w:val="00D77885"/>
    <w:rsid w:val="00D81AFB"/>
    <w:rsid w:val="00D82691"/>
    <w:rsid w:val="00D837B0"/>
    <w:rsid w:val="00D839F9"/>
    <w:rsid w:val="00D83FBA"/>
    <w:rsid w:val="00D84297"/>
    <w:rsid w:val="00D86931"/>
    <w:rsid w:val="00D906B2"/>
    <w:rsid w:val="00D91F3E"/>
    <w:rsid w:val="00D92325"/>
    <w:rsid w:val="00D93A2A"/>
    <w:rsid w:val="00D9526E"/>
    <w:rsid w:val="00D95A1B"/>
    <w:rsid w:val="00D96BA3"/>
    <w:rsid w:val="00DA0371"/>
    <w:rsid w:val="00DA1EA0"/>
    <w:rsid w:val="00DA2C1D"/>
    <w:rsid w:val="00DA2E83"/>
    <w:rsid w:val="00DA3868"/>
    <w:rsid w:val="00DA3A68"/>
    <w:rsid w:val="00DA4E7C"/>
    <w:rsid w:val="00DB1470"/>
    <w:rsid w:val="00DB271D"/>
    <w:rsid w:val="00DB277C"/>
    <w:rsid w:val="00DB3FB8"/>
    <w:rsid w:val="00DB5A7F"/>
    <w:rsid w:val="00DB7980"/>
    <w:rsid w:val="00DB7DC5"/>
    <w:rsid w:val="00DC0C32"/>
    <w:rsid w:val="00DC175C"/>
    <w:rsid w:val="00DC69D9"/>
    <w:rsid w:val="00DC7159"/>
    <w:rsid w:val="00DC7C06"/>
    <w:rsid w:val="00DC7E08"/>
    <w:rsid w:val="00DD0CD5"/>
    <w:rsid w:val="00DD1932"/>
    <w:rsid w:val="00DD1CC7"/>
    <w:rsid w:val="00DD2423"/>
    <w:rsid w:val="00DD4191"/>
    <w:rsid w:val="00DD6AE1"/>
    <w:rsid w:val="00DD732B"/>
    <w:rsid w:val="00DE00CB"/>
    <w:rsid w:val="00DE02CA"/>
    <w:rsid w:val="00DE224D"/>
    <w:rsid w:val="00DE379D"/>
    <w:rsid w:val="00DE41C5"/>
    <w:rsid w:val="00DF277D"/>
    <w:rsid w:val="00DF37DE"/>
    <w:rsid w:val="00DF43D9"/>
    <w:rsid w:val="00DF59CE"/>
    <w:rsid w:val="00DF5DA9"/>
    <w:rsid w:val="00DF60BC"/>
    <w:rsid w:val="00DF7549"/>
    <w:rsid w:val="00DF7F84"/>
    <w:rsid w:val="00E00BC4"/>
    <w:rsid w:val="00E022A1"/>
    <w:rsid w:val="00E0245B"/>
    <w:rsid w:val="00E02A52"/>
    <w:rsid w:val="00E0447A"/>
    <w:rsid w:val="00E052B8"/>
    <w:rsid w:val="00E05FBB"/>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3790"/>
    <w:rsid w:val="00E354BF"/>
    <w:rsid w:val="00E35B2A"/>
    <w:rsid w:val="00E361ED"/>
    <w:rsid w:val="00E368CF"/>
    <w:rsid w:val="00E40395"/>
    <w:rsid w:val="00E40CA6"/>
    <w:rsid w:val="00E41747"/>
    <w:rsid w:val="00E44D06"/>
    <w:rsid w:val="00E46240"/>
    <w:rsid w:val="00E47AB2"/>
    <w:rsid w:val="00E47D55"/>
    <w:rsid w:val="00E50794"/>
    <w:rsid w:val="00E52B0F"/>
    <w:rsid w:val="00E54144"/>
    <w:rsid w:val="00E547F7"/>
    <w:rsid w:val="00E553A8"/>
    <w:rsid w:val="00E5639F"/>
    <w:rsid w:val="00E57404"/>
    <w:rsid w:val="00E57797"/>
    <w:rsid w:val="00E57A6E"/>
    <w:rsid w:val="00E649E8"/>
    <w:rsid w:val="00E64BEF"/>
    <w:rsid w:val="00E64E18"/>
    <w:rsid w:val="00E66BEB"/>
    <w:rsid w:val="00E70DD8"/>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6216"/>
    <w:rsid w:val="00EB67C3"/>
    <w:rsid w:val="00EB6CF0"/>
    <w:rsid w:val="00EB6DC9"/>
    <w:rsid w:val="00EB726D"/>
    <w:rsid w:val="00EB7EE5"/>
    <w:rsid w:val="00EC1274"/>
    <w:rsid w:val="00EC285A"/>
    <w:rsid w:val="00EC3047"/>
    <w:rsid w:val="00EC4067"/>
    <w:rsid w:val="00EC4F2E"/>
    <w:rsid w:val="00EC5274"/>
    <w:rsid w:val="00EC5C68"/>
    <w:rsid w:val="00EC6576"/>
    <w:rsid w:val="00EC7CBF"/>
    <w:rsid w:val="00ED2C76"/>
    <w:rsid w:val="00ED3627"/>
    <w:rsid w:val="00ED37B8"/>
    <w:rsid w:val="00ED3C94"/>
    <w:rsid w:val="00ED5B5F"/>
    <w:rsid w:val="00ED651C"/>
    <w:rsid w:val="00ED67BB"/>
    <w:rsid w:val="00EE1006"/>
    <w:rsid w:val="00EE1B70"/>
    <w:rsid w:val="00EE3EC4"/>
    <w:rsid w:val="00EE53C1"/>
    <w:rsid w:val="00EE785F"/>
    <w:rsid w:val="00EF0C39"/>
    <w:rsid w:val="00EF36E1"/>
    <w:rsid w:val="00EF42D9"/>
    <w:rsid w:val="00EF5B78"/>
    <w:rsid w:val="00EF6A4D"/>
    <w:rsid w:val="00EF6C8B"/>
    <w:rsid w:val="00F028A5"/>
    <w:rsid w:val="00F02ACE"/>
    <w:rsid w:val="00F03463"/>
    <w:rsid w:val="00F03E2D"/>
    <w:rsid w:val="00F05082"/>
    <w:rsid w:val="00F056AD"/>
    <w:rsid w:val="00F06AF6"/>
    <w:rsid w:val="00F06FBD"/>
    <w:rsid w:val="00F104DF"/>
    <w:rsid w:val="00F10AC0"/>
    <w:rsid w:val="00F14B47"/>
    <w:rsid w:val="00F1561E"/>
    <w:rsid w:val="00F16F36"/>
    <w:rsid w:val="00F17418"/>
    <w:rsid w:val="00F20567"/>
    <w:rsid w:val="00F21BA6"/>
    <w:rsid w:val="00F25709"/>
    <w:rsid w:val="00F26C65"/>
    <w:rsid w:val="00F316B5"/>
    <w:rsid w:val="00F36858"/>
    <w:rsid w:val="00F3721C"/>
    <w:rsid w:val="00F378E3"/>
    <w:rsid w:val="00F41B36"/>
    <w:rsid w:val="00F42088"/>
    <w:rsid w:val="00F43789"/>
    <w:rsid w:val="00F47855"/>
    <w:rsid w:val="00F50072"/>
    <w:rsid w:val="00F507C6"/>
    <w:rsid w:val="00F50CB1"/>
    <w:rsid w:val="00F515E4"/>
    <w:rsid w:val="00F51CCB"/>
    <w:rsid w:val="00F51D19"/>
    <w:rsid w:val="00F530A8"/>
    <w:rsid w:val="00F54470"/>
    <w:rsid w:val="00F550A0"/>
    <w:rsid w:val="00F56036"/>
    <w:rsid w:val="00F56168"/>
    <w:rsid w:val="00F6097F"/>
    <w:rsid w:val="00F60A42"/>
    <w:rsid w:val="00F62018"/>
    <w:rsid w:val="00F62E83"/>
    <w:rsid w:val="00F648B2"/>
    <w:rsid w:val="00F65096"/>
    <w:rsid w:val="00F65D8D"/>
    <w:rsid w:val="00F65E70"/>
    <w:rsid w:val="00F66486"/>
    <w:rsid w:val="00F66940"/>
    <w:rsid w:val="00F70847"/>
    <w:rsid w:val="00F70A24"/>
    <w:rsid w:val="00F712A4"/>
    <w:rsid w:val="00F71565"/>
    <w:rsid w:val="00F7237E"/>
    <w:rsid w:val="00F723DC"/>
    <w:rsid w:val="00F7261C"/>
    <w:rsid w:val="00F72AEB"/>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1F4"/>
    <w:rsid w:val="00FA03D1"/>
    <w:rsid w:val="00FA2ED3"/>
    <w:rsid w:val="00FA36A3"/>
    <w:rsid w:val="00FA3A0C"/>
    <w:rsid w:val="00FA3EA6"/>
    <w:rsid w:val="00FA6B8E"/>
    <w:rsid w:val="00FA7206"/>
    <w:rsid w:val="00FA7291"/>
    <w:rsid w:val="00FB0D59"/>
    <w:rsid w:val="00FB1BAA"/>
    <w:rsid w:val="00FB1BCD"/>
    <w:rsid w:val="00FB1D33"/>
    <w:rsid w:val="00FB7C3A"/>
    <w:rsid w:val="00FC01D5"/>
    <w:rsid w:val="00FC2034"/>
    <w:rsid w:val="00FC2AC4"/>
    <w:rsid w:val="00FC33C4"/>
    <w:rsid w:val="00FC387F"/>
    <w:rsid w:val="00FC48F9"/>
    <w:rsid w:val="00FC55EE"/>
    <w:rsid w:val="00FC6F1F"/>
    <w:rsid w:val="00FC7236"/>
    <w:rsid w:val="00FC74A2"/>
    <w:rsid w:val="00FC7C29"/>
    <w:rsid w:val="00FD1A0D"/>
    <w:rsid w:val="00FD3387"/>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70"/>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 w:type="table" w:customStyle="1" w:styleId="Tablaconcuadrcula1">
    <w:name w:val="Tabla con cuadrícula1"/>
    <w:basedOn w:val="Tablanormal"/>
    <w:next w:val="Tablaconcuadrcula"/>
    <w:uiPriority w:val="39"/>
    <w:qFormat/>
    <w:rsid w:val="002B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957293045">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56117172">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89943832">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parenciapresupuestaria.gob.mx/es/PTP/Glosario"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google.com/search?q=referencia+bancaria&amp;sca_esv=38bf29ee6820990e&amp;sxsrf=ANbL-n4RUEqeAYYDJGeWlSskdmLVUBt9rg%3A1770251099017&amp;source=hp&amp;ei=WuODafjwO9TKkPIP4tfiEQ&amp;iflsig=AFdpzrgAAAAAaYPxazkoT8Eww5mIaHX7aJEM2njQcHHR&amp;oq=numero+de+cheque+o+referencia&amp;gs_lp=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_rkgcHMTIuMTUuM6AHvs4BsgcHMTEuMTUuM7gH3h3CBwY0LjI1LjHIBzKACAA&amp;sclient=gws-wiz&amp;ved=2ahUKEwj36Ymmi8GSAxU2JkQIHQG0ER8QgK4QegQIARAB"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partados.hacienda.gob.mx/contabilidad/documentos/informe_cuenta/1998/c%20uenta_publica/Glosario/n.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941D6104-F6DD-4520-AF62-E85071C6D8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8986</Words>
  <Characters>49427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2026-02-13T16:53:00Z</cp:lastPrinted>
  <dcterms:created xsi:type="dcterms:W3CDTF">2026-04-10T00:56:00Z</dcterms:created>
  <dcterms:modified xsi:type="dcterms:W3CDTF">2026-04-10T00:56:00Z</dcterms:modified>
</cp:coreProperties>
</file>