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FE5" w:rsidRPr="00B96E00" w:rsidRDefault="006D286C" w:rsidP="00B96E00">
      <w:pPr>
        <w:spacing w:before="240" w:after="240" w:line="360" w:lineRule="auto"/>
        <w:ind w:right="-879"/>
        <w:jc w:val="both"/>
        <w:rPr>
          <w:b/>
          <w:bCs/>
        </w:rPr>
      </w:pPr>
      <w:r w:rsidRPr="00B96E00">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000A7DEF" w:rsidRPr="00B96E00">
        <w:rPr>
          <w:rFonts w:ascii="Palatino Linotype" w:eastAsia="Palatino Linotype" w:hAnsi="Palatino Linotype" w:cs="Palatino Linotype"/>
          <w:b/>
          <w:bCs/>
        </w:rPr>
        <w:t>de fecha veinticinco</w:t>
      </w:r>
      <w:r w:rsidR="00B96E00">
        <w:rPr>
          <w:rFonts w:ascii="Palatino Linotype" w:eastAsia="Palatino Linotype" w:hAnsi="Palatino Linotype" w:cs="Palatino Linotype"/>
          <w:b/>
          <w:bCs/>
        </w:rPr>
        <w:t xml:space="preserve"> (25)</w:t>
      </w:r>
      <w:r w:rsidRPr="00B96E00">
        <w:rPr>
          <w:rFonts w:ascii="Palatino Linotype" w:eastAsia="Palatino Linotype" w:hAnsi="Palatino Linotype" w:cs="Palatino Linotype"/>
          <w:b/>
          <w:bCs/>
        </w:rPr>
        <w:t xml:space="preserve"> de junio de dos mil veintiséis.</w:t>
      </w:r>
    </w:p>
    <w:p w:rsidR="004F2FE5" w:rsidRDefault="006D286C" w:rsidP="00B96E00">
      <w:pPr>
        <w:tabs>
          <w:tab w:val="left" w:pos="2834"/>
          <w:tab w:val="right" w:pos="8838"/>
        </w:tabs>
        <w:spacing w:line="360" w:lineRule="auto"/>
        <w:ind w:left="33" w:right="-879"/>
        <w:jc w:val="both"/>
        <w:rPr>
          <w:rFonts w:ascii="Palatino Linotype" w:eastAsia="Palatino Linotype" w:hAnsi="Palatino Linotype" w:cs="Palatino Linotype"/>
        </w:rPr>
      </w:pPr>
      <w:r w:rsidRPr="00B96E00">
        <w:rPr>
          <w:rFonts w:ascii="Palatino Linotype" w:eastAsia="Palatino Linotype" w:hAnsi="Palatino Linotype" w:cs="Palatino Linotype"/>
          <w:b/>
          <w:bCs/>
        </w:rPr>
        <w:t>VISTO</w:t>
      </w:r>
      <w:r w:rsidRPr="00B96E00">
        <w:rPr>
          <w:rFonts w:ascii="Palatino Linotype" w:eastAsia="Palatino Linotype" w:hAnsi="Palatino Linotype" w:cs="Palatino Linotype"/>
        </w:rPr>
        <w:t xml:space="preserve"> el expediente electrónico formado con motivo del recurso de revisión </w:t>
      </w:r>
      <w:r w:rsidRPr="00B96E00">
        <w:rPr>
          <w:rFonts w:ascii="Palatino Linotype" w:eastAsia="Palatino Linotype" w:hAnsi="Palatino Linotype" w:cs="Palatino Linotype"/>
          <w:b/>
          <w:bCs/>
        </w:rPr>
        <w:t xml:space="preserve">02618/INFOEM/IP/RR/2026; </w:t>
      </w:r>
      <w:r w:rsidRPr="00B96E00">
        <w:rPr>
          <w:rFonts w:ascii="Palatino Linotype" w:eastAsia="Palatino Linotype" w:hAnsi="Palatino Linotype" w:cs="Palatino Linotype"/>
        </w:rPr>
        <w:t>promovidos por</w:t>
      </w:r>
      <w:r w:rsidR="000A7DEF" w:rsidRPr="00B96E00">
        <w:rPr>
          <w:rFonts w:ascii="Palatino Linotype" w:eastAsia="Palatino Linotype" w:hAnsi="Palatino Linotype" w:cs="Palatino Linotype"/>
          <w:b/>
          <w:bCs/>
        </w:rPr>
        <w:t xml:space="preserve"> </w:t>
      </w:r>
      <w:r w:rsidR="005A4799">
        <w:rPr>
          <w:rFonts w:ascii="Palatino Linotype" w:eastAsia="Palatino Linotype" w:hAnsi="Palatino Linotype" w:cs="Palatino Linotype"/>
          <w:b/>
          <w:bCs/>
        </w:rPr>
        <w:t>XXXX</w:t>
      </w:r>
      <w:r w:rsidRPr="00B96E00">
        <w:rPr>
          <w:rFonts w:ascii="Palatino Linotype" w:eastAsia="Palatino Linotype" w:hAnsi="Palatino Linotype" w:cs="Palatino Linotype"/>
          <w:b/>
          <w:bCs/>
        </w:rPr>
        <w:t xml:space="preserve">, </w:t>
      </w:r>
      <w:r w:rsidRPr="00B96E00">
        <w:rPr>
          <w:rFonts w:ascii="Palatino Linotype" w:eastAsia="Palatino Linotype" w:hAnsi="Palatino Linotype" w:cs="Palatino Linotype"/>
        </w:rPr>
        <w:t xml:space="preserve">en su calidad de </w:t>
      </w:r>
      <w:r w:rsidRPr="00B96E00">
        <w:rPr>
          <w:rFonts w:ascii="Palatino Linotype" w:eastAsia="Palatino Linotype" w:hAnsi="Palatino Linotype" w:cs="Palatino Linotype"/>
          <w:b/>
          <w:bCs/>
        </w:rPr>
        <w:t>RECURRENTE</w:t>
      </w:r>
      <w:r w:rsidRPr="00B96E00">
        <w:rPr>
          <w:rFonts w:ascii="Palatino Linotype" w:eastAsia="Palatino Linotype" w:hAnsi="Palatino Linotype" w:cs="Palatino Linotype"/>
        </w:rPr>
        <w:t xml:space="preserve">, en contra de la respuesta de la </w:t>
      </w:r>
      <w:r w:rsidRPr="00B96E00">
        <w:rPr>
          <w:rFonts w:ascii="Palatino Linotype" w:eastAsia="Palatino Linotype" w:hAnsi="Palatino Linotype" w:cs="Palatino Linotype"/>
          <w:b/>
          <w:bCs/>
          <w:color w:val="000000"/>
        </w:rPr>
        <w:t>Secretaría de Desarrollo Urbano e Infraestructura</w:t>
      </w:r>
      <w:r w:rsidRPr="00B96E00">
        <w:rPr>
          <w:rFonts w:ascii="Palatino Linotype" w:eastAsia="Palatino Linotype" w:hAnsi="Palatino Linotype" w:cs="Palatino Linotype"/>
          <w:b/>
          <w:bCs/>
        </w:rPr>
        <w:t xml:space="preserve">, </w:t>
      </w:r>
      <w:r w:rsidRPr="00B96E00">
        <w:rPr>
          <w:rFonts w:ascii="Palatino Linotype" w:eastAsia="Palatino Linotype" w:hAnsi="Palatino Linotype" w:cs="Palatino Linotype"/>
        </w:rPr>
        <w:t>en lo sucesivo el</w:t>
      </w:r>
      <w:r w:rsidRPr="00B96E00">
        <w:rPr>
          <w:rFonts w:ascii="Palatino Linotype" w:eastAsia="Palatino Linotype" w:hAnsi="Palatino Linotype" w:cs="Palatino Linotype"/>
          <w:b/>
          <w:bCs/>
        </w:rPr>
        <w:t xml:space="preserve"> SUJETO OBLIGADO, </w:t>
      </w:r>
      <w:r w:rsidRPr="00B96E00">
        <w:rPr>
          <w:rFonts w:ascii="Palatino Linotype" w:eastAsia="Palatino Linotype" w:hAnsi="Palatino Linotype" w:cs="Palatino Linotype"/>
        </w:rPr>
        <w:t>se procede a dictar la presente resolución, con base en los siguientes:</w:t>
      </w:r>
    </w:p>
    <w:p w:rsidR="00B96E00" w:rsidRPr="00B96E00" w:rsidRDefault="00B96E00" w:rsidP="00B96E00">
      <w:pPr>
        <w:tabs>
          <w:tab w:val="left" w:pos="2834"/>
          <w:tab w:val="right" w:pos="8838"/>
        </w:tabs>
        <w:spacing w:line="360" w:lineRule="auto"/>
        <w:ind w:left="33" w:right="-879"/>
        <w:jc w:val="both"/>
        <w:rPr>
          <w:rFonts w:ascii="Palatino Linotype" w:eastAsia="Palatino Linotype" w:hAnsi="Palatino Linotype" w:cs="Palatino Linotype"/>
          <w:color w:val="000000"/>
        </w:rPr>
      </w:pPr>
    </w:p>
    <w:p w:rsidR="004F2FE5" w:rsidRPr="00B96E00" w:rsidRDefault="006D286C" w:rsidP="00B96E00">
      <w:pPr>
        <w:pStyle w:val="Ttulo1"/>
        <w:spacing w:line="360" w:lineRule="auto"/>
        <w:ind w:right="-879"/>
        <w:jc w:val="center"/>
        <w:rPr>
          <w:rFonts w:ascii="Palatino Linotype" w:eastAsia="Palatino Linotype" w:hAnsi="Palatino Linotype" w:cs="Palatino Linotype"/>
          <w:b/>
          <w:bCs/>
          <w:color w:val="000000"/>
          <w:sz w:val="24"/>
          <w:szCs w:val="24"/>
        </w:rPr>
      </w:pPr>
      <w:bookmarkStart w:id="0" w:name="_heading=h.2jh51lh5mc4t" w:colFirst="0" w:colLast="0"/>
      <w:bookmarkEnd w:id="0"/>
      <w:r w:rsidRPr="00B96E00">
        <w:rPr>
          <w:rFonts w:ascii="Palatino Linotype" w:eastAsia="Palatino Linotype" w:hAnsi="Palatino Linotype" w:cs="Palatino Linotype"/>
          <w:b/>
          <w:bCs/>
          <w:color w:val="000000"/>
          <w:sz w:val="24"/>
          <w:szCs w:val="24"/>
        </w:rPr>
        <w:t>A N T E C E D E N T E S</w:t>
      </w:r>
    </w:p>
    <w:p w:rsidR="004F2FE5" w:rsidRPr="00B96E00" w:rsidRDefault="006D286C" w:rsidP="00B96E00">
      <w:pPr>
        <w:numPr>
          <w:ilvl w:val="0"/>
          <w:numId w:val="4"/>
        </w:numPr>
        <w:pBdr>
          <w:top w:val="nil"/>
          <w:left w:val="nil"/>
          <w:bottom w:val="nil"/>
          <w:right w:val="nil"/>
          <w:between w:val="nil"/>
        </w:pBdr>
        <w:tabs>
          <w:tab w:val="left" w:pos="284"/>
        </w:tabs>
        <w:spacing w:before="240" w:line="360" w:lineRule="auto"/>
        <w:ind w:left="0" w:right="-879" w:firstLine="0"/>
        <w:jc w:val="both"/>
        <w:rPr>
          <w:color w:val="000000"/>
        </w:rPr>
      </w:pPr>
      <w:r w:rsidRPr="00B96E00">
        <w:rPr>
          <w:rFonts w:ascii="Palatino Linotype" w:eastAsia="Palatino Linotype" w:hAnsi="Palatino Linotype" w:cs="Palatino Linotype"/>
          <w:color w:val="000000"/>
        </w:rPr>
        <w:t>El veinte de enero de dos mil veintiséis</w:t>
      </w:r>
      <w:r w:rsidRPr="00B96E00">
        <w:rPr>
          <w:rFonts w:ascii="Palatino Linotype" w:eastAsia="Palatino Linotype" w:hAnsi="Palatino Linotype" w:cs="Palatino Linotype"/>
          <w:b/>
          <w:bCs/>
          <w:color w:val="000000"/>
        </w:rPr>
        <w:t xml:space="preserve">, </w:t>
      </w:r>
      <w:r w:rsidRPr="00B96E00">
        <w:rPr>
          <w:rFonts w:ascii="Palatino Linotype" w:eastAsia="Palatino Linotype" w:hAnsi="Palatino Linotype" w:cs="Palatino Linotype"/>
          <w:color w:val="000000"/>
        </w:rPr>
        <w:t xml:space="preserve">se presentó ante el </w:t>
      </w:r>
      <w:r w:rsidRPr="00B96E00">
        <w:rPr>
          <w:rFonts w:ascii="Palatino Linotype" w:eastAsia="Palatino Linotype" w:hAnsi="Palatino Linotype" w:cs="Palatino Linotype"/>
          <w:b/>
          <w:bCs/>
          <w:color w:val="000000"/>
        </w:rPr>
        <w:t>SUJETO OBLIGADO</w:t>
      </w:r>
      <w:r w:rsidRPr="00B96E00">
        <w:rPr>
          <w:rFonts w:ascii="Palatino Linotype" w:eastAsia="Palatino Linotype" w:hAnsi="Palatino Linotype" w:cs="Palatino Linotype"/>
          <w:color w:val="000000"/>
        </w:rPr>
        <w:t xml:space="preserve"> vía Sistema de Acceso a la Información Mexiquense </w:t>
      </w:r>
      <w:r w:rsidRPr="00B96E00">
        <w:rPr>
          <w:rFonts w:ascii="Palatino Linotype" w:eastAsia="Palatino Linotype" w:hAnsi="Palatino Linotype" w:cs="Palatino Linotype"/>
          <w:b/>
          <w:bCs/>
          <w:i/>
          <w:iCs/>
          <w:color w:val="000000"/>
        </w:rPr>
        <w:t>SAIMEX</w:t>
      </w:r>
      <w:r w:rsidRPr="00B96E00">
        <w:rPr>
          <w:rFonts w:ascii="Palatino Linotype" w:eastAsia="Palatino Linotype" w:hAnsi="Palatino Linotype" w:cs="Palatino Linotype"/>
          <w:color w:val="000000"/>
        </w:rPr>
        <w:t xml:space="preserve">, la solicitud de información pública registrada con el número </w:t>
      </w:r>
      <w:r w:rsidRPr="00B96E00">
        <w:rPr>
          <w:rFonts w:ascii="Palatino Linotype" w:eastAsia="Palatino Linotype" w:hAnsi="Palatino Linotype" w:cs="Palatino Linotype"/>
          <w:b/>
          <w:bCs/>
          <w:color w:val="000000"/>
        </w:rPr>
        <w:t xml:space="preserve">00016/SEDUI/IP/2026, </w:t>
      </w:r>
      <w:r w:rsidRPr="00B96E00">
        <w:rPr>
          <w:rFonts w:ascii="Palatino Linotype" w:eastAsia="Palatino Linotype" w:hAnsi="Palatino Linotype" w:cs="Palatino Linotype"/>
        </w:rPr>
        <w:t xml:space="preserve">en la que </w:t>
      </w:r>
      <w:r w:rsidRPr="00B96E00">
        <w:rPr>
          <w:rFonts w:ascii="Palatino Linotype" w:eastAsia="Palatino Linotype" w:hAnsi="Palatino Linotype" w:cs="Palatino Linotype"/>
          <w:color w:val="000000"/>
        </w:rPr>
        <w:t>solicitó:</w:t>
      </w:r>
    </w:p>
    <w:p w:rsidR="004F2FE5" w:rsidRPr="00B96E00" w:rsidRDefault="004F2FE5" w:rsidP="00B96E00">
      <w:pPr>
        <w:pBdr>
          <w:top w:val="nil"/>
          <w:left w:val="nil"/>
          <w:bottom w:val="nil"/>
          <w:right w:val="nil"/>
          <w:between w:val="nil"/>
        </w:pBdr>
        <w:tabs>
          <w:tab w:val="left" w:pos="284"/>
        </w:tabs>
        <w:spacing w:line="360" w:lineRule="auto"/>
        <w:ind w:right="-879"/>
        <w:jc w:val="both"/>
        <w:rPr>
          <w:rFonts w:ascii="Palatino Linotype" w:eastAsia="Palatino Linotype" w:hAnsi="Palatino Linotype" w:cs="Palatino Linotype"/>
          <w:color w:val="000000"/>
        </w:rPr>
      </w:pPr>
    </w:p>
    <w:p w:rsidR="004F2FE5" w:rsidRPr="00B96E00" w:rsidRDefault="006D286C" w:rsidP="00B96E00">
      <w:pPr>
        <w:pBdr>
          <w:top w:val="nil"/>
          <w:left w:val="nil"/>
          <w:bottom w:val="nil"/>
          <w:right w:val="nil"/>
          <w:between w:val="nil"/>
        </w:pBdr>
        <w:spacing w:line="360" w:lineRule="auto"/>
        <w:ind w:left="567" w:right="-879"/>
        <w:jc w:val="both"/>
        <w:rPr>
          <w:rFonts w:ascii="Palatino Linotype" w:eastAsia="Palatino Linotype" w:hAnsi="Palatino Linotype" w:cs="Palatino Linotype"/>
          <w:i/>
          <w:iCs/>
          <w:color w:val="000000"/>
        </w:rPr>
      </w:pPr>
      <w:r w:rsidRPr="00B96E00">
        <w:rPr>
          <w:rFonts w:ascii="Palatino Linotype" w:eastAsia="Palatino Linotype" w:hAnsi="Palatino Linotype" w:cs="Palatino Linotype"/>
          <w:i/>
          <w:iCs/>
          <w:color w:val="000000"/>
        </w:rPr>
        <w:t>“toda la información en versión pública que contiene el proyecto MINA EL QUINTE, con planos, sus evaluaciones técnicas, solicitud de trámite (formato), número de empleos directos, indirectos, sin omitir documentación alguna en materia urbana, protección civil. vial. medio ambiente.” (Sic)</w:t>
      </w:r>
    </w:p>
    <w:p w:rsidR="004F2FE5" w:rsidRPr="00B96E00" w:rsidRDefault="004F2FE5" w:rsidP="00B96E00">
      <w:pPr>
        <w:pBdr>
          <w:top w:val="nil"/>
          <w:left w:val="nil"/>
          <w:bottom w:val="nil"/>
          <w:right w:val="nil"/>
          <w:between w:val="nil"/>
        </w:pBdr>
        <w:spacing w:line="360" w:lineRule="auto"/>
        <w:ind w:left="567" w:right="-879"/>
        <w:jc w:val="both"/>
        <w:rPr>
          <w:rFonts w:ascii="Palatino Linotype" w:eastAsia="Palatino Linotype" w:hAnsi="Palatino Linotype" w:cs="Palatino Linotype"/>
          <w:color w:val="000000"/>
        </w:rPr>
      </w:pPr>
    </w:p>
    <w:p w:rsidR="004F2FE5" w:rsidRPr="00B96E00" w:rsidRDefault="006D286C" w:rsidP="00B96E00">
      <w:pPr>
        <w:numPr>
          <w:ilvl w:val="0"/>
          <w:numId w:val="4"/>
        </w:numPr>
        <w:pBdr>
          <w:top w:val="nil"/>
          <w:left w:val="nil"/>
          <w:bottom w:val="nil"/>
          <w:right w:val="nil"/>
          <w:between w:val="nil"/>
        </w:pBdr>
        <w:tabs>
          <w:tab w:val="left" w:pos="284"/>
        </w:tabs>
        <w:spacing w:after="240" w:line="360" w:lineRule="auto"/>
        <w:ind w:left="0" w:right="-879" w:firstLine="0"/>
        <w:jc w:val="both"/>
        <w:rPr>
          <w:color w:val="000000"/>
        </w:rPr>
      </w:pPr>
      <w:r w:rsidRPr="00B96E00">
        <w:rPr>
          <w:rFonts w:ascii="Palatino Linotype" w:eastAsia="Palatino Linotype" w:hAnsi="Palatino Linotype" w:cs="Palatino Linotype"/>
          <w:color w:val="000000"/>
        </w:rPr>
        <w:t xml:space="preserve">De las constancias que obran en el expediente, se aprecia que el entonces </w:t>
      </w:r>
      <w:r w:rsidRPr="00B96E00">
        <w:rPr>
          <w:rFonts w:ascii="Palatino Linotype" w:eastAsia="Palatino Linotype" w:hAnsi="Palatino Linotype" w:cs="Palatino Linotype"/>
          <w:b/>
          <w:bCs/>
          <w:color w:val="000000"/>
        </w:rPr>
        <w:t>SOLICITANTE</w:t>
      </w:r>
      <w:r w:rsidRPr="00B96E00">
        <w:rPr>
          <w:rFonts w:ascii="Palatino Linotype" w:eastAsia="Palatino Linotype" w:hAnsi="Palatino Linotype" w:cs="Palatino Linotype"/>
          <w:color w:val="000000"/>
        </w:rPr>
        <w:t xml:space="preserve"> señaló como modalidad de entrega de la información “A través del </w:t>
      </w:r>
      <w:r w:rsidRPr="00B96E00">
        <w:rPr>
          <w:rFonts w:ascii="Palatino Linotype" w:eastAsia="Palatino Linotype" w:hAnsi="Palatino Linotype" w:cs="Palatino Linotype"/>
          <w:b/>
          <w:bCs/>
          <w:color w:val="000000"/>
        </w:rPr>
        <w:t>SAIMEX”</w:t>
      </w:r>
      <w:r w:rsidRPr="00B96E00">
        <w:rPr>
          <w:rFonts w:ascii="Palatino Linotype" w:eastAsia="Palatino Linotype" w:hAnsi="Palatino Linotype" w:cs="Palatino Linotype"/>
          <w:color w:val="000000"/>
        </w:rPr>
        <w:t>.</w:t>
      </w:r>
    </w:p>
    <w:p w:rsidR="004F2FE5" w:rsidRPr="00B96E00" w:rsidRDefault="006D286C" w:rsidP="00B96E00">
      <w:pPr>
        <w:numPr>
          <w:ilvl w:val="0"/>
          <w:numId w:val="4"/>
        </w:numPr>
        <w:pBdr>
          <w:top w:val="nil"/>
          <w:left w:val="nil"/>
          <w:bottom w:val="nil"/>
          <w:right w:val="nil"/>
          <w:between w:val="nil"/>
        </w:pBdr>
        <w:tabs>
          <w:tab w:val="left" w:pos="284"/>
        </w:tabs>
        <w:spacing w:after="240" w:line="360" w:lineRule="auto"/>
        <w:ind w:left="0" w:right="-879" w:firstLine="0"/>
        <w:jc w:val="both"/>
        <w:rPr>
          <w:color w:val="000000"/>
        </w:rPr>
      </w:pPr>
      <w:r w:rsidRPr="00B96E00">
        <w:rPr>
          <w:rFonts w:ascii="Palatino Linotype" w:eastAsia="Palatino Linotype" w:hAnsi="Palatino Linotype" w:cs="Palatino Linotype"/>
          <w:color w:val="000000"/>
        </w:rPr>
        <w:t xml:space="preserve">El diez de febrero de dos mil veintiséis, el </w:t>
      </w:r>
      <w:r w:rsidRPr="00B96E00">
        <w:rPr>
          <w:rFonts w:ascii="Palatino Linotype" w:eastAsia="Palatino Linotype" w:hAnsi="Palatino Linotype" w:cs="Palatino Linotype"/>
          <w:b/>
          <w:bCs/>
          <w:color w:val="000000"/>
        </w:rPr>
        <w:t>SUJETO OBLIGADO</w:t>
      </w:r>
      <w:r w:rsidRPr="00B96E00">
        <w:rPr>
          <w:rFonts w:ascii="Palatino Linotype" w:eastAsia="Palatino Linotype" w:hAnsi="Palatino Linotype" w:cs="Palatino Linotype"/>
          <w:color w:val="000000"/>
        </w:rPr>
        <w:t xml:space="preserve">, notificó la ampliación de plazo para dar atención a la solicitud de información. </w:t>
      </w:r>
    </w:p>
    <w:p w:rsidR="004F2FE5" w:rsidRPr="00B96E00" w:rsidRDefault="006D286C" w:rsidP="00B96E00">
      <w:pPr>
        <w:numPr>
          <w:ilvl w:val="0"/>
          <w:numId w:val="4"/>
        </w:numPr>
        <w:pBdr>
          <w:top w:val="nil"/>
          <w:left w:val="nil"/>
          <w:bottom w:val="nil"/>
          <w:right w:val="nil"/>
          <w:between w:val="nil"/>
        </w:pBdr>
        <w:tabs>
          <w:tab w:val="left" w:pos="284"/>
        </w:tabs>
        <w:spacing w:line="360" w:lineRule="auto"/>
        <w:ind w:left="0" w:right="-879" w:firstLine="0"/>
        <w:jc w:val="both"/>
        <w:rPr>
          <w:color w:val="000000"/>
        </w:rPr>
      </w:pPr>
      <w:r w:rsidRPr="00B96E00">
        <w:rPr>
          <w:rFonts w:ascii="Palatino Linotype" w:eastAsia="Palatino Linotype" w:hAnsi="Palatino Linotype" w:cs="Palatino Linotype"/>
          <w:color w:val="000000"/>
        </w:rPr>
        <w:lastRenderedPageBreak/>
        <w:t xml:space="preserve">El veinte de febrero de dos mil veintiséis, el </w:t>
      </w:r>
      <w:r w:rsidRPr="00B96E00">
        <w:rPr>
          <w:rFonts w:ascii="Palatino Linotype" w:eastAsia="Palatino Linotype" w:hAnsi="Palatino Linotype" w:cs="Palatino Linotype"/>
          <w:b/>
          <w:bCs/>
          <w:color w:val="000000"/>
        </w:rPr>
        <w:t>SUJETO OBLIGADO</w:t>
      </w:r>
      <w:r w:rsidRPr="00B96E00">
        <w:rPr>
          <w:rFonts w:ascii="Palatino Linotype" w:eastAsia="Palatino Linotype" w:hAnsi="Palatino Linotype" w:cs="Palatino Linotype"/>
          <w:color w:val="000000"/>
        </w:rPr>
        <w:t xml:space="preserve"> dio </w:t>
      </w:r>
      <w:r w:rsidRPr="00B96E00">
        <w:rPr>
          <w:rFonts w:ascii="Palatino Linotype" w:eastAsia="Palatino Linotype" w:hAnsi="Palatino Linotype" w:cs="Palatino Linotype"/>
          <w:b/>
          <w:bCs/>
          <w:color w:val="000000"/>
        </w:rPr>
        <w:t>respuesta</w:t>
      </w:r>
      <w:r w:rsidRPr="00B96E00">
        <w:rPr>
          <w:rFonts w:ascii="Palatino Linotype" w:eastAsia="Palatino Linotype" w:hAnsi="Palatino Linotype" w:cs="Palatino Linotype"/>
          <w:color w:val="000000"/>
        </w:rPr>
        <w:t xml:space="preserve"> a la solicitud de información a través de los archivos digitales siguientes:</w:t>
      </w:r>
    </w:p>
    <w:p w:rsidR="004F2FE5" w:rsidRPr="00B96E00" w:rsidRDefault="006D286C" w:rsidP="00B96E00">
      <w:pPr>
        <w:numPr>
          <w:ilvl w:val="0"/>
          <w:numId w:val="3"/>
        </w:numPr>
        <w:pBdr>
          <w:top w:val="nil"/>
          <w:left w:val="nil"/>
          <w:bottom w:val="nil"/>
          <w:right w:val="nil"/>
          <w:between w:val="nil"/>
        </w:pBdr>
        <w:ind w:right="-879"/>
        <w:jc w:val="both"/>
        <w:rPr>
          <w:rFonts w:ascii="Palatino Linotype" w:eastAsia="Palatino Linotype" w:hAnsi="Palatino Linotype" w:cs="Palatino Linotype"/>
          <w:b/>
          <w:bCs/>
          <w:color w:val="000000"/>
        </w:rPr>
      </w:pPr>
      <w:r w:rsidRPr="00B96E00">
        <w:rPr>
          <w:rFonts w:ascii="Palatino Linotype" w:eastAsia="Palatino Linotype" w:hAnsi="Palatino Linotype" w:cs="Palatino Linotype"/>
          <w:b/>
          <w:bCs/>
          <w:color w:val="000000"/>
          <w:u w:val="single"/>
        </w:rPr>
        <w:t>R.DGOyCU.pdf</w:t>
      </w:r>
    </w:p>
    <w:p w:rsidR="004F2FE5" w:rsidRPr="00B96E00" w:rsidRDefault="006D286C" w:rsidP="00B96E00">
      <w:pPr>
        <w:ind w:left="720" w:right="-879"/>
        <w:jc w:val="both"/>
        <w:rPr>
          <w:rFonts w:ascii="Palatino Linotype" w:eastAsia="Palatino Linotype" w:hAnsi="Palatino Linotype" w:cs="Palatino Linotype"/>
          <w:i/>
          <w:iCs/>
        </w:rPr>
      </w:pPr>
      <w:r w:rsidRPr="00B96E00">
        <w:rPr>
          <w:rFonts w:ascii="Palatino Linotype" w:eastAsia="Palatino Linotype" w:hAnsi="Palatino Linotype" w:cs="Palatino Linotype"/>
        </w:rPr>
        <w:t>Oficio: 23000203A/1201/2026 de fecha 29 de enero de 2026, firmado por la Directora General de Operación y Control Urbano, a través del cual manifiesta que después de haber realizado una búsqueda exhaustiva y razonable, no se localizó registro o antecedente alguno con los datos proporcionados.</w:t>
      </w:r>
    </w:p>
    <w:p w:rsidR="004F2FE5" w:rsidRPr="00B96E00" w:rsidRDefault="006D286C" w:rsidP="00B96E00">
      <w:pPr>
        <w:numPr>
          <w:ilvl w:val="0"/>
          <w:numId w:val="3"/>
        </w:numPr>
        <w:pBdr>
          <w:top w:val="nil"/>
          <w:left w:val="nil"/>
          <w:bottom w:val="nil"/>
          <w:right w:val="nil"/>
          <w:between w:val="nil"/>
        </w:pBdr>
        <w:spacing w:line="360" w:lineRule="auto"/>
        <w:ind w:right="-879"/>
        <w:jc w:val="both"/>
        <w:rPr>
          <w:rFonts w:ascii="Palatino Linotype" w:eastAsia="Palatino Linotype" w:hAnsi="Palatino Linotype" w:cs="Palatino Linotype"/>
          <w:color w:val="000000"/>
        </w:rPr>
      </w:pPr>
      <w:r w:rsidRPr="00B96E00">
        <w:rPr>
          <w:rFonts w:ascii="Palatino Linotype" w:eastAsia="Palatino Linotype" w:hAnsi="Palatino Linotype" w:cs="Palatino Linotype"/>
          <w:b/>
          <w:bCs/>
          <w:color w:val="000000"/>
          <w:u w:val="single"/>
        </w:rPr>
        <w:t>R.DGCIE 16-26.pdf</w:t>
      </w:r>
    </w:p>
    <w:p w:rsidR="004F2FE5" w:rsidRPr="00B96E00" w:rsidRDefault="006D286C" w:rsidP="00B96E00">
      <w:pPr>
        <w:pBdr>
          <w:top w:val="nil"/>
          <w:left w:val="nil"/>
          <w:bottom w:val="nil"/>
          <w:right w:val="nil"/>
          <w:between w:val="nil"/>
        </w:pBdr>
        <w:ind w:left="720" w:right="-879"/>
        <w:jc w:val="both"/>
        <w:rPr>
          <w:rFonts w:ascii="Palatino Linotype" w:eastAsia="Palatino Linotype" w:hAnsi="Palatino Linotype" w:cs="Palatino Linotype"/>
          <w:color w:val="000000"/>
        </w:rPr>
      </w:pPr>
      <w:r w:rsidRPr="00B96E00">
        <w:rPr>
          <w:rFonts w:ascii="Palatino Linotype" w:eastAsia="Palatino Linotype" w:hAnsi="Palatino Linotype" w:cs="Palatino Linotype"/>
          <w:color w:val="000000"/>
        </w:rPr>
        <w:t xml:space="preserve">Oficio: 230B01010-000187/2026 de fecha 13 de febrero de 2026 firmado por la </w:t>
      </w:r>
      <w:r w:rsidRPr="00B96E00">
        <w:rPr>
          <w:rFonts w:ascii="Palatino Linotype" w:eastAsia="Palatino Linotype" w:hAnsi="Palatino Linotype" w:cs="Palatino Linotype"/>
          <w:b/>
          <w:bCs/>
        </w:rPr>
        <w:t>Directora</w:t>
      </w:r>
      <w:r w:rsidRPr="00B96E00">
        <w:rPr>
          <w:rFonts w:ascii="Palatino Linotype" w:eastAsia="Palatino Linotype" w:hAnsi="Palatino Linotype" w:cs="Palatino Linotype"/>
          <w:b/>
          <w:bCs/>
          <w:color w:val="000000"/>
        </w:rPr>
        <w:t xml:space="preserve"> General de la Comisión de Impacto  Estatal</w:t>
      </w:r>
      <w:r w:rsidRPr="00B96E00">
        <w:rPr>
          <w:rFonts w:ascii="Palatino Linotype" w:eastAsia="Palatino Linotype" w:hAnsi="Palatino Linotype" w:cs="Palatino Linotype"/>
          <w:color w:val="000000"/>
        </w:rPr>
        <w:t xml:space="preserve">, mediante el cual refiere que para acceder a la información se debe realizar el pago de derechos correspondiente, listando los pasos a seguir. </w:t>
      </w:r>
    </w:p>
    <w:p w:rsidR="004F2FE5" w:rsidRPr="00B96E00" w:rsidRDefault="006D286C" w:rsidP="00B96E00">
      <w:pPr>
        <w:numPr>
          <w:ilvl w:val="0"/>
          <w:numId w:val="5"/>
        </w:numPr>
        <w:pBdr>
          <w:top w:val="nil"/>
          <w:left w:val="nil"/>
          <w:bottom w:val="nil"/>
          <w:right w:val="nil"/>
          <w:between w:val="nil"/>
        </w:pBdr>
        <w:ind w:left="709" w:right="-879"/>
        <w:jc w:val="both"/>
        <w:rPr>
          <w:rFonts w:ascii="Palatino Linotype" w:eastAsia="Palatino Linotype" w:hAnsi="Palatino Linotype" w:cs="Palatino Linotype"/>
          <w:b/>
          <w:bCs/>
          <w:color w:val="000000"/>
          <w:u w:val="single"/>
        </w:rPr>
      </w:pPr>
      <w:r w:rsidRPr="00B96E00">
        <w:rPr>
          <w:rFonts w:ascii="Palatino Linotype" w:eastAsia="Palatino Linotype" w:hAnsi="Palatino Linotype" w:cs="Palatino Linotype"/>
          <w:b/>
          <w:bCs/>
          <w:color w:val="000000"/>
          <w:u w:val="single"/>
        </w:rPr>
        <w:t>UT 16-26.pdf</w:t>
      </w:r>
    </w:p>
    <w:p w:rsidR="004F2FE5" w:rsidRPr="00B96E00" w:rsidRDefault="006D286C" w:rsidP="00B96E00">
      <w:pPr>
        <w:pBdr>
          <w:top w:val="nil"/>
          <w:left w:val="nil"/>
          <w:bottom w:val="nil"/>
          <w:right w:val="nil"/>
          <w:between w:val="nil"/>
        </w:pBdr>
        <w:ind w:left="709" w:right="-879"/>
        <w:jc w:val="both"/>
        <w:rPr>
          <w:rFonts w:ascii="Palatino Linotype" w:eastAsia="Palatino Linotype" w:hAnsi="Palatino Linotype" w:cs="Palatino Linotype"/>
          <w:color w:val="000000"/>
        </w:rPr>
      </w:pPr>
      <w:r w:rsidRPr="00B96E00">
        <w:rPr>
          <w:rFonts w:ascii="Palatino Linotype" w:eastAsia="Palatino Linotype" w:hAnsi="Palatino Linotype" w:cs="Palatino Linotype"/>
          <w:color w:val="000000"/>
        </w:rPr>
        <w:t xml:space="preserve">Oficio: SEDUI-CI-0206-2026, de fecha 20 de febrero de 2026, mediante el cual, el Titular de la Unidad de Transparencia dio respuesta al ahora recurrente, haciendo de su conocimiento las respuestas proporcionadas por los servidores públicos habilitados, descritas en los puntos anteriores. </w:t>
      </w:r>
    </w:p>
    <w:p w:rsidR="004F2FE5" w:rsidRPr="00B96E00" w:rsidRDefault="004F2FE5" w:rsidP="00B96E00">
      <w:pPr>
        <w:pBdr>
          <w:top w:val="nil"/>
          <w:left w:val="nil"/>
          <w:bottom w:val="nil"/>
          <w:right w:val="nil"/>
          <w:between w:val="nil"/>
        </w:pBdr>
        <w:ind w:left="709" w:right="-879"/>
        <w:jc w:val="both"/>
        <w:rPr>
          <w:rFonts w:ascii="Palatino Linotype" w:eastAsia="Palatino Linotype" w:hAnsi="Palatino Linotype" w:cs="Palatino Linotype"/>
          <w:b/>
          <w:bCs/>
          <w:color w:val="000000"/>
          <w:u w:val="single"/>
        </w:rPr>
      </w:pPr>
    </w:p>
    <w:p w:rsidR="004F2FE5" w:rsidRPr="00B96E00" w:rsidRDefault="004F2FE5" w:rsidP="00B96E00">
      <w:pPr>
        <w:spacing w:line="360" w:lineRule="auto"/>
        <w:ind w:right="-879"/>
        <w:jc w:val="both"/>
        <w:rPr>
          <w:rFonts w:ascii="Palatino Linotype" w:eastAsia="Palatino Linotype" w:hAnsi="Palatino Linotype" w:cs="Palatino Linotype"/>
        </w:rPr>
      </w:pPr>
    </w:p>
    <w:p w:rsidR="004F2FE5" w:rsidRPr="00B96E00" w:rsidRDefault="006D286C" w:rsidP="00B96E00">
      <w:pPr>
        <w:numPr>
          <w:ilvl w:val="0"/>
          <w:numId w:val="4"/>
        </w:numPr>
        <w:pBdr>
          <w:top w:val="nil"/>
          <w:left w:val="nil"/>
          <w:bottom w:val="nil"/>
          <w:right w:val="nil"/>
          <w:between w:val="nil"/>
        </w:pBdr>
        <w:tabs>
          <w:tab w:val="left" w:pos="284"/>
        </w:tabs>
        <w:spacing w:line="360" w:lineRule="auto"/>
        <w:ind w:left="0" w:right="-879" w:firstLine="0"/>
        <w:jc w:val="both"/>
        <w:rPr>
          <w:rFonts w:ascii="Palatino Linotype" w:eastAsia="Palatino Linotype" w:hAnsi="Palatino Linotype" w:cs="Palatino Linotype"/>
          <w:b/>
          <w:bCs/>
          <w:color w:val="000000"/>
        </w:rPr>
      </w:pPr>
      <w:r w:rsidRPr="00B96E00">
        <w:rPr>
          <w:rFonts w:ascii="Palatino Linotype" w:eastAsia="Palatino Linotype" w:hAnsi="Palatino Linotype" w:cs="Palatino Linotype"/>
          <w:color w:val="000000"/>
        </w:rPr>
        <w:t>Derivado de la respuesta, el veinticuatro de febrero de dos mil veintiséis, el particular interpuso  recurso de revisión señalando:</w:t>
      </w:r>
    </w:p>
    <w:p w:rsidR="004F2FE5" w:rsidRPr="00B96E00" w:rsidRDefault="004F2FE5" w:rsidP="00B96E00">
      <w:pPr>
        <w:pBdr>
          <w:top w:val="nil"/>
          <w:left w:val="nil"/>
          <w:bottom w:val="nil"/>
          <w:right w:val="nil"/>
          <w:between w:val="nil"/>
        </w:pBdr>
        <w:tabs>
          <w:tab w:val="left" w:pos="284"/>
        </w:tabs>
        <w:spacing w:line="360" w:lineRule="auto"/>
        <w:ind w:right="-879"/>
        <w:jc w:val="both"/>
        <w:rPr>
          <w:rFonts w:ascii="Palatino Linotype" w:eastAsia="Palatino Linotype" w:hAnsi="Palatino Linotype" w:cs="Palatino Linotype"/>
          <w:b/>
          <w:bCs/>
          <w:color w:val="000000"/>
        </w:rPr>
      </w:pPr>
    </w:p>
    <w:p w:rsidR="004F2FE5" w:rsidRPr="00B96E00" w:rsidRDefault="006D286C" w:rsidP="00B96E00">
      <w:pPr>
        <w:numPr>
          <w:ilvl w:val="0"/>
          <w:numId w:val="1"/>
        </w:numPr>
        <w:pBdr>
          <w:top w:val="nil"/>
          <w:left w:val="nil"/>
          <w:bottom w:val="nil"/>
          <w:right w:val="nil"/>
          <w:between w:val="nil"/>
        </w:pBdr>
        <w:tabs>
          <w:tab w:val="left" w:pos="426"/>
          <w:tab w:val="left" w:pos="1004"/>
        </w:tabs>
        <w:ind w:left="850" w:right="-879"/>
        <w:jc w:val="both"/>
        <w:rPr>
          <w:rFonts w:ascii="Palatino Linotype" w:eastAsia="Palatino Linotype" w:hAnsi="Palatino Linotype" w:cs="Palatino Linotype"/>
          <w:color w:val="000000"/>
        </w:rPr>
      </w:pPr>
      <w:r w:rsidRPr="00B96E00">
        <w:rPr>
          <w:rFonts w:ascii="Palatino Linotype" w:eastAsia="Palatino Linotype" w:hAnsi="Palatino Linotype" w:cs="Palatino Linotype"/>
          <w:b/>
          <w:bCs/>
          <w:color w:val="000000"/>
        </w:rPr>
        <w:t>Acto impugnado:</w:t>
      </w:r>
      <w:r w:rsidRPr="00B96E00">
        <w:rPr>
          <w:rFonts w:ascii="Palatino Linotype" w:eastAsia="Palatino Linotype" w:hAnsi="Palatino Linotype" w:cs="Palatino Linotype"/>
          <w:color w:val="000000"/>
        </w:rPr>
        <w:t xml:space="preserve"> </w:t>
      </w:r>
    </w:p>
    <w:p w:rsidR="004F2FE5" w:rsidRPr="00B96E00" w:rsidRDefault="006D286C" w:rsidP="00B96E00">
      <w:pPr>
        <w:pBdr>
          <w:top w:val="nil"/>
          <w:left w:val="nil"/>
          <w:bottom w:val="nil"/>
          <w:right w:val="nil"/>
          <w:between w:val="nil"/>
        </w:pBdr>
        <w:tabs>
          <w:tab w:val="left" w:pos="426"/>
          <w:tab w:val="left" w:pos="1004"/>
        </w:tabs>
        <w:ind w:left="850" w:right="-879"/>
        <w:jc w:val="both"/>
        <w:rPr>
          <w:rFonts w:ascii="Palatino Linotype" w:eastAsia="Palatino Linotype" w:hAnsi="Palatino Linotype" w:cs="Palatino Linotype"/>
          <w:i/>
          <w:iCs/>
          <w:color w:val="000000"/>
        </w:rPr>
      </w:pPr>
      <w:r w:rsidRPr="00B96E00">
        <w:rPr>
          <w:rFonts w:ascii="Palatino Linotype" w:eastAsia="Palatino Linotype" w:hAnsi="Palatino Linotype" w:cs="Palatino Linotype"/>
          <w:i/>
          <w:iCs/>
          <w:color w:val="000000"/>
        </w:rPr>
        <w:t>“solicitud de pago.” (Sic).</w:t>
      </w:r>
    </w:p>
    <w:p w:rsidR="004F2FE5" w:rsidRPr="00B96E00" w:rsidRDefault="004F2FE5" w:rsidP="00B96E00">
      <w:pPr>
        <w:pBdr>
          <w:top w:val="nil"/>
          <w:left w:val="nil"/>
          <w:bottom w:val="nil"/>
          <w:right w:val="nil"/>
          <w:between w:val="nil"/>
        </w:pBdr>
        <w:tabs>
          <w:tab w:val="left" w:pos="426"/>
          <w:tab w:val="left" w:pos="1004"/>
        </w:tabs>
        <w:ind w:left="850" w:right="-879" w:hanging="360"/>
        <w:jc w:val="both"/>
        <w:rPr>
          <w:rFonts w:ascii="Palatino Linotype" w:eastAsia="Palatino Linotype" w:hAnsi="Palatino Linotype" w:cs="Palatino Linotype"/>
          <w:color w:val="000000"/>
        </w:rPr>
      </w:pPr>
    </w:p>
    <w:p w:rsidR="004F2FE5" w:rsidRPr="00B96E00" w:rsidRDefault="006D286C" w:rsidP="00B96E00">
      <w:pPr>
        <w:numPr>
          <w:ilvl w:val="0"/>
          <w:numId w:val="2"/>
        </w:numPr>
        <w:pBdr>
          <w:top w:val="nil"/>
          <w:left w:val="nil"/>
          <w:bottom w:val="nil"/>
          <w:right w:val="nil"/>
          <w:between w:val="nil"/>
        </w:pBdr>
        <w:tabs>
          <w:tab w:val="left" w:pos="426"/>
          <w:tab w:val="left" w:pos="1004"/>
        </w:tabs>
        <w:ind w:left="850" w:right="-879"/>
        <w:jc w:val="both"/>
        <w:rPr>
          <w:rFonts w:ascii="Palatino Linotype" w:eastAsia="Palatino Linotype" w:hAnsi="Palatino Linotype" w:cs="Palatino Linotype"/>
          <w:color w:val="000000"/>
        </w:rPr>
      </w:pPr>
      <w:r w:rsidRPr="00B96E00">
        <w:rPr>
          <w:rFonts w:ascii="Palatino Linotype" w:eastAsia="Palatino Linotype" w:hAnsi="Palatino Linotype" w:cs="Palatino Linotype"/>
          <w:b/>
          <w:bCs/>
          <w:color w:val="000000"/>
        </w:rPr>
        <w:t>Razones o motivos de inconformidad:</w:t>
      </w:r>
      <w:r w:rsidRPr="00B96E00">
        <w:rPr>
          <w:rFonts w:ascii="Palatino Linotype" w:eastAsia="Palatino Linotype" w:hAnsi="Palatino Linotype" w:cs="Palatino Linotype"/>
          <w:color w:val="000000"/>
        </w:rPr>
        <w:t xml:space="preserve"> </w:t>
      </w:r>
    </w:p>
    <w:p w:rsidR="004F2FE5" w:rsidRPr="00B96E00" w:rsidRDefault="006D286C" w:rsidP="00B96E00">
      <w:pPr>
        <w:pBdr>
          <w:top w:val="nil"/>
          <w:left w:val="nil"/>
          <w:bottom w:val="nil"/>
          <w:right w:val="nil"/>
          <w:between w:val="nil"/>
        </w:pBdr>
        <w:tabs>
          <w:tab w:val="left" w:pos="426"/>
          <w:tab w:val="left" w:pos="1004"/>
        </w:tabs>
        <w:ind w:left="850" w:right="-879"/>
        <w:jc w:val="both"/>
        <w:rPr>
          <w:rFonts w:ascii="Palatino Linotype" w:eastAsia="Palatino Linotype" w:hAnsi="Palatino Linotype" w:cs="Palatino Linotype"/>
          <w:i/>
          <w:iCs/>
          <w:color w:val="000000"/>
        </w:rPr>
      </w:pPr>
      <w:r w:rsidRPr="00B96E00">
        <w:rPr>
          <w:rFonts w:ascii="Palatino Linotype" w:eastAsia="Palatino Linotype" w:hAnsi="Palatino Linotype" w:cs="Palatino Linotype"/>
          <w:i/>
          <w:iCs/>
          <w:color w:val="000000"/>
        </w:rPr>
        <w:t xml:space="preserve">“me estan vulnerando mi derecho constitucional al acceso a la información, ya que o solicite la información via SAIMEX la cual es gratuita, su respuesta argumenta que se debe realizar el "escaneo de los documentos" entendiendo que debo realizar un pago por que la Comisión de Impacto Estatal escanee el expediente y se me pueda entregar la información, sin embargo es ilógico que se pretenda cobrarme por un escaneo cuando el escaner es una herramienta que todas las oficinas gubernamentales tienen, y más por la modalidad en que lo solicitié, ademas de que </w:t>
      </w:r>
      <w:r w:rsidRPr="00B96E00">
        <w:rPr>
          <w:rFonts w:ascii="Palatino Linotype" w:eastAsia="Palatino Linotype" w:hAnsi="Palatino Linotype" w:cs="Palatino Linotype"/>
          <w:i/>
          <w:iCs/>
          <w:color w:val="000000"/>
        </w:rPr>
        <w:lastRenderedPageBreak/>
        <w:t>la comisión siempre señala que su támite es 100% en línea y cuando yo fui a realizar un trámite tube que capturar la información, es decir, hay documentos de los que solicite que ya se encuentran de manera digital en la comisión y aun así tampoco me los dan, así que me estan escondiendo la información que pido, mintiendo, dando largas y ahora queriendome cobrar cuando se contradicen completamente, entonces solicito al Instituto de Transparencia que revise de manera eficiente esta respuesta y no permita se me esconda información tratando de proteger a personas corruptas que solo vienen a dañar a nuestra comunidad y haga respetar mi derecho a la información que la Constitución señala.” (Sic).</w:t>
      </w:r>
    </w:p>
    <w:p w:rsidR="004F2FE5" w:rsidRPr="00B96E00" w:rsidRDefault="004F2FE5" w:rsidP="00B96E00">
      <w:pPr>
        <w:pBdr>
          <w:top w:val="nil"/>
          <w:left w:val="nil"/>
          <w:bottom w:val="nil"/>
          <w:right w:val="nil"/>
          <w:between w:val="nil"/>
        </w:pBdr>
        <w:tabs>
          <w:tab w:val="left" w:pos="284"/>
        </w:tabs>
        <w:spacing w:line="360" w:lineRule="auto"/>
        <w:ind w:right="-879"/>
        <w:jc w:val="both"/>
        <w:rPr>
          <w:rFonts w:ascii="Palatino Linotype" w:eastAsia="Palatino Linotype" w:hAnsi="Palatino Linotype" w:cs="Palatino Linotype"/>
          <w:color w:val="000000"/>
        </w:rPr>
      </w:pPr>
    </w:p>
    <w:p w:rsidR="004F2FE5" w:rsidRPr="00B96E00" w:rsidRDefault="006D286C" w:rsidP="00B96E00">
      <w:pPr>
        <w:numPr>
          <w:ilvl w:val="0"/>
          <w:numId w:val="4"/>
        </w:numPr>
        <w:pBdr>
          <w:top w:val="nil"/>
          <w:left w:val="nil"/>
          <w:bottom w:val="nil"/>
          <w:right w:val="nil"/>
          <w:between w:val="nil"/>
        </w:pBdr>
        <w:tabs>
          <w:tab w:val="left" w:pos="284"/>
        </w:tabs>
        <w:spacing w:line="360" w:lineRule="auto"/>
        <w:ind w:left="0" w:right="-879" w:firstLine="0"/>
        <w:jc w:val="both"/>
        <w:rPr>
          <w:color w:val="000000"/>
        </w:rPr>
      </w:pPr>
      <w:r w:rsidRPr="00B96E00">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B96E00">
        <w:rPr>
          <w:rFonts w:ascii="Palatino Linotype" w:eastAsia="Palatino Linotype" w:hAnsi="Palatino Linotype" w:cs="Palatino Linotype"/>
          <w:b/>
          <w:bCs/>
          <w:color w:val="000000"/>
        </w:rPr>
        <w:t>acuerdo de admisión</w:t>
      </w:r>
      <w:r w:rsidRPr="00B96E00">
        <w:rPr>
          <w:rFonts w:ascii="Palatino Linotype" w:eastAsia="Palatino Linotype" w:hAnsi="Palatino Linotype" w:cs="Palatino Linotype"/>
          <w:color w:val="000000"/>
        </w:rPr>
        <w:t xml:space="preserve"> del veintisiete de febrero de dos mil veintiséis, puso a disposición de las partes el expediente electrónico vía Sistema de Acceso a la Información Mexiquense </w:t>
      </w:r>
      <w:r w:rsidRPr="00B96E00">
        <w:rPr>
          <w:rFonts w:ascii="Palatino Linotype" w:eastAsia="Palatino Linotype" w:hAnsi="Palatino Linotype" w:cs="Palatino Linotype"/>
          <w:b/>
          <w:bCs/>
          <w:color w:val="000000"/>
        </w:rPr>
        <w:t xml:space="preserve">SAIMEX </w:t>
      </w:r>
      <w:r w:rsidRPr="00B96E00">
        <w:rPr>
          <w:rFonts w:ascii="Palatino Linotype" w:eastAsia="Palatino Linotype" w:hAnsi="Palatino Linotype" w:cs="Palatino Linotype"/>
          <w:color w:val="000000"/>
        </w:rPr>
        <w:t xml:space="preserve">a efecto de que en un plazo máximo de siete días </w:t>
      </w:r>
      <w:r w:rsidRPr="00B96E00">
        <w:rPr>
          <w:rFonts w:ascii="Palatino Linotype" w:eastAsia="Palatino Linotype" w:hAnsi="Palatino Linotype" w:cs="Palatino Linotype"/>
        </w:rPr>
        <w:t>manifestara</w:t>
      </w:r>
      <w:r w:rsidRPr="00B96E00">
        <w:rPr>
          <w:rFonts w:ascii="Palatino Linotype" w:eastAsia="Palatino Linotype" w:hAnsi="Palatino Linotype" w:cs="Palatino Linotype"/>
          <w:color w:val="000000"/>
        </w:rPr>
        <w:t xml:space="preserve"> lo que a su derecho conviniera, </w:t>
      </w:r>
      <w:r w:rsidRPr="00B96E00">
        <w:rPr>
          <w:rFonts w:ascii="Palatino Linotype" w:eastAsia="Palatino Linotype" w:hAnsi="Palatino Linotype" w:cs="Palatino Linotype"/>
        </w:rPr>
        <w:t>ofreciera</w:t>
      </w:r>
      <w:r w:rsidRPr="00B96E00">
        <w:rPr>
          <w:rFonts w:ascii="Palatino Linotype" w:eastAsia="Palatino Linotype" w:hAnsi="Palatino Linotype" w:cs="Palatino Linotype"/>
          <w:color w:val="000000"/>
        </w:rPr>
        <w:t xml:space="preserve"> pruebas y alegatos según correspondiera a los casos concretos, de esta forma para que el </w:t>
      </w:r>
      <w:r w:rsidRPr="00B96E00">
        <w:rPr>
          <w:rFonts w:ascii="Palatino Linotype" w:eastAsia="Palatino Linotype" w:hAnsi="Palatino Linotype" w:cs="Palatino Linotype"/>
          <w:b/>
          <w:bCs/>
          <w:color w:val="000000"/>
        </w:rPr>
        <w:t>SUJETO OBLIGADO</w:t>
      </w:r>
      <w:r w:rsidRPr="00B96E00">
        <w:rPr>
          <w:rFonts w:ascii="Palatino Linotype" w:eastAsia="Palatino Linotype" w:hAnsi="Palatino Linotype" w:cs="Palatino Linotype"/>
          <w:color w:val="000000"/>
        </w:rPr>
        <w:t xml:space="preserve"> </w:t>
      </w:r>
      <w:r w:rsidRPr="00B96E00">
        <w:rPr>
          <w:rFonts w:ascii="Palatino Linotype" w:eastAsia="Palatino Linotype" w:hAnsi="Palatino Linotype" w:cs="Palatino Linotype"/>
        </w:rPr>
        <w:t>presentará</w:t>
      </w:r>
      <w:r w:rsidRPr="00B96E00">
        <w:rPr>
          <w:rFonts w:ascii="Palatino Linotype" w:eastAsia="Palatino Linotype" w:hAnsi="Palatino Linotype" w:cs="Palatino Linotype"/>
          <w:color w:val="000000"/>
        </w:rPr>
        <w:t xml:space="preserve"> el Informe Justificado procedente. </w:t>
      </w:r>
    </w:p>
    <w:p w:rsidR="004F2FE5" w:rsidRPr="00B96E00" w:rsidRDefault="004F2FE5" w:rsidP="00B96E00">
      <w:pPr>
        <w:pBdr>
          <w:top w:val="nil"/>
          <w:left w:val="nil"/>
          <w:bottom w:val="nil"/>
          <w:right w:val="nil"/>
          <w:between w:val="nil"/>
        </w:pBdr>
        <w:tabs>
          <w:tab w:val="left" w:pos="284"/>
        </w:tabs>
        <w:spacing w:line="360" w:lineRule="auto"/>
        <w:ind w:right="-879"/>
        <w:jc w:val="both"/>
        <w:rPr>
          <w:rFonts w:ascii="Palatino Linotype" w:eastAsia="Palatino Linotype" w:hAnsi="Palatino Linotype" w:cs="Palatino Linotype"/>
          <w:color w:val="000000"/>
        </w:rPr>
      </w:pPr>
    </w:p>
    <w:p w:rsidR="004F2FE5" w:rsidRPr="00B96E00" w:rsidRDefault="006D286C" w:rsidP="00B96E00">
      <w:pPr>
        <w:numPr>
          <w:ilvl w:val="0"/>
          <w:numId w:val="4"/>
        </w:numPr>
        <w:pBdr>
          <w:top w:val="nil"/>
          <w:left w:val="nil"/>
          <w:bottom w:val="nil"/>
          <w:right w:val="nil"/>
          <w:between w:val="nil"/>
        </w:pBdr>
        <w:tabs>
          <w:tab w:val="left" w:pos="284"/>
        </w:tabs>
        <w:spacing w:line="360" w:lineRule="auto"/>
        <w:ind w:left="0" w:right="-879" w:firstLine="0"/>
        <w:jc w:val="both"/>
        <w:rPr>
          <w:color w:val="000000"/>
        </w:rPr>
      </w:pPr>
      <w:r w:rsidRPr="00B96E00">
        <w:rPr>
          <w:rFonts w:ascii="Palatino Linotype" w:eastAsia="Palatino Linotype" w:hAnsi="Palatino Linotype" w:cs="Palatino Linotype"/>
          <w:color w:val="000000"/>
        </w:rPr>
        <w:t xml:space="preserve">De las constancias del archivo electrónico SAIMEX, se advierte que el Recurrente no realizó manifestaciones que a su derecho convinieran, mientras que el SUJETO OBLIGADO </w:t>
      </w:r>
      <w:r w:rsidRPr="00B96E00">
        <w:rPr>
          <w:rFonts w:ascii="Palatino Linotype" w:eastAsia="Palatino Linotype" w:hAnsi="Palatino Linotype" w:cs="Palatino Linotype"/>
        </w:rPr>
        <w:t>remitió</w:t>
      </w:r>
      <w:r w:rsidRPr="00B96E00">
        <w:rPr>
          <w:rFonts w:ascii="Palatino Linotype" w:eastAsia="Palatino Linotype" w:hAnsi="Palatino Linotype" w:cs="Palatino Linotype"/>
          <w:color w:val="000000"/>
        </w:rPr>
        <w:t xml:space="preserve"> los archivos que a continuación se describen, mismos que no fueron puestos a la vista del RECURRENTE, debido al desistimiento del mismo</w:t>
      </w:r>
    </w:p>
    <w:p w:rsidR="004F2FE5" w:rsidRPr="00B96E00" w:rsidRDefault="006D286C" w:rsidP="00B96E00">
      <w:pPr>
        <w:pBdr>
          <w:top w:val="nil"/>
          <w:left w:val="nil"/>
          <w:bottom w:val="nil"/>
          <w:right w:val="nil"/>
          <w:between w:val="nil"/>
        </w:pBdr>
        <w:tabs>
          <w:tab w:val="left" w:pos="284"/>
        </w:tabs>
        <w:ind w:left="567" w:right="-879"/>
        <w:jc w:val="both"/>
        <w:rPr>
          <w:rFonts w:ascii="Palatino Linotype" w:eastAsia="Palatino Linotype" w:hAnsi="Palatino Linotype" w:cs="Palatino Linotype"/>
          <w:b/>
          <w:bCs/>
          <w:color w:val="000000"/>
          <w:u w:val="single"/>
        </w:rPr>
      </w:pPr>
      <w:r w:rsidRPr="00B96E00">
        <w:rPr>
          <w:rFonts w:ascii="Palatino Linotype" w:eastAsia="Palatino Linotype" w:hAnsi="Palatino Linotype" w:cs="Palatino Linotype"/>
          <w:b/>
          <w:bCs/>
          <w:color w:val="000000"/>
          <w:u w:val="single"/>
        </w:rPr>
        <w:t>Nombramiento transparencia RVS05-09-2024.pdf</w:t>
      </w:r>
    </w:p>
    <w:p w:rsidR="004F2FE5" w:rsidRPr="00B96E00" w:rsidRDefault="006D286C" w:rsidP="00B96E00">
      <w:pPr>
        <w:tabs>
          <w:tab w:val="left" w:pos="2834"/>
          <w:tab w:val="right" w:pos="8838"/>
        </w:tabs>
        <w:ind w:left="567" w:right="-879"/>
        <w:jc w:val="both"/>
        <w:rPr>
          <w:rFonts w:ascii="Palatino Linotype" w:eastAsia="Palatino Linotype" w:hAnsi="Palatino Linotype" w:cs="Palatino Linotype"/>
          <w:color w:val="000000"/>
        </w:rPr>
      </w:pPr>
      <w:r w:rsidRPr="00B96E00">
        <w:rPr>
          <w:rFonts w:ascii="Palatino Linotype" w:eastAsia="Palatino Linotype" w:hAnsi="Palatino Linotype" w:cs="Palatino Linotype"/>
          <w:color w:val="000000"/>
        </w:rPr>
        <w:t>Consistente en el nombramiento del Titular de la Unidad de Transparencia de la Secretaría de Desarrollo Urbano e  Infraestructura.</w:t>
      </w:r>
    </w:p>
    <w:p w:rsidR="004F2FE5" w:rsidRPr="00B96E00" w:rsidRDefault="004F2FE5" w:rsidP="00B96E00">
      <w:pPr>
        <w:pBdr>
          <w:top w:val="nil"/>
          <w:left w:val="nil"/>
          <w:bottom w:val="nil"/>
          <w:right w:val="nil"/>
          <w:between w:val="nil"/>
        </w:pBdr>
        <w:tabs>
          <w:tab w:val="left" w:pos="284"/>
        </w:tabs>
        <w:ind w:left="567" w:right="-879"/>
        <w:jc w:val="both"/>
        <w:rPr>
          <w:rFonts w:ascii="Palatino Linotype" w:eastAsia="Palatino Linotype" w:hAnsi="Palatino Linotype" w:cs="Palatino Linotype"/>
          <w:b/>
          <w:bCs/>
          <w:color w:val="000000"/>
          <w:u w:val="single"/>
        </w:rPr>
      </w:pPr>
    </w:p>
    <w:p w:rsidR="004F2FE5" w:rsidRPr="00B96E00" w:rsidRDefault="006D286C" w:rsidP="00B96E00">
      <w:pPr>
        <w:pBdr>
          <w:top w:val="nil"/>
          <w:left w:val="nil"/>
          <w:bottom w:val="nil"/>
          <w:right w:val="nil"/>
          <w:between w:val="nil"/>
        </w:pBdr>
        <w:tabs>
          <w:tab w:val="left" w:pos="284"/>
        </w:tabs>
        <w:ind w:left="567" w:right="-879"/>
        <w:jc w:val="both"/>
        <w:rPr>
          <w:rFonts w:ascii="Palatino Linotype" w:eastAsia="Palatino Linotype" w:hAnsi="Palatino Linotype" w:cs="Palatino Linotype"/>
          <w:b/>
          <w:bCs/>
          <w:color w:val="000000"/>
          <w:u w:val="single"/>
        </w:rPr>
      </w:pPr>
      <w:r w:rsidRPr="00B96E00">
        <w:rPr>
          <w:rFonts w:ascii="Palatino Linotype" w:eastAsia="Palatino Linotype" w:hAnsi="Palatino Linotype" w:cs="Palatino Linotype"/>
          <w:b/>
          <w:bCs/>
          <w:color w:val="000000"/>
          <w:u w:val="single"/>
        </w:rPr>
        <w:t>INFORME JUSTIFICADO RR2618-26.pdf</w:t>
      </w:r>
    </w:p>
    <w:p w:rsidR="004F2FE5" w:rsidRPr="00B96E00" w:rsidRDefault="006D286C" w:rsidP="00B96E00">
      <w:pPr>
        <w:pBdr>
          <w:top w:val="nil"/>
          <w:left w:val="nil"/>
          <w:bottom w:val="nil"/>
          <w:right w:val="nil"/>
          <w:between w:val="nil"/>
        </w:pBdr>
        <w:tabs>
          <w:tab w:val="left" w:pos="284"/>
        </w:tabs>
        <w:ind w:left="567" w:right="-879"/>
        <w:jc w:val="both"/>
        <w:rPr>
          <w:rFonts w:ascii="Palatino Linotype" w:eastAsia="Palatino Linotype" w:hAnsi="Palatino Linotype" w:cs="Palatino Linotype"/>
          <w:color w:val="000000"/>
        </w:rPr>
      </w:pPr>
      <w:r w:rsidRPr="00B96E00">
        <w:rPr>
          <w:rFonts w:ascii="Palatino Linotype" w:eastAsia="Palatino Linotype" w:hAnsi="Palatino Linotype" w:cs="Palatino Linotype"/>
          <w:color w:val="000000"/>
        </w:rPr>
        <w:t xml:space="preserve">Oficio SEDUI-CI-0339-2026, mediante el cual el Titular de la Unidad de Transparencia de la Secretaría de Desarrollo Urbano e  Infraestructura rindió su informe </w:t>
      </w:r>
      <w:r w:rsidRPr="00B96E00">
        <w:rPr>
          <w:rFonts w:ascii="Palatino Linotype" w:eastAsia="Palatino Linotype" w:hAnsi="Palatino Linotype" w:cs="Palatino Linotype"/>
        </w:rPr>
        <w:t>justificado</w:t>
      </w:r>
      <w:r w:rsidRPr="00B96E00">
        <w:rPr>
          <w:rFonts w:ascii="Palatino Linotype" w:eastAsia="Palatino Linotype" w:hAnsi="Palatino Linotype" w:cs="Palatino Linotype"/>
          <w:color w:val="000000"/>
        </w:rPr>
        <w:t xml:space="preserve">. </w:t>
      </w:r>
    </w:p>
    <w:p w:rsidR="004F2FE5" w:rsidRPr="00B96E00" w:rsidRDefault="004F2FE5" w:rsidP="00B96E00">
      <w:pPr>
        <w:pBdr>
          <w:top w:val="nil"/>
          <w:left w:val="nil"/>
          <w:bottom w:val="nil"/>
          <w:right w:val="nil"/>
          <w:between w:val="nil"/>
        </w:pBdr>
        <w:tabs>
          <w:tab w:val="left" w:pos="284"/>
        </w:tabs>
        <w:ind w:left="567" w:right="-879"/>
        <w:jc w:val="both"/>
        <w:rPr>
          <w:rFonts w:ascii="Palatino Linotype" w:eastAsia="Palatino Linotype" w:hAnsi="Palatino Linotype" w:cs="Palatino Linotype"/>
          <w:color w:val="000000"/>
        </w:rPr>
      </w:pPr>
    </w:p>
    <w:p w:rsidR="004F2FE5" w:rsidRPr="00B96E00" w:rsidRDefault="006D286C" w:rsidP="00B96E00">
      <w:pPr>
        <w:pBdr>
          <w:top w:val="nil"/>
          <w:left w:val="nil"/>
          <w:bottom w:val="nil"/>
          <w:right w:val="nil"/>
          <w:between w:val="nil"/>
        </w:pBdr>
        <w:tabs>
          <w:tab w:val="left" w:pos="284"/>
        </w:tabs>
        <w:ind w:left="567" w:right="-879"/>
        <w:jc w:val="both"/>
        <w:rPr>
          <w:rFonts w:ascii="Palatino Linotype" w:eastAsia="Palatino Linotype" w:hAnsi="Palatino Linotype" w:cs="Palatino Linotype"/>
          <w:b/>
          <w:bCs/>
          <w:color w:val="000000"/>
          <w:u w:val="single"/>
        </w:rPr>
      </w:pPr>
      <w:r w:rsidRPr="00B96E00">
        <w:rPr>
          <w:rFonts w:ascii="Palatino Linotype" w:eastAsia="Palatino Linotype" w:hAnsi="Palatino Linotype" w:cs="Palatino Linotype"/>
          <w:b/>
          <w:bCs/>
          <w:color w:val="000000"/>
          <w:u w:val="single"/>
        </w:rPr>
        <w:t>T.RR DGOyCU 16-26.pdf</w:t>
      </w:r>
    </w:p>
    <w:p w:rsidR="004F2FE5" w:rsidRPr="00B96E00" w:rsidRDefault="006D286C" w:rsidP="00B96E00">
      <w:pPr>
        <w:pBdr>
          <w:top w:val="nil"/>
          <w:left w:val="nil"/>
          <w:bottom w:val="nil"/>
          <w:right w:val="nil"/>
          <w:between w:val="nil"/>
        </w:pBdr>
        <w:tabs>
          <w:tab w:val="left" w:pos="284"/>
        </w:tabs>
        <w:ind w:left="567" w:right="-879"/>
        <w:jc w:val="both"/>
        <w:rPr>
          <w:rFonts w:ascii="Palatino Linotype" w:eastAsia="Palatino Linotype" w:hAnsi="Palatino Linotype" w:cs="Palatino Linotype"/>
          <w:color w:val="000000"/>
        </w:rPr>
      </w:pPr>
      <w:r w:rsidRPr="00B96E00">
        <w:rPr>
          <w:rFonts w:ascii="Palatino Linotype" w:eastAsia="Palatino Linotype" w:hAnsi="Palatino Linotype" w:cs="Palatino Linotype"/>
          <w:color w:val="000000"/>
        </w:rPr>
        <w:lastRenderedPageBreak/>
        <w:t xml:space="preserve">Oficio del veintisiete de febrero del dos mil veintiséis, mediante el cual el Titular de la Unidad de Transparencia de la Secretaría de Desarrollo Urbano e  Infraestructura, requirió a la Directora General  de Operación y Control  Urbano, su pronunciamiento a los motivos de inconformidad del recurrente. </w:t>
      </w:r>
    </w:p>
    <w:p w:rsidR="004F2FE5" w:rsidRPr="00B96E00" w:rsidRDefault="004F2FE5" w:rsidP="00B96E00">
      <w:pPr>
        <w:pBdr>
          <w:top w:val="nil"/>
          <w:left w:val="nil"/>
          <w:bottom w:val="nil"/>
          <w:right w:val="nil"/>
          <w:between w:val="nil"/>
        </w:pBdr>
        <w:tabs>
          <w:tab w:val="left" w:pos="284"/>
        </w:tabs>
        <w:ind w:left="567" w:right="-879"/>
        <w:jc w:val="both"/>
        <w:rPr>
          <w:rFonts w:ascii="Palatino Linotype" w:eastAsia="Palatino Linotype" w:hAnsi="Palatino Linotype" w:cs="Palatino Linotype"/>
          <w:color w:val="000000"/>
        </w:rPr>
      </w:pPr>
    </w:p>
    <w:p w:rsidR="004F2FE5" w:rsidRPr="00B96E00" w:rsidRDefault="006D286C" w:rsidP="00B96E00">
      <w:pPr>
        <w:pBdr>
          <w:top w:val="nil"/>
          <w:left w:val="nil"/>
          <w:bottom w:val="nil"/>
          <w:right w:val="nil"/>
          <w:between w:val="nil"/>
        </w:pBdr>
        <w:tabs>
          <w:tab w:val="left" w:pos="284"/>
        </w:tabs>
        <w:ind w:left="567" w:right="-879"/>
        <w:jc w:val="both"/>
        <w:rPr>
          <w:rFonts w:ascii="Palatino Linotype" w:eastAsia="Palatino Linotype" w:hAnsi="Palatino Linotype" w:cs="Palatino Linotype"/>
          <w:b/>
          <w:bCs/>
          <w:color w:val="000000"/>
          <w:u w:val="single"/>
        </w:rPr>
      </w:pPr>
      <w:r w:rsidRPr="00B96E00">
        <w:rPr>
          <w:rFonts w:ascii="Palatino Linotype" w:eastAsia="Palatino Linotype" w:hAnsi="Palatino Linotype" w:cs="Palatino Linotype"/>
          <w:b/>
          <w:bCs/>
          <w:color w:val="000000"/>
          <w:u w:val="single"/>
        </w:rPr>
        <w:t>T.RR CIE 16-26.pdf.pdf</w:t>
      </w:r>
    </w:p>
    <w:p w:rsidR="004F2FE5" w:rsidRPr="00B96E00" w:rsidRDefault="006D286C" w:rsidP="00B96E00">
      <w:pPr>
        <w:pBdr>
          <w:top w:val="nil"/>
          <w:left w:val="nil"/>
          <w:bottom w:val="nil"/>
          <w:right w:val="nil"/>
          <w:between w:val="nil"/>
        </w:pBdr>
        <w:tabs>
          <w:tab w:val="left" w:pos="284"/>
        </w:tabs>
        <w:ind w:left="567" w:right="-879"/>
        <w:jc w:val="both"/>
        <w:rPr>
          <w:rFonts w:ascii="Palatino Linotype" w:eastAsia="Palatino Linotype" w:hAnsi="Palatino Linotype" w:cs="Palatino Linotype"/>
          <w:color w:val="000000"/>
        </w:rPr>
      </w:pPr>
      <w:r w:rsidRPr="00B96E00">
        <w:rPr>
          <w:rFonts w:ascii="Palatino Linotype" w:eastAsia="Palatino Linotype" w:hAnsi="Palatino Linotype" w:cs="Palatino Linotype"/>
          <w:color w:val="000000"/>
        </w:rPr>
        <w:t xml:space="preserve">Oficio del tres de marzo del dos mil veintiséis, mediante el cual la Directora General de la Comisión de Impacto Estatal informó al Titular de la Unidad de Transparencia de la Secretaría de Desarrollo Urbano e  Infraestructura, requirió a la Directora General  de Operación y Control  Urbano, se pronunció respecto a los motivos de inconformidad del recurrente. </w:t>
      </w:r>
    </w:p>
    <w:p w:rsidR="004F2FE5" w:rsidRPr="00B96E00" w:rsidRDefault="004F2FE5" w:rsidP="00B96E00">
      <w:pPr>
        <w:pBdr>
          <w:top w:val="nil"/>
          <w:left w:val="nil"/>
          <w:bottom w:val="nil"/>
          <w:right w:val="nil"/>
          <w:between w:val="nil"/>
        </w:pBdr>
        <w:tabs>
          <w:tab w:val="left" w:pos="284"/>
        </w:tabs>
        <w:ind w:right="-879"/>
        <w:jc w:val="both"/>
        <w:rPr>
          <w:rFonts w:ascii="Palatino Linotype" w:eastAsia="Palatino Linotype" w:hAnsi="Palatino Linotype" w:cs="Palatino Linotype"/>
          <w:b/>
          <w:bCs/>
          <w:color w:val="000000"/>
          <w:u w:val="single"/>
        </w:rPr>
      </w:pPr>
    </w:p>
    <w:p w:rsidR="004F2FE5" w:rsidRPr="00B96E00" w:rsidRDefault="006D286C" w:rsidP="00B96E00">
      <w:pPr>
        <w:pBdr>
          <w:top w:val="nil"/>
          <w:left w:val="nil"/>
          <w:bottom w:val="nil"/>
          <w:right w:val="nil"/>
          <w:between w:val="nil"/>
        </w:pBdr>
        <w:tabs>
          <w:tab w:val="left" w:pos="284"/>
        </w:tabs>
        <w:ind w:left="567" w:right="-879"/>
        <w:jc w:val="both"/>
        <w:rPr>
          <w:rFonts w:ascii="Palatino Linotype" w:eastAsia="Palatino Linotype" w:hAnsi="Palatino Linotype" w:cs="Palatino Linotype"/>
          <w:b/>
          <w:bCs/>
          <w:color w:val="000000"/>
          <w:u w:val="single"/>
        </w:rPr>
      </w:pPr>
      <w:r w:rsidRPr="00B96E00">
        <w:rPr>
          <w:rFonts w:ascii="Palatino Linotype" w:eastAsia="Palatino Linotype" w:hAnsi="Palatino Linotype" w:cs="Palatino Linotype"/>
          <w:b/>
          <w:bCs/>
          <w:color w:val="000000"/>
          <w:u w:val="single"/>
        </w:rPr>
        <w:t>R RR DGOCU 2618-26.pdf</w:t>
      </w:r>
    </w:p>
    <w:p w:rsidR="004F2FE5" w:rsidRPr="00B96E00" w:rsidRDefault="006D286C" w:rsidP="00B96E00">
      <w:pPr>
        <w:pBdr>
          <w:top w:val="nil"/>
          <w:left w:val="nil"/>
          <w:bottom w:val="nil"/>
          <w:right w:val="nil"/>
          <w:between w:val="nil"/>
        </w:pBdr>
        <w:tabs>
          <w:tab w:val="left" w:pos="284"/>
        </w:tabs>
        <w:ind w:left="567" w:right="-879"/>
        <w:jc w:val="both"/>
        <w:rPr>
          <w:rFonts w:ascii="Palatino Linotype" w:eastAsia="Palatino Linotype" w:hAnsi="Palatino Linotype" w:cs="Palatino Linotype"/>
          <w:color w:val="000000"/>
        </w:rPr>
      </w:pPr>
      <w:r w:rsidRPr="00B96E00">
        <w:rPr>
          <w:rFonts w:ascii="Palatino Linotype" w:eastAsia="Palatino Linotype" w:hAnsi="Palatino Linotype" w:cs="Palatino Linotype"/>
          <w:color w:val="000000"/>
        </w:rPr>
        <w:t xml:space="preserve">Oficio del tres de marzo del dos mil veintiséis, mediante el cual la Directora General de Operación y Control Urbano informó al Titular de la Unidad de Transparencia de la Secretaría de Desarrollo Urbano e  Infraestructura, requirió a la Directora General  de Operación y Control  Urbano, se pronunció respecto a los motivos de inconformidad del recurrente. </w:t>
      </w:r>
    </w:p>
    <w:p w:rsidR="004F2FE5" w:rsidRPr="00B96E00" w:rsidRDefault="004F2FE5" w:rsidP="00B96E00">
      <w:pPr>
        <w:pBdr>
          <w:top w:val="nil"/>
          <w:left w:val="nil"/>
          <w:bottom w:val="nil"/>
          <w:right w:val="nil"/>
          <w:between w:val="nil"/>
        </w:pBdr>
        <w:tabs>
          <w:tab w:val="left" w:pos="284"/>
        </w:tabs>
        <w:ind w:left="567" w:right="-879"/>
        <w:jc w:val="both"/>
        <w:rPr>
          <w:rFonts w:ascii="Palatino Linotype" w:eastAsia="Palatino Linotype" w:hAnsi="Palatino Linotype" w:cs="Palatino Linotype"/>
          <w:color w:val="000000"/>
        </w:rPr>
      </w:pPr>
    </w:p>
    <w:p w:rsidR="004F2FE5" w:rsidRPr="00B96E00" w:rsidRDefault="006D286C" w:rsidP="00B96E00">
      <w:pPr>
        <w:numPr>
          <w:ilvl w:val="0"/>
          <w:numId w:val="4"/>
        </w:numPr>
        <w:pBdr>
          <w:top w:val="nil"/>
          <w:left w:val="nil"/>
          <w:bottom w:val="nil"/>
          <w:right w:val="nil"/>
          <w:between w:val="nil"/>
        </w:pBdr>
        <w:tabs>
          <w:tab w:val="left" w:pos="284"/>
        </w:tabs>
        <w:spacing w:line="360" w:lineRule="auto"/>
        <w:ind w:left="0" w:right="-879" w:firstLine="0"/>
        <w:jc w:val="both"/>
        <w:rPr>
          <w:color w:val="000000"/>
        </w:rPr>
      </w:pPr>
      <w:r w:rsidRPr="00B96E00">
        <w:rPr>
          <w:rFonts w:ascii="Palatino Linotype" w:eastAsia="Palatino Linotype" w:hAnsi="Palatino Linotype" w:cs="Palatino Linotype"/>
          <w:color w:val="000000"/>
        </w:rPr>
        <w:t xml:space="preserve">El dieciséis de junio de dos mil veintiséis, </w:t>
      </w:r>
      <w:r w:rsidRPr="00B96E00">
        <w:rPr>
          <w:rFonts w:ascii="Palatino Linotype" w:eastAsia="Palatino Linotype" w:hAnsi="Palatino Linotype" w:cs="Palatino Linotype"/>
          <w:b/>
          <w:bCs/>
          <w:color w:val="000000"/>
        </w:rPr>
        <w:t xml:space="preserve">el </w:t>
      </w:r>
      <w:r w:rsidRPr="00B96E00">
        <w:rPr>
          <w:rFonts w:ascii="Palatino Linotype" w:eastAsia="Palatino Linotype" w:hAnsi="Palatino Linotype" w:cs="Palatino Linotype"/>
          <w:b/>
          <w:bCs/>
        </w:rPr>
        <w:t>Recurrente desistió</w:t>
      </w:r>
      <w:r w:rsidRPr="00B96E00">
        <w:t xml:space="preserve"> </w:t>
      </w:r>
      <w:r w:rsidRPr="00B96E00">
        <w:rPr>
          <w:rFonts w:ascii="Palatino Linotype" w:eastAsia="Palatino Linotype" w:hAnsi="Palatino Linotype" w:cs="Palatino Linotype"/>
          <w:b/>
          <w:bCs/>
          <w:color w:val="000000"/>
        </w:rPr>
        <w:t>del recurso de revisión</w:t>
      </w:r>
      <w:r w:rsidRPr="00B96E00">
        <w:rPr>
          <w:rFonts w:ascii="Palatino Linotype" w:eastAsia="Palatino Linotype" w:hAnsi="Palatino Linotype" w:cs="Palatino Linotype"/>
          <w:color w:val="000000"/>
        </w:rPr>
        <w:t xml:space="preserve">. </w:t>
      </w:r>
    </w:p>
    <w:p w:rsidR="004F2FE5" w:rsidRPr="00B96E00" w:rsidRDefault="004F2FE5" w:rsidP="00B96E00">
      <w:pPr>
        <w:pBdr>
          <w:top w:val="nil"/>
          <w:left w:val="nil"/>
          <w:bottom w:val="nil"/>
          <w:right w:val="nil"/>
          <w:between w:val="nil"/>
        </w:pBdr>
        <w:tabs>
          <w:tab w:val="left" w:pos="426"/>
        </w:tabs>
        <w:spacing w:line="360" w:lineRule="auto"/>
        <w:ind w:right="-879"/>
        <w:jc w:val="both"/>
        <w:rPr>
          <w:rFonts w:ascii="Palatino Linotype" w:eastAsia="Palatino Linotype" w:hAnsi="Palatino Linotype" w:cs="Palatino Linotype"/>
          <w:color w:val="000000"/>
        </w:rPr>
      </w:pPr>
      <w:bookmarkStart w:id="1" w:name="_heading=h.1lpsc7r731un" w:colFirst="0" w:colLast="0"/>
      <w:bookmarkEnd w:id="1"/>
    </w:p>
    <w:p w:rsidR="005A4799" w:rsidRPr="005A4799" w:rsidRDefault="006D286C" w:rsidP="005A4799">
      <w:pPr>
        <w:numPr>
          <w:ilvl w:val="0"/>
          <w:numId w:val="4"/>
        </w:numPr>
        <w:pBdr>
          <w:top w:val="nil"/>
          <w:left w:val="nil"/>
          <w:bottom w:val="nil"/>
          <w:right w:val="nil"/>
          <w:between w:val="nil"/>
        </w:pBdr>
        <w:tabs>
          <w:tab w:val="left" w:pos="426"/>
        </w:tabs>
        <w:spacing w:line="360" w:lineRule="auto"/>
        <w:ind w:left="0" w:right="-879" w:firstLine="0"/>
        <w:jc w:val="both"/>
        <w:rPr>
          <w:color w:val="000000"/>
        </w:rPr>
      </w:pPr>
      <w:r w:rsidRPr="00B96E00">
        <w:rPr>
          <w:rFonts w:ascii="Palatino Linotype" w:eastAsia="Palatino Linotype" w:hAnsi="Palatino Linotype" w:cs="Palatino Linotype"/>
          <w:color w:val="000000"/>
        </w:rPr>
        <w:t xml:space="preserve">La Comisionada Ponente notificó el acuerdo de </w:t>
      </w:r>
      <w:r w:rsidRPr="00B96E00">
        <w:rPr>
          <w:rFonts w:ascii="Palatino Linotype" w:eastAsia="Palatino Linotype" w:hAnsi="Palatino Linotype" w:cs="Palatino Linotype"/>
          <w:b/>
          <w:bCs/>
          <w:color w:val="000000"/>
        </w:rPr>
        <w:t>cierre de instrucción</w:t>
      </w:r>
      <w:r w:rsidRPr="00B96E00">
        <w:rPr>
          <w:rFonts w:ascii="Palatino Linotype" w:eastAsia="Palatino Linotype" w:hAnsi="Palatino Linotype" w:cs="Palatino Linotype"/>
          <w:color w:val="000000"/>
        </w:rPr>
        <w:t xml:space="preserve"> en fecha dieciocho de junio de dos mil veintiséis. </w:t>
      </w:r>
    </w:p>
    <w:p w:rsidR="00B96E00" w:rsidRDefault="00B96E00" w:rsidP="00B96E00">
      <w:pPr>
        <w:pStyle w:val="Prrafodelista"/>
        <w:rPr>
          <w:color w:val="000000"/>
        </w:rPr>
      </w:pPr>
    </w:p>
    <w:p w:rsidR="004F2FE5" w:rsidRPr="00B96E00" w:rsidRDefault="006D286C" w:rsidP="00B96E00">
      <w:pPr>
        <w:pStyle w:val="Ttulo2"/>
        <w:ind w:right="-879"/>
        <w:jc w:val="center"/>
        <w:rPr>
          <w:rFonts w:ascii="Palatino Linotype" w:eastAsia="Palatino Linotype" w:hAnsi="Palatino Linotype" w:cs="Palatino Linotype"/>
          <w:b/>
          <w:bCs/>
          <w:color w:val="000000"/>
          <w:sz w:val="24"/>
          <w:szCs w:val="24"/>
        </w:rPr>
      </w:pPr>
      <w:bookmarkStart w:id="2" w:name="_heading=h.8ld75kftjn37" w:colFirst="0" w:colLast="0"/>
      <w:bookmarkEnd w:id="2"/>
      <w:r w:rsidRPr="00B96E00">
        <w:rPr>
          <w:rFonts w:ascii="Palatino Linotype" w:eastAsia="Palatino Linotype" w:hAnsi="Palatino Linotype" w:cs="Palatino Linotype"/>
          <w:b/>
          <w:bCs/>
          <w:color w:val="000000"/>
          <w:sz w:val="24"/>
          <w:szCs w:val="24"/>
        </w:rPr>
        <w:t>C O N S I D E R A N D O</w:t>
      </w:r>
    </w:p>
    <w:p w:rsidR="004F2FE5" w:rsidRPr="00B96E00" w:rsidRDefault="004F2FE5" w:rsidP="00B96E00">
      <w:pPr>
        <w:ind w:right="-879"/>
      </w:pPr>
    </w:p>
    <w:p w:rsidR="004F2FE5" w:rsidRPr="00B96E00" w:rsidRDefault="006D286C" w:rsidP="00B96E00">
      <w:pPr>
        <w:pStyle w:val="Ttulo2"/>
        <w:spacing w:line="360" w:lineRule="auto"/>
        <w:ind w:right="-879"/>
        <w:rPr>
          <w:rFonts w:ascii="Palatino Linotype" w:eastAsia="Palatino Linotype" w:hAnsi="Palatino Linotype" w:cs="Palatino Linotype"/>
          <w:b/>
          <w:bCs/>
          <w:color w:val="000000"/>
          <w:sz w:val="24"/>
          <w:szCs w:val="24"/>
        </w:rPr>
      </w:pPr>
      <w:bookmarkStart w:id="3" w:name="_heading=h.5vbyij6rwh2s" w:colFirst="0" w:colLast="0"/>
      <w:bookmarkEnd w:id="3"/>
      <w:r w:rsidRPr="00B96E00">
        <w:rPr>
          <w:rFonts w:ascii="Palatino Linotype" w:eastAsia="Palatino Linotype" w:hAnsi="Palatino Linotype" w:cs="Palatino Linotype"/>
          <w:b/>
          <w:bCs/>
          <w:color w:val="000000"/>
          <w:sz w:val="24"/>
          <w:szCs w:val="24"/>
        </w:rPr>
        <w:t>PRIMERO. De la competencia</w:t>
      </w:r>
    </w:p>
    <w:p w:rsidR="004F2FE5" w:rsidRPr="00B96E00" w:rsidRDefault="006D286C" w:rsidP="00B96E00">
      <w:pPr>
        <w:numPr>
          <w:ilvl w:val="0"/>
          <w:numId w:val="4"/>
        </w:numPr>
        <w:spacing w:line="360" w:lineRule="auto"/>
        <w:ind w:left="0" w:right="-879" w:firstLine="0"/>
        <w:jc w:val="both"/>
      </w:pPr>
      <w:r w:rsidRPr="00B96E00">
        <w:rPr>
          <w:rFonts w:ascii="Palatino Linotype" w:eastAsia="Palatino Linotype" w:hAnsi="Palatino Linotype" w:cs="Palatino Linotype"/>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w:t>
      </w:r>
      <w:r w:rsidRPr="00B96E00">
        <w:rPr>
          <w:rFonts w:ascii="Palatino Linotype" w:eastAsia="Palatino Linotype" w:hAnsi="Palatino Linotype" w:cs="Palatino Linotype"/>
        </w:rPr>
        <w:lastRenderedPageBreak/>
        <w:t>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4F2FE5" w:rsidRPr="00B96E00" w:rsidRDefault="004F2FE5" w:rsidP="00B96E00">
      <w:pPr>
        <w:spacing w:line="360" w:lineRule="auto"/>
        <w:ind w:right="-879"/>
        <w:jc w:val="both"/>
      </w:pPr>
    </w:p>
    <w:p w:rsidR="004F2FE5" w:rsidRPr="00B96E00" w:rsidRDefault="006D286C" w:rsidP="00B96E00">
      <w:pPr>
        <w:pStyle w:val="Ttulo2"/>
        <w:tabs>
          <w:tab w:val="left" w:pos="284"/>
          <w:tab w:val="left" w:pos="426"/>
        </w:tabs>
        <w:spacing w:line="360" w:lineRule="auto"/>
        <w:ind w:right="-879"/>
        <w:rPr>
          <w:rFonts w:ascii="Palatino Linotype" w:eastAsia="Palatino Linotype" w:hAnsi="Palatino Linotype" w:cs="Palatino Linotype"/>
          <w:b/>
          <w:bCs/>
          <w:color w:val="000000"/>
          <w:sz w:val="24"/>
          <w:szCs w:val="24"/>
        </w:rPr>
      </w:pPr>
      <w:bookmarkStart w:id="4" w:name="_heading=h.jdug9v26xbju" w:colFirst="0" w:colLast="0"/>
      <w:bookmarkEnd w:id="4"/>
      <w:r w:rsidRPr="00B96E00">
        <w:rPr>
          <w:rFonts w:ascii="Palatino Linotype" w:eastAsia="Palatino Linotype" w:hAnsi="Palatino Linotype" w:cs="Palatino Linotype"/>
          <w:b/>
          <w:bCs/>
          <w:color w:val="000000"/>
          <w:sz w:val="24"/>
          <w:szCs w:val="24"/>
        </w:rPr>
        <w:t>SEGUNDO. De la oportunidad y procedencia.</w:t>
      </w:r>
    </w:p>
    <w:p w:rsidR="004F2FE5" w:rsidRPr="00B96E00" w:rsidRDefault="006D286C" w:rsidP="00B96E00">
      <w:pPr>
        <w:numPr>
          <w:ilvl w:val="0"/>
          <w:numId w:val="4"/>
        </w:numPr>
        <w:spacing w:line="360" w:lineRule="auto"/>
        <w:ind w:left="0" w:right="-879" w:firstLine="0"/>
        <w:jc w:val="both"/>
      </w:pPr>
      <w:r w:rsidRPr="00B96E00">
        <w:rPr>
          <w:rFonts w:ascii="Palatino Linotype" w:eastAsia="Palatino Linotype" w:hAnsi="Palatino Linotype" w:cs="Palatino Linotype"/>
        </w:rPr>
        <w:t xml:space="preserve">El medio de impugnación fue presentado a través del </w:t>
      </w:r>
      <w:r w:rsidRPr="00B96E00">
        <w:rPr>
          <w:rFonts w:ascii="Palatino Linotype" w:eastAsia="Palatino Linotype" w:hAnsi="Palatino Linotype" w:cs="Palatino Linotype"/>
          <w:b/>
          <w:bCs/>
        </w:rPr>
        <w:t>SAIMEX,</w:t>
      </w:r>
      <w:r w:rsidRPr="00B96E00">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B96E00">
        <w:rPr>
          <w:rFonts w:ascii="Palatino Linotype" w:eastAsia="Palatino Linotype" w:hAnsi="Palatino Linotype" w:cs="Palatino Linotype"/>
          <w:b/>
          <w:bCs/>
        </w:rPr>
        <w:t>SUJETO OBLIGADO</w:t>
      </w:r>
      <w:r w:rsidRPr="00B96E00">
        <w:rPr>
          <w:rFonts w:ascii="Palatino Linotype" w:eastAsia="Palatino Linotype" w:hAnsi="Palatino Linotype" w:cs="Palatino Linotype"/>
        </w:rPr>
        <w:t xml:space="preserve"> entregó respuesta a la solicitud el </w:t>
      </w:r>
      <w:r w:rsidRPr="00B96E00">
        <w:rPr>
          <w:rFonts w:ascii="Palatino Linotype" w:eastAsia="Palatino Linotype" w:hAnsi="Palatino Linotype" w:cs="Palatino Linotype"/>
          <w:b/>
          <w:bCs/>
        </w:rPr>
        <w:t>veinte de febrero de dos mil veintiséis</w:t>
      </w:r>
      <w:r w:rsidRPr="00B96E00">
        <w:rPr>
          <w:rFonts w:ascii="Palatino Linotype" w:eastAsia="Palatino Linotype" w:hAnsi="Palatino Linotype" w:cs="Palatino Linotype"/>
        </w:rPr>
        <w:t xml:space="preserve">, de tal forma que el plazo para interponer el recurso de revisión transcurrió del </w:t>
      </w:r>
      <w:r w:rsidRPr="00B96E00">
        <w:rPr>
          <w:rFonts w:ascii="Palatino Linotype" w:eastAsia="Palatino Linotype" w:hAnsi="Palatino Linotype" w:cs="Palatino Linotype"/>
          <w:b/>
          <w:bCs/>
        </w:rPr>
        <w:t>veintitrés de febrero al diecisiete de marzo de dos mil veintiséis</w:t>
      </w:r>
      <w:r w:rsidRPr="00B96E00">
        <w:rPr>
          <w:rFonts w:ascii="Palatino Linotype" w:eastAsia="Palatino Linotype" w:hAnsi="Palatino Linotype" w:cs="Palatino Linotype"/>
        </w:rPr>
        <w:t xml:space="preserve">; en consecuencia, presentó su inconformidad el </w:t>
      </w:r>
      <w:r w:rsidRPr="00B96E00">
        <w:rPr>
          <w:rFonts w:ascii="Palatino Linotype" w:eastAsia="Palatino Linotype" w:hAnsi="Palatino Linotype" w:cs="Palatino Linotype"/>
          <w:b/>
          <w:bCs/>
        </w:rPr>
        <w:t>veinticuatro de febrero de dos mil veintiséis</w:t>
      </w:r>
      <w:r w:rsidRPr="00B96E00">
        <w:rPr>
          <w:rFonts w:ascii="Palatino Linotype" w:eastAsia="Palatino Linotype" w:hAnsi="Palatino Linotype" w:cs="Palatino Linotype"/>
        </w:rPr>
        <w:t xml:space="preserve">, por lo que se encuentra dentro de los márgenes temporales previstos en el artículo 178 de la </w:t>
      </w:r>
      <w:r w:rsidRPr="00B96E00">
        <w:rPr>
          <w:rFonts w:ascii="Palatino Linotype" w:eastAsia="Palatino Linotype" w:hAnsi="Palatino Linotype" w:cs="Palatino Linotype"/>
          <w:b/>
          <w:bCs/>
        </w:rPr>
        <w:t xml:space="preserve">Ley de Transparencia y Acceso a la Información Pública del Estado de México y Municipios </w:t>
      </w:r>
      <w:r w:rsidRPr="00B96E00">
        <w:rPr>
          <w:rFonts w:ascii="Palatino Linotype" w:eastAsia="Palatino Linotype" w:hAnsi="Palatino Linotype" w:cs="Palatino Linotype"/>
        </w:rPr>
        <w:t>vigente.</w:t>
      </w:r>
    </w:p>
    <w:p w:rsidR="004F2FE5" w:rsidRPr="00B96E00" w:rsidRDefault="006D286C" w:rsidP="00B96E00">
      <w:pPr>
        <w:numPr>
          <w:ilvl w:val="0"/>
          <w:numId w:val="4"/>
        </w:numPr>
        <w:pBdr>
          <w:top w:val="nil"/>
          <w:left w:val="nil"/>
          <w:bottom w:val="nil"/>
          <w:right w:val="nil"/>
          <w:between w:val="nil"/>
        </w:pBdr>
        <w:tabs>
          <w:tab w:val="left" w:pos="284"/>
          <w:tab w:val="left" w:pos="426"/>
        </w:tabs>
        <w:spacing w:before="240" w:line="360" w:lineRule="auto"/>
        <w:ind w:left="0" w:right="-879" w:firstLine="0"/>
        <w:jc w:val="both"/>
        <w:rPr>
          <w:color w:val="000000"/>
        </w:rPr>
      </w:pPr>
      <w:r w:rsidRPr="00B96E00">
        <w:rPr>
          <w:rFonts w:ascii="Palatino Linotype" w:eastAsia="Palatino Linotype" w:hAnsi="Palatino Linotype" w:cs="Palatino Linotype"/>
          <w:color w:val="000000"/>
        </w:rPr>
        <w:t>Consecuencia de lo anterior, esté Órgano Garante reconoce que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4F2FE5" w:rsidRPr="00B96E00" w:rsidRDefault="004F2FE5" w:rsidP="00B96E00">
      <w:pPr>
        <w:pBdr>
          <w:top w:val="nil"/>
          <w:left w:val="nil"/>
          <w:bottom w:val="nil"/>
          <w:right w:val="nil"/>
          <w:between w:val="nil"/>
        </w:pBdr>
        <w:tabs>
          <w:tab w:val="left" w:pos="284"/>
          <w:tab w:val="left" w:pos="426"/>
        </w:tabs>
        <w:ind w:right="-879"/>
        <w:rPr>
          <w:rFonts w:ascii="Palatino Linotype" w:eastAsia="Palatino Linotype" w:hAnsi="Palatino Linotype" w:cs="Palatino Linotype"/>
          <w:color w:val="000000"/>
        </w:rPr>
      </w:pPr>
    </w:p>
    <w:p w:rsidR="004F2FE5" w:rsidRPr="00B96E00" w:rsidRDefault="006D286C" w:rsidP="00B96E00">
      <w:pPr>
        <w:pStyle w:val="Ttulo1"/>
        <w:tabs>
          <w:tab w:val="left" w:pos="284"/>
          <w:tab w:val="left" w:pos="426"/>
        </w:tabs>
        <w:spacing w:line="360" w:lineRule="auto"/>
        <w:ind w:right="-879"/>
        <w:rPr>
          <w:rFonts w:ascii="Palatino Linotype" w:eastAsia="Palatino Linotype" w:hAnsi="Palatino Linotype" w:cs="Palatino Linotype"/>
          <w:b/>
          <w:bCs/>
          <w:color w:val="000000"/>
          <w:sz w:val="24"/>
          <w:szCs w:val="24"/>
        </w:rPr>
      </w:pPr>
      <w:bookmarkStart w:id="5" w:name="_heading=h.l766s1jn0xz5" w:colFirst="0" w:colLast="0"/>
      <w:bookmarkEnd w:id="5"/>
      <w:r w:rsidRPr="00B96E00">
        <w:rPr>
          <w:rFonts w:ascii="Palatino Linotype" w:eastAsia="Palatino Linotype" w:hAnsi="Palatino Linotype" w:cs="Palatino Linotype"/>
          <w:b/>
          <w:bCs/>
          <w:color w:val="000000"/>
          <w:sz w:val="24"/>
          <w:szCs w:val="24"/>
        </w:rPr>
        <w:lastRenderedPageBreak/>
        <w:t>TERCERO. De las causales del sobreseimiento.</w:t>
      </w:r>
    </w:p>
    <w:p w:rsidR="004F2FE5" w:rsidRPr="00B96E00" w:rsidRDefault="006D286C" w:rsidP="00B96E00">
      <w:pPr>
        <w:numPr>
          <w:ilvl w:val="0"/>
          <w:numId w:val="4"/>
        </w:numPr>
        <w:pBdr>
          <w:top w:val="nil"/>
          <w:left w:val="nil"/>
          <w:bottom w:val="nil"/>
          <w:right w:val="nil"/>
          <w:between w:val="nil"/>
        </w:pBdr>
        <w:tabs>
          <w:tab w:val="left" w:pos="284"/>
          <w:tab w:val="left" w:pos="426"/>
        </w:tabs>
        <w:spacing w:before="240" w:line="360" w:lineRule="auto"/>
        <w:ind w:left="0" w:right="-879" w:firstLine="0"/>
        <w:jc w:val="both"/>
        <w:rPr>
          <w:color w:val="000000"/>
        </w:rPr>
      </w:pPr>
      <w:bookmarkStart w:id="6" w:name="_heading=h.porr2bp64jpi" w:colFirst="0" w:colLast="0"/>
      <w:bookmarkEnd w:id="6"/>
      <w:r w:rsidRPr="00B96E00">
        <w:rPr>
          <w:rFonts w:ascii="Palatino Linotype" w:eastAsia="Palatino Linotype" w:hAnsi="Palatino Linotype" w:cs="Palatino Linotype"/>
          <w:color w:val="000000"/>
        </w:rPr>
        <w:t xml:space="preserve">El recurso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w:t>
      </w:r>
      <w:r w:rsidRPr="00B96E00">
        <w:rPr>
          <w:rFonts w:ascii="Palatino Linotype" w:eastAsia="Palatino Linotype" w:hAnsi="Palatino Linotype" w:cs="Palatino Linotype"/>
          <w:b/>
          <w:bCs/>
          <w:color w:val="000000"/>
          <w:u w:val="single"/>
        </w:rPr>
        <w:t>sobreseimiento</w:t>
      </w:r>
      <w:r w:rsidRPr="00B96E00">
        <w:rPr>
          <w:rFonts w:ascii="Palatino Linotype" w:eastAsia="Palatino Linotype" w:hAnsi="Palatino Linotype" w:cs="Palatino Linotype"/>
          <w:color w:val="000000"/>
        </w:rPr>
        <w:t xml:space="preserve">; y, en su caso, ordenar la entrega de la información respecto a la falta de respuesta por parte del </w:t>
      </w:r>
      <w:r w:rsidRPr="00B96E00">
        <w:rPr>
          <w:rFonts w:ascii="Palatino Linotype" w:eastAsia="Palatino Linotype" w:hAnsi="Palatino Linotype" w:cs="Palatino Linotype"/>
          <w:b/>
          <w:bCs/>
          <w:color w:val="000000"/>
        </w:rPr>
        <w:t>SUJETO</w:t>
      </w:r>
      <w:r w:rsidRPr="00B96E00">
        <w:rPr>
          <w:rFonts w:ascii="Palatino Linotype" w:eastAsia="Palatino Linotype" w:hAnsi="Palatino Linotype" w:cs="Palatino Linotype"/>
          <w:color w:val="000000"/>
        </w:rPr>
        <w:t xml:space="preserve"> </w:t>
      </w:r>
      <w:r w:rsidRPr="00B96E00">
        <w:rPr>
          <w:rFonts w:ascii="Palatino Linotype" w:eastAsia="Palatino Linotype" w:hAnsi="Palatino Linotype" w:cs="Palatino Linotype"/>
          <w:b/>
          <w:bCs/>
          <w:color w:val="000000"/>
        </w:rPr>
        <w:t>OBLIGADO</w:t>
      </w:r>
      <w:r w:rsidRPr="00B96E00">
        <w:rPr>
          <w:rFonts w:ascii="Palatino Linotype" w:eastAsia="Palatino Linotype" w:hAnsi="Palatino Linotype" w:cs="Palatino Linotype"/>
          <w:color w:val="000000"/>
        </w:rPr>
        <w:t>.</w:t>
      </w:r>
    </w:p>
    <w:p w:rsidR="004F2FE5" w:rsidRPr="00B96E00" w:rsidRDefault="004F2FE5" w:rsidP="00B96E00">
      <w:pPr>
        <w:pBdr>
          <w:top w:val="nil"/>
          <w:left w:val="nil"/>
          <w:bottom w:val="nil"/>
          <w:right w:val="nil"/>
          <w:between w:val="nil"/>
        </w:pBdr>
        <w:tabs>
          <w:tab w:val="left" w:pos="284"/>
          <w:tab w:val="left" w:pos="426"/>
        </w:tabs>
        <w:spacing w:before="240" w:line="360" w:lineRule="auto"/>
        <w:ind w:right="-879"/>
        <w:jc w:val="both"/>
        <w:rPr>
          <w:color w:val="000000"/>
        </w:rPr>
      </w:pPr>
    </w:p>
    <w:p w:rsidR="004F2FE5" w:rsidRPr="00B96E00" w:rsidRDefault="006D286C" w:rsidP="00B96E00">
      <w:pPr>
        <w:numPr>
          <w:ilvl w:val="0"/>
          <w:numId w:val="4"/>
        </w:numPr>
        <w:pBdr>
          <w:top w:val="nil"/>
          <w:left w:val="nil"/>
          <w:bottom w:val="nil"/>
          <w:right w:val="nil"/>
          <w:between w:val="nil"/>
        </w:pBdr>
        <w:tabs>
          <w:tab w:val="left" w:pos="284"/>
          <w:tab w:val="left" w:pos="426"/>
        </w:tabs>
        <w:spacing w:line="360" w:lineRule="auto"/>
        <w:ind w:left="0" w:right="-879" w:firstLine="0"/>
        <w:jc w:val="both"/>
        <w:rPr>
          <w:color w:val="000000"/>
        </w:rPr>
      </w:pPr>
      <w:bookmarkStart w:id="7" w:name="_heading=h.9wkc87yt7736" w:colFirst="0" w:colLast="0"/>
      <w:bookmarkEnd w:id="7"/>
      <w:r w:rsidRPr="00B96E00">
        <w:rPr>
          <w:rFonts w:ascii="Palatino Linotype" w:eastAsia="Palatino Linotype" w:hAnsi="Palatino Linotype" w:cs="Palatino Linotype"/>
          <w:color w:val="000000"/>
        </w:rPr>
        <w:t xml:space="preserve">Cabe destacar que el motivo de inconformidad del </w:t>
      </w:r>
      <w:r w:rsidRPr="00B96E00">
        <w:rPr>
          <w:rFonts w:ascii="Palatino Linotype" w:eastAsia="Palatino Linotype" w:hAnsi="Palatino Linotype" w:cs="Palatino Linotype"/>
          <w:b/>
          <w:bCs/>
          <w:color w:val="000000"/>
        </w:rPr>
        <w:t>RECURRENTE</w:t>
      </w:r>
      <w:r w:rsidRPr="00B96E00">
        <w:rPr>
          <w:rFonts w:ascii="Palatino Linotype" w:eastAsia="Palatino Linotype" w:hAnsi="Palatino Linotype" w:cs="Palatino Linotype"/>
          <w:color w:val="000000"/>
        </w:rPr>
        <w:t xml:space="preserve"> sobre el cobro para la entrega de información, actualiza la causal de improcedencia contenida en la fracción X, del artículo 179, de la Ley de Transparencia y Acceso a la Información Pública del Estado de México y Municipios, por lo que este Órgano Garante estaría en la posibilidad de analizar  el presente asunto; sin embargo, será </w:t>
      </w:r>
      <w:r w:rsidRPr="00B96E00">
        <w:rPr>
          <w:rFonts w:ascii="Palatino Linotype" w:eastAsia="Palatino Linotype" w:hAnsi="Palatino Linotype" w:cs="Palatino Linotype"/>
        </w:rPr>
        <w:t>eminentemente</w:t>
      </w:r>
      <w:r w:rsidRPr="00B96E00">
        <w:t xml:space="preserve"> </w:t>
      </w:r>
      <w:r w:rsidRPr="00B96E00">
        <w:rPr>
          <w:rFonts w:ascii="Palatino Linotype" w:eastAsia="Palatino Linotype" w:hAnsi="Palatino Linotype" w:cs="Palatino Linotype"/>
          <w:color w:val="000000"/>
        </w:rPr>
        <w:t xml:space="preserve">excusado el ingreso al estudio y análisis de la controversia en consecuencia de que, como quedara establecido, el particular, por propio derecho, </w:t>
      </w:r>
      <w:r w:rsidRPr="00B96E00">
        <w:rPr>
          <w:rFonts w:ascii="Palatino Linotype" w:eastAsia="Palatino Linotype" w:hAnsi="Palatino Linotype" w:cs="Palatino Linotype"/>
          <w:b/>
          <w:bCs/>
          <w:color w:val="000000"/>
        </w:rPr>
        <w:t>se desistió del recurso de revisión</w:t>
      </w:r>
      <w:r w:rsidRPr="00B96E00">
        <w:rPr>
          <w:rFonts w:ascii="Palatino Linotype" w:eastAsia="Palatino Linotype" w:hAnsi="Palatino Linotype" w:cs="Palatino Linotype"/>
          <w:color w:val="000000"/>
        </w:rPr>
        <w:t xml:space="preserve"> que nos ocupa, vía </w:t>
      </w:r>
      <w:r w:rsidRPr="00B96E00">
        <w:rPr>
          <w:rFonts w:ascii="Palatino Linotype" w:eastAsia="Palatino Linotype" w:hAnsi="Palatino Linotype" w:cs="Palatino Linotype"/>
          <w:i/>
          <w:iCs/>
          <w:color w:val="000000"/>
        </w:rPr>
        <w:t>SAIMEX</w:t>
      </w:r>
      <w:r w:rsidRPr="00B96E00">
        <w:rPr>
          <w:rFonts w:ascii="Palatino Linotype" w:eastAsia="Palatino Linotype" w:hAnsi="Palatino Linotype" w:cs="Palatino Linotype"/>
          <w:color w:val="000000"/>
        </w:rPr>
        <w:t>, el dieciséis de junio de dos mil veintiséis, como se ilustra a continuación:</w:t>
      </w:r>
    </w:p>
    <w:p w:rsidR="004F2FE5" w:rsidRPr="00B96E00" w:rsidRDefault="004F2FE5" w:rsidP="00B96E00">
      <w:pPr>
        <w:pBdr>
          <w:top w:val="nil"/>
          <w:left w:val="nil"/>
          <w:bottom w:val="nil"/>
          <w:right w:val="nil"/>
          <w:between w:val="nil"/>
        </w:pBdr>
        <w:tabs>
          <w:tab w:val="left" w:pos="284"/>
          <w:tab w:val="left" w:pos="426"/>
        </w:tabs>
        <w:spacing w:line="360" w:lineRule="auto"/>
        <w:ind w:right="-879"/>
        <w:jc w:val="both"/>
        <w:rPr>
          <w:color w:val="000000"/>
        </w:rPr>
      </w:pPr>
    </w:p>
    <w:p w:rsidR="004F2FE5" w:rsidRPr="00B96E00" w:rsidRDefault="006D286C" w:rsidP="00B96E00">
      <w:pPr>
        <w:pBdr>
          <w:top w:val="nil"/>
          <w:left w:val="nil"/>
          <w:bottom w:val="nil"/>
          <w:right w:val="nil"/>
          <w:between w:val="nil"/>
        </w:pBdr>
        <w:tabs>
          <w:tab w:val="left" w:pos="284"/>
          <w:tab w:val="left" w:pos="426"/>
        </w:tabs>
        <w:spacing w:line="360" w:lineRule="auto"/>
        <w:ind w:right="-879"/>
        <w:jc w:val="both"/>
        <w:rPr>
          <w:rFonts w:ascii="Palatino Linotype" w:eastAsia="Palatino Linotype" w:hAnsi="Palatino Linotype" w:cs="Palatino Linotype"/>
          <w:color w:val="000000"/>
        </w:rPr>
      </w:pPr>
      <w:r w:rsidRPr="00B96E00">
        <w:rPr>
          <w:rFonts w:ascii="Palatino Linotype" w:eastAsia="Palatino Linotype" w:hAnsi="Palatino Linotype" w:cs="Palatino Linotype"/>
          <w:noProof/>
          <w:color w:val="000000"/>
        </w:rPr>
        <w:lastRenderedPageBreak/>
        <w:drawing>
          <wp:inline distT="0" distB="0" distL="0" distR="0">
            <wp:extent cx="5742940" cy="348678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42940" cy="3486785"/>
                    </a:xfrm>
                    <a:prstGeom prst="rect">
                      <a:avLst/>
                    </a:prstGeom>
                    <a:ln/>
                  </pic:spPr>
                </pic:pic>
              </a:graphicData>
            </a:graphic>
          </wp:inline>
        </w:drawing>
      </w:r>
      <w:r w:rsidRPr="00B96E00">
        <w:rPr>
          <w:noProof/>
        </w:rPr>
        <mc:AlternateContent>
          <mc:Choice Requires="wpg">
            <w:drawing>
              <wp:anchor distT="0" distB="0" distL="114300" distR="114300" simplePos="0" relativeHeight="251658240" behindDoc="0" locked="0" layoutInCell="1" hidden="0" allowOverlap="1">
                <wp:simplePos x="0" y="0"/>
                <wp:positionH relativeFrom="column">
                  <wp:posOffset>-39189</wp:posOffset>
                </wp:positionH>
                <wp:positionV relativeFrom="paragraph">
                  <wp:posOffset>2933631</wp:posOffset>
                </wp:positionV>
                <wp:extent cx="6158782" cy="473599"/>
                <wp:effectExtent l="0" t="0" r="0" b="0"/>
                <wp:wrapNone/>
                <wp:docPr id="1" name="Rectángulo 1"/>
                <wp:cNvGraphicFramePr/>
                <a:graphic xmlns:a="http://schemas.openxmlformats.org/drawingml/2006/main">
                  <a:graphicData uri="http://schemas.microsoft.com/office/word/2010/wordprocessingShape">
                    <wps:wsp>
                      <wps:cNvSpPr/>
                      <wps:spPr>
                        <a:xfrm>
                          <a:off x="2309472" y="3586063"/>
                          <a:ext cx="6073057" cy="387874"/>
                        </a:xfrm>
                        <a:prstGeom prst="rect">
                          <a:avLst/>
                        </a:prstGeom>
                        <a:noFill/>
                        <a:ln w="85725" cap="flat" cmpd="sng">
                          <a:solidFill>
                            <a:srgbClr val="FF0000"/>
                          </a:solidFill>
                          <a:prstDash val="solid"/>
                          <a:round/>
                          <a:headEnd type="none" w="sm" len="sm"/>
                          <a:tailEnd type="none" w="sm" len="sm"/>
                        </a:ln>
                      </wps:spPr>
                      <wps:txbx>
                        <w:txbxContent>
                          <w:p w:rsidR="004F2FE5" w:rsidRDefault="004F2FE5">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-39189</wp:posOffset>
                </wp:positionH>
                <wp:positionV relativeFrom="paragraph">
                  <wp:posOffset>2933631</wp:posOffset>
                </wp:positionV>
                <wp:extent cx="6158782" cy="473599"/>
                <wp:effectExtent b="0" l="0" r="0" t="0"/>
                <wp:wrapNone/>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6158782" cy="473599"/>
                        </a:xfrm>
                        <a:prstGeom prst="rect"/>
                        <a:ln/>
                      </pic:spPr>
                    </pic:pic>
                  </a:graphicData>
                </a:graphic>
              </wp:anchor>
            </w:drawing>
          </mc:Fallback>
        </mc:AlternateContent>
      </w:r>
    </w:p>
    <w:p w:rsidR="004F2FE5" w:rsidRPr="00B96E00" w:rsidRDefault="004F2FE5" w:rsidP="00B96E00">
      <w:pPr>
        <w:pBdr>
          <w:top w:val="nil"/>
          <w:left w:val="nil"/>
          <w:bottom w:val="nil"/>
          <w:right w:val="nil"/>
          <w:between w:val="nil"/>
        </w:pBdr>
        <w:tabs>
          <w:tab w:val="left" w:pos="284"/>
          <w:tab w:val="left" w:pos="426"/>
        </w:tabs>
        <w:spacing w:line="360" w:lineRule="auto"/>
        <w:ind w:right="-879"/>
        <w:jc w:val="both"/>
        <w:rPr>
          <w:rFonts w:ascii="Palatino Linotype" w:eastAsia="Palatino Linotype" w:hAnsi="Palatino Linotype" w:cs="Palatino Linotype"/>
          <w:color w:val="000000"/>
        </w:rPr>
      </w:pPr>
    </w:p>
    <w:p w:rsidR="004F2FE5" w:rsidRPr="00B96E00" w:rsidRDefault="006D286C" w:rsidP="00B96E00">
      <w:pPr>
        <w:numPr>
          <w:ilvl w:val="0"/>
          <w:numId w:val="4"/>
        </w:numPr>
        <w:pBdr>
          <w:top w:val="nil"/>
          <w:left w:val="nil"/>
          <w:bottom w:val="nil"/>
          <w:right w:val="nil"/>
          <w:between w:val="nil"/>
        </w:pBdr>
        <w:tabs>
          <w:tab w:val="left" w:pos="284"/>
          <w:tab w:val="left" w:pos="426"/>
        </w:tabs>
        <w:spacing w:line="360" w:lineRule="auto"/>
        <w:ind w:left="0" w:right="-879" w:firstLine="0"/>
        <w:jc w:val="both"/>
        <w:rPr>
          <w:color w:val="000000"/>
        </w:rPr>
      </w:pPr>
      <w:r w:rsidRPr="00B96E00">
        <w:rPr>
          <w:rFonts w:ascii="Palatino Linotype" w:eastAsia="Palatino Linotype" w:hAnsi="Palatino Linotype" w:cs="Palatino Linotype"/>
          <w:color w:val="000000"/>
        </w:rPr>
        <w:t xml:space="preserve">De las imágenes, se advierte que efectivamente el particular hizo uso de la opción </w:t>
      </w:r>
      <w:r w:rsidRPr="00B96E00">
        <w:rPr>
          <w:rFonts w:ascii="Palatino Linotype" w:eastAsia="Palatino Linotype" w:hAnsi="Palatino Linotype" w:cs="Palatino Linotype"/>
          <w:b/>
          <w:bCs/>
          <w:i/>
          <w:iCs/>
          <w:color w:val="000000"/>
        </w:rPr>
        <w:t>“Desistir”</w:t>
      </w:r>
      <w:r w:rsidRPr="00B96E00">
        <w:rPr>
          <w:rFonts w:ascii="Palatino Linotype" w:eastAsia="Palatino Linotype" w:hAnsi="Palatino Linotype" w:cs="Palatino Linotype"/>
          <w:color w:val="000000"/>
        </w:rPr>
        <w:t xml:space="preserve"> al recurso de revisión en el propio </w:t>
      </w:r>
      <w:r w:rsidRPr="00B96E00">
        <w:rPr>
          <w:rFonts w:ascii="Palatino Linotype" w:eastAsia="Palatino Linotype" w:hAnsi="Palatino Linotype" w:cs="Palatino Linotype"/>
          <w:i/>
          <w:iCs/>
          <w:color w:val="000000"/>
        </w:rPr>
        <w:t>SAIMEX</w:t>
      </w:r>
      <w:r w:rsidRPr="00B96E00">
        <w:rPr>
          <w:rFonts w:ascii="Palatino Linotype" w:eastAsia="Palatino Linotype" w:hAnsi="Palatino Linotype" w:cs="Palatino Linotype"/>
          <w:color w:val="000000"/>
        </w:rPr>
        <w:t xml:space="preserve">, opción que </w:t>
      </w:r>
      <w:r w:rsidRPr="00B96E00">
        <w:rPr>
          <w:rFonts w:ascii="Palatino Linotype" w:eastAsia="Palatino Linotype" w:hAnsi="Palatino Linotype" w:cs="Palatino Linotype"/>
          <w:b/>
          <w:bCs/>
          <w:color w:val="000000"/>
        </w:rPr>
        <w:t>únicamente</w:t>
      </w:r>
      <w:r w:rsidRPr="00B96E00">
        <w:rPr>
          <w:rFonts w:ascii="Palatino Linotype" w:eastAsia="Palatino Linotype" w:hAnsi="Palatino Linotype" w:cs="Palatino Linotype"/>
          <w:color w:val="000000"/>
        </w:rPr>
        <w:t xml:space="preserve"> puede hacer uso el usuario dueño de la cuenta, previo ingreso de su nombre de usuario y contraseña; así las cosas, cabe resaltar de igual manera que, al seleccionar la opción de </w:t>
      </w:r>
      <w:r w:rsidRPr="00B96E00">
        <w:rPr>
          <w:rFonts w:ascii="Palatino Linotype" w:eastAsia="Palatino Linotype" w:hAnsi="Palatino Linotype" w:cs="Palatino Linotype"/>
          <w:b/>
          <w:bCs/>
          <w:color w:val="000000"/>
        </w:rPr>
        <w:t>desistimiento</w:t>
      </w:r>
      <w:r w:rsidRPr="00B96E00">
        <w:rPr>
          <w:rFonts w:ascii="Palatino Linotype" w:eastAsia="Palatino Linotype" w:hAnsi="Palatino Linotype" w:cs="Palatino Linotype"/>
          <w:color w:val="000000"/>
        </w:rPr>
        <w:t xml:space="preserve">, aparece al usuario una ventana de alerta con el objeto de que confirme que efectivamente es su deseo </w:t>
      </w:r>
      <w:r w:rsidRPr="00B96E00">
        <w:rPr>
          <w:rFonts w:ascii="Palatino Linotype" w:eastAsia="Palatino Linotype" w:hAnsi="Palatino Linotype" w:cs="Palatino Linotype"/>
          <w:b/>
          <w:bCs/>
          <w:color w:val="000000"/>
        </w:rPr>
        <w:t>desistirse</w:t>
      </w:r>
      <w:r w:rsidRPr="00B96E00">
        <w:rPr>
          <w:rFonts w:ascii="Palatino Linotype" w:eastAsia="Palatino Linotype" w:hAnsi="Palatino Linotype" w:cs="Palatino Linotype"/>
          <w:color w:val="000000"/>
        </w:rPr>
        <w:t xml:space="preserve"> del recurso; </w:t>
      </w:r>
      <w:r w:rsidRPr="00B96E00">
        <w:rPr>
          <w:rFonts w:ascii="Palatino Linotype" w:eastAsia="Palatino Linotype" w:hAnsi="Palatino Linotype" w:cs="Palatino Linotype"/>
          <w:b/>
          <w:bCs/>
          <w:color w:val="000000"/>
        </w:rPr>
        <w:t>luego entonces no es factible suponer que fue por error involuntario, lo que se constituye como un desistimiento expreso</w:t>
      </w:r>
      <w:r w:rsidRPr="00B96E00">
        <w:rPr>
          <w:rFonts w:ascii="Palatino Linotype" w:eastAsia="Palatino Linotype" w:hAnsi="Palatino Linotype" w:cs="Palatino Linotype"/>
          <w:color w:val="000000"/>
        </w:rPr>
        <w:t>.</w:t>
      </w:r>
    </w:p>
    <w:p w:rsidR="004F2FE5" w:rsidRPr="00B96E00" w:rsidRDefault="004F2FE5" w:rsidP="00B96E00">
      <w:pPr>
        <w:pBdr>
          <w:top w:val="nil"/>
          <w:left w:val="nil"/>
          <w:bottom w:val="nil"/>
          <w:right w:val="nil"/>
          <w:between w:val="nil"/>
        </w:pBdr>
        <w:tabs>
          <w:tab w:val="left" w:pos="426"/>
        </w:tabs>
        <w:spacing w:line="360" w:lineRule="auto"/>
        <w:ind w:right="-879"/>
        <w:jc w:val="both"/>
        <w:rPr>
          <w:rFonts w:ascii="Palatino Linotype" w:eastAsia="Palatino Linotype" w:hAnsi="Palatino Linotype" w:cs="Palatino Linotype"/>
          <w:color w:val="000000"/>
        </w:rPr>
      </w:pPr>
    </w:p>
    <w:p w:rsidR="004F2FE5" w:rsidRPr="00B96E00" w:rsidRDefault="006D286C" w:rsidP="00B96E00">
      <w:pPr>
        <w:numPr>
          <w:ilvl w:val="0"/>
          <w:numId w:val="4"/>
        </w:numPr>
        <w:pBdr>
          <w:top w:val="nil"/>
          <w:left w:val="nil"/>
          <w:bottom w:val="nil"/>
          <w:right w:val="nil"/>
          <w:between w:val="nil"/>
        </w:pBdr>
        <w:tabs>
          <w:tab w:val="left" w:pos="284"/>
          <w:tab w:val="left" w:pos="426"/>
        </w:tabs>
        <w:spacing w:line="360" w:lineRule="auto"/>
        <w:ind w:left="0" w:right="-879" w:firstLine="0"/>
        <w:jc w:val="both"/>
        <w:rPr>
          <w:color w:val="000000"/>
        </w:rPr>
      </w:pPr>
      <w:r w:rsidRPr="00B96E00">
        <w:rPr>
          <w:rFonts w:ascii="Palatino Linotype" w:eastAsia="Palatino Linotype" w:hAnsi="Palatino Linotype" w:cs="Palatino Linotype"/>
          <w:color w:val="000000"/>
        </w:rPr>
        <w:t xml:space="preserve">En ese orden de ideas el </w:t>
      </w:r>
      <w:r w:rsidRPr="00B96E00">
        <w:rPr>
          <w:rFonts w:ascii="Palatino Linotype" w:eastAsia="Palatino Linotype" w:hAnsi="Palatino Linotype" w:cs="Palatino Linotype"/>
        </w:rPr>
        <w:t>artículo</w:t>
      </w:r>
      <w:r w:rsidRPr="00B96E00">
        <w:t xml:space="preserve"> </w:t>
      </w:r>
      <w:r w:rsidRPr="00B96E00">
        <w:rPr>
          <w:rFonts w:ascii="Palatino Linotype" w:eastAsia="Palatino Linotype" w:hAnsi="Palatino Linotype" w:cs="Palatino Linotype"/>
          <w:color w:val="000000"/>
        </w:rPr>
        <w:t>192</w:t>
      </w:r>
      <w:r w:rsidRPr="00B96E00">
        <w:rPr>
          <w:rFonts w:ascii="Century Gothic" w:eastAsia="Century Gothic" w:hAnsi="Century Gothic" w:cs="Century Gothic"/>
          <w:color w:val="000000"/>
        </w:rPr>
        <w:t xml:space="preserve"> </w:t>
      </w:r>
      <w:r w:rsidRPr="00B96E00">
        <w:rPr>
          <w:rFonts w:ascii="Palatino Linotype" w:eastAsia="Palatino Linotype" w:hAnsi="Palatino Linotype" w:cs="Palatino Linotype"/>
          <w:color w:val="000000"/>
        </w:rPr>
        <w:t>Ley de Transparencia y Acceso a la Información Pública del Estado de México y Municipios, establece lo siguiente:</w:t>
      </w:r>
    </w:p>
    <w:p w:rsidR="004F2FE5" w:rsidRPr="00B96E00" w:rsidRDefault="006D286C" w:rsidP="00B96E00">
      <w:pPr>
        <w:pBdr>
          <w:top w:val="nil"/>
          <w:left w:val="nil"/>
          <w:bottom w:val="nil"/>
          <w:right w:val="nil"/>
          <w:between w:val="nil"/>
        </w:pBdr>
        <w:spacing w:line="360" w:lineRule="auto"/>
        <w:ind w:left="851" w:right="-879"/>
        <w:jc w:val="both"/>
        <w:rPr>
          <w:rFonts w:ascii="Palatino Linotype" w:eastAsia="Palatino Linotype" w:hAnsi="Palatino Linotype" w:cs="Palatino Linotype"/>
          <w:i/>
          <w:iCs/>
          <w:color w:val="000000"/>
        </w:rPr>
      </w:pPr>
      <w:r w:rsidRPr="00B96E00">
        <w:rPr>
          <w:rFonts w:ascii="Palatino Linotype" w:eastAsia="Palatino Linotype" w:hAnsi="Palatino Linotype" w:cs="Palatino Linotype"/>
          <w:i/>
          <w:iCs/>
          <w:color w:val="000000"/>
        </w:rPr>
        <w:t>“</w:t>
      </w:r>
      <w:r w:rsidRPr="00B96E00">
        <w:rPr>
          <w:rFonts w:ascii="Palatino Linotype" w:eastAsia="Palatino Linotype" w:hAnsi="Palatino Linotype" w:cs="Palatino Linotype"/>
          <w:b/>
          <w:bCs/>
          <w:i/>
          <w:iCs/>
          <w:color w:val="000000"/>
        </w:rPr>
        <w:t>Artículo 192.</w:t>
      </w:r>
      <w:r w:rsidRPr="00B96E00">
        <w:rPr>
          <w:rFonts w:ascii="Palatino Linotype" w:eastAsia="Palatino Linotype" w:hAnsi="Palatino Linotype" w:cs="Palatino Linotype"/>
          <w:i/>
          <w:iCs/>
          <w:color w:val="000000"/>
        </w:rPr>
        <w:t xml:space="preserve"> El </w:t>
      </w:r>
      <w:r w:rsidRPr="00B96E00">
        <w:rPr>
          <w:rFonts w:ascii="Palatino Linotype" w:eastAsia="Palatino Linotype" w:hAnsi="Palatino Linotype" w:cs="Palatino Linotype"/>
          <w:b/>
          <w:bCs/>
          <w:i/>
          <w:iCs/>
          <w:color w:val="000000"/>
        </w:rPr>
        <w:t>recurso será sobreseído</w:t>
      </w:r>
      <w:r w:rsidRPr="00B96E00">
        <w:rPr>
          <w:rFonts w:ascii="Palatino Linotype" w:eastAsia="Palatino Linotype" w:hAnsi="Palatino Linotype" w:cs="Palatino Linotype"/>
          <w:i/>
          <w:iCs/>
          <w:color w:val="000000"/>
        </w:rPr>
        <w:t>, en todo o en parte, cuando una vez admitido, se actualicen alguno de los siguientes supuestos:</w:t>
      </w:r>
    </w:p>
    <w:p w:rsidR="004F2FE5" w:rsidRPr="00B96E00" w:rsidRDefault="006D286C" w:rsidP="00B96E00">
      <w:pPr>
        <w:pBdr>
          <w:top w:val="nil"/>
          <w:left w:val="nil"/>
          <w:bottom w:val="nil"/>
          <w:right w:val="nil"/>
          <w:between w:val="nil"/>
        </w:pBdr>
        <w:spacing w:line="360" w:lineRule="auto"/>
        <w:ind w:left="851" w:right="-879"/>
        <w:jc w:val="both"/>
        <w:rPr>
          <w:rFonts w:ascii="Palatino Linotype" w:eastAsia="Palatino Linotype" w:hAnsi="Palatino Linotype" w:cs="Palatino Linotype"/>
          <w:b/>
          <w:bCs/>
          <w:i/>
          <w:iCs/>
          <w:color w:val="000000"/>
        </w:rPr>
      </w:pPr>
      <w:r w:rsidRPr="00B96E00">
        <w:rPr>
          <w:rFonts w:ascii="Palatino Linotype" w:eastAsia="Palatino Linotype" w:hAnsi="Palatino Linotype" w:cs="Palatino Linotype"/>
          <w:b/>
          <w:bCs/>
          <w:i/>
          <w:iCs/>
          <w:color w:val="000000"/>
        </w:rPr>
        <w:lastRenderedPageBreak/>
        <w:t>I. El recurrente se desista expresamente del recurso;</w:t>
      </w:r>
    </w:p>
    <w:p w:rsidR="004F2FE5" w:rsidRDefault="006D286C" w:rsidP="00B96E00">
      <w:pPr>
        <w:pBdr>
          <w:top w:val="nil"/>
          <w:left w:val="nil"/>
          <w:bottom w:val="nil"/>
          <w:right w:val="nil"/>
          <w:between w:val="nil"/>
        </w:pBdr>
        <w:spacing w:line="360" w:lineRule="auto"/>
        <w:ind w:left="851" w:right="-879"/>
        <w:jc w:val="both"/>
        <w:rPr>
          <w:rFonts w:ascii="Palatino Linotype" w:eastAsia="Palatino Linotype" w:hAnsi="Palatino Linotype" w:cs="Palatino Linotype"/>
          <w:i/>
          <w:iCs/>
          <w:color w:val="000000"/>
        </w:rPr>
      </w:pPr>
      <w:r w:rsidRPr="00B96E00">
        <w:rPr>
          <w:rFonts w:ascii="Palatino Linotype" w:eastAsia="Palatino Linotype" w:hAnsi="Palatino Linotype" w:cs="Palatino Linotype"/>
          <w:i/>
          <w:iCs/>
          <w:color w:val="000000"/>
        </w:rPr>
        <w:t>(…)”</w:t>
      </w:r>
    </w:p>
    <w:p w:rsidR="005A4799" w:rsidRPr="00B96E00" w:rsidRDefault="005A4799" w:rsidP="00B96E00">
      <w:pPr>
        <w:pBdr>
          <w:top w:val="nil"/>
          <w:left w:val="nil"/>
          <w:bottom w:val="nil"/>
          <w:right w:val="nil"/>
          <w:between w:val="nil"/>
        </w:pBdr>
        <w:spacing w:line="360" w:lineRule="auto"/>
        <w:ind w:left="851" w:right="-879"/>
        <w:jc w:val="both"/>
        <w:rPr>
          <w:rFonts w:ascii="Palatino Linotype" w:eastAsia="Palatino Linotype" w:hAnsi="Palatino Linotype" w:cs="Palatino Linotype"/>
          <w:i/>
          <w:iCs/>
          <w:color w:val="000000"/>
        </w:rPr>
      </w:pPr>
    </w:p>
    <w:p w:rsidR="004F2FE5" w:rsidRPr="00B96E00" w:rsidRDefault="006D286C" w:rsidP="00B96E00">
      <w:pPr>
        <w:numPr>
          <w:ilvl w:val="0"/>
          <w:numId w:val="4"/>
        </w:numPr>
        <w:pBdr>
          <w:top w:val="nil"/>
          <w:left w:val="nil"/>
          <w:bottom w:val="nil"/>
          <w:right w:val="nil"/>
          <w:between w:val="nil"/>
        </w:pBdr>
        <w:tabs>
          <w:tab w:val="left" w:pos="284"/>
          <w:tab w:val="left" w:pos="426"/>
        </w:tabs>
        <w:spacing w:after="240" w:line="360" w:lineRule="auto"/>
        <w:ind w:left="0" w:right="-879" w:firstLine="0"/>
        <w:jc w:val="both"/>
        <w:rPr>
          <w:color w:val="000000"/>
        </w:rPr>
      </w:pPr>
      <w:r w:rsidRPr="00B96E00">
        <w:rPr>
          <w:rFonts w:ascii="Palatino Linotype" w:eastAsia="Palatino Linotype" w:hAnsi="Palatino Linotype" w:cs="Palatino Linotype"/>
          <w:color w:val="000000"/>
        </w:rPr>
        <w:t>Robustece lo anterior la tesis aislada I.15o.T.2 K (10a.), del Décimo Quinto Tribunal Colegia</w:t>
      </w:r>
      <w:bookmarkStart w:id="8" w:name="_GoBack"/>
      <w:bookmarkEnd w:id="8"/>
      <w:r w:rsidRPr="00B96E00">
        <w:rPr>
          <w:rFonts w:ascii="Palatino Linotype" w:eastAsia="Palatino Linotype" w:hAnsi="Palatino Linotype" w:cs="Palatino Linotype"/>
          <w:color w:val="000000"/>
        </w:rPr>
        <w:t>do en Materia de Trabajo del Primer Circuito, misma que se anexa a continuación:</w:t>
      </w:r>
    </w:p>
    <w:p w:rsidR="004F2FE5" w:rsidRPr="00B96E00" w:rsidRDefault="006D286C" w:rsidP="00B96E00">
      <w:pPr>
        <w:pBdr>
          <w:top w:val="nil"/>
          <w:left w:val="nil"/>
          <w:bottom w:val="nil"/>
          <w:right w:val="nil"/>
          <w:between w:val="nil"/>
        </w:pBdr>
        <w:spacing w:line="360" w:lineRule="auto"/>
        <w:ind w:left="567" w:right="-879"/>
        <w:jc w:val="both"/>
        <w:rPr>
          <w:rFonts w:ascii="Palatino Linotype" w:eastAsia="Palatino Linotype" w:hAnsi="Palatino Linotype" w:cs="Palatino Linotype"/>
          <w:i/>
          <w:iCs/>
          <w:color w:val="000000"/>
        </w:rPr>
      </w:pPr>
      <w:r w:rsidRPr="00B96E00">
        <w:rPr>
          <w:rFonts w:ascii="Palatino Linotype" w:eastAsia="Palatino Linotype" w:hAnsi="Palatino Linotype" w:cs="Palatino Linotype"/>
          <w:b/>
          <w:bCs/>
          <w:i/>
          <w:iCs/>
          <w:color w:val="000000"/>
        </w:rPr>
        <w:t>DESISTIMIENTO DEL RECURSO DE REVISIÓN EN AMPARO INDIRECTO. ES INNECESARIO QUE SE RATIFIQUE EL ESCRITO CORRESPONDIENTE, CUANDO SU REQUERIMIENTO SE NOTIFICÓ PERSONALMENTE.</w:t>
      </w:r>
      <w:r w:rsidRPr="00B96E00">
        <w:rPr>
          <w:rFonts w:ascii="Palatino Linotype" w:eastAsia="Palatino Linotype" w:hAnsi="Palatino Linotype" w:cs="Palatino Linotype"/>
          <w:i/>
          <w:iCs/>
          <w:color w:val="000000"/>
        </w:rPr>
        <w:t xml:space="preserve"> “Si el quejoso en un juicio de amparo indirecto interpone recurso de revisión contra la sentencia dictada por el Juez de Distrito y una vez que el asunto se encuentra radicado ante el Tribunal Colegiado de Circuito competente, se desiste de dicho medio de defensa, es innecesario que ratifique el escrito relativo ante el órgano revisor, siempre y cuando el requerimiento en que se solicitó su presencia a efecto de que lo ratifique, se haya notificado personalmente, pues con ello se cumplió el artículo 26, fracción I, inciso d), de la Ley de Amparo; por lo que si no acudió a ratificar el citado escrito, su voluntad de desistir del recurso interpuesto debe seguir prevaleciendo, pues sólo tiene como consecuencia la firmeza de la sentencia impugnada, máxime si se le apercibió con tenerlo por ratificado en caso de no acudir; además, esa circunstancia no soslaya el artículo 63, fracción I, de la citada ley, toda vez que esa disposición se refiere a la hipótesis en que el quejoso se desiste de la demanda de amparo, entendiéndose tal aspecto como el desistimiento de la acción que originó el juicio constitucional, lo cual conduce a decretar el sobreseimiento.”</w:t>
      </w:r>
    </w:p>
    <w:p w:rsidR="004F2FE5" w:rsidRPr="00B96E00" w:rsidRDefault="006D286C" w:rsidP="00B96E00">
      <w:pPr>
        <w:numPr>
          <w:ilvl w:val="0"/>
          <w:numId w:val="4"/>
        </w:numPr>
        <w:pBdr>
          <w:top w:val="nil"/>
          <w:left w:val="nil"/>
          <w:bottom w:val="nil"/>
          <w:right w:val="nil"/>
          <w:between w:val="nil"/>
        </w:pBdr>
        <w:tabs>
          <w:tab w:val="left" w:pos="284"/>
          <w:tab w:val="left" w:pos="426"/>
        </w:tabs>
        <w:spacing w:before="240" w:line="360" w:lineRule="auto"/>
        <w:ind w:left="0" w:right="-879" w:firstLine="0"/>
        <w:jc w:val="both"/>
        <w:rPr>
          <w:color w:val="000000"/>
        </w:rPr>
      </w:pPr>
      <w:r w:rsidRPr="00B96E00">
        <w:rPr>
          <w:rFonts w:ascii="Palatino Linotype" w:eastAsia="Palatino Linotype" w:hAnsi="Palatino Linotype" w:cs="Palatino Linotype"/>
          <w:color w:val="000000"/>
        </w:rPr>
        <w:t xml:space="preserve">Por consiguiente, al existir un desistimiento expreso por parte del </w:t>
      </w:r>
      <w:r w:rsidRPr="00B96E00">
        <w:rPr>
          <w:rFonts w:ascii="Palatino Linotype" w:eastAsia="Palatino Linotype" w:hAnsi="Palatino Linotype" w:cs="Palatino Linotype"/>
          <w:b/>
          <w:bCs/>
          <w:color w:val="000000"/>
        </w:rPr>
        <w:t>RECURRENTE</w:t>
      </w:r>
      <w:r w:rsidRPr="00B96E00">
        <w:rPr>
          <w:rFonts w:ascii="Palatino Linotype" w:eastAsia="Palatino Linotype" w:hAnsi="Palatino Linotype" w:cs="Palatino Linotype"/>
          <w:color w:val="000000"/>
        </w:rPr>
        <w:t xml:space="preserve">, este Pleno determina el </w:t>
      </w:r>
      <w:r w:rsidRPr="00B96E00">
        <w:rPr>
          <w:rFonts w:ascii="Palatino Linotype" w:eastAsia="Palatino Linotype" w:hAnsi="Palatino Linotype" w:cs="Palatino Linotype"/>
          <w:b/>
          <w:bCs/>
          <w:color w:val="000000"/>
        </w:rPr>
        <w:t>SOBRESEIMIENTO</w:t>
      </w:r>
      <w:r w:rsidRPr="00B96E00">
        <w:rPr>
          <w:rFonts w:ascii="Palatino Linotype" w:eastAsia="Palatino Linotype" w:hAnsi="Palatino Linotype" w:cs="Palatino Linotype"/>
          <w:color w:val="000000"/>
        </w:rPr>
        <w:t xml:space="preserve"> del recurso de revisión.</w:t>
      </w:r>
    </w:p>
    <w:p w:rsidR="004F2FE5" w:rsidRPr="00B96E00" w:rsidRDefault="004F2FE5" w:rsidP="00B96E00">
      <w:pPr>
        <w:pBdr>
          <w:top w:val="nil"/>
          <w:left w:val="nil"/>
          <w:bottom w:val="nil"/>
          <w:right w:val="nil"/>
          <w:between w:val="nil"/>
        </w:pBdr>
        <w:tabs>
          <w:tab w:val="left" w:pos="426"/>
        </w:tabs>
        <w:spacing w:line="360" w:lineRule="auto"/>
        <w:ind w:right="-879"/>
        <w:jc w:val="both"/>
        <w:rPr>
          <w:rFonts w:ascii="Palatino Linotype" w:eastAsia="Palatino Linotype" w:hAnsi="Palatino Linotype" w:cs="Palatino Linotype"/>
          <w:color w:val="000000"/>
        </w:rPr>
      </w:pPr>
    </w:p>
    <w:p w:rsidR="004F2FE5" w:rsidRPr="00B96E00" w:rsidRDefault="006D286C" w:rsidP="00B96E00">
      <w:pPr>
        <w:numPr>
          <w:ilvl w:val="0"/>
          <w:numId w:val="4"/>
        </w:numPr>
        <w:pBdr>
          <w:top w:val="nil"/>
          <w:left w:val="nil"/>
          <w:bottom w:val="nil"/>
          <w:right w:val="nil"/>
          <w:between w:val="nil"/>
        </w:pBdr>
        <w:tabs>
          <w:tab w:val="left" w:pos="284"/>
          <w:tab w:val="left" w:pos="426"/>
        </w:tabs>
        <w:spacing w:line="360" w:lineRule="auto"/>
        <w:ind w:left="0" w:right="-879" w:firstLine="0"/>
        <w:jc w:val="both"/>
        <w:rPr>
          <w:color w:val="000000"/>
        </w:rPr>
      </w:pPr>
      <w:r w:rsidRPr="00B96E00">
        <w:rPr>
          <w:rFonts w:ascii="Palatino Linotype" w:eastAsia="Palatino Linotype" w:hAnsi="Palatino Linotype" w:cs="Palatino Linotype"/>
          <w:color w:val="000000"/>
        </w:rPr>
        <w:lastRenderedPageBreak/>
        <w:t xml:space="preserve">Bajo ese tenor y, en términos del artículo 186, fracción I, de la Ley de Transparencia y Acceso a la Información Pública del Estado de México y Municipios, este Pleno determina el </w:t>
      </w:r>
      <w:r w:rsidRPr="00B96E00">
        <w:rPr>
          <w:rFonts w:ascii="Palatino Linotype" w:eastAsia="Palatino Linotype" w:hAnsi="Palatino Linotype" w:cs="Palatino Linotype"/>
          <w:b/>
          <w:bCs/>
          <w:color w:val="000000"/>
        </w:rPr>
        <w:t xml:space="preserve">SOBRESEIMIENTO </w:t>
      </w:r>
      <w:r w:rsidRPr="00B96E00">
        <w:rPr>
          <w:rFonts w:ascii="Palatino Linotype" w:eastAsia="Palatino Linotype" w:hAnsi="Palatino Linotype" w:cs="Palatino Linotype"/>
          <w:color w:val="000000"/>
        </w:rPr>
        <w:t>del presente recurso de revisión, por actualizar el supuesto previsto en la fracción I, del artículo 192, de la Ley de Transparencia y Acceso a la Información Pública Estatal.</w:t>
      </w:r>
    </w:p>
    <w:p w:rsidR="004F2FE5" w:rsidRPr="00B96E00" w:rsidRDefault="004F2FE5" w:rsidP="00B96E00">
      <w:pPr>
        <w:pBdr>
          <w:top w:val="nil"/>
          <w:left w:val="nil"/>
          <w:bottom w:val="nil"/>
          <w:right w:val="nil"/>
          <w:between w:val="nil"/>
        </w:pBdr>
        <w:tabs>
          <w:tab w:val="left" w:pos="426"/>
        </w:tabs>
        <w:spacing w:line="360" w:lineRule="auto"/>
        <w:ind w:right="-879"/>
        <w:jc w:val="both"/>
        <w:rPr>
          <w:rFonts w:ascii="Palatino Linotype" w:eastAsia="Palatino Linotype" w:hAnsi="Palatino Linotype" w:cs="Palatino Linotype"/>
          <w:color w:val="000000"/>
        </w:rPr>
      </w:pPr>
    </w:p>
    <w:p w:rsidR="004F2FE5" w:rsidRPr="00B96E00" w:rsidRDefault="006D286C" w:rsidP="00B96E00">
      <w:pPr>
        <w:numPr>
          <w:ilvl w:val="0"/>
          <w:numId w:val="4"/>
        </w:numPr>
        <w:pBdr>
          <w:top w:val="nil"/>
          <w:left w:val="nil"/>
          <w:bottom w:val="nil"/>
          <w:right w:val="nil"/>
          <w:between w:val="nil"/>
        </w:pBdr>
        <w:tabs>
          <w:tab w:val="left" w:pos="284"/>
          <w:tab w:val="left" w:pos="426"/>
        </w:tabs>
        <w:spacing w:after="240" w:line="360" w:lineRule="auto"/>
        <w:ind w:left="0" w:right="-879" w:firstLine="0"/>
        <w:jc w:val="both"/>
        <w:rPr>
          <w:color w:val="000000"/>
        </w:rPr>
      </w:pPr>
      <w:bookmarkStart w:id="9" w:name="_heading=h.wqzrb63kb3uo" w:colFirst="0" w:colLast="0"/>
      <w:bookmarkEnd w:id="9"/>
      <w:r w:rsidRPr="00B96E00">
        <w:rPr>
          <w:rFonts w:ascii="Palatino Linotype" w:eastAsia="Palatino Linotype" w:hAnsi="Palatino Linotype" w:cs="Palatino Linotype"/>
          <w:color w:val="000000"/>
        </w:rPr>
        <w:t>Por lo expuesto, y con fundamento en lo prescrito en los artículos 5, párrafos cuadragésimo cuarto, cuadragésimo quinto y cuadragésimo sexto, fracciones IV y V, de la Constitución Política del Estado Libre y Soberano de México; 2, fracción II; 29, 36 fracciones I y II; 176, 178, 179, 181 y 185 de la Ley de Transparencia y Acceso a la Información Pública del Estado de México y Municipios, este Pleno:</w:t>
      </w:r>
    </w:p>
    <w:p w:rsidR="004F2FE5" w:rsidRPr="00B96E00" w:rsidRDefault="004F2FE5" w:rsidP="00B96E00">
      <w:pPr>
        <w:ind w:right="-879"/>
        <w:rPr>
          <w:rFonts w:ascii="Palatino Linotype" w:eastAsia="Palatino Linotype" w:hAnsi="Palatino Linotype" w:cs="Palatino Linotype"/>
        </w:rPr>
      </w:pPr>
    </w:p>
    <w:p w:rsidR="004F2FE5" w:rsidRPr="00B96E00" w:rsidRDefault="006D286C" w:rsidP="00B96E00">
      <w:pPr>
        <w:spacing w:line="360" w:lineRule="auto"/>
        <w:ind w:right="-879"/>
        <w:jc w:val="center"/>
        <w:rPr>
          <w:rFonts w:ascii="Palatino Linotype" w:eastAsia="Palatino Linotype" w:hAnsi="Palatino Linotype" w:cs="Palatino Linotype"/>
          <w:b/>
          <w:bCs/>
        </w:rPr>
      </w:pPr>
      <w:r w:rsidRPr="00B96E00">
        <w:rPr>
          <w:rFonts w:ascii="Palatino Linotype" w:eastAsia="Palatino Linotype" w:hAnsi="Palatino Linotype" w:cs="Palatino Linotype"/>
          <w:b/>
          <w:bCs/>
        </w:rPr>
        <w:t>R E S U E L V E</w:t>
      </w:r>
    </w:p>
    <w:p w:rsidR="004F2FE5" w:rsidRPr="00B96E00" w:rsidRDefault="004F2FE5" w:rsidP="00B96E00">
      <w:pPr>
        <w:ind w:right="-879"/>
      </w:pPr>
    </w:p>
    <w:p w:rsidR="004F2FE5" w:rsidRPr="00B96E00" w:rsidRDefault="006D286C" w:rsidP="00B96E00">
      <w:pPr>
        <w:spacing w:after="240" w:line="360" w:lineRule="auto"/>
        <w:ind w:right="-879"/>
        <w:jc w:val="both"/>
        <w:rPr>
          <w:rFonts w:ascii="Palatino Linotype" w:eastAsia="Palatino Linotype" w:hAnsi="Palatino Linotype" w:cs="Palatino Linotype"/>
        </w:rPr>
      </w:pPr>
      <w:bookmarkStart w:id="10" w:name="_heading=h.c3akazlclqqr" w:colFirst="0" w:colLast="0"/>
      <w:bookmarkEnd w:id="10"/>
      <w:r w:rsidRPr="00B96E00">
        <w:rPr>
          <w:rFonts w:ascii="Palatino Linotype" w:eastAsia="Palatino Linotype" w:hAnsi="Palatino Linotype" w:cs="Palatino Linotype"/>
          <w:b/>
          <w:bCs/>
        </w:rPr>
        <w:t>PRIMERO.</w:t>
      </w:r>
      <w:r w:rsidRPr="00B96E00">
        <w:rPr>
          <w:rFonts w:ascii="Palatino Linotype" w:eastAsia="Palatino Linotype" w:hAnsi="Palatino Linotype" w:cs="Palatino Linotype"/>
        </w:rPr>
        <w:t xml:space="preserve"> Se </w:t>
      </w:r>
      <w:r w:rsidRPr="00B96E00">
        <w:rPr>
          <w:rFonts w:ascii="Palatino Linotype" w:eastAsia="Palatino Linotype" w:hAnsi="Palatino Linotype" w:cs="Palatino Linotype"/>
          <w:b/>
          <w:bCs/>
        </w:rPr>
        <w:t>SOBRESEE</w:t>
      </w:r>
      <w:r w:rsidRPr="00B96E00">
        <w:rPr>
          <w:rFonts w:ascii="Palatino Linotype" w:eastAsia="Palatino Linotype" w:hAnsi="Palatino Linotype" w:cs="Palatino Linotype"/>
        </w:rPr>
        <w:t xml:space="preserve"> el recurso de revisión número </w:t>
      </w:r>
      <w:r w:rsidRPr="00B96E00">
        <w:rPr>
          <w:rFonts w:ascii="Palatino Linotype" w:eastAsia="Palatino Linotype" w:hAnsi="Palatino Linotype" w:cs="Palatino Linotype"/>
          <w:b/>
          <w:bCs/>
        </w:rPr>
        <w:t xml:space="preserve">02618/INFOEM/IP/RR/2026, </w:t>
      </w:r>
      <w:r w:rsidRPr="00B96E00">
        <w:rPr>
          <w:rFonts w:ascii="Palatino Linotype" w:eastAsia="Palatino Linotype" w:hAnsi="Palatino Linotype" w:cs="Palatino Linotype"/>
        </w:rPr>
        <w:t xml:space="preserve">en términos de lo establecido en el artículo 192, fracción I, de la Ley de Transparencia y Acceso a la Información Pública del Estado de México y Municipios, </w:t>
      </w:r>
      <w:r w:rsidRPr="00B96E00">
        <w:rPr>
          <w:rFonts w:ascii="Palatino Linotype" w:eastAsia="Palatino Linotype" w:hAnsi="Palatino Linotype" w:cs="Palatino Linotype"/>
          <w:b/>
          <w:bCs/>
        </w:rPr>
        <w:t>por haberse desistido expresamente el</w:t>
      </w:r>
      <w:r w:rsidRPr="00B96E00">
        <w:rPr>
          <w:rFonts w:ascii="Palatino Linotype" w:eastAsia="Palatino Linotype" w:hAnsi="Palatino Linotype" w:cs="Palatino Linotype"/>
        </w:rPr>
        <w:t xml:space="preserve"> </w:t>
      </w:r>
      <w:r w:rsidRPr="00B96E00">
        <w:rPr>
          <w:rFonts w:ascii="Palatino Linotype" w:eastAsia="Palatino Linotype" w:hAnsi="Palatino Linotype" w:cs="Palatino Linotype"/>
          <w:b/>
          <w:bCs/>
        </w:rPr>
        <w:t>RECURRENTE</w:t>
      </w:r>
      <w:r w:rsidRPr="00B96E00">
        <w:rPr>
          <w:rFonts w:ascii="Palatino Linotype" w:eastAsia="Palatino Linotype" w:hAnsi="Palatino Linotype" w:cs="Palatino Linotype"/>
        </w:rPr>
        <w:t xml:space="preserve">, en términos del </w:t>
      </w:r>
      <w:r w:rsidRPr="00B96E00">
        <w:rPr>
          <w:rFonts w:ascii="Palatino Linotype" w:eastAsia="Palatino Linotype" w:hAnsi="Palatino Linotype" w:cs="Palatino Linotype"/>
          <w:b/>
          <w:bCs/>
        </w:rPr>
        <w:t>Considerando TERCERO</w:t>
      </w:r>
      <w:r w:rsidRPr="00B96E00">
        <w:rPr>
          <w:rFonts w:ascii="Palatino Linotype" w:eastAsia="Palatino Linotype" w:hAnsi="Palatino Linotype" w:cs="Palatino Linotype"/>
        </w:rPr>
        <w:t xml:space="preserve"> de la presente resolución.</w:t>
      </w:r>
    </w:p>
    <w:p w:rsidR="004F2FE5" w:rsidRPr="00B96E00" w:rsidRDefault="006D286C" w:rsidP="00B96E00">
      <w:pPr>
        <w:pBdr>
          <w:top w:val="nil"/>
          <w:left w:val="nil"/>
          <w:bottom w:val="nil"/>
          <w:right w:val="nil"/>
          <w:between w:val="nil"/>
        </w:pBdr>
        <w:spacing w:after="240" w:line="360" w:lineRule="auto"/>
        <w:ind w:right="-879"/>
        <w:jc w:val="both"/>
        <w:rPr>
          <w:rFonts w:ascii="Palatino Linotype" w:eastAsia="Palatino Linotype" w:hAnsi="Palatino Linotype" w:cs="Palatino Linotype"/>
          <w:b/>
          <w:bCs/>
          <w:color w:val="000000"/>
        </w:rPr>
      </w:pPr>
      <w:r w:rsidRPr="00B96E00">
        <w:rPr>
          <w:rFonts w:ascii="Palatino Linotype" w:eastAsia="Palatino Linotype" w:hAnsi="Palatino Linotype" w:cs="Palatino Linotype"/>
          <w:b/>
          <w:bCs/>
          <w:color w:val="000000"/>
        </w:rPr>
        <w:t xml:space="preserve">SEGUNDO. Notifíquese </w:t>
      </w:r>
      <w:r w:rsidRPr="00B96E00">
        <w:rPr>
          <w:rFonts w:ascii="Palatino Linotype" w:eastAsia="Palatino Linotype" w:hAnsi="Palatino Linotype" w:cs="Palatino Linotype"/>
          <w:color w:val="000000"/>
        </w:rPr>
        <w:t xml:space="preserve">a través del Sistema de Acceso a la Información Mexiquense </w:t>
      </w:r>
      <w:r w:rsidRPr="00B96E00">
        <w:rPr>
          <w:rFonts w:ascii="Palatino Linotype" w:eastAsia="Palatino Linotype" w:hAnsi="Palatino Linotype" w:cs="Palatino Linotype"/>
          <w:b/>
          <w:bCs/>
          <w:color w:val="000000"/>
        </w:rPr>
        <w:t xml:space="preserve">(SAIMEX) </w:t>
      </w:r>
      <w:r w:rsidRPr="00B96E00">
        <w:rPr>
          <w:rFonts w:ascii="Palatino Linotype" w:eastAsia="Palatino Linotype" w:hAnsi="Palatino Linotype" w:cs="Palatino Linotype"/>
          <w:color w:val="000000"/>
        </w:rPr>
        <w:t>la presente resolución al Titular de la Unidad de Transparencia del</w:t>
      </w:r>
      <w:r w:rsidRPr="00B96E00">
        <w:rPr>
          <w:rFonts w:ascii="Palatino Linotype" w:eastAsia="Palatino Linotype" w:hAnsi="Palatino Linotype" w:cs="Palatino Linotype"/>
          <w:b/>
          <w:bCs/>
          <w:color w:val="000000"/>
        </w:rPr>
        <w:t xml:space="preserve"> SUJETO OBLIGADO. </w:t>
      </w:r>
    </w:p>
    <w:p w:rsidR="004F2FE5" w:rsidRPr="00B96E00" w:rsidRDefault="006D286C" w:rsidP="00B96E00">
      <w:pPr>
        <w:pBdr>
          <w:top w:val="nil"/>
          <w:left w:val="nil"/>
          <w:bottom w:val="nil"/>
          <w:right w:val="nil"/>
          <w:between w:val="nil"/>
        </w:pBdr>
        <w:spacing w:after="240" w:line="360" w:lineRule="auto"/>
        <w:ind w:right="-879"/>
        <w:jc w:val="both"/>
        <w:rPr>
          <w:rFonts w:ascii="Palatino Linotype" w:eastAsia="Palatino Linotype" w:hAnsi="Palatino Linotype" w:cs="Palatino Linotype"/>
          <w:b/>
          <w:bCs/>
          <w:color w:val="000000"/>
        </w:rPr>
      </w:pPr>
      <w:r w:rsidRPr="00B96E00">
        <w:rPr>
          <w:rFonts w:ascii="Palatino Linotype" w:eastAsia="Palatino Linotype" w:hAnsi="Palatino Linotype" w:cs="Palatino Linotype"/>
          <w:b/>
          <w:bCs/>
          <w:color w:val="000000"/>
        </w:rPr>
        <w:t xml:space="preserve">TERCERO. Notifíquese al RECURRENTE </w:t>
      </w:r>
      <w:r w:rsidRPr="00B96E00">
        <w:rPr>
          <w:rFonts w:ascii="Palatino Linotype" w:eastAsia="Palatino Linotype" w:hAnsi="Palatino Linotype" w:cs="Palatino Linotype"/>
          <w:color w:val="000000"/>
        </w:rPr>
        <w:t>la presente resolución vía Sistema de Acceso a la Información Mexiquense (</w:t>
      </w:r>
      <w:r w:rsidRPr="00B96E00">
        <w:rPr>
          <w:rFonts w:ascii="Palatino Linotype" w:eastAsia="Palatino Linotype" w:hAnsi="Palatino Linotype" w:cs="Palatino Linotype"/>
          <w:b/>
          <w:bCs/>
          <w:color w:val="000000"/>
        </w:rPr>
        <w:t>SAIMEX).</w:t>
      </w:r>
    </w:p>
    <w:p w:rsidR="004F2FE5" w:rsidRPr="00B96E00" w:rsidRDefault="004F2FE5" w:rsidP="00B96E00">
      <w:pPr>
        <w:pBdr>
          <w:top w:val="nil"/>
          <w:left w:val="nil"/>
          <w:bottom w:val="nil"/>
          <w:right w:val="nil"/>
          <w:between w:val="nil"/>
        </w:pBdr>
        <w:spacing w:after="240" w:line="360" w:lineRule="auto"/>
        <w:ind w:right="-879"/>
        <w:jc w:val="both"/>
        <w:rPr>
          <w:rFonts w:ascii="Palatino Linotype" w:eastAsia="Palatino Linotype" w:hAnsi="Palatino Linotype" w:cs="Palatino Linotype"/>
          <w:color w:val="000000"/>
        </w:rPr>
      </w:pPr>
    </w:p>
    <w:p w:rsidR="004F2FE5" w:rsidRPr="00B96E00" w:rsidRDefault="006D286C" w:rsidP="00B96E00">
      <w:pPr>
        <w:pBdr>
          <w:top w:val="nil"/>
          <w:left w:val="nil"/>
          <w:bottom w:val="nil"/>
          <w:right w:val="nil"/>
          <w:between w:val="nil"/>
        </w:pBdr>
        <w:spacing w:line="360" w:lineRule="auto"/>
        <w:ind w:right="-879"/>
        <w:jc w:val="both"/>
        <w:rPr>
          <w:rFonts w:ascii="Palatino Linotype" w:eastAsia="Palatino Linotype" w:hAnsi="Palatino Linotype" w:cs="Palatino Linotype"/>
          <w:color w:val="000000"/>
        </w:rPr>
      </w:pPr>
      <w:bookmarkStart w:id="11" w:name="_heading=h.1l2hjr3zq1hm" w:colFirst="0" w:colLast="0"/>
      <w:bookmarkEnd w:id="11"/>
      <w:r w:rsidRPr="00B96E00">
        <w:rPr>
          <w:rFonts w:ascii="Palatino Linotype" w:eastAsia="Palatino Linotype" w:hAnsi="Palatino Linotype" w:cs="Palatino Linotype"/>
          <w:b/>
          <w:bCs/>
          <w:color w:val="000000"/>
        </w:rPr>
        <w:t>CUARTO.</w:t>
      </w:r>
      <w:r w:rsidRPr="00B96E00">
        <w:rPr>
          <w:rFonts w:ascii="Palatino Linotype" w:eastAsia="Palatino Linotype" w:hAnsi="Palatino Linotype" w:cs="Palatino Linotype"/>
          <w:color w:val="000000"/>
        </w:rPr>
        <w:t xml:space="preserve"> Se hace del conocimiento del </w:t>
      </w:r>
      <w:r w:rsidRPr="00B96E00">
        <w:rPr>
          <w:rFonts w:ascii="Palatino Linotype" w:eastAsia="Palatino Linotype" w:hAnsi="Palatino Linotype" w:cs="Palatino Linotype"/>
          <w:b/>
          <w:bCs/>
          <w:color w:val="000000"/>
        </w:rPr>
        <w:t xml:space="preserve">RECURRENTE </w:t>
      </w:r>
      <w:r w:rsidRPr="00B96E00">
        <w:rPr>
          <w:rFonts w:ascii="Palatino Linotype" w:eastAsia="Palatino Linotype" w:hAnsi="Palatino Linotype" w:cs="Palatino Linotype"/>
          <w:color w:val="000000"/>
        </w:rPr>
        <w:t xml:space="preserve">que, de conformidad con lo establecido en el artículo 196 de la Ley de Transparencia y Acceso a la Información Pública del Estado de México y Municipios, en caso de que considere que la resolución le cause algún perjuicio podrá </w:t>
      </w:r>
      <w:r w:rsidRPr="00B96E00">
        <w:rPr>
          <w:rFonts w:ascii="Palatino Linotype" w:eastAsia="Palatino Linotype" w:hAnsi="Palatino Linotype" w:cs="Palatino Linotype"/>
        </w:rPr>
        <w:t>impugnar vía</w:t>
      </w:r>
      <w:r w:rsidRPr="00B96E00">
        <w:rPr>
          <w:rFonts w:ascii="Palatino Linotype" w:eastAsia="Palatino Linotype" w:hAnsi="Palatino Linotype" w:cs="Palatino Linotype"/>
          <w:color w:val="000000"/>
        </w:rPr>
        <w:t xml:space="preserve"> Juicio de Amparo en los términos de las leyes aplicables.</w:t>
      </w:r>
    </w:p>
    <w:p w:rsidR="000A7DEF" w:rsidRPr="00B96E00" w:rsidRDefault="000A7DEF" w:rsidP="00B96E00">
      <w:pPr>
        <w:spacing w:before="240" w:after="240" w:line="360" w:lineRule="auto"/>
        <w:ind w:right="-879" w:firstLine="1"/>
        <w:jc w:val="both"/>
        <w:rPr>
          <w:rFonts w:ascii="Palatino Linotype" w:hAnsi="Palatino Linotype"/>
        </w:rPr>
      </w:pPr>
      <w:bookmarkStart w:id="12" w:name="_heading=h.yauddyt7vhvu" w:colFirst="0" w:colLast="0"/>
      <w:bookmarkStart w:id="13" w:name="_Hlk99014733"/>
      <w:bookmarkEnd w:id="12"/>
      <w:r w:rsidRPr="00B96E00">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TERCERA SESIÓN ORDINARIA, CELEBRADA EL VEINTICINCO (25) DE JUNIO DE DOS MIL VEINTISÉIS, ANTE EL SECRETARIO TÉCNICO DEL PLENO </w:t>
      </w:r>
      <w:r w:rsidRPr="00B96E00">
        <w:rPr>
          <w:rFonts w:ascii="Palatino Linotype" w:hAnsi="Palatino Linotype" w:cs="Palatino Linotype"/>
          <w:color w:val="000000" w:themeColor="text1"/>
        </w:rPr>
        <w:t>ALEXIS TAPIA RAMÍREZ.</w:t>
      </w:r>
    </w:p>
    <w:bookmarkEnd w:id="13"/>
    <w:p w:rsidR="004F2FE5" w:rsidRPr="00B96E00" w:rsidRDefault="004F2FE5" w:rsidP="00B96E00">
      <w:pPr>
        <w:spacing w:before="240" w:after="240" w:line="360" w:lineRule="auto"/>
        <w:ind w:right="-879"/>
        <w:jc w:val="both"/>
        <w:rPr>
          <w:rFonts w:ascii="Palatino Linotype" w:eastAsia="Palatino Linotype" w:hAnsi="Palatino Linotype" w:cs="Palatino Linotype"/>
        </w:rPr>
      </w:pPr>
    </w:p>
    <w:p w:rsidR="004F2FE5" w:rsidRPr="00B96E00" w:rsidRDefault="004F2FE5" w:rsidP="00B96E00">
      <w:pPr>
        <w:ind w:right="-879"/>
      </w:pPr>
    </w:p>
    <w:p w:rsidR="004F2FE5" w:rsidRPr="00B96E00" w:rsidRDefault="004F2FE5" w:rsidP="00B96E00">
      <w:pPr>
        <w:ind w:right="-879"/>
      </w:pPr>
    </w:p>
    <w:p w:rsidR="004F2FE5" w:rsidRPr="00B96E00" w:rsidRDefault="004F2FE5" w:rsidP="00B96E00">
      <w:pPr>
        <w:ind w:right="-879"/>
      </w:pPr>
    </w:p>
    <w:p w:rsidR="004F2FE5" w:rsidRPr="00B96E00" w:rsidRDefault="004F2FE5" w:rsidP="00B96E00">
      <w:pPr>
        <w:ind w:right="-879"/>
      </w:pPr>
    </w:p>
    <w:p w:rsidR="004F2FE5" w:rsidRDefault="004F2FE5" w:rsidP="00B96E00">
      <w:pPr>
        <w:ind w:right="-879"/>
      </w:pPr>
    </w:p>
    <w:p w:rsidR="00B96E00" w:rsidRDefault="00B96E00" w:rsidP="00B96E00">
      <w:pPr>
        <w:ind w:right="-879"/>
      </w:pPr>
    </w:p>
    <w:p w:rsidR="00B96E00" w:rsidRDefault="00B96E00" w:rsidP="00B96E00">
      <w:pPr>
        <w:ind w:right="-879"/>
      </w:pPr>
    </w:p>
    <w:p w:rsidR="00B96E00" w:rsidRDefault="00B96E00" w:rsidP="00B96E00">
      <w:pPr>
        <w:ind w:right="-879"/>
      </w:pPr>
    </w:p>
    <w:p w:rsidR="00B96E00" w:rsidRDefault="00B96E00" w:rsidP="00B96E00">
      <w:pPr>
        <w:ind w:right="-879"/>
      </w:pPr>
    </w:p>
    <w:p w:rsidR="00B96E00" w:rsidRDefault="00B96E00" w:rsidP="00B96E00">
      <w:pPr>
        <w:ind w:right="-879"/>
      </w:pPr>
    </w:p>
    <w:p w:rsidR="00B96E00" w:rsidRDefault="00B96E00" w:rsidP="00B96E00">
      <w:pPr>
        <w:ind w:right="-879"/>
      </w:pPr>
    </w:p>
    <w:p w:rsidR="00B96E00" w:rsidRDefault="00B96E00" w:rsidP="00B96E00">
      <w:pPr>
        <w:ind w:right="-879"/>
      </w:pPr>
    </w:p>
    <w:p w:rsidR="00B96E00" w:rsidRDefault="00B96E00" w:rsidP="00B96E00">
      <w:pPr>
        <w:ind w:right="-879"/>
      </w:pPr>
    </w:p>
    <w:p w:rsidR="00B96E00" w:rsidRDefault="00B96E00" w:rsidP="00B96E00">
      <w:pPr>
        <w:ind w:right="-879"/>
      </w:pPr>
    </w:p>
    <w:p w:rsidR="00B96E00" w:rsidRDefault="00B96E00" w:rsidP="00B96E00">
      <w:pPr>
        <w:ind w:right="-879"/>
      </w:pPr>
    </w:p>
    <w:p w:rsidR="00B96E00" w:rsidRDefault="00B96E00" w:rsidP="00B96E00">
      <w:pPr>
        <w:ind w:right="-879"/>
      </w:pPr>
    </w:p>
    <w:p w:rsidR="00B96E00" w:rsidRDefault="00B96E00" w:rsidP="00B96E00">
      <w:pPr>
        <w:ind w:right="-879"/>
      </w:pPr>
    </w:p>
    <w:p w:rsidR="00B96E00" w:rsidRDefault="00B96E00" w:rsidP="00B96E00">
      <w:pPr>
        <w:ind w:right="-879"/>
      </w:pPr>
    </w:p>
    <w:p w:rsidR="00B96E00" w:rsidRDefault="00B96E00" w:rsidP="00B96E00">
      <w:pPr>
        <w:ind w:right="-879"/>
      </w:pPr>
    </w:p>
    <w:p w:rsidR="00B96E00" w:rsidRPr="00B96E00" w:rsidRDefault="00B96E00" w:rsidP="00B96E00">
      <w:pPr>
        <w:ind w:right="-879"/>
      </w:pPr>
    </w:p>
    <w:sectPr w:rsidR="00B96E00" w:rsidRPr="00B96E00">
      <w:headerReference w:type="even" r:id="rId10"/>
      <w:headerReference w:type="default" r:id="rId11"/>
      <w:footerReference w:type="default" r:id="rId12"/>
      <w:headerReference w:type="first" r:id="rId13"/>
      <w:footerReference w:type="first" r:id="rId14"/>
      <w:pgSz w:w="12240" w:h="15840"/>
      <w:pgMar w:top="80" w:right="160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E9E" w:rsidRDefault="007A2E9E">
      <w:r>
        <w:separator/>
      </w:r>
    </w:p>
  </w:endnote>
  <w:endnote w:type="continuationSeparator" w:id="0">
    <w:p w:rsidR="007A2E9E" w:rsidRDefault="007A2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EC5D7239-99EC-4EC3-986E-ED4BBA89B02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C5D1AB2D-4FA8-4FBF-A109-85AE0994F252}"/>
    <w:embedBold r:id="rId3" w:fontKey="{400EAD53-52B5-495F-ADD6-19E185235DBF}"/>
    <w:embedItalic r:id="rId4" w:fontKey="{CD6B32B6-39F5-461C-B0B3-1BA20486D362}"/>
    <w:embedBoldItalic r:id="rId5" w:fontKey="{3873A5D0-8A7B-4A97-A294-5591E5DEC9A8}"/>
  </w:font>
  <w:font w:name="Calibri">
    <w:panose1 w:val="020F0502020204030204"/>
    <w:charset w:val="00"/>
    <w:family w:val="swiss"/>
    <w:pitch w:val="variable"/>
    <w:sig w:usb0="E4002EFF" w:usb1="C200247B" w:usb2="00000009" w:usb3="00000000" w:csb0="000001FF" w:csb1="00000000"/>
    <w:embedRegular r:id="rId6" w:fontKey="{3069194F-4C3A-47E5-98EA-056C2965B81D}"/>
  </w:font>
  <w:font w:name="Georgia">
    <w:panose1 w:val="02040502050405020303"/>
    <w:charset w:val="00"/>
    <w:family w:val="roman"/>
    <w:pitch w:val="variable"/>
    <w:sig w:usb0="00000287" w:usb1="00000000" w:usb2="00000000" w:usb3="00000000" w:csb0="0000009F" w:csb1="00000000"/>
    <w:embedItalic r:id="rId7" w:fontKey="{085C6DA4-AF19-4BE9-AE6F-BFDC623356DE}"/>
  </w:font>
  <w:font w:name="Century Gothic">
    <w:panose1 w:val="020B0502020202020204"/>
    <w:charset w:val="00"/>
    <w:family w:val="swiss"/>
    <w:pitch w:val="variable"/>
    <w:sig w:usb0="00000287" w:usb1="00000000" w:usb2="00000000" w:usb3="00000000" w:csb0="0000009F" w:csb1="00000000"/>
    <w:embedRegular r:id="rId8" w:fontKey="{388B38C6-7D24-4AC4-AFE8-F5873D7D50CB}"/>
  </w:font>
  <w:font w:name="Garamond">
    <w:panose1 w:val="02020404030301010803"/>
    <w:charset w:val="00"/>
    <w:family w:val="roman"/>
    <w:pitch w:val="variable"/>
    <w:sig w:usb0="00000287" w:usb1="00000000" w:usb2="00000000" w:usb3="00000000" w:csb0="0000009F" w:csb1="00000000"/>
    <w:embedRegular r:id="rId9" w:fontKey="{3106CC96-20C8-4DE4-A805-AF9ED1EE6973}"/>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3121F469-4C17-4622-A23D-851A6D60E75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FE5" w:rsidRPr="00B96E00" w:rsidRDefault="006D286C">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B96E00">
      <w:rPr>
        <w:rFonts w:ascii="Palatino Linotype" w:hAnsi="Palatino Linotype"/>
        <w:color w:val="000000"/>
        <w:sz w:val="22"/>
      </w:rPr>
      <w:t xml:space="preserve">Página </w:t>
    </w:r>
    <w:r w:rsidRPr="00B96E00">
      <w:rPr>
        <w:rFonts w:ascii="Palatino Linotype" w:hAnsi="Palatino Linotype"/>
        <w:b/>
        <w:bCs/>
        <w:color w:val="000000"/>
        <w:sz w:val="22"/>
      </w:rPr>
      <w:fldChar w:fldCharType="begin"/>
    </w:r>
    <w:r w:rsidRPr="00B96E00">
      <w:rPr>
        <w:rFonts w:ascii="Palatino Linotype" w:hAnsi="Palatino Linotype"/>
        <w:b/>
        <w:bCs/>
        <w:color w:val="000000"/>
        <w:sz w:val="22"/>
      </w:rPr>
      <w:instrText>PAGE</w:instrText>
    </w:r>
    <w:r w:rsidRPr="00B96E00">
      <w:rPr>
        <w:rFonts w:ascii="Palatino Linotype" w:hAnsi="Palatino Linotype"/>
        <w:b/>
        <w:bCs/>
        <w:color w:val="000000"/>
        <w:sz w:val="22"/>
      </w:rPr>
      <w:fldChar w:fldCharType="separate"/>
    </w:r>
    <w:r w:rsidR="005A4799">
      <w:rPr>
        <w:rFonts w:ascii="Palatino Linotype" w:hAnsi="Palatino Linotype"/>
        <w:b/>
        <w:bCs/>
        <w:noProof/>
        <w:color w:val="000000"/>
        <w:sz w:val="22"/>
      </w:rPr>
      <w:t>10</w:t>
    </w:r>
    <w:r w:rsidRPr="00B96E00">
      <w:rPr>
        <w:rFonts w:ascii="Palatino Linotype" w:hAnsi="Palatino Linotype"/>
        <w:b/>
        <w:bCs/>
        <w:color w:val="000000"/>
        <w:sz w:val="22"/>
      </w:rPr>
      <w:fldChar w:fldCharType="end"/>
    </w:r>
    <w:r w:rsidRPr="00B96E00">
      <w:rPr>
        <w:rFonts w:ascii="Palatino Linotype" w:hAnsi="Palatino Linotype"/>
        <w:color w:val="000000"/>
        <w:sz w:val="22"/>
      </w:rPr>
      <w:t xml:space="preserve"> de </w:t>
    </w:r>
    <w:r w:rsidRPr="00B96E00">
      <w:rPr>
        <w:rFonts w:ascii="Palatino Linotype" w:hAnsi="Palatino Linotype"/>
        <w:b/>
        <w:bCs/>
        <w:color w:val="000000"/>
        <w:sz w:val="22"/>
      </w:rPr>
      <w:fldChar w:fldCharType="begin"/>
    </w:r>
    <w:r w:rsidRPr="00B96E00">
      <w:rPr>
        <w:rFonts w:ascii="Palatino Linotype" w:hAnsi="Palatino Linotype"/>
        <w:b/>
        <w:bCs/>
        <w:color w:val="000000"/>
        <w:sz w:val="22"/>
      </w:rPr>
      <w:instrText>NUMPAGES</w:instrText>
    </w:r>
    <w:r w:rsidRPr="00B96E00">
      <w:rPr>
        <w:rFonts w:ascii="Palatino Linotype" w:hAnsi="Palatino Linotype"/>
        <w:b/>
        <w:bCs/>
        <w:color w:val="000000"/>
        <w:sz w:val="22"/>
      </w:rPr>
      <w:fldChar w:fldCharType="separate"/>
    </w:r>
    <w:r w:rsidR="005A4799">
      <w:rPr>
        <w:rFonts w:ascii="Palatino Linotype" w:hAnsi="Palatino Linotype"/>
        <w:b/>
        <w:bCs/>
        <w:noProof/>
        <w:color w:val="000000"/>
        <w:sz w:val="22"/>
      </w:rPr>
      <w:t>11</w:t>
    </w:r>
    <w:r w:rsidRPr="00B96E00">
      <w:rPr>
        <w:rFonts w:ascii="Palatino Linotype" w:hAnsi="Palatino Linotype"/>
        <w:b/>
        <w:bCs/>
        <w:color w:val="000000"/>
        <w:sz w:val="22"/>
      </w:rPr>
      <w:fldChar w:fldCharType="end"/>
    </w:r>
  </w:p>
  <w:p w:rsidR="004F2FE5" w:rsidRDefault="004F2FE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FE5" w:rsidRPr="00B96E00" w:rsidRDefault="006D286C">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B96E00">
      <w:rPr>
        <w:rFonts w:ascii="Palatino Linotype" w:hAnsi="Palatino Linotype"/>
        <w:color w:val="000000"/>
        <w:sz w:val="22"/>
      </w:rPr>
      <w:t xml:space="preserve">Página </w:t>
    </w:r>
    <w:r w:rsidRPr="00B96E00">
      <w:rPr>
        <w:rFonts w:ascii="Palatino Linotype" w:hAnsi="Palatino Linotype"/>
        <w:b/>
        <w:bCs/>
        <w:color w:val="000000"/>
        <w:sz w:val="22"/>
      </w:rPr>
      <w:fldChar w:fldCharType="begin"/>
    </w:r>
    <w:r w:rsidRPr="00B96E00">
      <w:rPr>
        <w:rFonts w:ascii="Palatino Linotype" w:hAnsi="Palatino Linotype"/>
        <w:b/>
        <w:bCs/>
        <w:color w:val="000000"/>
        <w:sz w:val="22"/>
      </w:rPr>
      <w:instrText>PAGE</w:instrText>
    </w:r>
    <w:r w:rsidRPr="00B96E00">
      <w:rPr>
        <w:rFonts w:ascii="Palatino Linotype" w:hAnsi="Palatino Linotype"/>
        <w:b/>
        <w:bCs/>
        <w:color w:val="000000"/>
        <w:sz w:val="22"/>
      </w:rPr>
      <w:fldChar w:fldCharType="separate"/>
    </w:r>
    <w:r w:rsidR="005A4799">
      <w:rPr>
        <w:rFonts w:ascii="Palatino Linotype" w:hAnsi="Palatino Linotype"/>
        <w:b/>
        <w:bCs/>
        <w:noProof/>
        <w:color w:val="000000"/>
        <w:sz w:val="22"/>
      </w:rPr>
      <w:t>1</w:t>
    </w:r>
    <w:r w:rsidRPr="00B96E00">
      <w:rPr>
        <w:rFonts w:ascii="Palatino Linotype" w:hAnsi="Palatino Linotype"/>
        <w:b/>
        <w:bCs/>
        <w:color w:val="000000"/>
        <w:sz w:val="22"/>
      </w:rPr>
      <w:fldChar w:fldCharType="end"/>
    </w:r>
    <w:r w:rsidRPr="00B96E00">
      <w:rPr>
        <w:rFonts w:ascii="Palatino Linotype" w:hAnsi="Palatino Linotype"/>
        <w:color w:val="000000"/>
        <w:sz w:val="22"/>
      </w:rPr>
      <w:t xml:space="preserve"> de </w:t>
    </w:r>
    <w:r w:rsidRPr="00B96E00">
      <w:rPr>
        <w:rFonts w:ascii="Palatino Linotype" w:hAnsi="Palatino Linotype"/>
        <w:b/>
        <w:bCs/>
        <w:color w:val="000000"/>
        <w:sz w:val="22"/>
      </w:rPr>
      <w:fldChar w:fldCharType="begin"/>
    </w:r>
    <w:r w:rsidRPr="00B96E00">
      <w:rPr>
        <w:rFonts w:ascii="Palatino Linotype" w:hAnsi="Palatino Linotype"/>
        <w:b/>
        <w:bCs/>
        <w:color w:val="000000"/>
        <w:sz w:val="22"/>
      </w:rPr>
      <w:instrText>NUMPAGES</w:instrText>
    </w:r>
    <w:r w:rsidRPr="00B96E00">
      <w:rPr>
        <w:rFonts w:ascii="Palatino Linotype" w:hAnsi="Palatino Linotype"/>
        <w:b/>
        <w:bCs/>
        <w:color w:val="000000"/>
        <w:sz w:val="22"/>
      </w:rPr>
      <w:fldChar w:fldCharType="separate"/>
    </w:r>
    <w:r w:rsidR="005A4799">
      <w:rPr>
        <w:rFonts w:ascii="Palatino Linotype" w:hAnsi="Palatino Linotype"/>
        <w:b/>
        <w:bCs/>
        <w:noProof/>
        <w:color w:val="000000"/>
        <w:sz w:val="22"/>
      </w:rPr>
      <w:t>11</w:t>
    </w:r>
    <w:r w:rsidRPr="00B96E00">
      <w:rPr>
        <w:rFonts w:ascii="Palatino Linotype" w:hAnsi="Palatino Linotype"/>
        <w:b/>
        <w:bCs/>
        <w:color w:val="000000"/>
        <w:sz w:val="22"/>
      </w:rPr>
      <w:fldChar w:fldCharType="end"/>
    </w:r>
  </w:p>
  <w:p w:rsidR="004F2FE5" w:rsidRDefault="004F2FE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E9E" w:rsidRDefault="007A2E9E">
      <w:r>
        <w:separator/>
      </w:r>
    </w:p>
  </w:footnote>
  <w:footnote w:type="continuationSeparator" w:id="0">
    <w:p w:rsidR="007A2E9E" w:rsidRDefault="007A2E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FE5" w:rsidRDefault="007A2E9E">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348" w:type="dxa"/>
      <w:tblInd w:w="0" w:type="dxa"/>
      <w:tblLayout w:type="fixed"/>
      <w:tblLook w:val="0400" w:firstRow="0" w:lastRow="0" w:firstColumn="0" w:lastColumn="0" w:noHBand="0" w:noVBand="1"/>
    </w:tblPr>
    <w:tblGrid>
      <w:gridCol w:w="2268"/>
      <w:gridCol w:w="8080"/>
    </w:tblGrid>
    <w:tr w:rsidR="004F2FE5" w:rsidTr="00B96E00">
      <w:trPr>
        <w:trHeight w:val="1435"/>
      </w:trPr>
      <w:tc>
        <w:tcPr>
          <w:tcW w:w="2268" w:type="dxa"/>
          <w:shd w:val="clear" w:color="auto" w:fill="auto"/>
        </w:tcPr>
        <w:p w:rsidR="004F2FE5" w:rsidRDefault="004F2FE5">
          <w:pPr>
            <w:tabs>
              <w:tab w:val="right" w:pos="4273"/>
            </w:tabs>
            <w:rPr>
              <w:rFonts w:ascii="Garamond" w:eastAsia="Garamond" w:hAnsi="Garamond" w:cs="Garamond"/>
              <w:sz w:val="16"/>
              <w:szCs w:val="16"/>
            </w:rPr>
          </w:pPr>
        </w:p>
      </w:tc>
      <w:tc>
        <w:tcPr>
          <w:tcW w:w="8080" w:type="dxa"/>
          <w:shd w:val="clear" w:color="auto" w:fill="auto"/>
        </w:tcPr>
        <w:tbl>
          <w:tblPr>
            <w:tblStyle w:val="a0"/>
            <w:tblW w:w="6944" w:type="dxa"/>
            <w:tblInd w:w="1021" w:type="dxa"/>
            <w:tblLayout w:type="fixed"/>
            <w:tblLook w:val="0400" w:firstRow="0" w:lastRow="0" w:firstColumn="0" w:lastColumn="0" w:noHBand="0" w:noVBand="1"/>
          </w:tblPr>
          <w:tblGrid>
            <w:gridCol w:w="2833"/>
            <w:gridCol w:w="4111"/>
          </w:tblGrid>
          <w:tr w:rsidR="004F2FE5" w:rsidTr="00B96E00">
            <w:trPr>
              <w:trHeight w:val="144"/>
            </w:trPr>
            <w:tc>
              <w:tcPr>
                <w:tcW w:w="2833" w:type="dxa"/>
                <w:shd w:val="clear" w:color="auto" w:fill="auto"/>
              </w:tcPr>
              <w:p w:rsidR="004F2FE5" w:rsidRPr="00B96E00" w:rsidRDefault="006D286C">
                <w:pPr>
                  <w:tabs>
                    <w:tab w:val="right" w:pos="8838"/>
                  </w:tabs>
                  <w:ind w:left="-264" w:right="-105" w:firstLine="195"/>
                  <w:rPr>
                    <w:rFonts w:ascii="Palatino Linotype" w:eastAsia="Palatino Linotype" w:hAnsi="Palatino Linotype" w:cs="Palatino Linotype"/>
                    <w:b/>
                    <w:bCs/>
                  </w:rPr>
                </w:pPr>
                <w:r w:rsidRPr="00B96E00">
                  <w:rPr>
                    <w:rFonts w:ascii="Palatino Linotype" w:eastAsia="Palatino Linotype" w:hAnsi="Palatino Linotype" w:cs="Palatino Linotype"/>
                    <w:b/>
                    <w:bCs/>
                  </w:rPr>
                  <w:t>Recurso de Revisión:</w:t>
                </w:r>
              </w:p>
            </w:tc>
            <w:tc>
              <w:tcPr>
                <w:tcW w:w="4111" w:type="dxa"/>
                <w:shd w:val="clear" w:color="auto" w:fill="auto"/>
              </w:tcPr>
              <w:p w:rsidR="004F2FE5" w:rsidRPr="00B96E00" w:rsidRDefault="006D286C" w:rsidP="00B96E00">
                <w:pPr>
                  <w:tabs>
                    <w:tab w:val="right" w:pos="8838"/>
                  </w:tabs>
                  <w:ind w:left="27" w:right="-105"/>
                  <w:rPr>
                    <w:rFonts w:ascii="Palatino Linotype" w:eastAsia="Palatino Linotype" w:hAnsi="Palatino Linotype" w:cs="Palatino Linotype"/>
                  </w:rPr>
                </w:pPr>
                <w:r w:rsidRPr="00B96E00">
                  <w:rPr>
                    <w:rFonts w:ascii="Palatino Linotype" w:eastAsia="Palatino Linotype" w:hAnsi="Palatino Linotype" w:cs="Palatino Linotype"/>
                  </w:rPr>
                  <w:t>02618/INFOEM/IP/RR/2026</w:t>
                </w:r>
              </w:p>
            </w:tc>
          </w:tr>
          <w:tr w:rsidR="004F2FE5" w:rsidTr="00B96E00">
            <w:trPr>
              <w:trHeight w:val="283"/>
            </w:trPr>
            <w:tc>
              <w:tcPr>
                <w:tcW w:w="2833" w:type="dxa"/>
                <w:shd w:val="clear" w:color="auto" w:fill="auto"/>
              </w:tcPr>
              <w:p w:rsidR="004F2FE5" w:rsidRPr="00B96E00" w:rsidRDefault="006D286C">
                <w:pPr>
                  <w:tabs>
                    <w:tab w:val="right" w:pos="8838"/>
                  </w:tabs>
                  <w:ind w:left="-74" w:right="-105"/>
                  <w:rPr>
                    <w:rFonts w:ascii="Palatino Linotype" w:eastAsia="Palatino Linotype" w:hAnsi="Palatino Linotype" w:cs="Palatino Linotype"/>
                    <w:b/>
                    <w:bCs/>
                  </w:rPr>
                </w:pPr>
                <w:r w:rsidRPr="00B96E00">
                  <w:rPr>
                    <w:rFonts w:ascii="Palatino Linotype" w:eastAsia="Palatino Linotype" w:hAnsi="Palatino Linotype" w:cs="Palatino Linotype"/>
                    <w:b/>
                    <w:bCs/>
                  </w:rPr>
                  <w:t>Sujeto Obligado:</w:t>
                </w:r>
              </w:p>
            </w:tc>
            <w:tc>
              <w:tcPr>
                <w:tcW w:w="4111" w:type="dxa"/>
                <w:shd w:val="clear" w:color="auto" w:fill="auto"/>
              </w:tcPr>
              <w:p w:rsidR="004F2FE5" w:rsidRPr="00B96E00" w:rsidRDefault="006D286C" w:rsidP="00B96E00">
                <w:pPr>
                  <w:tabs>
                    <w:tab w:val="left" w:pos="2834"/>
                    <w:tab w:val="right" w:pos="8838"/>
                  </w:tabs>
                  <w:ind w:left="27" w:right="-1375"/>
                  <w:rPr>
                    <w:rFonts w:ascii="Palatino Linotype" w:eastAsia="Palatino Linotype" w:hAnsi="Palatino Linotype" w:cs="Palatino Linotype"/>
                    <w:color w:val="000000"/>
                  </w:rPr>
                </w:pPr>
                <w:r w:rsidRPr="00B96E00">
                  <w:rPr>
                    <w:rFonts w:ascii="Palatino Linotype" w:eastAsia="Palatino Linotype" w:hAnsi="Palatino Linotype" w:cs="Palatino Linotype"/>
                    <w:color w:val="000000"/>
                  </w:rPr>
                  <w:t xml:space="preserve">Secretaría de Desarrollo </w:t>
                </w:r>
                <w:r w:rsidR="00B96E00">
                  <w:rPr>
                    <w:rFonts w:ascii="Palatino Linotype" w:eastAsia="Palatino Linotype" w:hAnsi="Palatino Linotype" w:cs="Palatino Linotype"/>
                    <w:color w:val="000000"/>
                  </w:rPr>
                  <w:t xml:space="preserve"> </w:t>
                </w:r>
                <w:r w:rsidRPr="00B96E00">
                  <w:rPr>
                    <w:rFonts w:ascii="Palatino Linotype" w:eastAsia="Palatino Linotype" w:hAnsi="Palatino Linotype" w:cs="Palatino Linotype"/>
                    <w:color w:val="000000"/>
                  </w:rPr>
                  <w:t>Urbano e Infraestructura</w:t>
                </w:r>
              </w:p>
            </w:tc>
          </w:tr>
          <w:tr w:rsidR="004F2FE5" w:rsidTr="00B96E00">
            <w:trPr>
              <w:trHeight w:val="283"/>
            </w:trPr>
            <w:tc>
              <w:tcPr>
                <w:tcW w:w="2833" w:type="dxa"/>
                <w:shd w:val="clear" w:color="auto" w:fill="auto"/>
              </w:tcPr>
              <w:p w:rsidR="004F2FE5" w:rsidRPr="00B96E00" w:rsidRDefault="006D286C">
                <w:pPr>
                  <w:tabs>
                    <w:tab w:val="right" w:pos="8838"/>
                  </w:tabs>
                  <w:ind w:left="-74" w:right="-105"/>
                  <w:rPr>
                    <w:rFonts w:ascii="Palatino Linotype" w:eastAsia="Palatino Linotype" w:hAnsi="Palatino Linotype" w:cs="Palatino Linotype"/>
                    <w:b/>
                    <w:bCs/>
                  </w:rPr>
                </w:pPr>
                <w:r w:rsidRPr="00B96E00">
                  <w:rPr>
                    <w:rFonts w:ascii="Palatino Linotype" w:eastAsia="Palatino Linotype" w:hAnsi="Palatino Linotype" w:cs="Palatino Linotype"/>
                    <w:b/>
                    <w:bCs/>
                  </w:rPr>
                  <w:t>Comisionado ponente:</w:t>
                </w:r>
              </w:p>
            </w:tc>
            <w:tc>
              <w:tcPr>
                <w:tcW w:w="4111" w:type="dxa"/>
                <w:shd w:val="clear" w:color="auto" w:fill="auto"/>
              </w:tcPr>
              <w:p w:rsidR="004F2FE5" w:rsidRPr="00B96E00" w:rsidRDefault="006D286C" w:rsidP="00B96E00">
                <w:pPr>
                  <w:tabs>
                    <w:tab w:val="right" w:pos="8838"/>
                  </w:tabs>
                  <w:ind w:left="27" w:right="-105"/>
                  <w:rPr>
                    <w:rFonts w:ascii="Palatino Linotype" w:eastAsia="Palatino Linotype" w:hAnsi="Palatino Linotype" w:cs="Palatino Linotype"/>
                  </w:rPr>
                </w:pPr>
                <w:r w:rsidRPr="00B96E00">
                  <w:rPr>
                    <w:rFonts w:ascii="Palatino Linotype" w:eastAsia="Palatino Linotype" w:hAnsi="Palatino Linotype" w:cs="Palatino Linotype"/>
                  </w:rPr>
                  <w:t>María del Rosario Mejía Ayala</w:t>
                </w:r>
              </w:p>
            </w:tc>
          </w:tr>
        </w:tbl>
        <w:p w:rsidR="004F2FE5" w:rsidRDefault="004F2FE5">
          <w:pPr>
            <w:tabs>
              <w:tab w:val="right" w:pos="8838"/>
            </w:tabs>
            <w:ind w:left="-28"/>
            <w:jc w:val="both"/>
            <w:rPr>
              <w:rFonts w:ascii="Arial" w:eastAsia="Arial" w:hAnsi="Arial" w:cs="Arial"/>
              <w:b/>
              <w:bCs/>
              <w:sz w:val="22"/>
              <w:szCs w:val="22"/>
            </w:rPr>
          </w:pPr>
        </w:p>
      </w:tc>
    </w:tr>
  </w:tbl>
  <w:p w:rsidR="004F2FE5" w:rsidRDefault="007A2E9E">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53.85pt;margin-top:-120.4pt;width:589.8pt;height:768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305" w:type="dxa"/>
      <w:tblInd w:w="0" w:type="dxa"/>
      <w:tblLayout w:type="fixed"/>
      <w:tblLook w:val="0400" w:firstRow="0" w:lastRow="0" w:firstColumn="0" w:lastColumn="0" w:noHBand="0" w:noVBand="1"/>
    </w:tblPr>
    <w:tblGrid>
      <w:gridCol w:w="2265"/>
      <w:gridCol w:w="8040"/>
    </w:tblGrid>
    <w:tr w:rsidR="004F2FE5">
      <w:trPr>
        <w:trHeight w:val="1435"/>
      </w:trPr>
      <w:tc>
        <w:tcPr>
          <w:tcW w:w="2265" w:type="dxa"/>
          <w:shd w:val="clear" w:color="auto" w:fill="auto"/>
        </w:tcPr>
        <w:p w:rsidR="004F2FE5" w:rsidRDefault="004F2FE5">
          <w:pPr>
            <w:tabs>
              <w:tab w:val="right" w:pos="4273"/>
            </w:tabs>
            <w:rPr>
              <w:rFonts w:ascii="Garamond" w:eastAsia="Garamond" w:hAnsi="Garamond" w:cs="Garamond"/>
              <w:sz w:val="22"/>
              <w:szCs w:val="22"/>
            </w:rPr>
          </w:pPr>
        </w:p>
      </w:tc>
      <w:tc>
        <w:tcPr>
          <w:tcW w:w="8040" w:type="dxa"/>
          <w:shd w:val="clear" w:color="auto" w:fill="auto"/>
        </w:tcPr>
        <w:tbl>
          <w:tblPr>
            <w:tblStyle w:val="a2"/>
            <w:tblW w:w="7786" w:type="dxa"/>
            <w:tblInd w:w="314" w:type="dxa"/>
            <w:tblLayout w:type="fixed"/>
            <w:tblLook w:val="0400" w:firstRow="0" w:lastRow="0" w:firstColumn="0" w:lastColumn="0" w:noHBand="0" w:noVBand="1"/>
          </w:tblPr>
          <w:tblGrid>
            <w:gridCol w:w="3510"/>
            <w:gridCol w:w="4276"/>
          </w:tblGrid>
          <w:tr w:rsidR="004F2FE5" w:rsidTr="00B96E00">
            <w:trPr>
              <w:trHeight w:val="144"/>
            </w:trPr>
            <w:tc>
              <w:tcPr>
                <w:tcW w:w="3510" w:type="dxa"/>
                <w:shd w:val="clear" w:color="auto" w:fill="auto"/>
              </w:tcPr>
              <w:p w:rsidR="004F2FE5" w:rsidRPr="00B96E00" w:rsidRDefault="006D286C">
                <w:pPr>
                  <w:tabs>
                    <w:tab w:val="right" w:pos="8838"/>
                  </w:tabs>
                  <w:ind w:left="708" w:right="-105"/>
                  <w:rPr>
                    <w:rFonts w:ascii="Palatino Linotype" w:eastAsia="Palatino Linotype" w:hAnsi="Palatino Linotype" w:cs="Palatino Linotype"/>
                    <w:b/>
                  </w:rPr>
                </w:pPr>
                <w:r w:rsidRPr="00B96E00">
                  <w:rPr>
                    <w:rFonts w:ascii="Palatino Linotype" w:eastAsia="Palatino Linotype" w:hAnsi="Palatino Linotype" w:cs="Palatino Linotype"/>
                    <w:b/>
                  </w:rPr>
                  <w:t>Recurso de Revisión:</w:t>
                </w:r>
              </w:p>
            </w:tc>
            <w:tc>
              <w:tcPr>
                <w:tcW w:w="4276" w:type="dxa"/>
                <w:shd w:val="clear" w:color="auto" w:fill="auto"/>
              </w:tcPr>
              <w:p w:rsidR="004F2FE5" w:rsidRDefault="006D286C" w:rsidP="00B96E00">
                <w:pPr>
                  <w:tabs>
                    <w:tab w:val="right" w:pos="8838"/>
                  </w:tabs>
                  <w:ind w:left="33" w:right="-115"/>
                  <w:jc w:val="both"/>
                  <w:rPr>
                    <w:rFonts w:ascii="Palatino Linotype" w:eastAsia="Palatino Linotype" w:hAnsi="Palatino Linotype" w:cs="Palatino Linotype"/>
                  </w:rPr>
                </w:pPr>
                <w:r>
                  <w:rPr>
                    <w:rFonts w:ascii="Palatino Linotype" w:eastAsia="Palatino Linotype" w:hAnsi="Palatino Linotype" w:cs="Palatino Linotype"/>
                  </w:rPr>
                  <w:t>02618/INFOEM/IP/RR/2026</w:t>
                </w:r>
              </w:p>
            </w:tc>
          </w:tr>
          <w:tr w:rsidR="004F2FE5" w:rsidTr="00B96E00">
            <w:trPr>
              <w:trHeight w:val="144"/>
            </w:trPr>
            <w:tc>
              <w:tcPr>
                <w:tcW w:w="3510" w:type="dxa"/>
                <w:shd w:val="clear" w:color="auto" w:fill="auto"/>
              </w:tcPr>
              <w:p w:rsidR="004F2FE5" w:rsidRPr="00B96E00" w:rsidRDefault="006D286C">
                <w:pPr>
                  <w:tabs>
                    <w:tab w:val="right" w:pos="8838"/>
                  </w:tabs>
                  <w:ind w:left="708" w:right="-105"/>
                  <w:rPr>
                    <w:rFonts w:ascii="Palatino Linotype" w:eastAsia="Palatino Linotype" w:hAnsi="Palatino Linotype" w:cs="Palatino Linotype"/>
                    <w:b/>
                  </w:rPr>
                </w:pPr>
                <w:r w:rsidRPr="00B96E00">
                  <w:rPr>
                    <w:rFonts w:ascii="Palatino Linotype" w:eastAsia="Palatino Linotype" w:hAnsi="Palatino Linotype" w:cs="Palatino Linotype"/>
                    <w:b/>
                  </w:rPr>
                  <w:t>Recurrente:</w:t>
                </w:r>
              </w:p>
            </w:tc>
            <w:tc>
              <w:tcPr>
                <w:tcW w:w="4276" w:type="dxa"/>
                <w:shd w:val="clear" w:color="auto" w:fill="auto"/>
              </w:tcPr>
              <w:p w:rsidR="004F2FE5" w:rsidRDefault="005A4799">
                <w:pPr>
                  <w:tabs>
                    <w:tab w:val="left" w:pos="3122"/>
                    <w:tab w:val="right" w:pos="8838"/>
                  </w:tabs>
                  <w:ind w:left="33" w:right="-1375"/>
                  <w:jc w:val="both"/>
                  <w:rPr>
                    <w:rFonts w:ascii="Palatino Linotype" w:eastAsia="Palatino Linotype" w:hAnsi="Palatino Linotype" w:cs="Palatino Linotype"/>
                  </w:rPr>
                </w:pPr>
                <w:r>
                  <w:rPr>
                    <w:rFonts w:ascii="Palatino Linotype" w:eastAsia="Palatino Linotype" w:hAnsi="Palatino Linotype" w:cs="Palatino Linotype"/>
                  </w:rPr>
                  <w:t>XXXX</w:t>
                </w:r>
              </w:p>
            </w:tc>
          </w:tr>
          <w:tr w:rsidR="004F2FE5" w:rsidTr="00B96E00">
            <w:trPr>
              <w:trHeight w:val="283"/>
            </w:trPr>
            <w:tc>
              <w:tcPr>
                <w:tcW w:w="3510" w:type="dxa"/>
                <w:shd w:val="clear" w:color="auto" w:fill="auto"/>
              </w:tcPr>
              <w:p w:rsidR="004F2FE5" w:rsidRPr="00B96E00" w:rsidRDefault="006D286C">
                <w:pPr>
                  <w:tabs>
                    <w:tab w:val="right" w:pos="8838"/>
                  </w:tabs>
                  <w:ind w:left="708" w:right="-105"/>
                  <w:rPr>
                    <w:rFonts w:ascii="Palatino Linotype" w:eastAsia="Palatino Linotype" w:hAnsi="Palatino Linotype" w:cs="Palatino Linotype"/>
                    <w:b/>
                  </w:rPr>
                </w:pPr>
                <w:r w:rsidRPr="00B96E00">
                  <w:rPr>
                    <w:rFonts w:ascii="Palatino Linotype" w:eastAsia="Palatino Linotype" w:hAnsi="Palatino Linotype" w:cs="Palatino Linotype"/>
                    <w:b/>
                  </w:rPr>
                  <w:t>Sujeto Obligado:</w:t>
                </w:r>
              </w:p>
            </w:tc>
            <w:tc>
              <w:tcPr>
                <w:tcW w:w="4276" w:type="dxa"/>
                <w:shd w:val="clear" w:color="auto" w:fill="auto"/>
              </w:tcPr>
              <w:p w:rsidR="004F2FE5" w:rsidRDefault="006D286C">
                <w:pPr>
                  <w:tabs>
                    <w:tab w:val="left" w:pos="2834"/>
                    <w:tab w:val="right" w:pos="8838"/>
                  </w:tabs>
                  <w:ind w:left="33" w:right="-137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Secretaría de Desarrollo Urbano e </w:t>
                </w:r>
              </w:p>
              <w:p w:rsidR="004F2FE5" w:rsidRDefault="006D286C">
                <w:pPr>
                  <w:tabs>
                    <w:tab w:val="left" w:pos="2834"/>
                    <w:tab w:val="right" w:pos="8838"/>
                  </w:tabs>
                  <w:ind w:left="33" w:right="-1375"/>
                  <w:jc w:val="both"/>
                  <w:rPr>
                    <w:rFonts w:ascii="Palatino Linotype" w:eastAsia="Palatino Linotype" w:hAnsi="Palatino Linotype" w:cs="Palatino Linotype"/>
                  </w:rPr>
                </w:pPr>
                <w:r>
                  <w:rPr>
                    <w:rFonts w:ascii="Palatino Linotype" w:eastAsia="Palatino Linotype" w:hAnsi="Palatino Linotype" w:cs="Palatino Linotype"/>
                    <w:color w:val="000000"/>
                  </w:rPr>
                  <w:t>Infraestructura</w:t>
                </w:r>
              </w:p>
            </w:tc>
          </w:tr>
          <w:tr w:rsidR="004F2FE5" w:rsidTr="00B96E00">
            <w:trPr>
              <w:trHeight w:val="283"/>
            </w:trPr>
            <w:tc>
              <w:tcPr>
                <w:tcW w:w="3510" w:type="dxa"/>
                <w:shd w:val="clear" w:color="auto" w:fill="auto"/>
              </w:tcPr>
              <w:p w:rsidR="004F2FE5" w:rsidRPr="00B96E00" w:rsidRDefault="006D286C">
                <w:pPr>
                  <w:tabs>
                    <w:tab w:val="right" w:pos="8838"/>
                  </w:tabs>
                  <w:ind w:left="708" w:right="-105"/>
                  <w:rPr>
                    <w:rFonts w:ascii="Palatino Linotype" w:eastAsia="Palatino Linotype" w:hAnsi="Palatino Linotype" w:cs="Palatino Linotype"/>
                    <w:b/>
                  </w:rPr>
                </w:pPr>
                <w:r w:rsidRPr="00B96E00">
                  <w:rPr>
                    <w:rFonts w:ascii="Palatino Linotype" w:eastAsia="Palatino Linotype" w:hAnsi="Palatino Linotype" w:cs="Palatino Linotype"/>
                    <w:b/>
                  </w:rPr>
                  <w:t>Comisionado ponente:</w:t>
                </w:r>
              </w:p>
            </w:tc>
            <w:tc>
              <w:tcPr>
                <w:tcW w:w="4276" w:type="dxa"/>
                <w:shd w:val="clear" w:color="auto" w:fill="auto"/>
              </w:tcPr>
              <w:p w:rsidR="004F2FE5" w:rsidRDefault="006D286C">
                <w:pPr>
                  <w:tabs>
                    <w:tab w:val="right" w:pos="8838"/>
                  </w:tabs>
                  <w:ind w:left="33" w:right="-1375"/>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4F2FE5" w:rsidRDefault="004F2FE5">
                <w:pPr>
                  <w:tabs>
                    <w:tab w:val="right" w:pos="8838"/>
                  </w:tabs>
                  <w:ind w:left="33" w:right="-1375"/>
                  <w:jc w:val="both"/>
                  <w:rPr>
                    <w:rFonts w:ascii="Palatino Linotype" w:eastAsia="Palatino Linotype" w:hAnsi="Palatino Linotype" w:cs="Palatino Linotype"/>
                  </w:rPr>
                </w:pPr>
              </w:p>
            </w:tc>
          </w:tr>
        </w:tbl>
        <w:p w:rsidR="004F2FE5" w:rsidRDefault="004F2FE5">
          <w:pPr>
            <w:tabs>
              <w:tab w:val="right" w:pos="8838"/>
            </w:tabs>
            <w:ind w:left="-28"/>
            <w:jc w:val="both"/>
            <w:rPr>
              <w:rFonts w:ascii="Arial" w:eastAsia="Arial" w:hAnsi="Arial" w:cs="Arial"/>
              <w:b/>
              <w:bCs/>
              <w:sz w:val="22"/>
              <w:szCs w:val="22"/>
            </w:rPr>
          </w:pPr>
        </w:p>
      </w:tc>
    </w:tr>
  </w:tbl>
  <w:p w:rsidR="004F2FE5" w:rsidRDefault="007A2E9E">
    <w:pPr>
      <w:pBdr>
        <w:top w:val="nil"/>
        <w:left w:val="nil"/>
        <w:bottom w:val="nil"/>
        <w:right w:val="nil"/>
        <w:between w:val="nil"/>
      </w:pBdr>
      <w:tabs>
        <w:tab w:val="center" w:pos="4419"/>
        <w:tab w:val="right" w:pos="8838"/>
      </w:tabs>
      <w:rPr>
        <w:color w:val="000000"/>
        <w:sz w:val="2"/>
        <w:szCs w:val="2"/>
      </w:rPr>
    </w:pPr>
    <w:r>
      <w:rPr>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57.55pt;margin-top:-130.35pt;width:589.8pt;height:768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F00CE"/>
    <w:multiLevelType w:val="multilevel"/>
    <w:tmpl w:val="2C0ACCB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27A52553"/>
    <w:multiLevelType w:val="multilevel"/>
    <w:tmpl w:val="22FC75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2852EA4"/>
    <w:multiLevelType w:val="multilevel"/>
    <w:tmpl w:val="0DF488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44E679ED"/>
    <w:multiLevelType w:val="multilevel"/>
    <w:tmpl w:val="B92437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A035510"/>
    <w:multiLevelType w:val="multilevel"/>
    <w:tmpl w:val="41CCA3C4"/>
    <w:lvl w:ilvl="0">
      <w:start w:val="1"/>
      <w:numFmt w:val="decimal"/>
      <w:lvlText w:val="%1."/>
      <w:lvlJc w:val="left"/>
      <w:pPr>
        <w:ind w:left="2204" w:hanging="360"/>
      </w:pPr>
      <w:rPr>
        <w:rFonts w:ascii="Palatino Linotype" w:eastAsia="Palatino Linotype" w:hAnsi="Palatino Linotype" w:cs="Palatino Linotype"/>
        <w:b/>
        <w:bCs/>
        <w:i w:val="0"/>
        <w:iCs w:val="0"/>
        <w:color w:val="000000"/>
        <w:sz w:val="24"/>
        <w:szCs w:val="24"/>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FE5"/>
    <w:rsid w:val="000A7DEF"/>
    <w:rsid w:val="00386E20"/>
    <w:rsid w:val="004F2FE5"/>
    <w:rsid w:val="005A4799"/>
    <w:rsid w:val="006D286C"/>
    <w:rsid w:val="007A2E9E"/>
    <w:rsid w:val="00B96E00"/>
    <w:rsid w:val="00D060CA"/>
    <w:rsid w:val="00FC2E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0CD8CBB-30BC-45E8-BCE1-5D07F0377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0A7DEF"/>
    <w:pPr>
      <w:tabs>
        <w:tab w:val="center" w:pos="4419"/>
        <w:tab w:val="right" w:pos="8838"/>
      </w:tabs>
    </w:pPr>
  </w:style>
  <w:style w:type="character" w:customStyle="1" w:styleId="PiedepginaCar">
    <w:name w:val="Pie de página Car"/>
    <w:basedOn w:val="Fuentedeprrafopredeter"/>
    <w:link w:val="Piedepgina"/>
    <w:uiPriority w:val="99"/>
    <w:rsid w:val="000A7DEF"/>
  </w:style>
  <w:style w:type="paragraph" w:styleId="Prrafodelista">
    <w:name w:val="List Paragraph"/>
    <w:basedOn w:val="Normal"/>
    <w:uiPriority w:val="34"/>
    <w:qFormat/>
    <w:rsid w:val="00B96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z3UeSYtcngv/dnNM2tvk7siITg==">CgMxLjAyDmguMmpoNTFsaDVtYzR0Mg5oLjFscHNjN3I3MzF1bjIOaC44bGQ3NWtmdGpuMzcyDmguNXZieWlqNnJ3aDJzMg5oLmpkdWc5djI2eGJqdTIOaC5sNzY2czFqbjB4ejUyDmgucG9ycjJicDY0anBpMg5oLjl3a2M4N3l0NzczNjIOaC53cXpyYjYza2IzdW8yDmguYzNha2F6bGNscXFyMg5oLjFsMmhqcjN6cTFobTIOaC55YXVkZHl0N3ZodnU4AHIhMUlRbWxOSWR5OXBsbzNOR0hVaWF3YUVLenF2S211WXZ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2273</Words>
  <Characters>12505</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14749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INFOEM574</dc:creator>
  <cp:lastModifiedBy>Cuenta Microsoft</cp:lastModifiedBy>
  <cp:revision>6</cp:revision>
  <cp:lastPrinted>2026-06-29T15:57:00Z</cp:lastPrinted>
  <dcterms:created xsi:type="dcterms:W3CDTF">2026-06-24T19:15:00Z</dcterms:created>
  <dcterms:modified xsi:type="dcterms:W3CDTF">2026-07-02T23:34:00Z</dcterms:modified>
</cp:coreProperties>
</file>