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9C3" w:rsidRPr="00F2139C" w:rsidRDefault="00BF6403">
      <w:pPr>
        <w:spacing w:line="360" w:lineRule="auto"/>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854900" w:rsidRPr="00F2139C">
        <w:rPr>
          <w:rFonts w:ascii="Palatino Linotype" w:eastAsia="Palatino Linotype" w:hAnsi="Palatino Linotype" w:cs="Palatino Linotype"/>
          <w:b/>
          <w:bCs/>
        </w:rPr>
        <w:t>diecinueve</w:t>
      </w:r>
      <w:r w:rsidR="00F2139C">
        <w:rPr>
          <w:rFonts w:ascii="Palatino Linotype" w:eastAsia="Palatino Linotype" w:hAnsi="Palatino Linotype" w:cs="Palatino Linotype"/>
          <w:b/>
          <w:bCs/>
        </w:rPr>
        <w:t xml:space="preserve"> (19)</w:t>
      </w:r>
      <w:r w:rsidRPr="00F2139C">
        <w:rPr>
          <w:rFonts w:ascii="Palatino Linotype" w:eastAsia="Palatino Linotype" w:hAnsi="Palatino Linotype" w:cs="Palatino Linotype"/>
          <w:b/>
          <w:bCs/>
        </w:rPr>
        <w:t xml:space="preserve"> de marzo de veintiséis.</w:t>
      </w:r>
    </w:p>
    <w:p w:rsidR="00B339C3" w:rsidRPr="00F2139C" w:rsidRDefault="00B339C3">
      <w:pPr>
        <w:jc w:val="both"/>
        <w:rPr>
          <w:rFonts w:ascii="Palatino Linotype" w:eastAsia="Palatino Linotype" w:hAnsi="Palatino Linotype" w:cs="Palatino Linotype"/>
        </w:rPr>
      </w:pPr>
    </w:p>
    <w:p w:rsidR="00B339C3" w:rsidRPr="00F2139C" w:rsidRDefault="00BF6403">
      <w:pPr>
        <w:spacing w:line="360" w:lineRule="auto"/>
        <w:jc w:val="both"/>
        <w:rPr>
          <w:rFonts w:ascii="Palatino Linotype" w:eastAsia="Palatino Linotype" w:hAnsi="Palatino Linotype" w:cs="Palatino Linotype"/>
        </w:rPr>
      </w:pPr>
      <w:r w:rsidRPr="00F2139C">
        <w:rPr>
          <w:rFonts w:ascii="Palatino Linotype" w:eastAsia="Palatino Linotype" w:hAnsi="Palatino Linotype" w:cs="Palatino Linotype"/>
          <w:b/>
          <w:bCs/>
        </w:rPr>
        <w:t>VISTO</w:t>
      </w:r>
      <w:r w:rsidRPr="00F2139C">
        <w:rPr>
          <w:rFonts w:ascii="Palatino Linotype" w:eastAsia="Palatino Linotype" w:hAnsi="Palatino Linotype" w:cs="Palatino Linotype"/>
        </w:rPr>
        <w:t xml:space="preserve"> el expediente electrónico formado con motivo del recurso de revisión </w:t>
      </w:r>
      <w:r w:rsidRPr="00F2139C">
        <w:rPr>
          <w:rFonts w:ascii="Palatino Linotype" w:eastAsia="Palatino Linotype" w:hAnsi="Palatino Linotype" w:cs="Palatino Linotype"/>
          <w:b/>
          <w:bCs/>
        </w:rPr>
        <w:t xml:space="preserve">07868/INFOEM/IP/RR/2025, </w:t>
      </w:r>
      <w:r w:rsidRPr="00F2139C">
        <w:rPr>
          <w:rFonts w:ascii="Palatino Linotype" w:eastAsia="Palatino Linotype" w:hAnsi="Palatino Linotype" w:cs="Palatino Linotype"/>
        </w:rPr>
        <w:t xml:space="preserve">promovido por </w:t>
      </w:r>
      <w:r w:rsidR="00FA41AA">
        <w:rPr>
          <w:rFonts w:ascii="Palatino Linotype" w:eastAsia="Palatino Linotype" w:hAnsi="Palatino Linotype" w:cs="Palatino Linotype"/>
          <w:b/>
          <w:bCs/>
        </w:rPr>
        <w:t>XXXX</w:t>
      </w:r>
      <w:r w:rsidRPr="00F2139C">
        <w:rPr>
          <w:rFonts w:ascii="Palatino Linotype" w:eastAsia="Palatino Linotype" w:hAnsi="Palatino Linotype" w:cs="Palatino Linotype"/>
          <w:b/>
          <w:bCs/>
        </w:rPr>
        <w:t>,</w:t>
      </w:r>
      <w:r w:rsidR="00F2139C">
        <w:rPr>
          <w:rFonts w:ascii="Palatino Linotype" w:eastAsia="Palatino Linotype" w:hAnsi="Palatino Linotype" w:cs="Palatino Linotype"/>
        </w:rPr>
        <w:t xml:space="preserve"> en lo sucesi</w:t>
      </w:r>
      <w:bookmarkStart w:id="0" w:name="_GoBack"/>
      <w:bookmarkEnd w:id="0"/>
      <w:r w:rsidR="00F2139C">
        <w:rPr>
          <w:rFonts w:ascii="Palatino Linotype" w:eastAsia="Palatino Linotype" w:hAnsi="Palatino Linotype" w:cs="Palatino Linotype"/>
        </w:rPr>
        <w:t>vo el</w:t>
      </w:r>
      <w:r w:rsidRPr="00F2139C">
        <w:rPr>
          <w:rFonts w:ascii="Palatino Linotype" w:eastAsia="Palatino Linotype" w:hAnsi="Palatino Linotype" w:cs="Palatino Linotype"/>
          <w:b/>
          <w:bCs/>
        </w:rPr>
        <w:t xml:space="preserve"> RECURRENTE,</w:t>
      </w:r>
      <w:r w:rsidRPr="00F2139C">
        <w:rPr>
          <w:rFonts w:ascii="Palatino Linotype" w:eastAsia="Palatino Linotype" w:hAnsi="Palatino Linotype" w:cs="Palatino Linotype"/>
        </w:rPr>
        <w:t xml:space="preserve"> en contra de la respuesta del </w:t>
      </w:r>
      <w:r w:rsidRPr="00F2139C">
        <w:rPr>
          <w:rFonts w:ascii="Palatino Linotype" w:eastAsia="Palatino Linotype" w:hAnsi="Palatino Linotype" w:cs="Palatino Linotype"/>
          <w:b/>
          <w:bCs/>
        </w:rPr>
        <w:t xml:space="preserve">Ayuntamiento de Metepec, </w:t>
      </w:r>
      <w:r w:rsidR="00F2139C">
        <w:rPr>
          <w:rFonts w:ascii="Palatino Linotype" w:eastAsia="Palatino Linotype" w:hAnsi="Palatino Linotype" w:cs="Palatino Linotype"/>
        </w:rPr>
        <w:t xml:space="preserve">adelante el </w:t>
      </w:r>
      <w:r w:rsidRPr="00F2139C">
        <w:rPr>
          <w:rFonts w:ascii="Palatino Linotype" w:eastAsia="Palatino Linotype" w:hAnsi="Palatino Linotype" w:cs="Palatino Linotype"/>
          <w:b/>
          <w:bCs/>
        </w:rPr>
        <w:t xml:space="preserve"> SUJETO OBLIGADO</w:t>
      </w:r>
      <w:r w:rsidRPr="00F2139C">
        <w:rPr>
          <w:rFonts w:ascii="Palatino Linotype" w:eastAsia="Palatino Linotype" w:hAnsi="Palatino Linotype" w:cs="Palatino Linotype"/>
        </w:rPr>
        <w:t>, por lo que se procede a dictar la presente resolución, con base en los siguientes:</w:t>
      </w:r>
    </w:p>
    <w:p w:rsidR="00B339C3" w:rsidRPr="00F2139C" w:rsidRDefault="00B339C3">
      <w:pPr>
        <w:jc w:val="both"/>
        <w:rPr>
          <w:rFonts w:ascii="Palatino Linotype" w:eastAsia="Palatino Linotype" w:hAnsi="Palatino Linotype" w:cs="Palatino Linotype"/>
        </w:rPr>
      </w:pPr>
    </w:p>
    <w:p w:rsidR="00B339C3" w:rsidRPr="00F2139C" w:rsidRDefault="00BF6403">
      <w:pPr>
        <w:keepNext/>
        <w:keepLines/>
        <w:spacing w:line="360" w:lineRule="auto"/>
        <w:jc w:val="center"/>
        <w:rPr>
          <w:rFonts w:ascii="Palatino Linotype" w:eastAsia="Palatino Linotype" w:hAnsi="Palatino Linotype" w:cs="Palatino Linotype"/>
          <w:b/>
          <w:bCs/>
        </w:rPr>
      </w:pPr>
      <w:r w:rsidRPr="00F2139C">
        <w:rPr>
          <w:rFonts w:ascii="Palatino Linotype" w:eastAsia="Palatino Linotype" w:hAnsi="Palatino Linotype" w:cs="Palatino Linotype"/>
          <w:b/>
          <w:bCs/>
        </w:rPr>
        <w:t>A N T E C E D E N T E S</w:t>
      </w:r>
    </w:p>
    <w:p w:rsidR="00B339C3" w:rsidRPr="00F2139C" w:rsidRDefault="00B339C3">
      <w:pPr>
        <w:rPr>
          <w:rFonts w:ascii="Palatino Linotype" w:eastAsia="Palatino Linotype" w:hAnsi="Palatino Linotype" w:cs="Palatino Linotype"/>
        </w:rPr>
      </w:pPr>
    </w:p>
    <w:p w:rsidR="00B339C3" w:rsidRPr="00F2139C" w:rsidRDefault="00BF6403">
      <w:pPr>
        <w:numPr>
          <w:ilvl w:val="0"/>
          <w:numId w:val="1"/>
        </w:numPr>
        <w:spacing w:line="360" w:lineRule="auto"/>
        <w:ind w:left="0"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El </w:t>
      </w:r>
      <w:r w:rsidRPr="00F2139C">
        <w:rPr>
          <w:rFonts w:ascii="Palatino Linotype" w:eastAsia="Palatino Linotype" w:hAnsi="Palatino Linotype" w:cs="Palatino Linotype"/>
          <w:b/>
          <w:bCs/>
        </w:rPr>
        <w:t>treinta de mayo de dos mil veinticinco</w:t>
      </w:r>
      <w:r w:rsidRPr="00F2139C">
        <w:rPr>
          <w:rFonts w:ascii="Palatino Linotype" w:eastAsia="Palatino Linotype" w:hAnsi="Palatino Linotype" w:cs="Palatino Linotype"/>
        </w:rPr>
        <w:t>, la</w:t>
      </w:r>
      <w:r w:rsidRPr="00F2139C">
        <w:rPr>
          <w:rFonts w:ascii="Palatino Linotype" w:eastAsia="Palatino Linotype" w:hAnsi="Palatino Linotype" w:cs="Palatino Linotype"/>
          <w:b/>
          <w:bCs/>
        </w:rPr>
        <w:t xml:space="preserve"> RECURRENTE </w:t>
      </w:r>
      <w:r w:rsidRPr="00F2139C">
        <w:rPr>
          <w:rFonts w:ascii="Palatino Linotype" w:eastAsia="Palatino Linotype" w:hAnsi="Palatino Linotype" w:cs="Palatino Linotype"/>
        </w:rPr>
        <w:t>presentó ante  el Sujeto Obligado a través de la Plataforma Nacional de Transparencia (PNT), misma que se encuentra vinculada con el Sistema de Acceso a la Información Mexiquense (SAIMEX, la solicitud de información pública,</w:t>
      </w:r>
      <w:r w:rsidRPr="00F2139C">
        <w:t xml:space="preserve"> </w:t>
      </w:r>
      <w:r w:rsidRPr="00F2139C">
        <w:rPr>
          <w:rFonts w:ascii="Palatino Linotype" w:eastAsia="Palatino Linotype" w:hAnsi="Palatino Linotype" w:cs="Palatino Linotype"/>
          <w:b/>
          <w:bCs/>
        </w:rPr>
        <w:t>00235/METEPEC/IP/2025</w:t>
      </w:r>
      <w:r w:rsidRPr="00F2139C">
        <w:rPr>
          <w:rFonts w:ascii="Palatino Linotype" w:eastAsia="Palatino Linotype" w:hAnsi="Palatino Linotype" w:cs="Palatino Linotype"/>
        </w:rPr>
        <w:t xml:space="preserve"> en la que solicitó:</w:t>
      </w:r>
    </w:p>
    <w:p w:rsidR="00B339C3" w:rsidRPr="00F2139C" w:rsidRDefault="00B339C3">
      <w:pPr>
        <w:jc w:val="both"/>
        <w:rPr>
          <w:rFonts w:ascii="Palatino Linotype" w:eastAsia="Palatino Linotype" w:hAnsi="Palatino Linotype" w:cs="Palatino Linotype"/>
        </w:rPr>
      </w:pPr>
    </w:p>
    <w:p w:rsidR="00B339C3" w:rsidRPr="00F2139C" w:rsidRDefault="00BF6403">
      <w:pPr>
        <w:ind w:left="567" w:right="567"/>
        <w:jc w:val="both"/>
        <w:rPr>
          <w:rFonts w:ascii="Palatino Linotype" w:eastAsia="Palatino Linotype" w:hAnsi="Palatino Linotype" w:cs="Palatino Linotype"/>
          <w:i/>
          <w:iCs/>
          <w:color w:val="000000"/>
        </w:rPr>
      </w:pPr>
      <w:r w:rsidRPr="00F2139C">
        <w:rPr>
          <w:rFonts w:ascii="Palatino Linotype" w:eastAsia="Palatino Linotype" w:hAnsi="Palatino Linotype" w:cs="Palatino Linotype"/>
          <w:i/>
          <w:iCs/>
          <w:color w:val="000000"/>
        </w:rPr>
        <w:t xml:space="preserve">“Me permito solicitar el Plan de Contingencia para la Protección de Datos Personales de todas las áreas administrativas del Ayuntamiento de Metepec, DEL EJERCICIO FISCAL 2024 Y 2025.” (SIC) </w:t>
      </w:r>
    </w:p>
    <w:p w:rsidR="00B339C3" w:rsidRDefault="00B339C3">
      <w:pPr>
        <w:pBdr>
          <w:top w:val="nil"/>
          <w:left w:val="nil"/>
          <w:bottom w:val="nil"/>
          <w:right w:val="nil"/>
          <w:between w:val="nil"/>
        </w:pBdr>
        <w:jc w:val="both"/>
        <w:rPr>
          <w:rFonts w:ascii="Palatino Linotype" w:eastAsia="Palatino Linotype" w:hAnsi="Palatino Linotype" w:cs="Palatino Linotype"/>
          <w:color w:val="000000"/>
        </w:rPr>
      </w:pPr>
    </w:p>
    <w:p w:rsidR="00F2139C" w:rsidRPr="00F2139C" w:rsidRDefault="00F2139C">
      <w:pPr>
        <w:pBdr>
          <w:top w:val="nil"/>
          <w:left w:val="nil"/>
          <w:bottom w:val="nil"/>
          <w:right w:val="nil"/>
          <w:between w:val="nil"/>
        </w:pBdr>
        <w:jc w:val="both"/>
        <w:rPr>
          <w:rFonts w:ascii="Palatino Linotype" w:eastAsia="Palatino Linotype" w:hAnsi="Palatino Linotype" w:cs="Palatino Linotype"/>
          <w:color w:val="000000"/>
        </w:rPr>
      </w:pPr>
    </w:p>
    <w:p w:rsidR="00B339C3" w:rsidRPr="00F2139C" w:rsidRDefault="00BF6403" w:rsidP="00F2139C">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2139C">
        <w:rPr>
          <w:rFonts w:ascii="Palatino Linotype" w:eastAsia="Palatino Linotype" w:hAnsi="Palatino Linotype" w:cs="Palatino Linotype"/>
          <w:color w:val="000000"/>
        </w:rPr>
        <w:t xml:space="preserve">Se hace constar que se señaló como modalidad de entrega de la información a través del </w:t>
      </w:r>
      <w:r w:rsidRPr="00F2139C">
        <w:rPr>
          <w:rFonts w:ascii="Palatino Linotype" w:eastAsia="Palatino Linotype" w:hAnsi="Palatino Linotype" w:cs="Palatino Linotype"/>
          <w:b/>
          <w:bCs/>
          <w:color w:val="000000"/>
        </w:rPr>
        <w:t>SAIMEX.</w:t>
      </w:r>
    </w:p>
    <w:p w:rsidR="00B339C3" w:rsidRDefault="00B339C3">
      <w:pPr>
        <w:rPr>
          <w:rFonts w:ascii="Palatino Linotype" w:eastAsia="Palatino Linotype" w:hAnsi="Palatino Linotype" w:cs="Palatino Linotype"/>
        </w:rPr>
      </w:pPr>
    </w:p>
    <w:p w:rsidR="00F2139C" w:rsidRDefault="00F2139C">
      <w:pPr>
        <w:rPr>
          <w:rFonts w:ascii="Palatino Linotype" w:eastAsia="Palatino Linotype" w:hAnsi="Palatino Linotype" w:cs="Palatino Linotype"/>
        </w:rPr>
      </w:pPr>
    </w:p>
    <w:p w:rsidR="00F2139C" w:rsidRPr="00F2139C" w:rsidRDefault="00F2139C">
      <w:pPr>
        <w:rPr>
          <w:rFonts w:ascii="Palatino Linotype" w:eastAsia="Palatino Linotype" w:hAnsi="Palatino Linotype" w:cs="Palatino Linotype"/>
        </w:rPr>
      </w:pPr>
    </w:p>
    <w:p w:rsidR="00B339C3" w:rsidRPr="00F2139C" w:rsidRDefault="00BF6403">
      <w:pPr>
        <w:numPr>
          <w:ilvl w:val="0"/>
          <w:numId w:val="1"/>
        </w:numPr>
        <w:spacing w:line="360" w:lineRule="auto"/>
        <w:ind w:left="0"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El </w:t>
      </w:r>
      <w:r w:rsidRPr="00F2139C">
        <w:rPr>
          <w:rFonts w:ascii="Palatino Linotype" w:eastAsia="Palatino Linotype" w:hAnsi="Palatino Linotype" w:cs="Palatino Linotype"/>
          <w:b/>
          <w:bCs/>
        </w:rPr>
        <w:t>veinte de junio de dos mil veinticinco</w:t>
      </w:r>
      <w:r w:rsidRPr="00F2139C">
        <w:rPr>
          <w:rFonts w:ascii="Palatino Linotype" w:eastAsia="Palatino Linotype" w:hAnsi="Palatino Linotype" w:cs="Palatino Linotype"/>
        </w:rPr>
        <w:t xml:space="preserve">, el </w:t>
      </w:r>
      <w:r w:rsidRPr="00F2139C">
        <w:rPr>
          <w:rFonts w:ascii="Palatino Linotype" w:eastAsia="Palatino Linotype" w:hAnsi="Palatino Linotype" w:cs="Palatino Linotype"/>
          <w:b/>
          <w:bCs/>
        </w:rPr>
        <w:t>SUJETO OBLIGADO</w:t>
      </w:r>
      <w:r w:rsidRPr="00F2139C">
        <w:rPr>
          <w:rFonts w:ascii="Palatino Linotype" w:eastAsia="Palatino Linotype" w:hAnsi="Palatino Linotype" w:cs="Palatino Linotype"/>
          <w:b/>
          <w:bCs/>
          <w:i/>
          <w:iCs/>
        </w:rPr>
        <w:t xml:space="preserve"> </w:t>
      </w:r>
      <w:r w:rsidRPr="00F2139C">
        <w:rPr>
          <w:rFonts w:ascii="Palatino Linotype" w:eastAsia="Palatino Linotype" w:hAnsi="Palatino Linotype" w:cs="Palatino Linotype"/>
        </w:rPr>
        <w:t>dio respuesta a la solicitud de información, en los siguientes términos:</w:t>
      </w:r>
    </w:p>
    <w:p w:rsidR="00B339C3" w:rsidRPr="00F2139C" w:rsidRDefault="002C2B3C">
      <w:pPr>
        <w:ind w:left="567" w:right="1276"/>
        <w:jc w:val="both"/>
        <w:rPr>
          <w:rFonts w:ascii="Palatino Linotype" w:eastAsia="Palatino Linotype" w:hAnsi="Palatino Linotype" w:cs="Palatino Linotype"/>
          <w:color w:val="000000"/>
        </w:rPr>
      </w:pPr>
      <w:hyperlink r:id="rId8">
        <w:r w:rsidR="00BF6403" w:rsidRPr="00F2139C">
          <w:rPr>
            <w:rFonts w:ascii="Palatino Linotype" w:eastAsia="Palatino Linotype" w:hAnsi="Palatino Linotype" w:cs="Palatino Linotype"/>
            <w:b/>
            <w:bCs/>
            <w:color w:val="000000"/>
          </w:rPr>
          <w:t>235.PDF</w:t>
        </w:r>
      </w:hyperlink>
      <w:r w:rsidR="00BF6403" w:rsidRPr="00F2139C">
        <w:rPr>
          <w:rFonts w:ascii="Palatino Linotype" w:eastAsia="Palatino Linotype" w:hAnsi="Palatino Linotype" w:cs="Palatino Linotype"/>
        </w:rPr>
        <w:t xml:space="preserve">: Oficio </w:t>
      </w:r>
      <w:r w:rsidR="00BF6403" w:rsidRPr="00F2139C">
        <w:rPr>
          <w:rFonts w:ascii="Palatino Linotype" w:eastAsia="Palatino Linotype" w:hAnsi="Palatino Linotype" w:cs="Palatino Linotype"/>
          <w:color w:val="000000"/>
        </w:rPr>
        <w:t>suscrito por el Director de Transparencia y Gobierno Abierto, por medio del cual, informó que el “Plan de Contingencia” se clasifica como confidencial en su totalidad ya que es la descripción detallada de las acciones preventivas y correctivas para adecuar las medidas de seguridad y el tratamiento de los datos personales si fuese el caso, a efecto de evitar que las violaciones se repitan en los sistemas y/o bases de datos personales que administra el Ayuntamiento de Metepec, de conformidad con el Acuerdo No.</w:t>
      </w:r>
      <w:r w:rsidR="00BF6403" w:rsidRPr="00F2139C">
        <w:rPr>
          <w:rFonts w:ascii="Palatino Linotype" w:eastAsia="Palatino Linotype" w:hAnsi="Palatino Linotype" w:cs="Palatino Linotype"/>
          <w:i/>
          <w:iCs/>
          <w:color w:val="000000"/>
        </w:rPr>
        <w:t xml:space="preserve"> </w:t>
      </w:r>
      <w:r w:rsidR="00BF6403" w:rsidRPr="00F2139C">
        <w:rPr>
          <w:rFonts w:ascii="Palatino Linotype" w:eastAsia="Palatino Linotype" w:hAnsi="Palatino Linotype" w:cs="Palatino Linotype"/>
          <w:color w:val="000000"/>
        </w:rPr>
        <w:t>10/CT/MET/EXTO14/2025 del Comité de Transparencia.</w:t>
      </w:r>
    </w:p>
    <w:p w:rsidR="00B339C3" w:rsidRPr="00F2139C" w:rsidRDefault="00B339C3">
      <w:pPr>
        <w:ind w:right="-592"/>
        <w:jc w:val="both"/>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El </w:t>
      </w:r>
      <w:r w:rsidRPr="00F2139C">
        <w:rPr>
          <w:rFonts w:ascii="Palatino Linotype" w:eastAsia="Palatino Linotype" w:hAnsi="Palatino Linotype" w:cs="Palatino Linotype"/>
          <w:b/>
          <w:bCs/>
        </w:rPr>
        <w:t>veintisiete de junio de dos mil veinticinco</w:t>
      </w:r>
      <w:r w:rsidRPr="00F2139C">
        <w:rPr>
          <w:rFonts w:ascii="Palatino Linotype" w:eastAsia="Palatino Linotype" w:hAnsi="Palatino Linotype" w:cs="Palatino Linotype"/>
        </w:rPr>
        <w:t>,</w:t>
      </w:r>
      <w:r w:rsidRPr="00F2139C">
        <w:rPr>
          <w:rFonts w:ascii="Palatino Linotype" w:eastAsia="Palatino Linotype" w:hAnsi="Palatino Linotype" w:cs="Palatino Linotype"/>
          <w:b/>
          <w:bCs/>
        </w:rPr>
        <w:t xml:space="preserve"> </w:t>
      </w:r>
      <w:r w:rsidRPr="00F2139C">
        <w:rPr>
          <w:rFonts w:ascii="Palatino Linotype" w:eastAsia="Palatino Linotype" w:hAnsi="Palatino Linotype" w:cs="Palatino Linotype"/>
        </w:rPr>
        <w:t xml:space="preserve">el </w:t>
      </w:r>
      <w:r w:rsidRPr="00F2139C">
        <w:rPr>
          <w:rFonts w:ascii="Palatino Linotype" w:eastAsia="Palatino Linotype" w:hAnsi="Palatino Linotype" w:cs="Palatino Linotype"/>
          <w:b/>
          <w:bCs/>
        </w:rPr>
        <w:t>RECURRENTE</w:t>
      </w:r>
      <w:r w:rsidRPr="00F2139C">
        <w:rPr>
          <w:rFonts w:ascii="Palatino Linotype" w:eastAsia="Palatino Linotype" w:hAnsi="Palatino Linotype" w:cs="Palatino Linotype"/>
        </w:rPr>
        <w:t xml:space="preserve"> interpuso el recurso de revisión en contra de la respuesta, señalando como:</w:t>
      </w:r>
    </w:p>
    <w:p w:rsidR="00B339C3" w:rsidRPr="00F2139C" w:rsidRDefault="00B339C3">
      <w:pPr>
        <w:ind w:right="1"/>
        <w:jc w:val="both"/>
        <w:rPr>
          <w:rFonts w:ascii="Palatino Linotype" w:eastAsia="Palatino Linotype" w:hAnsi="Palatino Linotype" w:cs="Palatino Linotype"/>
        </w:rPr>
      </w:pPr>
    </w:p>
    <w:p w:rsidR="00B339C3" w:rsidRPr="00F2139C" w:rsidRDefault="00F2139C" w:rsidP="00F2139C">
      <w:pPr>
        <w:pStyle w:val="Prrafodelista"/>
        <w:numPr>
          <w:ilvl w:val="0"/>
          <w:numId w:val="7"/>
        </w:numPr>
        <w:ind w:right="1134"/>
        <w:jc w:val="both"/>
        <w:rPr>
          <w:rFonts w:ascii="Palatino Linotype" w:eastAsia="Palatino Linotype" w:hAnsi="Palatino Linotype" w:cs="Palatino Linotype"/>
          <w:i/>
          <w:iCs/>
          <w:sz w:val="24"/>
        </w:rPr>
      </w:pPr>
      <w:r w:rsidRPr="00F2139C">
        <w:rPr>
          <w:rFonts w:ascii="Palatino Linotype" w:eastAsia="Palatino Linotype" w:hAnsi="Palatino Linotype" w:cs="Palatino Linotype"/>
          <w:b/>
          <w:bCs/>
          <w:sz w:val="24"/>
        </w:rPr>
        <w:t>ACTO IMPUGNADO</w:t>
      </w:r>
      <w:r w:rsidR="00BF6403" w:rsidRPr="00F2139C">
        <w:rPr>
          <w:rFonts w:ascii="Palatino Linotype" w:eastAsia="Palatino Linotype" w:hAnsi="Palatino Linotype" w:cs="Palatino Linotype"/>
          <w:b/>
          <w:bCs/>
          <w:i/>
          <w:iCs/>
          <w:sz w:val="24"/>
        </w:rPr>
        <w:t>:</w:t>
      </w:r>
      <w:r w:rsidR="00BF6403" w:rsidRPr="00F2139C">
        <w:rPr>
          <w:rFonts w:ascii="Palatino Linotype" w:eastAsia="Palatino Linotype" w:hAnsi="Palatino Linotype" w:cs="Palatino Linotype"/>
          <w:i/>
          <w:iCs/>
          <w:color w:val="000000"/>
          <w:sz w:val="24"/>
        </w:rPr>
        <w:t xml:space="preserve"> “NO PROPORCIONA ACTA DEL COMITE DE TRANSPARENCIA, NO SE PUEDE DETERMINARA QUE HAYA AGOTADO EL PROCEDIMIENTO PARA PROPORCIONAR LA INFORMACION SOLICITADA , NO EFECTUA UNA CLASIFICACIOON DE INFORMACION CORREECTA YA QUE LA CLASIFICAC COMO RESERVADA CUANDO ES CONFIEDENCIAL Y EN ESE ENTENDIDO NO PROPORCIONA LA VERCION PUBLICA DE LOS PLANES DE CONTINGENCIA QUE ESTAN BAJO EL PODER DEL SUJETO OBLIGADO , YA QUE CON SU CONTESTACION ACEPTA TENER LA INFORMACION. (Sic)</w:t>
      </w:r>
    </w:p>
    <w:p w:rsidR="00B339C3" w:rsidRPr="00F2139C" w:rsidRDefault="00B339C3" w:rsidP="00F2139C">
      <w:pPr>
        <w:ind w:right="1134"/>
        <w:jc w:val="both"/>
        <w:rPr>
          <w:rFonts w:ascii="Palatino Linotype" w:eastAsia="Palatino Linotype" w:hAnsi="Palatino Linotype" w:cs="Palatino Linotype"/>
        </w:rPr>
      </w:pPr>
    </w:p>
    <w:p w:rsidR="00B339C3" w:rsidRPr="00F2139C" w:rsidRDefault="00F2139C" w:rsidP="00F2139C">
      <w:pPr>
        <w:pStyle w:val="Prrafodelista"/>
        <w:numPr>
          <w:ilvl w:val="0"/>
          <w:numId w:val="7"/>
        </w:numPr>
        <w:ind w:right="1134"/>
        <w:jc w:val="both"/>
        <w:rPr>
          <w:rFonts w:ascii="Palatino Linotype" w:eastAsia="Palatino Linotype" w:hAnsi="Palatino Linotype" w:cs="Palatino Linotype"/>
          <w:i/>
          <w:iCs/>
          <w:sz w:val="24"/>
        </w:rPr>
      </w:pPr>
      <w:r w:rsidRPr="00F2139C">
        <w:rPr>
          <w:rFonts w:ascii="Palatino Linotype" w:eastAsia="Palatino Linotype" w:hAnsi="Palatino Linotype" w:cs="Palatino Linotype"/>
          <w:b/>
          <w:bCs/>
          <w:sz w:val="24"/>
        </w:rPr>
        <w:t>RAZONES O MOTIVOS DE INCONFORMIDAD</w:t>
      </w:r>
      <w:r w:rsidR="00BF6403" w:rsidRPr="00F2139C">
        <w:rPr>
          <w:rFonts w:ascii="Palatino Linotype" w:eastAsia="Palatino Linotype" w:hAnsi="Palatino Linotype" w:cs="Palatino Linotype"/>
          <w:b/>
          <w:bCs/>
          <w:sz w:val="24"/>
        </w:rPr>
        <w:t xml:space="preserve">: </w:t>
      </w:r>
      <w:r w:rsidR="00BF6403" w:rsidRPr="00F2139C">
        <w:rPr>
          <w:rFonts w:ascii="Palatino Linotype" w:eastAsia="Palatino Linotype" w:hAnsi="Palatino Linotype" w:cs="Palatino Linotype"/>
          <w:i/>
          <w:iCs/>
          <w:color w:val="000000"/>
          <w:sz w:val="24"/>
        </w:rPr>
        <w:t>“OLA PESIMA CLASIFICACION DE INFORMACION” (Sic)</w:t>
      </w:r>
    </w:p>
    <w:p w:rsidR="00B339C3" w:rsidRPr="00F2139C" w:rsidRDefault="00B339C3">
      <w:pPr>
        <w:ind w:right="568"/>
        <w:jc w:val="both"/>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F2139C">
        <w:rPr>
          <w:rFonts w:ascii="Palatino Linotype" w:eastAsia="Palatino Linotype" w:hAnsi="Palatino Linotype" w:cs="Palatino Linotype"/>
          <w:b/>
          <w:bCs/>
        </w:rPr>
        <w:t xml:space="preserve">Ley de Transparencia y Acceso a la Información Pública del Estado de México y Municipios </w:t>
      </w:r>
      <w:r w:rsidRPr="00F2139C">
        <w:rPr>
          <w:rFonts w:ascii="Palatino Linotype" w:eastAsia="Palatino Linotype" w:hAnsi="Palatino Linotype" w:cs="Palatino Linotype"/>
        </w:rPr>
        <w:t xml:space="preserve">se turna a la </w:t>
      </w:r>
      <w:r w:rsidRPr="00F2139C">
        <w:rPr>
          <w:rFonts w:ascii="Palatino Linotype" w:eastAsia="Palatino Linotype" w:hAnsi="Palatino Linotype" w:cs="Palatino Linotype"/>
          <w:b/>
          <w:bCs/>
        </w:rPr>
        <w:t xml:space="preserve">Comisionada María del Rosario Mejía Ayala, </w:t>
      </w:r>
      <w:r w:rsidRPr="00F2139C">
        <w:rPr>
          <w:rFonts w:ascii="Palatino Linotype" w:eastAsia="Palatino Linotype" w:hAnsi="Palatino Linotype" w:cs="Palatino Linotype"/>
        </w:rPr>
        <w:t xml:space="preserve">para su análisis. </w:t>
      </w:r>
    </w:p>
    <w:p w:rsidR="00B339C3" w:rsidRPr="00F2139C" w:rsidRDefault="00B339C3">
      <w:pPr>
        <w:ind w:right="-592"/>
        <w:jc w:val="both"/>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color w:val="000000"/>
        </w:rPr>
      </w:pPr>
      <w:r w:rsidRPr="00F2139C">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del </w:t>
      </w:r>
      <w:r w:rsidRPr="00F2139C">
        <w:rPr>
          <w:rFonts w:ascii="Palatino Linotype" w:eastAsia="Palatino Linotype" w:hAnsi="Palatino Linotype" w:cs="Palatino Linotype"/>
          <w:b/>
          <w:bCs/>
        </w:rPr>
        <w:t xml:space="preserve">treinta de junio de dos mil </w:t>
      </w:r>
      <w:r w:rsidRPr="00F2139C">
        <w:rPr>
          <w:rFonts w:ascii="Palatino Linotype" w:eastAsia="Palatino Linotype" w:hAnsi="Palatino Linotype" w:cs="Palatino Linotype"/>
          <w:b/>
          <w:bCs/>
        </w:rPr>
        <w:lastRenderedPageBreak/>
        <w:t>veinticinco</w:t>
      </w:r>
      <w:r w:rsidRPr="00F2139C">
        <w:rPr>
          <w:rFonts w:ascii="Palatino Linotype" w:eastAsia="Palatino Linotype" w:hAnsi="Palatino Linotype" w:cs="Palatino Linotype"/>
        </w:rPr>
        <w:t xml:space="preserve">, puso a disposición de las partes el expediente electrónico vía </w:t>
      </w:r>
      <w:r w:rsidRPr="00F2139C">
        <w:rPr>
          <w:rFonts w:ascii="Palatino Linotype" w:eastAsia="Palatino Linotype" w:hAnsi="Palatino Linotype" w:cs="Palatino Linotype"/>
          <w:b/>
          <w:bCs/>
        </w:rPr>
        <w:t xml:space="preserve">SAIMEX </w:t>
      </w:r>
      <w:r w:rsidRPr="00F2139C">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F2139C">
        <w:rPr>
          <w:rFonts w:ascii="Palatino Linotype" w:eastAsia="Palatino Linotype" w:hAnsi="Palatino Linotype" w:cs="Palatino Linotype"/>
          <w:b/>
          <w:bCs/>
        </w:rPr>
        <w:t>SUJETO OBLIGADO</w:t>
      </w:r>
      <w:r w:rsidRPr="00F2139C">
        <w:rPr>
          <w:rFonts w:ascii="Palatino Linotype" w:eastAsia="Palatino Linotype" w:hAnsi="Palatino Linotype" w:cs="Palatino Linotype"/>
        </w:rPr>
        <w:t xml:space="preserve"> presentará el informe justificado procedente. </w:t>
      </w:r>
    </w:p>
    <w:p w:rsidR="00B339C3" w:rsidRPr="00F2139C" w:rsidRDefault="00B339C3">
      <w:pPr>
        <w:ind w:right="-592"/>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El </w:t>
      </w:r>
      <w:r w:rsidRPr="00F2139C">
        <w:rPr>
          <w:rFonts w:ascii="Palatino Linotype" w:eastAsia="Palatino Linotype" w:hAnsi="Palatino Linotype" w:cs="Palatino Linotype"/>
          <w:b/>
          <w:bCs/>
        </w:rPr>
        <w:t>SUJETO OBLIGADO</w:t>
      </w:r>
      <w:r w:rsidRPr="00F2139C">
        <w:rPr>
          <w:rFonts w:ascii="Palatino Linotype" w:eastAsia="Palatino Linotype" w:hAnsi="Palatino Linotype" w:cs="Palatino Linotype"/>
        </w:rPr>
        <w:t xml:space="preserve"> no rindió el informe justificado correspondiente; por su parte, el </w:t>
      </w:r>
      <w:r w:rsidRPr="00F2139C">
        <w:rPr>
          <w:rFonts w:ascii="Palatino Linotype" w:eastAsia="Palatino Linotype" w:hAnsi="Palatino Linotype" w:cs="Palatino Linotype"/>
          <w:b/>
          <w:bCs/>
        </w:rPr>
        <w:t xml:space="preserve">RECURRENTE </w:t>
      </w:r>
      <w:r w:rsidRPr="00F2139C">
        <w:rPr>
          <w:rFonts w:ascii="Palatino Linotype" w:eastAsia="Palatino Linotype" w:hAnsi="Palatino Linotype" w:cs="Palatino Linotype"/>
        </w:rPr>
        <w:t>no realizó manifestaciones, ni ofreció pruebas o alegatos que a su derecho conviniera.</w:t>
      </w:r>
    </w:p>
    <w:p w:rsidR="00B339C3" w:rsidRPr="00F2139C" w:rsidRDefault="00B339C3">
      <w:pPr>
        <w:pBdr>
          <w:top w:val="nil"/>
          <w:left w:val="nil"/>
          <w:bottom w:val="nil"/>
          <w:right w:val="nil"/>
          <w:between w:val="nil"/>
        </w:pBdr>
        <w:ind w:left="720"/>
        <w:rPr>
          <w:rFonts w:ascii="Palatino Linotype" w:eastAsia="Palatino Linotype" w:hAnsi="Palatino Linotype" w:cs="Palatino Linotype"/>
          <w:color w:val="000000"/>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El </w:t>
      </w:r>
      <w:r w:rsidRPr="00F2139C">
        <w:rPr>
          <w:rFonts w:ascii="Palatino Linotype" w:eastAsia="Palatino Linotype" w:hAnsi="Palatino Linotype" w:cs="Palatino Linotype"/>
          <w:b/>
          <w:bCs/>
        </w:rPr>
        <w:t xml:space="preserve">diez de marzo de dos mil veintiséis, </w:t>
      </w:r>
      <w:r w:rsidRPr="00F2139C">
        <w:rPr>
          <w:rFonts w:ascii="Palatino Linotype" w:eastAsia="Palatino Linotype" w:hAnsi="Palatino Linotype" w:cs="Palatino Linotype"/>
        </w:rPr>
        <w:t>se notificó el acuerdo por el que se aprobó la ampliación del plazo para resolver.</w:t>
      </w:r>
    </w:p>
    <w:p w:rsidR="00B339C3" w:rsidRPr="00F2139C" w:rsidRDefault="00B339C3">
      <w:pPr>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rPr>
        <w:t xml:space="preserve">La Comisionada Ponente decretó el cierre de instrucción mediante el acuerdo del </w:t>
      </w:r>
      <w:r w:rsidRPr="00F2139C">
        <w:rPr>
          <w:rFonts w:ascii="Palatino Linotype" w:eastAsia="Palatino Linotype" w:hAnsi="Palatino Linotype" w:cs="Palatino Linotype"/>
          <w:b/>
          <w:bCs/>
        </w:rPr>
        <w:t>diez de marzo de dos mil veintiséis</w:t>
      </w:r>
      <w:r w:rsidRPr="00F2139C">
        <w:rPr>
          <w:rFonts w:ascii="Palatino Linotype" w:eastAsia="Palatino Linotype" w:hAnsi="Palatino Linotype" w:cs="Palatino Linotype"/>
        </w:rPr>
        <w:t xml:space="preserve">. </w:t>
      </w:r>
    </w:p>
    <w:p w:rsidR="00B339C3" w:rsidRPr="00F2139C" w:rsidRDefault="00B339C3">
      <w:pPr>
        <w:rPr>
          <w:rFonts w:ascii="Palatino Linotype" w:eastAsia="Palatino Linotype" w:hAnsi="Palatino Linotype" w:cs="Palatino Linotype"/>
          <w:b/>
          <w:bCs/>
        </w:rPr>
      </w:pPr>
    </w:p>
    <w:p w:rsidR="00B339C3" w:rsidRPr="00F2139C" w:rsidRDefault="00BF6403">
      <w:pPr>
        <w:keepNext/>
        <w:keepLines/>
        <w:spacing w:line="360" w:lineRule="auto"/>
        <w:ind w:right="-592"/>
        <w:jc w:val="center"/>
        <w:rPr>
          <w:rFonts w:ascii="Palatino Linotype" w:eastAsia="Palatino Linotype" w:hAnsi="Palatino Linotype" w:cs="Palatino Linotype"/>
          <w:b/>
          <w:bCs/>
        </w:rPr>
      </w:pPr>
      <w:r w:rsidRPr="00F2139C">
        <w:rPr>
          <w:rFonts w:ascii="Palatino Linotype" w:eastAsia="Palatino Linotype" w:hAnsi="Palatino Linotype" w:cs="Palatino Linotype"/>
          <w:b/>
          <w:bCs/>
        </w:rPr>
        <w:t xml:space="preserve">C O N S I D E R A N D O </w:t>
      </w:r>
    </w:p>
    <w:p w:rsidR="00B339C3" w:rsidRPr="00F2139C" w:rsidRDefault="00B339C3">
      <w:pPr>
        <w:keepNext/>
        <w:keepLines/>
        <w:ind w:right="-592"/>
        <w:rPr>
          <w:rFonts w:ascii="Palatino Linotype" w:eastAsia="Palatino Linotype" w:hAnsi="Palatino Linotype" w:cs="Palatino Linotype"/>
        </w:rPr>
      </w:pPr>
    </w:p>
    <w:p w:rsidR="00B339C3" w:rsidRPr="00F2139C" w:rsidRDefault="00BF6403">
      <w:pPr>
        <w:keepNext/>
        <w:keepLines/>
        <w:spacing w:line="360" w:lineRule="auto"/>
        <w:ind w:right="-592"/>
        <w:rPr>
          <w:rFonts w:ascii="Palatino Linotype" w:eastAsia="Palatino Linotype" w:hAnsi="Palatino Linotype" w:cs="Palatino Linotype"/>
          <w:b/>
          <w:bCs/>
        </w:rPr>
      </w:pPr>
      <w:r w:rsidRPr="00F2139C">
        <w:rPr>
          <w:rFonts w:ascii="Palatino Linotype" w:eastAsia="Palatino Linotype" w:hAnsi="Palatino Linotype" w:cs="Palatino Linotype"/>
          <w:b/>
          <w:bCs/>
        </w:rPr>
        <w:t>PRIMERO. De la competencia.</w:t>
      </w: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bookmarkStart w:id="1" w:name="_heading=h.3znysh7" w:colFirst="0" w:colLast="0"/>
      <w:bookmarkEnd w:id="1"/>
      <w:r w:rsidRPr="00F2139C">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w:t>
      </w:r>
      <w:r w:rsidRPr="00F2139C">
        <w:rPr>
          <w:rFonts w:ascii="Palatino Linotype" w:eastAsia="Palatino Linotype" w:hAnsi="Palatino Linotype" w:cs="Palatino Linotype"/>
        </w:rPr>
        <w:lastRenderedPageBreak/>
        <w:t>XXIV, y 11 del Reglamento Interior del Instituto de Transparencia, Acceso a la Información Pública y Protección de Datos Personales del Estado de México y Municipios.</w:t>
      </w:r>
    </w:p>
    <w:p w:rsidR="00B339C3" w:rsidRPr="00F2139C" w:rsidRDefault="00B339C3">
      <w:pPr>
        <w:ind w:right="1"/>
        <w:jc w:val="both"/>
        <w:rPr>
          <w:rFonts w:ascii="Palatino Linotype" w:eastAsia="Palatino Linotype" w:hAnsi="Palatino Linotype" w:cs="Palatino Linotype"/>
        </w:rPr>
      </w:pPr>
    </w:p>
    <w:p w:rsidR="00B339C3" w:rsidRPr="00F2139C" w:rsidRDefault="00BF6403">
      <w:pPr>
        <w:keepNext/>
        <w:keepLines/>
        <w:spacing w:line="360" w:lineRule="auto"/>
        <w:ind w:right="1"/>
        <w:rPr>
          <w:rFonts w:ascii="Palatino Linotype" w:eastAsia="Palatino Linotype" w:hAnsi="Palatino Linotype" w:cs="Palatino Linotype"/>
          <w:b/>
          <w:bCs/>
        </w:rPr>
      </w:pPr>
      <w:r w:rsidRPr="00F2139C">
        <w:rPr>
          <w:rFonts w:ascii="Palatino Linotype" w:eastAsia="Palatino Linotype" w:hAnsi="Palatino Linotype" w:cs="Palatino Linotype"/>
          <w:b/>
          <w:bCs/>
        </w:rPr>
        <w:t>SEGUNDO. De la oportunidad y procedencia.</w:t>
      </w: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bookmarkStart w:id="2" w:name="_heading=h.3dy6vkm" w:colFirst="0" w:colLast="0"/>
      <w:bookmarkEnd w:id="2"/>
      <w:r w:rsidRPr="00F2139C">
        <w:rPr>
          <w:rFonts w:ascii="Palatino Linotype" w:eastAsia="Palatino Linotype" w:hAnsi="Palatino Linotype" w:cs="Palatino Linotype"/>
        </w:rPr>
        <w:t xml:space="preserve">El medio de impugnación fue presentado a través del </w:t>
      </w:r>
      <w:r w:rsidRPr="00F2139C">
        <w:rPr>
          <w:rFonts w:ascii="Palatino Linotype" w:eastAsia="Palatino Linotype" w:hAnsi="Palatino Linotype" w:cs="Palatino Linotype"/>
          <w:b/>
          <w:bCs/>
        </w:rPr>
        <w:t>SAIMEX,</w:t>
      </w:r>
      <w:r w:rsidRPr="00F2139C">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F2139C">
        <w:rPr>
          <w:rFonts w:ascii="Palatino Linotype" w:eastAsia="Palatino Linotype" w:hAnsi="Palatino Linotype" w:cs="Palatino Linotype"/>
          <w:b/>
          <w:bCs/>
        </w:rPr>
        <w:t>SUJETO OBLIGADO</w:t>
      </w:r>
      <w:r w:rsidRPr="00F2139C">
        <w:rPr>
          <w:rFonts w:ascii="Palatino Linotype" w:eastAsia="Palatino Linotype" w:hAnsi="Palatino Linotype" w:cs="Palatino Linotype"/>
        </w:rPr>
        <w:t xml:space="preserve"> entregó respuesta el veinte de junio de dos mil veinticinco, de tal forma que el plazo para interponer el recurso de revisión transcurrió del veintitrés de junio al once de julio de dos mil veinticinco; en consecuencia, presentó su inconformidad el veintisiete de junio de dos mil veinticinco, por lo que se encuentra dentro de los márgenes temporales previstos en el artículo 178 de la </w:t>
      </w:r>
      <w:r w:rsidRPr="00F2139C">
        <w:rPr>
          <w:rFonts w:ascii="Palatino Linotype" w:eastAsia="Palatino Linotype" w:hAnsi="Palatino Linotype" w:cs="Palatino Linotype"/>
          <w:b/>
          <w:bCs/>
        </w:rPr>
        <w:t xml:space="preserve">Ley de Transparencia y Acceso a la Información Pública del Estado de México y Municipios </w:t>
      </w:r>
      <w:r w:rsidRPr="00F2139C">
        <w:rPr>
          <w:rFonts w:ascii="Palatino Linotype" w:eastAsia="Palatino Linotype" w:hAnsi="Palatino Linotype" w:cs="Palatino Linotype"/>
        </w:rPr>
        <w:t>vigente.</w:t>
      </w:r>
    </w:p>
    <w:p w:rsidR="00B339C3" w:rsidRPr="00F2139C" w:rsidRDefault="00B339C3">
      <w:pPr>
        <w:ind w:right="1"/>
        <w:jc w:val="both"/>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339C3" w:rsidRPr="00F2139C" w:rsidRDefault="00B339C3">
      <w:pPr>
        <w:ind w:right="-592"/>
        <w:jc w:val="both"/>
        <w:rPr>
          <w:rFonts w:ascii="Palatino Linotype" w:eastAsia="Palatino Linotype" w:hAnsi="Palatino Linotype" w:cs="Palatino Linotype"/>
          <w:b/>
          <w:bCs/>
        </w:rPr>
      </w:pPr>
    </w:p>
    <w:p w:rsidR="00B339C3" w:rsidRPr="00F2139C" w:rsidRDefault="00BF6403">
      <w:pPr>
        <w:spacing w:line="360" w:lineRule="auto"/>
        <w:ind w:right="-592"/>
        <w:jc w:val="both"/>
        <w:rPr>
          <w:rFonts w:ascii="Palatino Linotype" w:eastAsia="Palatino Linotype" w:hAnsi="Palatino Linotype" w:cs="Palatino Linotype"/>
          <w:b/>
          <w:bCs/>
        </w:rPr>
      </w:pPr>
      <w:r w:rsidRPr="00F2139C">
        <w:rPr>
          <w:rFonts w:ascii="Palatino Linotype" w:eastAsia="Palatino Linotype" w:hAnsi="Palatino Linotype" w:cs="Palatino Linotype"/>
          <w:b/>
          <w:bCs/>
        </w:rPr>
        <w:t>TERCERO. Planteamiento de la Litis.</w:t>
      </w: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rPr>
        <w:t xml:space="preserve">El </w:t>
      </w:r>
      <w:r w:rsidRPr="00F2139C">
        <w:rPr>
          <w:rFonts w:ascii="Palatino Linotype" w:eastAsia="Palatino Linotype" w:hAnsi="Palatino Linotype" w:cs="Palatino Linotype"/>
          <w:b/>
          <w:bCs/>
        </w:rPr>
        <w:t xml:space="preserve">RECURRENTE </w:t>
      </w:r>
      <w:r w:rsidRPr="00F2139C">
        <w:rPr>
          <w:rFonts w:ascii="Palatino Linotype" w:eastAsia="Palatino Linotype" w:hAnsi="Palatino Linotype" w:cs="Palatino Linotype"/>
        </w:rPr>
        <w:t xml:space="preserve">solicitó </w:t>
      </w:r>
      <w:r w:rsidRPr="00F2139C">
        <w:rPr>
          <w:rFonts w:ascii="Palatino Linotype" w:eastAsia="Palatino Linotype" w:hAnsi="Palatino Linotype" w:cs="Palatino Linotype"/>
          <w:color w:val="000000"/>
        </w:rPr>
        <w:t xml:space="preserve">el Plan de Contingencia para </w:t>
      </w:r>
      <w:r w:rsidRPr="00F2139C">
        <w:rPr>
          <w:rFonts w:ascii="Palatino Linotype" w:eastAsia="Palatino Linotype" w:hAnsi="Palatino Linotype" w:cs="Palatino Linotype"/>
        </w:rPr>
        <w:t>la Protección</w:t>
      </w:r>
      <w:r w:rsidRPr="00F2139C">
        <w:rPr>
          <w:rFonts w:ascii="Palatino Linotype" w:eastAsia="Palatino Linotype" w:hAnsi="Palatino Linotype" w:cs="Palatino Linotype"/>
          <w:color w:val="000000"/>
        </w:rPr>
        <w:t xml:space="preserve"> de Datos Personales de todas las áreas administrativas del ejercicio fiscal 2024 y 2025.</w:t>
      </w:r>
    </w:p>
    <w:p w:rsidR="00B339C3" w:rsidRPr="00F2139C" w:rsidRDefault="00B339C3">
      <w:pPr>
        <w:tabs>
          <w:tab w:val="left" w:pos="1740"/>
        </w:tabs>
        <w:spacing w:line="360" w:lineRule="auto"/>
        <w:ind w:right="1"/>
        <w:jc w:val="both"/>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En respuesta, el </w:t>
      </w:r>
      <w:r w:rsidRPr="00F2139C">
        <w:rPr>
          <w:rFonts w:ascii="Palatino Linotype" w:eastAsia="Palatino Linotype" w:hAnsi="Palatino Linotype" w:cs="Palatino Linotype"/>
          <w:b/>
          <w:bCs/>
        </w:rPr>
        <w:t>SUJETO OBLIGADO</w:t>
      </w:r>
      <w:r w:rsidRPr="00F2139C">
        <w:rPr>
          <w:rFonts w:ascii="Palatino Linotype" w:eastAsia="Palatino Linotype" w:hAnsi="Palatino Linotype" w:cs="Palatino Linotype"/>
        </w:rPr>
        <w:t xml:space="preserve"> por medio d</w:t>
      </w:r>
      <w:r w:rsidRPr="00F2139C">
        <w:rPr>
          <w:rFonts w:ascii="Palatino Linotype" w:eastAsia="Palatino Linotype" w:hAnsi="Palatino Linotype" w:cs="Palatino Linotype"/>
          <w:color w:val="000000"/>
        </w:rPr>
        <w:t xml:space="preserve">el Director de Transparencia y Gobierno Abierto, informó que el “Plan de Contingencia” se clasifica como confidencial en su totalidad, ya que es la descripción detallada de las acciones preventivas y correctivas para adecuar las medidas de seguridad y el tratamiento de los datos personales si fuese el caso, a </w:t>
      </w:r>
      <w:r w:rsidRPr="00F2139C">
        <w:rPr>
          <w:rFonts w:ascii="Palatino Linotype" w:eastAsia="Palatino Linotype" w:hAnsi="Palatino Linotype" w:cs="Palatino Linotype"/>
          <w:color w:val="000000"/>
        </w:rPr>
        <w:lastRenderedPageBreak/>
        <w:t>efecto de evitar que las violaciones se repitan en los sistemas y/o bases de datos personales que administra el Ayuntamiento de Metepec, de conformidad con el Acuerdo No. 1</w:t>
      </w:r>
      <w:r w:rsidRPr="00F2139C">
        <w:rPr>
          <w:rFonts w:ascii="Palatino Linotype" w:eastAsia="Palatino Linotype" w:hAnsi="Palatino Linotype" w:cs="Palatino Linotype"/>
        </w:rPr>
        <w:t xml:space="preserve">0/CT/MET/EXTO14/2025 </w:t>
      </w:r>
      <w:r w:rsidRPr="00F2139C">
        <w:rPr>
          <w:rFonts w:ascii="Palatino Linotype" w:eastAsia="Palatino Linotype" w:hAnsi="Palatino Linotype" w:cs="Palatino Linotype"/>
          <w:color w:val="000000"/>
        </w:rPr>
        <w:t>del Comité de Transparencia.</w:t>
      </w:r>
    </w:p>
    <w:p w:rsidR="00B339C3" w:rsidRPr="00F2139C" w:rsidRDefault="00B339C3">
      <w:pPr>
        <w:ind w:right="1"/>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rPr>
        <w:t xml:space="preserve">Posteriormente, el </w:t>
      </w:r>
      <w:r w:rsidRPr="00F2139C">
        <w:rPr>
          <w:rFonts w:ascii="Palatino Linotype" w:eastAsia="Palatino Linotype" w:hAnsi="Palatino Linotype" w:cs="Palatino Linotype"/>
          <w:b/>
          <w:bCs/>
        </w:rPr>
        <w:t>RECURRENTE</w:t>
      </w:r>
      <w:r w:rsidRPr="00F2139C">
        <w:rPr>
          <w:rFonts w:ascii="Palatino Linotype" w:eastAsia="Palatino Linotype" w:hAnsi="Palatino Linotype" w:cs="Palatino Linotype"/>
        </w:rPr>
        <w:t xml:space="preserve"> se inconforma por </w:t>
      </w:r>
      <w:r w:rsidRPr="00F2139C">
        <w:rPr>
          <w:rFonts w:ascii="Palatino Linotype" w:eastAsia="Palatino Linotype" w:hAnsi="Palatino Linotype" w:cs="Palatino Linotype"/>
          <w:b/>
          <w:bCs/>
        </w:rPr>
        <w:t>la clasificación de la información.</w:t>
      </w:r>
    </w:p>
    <w:p w:rsidR="00B339C3" w:rsidRPr="00F2139C" w:rsidRDefault="00B339C3">
      <w:pPr>
        <w:ind w:right="1"/>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bookmarkStart w:id="3" w:name="_heading=h.gjdgxs" w:colFirst="0" w:colLast="0"/>
      <w:bookmarkEnd w:id="3"/>
      <w:r w:rsidRPr="00F2139C">
        <w:rPr>
          <w:rFonts w:ascii="Palatino Linotype" w:eastAsia="Palatino Linotype" w:hAnsi="Palatino Linotype" w:cs="Palatino Linotype"/>
        </w:rPr>
        <w:t xml:space="preserve">En dichas condiciones, la </w:t>
      </w:r>
      <w:r w:rsidRPr="00F2139C">
        <w:rPr>
          <w:rFonts w:ascii="Palatino Linotype" w:eastAsia="Palatino Linotype" w:hAnsi="Palatino Linotype" w:cs="Palatino Linotype"/>
          <w:i/>
          <w:iCs/>
        </w:rPr>
        <w:t>Litis</w:t>
      </w:r>
      <w:r w:rsidRPr="00F2139C">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w:t>
      </w:r>
      <w:r w:rsidRPr="00F2139C">
        <w:rPr>
          <w:rFonts w:ascii="Palatino Linotype" w:eastAsia="Palatino Linotype" w:hAnsi="Palatino Linotype" w:cs="Palatino Linotype"/>
          <w:b/>
          <w:bCs/>
        </w:rPr>
        <w:t xml:space="preserve"> II </w:t>
      </w:r>
      <w:r w:rsidRPr="00F2139C">
        <w:rPr>
          <w:rFonts w:ascii="Palatino Linotype" w:eastAsia="Palatino Linotype" w:hAnsi="Palatino Linotype" w:cs="Palatino Linotype"/>
        </w:rPr>
        <w:t xml:space="preserve">de la </w:t>
      </w:r>
      <w:r w:rsidRPr="00F2139C">
        <w:rPr>
          <w:rFonts w:ascii="Palatino Linotype" w:eastAsia="Palatino Linotype" w:hAnsi="Palatino Linotype" w:cs="Palatino Linotype"/>
          <w:b/>
          <w:bCs/>
        </w:rPr>
        <w:t>Ley de Transparencia y Acceso a la Información Pública del Estado de México y Municipios</w:t>
      </w:r>
      <w:r w:rsidRPr="00F2139C">
        <w:rPr>
          <w:rFonts w:ascii="Palatino Linotype" w:eastAsia="Palatino Linotype" w:hAnsi="Palatino Linotype" w:cs="Palatino Linotype"/>
        </w:rPr>
        <w:t>.</w:t>
      </w:r>
    </w:p>
    <w:p w:rsidR="00B339C3" w:rsidRPr="00F2139C" w:rsidRDefault="00B339C3">
      <w:pPr>
        <w:ind w:right="1"/>
        <w:jc w:val="both"/>
        <w:rPr>
          <w:rFonts w:ascii="Palatino Linotype" w:eastAsia="Palatino Linotype" w:hAnsi="Palatino Linotype" w:cs="Palatino Linotype"/>
          <w:b/>
          <w:bCs/>
        </w:rPr>
      </w:pPr>
    </w:p>
    <w:p w:rsidR="00B339C3" w:rsidRPr="00F2139C" w:rsidRDefault="00BF6403">
      <w:pPr>
        <w:pStyle w:val="Ttulo2"/>
        <w:spacing w:before="0" w:line="360" w:lineRule="auto"/>
        <w:ind w:right="1"/>
        <w:rPr>
          <w:rFonts w:ascii="Palatino Linotype" w:eastAsia="Palatino Linotype" w:hAnsi="Palatino Linotype" w:cs="Palatino Linotype"/>
          <w:b/>
          <w:bCs/>
          <w:color w:val="000000"/>
          <w:sz w:val="24"/>
          <w:szCs w:val="24"/>
        </w:rPr>
      </w:pPr>
      <w:r w:rsidRPr="00F2139C">
        <w:rPr>
          <w:rFonts w:ascii="Palatino Linotype" w:eastAsia="Palatino Linotype" w:hAnsi="Palatino Linotype" w:cs="Palatino Linotype"/>
          <w:b/>
          <w:bCs/>
          <w:color w:val="000000"/>
          <w:sz w:val="24"/>
          <w:szCs w:val="24"/>
        </w:rPr>
        <w:t>CUARTA. Estudio y resolución del asunto.</w:t>
      </w: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b/>
          <w:bCs/>
        </w:rPr>
        <w:t xml:space="preserve"> </w:t>
      </w:r>
      <w:r w:rsidRPr="00F2139C">
        <w:rPr>
          <w:rFonts w:ascii="Palatino Linotype" w:eastAsia="Palatino Linotype" w:hAnsi="Palatino Linotype" w:cs="Palatino Linotype"/>
        </w:rPr>
        <w:t xml:space="preserve">El </w:t>
      </w:r>
      <w:r w:rsidRPr="00F2139C">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F2139C">
        <w:rPr>
          <w:rFonts w:ascii="Palatino Linotype" w:eastAsia="Palatino Linotype" w:hAnsi="Palatino Linotype" w:cs="Palatino Linotype"/>
        </w:rPr>
        <w:t>Particular</w:t>
      </w:r>
      <w:r w:rsidRPr="00F2139C">
        <w:rPr>
          <w:rFonts w:ascii="Palatino Linotype" w:eastAsia="Palatino Linotype" w:hAnsi="Palatino Linotype" w:cs="Palatino Linotype"/>
          <w:color w:val="000000"/>
        </w:rPr>
        <w:t xml:space="preserve"> del Estado de México.</w:t>
      </w:r>
    </w:p>
    <w:p w:rsidR="00B339C3" w:rsidRPr="00F2139C" w:rsidRDefault="00B339C3">
      <w:pPr>
        <w:spacing w:line="360" w:lineRule="auto"/>
        <w:ind w:right="1"/>
        <w:jc w:val="both"/>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color w:val="000000"/>
        </w:rPr>
        <w:t xml:space="preserve">Definiendo </w:t>
      </w:r>
      <w:r w:rsidRPr="00F2139C">
        <w:rPr>
          <w:rFonts w:ascii="Palatino Linotype" w:eastAsia="Palatino Linotype" w:hAnsi="Palatino Linotype" w:cs="Palatino Linotype"/>
        </w:rPr>
        <w:t xml:space="preserve">el Derecho de Acceso a la Información Pública como: </w:t>
      </w:r>
      <w:r w:rsidRPr="00F2139C">
        <w:rPr>
          <w:rFonts w:ascii="Palatino Linotype" w:eastAsia="Palatino Linotype" w:hAnsi="Palatino Linotype" w:cs="Palatino Linotype"/>
          <w:i/>
          <w:iCs/>
          <w:color w:val="000000"/>
        </w:rPr>
        <w:t xml:space="preserve">La igualdad de </w:t>
      </w:r>
      <w:r w:rsidRPr="00F2139C">
        <w:rPr>
          <w:rFonts w:ascii="Palatino Linotype" w:eastAsia="Palatino Linotype" w:hAnsi="Palatino Linotype" w:cs="Palatino Linotype"/>
        </w:rPr>
        <w:t>oportunidades</w:t>
      </w:r>
      <w:r w:rsidRPr="00F2139C">
        <w:rPr>
          <w:rFonts w:ascii="Palatino Linotype" w:eastAsia="Palatino Linotype" w:hAnsi="Palatino Linotype" w:cs="Palatino Linotype"/>
          <w:i/>
          <w:iCs/>
          <w:color w:val="000000"/>
        </w:rPr>
        <w:t xml:space="preserve"> para recibir, buscar e impartir información</w:t>
      </w:r>
      <w:r w:rsidRPr="00F2139C">
        <w:rPr>
          <w:rFonts w:ascii="Palatino Linotype" w:eastAsia="Palatino Linotype" w:hAnsi="Palatino Linotype" w:cs="Palatino Linotype"/>
          <w:i/>
          <w:iCs/>
          <w:color w:val="000000"/>
          <w:vertAlign w:val="superscript"/>
        </w:rPr>
        <w:footnoteReference w:id="1"/>
      </w:r>
      <w:r w:rsidRPr="00F2139C">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2139C">
        <w:rPr>
          <w:rFonts w:ascii="Palatino Linotype" w:eastAsia="Palatino Linotype" w:hAnsi="Palatino Linotype" w:cs="Palatino Linotype"/>
          <w:i/>
          <w:iCs/>
          <w:color w:val="000000"/>
          <w:vertAlign w:val="superscript"/>
        </w:rPr>
        <w:footnoteReference w:id="2"/>
      </w:r>
      <w:r w:rsidRPr="00F2139C">
        <w:rPr>
          <w:rFonts w:ascii="Palatino Linotype" w:eastAsia="Palatino Linotype" w:hAnsi="Palatino Linotype" w:cs="Palatino Linotype"/>
          <w:color w:val="000000"/>
        </w:rPr>
        <w:t>que se constituye como una herramienta fundamental para ejercer</w:t>
      </w:r>
      <w:r w:rsidRPr="00F2139C">
        <w:rPr>
          <w:rFonts w:ascii="Palatino Linotype" w:eastAsia="Palatino Linotype" w:hAnsi="Palatino Linotype" w:cs="Palatino Linotype"/>
          <w:i/>
          <w:iCs/>
          <w:color w:val="000000"/>
        </w:rPr>
        <w:t xml:space="preserve"> el control </w:t>
      </w:r>
      <w:r w:rsidRPr="00F2139C">
        <w:rPr>
          <w:rFonts w:ascii="Palatino Linotype" w:eastAsia="Palatino Linotype" w:hAnsi="Palatino Linotype" w:cs="Palatino Linotype"/>
          <w:i/>
          <w:iCs/>
          <w:color w:val="000000"/>
        </w:rPr>
        <w:lastRenderedPageBreak/>
        <w:t>democrático de las gestiones estatales, de forma tal que puedan cuestionar, indagar y considerar si se está dando un adecuado cumplimiento a las funciones públicas,</w:t>
      </w:r>
      <w:r w:rsidRPr="00F2139C">
        <w:rPr>
          <w:rFonts w:ascii="Palatino Linotype" w:eastAsia="Palatino Linotype" w:hAnsi="Palatino Linotype" w:cs="Palatino Linotype"/>
          <w:i/>
          <w:iCs/>
          <w:color w:val="000000"/>
          <w:vertAlign w:val="superscript"/>
        </w:rPr>
        <w:footnoteReference w:id="3"/>
      </w:r>
      <w:r w:rsidRPr="00F2139C">
        <w:rPr>
          <w:rFonts w:ascii="Palatino Linotype" w:eastAsia="Palatino Linotype" w:hAnsi="Palatino Linotype" w:cs="Palatino Linotype"/>
          <w:color w:val="000000"/>
        </w:rPr>
        <w:t>fomentando</w:t>
      </w:r>
      <w:r w:rsidRPr="00F2139C">
        <w:rPr>
          <w:rFonts w:ascii="Palatino Linotype" w:eastAsia="Palatino Linotype" w:hAnsi="Palatino Linotype" w:cs="Palatino Linotype"/>
          <w:i/>
          <w:iCs/>
          <w:color w:val="000000"/>
        </w:rPr>
        <w:t xml:space="preserve"> la transparencia de las actividades estatales y </w:t>
      </w:r>
      <w:r w:rsidRPr="00F2139C">
        <w:rPr>
          <w:rFonts w:ascii="Palatino Linotype" w:eastAsia="Palatino Linotype" w:hAnsi="Palatino Linotype" w:cs="Palatino Linotype"/>
          <w:color w:val="000000"/>
        </w:rPr>
        <w:t>promoviendo</w:t>
      </w:r>
      <w:r w:rsidRPr="00F2139C">
        <w:rPr>
          <w:rFonts w:ascii="Palatino Linotype" w:eastAsia="Palatino Linotype" w:hAnsi="Palatino Linotype" w:cs="Palatino Linotype"/>
          <w:i/>
          <w:iCs/>
          <w:color w:val="000000"/>
        </w:rPr>
        <w:t xml:space="preserve"> la responsabilidad de los funcionarios sobre su gestión pública,</w:t>
      </w:r>
      <w:r w:rsidRPr="00F2139C">
        <w:rPr>
          <w:rFonts w:ascii="Palatino Linotype" w:eastAsia="Palatino Linotype" w:hAnsi="Palatino Linotype" w:cs="Palatino Linotype"/>
          <w:i/>
          <w:iCs/>
          <w:color w:val="000000"/>
          <w:vertAlign w:val="superscript"/>
        </w:rPr>
        <w:footnoteReference w:id="4"/>
      </w:r>
      <w:r w:rsidRPr="00F2139C">
        <w:rPr>
          <w:rFonts w:ascii="Palatino Linotype" w:eastAsia="Palatino Linotype" w:hAnsi="Palatino Linotype" w:cs="Palatino Linotype"/>
          <w:color w:val="000000"/>
        </w:rPr>
        <w:t>que permite</w:t>
      </w:r>
      <w:r w:rsidRPr="00F2139C">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B339C3" w:rsidRPr="00F2139C" w:rsidRDefault="00B339C3">
      <w:pPr>
        <w:ind w:right="1"/>
        <w:rPr>
          <w:rFonts w:ascii="Palatino Linotype" w:eastAsia="Palatino Linotype" w:hAnsi="Palatino Linotype" w:cs="Palatino Linotype"/>
          <w:color w:val="000000"/>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color w:val="000000"/>
        </w:rPr>
        <w:t xml:space="preserve">En </w:t>
      </w:r>
      <w:r w:rsidRPr="00F2139C">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rsidR="00B339C3" w:rsidRPr="00F2139C" w:rsidRDefault="00BF6403">
      <w:pPr>
        <w:ind w:left="567" w:right="710"/>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w:t>
      </w:r>
      <w:r w:rsidRPr="00F2139C">
        <w:rPr>
          <w:rFonts w:ascii="Palatino Linotype" w:eastAsia="Palatino Linotype" w:hAnsi="Palatino Linotype" w:cs="Palatino Linotype"/>
          <w:b/>
          <w:bCs/>
          <w:i/>
          <w:iCs/>
        </w:rPr>
        <w:t>Artículo 1.-</w:t>
      </w:r>
      <w:r w:rsidRPr="00F2139C">
        <w:rPr>
          <w:rFonts w:ascii="Palatino Linotype" w:eastAsia="Palatino Linotype" w:hAnsi="Palatino Linotype" w:cs="Palatino Linotype"/>
          <w:i/>
          <w:iCs/>
        </w:rPr>
        <w:t xml:space="preserve"> </w:t>
      </w:r>
    </w:p>
    <w:p w:rsidR="00B339C3" w:rsidRPr="00F2139C" w:rsidRDefault="00BF6403">
      <w:pPr>
        <w:ind w:left="567" w:right="710"/>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w:t>
      </w:r>
    </w:p>
    <w:p w:rsidR="00B339C3" w:rsidRPr="00F2139C" w:rsidRDefault="00BF6403">
      <w:pPr>
        <w:ind w:left="567" w:right="710"/>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Todas las</w:t>
      </w:r>
      <w:r w:rsidRPr="00F2139C">
        <w:rPr>
          <w:rFonts w:ascii="Palatino Linotype" w:eastAsia="Palatino Linotype" w:hAnsi="Palatino Linotype" w:cs="Palatino Linotype"/>
        </w:rPr>
        <w:t xml:space="preserve"> </w:t>
      </w:r>
      <w:r w:rsidRPr="00F2139C">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339C3" w:rsidRPr="00F2139C" w:rsidRDefault="00BF6403">
      <w:pPr>
        <w:ind w:left="567" w:right="710"/>
        <w:jc w:val="both"/>
        <w:rPr>
          <w:rFonts w:ascii="Palatino Linotype" w:eastAsia="Palatino Linotype" w:hAnsi="Palatino Linotype" w:cs="Palatino Linotype"/>
        </w:rPr>
      </w:pPr>
      <w:r w:rsidRPr="00F2139C">
        <w:rPr>
          <w:rFonts w:ascii="Palatino Linotype" w:eastAsia="Palatino Linotype" w:hAnsi="Palatino Linotype" w:cs="Palatino Linotype"/>
          <w:i/>
          <w:iCs/>
        </w:rPr>
        <w:t>(…)</w:t>
      </w:r>
      <w:r w:rsidRPr="00F2139C">
        <w:rPr>
          <w:rFonts w:ascii="Palatino Linotype" w:eastAsia="Palatino Linotype" w:hAnsi="Palatino Linotype" w:cs="Palatino Linotype"/>
        </w:rPr>
        <w:t>”</w:t>
      </w:r>
    </w:p>
    <w:p w:rsidR="00B339C3" w:rsidRPr="00F2139C" w:rsidRDefault="00B339C3">
      <w:pPr>
        <w:ind w:right="-592"/>
        <w:jc w:val="both"/>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color w:val="000000"/>
        </w:rPr>
        <w:t xml:space="preserve">Por </w:t>
      </w:r>
      <w:r w:rsidRPr="00F2139C">
        <w:rPr>
          <w:rFonts w:ascii="Palatino Linotype" w:eastAsia="Palatino Linotype" w:hAnsi="Palatino Linotype" w:cs="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B339C3" w:rsidRPr="00F2139C" w:rsidRDefault="00B339C3">
      <w:pPr>
        <w:ind w:right="1"/>
        <w:jc w:val="both"/>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color w:val="000000"/>
        </w:rPr>
        <w:t xml:space="preserve">Así </w:t>
      </w:r>
      <w:r w:rsidRPr="00F2139C">
        <w:rPr>
          <w:rFonts w:ascii="Palatino Linotype" w:eastAsia="Palatino Linotype" w:hAnsi="Palatino Linotype" w:cs="Palatino Linotype"/>
        </w:rPr>
        <w:t xml:space="preserve">conforme a la Constitución Política de las Estado Unidos Mexicanos y la Constitución Política del Estado Libre y Soberano de México respectivamente, el cumplimiento de las garantías primarias, entendidas como obligaciones inmediatamente </w:t>
      </w:r>
      <w:r w:rsidRPr="00F2139C">
        <w:rPr>
          <w:rFonts w:ascii="Palatino Linotype" w:eastAsia="Palatino Linotype" w:hAnsi="Palatino Linotype" w:cs="Palatino Linotype"/>
        </w:rPr>
        <w:lastRenderedPageBreak/>
        <w:t>relacionadas con el Derecho de Acceso a la Información Pública, permiten que todas las autoridades, en el ámbito de sus atribuciones lo respeten, protejan y garanticen:</w:t>
      </w:r>
    </w:p>
    <w:p w:rsidR="00B339C3" w:rsidRPr="00F2139C" w:rsidRDefault="00BF6403">
      <w:pPr>
        <w:ind w:left="567" w:right="710"/>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Constitución Política de los Estados Unidos Mexicanos</w:t>
      </w:r>
    </w:p>
    <w:p w:rsidR="00B339C3" w:rsidRPr="00F2139C" w:rsidRDefault="00B339C3">
      <w:pPr>
        <w:ind w:left="567" w:right="710"/>
        <w:jc w:val="both"/>
        <w:rPr>
          <w:rFonts w:ascii="Palatino Linotype" w:eastAsia="Palatino Linotype" w:hAnsi="Palatino Linotype" w:cs="Palatino Linotype"/>
          <w:b/>
          <w:bCs/>
          <w:i/>
          <w:iCs/>
        </w:rPr>
      </w:pPr>
    </w:p>
    <w:p w:rsidR="00B339C3" w:rsidRPr="00F2139C" w:rsidRDefault="00BF6403">
      <w:pPr>
        <w:ind w:left="567" w:right="710"/>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“Artículo 6.</w:t>
      </w:r>
      <w:r w:rsidRPr="00F2139C">
        <w:rPr>
          <w:rFonts w:ascii="Palatino Linotype" w:eastAsia="Palatino Linotype" w:hAnsi="Palatino Linotype" w:cs="Palatino Linotype"/>
          <w:i/>
          <w:iCs/>
        </w:rPr>
        <w:t xml:space="preserve"> …</w:t>
      </w:r>
    </w:p>
    <w:p w:rsidR="00B339C3" w:rsidRPr="00F2139C" w:rsidRDefault="00BF6403">
      <w:pPr>
        <w:ind w:left="567" w:right="710"/>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w:t>
      </w:r>
    </w:p>
    <w:p w:rsidR="00B339C3" w:rsidRPr="00F2139C" w:rsidRDefault="00BF6403">
      <w:pPr>
        <w:ind w:left="567" w:right="710"/>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Para efectos de lo dispuesto en el presente artículo se observará lo siguiente:</w:t>
      </w:r>
    </w:p>
    <w:p w:rsidR="00B339C3" w:rsidRPr="00F2139C" w:rsidRDefault="00BF6403">
      <w:pPr>
        <w:ind w:left="567" w:right="710"/>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A</w:t>
      </w:r>
      <w:r w:rsidRPr="00F2139C">
        <w:rPr>
          <w:rFonts w:ascii="Palatino Linotype" w:eastAsia="Palatino Linotype" w:hAnsi="Palatino Linotype" w:cs="Palatino Linotype"/>
          <w:i/>
          <w:iCs/>
        </w:rPr>
        <w:t xml:space="preserve">. </w:t>
      </w:r>
      <w:r w:rsidRPr="00F2139C">
        <w:rPr>
          <w:rFonts w:ascii="Palatino Linotype" w:eastAsia="Palatino Linotype" w:hAnsi="Palatino Linotype" w:cs="Palatino Linotype"/>
          <w:b/>
          <w:bCs/>
          <w:i/>
          <w:iCs/>
        </w:rPr>
        <w:t>Para el ejercicio del derecho de acceso a la información</w:t>
      </w:r>
      <w:r w:rsidRPr="00F2139C">
        <w:rPr>
          <w:rFonts w:ascii="Palatino Linotype" w:eastAsia="Palatino Linotype" w:hAnsi="Palatino Linotype" w:cs="Palatino Linotype"/>
          <w:i/>
          <w:iCs/>
        </w:rPr>
        <w:t xml:space="preserve">, la Federación y </w:t>
      </w:r>
      <w:r w:rsidRPr="00F2139C">
        <w:rPr>
          <w:rFonts w:ascii="Palatino Linotype" w:eastAsia="Palatino Linotype" w:hAnsi="Palatino Linotype" w:cs="Palatino Linotype"/>
          <w:b/>
          <w:bCs/>
          <w:i/>
          <w:iCs/>
        </w:rPr>
        <w:t>las entidades federativas, en el ámbito de sus respectivas competencias, se regirán por los siguientes principios y bases:</w:t>
      </w:r>
    </w:p>
    <w:p w:rsidR="00B339C3" w:rsidRPr="00F2139C" w:rsidRDefault="00BF6403">
      <w:pPr>
        <w:ind w:left="567" w:right="710"/>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 xml:space="preserve">I. </w:t>
      </w:r>
      <w:r w:rsidRPr="00F2139C">
        <w:rPr>
          <w:rFonts w:ascii="Palatino Linotype" w:eastAsia="Palatino Linotype" w:hAnsi="Palatino Linotype" w:cs="Palatino Linotype"/>
          <w:b/>
          <w:bCs/>
          <w:i/>
          <w:iCs/>
        </w:rPr>
        <w:tab/>
        <w:t>Toda la información en posesión de cualquier</w:t>
      </w:r>
      <w:r w:rsidRPr="00F2139C">
        <w:rPr>
          <w:rFonts w:ascii="Palatino Linotype" w:eastAsia="Palatino Linotype" w:hAnsi="Palatino Linotype" w:cs="Palatino Linotype"/>
          <w:i/>
          <w:iCs/>
        </w:rPr>
        <w:t xml:space="preserve"> </w:t>
      </w:r>
      <w:r w:rsidRPr="00F2139C">
        <w:rPr>
          <w:rFonts w:ascii="Palatino Linotype" w:eastAsia="Palatino Linotype" w:hAnsi="Palatino Linotype" w:cs="Palatino Linotype"/>
          <w:b/>
          <w:bCs/>
          <w:i/>
          <w:iCs/>
        </w:rPr>
        <w:t>autoridad</w:t>
      </w:r>
      <w:r w:rsidRPr="00F2139C">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2139C">
        <w:rPr>
          <w:rFonts w:ascii="Palatino Linotype" w:eastAsia="Palatino Linotype" w:hAnsi="Palatino Linotype" w:cs="Palatino Linotype"/>
          <w:b/>
          <w:bCs/>
          <w:i/>
          <w:iCs/>
        </w:rPr>
        <w:t>municipal</w:t>
      </w:r>
      <w:r w:rsidRPr="00F2139C">
        <w:rPr>
          <w:rFonts w:ascii="Palatino Linotype" w:eastAsia="Palatino Linotype" w:hAnsi="Palatino Linotype" w:cs="Palatino Linotype"/>
          <w:i/>
          <w:iCs/>
        </w:rPr>
        <w:t xml:space="preserve">, </w:t>
      </w:r>
      <w:r w:rsidRPr="00F2139C">
        <w:rPr>
          <w:rFonts w:ascii="Palatino Linotype" w:eastAsia="Palatino Linotype" w:hAnsi="Palatino Linotype" w:cs="Palatino Linotype"/>
          <w:b/>
          <w:bCs/>
          <w:i/>
          <w:iCs/>
        </w:rPr>
        <w:t>es pública</w:t>
      </w:r>
      <w:r w:rsidRPr="00F2139C">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F2139C">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F2139C">
        <w:rPr>
          <w:rFonts w:ascii="Palatino Linotype" w:eastAsia="Palatino Linotype" w:hAnsi="Palatino Linotype" w:cs="Palatino Linotype"/>
          <w:i/>
          <w:iCs/>
        </w:rPr>
        <w:t>, la ley determinará los supuestos específicos bajo los cuales procederá la declaración de inexistencia de la información.”</w:t>
      </w:r>
    </w:p>
    <w:p w:rsidR="00B339C3" w:rsidRPr="00F2139C" w:rsidRDefault="00B339C3">
      <w:pPr>
        <w:tabs>
          <w:tab w:val="left" w:pos="426"/>
          <w:tab w:val="left" w:pos="567"/>
        </w:tabs>
        <w:ind w:left="567" w:right="710"/>
        <w:jc w:val="both"/>
        <w:rPr>
          <w:rFonts w:ascii="Palatino Linotype" w:eastAsia="Palatino Linotype" w:hAnsi="Palatino Linotype" w:cs="Palatino Linotype"/>
          <w:color w:val="000000"/>
        </w:rPr>
      </w:pPr>
    </w:p>
    <w:p w:rsidR="00B339C3" w:rsidRPr="00F2139C" w:rsidRDefault="00BF6403">
      <w:pPr>
        <w:ind w:left="567" w:right="710"/>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Constitución Política del Estado Libre y Soberano de México</w:t>
      </w:r>
    </w:p>
    <w:p w:rsidR="00B339C3" w:rsidRPr="00F2139C" w:rsidRDefault="00BF6403">
      <w:pPr>
        <w:ind w:left="567" w:right="710"/>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“Artículo 5</w:t>
      </w:r>
      <w:r w:rsidRPr="00F2139C">
        <w:rPr>
          <w:rFonts w:ascii="Palatino Linotype" w:eastAsia="Palatino Linotype" w:hAnsi="Palatino Linotype" w:cs="Palatino Linotype"/>
          <w:i/>
          <w:iCs/>
        </w:rPr>
        <w:t>.-…</w:t>
      </w:r>
    </w:p>
    <w:p w:rsidR="00B339C3" w:rsidRPr="00F2139C" w:rsidRDefault="00BF6403">
      <w:pPr>
        <w:ind w:left="567" w:right="710"/>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w:t>
      </w:r>
    </w:p>
    <w:p w:rsidR="00B339C3" w:rsidRPr="00F2139C" w:rsidRDefault="00BF6403">
      <w:pPr>
        <w:ind w:left="567" w:right="710"/>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F2139C">
        <w:rPr>
          <w:rFonts w:ascii="Palatino Linotype" w:eastAsia="Palatino Linotype" w:hAnsi="Palatino Linotype" w:cs="Palatino Linotype"/>
          <w:i/>
          <w:iCs/>
        </w:rPr>
        <w:t>.</w:t>
      </w:r>
    </w:p>
    <w:p w:rsidR="00B339C3" w:rsidRPr="00F2139C" w:rsidRDefault="00BF6403">
      <w:pPr>
        <w:ind w:left="567" w:right="710"/>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339C3" w:rsidRPr="00F2139C" w:rsidRDefault="00B339C3">
      <w:pPr>
        <w:ind w:left="567" w:right="710"/>
        <w:jc w:val="both"/>
        <w:rPr>
          <w:rFonts w:ascii="Palatino Linotype" w:eastAsia="Palatino Linotype" w:hAnsi="Palatino Linotype" w:cs="Palatino Linotype"/>
          <w:i/>
          <w:iCs/>
        </w:rPr>
      </w:pPr>
    </w:p>
    <w:p w:rsidR="00B339C3" w:rsidRPr="00F2139C" w:rsidRDefault="00BF6403">
      <w:pPr>
        <w:ind w:left="567" w:right="710"/>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Este derecho se regirá por los principios y bases siguientes</w:t>
      </w:r>
      <w:r w:rsidRPr="00F2139C">
        <w:rPr>
          <w:rFonts w:ascii="Palatino Linotype" w:eastAsia="Palatino Linotype" w:hAnsi="Palatino Linotype" w:cs="Palatino Linotype"/>
          <w:i/>
          <w:iCs/>
        </w:rPr>
        <w:t>:</w:t>
      </w:r>
    </w:p>
    <w:p w:rsidR="00B339C3" w:rsidRPr="00F2139C" w:rsidRDefault="00BF6403">
      <w:pPr>
        <w:ind w:left="567" w:right="710"/>
        <w:jc w:val="both"/>
        <w:rPr>
          <w:rFonts w:ascii="Palatino Linotype" w:eastAsia="Palatino Linotype" w:hAnsi="Palatino Linotype" w:cs="Palatino Linotype"/>
          <w:b/>
          <w:bCs/>
        </w:rPr>
      </w:pPr>
      <w:r w:rsidRPr="00F2139C">
        <w:rPr>
          <w:rFonts w:ascii="Palatino Linotype" w:eastAsia="Palatino Linotype" w:hAnsi="Palatino Linotype" w:cs="Palatino Linotype"/>
          <w:b/>
          <w:bCs/>
          <w:i/>
          <w:iCs/>
        </w:rPr>
        <w:t>Toda la información en posesión de cualquier autoridad, entidad, órgano y organismos de los</w:t>
      </w:r>
      <w:r w:rsidRPr="00F2139C">
        <w:rPr>
          <w:rFonts w:ascii="Palatino Linotype" w:eastAsia="Palatino Linotype" w:hAnsi="Palatino Linotype" w:cs="Palatino Linotype"/>
          <w:i/>
          <w:iCs/>
        </w:rPr>
        <w:t xml:space="preserve"> Poderes Ejecutivo, Legislativo y Judicial, órganos autónomos, partidos </w:t>
      </w:r>
      <w:r w:rsidRPr="00F2139C">
        <w:rPr>
          <w:rFonts w:ascii="Palatino Linotype" w:eastAsia="Palatino Linotype" w:hAnsi="Palatino Linotype" w:cs="Palatino Linotype"/>
          <w:i/>
          <w:iCs/>
        </w:rPr>
        <w:lastRenderedPageBreak/>
        <w:t xml:space="preserve">políticos, fideicomisos y fondos públicos estatales y </w:t>
      </w:r>
      <w:r w:rsidRPr="00F2139C">
        <w:rPr>
          <w:rFonts w:ascii="Palatino Linotype" w:eastAsia="Palatino Linotype" w:hAnsi="Palatino Linotype" w:cs="Palatino Linotype"/>
          <w:b/>
          <w:bCs/>
          <w:i/>
          <w:iCs/>
        </w:rPr>
        <w:t>municipales</w:t>
      </w:r>
      <w:r w:rsidRPr="00F2139C">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2139C">
        <w:rPr>
          <w:rFonts w:ascii="Palatino Linotype" w:eastAsia="Palatino Linotype" w:hAnsi="Palatino Linotype" w:cs="Palatino Linotype"/>
          <w:b/>
          <w:bCs/>
          <w:i/>
          <w:iCs/>
        </w:rPr>
        <w:t>es pública</w:t>
      </w:r>
      <w:r w:rsidRPr="00F2139C">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F2139C">
        <w:rPr>
          <w:rFonts w:ascii="Palatino Linotype" w:eastAsia="Palatino Linotype" w:hAnsi="Palatino Linotype" w:cs="Palatino Linotype"/>
          <w:b/>
          <w:bCs/>
          <w:i/>
          <w:iCs/>
        </w:rPr>
        <w:t>En la interpretación de este derecho deberá prevalecer el principio de máxima publicidad</w:t>
      </w:r>
      <w:r w:rsidRPr="00F2139C">
        <w:rPr>
          <w:rFonts w:ascii="Palatino Linotype" w:eastAsia="Palatino Linotype" w:hAnsi="Palatino Linotype" w:cs="Palatino Linotype"/>
          <w:i/>
          <w:iCs/>
        </w:rPr>
        <w:t xml:space="preserve">. </w:t>
      </w:r>
      <w:r w:rsidRPr="00F2139C">
        <w:rPr>
          <w:rFonts w:ascii="Palatino Linotype" w:eastAsia="Palatino Linotype" w:hAnsi="Palatino Linotype" w:cs="Palatino Linotype"/>
          <w:b/>
          <w:bCs/>
          <w:i/>
          <w:iCs/>
        </w:rPr>
        <w:t>Los sujetos obligados deberán documentar todo acto que derive del ejercicio de sus facultades, competencias o funciones</w:t>
      </w:r>
      <w:r w:rsidRPr="00F2139C">
        <w:rPr>
          <w:rFonts w:ascii="Palatino Linotype" w:eastAsia="Palatino Linotype" w:hAnsi="Palatino Linotype" w:cs="Palatino Linotype"/>
          <w:i/>
          <w:iCs/>
        </w:rPr>
        <w:t>, la ley determinará los supuestos específicos bajo los cuales procederá la declaración de inexistencia de la información.”</w:t>
      </w:r>
    </w:p>
    <w:p w:rsidR="00B339C3" w:rsidRPr="00F2139C" w:rsidRDefault="00B339C3">
      <w:pPr>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color w:val="000000"/>
        </w:rPr>
        <w:t xml:space="preserve">Según </w:t>
      </w:r>
      <w:r w:rsidRPr="00F2139C">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F2139C">
        <w:rPr>
          <w:rFonts w:ascii="Palatino Linotype" w:eastAsia="Palatino Linotype" w:hAnsi="Palatino Linotype" w:cs="Palatino Linotype"/>
          <w:i/>
          <w:iCs/>
        </w:rPr>
        <w:t>por los principios de simplicidad, rapidez gratuidad del procedimiento, auxilio y orientación a los particulares</w:t>
      </w:r>
      <w:r w:rsidRPr="00F2139C">
        <w:rPr>
          <w:rFonts w:ascii="Palatino Linotype" w:eastAsia="Palatino Linotype" w:hAnsi="Palatino Linotype" w:cs="Palatino Linotype"/>
        </w:rPr>
        <w:t>, contemplando el derecho de las personas con discapacidad y hablantes de lengua indígena.</w:t>
      </w:r>
    </w:p>
    <w:p w:rsidR="00B339C3" w:rsidRPr="00F2139C" w:rsidRDefault="00B339C3">
      <w:pPr>
        <w:ind w:right="-592"/>
        <w:jc w:val="both"/>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color w:val="000000"/>
        </w:rPr>
        <w:t xml:space="preserve">El </w:t>
      </w:r>
      <w:r w:rsidRPr="00F2139C">
        <w:rPr>
          <w:rFonts w:ascii="Palatino Linotype" w:eastAsia="Palatino Linotype" w:hAnsi="Palatino Linotype" w:cs="Palatino Linotype"/>
        </w:rPr>
        <w:t xml:space="preserve">Derecho de Acceso a la Información se garantiza y respeta oportunamente, y según lo que dispone la Ley, las </w:t>
      </w:r>
      <w:r w:rsidRPr="00F2139C">
        <w:rPr>
          <w:rFonts w:ascii="Palatino Linotype" w:eastAsia="Palatino Linotype" w:hAnsi="Palatino Linotype" w:cs="Palatino Linotype"/>
          <w:i/>
          <w:iCs/>
        </w:rPr>
        <w:t>solicitudes de acceso a la información</w:t>
      </w:r>
      <w:r w:rsidRPr="00F2139C">
        <w:rPr>
          <w:rFonts w:ascii="Palatino Linotype" w:eastAsia="Palatino Linotype" w:hAnsi="Palatino Linotype" w:cs="Palatino Linotype"/>
        </w:rPr>
        <w:t>.</w:t>
      </w:r>
    </w:p>
    <w:p w:rsidR="00B339C3" w:rsidRPr="00F2139C" w:rsidRDefault="00B339C3">
      <w:pPr>
        <w:ind w:right="1"/>
        <w:jc w:val="both"/>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color w:val="000000"/>
        </w:rPr>
        <w:t xml:space="preserve">Así </w:t>
      </w:r>
      <w:r w:rsidRPr="00F2139C">
        <w:rPr>
          <w:rFonts w:ascii="Palatino Linotype" w:eastAsia="Palatino Linotype" w:hAnsi="Palatino Linotype" w:cs="Palatino Linotype"/>
        </w:rPr>
        <w:t xml:space="preserve">entonces, se procede analizar, en primer lugar, si el </w:t>
      </w:r>
      <w:r w:rsidRPr="00F2139C">
        <w:rPr>
          <w:rFonts w:ascii="Palatino Linotype" w:eastAsia="Palatino Linotype" w:hAnsi="Palatino Linotype" w:cs="Palatino Linotype"/>
          <w:b/>
          <w:bCs/>
        </w:rPr>
        <w:t>SUJETO OBLIGADO</w:t>
      </w:r>
      <w:r w:rsidRPr="00F2139C">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B339C3" w:rsidRPr="00F2139C" w:rsidRDefault="00BF6403">
      <w:pPr>
        <w:keepNext/>
        <w:keepLines/>
        <w:numPr>
          <w:ilvl w:val="1"/>
          <w:numId w:val="2"/>
        </w:numPr>
        <w:spacing w:line="360" w:lineRule="auto"/>
        <w:ind w:left="567" w:right="-592"/>
        <w:jc w:val="both"/>
        <w:rPr>
          <w:rFonts w:ascii="Palatino Linotype" w:eastAsia="Palatino Linotype" w:hAnsi="Palatino Linotype" w:cs="Palatino Linotype"/>
          <w:b/>
          <w:bCs/>
        </w:rPr>
      </w:pPr>
      <w:r w:rsidRPr="00F2139C">
        <w:rPr>
          <w:rFonts w:ascii="Palatino Linotype" w:eastAsia="Palatino Linotype" w:hAnsi="Palatino Linotype" w:cs="Palatino Linotype"/>
          <w:b/>
          <w:bCs/>
        </w:rPr>
        <w:t>De la información solicitada y la respuesta del SUJETO OBLIGADO.</w:t>
      </w: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bookmarkStart w:id="4" w:name="_heading=h.30j0zll" w:colFirst="0" w:colLast="0"/>
      <w:bookmarkEnd w:id="4"/>
      <w:r w:rsidRPr="00F2139C">
        <w:rPr>
          <w:rFonts w:ascii="Palatino Linotype" w:eastAsia="Palatino Linotype" w:hAnsi="Palatino Linotype" w:cs="Palatino Linotype"/>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w:t>
      </w:r>
      <w:r w:rsidRPr="00F2139C">
        <w:rPr>
          <w:rFonts w:ascii="Palatino Linotype" w:eastAsia="Palatino Linotype" w:hAnsi="Palatino Linotype" w:cs="Palatino Linotype"/>
        </w:rPr>
        <w:lastRenderedPageBreak/>
        <w:t>y apegándose en todo momento al principio de máxima publicidad, de acuerdo con lo establecido en el artículo 8 de la Ley de Transparencia y Acceso a la Información Pública del Estado de México y Municipios.</w:t>
      </w:r>
    </w:p>
    <w:p w:rsidR="00B339C3" w:rsidRPr="00F2139C" w:rsidRDefault="00B339C3">
      <w:pPr>
        <w:spacing w:line="360" w:lineRule="auto"/>
        <w:ind w:right="1"/>
        <w:jc w:val="both"/>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rPr>
        <w:t xml:space="preserve">Ahora bien, previo al estudio de fondo, resulta necesario precisar respecto a fuente obligacional que, el </w:t>
      </w:r>
      <w:r w:rsidRPr="00F2139C">
        <w:rPr>
          <w:rFonts w:ascii="Palatino Linotype" w:eastAsia="Palatino Linotype" w:hAnsi="Palatino Linotype" w:cs="Palatino Linotype"/>
          <w:b/>
          <w:bCs/>
        </w:rPr>
        <w:t xml:space="preserve">SUJETO OBLIGADO, </w:t>
      </w:r>
      <w:r w:rsidRPr="00F2139C">
        <w:rPr>
          <w:rFonts w:ascii="Palatino Linotype" w:eastAsia="Palatino Linotype" w:hAnsi="Palatino Linotype" w:cs="Palatino Linotype"/>
        </w:rPr>
        <w:t>asume que genera, posee y/o administra la información solicitada, tan es así que refiere que la misma de clasifica como confidencial, por lo que resulta innecesario realizar el estudio correspondiente, pues -se insiste- este asume contar con la información solicitada.</w:t>
      </w:r>
    </w:p>
    <w:p w:rsidR="00B339C3" w:rsidRPr="00F2139C" w:rsidRDefault="00B339C3">
      <w:pPr>
        <w:ind w:right="1"/>
        <w:jc w:val="both"/>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rPr>
        <w:t xml:space="preserve">En ese orden de ideas, debemos recapitular que, el </w:t>
      </w:r>
      <w:r w:rsidRPr="00F2139C">
        <w:rPr>
          <w:rFonts w:ascii="Palatino Linotype" w:eastAsia="Palatino Linotype" w:hAnsi="Palatino Linotype" w:cs="Palatino Linotype"/>
          <w:b/>
          <w:bCs/>
        </w:rPr>
        <w:t>RECURRENTE</w:t>
      </w:r>
      <w:r w:rsidRPr="00F2139C">
        <w:rPr>
          <w:rFonts w:ascii="Palatino Linotype" w:eastAsia="Palatino Linotype" w:hAnsi="Palatino Linotype" w:cs="Palatino Linotype"/>
        </w:rPr>
        <w:t xml:space="preserve"> solicitó</w:t>
      </w:r>
      <w:r w:rsidRPr="00F2139C">
        <w:rPr>
          <w:rFonts w:ascii="Palatino Linotype" w:eastAsia="Palatino Linotype" w:hAnsi="Palatino Linotype" w:cs="Palatino Linotype"/>
          <w:b/>
          <w:bCs/>
        </w:rPr>
        <w:t xml:space="preserve"> </w:t>
      </w:r>
      <w:r w:rsidRPr="00F2139C">
        <w:rPr>
          <w:rFonts w:ascii="Palatino Linotype" w:eastAsia="Palatino Linotype" w:hAnsi="Palatino Linotype" w:cs="Palatino Linotype"/>
          <w:b/>
          <w:bCs/>
          <w:color w:val="000000"/>
        </w:rPr>
        <w:t>el Plan de Contingencia en materia de Protección de Datos Personales de todas las áreas administrativas que integran al Sujeto Obligado, del ejercicio fiscal 2024 y 2025.</w:t>
      </w:r>
    </w:p>
    <w:p w:rsidR="00B339C3" w:rsidRPr="00F2139C" w:rsidRDefault="00B339C3">
      <w:pPr>
        <w:ind w:right="1"/>
        <w:jc w:val="both"/>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En respuesta, el </w:t>
      </w:r>
      <w:r w:rsidRPr="00F2139C">
        <w:rPr>
          <w:rFonts w:ascii="Palatino Linotype" w:eastAsia="Palatino Linotype" w:hAnsi="Palatino Linotype" w:cs="Palatino Linotype"/>
          <w:b/>
          <w:bCs/>
        </w:rPr>
        <w:t>SUJETO OBLIGADO</w:t>
      </w:r>
      <w:r w:rsidRPr="00F2139C">
        <w:rPr>
          <w:rFonts w:ascii="Palatino Linotype" w:eastAsia="Palatino Linotype" w:hAnsi="Palatino Linotype" w:cs="Palatino Linotype"/>
        </w:rPr>
        <w:t xml:space="preserve"> por medio d</w:t>
      </w:r>
      <w:r w:rsidRPr="00F2139C">
        <w:rPr>
          <w:rFonts w:ascii="Palatino Linotype" w:eastAsia="Palatino Linotype" w:hAnsi="Palatino Linotype" w:cs="Palatino Linotype"/>
          <w:color w:val="000000"/>
        </w:rPr>
        <w:t xml:space="preserve">el Director de Transparencia y Gobierno Abierto, </w:t>
      </w:r>
      <w:r w:rsidRPr="00F2139C">
        <w:rPr>
          <w:rFonts w:ascii="Palatino Linotype" w:eastAsia="Palatino Linotype" w:hAnsi="Palatino Linotype" w:cs="Palatino Linotype"/>
          <w:b/>
          <w:bCs/>
          <w:color w:val="000000"/>
        </w:rPr>
        <w:t>informó que el “Plan de Contingencia” se clasifica como confidencial en su totalidad,</w:t>
      </w:r>
      <w:r w:rsidRPr="00F2139C">
        <w:rPr>
          <w:rFonts w:ascii="Palatino Linotype" w:eastAsia="Palatino Linotype" w:hAnsi="Palatino Linotype" w:cs="Palatino Linotype"/>
          <w:color w:val="000000"/>
        </w:rPr>
        <w:t xml:space="preserve"> ya que es la descripción detallada de las acciones preventivas y correctivas para adecuar las medidas de seguridad y el tratamiento de los datos personales si fuese el caso, a efecto de evitar que las violaciones se repitan en los sistemas y/o bases de datos personales que administra el Ayuntamiento de Metepec, de conformidad con el Acuerdo No. 10/CT/MET/EXT-014/2025 del Comité de Transparencia.</w:t>
      </w: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rPr>
        <w:t xml:space="preserve">Posteriormente, el </w:t>
      </w:r>
      <w:r w:rsidRPr="00F2139C">
        <w:rPr>
          <w:rFonts w:ascii="Palatino Linotype" w:eastAsia="Palatino Linotype" w:hAnsi="Palatino Linotype" w:cs="Palatino Linotype"/>
          <w:b/>
          <w:bCs/>
        </w:rPr>
        <w:t>RECURRENTE</w:t>
      </w:r>
      <w:r w:rsidRPr="00F2139C">
        <w:rPr>
          <w:rFonts w:ascii="Palatino Linotype" w:eastAsia="Palatino Linotype" w:hAnsi="Palatino Linotype" w:cs="Palatino Linotype"/>
        </w:rPr>
        <w:t xml:space="preserve"> se inconformó por </w:t>
      </w:r>
      <w:r w:rsidRPr="00F2139C">
        <w:rPr>
          <w:rFonts w:ascii="Palatino Linotype" w:eastAsia="Palatino Linotype" w:hAnsi="Palatino Linotype" w:cs="Palatino Linotype"/>
          <w:b/>
          <w:bCs/>
        </w:rPr>
        <w:t>la clasificación de la información.</w:t>
      </w:r>
    </w:p>
    <w:p w:rsidR="00B339C3" w:rsidRPr="00F2139C" w:rsidRDefault="00B339C3">
      <w:pPr>
        <w:ind w:right="1"/>
        <w:jc w:val="both"/>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rPr>
        <w:t xml:space="preserve">En razón de lo anterior, el estudio del presente asunto versará en analizar las constancias que obran en el expediente digital formado en el </w:t>
      </w:r>
      <w:r w:rsidRPr="00F2139C">
        <w:rPr>
          <w:rFonts w:ascii="Palatino Linotype" w:eastAsia="Palatino Linotype" w:hAnsi="Palatino Linotype" w:cs="Palatino Linotype"/>
          <w:b/>
          <w:bCs/>
        </w:rPr>
        <w:t>SAIMEX</w:t>
      </w:r>
      <w:r w:rsidRPr="00F2139C">
        <w:rPr>
          <w:rFonts w:ascii="Palatino Linotype" w:eastAsia="Palatino Linotype" w:hAnsi="Palatino Linotype" w:cs="Palatino Linotype"/>
        </w:rPr>
        <w:t xml:space="preserve">, así como los agravios </w:t>
      </w:r>
      <w:r w:rsidRPr="00F2139C">
        <w:rPr>
          <w:rFonts w:ascii="Palatino Linotype" w:eastAsia="Palatino Linotype" w:hAnsi="Palatino Linotype" w:cs="Palatino Linotype"/>
        </w:rPr>
        <w:lastRenderedPageBreak/>
        <w:t xml:space="preserve">expuestos por el </w:t>
      </w:r>
      <w:r w:rsidRPr="00F2139C">
        <w:rPr>
          <w:rFonts w:ascii="Palatino Linotype" w:eastAsia="Palatino Linotype" w:hAnsi="Palatino Linotype" w:cs="Palatino Linotype"/>
          <w:b/>
          <w:bCs/>
        </w:rPr>
        <w:t xml:space="preserve">RECURRENTE </w:t>
      </w:r>
      <w:r w:rsidRPr="00F2139C">
        <w:rPr>
          <w:rFonts w:ascii="Palatino Linotype" w:eastAsia="Palatino Linotype" w:hAnsi="Palatino Linotype" w:cs="Palatino Linotype"/>
        </w:rPr>
        <w:t xml:space="preserve">a través del recurso de revisión </w:t>
      </w:r>
      <w:r w:rsidRPr="00F2139C">
        <w:rPr>
          <w:rFonts w:ascii="Palatino Linotype" w:eastAsia="Palatino Linotype" w:hAnsi="Palatino Linotype" w:cs="Palatino Linotype"/>
          <w:b/>
          <w:bCs/>
        </w:rPr>
        <w:t>07868/INFOEM/IP/RR/2025,</w:t>
      </w:r>
      <w:r w:rsidRPr="00F2139C">
        <w:rPr>
          <w:rFonts w:ascii="Palatino Linotype" w:eastAsia="Palatino Linotype" w:hAnsi="Palatino Linotype" w:cs="Palatino Linotype"/>
        </w:rPr>
        <w:t xml:space="preserve"> con el objeto de determinar si, con su respuesta, el</w:t>
      </w:r>
      <w:r w:rsidRPr="00F2139C">
        <w:rPr>
          <w:rFonts w:ascii="Palatino Linotype" w:eastAsia="Palatino Linotype" w:hAnsi="Palatino Linotype" w:cs="Palatino Linotype"/>
          <w:b/>
          <w:bCs/>
        </w:rPr>
        <w:t xml:space="preserve"> SUJETO OBLIGADO </w:t>
      </w:r>
      <w:r w:rsidRPr="00F2139C">
        <w:rPr>
          <w:rFonts w:ascii="Palatino Linotype" w:eastAsia="Palatino Linotype" w:hAnsi="Palatino Linotype" w:cs="Palatino Linotype"/>
        </w:rPr>
        <w:t>colmó el derecho de acceso a la información o, si por el contrario, procede la entrega de información.</w:t>
      </w:r>
    </w:p>
    <w:p w:rsidR="00B339C3" w:rsidRPr="00F2139C" w:rsidRDefault="00B339C3">
      <w:pPr>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Al respecto, resulta necesario señalar que la Ley de Protección de Datos Personales en Posesión de Sujetos Obligados del Estado de México y Municipios, señala, en su artículo 46 fracción III, que el elaborar el inventario de datos personales, es una actividad que debe ser considerada para mantener vigentes las medidas de seguridad enfocadas a la protección de los datos personales.</w:t>
      </w:r>
    </w:p>
    <w:p w:rsidR="00B339C3" w:rsidRPr="00F2139C" w:rsidRDefault="00BF6403">
      <w:pPr>
        <w:ind w:left="567" w:right="616"/>
        <w:jc w:val="both"/>
        <w:rPr>
          <w:rFonts w:ascii="Palatino Linotype" w:eastAsia="Palatino Linotype" w:hAnsi="Palatino Linotype" w:cs="Palatino Linotype"/>
          <w:b/>
          <w:bCs/>
          <w:i/>
          <w:iCs/>
        </w:rPr>
      </w:pPr>
      <w:r w:rsidRPr="00F2139C">
        <w:rPr>
          <w:rFonts w:ascii="Palatino Linotype" w:eastAsia="Palatino Linotype" w:hAnsi="Palatino Linotype" w:cs="Palatino Linotype"/>
          <w:i/>
          <w:iCs/>
        </w:rPr>
        <w:t>“</w:t>
      </w:r>
      <w:r w:rsidRPr="00F2139C">
        <w:rPr>
          <w:rFonts w:ascii="Palatino Linotype" w:eastAsia="Palatino Linotype" w:hAnsi="Palatino Linotype" w:cs="Palatino Linotype"/>
          <w:b/>
          <w:bCs/>
          <w:i/>
          <w:iCs/>
        </w:rPr>
        <w:t xml:space="preserve">Actividades interrelacionadas para establecer y mantener las medidas de seguridad </w:t>
      </w:r>
    </w:p>
    <w:p w:rsidR="00B339C3" w:rsidRPr="00F2139C" w:rsidRDefault="00BF6403">
      <w:pPr>
        <w:ind w:left="567" w:right="616"/>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Artículo 46.</w:t>
      </w:r>
      <w:r w:rsidRPr="00F2139C">
        <w:rPr>
          <w:rFonts w:ascii="Palatino Linotype" w:eastAsia="Palatino Linotype" w:hAnsi="Palatino Linotype" w:cs="Palatino Linotype"/>
          <w:i/>
          <w:iCs/>
        </w:rPr>
        <w:t xml:space="preserve"> Para establecer y mantener las medidas de seguridad para la protección de los datos personales, el responsable realizará, al menos, las actividades interrelacionadas siguientes:</w:t>
      </w:r>
    </w:p>
    <w:p w:rsidR="00B339C3" w:rsidRPr="00F2139C" w:rsidRDefault="00BF6403">
      <w:pPr>
        <w:ind w:left="567" w:right="616"/>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w:t>
      </w:r>
    </w:p>
    <w:p w:rsidR="00B339C3" w:rsidRPr="00F2139C" w:rsidRDefault="00BF6403">
      <w:pPr>
        <w:ind w:left="567" w:right="616"/>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III. Elaborar un inventario de datos personales y de las bases y o sistemas de tratamiento.</w:t>
      </w:r>
    </w:p>
    <w:p w:rsidR="00B339C3" w:rsidRPr="00F2139C" w:rsidRDefault="00BF6403">
      <w:pPr>
        <w:ind w:left="567" w:right="616"/>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w:t>
      </w:r>
    </w:p>
    <w:p w:rsidR="00B339C3" w:rsidRPr="00F2139C" w:rsidRDefault="00B339C3">
      <w:pPr>
        <w:spacing w:line="360" w:lineRule="auto"/>
        <w:ind w:right="1"/>
        <w:jc w:val="both"/>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Estos inventarios, son obligatorios y debieron ser generados en una temporalidad especificada por la Ley de Datos vigente en el Estado de México, que consideró en su artículo transitorio Quinto, la obligación de actualizar estos, en un periodo de doce meses, a partir de la publicación de la ley, que fue el treinta de mayo del dos mil diecisiete:</w:t>
      </w:r>
    </w:p>
    <w:p w:rsidR="00B339C3" w:rsidRPr="00F2139C" w:rsidRDefault="00B339C3">
      <w:pPr>
        <w:spacing w:line="360" w:lineRule="auto"/>
        <w:rPr>
          <w:rFonts w:ascii="Palatino Linotype" w:eastAsia="Palatino Linotype" w:hAnsi="Palatino Linotype" w:cs="Palatino Linotype"/>
        </w:rPr>
      </w:pPr>
    </w:p>
    <w:p w:rsidR="00B339C3" w:rsidRPr="00F2139C" w:rsidRDefault="00BF6403">
      <w:pPr>
        <w:ind w:left="567" w:right="616"/>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QUINTO.</w:t>
      </w:r>
      <w:r w:rsidRPr="00F2139C">
        <w:rPr>
          <w:rFonts w:ascii="Palatino Linotype" w:eastAsia="Palatino Linotype" w:hAnsi="Palatino Linotype" w:cs="Palatino Linotype"/>
          <w:i/>
          <w:iCs/>
        </w:rPr>
        <w:t xml:space="preserve"> Los sujetos obligados deberán tramitar, expedir o modificar su normatividad interna a más tardar dentro de los doce meses siguientes a la entrada en vigor de esta Ley.</w:t>
      </w:r>
    </w:p>
    <w:p w:rsidR="00B339C3" w:rsidRPr="00F2139C" w:rsidRDefault="00B339C3">
      <w:pPr>
        <w:ind w:left="567" w:right="616"/>
        <w:rPr>
          <w:rFonts w:ascii="Palatino Linotype" w:eastAsia="Palatino Linotype" w:hAnsi="Palatino Linotype" w:cs="Palatino Linotype"/>
          <w:i/>
          <w:iCs/>
        </w:rPr>
      </w:pPr>
    </w:p>
    <w:p w:rsidR="00B339C3" w:rsidRPr="00F2139C" w:rsidRDefault="00BF6403">
      <w:pPr>
        <w:ind w:left="567" w:right="616"/>
        <w:rPr>
          <w:rFonts w:ascii="Palatino Linotype" w:eastAsia="Palatino Linotype" w:hAnsi="Palatino Linotype" w:cs="Palatino Linotype"/>
          <w:i/>
          <w:iCs/>
        </w:rPr>
      </w:pPr>
      <w:r w:rsidRPr="00F2139C">
        <w:rPr>
          <w:rFonts w:ascii="Palatino Linotype" w:eastAsia="Palatino Linotype" w:hAnsi="Palatino Linotype" w:cs="Palatino Linotype"/>
          <w:i/>
          <w:iCs/>
        </w:rPr>
        <w:t>En el mismo plazo señalado en el párrafo anterior, los sujetos obligados deberán llevar a cabo la actualización del inventario y registro de sus sistemas y bases de datos personales en términos de esta Ley.</w:t>
      </w:r>
    </w:p>
    <w:p w:rsidR="00B339C3" w:rsidRPr="00F2139C" w:rsidRDefault="00B339C3">
      <w:pPr>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lastRenderedPageBreak/>
        <w:t xml:space="preserve">Correlativo a lo anterior, se reitera que el </w:t>
      </w:r>
      <w:r w:rsidRPr="00F2139C">
        <w:rPr>
          <w:rFonts w:ascii="Palatino Linotype" w:eastAsia="Palatino Linotype" w:hAnsi="Palatino Linotype" w:cs="Palatino Linotype"/>
          <w:b/>
          <w:bCs/>
        </w:rPr>
        <w:t>SUJETO OBLIGADO</w:t>
      </w:r>
      <w:r w:rsidRPr="00F2139C">
        <w:rPr>
          <w:rFonts w:ascii="Palatino Linotype" w:eastAsia="Palatino Linotype" w:hAnsi="Palatino Linotype" w:cs="Palatino Linotype"/>
        </w:rPr>
        <w:t xml:space="preserve"> informó que el “Plan de Contingencia” solicitado, corresponde a documentales confidenciales por la naturaleza de la información que contiene, como se establece en los artículos 38, 39, 40 y 41 de la Ley en la materia de Protección de Datos Personales.</w:t>
      </w:r>
    </w:p>
    <w:p w:rsidR="00B339C3" w:rsidRPr="00F2139C" w:rsidRDefault="00B339C3">
      <w:pPr>
        <w:spacing w:line="360" w:lineRule="auto"/>
        <w:ind w:right="1"/>
        <w:jc w:val="both"/>
        <w:rPr>
          <w:rFonts w:ascii="Palatino Linotype" w:eastAsia="Palatino Linotype" w:hAnsi="Palatino Linotype" w:cs="Palatino Linotype"/>
        </w:rPr>
      </w:pPr>
    </w:p>
    <w:p w:rsidR="00B339C3" w:rsidRPr="00F2139C" w:rsidRDefault="00BF6403">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F2139C">
        <w:rPr>
          <w:rFonts w:ascii="Palatino Linotype" w:eastAsia="Palatino Linotype" w:hAnsi="Palatino Linotype" w:cs="Palatino Linotype"/>
          <w:color w:val="000000"/>
        </w:rPr>
        <w:t>Es de resaltar, que el</w:t>
      </w:r>
      <w:r w:rsidRPr="00F2139C">
        <w:rPr>
          <w:rFonts w:ascii="Palatino Linotype" w:eastAsia="Palatino Linotype" w:hAnsi="Palatino Linotype" w:cs="Palatino Linotype"/>
          <w:b/>
          <w:bCs/>
          <w:color w:val="000000"/>
        </w:rPr>
        <w:t xml:space="preserve"> SUJETO OBLIGADO, refirió la existencia de dicho Plan</w:t>
      </w:r>
      <w:r w:rsidRPr="00F2139C">
        <w:rPr>
          <w:rFonts w:ascii="Palatino Linotype" w:eastAsia="Palatino Linotype" w:hAnsi="Palatino Linotype" w:cs="Palatino Linotype"/>
          <w:color w:val="000000"/>
        </w:rPr>
        <w:t xml:space="preserve">. En este sentido, de la solicitud de acceso a la información que nos ocupa, se advierte que el </w:t>
      </w:r>
      <w:r w:rsidRPr="00F2139C">
        <w:rPr>
          <w:rFonts w:ascii="Palatino Linotype" w:eastAsia="Palatino Linotype" w:hAnsi="Palatino Linotype" w:cs="Palatino Linotype"/>
          <w:b/>
          <w:bCs/>
          <w:color w:val="000000"/>
        </w:rPr>
        <w:t xml:space="preserve">RECURRENTE, </w:t>
      </w:r>
      <w:r w:rsidRPr="00F2139C">
        <w:rPr>
          <w:rFonts w:ascii="Palatino Linotype" w:eastAsia="Palatino Linotype" w:hAnsi="Palatino Linotype" w:cs="Palatino Linotype"/>
          <w:color w:val="000000"/>
        </w:rPr>
        <w:t>al requerir el Plan de Contingencia en materia de Datos Personales de todas las áreas administrativas que integran al Ayuntamiento de Metepec, solicitó información relacionada con el cumplimiento de disposiciones en materia de protección de datos personales, tema cuyo marco normativo determina las siguientes obligaciones.</w:t>
      </w:r>
    </w:p>
    <w:p w:rsidR="00B339C3" w:rsidRPr="00F2139C" w:rsidRDefault="00B339C3">
      <w:pPr>
        <w:rPr>
          <w:rFonts w:ascii="Palatino Linotype" w:eastAsia="Palatino Linotype" w:hAnsi="Palatino Linotype" w:cs="Palatino Linotype"/>
        </w:rPr>
      </w:pPr>
    </w:p>
    <w:p w:rsidR="00B339C3" w:rsidRPr="00F2139C" w:rsidRDefault="00BF6403">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F2139C">
        <w:rPr>
          <w:rFonts w:ascii="Palatino Linotype" w:eastAsia="Palatino Linotype" w:hAnsi="Palatino Linotype" w:cs="Palatino Linotype"/>
          <w:color w:val="000000"/>
        </w:rPr>
        <w:t xml:space="preserve">El artículo 6°, apartado A, fracción II, de la Constitución Política de los Estados Unidos Mexicanos establece que </w:t>
      </w:r>
      <w:r w:rsidRPr="00F2139C">
        <w:rPr>
          <w:rFonts w:ascii="Palatino Linotype" w:eastAsia="Palatino Linotype" w:hAnsi="Palatino Linotype" w:cs="Palatino Linotype"/>
          <w:i/>
          <w:iCs/>
          <w:color w:val="000000"/>
        </w:rPr>
        <w:t xml:space="preserve">la información que se refiere a la vida privada y los datos personales será protegida en los términos y con las excepciones que fijen las leyes. </w:t>
      </w:r>
      <w:r w:rsidRPr="00F2139C">
        <w:rPr>
          <w:rFonts w:ascii="Palatino Linotype" w:eastAsia="Palatino Linotype" w:hAnsi="Palatino Linotype" w:cs="Palatino Linotype"/>
          <w:color w:val="000000"/>
        </w:rPr>
        <w:t>Por su parte el artículo 16, párrafo segundo, del mismo ordenamiento establece el derecho que tienen los particulares a la protección de sus datos personales, conforme a lo siguiente:</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B339C3" w:rsidRPr="00F2139C" w:rsidRDefault="00BF6403">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F2139C">
        <w:rPr>
          <w:rFonts w:ascii="Palatino Linotype" w:eastAsia="Palatino Linotype" w:hAnsi="Palatino Linotype" w:cs="Palatino Linotype"/>
          <w:color w:val="000000"/>
        </w:rPr>
        <w:t xml:space="preserve">Sobre la materia de protección de datos personales, en nuestro país se ha bifurcado, a partir de quién realiza el tratamiento, así, por un lado se garantiza la protección de los datos personales que son tratados por particulares a través de una ley de carácter federal y para el caso de la instituciones públicas en leyes especializas en el tratamiento que en función del marco legal e impacto que estas, de tal suerte que la Ley General de Protección de Datos </w:t>
      </w:r>
      <w:r w:rsidRPr="00F2139C">
        <w:rPr>
          <w:rFonts w:ascii="Palatino Linotype" w:eastAsia="Palatino Linotype" w:hAnsi="Palatino Linotype" w:cs="Palatino Linotype"/>
          <w:color w:val="000000"/>
        </w:rPr>
        <w:lastRenderedPageBreak/>
        <w:t xml:space="preserve">Personales en Posesión de Sujetos Obligados, establece sobre la protección de estos lo siguiente: </w:t>
      </w:r>
    </w:p>
    <w:p w:rsidR="00B339C3" w:rsidRPr="00F2139C" w:rsidRDefault="00B339C3">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rsidR="00B339C3" w:rsidRPr="00F2139C" w:rsidRDefault="00BF6403">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F2139C">
        <w:rPr>
          <w:rFonts w:ascii="Palatino Linotype" w:eastAsia="Palatino Linotype" w:hAnsi="Palatino Linotype" w:cs="Palatino Linotype"/>
          <w:color w:val="000000"/>
        </w:rPr>
        <w:t>El artículo 1°, dispone que es una ley de observancia general en toda la República, reglamentaria de los artículos 6o., Base A y 16, segundo párrafo, de la Constitución Política de los Estados Unidos Mexicanos, en materia de protección de datos personales en posesión de sujetos obligados.</w:t>
      </w:r>
    </w:p>
    <w:p w:rsidR="00B339C3" w:rsidRPr="00F2139C" w:rsidRDefault="00B339C3">
      <w:pPr>
        <w:pBdr>
          <w:top w:val="nil"/>
          <w:left w:val="nil"/>
          <w:bottom w:val="nil"/>
          <w:right w:val="nil"/>
          <w:between w:val="nil"/>
        </w:pBdr>
        <w:ind w:left="720"/>
        <w:rPr>
          <w:rFonts w:ascii="Palatino Linotype" w:eastAsia="Palatino Linotype" w:hAnsi="Palatino Linotype" w:cs="Palatino Linotype"/>
          <w:color w:val="000000"/>
        </w:rPr>
      </w:pPr>
    </w:p>
    <w:p w:rsidR="00B339C3" w:rsidRPr="00F2139C" w:rsidRDefault="00BF6403">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F2139C">
        <w:rPr>
          <w:rFonts w:ascii="Palatino Linotype" w:eastAsia="Palatino Linotype" w:hAnsi="Palatino Linotype" w:cs="Palatino Linotype"/>
          <w:color w:val="000000"/>
        </w:rPr>
        <w:t>En los artículos 31 y 32 de este ordenamiento, se establece que el responsable del tratamiento de datos personales deberá establecer y mantener las medidas de seguridad de carácter administrativo, físico y técnico para la protección de los datos personales, con el objetivo de protegerlos contra daño, pérdida, alteración, destrucción o su uso, acceso o tratamiento no autorizado, así como garantizar su confidencialidad, integridad y disponibilidad.</w:t>
      </w:r>
    </w:p>
    <w:p w:rsidR="00B339C3" w:rsidRPr="00F2139C" w:rsidRDefault="00B339C3">
      <w:pPr>
        <w:rPr>
          <w:rFonts w:ascii="Palatino Linotype" w:eastAsia="Palatino Linotype" w:hAnsi="Palatino Linotype" w:cs="Palatino Linotype"/>
        </w:rPr>
      </w:pPr>
    </w:p>
    <w:p w:rsidR="00B339C3" w:rsidRPr="00F2139C" w:rsidRDefault="00BF6403">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F2139C">
        <w:rPr>
          <w:rFonts w:ascii="Palatino Linotype" w:eastAsia="Palatino Linotype" w:hAnsi="Palatino Linotype" w:cs="Palatino Linotype"/>
          <w:color w:val="000000"/>
        </w:rPr>
        <w:t>Dichas medidas deben considerar el riesgo inherente a los datos personales tratados; su sensibilidad; el desarrollo tecnológico; las posibles consecuencias de una vulneración para los titulares; las transferencias que se realicen; el número de titulares; las vulneraciones previas ocurridas en los sistemas de tratamiento, y el riesgo por el valor potencial cuantitativo o cualitativo que pudieran tener los datos personales tratados para una tercera persona no autorizada para su posesión.</w:t>
      </w:r>
    </w:p>
    <w:p w:rsidR="00B339C3" w:rsidRPr="00F2139C" w:rsidRDefault="00B339C3">
      <w:pPr>
        <w:rPr>
          <w:rFonts w:ascii="Palatino Linotype" w:eastAsia="Palatino Linotype" w:hAnsi="Palatino Linotype" w:cs="Palatino Linotype"/>
        </w:rPr>
      </w:pPr>
    </w:p>
    <w:p w:rsidR="00B339C3" w:rsidRPr="00F2139C" w:rsidRDefault="00BF6403">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F2139C">
        <w:rPr>
          <w:rFonts w:ascii="Palatino Linotype" w:eastAsia="Palatino Linotype" w:hAnsi="Palatino Linotype" w:cs="Palatino Linotype"/>
          <w:color w:val="000000"/>
        </w:rPr>
        <w:t>Para cumplir con lo anterior el artículo 33 de la Ley en cita refiere, los sujetos obligados deben:</w:t>
      </w:r>
    </w:p>
    <w:p w:rsidR="00B339C3" w:rsidRPr="00F2139C" w:rsidRDefault="00BF6403">
      <w:pPr>
        <w:numPr>
          <w:ilvl w:val="0"/>
          <w:numId w:val="4"/>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lastRenderedPageBreak/>
        <w:t>Crear políticas internas para la gestión y tratamiento de los datos personales, que tomen en cuenta el contexto en el que ocurren los tratamientos y el ciclo de vida de los datos personales, es decir, su obtención, uso y posterior supresión;</w:t>
      </w:r>
    </w:p>
    <w:p w:rsidR="00B339C3" w:rsidRPr="00F2139C" w:rsidRDefault="00BF6403">
      <w:pPr>
        <w:numPr>
          <w:ilvl w:val="0"/>
          <w:numId w:val="4"/>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t>Definir las funciones y obligaciones del personal involucrado en el tratamiento de datos personales;</w:t>
      </w:r>
    </w:p>
    <w:p w:rsidR="00B339C3" w:rsidRPr="00F2139C" w:rsidRDefault="00BF6403">
      <w:pPr>
        <w:numPr>
          <w:ilvl w:val="0"/>
          <w:numId w:val="4"/>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t>Elaborar un inventario de datos personales y de los sistemas de tratamiento;</w:t>
      </w:r>
    </w:p>
    <w:p w:rsidR="00B339C3" w:rsidRPr="00F2139C" w:rsidRDefault="00BF6403">
      <w:pPr>
        <w:numPr>
          <w:ilvl w:val="0"/>
          <w:numId w:val="4"/>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t>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w:t>
      </w:r>
    </w:p>
    <w:p w:rsidR="00B339C3" w:rsidRPr="00F2139C" w:rsidRDefault="00BF6403">
      <w:pPr>
        <w:numPr>
          <w:ilvl w:val="0"/>
          <w:numId w:val="4"/>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t>Realizar un análisis de brecha, comparando las medidas de seguridad existentes contra las faltantes en la organización del responsable;</w:t>
      </w:r>
    </w:p>
    <w:p w:rsidR="00B339C3" w:rsidRPr="00F2139C" w:rsidRDefault="00BF6403">
      <w:pPr>
        <w:numPr>
          <w:ilvl w:val="0"/>
          <w:numId w:val="4"/>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t>Elaborar un plan de trabajo para la implementación de las medidas de seguridad faltantes, así como las medidas para el cumplimiento cotidiano de las políticas de gestión y tratamiento de los datos personales;</w:t>
      </w:r>
    </w:p>
    <w:p w:rsidR="00B339C3" w:rsidRPr="00F2139C" w:rsidRDefault="00BF6403">
      <w:pPr>
        <w:numPr>
          <w:ilvl w:val="0"/>
          <w:numId w:val="4"/>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t>Monitorear y revisar de manera periódica las medidas de seguridad implementadas, así como las amenazas y vulneraciones a las que están sujetos los datos personales, y</w:t>
      </w:r>
    </w:p>
    <w:p w:rsidR="00B339C3" w:rsidRPr="00F2139C" w:rsidRDefault="00BF6403">
      <w:pPr>
        <w:numPr>
          <w:ilvl w:val="0"/>
          <w:numId w:val="4"/>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t>Diseñar y aplicar diferentes niveles de capacitación del personal bajo su mando, dependiendo de sus roles y responsabilidades respecto del tratamiento de los datos personales.</w:t>
      </w:r>
    </w:p>
    <w:p w:rsidR="00B339C3" w:rsidRPr="00F2139C" w:rsidRDefault="00B339C3">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rsidR="00B339C3" w:rsidRPr="00F2139C" w:rsidRDefault="00BF6403">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F2139C">
        <w:rPr>
          <w:rFonts w:ascii="Palatino Linotype" w:eastAsia="Palatino Linotype" w:hAnsi="Palatino Linotype" w:cs="Palatino Linotype"/>
          <w:color w:val="000000"/>
        </w:rPr>
        <w:t>Ahora bien, la Ley General dispone en el artículo 35 la obligación de generar un documento de seguridad que entre otros aspectos contenga el análisis de riesgos, el análisis de brecha; el plan de trabajo; los mecanismos de monitoreo y revisión de las medidas de seguridad, y el programa general de capacitación; información que son de interés del ahora Recurrente.</w:t>
      </w:r>
    </w:p>
    <w:p w:rsidR="00B339C3" w:rsidRPr="00F2139C" w:rsidRDefault="00B339C3">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rsidR="00B339C3" w:rsidRPr="00F2139C" w:rsidRDefault="00BF6403">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F2139C">
        <w:rPr>
          <w:rFonts w:ascii="Palatino Linotype" w:eastAsia="Palatino Linotype" w:hAnsi="Palatino Linotype" w:cs="Palatino Linotype"/>
          <w:color w:val="000000"/>
        </w:rPr>
        <w:lastRenderedPageBreak/>
        <w:t>En competencia local, la Ley de Protección de Datos Personales en Posesión de Sujetos Obligados del Estado de México y Municipios, sobre nuestro tema de interés refiere lo siguiente:</w:t>
      </w:r>
    </w:p>
    <w:p w:rsidR="00B339C3" w:rsidRPr="00F2139C" w:rsidRDefault="00BF6403">
      <w:pPr>
        <w:ind w:left="567" w:right="567"/>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 xml:space="preserve">Del objeto de la Ley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Artículo 1</w:t>
      </w:r>
      <w:r w:rsidRPr="00F2139C">
        <w:rPr>
          <w:rFonts w:ascii="Palatino Linotype" w:eastAsia="Palatino Linotype" w:hAnsi="Palatino Linotype" w:cs="Palatino Linotype"/>
          <w:i/>
          <w:iCs/>
        </w:rPr>
        <w:t>. La presente Ley es de orden público, interés social y observancia obligatoria en el Estado de México y sus Municipios. Es reglamentaria de las disposiciones en materia de protección de datos personales previstas en la Constitución Política del Estado Libre y Soberano de México. Tiene por objeto establecer las bases, principios y procedimientos para tutelar y garantizar el derecho que tiene toda persona a la protección de sus datos personales, en posesión de los sujetos obligados.</w:t>
      </w:r>
    </w:p>
    <w:p w:rsidR="00B339C3" w:rsidRPr="00F2139C" w:rsidRDefault="00B339C3">
      <w:pPr>
        <w:ind w:left="567" w:right="567"/>
        <w:jc w:val="both"/>
        <w:rPr>
          <w:rFonts w:ascii="Palatino Linotype" w:eastAsia="Palatino Linotype" w:hAnsi="Palatino Linotype" w:cs="Palatino Linotype"/>
          <w:i/>
          <w:iCs/>
        </w:rPr>
      </w:pPr>
    </w:p>
    <w:p w:rsidR="00B339C3" w:rsidRPr="00F2139C" w:rsidRDefault="00BF6403">
      <w:pPr>
        <w:ind w:left="567" w:right="567"/>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 xml:space="preserve">De las finalidades de la Ley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Artículo 2.</w:t>
      </w:r>
      <w:r w:rsidRPr="00F2139C">
        <w:rPr>
          <w:rFonts w:ascii="Palatino Linotype" w:eastAsia="Palatino Linotype" w:hAnsi="Palatino Linotype" w:cs="Palatino Linotype"/>
          <w:i/>
          <w:iCs/>
        </w:rPr>
        <w:t xml:space="preserve"> Son finalidades de la presente Ley:</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I. a III.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IV. Proteger los datos personales en posesión de los sujetos obligados del Estado de México y municipios a los que se refiere esta Ley, con la finalidad de regular su debido tratamiento.</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V. Promover la adopción de medidas de seguridad que garanticen, la integridad, disponibilidad y confidencialidad de los datos personales en posesión de los sujetos obligados, estableciendo los mecanismos para asegurar su cumplimiento.</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VI. a X. …</w:t>
      </w:r>
    </w:p>
    <w:p w:rsidR="00B339C3" w:rsidRPr="00F2139C" w:rsidRDefault="00B339C3">
      <w:pPr>
        <w:ind w:left="567" w:right="567"/>
        <w:jc w:val="both"/>
        <w:rPr>
          <w:rFonts w:ascii="Palatino Linotype" w:eastAsia="Palatino Linotype" w:hAnsi="Palatino Linotype" w:cs="Palatino Linotype"/>
          <w:i/>
          <w:iCs/>
        </w:rPr>
      </w:pPr>
    </w:p>
    <w:p w:rsidR="00B339C3" w:rsidRPr="00F2139C" w:rsidRDefault="00BF6403">
      <w:pPr>
        <w:ind w:left="567" w:right="567"/>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Glosario</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Artículo 4.</w:t>
      </w:r>
      <w:r w:rsidRPr="00F2139C">
        <w:rPr>
          <w:rFonts w:ascii="Palatino Linotype" w:eastAsia="Palatino Linotype" w:hAnsi="Palatino Linotype" w:cs="Palatino Linotype"/>
          <w:i/>
          <w:iCs/>
        </w:rPr>
        <w:t xml:space="preserve"> Para los efectos de esta Ley se entenderá por:</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I. a XVII.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 xml:space="preserve">XVIII. </w:t>
      </w:r>
      <w:r w:rsidRPr="00F2139C">
        <w:rPr>
          <w:rFonts w:ascii="Palatino Linotype" w:eastAsia="Palatino Linotype" w:hAnsi="Palatino Linotype" w:cs="Palatino Linotype"/>
          <w:b/>
          <w:bCs/>
          <w:i/>
          <w:iCs/>
        </w:rPr>
        <w:t>Documento de seguridad: al instrumento que describe y da cuenta de manera general sobre las medidas de seguridad técnicas, físicas y administrativas adoptadas por el responsable</w:t>
      </w:r>
      <w:r w:rsidRPr="00F2139C">
        <w:rPr>
          <w:rFonts w:ascii="Palatino Linotype" w:eastAsia="Palatino Linotype" w:hAnsi="Palatino Linotype" w:cs="Palatino Linotype"/>
          <w:i/>
          <w:iCs/>
        </w:rPr>
        <w:t xml:space="preserve"> para garantizar la confidencialidad, integridad y disponibilidad de la información contenida en los sistemas y bases de datos personales. XIX. a XXX.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XXXI. Medidas de seguridad administrativas: a las políticas y procedimientos para la gestión, soporte y revisión de la seguridad de la información a nivel organizacional, la identificación, clasificación y borrado seguro de la información, así como la sensibilización, y capacitación del personal, en materia de protección de datos personales.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lastRenderedPageBreak/>
        <w:t>XXXII. Medidas de seguridad físicas: a las acciones y mecanismos para proteger el entorno físico de los datos personales y de los recursos involucrados en su tratamiento. De manera enunciativa más no limitativa, se considerarán las actividades siguientes: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a) Prevenir el acceso no autorizado al perímetro de la organización, sus instalaciones físicas, áreas críticas, recursos e información.</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b) Prevenir el daño o interferencia a las instalaciones físicas, áreas críticas de la organización, recursos e información.</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c) Proteger los recursos móviles, portátiles y cualquier soporte físico o electrónico que pueda salir de la organización.</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d) Proveer a los equipos que contienen o almacenan datos personales de un mantenimiento eficaz que asegure su disponibilidad e integridad.</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XXXIII. Medidas de seguridad técnicas: 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a) Prevenir que el acceso a los sistemas y bases de datos o a la información, así como a los recursos, sea por usuarios identificados y autorizados.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b) Generar un esquema de privilegios para que el usuario lleve a cabo las actividades que requiere con motivo de sus funciones.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c) Revisar la configuración de seguridad en la adquisición, operación, desarrollo y mantenimiento del software y hardware.</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d) Gestionar las comunicaciones, operaciones y medios de almacenamiento de los recursos informáticos en el tratamiento de datos personales.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XXXIII. a LI.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 xml:space="preserve">LII. Violación de la seguridad de los datos personales: a la violación de la seguridad que ocasione la destrucción, pérdida o alteración accidental o ilícita de datos personales transferidos, conservados o tratados de otra forma, o la comunicación o acceso no autorizados a dichos datos, o cualquier otra que afecte la confidencialidad, integridad y disponibilidad de los datos personales. Se encuentran comprendidas dentro de este concepto las vulneraciones a las que hace referencia la Ley General de Protección de Datos Personales en Posesión de Sujetos Obligados. </w:t>
      </w:r>
    </w:p>
    <w:p w:rsidR="00B339C3" w:rsidRPr="00F2139C" w:rsidRDefault="00B339C3">
      <w:pPr>
        <w:ind w:left="567" w:right="567"/>
        <w:jc w:val="both"/>
        <w:rPr>
          <w:rFonts w:ascii="Palatino Linotype" w:eastAsia="Palatino Linotype" w:hAnsi="Palatino Linotype" w:cs="Palatino Linotype"/>
          <w:i/>
          <w:iCs/>
        </w:rPr>
      </w:pPr>
    </w:p>
    <w:p w:rsidR="00B339C3" w:rsidRPr="00F2139C" w:rsidRDefault="00BF6403">
      <w:pPr>
        <w:ind w:left="567" w:right="567"/>
        <w:jc w:val="center"/>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CAPÍTULO PRIMERO</w:t>
      </w:r>
    </w:p>
    <w:p w:rsidR="00B339C3" w:rsidRPr="00F2139C" w:rsidRDefault="00BF6403">
      <w:pPr>
        <w:ind w:left="567" w:right="567"/>
        <w:jc w:val="center"/>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DE LOS PRINCIPIOS EN MATERIA DE PROTECCIÓN</w:t>
      </w:r>
    </w:p>
    <w:p w:rsidR="00B339C3" w:rsidRPr="00F2139C" w:rsidRDefault="00BF6403">
      <w:pPr>
        <w:ind w:left="567" w:right="567"/>
        <w:jc w:val="center"/>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DE DATOS PERSONALES</w:t>
      </w:r>
    </w:p>
    <w:p w:rsidR="00B339C3" w:rsidRPr="00F2139C" w:rsidRDefault="00BF6403">
      <w:pPr>
        <w:ind w:left="567" w:right="567"/>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Principio de Calidad</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lastRenderedPageBreak/>
        <w:t>Artículo 16.</w:t>
      </w:r>
      <w:r w:rsidRPr="00F2139C">
        <w:rPr>
          <w:rFonts w:ascii="Palatino Linotype" w:eastAsia="Palatino Linotype" w:hAnsi="Palatino Linotype" w:cs="Palatino Linotype"/>
          <w:i/>
          <w:iCs/>
        </w:rPr>
        <w:t xml:space="preserve"> Los responsables adoptarán las medidas para mantener exactos, completos, correctos y actualizados los datos personales en su posesión, para no alterar su veracidad.</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Se presume que se cumple con la calidad en los datos personales cuando éstos son proporcionados directamente por la o el titular y hasta que éste no manifieste y acredite lo contrario.</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Cuando los datos personales hayan dejado de ser necesarios para el cumplimiento de las finalidades previstas en el aviso de privacidad y que motivaron su tratamiento conforme a las disposiciones que resulten aplicables, serán suprimidos previo bloqueo y concluido su plazo de conservación.</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Los plazos de conservación de los datos personales no excederán los necesarios para el cumplimiento de las finalidades que justificaron su tratamiento, atendiendo a las disposiciones legales aplicables en la materia de que se trate y considerar los aspectos administrativos, contables, fiscales, jurídicos e históricos de los datos personales, en términos de su catálogo de disposición documental.</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Con el objeto de preservar la veracidad de la información, el responsable llevará una bitácora de las modificaciones que ha realizado a los registros de las usuarias y los usuarios de los sistemas y bases de datos personales, pudiendo conservar, los datos que se han referido inexactos, incompletos, incorrectos o desactualizados, los cuales inclusive podrán ser utilizados para efecto de responsabilidades.</w:t>
      </w:r>
    </w:p>
    <w:p w:rsidR="00B339C3" w:rsidRPr="00F2139C" w:rsidRDefault="00B339C3">
      <w:pPr>
        <w:ind w:left="567" w:right="567"/>
        <w:jc w:val="both"/>
        <w:rPr>
          <w:rFonts w:ascii="Palatino Linotype" w:eastAsia="Palatino Linotype" w:hAnsi="Palatino Linotype" w:cs="Palatino Linotype"/>
          <w:i/>
          <w:iCs/>
        </w:rPr>
      </w:pPr>
    </w:p>
    <w:p w:rsidR="00B339C3" w:rsidRPr="00F2139C" w:rsidRDefault="00BF6403">
      <w:pPr>
        <w:ind w:left="567" w:right="567"/>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Mecanismos para demostrar el cumplimiento del principio de responsabilidad</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Artículo 28.</w:t>
      </w:r>
      <w:r w:rsidRPr="00F2139C">
        <w:rPr>
          <w:rFonts w:ascii="Palatino Linotype" w:eastAsia="Palatino Linotype" w:hAnsi="Palatino Linotype" w:cs="Palatino Linotype"/>
          <w:i/>
          <w:iCs/>
        </w:rPr>
        <w:t xml:space="preserve"> Entre los mecanismos que deberá adoptar el responsable para cumplir con el principio de responsabilidad establecido en la presente Ley están, al menos, los siguientes: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I. a II.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III. Poner en práctica un programa de capacitación y actualización del personal sobre las obligaciones y demás deberes en materia de protección de datos personales.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IV. Revisar periódicamente las políticas y programas de seguridad de datos personales para determinar las modificaciones que se requieran.</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V. Establecer un sistema de supervisión y vigilancia interna y/o externas, incluyendo auditorías, para comprobar el cumplimiento de las políticas de protección de datos personales.</w:t>
      </w:r>
    </w:p>
    <w:p w:rsidR="00B339C3" w:rsidRPr="00F2139C" w:rsidRDefault="00B339C3">
      <w:pPr>
        <w:ind w:left="567" w:right="567"/>
        <w:jc w:val="both"/>
        <w:rPr>
          <w:rFonts w:ascii="Palatino Linotype" w:eastAsia="Palatino Linotype" w:hAnsi="Palatino Linotype" w:cs="Palatino Linotype"/>
          <w:i/>
          <w:iCs/>
        </w:rPr>
      </w:pPr>
    </w:p>
    <w:p w:rsidR="00B339C3" w:rsidRPr="00F2139C" w:rsidRDefault="00BF6403">
      <w:pPr>
        <w:ind w:left="567" w:right="567"/>
        <w:jc w:val="center"/>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CAPÍTULO SEGUNDO</w:t>
      </w:r>
    </w:p>
    <w:p w:rsidR="00B339C3" w:rsidRPr="00F2139C" w:rsidRDefault="00BF6403">
      <w:pPr>
        <w:ind w:left="567" w:right="567"/>
        <w:jc w:val="center"/>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DE LAS MEDIDAS DE SEGURIDAD</w:t>
      </w:r>
    </w:p>
    <w:p w:rsidR="00B339C3" w:rsidRPr="00F2139C" w:rsidRDefault="00B339C3">
      <w:pPr>
        <w:ind w:left="567" w:right="567"/>
        <w:jc w:val="both"/>
        <w:rPr>
          <w:rFonts w:ascii="Palatino Linotype" w:eastAsia="Palatino Linotype" w:hAnsi="Palatino Linotype" w:cs="Palatino Linotype"/>
          <w:i/>
          <w:iCs/>
        </w:rPr>
      </w:pP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Naturaleza de las medidas de seguridad y registro del nivel de seguridad</w:t>
      </w:r>
      <w:r w:rsidRPr="00F2139C">
        <w:rPr>
          <w:rFonts w:ascii="Palatino Linotype" w:eastAsia="Palatino Linotype" w:hAnsi="Palatino Linotype" w:cs="Palatino Linotype"/>
          <w:i/>
          <w:iCs/>
        </w:rPr>
        <w:t xml:space="preserve">.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lastRenderedPageBreak/>
        <w:t>Artículo 43.</w:t>
      </w:r>
      <w:r w:rsidRPr="00F2139C">
        <w:rPr>
          <w:rFonts w:ascii="Palatino Linotype" w:eastAsia="Palatino Linotype" w:hAnsi="Palatino Linotype" w:cs="Palatino Linotype"/>
          <w:i/>
          <w:iCs/>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 las medidas de seguridad que se adopten serán consideradas confidenciales y únicamente se comunicará al Instituto, para su registro, el nivel de seguridad aplicable.</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En el supuesto de actualización de estos datos, la modificación respectiva se notificará al Instituto en sus oficinas o en el portal que para tal efecto se cree, dentro de los treinta días hábiles siguientes a la fecha en que se efectuó.</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El responsable o el encargado, designarán a una o un administrador, quien tendrá bajo su responsabilidad directa la base y sistema de datos personales.</w:t>
      </w:r>
    </w:p>
    <w:p w:rsidR="00B339C3" w:rsidRPr="00F2139C" w:rsidRDefault="00B339C3">
      <w:pPr>
        <w:ind w:left="567" w:right="567"/>
        <w:jc w:val="both"/>
        <w:rPr>
          <w:rFonts w:ascii="Palatino Linotype" w:eastAsia="Palatino Linotype" w:hAnsi="Palatino Linotype" w:cs="Palatino Linotype"/>
          <w:i/>
          <w:iCs/>
        </w:rPr>
      </w:pPr>
    </w:p>
    <w:p w:rsidR="00B339C3" w:rsidRPr="00F2139C" w:rsidRDefault="00BF6403">
      <w:pPr>
        <w:ind w:left="567" w:right="567"/>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Elementos a considerar para la adopción de medidas de seguridad y su naturaleza</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Artículo 45.</w:t>
      </w:r>
      <w:r w:rsidRPr="00F2139C">
        <w:rPr>
          <w:rFonts w:ascii="Palatino Linotype" w:eastAsia="Palatino Linotype" w:hAnsi="Palatino Linotype" w:cs="Palatino Linotype"/>
          <w:i/>
          <w:iCs/>
        </w:rPr>
        <w:t xml:space="preserve"> Las medidas de seguridad adoptadas por el responsable considerarán:</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I. El riesgo inherente a los datos personales tratados.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II. La sensibilidad de los datos personales tratados.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III. El desarrollo tecnológico.</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IV. Las posibles consecuencias de una vulneración para las y los titulares.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V. Las transferencias de datos personales que se realicen.</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VI. El número de titulares.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VII. Las violaciones a la seguridad previas ocurridas en los sistemas de tratamiento.</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VIII. El riesgo por el valor potencial cuantitativo o cualitativo que pudieran tener los datos personales tratados para una tercera persona no autorizada para su posesión.</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Actividades interrelacionadas para establecer y mantener las medidas de seguridad</w:t>
      </w:r>
    </w:p>
    <w:p w:rsidR="00B339C3" w:rsidRPr="00F2139C" w:rsidRDefault="00B339C3">
      <w:pPr>
        <w:ind w:left="567" w:right="567"/>
        <w:jc w:val="both"/>
        <w:rPr>
          <w:rFonts w:ascii="Palatino Linotype" w:eastAsia="Palatino Linotype" w:hAnsi="Palatino Linotype" w:cs="Palatino Linotype"/>
          <w:i/>
          <w:iCs/>
        </w:rPr>
      </w:pP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Artículo 46</w:t>
      </w:r>
      <w:r w:rsidRPr="00F2139C">
        <w:rPr>
          <w:rFonts w:ascii="Palatino Linotype" w:eastAsia="Palatino Linotype" w:hAnsi="Palatino Linotype" w:cs="Palatino Linotype"/>
          <w:i/>
          <w:iCs/>
        </w:rPr>
        <w:t>. Para establecer y mantener las medidas de seguridad para la protección de los datos personales, el responsable realizará, al menos, las actividades interrelacionadas siguientes: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lastRenderedPageBreak/>
        <w:t>I. Crear políticas internas para la gestión y tratamiento de los datos personales, que tomen en cuenta el contexto en el que ocurren los tratamientos y el ciclo de vida de los datos personales, es decir, su obtención, uso y posterior supresión.</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II. Definir las funciones y obligaciones del personal involucrado en el tratamiento de datos personales.</w:t>
      </w:r>
    </w:p>
    <w:p w:rsidR="00B339C3" w:rsidRPr="00F2139C" w:rsidRDefault="00BF6403">
      <w:pPr>
        <w:ind w:left="567" w:right="567"/>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III. Elaborar un inventario de datos personales y de las bases y o sistemas de tratamiento.</w:t>
      </w:r>
    </w:p>
    <w:p w:rsidR="00B339C3" w:rsidRPr="00F2139C" w:rsidRDefault="00BF6403">
      <w:pPr>
        <w:ind w:left="567" w:right="567"/>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w:t>
      </w:r>
    </w:p>
    <w:p w:rsidR="00B339C3" w:rsidRPr="00F2139C" w:rsidRDefault="00BF6403">
      <w:pPr>
        <w:ind w:left="567" w:right="567"/>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V. Realizar un análisis de brecha, comparando las medidas de seguridad existentes contra las faltantes en la organización del responsable.</w:t>
      </w:r>
    </w:p>
    <w:p w:rsidR="00B339C3" w:rsidRPr="00F2139C" w:rsidRDefault="00BF6403">
      <w:pPr>
        <w:ind w:left="567" w:right="567"/>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VI. Elaborar un plan de trabajo para la implementación de las medidas de seguridad faltantes, así como las medidas para el cumplimiento cotidiano de las políticas de gestión y tratamiento de los datos personales.</w:t>
      </w:r>
    </w:p>
    <w:p w:rsidR="00B339C3" w:rsidRPr="00F2139C" w:rsidRDefault="00BF6403">
      <w:pPr>
        <w:ind w:left="567" w:right="567"/>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VII. Monitorear y revisar de manera periódica las medidas de seguridad implementadas, así como las amenazas y vulnerabilidades a las que están sujetos los datos personales.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VIII. Diseñar y aplicar diferentes niveles de capacitación del personal bajo su mando, dependiendo de sus roles y responsabilidades respecto del tratamiento de los datos personales</w:t>
      </w:r>
    </w:p>
    <w:p w:rsidR="00B339C3" w:rsidRPr="00F2139C" w:rsidRDefault="00B339C3">
      <w:pPr>
        <w:ind w:left="567" w:right="567"/>
        <w:jc w:val="both"/>
        <w:rPr>
          <w:rFonts w:ascii="Palatino Linotype" w:eastAsia="Palatino Linotype" w:hAnsi="Palatino Linotype" w:cs="Palatino Linotype"/>
          <w:i/>
          <w:iCs/>
        </w:rPr>
      </w:pPr>
    </w:p>
    <w:p w:rsidR="00B339C3" w:rsidRPr="00F2139C" w:rsidRDefault="00BF6403">
      <w:pPr>
        <w:ind w:left="567" w:right="567"/>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Contenido del Documento de Seguridad</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Artículo 49.</w:t>
      </w:r>
      <w:r w:rsidRPr="00F2139C">
        <w:rPr>
          <w:rFonts w:ascii="Palatino Linotype" w:eastAsia="Palatino Linotype" w:hAnsi="Palatino Linotype" w:cs="Palatino Linotype"/>
          <w:i/>
          <w:iCs/>
        </w:rPr>
        <w:t xml:space="preserve"> El documento de seguridad deberá contener como mínimo lo siguiente:</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I. Respecto de los sistemas de datos personales: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a) El nombre.</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b) El nombre, cargo y adscripción del administrador de cada sistema y base de datos.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 xml:space="preserve">c) Las funciones y obligaciones del responsable, encargado o encargados y todas las personas que traten datos personales.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 xml:space="preserve">d) El folio del registro del sistema y base de datos.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 xml:space="preserve">e) El inventario o la especificación detallada del tipo de datos personales contenidos.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f) La estructura y descripción de los sistemas y bases de datos personales, lo cual consiste en precisar y describir el tipo de soporte, así como las características del lugar donde se resguardan.</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 xml:space="preserve">II. Respecto de las medidas de seguridad implementadas deberá incluir lo siguiente: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 xml:space="preserve">a) Transferencia y remisiones.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 xml:space="preserve">b) Resguardo de soportes físicos y electrónicos.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lastRenderedPageBreak/>
        <w:t xml:space="preserve">c) Bitácoras para accesos, operación cotidiana y violaciones a la seguridad de los datos personales.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 xml:space="preserve">…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 xml:space="preserve">i) Procedimientos de respaldo y recuperación de datos. </w:t>
      </w:r>
    </w:p>
    <w:p w:rsidR="00B339C3" w:rsidRPr="00F2139C" w:rsidRDefault="00BF6403">
      <w:pPr>
        <w:ind w:left="567" w:right="567"/>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 xml:space="preserve">j) Plan de contingencia.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 xml:space="preserve">k) Auditorías.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l) Supresión y borrado seguro de datos.</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m) El plan de trabajo.</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n) Los mecanismos de monitoreo y revisión de las medidas de seguridad.</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o) El programa general de capacitación.</w:t>
      </w:r>
    </w:p>
    <w:p w:rsidR="00B339C3" w:rsidRPr="00F2139C" w:rsidRDefault="00B339C3">
      <w:pPr>
        <w:ind w:left="567" w:right="567"/>
        <w:jc w:val="both"/>
        <w:rPr>
          <w:rFonts w:ascii="Palatino Linotype" w:eastAsia="Palatino Linotype" w:hAnsi="Palatino Linotype" w:cs="Palatino Linotype"/>
          <w:i/>
          <w:iCs/>
        </w:rPr>
      </w:pPr>
    </w:p>
    <w:p w:rsidR="00B339C3" w:rsidRPr="00F2139C" w:rsidRDefault="00BF6403">
      <w:pPr>
        <w:ind w:left="567" w:right="567"/>
        <w:jc w:val="center"/>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CAPÍTULO TERCERO DE LAS VIOLACIONES A LA SEGURIDAD DE LOS DATOS PERSONALES</w:t>
      </w:r>
    </w:p>
    <w:p w:rsidR="00B339C3" w:rsidRPr="00F2139C" w:rsidRDefault="00B339C3">
      <w:pPr>
        <w:ind w:left="567" w:right="567"/>
        <w:jc w:val="both"/>
        <w:rPr>
          <w:rFonts w:ascii="Palatino Linotype" w:eastAsia="Palatino Linotype" w:hAnsi="Palatino Linotype" w:cs="Palatino Linotype"/>
          <w:i/>
          <w:iCs/>
        </w:rPr>
      </w:pPr>
    </w:p>
    <w:p w:rsidR="00B339C3" w:rsidRPr="00F2139C" w:rsidRDefault="00BF6403">
      <w:pPr>
        <w:ind w:left="567" w:right="567"/>
        <w:jc w:val="both"/>
        <w:rPr>
          <w:rFonts w:ascii="Palatino Linotype" w:eastAsia="Palatino Linotype" w:hAnsi="Palatino Linotype" w:cs="Palatino Linotype"/>
          <w:b/>
          <w:bCs/>
          <w:i/>
          <w:iCs/>
        </w:rPr>
      </w:pPr>
      <w:r w:rsidRPr="00F2139C">
        <w:rPr>
          <w:rFonts w:ascii="Palatino Linotype" w:eastAsia="Palatino Linotype" w:hAnsi="Palatino Linotype" w:cs="Palatino Linotype"/>
          <w:b/>
          <w:bCs/>
          <w:i/>
          <w:iCs/>
        </w:rPr>
        <w:t>Plan de Contingencia</w:t>
      </w:r>
      <w:r w:rsidRPr="00F2139C">
        <w:rPr>
          <w:rFonts w:ascii="Palatino Linotype" w:eastAsia="Palatino Linotype" w:hAnsi="Palatino Linotype" w:cs="Palatino Linotype"/>
          <w:i/>
          <w:iCs/>
        </w:rPr>
        <w:t xml:space="preserve"> y</w:t>
      </w:r>
      <w:r w:rsidRPr="00F2139C">
        <w:rPr>
          <w:rFonts w:ascii="Palatino Linotype" w:eastAsia="Palatino Linotype" w:hAnsi="Palatino Linotype" w:cs="Palatino Linotype"/>
          <w:b/>
          <w:bCs/>
          <w:i/>
          <w:iCs/>
        </w:rPr>
        <w:t xml:space="preserve"> </w:t>
      </w:r>
      <w:r w:rsidRPr="00F2139C">
        <w:rPr>
          <w:rFonts w:ascii="Palatino Linotype" w:eastAsia="Palatino Linotype" w:hAnsi="Palatino Linotype" w:cs="Palatino Linotype"/>
          <w:i/>
          <w:iCs/>
        </w:rPr>
        <w:t>Plan de Trabajo</w:t>
      </w:r>
      <w:r w:rsidRPr="00F2139C">
        <w:rPr>
          <w:rFonts w:ascii="Palatino Linotype" w:eastAsia="Palatino Linotype" w:hAnsi="Palatino Linotype" w:cs="Palatino Linotype"/>
          <w:b/>
          <w:bCs/>
          <w:i/>
          <w:iCs/>
        </w:rPr>
        <w:t xml:space="preserve"> </w:t>
      </w: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b/>
          <w:bCs/>
          <w:i/>
          <w:iCs/>
        </w:rPr>
        <w:t>Artículo 51.</w:t>
      </w:r>
      <w:r w:rsidRPr="00F2139C">
        <w:rPr>
          <w:rFonts w:ascii="Palatino Linotype" w:eastAsia="Palatino Linotype" w:hAnsi="Palatino Linotype" w:cs="Palatino Linotype"/>
          <w:i/>
          <w:iCs/>
        </w:rPr>
        <w:t xml:space="preserve"> En caso de que ocurra una violación a la seguridad de los datos personales, el responsable implementará las acciones definidas en su plan de contingencia. </w:t>
      </w:r>
    </w:p>
    <w:p w:rsidR="00B339C3" w:rsidRPr="00F2139C" w:rsidRDefault="00B339C3">
      <w:pPr>
        <w:ind w:left="567" w:right="567"/>
        <w:jc w:val="both"/>
        <w:rPr>
          <w:rFonts w:ascii="Palatino Linotype" w:eastAsia="Palatino Linotype" w:hAnsi="Palatino Linotype" w:cs="Palatino Linotype"/>
          <w:i/>
          <w:iCs/>
        </w:rPr>
      </w:pPr>
    </w:p>
    <w:p w:rsidR="00B339C3" w:rsidRPr="00F2139C" w:rsidRDefault="00BF6403">
      <w:pPr>
        <w:ind w:left="567" w:right="567"/>
        <w:jc w:val="both"/>
        <w:rPr>
          <w:rFonts w:ascii="Palatino Linotype" w:eastAsia="Palatino Linotype" w:hAnsi="Palatino Linotype" w:cs="Palatino Linotype"/>
          <w:i/>
          <w:iCs/>
        </w:rPr>
      </w:pPr>
      <w:r w:rsidRPr="00F2139C">
        <w:rPr>
          <w:rFonts w:ascii="Palatino Linotype" w:eastAsia="Palatino Linotype" w:hAnsi="Palatino Linotype" w:cs="Palatino Linotype"/>
          <w:i/>
          <w:iCs/>
        </w:rPr>
        <w:t>De manera posterior y durante la ocurrencia de los efectos de la violación a la seguridad de los datos personales, el responsable analizará las causas por las cuales se presentó e implementar en su plan de trabajo las acciones preventivas y correctivas para adecuar las medidas de seguridad y el tratamiento de los datos personales si fuese el caso, a efecto de evitar que la violación se repita.</w:t>
      </w:r>
    </w:p>
    <w:p w:rsidR="00B339C3" w:rsidRPr="00F2139C" w:rsidRDefault="00B339C3">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De las disposiciones anteriores es importante resaltar que, para dar cumplimiento a la ley de la materia específicamente aplicable a nuestra Entidad, pero plenamente correspondiente con la Ley General, toda las instituciones públicas tienen la obligación de proteger los sistemas de datos personas que administran y para ello, debe cumplir con estándares mínimos que garanticen que los datos no serán alterados, sustraídos, incompletos, inexactos, destruidos, etc., para ello las instituciones públicas deben:</w:t>
      </w:r>
    </w:p>
    <w:p w:rsidR="00B339C3" w:rsidRPr="00F2139C" w:rsidRDefault="00B339C3">
      <w:pPr>
        <w:spacing w:line="360" w:lineRule="auto"/>
        <w:ind w:right="1"/>
        <w:jc w:val="both"/>
        <w:rPr>
          <w:rFonts w:ascii="Palatino Linotype" w:eastAsia="Palatino Linotype" w:hAnsi="Palatino Linotype" w:cs="Palatino Linotype"/>
        </w:rPr>
      </w:pPr>
    </w:p>
    <w:p w:rsidR="00B339C3" w:rsidRPr="00F2139C" w:rsidRDefault="00BF6403">
      <w:pPr>
        <w:numPr>
          <w:ilvl w:val="0"/>
          <w:numId w:val="5"/>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lastRenderedPageBreak/>
        <w:t>Proteger los datos personales y promover la adopción de medidas de seguridad en sus sistemas de datos.</w:t>
      </w:r>
    </w:p>
    <w:p w:rsidR="00B339C3" w:rsidRPr="00F2139C" w:rsidRDefault="00BF6403">
      <w:pPr>
        <w:numPr>
          <w:ilvl w:val="0"/>
          <w:numId w:val="5"/>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t>Las medidas de seguridad deben garantizar que los datos personales se mantengan exactos, completos, correctos y actualizados, en atención al principio de calidad.</w:t>
      </w:r>
    </w:p>
    <w:p w:rsidR="00B339C3" w:rsidRPr="00F2139C" w:rsidRDefault="00BF6403">
      <w:pPr>
        <w:numPr>
          <w:ilvl w:val="0"/>
          <w:numId w:val="5"/>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t>Poner en práctica un programa de capacitación y actualización de su personal, para que conozcan las obligaciones que implica el tratamiento de datos personales.</w:t>
      </w:r>
    </w:p>
    <w:p w:rsidR="00B339C3" w:rsidRPr="00F2139C" w:rsidRDefault="00BF6403">
      <w:pPr>
        <w:numPr>
          <w:ilvl w:val="0"/>
          <w:numId w:val="5"/>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t>Implementar políticas y programas de seguridad de los datos personales, los cuales requieren una revisión continua para realizar las mejoras que se requieran.</w:t>
      </w:r>
    </w:p>
    <w:p w:rsidR="00B339C3" w:rsidRPr="00F2139C" w:rsidRDefault="00BF6403">
      <w:pPr>
        <w:numPr>
          <w:ilvl w:val="0"/>
          <w:numId w:val="5"/>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t>Las medidas de seguridad que se pueden implementar son técnicas, administrativas y físicas y para determinar las que se deben aplicar es necesario tomar en consideración el riesgo inherente, así como el riesgo por el valor potencial de los datos, la sensibilidad de los datos, el desarrollo tecnológico, las posibles consecuencias de vulneración, si se realizan transferencias de los datos, el número de personas de quienes se tratan los datos, así como en su caso, si existieron anteriormente vulneraciones.</w:t>
      </w:r>
    </w:p>
    <w:p w:rsidR="00B339C3" w:rsidRPr="00F2139C" w:rsidRDefault="00BF6403">
      <w:pPr>
        <w:numPr>
          <w:ilvl w:val="0"/>
          <w:numId w:val="5"/>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t>Para establecer las medidas de seguridad es necesario realizar análisis de riesgo de los datos personales, así como análisis de brecha.</w:t>
      </w:r>
      <w:r w:rsidRPr="00F2139C">
        <w:rPr>
          <w:rFonts w:ascii="Palatino Linotype" w:eastAsia="Palatino Linotype" w:hAnsi="Palatino Linotype" w:cs="Palatino Linotype"/>
          <w:b/>
          <w:bCs/>
        </w:rPr>
        <w:t xml:space="preserve"> </w:t>
      </w:r>
      <w:r w:rsidRPr="00F2139C">
        <w:rPr>
          <w:rFonts w:ascii="Palatino Linotype" w:eastAsia="Palatino Linotype" w:hAnsi="Palatino Linotype" w:cs="Palatino Linotype"/>
        </w:rPr>
        <w:t xml:space="preserve"> No se deja de lado que la Ley no establece una temporalidad en la que se deben realizar estar actividades.</w:t>
      </w:r>
    </w:p>
    <w:p w:rsidR="00B339C3" w:rsidRPr="00F2139C" w:rsidRDefault="00BF6403">
      <w:pPr>
        <w:numPr>
          <w:ilvl w:val="0"/>
          <w:numId w:val="5"/>
        </w:numPr>
        <w:ind w:left="567" w:right="567" w:hanging="141"/>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Además se requiere </w:t>
      </w:r>
      <w:r w:rsidRPr="00F2139C">
        <w:rPr>
          <w:rFonts w:ascii="Palatino Linotype" w:eastAsia="Palatino Linotype" w:hAnsi="Palatino Linotype" w:cs="Palatino Linotype"/>
          <w:b/>
          <w:bCs/>
        </w:rPr>
        <w:t xml:space="preserve">elaborar un plan de contingencia para la implementación de medidas de seguridad, </w:t>
      </w:r>
      <w:r w:rsidRPr="00F2139C">
        <w:rPr>
          <w:rFonts w:ascii="Palatino Linotype" w:eastAsia="Palatino Linotype" w:hAnsi="Palatino Linotype" w:cs="Palatino Linotype"/>
        </w:rPr>
        <w:t>este se entiende que es trabajo complementario, pues derivado de los análisis la mejora de la protección debe basarse en dicho plan.</w:t>
      </w:r>
    </w:p>
    <w:p w:rsidR="00B339C3" w:rsidRPr="00F2139C" w:rsidRDefault="00BF6403">
      <w:pPr>
        <w:numPr>
          <w:ilvl w:val="0"/>
          <w:numId w:val="5"/>
        </w:numPr>
        <w:ind w:left="567" w:right="567" w:hanging="141"/>
        <w:jc w:val="both"/>
        <w:rPr>
          <w:rFonts w:ascii="Palatino Linotype" w:eastAsia="Palatino Linotype" w:hAnsi="Palatino Linotype" w:cs="Palatino Linotype"/>
          <w:b/>
          <w:bCs/>
        </w:rPr>
      </w:pPr>
      <w:r w:rsidRPr="00F2139C">
        <w:rPr>
          <w:rFonts w:ascii="Palatino Linotype" w:eastAsia="Palatino Linotype" w:hAnsi="Palatino Linotype" w:cs="Palatino Linotype"/>
          <w:b/>
          <w:bCs/>
        </w:rPr>
        <w:t>El documento de seguridad debe componerse de diversos apartados y todos ellos, están encaminados a resguardar los datos en posesión de los Sujetos Obligados, que a su vez debe integrarse por bitácoras de acceso, operación cotidiana y violaciones a la seguridad de los datos.</w:t>
      </w:r>
    </w:p>
    <w:p w:rsidR="00B339C3" w:rsidRPr="00F2139C" w:rsidRDefault="00B339C3">
      <w:pPr>
        <w:spacing w:line="360" w:lineRule="auto"/>
        <w:ind w:right="1"/>
        <w:jc w:val="both"/>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En este punto, se puede afirmar que el Plan de Contingencia debe ser incluido en los documentos que dan cuenta de las medidas de seguridad. El contexto de la protección de los datos personales, constriñe a gobierno a resguardar de manera más escrupulosa esta información cuando obra en los archivos de los Sujetos Obligados ya sea en bases o sistemas de datos personales, debido a que estos, se han vuelto de mayor relevancia por incremento de </w:t>
      </w:r>
      <w:r w:rsidRPr="00F2139C">
        <w:rPr>
          <w:rFonts w:ascii="Palatino Linotype" w:eastAsia="Palatino Linotype" w:hAnsi="Palatino Linotype" w:cs="Palatino Linotype"/>
        </w:rPr>
        <w:lastRenderedPageBreak/>
        <w:t>la velocidad en el tráfico de los mismo en virtud de que están sistematizados, debido al vertiginoso avance de las tecnologías, motivo por el cual incluso, se  les ha denominado como “el nuevo oro negro”; en tal sentido el objeto de la Ley de Protección de Datos, busca que en todo momento las instituciones públicas lleven a cabo acciones que impidan un acceso o tratamiento fuera del marco de la ley, pues dado el valor que han cobrado, existen muchos individuos que buscan acceder a los sistemas de datos con fines ilícitos, lo que ocasiona también una vulneración a los derechos humanos de las personas.</w:t>
      </w:r>
    </w:p>
    <w:p w:rsidR="00B339C3" w:rsidRPr="00F2139C" w:rsidRDefault="00B339C3">
      <w:pPr>
        <w:spacing w:line="360" w:lineRule="auto"/>
        <w:ind w:right="1"/>
        <w:jc w:val="both"/>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En tal sentido, el artículo 39, fracción IV, de la Ley en comento señala que se deberán observar deberes para garantizar un nivel de seguridad adecuado al riesgo de los datos personales, pues no es lo mismo tener un sistema de datos personales en donde se contenga el directorio de servidores públicos, con nombre, cargo y extensión telefónica de, centro de trabajo, que uno que contenga el nombre y sueldo sumado al nombre del banco y número de cuenta al que se deposita, incluso no es lo mismo esta información bancaria que los expedientes clínicos que constituyen datos sensibles y que el riesgo que representan es mucho mayor; para ello, parte de esos deberes es realizar un proceso de verificación, evaluación y valoración regulares de la eficacia de las medidas técnicas y organizativas para garantizar la seguridad del tratamiento. </w:t>
      </w:r>
    </w:p>
    <w:p w:rsidR="00B339C3" w:rsidRPr="00F2139C" w:rsidRDefault="00B339C3">
      <w:pPr>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Refuerza lo anterior, lo establecido en el artículo 45, fracciones I y VIII, de la Ley de Protección de Datos, vigente en la entidad, ya que refiere que dentro de los elementos que se deben considerar está el riesgo inherente a los datos personales tratados, así como el riesgo por el valor potencial cuantitativo o cualitativo que pudieran tener los datos personales tratados para una tercera persona no autorizada para su posesión.</w:t>
      </w:r>
    </w:p>
    <w:p w:rsidR="00B339C3" w:rsidRPr="00F2139C" w:rsidRDefault="00B339C3">
      <w:pPr>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lastRenderedPageBreak/>
        <w:t>De acuerdo con lo expuesto, el artículo 49, fracción II, inciso m) de la Ley local de datos invocada, determina que entre los contenidos que el documento de seguridad debe incluir, se identifica el plan de trabajo.</w:t>
      </w:r>
    </w:p>
    <w:p w:rsidR="00B339C3" w:rsidRPr="00F2139C" w:rsidRDefault="00B339C3">
      <w:pPr>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El Plan de Contingencia, de acuerdo con los artículos 51 y 52 de la Ley en comento, cuando exista una vulneración en los sistemas o bases de datos personales, por una violación a la seguridad de los datos personales, se deberán tomar acciones definidas preventivas y correctivas para adecuar las medidas de seguridad y el tratamiento de los datos personales si fuese el caso, a efecto de evitar que la violación se repita; las posible violaciones a la seguridad se pueden señalar como algunas de la siguientes:</w:t>
      </w:r>
    </w:p>
    <w:p w:rsidR="00B339C3" w:rsidRPr="00F2139C" w:rsidRDefault="00BF6403">
      <w:pPr>
        <w:ind w:left="567" w:right="-93"/>
        <w:rPr>
          <w:rFonts w:ascii="Palatino Linotype" w:eastAsia="Palatino Linotype" w:hAnsi="Palatino Linotype" w:cs="Palatino Linotype"/>
          <w:b/>
          <w:bCs/>
        </w:rPr>
      </w:pPr>
      <w:r w:rsidRPr="00F2139C">
        <w:rPr>
          <w:rFonts w:ascii="Palatino Linotype" w:eastAsia="Palatino Linotype" w:hAnsi="Palatino Linotype" w:cs="Palatino Linotype"/>
          <w:b/>
          <w:bCs/>
        </w:rPr>
        <w:t>•</w:t>
      </w:r>
      <w:r w:rsidRPr="00F2139C">
        <w:rPr>
          <w:rFonts w:ascii="Palatino Linotype" w:eastAsia="Palatino Linotype" w:hAnsi="Palatino Linotype" w:cs="Palatino Linotype"/>
          <w:b/>
          <w:bCs/>
        </w:rPr>
        <w:tab/>
        <w:t>La pérdida, robo, extravío.</w:t>
      </w:r>
    </w:p>
    <w:p w:rsidR="00B339C3" w:rsidRPr="00F2139C" w:rsidRDefault="00BF6403">
      <w:pPr>
        <w:ind w:left="567" w:right="-93"/>
        <w:rPr>
          <w:rFonts w:ascii="Palatino Linotype" w:eastAsia="Palatino Linotype" w:hAnsi="Palatino Linotype" w:cs="Palatino Linotype"/>
          <w:b/>
          <w:bCs/>
        </w:rPr>
      </w:pPr>
      <w:r w:rsidRPr="00F2139C">
        <w:rPr>
          <w:rFonts w:ascii="Palatino Linotype" w:eastAsia="Palatino Linotype" w:hAnsi="Palatino Linotype" w:cs="Palatino Linotype"/>
          <w:b/>
          <w:bCs/>
        </w:rPr>
        <w:t>•</w:t>
      </w:r>
      <w:r w:rsidRPr="00F2139C">
        <w:rPr>
          <w:rFonts w:ascii="Palatino Linotype" w:eastAsia="Palatino Linotype" w:hAnsi="Palatino Linotype" w:cs="Palatino Linotype"/>
          <w:b/>
          <w:bCs/>
        </w:rPr>
        <w:tab/>
        <w:t>La copia o destrucción no autorizada.</w:t>
      </w:r>
    </w:p>
    <w:p w:rsidR="00B339C3" w:rsidRPr="00F2139C" w:rsidRDefault="00BF6403">
      <w:pPr>
        <w:ind w:left="567" w:right="-93"/>
        <w:rPr>
          <w:rFonts w:ascii="Palatino Linotype" w:eastAsia="Palatino Linotype" w:hAnsi="Palatino Linotype" w:cs="Palatino Linotype"/>
          <w:b/>
          <w:bCs/>
        </w:rPr>
      </w:pPr>
      <w:r w:rsidRPr="00F2139C">
        <w:rPr>
          <w:rFonts w:ascii="Palatino Linotype" w:eastAsia="Palatino Linotype" w:hAnsi="Palatino Linotype" w:cs="Palatino Linotype"/>
          <w:b/>
          <w:bCs/>
        </w:rPr>
        <w:t>•</w:t>
      </w:r>
      <w:r w:rsidRPr="00F2139C">
        <w:rPr>
          <w:rFonts w:ascii="Palatino Linotype" w:eastAsia="Palatino Linotype" w:hAnsi="Palatino Linotype" w:cs="Palatino Linotype"/>
          <w:b/>
          <w:bCs/>
        </w:rPr>
        <w:tab/>
        <w:t>El uso o tratamiento no autorizado.</w:t>
      </w:r>
    </w:p>
    <w:p w:rsidR="00B339C3" w:rsidRPr="00F2139C" w:rsidRDefault="00BF6403">
      <w:pPr>
        <w:ind w:left="567" w:right="-93"/>
        <w:rPr>
          <w:rFonts w:ascii="Palatino Linotype" w:eastAsia="Palatino Linotype" w:hAnsi="Palatino Linotype" w:cs="Palatino Linotype"/>
          <w:b/>
          <w:bCs/>
        </w:rPr>
      </w:pPr>
      <w:r w:rsidRPr="00F2139C">
        <w:rPr>
          <w:rFonts w:ascii="Palatino Linotype" w:eastAsia="Palatino Linotype" w:hAnsi="Palatino Linotype" w:cs="Palatino Linotype"/>
          <w:b/>
          <w:bCs/>
        </w:rPr>
        <w:t>•</w:t>
      </w:r>
      <w:r w:rsidRPr="00F2139C">
        <w:rPr>
          <w:rFonts w:ascii="Palatino Linotype" w:eastAsia="Palatino Linotype" w:hAnsi="Palatino Linotype" w:cs="Palatino Linotype"/>
          <w:b/>
          <w:bCs/>
        </w:rPr>
        <w:tab/>
        <w:t>El daño, la alteración o modificación no autorizada.</w:t>
      </w:r>
    </w:p>
    <w:p w:rsidR="00B339C3" w:rsidRPr="00F2139C" w:rsidRDefault="00B339C3">
      <w:pPr>
        <w:spacing w:line="360" w:lineRule="auto"/>
        <w:ind w:right="1"/>
        <w:jc w:val="both"/>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Como se advierte, el plan de contingencia forma parte del documento de seguridad y justamente considera las acciones tendentes a la protección de los sistemas de datos personales de manera preventiva y correctiva, incluso contempla las vulneraciones que han existido; en este sentido, como se trata de medidas de seguridad implementadas y los detalles de las áreas de oportunidad en la protección de los sistemas que van detectando los expertos en protección de sistemas de datos, tanto físicos como electrónicos, constituye información que en manos expertas puede ser utilizada para vulnerar los sistemas de datos personales, por lo que aplica lo dispuesto en el artículo 43 de la Ley de Protección de Datos Personales en Posesión de Sujetos Obligados del Estado de México y Municipios, ya que si bien, no son formalmente las medidas de seguridad implementadas, se trata del análisis de estas y su eficacia; sus áreas de </w:t>
      </w:r>
      <w:r w:rsidRPr="00F2139C">
        <w:rPr>
          <w:rFonts w:ascii="Palatino Linotype" w:eastAsia="Palatino Linotype" w:hAnsi="Palatino Linotype" w:cs="Palatino Linotype"/>
        </w:rPr>
        <w:lastRenderedPageBreak/>
        <w:t>oportunidad sobre lo que se debe hacer o mejorar, por lo que procede su clasificación como información confidencial.</w:t>
      </w:r>
    </w:p>
    <w:p w:rsidR="00B339C3" w:rsidRPr="00F2139C" w:rsidRDefault="00B339C3">
      <w:pPr>
        <w:spacing w:line="360" w:lineRule="auto"/>
        <w:ind w:right="1"/>
        <w:jc w:val="both"/>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Así, con fundamento en el artículo 186, fracción III, de la Ley de Transparencia y Acceso a la Información Pública del Estado de México y Municipios, este Instituto considera procedente </w:t>
      </w:r>
      <w:r w:rsidRPr="00F2139C">
        <w:rPr>
          <w:rFonts w:ascii="Palatino Linotype" w:eastAsia="Palatino Linotype" w:hAnsi="Palatino Linotype" w:cs="Palatino Linotype"/>
          <w:b/>
          <w:bCs/>
        </w:rPr>
        <w:t xml:space="preserve">MODIFICAR </w:t>
      </w:r>
      <w:r w:rsidRPr="00F2139C">
        <w:rPr>
          <w:rFonts w:ascii="Palatino Linotype" w:eastAsia="Palatino Linotype" w:hAnsi="Palatino Linotype" w:cs="Palatino Linotype"/>
        </w:rPr>
        <w:t>la respuesta otorgada por el Ayuntamiento de Metepec a la solicitud de acceso a la información que nos ocupa.</w:t>
      </w:r>
    </w:p>
    <w:p w:rsidR="00B339C3" w:rsidRPr="00F2139C" w:rsidRDefault="00B339C3">
      <w:pPr>
        <w:spacing w:line="360" w:lineRule="auto"/>
        <w:ind w:right="1"/>
        <w:jc w:val="both"/>
        <w:rPr>
          <w:rFonts w:ascii="Palatino Linotype" w:eastAsia="Palatino Linotype" w:hAnsi="Palatino Linotype" w:cs="Palatino Linotype"/>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rPr>
      </w:pPr>
      <w:r w:rsidRPr="00F2139C">
        <w:rPr>
          <w:rFonts w:ascii="Palatino Linotype" w:eastAsia="Palatino Linotype" w:hAnsi="Palatino Linotype" w:cs="Palatino Linotype"/>
        </w:rPr>
        <w:t xml:space="preserve">Lo anterior, toda vez que si bien el </w:t>
      </w:r>
      <w:r w:rsidRPr="00F2139C">
        <w:rPr>
          <w:rFonts w:ascii="Palatino Linotype" w:eastAsia="Palatino Linotype" w:hAnsi="Palatino Linotype" w:cs="Palatino Linotype"/>
          <w:b/>
          <w:bCs/>
        </w:rPr>
        <w:t>SUJETO OBLIGADO</w:t>
      </w:r>
      <w:r w:rsidRPr="00F2139C">
        <w:rPr>
          <w:rFonts w:ascii="Palatino Linotype" w:eastAsia="Palatino Linotype" w:hAnsi="Palatino Linotype" w:cs="Palatino Linotype"/>
        </w:rPr>
        <w:t xml:space="preserve"> por medio del Titular </w:t>
      </w:r>
      <w:r w:rsidRPr="00F2139C">
        <w:rPr>
          <w:rFonts w:ascii="Palatino Linotype" w:eastAsia="Palatino Linotype" w:hAnsi="Palatino Linotype" w:cs="Palatino Linotype"/>
          <w:color w:val="000000"/>
        </w:rPr>
        <w:t>Director de Transparencia y Gobierno Abierto, informó que el “Plan de Contingencia” se clasifica como confidencial, omitió hacer entrega del Acuerdo de Clasificación del Comité de Transparencia 1</w:t>
      </w:r>
      <w:r w:rsidRPr="00F2139C">
        <w:rPr>
          <w:rFonts w:ascii="Palatino Linotype" w:eastAsia="Palatino Linotype" w:hAnsi="Palatino Linotype" w:cs="Palatino Linotype"/>
        </w:rPr>
        <w:t>0/CT/MET/EXTO14/2025</w:t>
      </w:r>
      <w:r w:rsidRPr="00F2139C">
        <w:rPr>
          <w:rFonts w:ascii="Palatino Linotype" w:eastAsia="Palatino Linotype" w:hAnsi="Palatino Linotype" w:cs="Palatino Linotype"/>
          <w:color w:val="000000"/>
        </w:rPr>
        <w:t>, del cual hizo referencia en respuesta.</w:t>
      </w:r>
    </w:p>
    <w:p w:rsidR="00B339C3" w:rsidRPr="00F2139C" w:rsidRDefault="00B339C3">
      <w:pPr>
        <w:spacing w:line="360" w:lineRule="auto"/>
        <w:ind w:right="1"/>
        <w:jc w:val="both"/>
        <w:rPr>
          <w:rFonts w:ascii="Palatino Linotype" w:eastAsia="Palatino Linotype" w:hAnsi="Palatino Linotype" w:cs="Palatino Linotype"/>
          <w:b/>
          <w:bCs/>
        </w:rPr>
      </w:pPr>
    </w:p>
    <w:p w:rsidR="00B339C3" w:rsidRPr="00F2139C" w:rsidRDefault="00BF6403">
      <w:pPr>
        <w:numPr>
          <w:ilvl w:val="0"/>
          <w:numId w:val="1"/>
        </w:numPr>
        <w:spacing w:line="360" w:lineRule="auto"/>
        <w:ind w:left="0" w:right="1" w:firstLine="0"/>
        <w:jc w:val="both"/>
        <w:rPr>
          <w:rFonts w:ascii="Palatino Linotype" w:eastAsia="Palatino Linotype" w:hAnsi="Palatino Linotype" w:cs="Palatino Linotype"/>
          <w:b/>
          <w:bCs/>
        </w:rPr>
      </w:pPr>
      <w:r w:rsidRPr="00F2139C">
        <w:rPr>
          <w:rFonts w:ascii="Palatino Linotype" w:eastAsia="Palatino Linotype" w:hAnsi="Palatino Linotype" w:cs="Palatino Linotype"/>
          <w:color w:val="222222"/>
        </w:rPr>
        <w:t xml:space="preserve">Por lo anteriormente expuesto y fundado, este </w:t>
      </w:r>
      <w:r w:rsidRPr="00F2139C">
        <w:rPr>
          <w:rFonts w:ascii="Palatino Linotype" w:eastAsia="Palatino Linotype" w:hAnsi="Palatino Linotype" w:cs="Palatino Linotype"/>
          <w:b/>
          <w:bCs/>
          <w:color w:val="222222"/>
        </w:rPr>
        <w:t>ÓRGANO GARANTE</w:t>
      </w:r>
      <w:r w:rsidRPr="00F2139C">
        <w:rPr>
          <w:rFonts w:ascii="Palatino Linotype" w:eastAsia="Palatino Linotype" w:hAnsi="Palatino Linotype" w:cs="Palatino Linotype"/>
          <w:color w:val="222222"/>
        </w:rPr>
        <w:t xml:space="preserve"> emite los siguientes:</w:t>
      </w:r>
    </w:p>
    <w:p w:rsidR="00B339C3" w:rsidRPr="00F2139C" w:rsidRDefault="00B339C3">
      <w:pPr>
        <w:spacing w:line="360" w:lineRule="auto"/>
        <w:ind w:right="1"/>
        <w:jc w:val="both"/>
        <w:rPr>
          <w:rFonts w:ascii="Palatino Linotype" w:eastAsia="Palatino Linotype" w:hAnsi="Palatino Linotype" w:cs="Palatino Linotype"/>
          <w:b/>
          <w:bCs/>
        </w:rPr>
      </w:pPr>
    </w:p>
    <w:p w:rsidR="00B339C3" w:rsidRPr="00F2139C" w:rsidRDefault="00BF6403">
      <w:pPr>
        <w:keepNext/>
        <w:keepLines/>
        <w:spacing w:line="360" w:lineRule="auto"/>
        <w:ind w:right="-592"/>
        <w:jc w:val="center"/>
        <w:rPr>
          <w:rFonts w:ascii="Palatino Linotype" w:eastAsia="Palatino Linotype" w:hAnsi="Palatino Linotype" w:cs="Palatino Linotype"/>
          <w:b/>
          <w:bCs/>
          <w:color w:val="000000"/>
        </w:rPr>
      </w:pPr>
      <w:r w:rsidRPr="00F2139C">
        <w:rPr>
          <w:rFonts w:ascii="Palatino Linotype" w:eastAsia="Palatino Linotype" w:hAnsi="Palatino Linotype" w:cs="Palatino Linotype"/>
          <w:b/>
          <w:bCs/>
          <w:color w:val="000000"/>
        </w:rPr>
        <w:t>R E S O L U T I V O S</w:t>
      </w:r>
    </w:p>
    <w:p w:rsidR="00B339C3" w:rsidRPr="00F2139C" w:rsidRDefault="00B339C3">
      <w:pPr>
        <w:keepNext/>
        <w:keepLines/>
        <w:spacing w:line="360" w:lineRule="auto"/>
        <w:ind w:right="-592"/>
        <w:rPr>
          <w:rFonts w:ascii="Palatino Linotype" w:eastAsia="Palatino Linotype" w:hAnsi="Palatino Linotype" w:cs="Palatino Linotype"/>
          <w:b/>
          <w:bCs/>
          <w:color w:val="000000"/>
        </w:rPr>
      </w:pPr>
    </w:p>
    <w:p w:rsidR="00B339C3" w:rsidRPr="00F2139C" w:rsidRDefault="00BF6403">
      <w:pPr>
        <w:spacing w:before="240" w:after="240" w:line="360" w:lineRule="auto"/>
        <w:ind w:right="1"/>
        <w:jc w:val="both"/>
        <w:rPr>
          <w:rFonts w:ascii="Palatino Linotype" w:eastAsia="Palatino Linotype" w:hAnsi="Palatino Linotype" w:cs="Palatino Linotype"/>
        </w:rPr>
      </w:pPr>
      <w:r w:rsidRPr="00F2139C">
        <w:rPr>
          <w:rFonts w:ascii="Palatino Linotype" w:eastAsia="Palatino Linotype" w:hAnsi="Palatino Linotype" w:cs="Palatino Linotype"/>
          <w:b/>
          <w:bCs/>
        </w:rPr>
        <w:t>PRIMERO</w:t>
      </w:r>
      <w:r w:rsidRPr="00F2139C">
        <w:rPr>
          <w:rFonts w:ascii="Palatino Linotype" w:eastAsia="Palatino Linotype" w:hAnsi="Palatino Linotype" w:cs="Palatino Linotype"/>
        </w:rPr>
        <w:t xml:space="preserve">. Resultan fundadas las razones o motivos de inconformidad hechos valer en el Recurso de Revisión </w:t>
      </w:r>
      <w:r w:rsidRPr="00F2139C">
        <w:rPr>
          <w:rFonts w:ascii="Palatino Linotype" w:eastAsia="Palatino Linotype" w:hAnsi="Palatino Linotype" w:cs="Palatino Linotype"/>
          <w:b/>
          <w:bCs/>
        </w:rPr>
        <w:t>07868/INFOEM/IP/RR/2025</w:t>
      </w:r>
      <w:r w:rsidRPr="00F2139C">
        <w:rPr>
          <w:rFonts w:ascii="Palatino Linotype" w:eastAsia="Palatino Linotype" w:hAnsi="Palatino Linotype" w:cs="Palatino Linotype"/>
        </w:rPr>
        <w:t>,</w:t>
      </w:r>
      <w:r w:rsidRPr="00F2139C">
        <w:rPr>
          <w:rFonts w:ascii="Palatino Linotype" w:eastAsia="Palatino Linotype" w:hAnsi="Palatino Linotype" w:cs="Palatino Linotype"/>
          <w:b/>
          <w:bCs/>
        </w:rPr>
        <w:t xml:space="preserve"> </w:t>
      </w:r>
      <w:r w:rsidRPr="00F2139C">
        <w:rPr>
          <w:rFonts w:ascii="Palatino Linotype" w:eastAsia="Palatino Linotype" w:hAnsi="Palatino Linotype" w:cs="Palatino Linotype"/>
        </w:rPr>
        <w:t>en términos del Considerando de la presente Resolución.</w:t>
      </w:r>
    </w:p>
    <w:p w:rsidR="00B339C3" w:rsidRPr="00F2139C" w:rsidRDefault="00BF6403">
      <w:pPr>
        <w:shd w:val="clear" w:color="auto" w:fill="FFFFFF"/>
        <w:spacing w:before="240" w:after="360" w:line="360" w:lineRule="auto"/>
        <w:ind w:right="1"/>
        <w:jc w:val="both"/>
        <w:rPr>
          <w:rFonts w:ascii="Palatino Linotype" w:eastAsia="Palatino Linotype" w:hAnsi="Palatino Linotype" w:cs="Palatino Linotype"/>
        </w:rPr>
      </w:pPr>
      <w:bookmarkStart w:id="5" w:name="_heading=h.1fob9te" w:colFirst="0" w:colLast="0"/>
      <w:bookmarkEnd w:id="5"/>
      <w:r w:rsidRPr="00F2139C">
        <w:rPr>
          <w:rFonts w:ascii="Palatino Linotype" w:eastAsia="Palatino Linotype" w:hAnsi="Palatino Linotype" w:cs="Palatino Linotype"/>
          <w:b/>
          <w:bCs/>
        </w:rPr>
        <w:t>SEGUNDO.</w:t>
      </w:r>
      <w:r w:rsidRPr="00F2139C">
        <w:rPr>
          <w:rFonts w:ascii="Palatino Linotype" w:eastAsia="Palatino Linotype" w:hAnsi="Palatino Linotype" w:cs="Palatino Linotype"/>
          <w:b/>
          <w:bCs/>
          <w:color w:val="000000"/>
        </w:rPr>
        <w:t xml:space="preserve"> </w:t>
      </w:r>
      <w:r w:rsidRPr="00F2139C">
        <w:rPr>
          <w:rFonts w:ascii="Palatino Linotype" w:eastAsia="Palatino Linotype" w:hAnsi="Palatino Linotype" w:cs="Palatino Linotype"/>
          <w:color w:val="000000"/>
        </w:rPr>
        <w:t xml:space="preserve">Se </w:t>
      </w:r>
      <w:r w:rsidRPr="00F2139C">
        <w:rPr>
          <w:rFonts w:ascii="Palatino Linotype" w:eastAsia="Palatino Linotype" w:hAnsi="Palatino Linotype" w:cs="Palatino Linotype"/>
          <w:b/>
          <w:bCs/>
          <w:color w:val="000000"/>
        </w:rPr>
        <w:t xml:space="preserve">MODIFICA </w:t>
      </w:r>
      <w:r w:rsidRPr="00F2139C">
        <w:rPr>
          <w:rFonts w:ascii="Palatino Linotype" w:eastAsia="Palatino Linotype" w:hAnsi="Palatino Linotype" w:cs="Palatino Linotype"/>
          <w:color w:val="000000"/>
        </w:rPr>
        <w:t xml:space="preserve">la respuesta emitida por el </w:t>
      </w:r>
      <w:r w:rsidRPr="00F2139C">
        <w:rPr>
          <w:rFonts w:ascii="Palatino Linotype" w:eastAsia="Palatino Linotype" w:hAnsi="Palatino Linotype" w:cs="Palatino Linotype"/>
          <w:b/>
          <w:bCs/>
          <w:color w:val="000000"/>
        </w:rPr>
        <w:t>Ayuntamiento de Metepec</w:t>
      </w:r>
      <w:r w:rsidRPr="00F2139C">
        <w:rPr>
          <w:rFonts w:ascii="Palatino Linotype" w:eastAsia="Palatino Linotype" w:hAnsi="Palatino Linotype" w:cs="Palatino Linotype"/>
          <w:color w:val="000000"/>
        </w:rPr>
        <w:t xml:space="preserve"> y se </w:t>
      </w:r>
      <w:r w:rsidRPr="00F2139C">
        <w:rPr>
          <w:rFonts w:ascii="Palatino Linotype" w:eastAsia="Palatino Linotype" w:hAnsi="Palatino Linotype" w:cs="Palatino Linotype"/>
          <w:b/>
          <w:bCs/>
          <w:color w:val="000000"/>
        </w:rPr>
        <w:t>ORDENA</w:t>
      </w:r>
      <w:r w:rsidRPr="00F2139C">
        <w:rPr>
          <w:rFonts w:ascii="Palatino Linotype" w:eastAsia="Palatino Linotype" w:hAnsi="Palatino Linotype" w:cs="Palatino Linotype"/>
          <w:color w:val="000000"/>
        </w:rPr>
        <w:t xml:space="preserve"> </w:t>
      </w:r>
      <w:r w:rsidRPr="00F2139C">
        <w:rPr>
          <w:rFonts w:ascii="Palatino Linotype" w:eastAsia="Palatino Linotype" w:hAnsi="Palatino Linotype" w:cs="Palatino Linotype"/>
        </w:rPr>
        <w:t xml:space="preserve">entregar vía Sistema de Accesos a la Información Mexiquense </w:t>
      </w:r>
      <w:r w:rsidRPr="00F2139C">
        <w:rPr>
          <w:rFonts w:ascii="Palatino Linotype" w:eastAsia="Palatino Linotype" w:hAnsi="Palatino Linotype" w:cs="Palatino Linotype"/>
          <w:b/>
          <w:bCs/>
        </w:rPr>
        <w:t>(SAIMEX)</w:t>
      </w:r>
      <w:r w:rsidRPr="00F2139C">
        <w:rPr>
          <w:rFonts w:ascii="Palatino Linotype" w:eastAsia="Palatino Linotype" w:hAnsi="Palatino Linotype" w:cs="Palatino Linotype"/>
        </w:rPr>
        <w:t>, lo siguiente:</w:t>
      </w:r>
    </w:p>
    <w:p w:rsidR="00B339C3" w:rsidRPr="00F2139C" w:rsidRDefault="00BF6403">
      <w:pPr>
        <w:numPr>
          <w:ilvl w:val="1"/>
          <w:numId w:val="3"/>
        </w:numPr>
        <w:pBdr>
          <w:top w:val="nil"/>
          <w:left w:val="nil"/>
          <w:bottom w:val="nil"/>
          <w:right w:val="nil"/>
          <w:between w:val="nil"/>
        </w:pBdr>
        <w:spacing w:line="360" w:lineRule="auto"/>
        <w:ind w:left="567" w:right="567" w:firstLine="0"/>
        <w:jc w:val="both"/>
        <w:rPr>
          <w:rFonts w:ascii="Palatino Linotype" w:eastAsia="Palatino Linotype" w:hAnsi="Palatino Linotype" w:cs="Palatino Linotype"/>
          <w:b/>
          <w:bCs/>
          <w:color w:val="000000"/>
        </w:rPr>
      </w:pPr>
      <w:r w:rsidRPr="00F2139C">
        <w:rPr>
          <w:rFonts w:ascii="Palatino Linotype" w:eastAsia="Palatino Linotype" w:hAnsi="Palatino Linotype" w:cs="Palatino Linotype"/>
          <w:b/>
          <w:bCs/>
          <w:color w:val="000000"/>
        </w:rPr>
        <w:lastRenderedPageBreak/>
        <w:t>El Acuerdo del Comité de Transparencia, donde confirme la clasificación de la información como confidencial del Plan de Contingencia del Sistema de Gestión de Protección de Datos Personales de las áreas administrativas que integran al Ayuntamiento de Metepec, de conformidad con los artículos 49, fracciones II y VIII, 132, fracción II y 143, fracción I, de la Ley de Transparencia y Acceso a la Información Pública del Estado de México y Municipios, así como 43 de la Ley de Protección de Datos Personales en Posesión de Sujetos Obligados del Estado de México y Municipios.</w:t>
      </w:r>
    </w:p>
    <w:p w:rsidR="00B339C3" w:rsidRPr="00F2139C" w:rsidRDefault="00B339C3">
      <w:pPr>
        <w:spacing w:line="360" w:lineRule="auto"/>
        <w:ind w:right="1"/>
        <w:jc w:val="both"/>
        <w:rPr>
          <w:rFonts w:ascii="Palatino Linotype" w:eastAsia="Palatino Linotype" w:hAnsi="Palatino Linotype" w:cs="Palatino Linotype"/>
        </w:rPr>
      </w:pPr>
    </w:p>
    <w:p w:rsidR="00B339C3" w:rsidRPr="00F2139C" w:rsidRDefault="00BF6403">
      <w:pPr>
        <w:spacing w:line="360" w:lineRule="auto"/>
        <w:ind w:right="1"/>
        <w:jc w:val="both"/>
        <w:rPr>
          <w:rFonts w:ascii="Palatino Linotype" w:eastAsia="Palatino Linotype" w:hAnsi="Palatino Linotype" w:cs="Palatino Linotype"/>
          <w:b/>
          <w:bCs/>
        </w:rPr>
      </w:pPr>
      <w:r w:rsidRPr="00F2139C">
        <w:rPr>
          <w:rFonts w:ascii="Palatino Linotype" w:eastAsia="Palatino Linotype" w:hAnsi="Palatino Linotype" w:cs="Palatino Linotype"/>
          <w:b/>
          <w:bCs/>
        </w:rPr>
        <w:t xml:space="preserve">TERCERO. </w:t>
      </w:r>
      <w:r w:rsidRPr="00F2139C">
        <w:rPr>
          <w:rFonts w:ascii="Palatino Linotype" w:eastAsia="Palatino Linotype" w:hAnsi="Palatino Linotype" w:cs="Palatino Linotype"/>
          <w:b/>
          <w:bCs/>
          <w:color w:val="000000"/>
        </w:rPr>
        <w:t>Notifíquese vía SAIMEX l</w:t>
      </w:r>
      <w:r w:rsidRPr="00F2139C">
        <w:rPr>
          <w:rFonts w:ascii="Palatino Linotype" w:eastAsia="Palatino Linotype" w:hAnsi="Palatino Linotype" w:cs="Palatino Linotype"/>
        </w:rPr>
        <w:t xml:space="preserve">a presente resolución al Titular de la Unidad de Transparencia del </w:t>
      </w:r>
      <w:r w:rsidRPr="00F2139C">
        <w:rPr>
          <w:rFonts w:ascii="Palatino Linotype" w:eastAsia="Palatino Linotype" w:hAnsi="Palatino Linotype" w:cs="Palatino Linotype"/>
          <w:b/>
          <w:bCs/>
        </w:rPr>
        <w:t>SUJETO OBLIGADO</w:t>
      </w:r>
      <w:r w:rsidRPr="00F2139C">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sidRPr="00F2139C">
        <w:rPr>
          <w:rFonts w:ascii="Palatino Linotype" w:eastAsia="Palatino Linotype" w:hAnsi="Palatino Linotype" w:cs="Palatino Linotype"/>
          <w:b/>
          <w:bCs/>
        </w:rPr>
        <w:t>dé cumplimiento a lo ordenado dentro del plazo de diez días hábiles</w:t>
      </w:r>
      <w:r w:rsidRPr="00F2139C">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339C3" w:rsidRPr="00F2139C" w:rsidRDefault="00B339C3">
      <w:pPr>
        <w:tabs>
          <w:tab w:val="left" w:pos="8080"/>
        </w:tabs>
        <w:ind w:right="1"/>
        <w:jc w:val="both"/>
        <w:rPr>
          <w:rFonts w:ascii="Palatino Linotype" w:eastAsia="Palatino Linotype" w:hAnsi="Palatino Linotype" w:cs="Palatino Linotype"/>
          <w:color w:val="222222"/>
        </w:rPr>
      </w:pPr>
    </w:p>
    <w:p w:rsidR="00B339C3" w:rsidRPr="00F2139C" w:rsidRDefault="00BF6403">
      <w:pPr>
        <w:shd w:val="clear" w:color="auto" w:fill="FFFFFF"/>
        <w:spacing w:after="240" w:line="360" w:lineRule="auto"/>
        <w:ind w:right="1"/>
        <w:jc w:val="both"/>
        <w:rPr>
          <w:rFonts w:ascii="Palatino Linotype" w:eastAsia="Palatino Linotype" w:hAnsi="Palatino Linotype" w:cs="Palatino Linotype"/>
          <w:b/>
          <w:bCs/>
        </w:rPr>
      </w:pPr>
      <w:r w:rsidRPr="00F2139C">
        <w:rPr>
          <w:rFonts w:ascii="Palatino Linotype" w:eastAsia="Palatino Linotype" w:hAnsi="Palatino Linotype" w:cs="Palatino Linotype"/>
          <w:b/>
          <w:bCs/>
        </w:rPr>
        <w:t>CUARTO.</w:t>
      </w:r>
      <w:r w:rsidR="0025463D" w:rsidRPr="00F2139C">
        <w:rPr>
          <w:rFonts w:ascii="Palatino Linotype" w:eastAsia="Palatino Linotype" w:hAnsi="Palatino Linotype" w:cs="Palatino Linotype"/>
          <w:b/>
          <w:bCs/>
        </w:rPr>
        <w:t xml:space="preserve"> Notifíquese al</w:t>
      </w:r>
      <w:r w:rsidRPr="00F2139C">
        <w:rPr>
          <w:rFonts w:ascii="Palatino Linotype" w:eastAsia="Palatino Linotype" w:hAnsi="Palatino Linotype" w:cs="Palatino Linotype"/>
          <w:b/>
          <w:bCs/>
        </w:rPr>
        <w:t xml:space="preserve"> RECURRENTE</w:t>
      </w:r>
      <w:r w:rsidRPr="00F2139C">
        <w:rPr>
          <w:rFonts w:ascii="Palatino Linotype" w:eastAsia="Palatino Linotype" w:hAnsi="Palatino Linotype" w:cs="Palatino Linotype"/>
        </w:rPr>
        <w:t xml:space="preserve"> la presente resolución vía </w:t>
      </w:r>
      <w:r w:rsidRPr="00F2139C">
        <w:rPr>
          <w:rFonts w:ascii="Palatino Linotype" w:eastAsia="Palatino Linotype" w:hAnsi="Palatino Linotype" w:cs="Palatino Linotype"/>
          <w:b/>
          <w:bCs/>
        </w:rPr>
        <w:t>SAIMEX.</w:t>
      </w:r>
    </w:p>
    <w:p w:rsidR="00B339C3" w:rsidRPr="00F2139C" w:rsidRDefault="00BF6403">
      <w:pPr>
        <w:spacing w:before="240" w:after="240" w:line="360" w:lineRule="auto"/>
        <w:ind w:right="1"/>
        <w:jc w:val="both"/>
        <w:rPr>
          <w:rFonts w:ascii="Palatino Linotype" w:eastAsia="Palatino Linotype" w:hAnsi="Palatino Linotype" w:cs="Palatino Linotype"/>
        </w:rPr>
      </w:pPr>
      <w:r w:rsidRPr="00F2139C">
        <w:rPr>
          <w:rFonts w:ascii="Palatino Linotype" w:eastAsia="Palatino Linotype" w:hAnsi="Palatino Linotype" w:cs="Palatino Linotype"/>
          <w:b/>
          <w:bCs/>
        </w:rPr>
        <w:t>QUINTO.</w:t>
      </w:r>
      <w:r w:rsidR="0025463D" w:rsidRPr="00F2139C">
        <w:rPr>
          <w:rFonts w:ascii="Palatino Linotype" w:eastAsia="Palatino Linotype" w:hAnsi="Palatino Linotype" w:cs="Palatino Linotype"/>
        </w:rPr>
        <w:t xml:space="preserve"> Se hace del conocimiento del</w:t>
      </w:r>
      <w:r w:rsidRPr="00F2139C">
        <w:rPr>
          <w:rFonts w:ascii="Palatino Linotype" w:eastAsia="Palatino Linotype" w:hAnsi="Palatino Linotype" w:cs="Palatino Linotype"/>
        </w:rPr>
        <w:t xml:space="preserve"> </w:t>
      </w:r>
      <w:r w:rsidRPr="00F2139C">
        <w:rPr>
          <w:rFonts w:ascii="Palatino Linotype" w:eastAsia="Palatino Linotype" w:hAnsi="Palatino Linotype" w:cs="Palatino Linotype"/>
          <w:b/>
          <w:bCs/>
        </w:rPr>
        <w:t>RECURRENTE</w:t>
      </w:r>
      <w:r w:rsidRPr="00F2139C">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B339C3" w:rsidRPr="00F2139C" w:rsidRDefault="00BF6403">
      <w:pPr>
        <w:spacing w:before="240" w:after="240" w:line="360" w:lineRule="auto"/>
        <w:ind w:right="1"/>
        <w:jc w:val="both"/>
        <w:rPr>
          <w:rFonts w:ascii="Palatino Linotype" w:eastAsia="Palatino Linotype" w:hAnsi="Palatino Linotype" w:cs="Palatino Linotype"/>
        </w:rPr>
      </w:pPr>
      <w:r w:rsidRPr="00F2139C">
        <w:rPr>
          <w:rFonts w:ascii="Palatino Linotype" w:eastAsia="Palatino Linotype" w:hAnsi="Palatino Linotype" w:cs="Palatino Linotype"/>
          <w:b/>
          <w:bCs/>
          <w:color w:val="000000"/>
        </w:rPr>
        <w:lastRenderedPageBreak/>
        <w:t xml:space="preserve">SEXTO. </w:t>
      </w:r>
      <w:r w:rsidRPr="00F2139C">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5463D" w:rsidRPr="00F2139C" w:rsidRDefault="0025463D">
      <w:pPr>
        <w:spacing w:before="240" w:after="240" w:line="360" w:lineRule="auto"/>
        <w:ind w:right="1"/>
        <w:jc w:val="both"/>
        <w:rPr>
          <w:rFonts w:ascii="Palatino Linotype" w:eastAsia="Palatino Linotype" w:hAnsi="Palatino Linotype" w:cs="Palatino Linotype"/>
        </w:rPr>
      </w:pPr>
    </w:p>
    <w:p w:rsidR="0025463D" w:rsidRPr="00F2139C" w:rsidRDefault="0025463D" w:rsidP="0025463D">
      <w:pPr>
        <w:spacing w:before="240" w:after="240" w:line="360" w:lineRule="auto"/>
        <w:ind w:firstLine="1"/>
        <w:jc w:val="both"/>
        <w:rPr>
          <w:rFonts w:ascii="Palatino Linotype" w:hAnsi="Palatino Linotype"/>
        </w:rPr>
      </w:pPr>
      <w:bookmarkStart w:id="6" w:name="_Hlk99014733"/>
      <w:r w:rsidRPr="00F2139C">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(19) DE MARZO DE DOS MIL VEINTISÉIS, ANTE EL SECRETARIO TÉCNICO DEL PLENO </w:t>
      </w:r>
      <w:r w:rsidRPr="00F2139C">
        <w:rPr>
          <w:rFonts w:ascii="Palatino Linotype" w:hAnsi="Palatino Linotype" w:cs="Palatino Linotype"/>
          <w:color w:val="000000" w:themeColor="text1"/>
        </w:rPr>
        <w:t>ALEXIS TAPIA RAMÍREZ.</w:t>
      </w:r>
    </w:p>
    <w:bookmarkEnd w:id="6"/>
    <w:p w:rsidR="00B339C3" w:rsidRPr="00F2139C" w:rsidRDefault="00B339C3">
      <w:pPr>
        <w:spacing w:line="360" w:lineRule="auto"/>
        <w:ind w:right="-592"/>
        <w:rPr>
          <w:rFonts w:ascii="Palatino Linotype" w:eastAsia="Palatino Linotype" w:hAnsi="Palatino Linotype" w:cs="Palatino Linotype"/>
        </w:rPr>
      </w:pPr>
    </w:p>
    <w:p w:rsidR="00B339C3" w:rsidRPr="00F2139C" w:rsidRDefault="00B339C3">
      <w:pPr>
        <w:ind w:right="-592"/>
        <w:rPr>
          <w:rFonts w:ascii="Palatino Linotype" w:eastAsia="Palatino Linotype" w:hAnsi="Palatino Linotype" w:cs="Palatino Linotype"/>
        </w:rPr>
      </w:pPr>
    </w:p>
    <w:p w:rsidR="00B339C3" w:rsidRPr="00F2139C" w:rsidRDefault="00B339C3">
      <w:pPr>
        <w:ind w:right="-592"/>
        <w:rPr>
          <w:rFonts w:ascii="Palatino Linotype" w:eastAsia="Palatino Linotype" w:hAnsi="Palatino Linotype" w:cs="Palatino Linotype"/>
        </w:rPr>
      </w:pPr>
    </w:p>
    <w:p w:rsidR="00B339C3" w:rsidRPr="00F2139C" w:rsidRDefault="00B339C3">
      <w:pPr>
        <w:ind w:right="-592"/>
        <w:rPr>
          <w:rFonts w:ascii="Palatino Linotype" w:eastAsia="Palatino Linotype" w:hAnsi="Palatino Linotype" w:cs="Palatino Linotype"/>
        </w:rPr>
      </w:pPr>
    </w:p>
    <w:p w:rsidR="00B339C3" w:rsidRPr="00F2139C" w:rsidRDefault="00B339C3">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p w:rsidR="001018AD" w:rsidRPr="00F2139C" w:rsidRDefault="001018AD">
      <w:pPr>
        <w:ind w:right="-592"/>
        <w:rPr>
          <w:rFonts w:ascii="Palatino Linotype" w:eastAsia="Palatino Linotype" w:hAnsi="Palatino Linotype" w:cs="Palatino Linotype"/>
        </w:rPr>
      </w:pPr>
    </w:p>
    <w:sectPr w:rsidR="001018AD" w:rsidRPr="00F2139C" w:rsidSect="00F2139C">
      <w:headerReference w:type="even" r:id="rId9"/>
      <w:headerReference w:type="default" r:id="rId10"/>
      <w:footerReference w:type="default" r:id="rId11"/>
      <w:headerReference w:type="first" r:id="rId12"/>
      <w:footerReference w:type="first" r:id="rId13"/>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B3C" w:rsidRDefault="002C2B3C">
      <w:r>
        <w:separator/>
      </w:r>
    </w:p>
  </w:endnote>
  <w:endnote w:type="continuationSeparator" w:id="0">
    <w:p w:rsidR="002C2B3C" w:rsidRDefault="002C2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FAF63D61-72BE-4C57-A8D3-D4096753095F}"/>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67EF8F9-0494-4CE6-A711-794509F1D0D6}"/>
    <w:embedBold r:id="rId3" w:fontKey="{9D30D684-8F66-42BC-BF62-00344CCF3A39}"/>
    <w:embedItalic r:id="rId4" w:fontKey="{F6D77800-C6C5-4BAC-B2C8-9EAFB61AE84C}"/>
    <w:embedBoldItalic r:id="rId5" w:fontKey="{071A7707-A3AE-4856-A981-DC7F4288D156}"/>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8C7FDC79-324D-40B0-9E28-BCDD64C5735C}"/>
    <w:embedBold r:id="rId7" w:fontKey="{4C9B3188-0A2D-40A1-BA33-D1F31E45EB72}"/>
  </w:font>
  <w:font w:name="Calibri Light">
    <w:panose1 w:val="020F0302020204030204"/>
    <w:charset w:val="00"/>
    <w:family w:val="swiss"/>
    <w:pitch w:val="variable"/>
    <w:sig w:usb0="E4002EFF" w:usb1="C200247B" w:usb2="00000009" w:usb3="00000000" w:csb0="000001FF" w:csb1="00000000"/>
    <w:embedRegular r:id="rId8" w:fontKey="{3A109931-5F70-4A39-9A78-AB2430780A7B}"/>
  </w:font>
  <w:font w:name="Century Gothic">
    <w:panose1 w:val="020B0502020202020204"/>
    <w:charset w:val="00"/>
    <w:family w:val="swiss"/>
    <w:pitch w:val="variable"/>
    <w:sig w:usb0="00000287" w:usb1="00000000" w:usb2="00000000" w:usb3="00000000" w:csb0="0000009F" w:csb1="00000000"/>
    <w:embedRegular r:id="rId9" w:fontKey="{3A594AD7-1AD2-4A7E-8D36-F3EAA04DCE7D}"/>
  </w:font>
  <w:font w:name="Segoe UI">
    <w:panose1 w:val="020B0502040204020203"/>
    <w:charset w:val="00"/>
    <w:family w:val="swiss"/>
    <w:pitch w:val="variable"/>
    <w:sig w:usb0="E4002EFF" w:usb1="C000E47F" w:usb2="00000009" w:usb3="00000000" w:csb0="000001FF" w:csb1="00000000"/>
    <w:embedRegular r:id="rId10" w:fontKey="{B9CF1D04-7D02-49B3-9113-B0BDE67CDD4F}"/>
  </w:font>
  <w:font w:name="Georgia">
    <w:panose1 w:val="02040502050405020303"/>
    <w:charset w:val="00"/>
    <w:family w:val="roman"/>
    <w:pitch w:val="variable"/>
    <w:sig w:usb0="00000287" w:usb1="00000000" w:usb2="00000000" w:usb3="00000000" w:csb0="0000009F" w:csb1="00000000"/>
    <w:embedItalic r:id="rId11" w:fontKey="{FBB910B3-BBD3-4A31-BA62-6D83FC6FF2BC}"/>
  </w:font>
  <w:font w:name="Garamond">
    <w:panose1 w:val="02020404030301010803"/>
    <w:charset w:val="00"/>
    <w:family w:val="roman"/>
    <w:pitch w:val="variable"/>
    <w:sig w:usb0="00000287" w:usb1="00000000" w:usb2="00000000" w:usb3="00000000" w:csb0="0000009F" w:csb1="00000000"/>
    <w:embedRegular r:id="rId12" w:fontKey="{3C619DEE-DA64-47B9-A4D8-FDA09677A24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9C3" w:rsidRPr="00F2139C" w:rsidRDefault="00BF6403">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F2139C">
      <w:rPr>
        <w:rFonts w:ascii="Palatino Linotype" w:hAnsi="Palatino Linotype"/>
        <w:b/>
        <w:color w:val="000000"/>
        <w:sz w:val="22"/>
      </w:rPr>
      <w:t xml:space="preserve">Página </w:t>
    </w:r>
    <w:r w:rsidRPr="00F2139C">
      <w:rPr>
        <w:rFonts w:ascii="Palatino Linotype" w:hAnsi="Palatino Linotype"/>
        <w:b/>
        <w:bCs/>
        <w:color w:val="000000"/>
        <w:sz w:val="22"/>
      </w:rPr>
      <w:fldChar w:fldCharType="begin"/>
    </w:r>
    <w:r w:rsidRPr="00F2139C">
      <w:rPr>
        <w:rFonts w:ascii="Palatino Linotype" w:hAnsi="Palatino Linotype"/>
        <w:b/>
        <w:bCs/>
        <w:color w:val="000000"/>
        <w:sz w:val="22"/>
      </w:rPr>
      <w:instrText>PAGE</w:instrText>
    </w:r>
    <w:r w:rsidRPr="00F2139C">
      <w:rPr>
        <w:rFonts w:ascii="Palatino Linotype" w:hAnsi="Palatino Linotype"/>
        <w:b/>
        <w:bCs/>
        <w:color w:val="000000"/>
        <w:sz w:val="22"/>
      </w:rPr>
      <w:fldChar w:fldCharType="separate"/>
    </w:r>
    <w:r w:rsidR="00FA41AA">
      <w:rPr>
        <w:rFonts w:ascii="Palatino Linotype" w:hAnsi="Palatino Linotype"/>
        <w:b/>
        <w:bCs/>
        <w:noProof/>
        <w:color w:val="000000"/>
        <w:sz w:val="22"/>
      </w:rPr>
      <w:t>3</w:t>
    </w:r>
    <w:r w:rsidRPr="00F2139C">
      <w:rPr>
        <w:rFonts w:ascii="Palatino Linotype" w:hAnsi="Palatino Linotype"/>
        <w:b/>
        <w:bCs/>
        <w:color w:val="000000"/>
        <w:sz w:val="22"/>
      </w:rPr>
      <w:fldChar w:fldCharType="end"/>
    </w:r>
    <w:r w:rsidRPr="00F2139C">
      <w:rPr>
        <w:rFonts w:ascii="Palatino Linotype" w:hAnsi="Palatino Linotype"/>
        <w:b/>
        <w:color w:val="000000"/>
        <w:sz w:val="22"/>
      </w:rPr>
      <w:t xml:space="preserve"> de </w:t>
    </w:r>
    <w:r w:rsidRPr="00F2139C">
      <w:rPr>
        <w:rFonts w:ascii="Palatino Linotype" w:hAnsi="Palatino Linotype"/>
        <w:b/>
        <w:bCs/>
        <w:color w:val="000000"/>
        <w:sz w:val="22"/>
      </w:rPr>
      <w:fldChar w:fldCharType="begin"/>
    </w:r>
    <w:r w:rsidRPr="00F2139C">
      <w:rPr>
        <w:rFonts w:ascii="Palatino Linotype" w:hAnsi="Palatino Linotype"/>
        <w:b/>
        <w:bCs/>
        <w:color w:val="000000"/>
        <w:sz w:val="22"/>
      </w:rPr>
      <w:instrText>NUMPAGES</w:instrText>
    </w:r>
    <w:r w:rsidRPr="00F2139C">
      <w:rPr>
        <w:rFonts w:ascii="Palatino Linotype" w:hAnsi="Palatino Linotype"/>
        <w:b/>
        <w:bCs/>
        <w:color w:val="000000"/>
        <w:sz w:val="22"/>
      </w:rPr>
      <w:fldChar w:fldCharType="separate"/>
    </w:r>
    <w:r w:rsidR="00FA41AA">
      <w:rPr>
        <w:rFonts w:ascii="Palatino Linotype" w:hAnsi="Palatino Linotype"/>
        <w:b/>
        <w:bCs/>
        <w:noProof/>
        <w:color w:val="000000"/>
        <w:sz w:val="22"/>
      </w:rPr>
      <w:t>26</w:t>
    </w:r>
    <w:r w:rsidRPr="00F2139C">
      <w:rPr>
        <w:rFonts w:ascii="Palatino Linotype" w:hAnsi="Palatino Linotype"/>
        <w:b/>
        <w:bCs/>
        <w:color w:val="000000"/>
        <w:sz w:val="22"/>
      </w:rPr>
      <w:fldChar w:fldCharType="end"/>
    </w:r>
  </w:p>
  <w:p w:rsidR="00B339C3" w:rsidRDefault="00B339C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9C3" w:rsidRPr="00F2139C" w:rsidRDefault="00BF6403">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F2139C">
      <w:rPr>
        <w:rFonts w:ascii="Palatino Linotype" w:hAnsi="Palatino Linotype"/>
        <w:b/>
        <w:color w:val="000000"/>
        <w:sz w:val="22"/>
      </w:rPr>
      <w:t xml:space="preserve">Página </w:t>
    </w:r>
    <w:r w:rsidRPr="00F2139C">
      <w:rPr>
        <w:rFonts w:ascii="Palatino Linotype" w:hAnsi="Palatino Linotype"/>
        <w:b/>
        <w:bCs/>
        <w:color w:val="000000"/>
        <w:sz w:val="22"/>
      </w:rPr>
      <w:fldChar w:fldCharType="begin"/>
    </w:r>
    <w:r w:rsidRPr="00F2139C">
      <w:rPr>
        <w:rFonts w:ascii="Palatino Linotype" w:hAnsi="Palatino Linotype"/>
        <w:b/>
        <w:bCs/>
        <w:color w:val="000000"/>
        <w:sz w:val="22"/>
      </w:rPr>
      <w:instrText>PAGE</w:instrText>
    </w:r>
    <w:r w:rsidRPr="00F2139C">
      <w:rPr>
        <w:rFonts w:ascii="Palatino Linotype" w:hAnsi="Palatino Linotype"/>
        <w:b/>
        <w:bCs/>
        <w:color w:val="000000"/>
        <w:sz w:val="22"/>
      </w:rPr>
      <w:fldChar w:fldCharType="separate"/>
    </w:r>
    <w:r w:rsidR="00FA41AA">
      <w:rPr>
        <w:rFonts w:ascii="Palatino Linotype" w:hAnsi="Palatino Linotype"/>
        <w:b/>
        <w:bCs/>
        <w:noProof/>
        <w:color w:val="000000"/>
        <w:sz w:val="22"/>
      </w:rPr>
      <w:t>1</w:t>
    </w:r>
    <w:r w:rsidRPr="00F2139C">
      <w:rPr>
        <w:rFonts w:ascii="Palatino Linotype" w:hAnsi="Palatino Linotype"/>
        <w:b/>
        <w:bCs/>
        <w:color w:val="000000"/>
        <w:sz w:val="22"/>
      </w:rPr>
      <w:fldChar w:fldCharType="end"/>
    </w:r>
    <w:r w:rsidRPr="00F2139C">
      <w:rPr>
        <w:rFonts w:ascii="Palatino Linotype" w:hAnsi="Palatino Linotype"/>
        <w:b/>
        <w:color w:val="000000"/>
        <w:sz w:val="22"/>
      </w:rPr>
      <w:t xml:space="preserve"> de </w:t>
    </w:r>
    <w:r w:rsidRPr="00F2139C">
      <w:rPr>
        <w:rFonts w:ascii="Palatino Linotype" w:hAnsi="Palatino Linotype"/>
        <w:b/>
        <w:bCs/>
        <w:color w:val="000000"/>
        <w:sz w:val="22"/>
      </w:rPr>
      <w:fldChar w:fldCharType="begin"/>
    </w:r>
    <w:r w:rsidRPr="00F2139C">
      <w:rPr>
        <w:rFonts w:ascii="Palatino Linotype" w:hAnsi="Palatino Linotype"/>
        <w:b/>
        <w:bCs/>
        <w:color w:val="000000"/>
        <w:sz w:val="22"/>
      </w:rPr>
      <w:instrText>NUMPAGES</w:instrText>
    </w:r>
    <w:r w:rsidRPr="00F2139C">
      <w:rPr>
        <w:rFonts w:ascii="Palatino Linotype" w:hAnsi="Palatino Linotype"/>
        <w:b/>
        <w:bCs/>
        <w:color w:val="000000"/>
        <w:sz w:val="22"/>
      </w:rPr>
      <w:fldChar w:fldCharType="separate"/>
    </w:r>
    <w:r w:rsidR="00FA41AA">
      <w:rPr>
        <w:rFonts w:ascii="Palatino Linotype" w:hAnsi="Palatino Linotype"/>
        <w:b/>
        <w:bCs/>
        <w:noProof/>
        <w:color w:val="000000"/>
        <w:sz w:val="22"/>
      </w:rPr>
      <w:t>26</w:t>
    </w:r>
    <w:r w:rsidRPr="00F2139C">
      <w:rPr>
        <w:rFonts w:ascii="Palatino Linotype" w:hAnsi="Palatino Linotype"/>
        <w:b/>
        <w:bCs/>
        <w:color w:val="000000"/>
        <w:sz w:val="22"/>
      </w:rPr>
      <w:fldChar w:fldCharType="end"/>
    </w:r>
  </w:p>
  <w:p w:rsidR="00B339C3" w:rsidRDefault="00B339C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B3C" w:rsidRDefault="002C2B3C">
      <w:r>
        <w:separator/>
      </w:r>
    </w:p>
  </w:footnote>
  <w:footnote w:type="continuationSeparator" w:id="0">
    <w:p w:rsidR="002C2B3C" w:rsidRDefault="002C2B3C">
      <w:r>
        <w:continuationSeparator/>
      </w:r>
    </w:p>
  </w:footnote>
  <w:footnote w:id="1">
    <w:p w:rsidR="00B339C3" w:rsidRDefault="00BF64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B339C3" w:rsidRDefault="00BF64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B339C3" w:rsidRDefault="00BF64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B339C3" w:rsidRDefault="00BF64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9C3" w:rsidRDefault="002C2B3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10348" w:type="dxa"/>
      <w:tblInd w:w="0" w:type="dxa"/>
      <w:tblLayout w:type="fixed"/>
      <w:tblLook w:val="0400" w:firstRow="0" w:lastRow="0" w:firstColumn="0" w:lastColumn="0" w:noHBand="0" w:noVBand="1"/>
    </w:tblPr>
    <w:tblGrid>
      <w:gridCol w:w="2268"/>
      <w:gridCol w:w="8080"/>
    </w:tblGrid>
    <w:tr w:rsidR="00B339C3" w:rsidTr="00F2139C">
      <w:trPr>
        <w:trHeight w:val="1435"/>
      </w:trPr>
      <w:tc>
        <w:tcPr>
          <w:tcW w:w="2268" w:type="dxa"/>
        </w:tcPr>
        <w:p w:rsidR="00B339C3" w:rsidRDefault="00B339C3">
          <w:pPr>
            <w:tabs>
              <w:tab w:val="right" w:pos="4273"/>
            </w:tabs>
            <w:rPr>
              <w:rFonts w:ascii="Garamond" w:eastAsia="Garamond" w:hAnsi="Garamond" w:cs="Garamond"/>
              <w:sz w:val="16"/>
              <w:szCs w:val="16"/>
            </w:rPr>
          </w:pPr>
        </w:p>
      </w:tc>
      <w:tc>
        <w:tcPr>
          <w:tcW w:w="8080" w:type="dxa"/>
        </w:tcPr>
        <w:tbl>
          <w:tblPr>
            <w:tblStyle w:val="aa"/>
            <w:tblW w:w="7500" w:type="dxa"/>
            <w:tblInd w:w="311" w:type="dxa"/>
            <w:tblLayout w:type="fixed"/>
            <w:tblLook w:val="0400" w:firstRow="0" w:lastRow="0" w:firstColumn="0" w:lastColumn="0" w:noHBand="0" w:noVBand="1"/>
          </w:tblPr>
          <w:tblGrid>
            <w:gridCol w:w="3673"/>
            <w:gridCol w:w="3827"/>
          </w:tblGrid>
          <w:tr w:rsidR="00B339C3" w:rsidTr="00F2139C">
            <w:trPr>
              <w:trHeight w:val="150"/>
            </w:trPr>
            <w:tc>
              <w:tcPr>
                <w:tcW w:w="3673" w:type="dxa"/>
              </w:tcPr>
              <w:p w:rsidR="00B339C3" w:rsidRPr="00F2139C" w:rsidRDefault="00BF6403">
                <w:pPr>
                  <w:tabs>
                    <w:tab w:val="right" w:pos="8838"/>
                  </w:tabs>
                  <w:ind w:left="850" w:right="-105"/>
                  <w:jc w:val="both"/>
                  <w:rPr>
                    <w:rFonts w:ascii="Palatino Linotype" w:eastAsia="Palatino Linotype" w:hAnsi="Palatino Linotype" w:cs="Palatino Linotype"/>
                    <w:b/>
                    <w:bCs/>
                    <w:szCs w:val="22"/>
                  </w:rPr>
                </w:pPr>
                <w:r w:rsidRPr="00F2139C">
                  <w:rPr>
                    <w:rFonts w:ascii="Palatino Linotype" w:eastAsia="Palatino Linotype" w:hAnsi="Palatino Linotype" w:cs="Palatino Linotype"/>
                    <w:b/>
                    <w:bCs/>
                    <w:szCs w:val="22"/>
                  </w:rPr>
                  <w:t>Recurso de Revisión:</w:t>
                </w:r>
              </w:p>
            </w:tc>
            <w:tc>
              <w:tcPr>
                <w:tcW w:w="3827" w:type="dxa"/>
              </w:tcPr>
              <w:p w:rsidR="00B339C3" w:rsidRPr="00F2139C" w:rsidRDefault="00BF6403">
                <w:pPr>
                  <w:tabs>
                    <w:tab w:val="right" w:pos="8838"/>
                  </w:tabs>
                  <w:ind w:right="-781"/>
                  <w:jc w:val="both"/>
                  <w:rPr>
                    <w:rFonts w:ascii="Palatino Linotype" w:eastAsia="Palatino Linotype" w:hAnsi="Palatino Linotype" w:cs="Palatino Linotype"/>
                    <w:szCs w:val="22"/>
                  </w:rPr>
                </w:pPr>
                <w:r w:rsidRPr="00F2139C">
                  <w:rPr>
                    <w:rFonts w:ascii="Palatino Linotype" w:eastAsia="Palatino Linotype" w:hAnsi="Palatino Linotype" w:cs="Palatino Linotype"/>
                    <w:szCs w:val="22"/>
                  </w:rPr>
                  <w:t>07868/INFOEM/IP/RR/2025</w:t>
                </w:r>
              </w:p>
            </w:tc>
          </w:tr>
          <w:tr w:rsidR="00B339C3" w:rsidTr="00F2139C">
            <w:trPr>
              <w:trHeight w:val="295"/>
            </w:trPr>
            <w:tc>
              <w:tcPr>
                <w:tcW w:w="3673" w:type="dxa"/>
              </w:tcPr>
              <w:p w:rsidR="00B339C3" w:rsidRPr="00F2139C" w:rsidRDefault="00BF6403">
                <w:pPr>
                  <w:tabs>
                    <w:tab w:val="right" w:pos="8838"/>
                  </w:tabs>
                  <w:ind w:left="850" w:right="-105"/>
                  <w:jc w:val="both"/>
                  <w:rPr>
                    <w:rFonts w:ascii="Palatino Linotype" w:eastAsia="Palatino Linotype" w:hAnsi="Palatino Linotype" w:cs="Palatino Linotype"/>
                    <w:b/>
                    <w:bCs/>
                    <w:szCs w:val="22"/>
                  </w:rPr>
                </w:pPr>
                <w:r w:rsidRPr="00F2139C">
                  <w:rPr>
                    <w:rFonts w:ascii="Palatino Linotype" w:eastAsia="Palatino Linotype" w:hAnsi="Palatino Linotype" w:cs="Palatino Linotype"/>
                    <w:b/>
                    <w:bCs/>
                    <w:szCs w:val="22"/>
                  </w:rPr>
                  <w:t>Sujeto Obligado:</w:t>
                </w:r>
              </w:p>
            </w:tc>
            <w:tc>
              <w:tcPr>
                <w:tcW w:w="3827" w:type="dxa"/>
              </w:tcPr>
              <w:p w:rsidR="00B339C3" w:rsidRPr="00F2139C" w:rsidRDefault="00BF6403">
                <w:pPr>
                  <w:tabs>
                    <w:tab w:val="left" w:pos="2834"/>
                    <w:tab w:val="right" w:pos="8838"/>
                  </w:tabs>
                  <w:ind w:right="-1552"/>
                  <w:jc w:val="both"/>
                  <w:rPr>
                    <w:rFonts w:ascii="Palatino Linotype" w:eastAsia="Palatino Linotype" w:hAnsi="Palatino Linotype" w:cs="Palatino Linotype"/>
                    <w:szCs w:val="22"/>
                  </w:rPr>
                </w:pPr>
                <w:r w:rsidRPr="00F2139C">
                  <w:rPr>
                    <w:rFonts w:ascii="Palatino Linotype" w:eastAsia="Palatino Linotype" w:hAnsi="Palatino Linotype" w:cs="Palatino Linotype"/>
                    <w:szCs w:val="22"/>
                  </w:rPr>
                  <w:t>Ayuntamiento de Metepec</w:t>
                </w:r>
              </w:p>
            </w:tc>
          </w:tr>
          <w:tr w:rsidR="00B339C3" w:rsidTr="00F2139C">
            <w:trPr>
              <w:trHeight w:val="295"/>
            </w:trPr>
            <w:tc>
              <w:tcPr>
                <w:tcW w:w="3673" w:type="dxa"/>
              </w:tcPr>
              <w:p w:rsidR="00B339C3" w:rsidRPr="00F2139C" w:rsidRDefault="00BF6403">
                <w:pPr>
                  <w:tabs>
                    <w:tab w:val="right" w:pos="8838"/>
                  </w:tabs>
                  <w:ind w:left="850" w:right="-105"/>
                  <w:jc w:val="both"/>
                  <w:rPr>
                    <w:rFonts w:ascii="Palatino Linotype" w:eastAsia="Palatino Linotype" w:hAnsi="Palatino Linotype" w:cs="Palatino Linotype"/>
                    <w:b/>
                    <w:bCs/>
                    <w:szCs w:val="22"/>
                  </w:rPr>
                </w:pPr>
                <w:r w:rsidRPr="00F2139C">
                  <w:rPr>
                    <w:rFonts w:ascii="Palatino Linotype" w:eastAsia="Palatino Linotype" w:hAnsi="Palatino Linotype" w:cs="Palatino Linotype"/>
                    <w:b/>
                    <w:bCs/>
                    <w:szCs w:val="22"/>
                  </w:rPr>
                  <w:t>Comisionada ponente:</w:t>
                </w:r>
              </w:p>
            </w:tc>
            <w:tc>
              <w:tcPr>
                <w:tcW w:w="3827" w:type="dxa"/>
              </w:tcPr>
              <w:p w:rsidR="00B339C3" w:rsidRPr="00F2139C" w:rsidRDefault="00BF6403">
                <w:pPr>
                  <w:tabs>
                    <w:tab w:val="right" w:pos="8838"/>
                  </w:tabs>
                  <w:ind w:right="-781"/>
                  <w:jc w:val="both"/>
                  <w:rPr>
                    <w:rFonts w:ascii="Palatino Linotype" w:eastAsia="Palatino Linotype" w:hAnsi="Palatino Linotype" w:cs="Palatino Linotype"/>
                    <w:szCs w:val="22"/>
                  </w:rPr>
                </w:pPr>
                <w:r w:rsidRPr="00F2139C">
                  <w:rPr>
                    <w:rFonts w:ascii="Palatino Linotype" w:eastAsia="Palatino Linotype" w:hAnsi="Palatino Linotype" w:cs="Palatino Linotype"/>
                    <w:szCs w:val="22"/>
                  </w:rPr>
                  <w:t>María del Rosario Mejía Ayala</w:t>
                </w:r>
              </w:p>
              <w:p w:rsidR="00B339C3" w:rsidRPr="00F2139C" w:rsidRDefault="00B339C3">
                <w:pPr>
                  <w:tabs>
                    <w:tab w:val="right" w:pos="8838"/>
                  </w:tabs>
                  <w:ind w:left="141" w:right="-781"/>
                  <w:jc w:val="both"/>
                  <w:rPr>
                    <w:rFonts w:ascii="Palatino Linotype" w:eastAsia="Palatino Linotype" w:hAnsi="Palatino Linotype" w:cs="Palatino Linotype"/>
                    <w:szCs w:val="22"/>
                  </w:rPr>
                </w:pPr>
              </w:p>
            </w:tc>
          </w:tr>
        </w:tbl>
        <w:p w:rsidR="00B339C3" w:rsidRDefault="00B339C3">
          <w:pPr>
            <w:tabs>
              <w:tab w:val="right" w:pos="8838"/>
            </w:tabs>
            <w:ind w:left="-28"/>
            <w:jc w:val="both"/>
            <w:rPr>
              <w:rFonts w:ascii="Arial" w:eastAsia="Arial" w:hAnsi="Arial" w:cs="Arial"/>
              <w:b/>
              <w:bCs/>
              <w:sz w:val="18"/>
              <w:szCs w:val="18"/>
            </w:rPr>
          </w:pPr>
        </w:p>
      </w:tc>
    </w:tr>
  </w:tbl>
  <w:p w:rsidR="00B339C3" w:rsidRDefault="002C2B3C">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10065" w:type="dxa"/>
      <w:tblInd w:w="0" w:type="dxa"/>
      <w:tblLayout w:type="fixed"/>
      <w:tblLook w:val="0400" w:firstRow="0" w:lastRow="0" w:firstColumn="0" w:lastColumn="0" w:noHBand="0" w:noVBand="1"/>
    </w:tblPr>
    <w:tblGrid>
      <w:gridCol w:w="2265"/>
      <w:gridCol w:w="7800"/>
    </w:tblGrid>
    <w:tr w:rsidR="00B339C3">
      <w:trPr>
        <w:trHeight w:val="1435"/>
      </w:trPr>
      <w:tc>
        <w:tcPr>
          <w:tcW w:w="2265" w:type="dxa"/>
        </w:tcPr>
        <w:p w:rsidR="00B339C3" w:rsidRDefault="00B339C3">
          <w:pPr>
            <w:tabs>
              <w:tab w:val="right" w:pos="4273"/>
            </w:tabs>
            <w:rPr>
              <w:rFonts w:ascii="Garamond" w:eastAsia="Garamond" w:hAnsi="Garamond" w:cs="Garamond"/>
              <w:sz w:val="22"/>
              <w:szCs w:val="22"/>
            </w:rPr>
          </w:pPr>
        </w:p>
      </w:tc>
      <w:tc>
        <w:tcPr>
          <w:tcW w:w="7800" w:type="dxa"/>
        </w:tcPr>
        <w:tbl>
          <w:tblPr>
            <w:tblStyle w:val="ac"/>
            <w:tblW w:w="7785" w:type="dxa"/>
            <w:tblInd w:w="1164" w:type="dxa"/>
            <w:tblLayout w:type="fixed"/>
            <w:tblLook w:val="0400" w:firstRow="0" w:lastRow="0" w:firstColumn="0" w:lastColumn="0" w:noHBand="0" w:noVBand="1"/>
          </w:tblPr>
          <w:tblGrid>
            <w:gridCol w:w="2865"/>
            <w:gridCol w:w="4920"/>
          </w:tblGrid>
          <w:tr w:rsidR="00B339C3" w:rsidTr="00F2139C">
            <w:trPr>
              <w:trHeight w:val="144"/>
            </w:trPr>
            <w:tc>
              <w:tcPr>
                <w:tcW w:w="2865" w:type="dxa"/>
              </w:tcPr>
              <w:p w:rsidR="00B339C3" w:rsidRPr="00F2139C" w:rsidRDefault="00BF6403" w:rsidP="00F2139C">
                <w:pPr>
                  <w:tabs>
                    <w:tab w:val="right" w:pos="8838"/>
                  </w:tabs>
                  <w:ind w:left="-85" w:right="-105"/>
                  <w:rPr>
                    <w:rFonts w:ascii="Palatino Linotype" w:eastAsia="Palatino Linotype" w:hAnsi="Palatino Linotype" w:cs="Palatino Linotype"/>
                    <w:b/>
                    <w:bCs/>
                    <w:szCs w:val="22"/>
                  </w:rPr>
                </w:pPr>
                <w:r w:rsidRPr="00F2139C">
                  <w:rPr>
                    <w:rFonts w:ascii="Palatino Linotype" w:eastAsia="Palatino Linotype" w:hAnsi="Palatino Linotype" w:cs="Palatino Linotype"/>
                    <w:b/>
                    <w:bCs/>
                    <w:szCs w:val="22"/>
                  </w:rPr>
                  <w:t>Recurso de Revisión:</w:t>
                </w:r>
              </w:p>
            </w:tc>
            <w:tc>
              <w:tcPr>
                <w:tcW w:w="4920" w:type="dxa"/>
              </w:tcPr>
              <w:p w:rsidR="00B339C3" w:rsidRPr="00F2139C" w:rsidRDefault="00BF6403" w:rsidP="00F2139C">
                <w:pPr>
                  <w:tabs>
                    <w:tab w:val="right" w:pos="8838"/>
                  </w:tabs>
                  <w:ind w:left="-85" w:right="-1552"/>
                  <w:rPr>
                    <w:rFonts w:ascii="Palatino Linotype" w:eastAsia="Palatino Linotype" w:hAnsi="Palatino Linotype" w:cs="Palatino Linotype"/>
                    <w:szCs w:val="22"/>
                  </w:rPr>
                </w:pPr>
                <w:r w:rsidRPr="00F2139C">
                  <w:rPr>
                    <w:rFonts w:ascii="Palatino Linotype" w:eastAsia="Palatino Linotype" w:hAnsi="Palatino Linotype" w:cs="Palatino Linotype"/>
                    <w:szCs w:val="22"/>
                  </w:rPr>
                  <w:t>07868/INFOEM/IP/RR/2025</w:t>
                </w:r>
              </w:p>
            </w:tc>
          </w:tr>
          <w:tr w:rsidR="00B339C3" w:rsidTr="00F2139C">
            <w:trPr>
              <w:trHeight w:val="144"/>
            </w:trPr>
            <w:tc>
              <w:tcPr>
                <w:tcW w:w="2865" w:type="dxa"/>
              </w:tcPr>
              <w:p w:rsidR="00B339C3" w:rsidRPr="00F2139C" w:rsidRDefault="00BF6403" w:rsidP="00F2139C">
                <w:pPr>
                  <w:tabs>
                    <w:tab w:val="right" w:pos="8838"/>
                  </w:tabs>
                  <w:ind w:left="-85" w:right="-105"/>
                  <w:rPr>
                    <w:rFonts w:ascii="Palatino Linotype" w:eastAsia="Palatino Linotype" w:hAnsi="Palatino Linotype" w:cs="Palatino Linotype"/>
                    <w:b/>
                    <w:bCs/>
                    <w:szCs w:val="22"/>
                  </w:rPr>
                </w:pPr>
                <w:r w:rsidRPr="00F2139C">
                  <w:rPr>
                    <w:rFonts w:ascii="Palatino Linotype" w:eastAsia="Palatino Linotype" w:hAnsi="Palatino Linotype" w:cs="Palatino Linotype"/>
                    <w:b/>
                    <w:bCs/>
                    <w:szCs w:val="22"/>
                  </w:rPr>
                  <w:t>Recurrente:</w:t>
                </w:r>
              </w:p>
            </w:tc>
            <w:tc>
              <w:tcPr>
                <w:tcW w:w="4920" w:type="dxa"/>
              </w:tcPr>
              <w:p w:rsidR="00B339C3" w:rsidRPr="00F2139C" w:rsidRDefault="00FA41AA" w:rsidP="00F2139C">
                <w:pPr>
                  <w:tabs>
                    <w:tab w:val="left" w:pos="3122"/>
                    <w:tab w:val="right" w:pos="8838"/>
                  </w:tabs>
                  <w:ind w:left="-85" w:right="-1552"/>
                  <w:rPr>
                    <w:rFonts w:ascii="Palatino Linotype" w:eastAsia="Palatino Linotype" w:hAnsi="Palatino Linotype" w:cs="Palatino Linotype"/>
                    <w:szCs w:val="22"/>
                  </w:rPr>
                </w:pPr>
                <w:r>
                  <w:rPr>
                    <w:rFonts w:ascii="Palatino Linotype" w:eastAsia="Palatino Linotype" w:hAnsi="Palatino Linotype" w:cs="Palatino Linotype"/>
                    <w:szCs w:val="22"/>
                  </w:rPr>
                  <w:t>XXXX</w:t>
                </w:r>
              </w:p>
            </w:tc>
          </w:tr>
          <w:tr w:rsidR="00B339C3" w:rsidTr="00F2139C">
            <w:trPr>
              <w:trHeight w:val="80"/>
            </w:trPr>
            <w:tc>
              <w:tcPr>
                <w:tcW w:w="2865" w:type="dxa"/>
              </w:tcPr>
              <w:p w:rsidR="00B339C3" w:rsidRPr="00F2139C" w:rsidRDefault="00BF6403" w:rsidP="00F2139C">
                <w:pPr>
                  <w:tabs>
                    <w:tab w:val="right" w:pos="8838"/>
                  </w:tabs>
                  <w:ind w:left="-85" w:right="-105"/>
                  <w:rPr>
                    <w:rFonts w:ascii="Palatino Linotype" w:eastAsia="Palatino Linotype" w:hAnsi="Palatino Linotype" w:cs="Palatino Linotype"/>
                    <w:b/>
                    <w:bCs/>
                    <w:szCs w:val="22"/>
                  </w:rPr>
                </w:pPr>
                <w:r w:rsidRPr="00F2139C">
                  <w:rPr>
                    <w:rFonts w:ascii="Palatino Linotype" w:eastAsia="Palatino Linotype" w:hAnsi="Palatino Linotype" w:cs="Palatino Linotype"/>
                    <w:b/>
                    <w:bCs/>
                    <w:szCs w:val="22"/>
                  </w:rPr>
                  <w:t>Sujeto Obligado:</w:t>
                </w:r>
              </w:p>
            </w:tc>
            <w:tc>
              <w:tcPr>
                <w:tcW w:w="4920" w:type="dxa"/>
              </w:tcPr>
              <w:p w:rsidR="00B339C3" w:rsidRPr="00F2139C" w:rsidRDefault="00BF6403" w:rsidP="00F2139C">
                <w:pPr>
                  <w:tabs>
                    <w:tab w:val="left" w:pos="2834"/>
                    <w:tab w:val="right" w:pos="8838"/>
                  </w:tabs>
                  <w:ind w:left="-85" w:right="-1552"/>
                  <w:rPr>
                    <w:rFonts w:ascii="Palatino Linotype" w:eastAsia="Palatino Linotype" w:hAnsi="Palatino Linotype" w:cs="Palatino Linotype"/>
                    <w:szCs w:val="22"/>
                  </w:rPr>
                </w:pPr>
                <w:r w:rsidRPr="00F2139C">
                  <w:rPr>
                    <w:rFonts w:ascii="Palatino Linotype" w:eastAsia="Palatino Linotype" w:hAnsi="Palatino Linotype" w:cs="Palatino Linotype"/>
                    <w:szCs w:val="22"/>
                  </w:rPr>
                  <w:t>Ayuntamiento de Metepec</w:t>
                </w:r>
              </w:p>
            </w:tc>
          </w:tr>
          <w:tr w:rsidR="00B339C3" w:rsidTr="00F2139C">
            <w:trPr>
              <w:trHeight w:val="283"/>
            </w:trPr>
            <w:tc>
              <w:tcPr>
                <w:tcW w:w="2865" w:type="dxa"/>
              </w:tcPr>
              <w:p w:rsidR="00B339C3" w:rsidRPr="00F2139C" w:rsidRDefault="00BF6403" w:rsidP="00F2139C">
                <w:pPr>
                  <w:tabs>
                    <w:tab w:val="right" w:pos="8838"/>
                  </w:tabs>
                  <w:ind w:left="-85" w:right="-105"/>
                  <w:rPr>
                    <w:rFonts w:ascii="Palatino Linotype" w:eastAsia="Palatino Linotype" w:hAnsi="Palatino Linotype" w:cs="Palatino Linotype"/>
                    <w:b/>
                    <w:bCs/>
                    <w:szCs w:val="22"/>
                  </w:rPr>
                </w:pPr>
                <w:r w:rsidRPr="00F2139C">
                  <w:rPr>
                    <w:rFonts w:ascii="Palatino Linotype" w:eastAsia="Palatino Linotype" w:hAnsi="Palatino Linotype" w:cs="Palatino Linotype"/>
                    <w:b/>
                    <w:bCs/>
                    <w:szCs w:val="22"/>
                  </w:rPr>
                  <w:t>Comisionada ponente:</w:t>
                </w:r>
              </w:p>
            </w:tc>
            <w:tc>
              <w:tcPr>
                <w:tcW w:w="4920" w:type="dxa"/>
              </w:tcPr>
              <w:p w:rsidR="00B339C3" w:rsidRPr="00F2139C" w:rsidRDefault="00BF6403" w:rsidP="00F2139C">
                <w:pPr>
                  <w:tabs>
                    <w:tab w:val="right" w:pos="8838"/>
                  </w:tabs>
                  <w:ind w:left="-85" w:right="-1552"/>
                  <w:rPr>
                    <w:rFonts w:ascii="Palatino Linotype" w:eastAsia="Palatino Linotype" w:hAnsi="Palatino Linotype" w:cs="Palatino Linotype"/>
                    <w:szCs w:val="22"/>
                  </w:rPr>
                </w:pPr>
                <w:r w:rsidRPr="00F2139C">
                  <w:rPr>
                    <w:rFonts w:ascii="Palatino Linotype" w:eastAsia="Palatino Linotype" w:hAnsi="Palatino Linotype" w:cs="Palatino Linotype"/>
                    <w:szCs w:val="22"/>
                  </w:rPr>
                  <w:t>María del Rosario Mejía Ayala</w:t>
                </w:r>
              </w:p>
              <w:p w:rsidR="00B339C3" w:rsidRPr="00F2139C" w:rsidRDefault="00B339C3" w:rsidP="00F2139C">
                <w:pPr>
                  <w:tabs>
                    <w:tab w:val="right" w:pos="8838"/>
                  </w:tabs>
                  <w:ind w:left="-85" w:right="-1552"/>
                  <w:rPr>
                    <w:rFonts w:ascii="Palatino Linotype" w:eastAsia="Palatino Linotype" w:hAnsi="Palatino Linotype" w:cs="Palatino Linotype"/>
                    <w:szCs w:val="22"/>
                  </w:rPr>
                </w:pPr>
              </w:p>
            </w:tc>
          </w:tr>
        </w:tbl>
        <w:p w:rsidR="00B339C3" w:rsidRDefault="00B339C3">
          <w:pPr>
            <w:tabs>
              <w:tab w:val="right" w:pos="8838"/>
            </w:tabs>
            <w:ind w:left="-28"/>
            <w:jc w:val="both"/>
            <w:rPr>
              <w:rFonts w:ascii="Arial" w:eastAsia="Arial" w:hAnsi="Arial" w:cs="Arial"/>
              <w:b/>
              <w:bCs/>
              <w:sz w:val="22"/>
              <w:szCs w:val="22"/>
            </w:rPr>
          </w:pPr>
        </w:p>
      </w:tc>
    </w:tr>
  </w:tbl>
  <w:p w:rsidR="00B339C3" w:rsidRDefault="002C2B3C">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44266"/>
    <w:multiLevelType w:val="multilevel"/>
    <w:tmpl w:val="2E7E0BE4"/>
    <w:lvl w:ilvl="0">
      <w:start w:val="1"/>
      <w:numFmt w:val="lowerLetter"/>
      <w:lvlText w:val="%1)"/>
      <w:lvlJc w:val="left"/>
      <w:pPr>
        <w:ind w:left="1069" w:hanging="360"/>
      </w:pPr>
    </w:lvl>
    <w:lvl w:ilvl="1">
      <w:start w:val="1"/>
      <w:numFmt w:val="lowerLetter"/>
      <w:lvlText w:val="%2)"/>
      <w:lvlJc w:val="left"/>
      <w:pPr>
        <w:ind w:left="1789" w:hanging="360"/>
      </w:pPr>
      <w:rPr>
        <w:i w:val="0"/>
        <w:iCs w:val="0"/>
        <w:u w:val="none"/>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404D0F1F"/>
    <w:multiLevelType w:val="multilevel"/>
    <w:tmpl w:val="972A9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1E4366"/>
    <w:multiLevelType w:val="multilevel"/>
    <w:tmpl w:val="CF8CCA3C"/>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890A3D"/>
    <w:multiLevelType w:val="multilevel"/>
    <w:tmpl w:val="0FEE8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9B2ED1"/>
    <w:multiLevelType w:val="multilevel"/>
    <w:tmpl w:val="963622AC"/>
    <w:lvl w:ilvl="0">
      <w:start w:val="1"/>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3E114CC"/>
    <w:multiLevelType w:val="multilevel"/>
    <w:tmpl w:val="39EA4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3061974"/>
    <w:multiLevelType w:val="hybridMultilevel"/>
    <w:tmpl w:val="864A2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9C3"/>
    <w:rsid w:val="001018AD"/>
    <w:rsid w:val="0025463D"/>
    <w:rsid w:val="002C2B3C"/>
    <w:rsid w:val="007051A7"/>
    <w:rsid w:val="00854900"/>
    <w:rsid w:val="008C0CF0"/>
    <w:rsid w:val="00A744FD"/>
    <w:rsid w:val="00B339C3"/>
    <w:rsid w:val="00BF6403"/>
    <w:rsid w:val="00E02A01"/>
    <w:rsid w:val="00F2139C"/>
    <w:rsid w:val="00FA41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D84067C-FC9F-4C21-9F14-FBCD6F69C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850EB3"/>
    <w:pPr>
      <w:spacing w:before="100" w:beforeAutospacing="1" w:after="100" w:afterAutospacing="1"/>
    </w:pPr>
  </w:style>
  <w:style w:type="paragraph" w:customStyle="1" w:styleId="m5907675151158779931gmail-msolistparagraph">
    <w:name w:val="m_5907675151158779931gmail-msolistparagraph"/>
    <w:basedOn w:val="Normal"/>
    <w:rsid w:val="00F32383"/>
    <w:pPr>
      <w:spacing w:before="100" w:beforeAutospacing="1" w:after="100" w:afterAutospacing="1"/>
    </w:pPr>
  </w:style>
  <w:style w:type="character" w:customStyle="1" w:styleId="UnresolvedMention">
    <w:name w:val="Unresolved Mention"/>
    <w:basedOn w:val="Fuentedeprrafopredeter"/>
    <w:uiPriority w:val="99"/>
    <w:semiHidden/>
    <w:unhideWhenUsed/>
    <w:rsid w:val="00A8668E"/>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83750.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aEcyix1Xv4KQAgC+gfIHBS9Lw==">CgMxLjAyCWguM3pueXNoNzIJaC4zZHk2dmttMghoLmdqZGd4czIJaC4zMGowemxsMgloLjFmb2I5dGU4AHIhMWxHVkFhUG52NmdNYXpBQUEwN3dHWW85dnl6NlhUSWNn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7025</Words>
  <Characters>38643</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Cuenta Microsoft</cp:lastModifiedBy>
  <cp:revision>8</cp:revision>
  <cp:lastPrinted>2026-03-23T16:14:00Z</cp:lastPrinted>
  <dcterms:created xsi:type="dcterms:W3CDTF">2026-03-10T16:47:00Z</dcterms:created>
  <dcterms:modified xsi:type="dcterms:W3CDTF">2026-04-07T23:06:00Z</dcterms:modified>
</cp:coreProperties>
</file>