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GoBack"/>
      <w:bookmarkEnd w:id="0"/>
      <w:r w:rsidRPr="00946DC8">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946DC8">
        <w:rPr>
          <w:rFonts w:ascii="Palatino Linotype" w:eastAsia="Palatino Linotype" w:hAnsi="Palatino Linotype" w:cs="Palatino Linotype"/>
          <w:b/>
          <w:color w:val="000000"/>
        </w:rPr>
        <w:t xml:space="preserve">de fecha </w:t>
      </w:r>
      <w:r w:rsidR="004F5716" w:rsidRPr="00946DC8">
        <w:rPr>
          <w:rFonts w:ascii="Palatino Linotype" w:eastAsia="Palatino Linotype" w:hAnsi="Palatino Linotype" w:cs="Palatino Linotype"/>
          <w:b/>
          <w:color w:val="000000"/>
        </w:rPr>
        <w:t>cinco</w:t>
      </w:r>
      <w:r w:rsidR="00946DC8" w:rsidRPr="00946DC8">
        <w:rPr>
          <w:rFonts w:ascii="Palatino Linotype" w:eastAsia="Palatino Linotype" w:hAnsi="Palatino Linotype" w:cs="Palatino Linotype"/>
          <w:b/>
          <w:color w:val="000000"/>
        </w:rPr>
        <w:t xml:space="preserve"> (05)</w:t>
      </w:r>
      <w:r w:rsidR="004F5716" w:rsidRPr="00946DC8">
        <w:rPr>
          <w:rFonts w:ascii="Palatino Linotype" w:eastAsia="Palatino Linotype" w:hAnsi="Palatino Linotype" w:cs="Palatino Linotype"/>
          <w:b/>
          <w:color w:val="000000"/>
        </w:rPr>
        <w:t xml:space="preserve"> de febrero</w:t>
      </w:r>
      <w:r w:rsidR="00E00675" w:rsidRPr="00946DC8">
        <w:rPr>
          <w:rFonts w:ascii="Palatino Linotype" w:eastAsia="Palatino Linotype" w:hAnsi="Palatino Linotype" w:cs="Palatino Linotype"/>
          <w:b/>
          <w:color w:val="000000"/>
        </w:rPr>
        <w:t xml:space="preserve"> de dos mil veintiséis.</w:t>
      </w: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gjdgxs" w:colFirst="0" w:colLast="0"/>
      <w:bookmarkEnd w:id="1"/>
      <w:r w:rsidRPr="00946DC8">
        <w:rPr>
          <w:rFonts w:ascii="Palatino Linotype" w:eastAsia="Palatino Linotype" w:hAnsi="Palatino Linotype" w:cs="Palatino Linotype"/>
          <w:b/>
          <w:color w:val="000000"/>
        </w:rPr>
        <w:t>VISTO</w:t>
      </w:r>
      <w:r w:rsidRPr="00946DC8">
        <w:rPr>
          <w:rFonts w:ascii="Palatino Linotype" w:eastAsia="Palatino Linotype" w:hAnsi="Palatino Linotype" w:cs="Palatino Linotype"/>
          <w:color w:val="000000"/>
        </w:rPr>
        <w:t xml:space="preserve"> el expediente electrónico formado con motivo   del Recursos de Revisión </w:t>
      </w:r>
      <w:r w:rsidR="004F5716" w:rsidRPr="00946DC8">
        <w:rPr>
          <w:rFonts w:ascii="Palatino Linotype" w:eastAsia="Palatino Linotype" w:hAnsi="Palatino Linotype" w:cs="Palatino Linotype"/>
          <w:b/>
          <w:color w:val="000000"/>
        </w:rPr>
        <w:t>1208</w:t>
      </w:r>
      <w:r w:rsidR="00E00675" w:rsidRPr="00946DC8">
        <w:rPr>
          <w:rFonts w:ascii="Palatino Linotype" w:eastAsia="Palatino Linotype" w:hAnsi="Palatino Linotype" w:cs="Palatino Linotype"/>
          <w:b/>
          <w:color w:val="000000"/>
        </w:rPr>
        <w:t>8</w:t>
      </w:r>
      <w:r w:rsidRPr="00946DC8">
        <w:rPr>
          <w:rFonts w:ascii="Palatino Linotype" w:eastAsia="Palatino Linotype" w:hAnsi="Palatino Linotype" w:cs="Palatino Linotype"/>
          <w:b/>
          <w:color w:val="000000"/>
        </w:rPr>
        <w:t xml:space="preserve">/INFOEM/IP/RR/2025 </w:t>
      </w:r>
      <w:r w:rsidRPr="00946DC8">
        <w:rPr>
          <w:rFonts w:ascii="Palatino Linotype" w:eastAsia="Palatino Linotype" w:hAnsi="Palatino Linotype" w:cs="Palatino Linotype"/>
          <w:color w:val="000000"/>
        </w:rPr>
        <w:t xml:space="preserve">promovido por </w:t>
      </w:r>
      <w:r w:rsidR="00C203B4">
        <w:rPr>
          <w:rFonts w:ascii="Palatino Linotype" w:eastAsia="Palatino Linotype" w:hAnsi="Palatino Linotype" w:cs="Palatino Linotype"/>
          <w:b/>
          <w:bCs/>
        </w:rPr>
        <w:t>XXXX</w:t>
      </w:r>
      <w:r w:rsidRPr="00946DC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946DC8">
        <w:rPr>
          <w:rFonts w:ascii="Palatino Linotype" w:eastAsia="Palatino Linotype" w:hAnsi="Palatino Linotype" w:cs="Palatino Linotype"/>
          <w:b/>
          <w:color w:val="000000"/>
        </w:rPr>
        <w:t>EL RECURRENTE</w:t>
      </w:r>
      <w:r w:rsidRPr="00946DC8">
        <w:rPr>
          <w:rFonts w:ascii="Palatino Linotype" w:eastAsia="Palatino Linotype" w:hAnsi="Palatino Linotype" w:cs="Palatino Linotype"/>
          <w:color w:val="000000"/>
        </w:rPr>
        <w:t xml:space="preserve">, en contra de las respuestas del </w:t>
      </w:r>
      <w:r w:rsidR="00521CAE" w:rsidRPr="00946DC8">
        <w:rPr>
          <w:rFonts w:ascii="Palatino Linotype" w:eastAsia="Palatino Linotype" w:hAnsi="Palatino Linotype" w:cs="Palatino Linotype"/>
          <w:b/>
          <w:color w:val="000000"/>
        </w:rPr>
        <w:t xml:space="preserve">Ayuntamiento de </w:t>
      </w:r>
      <w:r w:rsidR="004F5716" w:rsidRPr="00946DC8">
        <w:rPr>
          <w:rFonts w:ascii="Palatino Linotype" w:eastAsia="Palatino Linotype" w:hAnsi="Palatino Linotype" w:cs="Palatino Linotype"/>
          <w:b/>
          <w:color w:val="000000"/>
        </w:rPr>
        <w:t>Tecamac</w:t>
      </w:r>
      <w:r w:rsidR="00946DC8">
        <w:rPr>
          <w:rFonts w:ascii="Palatino Linotype" w:eastAsia="Palatino Linotype" w:hAnsi="Palatino Linotype" w:cs="Palatino Linotype"/>
          <w:b/>
          <w:color w:val="000000"/>
        </w:rPr>
        <w:t>,</w:t>
      </w:r>
      <w:r w:rsidRPr="00946DC8">
        <w:rPr>
          <w:rFonts w:ascii="Palatino Linotype" w:eastAsia="Palatino Linotype" w:hAnsi="Palatino Linotype" w:cs="Palatino Linotype"/>
          <w:color w:val="000000"/>
        </w:rPr>
        <w:t xml:space="preserve"> en </w:t>
      </w:r>
      <w:r w:rsidRPr="00946DC8">
        <w:rPr>
          <w:rFonts w:ascii="Palatino Linotype" w:eastAsia="Palatino Linotype" w:hAnsi="Palatino Linotype" w:cs="Palatino Linotype"/>
        </w:rPr>
        <w:t>adelante</w:t>
      </w:r>
      <w:r w:rsidRPr="00946DC8">
        <w:rPr>
          <w:rFonts w:ascii="Palatino Linotype" w:eastAsia="Palatino Linotype" w:hAnsi="Palatino Linotype" w:cs="Palatino Linotype"/>
          <w:color w:val="000000"/>
        </w:rPr>
        <w:t xml:space="preserve"> </w:t>
      </w:r>
      <w:r w:rsidRPr="00946DC8">
        <w:rPr>
          <w:rFonts w:ascii="Palatino Linotype" w:eastAsia="Palatino Linotype" w:hAnsi="Palatino Linotype" w:cs="Palatino Linotype"/>
          <w:b/>
          <w:color w:val="000000"/>
        </w:rPr>
        <w:t>EL SUJETO OBLIGADO</w:t>
      </w:r>
      <w:r w:rsidRPr="00946DC8">
        <w:rPr>
          <w:rFonts w:ascii="Palatino Linotype" w:eastAsia="Palatino Linotype" w:hAnsi="Palatino Linotype" w:cs="Palatino Linotype"/>
          <w:color w:val="000000"/>
        </w:rPr>
        <w:t>, se procede a dictar la presente resolución, con base en los siguientes:</w:t>
      </w: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E0BA7" w:rsidRPr="00946DC8" w:rsidRDefault="00BE0BA7" w:rsidP="00490EC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46DC8">
        <w:rPr>
          <w:rFonts w:ascii="Palatino Linotype" w:eastAsia="Palatino Linotype" w:hAnsi="Palatino Linotype" w:cs="Palatino Linotype"/>
          <w:b/>
          <w:color w:val="000000"/>
        </w:rPr>
        <w:t>A N T E C E D E N T E S</w:t>
      </w:r>
    </w:p>
    <w:p w:rsidR="00BE0BA7" w:rsidRPr="00946DC8" w:rsidRDefault="00BE0BA7" w:rsidP="00490EC1">
      <w:pPr>
        <w:spacing w:line="360" w:lineRule="auto"/>
        <w:rPr>
          <w:rFonts w:ascii="Palatino Linotype" w:eastAsia="Palatino Linotype" w:hAnsi="Palatino Linotype" w:cs="Palatino Linotype"/>
        </w:rPr>
      </w:pPr>
    </w:p>
    <w:p w:rsidR="00BE0BA7"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 xml:space="preserve">El </w:t>
      </w:r>
      <w:r w:rsidR="004F5716" w:rsidRPr="00946DC8">
        <w:rPr>
          <w:rFonts w:ascii="Palatino Linotype" w:eastAsia="Palatino Linotype" w:hAnsi="Palatino Linotype" w:cs="Palatino Linotype"/>
          <w:b/>
          <w:color w:val="000000"/>
        </w:rPr>
        <w:t>tres de octubre</w:t>
      </w:r>
      <w:r w:rsidR="00862530" w:rsidRPr="00946DC8">
        <w:rPr>
          <w:rFonts w:ascii="Palatino Linotype" w:eastAsia="Palatino Linotype" w:hAnsi="Palatino Linotype" w:cs="Palatino Linotype"/>
          <w:b/>
          <w:color w:val="000000"/>
        </w:rPr>
        <w:t xml:space="preserve"> de dos mil veinticinco</w:t>
      </w:r>
      <w:r w:rsidRPr="00946DC8">
        <w:rPr>
          <w:rFonts w:ascii="Palatino Linotype" w:eastAsia="Palatino Linotype" w:hAnsi="Palatino Linotype" w:cs="Palatino Linotype"/>
          <w:b/>
          <w:color w:val="000000"/>
        </w:rPr>
        <w:t xml:space="preserve">, </w:t>
      </w:r>
      <w:r w:rsidR="00862530" w:rsidRPr="00946DC8">
        <w:rPr>
          <w:rFonts w:ascii="Palatino Linotype" w:eastAsia="Palatino Linotype" w:hAnsi="Palatino Linotype" w:cs="Palatino Linotype"/>
          <w:color w:val="000000"/>
        </w:rPr>
        <w:t xml:space="preserve">el </w:t>
      </w:r>
      <w:r w:rsidR="00243C40" w:rsidRPr="00946DC8">
        <w:rPr>
          <w:rFonts w:ascii="Palatino Linotype" w:eastAsia="Palatino Linotype" w:hAnsi="Palatino Linotype" w:cs="Palatino Linotype"/>
          <w:b/>
          <w:color w:val="000000"/>
        </w:rPr>
        <w:t>RECURRENTE</w:t>
      </w:r>
      <w:r w:rsidR="00862530" w:rsidRPr="00946DC8">
        <w:rPr>
          <w:rFonts w:ascii="Palatino Linotype" w:eastAsia="Palatino Linotype" w:hAnsi="Palatino Linotype" w:cs="Palatino Linotype"/>
          <w:color w:val="000000"/>
        </w:rPr>
        <w:t xml:space="preserve"> </w:t>
      </w:r>
      <w:r w:rsidRPr="00946DC8">
        <w:rPr>
          <w:rFonts w:ascii="Palatino Linotype" w:eastAsia="Palatino Linotype" w:hAnsi="Palatino Linotype" w:cs="Palatino Linotype"/>
          <w:color w:val="000000"/>
        </w:rPr>
        <w:t>ingreso la solicitud de información</w:t>
      </w:r>
      <w:r w:rsidR="00862530" w:rsidRPr="00946DC8">
        <w:rPr>
          <w:rFonts w:ascii="Palatino Linotype" w:eastAsia="Palatino Linotype" w:hAnsi="Palatino Linotype" w:cs="Palatino Linotype"/>
          <w:color w:val="000000"/>
        </w:rPr>
        <w:t xml:space="preserve">, el </w:t>
      </w:r>
      <w:r w:rsidRPr="00946DC8">
        <w:rPr>
          <w:rFonts w:ascii="Palatino Linotype" w:eastAsia="Palatino Linotype" w:hAnsi="Palatino Linotype" w:cs="Palatino Linotype"/>
          <w:color w:val="000000"/>
        </w:rPr>
        <w:t>Sistema de Acceso a la Información</w:t>
      </w:r>
      <w:r w:rsidR="00243C40" w:rsidRPr="00946DC8">
        <w:rPr>
          <w:rFonts w:ascii="Palatino Linotype" w:eastAsia="Palatino Linotype" w:hAnsi="Palatino Linotype" w:cs="Palatino Linotype"/>
          <w:b/>
          <w:color w:val="000000"/>
        </w:rPr>
        <w:t xml:space="preserve"> </w:t>
      </w:r>
      <w:r w:rsidR="00862530" w:rsidRPr="00946DC8">
        <w:rPr>
          <w:rFonts w:ascii="Palatino Linotype" w:eastAsia="Palatino Linotype" w:hAnsi="Palatino Linotype" w:cs="Palatino Linotype"/>
          <w:b/>
          <w:color w:val="000000"/>
        </w:rPr>
        <w:t xml:space="preserve">, </w:t>
      </w:r>
      <w:r w:rsidRPr="00946DC8">
        <w:rPr>
          <w:rFonts w:ascii="Palatino Linotype" w:eastAsia="Palatino Linotype" w:hAnsi="Palatino Linotype" w:cs="Palatino Linotype"/>
          <w:color w:val="000000"/>
        </w:rPr>
        <w:t xml:space="preserve">quedando  registrada con el número </w:t>
      </w:r>
      <w:r w:rsidR="004F5716" w:rsidRPr="00946DC8">
        <w:rPr>
          <w:rFonts w:ascii="Palatino Linotype" w:eastAsia="Palatino Linotype" w:hAnsi="Palatino Linotype" w:cs="Palatino Linotype"/>
          <w:b/>
          <w:color w:val="000000"/>
        </w:rPr>
        <w:t>00251/TECAMAC</w:t>
      </w:r>
      <w:r w:rsidRPr="00946DC8">
        <w:rPr>
          <w:rFonts w:ascii="Palatino Linotype" w:eastAsia="Palatino Linotype" w:hAnsi="Palatino Linotype" w:cs="Palatino Linotype"/>
          <w:b/>
          <w:color w:val="000000"/>
        </w:rPr>
        <w:t xml:space="preserve">/IP/2025, </w:t>
      </w:r>
      <w:r w:rsidRPr="00946DC8">
        <w:rPr>
          <w:rFonts w:ascii="Palatino Linotype" w:eastAsia="Palatino Linotype" w:hAnsi="Palatino Linotype" w:cs="Palatino Linotype"/>
        </w:rPr>
        <w:t xml:space="preserve">en la que </w:t>
      </w:r>
      <w:r w:rsidRPr="00946DC8">
        <w:rPr>
          <w:rFonts w:ascii="Palatino Linotype" w:eastAsia="Palatino Linotype" w:hAnsi="Palatino Linotype" w:cs="Palatino Linotype"/>
          <w:color w:val="000000"/>
        </w:rPr>
        <w:t>se solicitó la siguiente información:</w:t>
      </w:r>
    </w:p>
    <w:p w:rsidR="00BE0BA7" w:rsidRPr="00946DC8" w:rsidRDefault="00BE0BA7" w:rsidP="00490EC1">
      <w:pPr>
        <w:jc w:val="both"/>
        <w:rPr>
          <w:rFonts w:ascii="Palatino Linotype" w:eastAsia="Palatino Linotype" w:hAnsi="Palatino Linotype" w:cs="Palatino Linotype"/>
          <w:i/>
        </w:rPr>
      </w:pPr>
    </w:p>
    <w:p w:rsidR="00BE0BA7" w:rsidRDefault="004F5716" w:rsidP="001D6418">
      <w:pPr>
        <w:pBdr>
          <w:top w:val="nil"/>
          <w:left w:val="nil"/>
          <w:bottom w:val="nil"/>
          <w:right w:val="nil"/>
          <w:between w:val="nil"/>
        </w:pBdr>
        <w:ind w:left="1134"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 xml:space="preserve">“1. Que se me informe el motivo por el cual se talaron los árboles que se encontraban en el parque de la soledad del municipio de Tecámac, colonia centro. 2. </w:t>
      </w:r>
      <w:r w:rsidRPr="00946DC8">
        <w:rPr>
          <w:rFonts w:eastAsia="Palatino Linotype"/>
          <w:i/>
          <w:color w:val="000000"/>
        </w:rPr>
        <w:t>⁠</w:t>
      </w:r>
      <w:r w:rsidRPr="00946DC8">
        <w:rPr>
          <w:rFonts w:ascii="Palatino Linotype" w:eastAsia="Palatino Linotype" w:hAnsi="Palatino Linotype" w:cs="Palatino Linotype"/>
          <w:i/>
          <w:color w:val="000000"/>
        </w:rPr>
        <w:t xml:space="preserve">Que se me informe quien autorizó la tala de los árboles que se encontraban en el parque de la soledad del municipio de Tecámac, colonia centro. 3. </w:t>
      </w:r>
      <w:r w:rsidRPr="00946DC8">
        <w:rPr>
          <w:rFonts w:eastAsia="Palatino Linotype"/>
          <w:i/>
          <w:color w:val="000000"/>
        </w:rPr>
        <w:t>⁠</w:t>
      </w:r>
      <w:r w:rsidRPr="00946DC8">
        <w:rPr>
          <w:rFonts w:ascii="Palatino Linotype" w:eastAsia="Palatino Linotype" w:hAnsi="Palatino Linotype" w:cs="Palatino Linotype"/>
          <w:i/>
          <w:color w:val="000000"/>
        </w:rPr>
        <w:t xml:space="preserve">Que se me informe cuál fue el estudio técnico o dictamen que diagnóstico la procedencia de la tala de los árboles que se encontraban en el parque de la soledad del municipio de Tecámac, colonia centro. 4. </w:t>
      </w:r>
      <w:r w:rsidRPr="00946DC8">
        <w:rPr>
          <w:rFonts w:eastAsia="Palatino Linotype"/>
          <w:i/>
          <w:color w:val="000000"/>
        </w:rPr>
        <w:t>⁠</w:t>
      </w:r>
      <w:r w:rsidRPr="00946DC8">
        <w:rPr>
          <w:rFonts w:ascii="Palatino Linotype" w:eastAsia="Palatino Linotype" w:hAnsi="Palatino Linotype" w:cs="Palatino Linotype"/>
          <w:i/>
          <w:color w:val="000000"/>
        </w:rPr>
        <w:t>Que se me informe cuál es el plan de reforestación o la acción para reparar el daño ambiental ocasionado por la tala de los árboles que se encontraban en el parque de la soledad del municipio de Tecámac, colonia centro.</w:t>
      </w:r>
      <w:r w:rsidR="00BE0BA7" w:rsidRPr="00946DC8">
        <w:rPr>
          <w:rFonts w:ascii="Palatino Linotype" w:eastAsia="Palatino Linotype" w:hAnsi="Palatino Linotype" w:cs="Palatino Linotype"/>
          <w:i/>
          <w:color w:val="000000"/>
        </w:rPr>
        <w:t>”</w:t>
      </w:r>
      <w:r w:rsidR="00243C40" w:rsidRPr="00946DC8">
        <w:rPr>
          <w:rFonts w:ascii="Palatino Linotype" w:eastAsia="Palatino Linotype" w:hAnsi="Palatino Linotype" w:cs="Palatino Linotype"/>
          <w:i/>
          <w:color w:val="000000"/>
        </w:rPr>
        <w:t>(Sic)</w:t>
      </w:r>
    </w:p>
    <w:p w:rsidR="00C203B4" w:rsidRPr="00946DC8" w:rsidRDefault="00C203B4" w:rsidP="001D6418">
      <w:pPr>
        <w:pBdr>
          <w:top w:val="nil"/>
          <w:left w:val="nil"/>
          <w:bottom w:val="nil"/>
          <w:right w:val="nil"/>
          <w:between w:val="nil"/>
        </w:pBdr>
        <w:ind w:left="1134" w:right="1134"/>
        <w:jc w:val="both"/>
        <w:rPr>
          <w:rFonts w:ascii="Palatino Linotype" w:eastAsia="Palatino Linotype" w:hAnsi="Palatino Linotype" w:cs="Palatino Linotype"/>
          <w:i/>
          <w:color w:val="000000"/>
        </w:rPr>
      </w:pPr>
    </w:p>
    <w:p w:rsidR="00BE0BA7" w:rsidRPr="00946DC8" w:rsidRDefault="00BE0BA7" w:rsidP="00946DC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46DC8">
        <w:rPr>
          <w:rFonts w:ascii="Palatino Linotype" w:eastAsia="Palatino Linotype" w:hAnsi="Palatino Linotype" w:cs="Palatino Linotype"/>
          <w:b/>
          <w:color w:val="000000"/>
        </w:rPr>
        <w:lastRenderedPageBreak/>
        <w:t>Modalidad de entrega</w:t>
      </w:r>
      <w:r w:rsidRPr="00946DC8">
        <w:rPr>
          <w:rFonts w:ascii="Palatino Linotype" w:eastAsia="Palatino Linotype" w:hAnsi="Palatino Linotype" w:cs="Palatino Linotype"/>
          <w:color w:val="000000"/>
        </w:rPr>
        <w:t>: Sistema de Acceso a la Información (SAIMEX)</w:t>
      </w:r>
    </w:p>
    <w:p w:rsidR="00BE0BA7" w:rsidRPr="00946DC8" w:rsidRDefault="00BE0BA7" w:rsidP="00490EC1">
      <w:pPr>
        <w:pBdr>
          <w:top w:val="nil"/>
          <w:left w:val="nil"/>
          <w:bottom w:val="nil"/>
          <w:right w:val="nil"/>
          <w:between w:val="nil"/>
        </w:pBdr>
        <w:spacing w:line="360" w:lineRule="auto"/>
        <w:jc w:val="both"/>
        <w:rPr>
          <w:rFonts w:ascii="Palatino Linotype" w:hAnsi="Palatino Linotype"/>
          <w:color w:val="000000"/>
        </w:rPr>
      </w:pPr>
    </w:p>
    <w:p w:rsidR="00BE0BA7" w:rsidRPr="00946DC8" w:rsidRDefault="00521CAE"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hAnsi="Palatino Linotype"/>
          <w:color w:val="000000"/>
        </w:rPr>
        <w:t xml:space="preserve">El </w:t>
      </w:r>
      <w:r w:rsidR="004F5716" w:rsidRPr="00946DC8">
        <w:rPr>
          <w:rFonts w:ascii="Palatino Linotype" w:hAnsi="Palatino Linotype"/>
          <w:b/>
          <w:color w:val="000000"/>
        </w:rPr>
        <w:t>veinte</w:t>
      </w:r>
      <w:r w:rsidR="00E00675" w:rsidRPr="00946DC8">
        <w:rPr>
          <w:rFonts w:ascii="Palatino Linotype" w:hAnsi="Palatino Linotype"/>
          <w:b/>
          <w:color w:val="000000"/>
        </w:rPr>
        <w:t xml:space="preserve"> de octubre</w:t>
      </w:r>
      <w:r w:rsidR="00BE0BA7" w:rsidRPr="00946DC8">
        <w:rPr>
          <w:rFonts w:ascii="Palatino Linotype" w:hAnsi="Palatino Linotype"/>
          <w:b/>
          <w:color w:val="000000"/>
        </w:rPr>
        <w:t xml:space="preserve"> de dos mil veinticinco, </w:t>
      </w:r>
      <w:r w:rsidR="00BE0BA7" w:rsidRPr="00946DC8">
        <w:rPr>
          <w:rFonts w:ascii="Palatino Linotype" w:hAnsi="Palatino Linotype"/>
          <w:color w:val="000000"/>
        </w:rPr>
        <w:t xml:space="preserve">el </w:t>
      </w:r>
      <w:r w:rsidR="00BE0BA7" w:rsidRPr="00946DC8">
        <w:rPr>
          <w:rFonts w:ascii="Palatino Linotype" w:hAnsi="Palatino Linotype"/>
          <w:b/>
          <w:color w:val="000000"/>
        </w:rPr>
        <w:t xml:space="preserve">SUJETO OBLIGADO </w:t>
      </w:r>
      <w:r w:rsidR="002F535B" w:rsidRPr="00946DC8">
        <w:rPr>
          <w:rFonts w:ascii="Palatino Linotype" w:hAnsi="Palatino Linotype"/>
          <w:color w:val="000000"/>
        </w:rPr>
        <w:t>dio</w:t>
      </w:r>
      <w:r w:rsidR="00BE0BA7" w:rsidRPr="00946DC8">
        <w:rPr>
          <w:rFonts w:ascii="Palatino Linotype" w:hAnsi="Palatino Linotype"/>
          <w:color w:val="000000"/>
        </w:rPr>
        <w:t xml:space="preserve"> respuesta por medio de </w:t>
      </w:r>
      <w:r w:rsidR="00E00675" w:rsidRPr="00946DC8">
        <w:rPr>
          <w:rFonts w:ascii="Palatino Linotype" w:hAnsi="Palatino Linotype"/>
          <w:color w:val="000000"/>
        </w:rPr>
        <w:t>un archivo electrónico</w:t>
      </w:r>
      <w:r w:rsidR="001876F0" w:rsidRPr="00946DC8">
        <w:rPr>
          <w:rFonts w:ascii="Palatino Linotype" w:hAnsi="Palatino Linotype"/>
          <w:color w:val="000000"/>
        </w:rPr>
        <w:t xml:space="preserve"> en formato pdf, de cuyo cont</w:t>
      </w:r>
      <w:r w:rsidR="009D04D8" w:rsidRPr="00946DC8">
        <w:rPr>
          <w:rFonts w:ascii="Palatino Linotype" w:hAnsi="Palatino Linotype"/>
          <w:color w:val="000000"/>
        </w:rPr>
        <w:t>enido se desprende lo siguiente:</w:t>
      </w:r>
    </w:p>
    <w:p w:rsidR="009603BB" w:rsidRPr="00946DC8" w:rsidRDefault="004F5716" w:rsidP="004F5716">
      <w:pPr>
        <w:pStyle w:val="Prrafodelista"/>
        <w:ind w:left="1134" w:right="1134"/>
        <w:jc w:val="both"/>
        <w:rPr>
          <w:rFonts w:ascii="Palatino Linotype" w:hAnsi="Palatino Linotype"/>
          <w:b/>
          <w:i/>
          <w:color w:val="000000"/>
        </w:rPr>
      </w:pPr>
      <w:r w:rsidRPr="00946DC8">
        <w:rPr>
          <w:rFonts w:ascii="Palatino Linotype" w:hAnsi="Palatino Linotype"/>
          <w:b/>
          <w:i/>
          <w:color w:val="000000"/>
        </w:rPr>
        <w:t xml:space="preserve">00251-TECAMAC-IP-2025.pdf: </w:t>
      </w:r>
      <w:r w:rsidRPr="00946DC8">
        <w:rPr>
          <w:rFonts w:ascii="Palatino Linotype" w:hAnsi="Palatino Linotype"/>
          <w:i/>
          <w:color w:val="000000"/>
        </w:rPr>
        <w:t>Donde la encargada de Despacho de la Dirección General de Ecología y Administración del Medio Ambiente señala que no es atribución del área la tala de árboles ya que la Dirección que se rige por la Norma Técnica Estatal NTEA 018- SeMAGEM-DS-2017 que les constriñe a realizar únicamente labores de poda, derribo, trasplante y sustitución de árboles, por lo que no cuenta con información que dé cuenta de lo solicitado por el particular</w:t>
      </w:r>
      <w:r w:rsidR="00E00675" w:rsidRPr="00946DC8">
        <w:rPr>
          <w:rFonts w:ascii="Palatino Linotype" w:hAnsi="Palatino Linotype"/>
          <w:i/>
          <w:color w:val="000000"/>
        </w:rPr>
        <w:t>.</w:t>
      </w:r>
    </w:p>
    <w:p w:rsidR="002F535B" w:rsidRPr="00946DC8" w:rsidRDefault="002F535B" w:rsidP="00490EC1">
      <w:pPr>
        <w:pStyle w:val="Prrafodelista"/>
        <w:jc w:val="both"/>
        <w:rPr>
          <w:rFonts w:ascii="Palatino Linotype" w:hAnsi="Palatino Linotype"/>
          <w:b/>
          <w:i/>
          <w:color w:val="000000"/>
        </w:rPr>
      </w:pPr>
    </w:p>
    <w:p w:rsidR="00BE0BA7" w:rsidRPr="00946DC8" w:rsidRDefault="00521CAE" w:rsidP="00490EC1">
      <w:pPr>
        <w:pStyle w:val="Prrafodelista"/>
        <w:numPr>
          <w:ilvl w:val="0"/>
          <w:numId w:val="2"/>
        </w:numPr>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 xml:space="preserve">El </w:t>
      </w:r>
      <w:r w:rsidR="004F5716" w:rsidRPr="00946DC8">
        <w:rPr>
          <w:rFonts w:ascii="Palatino Linotype" w:eastAsia="Palatino Linotype" w:hAnsi="Palatino Linotype" w:cs="Palatino Linotype"/>
          <w:b/>
          <w:color w:val="000000"/>
        </w:rPr>
        <w:t>veinte</w:t>
      </w:r>
      <w:r w:rsidR="00E00675" w:rsidRPr="00946DC8">
        <w:rPr>
          <w:rFonts w:ascii="Palatino Linotype" w:eastAsia="Palatino Linotype" w:hAnsi="Palatino Linotype" w:cs="Palatino Linotype"/>
          <w:b/>
          <w:color w:val="000000"/>
        </w:rPr>
        <w:t xml:space="preserve"> de octubre</w:t>
      </w:r>
      <w:r w:rsidR="00BE0BA7" w:rsidRPr="00946DC8">
        <w:rPr>
          <w:rFonts w:ascii="Palatino Linotype" w:eastAsia="Palatino Linotype" w:hAnsi="Palatino Linotype" w:cs="Palatino Linotype"/>
          <w:b/>
          <w:color w:val="000000"/>
        </w:rPr>
        <w:t xml:space="preserve"> de dos mil veinticinco</w:t>
      </w:r>
      <w:r w:rsidR="00BE0BA7" w:rsidRPr="00946DC8">
        <w:rPr>
          <w:rFonts w:ascii="Palatino Linotype" w:eastAsia="Palatino Linotype" w:hAnsi="Palatino Linotype" w:cs="Palatino Linotype"/>
          <w:color w:val="000000"/>
        </w:rPr>
        <w:t xml:space="preserve">, el </w:t>
      </w:r>
      <w:r w:rsidR="00D95248" w:rsidRPr="00946DC8">
        <w:rPr>
          <w:rFonts w:ascii="Palatino Linotype" w:eastAsia="Palatino Linotype" w:hAnsi="Palatino Linotype" w:cs="Palatino Linotype"/>
          <w:b/>
          <w:color w:val="000000"/>
        </w:rPr>
        <w:t>RECURRENTE</w:t>
      </w:r>
      <w:r w:rsidR="00BE0BA7" w:rsidRPr="00946DC8">
        <w:rPr>
          <w:rFonts w:ascii="Palatino Linotype" w:eastAsia="Palatino Linotype" w:hAnsi="Palatino Linotype" w:cs="Palatino Linotype"/>
          <w:color w:val="000000"/>
        </w:rPr>
        <w:t xml:space="preserve"> interpuso recurso de revisión en contra de la respuestas emitida por el </w:t>
      </w:r>
      <w:r w:rsidR="00BE0BA7" w:rsidRPr="00946DC8">
        <w:rPr>
          <w:rFonts w:ascii="Palatino Linotype" w:eastAsia="Palatino Linotype" w:hAnsi="Palatino Linotype" w:cs="Palatino Linotype"/>
          <w:b/>
          <w:color w:val="000000"/>
        </w:rPr>
        <w:t>SUJETO OBLIGADO</w:t>
      </w:r>
      <w:r w:rsidR="00BE0BA7" w:rsidRPr="00946DC8">
        <w:rPr>
          <w:rFonts w:ascii="Palatino Linotype" w:eastAsia="Palatino Linotype" w:hAnsi="Palatino Linotype" w:cs="Palatino Linotype"/>
          <w:color w:val="000000"/>
        </w:rPr>
        <w:t>, señalando las siguientes razones o motivos de inconformidad:</w:t>
      </w:r>
    </w:p>
    <w:p w:rsidR="004F5716" w:rsidRPr="00946DC8" w:rsidRDefault="004F5716" w:rsidP="004F5716">
      <w:pPr>
        <w:jc w:val="both"/>
        <w:rPr>
          <w:rFonts w:ascii="Palatino Linotype" w:hAnsi="Palatino Linotype"/>
          <w:color w:val="000000"/>
        </w:rPr>
      </w:pPr>
    </w:p>
    <w:p w:rsidR="00D95248" w:rsidRPr="00946DC8" w:rsidRDefault="00946DC8" w:rsidP="00946DC8">
      <w:pPr>
        <w:pStyle w:val="Prrafodelista"/>
        <w:numPr>
          <w:ilvl w:val="0"/>
          <w:numId w:val="37"/>
        </w:numPr>
        <w:jc w:val="both"/>
        <w:rPr>
          <w:rFonts w:ascii="Palatino Linotype" w:hAnsi="Palatino Linotype"/>
          <w:i/>
        </w:rPr>
      </w:pPr>
      <w:bookmarkStart w:id="2" w:name="_heading=h.1fob9te" w:colFirst="0" w:colLast="0"/>
      <w:bookmarkEnd w:id="2"/>
      <w:r w:rsidRPr="00946DC8">
        <w:rPr>
          <w:rFonts w:ascii="Palatino Linotype" w:eastAsia="Palatino Linotype" w:hAnsi="Palatino Linotype" w:cs="Palatino Linotype"/>
          <w:b/>
          <w:color w:val="000000"/>
        </w:rPr>
        <w:t>ACTO IMPUGNADO</w:t>
      </w:r>
      <w:r w:rsidR="00BE0BA7" w:rsidRPr="00946DC8">
        <w:rPr>
          <w:rFonts w:ascii="Palatino Linotype" w:eastAsia="Palatino Linotype" w:hAnsi="Palatino Linotype" w:cs="Palatino Linotype"/>
          <w:b/>
          <w:color w:val="000000"/>
        </w:rPr>
        <w:t xml:space="preserve">: </w:t>
      </w:r>
      <w:r w:rsidR="00BE0BA7" w:rsidRPr="00946DC8">
        <w:rPr>
          <w:rFonts w:ascii="Palatino Linotype" w:eastAsia="Palatino Linotype" w:hAnsi="Palatino Linotype" w:cs="Palatino Linotype"/>
          <w:i/>
          <w:color w:val="000000"/>
        </w:rPr>
        <w:t>“</w:t>
      </w:r>
      <w:r w:rsidR="004F5716" w:rsidRPr="00946DC8">
        <w:rPr>
          <w:rFonts w:ascii="Palatino Linotype" w:hAnsi="Palatino Linotype"/>
          <w:i/>
          <w:color w:val="000000"/>
        </w:rPr>
        <w:t>La ilegal contestación por parte del sujeto obligado</w:t>
      </w:r>
      <w:r w:rsidR="00521CAE" w:rsidRPr="00946DC8">
        <w:rPr>
          <w:rFonts w:ascii="Palatino Linotype" w:hAnsi="Palatino Linotype"/>
          <w:i/>
        </w:rPr>
        <w:t>”(Sic.)</w:t>
      </w:r>
    </w:p>
    <w:p w:rsidR="00BE0BA7" w:rsidRPr="00946DC8" w:rsidRDefault="00BE0BA7" w:rsidP="00946DC8">
      <w:pPr>
        <w:pBdr>
          <w:top w:val="nil"/>
          <w:left w:val="nil"/>
          <w:bottom w:val="nil"/>
          <w:right w:val="nil"/>
          <w:between w:val="nil"/>
        </w:pBdr>
        <w:jc w:val="both"/>
        <w:rPr>
          <w:rFonts w:ascii="Palatino Linotype" w:eastAsia="Palatino Linotype" w:hAnsi="Palatino Linotype" w:cs="Palatino Linotype"/>
          <w:color w:val="000000"/>
        </w:rPr>
      </w:pPr>
    </w:p>
    <w:p w:rsidR="00521CAE" w:rsidRPr="00946DC8" w:rsidRDefault="00946DC8" w:rsidP="00946DC8">
      <w:pPr>
        <w:pStyle w:val="Prrafodelista"/>
        <w:numPr>
          <w:ilvl w:val="0"/>
          <w:numId w:val="37"/>
        </w:numPr>
        <w:ind w:right="1134"/>
        <w:jc w:val="both"/>
        <w:rPr>
          <w:rFonts w:ascii="Palatino Linotype" w:hAnsi="Palatino Linotype"/>
          <w:i/>
        </w:rPr>
      </w:pPr>
      <w:bookmarkStart w:id="3" w:name="_heading=h.3znysh7" w:colFirst="0" w:colLast="0"/>
      <w:bookmarkEnd w:id="3"/>
      <w:r w:rsidRPr="00946DC8">
        <w:rPr>
          <w:rFonts w:ascii="Palatino Linotype" w:eastAsia="Palatino Linotype" w:hAnsi="Palatino Linotype" w:cs="Palatino Linotype"/>
          <w:b/>
          <w:color w:val="000000"/>
        </w:rPr>
        <w:t>RAZONES O MOTIVOS DE INCONFORMIDAD</w:t>
      </w:r>
      <w:r w:rsidR="00BE0BA7" w:rsidRPr="00946DC8">
        <w:rPr>
          <w:rFonts w:ascii="Palatino Linotype" w:eastAsia="Palatino Linotype" w:hAnsi="Palatino Linotype" w:cs="Palatino Linotype"/>
          <w:b/>
          <w:color w:val="000000"/>
        </w:rPr>
        <w:t xml:space="preserve">: </w:t>
      </w:r>
      <w:r w:rsidR="00BE0BA7" w:rsidRPr="00946DC8">
        <w:rPr>
          <w:rFonts w:ascii="Palatino Linotype" w:eastAsia="Palatino Linotype" w:hAnsi="Palatino Linotype" w:cs="Palatino Linotype"/>
          <w:i/>
          <w:color w:val="000000"/>
        </w:rPr>
        <w:t>“</w:t>
      </w:r>
      <w:r w:rsidR="004F5716" w:rsidRPr="00946DC8">
        <w:rPr>
          <w:rFonts w:ascii="Palatino Linotype" w:hAnsi="Palatino Linotype"/>
          <w:i/>
        </w:rPr>
        <w:t>En el parque de la soledad del municipio de Tecámac se realizó la tala de árboles en el mes de febrero de 2025 por parte del gobierno municipal, advirtiendo que a través de su contestación a la solicitud de información por parte del sujeto obligado, pretende de manera engañosa y dolosa, negar la información de dicha tala, considerando que por tala se entiende: el corte de un árbol por su base y derribarlo, ya sea de forma legal o ilegal, para su uso comercial, la expansión de terrenos agrícolas, la ganadería, la minería, o la construcción.</w:t>
      </w:r>
      <w:r w:rsidR="00521CAE" w:rsidRPr="00946DC8">
        <w:rPr>
          <w:rFonts w:ascii="Palatino Linotype" w:hAnsi="Palatino Linotype"/>
          <w:i/>
        </w:rPr>
        <w:t>”(Sic).</w:t>
      </w:r>
    </w:p>
    <w:p w:rsidR="00BE0BA7" w:rsidRPr="00946DC8" w:rsidRDefault="00BE0BA7" w:rsidP="001D6418">
      <w:pPr>
        <w:pBdr>
          <w:top w:val="nil"/>
          <w:left w:val="nil"/>
          <w:bottom w:val="nil"/>
          <w:right w:val="nil"/>
          <w:between w:val="nil"/>
        </w:pBdr>
        <w:ind w:left="1134" w:right="1134"/>
        <w:jc w:val="both"/>
        <w:rPr>
          <w:rFonts w:ascii="Palatino Linotype" w:eastAsia="Palatino Linotype" w:hAnsi="Palatino Linotype" w:cs="Palatino Linotype"/>
          <w:color w:val="000000"/>
        </w:rPr>
      </w:pPr>
      <w:r w:rsidRPr="00946DC8">
        <w:rPr>
          <w:rFonts w:ascii="Palatino Linotype" w:eastAsia="Palatino Linotype" w:hAnsi="Palatino Linotype" w:cs="Palatino Linotype"/>
          <w:i/>
          <w:color w:val="000000"/>
        </w:rPr>
        <w:t>”</w:t>
      </w:r>
    </w:p>
    <w:p w:rsidR="00BE0BA7" w:rsidRPr="00946DC8" w:rsidRDefault="00BE0BA7" w:rsidP="00490EC1">
      <w:pPr>
        <w:jc w:val="both"/>
        <w:rPr>
          <w:rFonts w:ascii="Palatino Linotype" w:eastAsia="Palatino Linotype" w:hAnsi="Palatino Linotype" w:cs="Palatino Linotype"/>
          <w:b/>
          <w:i/>
          <w:color w:val="000000"/>
        </w:rPr>
      </w:pPr>
    </w:p>
    <w:p w:rsidR="00BE0BA7"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Consecutivamente</w:t>
      </w:r>
      <w:r w:rsidRPr="00946DC8">
        <w:rPr>
          <w:rFonts w:ascii="Palatino Linotype" w:eastAsia="Palatino Linotype" w:hAnsi="Palatino Linotype" w:cs="Palatino Linotype"/>
          <w:i/>
          <w:color w:val="000000"/>
        </w:rPr>
        <w:t xml:space="preserve">, </w:t>
      </w:r>
      <w:r w:rsidRPr="00946DC8">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w:t>
      </w:r>
      <w:r w:rsidRPr="00946DC8">
        <w:rPr>
          <w:rFonts w:ascii="Palatino Linotype" w:eastAsia="Palatino Linotype" w:hAnsi="Palatino Linotype" w:cs="Palatino Linotype"/>
          <w:color w:val="000000"/>
        </w:rPr>
        <w:lastRenderedPageBreak/>
        <w:t xml:space="preserve">Municipios, el recurso fue turnado a la ponencia de la </w:t>
      </w:r>
      <w:r w:rsidRPr="00946DC8">
        <w:rPr>
          <w:rFonts w:ascii="Palatino Linotype" w:eastAsia="Palatino Linotype" w:hAnsi="Palatino Linotype" w:cs="Palatino Linotype"/>
          <w:b/>
          <w:color w:val="000000"/>
        </w:rPr>
        <w:t>Comisionada</w:t>
      </w:r>
      <w:r w:rsidRPr="00946DC8">
        <w:rPr>
          <w:rFonts w:ascii="Palatino Linotype" w:eastAsia="Palatino Linotype" w:hAnsi="Palatino Linotype" w:cs="Palatino Linotype"/>
          <w:color w:val="000000"/>
        </w:rPr>
        <w:t xml:space="preserve"> </w:t>
      </w:r>
      <w:r w:rsidRPr="00946DC8">
        <w:rPr>
          <w:rFonts w:ascii="Palatino Linotype" w:eastAsia="Palatino Linotype" w:hAnsi="Palatino Linotype" w:cs="Palatino Linotype"/>
          <w:b/>
          <w:color w:val="000000"/>
        </w:rPr>
        <w:t>María del Rosario Mejía Ayala</w:t>
      </w:r>
      <w:r w:rsidRPr="00946DC8">
        <w:rPr>
          <w:rFonts w:ascii="Palatino Linotype" w:eastAsia="Palatino Linotype" w:hAnsi="Palatino Linotype" w:cs="Palatino Linotype"/>
          <w:color w:val="000000"/>
        </w:rPr>
        <w:t>,</w:t>
      </w:r>
      <w:r w:rsidRPr="00946DC8">
        <w:rPr>
          <w:rFonts w:ascii="Palatino Linotype" w:eastAsia="Palatino Linotype" w:hAnsi="Palatino Linotype" w:cs="Palatino Linotype"/>
          <w:b/>
          <w:color w:val="000000"/>
        </w:rPr>
        <w:t xml:space="preserve"> </w:t>
      </w:r>
      <w:r w:rsidR="00946DC8">
        <w:rPr>
          <w:rFonts w:ascii="Palatino Linotype" w:eastAsia="Palatino Linotype" w:hAnsi="Palatino Linotype" w:cs="Palatino Linotype"/>
          <w:color w:val="000000"/>
        </w:rPr>
        <w:t>para</w:t>
      </w:r>
      <w:r w:rsidRPr="00946DC8">
        <w:rPr>
          <w:rFonts w:ascii="Palatino Linotype" w:eastAsia="Palatino Linotype" w:hAnsi="Palatino Linotype" w:cs="Palatino Linotype"/>
          <w:color w:val="000000"/>
        </w:rPr>
        <w:t xml:space="preserve"> su análisis.</w:t>
      </w: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E0BA7" w:rsidRPr="00946DC8" w:rsidRDefault="00946DC8"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Pr>
          <w:rFonts w:ascii="Palatino Linotype" w:eastAsia="Palatino Linotype" w:hAnsi="Palatino Linotype" w:cs="Palatino Linotype"/>
          <w:color w:val="000000"/>
        </w:rPr>
        <w:t>La Comisionada p</w:t>
      </w:r>
      <w:r w:rsidR="00BE0BA7" w:rsidRPr="00946DC8">
        <w:rPr>
          <w:rFonts w:ascii="Palatino Linotype" w:eastAsia="Palatino Linotype" w:hAnsi="Palatino Linotype" w:cs="Palatino Linotype"/>
          <w:color w:val="000000"/>
        </w:rPr>
        <w:t xml:space="preserve">onente con fundamento en lo dispuesto por el artículo 185 fracción II de la ley de la materia, a través del </w:t>
      </w:r>
      <w:r w:rsidR="00BE0BA7" w:rsidRPr="00946DC8">
        <w:rPr>
          <w:rFonts w:ascii="Palatino Linotype" w:eastAsia="Palatino Linotype" w:hAnsi="Palatino Linotype" w:cs="Palatino Linotype"/>
          <w:b/>
          <w:color w:val="000000"/>
        </w:rPr>
        <w:t xml:space="preserve">acuerdo de admisión </w:t>
      </w:r>
      <w:r w:rsidR="00BE0BA7" w:rsidRPr="00946DC8">
        <w:rPr>
          <w:rFonts w:ascii="Palatino Linotype" w:eastAsia="Palatino Linotype" w:hAnsi="Palatino Linotype" w:cs="Palatino Linotype"/>
          <w:color w:val="000000"/>
        </w:rPr>
        <w:t xml:space="preserve">del </w:t>
      </w:r>
      <w:r w:rsidR="004F5716" w:rsidRPr="00946DC8">
        <w:rPr>
          <w:rFonts w:ascii="Palatino Linotype" w:eastAsia="Palatino Linotype" w:hAnsi="Palatino Linotype" w:cs="Palatino Linotype"/>
          <w:b/>
          <w:color w:val="000000"/>
        </w:rPr>
        <w:t xml:space="preserve">veintisiete </w:t>
      </w:r>
      <w:r w:rsidR="00C105DF" w:rsidRPr="00946DC8">
        <w:rPr>
          <w:rFonts w:ascii="Palatino Linotype" w:eastAsia="Palatino Linotype" w:hAnsi="Palatino Linotype" w:cs="Palatino Linotype"/>
          <w:b/>
          <w:color w:val="000000"/>
        </w:rPr>
        <w:t xml:space="preserve">de octubre </w:t>
      </w:r>
      <w:r w:rsidR="00BE0BA7" w:rsidRPr="00946DC8">
        <w:rPr>
          <w:rFonts w:ascii="Palatino Linotype" w:eastAsia="Palatino Linotype" w:hAnsi="Palatino Linotype" w:cs="Palatino Linotype"/>
          <w:b/>
          <w:color w:val="000000"/>
        </w:rPr>
        <w:t xml:space="preserve">de dos mil veinticinco, </w:t>
      </w:r>
      <w:r w:rsidR="00BE0BA7" w:rsidRPr="00946DC8">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BE0BA7" w:rsidRPr="00946DC8">
        <w:rPr>
          <w:rFonts w:ascii="Palatino Linotype" w:eastAsia="Palatino Linotype" w:hAnsi="Palatino Linotype" w:cs="Palatino Linotype"/>
        </w:rPr>
        <w:t>manifestara</w:t>
      </w:r>
      <w:r w:rsidR="00BE0BA7" w:rsidRPr="00946DC8">
        <w:rPr>
          <w:rFonts w:ascii="Palatino Linotype" w:eastAsia="Palatino Linotype" w:hAnsi="Palatino Linotype" w:cs="Palatino Linotype"/>
          <w:color w:val="000000"/>
        </w:rPr>
        <w:t xml:space="preserve"> lo que a su derecho conviniera, </w:t>
      </w:r>
      <w:r w:rsidR="00BE0BA7" w:rsidRPr="00946DC8">
        <w:rPr>
          <w:rFonts w:ascii="Palatino Linotype" w:eastAsia="Palatino Linotype" w:hAnsi="Palatino Linotype" w:cs="Palatino Linotype"/>
        </w:rPr>
        <w:t>ofreciera</w:t>
      </w:r>
      <w:r w:rsidR="00BE0BA7" w:rsidRPr="00946DC8">
        <w:rPr>
          <w:rFonts w:ascii="Palatino Linotype" w:eastAsia="Palatino Linotype" w:hAnsi="Palatino Linotype" w:cs="Palatino Linotype"/>
          <w:color w:val="000000"/>
        </w:rPr>
        <w:t xml:space="preserve"> pruebas y alegatos según corresponda al caso concreto, de esta forma para que el </w:t>
      </w:r>
      <w:r w:rsidR="00BE0BA7" w:rsidRPr="00946DC8">
        <w:rPr>
          <w:rFonts w:ascii="Palatino Linotype" w:eastAsia="Palatino Linotype" w:hAnsi="Palatino Linotype" w:cs="Palatino Linotype"/>
          <w:b/>
          <w:color w:val="000000"/>
        </w:rPr>
        <w:t xml:space="preserve">SUJETO OBLIGADO </w:t>
      </w:r>
      <w:r w:rsidR="002F535B" w:rsidRPr="00946DC8">
        <w:rPr>
          <w:rFonts w:ascii="Palatino Linotype" w:eastAsia="Palatino Linotype" w:hAnsi="Palatino Linotype" w:cs="Palatino Linotype"/>
        </w:rPr>
        <w:t>presentase</w:t>
      </w:r>
      <w:r w:rsidR="00BE0BA7" w:rsidRPr="00946DC8">
        <w:rPr>
          <w:rFonts w:ascii="Palatino Linotype" w:eastAsia="Palatino Linotype" w:hAnsi="Palatino Linotype" w:cs="Palatino Linotype"/>
          <w:color w:val="000000"/>
        </w:rPr>
        <w:t xml:space="preserve"> el Informe Justificado procedente.</w:t>
      </w:r>
    </w:p>
    <w:p w:rsidR="00BE0BA7" w:rsidRPr="00946DC8" w:rsidRDefault="00BE0BA7" w:rsidP="00490EC1">
      <w:pPr>
        <w:pBdr>
          <w:top w:val="nil"/>
          <w:left w:val="nil"/>
          <w:bottom w:val="nil"/>
          <w:right w:val="nil"/>
          <w:between w:val="nil"/>
        </w:pBdr>
        <w:ind w:left="708"/>
        <w:rPr>
          <w:rFonts w:ascii="Palatino Linotype" w:eastAsia="Palatino Linotype" w:hAnsi="Palatino Linotype" w:cs="Palatino Linotype"/>
          <w:color w:val="000000"/>
        </w:rPr>
      </w:pPr>
    </w:p>
    <w:p w:rsidR="00C7156C"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i/>
          <w:color w:val="000000"/>
        </w:rPr>
      </w:pPr>
      <w:r w:rsidRPr="00946DC8">
        <w:rPr>
          <w:rFonts w:ascii="Palatino Linotype" w:eastAsia="Palatino Linotype" w:hAnsi="Palatino Linotype" w:cs="Palatino Linotype"/>
          <w:color w:val="000000"/>
        </w:rPr>
        <w:t xml:space="preserve">En esa línea, tal y como se observa en el expediente electrónico el </w:t>
      </w:r>
      <w:r w:rsidRPr="00946DC8">
        <w:rPr>
          <w:rFonts w:ascii="Palatino Linotype" w:eastAsia="Palatino Linotype" w:hAnsi="Palatino Linotype" w:cs="Palatino Linotype"/>
          <w:b/>
          <w:color w:val="000000"/>
        </w:rPr>
        <w:t xml:space="preserve">SUJETO OBLIGADO </w:t>
      </w:r>
      <w:r w:rsidR="00C105DF" w:rsidRPr="00946DC8">
        <w:rPr>
          <w:rFonts w:ascii="Palatino Linotype" w:eastAsia="Palatino Linotype" w:hAnsi="Palatino Linotype" w:cs="Palatino Linotype"/>
          <w:color w:val="000000"/>
        </w:rPr>
        <w:t>fue omiso  de presentar el informe justificado de ley, p</w:t>
      </w:r>
      <w:r w:rsidRPr="00946DC8">
        <w:rPr>
          <w:rFonts w:ascii="Palatino Linotype" w:eastAsia="Palatino Linotype" w:hAnsi="Palatino Linotype" w:cs="Palatino Linotype"/>
          <w:color w:val="000000"/>
        </w:rPr>
        <w:t xml:space="preserve">or su parte el </w:t>
      </w:r>
      <w:r w:rsidRPr="00946DC8">
        <w:rPr>
          <w:rFonts w:ascii="Palatino Linotype" w:eastAsia="Palatino Linotype" w:hAnsi="Palatino Linotype" w:cs="Palatino Linotype"/>
          <w:b/>
          <w:color w:val="000000"/>
        </w:rPr>
        <w:t xml:space="preserve">RECURRENTE </w:t>
      </w:r>
      <w:r w:rsidR="0089742C" w:rsidRPr="00946DC8">
        <w:rPr>
          <w:rFonts w:ascii="Palatino Linotype" w:eastAsia="Palatino Linotype" w:hAnsi="Palatino Linotype" w:cs="Palatino Linotype"/>
          <w:color w:val="000000"/>
        </w:rPr>
        <w:t>fue omiso en presentar Manifestaciones que a su derecho convinieran.</w:t>
      </w:r>
    </w:p>
    <w:p w:rsidR="00C7156C" w:rsidRPr="00946DC8" w:rsidRDefault="00C7156C" w:rsidP="00490EC1">
      <w:pPr>
        <w:pBdr>
          <w:top w:val="nil"/>
          <w:left w:val="nil"/>
          <w:bottom w:val="nil"/>
          <w:right w:val="nil"/>
          <w:between w:val="nil"/>
        </w:pBdr>
        <w:spacing w:line="360" w:lineRule="auto"/>
        <w:ind w:left="786"/>
        <w:jc w:val="both"/>
        <w:rPr>
          <w:rFonts w:ascii="Palatino Linotype" w:eastAsia="Palatino Linotype" w:hAnsi="Palatino Linotype" w:cs="Palatino Linotype"/>
          <w:i/>
          <w:color w:val="000000"/>
        </w:rPr>
      </w:pPr>
    </w:p>
    <w:p w:rsidR="00C105DF" w:rsidRPr="00946DC8" w:rsidRDefault="00C105DF" w:rsidP="00490EC1">
      <w:pPr>
        <w:pStyle w:val="Prrafodelista"/>
        <w:numPr>
          <w:ilvl w:val="0"/>
          <w:numId w:val="2"/>
        </w:numPr>
        <w:spacing w:line="360" w:lineRule="auto"/>
        <w:ind w:left="0" w:firstLine="0"/>
        <w:contextualSpacing w:val="0"/>
        <w:jc w:val="both"/>
        <w:rPr>
          <w:rFonts w:ascii="Palatino Linotype" w:hAnsi="Palatino Linotype"/>
          <w:b/>
          <w:color w:val="000000" w:themeColor="text1"/>
        </w:rPr>
      </w:pPr>
      <w:bookmarkStart w:id="4" w:name="_heading=h.2et92p0" w:colFirst="0" w:colLast="0"/>
      <w:bookmarkEnd w:id="4"/>
      <w:r w:rsidRPr="00946DC8">
        <w:rPr>
          <w:rFonts w:ascii="Palatino Linotype" w:hAnsi="Palatino Linotype"/>
          <w:lang w:val="es-ES_tradnl"/>
        </w:rPr>
        <w:t xml:space="preserve">En </w:t>
      </w:r>
      <w:r w:rsidRPr="00946DC8">
        <w:rPr>
          <w:rFonts w:ascii="Palatino Linotype" w:hAnsi="Palatino Linotype"/>
          <w:b/>
          <w:lang w:val="es-ES_tradnl"/>
        </w:rPr>
        <w:t xml:space="preserve">fecha </w:t>
      </w:r>
      <w:r w:rsidR="004F5716" w:rsidRPr="00946DC8">
        <w:rPr>
          <w:rFonts w:ascii="Palatino Linotype" w:hAnsi="Palatino Linotype"/>
          <w:b/>
          <w:lang w:val="es-ES_tradnl"/>
        </w:rPr>
        <w:t>veintisiete de enero de dos mil veintiséis</w:t>
      </w:r>
      <w:r w:rsidRPr="00946DC8">
        <w:rPr>
          <w:rFonts w:ascii="Palatino Linotype" w:hAnsi="Palatino Linotype"/>
          <w:lang w:val="es-ES_tradnl"/>
        </w:rPr>
        <w:t>, se acordó ampliar el término para resolver el presente asunto.</w:t>
      </w:r>
    </w:p>
    <w:p w:rsidR="00C105DF" w:rsidRPr="00946DC8" w:rsidRDefault="00C105DF" w:rsidP="00490EC1">
      <w:pPr>
        <w:pStyle w:val="Prrafodelista"/>
        <w:rPr>
          <w:rFonts w:ascii="Palatino Linotype" w:hAnsi="Palatino Linotype"/>
          <w:b/>
          <w:color w:val="000000" w:themeColor="text1"/>
        </w:rPr>
      </w:pPr>
    </w:p>
    <w:p w:rsidR="00C105DF" w:rsidRPr="00946DC8" w:rsidRDefault="00C105DF"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64618B" w:rsidRPr="00946DC8" w:rsidRDefault="0064618B" w:rsidP="00490EC1">
      <w:pPr>
        <w:pStyle w:val="Prrafodelista"/>
        <w:rPr>
          <w:rFonts w:ascii="Palatino Linotype" w:hAnsi="Palatino Linotype"/>
          <w:color w:val="000000"/>
        </w:rPr>
      </w:pPr>
    </w:p>
    <w:p w:rsidR="0064618B" w:rsidRPr="00946DC8" w:rsidRDefault="00C203B4" w:rsidP="00490EC1">
      <w:pPr>
        <w:numPr>
          <w:ilvl w:val="0"/>
          <w:numId w:val="19"/>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La Comisionada p</w:t>
      </w:r>
      <w:r w:rsidR="0064618B" w:rsidRPr="00946DC8">
        <w:rPr>
          <w:rFonts w:ascii="Palatino Linotype" w:eastAsia="Palatino Linotype" w:hAnsi="Palatino Linotype" w:cs="Palatino Linotype"/>
        </w:rPr>
        <w:t xml:space="preserve">onente decretó el cierre de instrucción mediante el acuerdo del </w:t>
      </w:r>
      <w:r w:rsidR="004F5716" w:rsidRPr="00946DC8">
        <w:rPr>
          <w:rFonts w:ascii="Palatino Linotype" w:eastAsia="Palatino Linotype" w:hAnsi="Palatino Linotype" w:cs="Palatino Linotype"/>
          <w:b/>
        </w:rPr>
        <w:t>veintinueve</w:t>
      </w:r>
      <w:r w:rsidR="0064618B" w:rsidRPr="00946DC8">
        <w:rPr>
          <w:rFonts w:ascii="Palatino Linotype" w:eastAsia="Palatino Linotype" w:hAnsi="Palatino Linotype" w:cs="Palatino Linotype"/>
          <w:b/>
        </w:rPr>
        <w:t xml:space="preserve"> de enero de dos mil veintiséis; </w:t>
      </w:r>
      <w:r w:rsidR="0064618B" w:rsidRPr="00946DC8">
        <w:rPr>
          <w:rFonts w:ascii="Palatino Linotype" w:eastAsia="Palatino Linotype" w:hAnsi="Palatino Linotype" w:cs="Palatino Linotype"/>
        </w:rPr>
        <w:t xml:space="preserve">por lo que en virtud de que el expediente electrónico ha sido debidamente substanciado y no existe diligencia pendiente de desahogo, se procede a emitir la presente resolución que conforme a Derecho corresponda y </w:t>
      </w:r>
    </w:p>
    <w:p w:rsidR="00946DC8" w:rsidRDefault="00946DC8" w:rsidP="00490EC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BE0BA7" w:rsidRPr="00946DC8" w:rsidRDefault="00BE0BA7" w:rsidP="00490EC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46DC8">
        <w:rPr>
          <w:rFonts w:ascii="Palatino Linotype" w:eastAsia="Palatino Linotype" w:hAnsi="Palatino Linotype" w:cs="Palatino Linotype"/>
          <w:b/>
          <w:color w:val="000000"/>
        </w:rPr>
        <w:t xml:space="preserve">C O N S I D E R A N D O </w:t>
      </w:r>
    </w:p>
    <w:p w:rsidR="0018146B" w:rsidRPr="00946DC8" w:rsidRDefault="0018146B" w:rsidP="00490EC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BE0BA7" w:rsidRPr="00946DC8" w:rsidRDefault="00BE0BA7" w:rsidP="00490EC1">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946DC8">
        <w:rPr>
          <w:rFonts w:ascii="Palatino Linotype" w:eastAsia="Palatino Linotype" w:hAnsi="Palatino Linotype" w:cs="Palatino Linotype"/>
          <w:b/>
          <w:color w:val="000000"/>
          <w:sz w:val="24"/>
          <w:szCs w:val="24"/>
        </w:rPr>
        <w:t>PRIMERO. De la competencia</w:t>
      </w:r>
    </w:p>
    <w:p w:rsidR="00BE0BA7"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46DC8" w:rsidRDefault="00946DC8" w:rsidP="00490E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6" w:name="_heading=h.3dy6vkm" w:colFirst="0" w:colLast="0"/>
      <w:bookmarkStart w:id="7" w:name="_heading=h.1t3h5sf" w:colFirst="0" w:colLast="0"/>
      <w:bookmarkEnd w:id="6"/>
      <w:bookmarkEnd w:id="7"/>
    </w:p>
    <w:p w:rsidR="00BE0BA7" w:rsidRPr="00946DC8" w:rsidRDefault="00BE0BA7" w:rsidP="00490E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946DC8">
        <w:rPr>
          <w:rFonts w:ascii="Palatino Linotype" w:eastAsia="Palatino Linotype" w:hAnsi="Palatino Linotype" w:cs="Palatino Linotype"/>
          <w:b/>
          <w:color w:val="000000"/>
        </w:rPr>
        <w:t>SEGUNDO. De la oportunidad y procedencia.</w:t>
      </w:r>
    </w:p>
    <w:p w:rsidR="005F5F89" w:rsidRPr="00946DC8" w:rsidRDefault="005F5F89" w:rsidP="00490EC1">
      <w:pPr>
        <w:numPr>
          <w:ilvl w:val="0"/>
          <w:numId w:val="2"/>
        </w:numPr>
        <w:pBdr>
          <w:top w:val="nil"/>
          <w:left w:val="nil"/>
          <w:bottom w:val="nil"/>
          <w:right w:val="nil"/>
          <w:between w:val="nil"/>
        </w:pBdr>
        <w:spacing w:line="360" w:lineRule="auto"/>
        <w:ind w:left="0" w:firstLine="0"/>
        <w:jc w:val="both"/>
        <w:rPr>
          <w:color w:val="000000"/>
        </w:rPr>
      </w:pPr>
      <w:bookmarkStart w:id="8" w:name="_heading=h.4d34og8" w:colFirst="0" w:colLast="0"/>
      <w:bookmarkEnd w:id="8"/>
      <w:r w:rsidRPr="00946DC8">
        <w:rPr>
          <w:rFonts w:ascii="Palatino Linotype" w:eastAsia="Palatino Linotype" w:hAnsi="Palatino Linotype" w:cs="Palatino Linotype"/>
          <w:color w:val="000000"/>
        </w:rPr>
        <w:t xml:space="preserve">Los medios de impugnación fueron presentados a través del </w:t>
      </w:r>
      <w:r w:rsidRPr="00946DC8">
        <w:rPr>
          <w:rFonts w:ascii="Palatino Linotype" w:eastAsia="Palatino Linotype" w:hAnsi="Palatino Linotype" w:cs="Palatino Linotype"/>
          <w:b/>
          <w:color w:val="000000"/>
        </w:rPr>
        <w:t>SAIMEX,</w:t>
      </w:r>
      <w:r w:rsidRPr="00946DC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946DC8">
        <w:rPr>
          <w:rFonts w:ascii="Palatino Linotype" w:eastAsia="Palatino Linotype" w:hAnsi="Palatino Linotype" w:cs="Palatino Linotype"/>
          <w:b/>
          <w:color w:val="000000"/>
        </w:rPr>
        <w:t>SUJETO OBLIGADO</w:t>
      </w:r>
      <w:r w:rsidRPr="00946DC8">
        <w:rPr>
          <w:rFonts w:ascii="Palatino Linotype" w:eastAsia="Palatino Linotype" w:hAnsi="Palatino Linotype" w:cs="Palatino Linotype"/>
          <w:color w:val="000000"/>
        </w:rPr>
        <w:t xml:space="preserve"> entregó su </w:t>
      </w:r>
      <w:r w:rsidRPr="00946DC8">
        <w:rPr>
          <w:rFonts w:ascii="Palatino Linotype" w:eastAsia="Palatino Linotype" w:hAnsi="Palatino Linotype" w:cs="Palatino Linotype"/>
          <w:color w:val="000000"/>
        </w:rPr>
        <w:lastRenderedPageBreak/>
        <w:t xml:space="preserve">respuesta el </w:t>
      </w:r>
      <w:r w:rsidR="0018146B" w:rsidRPr="00946DC8">
        <w:rPr>
          <w:rFonts w:ascii="Palatino Linotype" w:eastAsia="Palatino Linotype" w:hAnsi="Palatino Linotype" w:cs="Palatino Linotype"/>
          <w:b/>
          <w:color w:val="000000"/>
        </w:rPr>
        <w:t>veinte</w:t>
      </w:r>
      <w:r w:rsidR="0064618B" w:rsidRPr="00946DC8">
        <w:rPr>
          <w:rFonts w:ascii="Palatino Linotype" w:eastAsia="Palatino Linotype" w:hAnsi="Palatino Linotype" w:cs="Palatino Linotype"/>
          <w:b/>
          <w:color w:val="000000"/>
        </w:rPr>
        <w:t xml:space="preserve"> de octubre</w:t>
      </w:r>
      <w:r w:rsidRPr="00946DC8">
        <w:rPr>
          <w:rFonts w:ascii="Palatino Linotype" w:eastAsia="Palatino Linotype" w:hAnsi="Palatino Linotype" w:cs="Palatino Linotype"/>
          <w:b/>
          <w:color w:val="000000"/>
        </w:rPr>
        <w:t xml:space="preserve"> de dos mil veinticinco</w:t>
      </w:r>
      <w:r w:rsidRPr="00946DC8">
        <w:rPr>
          <w:rFonts w:ascii="Palatino Linotype" w:eastAsia="Palatino Linotype" w:hAnsi="Palatino Linotype" w:cs="Palatino Linotype"/>
          <w:color w:val="000000"/>
        </w:rPr>
        <w:t xml:space="preserve">, de tal forma que el plazo para interponer el recurso de revisión transcurrió del día </w:t>
      </w:r>
      <w:r w:rsidR="0018146B" w:rsidRPr="00946DC8">
        <w:rPr>
          <w:rFonts w:ascii="Palatino Linotype" w:eastAsia="Palatino Linotype" w:hAnsi="Palatino Linotype" w:cs="Palatino Linotype"/>
          <w:b/>
          <w:color w:val="000000"/>
        </w:rPr>
        <w:t>veintiuno</w:t>
      </w:r>
      <w:r w:rsidR="0064618B" w:rsidRPr="00946DC8">
        <w:rPr>
          <w:rFonts w:ascii="Palatino Linotype" w:eastAsia="Palatino Linotype" w:hAnsi="Palatino Linotype" w:cs="Palatino Linotype"/>
          <w:b/>
          <w:color w:val="000000"/>
        </w:rPr>
        <w:t xml:space="preserve"> </w:t>
      </w:r>
      <w:r w:rsidR="0018146B" w:rsidRPr="00946DC8">
        <w:rPr>
          <w:rFonts w:ascii="Palatino Linotype" w:eastAsia="Palatino Linotype" w:hAnsi="Palatino Linotype" w:cs="Palatino Linotype"/>
          <w:b/>
          <w:color w:val="000000"/>
        </w:rPr>
        <w:t xml:space="preserve">de octubre </w:t>
      </w:r>
      <w:r w:rsidR="0064618B" w:rsidRPr="00946DC8">
        <w:rPr>
          <w:rFonts w:ascii="Palatino Linotype" w:eastAsia="Palatino Linotype" w:hAnsi="Palatino Linotype" w:cs="Palatino Linotype"/>
          <w:b/>
          <w:color w:val="000000"/>
        </w:rPr>
        <w:t xml:space="preserve">al </w:t>
      </w:r>
      <w:r w:rsidR="0018146B" w:rsidRPr="00946DC8">
        <w:rPr>
          <w:rFonts w:ascii="Palatino Linotype" w:eastAsia="Palatino Linotype" w:hAnsi="Palatino Linotype" w:cs="Palatino Linotype"/>
          <w:b/>
          <w:color w:val="000000"/>
        </w:rPr>
        <w:t>diez de noviembre</w:t>
      </w:r>
      <w:r w:rsidR="0064618B" w:rsidRPr="00946DC8">
        <w:rPr>
          <w:rFonts w:ascii="Palatino Linotype" w:eastAsia="Palatino Linotype" w:hAnsi="Palatino Linotype" w:cs="Palatino Linotype"/>
          <w:b/>
          <w:color w:val="000000"/>
        </w:rPr>
        <w:t xml:space="preserve"> </w:t>
      </w:r>
      <w:r w:rsidRPr="00946DC8">
        <w:rPr>
          <w:rFonts w:ascii="Palatino Linotype" w:eastAsia="Palatino Linotype" w:hAnsi="Palatino Linotype" w:cs="Palatino Linotype"/>
          <w:b/>
          <w:color w:val="000000"/>
        </w:rPr>
        <w:t>de dos mil veinticinco</w:t>
      </w:r>
      <w:r w:rsidRPr="00946DC8">
        <w:rPr>
          <w:rFonts w:ascii="Palatino Linotype" w:eastAsia="Palatino Linotype" w:hAnsi="Palatino Linotype" w:cs="Palatino Linotype"/>
          <w:color w:val="000000"/>
        </w:rPr>
        <w:t xml:space="preserve">; en consecuencia, el ahora </w:t>
      </w:r>
      <w:r w:rsidRPr="00946DC8">
        <w:rPr>
          <w:rFonts w:ascii="Palatino Linotype" w:eastAsia="Palatino Linotype" w:hAnsi="Palatino Linotype" w:cs="Palatino Linotype"/>
          <w:b/>
          <w:color w:val="000000"/>
        </w:rPr>
        <w:t>RECURRENTE</w:t>
      </w:r>
      <w:r w:rsidRPr="00946DC8">
        <w:rPr>
          <w:rFonts w:ascii="Palatino Linotype" w:eastAsia="Palatino Linotype" w:hAnsi="Palatino Linotype" w:cs="Palatino Linotype"/>
          <w:color w:val="000000"/>
        </w:rPr>
        <w:t xml:space="preserve"> presentó su inconformidad el día </w:t>
      </w:r>
      <w:r w:rsidR="0018146B" w:rsidRPr="00946DC8">
        <w:rPr>
          <w:rFonts w:ascii="Palatino Linotype" w:eastAsia="Palatino Linotype" w:hAnsi="Palatino Linotype" w:cs="Palatino Linotype"/>
          <w:b/>
          <w:color w:val="000000"/>
        </w:rPr>
        <w:t xml:space="preserve">veinte </w:t>
      </w:r>
      <w:r w:rsidR="0064618B" w:rsidRPr="00946DC8">
        <w:rPr>
          <w:rFonts w:ascii="Palatino Linotype" w:eastAsia="Palatino Linotype" w:hAnsi="Palatino Linotype" w:cs="Palatino Linotype"/>
          <w:b/>
          <w:color w:val="000000"/>
        </w:rPr>
        <w:t>de octubre</w:t>
      </w:r>
      <w:r w:rsidRPr="00946DC8">
        <w:rPr>
          <w:rFonts w:ascii="Palatino Linotype" w:eastAsia="Palatino Linotype" w:hAnsi="Palatino Linotype" w:cs="Palatino Linotype"/>
          <w:b/>
          <w:color w:val="000000"/>
        </w:rPr>
        <w:t xml:space="preserve"> de dos mil veinticinco</w:t>
      </w:r>
      <w:r w:rsidRPr="00946DC8">
        <w:rPr>
          <w:rFonts w:ascii="Palatino Linotype" w:eastAsia="Palatino Linotype" w:hAnsi="Palatino Linotype" w:cs="Palatino Linotype"/>
          <w:color w:val="000000"/>
        </w:rPr>
        <w:t>; es decir dentro del lapso legalmente establecido para tal efecto.</w:t>
      </w:r>
    </w:p>
    <w:p w:rsidR="0064618B" w:rsidRPr="00946DC8" w:rsidRDefault="0064618B" w:rsidP="00490EC1">
      <w:pPr>
        <w:pBdr>
          <w:top w:val="nil"/>
          <w:left w:val="nil"/>
          <w:bottom w:val="nil"/>
          <w:right w:val="nil"/>
          <w:between w:val="nil"/>
        </w:pBdr>
        <w:spacing w:line="360" w:lineRule="auto"/>
        <w:jc w:val="both"/>
        <w:rPr>
          <w:color w:val="000000"/>
        </w:rPr>
      </w:pPr>
    </w:p>
    <w:p w:rsidR="0018146B" w:rsidRPr="00946DC8" w:rsidRDefault="0018146B" w:rsidP="0018146B">
      <w:pPr>
        <w:numPr>
          <w:ilvl w:val="0"/>
          <w:numId w:val="2"/>
        </w:numPr>
        <w:tabs>
          <w:tab w:val="left" w:pos="0"/>
        </w:tabs>
        <w:spacing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8146B" w:rsidRPr="00946DC8" w:rsidRDefault="0018146B" w:rsidP="0018146B">
      <w:pPr>
        <w:tabs>
          <w:tab w:val="left" w:pos="0"/>
        </w:tabs>
        <w:spacing w:line="360" w:lineRule="auto"/>
        <w:jc w:val="both"/>
        <w:rPr>
          <w:rFonts w:ascii="Palatino Linotype" w:eastAsia="Palatino Linotype" w:hAnsi="Palatino Linotype" w:cs="Palatino Linotype"/>
        </w:rPr>
      </w:pPr>
    </w:p>
    <w:p w:rsidR="0018146B" w:rsidRPr="00946DC8" w:rsidRDefault="0018146B" w:rsidP="0018146B">
      <w:pPr>
        <w:numPr>
          <w:ilvl w:val="0"/>
          <w:numId w:val="2"/>
        </w:numPr>
        <w:tabs>
          <w:tab w:val="left" w:pos="0"/>
        </w:tabs>
        <w:spacing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18146B" w:rsidRPr="00946DC8" w:rsidRDefault="0018146B" w:rsidP="0018146B">
      <w:pPr>
        <w:tabs>
          <w:tab w:val="left" w:pos="1134"/>
        </w:tabs>
        <w:spacing w:line="360" w:lineRule="auto"/>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rPr>
        <w:t>“</w:t>
      </w:r>
      <w:r w:rsidRPr="00946DC8">
        <w:rPr>
          <w:rFonts w:ascii="Palatino Linotype" w:eastAsia="Palatino Linotype" w:hAnsi="Palatino Linotype" w:cs="Palatino Linotype"/>
          <w:i/>
        </w:rPr>
        <w:t xml:space="preserve">RECURSO DE RECLAMACIÓN. SU INTERPOSICIÓN NO ES EXTEMPORÁNEA SI SE REALIZA ANTES DE QUE INICIE EL PLAZO PARA HACERLO. Conforme al artículo 104, párrafo segundo, de la Ley de Amparo, el recurso de reclamación podrá interponerse por </w:t>
      </w:r>
      <w:r w:rsidRPr="00946DC8">
        <w:rPr>
          <w:rFonts w:ascii="Palatino Linotype" w:eastAsia="Palatino Linotype" w:hAnsi="Palatino Linotype" w:cs="Palatino Linotype"/>
          <w:i/>
        </w:rPr>
        <w:lastRenderedPageBreak/>
        <w:t>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 (Sic)</w:t>
      </w:r>
    </w:p>
    <w:p w:rsidR="0018146B" w:rsidRPr="00946DC8" w:rsidRDefault="0018146B" w:rsidP="0018146B">
      <w:pPr>
        <w:tabs>
          <w:tab w:val="left" w:pos="0"/>
        </w:tabs>
        <w:spacing w:line="360" w:lineRule="auto"/>
        <w:jc w:val="both"/>
        <w:rPr>
          <w:rFonts w:ascii="Palatino Linotype" w:eastAsia="Palatino Linotype" w:hAnsi="Palatino Linotype" w:cs="Palatino Linotype"/>
        </w:rPr>
      </w:pPr>
    </w:p>
    <w:p w:rsidR="0018146B" w:rsidRPr="00946DC8" w:rsidRDefault="0018146B" w:rsidP="0018146B">
      <w:pPr>
        <w:numPr>
          <w:ilvl w:val="0"/>
          <w:numId w:val="2"/>
        </w:numPr>
        <w:tabs>
          <w:tab w:val="left" w:pos="0"/>
        </w:tabs>
        <w:spacing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8146B" w:rsidRPr="00946DC8" w:rsidRDefault="0018146B" w:rsidP="0018146B">
      <w:pPr>
        <w:tabs>
          <w:tab w:val="left" w:pos="0"/>
        </w:tabs>
        <w:spacing w:line="360" w:lineRule="auto"/>
        <w:jc w:val="both"/>
        <w:rPr>
          <w:rFonts w:ascii="Palatino Linotype" w:eastAsia="Palatino Linotype" w:hAnsi="Palatino Linotype" w:cs="Palatino Linotype"/>
        </w:rPr>
      </w:pPr>
    </w:p>
    <w:p w:rsidR="0018146B" w:rsidRPr="00946DC8" w:rsidRDefault="0018146B" w:rsidP="0018146B">
      <w:pPr>
        <w:numPr>
          <w:ilvl w:val="0"/>
          <w:numId w:val="2"/>
        </w:numPr>
        <w:tabs>
          <w:tab w:val="left" w:pos="0"/>
        </w:tabs>
        <w:spacing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8146B" w:rsidRPr="00946DC8" w:rsidRDefault="0018146B" w:rsidP="0018146B">
      <w:pPr>
        <w:tabs>
          <w:tab w:val="left" w:pos="0"/>
        </w:tabs>
        <w:spacing w:line="360" w:lineRule="auto"/>
        <w:jc w:val="both"/>
        <w:rPr>
          <w:rFonts w:ascii="Palatino Linotype" w:eastAsia="Palatino Linotype" w:hAnsi="Palatino Linotype" w:cs="Palatino Linotype"/>
        </w:rPr>
      </w:pPr>
    </w:p>
    <w:p w:rsidR="0018146B" w:rsidRPr="00946DC8" w:rsidRDefault="0018146B" w:rsidP="0018146B">
      <w:pPr>
        <w:numPr>
          <w:ilvl w:val="0"/>
          <w:numId w:val="2"/>
        </w:numPr>
        <w:tabs>
          <w:tab w:val="left" w:pos="0"/>
        </w:tabs>
        <w:spacing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lastRenderedPageBreak/>
        <w:t>Por lo tanto, la interposición del recurso de revisión antes de que inicie el plazo para su presentación no es determinante para declararlo extemporáneo, siempre y cuando ello ocurra de manera posterior a que se ha notificado la respuesta del SUJETO OBLIGADO.</w:t>
      </w:r>
    </w:p>
    <w:p w:rsidR="0018146B" w:rsidRPr="00946DC8" w:rsidRDefault="0018146B" w:rsidP="0018146B">
      <w:pPr>
        <w:pStyle w:val="Prrafodelista"/>
        <w:rPr>
          <w:rFonts w:ascii="Palatino Linotype" w:eastAsia="Palatino Linotype" w:hAnsi="Palatino Linotype" w:cs="Palatino Linotype"/>
        </w:rPr>
      </w:pPr>
    </w:p>
    <w:p w:rsidR="005F5F89" w:rsidRPr="00946DC8" w:rsidRDefault="005F5F89" w:rsidP="00490EC1">
      <w:pPr>
        <w:numPr>
          <w:ilvl w:val="0"/>
          <w:numId w:val="2"/>
        </w:numPr>
        <w:pBdr>
          <w:top w:val="nil"/>
          <w:left w:val="nil"/>
          <w:bottom w:val="nil"/>
          <w:right w:val="nil"/>
          <w:between w:val="nil"/>
        </w:pBdr>
        <w:spacing w:line="360" w:lineRule="auto"/>
        <w:ind w:left="0" w:firstLine="0"/>
        <w:jc w:val="both"/>
        <w:rPr>
          <w:color w:val="000000"/>
        </w:rPr>
      </w:pPr>
      <w:r w:rsidRPr="00946DC8">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46DC8" w:rsidRDefault="00946DC8" w:rsidP="00490EC1">
      <w:pPr>
        <w:pStyle w:val="Ttulo1"/>
        <w:spacing w:before="0" w:line="360" w:lineRule="auto"/>
        <w:rPr>
          <w:rFonts w:ascii="Palatino Linotype" w:eastAsia="Palatino Linotype" w:hAnsi="Palatino Linotype" w:cs="Palatino Linotype"/>
          <w:b/>
          <w:color w:val="000000"/>
          <w:sz w:val="24"/>
          <w:szCs w:val="24"/>
        </w:rPr>
      </w:pPr>
      <w:bookmarkStart w:id="9" w:name="_heading=h.2s8eyo1" w:colFirst="0" w:colLast="0"/>
      <w:bookmarkEnd w:id="9"/>
    </w:p>
    <w:p w:rsidR="00BE0BA7" w:rsidRPr="00946DC8" w:rsidRDefault="00BE0BA7" w:rsidP="00490EC1">
      <w:pPr>
        <w:pStyle w:val="Ttulo1"/>
        <w:spacing w:before="0" w:line="360" w:lineRule="auto"/>
        <w:rPr>
          <w:rFonts w:ascii="Palatino Linotype" w:eastAsia="Palatino Linotype" w:hAnsi="Palatino Linotype" w:cs="Palatino Linotype"/>
          <w:b/>
          <w:color w:val="000000"/>
          <w:sz w:val="24"/>
          <w:szCs w:val="24"/>
        </w:rPr>
      </w:pPr>
      <w:r w:rsidRPr="00946DC8">
        <w:rPr>
          <w:rFonts w:ascii="Palatino Linotype" w:eastAsia="Palatino Linotype" w:hAnsi="Palatino Linotype" w:cs="Palatino Linotype"/>
          <w:b/>
          <w:color w:val="000000"/>
          <w:sz w:val="24"/>
          <w:szCs w:val="24"/>
        </w:rPr>
        <w:t xml:space="preserve">TERCERO. Del planteamiento de la </w:t>
      </w:r>
      <w:r w:rsidRPr="00946DC8">
        <w:rPr>
          <w:rFonts w:ascii="Palatino Linotype" w:eastAsia="Palatino Linotype" w:hAnsi="Palatino Linotype" w:cs="Palatino Linotype"/>
          <w:b/>
          <w:i/>
          <w:color w:val="000000"/>
          <w:sz w:val="24"/>
          <w:szCs w:val="24"/>
        </w:rPr>
        <w:t>Litis</w:t>
      </w:r>
      <w:r w:rsidRPr="00946DC8">
        <w:rPr>
          <w:rFonts w:ascii="Palatino Linotype" w:eastAsia="Palatino Linotype" w:hAnsi="Palatino Linotype" w:cs="Palatino Linotype"/>
          <w:b/>
          <w:color w:val="000000"/>
          <w:sz w:val="24"/>
          <w:szCs w:val="24"/>
        </w:rPr>
        <w:t>.</w:t>
      </w:r>
    </w:p>
    <w:p w:rsidR="00BE0BA7" w:rsidRPr="00946DC8" w:rsidRDefault="00BE0BA7" w:rsidP="0018146B">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946DC8">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18146B" w:rsidRPr="00946DC8" w:rsidRDefault="0018146B" w:rsidP="0018146B">
      <w:pPr>
        <w:pBdr>
          <w:top w:val="nil"/>
          <w:left w:val="nil"/>
          <w:bottom w:val="nil"/>
          <w:right w:val="nil"/>
          <w:between w:val="nil"/>
        </w:pBdr>
        <w:spacing w:line="360" w:lineRule="auto"/>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1. Motivo por el cual se talaron los árboles que se encontraban en el parque de la soledad del municipio de Tecámac, colonia centro.</w:t>
      </w:r>
    </w:p>
    <w:p w:rsidR="0018146B" w:rsidRPr="00946DC8" w:rsidRDefault="0018146B" w:rsidP="0018146B">
      <w:pPr>
        <w:pBdr>
          <w:top w:val="nil"/>
          <w:left w:val="nil"/>
          <w:bottom w:val="nil"/>
          <w:right w:val="nil"/>
          <w:between w:val="nil"/>
        </w:pBdr>
        <w:spacing w:line="360" w:lineRule="auto"/>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 xml:space="preserve"> 2. </w:t>
      </w:r>
      <w:r w:rsidRPr="00946DC8">
        <w:rPr>
          <w:rFonts w:eastAsia="Palatino Linotype"/>
          <w:i/>
        </w:rPr>
        <w:t>⁠Q</w:t>
      </w:r>
      <w:r w:rsidRPr="00946DC8">
        <w:rPr>
          <w:rFonts w:ascii="Palatino Linotype" w:eastAsia="Palatino Linotype" w:hAnsi="Palatino Linotype" w:cs="Palatino Linotype"/>
          <w:i/>
        </w:rPr>
        <w:t>uien autorizó la tala de los árboles que se encontraban en el parque de la soledad del municipio de Tecámac, colonia centro.</w:t>
      </w:r>
    </w:p>
    <w:p w:rsidR="0018146B" w:rsidRPr="00946DC8" w:rsidRDefault="0018146B" w:rsidP="0018146B">
      <w:pPr>
        <w:pBdr>
          <w:top w:val="nil"/>
          <w:left w:val="nil"/>
          <w:bottom w:val="nil"/>
          <w:right w:val="nil"/>
          <w:between w:val="nil"/>
        </w:pBdr>
        <w:spacing w:line="360" w:lineRule="auto"/>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 xml:space="preserve"> 3. Cuál fue el estudio técnico o dictamen que diagnosticó la procedencia de la tala de los árboles que se encontraban en el parque de la soledad del municipio de Tecámac, colonia centro. </w:t>
      </w:r>
    </w:p>
    <w:p w:rsidR="00490EC1" w:rsidRPr="00946DC8" w:rsidRDefault="0018146B" w:rsidP="0018146B">
      <w:pPr>
        <w:pBdr>
          <w:top w:val="nil"/>
          <w:left w:val="nil"/>
          <w:bottom w:val="nil"/>
          <w:right w:val="nil"/>
          <w:between w:val="nil"/>
        </w:pBdr>
        <w:spacing w:line="360" w:lineRule="auto"/>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 xml:space="preserve">4. </w:t>
      </w:r>
      <w:r w:rsidRPr="00946DC8">
        <w:rPr>
          <w:rFonts w:eastAsia="Palatino Linotype"/>
          <w:i/>
        </w:rPr>
        <w:t>⁠C</w:t>
      </w:r>
      <w:r w:rsidRPr="00946DC8">
        <w:rPr>
          <w:rFonts w:ascii="Palatino Linotype" w:eastAsia="Palatino Linotype" w:hAnsi="Palatino Linotype" w:cs="Palatino Linotype"/>
          <w:i/>
        </w:rPr>
        <w:t>uál es el plan de reforestación o la acción para reparar el daño ambiental ocasionado por la tala de los árboles que se encontraban en el parque de la soledad del municipio de Tecámac, colonia centro.</w:t>
      </w:r>
    </w:p>
    <w:p w:rsidR="0018146B" w:rsidRPr="00946DC8" w:rsidRDefault="0018146B" w:rsidP="0018146B">
      <w:pPr>
        <w:pBdr>
          <w:top w:val="nil"/>
          <w:left w:val="nil"/>
          <w:bottom w:val="nil"/>
          <w:right w:val="nil"/>
          <w:between w:val="nil"/>
        </w:pBdr>
        <w:spacing w:line="360" w:lineRule="auto"/>
        <w:ind w:left="1134"/>
        <w:jc w:val="both"/>
        <w:rPr>
          <w:rFonts w:ascii="Palatino Linotype" w:eastAsia="Palatino Linotype" w:hAnsi="Palatino Linotype" w:cs="Palatino Linotype"/>
          <w:i/>
        </w:rPr>
      </w:pPr>
    </w:p>
    <w:p w:rsidR="00BE0BA7" w:rsidRPr="00946DC8" w:rsidRDefault="00BE0BA7" w:rsidP="00490EC1">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46DC8">
        <w:rPr>
          <w:rFonts w:ascii="Palatino Linotype" w:eastAsia="Palatino Linotype" w:hAnsi="Palatino Linotype" w:cs="Palatino Linotype"/>
          <w:color w:val="000000"/>
        </w:rPr>
        <w:lastRenderedPageBreak/>
        <w:t>En respuesta,</w:t>
      </w:r>
      <w:r w:rsidRPr="00946DC8">
        <w:rPr>
          <w:rFonts w:ascii="Palatino Linotype" w:eastAsia="Palatino Linotype" w:hAnsi="Palatino Linotype" w:cs="Palatino Linotype"/>
          <w:i/>
          <w:color w:val="000000"/>
        </w:rPr>
        <w:t xml:space="preserve"> </w:t>
      </w:r>
      <w:r w:rsidRPr="00946DC8">
        <w:rPr>
          <w:rFonts w:ascii="Palatino Linotype" w:eastAsia="Palatino Linotype" w:hAnsi="Palatino Linotype" w:cs="Palatino Linotype"/>
          <w:color w:val="000000"/>
        </w:rPr>
        <w:t>el</w:t>
      </w:r>
      <w:r w:rsidRPr="00946DC8">
        <w:rPr>
          <w:rFonts w:ascii="Palatino Linotype" w:eastAsia="Palatino Linotype" w:hAnsi="Palatino Linotype" w:cs="Palatino Linotype"/>
          <w:i/>
          <w:color w:val="000000"/>
        </w:rPr>
        <w:t xml:space="preserve"> </w:t>
      </w:r>
      <w:r w:rsidRPr="00946DC8">
        <w:rPr>
          <w:rFonts w:ascii="Palatino Linotype" w:eastAsia="Palatino Linotype" w:hAnsi="Palatino Linotype" w:cs="Palatino Linotype"/>
          <w:b/>
          <w:color w:val="000000"/>
        </w:rPr>
        <w:t>SUJETO</w:t>
      </w:r>
      <w:r w:rsidRPr="00946DC8">
        <w:rPr>
          <w:rFonts w:ascii="Palatino Linotype" w:eastAsia="Palatino Linotype" w:hAnsi="Palatino Linotype" w:cs="Palatino Linotype"/>
          <w:b/>
          <w:i/>
          <w:color w:val="000000"/>
        </w:rPr>
        <w:t xml:space="preserve"> </w:t>
      </w:r>
      <w:r w:rsidRPr="00946DC8">
        <w:rPr>
          <w:rFonts w:ascii="Palatino Linotype" w:eastAsia="Palatino Linotype" w:hAnsi="Palatino Linotype" w:cs="Palatino Linotype"/>
          <w:b/>
          <w:color w:val="000000"/>
        </w:rPr>
        <w:t xml:space="preserve">OBLIGADO </w:t>
      </w:r>
      <w:r w:rsidRPr="00946DC8">
        <w:rPr>
          <w:rFonts w:ascii="Palatino Linotype" w:eastAsia="Palatino Linotype" w:hAnsi="Palatino Linotype" w:cs="Palatino Linotype"/>
          <w:color w:val="000000"/>
        </w:rPr>
        <w:t>por medio de</w:t>
      </w:r>
      <w:r w:rsidR="00A518EC" w:rsidRPr="00946DC8">
        <w:rPr>
          <w:rFonts w:ascii="Palatino Linotype" w:eastAsia="Palatino Linotype" w:hAnsi="Palatino Linotype" w:cs="Palatino Linotype"/>
          <w:color w:val="000000"/>
        </w:rPr>
        <w:t xml:space="preserve">l Titular de la Unidad de Transparencia, </w:t>
      </w:r>
      <w:r w:rsidR="0018146B" w:rsidRPr="00946DC8">
        <w:rPr>
          <w:rFonts w:ascii="Palatino Linotype" w:eastAsia="Palatino Linotype" w:hAnsi="Palatino Linotype" w:cs="Palatino Linotype"/>
          <w:color w:val="000000"/>
        </w:rPr>
        <w:t>adjuntó el archivo electrónico descrito en el numeral segundo de la presente Resolución.</w:t>
      </w: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BE0BA7" w:rsidRPr="00946DC8" w:rsidRDefault="00C31EAB"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MS Mincho" w:hAnsi="Palatino Linotype" w:cs="Arial"/>
        </w:rPr>
        <w:t xml:space="preserve">En </w:t>
      </w:r>
      <w:r w:rsidRPr="00946DC8">
        <w:rPr>
          <w:rFonts w:ascii="Palatino Linotype" w:hAnsi="Palatino Linotype" w:cs="Arial"/>
        </w:rPr>
        <w:t xml:space="preserve">dichas condiciones, la </w:t>
      </w:r>
      <w:r w:rsidRPr="00946DC8">
        <w:rPr>
          <w:rFonts w:ascii="Palatino Linotype" w:hAnsi="Palatino Linotype" w:cs="Arial"/>
          <w:i/>
        </w:rPr>
        <w:t>Litis</w:t>
      </w:r>
      <w:r w:rsidRPr="00946DC8">
        <w:rPr>
          <w:rFonts w:ascii="Palatino Linotype" w:hAnsi="Palatino Linotype" w:cs="Arial"/>
        </w:rPr>
        <w:t xml:space="preserve"> a resolver en el presente recurso de revisión se circunscribe a determinar si </w:t>
      </w:r>
      <w:r w:rsidRPr="00946DC8">
        <w:rPr>
          <w:rFonts w:ascii="Palatino Linotype" w:eastAsia="MS Mincho" w:hAnsi="Palatino Linotype" w:cs="Arial"/>
        </w:rPr>
        <w:t xml:space="preserve">se actualizan la causal de procedencia prevista en el artículo 179, fracción </w:t>
      </w:r>
      <w:r w:rsidR="000B19E5" w:rsidRPr="00946DC8">
        <w:rPr>
          <w:rFonts w:ascii="Palatino Linotype" w:eastAsia="MS Mincho" w:hAnsi="Palatino Linotype" w:cs="Arial"/>
          <w:b/>
        </w:rPr>
        <w:t>I</w:t>
      </w:r>
      <w:r w:rsidRPr="00946DC8">
        <w:rPr>
          <w:rFonts w:ascii="Palatino Linotype" w:eastAsia="MS Mincho" w:hAnsi="Palatino Linotype" w:cs="Arial"/>
        </w:rPr>
        <w:t xml:space="preserve"> de la </w:t>
      </w:r>
      <w:r w:rsidRPr="00946DC8">
        <w:rPr>
          <w:rFonts w:ascii="Palatino Linotype" w:eastAsia="MS Mincho" w:hAnsi="Palatino Linotype" w:cs="Arial"/>
          <w:b/>
        </w:rPr>
        <w:t xml:space="preserve">Ley de Transparencia y Acceso a la </w:t>
      </w:r>
      <w:r w:rsidRPr="00946DC8">
        <w:rPr>
          <w:rFonts w:ascii="Palatino Linotype" w:hAnsi="Palatino Linotype"/>
        </w:rPr>
        <w:t>Información</w:t>
      </w:r>
      <w:r w:rsidRPr="00946DC8">
        <w:rPr>
          <w:rFonts w:ascii="Palatino Linotype" w:eastAsia="MS Mincho" w:hAnsi="Palatino Linotype" w:cs="Arial"/>
          <w:b/>
        </w:rPr>
        <w:t xml:space="preserve"> Pública del Estado de México y Municipios</w:t>
      </w:r>
      <w:r w:rsidRPr="00946DC8">
        <w:rPr>
          <w:rFonts w:ascii="Palatino Linotype" w:eastAsia="MS Mincho" w:hAnsi="Palatino Linotype" w:cs="Arial"/>
        </w:rPr>
        <w:t xml:space="preserve">; </w:t>
      </w:r>
      <w:r w:rsidRPr="00946DC8">
        <w:rPr>
          <w:rFonts w:ascii="Palatino Linotype" w:hAnsi="Palatino Linotype" w:cs="Arial"/>
          <w:color w:val="000000" w:themeColor="text1"/>
        </w:rPr>
        <w:t xml:space="preserve">fracción que determina la hipótesis jurídica relativa a la </w:t>
      </w:r>
      <w:r w:rsidR="00040E90" w:rsidRPr="00946DC8">
        <w:rPr>
          <w:rFonts w:ascii="Palatino Linotype" w:hAnsi="Palatino Linotype" w:cs="Arial"/>
          <w:color w:val="000000" w:themeColor="text1"/>
        </w:rPr>
        <w:t xml:space="preserve">negativa a la </w:t>
      </w:r>
      <w:r w:rsidR="000E7A84" w:rsidRPr="00946DC8">
        <w:rPr>
          <w:rFonts w:ascii="Palatino Linotype" w:hAnsi="Palatino Linotype" w:cs="Arial"/>
          <w:color w:val="000000" w:themeColor="text1"/>
        </w:rPr>
        <w:t>entrega de información</w:t>
      </w:r>
      <w:r w:rsidR="00040E90" w:rsidRPr="00946DC8">
        <w:rPr>
          <w:rFonts w:ascii="Palatino Linotype" w:hAnsi="Palatino Linotype" w:cs="Arial"/>
          <w:color w:val="000000" w:themeColor="text1"/>
        </w:rPr>
        <w:t xml:space="preserve"> solicitada</w:t>
      </w:r>
      <w:r w:rsidRPr="00946DC8">
        <w:rPr>
          <w:rFonts w:ascii="Palatino Linotype" w:hAnsi="Palatino Linotype" w:cs="Arial"/>
          <w:color w:val="000000" w:themeColor="text1"/>
        </w:rPr>
        <w:t xml:space="preserve">; </w:t>
      </w:r>
      <w:r w:rsidRPr="00946DC8">
        <w:rPr>
          <w:rFonts w:ascii="Palatino Linotype" w:eastAsia="MS Mincho" w:hAnsi="Palatino Linotype" w:cs="Arial"/>
        </w:rPr>
        <w:t xml:space="preserve">contexto del cual se dolió el </w:t>
      </w:r>
      <w:r w:rsidRPr="00946DC8">
        <w:rPr>
          <w:rFonts w:ascii="Palatino Linotype" w:eastAsia="MS Mincho" w:hAnsi="Palatino Linotype" w:cs="Arial"/>
          <w:b/>
        </w:rPr>
        <w:t>RECURRENTE</w:t>
      </w:r>
      <w:r w:rsidRPr="00946DC8">
        <w:rPr>
          <w:rFonts w:ascii="Palatino Linotype" w:eastAsia="MS Mincho" w:hAnsi="Palatino Linotype" w:cs="Arial"/>
        </w:rPr>
        <w:t xml:space="preserve"> al momento de interponer su recurso de revisión</w:t>
      </w:r>
      <w:r w:rsidR="00BE0BA7" w:rsidRPr="00946DC8">
        <w:rPr>
          <w:rFonts w:ascii="Palatino Linotype" w:eastAsia="Palatino Linotype" w:hAnsi="Palatino Linotype" w:cs="Palatino Linotype"/>
          <w:color w:val="000000"/>
        </w:rPr>
        <w:t>.</w:t>
      </w:r>
    </w:p>
    <w:p w:rsidR="00BE0BA7" w:rsidRPr="00946DC8" w:rsidRDefault="00BE0BA7" w:rsidP="00490EC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E0BA7"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 xml:space="preserve">De modo tal que el presente recurso de revisión se </w:t>
      </w:r>
      <w:r w:rsidR="00A518EC" w:rsidRPr="00946DC8">
        <w:rPr>
          <w:rFonts w:ascii="Palatino Linotype" w:eastAsia="Palatino Linotype" w:hAnsi="Palatino Linotype" w:cs="Palatino Linotype"/>
        </w:rPr>
        <w:t>abocará</w:t>
      </w:r>
      <w:r w:rsidRPr="00946DC8">
        <w:rPr>
          <w:rFonts w:ascii="Palatino Linotype" w:eastAsia="Palatino Linotype" w:hAnsi="Palatino Linotype" w:cs="Palatino Linotype"/>
          <w:color w:val="000000"/>
        </w:rPr>
        <w:t xml:space="preserve"> en determinar si el </w:t>
      </w:r>
      <w:r w:rsidRPr="00946DC8">
        <w:rPr>
          <w:rFonts w:ascii="Palatino Linotype" w:eastAsia="Palatino Linotype" w:hAnsi="Palatino Linotype" w:cs="Palatino Linotype"/>
          <w:b/>
          <w:color w:val="000000"/>
        </w:rPr>
        <w:t>SUJETO OBLIGADO</w:t>
      </w:r>
      <w:r w:rsidRPr="00946DC8">
        <w:rPr>
          <w:rFonts w:ascii="Palatino Linotype" w:eastAsia="Palatino Linotype" w:hAnsi="Palatino Linotype" w:cs="Palatino Linotype"/>
          <w:color w:val="000000"/>
        </w:rPr>
        <w:t xml:space="preserve"> con su respuesta ciertamente actualiza la causal de procedencia</w:t>
      </w:r>
      <w:r w:rsidRPr="00946DC8">
        <w:rPr>
          <w:rFonts w:ascii="Palatino Linotype" w:eastAsia="Palatino Linotype" w:hAnsi="Palatino Linotype" w:cs="Palatino Linotype"/>
          <w:b/>
          <w:color w:val="000000"/>
        </w:rPr>
        <w:t xml:space="preserve"> </w:t>
      </w:r>
      <w:r w:rsidRPr="00946DC8">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46DC8" w:rsidRDefault="00946DC8" w:rsidP="00490EC1">
      <w:pPr>
        <w:keepNext/>
        <w:keepLines/>
        <w:spacing w:line="360" w:lineRule="auto"/>
        <w:rPr>
          <w:rFonts w:ascii="Palatino Linotype" w:eastAsia="Palatino Linotype" w:hAnsi="Palatino Linotype" w:cs="Palatino Linotype"/>
          <w:b/>
          <w:color w:val="000000"/>
        </w:rPr>
      </w:pPr>
    </w:p>
    <w:p w:rsidR="00BE0BA7" w:rsidRPr="00946DC8" w:rsidRDefault="00BE0BA7" w:rsidP="00490EC1">
      <w:pPr>
        <w:keepNext/>
        <w:keepLines/>
        <w:spacing w:line="360" w:lineRule="auto"/>
        <w:rPr>
          <w:rFonts w:ascii="Palatino Linotype" w:eastAsia="Palatino Linotype" w:hAnsi="Palatino Linotype" w:cs="Palatino Linotype"/>
          <w:b/>
          <w:color w:val="000000"/>
        </w:rPr>
      </w:pPr>
      <w:r w:rsidRPr="00946DC8">
        <w:rPr>
          <w:rFonts w:ascii="Palatino Linotype" w:eastAsia="Palatino Linotype" w:hAnsi="Palatino Linotype" w:cs="Palatino Linotype"/>
          <w:b/>
          <w:color w:val="000000"/>
        </w:rPr>
        <w:t>CUARTO. Del estudio y resolución del estudio.</w:t>
      </w:r>
    </w:p>
    <w:p w:rsidR="00BE0BA7" w:rsidRPr="00946DC8" w:rsidRDefault="00BE0BA7" w:rsidP="00490EC1">
      <w:pPr>
        <w:keepNext/>
        <w:keepLines/>
        <w:numPr>
          <w:ilvl w:val="0"/>
          <w:numId w:val="3"/>
        </w:numPr>
        <w:spacing w:after="240" w:line="360" w:lineRule="auto"/>
        <w:ind w:left="786"/>
        <w:rPr>
          <w:rFonts w:ascii="Palatino Linotype" w:eastAsia="Palatino Linotype" w:hAnsi="Palatino Linotype" w:cs="Palatino Linotype"/>
          <w:b/>
          <w:color w:val="000000"/>
        </w:rPr>
      </w:pPr>
      <w:bookmarkStart w:id="10" w:name="_heading=h.17dp8vu" w:colFirst="0" w:colLast="0"/>
      <w:bookmarkEnd w:id="10"/>
      <w:r w:rsidRPr="00946DC8">
        <w:rPr>
          <w:rFonts w:ascii="Palatino Linotype" w:eastAsia="Palatino Linotype" w:hAnsi="Palatino Linotype" w:cs="Palatino Linotype"/>
          <w:b/>
          <w:color w:val="000000"/>
        </w:rPr>
        <w:t>Del derecho de acceso a la información.</w:t>
      </w:r>
    </w:p>
    <w:p w:rsidR="00BE0BA7" w:rsidRPr="00946DC8" w:rsidRDefault="00BE0BA7" w:rsidP="00490EC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rPr>
      </w:pPr>
      <w:r w:rsidRPr="00946DC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w:t>
      </w:r>
      <w:r w:rsidRPr="00946DC8">
        <w:rPr>
          <w:rFonts w:ascii="Palatino Linotype" w:eastAsia="Palatino Linotype" w:hAnsi="Palatino Linotype" w:cs="Palatino Linotype"/>
          <w:color w:val="000000"/>
        </w:rPr>
        <w:lastRenderedPageBreak/>
        <w:t xml:space="preserve">sobre Derechos Humanos en su artículo 13.1; en el artículo sexto de la Constitución Política de los Estados Unidos Mexicanos y en el artículo quinto de la Particular del Estado de México. </w:t>
      </w:r>
    </w:p>
    <w:p w:rsidR="00BE0BA7" w:rsidRPr="00946DC8" w:rsidRDefault="00BE0BA7" w:rsidP="00490EC1">
      <w:pPr>
        <w:numPr>
          <w:ilvl w:val="0"/>
          <w:numId w:val="2"/>
        </w:numPr>
        <w:spacing w:before="240" w:line="360" w:lineRule="auto"/>
        <w:ind w:left="0" w:firstLine="0"/>
        <w:jc w:val="both"/>
        <w:rPr>
          <w:rFonts w:ascii="Palatino Linotype" w:hAnsi="Palatino Linotype"/>
        </w:rPr>
      </w:pPr>
      <w:r w:rsidRPr="00946DC8">
        <w:rPr>
          <w:rFonts w:ascii="Palatino Linotype" w:eastAsia="Palatino Linotype" w:hAnsi="Palatino Linotype" w:cs="Palatino Linotype"/>
        </w:rPr>
        <w:t xml:space="preserve">Definiendo el Derecho de Acceso a la Información Pública como: </w:t>
      </w:r>
      <w:r w:rsidRPr="00946DC8">
        <w:rPr>
          <w:rFonts w:ascii="Palatino Linotype" w:eastAsia="Palatino Linotype" w:hAnsi="Palatino Linotype" w:cs="Palatino Linotype"/>
          <w:i/>
          <w:color w:val="000000"/>
        </w:rPr>
        <w:t>La igualdad de oportunidades para recibir, buscar e impartir información</w:t>
      </w:r>
      <w:r w:rsidRPr="00946DC8">
        <w:rPr>
          <w:rFonts w:ascii="Palatino Linotype" w:eastAsia="Palatino Linotype" w:hAnsi="Palatino Linotype" w:cs="Palatino Linotype"/>
          <w:i/>
          <w:vertAlign w:val="superscript"/>
        </w:rPr>
        <w:footnoteReference w:id="1"/>
      </w:r>
      <w:r w:rsidRPr="00946DC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46DC8">
        <w:rPr>
          <w:rFonts w:ascii="Palatino Linotype" w:eastAsia="Palatino Linotype" w:hAnsi="Palatino Linotype" w:cs="Palatino Linotype"/>
          <w:i/>
          <w:vertAlign w:val="superscript"/>
        </w:rPr>
        <w:footnoteReference w:id="2"/>
      </w:r>
      <w:r w:rsidRPr="00946DC8">
        <w:rPr>
          <w:rFonts w:ascii="Palatino Linotype" w:eastAsia="Palatino Linotype" w:hAnsi="Palatino Linotype" w:cs="Palatino Linotype"/>
          <w:color w:val="000000"/>
        </w:rPr>
        <w:t>que se constituye como una herramienta fundamental para ejercer</w:t>
      </w:r>
      <w:r w:rsidRPr="00946DC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946DC8">
        <w:rPr>
          <w:rFonts w:ascii="Palatino Linotype" w:eastAsia="Palatino Linotype" w:hAnsi="Palatino Linotype" w:cs="Palatino Linotype"/>
          <w:i/>
          <w:vertAlign w:val="superscript"/>
        </w:rPr>
        <w:footnoteReference w:id="3"/>
      </w:r>
      <w:r w:rsidRPr="00946DC8">
        <w:rPr>
          <w:rFonts w:ascii="Palatino Linotype" w:eastAsia="Palatino Linotype" w:hAnsi="Palatino Linotype" w:cs="Palatino Linotype"/>
          <w:color w:val="000000"/>
        </w:rPr>
        <w:t>fomentando</w:t>
      </w:r>
      <w:r w:rsidRPr="00946DC8">
        <w:rPr>
          <w:rFonts w:ascii="Palatino Linotype" w:eastAsia="Palatino Linotype" w:hAnsi="Palatino Linotype" w:cs="Palatino Linotype"/>
          <w:i/>
          <w:color w:val="000000"/>
        </w:rPr>
        <w:t xml:space="preserve"> la transparencia de las actividades estatales y </w:t>
      </w:r>
      <w:r w:rsidRPr="00946DC8">
        <w:rPr>
          <w:rFonts w:ascii="Palatino Linotype" w:eastAsia="Palatino Linotype" w:hAnsi="Palatino Linotype" w:cs="Palatino Linotype"/>
          <w:color w:val="000000"/>
        </w:rPr>
        <w:t>promoviendo</w:t>
      </w:r>
      <w:r w:rsidRPr="00946DC8">
        <w:rPr>
          <w:rFonts w:ascii="Palatino Linotype" w:eastAsia="Palatino Linotype" w:hAnsi="Palatino Linotype" w:cs="Palatino Linotype"/>
          <w:i/>
          <w:color w:val="000000"/>
        </w:rPr>
        <w:t xml:space="preserve"> la responsabilidad de los funcionarios sobre su gestión pública,</w:t>
      </w:r>
      <w:r w:rsidRPr="00946DC8">
        <w:rPr>
          <w:rFonts w:ascii="Palatino Linotype" w:eastAsia="Palatino Linotype" w:hAnsi="Palatino Linotype" w:cs="Palatino Linotype"/>
          <w:i/>
          <w:vertAlign w:val="superscript"/>
        </w:rPr>
        <w:footnoteReference w:id="4"/>
      </w:r>
      <w:r w:rsidRPr="00946DC8">
        <w:rPr>
          <w:rFonts w:ascii="Palatino Linotype" w:eastAsia="Palatino Linotype" w:hAnsi="Palatino Linotype" w:cs="Palatino Linotype"/>
          <w:color w:val="000000"/>
        </w:rPr>
        <w:t>que permite</w:t>
      </w:r>
      <w:r w:rsidRPr="00946DC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BE0BA7" w:rsidRPr="00946DC8" w:rsidRDefault="00BE0BA7" w:rsidP="00490EC1">
      <w:pPr>
        <w:spacing w:line="360" w:lineRule="auto"/>
        <w:jc w:val="both"/>
        <w:rPr>
          <w:rFonts w:ascii="Palatino Linotype" w:eastAsia="Palatino Linotype" w:hAnsi="Palatino Linotype" w:cs="Palatino Linotype"/>
        </w:rPr>
      </w:pP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BE0BA7" w:rsidRPr="00946DC8" w:rsidRDefault="00BE0BA7" w:rsidP="00490EC1">
      <w:pPr>
        <w:ind w:lef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w:t>
      </w:r>
      <w:r w:rsidRPr="00946DC8">
        <w:rPr>
          <w:rFonts w:ascii="Palatino Linotype" w:eastAsia="Palatino Linotype" w:hAnsi="Palatino Linotype" w:cs="Palatino Linotype"/>
          <w:b/>
          <w:i/>
        </w:rPr>
        <w:t>Artículo 1.-</w:t>
      </w:r>
      <w:r w:rsidRPr="00946DC8">
        <w:rPr>
          <w:rFonts w:ascii="Palatino Linotype" w:eastAsia="Palatino Linotype" w:hAnsi="Palatino Linotype" w:cs="Palatino Linotype"/>
          <w:i/>
        </w:rPr>
        <w:t xml:space="preserve"> </w:t>
      </w:r>
    </w:p>
    <w:p w:rsidR="00BE0BA7" w:rsidRPr="00946DC8" w:rsidRDefault="00BE0BA7" w:rsidP="00490EC1">
      <w:pPr>
        <w:ind w:lef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w:t>
      </w:r>
    </w:p>
    <w:p w:rsidR="00BE0BA7" w:rsidRPr="00946DC8" w:rsidRDefault="00BE0BA7" w:rsidP="00490EC1">
      <w:pPr>
        <w:ind w:left="1134"/>
        <w:jc w:val="both"/>
        <w:rPr>
          <w:rFonts w:ascii="Palatino Linotype" w:eastAsia="Palatino Linotype" w:hAnsi="Palatino Linotype" w:cs="Palatino Linotype"/>
          <w:i/>
        </w:rPr>
      </w:pPr>
      <w:r w:rsidRPr="00946DC8">
        <w:rPr>
          <w:rFonts w:ascii="Palatino Linotype" w:eastAsia="Palatino Linotype" w:hAnsi="Palatino Linotype" w:cs="Palatino Linotype"/>
          <w:i/>
        </w:rPr>
        <w:lastRenderedPageBreak/>
        <w:t>Todas las</w:t>
      </w:r>
      <w:r w:rsidRPr="00946DC8">
        <w:rPr>
          <w:rFonts w:ascii="Palatino Linotype" w:eastAsia="Palatino Linotype" w:hAnsi="Palatino Linotype" w:cs="Palatino Linotype"/>
        </w:rPr>
        <w:t xml:space="preserve"> </w:t>
      </w:r>
      <w:r w:rsidRPr="00946DC8">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E0BA7" w:rsidRPr="00946DC8" w:rsidRDefault="00BE0BA7" w:rsidP="00490EC1">
      <w:pPr>
        <w:ind w:left="1134"/>
        <w:jc w:val="both"/>
        <w:rPr>
          <w:rFonts w:ascii="Palatino Linotype" w:eastAsia="Palatino Linotype" w:hAnsi="Palatino Linotype" w:cs="Palatino Linotype"/>
        </w:rPr>
      </w:pPr>
      <w:r w:rsidRPr="00946DC8">
        <w:rPr>
          <w:rFonts w:ascii="Palatino Linotype" w:eastAsia="Palatino Linotype" w:hAnsi="Palatino Linotype" w:cs="Palatino Linotype"/>
          <w:i/>
        </w:rPr>
        <w:t>(…)</w:t>
      </w:r>
      <w:r w:rsidRPr="00946DC8">
        <w:rPr>
          <w:rFonts w:ascii="Palatino Linotype" w:eastAsia="Palatino Linotype" w:hAnsi="Palatino Linotype" w:cs="Palatino Linotype"/>
        </w:rPr>
        <w:t>”.</w:t>
      </w:r>
    </w:p>
    <w:p w:rsidR="00BE0BA7" w:rsidRPr="00946DC8" w:rsidRDefault="00BE0BA7" w:rsidP="00490EC1">
      <w:pPr>
        <w:jc w:val="both"/>
        <w:rPr>
          <w:rFonts w:ascii="Palatino Linotype" w:eastAsia="Palatino Linotype" w:hAnsi="Palatino Linotype" w:cs="Palatino Linotype"/>
          <w:b/>
        </w:rPr>
      </w:pP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BE0BA7" w:rsidRPr="00946DC8" w:rsidRDefault="00BE0BA7" w:rsidP="00490EC1">
      <w:pPr>
        <w:spacing w:line="360" w:lineRule="auto"/>
        <w:jc w:val="both"/>
        <w:rPr>
          <w:rFonts w:ascii="Palatino Linotype" w:eastAsia="Palatino Linotype" w:hAnsi="Palatino Linotype" w:cs="Palatino Linotype"/>
        </w:rPr>
      </w:pP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BE0BA7" w:rsidRPr="00946DC8" w:rsidRDefault="00BE0BA7" w:rsidP="00F20017">
      <w:pPr>
        <w:spacing w:after="240"/>
        <w:ind w:left="1134"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b/>
          <w:i/>
        </w:rPr>
        <w:t>Constitución Política de los Estados Unidos Mexicanos</w:t>
      </w:r>
    </w:p>
    <w:p w:rsidR="00BE0BA7" w:rsidRPr="00946DC8" w:rsidRDefault="00BE0BA7" w:rsidP="00F20017">
      <w:pPr>
        <w:spacing w:before="240" w:after="240"/>
        <w:ind w:left="1134"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b/>
          <w:i/>
        </w:rPr>
        <w:t>“Artículo 6.</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Para efectos de lo dispuesto en el presente artículo se observará lo siguiente:</w:t>
      </w:r>
    </w:p>
    <w:p w:rsidR="00BE0BA7" w:rsidRPr="00946DC8" w:rsidRDefault="00BE0BA7" w:rsidP="00F20017">
      <w:pPr>
        <w:spacing w:before="240" w:after="240"/>
        <w:ind w:left="1134"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b/>
          <w:i/>
        </w:rPr>
        <w:t>A</w:t>
      </w:r>
      <w:r w:rsidRPr="00946DC8">
        <w:rPr>
          <w:rFonts w:ascii="Palatino Linotype" w:eastAsia="Palatino Linotype" w:hAnsi="Palatino Linotype" w:cs="Palatino Linotype"/>
          <w:i/>
        </w:rPr>
        <w:t xml:space="preserve">. </w:t>
      </w:r>
      <w:r w:rsidRPr="00946DC8">
        <w:rPr>
          <w:rFonts w:ascii="Palatino Linotype" w:eastAsia="Palatino Linotype" w:hAnsi="Palatino Linotype" w:cs="Palatino Linotype"/>
          <w:b/>
          <w:i/>
        </w:rPr>
        <w:t>Para el ejercicio del derecho de acceso a la información</w:t>
      </w:r>
      <w:r w:rsidRPr="00946DC8">
        <w:rPr>
          <w:rFonts w:ascii="Palatino Linotype" w:eastAsia="Palatino Linotype" w:hAnsi="Palatino Linotype" w:cs="Palatino Linotype"/>
          <w:i/>
        </w:rPr>
        <w:t xml:space="preserve">, la Federación y </w:t>
      </w:r>
      <w:r w:rsidRPr="00946DC8">
        <w:rPr>
          <w:rFonts w:ascii="Palatino Linotype" w:eastAsia="Palatino Linotype" w:hAnsi="Palatino Linotype" w:cs="Palatino Linotype"/>
          <w:b/>
          <w:i/>
        </w:rPr>
        <w:t>las entidades federativas, en el ámbito de sus respectivas competencias, se regirán por los siguientes principios y bases:</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 xml:space="preserve">I. </w:t>
      </w:r>
      <w:r w:rsidRPr="00946DC8">
        <w:rPr>
          <w:rFonts w:ascii="Palatino Linotype" w:eastAsia="Palatino Linotype" w:hAnsi="Palatino Linotype" w:cs="Palatino Linotype"/>
          <w:b/>
          <w:i/>
        </w:rPr>
        <w:tab/>
        <w:t>Toda la información en posesión de cualquier</w:t>
      </w:r>
      <w:r w:rsidRPr="00946DC8">
        <w:rPr>
          <w:rFonts w:ascii="Palatino Linotype" w:eastAsia="Palatino Linotype" w:hAnsi="Palatino Linotype" w:cs="Palatino Linotype"/>
          <w:i/>
        </w:rPr>
        <w:t xml:space="preserve"> </w:t>
      </w:r>
      <w:r w:rsidRPr="00946DC8">
        <w:rPr>
          <w:rFonts w:ascii="Palatino Linotype" w:eastAsia="Palatino Linotype" w:hAnsi="Palatino Linotype" w:cs="Palatino Linotype"/>
          <w:b/>
          <w:i/>
        </w:rPr>
        <w:t>autoridad</w:t>
      </w:r>
      <w:r w:rsidRPr="00946DC8">
        <w:rPr>
          <w:rFonts w:ascii="Palatino Linotype" w:eastAsia="Palatino Linotype" w:hAnsi="Palatino Linotype" w:cs="Palatino Linotype"/>
          <w:i/>
        </w:rPr>
        <w:t xml:space="preserve">, entidad, órgano y organismo de los Poderes Ejecutivo, Legislativo y Judicial, órganos </w:t>
      </w:r>
      <w:r w:rsidRPr="00946DC8">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w:t>
      </w:r>
      <w:r w:rsidRPr="00946DC8">
        <w:rPr>
          <w:rFonts w:ascii="Palatino Linotype" w:eastAsia="Palatino Linotype" w:hAnsi="Palatino Linotype" w:cs="Palatino Linotype"/>
          <w:b/>
          <w:i/>
        </w:rPr>
        <w:t>municipal</w:t>
      </w:r>
      <w:r w:rsidRPr="00946DC8">
        <w:rPr>
          <w:rFonts w:ascii="Palatino Linotype" w:eastAsia="Palatino Linotype" w:hAnsi="Palatino Linotype" w:cs="Palatino Linotype"/>
          <w:i/>
        </w:rPr>
        <w:t xml:space="preserve">, </w:t>
      </w:r>
      <w:r w:rsidRPr="00946DC8">
        <w:rPr>
          <w:rFonts w:ascii="Palatino Linotype" w:eastAsia="Palatino Linotype" w:hAnsi="Palatino Linotype" w:cs="Palatino Linotype"/>
          <w:b/>
          <w:i/>
        </w:rPr>
        <w:t>es pública</w:t>
      </w:r>
      <w:r w:rsidRPr="00946DC8">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946DC8">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946DC8">
        <w:rPr>
          <w:rFonts w:ascii="Palatino Linotype" w:eastAsia="Palatino Linotype" w:hAnsi="Palatino Linotype" w:cs="Palatino Linotype"/>
          <w:i/>
        </w:rPr>
        <w:t>, la ley determinará los supuestos específicos bajo los cuales procederá la declaración de inexistencia de la información.”</w:t>
      </w:r>
    </w:p>
    <w:p w:rsidR="00BE0BA7" w:rsidRPr="00946DC8" w:rsidRDefault="00BE0BA7" w:rsidP="00F20017">
      <w:pPr>
        <w:pBdr>
          <w:top w:val="nil"/>
          <w:left w:val="nil"/>
          <w:bottom w:val="nil"/>
          <w:right w:val="nil"/>
          <w:between w:val="nil"/>
        </w:pBdr>
        <w:tabs>
          <w:tab w:val="left" w:pos="567"/>
        </w:tabs>
        <w:spacing w:before="240" w:after="240"/>
        <w:ind w:left="1134" w:right="1134"/>
        <w:jc w:val="both"/>
        <w:rPr>
          <w:rFonts w:ascii="Palatino Linotype" w:eastAsia="Palatino Linotype" w:hAnsi="Palatino Linotype" w:cs="Palatino Linotype"/>
          <w:b/>
          <w:i/>
          <w:color w:val="000000"/>
        </w:rPr>
      </w:pPr>
    </w:p>
    <w:p w:rsidR="00BE0BA7" w:rsidRPr="00946DC8" w:rsidRDefault="00BE0BA7" w:rsidP="00F20017">
      <w:pPr>
        <w:spacing w:before="240" w:after="240"/>
        <w:ind w:left="1134"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b/>
          <w:i/>
        </w:rPr>
        <w:t>Constitución Política del Estado Libre y Soberano de México</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“Artículo 5</w:t>
      </w:r>
      <w:r w:rsidRPr="00946DC8">
        <w:rPr>
          <w:rFonts w:ascii="Palatino Linotype" w:eastAsia="Palatino Linotype" w:hAnsi="Palatino Linotype" w:cs="Palatino Linotype"/>
          <w:i/>
        </w:rPr>
        <w:t xml:space="preserve">.- </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946DC8">
        <w:rPr>
          <w:rFonts w:ascii="Palatino Linotype" w:eastAsia="Palatino Linotype" w:hAnsi="Palatino Linotype" w:cs="Palatino Linotype"/>
          <w:i/>
        </w:rPr>
        <w:t>.</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Este derecho se regirá por los principios y bases siguientes</w:t>
      </w:r>
      <w:r w:rsidRPr="00946DC8">
        <w:rPr>
          <w:rFonts w:ascii="Palatino Linotype" w:eastAsia="Palatino Linotype" w:hAnsi="Palatino Linotype" w:cs="Palatino Linotype"/>
          <w:i/>
        </w:rPr>
        <w:t>:</w:t>
      </w:r>
    </w:p>
    <w:p w:rsidR="00BE0BA7" w:rsidRPr="00946DC8" w:rsidRDefault="00BE0BA7" w:rsidP="00F20017">
      <w:pPr>
        <w:spacing w:before="240" w:after="240"/>
        <w:ind w:left="1134"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I. Toda la información en posesión de cualquier autoridad, entidad, órgano y organismos de los</w:t>
      </w:r>
      <w:r w:rsidRPr="00946DC8">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946DC8">
        <w:rPr>
          <w:rFonts w:ascii="Palatino Linotype" w:eastAsia="Palatino Linotype" w:hAnsi="Palatino Linotype" w:cs="Palatino Linotype"/>
          <w:b/>
          <w:i/>
        </w:rPr>
        <w:t>municipales</w:t>
      </w:r>
      <w:r w:rsidRPr="00946DC8">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w:t>
      </w:r>
      <w:r w:rsidRPr="00946DC8">
        <w:rPr>
          <w:rFonts w:ascii="Palatino Linotype" w:eastAsia="Palatino Linotype" w:hAnsi="Palatino Linotype" w:cs="Palatino Linotype"/>
          <w:i/>
        </w:rPr>
        <w:lastRenderedPageBreak/>
        <w:t xml:space="preserve">realice actos de autoridad en el ámbito estatal y municipal, </w:t>
      </w:r>
      <w:r w:rsidRPr="00946DC8">
        <w:rPr>
          <w:rFonts w:ascii="Palatino Linotype" w:eastAsia="Palatino Linotype" w:hAnsi="Palatino Linotype" w:cs="Palatino Linotype"/>
          <w:b/>
          <w:i/>
        </w:rPr>
        <w:t>es pública</w:t>
      </w:r>
      <w:r w:rsidRPr="00946DC8">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946DC8">
        <w:rPr>
          <w:rFonts w:ascii="Palatino Linotype" w:eastAsia="Palatino Linotype" w:hAnsi="Palatino Linotype" w:cs="Palatino Linotype"/>
          <w:b/>
          <w:i/>
        </w:rPr>
        <w:t>En la interpretación de este derecho deberá prevalecer el principio de máxima publicidad</w:t>
      </w:r>
      <w:r w:rsidRPr="00946DC8">
        <w:rPr>
          <w:rFonts w:ascii="Palatino Linotype" w:eastAsia="Palatino Linotype" w:hAnsi="Palatino Linotype" w:cs="Palatino Linotype"/>
          <w:i/>
        </w:rPr>
        <w:t xml:space="preserve">. </w:t>
      </w:r>
      <w:r w:rsidRPr="00946DC8">
        <w:rPr>
          <w:rFonts w:ascii="Palatino Linotype" w:eastAsia="Palatino Linotype" w:hAnsi="Palatino Linotype" w:cs="Palatino Linotype"/>
          <w:b/>
          <w:i/>
        </w:rPr>
        <w:t>Los sujetos obligados deberán documentar todo acto que derive del ejercicio de sus facultades, competencias o funciones</w:t>
      </w:r>
      <w:r w:rsidRPr="00946DC8">
        <w:rPr>
          <w:rFonts w:ascii="Palatino Linotype" w:eastAsia="Palatino Linotype" w:hAnsi="Palatino Linotype" w:cs="Palatino Linotype"/>
          <w:i/>
        </w:rPr>
        <w:t>, la ley determinará los supuestos específicos bajo los cuales procederá la declaración de inexistencia de la información.”</w:t>
      </w:r>
    </w:p>
    <w:p w:rsidR="00BE0BA7" w:rsidRPr="00946DC8" w:rsidRDefault="00BE0BA7" w:rsidP="00490EC1">
      <w:pPr>
        <w:tabs>
          <w:tab w:val="left" w:pos="567"/>
        </w:tabs>
        <w:spacing w:before="240" w:after="240"/>
        <w:jc w:val="both"/>
        <w:rPr>
          <w:rFonts w:ascii="Palatino Linotype" w:eastAsia="Palatino Linotype" w:hAnsi="Palatino Linotype" w:cs="Palatino Linotype"/>
          <w:b/>
          <w:i/>
        </w:rPr>
      </w:pPr>
    </w:p>
    <w:p w:rsidR="00BE0BA7" w:rsidRPr="00946DC8" w:rsidRDefault="00BE0BA7" w:rsidP="00490EC1">
      <w:pPr>
        <w:numPr>
          <w:ilvl w:val="0"/>
          <w:numId w:val="2"/>
        </w:numPr>
        <w:spacing w:before="240" w:line="360" w:lineRule="auto"/>
        <w:ind w:left="0" w:firstLine="0"/>
        <w:jc w:val="both"/>
        <w:rPr>
          <w:rFonts w:ascii="Palatino Linotype" w:hAnsi="Palatino Linotype"/>
        </w:rPr>
      </w:pPr>
      <w:r w:rsidRPr="00946DC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946DC8">
        <w:rPr>
          <w:rFonts w:ascii="Palatino Linotype" w:eastAsia="Palatino Linotype" w:hAnsi="Palatino Linotype" w:cs="Palatino Linotype"/>
          <w:i/>
        </w:rPr>
        <w:t>por los principios de simplicidad, rapidez gratuidad del procedimiento, auxilio y orientación a los particulares</w:t>
      </w:r>
      <w:r w:rsidRPr="00946DC8">
        <w:rPr>
          <w:rFonts w:ascii="Palatino Linotype" w:eastAsia="Palatino Linotype" w:hAnsi="Palatino Linotype" w:cs="Palatino Linotype"/>
        </w:rPr>
        <w:t>, contemplando el derecho de las personas con discapacidad y hablantes de lengua indígena.</w:t>
      </w:r>
    </w:p>
    <w:p w:rsidR="00946DC8" w:rsidRPr="00946DC8" w:rsidRDefault="00946DC8" w:rsidP="00946DC8">
      <w:pPr>
        <w:spacing w:before="240" w:line="360" w:lineRule="auto"/>
        <w:jc w:val="both"/>
        <w:rPr>
          <w:rFonts w:ascii="Palatino Linotype" w:hAnsi="Palatino Linotype"/>
        </w:rPr>
      </w:pP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rPr>
        <w:t xml:space="preserve">El Derecho de Acceso a la Información se garantiza y respeta oportunamente, y según lo que dispone la Ley, las </w:t>
      </w:r>
      <w:r w:rsidRPr="00946DC8">
        <w:rPr>
          <w:rFonts w:ascii="Palatino Linotype" w:eastAsia="Palatino Linotype" w:hAnsi="Palatino Linotype" w:cs="Palatino Linotype"/>
          <w:i/>
        </w:rPr>
        <w:t>solicitudes de acceso a la información</w:t>
      </w:r>
      <w:r w:rsidRPr="00946DC8">
        <w:rPr>
          <w:rFonts w:ascii="Palatino Linotype" w:eastAsia="Palatino Linotype" w:hAnsi="Palatino Linotype" w:cs="Palatino Linotype"/>
        </w:rPr>
        <w:t>.</w:t>
      </w:r>
    </w:p>
    <w:p w:rsidR="003F0BBA" w:rsidRPr="00946DC8" w:rsidRDefault="003F0BBA" w:rsidP="00490EC1">
      <w:pPr>
        <w:spacing w:line="360" w:lineRule="auto"/>
        <w:jc w:val="both"/>
        <w:rPr>
          <w:rFonts w:ascii="Palatino Linotype" w:hAnsi="Palatino Linotype"/>
        </w:rPr>
      </w:pPr>
    </w:p>
    <w:p w:rsidR="00D756D9" w:rsidRPr="00946DC8" w:rsidRDefault="00D756D9" w:rsidP="00490EC1">
      <w:pPr>
        <w:numPr>
          <w:ilvl w:val="0"/>
          <w:numId w:val="2"/>
        </w:numPr>
        <w:spacing w:line="360" w:lineRule="auto"/>
        <w:ind w:left="0" w:firstLine="0"/>
        <w:jc w:val="both"/>
      </w:pPr>
      <w:r w:rsidRPr="00946DC8">
        <w:rPr>
          <w:rFonts w:ascii="Palatino Linotype" w:eastAsia="Palatino Linotype" w:hAnsi="Palatino Linotype" w:cs="Palatino Linotype"/>
        </w:rPr>
        <w:t xml:space="preserve">Así entonces, se procede analizar, en primer lugar, si el </w:t>
      </w:r>
      <w:r w:rsidRPr="00946DC8">
        <w:rPr>
          <w:rFonts w:ascii="Palatino Linotype" w:eastAsia="Palatino Linotype" w:hAnsi="Palatino Linotype" w:cs="Palatino Linotype"/>
          <w:b/>
        </w:rPr>
        <w:t>SUJETO OBLIGADO</w:t>
      </w:r>
      <w:r w:rsidRPr="00946DC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F0BBA" w:rsidRPr="00946DC8" w:rsidRDefault="003F0BBA" w:rsidP="00490EC1">
      <w:pPr>
        <w:pBdr>
          <w:top w:val="nil"/>
          <w:left w:val="nil"/>
          <w:bottom w:val="nil"/>
          <w:right w:val="nil"/>
          <w:between w:val="nil"/>
        </w:pBdr>
        <w:spacing w:line="360" w:lineRule="auto"/>
        <w:jc w:val="both"/>
        <w:rPr>
          <w:rFonts w:ascii="Palatino Linotype" w:eastAsia="Palatino Linotype" w:hAnsi="Palatino Linotype" w:cs="Palatino Linotype"/>
        </w:rPr>
      </w:pPr>
    </w:p>
    <w:p w:rsidR="00BE0BA7" w:rsidRPr="00946DC8" w:rsidRDefault="00BE0BA7" w:rsidP="00490EC1">
      <w:pPr>
        <w:pStyle w:val="Ttulo1"/>
        <w:spacing w:before="0" w:after="240" w:line="360" w:lineRule="auto"/>
        <w:rPr>
          <w:rFonts w:ascii="Palatino Linotype" w:eastAsia="Palatino Linotype" w:hAnsi="Palatino Linotype" w:cs="Palatino Linotype"/>
          <w:b/>
          <w:color w:val="000000"/>
          <w:sz w:val="24"/>
          <w:szCs w:val="24"/>
        </w:rPr>
      </w:pPr>
      <w:bookmarkStart w:id="11" w:name="_heading=h.26in1rg" w:colFirst="0" w:colLast="0"/>
      <w:bookmarkEnd w:id="11"/>
      <w:r w:rsidRPr="00946DC8">
        <w:rPr>
          <w:rFonts w:ascii="Palatino Linotype" w:eastAsia="Palatino Linotype" w:hAnsi="Palatino Linotype" w:cs="Palatino Linotype"/>
          <w:b/>
          <w:color w:val="000000"/>
          <w:sz w:val="24"/>
          <w:szCs w:val="24"/>
        </w:rPr>
        <w:lastRenderedPageBreak/>
        <w:t>II. De la información solicitada y la respuesta del SUJETO OBLIGADO</w:t>
      </w: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color w:val="000000"/>
        </w:rPr>
        <w:t xml:space="preserve">Acotada la </w:t>
      </w:r>
      <w:r w:rsidRPr="00946DC8">
        <w:rPr>
          <w:rFonts w:ascii="Palatino Linotype" w:eastAsia="Palatino Linotype" w:hAnsi="Palatino Linotype" w:cs="Palatino Linotype"/>
          <w:i/>
          <w:color w:val="000000"/>
        </w:rPr>
        <w:t>Litis</w:t>
      </w:r>
      <w:r w:rsidRPr="00946DC8">
        <w:rPr>
          <w:rFonts w:ascii="Palatino Linotype" w:eastAsia="Palatino Linotype" w:hAnsi="Palatino Linotype" w:cs="Palatino Linotype"/>
          <w:color w:val="000000"/>
        </w:rPr>
        <w:t xml:space="preserve"> del presente asunto, primeramente es menester precisar que del escrito de inconformidad, se observa que el particular se duele </w:t>
      </w:r>
      <w:r w:rsidR="00040E90" w:rsidRPr="00946DC8">
        <w:rPr>
          <w:rFonts w:ascii="Palatino Linotype" w:eastAsia="Palatino Linotype" w:hAnsi="Palatino Linotype" w:cs="Palatino Linotype"/>
          <w:color w:val="000000"/>
        </w:rPr>
        <w:t>por la negativa a la entrega de la información por el Sujeto Obligado.</w:t>
      </w:r>
    </w:p>
    <w:p w:rsidR="00BE0BA7" w:rsidRPr="00946DC8" w:rsidRDefault="00BE0BA7" w:rsidP="00490EC1">
      <w:pPr>
        <w:spacing w:line="360" w:lineRule="auto"/>
        <w:jc w:val="both"/>
        <w:rPr>
          <w:rFonts w:ascii="Palatino Linotype" w:eastAsia="Palatino Linotype" w:hAnsi="Palatino Linotype" w:cs="Palatino Linotype"/>
        </w:rPr>
      </w:pPr>
    </w:p>
    <w:p w:rsidR="00BE0BA7" w:rsidRPr="00946DC8" w:rsidRDefault="00BE0BA7" w:rsidP="00490EC1">
      <w:pPr>
        <w:numPr>
          <w:ilvl w:val="0"/>
          <w:numId w:val="2"/>
        </w:numPr>
        <w:spacing w:line="360" w:lineRule="auto"/>
        <w:ind w:left="0" w:firstLine="0"/>
        <w:jc w:val="both"/>
        <w:rPr>
          <w:rFonts w:ascii="Palatino Linotype" w:hAnsi="Palatino Linotype"/>
        </w:rPr>
      </w:pPr>
      <w:r w:rsidRPr="00946DC8">
        <w:rPr>
          <w:rFonts w:ascii="Palatino Linotype" w:eastAsia="Palatino Linotype" w:hAnsi="Palatino Linotype" w:cs="Palatino Linotype"/>
        </w:rPr>
        <w:t xml:space="preserve">En ese sentido, es importante recordar la información que fue solicitada por el </w:t>
      </w:r>
      <w:r w:rsidRPr="00946DC8">
        <w:rPr>
          <w:rFonts w:ascii="Palatino Linotype" w:eastAsia="Palatino Linotype" w:hAnsi="Palatino Linotype" w:cs="Palatino Linotype"/>
          <w:b/>
        </w:rPr>
        <w:t xml:space="preserve">RECURRENTE </w:t>
      </w:r>
      <w:r w:rsidRPr="00946DC8">
        <w:rPr>
          <w:rFonts w:ascii="Palatino Linotype" w:eastAsia="Palatino Linotype" w:hAnsi="Palatino Linotype" w:cs="Palatino Linotype"/>
        </w:rPr>
        <w:t xml:space="preserve">así como la información proporcionada por el </w:t>
      </w:r>
      <w:r w:rsidRPr="00946DC8">
        <w:rPr>
          <w:rFonts w:ascii="Palatino Linotype" w:eastAsia="Palatino Linotype" w:hAnsi="Palatino Linotype" w:cs="Palatino Linotype"/>
          <w:b/>
        </w:rPr>
        <w:t xml:space="preserve">SUJETO OBLIGADO. </w:t>
      </w:r>
    </w:p>
    <w:p w:rsidR="00F20017" w:rsidRPr="00946DC8" w:rsidRDefault="00F20017" w:rsidP="00F20017">
      <w:pPr>
        <w:spacing w:line="360" w:lineRule="auto"/>
        <w:ind w:left="1134"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1. Motivo por el cual se talaron los árboles que se encontraban en el parque de la soledad del municipio de Tecámac, colonia centro.</w:t>
      </w:r>
    </w:p>
    <w:p w:rsidR="00F20017" w:rsidRPr="00946DC8" w:rsidRDefault="00F20017" w:rsidP="00F20017">
      <w:pPr>
        <w:spacing w:line="360" w:lineRule="auto"/>
        <w:ind w:left="1134"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 xml:space="preserve"> 2. </w:t>
      </w:r>
      <w:r w:rsidRPr="00946DC8">
        <w:rPr>
          <w:rFonts w:eastAsia="Palatino Linotype"/>
          <w:i/>
          <w:color w:val="000000"/>
        </w:rPr>
        <w:t>⁠</w:t>
      </w:r>
      <w:r w:rsidRPr="00946DC8">
        <w:rPr>
          <w:rFonts w:ascii="Palatino Linotype" w:eastAsia="Palatino Linotype" w:hAnsi="Palatino Linotype" w:cs="Palatino Linotype"/>
          <w:i/>
          <w:color w:val="000000"/>
        </w:rPr>
        <w:t>Quien autorizó la tala de los árboles que se encontraban en el parque de la soledad del municipio de Tecámac, colonia centro.</w:t>
      </w:r>
    </w:p>
    <w:p w:rsidR="00F20017" w:rsidRPr="00946DC8" w:rsidRDefault="00F20017" w:rsidP="00F20017">
      <w:pPr>
        <w:spacing w:line="360" w:lineRule="auto"/>
        <w:ind w:left="1134"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 xml:space="preserve"> 3. Cuál fue el estudio técnico o dictamen que diagnosticó la procedencia de la tala de los árboles que se encontraban en el parque de la soledad del municipio de Tecámac, colonia centro. </w:t>
      </w:r>
    </w:p>
    <w:p w:rsidR="00BE0BA7" w:rsidRPr="00946DC8" w:rsidRDefault="00F20017" w:rsidP="00F20017">
      <w:pPr>
        <w:spacing w:line="360" w:lineRule="auto"/>
        <w:ind w:left="1134" w:right="1134"/>
        <w:jc w:val="both"/>
        <w:rPr>
          <w:rFonts w:ascii="Palatino Linotype" w:eastAsia="Palatino Linotype" w:hAnsi="Palatino Linotype" w:cs="Palatino Linotype"/>
          <w:color w:val="000000"/>
        </w:rPr>
      </w:pPr>
      <w:r w:rsidRPr="00946DC8">
        <w:rPr>
          <w:rFonts w:ascii="Palatino Linotype" w:eastAsia="Palatino Linotype" w:hAnsi="Palatino Linotype" w:cs="Palatino Linotype"/>
          <w:i/>
          <w:color w:val="000000"/>
        </w:rPr>
        <w:t xml:space="preserve">4. </w:t>
      </w:r>
      <w:r w:rsidRPr="00946DC8">
        <w:rPr>
          <w:rFonts w:eastAsia="Palatino Linotype"/>
          <w:i/>
          <w:color w:val="000000"/>
        </w:rPr>
        <w:t>⁠</w:t>
      </w:r>
      <w:r w:rsidRPr="00946DC8">
        <w:rPr>
          <w:rFonts w:ascii="Palatino Linotype" w:eastAsia="Palatino Linotype" w:hAnsi="Palatino Linotype" w:cs="Palatino Linotype"/>
          <w:i/>
          <w:color w:val="000000"/>
        </w:rPr>
        <w:t>Cuál es el plan de reforestación o la acción para reparar el daño ambiental ocasionado por la tala de los árboles que se encontraban en el parque de la soledad del municipio de Tecámac, colonia centro.</w:t>
      </w:r>
    </w:p>
    <w:p w:rsidR="00490EC1" w:rsidRPr="00946DC8" w:rsidRDefault="00490EC1" w:rsidP="00490EC1">
      <w:pPr>
        <w:spacing w:before="240" w:after="240"/>
        <w:jc w:val="both"/>
        <w:rPr>
          <w:rFonts w:ascii="Palatino Linotype" w:eastAsia="Palatino Linotype" w:hAnsi="Palatino Linotype" w:cs="Palatino Linotype"/>
        </w:rPr>
      </w:pPr>
    </w:p>
    <w:p w:rsidR="008A5366" w:rsidRPr="00946DC8" w:rsidRDefault="008A5366" w:rsidP="00490EC1">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w:t>
      </w:r>
      <w:r w:rsidRPr="00946DC8">
        <w:rPr>
          <w:rFonts w:ascii="Palatino Linotype" w:eastAsia="Palatino Linotype" w:hAnsi="Palatino Linotype" w:cs="Palatino Linotype"/>
        </w:rPr>
        <w:lastRenderedPageBreak/>
        <w:t>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661CB3" w:rsidRPr="00946DC8" w:rsidRDefault="00661CB3" w:rsidP="00F20017">
      <w:pPr>
        <w:spacing w:before="240" w:after="240"/>
        <w:jc w:val="both"/>
        <w:rPr>
          <w:rFonts w:ascii="Palatino Linotype" w:eastAsia="Palatino Linotype" w:hAnsi="Palatino Linotype" w:cs="Palatino Linotype"/>
        </w:rPr>
      </w:pPr>
    </w:p>
    <w:p w:rsidR="008A5366" w:rsidRPr="00946DC8" w:rsidRDefault="008A5366" w:rsidP="00661CB3">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661CB3" w:rsidRPr="00946DC8" w:rsidRDefault="00661CB3" w:rsidP="00661CB3">
      <w:pPr>
        <w:pStyle w:val="Prrafodelista"/>
        <w:rPr>
          <w:rFonts w:ascii="Palatino Linotype" w:eastAsia="Palatino Linotype" w:hAnsi="Palatino Linotype" w:cs="Palatino Linotype"/>
        </w:rPr>
      </w:pPr>
    </w:p>
    <w:p w:rsidR="00A57280" w:rsidRPr="00946DC8" w:rsidRDefault="00A57280" w:rsidP="00661CB3">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 xml:space="preserve">Por lo que resulta necesario así mismo señalar que para el ejercicio de las funciones del Ayuntamiento, el mismo se estructura de acuerdo al artículo 39 del Bando Municipal como se lee: </w:t>
      </w:r>
    </w:p>
    <w:p w:rsidR="00A57280" w:rsidRPr="00946DC8" w:rsidRDefault="00A57280" w:rsidP="00A57280">
      <w:pPr>
        <w:pStyle w:val="Prrafodelista"/>
        <w:ind w:left="1134" w:right="1134"/>
        <w:rPr>
          <w:rFonts w:ascii="Palatino Linotype" w:hAnsi="Palatino Linotype"/>
          <w:i/>
        </w:rPr>
      </w:pPr>
      <w:r w:rsidRPr="00946DC8">
        <w:rPr>
          <w:rFonts w:ascii="Palatino Linotype" w:hAnsi="Palatino Linotype"/>
          <w:i/>
        </w:rPr>
        <w:t xml:space="preserve">I.Presidencia Municipal; </w:t>
      </w:r>
    </w:p>
    <w:p w:rsidR="00A57280" w:rsidRPr="00946DC8" w:rsidRDefault="00A57280" w:rsidP="00A57280">
      <w:pPr>
        <w:pStyle w:val="Prrafodelista"/>
        <w:ind w:left="1134" w:right="1134"/>
        <w:rPr>
          <w:rFonts w:ascii="Palatino Linotype" w:hAnsi="Palatino Linotype"/>
          <w:i/>
        </w:rPr>
      </w:pPr>
      <w:r w:rsidRPr="00946DC8">
        <w:rPr>
          <w:rFonts w:ascii="Palatino Linotype" w:hAnsi="Palatino Linotype"/>
          <w:i/>
        </w:rPr>
        <w:t xml:space="preserve">II. Secretaría del Ayuntamiento; </w:t>
      </w:r>
    </w:p>
    <w:p w:rsidR="00A57280" w:rsidRPr="00946DC8" w:rsidRDefault="00A57280" w:rsidP="00A57280">
      <w:pPr>
        <w:ind w:left="1134" w:right="1134"/>
        <w:rPr>
          <w:rFonts w:ascii="Palatino Linotype" w:hAnsi="Palatino Linotype"/>
          <w:i/>
        </w:rPr>
      </w:pPr>
      <w:r w:rsidRPr="00946DC8">
        <w:rPr>
          <w:rFonts w:ascii="Palatino Linotype" w:hAnsi="Palatino Linotype"/>
          <w:i/>
        </w:rPr>
        <w:t xml:space="preserve">III.Tesorería Municipal;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lastRenderedPageBreak/>
        <w:t xml:space="preserve">IV. Órgano Interno de Control de la Administración Pública Municipal Centralizada;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t xml:space="preserve">V. Órgano Interno de Control de la Administración Pública Municipal Descentralizada;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t xml:space="preserve">VI. Dirección General de Obras Públicas;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t xml:space="preserve">VII. Dirección General de Desarrollo Económico;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t xml:space="preserve">VIII. Guardia Civil Tecámac; </w:t>
      </w:r>
    </w:p>
    <w:p w:rsidR="00A57280" w:rsidRPr="00946DC8" w:rsidRDefault="00A57280" w:rsidP="00A57280">
      <w:pPr>
        <w:ind w:left="1134" w:right="1134"/>
        <w:rPr>
          <w:rFonts w:ascii="Palatino Linotype" w:eastAsia="Palatino Linotype" w:hAnsi="Palatino Linotype" w:cs="Palatino Linotype"/>
          <w:b/>
          <w:i/>
        </w:rPr>
      </w:pPr>
      <w:r w:rsidRPr="00946DC8">
        <w:rPr>
          <w:rFonts w:ascii="Palatino Linotype" w:hAnsi="Palatino Linotype"/>
          <w:b/>
          <w:i/>
        </w:rPr>
        <w:t xml:space="preserve">IX. Dirección General de Ecología y Administración del Medio Ambiente; </w:t>
      </w:r>
    </w:p>
    <w:p w:rsidR="00A57280" w:rsidRPr="00946DC8" w:rsidRDefault="00A57280" w:rsidP="00A57280">
      <w:pPr>
        <w:ind w:left="1134" w:right="1134"/>
        <w:rPr>
          <w:rFonts w:ascii="Palatino Linotype" w:eastAsia="Palatino Linotype" w:hAnsi="Palatino Linotype" w:cs="Palatino Linotype"/>
          <w:i/>
        </w:rPr>
      </w:pPr>
      <w:r w:rsidRPr="00946DC8">
        <w:rPr>
          <w:rFonts w:ascii="Palatino Linotype" w:hAnsi="Palatino Linotype"/>
          <w:i/>
        </w:rPr>
        <w:t xml:space="preserve">X. Dirección General de Planeación, Administración y Regulación del Territorio; </w:t>
      </w:r>
    </w:p>
    <w:p w:rsidR="00A57280" w:rsidRPr="00946DC8" w:rsidRDefault="00A57280" w:rsidP="00A57280">
      <w:pPr>
        <w:ind w:left="1134" w:right="1134"/>
        <w:rPr>
          <w:rFonts w:ascii="Palatino Linotype" w:hAnsi="Palatino Linotype"/>
          <w:i/>
        </w:rPr>
      </w:pPr>
      <w:r w:rsidRPr="00946DC8">
        <w:rPr>
          <w:rFonts w:ascii="Palatino Linotype" w:hAnsi="Palatino Linotype"/>
          <w:i/>
        </w:rPr>
        <w:t>XI. Dirección General Jurídica y Consultiva.</w:t>
      </w:r>
    </w:p>
    <w:p w:rsidR="00A57280" w:rsidRPr="00946DC8" w:rsidRDefault="00A57280" w:rsidP="00A57280">
      <w:pPr>
        <w:ind w:left="1134" w:right="1134"/>
        <w:rPr>
          <w:rFonts w:ascii="Palatino Linotype" w:hAnsi="Palatino Linotype"/>
          <w:i/>
        </w:rPr>
      </w:pPr>
    </w:p>
    <w:p w:rsidR="00A57280" w:rsidRPr="00946DC8" w:rsidRDefault="00A57280" w:rsidP="00A57280">
      <w:pPr>
        <w:spacing w:line="360" w:lineRule="auto"/>
        <w:jc w:val="both"/>
        <w:rPr>
          <w:rFonts w:ascii="Palatino Linotype" w:eastAsia="Palatino Linotype" w:hAnsi="Palatino Linotype" w:cs="Palatino Linotype"/>
        </w:rPr>
      </w:pPr>
      <w:r w:rsidRPr="00946DC8">
        <w:rPr>
          <w:rFonts w:ascii="Palatino Linotype" w:hAnsi="Palatino Linotype"/>
        </w:rPr>
        <w:t>Estructura organizacional que cuenta entre sus áreas a la Dirección General de Ecología y Administración del Medio Ambiente.</w:t>
      </w:r>
    </w:p>
    <w:p w:rsidR="008A5366" w:rsidRPr="00946DC8" w:rsidRDefault="008A5366" w:rsidP="00661CB3">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946DC8">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turnó la solicitud de información para su atención a la Dirección </w:t>
      </w:r>
      <w:r w:rsidR="00F20017" w:rsidRPr="00946DC8">
        <w:rPr>
          <w:rFonts w:ascii="Palatino Linotype" w:eastAsia="Palatino Linotype" w:hAnsi="Palatino Linotype" w:cs="Palatino Linotype"/>
        </w:rPr>
        <w:t>General de Ecología y Administración del medio Ambiente</w:t>
      </w:r>
      <w:r w:rsidRPr="00946DC8">
        <w:rPr>
          <w:rFonts w:ascii="Palatino Linotype" w:eastAsia="Palatino Linotype" w:hAnsi="Palatino Linotype" w:cs="Palatino Linotype"/>
        </w:rPr>
        <w:t xml:space="preserve">, </w:t>
      </w:r>
      <w:r w:rsidR="00F20017" w:rsidRPr="00946DC8">
        <w:rPr>
          <w:rFonts w:ascii="Palatino Linotype" w:eastAsia="Palatino Linotype" w:hAnsi="Palatino Linotype" w:cs="Palatino Linotype"/>
        </w:rPr>
        <w:t>cuyas atribuciones se enuncian dentro del Bando Municipal a saber:</w:t>
      </w:r>
    </w:p>
    <w:p w:rsidR="00F20017" w:rsidRPr="00946DC8" w:rsidRDefault="00F20017" w:rsidP="00F20017">
      <w:pPr>
        <w:pStyle w:val="Prrafodelista"/>
        <w:spacing w:before="240" w:after="240" w:line="276" w:lineRule="auto"/>
        <w:ind w:left="1134" w:right="1134"/>
        <w:jc w:val="both"/>
        <w:rPr>
          <w:rFonts w:ascii="Palatino Linotype" w:eastAsia="Palatino Linotype" w:hAnsi="Palatino Linotype" w:cs="Palatino Linotype"/>
          <w:i/>
        </w:rPr>
      </w:pPr>
      <w:r w:rsidRPr="00946DC8">
        <w:rPr>
          <w:rFonts w:ascii="Palatino Linotype" w:hAnsi="Palatino Linotype"/>
          <w:i/>
        </w:rPr>
        <w:t xml:space="preserve">Artículo 48. La Dirección General de Ecología y Administración del Medio Ambiente será la responsable de ejecutar las facultades y atribuciones del Ayuntamiento en materia de preservación y cuidado del medio ambiente, por otro lado, operará la prestación de los servicios de mantenimiento de parques y jardines, limpia, recolección y disposición final de residuos sólidos urbanos, salud animal y la administración, conforme a la Ley General de Equilibrio Ecológico y Protección al Ambiente, al Código para la Biodiversidad del Estado de México y demás disposiciones aplicables. Su titular será denominado “Directora o Director General de Ecología y Administración del </w:t>
      </w:r>
      <w:r w:rsidRPr="00946DC8">
        <w:rPr>
          <w:rFonts w:ascii="Palatino Linotype" w:hAnsi="Palatino Linotype"/>
          <w:i/>
        </w:rPr>
        <w:lastRenderedPageBreak/>
        <w:t>Medio Ambiente”, y tendrá facultades amplias de revisión, supervisión y visto bueno respecto de las actuaciones llevadas a cabo por los titulares de las áreas administrativas a su cargo, en el entendido que las facultades, atribuciones y cumplimiento de requisitos previstos en los artículos 32, 87 fracción VI, 96 Octies y 96 Nonies de la Ley Orgánica Municipal del Estado de México y demás disposiciones aplicables, se entenderán conferidas al Subdirector de Ecología. La Directora o Director General tendrá a su cargo las siguientes áreas administrativas: I.Subdirección de Ecología: a.Departamento de Mantenimiento de Parques, Jardines y Espacios Públicos, Zona Centro – Norte; b.Departamento de Mantenimiento de Parques, Jardines y Espacios Públicos, Zona Sur c.Departamento de Arbolado y Apicultura; II.Subdirección de Residuos Sólidos Urbanos a.Departamento de Residuos Sólidos Casa Habitación b.Departamento de Residuos Sólidos Urbanos y Comerciales III.Unidad de Control y Bienestar Animal, y IV.Departamento de Gestión Administrativa e Informática</w:t>
      </w:r>
    </w:p>
    <w:p w:rsidR="00661CB3" w:rsidRPr="00946DC8" w:rsidRDefault="00661CB3" w:rsidP="00661CB3">
      <w:pPr>
        <w:spacing w:before="240" w:after="240"/>
        <w:jc w:val="both"/>
        <w:rPr>
          <w:rFonts w:ascii="Palatino Linotype" w:eastAsia="Palatino Linotype" w:hAnsi="Palatino Linotype" w:cs="Palatino Linotype"/>
        </w:rPr>
      </w:pPr>
    </w:p>
    <w:p w:rsidR="00A57280" w:rsidRPr="00946DC8" w:rsidRDefault="00A57280" w:rsidP="00946DC8">
      <w:pPr>
        <w:pStyle w:val="Prrafodelista"/>
        <w:numPr>
          <w:ilvl w:val="0"/>
          <w:numId w:val="2"/>
        </w:numPr>
        <w:spacing w:before="240" w:after="240" w:line="360" w:lineRule="auto"/>
        <w:ind w:left="0" w:firstLine="0"/>
        <w:jc w:val="both"/>
        <w:rPr>
          <w:rFonts w:ascii="Palatino Linotype" w:hAnsi="Palatino Linotype"/>
        </w:rPr>
      </w:pPr>
      <w:r w:rsidRPr="00946DC8">
        <w:rPr>
          <w:rFonts w:ascii="Palatino Linotype" w:hAnsi="Palatino Linotype"/>
        </w:rPr>
        <w:t xml:space="preserve">Así mismo, ya que si bien es cierto el requerimiento de información fue turnado a la Dirección General de Ecología y Administración del Medio Ambiente derivado de  la interpretación que el Titular de la Unidad de Transparencia realizó de la solicitud de información  y de que el particular no resulta experto en la terminología de administración pública o incluso transparencia, en este sentido, se comprende que resultan de su interés los documentos donde se aprecien </w:t>
      </w:r>
      <w:r w:rsidRPr="00946DC8">
        <w:rPr>
          <w:rFonts w:ascii="Palatino Linotype" w:hAnsi="Palatino Linotype"/>
          <w:i/>
        </w:rPr>
        <w:t xml:space="preserve">las acciones </w:t>
      </w:r>
      <w:r w:rsidR="00DC1BA3" w:rsidRPr="00946DC8">
        <w:rPr>
          <w:rFonts w:ascii="Palatino Linotype" w:hAnsi="Palatino Linotype"/>
          <w:i/>
        </w:rPr>
        <w:t>que motivaron el</w:t>
      </w:r>
      <w:r w:rsidR="00DC1BA3" w:rsidRPr="00946DC8">
        <w:rPr>
          <w:rFonts w:ascii="Palatino Linotype" w:hAnsi="Palatino Linotype"/>
        </w:rPr>
        <w:t xml:space="preserve"> </w:t>
      </w:r>
      <w:r w:rsidRPr="00946DC8">
        <w:rPr>
          <w:rFonts w:ascii="Palatino Linotype" w:hAnsi="Palatino Linotype"/>
          <w:i/>
        </w:rPr>
        <w:t xml:space="preserve"> derribo de árboles</w:t>
      </w:r>
      <w:r w:rsidR="00DC1BA3" w:rsidRPr="00946DC8">
        <w:rPr>
          <w:rFonts w:ascii="Palatino Linotype" w:hAnsi="Palatino Linotype"/>
          <w:i/>
        </w:rPr>
        <w:t xml:space="preserve"> en el  parque la Soledad, Colonia Centro del Municipio, así como conocer el nombre del funcionario o funcionarios que autorizaron tales acciones, el estudio técnico o dictamen para acreditar su proceder y el plan para reforestar y/o reparar el daño ocasionado por las mismas; </w:t>
      </w:r>
      <w:r w:rsidRPr="00946DC8">
        <w:rPr>
          <w:rFonts w:ascii="Palatino Linotype" w:hAnsi="Palatino Linotype"/>
        </w:rPr>
        <w:t xml:space="preserve"> requerimiento</w:t>
      </w:r>
      <w:r w:rsidR="00DC1BA3" w:rsidRPr="00946DC8">
        <w:rPr>
          <w:rFonts w:ascii="Palatino Linotype" w:hAnsi="Palatino Linotype"/>
        </w:rPr>
        <w:t xml:space="preserve">s de información hechos </w:t>
      </w:r>
      <w:r w:rsidRPr="00946DC8">
        <w:rPr>
          <w:rFonts w:ascii="Palatino Linotype" w:hAnsi="Palatino Linotype"/>
        </w:rPr>
        <w:t>valer en la interposición del presente recurso.</w:t>
      </w:r>
    </w:p>
    <w:p w:rsidR="00A57280" w:rsidRPr="00946DC8" w:rsidRDefault="00A57280" w:rsidP="00946DC8">
      <w:pPr>
        <w:pStyle w:val="Prrafodelista"/>
        <w:numPr>
          <w:ilvl w:val="0"/>
          <w:numId w:val="2"/>
        </w:numPr>
        <w:spacing w:before="240" w:after="240" w:line="360" w:lineRule="auto"/>
        <w:ind w:left="0" w:firstLine="0"/>
        <w:jc w:val="both"/>
        <w:rPr>
          <w:rFonts w:ascii="Palatino Linotype" w:hAnsi="Palatino Linotype"/>
        </w:rPr>
      </w:pPr>
      <w:r w:rsidRPr="00946DC8">
        <w:rPr>
          <w:rFonts w:ascii="Palatino Linotype" w:hAnsi="Palatino Linotype"/>
        </w:rPr>
        <w:lastRenderedPageBreak/>
        <w:t xml:space="preserve">Dichas precisiones, con fundamento en los artículos 13 y 181 cuarto párrafo de la Ley en materia, los cuales a la letra rezan: </w:t>
      </w:r>
    </w:p>
    <w:p w:rsidR="00A57280" w:rsidRPr="00946DC8" w:rsidRDefault="00A57280" w:rsidP="00DC1BA3">
      <w:pPr>
        <w:spacing w:before="240" w:after="240" w:line="360" w:lineRule="auto"/>
        <w:ind w:left="1134" w:right="1134"/>
        <w:jc w:val="both"/>
        <w:rPr>
          <w:rFonts w:ascii="Palatino Linotype" w:hAnsi="Palatino Linotype"/>
          <w:i/>
        </w:rPr>
      </w:pPr>
      <w:r w:rsidRPr="00946DC8">
        <w:rPr>
          <w:rFonts w:ascii="Palatino Linotype" w:hAnsi="Palatino Linotype"/>
        </w:rPr>
        <w:t>“</w:t>
      </w:r>
      <w:r w:rsidRPr="00946DC8">
        <w:rPr>
          <w:rFonts w:ascii="Palatino Linotype" w:hAnsi="Palatino Linotype"/>
          <w:i/>
        </w:rPr>
        <w:t>Artículo 13. El Instituto, en el ámbito de sus atribuciones, deberá suplir cualquier deficiencia para garantizar el ejercicio del derecho de acceso a la información.</w:t>
      </w:r>
    </w:p>
    <w:p w:rsidR="00A57280" w:rsidRPr="00946DC8" w:rsidRDefault="00A57280" w:rsidP="00DC1BA3">
      <w:pPr>
        <w:spacing w:before="240" w:after="240" w:line="360" w:lineRule="auto"/>
        <w:ind w:left="1134" w:right="1134"/>
        <w:jc w:val="both"/>
        <w:rPr>
          <w:rFonts w:ascii="Palatino Linotype" w:hAnsi="Palatino Linotype"/>
          <w:i/>
        </w:rPr>
      </w:pPr>
      <w:r w:rsidRPr="00946DC8">
        <w:rPr>
          <w:rFonts w:ascii="Palatino Linotype" w:hAnsi="Palatino Linotype"/>
          <w:i/>
        </w:rPr>
        <w:t xml:space="preserve">Artículo 181. … </w:t>
      </w:r>
    </w:p>
    <w:p w:rsidR="00A57280" w:rsidRDefault="00A57280" w:rsidP="00DC1BA3">
      <w:pPr>
        <w:spacing w:before="240" w:after="240" w:line="360" w:lineRule="auto"/>
        <w:ind w:left="1134" w:right="1134"/>
        <w:jc w:val="both"/>
        <w:rPr>
          <w:rFonts w:ascii="Palatino Linotype" w:hAnsi="Palatino Linotype"/>
          <w:i/>
        </w:rPr>
      </w:pPr>
      <w:r w:rsidRPr="00946DC8">
        <w:rPr>
          <w:rFonts w:ascii="Palatino Linotype" w:hAnsi="Palatino Linotype"/>
          <w:i/>
        </w:rPr>
        <w:t>Durante el procedimiento deberá aplicarse la suplencia de la queja a favor del recurrente, sin cambiar los hechos expuestos, asegurándose de que las partes puedan presentar, de manera oral o escrita, los argumentos que funden y motiven sus pretensiones.” [Sic]</w:t>
      </w:r>
    </w:p>
    <w:p w:rsidR="00946DC8" w:rsidRPr="00946DC8" w:rsidRDefault="00946DC8" w:rsidP="00DC1BA3">
      <w:pPr>
        <w:spacing w:before="240" w:after="240" w:line="360" w:lineRule="auto"/>
        <w:ind w:left="1134" w:right="1134"/>
        <w:jc w:val="both"/>
        <w:rPr>
          <w:rFonts w:ascii="Palatino Linotype" w:hAnsi="Palatino Linotype"/>
          <w:i/>
        </w:rPr>
      </w:pPr>
    </w:p>
    <w:p w:rsidR="00DC1BA3" w:rsidRPr="00946DC8" w:rsidRDefault="00DC1BA3" w:rsidP="00661CB3">
      <w:pPr>
        <w:pStyle w:val="Prrafodelista"/>
        <w:numPr>
          <w:ilvl w:val="0"/>
          <w:numId w:val="2"/>
        </w:numPr>
        <w:spacing w:before="240" w:after="240" w:line="360" w:lineRule="auto"/>
        <w:ind w:left="0" w:firstLine="0"/>
        <w:jc w:val="both"/>
        <w:rPr>
          <w:rFonts w:ascii="Palatino Linotype" w:hAnsi="Palatino Linotype"/>
        </w:rPr>
      </w:pPr>
      <w:r w:rsidRPr="00946DC8">
        <w:rPr>
          <w:rFonts w:ascii="Palatino Linotype" w:hAnsi="Palatino Linotype"/>
        </w:rPr>
        <w:t xml:space="preserve">Así mismo, este órgano Garante localizó diversas notas periodísticas que dan cuenta </w:t>
      </w:r>
      <w:r w:rsidR="00DB14A0" w:rsidRPr="00946DC8">
        <w:rPr>
          <w:rFonts w:ascii="Palatino Linotype" w:hAnsi="Palatino Linotype"/>
        </w:rPr>
        <w:t xml:space="preserve">como Hechos Notorios acerca </w:t>
      </w:r>
      <w:r w:rsidRPr="00946DC8">
        <w:rPr>
          <w:rFonts w:ascii="Palatino Linotype" w:hAnsi="Palatino Linotype"/>
        </w:rPr>
        <w:t>de las acciones de “tala de árboles” por personal del Ayuntamiento en el referido parque como se aprecia de las siguientes capturas de pantalla:</w:t>
      </w:r>
    </w:p>
    <w:p w:rsidR="00DC1BA3" w:rsidRPr="00946DC8" w:rsidRDefault="00DC1BA3" w:rsidP="00DC1BA3">
      <w:pPr>
        <w:tabs>
          <w:tab w:val="left" w:pos="2039"/>
        </w:tabs>
        <w:spacing w:before="240" w:after="240" w:line="360" w:lineRule="auto"/>
        <w:jc w:val="center"/>
        <w:rPr>
          <w:rFonts w:ascii="Palatino Linotype" w:hAnsi="Palatino Linotype"/>
        </w:rPr>
      </w:pPr>
      <w:r w:rsidRPr="00946DC8">
        <w:rPr>
          <w:rFonts w:ascii="Palatino Linotype" w:hAnsi="Palatino Linotype"/>
          <w:noProof/>
        </w:rPr>
        <w:lastRenderedPageBreak/>
        <w:drawing>
          <wp:inline distT="0" distB="0" distL="0" distR="0" wp14:anchorId="3EAEADFA" wp14:editId="0EE97624">
            <wp:extent cx="5022595" cy="6078931"/>
            <wp:effectExtent l="19050" t="19050" r="2603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106" cy="6147328"/>
                    </a:xfrm>
                    <a:prstGeom prst="rect">
                      <a:avLst/>
                    </a:prstGeom>
                    <a:ln>
                      <a:solidFill>
                        <a:schemeClr val="accent1"/>
                      </a:solidFill>
                    </a:ln>
                  </pic:spPr>
                </pic:pic>
              </a:graphicData>
            </a:graphic>
          </wp:inline>
        </w:drawing>
      </w:r>
    </w:p>
    <w:p w:rsidR="00DC1BA3" w:rsidRPr="00946DC8" w:rsidRDefault="00DC1BA3" w:rsidP="00DC1BA3">
      <w:pPr>
        <w:tabs>
          <w:tab w:val="left" w:pos="0"/>
        </w:tabs>
        <w:spacing w:before="240" w:after="240" w:line="360" w:lineRule="auto"/>
        <w:jc w:val="center"/>
        <w:rPr>
          <w:rFonts w:ascii="Palatino Linotype" w:hAnsi="Palatino Linotype"/>
        </w:rPr>
      </w:pPr>
      <w:r w:rsidRPr="00946DC8">
        <w:rPr>
          <w:rFonts w:ascii="Palatino Linotype" w:hAnsi="Palatino Linotype"/>
          <w:noProof/>
        </w:rPr>
        <w:lastRenderedPageBreak/>
        <w:drawing>
          <wp:inline distT="0" distB="0" distL="0" distR="0" wp14:anchorId="0A7817FE" wp14:editId="0CB62987">
            <wp:extent cx="3781050" cy="1781980"/>
            <wp:effectExtent l="19050" t="19050" r="10160"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5287" cy="1868809"/>
                    </a:xfrm>
                    <a:prstGeom prst="rect">
                      <a:avLst/>
                    </a:prstGeom>
                    <a:ln>
                      <a:solidFill>
                        <a:schemeClr val="accent1"/>
                      </a:solidFill>
                    </a:ln>
                  </pic:spPr>
                </pic:pic>
              </a:graphicData>
            </a:graphic>
          </wp:inline>
        </w:drawing>
      </w:r>
      <w:r w:rsidRPr="00946DC8">
        <w:rPr>
          <w:rStyle w:val="Refdenotaalpie"/>
          <w:rFonts w:ascii="Palatino Linotype" w:hAnsi="Palatino Linotype"/>
        </w:rPr>
        <w:footnoteReference w:id="5"/>
      </w:r>
    </w:p>
    <w:p w:rsidR="00DB14A0" w:rsidRDefault="00DB14A0" w:rsidP="00DC1BA3">
      <w:pPr>
        <w:tabs>
          <w:tab w:val="left" w:pos="0"/>
        </w:tabs>
        <w:spacing w:before="240" w:after="240" w:line="360" w:lineRule="auto"/>
        <w:jc w:val="center"/>
        <w:rPr>
          <w:rFonts w:ascii="Palatino Linotype" w:hAnsi="Palatino Linotype"/>
        </w:rPr>
      </w:pPr>
      <w:r w:rsidRPr="00946DC8">
        <w:rPr>
          <w:rFonts w:ascii="Palatino Linotype" w:hAnsi="Palatino Linotype"/>
          <w:noProof/>
        </w:rPr>
        <w:drawing>
          <wp:inline distT="0" distB="0" distL="0" distR="0" wp14:anchorId="70F06089" wp14:editId="545F9319">
            <wp:extent cx="3258465" cy="3715237"/>
            <wp:effectExtent l="19050" t="19050" r="1841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3528" cy="3778019"/>
                    </a:xfrm>
                    <a:prstGeom prst="rect">
                      <a:avLst/>
                    </a:prstGeom>
                    <a:ln>
                      <a:solidFill>
                        <a:schemeClr val="accent1"/>
                      </a:solidFill>
                    </a:ln>
                  </pic:spPr>
                </pic:pic>
              </a:graphicData>
            </a:graphic>
          </wp:inline>
        </w:drawing>
      </w:r>
      <w:r w:rsidRPr="00946DC8">
        <w:rPr>
          <w:rStyle w:val="Refdenotaalpie"/>
          <w:rFonts w:ascii="Palatino Linotype" w:hAnsi="Palatino Linotype"/>
        </w:rPr>
        <w:footnoteReference w:id="6"/>
      </w:r>
    </w:p>
    <w:p w:rsidR="00946DC8" w:rsidRDefault="00946DC8" w:rsidP="00946DC8">
      <w:pPr>
        <w:pStyle w:val="Prrafodelista"/>
        <w:spacing w:line="360" w:lineRule="auto"/>
        <w:ind w:left="0" w:right="49"/>
        <w:contextualSpacing w:val="0"/>
        <w:jc w:val="both"/>
        <w:rPr>
          <w:rFonts w:ascii="Palatino Linotype" w:hAnsi="Palatino Linotype"/>
          <w:lang w:val="es-ES_tradnl"/>
        </w:rPr>
      </w:pPr>
    </w:p>
    <w:p w:rsidR="00DB14A0" w:rsidRPr="00946DC8" w:rsidRDefault="00DB14A0" w:rsidP="000A4A86">
      <w:pPr>
        <w:pStyle w:val="Prrafodelista"/>
        <w:numPr>
          <w:ilvl w:val="0"/>
          <w:numId w:val="31"/>
        </w:numPr>
        <w:spacing w:line="360" w:lineRule="auto"/>
        <w:ind w:left="0" w:right="49" w:firstLine="0"/>
        <w:contextualSpacing w:val="0"/>
        <w:jc w:val="both"/>
        <w:rPr>
          <w:rFonts w:ascii="Palatino Linotype" w:hAnsi="Palatino Linotype"/>
          <w:lang w:val="es-ES_tradnl"/>
        </w:rPr>
      </w:pPr>
      <w:r w:rsidRPr="00946DC8">
        <w:rPr>
          <w:rFonts w:ascii="Palatino Linotype" w:hAnsi="Palatino Linotype"/>
          <w:lang w:val="es-ES_tradnl"/>
        </w:rPr>
        <w:lastRenderedPageBreak/>
        <w:t>De lo anterior es aplicable lo siguiente:</w:t>
      </w:r>
    </w:p>
    <w:p w:rsidR="00DB14A0" w:rsidRPr="00946DC8" w:rsidRDefault="00DB14A0" w:rsidP="00DB14A0">
      <w:pPr>
        <w:pBdr>
          <w:top w:val="nil"/>
          <w:left w:val="nil"/>
          <w:bottom w:val="nil"/>
          <w:right w:val="nil"/>
          <w:between w:val="nil"/>
        </w:pBdr>
        <w:ind w:left="1135"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rPr>
        <w:t>”</w:t>
      </w:r>
      <w:r w:rsidRPr="00946DC8">
        <w:rPr>
          <w:rFonts w:ascii="Palatino Linotype" w:eastAsia="Palatino Linotype" w:hAnsi="Palatino Linotype" w:cs="Palatino Linotype"/>
          <w:b/>
          <w:i/>
        </w:rPr>
        <w:t>HECHOS NOTORIOS. CONCEPTOS GENERAL Y JURÍDICO</w:t>
      </w:r>
    </w:p>
    <w:p w:rsidR="00DB14A0" w:rsidRPr="00946DC8" w:rsidRDefault="00DB14A0" w:rsidP="00DB14A0">
      <w:pPr>
        <w:ind w:left="1135"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 xml:space="preserve">Conforme al artículo </w:t>
      </w:r>
      <w:hyperlink r:id="rId11">
        <w:r w:rsidRPr="00946DC8">
          <w:rPr>
            <w:rFonts w:ascii="Palatino Linotype" w:eastAsia="Palatino Linotype" w:hAnsi="Palatino Linotype" w:cs="Palatino Linotype"/>
            <w:i/>
          </w:rPr>
          <w:t>88 del Código Federal de Procedimientos Civiles</w:t>
        </w:r>
      </w:hyperlink>
      <w:r w:rsidRPr="00946DC8">
        <w:rPr>
          <w:rFonts w:ascii="Palatino Linotype" w:eastAsia="Palatino Linotype" w:hAnsi="Palatino Linotype" w:cs="Palatino Linotype"/>
          <w:i/>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DB14A0" w:rsidRPr="00946DC8" w:rsidRDefault="00DB14A0" w:rsidP="00DB14A0">
      <w:pPr>
        <w:ind w:left="1135"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DB14A0" w:rsidRPr="00946DC8" w:rsidRDefault="00DB14A0" w:rsidP="00DB14A0">
      <w:pPr>
        <w:ind w:left="1135"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DB14A0" w:rsidRPr="00946DC8" w:rsidRDefault="00DB14A0" w:rsidP="00DB14A0">
      <w:pPr>
        <w:ind w:left="1135"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DB14A0" w:rsidRPr="00946DC8" w:rsidRDefault="00DB14A0" w:rsidP="00DB14A0">
      <w:pPr>
        <w:ind w:left="1135" w:right="1134"/>
        <w:jc w:val="both"/>
        <w:rPr>
          <w:rFonts w:ascii="Palatino Linotype" w:eastAsia="Palatino Linotype" w:hAnsi="Palatino Linotype" w:cs="Palatino Linotype"/>
          <w:i/>
        </w:rPr>
      </w:pPr>
      <w:r w:rsidRPr="00946DC8">
        <w:rPr>
          <w:rFonts w:ascii="Palatino Linotype" w:eastAsia="Palatino Linotype" w:hAnsi="Palatino Linotype" w:cs="Palatino Linotype"/>
          <w:b/>
          <w:i/>
        </w:rPr>
        <w:t>PÁGINAS WEB O ELECTRÓNICAS. SU CONTENIDO ES UN HECHO NOTORIO Y SUSCEPTIBLE DE SER VALORADO EN UNA DECISIÓN JUDICIAL.</w:t>
      </w:r>
      <w:r w:rsidRPr="00946DC8">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w:t>
      </w:r>
      <w:r w:rsidRPr="00946DC8">
        <w:rPr>
          <w:rFonts w:ascii="Palatino Linotype" w:eastAsia="Palatino Linotype" w:hAnsi="Palatino Linotype" w:cs="Palatino Linotype"/>
          <w:i/>
        </w:rPr>
        <w:lastRenderedPageBreak/>
        <w:t xml:space="preserve">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DB14A0" w:rsidRPr="00946DC8" w:rsidRDefault="00DB14A0" w:rsidP="00DB14A0">
      <w:pPr>
        <w:spacing w:line="360" w:lineRule="auto"/>
        <w:ind w:left="1135" w:right="1134"/>
        <w:jc w:val="both"/>
        <w:rPr>
          <w:rFonts w:ascii="Palatino Linotype" w:hAnsi="Palatino Linotype"/>
          <w:lang w:val="es-ES_tradnl"/>
        </w:rPr>
      </w:pPr>
      <w:r w:rsidRPr="00946DC8">
        <w:rPr>
          <w:rFonts w:ascii="Palatino Linotype" w:eastAsia="Palatino Linotype" w:hAnsi="Palatino Linotype" w:cs="Palatino Linotype"/>
          <w:i/>
        </w:rPr>
        <w:t>TERCER TRIBUNAL COLEGIADO EN MATERIA CIVIL DEL PRIMER CIRCUITO. Amparo en revisión 365/2012. Mardygras, S.A. de C.V. 7 de diciembre de 2012. Unanimidad de votos. Ponente: Neófito López Ramos. Secretaria: Ana Lilia Osorno Arroyo.</w:t>
      </w:r>
    </w:p>
    <w:p w:rsidR="00DB14A0" w:rsidRPr="00946DC8" w:rsidRDefault="00DB14A0"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t xml:space="preserve">Es necesario señalar que el derribo de árboles en el estado de México </w:t>
      </w:r>
      <w:r w:rsidR="00B417C3" w:rsidRPr="00946DC8">
        <w:rPr>
          <w:rFonts w:ascii="Palatino Linotype" w:hAnsi="Palatino Linotype"/>
        </w:rPr>
        <w:t>se encuentra regulado en primer lugar por el Código para la Biodiversidad del estado de México como se aprecia:</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Artículo 1.1. El presente Código es de observancia general en el Estado de México, sus disposiciones son de orden público e interés social y tienen por objeto regular las materias siguientes:</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I. Equilibrio Ecológico, la Protección al Patrimonio Natural y Biocultural del Estado de México y el Fomento al Desarrollo Sostenible;</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II. Fomento para el Desarrollo Forestal Sostenible;</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III. Prevención y Gestión Integral de Residuos;</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lastRenderedPageBreak/>
        <w:t>IV. Preservación, Fomento y Aprovechamiento Sostenible de la Vida Silvestre;</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V. Protección y Bienestar Animal.</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Se regulan estas materias con el fin de impulsar y promover la conservación, la preservación, la rehabilitación, la remediación, el mejoramiento y el mantenimiento de los ecosistemas, la recuperación y restauración del equilibrio ecológico, la prevención del daño a la salud y deterioro a la biodiversidad y los elementos que la componen en su conjunto, la gestión y el fomento de la protección al medio ambiente y la planeación ambiental, el aprovechamiento y el uso sostenible de los elementos y recursos naturales y de los bienes ambientales, la internalización y la distribución en forma justa de los beneficios y costos derivados sustentados en proporcionar certidumbre a los mercados en el marco de las políticas establecidas para el desarrollo sostenible en el Estado.</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Artículo 1.2. Son objetivos generales del presente Código:</w:t>
      </w:r>
    </w:p>
    <w:p w:rsidR="00B417C3" w:rsidRPr="00946DC8" w:rsidRDefault="00B417C3" w:rsidP="00B417C3">
      <w:pPr>
        <w:spacing w:before="240" w:after="240"/>
        <w:ind w:left="1134" w:right="1134"/>
        <w:jc w:val="both"/>
        <w:rPr>
          <w:rFonts w:ascii="Palatino Linotype" w:hAnsi="Palatino Linotype"/>
          <w:b/>
          <w:i/>
        </w:rPr>
      </w:pPr>
      <w:r w:rsidRPr="00946DC8">
        <w:rPr>
          <w:rFonts w:ascii="Palatino Linotype" w:hAnsi="Palatino Linotype"/>
          <w:b/>
          <w:i/>
        </w:rPr>
        <w:t>I. Garantizar el derecho de toda persona a vivir en un ambiente adecuado para su desarrollo, salud y bienestar;</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 xml:space="preserve">II. Promover y regular el uso y aprovechamiento sostenible, la conservación, la remediación, la rehabilitación y la restauración de elementos naturales, recursos naturales y de los bienes ambientales, la protección y promoción de los conocimientos tradicionales de los pueblos indígenas relacionados con el aprovechamiento y manejo de los recursos naturales; asimismo alentar el cuidado de la biodiversidad de forma que sea compatible la obtención de beneficios económicos con la recuperación y la preservación de los ecosistemas y sus hábitats; </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III.Garantizar el derecho de las comunidades y pueblos indígenas, al uso y disfrute de los recursos naturales localizados en los lugares que ocupen o habiten, en los términos de los artículos 1° y 2º de la Constitución Política de los Estados Unidos Mexicanos;</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lastRenderedPageBreak/>
        <w:t xml:space="preserve"> IV. </w:t>
      </w:r>
      <w:r w:rsidRPr="00946DC8">
        <w:rPr>
          <w:rFonts w:ascii="Palatino Linotype" w:hAnsi="Palatino Linotype"/>
          <w:b/>
          <w:i/>
        </w:rPr>
        <w:t>Diseño, desarrollo e instrumentación de estímulos fiscales impulsando instrumentos económicos en favor del mejoramiento, conservación, preservación, mejoramiento, recuperación, remediación, restauración, uso, aprovechamiento y desarrollo sostenible de la biodiversidad en su conjunto;</w:t>
      </w:r>
      <w:r w:rsidRPr="00946DC8">
        <w:rPr>
          <w:rFonts w:ascii="Palatino Linotype" w:hAnsi="Palatino Linotype"/>
          <w:i/>
        </w:rPr>
        <w:t xml:space="preserve"> </w:t>
      </w:r>
    </w:p>
    <w:p w:rsidR="00B417C3" w:rsidRPr="00946DC8" w:rsidRDefault="00B417C3" w:rsidP="00B417C3">
      <w:pPr>
        <w:spacing w:before="240" w:after="240"/>
        <w:ind w:left="1134" w:right="1134"/>
        <w:jc w:val="both"/>
        <w:rPr>
          <w:rFonts w:ascii="Palatino Linotype" w:hAnsi="Palatino Linotype"/>
          <w:b/>
          <w:i/>
        </w:rPr>
      </w:pPr>
      <w:r w:rsidRPr="00946DC8">
        <w:rPr>
          <w:rFonts w:ascii="Palatino Linotype" w:hAnsi="Palatino Linotype"/>
          <w:i/>
        </w:rPr>
        <w:t xml:space="preserve">V. </w:t>
      </w:r>
      <w:r w:rsidRPr="00946DC8">
        <w:rPr>
          <w:rFonts w:ascii="Palatino Linotype" w:hAnsi="Palatino Linotype"/>
          <w:b/>
          <w:i/>
        </w:rPr>
        <w:t xml:space="preserve">Fomentar la participación corresponsable de la sociedad en las acciones de preservación, remediación, rehabilitación y restauración del equilibrio ecológico y del medio ambiente y de todas las actividades en favor de la protección a la biodiversidad; </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VI. Regular y promover la educación y la cultura ambiental en todos los sectores de la sociedad del uso y aprovechamiento racional de la biodiversidad de sus elementos y recursos naturales y de la tecnología e investigación ambiental;</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 xml:space="preserve">VII. Propiciar el desarrollo sostenible mediante el aprovechamiento y uso racional de los elementos naturales, de los recursos naturales y de los bienes ambientales; </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 xml:space="preserve">VIII. Protección, conservación, preservación, rehabilitación, restauración, recuperación y remediación de la biodiversidad y sus componentes; </w:t>
      </w:r>
    </w:p>
    <w:p w:rsidR="00B417C3" w:rsidRPr="00946DC8" w:rsidRDefault="00B417C3" w:rsidP="00B417C3">
      <w:pPr>
        <w:spacing w:before="240" w:after="240"/>
        <w:ind w:left="1134" w:right="1134"/>
        <w:jc w:val="both"/>
        <w:rPr>
          <w:rFonts w:ascii="Palatino Linotype" w:hAnsi="Palatino Linotype"/>
          <w:i/>
        </w:rPr>
      </w:pPr>
      <w:r w:rsidRPr="00946DC8">
        <w:rPr>
          <w:rFonts w:ascii="Palatino Linotype" w:hAnsi="Palatino Linotype"/>
          <w:i/>
        </w:rPr>
        <w:t xml:space="preserve">IX. Promover la aplicación racional y el manejo de los pagos de servicios ambientales o ecosistémicos derivados de las actividades humanas sostenibles; y </w:t>
      </w:r>
    </w:p>
    <w:p w:rsidR="00D041EF" w:rsidRPr="00946DC8" w:rsidRDefault="00B417C3" w:rsidP="00D041EF">
      <w:pPr>
        <w:spacing w:before="240" w:after="240"/>
        <w:ind w:left="1134" w:right="1134"/>
        <w:jc w:val="both"/>
      </w:pPr>
      <w:r w:rsidRPr="00946DC8">
        <w:rPr>
          <w:rFonts w:ascii="Palatino Linotype" w:hAnsi="Palatino Linotype"/>
          <w:i/>
        </w:rPr>
        <w:t>X. El reconocimiento, conservación y uso sostenible del Patrimonio Natural y Biocultural del Estado de México como base para el desarrollo sostenible, la justicia ambiental y la equidad intergeneracional.</w:t>
      </w:r>
      <w:r w:rsidR="00D041EF" w:rsidRPr="00946DC8">
        <w:t xml:space="preserve"> </w:t>
      </w:r>
    </w:p>
    <w:p w:rsidR="00D041EF" w:rsidRPr="00946DC8" w:rsidRDefault="00D041EF" w:rsidP="00D041EF">
      <w:pPr>
        <w:spacing w:before="240" w:after="240"/>
        <w:ind w:left="1134" w:right="1134"/>
        <w:jc w:val="both"/>
        <w:rPr>
          <w:rFonts w:ascii="Palatino Linotype" w:hAnsi="Palatino Linotype"/>
          <w:i/>
        </w:rPr>
      </w:pPr>
      <w:r w:rsidRPr="00946DC8">
        <w:rPr>
          <w:rFonts w:ascii="Palatino Linotype" w:hAnsi="Palatino Linotype"/>
          <w:b/>
          <w:i/>
        </w:rPr>
        <w:t>Artículo 2.61.</w:t>
      </w:r>
      <w:r w:rsidRPr="00946DC8">
        <w:rPr>
          <w:rFonts w:ascii="Palatino Linotype" w:hAnsi="Palatino Linotype"/>
          <w:i/>
        </w:rPr>
        <w:t xml:space="preserve"> Los criterios de preservación, conservación, remediación, recuperación, rehabilitación y restauración del equilibrio ecológico deberán observarse por las autoridades estatales y municipales de conformidad con las disposiciones que al efecto se establezcan en:</w:t>
      </w:r>
    </w:p>
    <w:p w:rsidR="00D041EF" w:rsidRPr="00946DC8" w:rsidRDefault="00D041EF" w:rsidP="00D041EF">
      <w:pPr>
        <w:spacing w:before="240" w:after="240"/>
        <w:ind w:left="1134" w:right="1134"/>
        <w:jc w:val="both"/>
        <w:rPr>
          <w:rFonts w:ascii="Palatino Linotype" w:hAnsi="Palatino Linotype"/>
          <w:i/>
        </w:rPr>
      </w:pPr>
      <w:r w:rsidRPr="00946DC8">
        <w:rPr>
          <w:rFonts w:ascii="Palatino Linotype" w:hAnsi="Palatino Linotype"/>
          <w:i/>
        </w:rPr>
        <w:lastRenderedPageBreak/>
        <w:t>I. El Programa de Ordenamiento Ecológico del Territorio Estatal, Los Programas de Ordenamiento Ecológico del Territorio Municipal y en los Programas de Ordenamiento Ecológico Regionales del Territorio Estatal;</w:t>
      </w:r>
    </w:p>
    <w:p w:rsidR="00D041EF" w:rsidRPr="00946DC8" w:rsidRDefault="00D041EF" w:rsidP="00D041EF">
      <w:pPr>
        <w:spacing w:before="240" w:after="240"/>
        <w:ind w:left="1134" w:right="1134"/>
        <w:jc w:val="both"/>
        <w:rPr>
          <w:rFonts w:ascii="Palatino Linotype" w:hAnsi="Palatino Linotype"/>
          <w:b/>
          <w:i/>
        </w:rPr>
      </w:pPr>
      <w:r w:rsidRPr="00946DC8">
        <w:rPr>
          <w:rFonts w:ascii="Palatino Linotype" w:hAnsi="Palatino Linotype"/>
          <w:b/>
          <w:i/>
        </w:rPr>
        <w:t>II. La planeación y ejecución de campañas de forestación, reforestación y cualquier acción que coadyuve con la salud y equilibrio de la biodiversidad y el ambiente;</w:t>
      </w:r>
    </w:p>
    <w:p w:rsidR="00D041EF" w:rsidRPr="00946DC8" w:rsidRDefault="00D041EF" w:rsidP="00D041EF">
      <w:pPr>
        <w:spacing w:before="240" w:after="240"/>
        <w:ind w:left="1134" w:right="1134"/>
        <w:jc w:val="both"/>
        <w:rPr>
          <w:rFonts w:ascii="Palatino Linotype" w:hAnsi="Palatino Linotype"/>
          <w:i/>
        </w:rPr>
      </w:pPr>
      <w:r w:rsidRPr="00946DC8">
        <w:rPr>
          <w:rFonts w:ascii="Palatino Linotype" w:hAnsi="Palatino Linotype"/>
          <w:i/>
        </w:rPr>
        <w:t>III. Los planes y programas de manejo para el aprovechamiento cinegético adecuado y de la flora silvestre; y</w:t>
      </w:r>
    </w:p>
    <w:p w:rsidR="00B417C3" w:rsidRPr="00946DC8" w:rsidRDefault="00D041EF" w:rsidP="00D041EF">
      <w:pPr>
        <w:spacing w:before="240" w:after="240"/>
        <w:ind w:left="1134" w:right="1134"/>
        <w:jc w:val="both"/>
        <w:rPr>
          <w:rFonts w:ascii="Palatino Linotype" w:hAnsi="Palatino Linotype"/>
          <w:i/>
        </w:rPr>
      </w:pPr>
      <w:r w:rsidRPr="00946DC8">
        <w:rPr>
          <w:rFonts w:ascii="Palatino Linotype" w:hAnsi="Palatino Linotype"/>
          <w:i/>
        </w:rPr>
        <w:t>IV. Las autorizaciones y permisos de aprovechamiento y uso de los elementos naturales, recursos naturales y bienes ambientales.</w:t>
      </w:r>
    </w:p>
    <w:p w:rsidR="00D041EF" w:rsidRPr="00946DC8" w:rsidRDefault="00D041EF" w:rsidP="00B417C3">
      <w:pPr>
        <w:spacing w:before="240" w:after="240"/>
        <w:ind w:left="1134" w:right="1134"/>
        <w:jc w:val="both"/>
        <w:rPr>
          <w:rFonts w:ascii="Palatino Linotype" w:hAnsi="Palatino Linotype"/>
          <w:i/>
        </w:rPr>
      </w:pPr>
    </w:p>
    <w:p w:rsidR="00D041EF" w:rsidRPr="00946DC8" w:rsidRDefault="00D041EF"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t xml:space="preserve">Ahora bien, la </w:t>
      </w:r>
      <w:r w:rsidRPr="00946DC8">
        <w:t xml:space="preserve"> </w:t>
      </w:r>
      <w:r w:rsidRPr="00946DC8">
        <w:rPr>
          <w:rFonts w:ascii="Palatino Linotype" w:hAnsi="Palatino Linotype"/>
        </w:rPr>
        <w:t xml:space="preserve">NORMA TÉCNICA ESTATAL AMBIENTAL NTEA-019-SeMAGEM-DS-2017, que establece las condiciones de protección, conservación, fomento, creación, rehabilitación y mantenimiento de las áreas verdes y macizos arbóreos de las zonas urbanas en el territorio del Estado de México </w:t>
      </w:r>
      <w:r w:rsidR="00702C38" w:rsidRPr="00946DC8">
        <w:rPr>
          <w:rFonts w:ascii="Palatino Linotype" w:hAnsi="Palatino Linotype"/>
        </w:rPr>
        <w:t>respecto a lo solicitado por el recurrente define :</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3.1 Aclareo de árboles: Eliminación de árboles débiles, hacinados, declinados, muertos y mal conformados con el objeto de mejorar el desarrollo de los que quedan en pie</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3.4 Árbol: Planta leñosa que se caracteriza por poseer un tallo principal, crece de forma ascendente y en la parte superior forma ramificaciones y que desarrolla una copa de formas variadas.</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3.5 Arbolado urbano: - Árboles que crecen dentro de los límites de la propiedad pública o privada en una población, municipio o ciudad considerado como suelo urbano.</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 xml:space="preserve">3.8 Área verde urbana: Toda superficie cubierta de vegetación, natural o inducida que se localice en las zonas urbanas del territorio del Estado de </w:t>
      </w:r>
      <w:r w:rsidRPr="00946DC8">
        <w:rPr>
          <w:rFonts w:ascii="Palatino Linotype" w:hAnsi="Palatino Linotype"/>
          <w:i/>
        </w:rPr>
        <w:lastRenderedPageBreak/>
        <w:t>México. Incluye: Parques, jardines, barrancas, glorietas, camellones cada uno con formas y características diversas</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3.11 Banqueado: Proceso de extracción de un árbol cultivado en piso, podando sus raíces y formando su cepellón acorde al tamaño del árbol.</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3.20 Conservación: Preservar el futuro de la naturaleza, el ambiente o, específicamente algunas de sus partes: la flora y la fauna, las distintas especies, los distintos ecosistemas, los</w:t>
      </w:r>
    </w:p>
    <w:p w:rsidR="00B261BA"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 xml:space="preserve">3.46 Medidas de compensación: Acciones que deberá ejecutar el promovente para resarcir el deterioro ocasionado por la obra o actividad proyectada en un elemento natural distinto al afectado, cuando no se pueda restablecer la situación anterior en el elemento dañado. </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3.47 Medidas de mitigación: Acciones, instalaciones o equipos que el promovente debe implantar para atenuar los impactos negativos que las obras o actividades puedan causar a los ecosistemas o sus componentes, con la finalidad de reducir los efectos adversos o restablecer las condiciones originales de los componentes ambientales. 3.48 Medidas de prevención: Acciones que deberá ejecutar anticipadamente el promovente para evitar efectos adversos o negativos al ambiente.</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3.51 Plan de Manejo: Documento de planeación y regulación que describe los programas y actividades que se deben de llevar a cabo en un área verde urbana específica, de manera organizada y secuenciada en el tiempo, con el fin de conservar, proteger y mejorar las especies vegetales que viven en ella, contemplando los recursos humanos y materiales necesarios para asegurar los beneficios y servicios ambientales que ofrece dicha área</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3.56 Protección: Conjunto de políticas y medidas para preservar, restaurar, remediar, rehabilitar y ordenar las áreas verdes urbanas</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3.62 Saneamiento: Conjunto de técnicas y actividades encaminadas a la eliminación de individuos o algunas de sus partes que presenten problemas sanitarios, mecánicos o estructurales del arbolado</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lastRenderedPageBreak/>
        <w:t>3.63 Secretaría: A la Secretaría del Medio Ambiente del Gobierno del Estado de México</w:t>
      </w:r>
    </w:p>
    <w:p w:rsidR="00EA4749"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 xml:space="preserve">7. REHABILITACIÓN </w:t>
      </w:r>
    </w:p>
    <w:p w:rsidR="00B261BA"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7.1 Los Ayuntamientos y los particulares realizarán un diagnóstico para identificar las áreas verdes urbanas que requieran trabajos de rehabilitación en vegetación, infraestructura y equipamiento.</w:t>
      </w:r>
    </w:p>
    <w:p w:rsidR="00B261BA"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 xml:space="preserve"> 7.2 Para la rehabilitación de un área verde urbana, en la categoría de parque urbano, de carácter estatal y municipal, es necesario contar con un </w:t>
      </w:r>
      <w:r w:rsidRPr="00946DC8">
        <w:rPr>
          <w:rFonts w:ascii="Palatino Linotype" w:hAnsi="Palatino Linotype"/>
          <w:b/>
          <w:i/>
        </w:rPr>
        <w:t>plan de manejo</w:t>
      </w:r>
      <w:r w:rsidRPr="00946DC8">
        <w:rPr>
          <w:rFonts w:ascii="Palatino Linotype" w:hAnsi="Palatino Linotype"/>
          <w:i/>
        </w:rPr>
        <w:t xml:space="preserve">, elaborado por personal técnico certificado y </w:t>
      </w:r>
      <w:r w:rsidRPr="00946DC8">
        <w:rPr>
          <w:rFonts w:ascii="Palatino Linotype" w:hAnsi="Palatino Linotype"/>
          <w:b/>
          <w:i/>
        </w:rPr>
        <w:t>validado por la Secretaría.</w:t>
      </w:r>
      <w:r w:rsidRPr="00946DC8">
        <w:rPr>
          <w:rFonts w:ascii="Palatino Linotype" w:hAnsi="Palatino Linotype"/>
          <w:i/>
        </w:rPr>
        <w:t xml:space="preserve"> </w:t>
      </w:r>
    </w:p>
    <w:p w:rsidR="00702C38" w:rsidRPr="00946DC8" w:rsidRDefault="00702C38" w:rsidP="00B261BA">
      <w:pPr>
        <w:spacing w:before="240" w:after="240"/>
        <w:ind w:left="1134" w:right="1134"/>
        <w:jc w:val="both"/>
        <w:rPr>
          <w:rFonts w:ascii="Palatino Linotype" w:hAnsi="Palatino Linotype"/>
          <w:i/>
        </w:rPr>
      </w:pPr>
      <w:r w:rsidRPr="00946DC8">
        <w:rPr>
          <w:rFonts w:ascii="Palatino Linotype" w:hAnsi="Palatino Linotype"/>
          <w:i/>
        </w:rPr>
        <w:t>7.3 Los proyectos de rehabilitación de áreas verdes urbanas deberán dar prioridad a la cubierta vegetal compuesta de árboles, en primer lugar y de arbustos y herbáceas, de manera complementaria, implementando o construyendo la infraestructura, mobiliario y equipamiento mínimo necesario y cuidando las distancias necesarias que requiera cada especie para su adecuado crecimiento radicular.</w:t>
      </w:r>
    </w:p>
    <w:p w:rsidR="00EA4749" w:rsidRPr="00946DC8" w:rsidRDefault="00EA4749" w:rsidP="00B261BA">
      <w:pPr>
        <w:spacing w:before="240" w:after="240"/>
        <w:ind w:left="1134" w:right="1134"/>
        <w:jc w:val="both"/>
        <w:rPr>
          <w:rFonts w:ascii="Palatino Linotype" w:hAnsi="Palatino Linotype"/>
          <w:i/>
        </w:rPr>
      </w:pPr>
    </w:p>
    <w:p w:rsidR="00364416" w:rsidRPr="00946DC8" w:rsidRDefault="00364416"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t>Por su parte dentro de</w:t>
      </w:r>
      <w:r w:rsidR="00CA668E" w:rsidRPr="00946DC8">
        <w:rPr>
          <w:rFonts w:ascii="Palatino Linotype" w:hAnsi="Palatino Linotype"/>
        </w:rPr>
        <w:t xml:space="preserve"> la Norma Técnica NTEA-018-SeMAGEM-RS-2017 que establece las especificaciones Técnicas y criterios que deberán cumplir las autoridades de carácter público, personas físicas, jurídicas colectivas, privadas y en general todos aquellos que realicen labores de poda, </w:t>
      </w:r>
      <w:r w:rsidR="00CA668E" w:rsidRPr="00946DC8">
        <w:rPr>
          <w:rFonts w:ascii="Palatino Linotype" w:hAnsi="Palatino Linotype"/>
          <w:b/>
        </w:rPr>
        <w:t>derribo</w:t>
      </w:r>
      <w:r w:rsidR="00CA668E" w:rsidRPr="00946DC8">
        <w:rPr>
          <w:rFonts w:ascii="Palatino Linotype" w:hAnsi="Palatino Linotype"/>
        </w:rPr>
        <w:t xml:space="preserve">, trasplante y sustitución de árboles en zonas urbanas del Estado de México señala </w:t>
      </w:r>
      <w:r w:rsidR="00B261BA" w:rsidRPr="00946DC8">
        <w:rPr>
          <w:rFonts w:ascii="Palatino Linotype" w:hAnsi="Palatino Linotype"/>
        </w:rPr>
        <w:t>que ya que los árboles presente</w:t>
      </w:r>
      <w:r w:rsidR="00CA668E" w:rsidRPr="00946DC8">
        <w:rPr>
          <w:rFonts w:ascii="Palatino Linotype" w:hAnsi="Palatino Linotype"/>
        </w:rPr>
        <w:t>n una declinación en su proceso natural de desarrollo, situación que los hace más susceptibles a problemas por plagas, enferme</w:t>
      </w:r>
      <w:r w:rsidR="00B261BA" w:rsidRPr="00946DC8">
        <w:rPr>
          <w:rFonts w:ascii="Palatino Linotype" w:hAnsi="Palatino Linotype"/>
        </w:rPr>
        <w:t>dades, fenómenos meteorológicos que a su vez</w:t>
      </w:r>
      <w:r w:rsidR="00CA668E" w:rsidRPr="00946DC8">
        <w:rPr>
          <w:rFonts w:ascii="Palatino Linotype" w:hAnsi="Palatino Linotype"/>
        </w:rPr>
        <w:t xml:space="preserve"> son objeto de vandalismo, daños por acciones viales y las relacionadas con modificaciones a la infraestructura urbana teniendo  como consecuencia su debilitamiento y en algunos casos el riesgo inminente de </w:t>
      </w:r>
      <w:r w:rsidR="00CA668E" w:rsidRPr="00946DC8">
        <w:rPr>
          <w:rFonts w:ascii="Palatino Linotype" w:hAnsi="Palatino Linotype"/>
        </w:rPr>
        <w:lastRenderedPageBreak/>
        <w:t>desgajamientos o caída total que puede afectar a las personas, bienes muebles e inmuebles, motivo por el cual se requiere llevar a cabo su derribo.</w:t>
      </w:r>
    </w:p>
    <w:p w:rsidR="00B261BA" w:rsidRPr="00946DC8" w:rsidRDefault="00B261BA" w:rsidP="00B261BA">
      <w:pPr>
        <w:spacing w:before="240" w:after="240" w:line="360" w:lineRule="auto"/>
        <w:jc w:val="both"/>
        <w:rPr>
          <w:rFonts w:ascii="Palatino Linotype" w:hAnsi="Palatino Linotype"/>
        </w:rPr>
      </w:pPr>
    </w:p>
    <w:p w:rsidR="00CA668E" w:rsidRPr="00946DC8" w:rsidRDefault="00CA668E"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t xml:space="preserve">Sin embargo de la misma </w:t>
      </w:r>
      <w:r w:rsidR="00B261BA" w:rsidRPr="00946DC8">
        <w:rPr>
          <w:rFonts w:ascii="Palatino Linotype" w:hAnsi="Palatino Linotype"/>
        </w:rPr>
        <w:t xml:space="preserve">norma </w:t>
      </w:r>
      <w:r w:rsidRPr="00946DC8">
        <w:rPr>
          <w:rFonts w:ascii="Palatino Linotype" w:hAnsi="Palatino Linotype"/>
        </w:rPr>
        <w:t xml:space="preserve">se emanan criterios </w:t>
      </w:r>
      <w:r w:rsidR="00B261BA" w:rsidRPr="00946DC8">
        <w:rPr>
          <w:rFonts w:ascii="Palatino Linotype" w:hAnsi="Palatino Linotype"/>
        </w:rPr>
        <w:t xml:space="preserve">(8.1) </w:t>
      </w:r>
      <w:r w:rsidRPr="00946DC8">
        <w:rPr>
          <w:rFonts w:ascii="Palatino Linotype" w:hAnsi="Palatino Linotype"/>
        </w:rPr>
        <w:t xml:space="preserve">que no justifican el derribo de un árbol a saber: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impedir o disminuir la visibilidad de establecimientos comerciales, de anuncios publicitarios, de monumentos y de edificios públicos o privados.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realizar proyectos de remodelación en áreas verdes de carácter público, si el arbolado se encuentra en óptimas condiciones y no significa riesgo alguno la población o infraestructura y servicios privados o públicos.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la sustitución de especies, si el árbol que se pretende derribar se encuentra en óptimas condiciones y no significa riesgo alguno a la población o infraestructura y servicios privados o públicos.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las características del arbolado (principalmente de especies caducifolias) que generan hojarasca (concepción arbitraria y negativa del árbol).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voluntad propia del agente derribador, si el árbol se encuentra en óptimo estado y no representa riesgo alguno para la población o para los bienes públicos o privados.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Para evitar la generación de desechos de alimentación y defecación de aves anidadas. </w:t>
      </w:r>
    </w:p>
    <w:p w:rsidR="00B261BA"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 xml:space="preserve">Por tratarse de árboles que por una o varias características de tipo biológico, paisajístico, histórico, cultural o social, o que por su especie, tamaño, edad o belleza pudieran ser considerados como árboles notables, singulares o monumentales. </w:t>
      </w:r>
    </w:p>
    <w:p w:rsidR="00CA668E" w:rsidRPr="00946DC8" w:rsidRDefault="00CA668E" w:rsidP="00B261BA">
      <w:pPr>
        <w:pStyle w:val="Prrafodelista"/>
        <w:numPr>
          <w:ilvl w:val="0"/>
          <w:numId w:val="34"/>
        </w:numPr>
        <w:spacing w:before="240" w:after="240"/>
        <w:ind w:right="1134"/>
        <w:jc w:val="both"/>
        <w:rPr>
          <w:rFonts w:ascii="Palatino Linotype" w:hAnsi="Palatino Linotype"/>
          <w:i/>
        </w:rPr>
      </w:pPr>
      <w:r w:rsidRPr="00946DC8">
        <w:rPr>
          <w:rFonts w:ascii="Palatino Linotype" w:hAnsi="Palatino Linotype"/>
          <w:i/>
        </w:rPr>
        <w:t>Por la generación natural de polen y que sin el debido soporte científico se compruebe que incide en la salud de los habitantes.</w:t>
      </w:r>
    </w:p>
    <w:p w:rsidR="00B261BA" w:rsidRPr="00946DC8" w:rsidRDefault="00B261BA" w:rsidP="00B261BA">
      <w:pPr>
        <w:spacing w:before="240" w:after="240"/>
        <w:ind w:left="1134" w:right="1134"/>
        <w:jc w:val="both"/>
        <w:rPr>
          <w:rFonts w:ascii="Palatino Linotype" w:hAnsi="Palatino Linotype"/>
          <w:i/>
        </w:rPr>
      </w:pPr>
    </w:p>
    <w:p w:rsidR="00CA668E" w:rsidRPr="00946DC8" w:rsidRDefault="00B261BA"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lastRenderedPageBreak/>
        <w:t xml:space="preserve">La legislación en cita considera </w:t>
      </w:r>
      <w:r w:rsidR="00CA668E" w:rsidRPr="00946DC8">
        <w:rPr>
          <w:rFonts w:ascii="Palatino Linotype" w:hAnsi="Palatino Linotype"/>
        </w:rPr>
        <w:t xml:space="preserve">a fin de evitar la pérdida de arbolado alternativas </w:t>
      </w:r>
      <w:r w:rsidRPr="00946DC8">
        <w:rPr>
          <w:rFonts w:ascii="Palatino Linotype" w:hAnsi="Palatino Linotype"/>
        </w:rPr>
        <w:t xml:space="preserve"> (8.2) </w:t>
      </w:r>
      <w:r w:rsidR="00CA668E" w:rsidRPr="00946DC8">
        <w:rPr>
          <w:rFonts w:ascii="Palatino Linotype" w:hAnsi="Palatino Linotype"/>
        </w:rPr>
        <w:t>como la adecuación de diseños constructivos</w:t>
      </w:r>
      <w:r w:rsidRPr="00946DC8">
        <w:rPr>
          <w:rFonts w:ascii="Palatino Linotype" w:hAnsi="Palatino Linotype"/>
        </w:rPr>
        <w:t xml:space="preserve"> (8.2.1)</w:t>
      </w:r>
      <w:r w:rsidR="00CA668E" w:rsidRPr="00946DC8">
        <w:rPr>
          <w:rFonts w:ascii="Palatino Linotype" w:hAnsi="Palatino Linotype"/>
        </w:rPr>
        <w:t>, poda</w:t>
      </w:r>
      <w:r w:rsidRPr="00946DC8">
        <w:rPr>
          <w:rFonts w:ascii="Palatino Linotype" w:hAnsi="Palatino Linotype"/>
        </w:rPr>
        <w:t>(8.2.2)</w:t>
      </w:r>
      <w:r w:rsidR="00CA668E" w:rsidRPr="00946DC8">
        <w:rPr>
          <w:rFonts w:ascii="Palatino Linotype" w:hAnsi="Palatino Linotype"/>
        </w:rPr>
        <w:t xml:space="preserve"> y trasplante</w:t>
      </w:r>
      <w:r w:rsidRPr="00946DC8">
        <w:rPr>
          <w:rFonts w:ascii="Palatino Linotype" w:hAnsi="Palatino Linotype"/>
        </w:rPr>
        <w:t>(8.2.3)</w:t>
      </w:r>
      <w:r w:rsidR="00CA668E" w:rsidRPr="00946DC8">
        <w:rPr>
          <w:rFonts w:ascii="Palatino Linotype" w:hAnsi="Palatino Linotype"/>
        </w:rPr>
        <w:t>.</w:t>
      </w:r>
    </w:p>
    <w:p w:rsidR="00CA668E" w:rsidRPr="00946DC8" w:rsidRDefault="00CA668E" w:rsidP="00CA668E">
      <w:pPr>
        <w:spacing w:before="240" w:after="240" w:line="360" w:lineRule="auto"/>
        <w:jc w:val="both"/>
      </w:pPr>
    </w:p>
    <w:p w:rsidR="00CA668E" w:rsidRPr="00946DC8" w:rsidRDefault="00CA668E" w:rsidP="000A4A86">
      <w:pPr>
        <w:pStyle w:val="Prrafodelista"/>
        <w:numPr>
          <w:ilvl w:val="0"/>
          <w:numId w:val="36"/>
        </w:numPr>
        <w:spacing w:before="240" w:after="240" w:line="360" w:lineRule="auto"/>
        <w:ind w:left="0" w:firstLine="0"/>
        <w:jc w:val="both"/>
        <w:rPr>
          <w:rFonts w:ascii="Palatino Linotype" w:hAnsi="Palatino Linotype"/>
        </w:rPr>
      </w:pPr>
      <w:r w:rsidRPr="00946DC8">
        <w:rPr>
          <w:rFonts w:ascii="Palatino Linotype" w:hAnsi="Palatino Linotype"/>
        </w:rPr>
        <w:t xml:space="preserve">Una vez agotadas las alternativas antes mencionadas  se procederá al derribo del arbolado que cumpla con los criterios </w:t>
      </w:r>
      <w:r w:rsidR="00EA4749" w:rsidRPr="00946DC8">
        <w:rPr>
          <w:rFonts w:ascii="Palatino Linotype" w:hAnsi="Palatino Linotype"/>
        </w:rPr>
        <w:t xml:space="preserve">(8.4) </w:t>
      </w:r>
      <w:r w:rsidRPr="00946DC8">
        <w:rPr>
          <w:rFonts w:ascii="Palatino Linotype" w:hAnsi="Palatino Linotype"/>
        </w:rPr>
        <w:t xml:space="preserve">siguientes: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Árboles que hayan concluido su período de vida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Arboles suprimidos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Arboles con muerte descendente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Árboles de riesgo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Árboles con problemas de plagas o enfermedades difíciles de controlar y con riesgo inminente de dispersión a otros árboles sanos </w:t>
      </w:r>
    </w:p>
    <w:p w:rsidR="00B261BA"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 xml:space="preserve">Árboles que afecten severamente al patrimonio urbanístico o arquitectónico, mobiliario y equipamiento urbano e inmuebles </w:t>
      </w:r>
    </w:p>
    <w:p w:rsidR="00CA668E" w:rsidRPr="00946DC8" w:rsidRDefault="00CA668E" w:rsidP="00B261BA">
      <w:pPr>
        <w:pStyle w:val="Prrafodelista"/>
        <w:numPr>
          <w:ilvl w:val="0"/>
          <w:numId w:val="33"/>
        </w:numPr>
        <w:spacing w:before="240" w:after="240"/>
        <w:ind w:right="1134"/>
        <w:jc w:val="both"/>
        <w:rPr>
          <w:rFonts w:ascii="Palatino Linotype" w:hAnsi="Palatino Linotype"/>
          <w:i/>
        </w:rPr>
      </w:pPr>
      <w:r w:rsidRPr="00946DC8">
        <w:rPr>
          <w:rFonts w:ascii="Palatino Linotype" w:hAnsi="Palatino Linotype"/>
          <w:i/>
        </w:rPr>
        <w:t>Árboles que por obra pública o privada, no exista alternativa de integrarlo al proyecto</w:t>
      </w:r>
    </w:p>
    <w:p w:rsidR="00110159" w:rsidRPr="00946DC8" w:rsidRDefault="00110159" w:rsidP="00B261BA">
      <w:pPr>
        <w:pBdr>
          <w:top w:val="nil"/>
          <w:left w:val="nil"/>
          <w:bottom w:val="nil"/>
          <w:right w:val="nil"/>
          <w:between w:val="nil"/>
        </w:pBdr>
        <w:spacing w:line="360" w:lineRule="auto"/>
        <w:jc w:val="both"/>
        <w:rPr>
          <w:rFonts w:ascii="Palatino Linotype" w:eastAsia="Palatino Linotype" w:hAnsi="Palatino Linotype" w:cs="Palatino Linotype"/>
        </w:rPr>
      </w:pPr>
    </w:p>
    <w:p w:rsidR="00E558DD" w:rsidRPr="00946DC8" w:rsidRDefault="00EA4749" w:rsidP="000A4A86">
      <w:pPr>
        <w:pStyle w:val="Prrafodelista"/>
        <w:numPr>
          <w:ilvl w:val="0"/>
          <w:numId w:val="36"/>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946DC8">
        <w:rPr>
          <w:rFonts w:ascii="Palatino Linotype" w:eastAsia="Palatino Linotype" w:hAnsi="Palatino Linotype" w:cs="Palatino Linotype"/>
        </w:rPr>
        <w:t xml:space="preserve">Finalmente, de las actuaciones del expediente en Resolución se advierte que el propio Sujeto Obligado admitió  expresamente realizar </w:t>
      </w:r>
      <w:r w:rsidR="00E558DD" w:rsidRPr="00946DC8">
        <w:rPr>
          <w:rFonts w:ascii="Palatino Linotype" w:eastAsia="Palatino Linotype" w:hAnsi="Palatino Linotype" w:cs="Palatino Linotype"/>
        </w:rPr>
        <w:t xml:space="preserve">dentro </w:t>
      </w:r>
      <w:r w:rsidR="005A41DB" w:rsidRPr="00946DC8">
        <w:rPr>
          <w:rFonts w:ascii="Palatino Linotype" w:eastAsia="Palatino Linotype" w:hAnsi="Palatino Linotype" w:cs="Palatino Linotype"/>
        </w:rPr>
        <w:t xml:space="preserve">del ejercicio </w:t>
      </w:r>
      <w:r w:rsidR="00E558DD" w:rsidRPr="00946DC8">
        <w:rPr>
          <w:rFonts w:ascii="Palatino Linotype" w:eastAsia="Palatino Linotype" w:hAnsi="Palatino Linotype" w:cs="Palatino Linotype"/>
        </w:rPr>
        <w:t xml:space="preserve">de sus atribuciones el </w:t>
      </w:r>
      <w:r w:rsidRPr="00946DC8">
        <w:rPr>
          <w:rFonts w:ascii="Palatino Linotype" w:eastAsia="Palatino Linotype" w:hAnsi="Palatino Linotype" w:cs="Palatino Linotype"/>
        </w:rPr>
        <w:t xml:space="preserve">derribo de </w:t>
      </w:r>
      <w:r w:rsidR="00E558DD" w:rsidRPr="00946DC8">
        <w:rPr>
          <w:rFonts w:ascii="Palatino Linotype" w:eastAsia="Palatino Linotype" w:hAnsi="Palatino Linotype" w:cs="Palatino Linotype"/>
        </w:rPr>
        <w:t xml:space="preserve">árboles como se aprecia; </w:t>
      </w:r>
    </w:p>
    <w:p w:rsidR="00E558DD" w:rsidRPr="00946DC8" w:rsidRDefault="00E558DD" w:rsidP="00E558DD">
      <w:pPr>
        <w:pBdr>
          <w:top w:val="nil"/>
          <w:left w:val="nil"/>
          <w:bottom w:val="nil"/>
          <w:right w:val="nil"/>
          <w:between w:val="nil"/>
        </w:pBdr>
        <w:spacing w:line="360" w:lineRule="auto"/>
        <w:jc w:val="center"/>
        <w:rPr>
          <w:rFonts w:ascii="Palatino Linotype" w:eastAsia="Palatino Linotype" w:hAnsi="Palatino Linotype" w:cs="Palatino Linotype"/>
          <w:i/>
        </w:rPr>
      </w:pPr>
      <w:r w:rsidRPr="00946DC8">
        <w:rPr>
          <w:rFonts w:ascii="Palatino Linotype" w:eastAsia="Palatino Linotype" w:hAnsi="Palatino Linotype" w:cs="Palatino Linotype"/>
          <w:i/>
          <w:noProof/>
        </w:rPr>
        <w:lastRenderedPageBreak/>
        <w:drawing>
          <wp:inline distT="0" distB="0" distL="0" distR="0" wp14:anchorId="3B73B566" wp14:editId="6102CD0A">
            <wp:extent cx="5231356" cy="25603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752" cy="2581559"/>
                    </a:xfrm>
                    <a:prstGeom prst="rect">
                      <a:avLst/>
                    </a:prstGeom>
                  </pic:spPr>
                </pic:pic>
              </a:graphicData>
            </a:graphic>
          </wp:inline>
        </w:drawing>
      </w:r>
    </w:p>
    <w:p w:rsidR="002B3E23" w:rsidRPr="00946DC8" w:rsidRDefault="00E558DD" w:rsidP="00E558DD">
      <w:pPr>
        <w:pBdr>
          <w:top w:val="nil"/>
          <w:left w:val="nil"/>
          <w:bottom w:val="nil"/>
          <w:right w:val="nil"/>
          <w:between w:val="nil"/>
        </w:pBdr>
        <w:spacing w:line="360" w:lineRule="auto"/>
        <w:jc w:val="both"/>
        <w:rPr>
          <w:rFonts w:ascii="Palatino Linotype" w:eastAsia="Palatino Linotype" w:hAnsi="Palatino Linotype" w:cs="Palatino Linotype"/>
          <w:i/>
        </w:rPr>
      </w:pPr>
      <w:r w:rsidRPr="00946DC8">
        <w:rPr>
          <w:rFonts w:ascii="Palatino Linotype" w:eastAsia="Palatino Linotype" w:hAnsi="Palatino Linotype" w:cs="Palatino Linotype"/>
        </w:rPr>
        <w:t xml:space="preserve"> Y</w:t>
      </w:r>
      <w:r w:rsidR="00EA4749" w:rsidRPr="00946DC8">
        <w:rPr>
          <w:rFonts w:ascii="Palatino Linotype" w:eastAsia="Palatino Linotype" w:hAnsi="Palatino Linotype" w:cs="Palatino Linotype"/>
        </w:rPr>
        <w:t xml:space="preserve"> </w:t>
      </w:r>
      <w:r w:rsidR="005A41DB" w:rsidRPr="00946DC8">
        <w:rPr>
          <w:rFonts w:ascii="Palatino Linotype" w:eastAsia="Palatino Linotype" w:hAnsi="Palatino Linotype" w:cs="Palatino Linotype"/>
        </w:rPr>
        <w:t>es</w:t>
      </w:r>
      <w:r w:rsidR="00EA4749" w:rsidRPr="00946DC8">
        <w:rPr>
          <w:rFonts w:ascii="Palatino Linotype" w:eastAsia="Palatino Linotype" w:hAnsi="Palatino Linotype" w:cs="Palatino Linotype"/>
        </w:rPr>
        <w:t xml:space="preserve"> que</w:t>
      </w:r>
      <w:r w:rsidRPr="00946DC8">
        <w:rPr>
          <w:rFonts w:ascii="Palatino Linotype" w:eastAsia="Palatino Linotype" w:hAnsi="Palatino Linotype" w:cs="Palatino Linotype"/>
        </w:rPr>
        <w:t>;</w:t>
      </w:r>
      <w:r w:rsidR="00EA4749" w:rsidRPr="00946DC8">
        <w:rPr>
          <w:rFonts w:ascii="Palatino Linotype" w:eastAsia="Palatino Linotype" w:hAnsi="Palatino Linotype" w:cs="Palatino Linotype"/>
        </w:rPr>
        <w:t xml:space="preserve"> como se esgrime por la legislación en cita, que previo al derribo debe existir </w:t>
      </w:r>
      <w:r w:rsidR="0025657B" w:rsidRPr="00946DC8">
        <w:rPr>
          <w:rFonts w:ascii="Palatino Linotype" w:eastAsia="Palatino Linotype" w:hAnsi="Palatino Linotype" w:cs="Palatino Linotype"/>
        </w:rPr>
        <w:t xml:space="preserve">de forma enunciativa </w:t>
      </w:r>
      <w:r w:rsidR="00EA4749" w:rsidRPr="00946DC8">
        <w:rPr>
          <w:rFonts w:ascii="Palatino Linotype" w:eastAsia="Palatino Linotype" w:hAnsi="Palatino Linotype" w:cs="Palatino Linotype"/>
        </w:rPr>
        <w:t xml:space="preserve"> </w:t>
      </w:r>
      <w:r w:rsidR="00EA4749" w:rsidRPr="00946DC8">
        <w:rPr>
          <w:rFonts w:ascii="Palatino Linotype" w:eastAsia="Palatino Linotype" w:hAnsi="Palatino Linotype" w:cs="Palatino Linotype"/>
          <w:b/>
          <w:i/>
        </w:rPr>
        <w:t xml:space="preserve">diagnóstico, Plan de Manejo, medidas de mitigación y en su caso </w:t>
      </w:r>
      <w:r w:rsidRPr="00946DC8">
        <w:rPr>
          <w:rFonts w:ascii="Palatino Linotype" w:eastAsia="Palatino Linotype" w:hAnsi="Palatino Linotype" w:cs="Palatino Linotype"/>
          <w:b/>
          <w:i/>
        </w:rPr>
        <w:t>de compensación</w:t>
      </w:r>
      <w:r w:rsidRPr="00946DC8">
        <w:rPr>
          <w:rFonts w:ascii="Palatino Linotype" w:eastAsia="Palatino Linotype" w:hAnsi="Palatino Linotype" w:cs="Palatino Linotype"/>
        </w:rPr>
        <w:t xml:space="preserve"> iniciadas por el Ayuntamiento  </w:t>
      </w:r>
      <w:r w:rsidRPr="00946DC8">
        <w:rPr>
          <w:rFonts w:ascii="Palatino Linotype" w:eastAsia="Palatino Linotype" w:hAnsi="Palatino Linotype" w:cs="Palatino Linotype"/>
          <w:i/>
        </w:rPr>
        <w:t>en el caso particular</w:t>
      </w:r>
      <w:r w:rsidRPr="00946DC8">
        <w:rPr>
          <w:rFonts w:ascii="Palatino Linotype" w:eastAsia="Palatino Linotype" w:hAnsi="Palatino Linotype" w:cs="Palatino Linotype"/>
        </w:rPr>
        <w:t xml:space="preserve"> y valida</w:t>
      </w:r>
      <w:r w:rsidR="005A41DB" w:rsidRPr="00946DC8">
        <w:rPr>
          <w:rFonts w:ascii="Palatino Linotype" w:eastAsia="Palatino Linotype" w:hAnsi="Palatino Linotype" w:cs="Palatino Linotype"/>
        </w:rPr>
        <w:t xml:space="preserve">ción de las documentales </w:t>
      </w:r>
      <w:r w:rsidRPr="00946DC8">
        <w:rPr>
          <w:rFonts w:ascii="Palatino Linotype" w:eastAsia="Palatino Linotype" w:hAnsi="Palatino Linotype" w:cs="Palatino Linotype"/>
        </w:rPr>
        <w:t xml:space="preserve"> por la Secretaría del Medio Ambiente del Estado de México es que se tiene </w:t>
      </w:r>
      <w:r w:rsidR="008A5366" w:rsidRPr="00946DC8">
        <w:rPr>
          <w:rFonts w:ascii="Palatino Linotype" w:eastAsia="Palatino Linotype" w:hAnsi="Palatino Linotype" w:cs="Palatino Linotype"/>
        </w:rPr>
        <w:t xml:space="preserve">que los motivos de inconformidad </w:t>
      </w:r>
      <w:r w:rsidR="00FB2858" w:rsidRPr="00946DC8">
        <w:rPr>
          <w:rFonts w:ascii="Palatino Linotype" w:eastAsia="Palatino Linotype" w:hAnsi="Palatino Linotype" w:cs="Palatino Linotype"/>
        </w:rPr>
        <w:t xml:space="preserve">hechos valer por el </w:t>
      </w:r>
      <w:r w:rsidR="008A5366" w:rsidRPr="00946DC8">
        <w:rPr>
          <w:rFonts w:ascii="Palatino Linotype" w:eastAsia="Palatino Linotype" w:hAnsi="Palatino Linotype" w:cs="Palatino Linotype"/>
          <w:b/>
        </w:rPr>
        <w:t xml:space="preserve">Recurrente </w:t>
      </w:r>
      <w:r w:rsidR="008A5366" w:rsidRPr="00946DC8">
        <w:rPr>
          <w:rFonts w:ascii="Palatino Linotype" w:eastAsia="Palatino Linotype" w:hAnsi="Palatino Linotype" w:cs="Palatino Linotype"/>
        </w:rPr>
        <w:t xml:space="preserve">devienen fundados, </w:t>
      </w:r>
      <w:r w:rsidR="00FB2858" w:rsidRPr="00946DC8">
        <w:rPr>
          <w:rFonts w:ascii="Palatino Linotype" w:eastAsia="Palatino Linotype" w:hAnsi="Palatino Linotype" w:cs="Palatino Linotype"/>
        </w:rPr>
        <w:t>resultando</w:t>
      </w:r>
      <w:r w:rsidR="008A5366" w:rsidRPr="00946DC8">
        <w:rPr>
          <w:rFonts w:ascii="Palatino Linotype" w:eastAsia="Palatino Linotype" w:hAnsi="Palatino Linotype" w:cs="Palatino Linotype"/>
        </w:rPr>
        <w:t xml:space="preserve"> procedente </w:t>
      </w:r>
      <w:r w:rsidR="00FB2858" w:rsidRPr="00946DC8">
        <w:rPr>
          <w:rFonts w:ascii="Palatino Linotype" w:eastAsia="Palatino Linotype" w:hAnsi="Palatino Linotype" w:cs="Palatino Linotype"/>
        </w:rPr>
        <w:t xml:space="preserve">REVOCAR </w:t>
      </w:r>
      <w:r w:rsidR="008A5366" w:rsidRPr="00946DC8">
        <w:rPr>
          <w:rFonts w:ascii="Palatino Linotype" w:eastAsia="Palatino Linotype" w:hAnsi="Palatino Linotype" w:cs="Palatino Linotype"/>
        </w:rPr>
        <w:t xml:space="preserve">la respuesta proporcionada por el </w:t>
      </w:r>
      <w:r w:rsidR="008A5366" w:rsidRPr="00946DC8">
        <w:rPr>
          <w:rFonts w:ascii="Palatino Linotype" w:eastAsia="Palatino Linotype" w:hAnsi="Palatino Linotype" w:cs="Palatino Linotype"/>
          <w:b/>
        </w:rPr>
        <w:t xml:space="preserve">Sujeto Obligado </w:t>
      </w:r>
      <w:r w:rsidR="00FB2858" w:rsidRPr="00946DC8">
        <w:rPr>
          <w:rFonts w:ascii="Palatino Linotype" w:eastAsia="Palatino Linotype" w:hAnsi="Palatino Linotype" w:cs="Palatino Linotype"/>
        </w:rPr>
        <w:t xml:space="preserve"> y ORDENAR la entrega de </w:t>
      </w:r>
      <w:r w:rsidR="00FB2858" w:rsidRPr="00946DC8">
        <w:rPr>
          <w:rFonts w:ascii="Palatino Linotype" w:eastAsia="Palatino Linotype" w:hAnsi="Palatino Linotype" w:cs="Palatino Linotype"/>
          <w:i/>
        </w:rPr>
        <w:t>los docume</w:t>
      </w:r>
      <w:r w:rsidRPr="00946DC8">
        <w:rPr>
          <w:rFonts w:ascii="Palatino Linotype" w:eastAsia="Palatino Linotype" w:hAnsi="Palatino Linotype" w:cs="Palatino Linotype"/>
          <w:i/>
        </w:rPr>
        <w:t>ntos que den cuenta respecto del derribo de árbole</w:t>
      </w:r>
      <w:r w:rsidR="002B2876" w:rsidRPr="00946DC8">
        <w:rPr>
          <w:rFonts w:ascii="Palatino Linotype" w:eastAsia="Palatino Linotype" w:hAnsi="Palatino Linotype" w:cs="Palatino Linotype"/>
          <w:i/>
        </w:rPr>
        <w:t>s del Parque la Soledad:</w:t>
      </w:r>
    </w:p>
    <w:p w:rsidR="002B3E23" w:rsidRPr="00946DC8" w:rsidRDefault="002B3E23" w:rsidP="00B02DD4">
      <w:pPr>
        <w:pBdr>
          <w:top w:val="nil"/>
          <w:left w:val="nil"/>
          <w:bottom w:val="nil"/>
          <w:right w:val="nil"/>
          <w:between w:val="nil"/>
        </w:pBdr>
        <w:ind w:left="1276"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rPr>
        <w:t xml:space="preserve">1. </w:t>
      </w:r>
      <w:r w:rsidR="00B02DD4" w:rsidRPr="00946DC8">
        <w:rPr>
          <w:rFonts w:ascii="Palatino Linotype" w:eastAsia="Palatino Linotype" w:hAnsi="Palatino Linotype" w:cs="Palatino Linotype"/>
          <w:i/>
        </w:rPr>
        <w:t>Documento o documentos donde se advierta el c</w:t>
      </w:r>
      <w:r w:rsidR="0025657B" w:rsidRPr="00946DC8">
        <w:rPr>
          <w:rFonts w:ascii="Palatino Linotype" w:eastAsia="Palatino Linotype" w:hAnsi="Palatino Linotype" w:cs="Palatino Linotype"/>
          <w:i/>
          <w:color w:val="000000"/>
        </w:rPr>
        <w:t>riterio</w:t>
      </w:r>
      <w:r w:rsidR="00B02DD4" w:rsidRPr="00946DC8">
        <w:rPr>
          <w:rFonts w:ascii="Palatino Linotype" w:eastAsia="Palatino Linotype" w:hAnsi="Palatino Linotype" w:cs="Palatino Linotype"/>
          <w:i/>
          <w:color w:val="000000"/>
        </w:rPr>
        <w:t xml:space="preserve"> o criterios</w:t>
      </w:r>
      <w:r w:rsidR="0025657B" w:rsidRPr="00946DC8">
        <w:rPr>
          <w:rFonts w:ascii="Palatino Linotype" w:eastAsia="Palatino Linotype" w:hAnsi="Palatino Linotype" w:cs="Palatino Linotype"/>
          <w:i/>
          <w:color w:val="000000"/>
        </w:rPr>
        <w:t xml:space="preserve"> por </w:t>
      </w:r>
      <w:r w:rsidR="00B02DD4" w:rsidRPr="00946DC8">
        <w:rPr>
          <w:rFonts w:ascii="Palatino Linotype" w:eastAsia="Palatino Linotype" w:hAnsi="Palatino Linotype" w:cs="Palatino Linotype"/>
          <w:i/>
          <w:color w:val="000000"/>
        </w:rPr>
        <w:t>los cuales</w:t>
      </w:r>
      <w:r w:rsidR="0025657B" w:rsidRPr="00946DC8">
        <w:rPr>
          <w:rFonts w:ascii="Palatino Linotype" w:eastAsia="Palatino Linotype" w:hAnsi="Palatino Linotype" w:cs="Palatino Linotype"/>
          <w:i/>
          <w:color w:val="000000"/>
        </w:rPr>
        <w:t xml:space="preserve"> se procedió al derribo.</w:t>
      </w:r>
    </w:p>
    <w:p w:rsidR="002B3E23" w:rsidRPr="00946DC8" w:rsidRDefault="002B3E23" w:rsidP="00B02DD4">
      <w:pPr>
        <w:pBdr>
          <w:top w:val="nil"/>
          <w:left w:val="nil"/>
          <w:bottom w:val="nil"/>
          <w:right w:val="nil"/>
          <w:between w:val="nil"/>
        </w:pBdr>
        <w:ind w:left="1276"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 xml:space="preserve">2. </w:t>
      </w:r>
      <w:r w:rsidR="002B2876" w:rsidRPr="00946DC8">
        <w:rPr>
          <w:rFonts w:ascii="Palatino Linotype" w:eastAsia="Palatino Linotype" w:hAnsi="Palatino Linotype" w:cs="Palatino Linotype"/>
          <w:i/>
          <w:color w:val="000000"/>
        </w:rPr>
        <w:t>Documento donde conste el nombre del servidor público</w:t>
      </w:r>
      <w:r w:rsidR="00B02DD4" w:rsidRPr="00946DC8">
        <w:rPr>
          <w:rFonts w:ascii="Palatino Linotype" w:eastAsia="Palatino Linotype" w:hAnsi="Palatino Linotype" w:cs="Palatino Linotype"/>
          <w:i/>
          <w:color w:val="000000"/>
        </w:rPr>
        <w:t xml:space="preserve"> </w:t>
      </w:r>
      <w:r w:rsidR="0025657B" w:rsidRPr="00946DC8">
        <w:rPr>
          <w:rFonts w:ascii="Palatino Linotype" w:eastAsia="Palatino Linotype" w:hAnsi="Palatino Linotype" w:cs="Palatino Linotype"/>
          <w:i/>
          <w:color w:val="000000"/>
        </w:rPr>
        <w:t xml:space="preserve"> que autorizó el derribo.</w:t>
      </w:r>
    </w:p>
    <w:p w:rsidR="002B3E23" w:rsidRPr="00946DC8" w:rsidRDefault="00B02DD4" w:rsidP="00B02DD4">
      <w:pPr>
        <w:pBdr>
          <w:top w:val="nil"/>
          <w:left w:val="nil"/>
          <w:bottom w:val="nil"/>
          <w:right w:val="nil"/>
          <w:between w:val="nil"/>
        </w:pBdr>
        <w:ind w:left="1276" w:right="1134"/>
        <w:jc w:val="both"/>
        <w:rPr>
          <w:rFonts w:ascii="Palatino Linotype" w:eastAsia="Palatino Linotype" w:hAnsi="Palatino Linotype" w:cs="Palatino Linotype"/>
          <w:i/>
          <w:color w:val="000000"/>
        </w:rPr>
      </w:pPr>
      <w:r w:rsidRPr="00946DC8">
        <w:rPr>
          <w:rFonts w:ascii="Palatino Linotype" w:eastAsia="Palatino Linotype" w:hAnsi="Palatino Linotype" w:cs="Palatino Linotype"/>
          <w:i/>
          <w:color w:val="000000"/>
        </w:rPr>
        <w:t>3</w:t>
      </w:r>
      <w:r w:rsidR="002B3E23" w:rsidRPr="00946DC8">
        <w:rPr>
          <w:rFonts w:ascii="Palatino Linotype" w:eastAsia="Palatino Linotype" w:hAnsi="Palatino Linotype" w:cs="Palatino Linotype"/>
          <w:i/>
          <w:color w:val="000000"/>
        </w:rPr>
        <w:t xml:space="preserve">. </w:t>
      </w:r>
      <w:r w:rsidR="0025657B" w:rsidRPr="00946DC8">
        <w:rPr>
          <w:rFonts w:ascii="Palatino Linotype" w:eastAsia="Palatino Linotype" w:hAnsi="Palatino Linotype" w:cs="Palatino Linotype"/>
          <w:i/>
          <w:color w:val="000000"/>
        </w:rPr>
        <w:t>Documento o documentos que den cuenta de la procedencia técnica al derribo.</w:t>
      </w:r>
    </w:p>
    <w:p w:rsidR="00FB2858" w:rsidRPr="00946DC8" w:rsidRDefault="00B02DD4" w:rsidP="00B02DD4">
      <w:pPr>
        <w:pBdr>
          <w:top w:val="nil"/>
          <w:left w:val="nil"/>
          <w:bottom w:val="nil"/>
          <w:right w:val="nil"/>
          <w:between w:val="nil"/>
        </w:pBdr>
        <w:ind w:left="1276" w:right="1134"/>
        <w:jc w:val="both"/>
        <w:rPr>
          <w:rFonts w:ascii="Palatino Linotype" w:eastAsia="Palatino Linotype" w:hAnsi="Palatino Linotype" w:cs="Palatino Linotype"/>
          <w:i/>
        </w:rPr>
      </w:pPr>
      <w:r w:rsidRPr="00946DC8">
        <w:rPr>
          <w:rFonts w:ascii="Palatino Linotype" w:eastAsia="Palatino Linotype" w:hAnsi="Palatino Linotype" w:cs="Palatino Linotype"/>
          <w:i/>
          <w:color w:val="000000"/>
        </w:rPr>
        <w:t>4</w:t>
      </w:r>
      <w:r w:rsidR="002B3E23" w:rsidRPr="00946DC8">
        <w:rPr>
          <w:rFonts w:ascii="Palatino Linotype" w:eastAsia="Palatino Linotype" w:hAnsi="Palatino Linotype" w:cs="Palatino Linotype"/>
          <w:i/>
          <w:color w:val="000000"/>
        </w:rPr>
        <w:t xml:space="preserve">. </w:t>
      </w:r>
      <w:r w:rsidR="0025657B" w:rsidRPr="00946DC8">
        <w:rPr>
          <w:rFonts w:ascii="Palatino Linotype" w:eastAsia="Palatino Linotype" w:hAnsi="Palatino Linotype" w:cs="Palatino Linotype"/>
          <w:i/>
          <w:color w:val="000000"/>
        </w:rPr>
        <w:t xml:space="preserve">Documento o documentos donde conste y se adviertan las acciones a fin de resarcir </w:t>
      </w:r>
      <w:r w:rsidRPr="00946DC8">
        <w:rPr>
          <w:rFonts w:ascii="Palatino Linotype" w:eastAsia="Palatino Linotype" w:hAnsi="Palatino Linotype" w:cs="Palatino Linotype"/>
          <w:i/>
          <w:color w:val="000000"/>
        </w:rPr>
        <w:t>los impactos ambientales adversos</w:t>
      </w:r>
      <w:r w:rsidR="0025657B" w:rsidRPr="00946DC8">
        <w:rPr>
          <w:rFonts w:ascii="Palatino Linotype" w:eastAsia="Palatino Linotype" w:hAnsi="Palatino Linotype" w:cs="Palatino Linotype"/>
          <w:i/>
          <w:color w:val="000000"/>
        </w:rPr>
        <w:t xml:space="preserve"> derivado</w:t>
      </w:r>
      <w:r w:rsidRPr="00946DC8">
        <w:rPr>
          <w:rFonts w:ascii="Palatino Linotype" w:eastAsia="Palatino Linotype" w:hAnsi="Palatino Linotype" w:cs="Palatino Linotype"/>
          <w:i/>
          <w:color w:val="000000"/>
        </w:rPr>
        <w:t>s</w:t>
      </w:r>
      <w:r w:rsidR="0025657B" w:rsidRPr="00946DC8">
        <w:rPr>
          <w:rFonts w:ascii="Palatino Linotype" w:eastAsia="Palatino Linotype" w:hAnsi="Palatino Linotype" w:cs="Palatino Linotype"/>
          <w:i/>
          <w:color w:val="000000"/>
        </w:rPr>
        <w:t xml:space="preserve"> del derribo</w:t>
      </w:r>
      <w:r w:rsidRPr="00946DC8">
        <w:rPr>
          <w:rFonts w:ascii="Palatino Linotype" w:eastAsia="Palatino Linotype" w:hAnsi="Palatino Linotype" w:cs="Palatino Linotype"/>
          <w:i/>
          <w:color w:val="000000"/>
        </w:rPr>
        <w:t>.</w:t>
      </w:r>
    </w:p>
    <w:p w:rsidR="00110159" w:rsidRPr="00946DC8" w:rsidRDefault="00110159" w:rsidP="00FB2858">
      <w:pPr>
        <w:pBdr>
          <w:top w:val="nil"/>
          <w:left w:val="nil"/>
          <w:bottom w:val="nil"/>
          <w:right w:val="nil"/>
          <w:between w:val="nil"/>
        </w:pBdr>
        <w:spacing w:line="360" w:lineRule="auto"/>
        <w:jc w:val="both"/>
        <w:rPr>
          <w:rFonts w:ascii="Palatino Linotype" w:eastAsia="Palatino Linotype" w:hAnsi="Palatino Linotype" w:cs="Palatino Linotype"/>
          <w:i/>
        </w:rPr>
      </w:pPr>
    </w:p>
    <w:p w:rsidR="005F5F89" w:rsidRPr="00946DC8" w:rsidRDefault="005F5F89" w:rsidP="000A4A86">
      <w:pPr>
        <w:pStyle w:val="Prrafodelista"/>
        <w:numPr>
          <w:ilvl w:val="0"/>
          <w:numId w:val="36"/>
        </w:numPr>
        <w:spacing w:line="360" w:lineRule="auto"/>
        <w:ind w:left="0" w:firstLine="0"/>
        <w:jc w:val="both"/>
        <w:rPr>
          <w:color w:val="000000"/>
        </w:rPr>
      </w:pPr>
      <w:r w:rsidRPr="00946DC8">
        <w:rPr>
          <w:rFonts w:ascii="Palatino Linotype" w:eastAsia="Palatino Linotype" w:hAnsi="Palatino Linotype" w:cs="Palatino Linotype"/>
        </w:rPr>
        <w:lastRenderedPageBreak/>
        <w:t>Por lo anteriormente expuesto, este Órgano Garante considera fundadas las razones o motivos de inconformidad que plantea el</w:t>
      </w:r>
      <w:r w:rsidRPr="00946DC8">
        <w:rPr>
          <w:rFonts w:ascii="Palatino Linotype" w:eastAsia="Palatino Linotype" w:hAnsi="Palatino Linotype" w:cs="Palatino Linotype"/>
          <w:b/>
        </w:rPr>
        <w:t xml:space="preserve"> RECURRENTE</w:t>
      </w:r>
      <w:r w:rsidRPr="00946DC8">
        <w:rPr>
          <w:rFonts w:ascii="Palatino Linotype" w:eastAsia="Palatino Linotype" w:hAnsi="Palatino Linotype" w:cs="Palatino Linotype"/>
        </w:rPr>
        <w:t xml:space="preserve">, determinando </w:t>
      </w:r>
      <w:r w:rsidRPr="00946DC8">
        <w:rPr>
          <w:rFonts w:ascii="Palatino Linotype" w:eastAsia="Palatino Linotype" w:hAnsi="Palatino Linotype" w:cs="Palatino Linotype"/>
          <w:b/>
          <w:smallCaps/>
        </w:rPr>
        <w:t>REVOCAR</w:t>
      </w:r>
      <w:r w:rsidR="00A87F5C" w:rsidRPr="00946DC8">
        <w:rPr>
          <w:rFonts w:ascii="Palatino Linotype" w:eastAsia="Palatino Linotype" w:hAnsi="Palatino Linotype" w:cs="Palatino Linotype"/>
          <w:b/>
          <w:smallCaps/>
        </w:rPr>
        <w:t xml:space="preserve"> </w:t>
      </w:r>
      <w:r w:rsidRPr="00946DC8">
        <w:rPr>
          <w:rFonts w:ascii="Palatino Linotype" w:eastAsia="Palatino Linotype" w:hAnsi="Palatino Linotype" w:cs="Palatino Linotype"/>
          <w:b/>
          <w:smallCaps/>
        </w:rPr>
        <w:t xml:space="preserve"> </w:t>
      </w:r>
      <w:r w:rsidRPr="00946DC8">
        <w:rPr>
          <w:rFonts w:ascii="Palatino Linotype" w:eastAsia="Palatino Linotype" w:hAnsi="Palatino Linotype" w:cs="Palatino Linotype"/>
        </w:rPr>
        <w:t xml:space="preserve">la respuesta del </w:t>
      </w:r>
      <w:r w:rsidRPr="00946DC8">
        <w:rPr>
          <w:rFonts w:ascii="Palatino Linotype" w:eastAsia="Palatino Linotype" w:hAnsi="Palatino Linotype" w:cs="Palatino Linotype"/>
          <w:b/>
        </w:rPr>
        <w:t>SUJETO OBLIGADO</w:t>
      </w:r>
      <w:r w:rsidRPr="00946DC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46DC8">
        <w:rPr>
          <w:rFonts w:ascii="Palatino Linotype" w:eastAsia="Palatino Linotype" w:hAnsi="Palatino Linotype" w:cs="Palatino Linotype"/>
          <w:color w:val="000000"/>
        </w:rPr>
        <w:t xml:space="preserve">este </w:t>
      </w:r>
      <w:r w:rsidRPr="00946DC8">
        <w:rPr>
          <w:rFonts w:ascii="Palatino Linotype" w:eastAsia="Palatino Linotype" w:hAnsi="Palatino Linotype" w:cs="Palatino Linotype"/>
          <w:b/>
          <w:color w:val="000000"/>
        </w:rPr>
        <w:t>ÓRGANO GARANTE</w:t>
      </w:r>
      <w:r w:rsidRPr="00946DC8">
        <w:rPr>
          <w:rFonts w:ascii="Palatino Linotype" w:eastAsia="Palatino Linotype" w:hAnsi="Palatino Linotype" w:cs="Palatino Linotype"/>
          <w:color w:val="000000"/>
        </w:rPr>
        <w:t xml:space="preserve"> emite los siguientes.</w:t>
      </w:r>
    </w:p>
    <w:p w:rsidR="005F5F89" w:rsidRPr="00946DC8" w:rsidRDefault="005F5F89" w:rsidP="00490EC1">
      <w:pPr>
        <w:pBdr>
          <w:top w:val="nil"/>
          <w:left w:val="nil"/>
          <w:bottom w:val="nil"/>
          <w:right w:val="nil"/>
          <w:between w:val="nil"/>
        </w:pBdr>
        <w:ind w:left="720"/>
        <w:rPr>
          <w:rFonts w:ascii="Palatino Linotype" w:eastAsia="Palatino Linotype" w:hAnsi="Palatino Linotype" w:cs="Palatino Linotype"/>
          <w:color w:val="000000"/>
        </w:rPr>
      </w:pPr>
    </w:p>
    <w:p w:rsidR="007268C0" w:rsidRPr="00946DC8" w:rsidRDefault="007268C0" w:rsidP="00490EC1">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rPr>
      </w:pPr>
    </w:p>
    <w:p w:rsidR="005F5F89" w:rsidRPr="00946DC8" w:rsidRDefault="005F5F89" w:rsidP="00490EC1">
      <w:pPr>
        <w:pStyle w:val="Ttulo1"/>
        <w:spacing w:before="0" w:line="360" w:lineRule="auto"/>
        <w:jc w:val="center"/>
        <w:rPr>
          <w:rFonts w:ascii="Palatino Linotype" w:eastAsia="Palatino Linotype" w:hAnsi="Palatino Linotype" w:cs="Palatino Linotype"/>
          <w:b/>
          <w:color w:val="000000"/>
          <w:sz w:val="24"/>
          <w:szCs w:val="24"/>
        </w:rPr>
      </w:pPr>
      <w:r w:rsidRPr="00946DC8">
        <w:rPr>
          <w:rFonts w:ascii="Palatino Linotype" w:eastAsia="Palatino Linotype" w:hAnsi="Palatino Linotype" w:cs="Palatino Linotype"/>
          <w:b/>
          <w:color w:val="000000"/>
          <w:sz w:val="24"/>
          <w:szCs w:val="24"/>
        </w:rPr>
        <w:t>R E S O L U T I V O S</w:t>
      </w:r>
    </w:p>
    <w:p w:rsidR="005F5F89" w:rsidRPr="00946DC8" w:rsidRDefault="005F5F89" w:rsidP="00490EC1">
      <w:pPr>
        <w:rPr>
          <w:rFonts w:eastAsia="Palatino Linotype"/>
          <w:lang w:eastAsia="es-ES"/>
        </w:rPr>
      </w:pPr>
    </w:p>
    <w:p w:rsidR="005F5F89" w:rsidRPr="00946DC8" w:rsidRDefault="005F5F89" w:rsidP="00490EC1">
      <w:pPr>
        <w:spacing w:line="360" w:lineRule="auto"/>
        <w:jc w:val="both"/>
        <w:rPr>
          <w:rFonts w:ascii="Palatino Linotype" w:eastAsia="Palatino Linotype" w:hAnsi="Palatino Linotype" w:cs="Palatino Linotype"/>
          <w:b/>
        </w:rPr>
      </w:pPr>
      <w:r w:rsidRPr="00946DC8">
        <w:rPr>
          <w:rFonts w:ascii="Palatino Linotype" w:eastAsia="Palatino Linotype" w:hAnsi="Palatino Linotype" w:cs="Palatino Linotype"/>
          <w:b/>
        </w:rPr>
        <w:t>PRIMERO</w:t>
      </w:r>
      <w:r w:rsidRPr="00946DC8">
        <w:rPr>
          <w:rFonts w:ascii="Palatino Linotype" w:eastAsia="Palatino Linotype" w:hAnsi="Palatino Linotype" w:cs="Palatino Linotype"/>
        </w:rPr>
        <w:t xml:space="preserve">. Resultan fundadas las razones o motivos de inconformidad hechos valer en el Recurso de Revisión </w:t>
      </w:r>
      <w:r w:rsidR="002B2876" w:rsidRPr="00946DC8">
        <w:rPr>
          <w:rFonts w:ascii="Palatino Linotype" w:eastAsia="Palatino Linotype" w:hAnsi="Palatino Linotype" w:cs="Palatino Linotype"/>
          <w:b/>
        </w:rPr>
        <w:t>1208</w:t>
      </w:r>
      <w:r w:rsidR="00BB0FF2" w:rsidRPr="00946DC8">
        <w:rPr>
          <w:rFonts w:ascii="Palatino Linotype" w:eastAsia="Palatino Linotype" w:hAnsi="Palatino Linotype" w:cs="Palatino Linotype"/>
          <w:b/>
        </w:rPr>
        <w:t>8</w:t>
      </w:r>
      <w:r w:rsidRPr="00946DC8">
        <w:rPr>
          <w:rFonts w:ascii="Palatino Linotype" w:eastAsia="Palatino Linotype" w:hAnsi="Palatino Linotype" w:cs="Palatino Linotype"/>
          <w:b/>
        </w:rPr>
        <w:t xml:space="preserve">/INFOEM/IP/RR/2025, </w:t>
      </w:r>
      <w:r w:rsidRPr="00946DC8">
        <w:rPr>
          <w:rFonts w:ascii="Palatino Linotype" w:eastAsia="Palatino Linotype" w:hAnsi="Palatino Linotype" w:cs="Palatino Linotype"/>
        </w:rPr>
        <w:t xml:space="preserve">en términos del Considerando </w:t>
      </w:r>
      <w:r w:rsidRPr="00946DC8">
        <w:rPr>
          <w:rFonts w:ascii="Palatino Linotype" w:eastAsia="Palatino Linotype" w:hAnsi="Palatino Linotype" w:cs="Palatino Linotype"/>
          <w:b/>
        </w:rPr>
        <w:t xml:space="preserve">Cuarto </w:t>
      </w:r>
      <w:r w:rsidRPr="00946DC8">
        <w:rPr>
          <w:rFonts w:ascii="Palatino Linotype" w:eastAsia="Palatino Linotype" w:hAnsi="Palatino Linotype" w:cs="Palatino Linotype"/>
        </w:rPr>
        <w:t xml:space="preserve">de la presente resolución. </w:t>
      </w:r>
    </w:p>
    <w:p w:rsidR="005F5F89" w:rsidRPr="00946DC8" w:rsidRDefault="005F5F89" w:rsidP="00490EC1">
      <w:pPr>
        <w:spacing w:line="360" w:lineRule="auto"/>
        <w:jc w:val="both"/>
        <w:rPr>
          <w:rFonts w:ascii="Palatino Linotype" w:eastAsia="Palatino Linotype" w:hAnsi="Palatino Linotype" w:cs="Palatino Linotype"/>
        </w:rPr>
      </w:pPr>
    </w:p>
    <w:p w:rsidR="005F5F89" w:rsidRPr="00946DC8" w:rsidRDefault="005F5F89" w:rsidP="00D31C59">
      <w:pPr>
        <w:pBdr>
          <w:top w:val="nil"/>
          <w:left w:val="nil"/>
          <w:bottom w:val="nil"/>
          <w:right w:val="nil"/>
          <w:between w:val="nil"/>
        </w:pBdr>
        <w:spacing w:line="360" w:lineRule="auto"/>
        <w:jc w:val="both"/>
        <w:rPr>
          <w:rFonts w:ascii="Palatino Linotype" w:eastAsia="Palatino Linotype" w:hAnsi="Palatino Linotype" w:cs="Palatino Linotype"/>
        </w:rPr>
      </w:pPr>
      <w:bookmarkStart w:id="12" w:name="_heading=h.1ksv4uv" w:colFirst="0" w:colLast="0"/>
      <w:bookmarkEnd w:id="12"/>
      <w:r w:rsidRPr="00946DC8">
        <w:rPr>
          <w:rFonts w:ascii="Palatino Linotype" w:eastAsia="Palatino Linotype" w:hAnsi="Palatino Linotype" w:cs="Palatino Linotype"/>
          <w:b/>
        </w:rPr>
        <w:t xml:space="preserve">SEGUNDO. </w:t>
      </w:r>
      <w:r w:rsidRPr="00946DC8">
        <w:rPr>
          <w:rFonts w:ascii="Palatino Linotype" w:eastAsia="Palatino Linotype" w:hAnsi="Palatino Linotype" w:cs="Palatino Linotype"/>
          <w:color w:val="000000"/>
        </w:rPr>
        <w:t xml:space="preserve">Se </w:t>
      </w:r>
      <w:r w:rsidRPr="00946DC8">
        <w:rPr>
          <w:rFonts w:ascii="Palatino Linotype" w:eastAsia="Palatino Linotype" w:hAnsi="Palatino Linotype" w:cs="Palatino Linotype"/>
          <w:b/>
          <w:color w:val="000000"/>
        </w:rPr>
        <w:t xml:space="preserve">REVOCA </w:t>
      </w:r>
      <w:r w:rsidRPr="00946DC8">
        <w:rPr>
          <w:rFonts w:ascii="Palatino Linotype" w:eastAsia="Palatino Linotype" w:hAnsi="Palatino Linotype" w:cs="Palatino Linotype"/>
          <w:color w:val="000000"/>
        </w:rPr>
        <w:t xml:space="preserve">la respuesta emitida por el </w:t>
      </w:r>
      <w:r w:rsidR="00A50F71" w:rsidRPr="00946DC8">
        <w:rPr>
          <w:rFonts w:ascii="Palatino Linotype" w:eastAsia="Palatino Linotype" w:hAnsi="Palatino Linotype" w:cs="Palatino Linotype"/>
          <w:b/>
          <w:color w:val="000000"/>
        </w:rPr>
        <w:t xml:space="preserve">Ayuntamiento de </w:t>
      </w:r>
      <w:r w:rsidR="002B2876" w:rsidRPr="00946DC8">
        <w:rPr>
          <w:rFonts w:ascii="Palatino Linotype" w:eastAsia="Palatino Linotype" w:hAnsi="Palatino Linotype" w:cs="Palatino Linotype"/>
          <w:b/>
          <w:color w:val="000000"/>
        </w:rPr>
        <w:t xml:space="preserve">Tecámac </w:t>
      </w:r>
      <w:r w:rsidRPr="00946DC8">
        <w:rPr>
          <w:rFonts w:ascii="Palatino Linotype" w:eastAsia="Palatino Linotype" w:hAnsi="Palatino Linotype" w:cs="Palatino Linotype"/>
          <w:color w:val="000000"/>
        </w:rPr>
        <w:t xml:space="preserve">y se </w:t>
      </w:r>
      <w:r w:rsidRPr="00946DC8">
        <w:rPr>
          <w:rFonts w:ascii="Palatino Linotype" w:eastAsia="Palatino Linotype" w:hAnsi="Palatino Linotype" w:cs="Palatino Linotype"/>
          <w:b/>
          <w:color w:val="000000"/>
        </w:rPr>
        <w:t>ORDENA</w:t>
      </w:r>
      <w:r w:rsidRPr="00946DC8">
        <w:rPr>
          <w:rFonts w:ascii="Palatino Linotype" w:eastAsia="Palatino Linotype" w:hAnsi="Palatino Linotype" w:cs="Palatino Linotype"/>
          <w:color w:val="000000"/>
        </w:rPr>
        <w:t xml:space="preserve"> entregar vía Sistema de Acceso a la Información,</w:t>
      </w:r>
      <w:r w:rsidRPr="00946DC8">
        <w:rPr>
          <w:rFonts w:ascii="Palatino Linotype" w:eastAsia="Palatino Linotype" w:hAnsi="Palatino Linotype" w:cs="Palatino Linotype"/>
        </w:rPr>
        <w:t xml:space="preserve"> </w:t>
      </w:r>
      <w:r w:rsidR="000B19E5" w:rsidRPr="00946DC8">
        <w:rPr>
          <w:rFonts w:ascii="Palatino Linotype" w:eastAsia="Palatino Linotype" w:hAnsi="Palatino Linotype" w:cs="Palatino Linotype"/>
        </w:rPr>
        <w:t xml:space="preserve">después de una búsqueda exhaustiva y </w:t>
      </w:r>
      <w:r w:rsidR="00A50F71" w:rsidRPr="00946DC8">
        <w:rPr>
          <w:rFonts w:ascii="Palatino Linotype" w:eastAsia="Palatino Linotype" w:hAnsi="Palatino Linotype" w:cs="Palatino Linotype"/>
        </w:rPr>
        <w:t xml:space="preserve">de ser procedente </w:t>
      </w:r>
      <w:r w:rsidRPr="00946DC8">
        <w:rPr>
          <w:rFonts w:ascii="Palatino Linotype" w:eastAsia="Palatino Linotype" w:hAnsi="Palatino Linotype" w:cs="Palatino Linotype"/>
        </w:rPr>
        <w:t xml:space="preserve">en versión pública,  </w:t>
      </w:r>
      <w:r w:rsidR="002B2876" w:rsidRPr="00946DC8">
        <w:rPr>
          <w:rFonts w:ascii="Palatino Linotype" w:eastAsia="Palatino Linotype" w:hAnsi="Palatino Linotype" w:cs="Palatino Linotype"/>
        </w:rPr>
        <w:t>respecto del derribo de árboles del Parque la Soledad</w:t>
      </w:r>
      <w:r w:rsidR="00D31C59" w:rsidRPr="00946DC8">
        <w:rPr>
          <w:rFonts w:ascii="Palatino Linotype" w:hAnsi="Palatino Linotype"/>
          <w:color w:val="000000"/>
        </w:rPr>
        <w:t xml:space="preserve"> el </w:t>
      </w:r>
      <w:r w:rsidR="00DD629E" w:rsidRPr="00946DC8">
        <w:rPr>
          <w:rFonts w:ascii="Palatino Linotype" w:hAnsi="Palatino Linotype"/>
          <w:color w:val="000000"/>
        </w:rPr>
        <w:t>d</w:t>
      </w:r>
      <w:r w:rsidR="00D31C59" w:rsidRPr="00946DC8">
        <w:rPr>
          <w:rFonts w:ascii="Palatino Linotype" w:hAnsi="Palatino Linotype"/>
          <w:color w:val="000000"/>
        </w:rPr>
        <w:t>ocumento o documentos donde obre y conste</w:t>
      </w:r>
      <w:r w:rsidR="00D31C59" w:rsidRPr="00946DC8">
        <w:rPr>
          <w:rFonts w:ascii="Palatino Linotype" w:hAnsi="Palatino Linotype"/>
          <w:b/>
          <w:i/>
          <w:color w:val="000000"/>
        </w:rPr>
        <w:t xml:space="preserve"> </w:t>
      </w:r>
      <w:r w:rsidRPr="00946DC8">
        <w:rPr>
          <w:rFonts w:ascii="Palatino Linotype" w:eastAsia="Palatino Linotype" w:hAnsi="Palatino Linotype" w:cs="Palatino Linotype"/>
        </w:rPr>
        <w:t xml:space="preserve">lo siguiente: </w:t>
      </w:r>
    </w:p>
    <w:p w:rsidR="00BE0BA7" w:rsidRPr="00946DC8" w:rsidRDefault="00BE0BA7" w:rsidP="00490EC1">
      <w:pPr>
        <w:spacing w:line="360" w:lineRule="auto"/>
        <w:jc w:val="both"/>
        <w:rPr>
          <w:rFonts w:ascii="Palatino Linotype" w:eastAsia="Palatino Linotype" w:hAnsi="Palatino Linotype" w:cs="Palatino Linotype"/>
        </w:rPr>
      </w:pPr>
    </w:p>
    <w:p w:rsidR="002B2876" w:rsidRPr="00946DC8" w:rsidRDefault="002B2876" w:rsidP="000A4A86">
      <w:pPr>
        <w:pStyle w:val="Prrafodelista"/>
        <w:numPr>
          <w:ilvl w:val="3"/>
          <w:numId w:val="36"/>
        </w:numPr>
        <w:pBdr>
          <w:top w:val="nil"/>
          <w:left w:val="nil"/>
          <w:bottom w:val="nil"/>
          <w:right w:val="nil"/>
          <w:between w:val="nil"/>
        </w:pBdr>
        <w:ind w:left="1560" w:right="1134"/>
        <w:jc w:val="both"/>
        <w:rPr>
          <w:rFonts w:ascii="Palatino Linotype" w:eastAsia="Palatino Linotype" w:hAnsi="Palatino Linotype" w:cs="Palatino Linotype"/>
          <w:b/>
          <w:i/>
          <w:color w:val="000000"/>
        </w:rPr>
      </w:pPr>
      <w:bookmarkStart w:id="13" w:name="_heading=h.lnxbz9" w:colFirst="0" w:colLast="0"/>
      <w:bookmarkEnd w:id="13"/>
      <w:r w:rsidRPr="00946DC8">
        <w:rPr>
          <w:rFonts w:ascii="Palatino Linotype" w:eastAsia="Palatino Linotype" w:hAnsi="Palatino Linotype" w:cs="Palatino Linotype"/>
          <w:b/>
          <w:i/>
        </w:rPr>
        <w:t>Documento o documentos donde se advierta el c</w:t>
      </w:r>
      <w:r w:rsidRPr="00946DC8">
        <w:rPr>
          <w:rFonts w:ascii="Palatino Linotype" w:eastAsia="Palatino Linotype" w:hAnsi="Palatino Linotype" w:cs="Palatino Linotype"/>
          <w:b/>
          <w:i/>
          <w:color w:val="000000"/>
        </w:rPr>
        <w:t>riterio o criterios por los cuales se procedió al derribo.</w:t>
      </w:r>
    </w:p>
    <w:p w:rsidR="002B2876" w:rsidRPr="00946DC8" w:rsidRDefault="002B2876" w:rsidP="002B2876">
      <w:pPr>
        <w:pBdr>
          <w:top w:val="nil"/>
          <w:left w:val="nil"/>
          <w:bottom w:val="nil"/>
          <w:right w:val="nil"/>
          <w:between w:val="nil"/>
        </w:pBdr>
        <w:ind w:left="1560" w:right="1134"/>
        <w:jc w:val="both"/>
        <w:rPr>
          <w:rFonts w:ascii="Palatino Linotype" w:eastAsia="Palatino Linotype" w:hAnsi="Palatino Linotype" w:cs="Palatino Linotype"/>
          <w:b/>
          <w:i/>
          <w:color w:val="000000"/>
        </w:rPr>
      </w:pPr>
    </w:p>
    <w:p w:rsidR="002B2876" w:rsidRPr="00946DC8" w:rsidRDefault="002B2876" w:rsidP="000A4A86">
      <w:pPr>
        <w:pStyle w:val="Prrafodelista"/>
        <w:numPr>
          <w:ilvl w:val="3"/>
          <w:numId w:val="36"/>
        </w:numPr>
        <w:pBdr>
          <w:top w:val="nil"/>
          <w:left w:val="nil"/>
          <w:bottom w:val="nil"/>
          <w:right w:val="nil"/>
          <w:between w:val="nil"/>
        </w:pBdr>
        <w:ind w:left="1560" w:right="1134"/>
        <w:jc w:val="both"/>
        <w:rPr>
          <w:rFonts w:ascii="Palatino Linotype" w:eastAsia="Palatino Linotype" w:hAnsi="Palatino Linotype" w:cs="Palatino Linotype"/>
          <w:b/>
          <w:i/>
          <w:color w:val="000000"/>
        </w:rPr>
      </w:pPr>
      <w:r w:rsidRPr="00946DC8">
        <w:rPr>
          <w:rFonts w:ascii="Palatino Linotype" w:eastAsia="Palatino Linotype" w:hAnsi="Palatino Linotype" w:cs="Palatino Linotype"/>
          <w:b/>
          <w:i/>
          <w:color w:val="000000"/>
        </w:rPr>
        <w:t>Documento donde conste el nombre del servidor público  que autorizó el derribo.</w:t>
      </w:r>
    </w:p>
    <w:p w:rsidR="002B2876" w:rsidRPr="00946DC8" w:rsidRDefault="002B2876" w:rsidP="002B2876">
      <w:pPr>
        <w:pBdr>
          <w:top w:val="nil"/>
          <w:left w:val="nil"/>
          <w:bottom w:val="nil"/>
          <w:right w:val="nil"/>
          <w:between w:val="nil"/>
        </w:pBdr>
        <w:ind w:left="1560" w:right="1134"/>
        <w:jc w:val="both"/>
        <w:rPr>
          <w:rFonts w:ascii="Palatino Linotype" w:eastAsia="Palatino Linotype" w:hAnsi="Palatino Linotype" w:cs="Palatino Linotype"/>
          <w:b/>
          <w:i/>
          <w:color w:val="000000"/>
        </w:rPr>
      </w:pPr>
    </w:p>
    <w:p w:rsidR="002B2876" w:rsidRPr="00946DC8" w:rsidRDefault="002B2876" w:rsidP="000A4A86">
      <w:pPr>
        <w:pStyle w:val="Prrafodelista"/>
        <w:numPr>
          <w:ilvl w:val="3"/>
          <w:numId w:val="36"/>
        </w:numPr>
        <w:pBdr>
          <w:top w:val="nil"/>
          <w:left w:val="nil"/>
          <w:bottom w:val="nil"/>
          <w:right w:val="nil"/>
          <w:between w:val="nil"/>
        </w:pBdr>
        <w:ind w:left="1560" w:right="1134"/>
        <w:jc w:val="both"/>
        <w:rPr>
          <w:rFonts w:ascii="Palatino Linotype" w:eastAsia="Palatino Linotype" w:hAnsi="Palatino Linotype" w:cs="Palatino Linotype"/>
          <w:b/>
          <w:i/>
          <w:color w:val="000000"/>
        </w:rPr>
      </w:pPr>
      <w:r w:rsidRPr="00946DC8">
        <w:rPr>
          <w:rFonts w:ascii="Palatino Linotype" w:eastAsia="Palatino Linotype" w:hAnsi="Palatino Linotype" w:cs="Palatino Linotype"/>
          <w:b/>
          <w:i/>
          <w:color w:val="000000"/>
        </w:rPr>
        <w:lastRenderedPageBreak/>
        <w:t>Documento o documentos que den cuenta de la procedencia técnica al derribo.</w:t>
      </w:r>
    </w:p>
    <w:p w:rsidR="002B2876" w:rsidRPr="00946DC8" w:rsidRDefault="002B2876" w:rsidP="002B2876">
      <w:pPr>
        <w:pBdr>
          <w:top w:val="nil"/>
          <w:left w:val="nil"/>
          <w:bottom w:val="nil"/>
          <w:right w:val="nil"/>
          <w:between w:val="nil"/>
        </w:pBdr>
        <w:ind w:left="1560" w:right="1134"/>
        <w:jc w:val="both"/>
        <w:rPr>
          <w:rFonts w:ascii="Palatino Linotype" w:eastAsia="Palatino Linotype" w:hAnsi="Palatino Linotype" w:cs="Palatino Linotype"/>
          <w:b/>
          <w:i/>
          <w:color w:val="000000"/>
        </w:rPr>
      </w:pPr>
    </w:p>
    <w:p w:rsidR="002B2876" w:rsidRPr="00946DC8" w:rsidRDefault="002B2876" w:rsidP="000A4A86">
      <w:pPr>
        <w:pStyle w:val="Prrafodelista"/>
        <w:numPr>
          <w:ilvl w:val="3"/>
          <w:numId w:val="36"/>
        </w:numPr>
        <w:pBdr>
          <w:top w:val="nil"/>
          <w:left w:val="nil"/>
          <w:bottom w:val="nil"/>
          <w:right w:val="nil"/>
          <w:between w:val="nil"/>
        </w:pBdr>
        <w:ind w:left="1560" w:right="1134" w:hanging="425"/>
        <w:jc w:val="both"/>
        <w:rPr>
          <w:rFonts w:ascii="Palatino Linotype" w:eastAsia="Palatino Linotype" w:hAnsi="Palatino Linotype" w:cs="Palatino Linotype"/>
          <w:b/>
          <w:i/>
        </w:rPr>
      </w:pPr>
      <w:r w:rsidRPr="00946DC8">
        <w:rPr>
          <w:rFonts w:ascii="Palatino Linotype" w:eastAsia="Palatino Linotype" w:hAnsi="Palatino Linotype" w:cs="Palatino Linotype"/>
          <w:b/>
          <w:i/>
          <w:color w:val="000000"/>
        </w:rPr>
        <w:t>Documento o documentos donde conste y se adviertan las acciones a fin de resarcir los impactos ambientales adversos derivados del derribo.</w:t>
      </w:r>
    </w:p>
    <w:p w:rsidR="000870BD" w:rsidRPr="00946DC8" w:rsidRDefault="000870BD" w:rsidP="000870BD">
      <w:pPr>
        <w:spacing w:line="276" w:lineRule="auto"/>
        <w:ind w:left="1134" w:right="1134"/>
        <w:jc w:val="both"/>
        <w:rPr>
          <w:rFonts w:ascii="Palatino Linotype" w:eastAsia="Palatino Linotype" w:hAnsi="Palatino Linotype" w:cs="Palatino Linotype"/>
          <w:b/>
          <w:i/>
        </w:rPr>
      </w:pPr>
      <w:r w:rsidRPr="00946DC8">
        <w:rPr>
          <w:rFonts w:ascii="Palatino Linotype" w:eastAsia="Palatino Linotype" w:hAnsi="Palatino Linotype" w:cs="Palatino Linotype"/>
          <w:i/>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46DC8">
        <w:rPr>
          <w:rFonts w:ascii="Palatino Linotype" w:eastAsia="Palatino Linotype" w:hAnsi="Palatino Linotype" w:cs="Palatino Linotype"/>
          <w:b/>
          <w:i/>
        </w:rPr>
        <w:t>RECURRENTE.</w:t>
      </w:r>
    </w:p>
    <w:p w:rsidR="00BE0BA7" w:rsidRPr="00946DC8" w:rsidRDefault="00BE0BA7" w:rsidP="00490EC1">
      <w:pPr>
        <w:tabs>
          <w:tab w:val="left" w:pos="8080"/>
        </w:tabs>
        <w:spacing w:line="360" w:lineRule="auto"/>
        <w:jc w:val="both"/>
        <w:rPr>
          <w:rFonts w:ascii="Palatino Linotype" w:eastAsia="Palatino Linotype" w:hAnsi="Palatino Linotype" w:cs="Palatino Linotype"/>
        </w:rPr>
      </w:pPr>
    </w:p>
    <w:p w:rsidR="00BE0BA7" w:rsidRPr="00946DC8" w:rsidRDefault="00BE0BA7" w:rsidP="00490EC1">
      <w:pPr>
        <w:tabs>
          <w:tab w:val="left" w:pos="8080"/>
        </w:tabs>
        <w:spacing w:line="360" w:lineRule="auto"/>
        <w:jc w:val="both"/>
        <w:rPr>
          <w:rFonts w:ascii="Palatino Linotype" w:eastAsia="Palatino Linotype" w:hAnsi="Palatino Linotype" w:cs="Palatino Linotype"/>
          <w:color w:val="222222"/>
        </w:rPr>
      </w:pPr>
      <w:r w:rsidRPr="00946DC8">
        <w:rPr>
          <w:rFonts w:ascii="Palatino Linotype" w:eastAsia="Palatino Linotype" w:hAnsi="Palatino Linotype" w:cs="Palatino Linotype"/>
          <w:b/>
        </w:rPr>
        <w:t xml:space="preserve">TERCERO. </w:t>
      </w:r>
      <w:r w:rsidRPr="00946DC8">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46DC8">
        <w:rPr>
          <w:rFonts w:ascii="Palatino Linotype" w:eastAsia="Palatino Linotype" w:hAnsi="Palatino Linotype" w:cs="Palatino Linotype"/>
          <w:b/>
          <w:color w:val="222222"/>
        </w:rPr>
        <w:t xml:space="preserve">dé cumplimiento a lo ordenado dentro del plazo de diez días hábiles, </w:t>
      </w:r>
      <w:r w:rsidRPr="00946DC8">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BE0BA7" w:rsidRPr="00946DC8" w:rsidRDefault="00BE0BA7" w:rsidP="00490EC1">
      <w:pPr>
        <w:tabs>
          <w:tab w:val="left" w:pos="8080"/>
        </w:tabs>
        <w:spacing w:line="360" w:lineRule="auto"/>
        <w:jc w:val="both"/>
        <w:rPr>
          <w:rFonts w:ascii="Palatino Linotype" w:eastAsia="Palatino Linotype" w:hAnsi="Palatino Linotype" w:cs="Palatino Linotype"/>
          <w:color w:val="222222"/>
        </w:rPr>
      </w:pPr>
    </w:p>
    <w:p w:rsidR="00BE0BA7" w:rsidRPr="00946DC8" w:rsidRDefault="00BE0BA7" w:rsidP="00490EC1">
      <w:pPr>
        <w:spacing w:line="360" w:lineRule="auto"/>
        <w:jc w:val="both"/>
        <w:rPr>
          <w:rFonts w:ascii="Palatino Linotype" w:eastAsia="Palatino Linotype" w:hAnsi="Palatino Linotype" w:cs="Palatino Linotype"/>
        </w:rPr>
      </w:pPr>
      <w:r w:rsidRPr="00946DC8">
        <w:rPr>
          <w:rFonts w:ascii="Palatino Linotype" w:eastAsia="Palatino Linotype" w:hAnsi="Palatino Linotype" w:cs="Palatino Linotype"/>
          <w:b/>
        </w:rPr>
        <w:t xml:space="preserve">CUARTO. </w:t>
      </w:r>
      <w:r w:rsidRPr="00946DC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46DC8">
        <w:rPr>
          <w:rFonts w:ascii="Palatino Linotype" w:eastAsia="Palatino Linotype" w:hAnsi="Palatino Linotype" w:cs="Palatino Linotype"/>
          <w:b/>
        </w:rPr>
        <w:lastRenderedPageBreak/>
        <w:t>SUJETO OBLIGADO</w:t>
      </w:r>
      <w:r w:rsidRPr="00946DC8">
        <w:rPr>
          <w:rFonts w:ascii="Palatino Linotype" w:eastAsia="Palatino Linotype" w:hAnsi="Palatino Linotype" w:cs="Palatino Linotype"/>
        </w:rPr>
        <w:t xml:space="preserve"> de manera fundada y motivada, podrá solicitar una ampliación de plazo para el cumplimiento de la presente resolución.</w:t>
      </w:r>
    </w:p>
    <w:p w:rsidR="00BE0BA7" w:rsidRPr="00946DC8" w:rsidRDefault="00BE0BA7" w:rsidP="00490EC1">
      <w:pPr>
        <w:spacing w:line="360" w:lineRule="auto"/>
        <w:jc w:val="both"/>
        <w:rPr>
          <w:rFonts w:ascii="Palatino Linotype" w:eastAsia="Palatino Linotype" w:hAnsi="Palatino Linotype" w:cs="Palatino Linotype"/>
        </w:rPr>
      </w:pPr>
    </w:p>
    <w:p w:rsidR="00BE0BA7" w:rsidRPr="00946DC8" w:rsidRDefault="00BE0BA7" w:rsidP="00490EC1">
      <w:pPr>
        <w:spacing w:line="360" w:lineRule="auto"/>
        <w:jc w:val="both"/>
        <w:rPr>
          <w:rFonts w:ascii="Palatino Linotype" w:eastAsia="Palatino Linotype" w:hAnsi="Palatino Linotype" w:cs="Palatino Linotype"/>
        </w:rPr>
      </w:pPr>
      <w:bookmarkStart w:id="14" w:name="_heading=h.2jxsxqh" w:colFirst="0" w:colLast="0"/>
      <w:bookmarkEnd w:id="14"/>
      <w:r w:rsidRPr="00946DC8">
        <w:rPr>
          <w:rFonts w:ascii="Palatino Linotype" w:eastAsia="Palatino Linotype" w:hAnsi="Palatino Linotype" w:cs="Palatino Linotype"/>
          <w:b/>
        </w:rPr>
        <w:t xml:space="preserve">QUINTO. </w:t>
      </w:r>
      <w:r w:rsidRPr="00946DC8">
        <w:rPr>
          <w:rFonts w:ascii="Palatino Linotype" w:eastAsia="Palatino Linotype" w:hAnsi="Palatino Linotype" w:cs="Palatino Linotype"/>
        </w:rPr>
        <w:t xml:space="preserve">Notifíquese a </w:t>
      </w:r>
      <w:r w:rsidRPr="00946DC8">
        <w:rPr>
          <w:rFonts w:ascii="Palatino Linotype" w:eastAsia="Palatino Linotype" w:hAnsi="Palatino Linotype" w:cs="Palatino Linotype"/>
          <w:b/>
        </w:rPr>
        <w:t>EL RECURRENTE</w:t>
      </w:r>
      <w:r w:rsidRPr="00946DC8">
        <w:rPr>
          <w:rFonts w:ascii="Palatino Linotype" w:eastAsia="Palatino Linotype" w:hAnsi="Palatino Linotype" w:cs="Palatino Linotype"/>
        </w:rPr>
        <w:t xml:space="preserve"> la presente resolución, vía SAIMEX.</w:t>
      </w:r>
    </w:p>
    <w:p w:rsidR="00BE0BA7" w:rsidRPr="00946DC8" w:rsidRDefault="00BE0BA7" w:rsidP="00490EC1">
      <w:pPr>
        <w:shd w:val="clear" w:color="auto" w:fill="FFFFFF"/>
        <w:spacing w:line="360" w:lineRule="auto"/>
        <w:jc w:val="both"/>
        <w:rPr>
          <w:rFonts w:ascii="Palatino Linotype" w:eastAsia="Palatino Linotype" w:hAnsi="Palatino Linotype" w:cs="Palatino Linotype"/>
          <w:b/>
          <w:lang w:val="es-ES_tradnl"/>
        </w:rPr>
      </w:pPr>
    </w:p>
    <w:p w:rsidR="00BE0BA7" w:rsidRPr="00946DC8" w:rsidRDefault="00BE0BA7" w:rsidP="00490EC1">
      <w:pPr>
        <w:spacing w:line="360" w:lineRule="auto"/>
        <w:jc w:val="both"/>
        <w:rPr>
          <w:rFonts w:ascii="Palatino Linotype" w:eastAsia="Palatino Linotype" w:hAnsi="Palatino Linotype" w:cs="Palatino Linotype"/>
          <w:lang w:val="es-ES_tradnl"/>
        </w:rPr>
      </w:pPr>
      <w:r w:rsidRPr="00946DC8">
        <w:rPr>
          <w:rFonts w:ascii="Palatino Linotype" w:eastAsia="Palatino Linotype" w:hAnsi="Palatino Linotype" w:cs="Palatino Linotype"/>
          <w:b/>
          <w:lang w:val="es-ES_tradnl"/>
        </w:rPr>
        <w:t xml:space="preserve">SEXTO. </w:t>
      </w:r>
      <w:r w:rsidRPr="00946DC8">
        <w:rPr>
          <w:rFonts w:ascii="Palatino Linotype" w:eastAsia="Palatino Linotype" w:hAnsi="Palatino Linotype" w:cs="Palatino Linotype"/>
          <w:lang w:val="es-ES_tradnl"/>
        </w:rPr>
        <w:t xml:space="preserve">Se hace del conocimiento del </w:t>
      </w:r>
      <w:r w:rsidRPr="00946DC8">
        <w:rPr>
          <w:rFonts w:ascii="Palatino Linotype" w:eastAsia="Palatino Linotype" w:hAnsi="Palatino Linotype" w:cs="Palatino Linotype"/>
          <w:b/>
          <w:lang w:val="es-ES_tradnl"/>
        </w:rPr>
        <w:t>RECURRENTE</w:t>
      </w:r>
      <w:r w:rsidRPr="00946DC8">
        <w:rPr>
          <w:rFonts w:ascii="Palatino Linotype" w:eastAsia="Palatino Linotype" w:hAnsi="Palatino Linotype" w:cs="Palatino Linotype"/>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E0BA7" w:rsidRPr="00946DC8" w:rsidRDefault="00BE0BA7" w:rsidP="00490EC1">
      <w:pPr>
        <w:shd w:val="clear" w:color="auto" w:fill="FFFFFF"/>
        <w:spacing w:line="360" w:lineRule="auto"/>
        <w:jc w:val="both"/>
        <w:rPr>
          <w:rFonts w:ascii="Palatino Linotype" w:eastAsia="Palatino Linotype" w:hAnsi="Palatino Linotype" w:cs="Palatino Linotype"/>
          <w:lang w:val="es-ES_tradnl" w:eastAsia="es-ES"/>
        </w:rPr>
      </w:pPr>
    </w:p>
    <w:p w:rsidR="00AF4954" w:rsidRPr="00946DC8" w:rsidRDefault="00AF4954" w:rsidP="00AF4954">
      <w:pPr>
        <w:spacing w:before="240" w:after="240" w:line="360" w:lineRule="auto"/>
        <w:ind w:firstLine="1"/>
        <w:jc w:val="both"/>
        <w:rPr>
          <w:rFonts w:ascii="Palatino Linotype" w:hAnsi="Palatino Linotype"/>
        </w:rPr>
      </w:pPr>
      <w:bookmarkStart w:id="15" w:name="_Hlk99014733"/>
      <w:r w:rsidRPr="00946DC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946DC8">
        <w:rPr>
          <w:rFonts w:ascii="Palatino Linotype" w:hAnsi="Palatino Linotype" w:cs="Palatino Linotype"/>
          <w:color w:val="000000" w:themeColor="text1"/>
        </w:rPr>
        <w:t>ALEXIS TAPIA RAMÍREZ.</w:t>
      </w:r>
    </w:p>
    <w:bookmarkEnd w:id="15"/>
    <w:p w:rsidR="00BE0BA7" w:rsidRPr="00946DC8" w:rsidRDefault="00BE0BA7" w:rsidP="00490EC1">
      <w:pPr>
        <w:spacing w:before="240" w:after="240" w:line="360" w:lineRule="auto"/>
        <w:jc w:val="both"/>
        <w:rPr>
          <w:rFonts w:ascii="Palatino Linotype" w:eastAsia="Palatino Linotype" w:hAnsi="Palatino Linotype" w:cs="Palatino Linotype"/>
        </w:rPr>
      </w:pPr>
    </w:p>
    <w:p w:rsidR="00BE0BA7" w:rsidRPr="00946DC8" w:rsidRDefault="00BE0BA7" w:rsidP="00490EC1">
      <w:pPr>
        <w:spacing w:before="240" w:after="240" w:line="360" w:lineRule="auto"/>
        <w:jc w:val="both"/>
        <w:rPr>
          <w:rFonts w:ascii="Palatino Linotype" w:eastAsia="Palatino Linotype" w:hAnsi="Palatino Linotype" w:cs="Palatino Linotype"/>
        </w:rPr>
      </w:pPr>
    </w:p>
    <w:p w:rsidR="00BE0BA7" w:rsidRPr="00946DC8" w:rsidRDefault="00BE0BA7" w:rsidP="00490EC1">
      <w:pPr>
        <w:spacing w:line="360" w:lineRule="auto"/>
        <w:jc w:val="both"/>
        <w:rPr>
          <w:rFonts w:ascii="Palatino Linotype" w:eastAsia="Palatino Linotype" w:hAnsi="Palatino Linotype" w:cs="Palatino Linotype"/>
        </w:rPr>
      </w:pPr>
    </w:p>
    <w:p w:rsidR="00BE0BA7" w:rsidRPr="00946DC8" w:rsidRDefault="00BE0BA7" w:rsidP="00490EC1">
      <w:pPr>
        <w:keepNext/>
        <w:keepLines/>
        <w:spacing w:after="240" w:line="360" w:lineRule="auto"/>
        <w:rPr>
          <w:rFonts w:ascii="Palatino Linotype" w:hAnsi="Palatino Linotype"/>
        </w:rPr>
      </w:pPr>
    </w:p>
    <w:p w:rsidR="00BE0BA7" w:rsidRPr="00946DC8" w:rsidRDefault="00BE0BA7" w:rsidP="00490EC1">
      <w:pPr>
        <w:rPr>
          <w:rFonts w:ascii="Palatino Linotype" w:hAnsi="Palatino Linotype"/>
        </w:rPr>
      </w:pPr>
    </w:p>
    <w:p w:rsidR="00BE0BA7" w:rsidRPr="00946DC8" w:rsidRDefault="00BE0BA7" w:rsidP="00490EC1">
      <w:pPr>
        <w:rPr>
          <w:rFonts w:ascii="Palatino Linotype" w:hAnsi="Palatino Linotype"/>
        </w:rPr>
      </w:pPr>
    </w:p>
    <w:p w:rsidR="00BE0BA7" w:rsidRPr="00946DC8" w:rsidRDefault="00BE0BA7" w:rsidP="00490EC1">
      <w:pPr>
        <w:rPr>
          <w:rFonts w:ascii="Palatino Linotype" w:hAnsi="Palatino Linotype"/>
        </w:rPr>
      </w:pPr>
    </w:p>
    <w:p w:rsidR="00BE0BA7" w:rsidRPr="00946DC8" w:rsidRDefault="00BE0BA7" w:rsidP="00490EC1">
      <w:pPr>
        <w:rPr>
          <w:rFonts w:ascii="Palatino Linotype" w:hAnsi="Palatino Linotype"/>
        </w:rPr>
      </w:pPr>
    </w:p>
    <w:p w:rsidR="00BE0BA7" w:rsidRPr="00946DC8" w:rsidRDefault="00BE0BA7" w:rsidP="00490EC1">
      <w:pPr>
        <w:rPr>
          <w:rFonts w:ascii="Palatino Linotype" w:hAnsi="Palatino Linotype"/>
        </w:rPr>
      </w:pPr>
    </w:p>
    <w:p w:rsidR="00BE0BA7" w:rsidRPr="00946DC8" w:rsidRDefault="00BE0BA7" w:rsidP="00490EC1">
      <w:pPr>
        <w:rPr>
          <w:rFonts w:ascii="Palatino Linotype" w:hAnsi="Palatino Linotype"/>
        </w:rPr>
      </w:pPr>
    </w:p>
    <w:p w:rsidR="009A4EA5" w:rsidRPr="00946DC8" w:rsidRDefault="009A4EA5" w:rsidP="00490EC1">
      <w:pPr>
        <w:rPr>
          <w:rFonts w:ascii="Palatino Linotype" w:hAnsi="Palatino Linotype"/>
        </w:rPr>
      </w:pPr>
    </w:p>
    <w:sectPr w:rsidR="009A4EA5" w:rsidRPr="00946DC8" w:rsidSect="00946DC8">
      <w:headerReference w:type="default" r:id="rId13"/>
      <w:footerReference w:type="default" r:id="rId14"/>
      <w:headerReference w:type="first" r:id="rId15"/>
      <w:footerReference w:type="first" r:id="rId16"/>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14" w:rsidRDefault="00AA7E14" w:rsidP="00BE0BA7">
      <w:r>
        <w:separator/>
      </w:r>
    </w:p>
  </w:endnote>
  <w:endnote w:type="continuationSeparator" w:id="0">
    <w:p w:rsidR="00AA7E14" w:rsidRDefault="00AA7E14" w:rsidP="00BE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7B" w:rsidRPr="00946DC8" w:rsidRDefault="0025657B">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946DC8">
      <w:rPr>
        <w:rFonts w:ascii="Palatino Linotype" w:eastAsia="Arial" w:hAnsi="Palatino Linotype" w:cs="Arial"/>
        <w:b/>
        <w:color w:val="000000"/>
        <w:sz w:val="22"/>
        <w:szCs w:val="20"/>
      </w:rPr>
      <w:t xml:space="preserve">Página </w:t>
    </w:r>
    <w:r w:rsidRPr="00946DC8">
      <w:rPr>
        <w:rFonts w:ascii="Palatino Linotype" w:eastAsia="Arial" w:hAnsi="Palatino Linotype" w:cs="Arial"/>
        <w:b/>
        <w:color w:val="000000"/>
        <w:sz w:val="22"/>
        <w:szCs w:val="20"/>
      </w:rPr>
      <w:fldChar w:fldCharType="begin"/>
    </w:r>
    <w:r w:rsidRPr="00946DC8">
      <w:rPr>
        <w:rFonts w:ascii="Palatino Linotype" w:eastAsia="Arial" w:hAnsi="Palatino Linotype" w:cs="Arial"/>
        <w:b/>
        <w:color w:val="000000"/>
        <w:sz w:val="22"/>
        <w:szCs w:val="20"/>
      </w:rPr>
      <w:instrText>PAGE</w:instrText>
    </w:r>
    <w:r w:rsidRPr="00946DC8">
      <w:rPr>
        <w:rFonts w:ascii="Palatino Linotype" w:eastAsia="Arial" w:hAnsi="Palatino Linotype" w:cs="Arial"/>
        <w:b/>
        <w:color w:val="000000"/>
        <w:sz w:val="22"/>
        <w:szCs w:val="20"/>
      </w:rPr>
      <w:fldChar w:fldCharType="separate"/>
    </w:r>
    <w:r w:rsidR="00C203B4">
      <w:rPr>
        <w:rFonts w:ascii="Palatino Linotype" w:eastAsia="Arial" w:hAnsi="Palatino Linotype" w:cs="Arial"/>
        <w:b/>
        <w:noProof/>
        <w:color w:val="000000"/>
        <w:sz w:val="22"/>
        <w:szCs w:val="20"/>
      </w:rPr>
      <w:t>21</w:t>
    </w:r>
    <w:r w:rsidRPr="00946DC8">
      <w:rPr>
        <w:rFonts w:ascii="Palatino Linotype" w:eastAsia="Arial" w:hAnsi="Palatino Linotype" w:cs="Arial"/>
        <w:b/>
        <w:color w:val="000000"/>
        <w:sz w:val="22"/>
        <w:szCs w:val="20"/>
      </w:rPr>
      <w:fldChar w:fldCharType="end"/>
    </w:r>
    <w:r w:rsidRPr="00946DC8">
      <w:rPr>
        <w:rFonts w:ascii="Palatino Linotype" w:eastAsia="Arial" w:hAnsi="Palatino Linotype" w:cs="Arial"/>
        <w:b/>
        <w:color w:val="000000"/>
        <w:sz w:val="22"/>
        <w:szCs w:val="20"/>
      </w:rPr>
      <w:t xml:space="preserve"> de </w:t>
    </w:r>
    <w:r w:rsidRPr="00946DC8">
      <w:rPr>
        <w:rFonts w:ascii="Palatino Linotype" w:eastAsia="Arial" w:hAnsi="Palatino Linotype" w:cs="Arial"/>
        <w:b/>
        <w:color w:val="000000"/>
        <w:sz w:val="22"/>
        <w:szCs w:val="20"/>
      </w:rPr>
      <w:fldChar w:fldCharType="begin"/>
    </w:r>
    <w:r w:rsidRPr="00946DC8">
      <w:rPr>
        <w:rFonts w:ascii="Palatino Linotype" w:eastAsia="Arial" w:hAnsi="Palatino Linotype" w:cs="Arial"/>
        <w:b/>
        <w:color w:val="000000"/>
        <w:sz w:val="22"/>
        <w:szCs w:val="20"/>
      </w:rPr>
      <w:instrText>NUMPAGES</w:instrText>
    </w:r>
    <w:r w:rsidRPr="00946DC8">
      <w:rPr>
        <w:rFonts w:ascii="Palatino Linotype" w:eastAsia="Arial" w:hAnsi="Palatino Linotype" w:cs="Arial"/>
        <w:b/>
        <w:color w:val="000000"/>
        <w:sz w:val="22"/>
        <w:szCs w:val="20"/>
      </w:rPr>
      <w:fldChar w:fldCharType="separate"/>
    </w:r>
    <w:r w:rsidR="00C203B4">
      <w:rPr>
        <w:rFonts w:ascii="Palatino Linotype" w:eastAsia="Arial" w:hAnsi="Palatino Linotype" w:cs="Arial"/>
        <w:b/>
        <w:noProof/>
        <w:color w:val="000000"/>
        <w:sz w:val="22"/>
        <w:szCs w:val="20"/>
      </w:rPr>
      <w:t>33</w:t>
    </w:r>
    <w:r w:rsidRPr="00946DC8">
      <w:rPr>
        <w:rFonts w:ascii="Palatino Linotype" w:eastAsia="Arial" w:hAnsi="Palatino Linotype" w:cs="Arial"/>
        <w:b/>
        <w:color w:val="000000"/>
        <w:sz w:val="22"/>
        <w:szCs w:val="20"/>
      </w:rPr>
      <w:fldChar w:fldCharType="end"/>
    </w:r>
  </w:p>
  <w:p w:rsidR="0025657B" w:rsidRDefault="0025657B">
    <w:pPr>
      <w:pBdr>
        <w:top w:val="nil"/>
        <w:left w:val="nil"/>
        <w:bottom w:val="nil"/>
        <w:right w:val="nil"/>
        <w:between w:val="nil"/>
      </w:pBdr>
      <w:tabs>
        <w:tab w:val="center" w:pos="4252"/>
        <w:tab w:val="right" w:pos="8504"/>
      </w:tabs>
      <w:rPr>
        <w:color w:val="000000"/>
      </w:rPr>
    </w:pPr>
  </w:p>
  <w:p w:rsidR="0025657B" w:rsidRDefault="0025657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57B" w:rsidRPr="00946DC8" w:rsidRDefault="0025657B">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946DC8">
      <w:rPr>
        <w:rFonts w:ascii="Palatino Linotype" w:eastAsia="Arial" w:hAnsi="Palatino Linotype" w:cs="Arial"/>
        <w:b/>
        <w:color w:val="000000"/>
        <w:sz w:val="22"/>
        <w:szCs w:val="20"/>
      </w:rPr>
      <w:t xml:space="preserve">Página </w:t>
    </w:r>
    <w:r w:rsidRPr="00946DC8">
      <w:rPr>
        <w:rFonts w:ascii="Palatino Linotype" w:eastAsia="Arial" w:hAnsi="Palatino Linotype" w:cs="Arial"/>
        <w:b/>
        <w:color w:val="000000"/>
        <w:sz w:val="22"/>
        <w:szCs w:val="20"/>
      </w:rPr>
      <w:fldChar w:fldCharType="begin"/>
    </w:r>
    <w:r w:rsidRPr="00946DC8">
      <w:rPr>
        <w:rFonts w:ascii="Palatino Linotype" w:eastAsia="Arial" w:hAnsi="Palatino Linotype" w:cs="Arial"/>
        <w:b/>
        <w:color w:val="000000"/>
        <w:sz w:val="22"/>
        <w:szCs w:val="20"/>
      </w:rPr>
      <w:instrText>PAGE</w:instrText>
    </w:r>
    <w:r w:rsidRPr="00946DC8">
      <w:rPr>
        <w:rFonts w:ascii="Palatino Linotype" w:eastAsia="Arial" w:hAnsi="Palatino Linotype" w:cs="Arial"/>
        <w:b/>
        <w:color w:val="000000"/>
        <w:sz w:val="22"/>
        <w:szCs w:val="20"/>
      </w:rPr>
      <w:fldChar w:fldCharType="separate"/>
    </w:r>
    <w:r w:rsidR="00C203B4">
      <w:rPr>
        <w:rFonts w:ascii="Palatino Linotype" w:eastAsia="Arial" w:hAnsi="Palatino Linotype" w:cs="Arial"/>
        <w:b/>
        <w:noProof/>
        <w:color w:val="000000"/>
        <w:sz w:val="22"/>
        <w:szCs w:val="20"/>
      </w:rPr>
      <w:t>1</w:t>
    </w:r>
    <w:r w:rsidRPr="00946DC8">
      <w:rPr>
        <w:rFonts w:ascii="Palatino Linotype" w:eastAsia="Arial" w:hAnsi="Palatino Linotype" w:cs="Arial"/>
        <w:b/>
        <w:color w:val="000000"/>
        <w:sz w:val="22"/>
        <w:szCs w:val="20"/>
      </w:rPr>
      <w:fldChar w:fldCharType="end"/>
    </w:r>
    <w:r w:rsidRPr="00946DC8">
      <w:rPr>
        <w:rFonts w:ascii="Palatino Linotype" w:eastAsia="Arial" w:hAnsi="Palatino Linotype" w:cs="Arial"/>
        <w:b/>
        <w:color w:val="000000"/>
        <w:sz w:val="22"/>
        <w:szCs w:val="20"/>
      </w:rPr>
      <w:t xml:space="preserve"> de </w:t>
    </w:r>
    <w:r w:rsidRPr="00946DC8">
      <w:rPr>
        <w:rFonts w:ascii="Palatino Linotype" w:eastAsia="Arial" w:hAnsi="Palatino Linotype" w:cs="Arial"/>
        <w:b/>
        <w:color w:val="000000"/>
        <w:sz w:val="22"/>
        <w:szCs w:val="20"/>
      </w:rPr>
      <w:fldChar w:fldCharType="begin"/>
    </w:r>
    <w:r w:rsidRPr="00946DC8">
      <w:rPr>
        <w:rFonts w:ascii="Palatino Linotype" w:eastAsia="Arial" w:hAnsi="Palatino Linotype" w:cs="Arial"/>
        <w:b/>
        <w:color w:val="000000"/>
        <w:sz w:val="22"/>
        <w:szCs w:val="20"/>
      </w:rPr>
      <w:instrText>NUMPAGES</w:instrText>
    </w:r>
    <w:r w:rsidRPr="00946DC8">
      <w:rPr>
        <w:rFonts w:ascii="Palatino Linotype" w:eastAsia="Arial" w:hAnsi="Palatino Linotype" w:cs="Arial"/>
        <w:b/>
        <w:color w:val="000000"/>
        <w:sz w:val="22"/>
        <w:szCs w:val="20"/>
      </w:rPr>
      <w:fldChar w:fldCharType="separate"/>
    </w:r>
    <w:r w:rsidR="00C203B4">
      <w:rPr>
        <w:rFonts w:ascii="Palatino Linotype" w:eastAsia="Arial" w:hAnsi="Palatino Linotype" w:cs="Arial"/>
        <w:b/>
        <w:noProof/>
        <w:color w:val="000000"/>
        <w:sz w:val="22"/>
        <w:szCs w:val="20"/>
      </w:rPr>
      <w:t>33</w:t>
    </w:r>
    <w:r w:rsidRPr="00946DC8">
      <w:rPr>
        <w:rFonts w:ascii="Palatino Linotype" w:eastAsia="Arial" w:hAnsi="Palatino Linotype" w:cs="Arial"/>
        <w:b/>
        <w:color w:val="000000"/>
        <w:sz w:val="22"/>
        <w:szCs w:val="20"/>
      </w:rPr>
      <w:fldChar w:fldCharType="end"/>
    </w:r>
  </w:p>
  <w:p w:rsidR="0025657B" w:rsidRDefault="0025657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14" w:rsidRDefault="00AA7E14" w:rsidP="00BE0BA7">
      <w:r>
        <w:separator/>
      </w:r>
    </w:p>
  </w:footnote>
  <w:footnote w:type="continuationSeparator" w:id="0">
    <w:p w:rsidR="00AA7E14" w:rsidRDefault="00AA7E14" w:rsidP="00BE0BA7">
      <w:r>
        <w:continuationSeparator/>
      </w:r>
    </w:p>
  </w:footnote>
  <w:footnote w:id="1">
    <w:p w:rsidR="0025657B" w:rsidRDefault="0025657B" w:rsidP="00BE0B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25657B" w:rsidRDefault="0025657B" w:rsidP="00BE0B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25657B" w:rsidRDefault="0025657B" w:rsidP="00BE0B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25657B" w:rsidRDefault="0025657B" w:rsidP="00BE0BA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25657B" w:rsidRDefault="0025657B">
      <w:pPr>
        <w:pStyle w:val="Textonotapie"/>
      </w:pPr>
      <w:r>
        <w:rPr>
          <w:rStyle w:val="Refdenotaalpie"/>
        </w:rPr>
        <w:footnoteRef/>
      </w:r>
      <w:r>
        <w:t xml:space="preserve"> </w:t>
      </w:r>
      <w:hyperlink r:id="rId1" w:history="1">
        <w:r w:rsidRPr="00042207">
          <w:rPr>
            <w:rStyle w:val="Hipervnculo"/>
          </w:rPr>
          <w:t>https://lajornadaestadodemexico.com/tecamac-se-enferman-66-arboles-del-parque-de-la-soledad/</w:t>
        </w:r>
      </w:hyperlink>
      <w:r>
        <w:t xml:space="preserve"> . Consultada el 29/ 01/2026.</w:t>
      </w:r>
    </w:p>
  </w:footnote>
  <w:footnote w:id="6">
    <w:p w:rsidR="0025657B" w:rsidRDefault="0025657B">
      <w:pPr>
        <w:pStyle w:val="Textonotapie"/>
      </w:pPr>
      <w:r>
        <w:rPr>
          <w:rStyle w:val="Refdenotaalpie"/>
        </w:rPr>
        <w:footnoteRef/>
      </w:r>
      <w:r>
        <w:t xml:space="preserve"> </w:t>
      </w:r>
      <w:hyperlink r:id="rId2" w:history="1">
        <w:r w:rsidRPr="00042207">
          <w:rPr>
            <w:rStyle w:val="Hipervnculo"/>
          </w:rPr>
          <w:t>https://elambmex.com/2025/06/19/news/mexico/estados/juez-federal-otorga-amparo-a-ciudadanos-del-centro-de-tecamac-wong-atada-de-manos.html</w:t>
        </w:r>
      </w:hyperlink>
      <w:r>
        <w:t xml:space="preserve"> . Consultada el 29/01/2026.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5" w:type="dxa"/>
      <w:tblInd w:w="3261" w:type="dxa"/>
      <w:tblLayout w:type="fixed"/>
      <w:tblLook w:val="0400" w:firstRow="0" w:lastRow="0" w:firstColumn="0" w:lastColumn="0" w:noHBand="0" w:noVBand="1"/>
    </w:tblPr>
    <w:tblGrid>
      <w:gridCol w:w="3178"/>
      <w:gridCol w:w="3827"/>
    </w:tblGrid>
    <w:tr w:rsidR="0025657B" w:rsidRPr="0027209D" w:rsidTr="00946DC8">
      <w:tc>
        <w:tcPr>
          <w:tcW w:w="3178" w:type="dxa"/>
          <w:vAlign w:val="center"/>
        </w:tcPr>
        <w:p w:rsidR="0025657B" w:rsidRPr="00946DC8" w:rsidRDefault="0025657B" w:rsidP="009A16E2">
          <w:pPr>
            <w:ind w:left="377"/>
            <w:rPr>
              <w:rFonts w:ascii="Palatino Linotype" w:eastAsia="Palatino Linotype" w:hAnsi="Palatino Linotype" w:cs="Palatino Linotype"/>
              <w:b/>
            </w:rPr>
          </w:pPr>
          <w:r w:rsidRPr="00946DC8">
            <w:rPr>
              <w:rFonts w:ascii="Palatino Linotype" w:eastAsia="Palatino Linotype" w:hAnsi="Palatino Linotype" w:cs="Palatino Linotype"/>
              <w:b/>
            </w:rPr>
            <w:t>Recurso de Revisión:</w:t>
          </w:r>
        </w:p>
      </w:tc>
      <w:tc>
        <w:tcPr>
          <w:tcW w:w="3827" w:type="dxa"/>
          <w:vAlign w:val="center"/>
        </w:tcPr>
        <w:p w:rsidR="0025657B" w:rsidRPr="00946DC8" w:rsidRDefault="0025657B" w:rsidP="004F5716">
          <w:pPr>
            <w:ind w:right="-1093"/>
            <w:jc w:val="both"/>
            <w:rPr>
              <w:rFonts w:ascii="Palatino Linotype" w:eastAsia="Palatino Linotype" w:hAnsi="Palatino Linotype" w:cs="Palatino Linotype"/>
            </w:rPr>
          </w:pPr>
          <w:r w:rsidRPr="00946DC8">
            <w:rPr>
              <w:rFonts w:ascii="Palatino Linotype" w:eastAsia="Palatino Linotype" w:hAnsi="Palatino Linotype" w:cs="Palatino Linotype"/>
            </w:rPr>
            <w:t xml:space="preserve">12088/INFOEM/IP/RR/2025 </w:t>
          </w:r>
        </w:p>
      </w:tc>
    </w:tr>
    <w:tr w:rsidR="0025657B" w:rsidRPr="0027209D" w:rsidTr="00946DC8">
      <w:trPr>
        <w:trHeight w:val="228"/>
      </w:trPr>
      <w:tc>
        <w:tcPr>
          <w:tcW w:w="3178" w:type="dxa"/>
          <w:vAlign w:val="center"/>
        </w:tcPr>
        <w:p w:rsidR="0025657B" w:rsidRPr="00946DC8" w:rsidRDefault="0025657B" w:rsidP="009A16E2">
          <w:pPr>
            <w:ind w:left="377"/>
            <w:rPr>
              <w:rFonts w:ascii="Palatino Linotype" w:eastAsia="Palatino Linotype" w:hAnsi="Palatino Linotype" w:cs="Palatino Linotype"/>
              <w:b/>
            </w:rPr>
          </w:pPr>
          <w:r w:rsidRPr="00946DC8">
            <w:rPr>
              <w:rFonts w:ascii="Palatino Linotype" w:eastAsia="Palatino Linotype" w:hAnsi="Palatino Linotype" w:cs="Palatino Linotype"/>
              <w:b/>
            </w:rPr>
            <w:t>Sujeto Obligado:</w:t>
          </w:r>
        </w:p>
      </w:tc>
      <w:tc>
        <w:tcPr>
          <w:tcW w:w="3827" w:type="dxa"/>
          <w:shd w:val="clear" w:color="auto" w:fill="auto"/>
          <w:vAlign w:val="center"/>
        </w:tcPr>
        <w:p w:rsidR="0025657B" w:rsidRPr="00946DC8" w:rsidRDefault="0025657B" w:rsidP="004F5716">
          <w:pPr>
            <w:ind w:right="-108"/>
            <w:rPr>
              <w:rFonts w:ascii="Palatino Linotype" w:eastAsia="Palatino Linotype" w:hAnsi="Palatino Linotype" w:cs="Palatino Linotype"/>
              <w:color w:val="000000"/>
            </w:rPr>
          </w:pPr>
          <w:r w:rsidRPr="00946DC8">
            <w:rPr>
              <w:rFonts w:ascii="Palatino Linotype" w:eastAsia="Palatino Linotype" w:hAnsi="Palatino Linotype" w:cs="Palatino Linotype"/>
              <w:bCs/>
              <w:color w:val="000000"/>
            </w:rPr>
            <w:t>Ayuntamiento de Tecamac</w:t>
          </w:r>
        </w:p>
      </w:tc>
    </w:tr>
    <w:tr w:rsidR="0025657B" w:rsidRPr="0027209D" w:rsidTr="00946DC8">
      <w:tc>
        <w:tcPr>
          <w:tcW w:w="3178" w:type="dxa"/>
          <w:vAlign w:val="center"/>
        </w:tcPr>
        <w:p w:rsidR="0025657B" w:rsidRPr="00946DC8" w:rsidRDefault="0025657B" w:rsidP="009A16E2">
          <w:pPr>
            <w:ind w:left="377"/>
            <w:rPr>
              <w:rFonts w:ascii="Palatino Linotype" w:eastAsia="Palatino Linotype" w:hAnsi="Palatino Linotype" w:cs="Palatino Linotype"/>
              <w:b/>
            </w:rPr>
          </w:pPr>
          <w:r w:rsidRPr="00946DC8">
            <w:rPr>
              <w:rFonts w:ascii="Palatino Linotype" w:eastAsia="Palatino Linotype" w:hAnsi="Palatino Linotype" w:cs="Palatino Linotype"/>
              <w:b/>
            </w:rPr>
            <w:t>Comisionada Ponente:</w:t>
          </w:r>
        </w:p>
      </w:tc>
      <w:tc>
        <w:tcPr>
          <w:tcW w:w="3827" w:type="dxa"/>
          <w:vAlign w:val="center"/>
        </w:tcPr>
        <w:p w:rsidR="0025657B" w:rsidRPr="00946DC8" w:rsidRDefault="0025657B">
          <w:pPr>
            <w:ind w:right="-1093"/>
            <w:jc w:val="both"/>
            <w:rPr>
              <w:rFonts w:ascii="Palatino Linotype" w:eastAsia="Palatino Linotype" w:hAnsi="Palatino Linotype" w:cs="Palatino Linotype"/>
            </w:rPr>
          </w:pPr>
          <w:r w:rsidRPr="00946DC8">
            <w:rPr>
              <w:rFonts w:ascii="Palatino Linotype" w:eastAsia="Palatino Linotype" w:hAnsi="Palatino Linotype" w:cs="Palatino Linotype"/>
            </w:rPr>
            <w:t>María del Rosario Mejía Ayala</w:t>
          </w:r>
        </w:p>
      </w:tc>
    </w:tr>
  </w:tbl>
  <w:p w:rsidR="0025657B" w:rsidRDefault="00946DC8">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9264" behindDoc="1" locked="0" layoutInCell="1" hidden="0" allowOverlap="1" wp14:anchorId="1B3B0EC8" wp14:editId="43B2C2BB">
          <wp:simplePos x="0" y="0"/>
          <wp:positionH relativeFrom="column">
            <wp:posOffset>-980248</wp:posOffset>
          </wp:positionH>
          <wp:positionV relativeFrom="paragraph">
            <wp:posOffset>-1125220</wp:posOffset>
          </wp:positionV>
          <wp:extent cx="7813085" cy="1017000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r w:rsidR="0025657B">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3" w:type="dxa"/>
      <w:tblInd w:w="2977" w:type="dxa"/>
      <w:tblLayout w:type="fixed"/>
      <w:tblLook w:val="0400" w:firstRow="0" w:lastRow="0" w:firstColumn="0" w:lastColumn="0" w:noHBand="0" w:noVBand="1"/>
    </w:tblPr>
    <w:tblGrid>
      <w:gridCol w:w="3260"/>
      <w:gridCol w:w="3683"/>
    </w:tblGrid>
    <w:tr w:rsidR="0025657B" w:rsidTr="00946DC8">
      <w:trPr>
        <w:trHeight w:val="227"/>
      </w:trPr>
      <w:tc>
        <w:tcPr>
          <w:tcW w:w="3260" w:type="dxa"/>
          <w:vAlign w:val="center"/>
        </w:tcPr>
        <w:p w:rsidR="0025657B" w:rsidRPr="00946DC8" w:rsidRDefault="0025657B" w:rsidP="00BE0BA7">
          <w:pPr>
            <w:jc w:val="right"/>
            <w:rPr>
              <w:rFonts w:ascii="Palatino Linotype" w:eastAsia="Palatino Linotype" w:hAnsi="Palatino Linotype" w:cs="Palatino Linotype"/>
              <w:b/>
              <w:szCs w:val="22"/>
            </w:rPr>
          </w:pPr>
          <w:r w:rsidRPr="00946DC8">
            <w:rPr>
              <w:rFonts w:ascii="Calibri" w:eastAsia="Calibri" w:hAnsi="Calibri" w:cs="Calibri"/>
              <w:color w:val="000000"/>
            </w:rPr>
            <w:t xml:space="preserve">   </w:t>
          </w:r>
          <w:r w:rsidR="00946DC8" w:rsidRPr="00946DC8">
            <w:rPr>
              <w:rFonts w:ascii="Calibri" w:eastAsia="Calibri" w:hAnsi="Calibri" w:cs="Calibri"/>
              <w:color w:val="000000"/>
            </w:rPr>
            <w:t xml:space="preserve">      </w:t>
          </w:r>
          <w:r w:rsidRPr="00946DC8">
            <w:rPr>
              <w:rFonts w:ascii="Palatino Linotype" w:eastAsia="Palatino Linotype" w:hAnsi="Palatino Linotype" w:cs="Palatino Linotype"/>
              <w:b/>
              <w:szCs w:val="22"/>
            </w:rPr>
            <w:t>Recurso de Revisión:</w:t>
          </w:r>
        </w:p>
      </w:tc>
      <w:tc>
        <w:tcPr>
          <w:tcW w:w="3683" w:type="dxa"/>
          <w:vAlign w:val="center"/>
        </w:tcPr>
        <w:p w:rsidR="0025657B" w:rsidRPr="00946DC8" w:rsidRDefault="0025657B" w:rsidP="00BE0BA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946DC8">
            <w:rPr>
              <w:rFonts w:ascii="Palatino Linotype" w:eastAsia="Palatino Linotype" w:hAnsi="Palatino Linotype" w:cs="Palatino Linotype"/>
              <w:color w:val="000000"/>
              <w:szCs w:val="22"/>
            </w:rPr>
            <w:t>12088/INFOEM/IP/RR/2025</w:t>
          </w:r>
        </w:p>
      </w:tc>
    </w:tr>
    <w:tr w:rsidR="0025657B" w:rsidTr="00946DC8">
      <w:trPr>
        <w:trHeight w:val="242"/>
      </w:trPr>
      <w:tc>
        <w:tcPr>
          <w:tcW w:w="3260" w:type="dxa"/>
          <w:vAlign w:val="center"/>
        </w:tcPr>
        <w:p w:rsidR="0025657B" w:rsidRPr="00946DC8" w:rsidRDefault="0025657B" w:rsidP="00BE0BA7">
          <w:pPr>
            <w:jc w:val="right"/>
            <w:rPr>
              <w:rFonts w:ascii="Palatino Linotype" w:eastAsia="Palatino Linotype" w:hAnsi="Palatino Linotype" w:cs="Palatino Linotype"/>
              <w:b/>
              <w:szCs w:val="22"/>
            </w:rPr>
          </w:pPr>
          <w:r w:rsidRPr="00946DC8">
            <w:rPr>
              <w:rFonts w:ascii="Palatino Linotype" w:eastAsia="Palatino Linotype" w:hAnsi="Palatino Linotype" w:cs="Palatino Linotype"/>
              <w:b/>
              <w:szCs w:val="22"/>
            </w:rPr>
            <w:t>Recurrente:</w:t>
          </w:r>
        </w:p>
      </w:tc>
      <w:tc>
        <w:tcPr>
          <w:tcW w:w="3683" w:type="dxa"/>
        </w:tcPr>
        <w:p w:rsidR="0025657B" w:rsidRPr="00946DC8" w:rsidRDefault="00C203B4" w:rsidP="00BE0BA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r>
            <w:rPr>
              <w:rFonts w:ascii="Palatino Linotype" w:eastAsia="Palatino Linotype" w:hAnsi="Palatino Linotype" w:cs="Palatino Linotype"/>
              <w:szCs w:val="22"/>
            </w:rPr>
            <w:t>XXXX</w:t>
          </w:r>
        </w:p>
      </w:tc>
    </w:tr>
    <w:tr w:rsidR="0025657B" w:rsidTr="00946DC8">
      <w:trPr>
        <w:trHeight w:val="342"/>
      </w:trPr>
      <w:tc>
        <w:tcPr>
          <w:tcW w:w="3260" w:type="dxa"/>
          <w:vAlign w:val="center"/>
        </w:tcPr>
        <w:p w:rsidR="0025657B" w:rsidRPr="00946DC8" w:rsidRDefault="0025657B" w:rsidP="00BE0BA7">
          <w:pPr>
            <w:jc w:val="right"/>
            <w:rPr>
              <w:rFonts w:ascii="Palatino Linotype" w:eastAsia="Palatino Linotype" w:hAnsi="Palatino Linotype" w:cs="Palatino Linotype"/>
              <w:b/>
              <w:szCs w:val="22"/>
            </w:rPr>
          </w:pPr>
          <w:r w:rsidRPr="00946DC8">
            <w:rPr>
              <w:rFonts w:ascii="Palatino Linotype" w:eastAsia="Palatino Linotype" w:hAnsi="Palatino Linotype" w:cs="Palatino Linotype"/>
              <w:b/>
              <w:szCs w:val="22"/>
            </w:rPr>
            <w:t>Sujeto Obligado:</w:t>
          </w:r>
        </w:p>
      </w:tc>
      <w:tc>
        <w:tcPr>
          <w:tcW w:w="3683" w:type="dxa"/>
          <w:vAlign w:val="center"/>
        </w:tcPr>
        <w:p w:rsidR="0025657B" w:rsidRPr="00946DC8" w:rsidRDefault="0025657B" w:rsidP="004F571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946DC8">
            <w:rPr>
              <w:rFonts w:ascii="Palatino Linotype" w:eastAsia="Palatino Linotype" w:hAnsi="Palatino Linotype" w:cs="Palatino Linotype"/>
              <w:bCs/>
              <w:color w:val="000000"/>
              <w:szCs w:val="22"/>
            </w:rPr>
            <w:t>Ayuntamiento de Tecamac</w:t>
          </w:r>
        </w:p>
      </w:tc>
    </w:tr>
    <w:tr w:rsidR="0025657B" w:rsidTr="00946DC8">
      <w:trPr>
        <w:trHeight w:val="342"/>
      </w:trPr>
      <w:tc>
        <w:tcPr>
          <w:tcW w:w="3260" w:type="dxa"/>
          <w:vAlign w:val="center"/>
        </w:tcPr>
        <w:p w:rsidR="0025657B" w:rsidRPr="00946DC8" w:rsidRDefault="0025657B" w:rsidP="00BE0BA7">
          <w:pPr>
            <w:jc w:val="right"/>
            <w:rPr>
              <w:rFonts w:ascii="Palatino Linotype" w:eastAsia="Palatino Linotype" w:hAnsi="Palatino Linotype" w:cs="Palatino Linotype"/>
              <w:b/>
              <w:szCs w:val="22"/>
            </w:rPr>
          </w:pPr>
          <w:r w:rsidRPr="00946DC8">
            <w:rPr>
              <w:rFonts w:ascii="Palatino Linotype" w:eastAsia="Palatino Linotype" w:hAnsi="Palatino Linotype" w:cs="Palatino Linotype"/>
              <w:b/>
              <w:szCs w:val="22"/>
            </w:rPr>
            <w:t>Comisionada Ponente:</w:t>
          </w:r>
        </w:p>
      </w:tc>
      <w:tc>
        <w:tcPr>
          <w:tcW w:w="3683" w:type="dxa"/>
          <w:vAlign w:val="center"/>
        </w:tcPr>
        <w:p w:rsidR="0025657B" w:rsidRPr="00946DC8" w:rsidRDefault="0025657B" w:rsidP="00BE0BA7">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946DC8">
            <w:rPr>
              <w:rFonts w:ascii="Palatino Linotype" w:eastAsia="Palatino Linotype" w:hAnsi="Palatino Linotype" w:cs="Palatino Linotype"/>
              <w:color w:val="000000"/>
              <w:szCs w:val="22"/>
            </w:rPr>
            <w:t>María del Rosario Mejía Ayala</w:t>
          </w:r>
        </w:p>
      </w:tc>
    </w:tr>
  </w:tbl>
  <w:p w:rsidR="0025657B" w:rsidRDefault="00946DC8">
    <w:pPr>
      <w:pBdr>
        <w:top w:val="nil"/>
        <w:left w:val="nil"/>
        <w:bottom w:val="nil"/>
        <w:right w:val="nil"/>
        <w:between w:val="nil"/>
      </w:pBdr>
      <w:tabs>
        <w:tab w:val="center" w:pos="4252"/>
        <w:tab w:val="right" w:pos="8504"/>
      </w:tabs>
      <w:rPr>
        <w:rFonts w:ascii="Calibri" w:eastAsia="Calibri" w:hAnsi="Calibri" w:cs="Calibri"/>
        <w:color w:val="000000"/>
      </w:rPr>
    </w:pPr>
    <w:r w:rsidRPr="00946DC8">
      <w:rPr>
        <w:noProof/>
      </w:rPr>
      <w:drawing>
        <wp:anchor distT="0" distB="0" distL="0" distR="0" simplePos="0" relativeHeight="251660288" behindDoc="1" locked="0" layoutInCell="1" hidden="0" allowOverlap="1" wp14:anchorId="3BE562FD" wp14:editId="6A1362B1">
          <wp:simplePos x="0" y="0"/>
          <wp:positionH relativeFrom="page">
            <wp:align>right</wp:align>
          </wp:positionH>
          <wp:positionV relativeFrom="paragraph">
            <wp:posOffset>-1291171</wp:posOffset>
          </wp:positionV>
          <wp:extent cx="7813085" cy="10170000"/>
          <wp:effectExtent l="0" t="0" r="0" b="3175"/>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0E55"/>
    <w:multiLevelType w:val="multilevel"/>
    <w:tmpl w:val="FA16C7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70430B"/>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D23558"/>
    <w:multiLevelType w:val="hybridMultilevel"/>
    <w:tmpl w:val="58AE7F0C"/>
    <w:lvl w:ilvl="0" w:tplc="080A0001">
      <w:start w:val="1"/>
      <w:numFmt w:val="bullet"/>
      <w:lvlText w:val=""/>
      <w:lvlJc w:val="left"/>
      <w:pPr>
        <w:ind w:left="1854" w:hanging="360"/>
      </w:pPr>
      <w:rPr>
        <w:rFonts w:ascii="Symbol" w:hAnsi="Symbol" w:hint="default"/>
      </w:rPr>
    </w:lvl>
    <w:lvl w:ilvl="1" w:tplc="7D6AAD48">
      <w:start w:val="35"/>
      <w:numFmt w:val="bullet"/>
      <w:lvlText w:val="-"/>
      <w:lvlJc w:val="left"/>
      <w:pPr>
        <w:ind w:left="2574" w:hanging="360"/>
      </w:pPr>
      <w:rPr>
        <w:rFonts w:ascii="Palatino Linotype" w:eastAsia="Times New Roman" w:hAnsi="Palatino Linotype" w:cs="Times New Roman"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 w15:restartNumberingAfterBreak="0">
    <w:nsid w:val="0DAA68EE"/>
    <w:multiLevelType w:val="hybridMultilevel"/>
    <w:tmpl w:val="9A2E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14EE2637"/>
    <w:multiLevelType w:val="multilevel"/>
    <w:tmpl w:val="8E00F720"/>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i w:val="0"/>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79554A"/>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0488F"/>
    <w:multiLevelType w:val="multilevel"/>
    <w:tmpl w:val="6FB85E2C"/>
    <w:lvl w:ilvl="0">
      <w:start w:val="4"/>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9AC148C"/>
    <w:multiLevelType w:val="hybridMultilevel"/>
    <w:tmpl w:val="DE2AB460"/>
    <w:lvl w:ilvl="0" w:tplc="080A000F">
      <w:start w:val="1"/>
      <w:numFmt w:val="decimal"/>
      <w:lvlText w:val="%1."/>
      <w:lvlJc w:val="left"/>
      <w:pPr>
        <w:ind w:left="8148" w:hanging="360"/>
      </w:pPr>
    </w:lvl>
    <w:lvl w:ilvl="1" w:tplc="080A0019" w:tentative="1">
      <w:start w:val="1"/>
      <w:numFmt w:val="lowerLetter"/>
      <w:lvlText w:val="%2."/>
      <w:lvlJc w:val="left"/>
      <w:pPr>
        <w:ind w:left="8868" w:hanging="360"/>
      </w:pPr>
    </w:lvl>
    <w:lvl w:ilvl="2" w:tplc="080A001B" w:tentative="1">
      <w:start w:val="1"/>
      <w:numFmt w:val="lowerRoman"/>
      <w:lvlText w:val="%3."/>
      <w:lvlJc w:val="right"/>
      <w:pPr>
        <w:ind w:left="9588" w:hanging="180"/>
      </w:pPr>
    </w:lvl>
    <w:lvl w:ilvl="3" w:tplc="080A000F" w:tentative="1">
      <w:start w:val="1"/>
      <w:numFmt w:val="decimal"/>
      <w:lvlText w:val="%4."/>
      <w:lvlJc w:val="left"/>
      <w:pPr>
        <w:ind w:left="10308" w:hanging="360"/>
      </w:pPr>
    </w:lvl>
    <w:lvl w:ilvl="4" w:tplc="080A0019" w:tentative="1">
      <w:start w:val="1"/>
      <w:numFmt w:val="lowerLetter"/>
      <w:lvlText w:val="%5."/>
      <w:lvlJc w:val="left"/>
      <w:pPr>
        <w:ind w:left="11028" w:hanging="360"/>
      </w:pPr>
    </w:lvl>
    <w:lvl w:ilvl="5" w:tplc="080A001B" w:tentative="1">
      <w:start w:val="1"/>
      <w:numFmt w:val="lowerRoman"/>
      <w:lvlText w:val="%6."/>
      <w:lvlJc w:val="right"/>
      <w:pPr>
        <w:ind w:left="11748" w:hanging="180"/>
      </w:pPr>
    </w:lvl>
    <w:lvl w:ilvl="6" w:tplc="080A000F" w:tentative="1">
      <w:start w:val="1"/>
      <w:numFmt w:val="decimal"/>
      <w:lvlText w:val="%7."/>
      <w:lvlJc w:val="left"/>
      <w:pPr>
        <w:ind w:left="12468" w:hanging="360"/>
      </w:pPr>
    </w:lvl>
    <w:lvl w:ilvl="7" w:tplc="080A0019" w:tentative="1">
      <w:start w:val="1"/>
      <w:numFmt w:val="lowerLetter"/>
      <w:lvlText w:val="%8."/>
      <w:lvlJc w:val="left"/>
      <w:pPr>
        <w:ind w:left="13188" w:hanging="360"/>
      </w:pPr>
    </w:lvl>
    <w:lvl w:ilvl="8" w:tplc="080A001B" w:tentative="1">
      <w:start w:val="1"/>
      <w:numFmt w:val="lowerRoman"/>
      <w:lvlText w:val="%9."/>
      <w:lvlJc w:val="right"/>
      <w:pPr>
        <w:ind w:left="13908" w:hanging="180"/>
      </w:pPr>
    </w:lvl>
  </w:abstractNum>
  <w:abstractNum w:abstractNumId="9" w15:restartNumberingAfterBreak="0">
    <w:nsid w:val="1AD04A0E"/>
    <w:multiLevelType w:val="multilevel"/>
    <w:tmpl w:val="BD921F02"/>
    <w:lvl w:ilvl="0">
      <w:start w:val="63"/>
      <w:numFmt w:val="decimal"/>
      <w:lvlText w:val="%1."/>
      <w:lvlJc w:val="left"/>
      <w:pPr>
        <w:ind w:left="360"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B625ED"/>
    <w:multiLevelType w:val="hybridMultilevel"/>
    <w:tmpl w:val="B832050E"/>
    <w:lvl w:ilvl="0" w:tplc="361E9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1066E"/>
    <w:multiLevelType w:val="hybridMultilevel"/>
    <w:tmpl w:val="D12061F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8CB2028"/>
    <w:multiLevelType w:val="hybridMultilevel"/>
    <w:tmpl w:val="5D2E27C8"/>
    <w:lvl w:ilvl="0" w:tplc="FF226B36">
      <w:start w:val="4"/>
      <w:numFmt w:val="bullet"/>
      <w:lvlText w:val="-"/>
      <w:lvlJc w:val="left"/>
      <w:pPr>
        <w:ind w:left="644" w:hanging="360"/>
      </w:pPr>
      <w:rPr>
        <w:rFonts w:ascii="Times New Roman" w:eastAsia="Times New Roman" w:hAnsi="Times New Roman"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3"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D802F4"/>
    <w:multiLevelType w:val="hybridMultilevel"/>
    <w:tmpl w:val="D14C0C1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5"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DD7E6E"/>
    <w:multiLevelType w:val="hybridMultilevel"/>
    <w:tmpl w:val="3C947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8E4824"/>
    <w:multiLevelType w:val="multilevel"/>
    <w:tmpl w:val="73F6313E"/>
    <w:lvl w:ilvl="0">
      <w:start w:val="63"/>
      <w:numFmt w:val="decimal"/>
      <w:lvlText w:val="%1."/>
      <w:lvlJc w:val="left"/>
      <w:pPr>
        <w:ind w:left="786"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9"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C45145"/>
    <w:multiLevelType w:val="multilevel"/>
    <w:tmpl w:val="F99A384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1" w15:restartNumberingAfterBreak="0">
    <w:nsid w:val="48AE11EE"/>
    <w:multiLevelType w:val="multilevel"/>
    <w:tmpl w:val="1BCCDE5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B12CD4"/>
    <w:multiLevelType w:val="hybridMultilevel"/>
    <w:tmpl w:val="A3546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EE22E8"/>
    <w:multiLevelType w:val="hybridMultilevel"/>
    <w:tmpl w:val="F3326036"/>
    <w:lvl w:ilvl="0" w:tplc="658883BC">
      <w:start w:val="6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8D520D"/>
    <w:multiLevelType w:val="multilevel"/>
    <w:tmpl w:val="6ECAABDC"/>
    <w:lvl w:ilvl="0">
      <w:start w:val="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0B1315F"/>
    <w:multiLevelType w:val="multilevel"/>
    <w:tmpl w:val="6BF2C39C"/>
    <w:lvl w:ilvl="0">
      <w:start w:val="3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3A031D2"/>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9"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4918FF"/>
    <w:multiLevelType w:val="hybridMultilevel"/>
    <w:tmpl w:val="5A0CF2B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6F8A5C7A"/>
    <w:multiLevelType w:val="multilevel"/>
    <w:tmpl w:val="59AA6ADC"/>
    <w:lvl w:ilvl="0">
      <w:start w:val="38"/>
      <w:numFmt w:val="decimal"/>
      <w:lvlText w:val="%1."/>
      <w:lvlJc w:val="left"/>
      <w:pPr>
        <w:ind w:left="1495" w:hanging="360"/>
      </w:pPr>
      <w:rPr>
        <w:rFonts w:ascii="Palatino Linotype" w:eastAsia="Palatino Linotype" w:hAnsi="Palatino Linotype" w:cs="Palatino Linotype" w:hint="default"/>
        <w:b/>
        <w:i w:val="0"/>
        <w:strike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2655563"/>
    <w:multiLevelType w:val="multilevel"/>
    <w:tmpl w:val="6ECAABDC"/>
    <w:lvl w:ilvl="0">
      <w:start w:val="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616405"/>
    <w:multiLevelType w:val="hybridMultilevel"/>
    <w:tmpl w:val="B05414C6"/>
    <w:lvl w:ilvl="0" w:tplc="080A0019">
      <w:start w:val="1"/>
      <w:numFmt w:val="lowerLetter"/>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35" w15:restartNumberingAfterBreak="0">
    <w:nsid w:val="7E9D3005"/>
    <w:multiLevelType w:val="hybridMultilevel"/>
    <w:tmpl w:val="CE66D76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FAF3AF7"/>
    <w:multiLevelType w:val="multilevel"/>
    <w:tmpl w:val="983E02C6"/>
    <w:lvl w:ilvl="0">
      <w:start w:val="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204"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8"/>
  </w:num>
  <w:num w:numId="2">
    <w:abstractNumId w:val="24"/>
  </w:num>
  <w:num w:numId="3">
    <w:abstractNumId w:val="4"/>
  </w:num>
  <w:num w:numId="4">
    <w:abstractNumId w:val="15"/>
  </w:num>
  <w:num w:numId="5">
    <w:abstractNumId w:val="29"/>
  </w:num>
  <w:num w:numId="6">
    <w:abstractNumId w:val="3"/>
  </w:num>
  <w:num w:numId="7">
    <w:abstractNumId w:val="35"/>
  </w:num>
  <w:num w:numId="8">
    <w:abstractNumId w:val="22"/>
  </w:num>
  <w:num w:numId="9">
    <w:abstractNumId w:val="19"/>
  </w:num>
  <w:num w:numId="10">
    <w:abstractNumId w:val="17"/>
  </w:num>
  <w:num w:numId="11">
    <w:abstractNumId w:val="8"/>
  </w:num>
  <w:num w:numId="12">
    <w:abstractNumId w:val="0"/>
  </w:num>
  <w:num w:numId="13">
    <w:abstractNumId w:val="20"/>
  </w:num>
  <w:num w:numId="14">
    <w:abstractNumId w:val="13"/>
  </w:num>
  <w:num w:numId="15">
    <w:abstractNumId w:val="33"/>
  </w:num>
  <w:num w:numId="16">
    <w:abstractNumId w:val="26"/>
  </w:num>
  <w:num w:numId="17">
    <w:abstractNumId w:val="21"/>
  </w:num>
  <w:num w:numId="18">
    <w:abstractNumId w:val="7"/>
  </w:num>
  <w:num w:numId="19">
    <w:abstractNumId w:val="36"/>
  </w:num>
  <w:num w:numId="20">
    <w:abstractNumId w:val="5"/>
  </w:num>
  <w:num w:numId="21">
    <w:abstractNumId w:val="10"/>
  </w:num>
  <w:num w:numId="22">
    <w:abstractNumId w:val="12"/>
  </w:num>
  <w:num w:numId="23">
    <w:abstractNumId w:val="6"/>
  </w:num>
  <w:num w:numId="24">
    <w:abstractNumId w:val="2"/>
  </w:num>
  <w:num w:numId="25">
    <w:abstractNumId w:val="11"/>
  </w:num>
  <w:num w:numId="26">
    <w:abstractNumId w:val="27"/>
  </w:num>
  <w:num w:numId="27">
    <w:abstractNumId w:val="1"/>
  </w:num>
  <w:num w:numId="28">
    <w:abstractNumId w:val="23"/>
  </w:num>
  <w:num w:numId="29">
    <w:abstractNumId w:val="18"/>
  </w:num>
  <w:num w:numId="30">
    <w:abstractNumId w:val="9"/>
  </w:num>
  <w:num w:numId="31">
    <w:abstractNumId w:val="31"/>
  </w:num>
  <w:num w:numId="32">
    <w:abstractNumId w:val="34"/>
  </w:num>
  <w:num w:numId="33">
    <w:abstractNumId w:val="14"/>
  </w:num>
  <w:num w:numId="34">
    <w:abstractNumId w:val="30"/>
  </w:num>
  <w:num w:numId="35">
    <w:abstractNumId w:val="32"/>
  </w:num>
  <w:num w:numId="36">
    <w:abstractNumId w:val="25"/>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A7"/>
    <w:rsid w:val="00027833"/>
    <w:rsid w:val="00040E90"/>
    <w:rsid w:val="000472AB"/>
    <w:rsid w:val="00053847"/>
    <w:rsid w:val="000870BD"/>
    <w:rsid w:val="00090BD6"/>
    <w:rsid w:val="000A4A86"/>
    <w:rsid w:val="000B1974"/>
    <w:rsid w:val="000B19E5"/>
    <w:rsid w:val="000E0820"/>
    <w:rsid w:val="000E7A84"/>
    <w:rsid w:val="00110159"/>
    <w:rsid w:val="00127A7F"/>
    <w:rsid w:val="00143141"/>
    <w:rsid w:val="00152460"/>
    <w:rsid w:val="0017622F"/>
    <w:rsid w:val="0018146B"/>
    <w:rsid w:val="0018660D"/>
    <w:rsid w:val="001876F0"/>
    <w:rsid w:val="00191147"/>
    <w:rsid w:val="001D14E8"/>
    <w:rsid w:val="001D6418"/>
    <w:rsid w:val="001F0D52"/>
    <w:rsid w:val="001F3F2A"/>
    <w:rsid w:val="001F74A2"/>
    <w:rsid w:val="002123A9"/>
    <w:rsid w:val="00230819"/>
    <w:rsid w:val="00243C40"/>
    <w:rsid w:val="0024799A"/>
    <w:rsid w:val="0025657B"/>
    <w:rsid w:val="00296218"/>
    <w:rsid w:val="002A004B"/>
    <w:rsid w:val="002A6F53"/>
    <w:rsid w:val="002B2876"/>
    <w:rsid w:val="002B3877"/>
    <w:rsid w:val="002B3E23"/>
    <w:rsid w:val="002B7E7D"/>
    <w:rsid w:val="002E5388"/>
    <w:rsid w:val="002F535B"/>
    <w:rsid w:val="0032698A"/>
    <w:rsid w:val="003346B2"/>
    <w:rsid w:val="00364416"/>
    <w:rsid w:val="0038202C"/>
    <w:rsid w:val="003B0FC3"/>
    <w:rsid w:val="003B3F3E"/>
    <w:rsid w:val="003C0858"/>
    <w:rsid w:val="003E1DEB"/>
    <w:rsid w:val="003F0BBA"/>
    <w:rsid w:val="0041438B"/>
    <w:rsid w:val="0043095B"/>
    <w:rsid w:val="00436063"/>
    <w:rsid w:val="00466307"/>
    <w:rsid w:val="00473111"/>
    <w:rsid w:val="00490EC1"/>
    <w:rsid w:val="004E32F7"/>
    <w:rsid w:val="004F5716"/>
    <w:rsid w:val="005115CA"/>
    <w:rsid w:val="00521CAE"/>
    <w:rsid w:val="00584C36"/>
    <w:rsid w:val="005937D6"/>
    <w:rsid w:val="00597233"/>
    <w:rsid w:val="005A41DB"/>
    <w:rsid w:val="005B4F1A"/>
    <w:rsid w:val="005D47CE"/>
    <w:rsid w:val="005D5A05"/>
    <w:rsid w:val="005D7758"/>
    <w:rsid w:val="005F2B1E"/>
    <w:rsid w:val="005F5F89"/>
    <w:rsid w:val="006043A2"/>
    <w:rsid w:val="006412F4"/>
    <w:rsid w:val="00645ED1"/>
    <w:rsid w:val="0064618B"/>
    <w:rsid w:val="00655DA3"/>
    <w:rsid w:val="00661CB3"/>
    <w:rsid w:val="006811BA"/>
    <w:rsid w:val="00692F2B"/>
    <w:rsid w:val="00694DF3"/>
    <w:rsid w:val="006B6266"/>
    <w:rsid w:val="006D3AB2"/>
    <w:rsid w:val="006D62B3"/>
    <w:rsid w:val="006E5251"/>
    <w:rsid w:val="006E5BF7"/>
    <w:rsid w:val="006F4D08"/>
    <w:rsid w:val="00701868"/>
    <w:rsid w:val="00702C38"/>
    <w:rsid w:val="007268C0"/>
    <w:rsid w:val="00730D8A"/>
    <w:rsid w:val="0074456B"/>
    <w:rsid w:val="00780306"/>
    <w:rsid w:val="00820362"/>
    <w:rsid w:val="00862530"/>
    <w:rsid w:val="00864A7F"/>
    <w:rsid w:val="00872195"/>
    <w:rsid w:val="008721FC"/>
    <w:rsid w:val="008772FC"/>
    <w:rsid w:val="0089742C"/>
    <w:rsid w:val="008A5366"/>
    <w:rsid w:val="008A7349"/>
    <w:rsid w:val="00946DC8"/>
    <w:rsid w:val="009603BB"/>
    <w:rsid w:val="00961B3A"/>
    <w:rsid w:val="009634F1"/>
    <w:rsid w:val="00964E07"/>
    <w:rsid w:val="00976097"/>
    <w:rsid w:val="00990DAB"/>
    <w:rsid w:val="009A16E2"/>
    <w:rsid w:val="009A4EA5"/>
    <w:rsid w:val="009D04D8"/>
    <w:rsid w:val="009E02D5"/>
    <w:rsid w:val="009E7B61"/>
    <w:rsid w:val="009F6C42"/>
    <w:rsid w:val="00A30471"/>
    <w:rsid w:val="00A50F71"/>
    <w:rsid w:val="00A517F3"/>
    <w:rsid w:val="00A518EC"/>
    <w:rsid w:val="00A57280"/>
    <w:rsid w:val="00A87F5C"/>
    <w:rsid w:val="00AA7E14"/>
    <w:rsid w:val="00AC69F2"/>
    <w:rsid w:val="00AE07DE"/>
    <w:rsid w:val="00AE5EE1"/>
    <w:rsid w:val="00AF4954"/>
    <w:rsid w:val="00B02DD4"/>
    <w:rsid w:val="00B07DCF"/>
    <w:rsid w:val="00B261BA"/>
    <w:rsid w:val="00B366A4"/>
    <w:rsid w:val="00B417C3"/>
    <w:rsid w:val="00B87A83"/>
    <w:rsid w:val="00BB0FF2"/>
    <w:rsid w:val="00BD32C6"/>
    <w:rsid w:val="00BE0BA7"/>
    <w:rsid w:val="00BE393F"/>
    <w:rsid w:val="00C03BD3"/>
    <w:rsid w:val="00C105DF"/>
    <w:rsid w:val="00C10FC2"/>
    <w:rsid w:val="00C203B4"/>
    <w:rsid w:val="00C21F67"/>
    <w:rsid w:val="00C31EAB"/>
    <w:rsid w:val="00C43EAF"/>
    <w:rsid w:val="00C7156C"/>
    <w:rsid w:val="00C73219"/>
    <w:rsid w:val="00C80736"/>
    <w:rsid w:val="00CA668E"/>
    <w:rsid w:val="00CD1359"/>
    <w:rsid w:val="00CE581F"/>
    <w:rsid w:val="00D041EF"/>
    <w:rsid w:val="00D31C59"/>
    <w:rsid w:val="00D557EB"/>
    <w:rsid w:val="00D61562"/>
    <w:rsid w:val="00D62FE3"/>
    <w:rsid w:val="00D65782"/>
    <w:rsid w:val="00D67576"/>
    <w:rsid w:val="00D756D9"/>
    <w:rsid w:val="00D95248"/>
    <w:rsid w:val="00DB14A0"/>
    <w:rsid w:val="00DC1BA3"/>
    <w:rsid w:val="00DD442C"/>
    <w:rsid w:val="00DD629E"/>
    <w:rsid w:val="00DE1EF9"/>
    <w:rsid w:val="00E00675"/>
    <w:rsid w:val="00E12DB8"/>
    <w:rsid w:val="00E14E30"/>
    <w:rsid w:val="00E5570E"/>
    <w:rsid w:val="00E558DD"/>
    <w:rsid w:val="00E62F75"/>
    <w:rsid w:val="00E7003A"/>
    <w:rsid w:val="00EA1633"/>
    <w:rsid w:val="00EA4749"/>
    <w:rsid w:val="00EA564C"/>
    <w:rsid w:val="00EE16BE"/>
    <w:rsid w:val="00F04331"/>
    <w:rsid w:val="00F20017"/>
    <w:rsid w:val="00F25DC1"/>
    <w:rsid w:val="00F46C9E"/>
    <w:rsid w:val="00F553AE"/>
    <w:rsid w:val="00FB2858"/>
    <w:rsid w:val="00FB75C2"/>
    <w:rsid w:val="00FC7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DED943-2EBA-4713-9243-ED619649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A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BE0BA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BE0BA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17"/>
      </w:numPr>
      <w:contextualSpacing/>
    </w:pPr>
    <w:rPr>
      <w:lang w:val="es-ES"/>
    </w:rPr>
  </w:style>
  <w:style w:type="paragraph" w:styleId="Sinespaciado">
    <w:name w:val="No Spacing"/>
    <w:aliases w:val="Francesa,INAI"/>
    <w:link w:val="SinespaciadoCar"/>
    <w:uiPriority w:val="1"/>
    <w:qFormat/>
    <w:rsid w:val="00436063"/>
    <w:pPr>
      <w:spacing w:after="0" w:line="240" w:lineRule="auto"/>
    </w:pPr>
  </w:style>
  <w:style w:type="character" w:customStyle="1" w:styleId="SinespaciadoCar">
    <w:name w:val="Sin espaciado Car"/>
    <w:aliases w:val="Francesa Car,INAI Car"/>
    <w:link w:val="Sinespaciado"/>
    <w:uiPriority w:val="1"/>
    <w:locked/>
    <w:rsid w:val="00436063"/>
  </w:style>
  <w:style w:type="character" w:styleId="Hipervnculo">
    <w:name w:val="Hyperlink"/>
    <w:aliases w:val="Hipervínculo1,Hipervínculo11,Hipervínculo12,Hipervínculo13,Hipervínculo14,Hipervínculo15"/>
    <w:basedOn w:val="Fuentedeprrafopredeter"/>
    <w:uiPriority w:val="99"/>
    <w:unhideWhenUsed/>
    <w:qFormat/>
    <w:rsid w:val="008A5366"/>
    <w:rPr>
      <w:color w:val="0563C1" w:themeColor="hyperlink"/>
      <w:u w:val="single"/>
    </w:rPr>
  </w:style>
  <w:style w:type="paragraph" w:styleId="Textonotapie">
    <w:name w:val="footnote text"/>
    <w:basedOn w:val="Normal"/>
    <w:link w:val="TextonotapieCar"/>
    <w:uiPriority w:val="99"/>
    <w:semiHidden/>
    <w:unhideWhenUsed/>
    <w:rsid w:val="000472AB"/>
    <w:rPr>
      <w:sz w:val="20"/>
      <w:szCs w:val="20"/>
    </w:rPr>
  </w:style>
  <w:style w:type="character" w:customStyle="1" w:styleId="TextonotapieCar">
    <w:name w:val="Texto nota pie Car"/>
    <w:basedOn w:val="Fuentedeprrafopredeter"/>
    <w:link w:val="Textonotapie"/>
    <w:uiPriority w:val="99"/>
    <w:semiHidden/>
    <w:rsid w:val="000472AB"/>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0472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135668">
      <w:bodyDiv w:val="1"/>
      <w:marLeft w:val="0"/>
      <w:marRight w:val="0"/>
      <w:marTop w:val="0"/>
      <w:marBottom w:val="0"/>
      <w:divBdr>
        <w:top w:val="none" w:sz="0" w:space="0" w:color="auto"/>
        <w:left w:val="none" w:sz="0" w:space="0" w:color="auto"/>
        <w:bottom w:val="none" w:sz="0" w:space="0" w:color="auto"/>
        <w:right w:val="none" w:sz="0" w:space="0" w:color="auto"/>
      </w:divBdr>
    </w:div>
    <w:div w:id="20669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lambmex.com/2025/06/19/news/mexico/estados/juez-federal-otorga-amparo-a-ciudadanos-del-centro-de-tecamac-wong-atada-de-manos.html" TargetMode="External"/><Relationship Id="rId1" Type="http://schemas.openxmlformats.org/officeDocument/2006/relationships/hyperlink" Target="https://lajornadaestadodemexico.com/tecamac-se-enferman-66-arboles-del-parque-de-la-sole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5EAE4-9251-45D5-B44B-5B201607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7203</Words>
  <Characters>39622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2026-02-09T17:44:00Z</cp:lastPrinted>
  <dcterms:created xsi:type="dcterms:W3CDTF">2026-01-29T20:17:00Z</dcterms:created>
  <dcterms:modified xsi:type="dcterms:W3CDTF">2026-02-17T18:43:00Z</dcterms:modified>
</cp:coreProperties>
</file>