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D2C" w:rsidRPr="00962221" w:rsidRDefault="00B2748D">
      <w:pPr>
        <w:tabs>
          <w:tab w:val="left" w:pos="0"/>
        </w:tabs>
        <w:spacing w:line="360" w:lineRule="auto"/>
        <w:jc w:val="both"/>
        <w:rPr>
          <w:rFonts w:ascii="Palatino Linotype" w:eastAsia="Palatino Linotype" w:hAnsi="Palatino Linotype" w:cs="Palatino Linotype"/>
        </w:rPr>
      </w:pPr>
      <w:bookmarkStart w:id="0" w:name="_GoBack"/>
      <w:bookmarkEnd w:id="0"/>
      <w:r w:rsidRPr="00962221">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w:t>
      </w:r>
      <w:r w:rsidR="00962221" w:rsidRPr="00962221">
        <w:rPr>
          <w:rFonts w:ascii="Palatino Linotype" w:eastAsia="Palatino Linotype" w:hAnsi="Palatino Linotype" w:cs="Palatino Linotype"/>
        </w:rPr>
        <w:t xml:space="preserve"> fecha </w:t>
      </w:r>
      <w:r w:rsidRPr="00962221">
        <w:rPr>
          <w:rFonts w:ascii="Palatino Linotype" w:eastAsia="Palatino Linotype" w:hAnsi="Palatino Linotype" w:cs="Palatino Linotype"/>
          <w:b/>
          <w:bCs/>
        </w:rPr>
        <w:t>quince</w:t>
      </w:r>
      <w:r w:rsidR="00962221" w:rsidRPr="00962221">
        <w:rPr>
          <w:rFonts w:ascii="Palatino Linotype" w:eastAsia="Palatino Linotype" w:hAnsi="Palatino Linotype" w:cs="Palatino Linotype"/>
          <w:b/>
          <w:bCs/>
        </w:rPr>
        <w:t xml:space="preserve"> (15)</w:t>
      </w:r>
      <w:r w:rsidRPr="00962221">
        <w:rPr>
          <w:rFonts w:ascii="Palatino Linotype" w:eastAsia="Palatino Linotype" w:hAnsi="Palatino Linotype" w:cs="Palatino Linotype"/>
          <w:b/>
          <w:bCs/>
        </w:rPr>
        <w:t xml:space="preserve"> de abril de dos mil veintiséis.</w:t>
      </w:r>
      <w:r w:rsidRPr="00962221">
        <w:rPr>
          <w:rFonts w:ascii="Palatino Linotype" w:eastAsia="Palatino Linotype" w:hAnsi="Palatino Linotype" w:cs="Palatino Linotype"/>
        </w:rPr>
        <w:t xml:space="preserve"> </w:t>
      </w:r>
    </w:p>
    <w:p w:rsidR="006C7D2C" w:rsidRPr="00962221" w:rsidRDefault="006C7D2C">
      <w:pPr>
        <w:tabs>
          <w:tab w:val="left" w:pos="0"/>
        </w:tabs>
        <w:spacing w:line="360" w:lineRule="auto"/>
        <w:jc w:val="both"/>
        <w:rPr>
          <w:rFonts w:ascii="Palatino Linotype" w:eastAsia="Palatino Linotype" w:hAnsi="Palatino Linotype" w:cs="Palatino Linotype"/>
        </w:rPr>
      </w:pPr>
    </w:p>
    <w:p w:rsidR="006C7D2C" w:rsidRPr="00962221" w:rsidRDefault="00B2748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b/>
          <w:bCs/>
          <w:color w:val="000000"/>
        </w:rPr>
        <w:t>VISTO</w:t>
      </w:r>
      <w:r w:rsidRPr="00962221">
        <w:rPr>
          <w:rFonts w:ascii="Palatino Linotype" w:eastAsia="Palatino Linotype" w:hAnsi="Palatino Linotype" w:cs="Palatino Linotype"/>
          <w:color w:val="000000"/>
        </w:rPr>
        <w:t xml:space="preserve"> el expediente electrónico formado con motivo del recurso de revisión </w:t>
      </w:r>
      <w:r w:rsidRPr="00962221">
        <w:rPr>
          <w:rFonts w:ascii="Palatino Linotype" w:eastAsia="Palatino Linotype" w:hAnsi="Palatino Linotype" w:cs="Palatino Linotype"/>
          <w:b/>
          <w:bCs/>
          <w:color w:val="000000"/>
        </w:rPr>
        <w:t xml:space="preserve">10328/INFOEM/IP/RR/2025, </w:t>
      </w:r>
      <w:r w:rsidRPr="00962221">
        <w:rPr>
          <w:rFonts w:ascii="Palatino Linotype" w:eastAsia="Palatino Linotype" w:hAnsi="Palatino Linotype" w:cs="Palatino Linotype"/>
          <w:color w:val="000000"/>
        </w:rPr>
        <w:t xml:space="preserve">promovido por </w:t>
      </w:r>
      <w:r w:rsidR="00437205">
        <w:rPr>
          <w:rFonts w:ascii="Palatino Linotype" w:eastAsia="Palatino Linotype" w:hAnsi="Palatino Linotype" w:cs="Palatino Linotype"/>
          <w:b/>
          <w:bCs/>
          <w:color w:val="000000"/>
        </w:rPr>
        <w:t>XXXX</w:t>
      </w:r>
      <w:r w:rsidRPr="00962221">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962221">
        <w:rPr>
          <w:rFonts w:ascii="Palatino Linotype" w:eastAsia="Palatino Linotype" w:hAnsi="Palatino Linotype" w:cs="Palatino Linotype"/>
          <w:b/>
          <w:bCs/>
          <w:color w:val="000000"/>
        </w:rPr>
        <w:t>EL RECURRENTE</w:t>
      </w:r>
      <w:r w:rsidRPr="00962221">
        <w:rPr>
          <w:rFonts w:ascii="Palatino Linotype" w:eastAsia="Palatino Linotype" w:hAnsi="Palatino Linotype" w:cs="Palatino Linotype"/>
          <w:color w:val="000000"/>
        </w:rPr>
        <w:t xml:space="preserve">, en contra de la respuesta de la </w:t>
      </w:r>
      <w:r w:rsidRPr="00962221">
        <w:rPr>
          <w:rFonts w:ascii="Palatino Linotype" w:eastAsia="Palatino Linotype" w:hAnsi="Palatino Linotype" w:cs="Palatino Linotype"/>
          <w:b/>
          <w:bCs/>
          <w:color w:val="000000"/>
        </w:rPr>
        <w:t>Consejería Jurídica</w:t>
      </w:r>
      <w:r w:rsidRPr="00962221">
        <w:rPr>
          <w:rFonts w:ascii="Palatino Linotype" w:eastAsia="Palatino Linotype" w:hAnsi="Palatino Linotype" w:cs="Palatino Linotype"/>
          <w:color w:val="000000"/>
        </w:rPr>
        <w:t xml:space="preserve">, en </w:t>
      </w:r>
      <w:r w:rsidR="00962221" w:rsidRPr="00962221">
        <w:rPr>
          <w:rFonts w:ascii="Palatino Linotype" w:eastAsia="Palatino Linotype" w:hAnsi="Palatino Linotype" w:cs="Palatino Linotype"/>
          <w:color w:val="000000"/>
        </w:rPr>
        <w:t>adelante</w:t>
      </w:r>
      <w:r w:rsidRPr="00962221">
        <w:rPr>
          <w:rFonts w:ascii="Palatino Linotype" w:eastAsia="Palatino Linotype" w:hAnsi="Palatino Linotype" w:cs="Palatino Linotype"/>
          <w:color w:val="000000"/>
        </w:rPr>
        <w:t xml:space="preserve"> </w:t>
      </w:r>
      <w:r w:rsidRPr="00962221">
        <w:rPr>
          <w:rFonts w:ascii="Palatino Linotype" w:eastAsia="Palatino Linotype" w:hAnsi="Palatino Linotype" w:cs="Palatino Linotype"/>
          <w:b/>
          <w:bCs/>
          <w:color w:val="000000"/>
        </w:rPr>
        <w:t>EL SUJETO OBLIGADO</w:t>
      </w:r>
      <w:r w:rsidRPr="00962221">
        <w:rPr>
          <w:rFonts w:ascii="Palatino Linotype" w:eastAsia="Palatino Linotype" w:hAnsi="Palatino Linotype" w:cs="Palatino Linotype"/>
          <w:color w:val="000000"/>
        </w:rPr>
        <w:t>, se procede a dictar la presente resolución, con base en los siguientes:</w:t>
      </w:r>
    </w:p>
    <w:p w:rsidR="006C7D2C" w:rsidRPr="00962221" w:rsidRDefault="006C7D2C">
      <w:pPr>
        <w:spacing w:line="360" w:lineRule="auto"/>
        <w:jc w:val="both"/>
        <w:rPr>
          <w:rFonts w:ascii="Palatino Linotype" w:eastAsia="Palatino Linotype" w:hAnsi="Palatino Linotype" w:cs="Palatino Linotype"/>
        </w:rPr>
      </w:pPr>
    </w:p>
    <w:p w:rsidR="006C7D2C" w:rsidRPr="00962221" w:rsidRDefault="00B2748D">
      <w:pPr>
        <w:keepNext/>
        <w:keepLines/>
        <w:tabs>
          <w:tab w:val="left" w:pos="0"/>
        </w:tabs>
        <w:spacing w:line="360" w:lineRule="auto"/>
        <w:jc w:val="center"/>
        <w:rPr>
          <w:rFonts w:ascii="Palatino Linotype" w:eastAsia="Palatino Linotype" w:hAnsi="Palatino Linotype" w:cs="Palatino Linotype"/>
          <w:b/>
          <w:bCs/>
        </w:rPr>
      </w:pPr>
      <w:bookmarkStart w:id="1" w:name="_heading=h.l02leh2hntws" w:colFirst="0" w:colLast="0"/>
      <w:bookmarkEnd w:id="1"/>
      <w:r w:rsidRPr="00962221">
        <w:rPr>
          <w:rFonts w:ascii="Palatino Linotype" w:eastAsia="Palatino Linotype" w:hAnsi="Palatino Linotype" w:cs="Palatino Linotype"/>
          <w:b/>
          <w:bCs/>
        </w:rPr>
        <w:t>A</w:t>
      </w:r>
      <w:r w:rsidR="00962221" w:rsidRP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b/>
          <w:bCs/>
        </w:rPr>
        <w:t>N</w:t>
      </w:r>
      <w:r w:rsidR="00962221" w:rsidRP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b/>
          <w:bCs/>
        </w:rPr>
        <w:t>T</w:t>
      </w:r>
      <w:r w:rsidR="00962221" w:rsidRP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b/>
          <w:bCs/>
        </w:rPr>
        <w:t>E</w:t>
      </w:r>
      <w:r w:rsidR="00962221" w:rsidRP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b/>
          <w:bCs/>
        </w:rPr>
        <w:t>C</w:t>
      </w:r>
      <w:r w:rsidR="00962221" w:rsidRP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b/>
          <w:bCs/>
        </w:rPr>
        <w:t>E</w:t>
      </w:r>
      <w:r w:rsidR="00962221" w:rsidRP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b/>
          <w:bCs/>
        </w:rPr>
        <w:t>D</w:t>
      </w:r>
      <w:r w:rsidR="00962221" w:rsidRP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b/>
          <w:bCs/>
        </w:rPr>
        <w:t>E</w:t>
      </w:r>
      <w:r w:rsidR="00962221" w:rsidRP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b/>
          <w:bCs/>
        </w:rPr>
        <w:t>N</w:t>
      </w:r>
      <w:r w:rsidR="00962221" w:rsidRP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b/>
          <w:bCs/>
        </w:rPr>
        <w:t>T</w:t>
      </w:r>
      <w:r w:rsidR="00962221" w:rsidRP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b/>
          <w:bCs/>
        </w:rPr>
        <w:t>E</w:t>
      </w:r>
      <w:r w:rsidR="00962221" w:rsidRP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b/>
          <w:bCs/>
        </w:rPr>
        <w:t>S</w:t>
      </w:r>
    </w:p>
    <w:p w:rsidR="006C7D2C" w:rsidRPr="00962221" w:rsidRDefault="006C7D2C">
      <w:pPr>
        <w:keepNext/>
        <w:keepLines/>
        <w:tabs>
          <w:tab w:val="left" w:pos="0"/>
        </w:tabs>
        <w:spacing w:line="360" w:lineRule="auto"/>
        <w:jc w:val="center"/>
        <w:rPr>
          <w:rFonts w:ascii="Palatino Linotype" w:eastAsia="Palatino Linotype" w:hAnsi="Palatino Linotype" w:cs="Palatino Linotype"/>
          <w:b/>
          <w:bCs/>
        </w:rPr>
      </w:pPr>
    </w:p>
    <w:p w:rsidR="006C7D2C" w:rsidRPr="00962221" w:rsidRDefault="00B2748D">
      <w:pPr>
        <w:numPr>
          <w:ilvl w:val="0"/>
          <w:numId w:val="1"/>
        </w:numPr>
        <w:tabs>
          <w:tab w:val="left" w:pos="0"/>
        </w:tabs>
        <w:spacing w:line="360" w:lineRule="auto"/>
        <w:ind w:left="0" w:firstLine="0"/>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El </w:t>
      </w:r>
      <w:r w:rsidRPr="00962221">
        <w:rPr>
          <w:rFonts w:ascii="Palatino Linotype" w:eastAsia="Palatino Linotype" w:hAnsi="Palatino Linotype" w:cs="Palatino Linotype"/>
          <w:b/>
          <w:bCs/>
        </w:rPr>
        <w:t>catorce de agosto de dos mil veinticinco</w:t>
      </w:r>
      <w:r w:rsidRPr="00962221">
        <w:rPr>
          <w:rFonts w:ascii="Palatino Linotype" w:eastAsia="Palatino Linotype" w:hAnsi="Palatino Linotype" w:cs="Palatino Linotype"/>
        </w:rPr>
        <w:t>, el</w:t>
      </w:r>
      <w:r w:rsidRP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rPr>
        <w:t>solicitante</w:t>
      </w:r>
      <w:r w:rsidRP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rPr>
        <w:t>presentó</w:t>
      </w:r>
      <w:r w:rsidRP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rPr>
        <w:t xml:space="preserve">ante el </w:t>
      </w:r>
      <w:r w:rsidRPr="00962221">
        <w:rPr>
          <w:rFonts w:ascii="Palatino Linotype" w:eastAsia="Palatino Linotype" w:hAnsi="Palatino Linotype" w:cs="Palatino Linotype"/>
          <w:b/>
          <w:bCs/>
        </w:rPr>
        <w:t>SUJETO OBLIGADO,</w:t>
      </w:r>
      <w:r w:rsidRPr="00962221">
        <w:rPr>
          <w:rFonts w:ascii="Palatino Linotype" w:eastAsia="Palatino Linotype" w:hAnsi="Palatino Linotype" w:cs="Palatino Linotype"/>
        </w:rPr>
        <w:t xml:space="preserve"> a través del Sistema de Acceso a la Información Mexiquense (SAIMEX), la solicitud de información pública registrada con el número </w:t>
      </w:r>
      <w:r w:rsidRPr="00962221">
        <w:rPr>
          <w:rFonts w:ascii="Palatino Linotype" w:eastAsia="Palatino Linotype" w:hAnsi="Palatino Linotype" w:cs="Palatino Linotype"/>
          <w:b/>
          <w:bCs/>
        </w:rPr>
        <w:t>00226/CJ/IP/2025</w:t>
      </w:r>
      <w:r w:rsidRPr="00962221">
        <w:rPr>
          <w:rFonts w:ascii="Palatino Linotype" w:eastAsia="Palatino Linotype" w:hAnsi="Palatino Linotype" w:cs="Palatino Linotype"/>
        </w:rPr>
        <w:t>, mediante la cual se solicitó:</w:t>
      </w:r>
    </w:p>
    <w:p w:rsidR="006C7D2C" w:rsidRPr="00962221" w:rsidRDefault="00B2748D">
      <w:pPr>
        <w:pBdr>
          <w:top w:val="nil"/>
          <w:left w:val="nil"/>
          <w:bottom w:val="nil"/>
          <w:right w:val="nil"/>
          <w:between w:val="nil"/>
        </w:pBdr>
        <w:ind w:left="567" w:right="567"/>
        <w:jc w:val="both"/>
        <w:rPr>
          <w:rFonts w:ascii="Palatino Linotype" w:eastAsia="Palatino Linotype" w:hAnsi="Palatino Linotype" w:cs="Palatino Linotype"/>
          <w:b/>
          <w:bCs/>
          <w:i/>
          <w:iCs/>
          <w:color w:val="000000"/>
        </w:rPr>
      </w:pPr>
      <w:r w:rsidRPr="00962221">
        <w:rPr>
          <w:rFonts w:ascii="Palatino Linotype" w:eastAsia="Palatino Linotype" w:hAnsi="Palatino Linotype" w:cs="Palatino Linotype"/>
          <w:b/>
          <w:bCs/>
          <w:i/>
          <w:iCs/>
          <w:color w:val="000000"/>
        </w:rPr>
        <w:t>Solicitud</w:t>
      </w:r>
    </w:p>
    <w:p w:rsidR="006C7D2C" w:rsidRPr="00962221" w:rsidRDefault="006C7D2C">
      <w:pPr>
        <w:pBdr>
          <w:top w:val="nil"/>
          <w:left w:val="nil"/>
          <w:bottom w:val="nil"/>
          <w:right w:val="nil"/>
          <w:between w:val="nil"/>
        </w:pBdr>
        <w:tabs>
          <w:tab w:val="left" w:pos="1005"/>
        </w:tabs>
        <w:ind w:left="567" w:right="567"/>
        <w:jc w:val="both"/>
        <w:rPr>
          <w:rFonts w:ascii="Palatino Linotype" w:eastAsia="Palatino Linotype" w:hAnsi="Palatino Linotype" w:cs="Palatino Linotype"/>
          <w:b/>
          <w:bCs/>
          <w:i/>
          <w:iCs/>
          <w:color w:val="000000"/>
        </w:rPr>
      </w:pPr>
    </w:p>
    <w:p w:rsidR="006C7D2C" w:rsidRPr="00962221" w:rsidRDefault="00B2748D">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 xml:space="preserve">“Solicito lo siguiente: 1.- Los documentos generados para que en la Gaceta del Gobierno del Estado de México se publicara la reforma Constitucional del Estado de México en la que la LXII Legislatura mexiquense aprobó extinguir el Instituto de Transparencia, Acceso a la Información Pública y Protección de Datos Personales del Estado de México y Municipios (Infoem), a fin de favorecer la simplificación administrativa y orgánica, reducir el gasto público, evitar duplicidad de funciones y fortalecer el acceso a la información y a la rendición de cuentas, sin acrecentar estructuras burocráticas, como lo establece la carta magna y la legislación general y federal correspondiente. Dicho dictamen, aprobado por mayoría de votos, conjunta las iniciativas del diputado Gerardo Pliego Santana (morena), de la legisladora Elena García Martínez (morena) y de la gobernadora Delfina Gómez Álvarez, mediante las cuales se modifica la Constitución Política estatal para transferir las funciones </w:t>
      </w:r>
      <w:r w:rsidRPr="00962221">
        <w:rPr>
          <w:rFonts w:ascii="Palatino Linotype" w:eastAsia="Palatino Linotype" w:hAnsi="Palatino Linotype" w:cs="Palatino Linotype"/>
          <w:i/>
          <w:iCs/>
          <w:color w:val="000000"/>
        </w:rPr>
        <w:lastRenderedPageBreak/>
        <w:t>del Infoem a las autoridades existentes en materia de control interno y vigilancia. 2.- La fecha en que se recibió por parte del Poder Ejecutivo y/o Poder Legislativo la promulgación y/o documento que contiene la reforma Constitucional señalada en el numeral 1 para su publicación en el Periódico Oficial Gaceta del Gobierno del Estado de México, así como el oficio de acuse de recibo y el anexo que contiene dicha reforma el cual fue enviado para su publicación. 2.2.- Fecha en que se publico en la página web del Periódico Oficial "Gaceta del Gobierno" del Estado de México la reforma Constitucional que menciono en el numeral 1. 2.2.1.- Asimismo solicito el archivo .pdf y el link que me permita su consulta. 3.- Se me informe a partir de cuando contarán los 90 días para extinguirse el INFOEM y que día se extinguirá dicho Órgano Autónomo 4.- Solicito los documentos, oficios, minutas generados en los que se demuestre el proceso y seguimiento para la publicación en el Periódico Oficial "Gaceta del Gobierno" del Estado de México de la reforma Constitucional que menciono en el numeral 1. 5.- Se me indique la forma para iniciar el procedimiento para que sea sancionada la OMISIÓN de publicar en la Gaceta del Gobierno reformas Constitucionales que ya han sido aprobadas pero de forma negligente no atienden el Proceso establecido para su Publicación y con ello ocasionar un detrimento al patrimonio del Estado, en este caso seguir dando funcionalidad a un Órgano Autónomo (INFOEM) que ha nivel Estado debería extinguirse el 27 de septiembre de este año. Por su atención gracias”. (Sic.)</w:t>
      </w:r>
    </w:p>
    <w:p w:rsidR="006C7D2C" w:rsidRPr="00962221" w:rsidRDefault="006C7D2C">
      <w:pPr>
        <w:tabs>
          <w:tab w:val="left" w:pos="0"/>
        </w:tabs>
        <w:spacing w:line="360" w:lineRule="auto"/>
        <w:ind w:right="49"/>
        <w:jc w:val="both"/>
        <w:rPr>
          <w:rFonts w:ascii="Palatino Linotype" w:eastAsia="Palatino Linotype" w:hAnsi="Palatino Linotype" w:cs="Palatino Linotype"/>
        </w:rPr>
      </w:pPr>
    </w:p>
    <w:p w:rsidR="006C7D2C" w:rsidRPr="00962221" w:rsidRDefault="00B2748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color w:val="000000"/>
        </w:rPr>
        <w:t>Se hace constar que se señaló como modalidad de entrega de la información a través de SAIMEX.</w:t>
      </w:r>
    </w:p>
    <w:p w:rsidR="006C7D2C" w:rsidRPr="00962221" w:rsidRDefault="006C7D2C">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6C7D2C" w:rsidRPr="00962221" w:rsidRDefault="00B2748D">
      <w:pPr>
        <w:numPr>
          <w:ilvl w:val="0"/>
          <w:numId w:val="1"/>
        </w:numPr>
        <w:tabs>
          <w:tab w:val="left" w:pos="0"/>
        </w:tabs>
        <w:spacing w:line="360" w:lineRule="auto"/>
        <w:ind w:left="0" w:right="34" w:firstLine="0"/>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El </w:t>
      </w:r>
      <w:r w:rsidRPr="00962221">
        <w:rPr>
          <w:rFonts w:ascii="Palatino Linotype" w:eastAsia="Palatino Linotype" w:hAnsi="Palatino Linotype" w:cs="Palatino Linotype"/>
          <w:b/>
          <w:bCs/>
        </w:rPr>
        <w:t>veinte de agosto de dos mil veinticinco</w:t>
      </w:r>
      <w:r w:rsidRPr="00962221">
        <w:rPr>
          <w:rFonts w:ascii="Palatino Linotype" w:eastAsia="Palatino Linotype" w:hAnsi="Palatino Linotype" w:cs="Palatino Linotype"/>
        </w:rPr>
        <w:t>, el Sujeto Obligado dio respuesta a la solicitud de información en el siguiente sentido:</w:t>
      </w:r>
    </w:p>
    <w:p w:rsidR="006C7D2C" w:rsidRPr="00962221" w:rsidRDefault="00B2748D">
      <w:pPr>
        <w:ind w:left="567" w:right="567"/>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C7D2C" w:rsidRPr="00962221" w:rsidRDefault="006C7D2C">
      <w:pPr>
        <w:ind w:left="567" w:right="567"/>
        <w:jc w:val="both"/>
        <w:rPr>
          <w:rFonts w:ascii="Palatino Linotype" w:eastAsia="Palatino Linotype" w:hAnsi="Palatino Linotype" w:cs="Palatino Linotype"/>
          <w:i/>
          <w:iCs/>
        </w:rPr>
      </w:pPr>
    </w:p>
    <w:p w:rsidR="006C7D2C" w:rsidRDefault="00B2748D">
      <w:pPr>
        <w:ind w:left="567" w:right="567"/>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En caso de que la respuesta no sea legible, favor de comunicarse al teléfono (722) 2137511” (Sic)</w:t>
      </w:r>
    </w:p>
    <w:p w:rsidR="00962221" w:rsidRDefault="00962221">
      <w:pPr>
        <w:ind w:left="567" w:right="567"/>
        <w:jc w:val="both"/>
        <w:rPr>
          <w:rFonts w:ascii="Palatino Linotype" w:eastAsia="Palatino Linotype" w:hAnsi="Palatino Linotype" w:cs="Palatino Linotype"/>
          <w:i/>
          <w:iCs/>
        </w:rPr>
      </w:pPr>
    </w:p>
    <w:p w:rsidR="00962221" w:rsidRDefault="00962221">
      <w:pPr>
        <w:ind w:left="567" w:right="567"/>
        <w:jc w:val="both"/>
        <w:rPr>
          <w:rFonts w:ascii="Palatino Linotype" w:eastAsia="Palatino Linotype" w:hAnsi="Palatino Linotype" w:cs="Palatino Linotype"/>
          <w:i/>
          <w:iCs/>
        </w:rPr>
      </w:pPr>
    </w:p>
    <w:p w:rsidR="00962221" w:rsidRPr="00962221" w:rsidRDefault="00962221">
      <w:pPr>
        <w:ind w:left="567" w:right="567"/>
        <w:jc w:val="both"/>
        <w:rPr>
          <w:rFonts w:ascii="Palatino Linotype" w:eastAsia="Palatino Linotype" w:hAnsi="Palatino Linotype" w:cs="Palatino Linotype"/>
          <w:i/>
          <w:iCs/>
        </w:rPr>
      </w:pPr>
    </w:p>
    <w:p w:rsidR="006C7D2C" w:rsidRPr="00962221" w:rsidRDefault="00B2748D">
      <w:pPr>
        <w:tabs>
          <w:tab w:val="left" w:pos="0"/>
        </w:tabs>
        <w:spacing w:line="360" w:lineRule="auto"/>
        <w:ind w:right="34"/>
        <w:jc w:val="both"/>
        <w:rPr>
          <w:rFonts w:ascii="Palatino Linotype" w:eastAsia="Palatino Linotype" w:hAnsi="Palatino Linotype" w:cs="Palatino Linotype"/>
        </w:rPr>
      </w:pPr>
      <w:bookmarkStart w:id="2" w:name="_heading=h.uokf3nnmo4f" w:colFirst="0" w:colLast="0"/>
      <w:bookmarkEnd w:id="2"/>
      <w:r w:rsidRPr="00962221">
        <w:rPr>
          <w:rFonts w:ascii="Palatino Linotype" w:eastAsia="Palatino Linotype" w:hAnsi="Palatino Linotype" w:cs="Palatino Linotype"/>
        </w:rPr>
        <w:lastRenderedPageBreak/>
        <w:t>Adjuntó el siguiente archivo electrónico:</w:t>
      </w:r>
    </w:p>
    <w:p w:rsidR="006C7D2C" w:rsidRPr="00962221" w:rsidRDefault="00D37B72">
      <w:pPr>
        <w:numPr>
          <w:ilvl w:val="0"/>
          <w:numId w:val="4"/>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b/>
          <w:bCs/>
          <w:color w:val="000000"/>
        </w:rPr>
      </w:pPr>
      <w:hyperlink r:id="rId8">
        <w:r w:rsidR="00B2748D" w:rsidRPr="00962221">
          <w:rPr>
            <w:rFonts w:ascii="Palatino Linotype" w:eastAsia="Palatino Linotype" w:hAnsi="Palatino Linotype" w:cs="Palatino Linotype"/>
            <w:b/>
            <w:bCs/>
            <w:color w:val="000000"/>
          </w:rPr>
          <w:t>Rpta226.25DGLyPOGG.pdf</w:t>
        </w:r>
      </w:hyperlink>
      <w:r w:rsidR="00B2748D" w:rsidRPr="00962221">
        <w:rPr>
          <w:rFonts w:ascii="Palatino Linotype" w:eastAsia="Palatino Linotype" w:hAnsi="Palatino Linotype" w:cs="Palatino Linotype"/>
          <w:b/>
          <w:bCs/>
          <w:color w:val="000000"/>
        </w:rPr>
        <w:t xml:space="preserve">: </w:t>
      </w:r>
      <w:r w:rsidR="00B2748D" w:rsidRPr="00962221">
        <w:rPr>
          <w:rFonts w:ascii="Palatino Linotype" w:eastAsia="Palatino Linotype" w:hAnsi="Palatino Linotype" w:cs="Palatino Linotype"/>
          <w:color w:val="000000"/>
        </w:rPr>
        <w:t>Documento constante de tres fojas del que se desprenden los siguientes oficios:</w:t>
      </w:r>
    </w:p>
    <w:p w:rsidR="006C7D2C" w:rsidRPr="00962221" w:rsidRDefault="00B2748D">
      <w:pPr>
        <w:numPr>
          <w:ilvl w:val="1"/>
          <w:numId w:val="4"/>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color w:val="000000"/>
        </w:rPr>
        <w:t>Similar CJ-UIPPE/1676/2025 de fecha dieciocho de agosto de dos mil veinticinco, suscrito por el titular de la Unidad de Transparencia, a través del cual remite la respuesta emitida por la Dirección General de Legislación y del Periódico Oficial “Gaceta de Gobierno”</w:t>
      </w:r>
    </w:p>
    <w:p w:rsidR="006C7D2C" w:rsidRPr="00962221" w:rsidRDefault="00B2748D">
      <w:pPr>
        <w:numPr>
          <w:ilvl w:val="1"/>
          <w:numId w:val="4"/>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color w:val="000000"/>
        </w:rPr>
        <w:t xml:space="preserve">Oficio CJ/DGLYPOGG/710/2025 de fecha quince de agosto de dos mil veinticinco, firmado por el Encargado de Despacho de la Dirección General de Legislación y del Periódico Oficial “Gaceta de Gobierno”, a través del cual refiere que la iniciativa de decreto por el que se reforman, adicionan y derogan diversas disposiciones de la Constitución Política del Estado Libre y Soberano de México, en materia de Transparencia, Acceso a la Información Pública y Protección de datos personales y simplificación orgánica presentada por la Persona Titular del Poder Ejecutivo del Estado, fue aprobada por la LXII Legislatura del Estado de México el </w:t>
      </w:r>
      <w:r w:rsidRPr="00962221">
        <w:rPr>
          <w:rFonts w:ascii="Palatino Linotype" w:eastAsia="Palatino Linotype" w:hAnsi="Palatino Linotype" w:cs="Palatino Linotype"/>
          <w:b/>
          <w:bCs/>
          <w:color w:val="000000"/>
        </w:rPr>
        <w:t xml:space="preserve">26 de junio de 2025, </w:t>
      </w:r>
      <w:r w:rsidRPr="00962221">
        <w:rPr>
          <w:rFonts w:ascii="Palatino Linotype" w:eastAsia="Palatino Linotype" w:hAnsi="Palatino Linotype" w:cs="Palatino Linotype"/>
          <w:color w:val="000000"/>
        </w:rPr>
        <w:t>en el marco del Segundo Periodo Extraordinario de Sesiones del Primer Año del Ejercicio Constitucional.</w:t>
      </w:r>
    </w:p>
    <w:p w:rsidR="006C7D2C" w:rsidRPr="00962221" w:rsidRDefault="00B2748D">
      <w:pPr>
        <w:pBdr>
          <w:top w:val="nil"/>
          <w:left w:val="nil"/>
          <w:bottom w:val="nil"/>
          <w:right w:val="nil"/>
          <w:between w:val="nil"/>
        </w:pBdr>
        <w:tabs>
          <w:tab w:val="left" w:pos="0"/>
        </w:tabs>
        <w:spacing w:line="360" w:lineRule="auto"/>
        <w:ind w:left="1440" w:right="34"/>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 xml:space="preserve">Así mismo, indicó que conforme al procedimiento legislativo previsto en el artículo 148 de la Constitución Política del Estado Libre y Soberano de México, para que dichas adiciones o reformas formen parte del texto constitucional, es necesario que sean ratificadas por la mayoría de los Ayuntamientos de la entidad, por ende corresponde a la legislatura, o en su caso a la Diputación Permanente, hacer el </w:t>
      </w:r>
      <w:r w:rsidRPr="00962221">
        <w:rPr>
          <w:rFonts w:ascii="Palatino Linotype" w:eastAsia="Palatino Linotype" w:hAnsi="Palatino Linotype" w:cs="Palatino Linotype"/>
        </w:rPr>
        <w:t>cómputo</w:t>
      </w:r>
      <w:r w:rsidRPr="00962221">
        <w:rPr>
          <w:rFonts w:ascii="Palatino Linotype" w:eastAsia="Palatino Linotype" w:hAnsi="Palatino Linotype" w:cs="Palatino Linotype"/>
          <w:color w:val="000000"/>
        </w:rPr>
        <w:t xml:space="preserve"> de los votos de los ayuntamientos y declarar la aprobación a efecto de que el decreto sea remitido al Ejecutivo para su </w:t>
      </w:r>
      <w:r w:rsidRPr="00962221">
        <w:rPr>
          <w:rFonts w:ascii="Palatino Linotype" w:eastAsia="Palatino Linotype" w:hAnsi="Palatino Linotype" w:cs="Palatino Linotype"/>
          <w:color w:val="000000"/>
        </w:rPr>
        <w:lastRenderedPageBreak/>
        <w:t>promulgación, publicación y observancia, lo cual a la fecha de la solicitud aún no ha ocurrido, por lo que tomando en consideración que el procedimiento legislativo no había concluido en los términos previstos por la Constitución local, el Decreto de referencia no ha sido promulgado ni publicado en el Periódico Oficial “Gaceta de Gobierno”, esa Unidad administrativa no cuenta con la información requerida.</w:t>
      </w:r>
    </w:p>
    <w:p w:rsidR="006C7D2C" w:rsidRPr="00962221" w:rsidRDefault="00B2748D">
      <w:pPr>
        <w:pBdr>
          <w:top w:val="nil"/>
          <w:left w:val="nil"/>
          <w:bottom w:val="nil"/>
          <w:right w:val="nil"/>
          <w:between w:val="nil"/>
        </w:pBdr>
        <w:tabs>
          <w:tab w:val="left" w:pos="0"/>
        </w:tabs>
        <w:spacing w:line="360" w:lineRule="auto"/>
        <w:ind w:left="1440" w:right="34"/>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color w:val="000000"/>
        </w:rPr>
        <w:t>Por lo anterior, sugieren al particular formule su solicitud al Congreso del Estados de México.</w:t>
      </w:r>
    </w:p>
    <w:p w:rsidR="006C7D2C" w:rsidRPr="00962221" w:rsidRDefault="006C7D2C">
      <w:pPr>
        <w:pBdr>
          <w:top w:val="nil"/>
          <w:left w:val="nil"/>
          <w:bottom w:val="nil"/>
          <w:right w:val="nil"/>
          <w:between w:val="nil"/>
        </w:pBdr>
        <w:tabs>
          <w:tab w:val="left" w:pos="0"/>
        </w:tabs>
        <w:spacing w:line="360" w:lineRule="auto"/>
        <w:ind w:left="720" w:right="34"/>
        <w:jc w:val="both"/>
        <w:rPr>
          <w:rFonts w:ascii="Palatino Linotype" w:eastAsia="Palatino Linotype" w:hAnsi="Palatino Linotype" w:cs="Palatino Linotype"/>
          <w:b/>
          <w:bCs/>
          <w:color w:val="000000"/>
        </w:rPr>
      </w:pPr>
    </w:p>
    <w:p w:rsidR="006C7D2C" w:rsidRPr="00962221" w:rsidRDefault="00B2748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 xml:space="preserve">El </w:t>
      </w:r>
      <w:r w:rsidRPr="00962221">
        <w:rPr>
          <w:rFonts w:ascii="Palatino Linotype" w:eastAsia="Palatino Linotype" w:hAnsi="Palatino Linotype" w:cs="Palatino Linotype"/>
          <w:b/>
          <w:bCs/>
          <w:color w:val="000000"/>
        </w:rPr>
        <w:t>dos de septiembre de dos mil veinticinco</w:t>
      </w:r>
      <w:r w:rsidRPr="00962221">
        <w:rPr>
          <w:rFonts w:ascii="Palatino Linotype" w:eastAsia="Palatino Linotype" w:hAnsi="Palatino Linotype" w:cs="Palatino Linotype"/>
          <w:color w:val="000000"/>
        </w:rPr>
        <w:t xml:space="preserve">, el solicitante interpuso recurso de revisión en la solicitud de información </w:t>
      </w:r>
      <w:r w:rsidRPr="00962221">
        <w:rPr>
          <w:rFonts w:ascii="Palatino Linotype" w:eastAsia="Palatino Linotype" w:hAnsi="Palatino Linotype" w:cs="Palatino Linotype"/>
          <w:b/>
          <w:bCs/>
          <w:color w:val="000000"/>
        </w:rPr>
        <w:t xml:space="preserve">00226/CJ/IP/2025, </w:t>
      </w:r>
      <w:r w:rsidRPr="00962221">
        <w:rPr>
          <w:rFonts w:ascii="Palatino Linotype" w:eastAsia="Palatino Linotype" w:hAnsi="Palatino Linotype" w:cs="Palatino Linotype"/>
          <w:color w:val="000000"/>
        </w:rPr>
        <w:t xml:space="preserve">en contra de la respuesta emitida por el </w:t>
      </w:r>
      <w:r w:rsidRPr="00962221">
        <w:rPr>
          <w:rFonts w:ascii="Palatino Linotype" w:eastAsia="Palatino Linotype" w:hAnsi="Palatino Linotype" w:cs="Palatino Linotype"/>
          <w:b/>
          <w:bCs/>
          <w:color w:val="000000"/>
        </w:rPr>
        <w:t>SUJETO OBLIGADO</w:t>
      </w:r>
      <w:r w:rsidRPr="00962221">
        <w:rPr>
          <w:rFonts w:ascii="Palatino Linotype" w:eastAsia="Palatino Linotype" w:hAnsi="Palatino Linotype" w:cs="Palatino Linotype"/>
          <w:color w:val="000000"/>
        </w:rPr>
        <w:t>, señalando las siguientes razones o motivos de inconformidad:</w:t>
      </w:r>
    </w:p>
    <w:p w:rsidR="006C7D2C" w:rsidRPr="00962221" w:rsidRDefault="006C7D2C">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rsidR="006C7D2C" w:rsidRPr="00962221" w:rsidRDefault="00B2748D">
      <w:pPr>
        <w:pBdr>
          <w:top w:val="nil"/>
          <w:left w:val="nil"/>
          <w:bottom w:val="nil"/>
          <w:right w:val="nil"/>
          <w:between w:val="nil"/>
        </w:pBdr>
        <w:spacing w:line="360" w:lineRule="auto"/>
        <w:ind w:left="567"/>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Acto Impugnado</w:t>
      </w:r>
    </w:p>
    <w:p w:rsidR="006C7D2C" w:rsidRPr="00962221" w:rsidRDefault="00B2748D">
      <w:pPr>
        <w:pBdr>
          <w:top w:val="nil"/>
          <w:left w:val="nil"/>
          <w:bottom w:val="nil"/>
          <w:right w:val="nil"/>
          <w:between w:val="nil"/>
        </w:pBdr>
        <w:spacing w:line="360" w:lineRule="auto"/>
        <w:ind w:left="567"/>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“Oficio CJ-UIPPE/1676/2025 Y Oficio: CJ/DGLYPOGG/710/2025” (Sic.)</w:t>
      </w:r>
    </w:p>
    <w:p w:rsidR="006C7D2C" w:rsidRPr="00962221" w:rsidRDefault="00B2748D">
      <w:pPr>
        <w:pBdr>
          <w:top w:val="nil"/>
          <w:left w:val="nil"/>
          <w:bottom w:val="nil"/>
          <w:right w:val="nil"/>
          <w:between w:val="nil"/>
        </w:pBdr>
        <w:spacing w:line="360" w:lineRule="auto"/>
        <w:ind w:left="567"/>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Razones o Motivos de la Inconformidad</w:t>
      </w:r>
    </w:p>
    <w:p w:rsidR="006C7D2C" w:rsidRPr="00962221" w:rsidRDefault="00B2748D">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 xml:space="preserve">“No da respuesta a los requerimientos señalados en los numerales de mi solicitud de información, además la Consejería Jurídica como dependencia del Estado tiene como atribución y se encarga de diseñar y coordinar la política jurídica del Estado de México solo menciona que el encargado de llevar el proceso legislativo le corresponde al Poder Legislativo omitiendo realizar dicha atribución y menciona el contenido del </w:t>
      </w:r>
      <w:r w:rsidRPr="00962221">
        <w:rPr>
          <w:rFonts w:ascii="Palatino Linotype" w:eastAsia="Palatino Linotype" w:hAnsi="Palatino Linotype" w:cs="Palatino Linotype"/>
          <w:i/>
          <w:iCs/>
        </w:rPr>
        <w:t>artículo</w:t>
      </w:r>
      <w:r w:rsidRPr="00962221">
        <w:rPr>
          <w:rFonts w:ascii="Palatino Linotype" w:eastAsia="Palatino Linotype" w:hAnsi="Palatino Linotype" w:cs="Palatino Linotype"/>
          <w:i/>
          <w:iCs/>
          <w:color w:val="000000"/>
        </w:rPr>
        <w:t xml:space="preserve"> 148 de la Constitución Política del Estado Libre y Soberano de México, sin embargo no adjunta ningún documento que conforme a sus atribuciones y funciones establecidas en la legislación aplicable (Ley Orgánica, Reglamento y Manual de Organización) que demuestre que es un asunto que conoce y de seguimiento hasta la publicación del Decreto al formar parte de una reforma a la norma jurídica Constitucional de orden Local, es decir, no cumple con la atribución de coordinar y participar, junto con las dependencias de carácter estatal en la actualización y simplificación del orden jurídico del Estado de México; no proporciona </w:t>
      </w:r>
      <w:r w:rsidRPr="00962221">
        <w:rPr>
          <w:rFonts w:ascii="Palatino Linotype" w:eastAsia="Palatino Linotype" w:hAnsi="Palatino Linotype" w:cs="Palatino Linotype"/>
          <w:i/>
          <w:iCs/>
          <w:color w:val="000000"/>
        </w:rPr>
        <w:lastRenderedPageBreak/>
        <w:t>ningún documento que se relacione con sus atribuciones encaminadas a dar respuesta a mi solicitud de información. Por lo que solicito entregue la información (documentos) que conforme a sus atribuciones y funciones ha generado relacionada a mi solicitud de información.” (Sic.)</w:t>
      </w:r>
    </w:p>
    <w:p w:rsidR="006C7D2C" w:rsidRPr="00962221" w:rsidRDefault="006C7D2C">
      <w:pPr>
        <w:pBdr>
          <w:top w:val="nil"/>
          <w:left w:val="nil"/>
          <w:bottom w:val="nil"/>
          <w:right w:val="nil"/>
          <w:between w:val="nil"/>
        </w:pBdr>
        <w:tabs>
          <w:tab w:val="left" w:pos="851"/>
        </w:tabs>
        <w:spacing w:line="360" w:lineRule="auto"/>
        <w:ind w:left="720" w:right="567"/>
        <w:jc w:val="both"/>
        <w:rPr>
          <w:rFonts w:ascii="Palatino Linotype" w:eastAsia="Palatino Linotype" w:hAnsi="Palatino Linotype" w:cs="Palatino Linotype"/>
          <w:color w:val="000000"/>
        </w:rPr>
      </w:pPr>
    </w:p>
    <w:p w:rsidR="006C7D2C" w:rsidRPr="00962221" w:rsidRDefault="00B2748D">
      <w:pPr>
        <w:numPr>
          <w:ilvl w:val="0"/>
          <w:numId w:val="1"/>
        </w:numPr>
        <w:spacing w:line="360" w:lineRule="auto"/>
        <w:ind w:left="0" w:firstLine="0"/>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Ley de Transparencia y Acceso a la Información Pública del Estado de México y Municipios se turnó a la </w:t>
      </w:r>
      <w:r w:rsidRPr="00962221">
        <w:rPr>
          <w:rFonts w:ascii="Palatino Linotype" w:eastAsia="Palatino Linotype" w:hAnsi="Palatino Linotype" w:cs="Palatino Linotype"/>
          <w:b/>
          <w:bCs/>
        </w:rPr>
        <w:t>Comisionada María del Rosario Mejía Ayala</w:t>
      </w:r>
      <w:r w:rsidRPr="00962221">
        <w:rPr>
          <w:rFonts w:ascii="Palatino Linotype" w:eastAsia="Palatino Linotype" w:hAnsi="Palatino Linotype" w:cs="Palatino Linotype"/>
        </w:rPr>
        <w:t xml:space="preserve"> con el objeto de su análisis.</w:t>
      </w:r>
    </w:p>
    <w:p w:rsidR="006C7D2C" w:rsidRPr="00962221" w:rsidRDefault="006C7D2C">
      <w:pPr>
        <w:spacing w:line="360" w:lineRule="auto"/>
        <w:jc w:val="both"/>
        <w:rPr>
          <w:rFonts w:ascii="Palatino Linotype" w:eastAsia="Palatino Linotype" w:hAnsi="Palatino Linotype" w:cs="Palatino Linotype"/>
          <w:i/>
          <w:iCs/>
          <w:color w:val="000000"/>
        </w:rPr>
      </w:pPr>
    </w:p>
    <w:p w:rsidR="006C7D2C" w:rsidRPr="00962221" w:rsidRDefault="00B2748D">
      <w:pPr>
        <w:numPr>
          <w:ilvl w:val="0"/>
          <w:numId w:val="1"/>
        </w:numPr>
        <w:spacing w:line="360" w:lineRule="auto"/>
        <w:ind w:left="0" w:firstLine="0"/>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color w:val="000000"/>
        </w:rPr>
        <w:t xml:space="preserve">La Comisionada Ponente con fundamento en lo dispuesto por el artículo 185 </w:t>
      </w:r>
      <w:r w:rsidRPr="00962221">
        <w:rPr>
          <w:rFonts w:ascii="Palatino Linotype" w:eastAsia="Palatino Linotype" w:hAnsi="Palatino Linotype" w:cs="Palatino Linotype"/>
        </w:rPr>
        <w:t>fracción</w:t>
      </w:r>
      <w:r w:rsidRPr="00962221">
        <w:rPr>
          <w:rFonts w:ascii="Palatino Linotype" w:eastAsia="Palatino Linotype" w:hAnsi="Palatino Linotype" w:cs="Palatino Linotype"/>
          <w:color w:val="000000"/>
        </w:rPr>
        <w:t xml:space="preserve"> II de la ley de la materia, a través del </w:t>
      </w:r>
      <w:r w:rsidRPr="00962221">
        <w:rPr>
          <w:rFonts w:ascii="Palatino Linotype" w:eastAsia="Palatino Linotype" w:hAnsi="Palatino Linotype" w:cs="Palatino Linotype"/>
          <w:b/>
          <w:bCs/>
          <w:color w:val="000000"/>
        </w:rPr>
        <w:t xml:space="preserve">acuerdo de admisión </w:t>
      </w:r>
      <w:r w:rsidRPr="00962221">
        <w:rPr>
          <w:rFonts w:ascii="Palatino Linotype" w:eastAsia="Palatino Linotype" w:hAnsi="Palatino Linotype" w:cs="Palatino Linotype"/>
          <w:color w:val="000000"/>
        </w:rPr>
        <w:t xml:space="preserve">de fecha </w:t>
      </w:r>
      <w:r w:rsidRPr="00962221">
        <w:rPr>
          <w:rFonts w:ascii="Palatino Linotype" w:eastAsia="Palatino Linotype" w:hAnsi="Palatino Linotype" w:cs="Palatino Linotype"/>
          <w:b/>
          <w:bCs/>
          <w:color w:val="000000"/>
        </w:rPr>
        <w:t>cuatro de septiembre de dos mil veinticinco</w:t>
      </w:r>
      <w:r w:rsidRPr="00962221">
        <w:rPr>
          <w:rFonts w:ascii="Palatino Linotype" w:eastAsia="Palatino Linotype" w:hAnsi="Palatino Linotype" w:cs="Palatino Linotype"/>
          <w:color w:val="000000"/>
        </w:rPr>
        <w:t xml:space="preserve">, puso a disposición de las partes el expediente electrónico vía SAIMEX a efecto de que en un plazo máximo de siete días manifestaran lo que a su derecho conviniera, ofrecieran pruebas y alegatos según corresponda al caso concreto, de esta forma para que el </w:t>
      </w:r>
      <w:r w:rsidRPr="00962221">
        <w:rPr>
          <w:rFonts w:ascii="Palatino Linotype" w:eastAsia="Palatino Linotype" w:hAnsi="Palatino Linotype" w:cs="Palatino Linotype"/>
          <w:b/>
          <w:bCs/>
          <w:color w:val="000000"/>
        </w:rPr>
        <w:t xml:space="preserve">SUJETO OBLIGADO </w:t>
      </w:r>
      <w:r w:rsidRPr="00962221">
        <w:rPr>
          <w:rFonts w:ascii="Palatino Linotype" w:eastAsia="Palatino Linotype" w:hAnsi="Palatino Linotype" w:cs="Palatino Linotype"/>
          <w:color w:val="000000"/>
        </w:rPr>
        <w:t>presentara el Informe Justificado procedente.</w:t>
      </w:r>
    </w:p>
    <w:p w:rsidR="006C7D2C" w:rsidRPr="00962221" w:rsidRDefault="006C7D2C">
      <w:pPr>
        <w:pBdr>
          <w:top w:val="nil"/>
          <w:left w:val="nil"/>
          <w:bottom w:val="nil"/>
          <w:right w:val="nil"/>
          <w:between w:val="nil"/>
        </w:pBdr>
        <w:ind w:left="720"/>
        <w:rPr>
          <w:rFonts w:ascii="Palatino Linotype" w:eastAsia="Palatino Linotype" w:hAnsi="Palatino Linotype" w:cs="Palatino Linotype"/>
          <w:color w:val="000000"/>
        </w:rPr>
      </w:pPr>
    </w:p>
    <w:p w:rsidR="006C7D2C" w:rsidRPr="00962221" w:rsidRDefault="006C7D2C">
      <w:pPr>
        <w:pBdr>
          <w:top w:val="nil"/>
          <w:left w:val="nil"/>
          <w:bottom w:val="nil"/>
          <w:right w:val="nil"/>
          <w:between w:val="nil"/>
        </w:pBdr>
        <w:ind w:left="720"/>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tabs>
          <w:tab w:val="left" w:pos="0"/>
        </w:tabs>
        <w:spacing w:line="360" w:lineRule="auto"/>
        <w:ind w:left="0" w:right="-144"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 xml:space="preserve">El </w:t>
      </w:r>
      <w:r w:rsidRPr="00962221">
        <w:rPr>
          <w:rFonts w:ascii="Palatino Linotype" w:eastAsia="Palatino Linotype" w:hAnsi="Palatino Linotype" w:cs="Palatino Linotype"/>
          <w:b/>
          <w:bCs/>
          <w:color w:val="000000"/>
        </w:rPr>
        <w:t>ocho de septiembre de dos mil veinticinco,</w:t>
      </w:r>
      <w:r w:rsidRPr="00962221">
        <w:rPr>
          <w:rFonts w:ascii="Palatino Linotype" w:eastAsia="Palatino Linotype" w:hAnsi="Palatino Linotype" w:cs="Palatino Linotype"/>
          <w:color w:val="000000"/>
        </w:rPr>
        <w:t xml:space="preserve"> el </w:t>
      </w:r>
      <w:r w:rsidRPr="00962221">
        <w:rPr>
          <w:rFonts w:ascii="Palatino Linotype" w:eastAsia="Palatino Linotype" w:hAnsi="Palatino Linotype" w:cs="Palatino Linotype"/>
          <w:b/>
          <w:bCs/>
          <w:color w:val="000000"/>
        </w:rPr>
        <w:t>SUJETO OBLIGADO,</w:t>
      </w:r>
      <w:r w:rsidRPr="00962221">
        <w:rPr>
          <w:rFonts w:ascii="Palatino Linotype" w:eastAsia="Palatino Linotype" w:hAnsi="Palatino Linotype" w:cs="Palatino Linotype"/>
          <w:color w:val="000000"/>
        </w:rPr>
        <w:t xml:space="preserve"> remitió el informe justificado correspondiente, a través de los siguientes oficios:</w:t>
      </w:r>
    </w:p>
    <w:p w:rsidR="006C7D2C" w:rsidRPr="00962221" w:rsidRDefault="006C7D2C">
      <w:pPr>
        <w:pBdr>
          <w:top w:val="nil"/>
          <w:left w:val="nil"/>
          <w:bottom w:val="nil"/>
          <w:right w:val="nil"/>
          <w:between w:val="nil"/>
        </w:pBdr>
        <w:tabs>
          <w:tab w:val="left" w:pos="0"/>
        </w:tabs>
        <w:spacing w:line="360" w:lineRule="auto"/>
        <w:ind w:right="-144"/>
        <w:jc w:val="both"/>
        <w:rPr>
          <w:rFonts w:ascii="Palatino Linotype" w:eastAsia="Palatino Linotype" w:hAnsi="Palatino Linotype" w:cs="Palatino Linotype"/>
          <w:color w:val="000000"/>
        </w:rPr>
      </w:pPr>
    </w:p>
    <w:p w:rsidR="006C7D2C" w:rsidRPr="00962221" w:rsidRDefault="00B2748D">
      <w:pPr>
        <w:numPr>
          <w:ilvl w:val="0"/>
          <w:numId w:val="5"/>
        </w:numPr>
        <w:pBdr>
          <w:top w:val="nil"/>
          <w:left w:val="nil"/>
          <w:bottom w:val="nil"/>
          <w:right w:val="nil"/>
          <w:between w:val="nil"/>
        </w:pBdr>
        <w:tabs>
          <w:tab w:val="left" w:pos="0"/>
        </w:tabs>
        <w:spacing w:line="360" w:lineRule="auto"/>
        <w:ind w:right="-144"/>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Oficio de fecha ocho de septiembre de dos mil veinticinco, suscrito por el Titular de la Unidad de Transparencia, a través del cual remite el informe de la Dirección General de Legislación y del Periódico Oficial “Gaceta de Gobierno”.</w:t>
      </w:r>
    </w:p>
    <w:p w:rsidR="006C7D2C" w:rsidRPr="00962221" w:rsidRDefault="00B2748D">
      <w:pPr>
        <w:numPr>
          <w:ilvl w:val="0"/>
          <w:numId w:val="5"/>
        </w:numPr>
        <w:pBdr>
          <w:top w:val="nil"/>
          <w:left w:val="nil"/>
          <w:bottom w:val="nil"/>
          <w:right w:val="nil"/>
          <w:between w:val="nil"/>
        </w:pBdr>
        <w:tabs>
          <w:tab w:val="left" w:pos="0"/>
        </w:tabs>
        <w:spacing w:line="360" w:lineRule="auto"/>
        <w:ind w:right="-144"/>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 xml:space="preserve">Oficio CJ/DGLYPOGG/798/2025 de fecha cuatro de septiembre de dos mil veinticinco, firmado por el Director General de Legislación y del Periódico Oficial “Gaceta de </w:t>
      </w:r>
      <w:r w:rsidRPr="00962221">
        <w:rPr>
          <w:rFonts w:ascii="Palatino Linotype" w:eastAsia="Palatino Linotype" w:hAnsi="Palatino Linotype" w:cs="Palatino Linotype"/>
          <w:color w:val="000000"/>
        </w:rPr>
        <w:lastRenderedPageBreak/>
        <w:t>Gobierno”, mediante el cual reitera que el procedimiento para a reforma de la Constitución Política del Estado Libre y Soberano de México, se encuentra regulado en la propia Constitución; así como en la Ley Orgánica del Poder Legislativo del Estado Libre y Soberano de México y su Reglamento.</w:t>
      </w:r>
    </w:p>
    <w:p w:rsidR="006C7D2C" w:rsidRPr="00962221" w:rsidRDefault="00B2748D">
      <w:pPr>
        <w:pBdr>
          <w:top w:val="nil"/>
          <w:left w:val="nil"/>
          <w:bottom w:val="nil"/>
          <w:right w:val="nil"/>
          <w:between w:val="nil"/>
        </w:pBdr>
        <w:tabs>
          <w:tab w:val="left" w:pos="0"/>
        </w:tabs>
        <w:spacing w:line="360" w:lineRule="auto"/>
        <w:ind w:left="720" w:right="-144"/>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 xml:space="preserve">En ejercicio de su facultades, la persona titular del Poder Ejecutivo del Estado, ´presentó su iniciativa de Decreto por el que se reforman, adicionan y derogan diversas disposiciones de la Constitución Política del Estado Libre y Soberano de México, en materia de </w:t>
      </w:r>
      <w:r w:rsidRPr="00962221">
        <w:rPr>
          <w:rFonts w:ascii="Palatino Linotype" w:eastAsia="Palatino Linotype" w:hAnsi="Palatino Linotype" w:cs="Palatino Linotype"/>
        </w:rPr>
        <w:t>transparencia</w:t>
      </w:r>
      <w:r w:rsidRPr="00962221">
        <w:rPr>
          <w:rFonts w:ascii="Palatino Linotype" w:eastAsia="Palatino Linotype" w:hAnsi="Palatino Linotype" w:cs="Palatino Linotype"/>
          <w:color w:val="000000"/>
        </w:rPr>
        <w:t>, acceso a la información pública y protección de datos personales y simplificación orgánica.</w:t>
      </w:r>
    </w:p>
    <w:p w:rsidR="006C7D2C" w:rsidRPr="00962221" w:rsidRDefault="00B2748D">
      <w:pPr>
        <w:pBdr>
          <w:top w:val="nil"/>
          <w:left w:val="nil"/>
          <w:bottom w:val="nil"/>
          <w:right w:val="nil"/>
          <w:between w:val="nil"/>
        </w:pBdr>
        <w:tabs>
          <w:tab w:val="left" w:pos="0"/>
        </w:tabs>
        <w:spacing w:line="360" w:lineRule="auto"/>
        <w:ind w:left="720" w:right="-144"/>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 xml:space="preserve">Precisa que la iniciativa fue elaborada y presentada </w:t>
      </w:r>
      <w:r w:rsidRPr="00962221">
        <w:rPr>
          <w:rFonts w:ascii="Palatino Linotype" w:eastAsia="Palatino Linotype" w:hAnsi="Palatino Linotype" w:cs="Palatino Linotype"/>
        </w:rPr>
        <w:t>a través</w:t>
      </w:r>
      <w:r w:rsidRPr="00962221">
        <w:rPr>
          <w:rFonts w:ascii="Palatino Linotype" w:eastAsia="Palatino Linotype" w:hAnsi="Palatino Linotype" w:cs="Palatino Linotype"/>
          <w:color w:val="000000"/>
        </w:rPr>
        <w:t xml:space="preserve"> de la Consejería Jurídica, en términos de las atribuciones establecidas en la Ley Orgánica de la Administración Pública del Estado de México, que faculta a esa Dependencia para revisar y elaborar los proyectos de iniciativa de ley o decreto que se presenten; así como ser el conducto para presentar ante la Legislatura las iniciativas de Ley o Decreto del Ejecutivo; además de publicar las leyes, reglamentos y demás disposiciones jurídicas.</w:t>
      </w:r>
    </w:p>
    <w:p w:rsidR="006C7D2C" w:rsidRPr="00962221" w:rsidRDefault="00B2748D">
      <w:pPr>
        <w:pBdr>
          <w:top w:val="nil"/>
          <w:left w:val="nil"/>
          <w:bottom w:val="nil"/>
          <w:right w:val="nil"/>
          <w:between w:val="nil"/>
        </w:pBdr>
        <w:tabs>
          <w:tab w:val="left" w:pos="0"/>
        </w:tabs>
        <w:spacing w:line="360" w:lineRule="auto"/>
        <w:ind w:left="720" w:right="-144"/>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 xml:space="preserve">Refiere que la iniciativa de referencia fue presentada en la Legislatura del Estado el </w:t>
      </w:r>
      <w:r w:rsidRPr="00962221">
        <w:rPr>
          <w:rFonts w:ascii="Palatino Linotype" w:eastAsia="Palatino Linotype" w:hAnsi="Palatino Linotype" w:cs="Palatino Linotype"/>
          <w:b/>
          <w:bCs/>
          <w:color w:val="000000"/>
        </w:rPr>
        <w:t xml:space="preserve">11 de junio de 2025 </w:t>
      </w:r>
      <w:r w:rsidRPr="00962221">
        <w:rPr>
          <w:rFonts w:ascii="Palatino Linotype" w:eastAsia="Palatino Linotype" w:hAnsi="Palatino Linotype" w:cs="Palatino Linotype"/>
          <w:color w:val="000000"/>
        </w:rPr>
        <w:t xml:space="preserve">y turnada a Comisiones Legislativas por la Diputación permanente el día 12 del mismo mes y año; además ratificó su respuesta. </w:t>
      </w:r>
    </w:p>
    <w:p w:rsidR="006C7D2C" w:rsidRPr="00962221" w:rsidRDefault="006C7D2C">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6C7D2C" w:rsidRPr="00962221" w:rsidRDefault="00B2748D">
      <w:pPr>
        <w:numPr>
          <w:ilvl w:val="0"/>
          <w:numId w:val="1"/>
        </w:numPr>
        <w:spacing w:line="360" w:lineRule="auto"/>
        <w:ind w:left="0" w:firstLine="0"/>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rPr>
        <w:t xml:space="preserve">De lo anterior el </w:t>
      </w:r>
      <w:r w:rsidRPr="00962221">
        <w:rPr>
          <w:rFonts w:ascii="Palatino Linotype" w:eastAsia="Palatino Linotype" w:hAnsi="Palatino Linotype" w:cs="Palatino Linotype"/>
          <w:b/>
          <w:bCs/>
        </w:rPr>
        <w:t xml:space="preserve">RECURRENTE </w:t>
      </w:r>
      <w:r w:rsidRPr="00962221">
        <w:rPr>
          <w:rFonts w:ascii="Palatino Linotype" w:eastAsia="Palatino Linotype" w:hAnsi="Palatino Linotype" w:cs="Palatino Linotype"/>
        </w:rPr>
        <w:t xml:space="preserve">dejó de realizar manifestaciones que a su derecho conviniera y asistiera, respectivamente en el recurso de revisión. </w:t>
      </w:r>
    </w:p>
    <w:p w:rsidR="006C7D2C" w:rsidRPr="00962221" w:rsidRDefault="006C7D2C">
      <w:pPr>
        <w:spacing w:line="360" w:lineRule="auto"/>
        <w:jc w:val="both"/>
        <w:rPr>
          <w:rFonts w:ascii="Palatino Linotype" w:eastAsia="Palatino Linotype" w:hAnsi="Palatino Linotype" w:cs="Palatino Linotype"/>
          <w:i/>
          <w:iCs/>
          <w:color w:val="000000"/>
        </w:rPr>
      </w:pPr>
    </w:p>
    <w:p w:rsidR="006C7D2C" w:rsidRPr="00962221" w:rsidRDefault="00B2748D">
      <w:pPr>
        <w:numPr>
          <w:ilvl w:val="0"/>
          <w:numId w:val="1"/>
        </w:numPr>
        <w:spacing w:line="360" w:lineRule="auto"/>
        <w:ind w:left="0" w:firstLine="0"/>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rPr>
        <w:t xml:space="preserve">El </w:t>
      </w:r>
      <w:r w:rsidRPr="00962221">
        <w:rPr>
          <w:rFonts w:ascii="Palatino Linotype" w:eastAsia="Palatino Linotype" w:hAnsi="Palatino Linotype" w:cs="Palatino Linotype"/>
          <w:b/>
          <w:bCs/>
        </w:rPr>
        <w:t>veintiséis de enero de dos mil veintiséis</w:t>
      </w:r>
      <w:r w:rsidRPr="00962221">
        <w:rPr>
          <w:rFonts w:ascii="Palatino Linotype" w:eastAsia="Palatino Linotype" w:hAnsi="Palatino Linotype" w:cs="Palatino Linotype"/>
        </w:rPr>
        <w:t>, se notificó el acuerdo mediante el cual se amplió el plazo para emitir resolución por un término de 15 días adicionales.</w:t>
      </w:r>
    </w:p>
    <w:p w:rsidR="006C7D2C" w:rsidRPr="00962221" w:rsidRDefault="00B2748D">
      <w:pPr>
        <w:numPr>
          <w:ilvl w:val="0"/>
          <w:numId w:val="1"/>
        </w:numPr>
        <w:spacing w:line="360" w:lineRule="auto"/>
        <w:ind w:left="0" w:firstLine="0"/>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rPr>
        <w:lastRenderedPageBreak/>
        <w:t xml:space="preserve">Finalmente, la Comisionada Ponente mediante acuerdo del </w:t>
      </w:r>
      <w:r w:rsidRPr="00962221">
        <w:rPr>
          <w:rFonts w:ascii="Palatino Linotype" w:eastAsia="Palatino Linotype" w:hAnsi="Palatino Linotype" w:cs="Palatino Linotype"/>
          <w:b/>
          <w:bCs/>
        </w:rPr>
        <w:t>trece de abril de dos mil veintiséis</w:t>
      </w:r>
      <w:r w:rsidRPr="00962221">
        <w:rPr>
          <w:rFonts w:ascii="Palatino Linotype" w:eastAsia="Palatino Linotype" w:hAnsi="Palatino Linotype" w:cs="Palatino Linotype"/>
        </w:rPr>
        <w:t>, decretó el cierre de instrucción del expediente, por lo que no habiendo más que hacer constar, y</w:t>
      </w:r>
      <w:r w:rsidRPr="00962221">
        <w:rPr>
          <w:rFonts w:ascii="Palatino Linotype" w:eastAsia="Palatino Linotype" w:hAnsi="Palatino Linotype" w:cs="Palatino Linotype"/>
          <w:color w:val="000000"/>
        </w:rPr>
        <w:t xml:space="preserve">. </w:t>
      </w:r>
    </w:p>
    <w:p w:rsidR="006C7D2C" w:rsidRPr="00962221" w:rsidRDefault="006C7D2C">
      <w:pPr>
        <w:spacing w:line="360" w:lineRule="auto"/>
        <w:jc w:val="both"/>
        <w:rPr>
          <w:rFonts w:ascii="Palatino Linotype" w:eastAsia="Palatino Linotype" w:hAnsi="Palatino Linotype" w:cs="Palatino Linotype"/>
          <w:b/>
          <w:bCs/>
        </w:rPr>
      </w:pPr>
    </w:p>
    <w:p w:rsidR="006C7D2C" w:rsidRPr="00962221" w:rsidRDefault="00B2748D">
      <w:pPr>
        <w:keepNext/>
        <w:keepLines/>
        <w:spacing w:line="360" w:lineRule="auto"/>
        <w:jc w:val="center"/>
        <w:rPr>
          <w:rFonts w:ascii="Palatino Linotype" w:eastAsia="Palatino Linotype" w:hAnsi="Palatino Linotype" w:cs="Palatino Linotype"/>
          <w:b/>
          <w:bCs/>
        </w:rPr>
      </w:pPr>
      <w:bookmarkStart w:id="3" w:name="_heading=h.nycjt733ex46" w:colFirst="0" w:colLast="0"/>
      <w:bookmarkEnd w:id="3"/>
      <w:r w:rsidRPr="00962221">
        <w:rPr>
          <w:rFonts w:ascii="Palatino Linotype" w:eastAsia="Palatino Linotype" w:hAnsi="Palatino Linotype" w:cs="Palatino Linotype"/>
          <w:b/>
          <w:bCs/>
        </w:rPr>
        <w:t>C</w:t>
      </w:r>
      <w:r w:rsid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b/>
          <w:bCs/>
        </w:rPr>
        <w:t>O</w:t>
      </w:r>
      <w:r w:rsid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b/>
          <w:bCs/>
        </w:rPr>
        <w:t>N</w:t>
      </w:r>
      <w:r w:rsid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b/>
          <w:bCs/>
        </w:rPr>
        <w:t>S</w:t>
      </w:r>
      <w:r w:rsid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b/>
          <w:bCs/>
        </w:rPr>
        <w:t>I</w:t>
      </w:r>
      <w:r w:rsid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b/>
          <w:bCs/>
        </w:rPr>
        <w:t>D</w:t>
      </w:r>
      <w:r w:rsid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b/>
          <w:bCs/>
        </w:rPr>
        <w:t>E</w:t>
      </w:r>
      <w:r w:rsid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b/>
          <w:bCs/>
        </w:rPr>
        <w:t>R</w:t>
      </w:r>
      <w:r w:rsid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b/>
          <w:bCs/>
        </w:rPr>
        <w:t>A</w:t>
      </w:r>
      <w:r w:rsid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b/>
          <w:bCs/>
        </w:rPr>
        <w:t>N</w:t>
      </w:r>
      <w:r w:rsid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b/>
          <w:bCs/>
        </w:rPr>
        <w:t>D</w:t>
      </w:r>
      <w:r w:rsid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b/>
          <w:bCs/>
        </w:rPr>
        <w:t>O</w:t>
      </w:r>
    </w:p>
    <w:p w:rsidR="006C7D2C" w:rsidRPr="00962221" w:rsidRDefault="006C7D2C">
      <w:pPr>
        <w:keepNext/>
        <w:keepLines/>
        <w:spacing w:line="360" w:lineRule="auto"/>
        <w:jc w:val="center"/>
        <w:rPr>
          <w:rFonts w:ascii="Palatino Linotype" w:eastAsia="Palatino Linotype" w:hAnsi="Palatino Linotype" w:cs="Palatino Linotype"/>
          <w:b/>
          <w:bCs/>
        </w:rPr>
      </w:pPr>
    </w:p>
    <w:p w:rsidR="006C7D2C" w:rsidRPr="00962221" w:rsidRDefault="00B2748D">
      <w:pPr>
        <w:keepNext/>
        <w:keepLines/>
        <w:spacing w:line="360" w:lineRule="auto"/>
        <w:rPr>
          <w:rFonts w:ascii="Palatino Linotype" w:eastAsia="Palatino Linotype" w:hAnsi="Palatino Linotype" w:cs="Palatino Linotype"/>
          <w:b/>
          <w:bCs/>
        </w:rPr>
      </w:pPr>
      <w:bookmarkStart w:id="4" w:name="_heading=h.vvdyk6mpgkhy" w:colFirst="0" w:colLast="0"/>
      <w:bookmarkEnd w:id="4"/>
      <w:r w:rsidRPr="00962221">
        <w:rPr>
          <w:rFonts w:ascii="Palatino Linotype" w:eastAsia="Palatino Linotype" w:hAnsi="Palatino Linotype" w:cs="Palatino Linotype"/>
          <w:b/>
          <w:bCs/>
        </w:rPr>
        <w:t>PRIMERO. De la competencia.</w:t>
      </w:r>
    </w:p>
    <w:p w:rsidR="006C7D2C" w:rsidRPr="00962221" w:rsidRDefault="00B2748D">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highlight w:val="white"/>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962221">
        <w:rPr>
          <w:rFonts w:ascii="Palatino Linotype" w:eastAsia="Palatino Linotype" w:hAnsi="Palatino Linotype" w:cs="Palatino Linotype"/>
          <w:b/>
          <w:bCs/>
          <w:color w:val="000000"/>
          <w:highlight w:val="white"/>
        </w:rPr>
        <w:t>Constitución Política de los Estados Unidos Mexicanos</w:t>
      </w:r>
      <w:r w:rsidRPr="00962221">
        <w:rPr>
          <w:rFonts w:ascii="Palatino Linotype" w:eastAsia="Palatino Linotype" w:hAnsi="Palatino Linotype" w:cs="Palatino Linotype"/>
          <w:color w:val="000000"/>
          <w:highlight w:val="white"/>
        </w:rPr>
        <w:t>; 5, párrafos trigésimo segundo, trigésimo tercero y trigésimo cuarto fracciones IV y V de la </w:t>
      </w:r>
      <w:r w:rsidRPr="00962221">
        <w:rPr>
          <w:rFonts w:ascii="Palatino Linotype" w:eastAsia="Palatino Linotype" w:hAnsi="Palatino Linotype" w:cs="Palatino Linotype"/>
          <w:b/>
          <w:bCs/>
          <w:color w:val="000000"/>
          <w:highlight w:val="white"/>
        </w:rPr>
        <w:t>Constitución Política del Estado Libre y Soberano de México</w:t>
      </w:r>
      <w:r w:rsidRPr="00962221">
        <w:rPr>
          <w:rFonts w:ascii="Palatino Linotype" w:eastAsia="Palatino Linotype" w:hAnsi="Palatino Linotype" w:cs="Palatino Linotype"/>
          <w:color w:val="000000"/>
          <w:highlight w:val="white"/>
        </w:rPr>
        <w:t>; artículos 1, 2 fracción II, 13, 29, 36 fracciones I y II, 176, 178, 179, 181 párrafo tercero y 185 de la </w:t>
      </w:r>
      <w:r w:rsidRPr="00962221">
        <w:rPr>
          <w:rFonts w:ascii="Palatino Linotype" w:eastAsia="Palatino Linotype" w:hAnsi="Palatino Linotype" w:cs="Palatino Linotype"/>
          <w:b/>
          <w:bCs/>
          <w:color w:val="000000"/>
          <w:highlight w:val="white"/>
        </w:rPr>
        <w:t>Ley de Transparencia y Acceso a la Información Pública del Estado de México y Municipios</w:t>
      </w:r>
      <w:r w:rsidRPr="00962221">
        <w:rPr>
          <w:rFonts w:ascii="Palatino Linotype" w:eastAsia="Palatino Linotype" w:hAnsi="Palatino Linotype" w:cs="Palatino Linotype"/>
          <w:color w:val="000000"/>
          <w:highlight w:val="white"/>
        </w:rPr>
        <w:t>; y 7, 9 fracciones I y XXIII, y 11 del </w:t>
      </w:r>
      <w:r w:rsidRPr="00962221">
        <w:rPr>
          <w:rFonts w:ascii="Palatino Linotype" w:eastAsia="Palatino Linotype" w:hAnsi="Palatino Linotype" w:cs="Palatino Linotype"/>
          <w:b/>
          <w:bCs/>
          <w:color w:val="000000"/>
          <w:highlight w:val="white"/>
        </w:rPr>
        <w:t>Reglamento Interior del Instituto de Transparencia, Acceso a la Información Pública y Protección de Datos Personales del Estado de México y Municipios</w:t>
      </w:r>
      <w:r w:rsidRPr="00962221">
        <w:rPr>
          <w:rFonts w:ascii="Palatino Linotype" w:eastAsia="Palatino Linotype" w:hAnsi="Palatino Linotype" w:cs="Palatino Linotype"/>
          <w:color w:val="000000"/>
          <w:highlight w:val="white"/>
        </w:rPr>
        <w:t>.</w:t>
      </w:r>
    </w:p>
    <w:p w:rsidR="006C7D2C" w:rsidRPr="00962221" w:rsidRDefault="00B2748D">
      <w:pPr>
        <w:keepNext/>
        <w:keepLines/>
        <w:spacing w:line="360" w:lineRule="auto"/>
        <w:rPr>
          <w:rFonts w:ascii="Palatino Linotype" w:eastAsia="Palatino Linotype" w:hAnsi="Palatino Linotype" w:cs="Palatino Linotype"/>
          <w:b/>
          <w:bCs/>
        </w:rPr>
      </w:pPr>
      <w:bookmarkStart w:id="5" w:name="_heading=h.etnyxwv71yh3" w:colFirst="0" w:colLast="0"/>
      <w:bookmarkEnd w:id="5"/>
      <w:r w:rsidRPr="00962221">
        <w:rPr>
          <w:rFonts w:ascii="Palatino Linotype" w:eastAsia="Palatino Linotype" w:hAnsi="Palatino Linotype" w:cs="Palatino Linotype"/>
          <w:b/>
          <w:bCs/>
        </w:rPr>
        <w:t>SEGUNDO. De la oportunidad y procedencia.</w:t>
      </w:r>
    </w:p>
    <w:p w:rsidR="006C7D2C" w:rsidRPr="00962221" w:rsidRDefault="00B2748D">
      <w:pPr>
        <w:numPr>
          <w:ilvl w:val="0"/>
          <w:numId w:val="1"/>
        </w:numPr>
        <w:spacing w:line="360" w:lineRule="auto"/>
        <w:ind w:left="0" w:right="48" w:firstLine="0"/>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El medio de impugnación fue presentado a través del </w:t>
      </w:r>
      <w:r w:rsidRPr="00962221">
        <w:rPr>
          <w:rFonts w:ascii="Palatino Linotype" w:eastAsia="Palatino Linotype" w:hAnsi="Palatino Linotype" w:cs="Palatino Linotype"/>
          <w:b/>
          <w:bCs/>
        </w:rPr>
        <w:t>SAIMEX,</w:t>
      </w:r>
      <w:r w:rsidRPr="00962221">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962221">
        <w:rPr>
          <w:rFonts w:ascii="Palatino Linotype" w:eastAsia="Palatino Linotype" w:hAnsi="Palatino Linotype" w:cs="Palatino Linotype"/>
          <w:b/>
          <w:bCs/>
        </w:rPr>
        <w:t>SUJETO OBLIGADO</w:t>
      </w:r>
      <w:r w:rsidRPr="00962221">
        <w:rPr>
          <w:rFonts w:ascii="Palatino Linotype" w:eastAsia="Palatino Linotype" w:hAnsi="Palatino Linotype" w:cs="Palatino Linotype"/>
        </w:rPr>
        <w:t xml:space="preserve"> entregó respuesta el día </w:t>
      </w:r>
      <w:r w:rsidRPr="00962221">
        <w:rPr>
          <w:rFonts w:ascii="Palatino Linotype" w:eastAsia="Palatino Linotype" w:hAnsi="Palatino Linotype" w:cs="Palatino Linotype"/>
          <w:b/>
          <w:bCs/>
        </w:rPr>
        <w:t>veinte de agosto de dos mil veinticinco</w:t>
      </w:r>
      <w:r w:rsidRPr="00962221">
        <w:rPr>
          <w:rFonts w:ascii="Palatino Linotype" w:eastAsia="Palatino Linotype" w:hAnsi="Palatino Linotype" w:cs="Palatino Linotype"/>
        </w:rPr>
        <w:t xml:space="preserve">, de tal forma que el plazo para interponer el recurso transcurrió del </w:t>
      </w:r>
      <w:r w:rsidRPr="00962221">
        <w:rPr>
          <w:rFonts w:ascii="Palatino Linotype" w:eastAsia="Palatino Linotype" w:hAnsi="Palatino Linotype" w:cs="Palatino Linotype"/>
          <w:b/>
          <w:bCs/>
        </w:rPr>
        <w:t xml:space="preserve">veintiuno de agosto al diez de septiembre de dos mil </w:t>
      </w:r>
      <w:r w:rsidRPr="00962221">
        <w:rPr>
          <w:rFonts w:ascii="Palatino Linotype" w:eastAsia="Palatino Linotype" w:hAnsi="Palatino Linotype" w:cs="Palatino Linotype"/>
          <w:b/>
          <w:bCs/>
        </w:rPr>
        <w:lastRenderedPageBreak/>
        <w:t>veinticinco</w:t>
      </w:r>
      <w:r w:rsidRPr="00962221">
        <w:rPr>
          <w:rFonts w:ascii="Palatino Linotype" w:eastAsia="Palatino Linotype" w:hAnsi="Palatino Linotype" w:cs="Palatino Linotype"/>
        </w:rPr>
        <w:t xml:space="preserve">, de acuerdo al calendario oficial del Instituto de Transparencia del Estado de México y Municipios; en consecuencia, si el particular presentó su inconformidad el día </w:t>
      </w:r>
      <w:r w:rsidRPr="00962221">
        <w:rPr>
          <w:rFonts w:ascii="Palatino Linotype" w:eastAsia="Palatino Linotype" w:hAnsi="Palatino Linotype" w:cs="Palatino Linotype"/>
          <w:b/>
          <w:bCs/>
        </w:rPr>
        <w:t>dos de septiembre de dos mil veinticinco</w:t>
      </w:r>
      <w:r w:rsidRPr="00962221">
        <w:rPr>
          <w:rFonts w:ascii="Palatino Linotype" w:eastAsia="Palatino Linotype" w:hAnsi="Palatino Linotype" w:cs="Palatino Linotype"/>
        </w:rPr>
        <w:t xml:space="preserve">, se encuentra dentro de los márgenes temporales previstos en el artículo 178 de la </w:t>
      </w:r>
      <w:r w:rsidRPr="00962221">
        <w:rPr>
          <w:rFonts w:ascii="Palatino Linotype" w:eastAsia="Palatino Linotype" w:hAnsi="Palatino Linotype" w:cs="Palatino Linotype"/>
          <w:b/>
          <w:bCs/>
        </w:rPr>
        <w:t xml:space="preserve">Ley de Transparencia y Acceso a la Información Pública del Estado de México y Municipios </w:t>
      </w:r>
      <w:r w:rsidRPr="00962221">
        <w:rPr>
          <w:rFonts w:ascii="Palatino Linotype" w:eastAsia="Palatino Linotype" w:hAnsi="Palatino Linotype" w:cs="Palatino Linotype"/>
        </w:rPr>
        <w:t xml:space="preserve">vigente. </w:t>
      </w:r>
    </w:p>
    <w:p w:rsidR="006C7D2C" w:rsidRPr="00962221" w:rsidRDefault="006C7D2C">
      <w:pPr>
        <w:spacing w:line="360" w:lineRule="auto"/>
        <w:ind w:right="48"/>
        <w:jc w:val="both"/>
        <w:rPr>
          <w:rFonts w:ascii="Palatino Linotype" w:eastAsia="Palatino Linotype" w:hAnsi="Palatino Linotype" w:cs="Palatino Linotype"/>
        </w:rPr>
      </w:pPr>
    </w:p>
    <w:p w:rsidR="006C7D2C" w:rsidRPr="00962221" w:rsidRDefault="00B2748D">
      <w:pPr>
        <w:numPr>
          <w:ilvl w:val="0"/>
          <w:numId w:val="1"/>
        </w:numPr>
        <w:spacing w:line="360" w:lineRule="auto"/>
        <w:ind w:left="0" w:firstLine="0"/>
        <w:jc w:val="both"/>
        <w:rPr>
          <w:rFonts w:ascii="Palatino Linotype" w:eastAsia="Palatino Linotype" w:hAnsi="Palatino Linotype" w:cs="Palatino Linotype"/>
        </w:rPr>
      </w:pPr>
      <w:r w:rsidRPr="00962221">
        <w:rPr>
          <w:rFonts w:ascii="Palatino Linotype" w:eastAsia="Palatino Linotype" w:hAnsi="Palatino Linotype" w:cs="Palatino Linotype"/>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6C7D2C" w:rsidRPr="00962221" w:rsidRDefault="00B2748D">
      <w:pPr>
        <w:pBdr>
          <w:top w:val="nil"/>
          <w:left w:val="nil"/>
          <w:bottom w:val="nil"/>
          <w:right w:val="nil"/>
          <w:between w:val="nil"/>
        </w:pBdr>
        <w:tabs>
          <w:tab w:val="left" w:pos="7655"/>
        </w:tabs>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w:t>
      </w:r>
      <w:r w:rsidRPr="00962221">
        <w:rPr>
          <w:rFonts w:ascii="Palatino Linotype" w:eastAsia="Palatino Linotype" w:hAnsi="Palatino Linotype" w:cs="Palatino Linotype"/>
          <w:b/>
          <w:bCs/>
          <w:i/>
          <w:iCs/>
          <w:color w:val="000000"/>
        </w:rPr>
        <w:t>Las solicitudes anónimas</w:t>
      </w:r>
      <w:r w:rsidRPr="00962221">
        <w:rPr>
          <w:rFonts w:ascii="Palatino Linotype" w:eastAsia="Palatino Linotype" w:hAnsi="Palatino Linotype" w:cs="Palatino Linotype"/>
          <w:i/>
          <w:iCs/>
          <w:color w:val="000000"/>
        </w:rPr>
        <w:t xml:space="preserve">, con nombre incompleto o seudónimo </w:t>
      </w:r>
      <w:r w:rsidRPr="00962221">
        <w:rPr>
          <w:rFonts w:ascii="Palatino Linotype" w:eastAsia="Palatino Linotype" w:hAnsi="Palatino Linotype" w:cs="Palatino Linotype"/>
          <w:b/>
          <w:bCs/>
          <w:i/>
          <w:iCs/>
          <w:color w:val="000000"/>
        </w:rPr>
        <w:t>serán procedentes para su trámite por parte del sujeto obligado ante quien se presente</w:t>
      </w:r>
      <w:r w:rsidRPr="00962221">
        <w:rPr>
          <w:rFonts w:ascii="Palatino Linotype" w:eastAsia="Palatino Linotype" w:hAnsi="Palatino Linotype" w:cs="Palatino Linotype"/>
          <w:i/>
          <w:iCs/>
          <w:color w:val="000000"/>
        </w:rPr>
        <w:t>. No podrá requerirse información adicional con motivo del nombre proporcionado por el solicitante."</w:t>
      </w:r>
    </w:p>
    <w:p w:rsidR="006C7D2C" w:rsidRDefault="006C7D2C">
      <w:pPr>
        <w:pBdr>
          <w:top w:val="nil"/>
          <w:left w:val="nil"/>
          <w:bottom w:val="nil"/>
          <w:right w:val="nil"/>
          <w:between w:val="nil"/>
        </w:pBdr>
        <w:ind w:left="720"/>
        <w:rPr>
          <w:rFonts w:ascii="Palatino Linotype" w:eastAsia="Palatino Linotype" w:hAnsi="Palatino Linotype" w:cs="Palatino Linotype"/>
          <w:color w:val="000000"/>
        </w:rPr>
      </w:pPr>
    </w:p>
    <w:p w:rsidR="00962221" w:rsidRPr="00962221" w:rsidRDefault="00962221">
      <w:pPr>
        <w:pBdr>
          <w:top w:val="nil"/>
          <w:left w:val="nil"/>
          <w:bottom w:val="nil"/>
          <w:right w:val="nil"/>
          <w:between w:val="nil"/>
        </w:pBdr>
        <w:ind w:left="720"/>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rsidR="006C7D2C" w:rsidRPr="00962221" w:rsidRDefault="00B2748D">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w:t>
      </w:r>
      <w:r w:rsidRPr="00962221">
        <w:rPr>
          <w:rFonts w:ascii="Palatino Linotype" w:eastAsia="Palatino Linotype" w:hAnsi="Palatino Linotype" w:cs="Palatino Linotype"/>
          <w:b/>
          <w:bCs/>
          <w:i/>
          <w:iCs/>
          <w:color w:val="000000"/>
        </w:rPr>
        <w:t>Artículo 6.-</w:t>
      </w:r>
      <w:r w:rsidRPr="00962221">
        <w:rPr>
          <w:rFonts w:ascii="Palatino Linotype" w:eastAsia="Palatino Linotype" w:hAnsi="Palatino Linotype" w:cs="Palatino Linotype"/>
          <w:i/>
          <w:iCs/>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6C7D2C" w:rsidRPr="00962221" w:rsidRDefault="006C7D2C">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6C7D2C" w:rsidRPr="00962221" w:rsidRDefault="00B2748D">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Para efectos de lo dispuesto en el presente artículo se observará lo siguiente:</w:t>
      </w:r>
    </w:p>
    <w:p w:rsidR="006C7D2C" w:rsidRPr="00962221" w:rsidRDefault="006C7D2C">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6C7D2C" w:rsidRPr="00962221" w:rsidRDefault="00B2748D">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lastRenderedPageBreak/>
        <w:t>A. Para el ejercicio del derecho de acceso a la información, la Federación, los Estados y el Distrito Federal, en el ámbito de sus respectivas competencias, se regirán por los siguientes principios y bases:</w:t>
      </w:r>
    </w:p>
    <w:p w:rsidR="006C7D2C" w:rsidRPr="00962221" w:rsidRDefault="006C7D2C">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6C7D2C" w:rsidRPr="00962221" w:rsidRDefault="00B2748D">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 xml:space="preserve">III. Toda persona, sin necesidad de acreditar interés alguno o justificar su utilización, tendrá acceso gratuito a la información pública, a sus datos personales o a la rectificación de éstos.” </w:t>
      </w:r>
      <w:r w:rsidRPr="00962221">
        <w:rPr>
          <w:rFonts w:ascii="Palatino Linotype" w:eastAsia="Palatino Linotype" w:hAnsi="Palatino Linotype" w:cs="Palatino Linotype"/>
          <w:color w:val="000000"/>
        </w:rPr>
        <w:t>(Sic)</w:t>
      </w:r>
    </w:p>
    <w:p w:rsidR="006C7D2C" w:rsidRPr="00962221" w:rsidRDefault="006C7D2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rsidR="006C7D2C" w:rsidRPr="00962221" w:rsidRDefault="00B2748D">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w:t>
      </w:r>
      <w:r w:rsidRPr="00962221">
        <w:rPr>
          <w:rFonts w:ascii="Palatino Linotype" w:eastAsia="Palatino Linotype" w:hAnsi="Palatino Linotype" w:cs="Palatino Linotype"/>
          <w:b/>
          <w:bCs/>
          <w:i/>
          <w:iCs/>
          <w:color w:val="000000"/>
        </w:rPr>
        <w:t>Artículo 5.-</w:t>
      </w:r>
      <w:r w:rsidRPr="00962221">
        <w:rPr>
          <w:rFonts w:ascii="Palatino Linotype" w:eastAsia="Palatino Linotype" w:hAnsi="Palatino Linotype" w:cs="Palatino Linotype"/>
          <w:i/>
          <w:iCs/>
          <w:color w:val="00000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6C7D2C" w:rsidRPr="00962221" w:rsidRDefault="00B2748D">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w:t>
      </w:r>
    </w:p>
    <w:p w:rsidR="006C7D2C" w:rsidRPr="00962221" w:rsidRDefault="00B2748D">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Toda persona en el Estado de México, tiene derecho al libre acceso a la información plural y oportuna, así como a buscar recibir y difundir información e ideas de toda índole por cualquier medio de expresión.</w:t>
      </w:r>
    </w:p>
    <w:p w:rsidR="006C7D2C" w:rsidRPr="00962221" w:rsidRDefault="00B2748D">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w:t>
      </w:r>
    </w:p>
    <w:p w:rsidR="006C7D2C" w:rsidRPr="00962221" w:rsidRDefault="00B2748D">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El derecho a la información será garantizado por el Estado. La ley establecerá las previsiones que permitan asegurar la protección, el respeto y la difusión de este derecho.</w:t>
      </w:r>
    </w:p>
    <w:p w:rsidR="006C7D2C" w:rsidRPr="00962221" w:rsidRDefault="00B2748D">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6C7D2C" w:rsidRPr="00962221" w:rsidRDefault="00B2748D">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III. Toda persona, sin necesidad de acreditar interés alguno o justificar su utilización, tendrá acceso gratuito a la información pública, a sus datos personales o a la rectificación de éstos;</w:t>
      </w:r>
    </w:p>
    <w:p w:rsidR="006C7D2C" w:rsidRPr="00962221" w:rsidRDefault="00B2748D">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w:t>
      </w:r>
    </w:p>
    <w:p w:rsidR="006C7D2C" w:rsidRPr="00962221" w:rsidRDefault="00B2748D">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 xml:space="preserve">VIII. El Estado contará con un organismo autónomo, especializado, imparcial, colegiado, con personalidad jurídica y patrimonio propio, con plena autonomía técnica y de gestión, con </w:t>
      </w:r>
      <w:r w:rsidRPr="00962221">
        <w:rPr>
          <w:rFonts w:ascii="Palatino Linotype" w:eastAsia="Palatino Linotype" w:hAnsi="Palatino Linotype" w:cs="Palatino Linotype"/>
          <w:i/>
          <w:iCs/>
          <w:color w:val="000000"/>
        </w:rPr>
        <w:lastRenderedPageBreak/>
        <w:t xml:space="preserve">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962221">
        <w:rPr>
          <w:rFonts w:ascii="Palatino Linotype" w:eastAsia="Palatino Linotype" w:hAnsi="Palatino Linotype" w:cs="Palatino Linotype"/>
          <w:color w:val="000000"/>
        </w:rPr>
        <w:t>(Sic)</w:t>
      </w:r>
    </w:p>
    <w:p w:rsidR="006C7D2C" w:rsidRPr="00962221" w:rsidRDefault="006C7D2C">
      <w:pPr>
        <w:tabs>
          <w:tab w:val="left" w:pos="7655"/>
        </w:tabs>
        <w:ind w:left="567"/>
        <w:jc w:val="both"/>
        <w:rPr>
          <w:rFonts w:ascii="Palatino Linotype" w:eastAsia="Palatino Linotype" w:hAnsi="Palatino Linotype" w:cs="Palatino Linotype"/>
          <w:i/>
          <w:iCs/>
        </w:rPr>
      </w:pPr>
    </w:p>
    <w:p w:rsidR="006C7D2C" w:rsidRPr="00962221" w:rsidRDefault="00B2748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Por otra parte, del contenido del artículo 1 de la Constitución Política de los Estados Unidos mexicanos, se destaca lo siguiente:</w:t>
      </w:r>
    </w:p>
    <w:p w:rsidR="006C7D2C" w:rsidRPr="00962221" w:rsidRDefault="00B2748D">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w:t>
      </w:r>
      <w:r w:rsidRPr="00962221">
        <w:rPr>
          <w:rFonts w:ascii="Palatino Linotype" w:eastAsia="Palatino Linotype" w:hAnsi="Palatino Linotype" w:cs="Palatino Linotype"/>
          <w:b/>
          <w:bCs/>
          <w:i/>
          <w:iCs/>
          <w:color w:val="000000"/>
        </w:rPr>
        <w:t>Artículo 1</w:t>
      </w:r>
      <w:r w:rsidRPr="00962221">
        <w:rPr>
          <w:rFonts w:ascii="Palatino Linotype" w:eastAsia="Palatino Linotype" w:hAnsi="Palatino Linotype" w:cs="Palatino Linotype"/>
          <w:i/>
          <w:iCs/>
          <w:color w:val="000000"/>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C7D2C" w:rsidRPr="00962221" w:rsidRDefault="00B2748D">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Las normas relativas a los derechos humanos se interpretarán de conformidad con esta Constitución y con los tratados internacionales de la materia favoreciendo en todo tiempo a las personas la protección más amplia.</w:t>
      </w:r>
    </w:p>
    <w:p w:rsidR="006C7D2C" w:rsidRPr="00962221" w:rsidRDefault="00B2748D">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6C7D2C" w:rsidRPr="00962221" w:rsidRDefault="006C7D2C">
      <w:pPr>
        <w:spacing w:line="360" w:lineRule="auto"/>
        <w:jc w:val="both"/>
        <w:rPr>
          <w:rFonts w:ascii="Palatino Linotype" w:eastAsia="Palatino Linotype" w:hAnsi="Palatino Linotype" w:cs="Palatino Linotype"/>
        </w:rPr>
      </w:pPr>
    </w:p>
    <w:p w:rsidR="006C7D2C" w:rsidRPr="00962221" w:rsidRDefault="00B2748D">
      <w:pPr>
        <w:numPr>
          <w:ilvl w:val="0"/>
          <w:numId w:val="1"/>
        </w:numPr>
        <w:spacing w:line="360" w:lineRule="auto"/>
        <w:ind w:left="0" w:firstLine="0"/>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962221">
        <w:rPr>
          <w:rFonts w:ascii="Palatino Linotype" w:eastAsia="Palatino Linotype" w:hAnsi="Palatino Linotype" w:cs="Palatino Linotype"/>
          <w:i/>
          <w:iCs/>
        </w:rPr>
        <w:t>derecho fundamental exime a quien lo ejerce</w:t>
      </w:r>
      <w:r w:rsidRPr="00962221">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6C7D2C" w:rsidRPr="00962221" w:rsidRDefault="006C7D2C">
      <w:pPr>
        <w:spacing w:line="360" w:lineRule="auto"/>
        <w:jc w:val="both"/>
        <w:rPr>
          <w:rFonts w:ascii="Palatino Linotype" w:eastAsia="Palatino Linotype" w:hAnsi="Palatino Linotype" w:cs="Palatino Linotype"/>
          <w:b/>
          <w:bCs/>
        </w:rPr>
      </w:pPr>
    </w:p>
    <w:p w:rsidR="006C7D2C" w:rsidRPr="00962221" w:rsidRDefault="00B2748D">
      <w:pPr>
        <w:numPr>
          <w:ilvl w:val="0"/>
          <w:numId w:val="1"/>
        </w:numPr>
        <w:spacing w:line="360" w:lineRule="auto"/>
        <w:ind w:left="0" w:firstLine="0"/>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En consecuencia, dado lo expuesto y fundado con anterioridad, se estima que el requisito relativo al nombre del </w:t>
      </w:r>
      <w:r w:rsidRPr="00962221">
        <w:rPr>
          <w:rFonts w:ascii="Palatino Linotype" w:eastAsia="Palatino Linotype" w:hAnsi="Palatino Linotype" w:cs="Palatino Linotype"/>
          <w:b/>
          <w:bCs/>
        </w:rPr>
        <w:t>RECURRENTE</w:t>
      </w:r>
      <w:r w:rsidRPr="00962221">
        <w:rPr>
          <w:rFonts w:ascii="Palatino Linotype" w:eastAsia="Palatino Linotype" w:hAnsi="Palatino Linotype" w:cs="Palatino Linotype"/>
        </w:rPr>
        <w:t xml:space="preserve"> no constituye un presupuesto indispensable </w:t>
      </w:r>
      <w:r w:rsidRPr="00962221">
        <w:rPr>
          <w:rFonts w:ascii="Palatino Linotype" w:eastAsia="Palatino Linotype" w:hAnsi="Palatino Linotype" w:cs="Palatino Linotype"/>
        </w:rPr>
        <w:lastRenderedPageBreak/>
        <w:t>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6C7D2C" w:rsidRPr="00962221" w:rsidRDefault="006C7D2C">
      <w:pPr>
        <w:spacing w:line="360" w:lineRule="auto"/>
        <w:ind w:right="49"/>
        <w:jc w:val="both"/>
        <w:rPr>
          <w:rFonts w:ascii="Palatino Linotype" w:eastAsia="Palatino Linotype" w:hAnsi="Palatino Linotype" w:cs="Palatino Linotype"/>
          <w:b/>
          <w:bCs/>
        </w:rPr>
      </w:pPr>
    </w:p>
    <w:p w:rsidR="006C7D2C" w:rsidRPr="00962221" w:rsidRDefault="00B2748D">
      <w:pPr>
        <w:numPr>
          <w:ilvl w:val="0"/>
          <w:numId w:val="1"/>
        </w:numPr>
        <w:spacing w:line="360" w:lineRule="auto"/>
        <w:ind w:left="0" w:right="49" w:firstLine="0"/>
        <w:jc w:val="both"/>
        <w:rPr>
          <w:rFonts w:ascii="Palatino Linotype" w:eastAsia="Palatino Linotype" w:hAnsi="Palatino Linotype" w:cs="Palatino Linotype"/>
          <w:b/>
          <w:bCs/>
        </w:rPr>
      </w:pPr>
      <w:r w:rsidRPr="00962221">
        <w:rPr>
          <w:rFonts w:ascii="Palatino Linotype" w:eastAsia="Palatino Linotype" w:hAnsi="Palatino Linotype" w:cs="Palatino Linotype"/>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C7D2C" w:rsidRPr="00962221" w:rsidRDefault="006C7D2C">
      <w:pPr>
        <w:pBdr>
          <w:top w:val="nil"/>
          <w:left w:val="nil"/>
          <w:bottom w:val="nil"/>
          <w:right w:val="nil"/>
          <w:between w:val="nil"/>
        </w:pBdr>
        <w:ind w:left="720"/>
        <w:rPr>
          <w:rFonts w:ascii="Palatino Linotype" w:eastAsia="Palatino Linotype" w:hAnsi="Palatino Linotype" w:cs="Palatino Linotype"/>
          <w:b/>
          <w:bCs/>
          <w:color w:val="000000"/>
        </w:rPr>
      </w:pPr>
    </w:p>
    <w:p w:rsidR="006C7D2C" w:rsidRPr="00962221" w:rsidRDefault="00B2748D">
      <w:pPr>
        <w:keepNext/>
        <w:keepLines/>
        <w:spacing w:line="360" w:lineRule="auto"/>
        <w:ind w:right="48"/>
        <w:rPr>
          <w:rFonts w:ascii="Palatino Linotype" w:eastAsia="Palatino Linotype" w:hAnsi="Palatino Linotype" w:cs="Palatino Linotype"/>
          <w:b/>
          <w:bCs/>
        </w:rPr>
      </w:pPr>
      <w:bookmarkStart w:id="6" w:name="_heading=h.khldgl3s9huc" w:colFirst="0" w:colLast="0"/>
      <w:bookmarkEnd w:id="6"/>
      <w:r w:rsidRPr="00962221">
        <w:rPr>
          <w:rFonts w:ascii="Palatino Linotype" w:eastAsia="Palatino Linotype" w:hAnsi="Palatino Linotype" w:cs="Palatino Linotype"/>
          <w:b/>
          <w:bCs/>
        </w:rPr>
        <w:t>TERCERO. Planteamiento de la Litis.</w:t>
      </w:r>
    </w:p>
    <w:p w:rsidR="006C7D2C" w:rsidRPr="00962221" w:rsidRDefault="00B2748D">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color w:val="000000"/>
        </w:rPr>
        <w:t xml:space="preserve">El particular </w:t>
      </w:r>
      <w:r w:rsidRPr="00962221">
        <w:rPr>
          <w:rFonts w:ascii="Palatino Linotype" w:eastAsia="Palatino Linotype" w:hAnsi="Palatino Linotype" w:cs="Palatino Linotype"/>
        </w:rPr>
        <w:t>solicitó</w:t>
      </w:r>
      <w:r w:rsidRPr="00962221">
        <w:rPr>
          <w:rFonts w:ascii="Palatino Linotype" w:eastAsia="Palatino Linotype" w:hAnsi="Palatino Linotype" w:cs="Palatino Linotype"/>
          <w:color w:val="000000"/>
        </w:rPr>
        <w:t xml:space="preserve"> de la </w:t>
      </w:r>
      <w:r w:rsidRPr="00962221">
        <w:rPr>
          <w:rFonts w:ascii="Palatino Linotype" w:eastAsia="Palatino Linotype" w:hAnsi="Palatino Linotype" w:cs="Palatino Linotype"/>
          <w:b/>
          <w:bCs/>
          <w:color w:val="000000"/>
        </w:rPr>
        <w:t>reforma Constitucional del Estado de México en el que la LXII Legislatura mexiquense aprobó extinguir el Instituto de Transparencia, Acceso a la Información Pública y Protección de Datos Personal del Estado de México, lo siguiente:</w:t>
      </w:r>
    </w:p>
    <w:p w:rsidR="006C7D2C" w:rsidRPr="00962221" w:rsidRDefault="00B2748D">
      <w:pPr>
        <w:numPr>
          <w:ilvl w:val="0"/>
          <w:numId w:val="6"/>
        </w:numPr>
        <w:pBdr>
          <w:top w:val="nil"/>
          <w:left w:val="nil"/>
          <w:bottom w:val="nil"/>
          <w:right w:val="nil"/>
          <w:between w:val="nil"/>
        </w:pBdr>
        <w:ind w:right="539"/>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Documentos generados para que en la Gaceta del Gobierno del Estado de México se publicara la reforma.</w:t>
      </w:r>
    </w:p>
    <w:p w:rsidR="006C7D2C" w:rsidRPr="00962221" w:rsidRDefault="00B2748D">
      <w:pPr>
        <w:numPr>
          <w:ilvl w:val="0"/>
          <w:numId w:val="6"/>
        </w:numPr>
        <w:pBdr>
          <w:top w:val="nil"/>
          <w:left w:val="nil"/>
          <w:bottom w:val="nil"/>
          <w:right w:val="nil"/>
          <w:between w:val="nil"/>
        </w:pBdr>
        <w:ind w:right="539"/>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 xml:space="preserve">Fecha en que se recibió por parte del Poder Ejecutivo y/o Poder Legislativo la promulgación </w:t>
      </w:r>
    </w:p>
    <w:p w:rsidR="006C7D2C" w:rsidRPr="00962221" w:rsidRDefault="00B2748D">
      <w:pPr>
        <w:numPr>
          <w:ilvl w:val="0"/>
          <w:numId w:val="6"/>
        </w:numPr>
        <w:pBdr>
          <w:top w:val="nil"/>
          <w:left w:val="nil"/>
          <w:bottom w:val="nil"/>
          <w:right w:val="nil"/>
          <w:between w:val="nil"/>
        </w:pBdr>
        <w:ind w:right="539"/>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Documento que contiene la reforma Constitucional, para su publicación en el Periódico Oficial Gaceta del Gobierno del Estado de México.</w:t>
      </w:r>
    </w:p>
    <w:p w:rsidR="006C7D2C" w:rsidRPr="00962221" w:rsidRDefault="006C7D2C">
      <w:pPr>
        <w:pBdr>
          <w:top w:val="nil"/>
          <w:left w:val="nil"/>
          <w:bottom w:val="nil"/>
          <w:right w:val="nil"/>
          <w:between w:val="nil"/>
        </w:pBdr>
        <w:ind w:left="720" w:right="539"/>
        <w:jc w:val="both"/>
        <w:rPr>
          <w:rFonts w:ascii="Palatino Linotype" w:eastAsia="Palatino Linotype" w:hAnsi="Palatino Linotype" w:cs="Palatino Linotype"/>
          <w:b/>
          <w:bCs/>
          <w:color w:val="000000"/>
        </w:rPr>
      </w:pPr>
    </w:p>
    <w:p w:rsidR="006C7D2C" w:rsidRPr="00962221" w:rsidRDefault="00B2748D">
      <w:pPr>
        <w:numPr>
          <w:ilvl w:val="0"/>
          <w:numId w:val="6"/>
        </w:numPr>
        <w:pBdr>
          <w:top w:val="nil"/>
          <w:left w:val="nil"/>
          <w:bottom w:val="nil"/>
          <w:right w:val="nil"/>
          <w:between w:val="nil"/>
        </w:pBdr>
        <w:spacing w:line="259" w:lineRule="auto"/>
        <w:ind w:right="539"/>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lastRenderedPageBreak/>
        <w:t xml:space="preserve">Oficio de acuse de recibo y el anexo que contiene dicha reforma el cual fue enviado para su publicación. </w:t>
      </w:r>
    </w:p>
    <w:p w:rsidR="006C7D2C" w:rsidRPr="00962221" w:rsidRDefault="00B2748D">
      <w:pPr>
        <w:numPr>
          <w:ilvl w:val="0"/>
          <w:numId w:val="6"/>
        </w:numPr>
        <w:pBdr>
          <w:top w:val="nil"/>
          <w:left w:val="nil"/>
          <w:bottom w:val="nil"/>
          <w:right w:val="nil"/>
          <w:between w:val="nil"/>
        </w:pBdr>
        <w:spacing w:line="259" w:lineRule="auto"/>
        <w:ind w:right="539"/>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 xml:space="preserve">Fecha en que se publicó en la página web del Periódico Oficial "Gaceta de Gobierno" del Estado de México la reforma Constitucional. </w:t>
      </w:r>
    </w:p>
    <w:p w:rsidR="006C7D2C" w:rsidRPr="00962221" w:rsidRDefault="00B2748D">
      <w:pPr>
        <w:numPr>
          <w:ilvl w:val="0"/>
          <w:numId w:val="6"/>
        </w:numPr>
        <w:pBdr>
          <w:top w:val="nil"/>
          <w:left w:val="nil"/>
          <w:bottom w:val="nil"/>
          <w:right w:val="nil"/>
          <w:between w:val="nil"/>
        </w:pBdr>
        <w:spacing w:line="259" w:lineRule="auto"/>
        <w:ind w:right="539"/>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 xml:space="preserve">Archivo .pdf y el link que permita la consulta de la reforma Constitucional. </w:t>
      </w:r>
    </w:p>
    <w:p w:rsidR="006C7D2C" w:rsidRPr="00962221" w:rsidRDefault="00B2748D">
      <w:pPr>
        <w:numPr>
          <w:ilvl w:val="0"/>
          <w:numId w:val="6"/>
        </w:numPr>
        <w:pBdr>
          <w:top w:val="nil"/>
          <w:left w:val="nil"/>
          <w:bottom w:val="nil"/>
          <w:right w:val="nil"/>
          <w:between w:val="nil"/>
        </w:pBdr>
        <w:spacing w:line="259" w:lineRule="auto"/>
        <w:ind w:right="539"/>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 xml:space="preserve">Informe a partir de cuándo contarán los 90 días para extinguir el INFOEM y el día en que se extinguirá dicho Órgano Autónomo </w:t>
      </w:r>
    </w:p>
    <w:p w:rsidR="006C7D2C" w:rsidRPr="00962221" w:rsidRDefault="00B2748D">
      <w:pPr>
        <w:numPr>
          <w:ilvl w:val="0"/>
          <w:numId w:val="6"/>
        </w:numPr>
        <w:pBdr>
          <w:top w:val="nil"/>
          <w:left w:val="nil"/>
          <w:bottom w:val="nil"/>
          <w:right w:val="nil"/>
          <w:between w:val="nil"/>
        </w:pBdr>
        <w:spacing w:line="259" w:lineRule="auto"/>
        <w:ind w:right="539"/>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Documentos, oficios y minutas generados en los que se demuestre el proceso y seguimiento para la publicación en el Periódico Oficial "Gaceta del Gobierno" del Estado de México la reforma Constitucional.</w:t>
      </w:r>
    </w:p>
    <w:p w:rsidR="006C7D2C" w:rsidRPr="00962221" w:rsidRDefault="00B2748D">
      <w:pPr>
        <w:numPr>
          <w:ilvl w:val="0"/>
          <w:numId w:val="6"/>
        </w:numPr>
        <w:pBdr>
          <w:top w:val="nil"/>
          <w:left w:val="nil"/>
          <w:bottom w:val="nil"/>
          <w:right w:val="nil"/>
          <w:between w:val="nil"/>
        </w:pBdr>
        <w:spacing w:after="160" w:line="259" w:lineRule="auto"/>
        <w:ind w:right="539"/>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Forma para iniciar el procedimiento para que sea sancionada la OMISIÓN de publicar en la “Gaceta del Gobierno” reformas Constitucionales que ya han sido aprobadas pero de forma negligente no se atienden el Proceso establecido para su Publicación.</w:t>
      </w:r>
    </w:p>
    <w:p w:rsidR="006C7D2C" w:rsidRPr="00962221" w:rsidRDefault="006C7D2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 xml:space="preserve">En respuesta, el </w:t>
      </w:r>
      <w:r w:rsidRPr="00962221">
        <w:rPr>
          <w:rFonts w:ascii="Palatino Linotype" w:eastAsia="Palatino Linotype" w:hAnsi="Palatino Linotype" w:cs="Palatino Linotype"/>
          <w:b/>
          <w:bCs/>
          <w:color w:val="000000"/>
        </w:rPr>
        <w:t>SUJETO OBLIGADO</w:t>
      </w:r>
      <w:r w:rsidRPr="00962221">
        <w:rPr>
          <w:rFonts w:ascii="Palatino Linotype" w:eastAsia="Palatino Linotype" w:hAnsi="Palatino Linotype" w:cs="Palatino Linotype"/>
          <w:color w:val="000000"/>
        </w:rPr>
        <w:t xml:space="preserve">, brindó respuesta en términos del numeral 3 de esta resolución. </w:t>
      </w:r>
    </w:p>
    <w:p w:rsidR="006C7D2C" w:rsidRPr="00962221" w:rsidRDefault="006C7D2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ind w:left="0" w:firstLine="0"/>
        <w:jc w:val="both"/>
        <w:rPr>
          <w:rFonts w:ascii="Palatino Linotype" w:eastAsia="Palatino Linotype" w:hAnsi="Palatino Linotype" w:cs="Palatino Linotype"/>
          <w:color w:val="FF0000"/>
        </w:rPr>
      </w:pPr>
      <w:r w:rsidRPr="00962221">
        <w:rPr>
          <w:rFonts w:ascii="Palatino Linotype" w:eastAsia="Palatino Linotype" w:hAnsi="Palatino Linotype" w:cs="Palatino Linotype"/>
          <w:color w:val="000000"/>
        </w:rPr>
        <w:t xml:space="preserve">El </w:t>
      </w:r>
      <w:r w:rsidRPr="00962221">
        <w:rPr>
          <w:rFonts w:ascii="Palatino Linotype" w:eastAsia="Palatino Linotype" w:hAnsi="Palatino Linotype" w:cs="Palatino Linotype"/>
          <w:b/>
          <w:bCs/>
          <w:color w:val="000000"/>
        </w:rPr>
        <w:t>RECURRENTE</w:t>
      </w:r>
      <w:r w:rsidRPr="00962221">
        <w:rPr>
          <w:rFonts w:ascii="Palatino Linotype" w:eastAsia="Palatino Linotype" w:hAnsi="Palatino Linotype" w:cs="Palatino Linotype"/>
          <w:color w:val="000000"/>
        </w:rPr>
        <w:t xml:space="preserve">, se inconformó por la negativa a la información solicitada, en los siguientes términos: </w:t>
      </w:r>
      <w:r w:rsidRPr="00962221">
        <w:rPr>
          <w:rFonts w:ascii="Palatino Linotype" w:eastAsia="Palatino Linotype" w:hAnsi="Palatino Linotype" w:cs="Palatino Linotype"/>
          <w:i/>
          <w:iCs/>
          <w:color w:val="000000"/>
        </w:rPr>
        <w:t xml:space="preserve">“No da respuesta a los requerimientos señalados en los numerales de mi solicitud de información, además la Consejería Jurídica como dependencia del Estado tiene como atribución y se encarga de diseñar y coordinar la política jurídica del Estado de México solo menciona que el encargado de llevar el proceso legislativo le corresponde al Poder Legislativo omitiendo realizar dicha atribución y menciona el contenido del articulo 148 de la Constitución Política del Estado Libre y Soberano de México, sin embargo no adjunta ningún documento que conforme a sus atribuciones y funciones establecidas en la legislación aplicable (Ley Orgánica, Reglamento y Manual de Organización) que demuestre que es un asunto que conoce y de seguimiento hasta la publicación del Decreto al formar parte de una reforma a la norma jurídica Constitucional de orden Local, es decir, no cumple con la atribución de coordinar y participar, junto con las dependencias de carácter estatal en la actualización y simplificación del orden jurídico del Estado de México; no proporciona ningún documento que se relacione con sus atribuciones encaminadas a dar respuesta a mi solicitud de información. Por lo que </w:t>
      </w:r>
      <w:r w:rsidRPr="00962221">
        <w:rPr>
          <w:rFonts w:ascii="Palatino Linotype" w:eastAsia="Palatino Linotype" w:hAnsi="Palatino Linotype" w:cs="Palatino Linotype"/>
          <w:i/>
          <w:iCs/>
          <w:color w:val="000000"/>
        </w:rPr>
        <w:lastRenderedPageBreak/>
        <w:t>solicito entregue la información (documentos) que conforme a sus atribuciones y funciones ha generado relacionada a mi solicitud de información. (Sic)</w:t>
      </w:r>
    </w:p>
    <w:p w:rsidR="006C7D2C" w:rsidRPr="00962221" w:rsidRDefault="006C7D2C">
      <w:pPr>
        <w:pBdr>
          <w:top w:val="nil"/>
          <w:left w:val="nil"/>
          <w:bottom w:val="nil"/>
          <w:right w:val="nil"/>
          <w:between w:val="nil"/>
        </w:pBdr>
        <w:spacing w:line="360" w:lineRule="auto"/>
        <w:jc w:val="both"/>
        <w:rPr>
          <w:rFonts w:ascii="Palatino Linotype" w:eastAsia="Palatino Linotype" w:hAnsi="Palatino Linotype" w:cs="Palatino Linotype"/>
          <w:color w:val="FF0000"/>
        </w:rPr>
      </w:pPr>
    </w:p>
    <w:p w:rsidR="006C7D2C" w:rsidRPr="00962221" w:rsidRDefault="00B2748D">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color w:val="000000"/>
        </w:rPr>
        <w:t xml:space="preserve">En dichas condiciones, la </w:t>
      </w:r>
      <w:r w:rsidRPr="00962221">
        <w:rPr>
          <w:rFonts w:ascii="Palatino Linotype" w:eastAsia="Palatino Linotype" w:hAnsi="Palatino Linotype" w:cs="Palatino Linotype"/>
          <w:i/>
          <w:iCs/>
          <w:color w:val="000000"/>
        </w:rPr>
        <w:t>Litis</w:t>
      </w:r>
      <w:r w:rsidRPr="00962221">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Pr="00962221">
        <w:rPr>
          <w:rFonts w:ascii="Palatino Linotype" w:eastAsia="Palatino Linotype" w:hAnsi="Palatino Linotype" w:cs="Palatino Linotype"/>
          <w:b/>
          <w:bCs/>
          <w:color w:val="000000"/>
        </w:rPr>
        <w:t xml:space="preserve">fracción I </w:t>
      </w:r>
      <w:r w:rsidRPr="00962221">
        <w:rPr>
          <w:rFonts w:ascii="Palatino Linotype" w:eastAsia="Palatino Linotype" w:hAnsi="Palatino Linotype" w:cs="Palatino Linotype"/>
          <w:color w:val="000000"/>
        </w:rPr>
        <w:t>de la Ley</w:t>
      </w:r>
      <w:r w:rsidRPr="00962221">
        <w:rPr>
          <w:rFonts w:ascii="Palatino Linotype" w:eastAsia="Palatino Linotype" w:hAnsi="Palatino Linotype" w:cs="Palatino Linotype"/>
          <w:b/>
          <w:bCs/>
          <w:color w:val="000000"/>
        </w:rPr>
        <w:t xml:space="preserve"> de Transparencia y Acceso a la Información Pública del Estado de </w:t>
      </w:r>
      <w:r w:rsidRPr="00962221">
        <w:rPr>
          <w:rFonts w:ascii="Palatino Linotype" w:eastAsia="Palatino Linotype" w:hAnsi="Palatino Linotype" w:cs="Palatino Linotype"/>
          <w:color w:val="000000"/>
        </w:rPr>
        <w:t>México</w:t>
      </w:r>
      <w:r w:rsidRPr="00962221">
        <w:rPr>
          <w:rFonts w:ascii="Palatino Linotype" w:eastAsia="Palatino Linotype" w:hAnsi="Palatino Linotype" w:cs="Palatino Linotype"/>
          <w:b/>
          <w:bCs/>
          <w:color w:val="000000"/>
        </w:rPr>
        <w:t xml:space="preserve"> y Municipios</w:t>
      </w:r>
      <w:r w:rsidRPr="00962221">
        <w:rPr>
          <w:rFonts w:ascii="Palatino Linotype" w:eastAsia="Palatino Linotype" w:hAnsi="Palatino Linotype" w:cs="Palatino Linotype"/>
          <w:color w:val="000000"/>
        </w:rPr>
        <w:t xml:space="preserve">; fracción que determina la hipótesis jurídica relativa a </w:t>
      </w:r>
      <w:r w:rsidRPr="00962221">
        <w:rPr>
          <w:rFonts w:ascii="Palatino Linotype" w:eastAsia="Palatino Linotype" w:hAnsi="Palatino Linotype" w:cs="Palatino Linotype"/>
          <w:b/>
          <w:bCs/>
          <w:color w:val="000000"/>
        </w:rPr>
        <w:t xml:space="preserve">la negativa a la información solicitada </w:t>
      </w:r>
      <w:r w:rsidRPr="00962221">
        <w:rPr>
          <w:rFonts w:ascii="Palatino Linotype" w:eastAsia="Palatino Linotype" w:hAnsi="Palatino Linotype" w:cs="Palatino Linotype"/>
          <w:color w:val="000000"/>
        </w:rPr>
        <w:t xml:space="preserve">por el </w:t>
      </w:r>
      <w:r w:rsidRPr="00962221">
        <w:rPr>
          <w:rFonts w:ascii="Palatino Linotype" w:eastAsia="Palatino Linotype" w:hAnsi="Palatino Linotype" w:cs="Palatino Linotype"/>
          <w:b/>
          <w:bCs/>
          <w:color w:val="000000"/>
        </w:rPr>
        <w:t>SUJETO OBLIGADO</w:t>
      </w:r>
      <w:r w:rsidRPr="00962221">
        <w:rPr>
          <w:rFonts w:ascii="Palatino Linotype" w:eastAsia="Palatino Linotype" w:hAnsi="Palatino Linotype" w:cs="Palatino Linotype"/>
          <w:color w:val="000000"/>
        </w:rPr>
        <w:t xml:space="preserve">; contexto del cual se dolió </w:t>
      </w:r>
      <w:r w:rsidRPr="00962221">
        <w:rPr>
          <w:rFonts w:ascii="Palatino Linotype" w:eastAsia="Palatino Linotype" w:hAnsi="Palatino Linotype" w:cs="Palatino Linotype"/>
          <w:b/>
          <w:bCs/>
          <w:color w:val="000000"/>
        </w:rPr>
        <w:t xml:space="preserve">EL RECURRENTE </w:t>
      </w:r>
      <w:r w:rsidRPr="00962221">
        <w:rPr>
          <w:rFonts w:ascii="Palatino Linotype" w:eastAsia="Palatino Linotype" w:hAnsi="Palatino Linotype" w:cs="Palatino Linotype"/>
          <w:color w:val="000000"/>
        </w:rPr>
        <w:t>al momento de interponer su inconformidad.</w:t>
      </w:r>
    </w:p>
    <w:p w:rsidR="006C7D2C" w:rsidRPr="00962221" w:rsidRDefault="006C7D2C">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rsidR="006C7D2C" w:rsidRPr="00962221" w:rsidRDefault="00B2748D">
      <w:pPr>
        <w:pStyle w:val="Ttulo1"/>
        <w:spacing w:before="0" w:line="360" w:lineRule="auto"/>
        <w:rPr>
          <w:rFonts w:ascii="Palatino Linotype" w:eastAsia="Palatino Linotype" w:hAnsi="Palatino Linotype" w:cs="Palatino Linotype"/>
          <w:b/>
          <w:bCs/>
          <w:color w:val="000000"/>
          <w:sz w:val="24"/>
          <w:szCs w:val="24"/>
        </w:rPr>
      </w:pPr>
      <w:bookmarkStart w:id="7" w:name="_heading=h.exp1f2h0sjn9" w:colFirst="0" w:colLast="0"/>
      <w:bookmarkEnd w:id="7"/>
      <w:r w:rsidRPr="00962221">
        <w:rPr>
          <w:rFonts w:ascii="Palatino Linotype" w:eastAsia="Palatino Linotype" w:hAnsi="Palatino Linotype" w:cs="Palatino Linotype"/>
          <w:b/>
          <w:bCs/>
          <w:color w:val="000000"/>
          <w:sz w:val="24"/>
          <w:szCs w:val="24"/>
        </w:rPr>
        <w:t>CUARTO. Del estudio y resolución del recurso de revisión.</w:t>
      </w:r>
    </w:p>
    <w:p w:rsidR="006C7D2C" w:rsidRPr="00962221" w:rsidRDefault="00B2748D">
      <w:pPr>
        <w:keepNext/>
        <w:keepLines/>
        <w:numPr>
          <w:ilvl w:val="0"/>
          <w:numId w:val="3"/>
        </w:numPr>
        <w:spacing w:after="240" w:line="360" w:lineRule="auto"/>
        <w:ind w:left="786"/>
        <w:rPr>
          <w:rFonts w:ascii="Palatino Linotype" w:eastAsia="Palatino Linotype" w:hAnsi="Palatino Linotype" w:cs="Palatino Linotype"/>
          <w:b/>
          <w:bCs/>
        </w:rPr>
      </w:pPr>
      <w:r w:rsidRPr="00962221">
        <w:rPr>
          <w:rFonts w:ascii="Palatino Linotype" w:eastAsia="Palatino Linotype" w:hAnsi="Palatino Linotype" w:cs="Palatino Linotype"/>
          <w:b/>
          <w:bCs/>
        </w:rPr>
        <w:t>Del derecho de acceso a la información.</w:t>
      </w:r>
    </w:p>
    <w:p w:rsidR="006C7D2C" w:rsidRPr="00962221" w:rsidRDefault="00B2748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6C7D2C" w:rsidRPr="00962221" w:rsidRDefault="006C7D2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 xml:space="preserve">Definiendo el Derecho de Acceso a la Información Pública como: </w:t>
      </w:r>
      <w:r w:rsidRPr="00962221">
        <w:rPr>
          <w:rFonts w:ascii="Palatino Linotype" w:eastAsia="Palatino Linotype" w:hAnsi="Palatino Linotype" w:cs="Palatino Linotype"/>
          <w:i/>
          <w:iCs/>
          <w:color w:val="000000"/>
        </w:rPr>
        <w:t>La igualdad de oportunidades para recibir, buscar e impartir información</w:t>
      </w:r>
      <w:r w:rsidRPr="00962221">
        <w:rPr>
          <w:rFonts w:ascii="Century Gothic" w:eastAsia="Century Gothic" w:hAnsi="Century Gothic" w:cs="Century Gothic"/>
          <w:i/>
          <w:iCs/>
          <w:color w:val="000000"/>
          <w:vertAlign w:val="superscript"/>
        </w:rPr>
        <w:footnoteReference w:id="1"/>
      </w:r>
      <w:r w:rsidRPr="00962221">
        <w:rPr>
          <w:rFonts w:ascii="Palatino Linotype" w:eastAsia="Palatino Linotype" w:hAnsi="Palatino Linotype" w:cs="Palatino Linotype"/>
          <w:i/>
          <w:iCs/>
          <w:color w:val="000000"/>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62221">
        <w:rPr>
          <w:rFonts w:ascii="Palatino Linotype" w:eastAsia="Palatino Linotype" w:hAnsi="Palatino Linotype" w:cs="Palatino Linotype"/>
          <w:i/>
          <w:iCs/>
          <w:color w:val="000000"/>
        </w:rPr>
        <w:lastRenderedPageBreak/>
        <w:t>municipal,</w:t>
      </w:r>
      <w:r w:rsidRPr="00962221">
        <w:rPr>
          <w:rFonts w:ascii="Century Gothic" w:eastAsia="Century Gothic" w:hAnsi="Century Gothic" w:cs="Century Gothic"/>
          <w:i/>
          <w:iCs/>
          <w:color w:val="000000"/>
          <w:vertAlign w:val="superscript"/>
        </w:rPr>
        <w:footnoteReference w:id="2"/>
      </w:r>
      <w:r w:rsidRPr="00962221">
        <w:rPr>
          <w:rFonts w:ascii="Palatino Linotype" w:eastAsia="Palatino Linotype" w:hAnsi="Palatino Linotype" w:cs="Palatino Linotype"/>
          <w:color w:val="000000"/>
        </w:rPr>
        <w:t>que se constituye como una herramienta fundamental para ejercer</w:t>
      </w:r>
      <w:r w:rsidRPr="00962221">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962221">
        <w:rPr>
          <w:rFonts w:ascii="Century Gothic" w:eastAsia="Century Gothic" w:hAnsi="Century Gothic" w:cs="Century Gothic"/>
          <w:i/>
          <w:iCs/>
          <w:color w:val="000000"/>
          <w:vertAlign w:val="superscript"/>
        </w:rPr>
        <w:footnoteReference w:id="3"/>
      </w:r>
      <w:r w:rsidRPr="00962221">
        <w:rPr>
          <w:rFonts w:ascii="Palatino Linotype" w:eastAsia="Palatino Linotype" w:hAnsi="Palatino Linotype" w:cs="Palatino Linotype"/>
          <w:color w:val="000000"/>
        </w:rPr>
        <w:t>fomentando</w:t>
      </w:r>
      <w:r w:rsidRPr="00962221">
        <w:rPr>
          <w:rFonts w:ascii="Palatino Linotype" w:eastAsia="Palatino Linotype" w:hAnsi="Palatino Linotype" w:cs="Palatino Linotype"/>
          <w:i/>
          <w:iCs/>
          <w:color w:val="000000"/>
        </w:rPr>
        <w:t xml:space="preserve"> la transparencia de las actividades estatales y </w:t>
      </w:r>
      <w:r w:rsidRPr="00962221">
        <w:rPr>
          <w:rFonts w:ascii="Palatino Linotype" w:eastAsia="Palatino Linotype" w:hAnsi="Palatino Linotype" w:cs="Palatino Linotype"/>
          <w:color w:val="000000"/>
        </w:rPr>
        <w:t>promoviendo</w:t>
      </w:r>
      <w:r w:rsidRPr="00962221">
        <w:rPr>
          <w:rFonts w:ascii="Palatino Linotype" w:eastAsia="Palatino Linotype" w:hAnsi="Palatino Linotype" w:cs="Palatino Linotype"/>
          <w:i/>
          <w:iCs/>
          <w:color w:val="000000"/>
        </w:rPr>
        <w:t xml:space="preserve"> la responsabilidad de los funcionarios sobre su gestión pública,</w:t>
      </w:r>
      <w:r w:rsidRPr="00962221">
        <w:rPr>
          <w:rFonts w:ascii="Century Gothic" w:eastAsia="Century Gothic" w:hAnsi="Century Gothic" w:cs="Century Gothic"/>
          <w:i/>
          <w:iCs/>
          <w:color w:val="000000"/>
          <w:vertAlign w:val="superscript"/>
        </w:rPr>
        <w:footnoteReference w:id="4"/>
      </w:r>
      <w:r w:rsidRPr="00962221">
        <w:rPr>
          <w:rFonts w:ascii="Palatino Linotype" w:eastAsia="Palatino Linotype" w:hAnsi="Palatino Linotype" w:cs="Palatino Linotype"/>
          <w:color w:val="000000"/>
        </w:rPr>
        <w:t>que permite</w:t>
      </w:r>
      <w:r w:rsidRPr="00962221">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6C7D2C" w:rsidRPr="00962221" w:rsidRDefault="006C7D2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C7D2C" w:rsidRPr="00962221" w:rsidRDefault="00B2748D">
      <w:pPr>
        <w:numPr>
          <w:ilvl w:val="0"/>
          <w:numId w:val="1"/>
        </w:numPr>
        <w:spacing w:line="360" w:lineRule="auto"/>
        <w:ind w:left="0" w:right="49" w:firstLine="0"/>
        <w:jc w:val="both"/>
        <w:rPr>
          <w:rFonts w:ascii="Palatino Linotype" w:eastAsia="Palatino Linotype" w:hAnsi="Palatino Linotype" w:cs="Palatino Linotype"/>
        </w:rPr>
      </w:pPr>
      <w:r w:rsidRPr="00962221">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6C7D2C" w:rsidRPr="00962221" w:rsidRDefault="00B2748D">
      <w:pPr>
        <w:tabs>
          <w:tab w:val="left" w:pos="7655"/>
        </w:tabs>
        <w:ind w:left="567" w:right="567"/>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w:t>
      </w:r>
      <w:r w:rsidRPr="00962221">
        <w:rPr>
          <w:rFonts w:ascii="Palatino Linotype" w:eastAsia="Palatino Linotype" w:hAnsi="Palatino Linotype" w:cs="Palatino Linotype"/>
          <w:b/>
          <w:bCs/>
          <w:i/>
          <w:iCs/>
        </w:rPr>
        <w:t>Artículo 1.-</w:t>
      </w:r>
      <w:r w:rsidRPr="00962221">
        <w:rPr>
          <w:rFonts w:ascii="Palatino Linotype" w:eastAsia="Palatino Linotype" w:hAnsi="Palatino Linotype" w:cs="Palatino Linotype"/>
          <w:i/>
          <w:iCs/>
        </w:rPr>
        <w:t xml:space="preserve"> </w:t>
      </w:r>
    </w:p>
    <w:p w:rsidR="006C7D2C" w:rsidRPr="00962221" w:rsidRDefault="00B2748D">
      <w:pPr>
        <w:tabs>
          <w:tab w:val="left" w:pos="7655"/>
        </w:tabs>
        <w:ind w:left="567" w:right="567"/>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w:t>
      </w:r>
    </w:p>
    <w:p w:rsidR="006C7D2C" w:rsidRPr="00962221" w:rsidRDefault="00B2748D">
      <w:pPr>
        <w:tabs>
          <w:tab w:val="left" w:pos="7655"/>
        </w:tabs>
        <w:ind w:left="567" w:right="567"/>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Todas las</w:t>
      </w:r>
      <w:r w:rsidRPr="00962221">
        <w:rPr>
          <w:rFonts w:ascii="Palatino Linotype" w:eastAsia="Palatino Linotype" w:hAnsi="Palatino Linotype" w:cs="Palatino Linotype"/>
        </w:rPr>
        <w:t xml:space="preserve"> </w:t>
      </w:r>
      <w:r w:rsidRPr="00962221">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6C7D2C" w:rsidRPr="00962221" w:rsidRDefault="00B2748D">
      <w:pPr>
        <w:tabs>
          <w:tab w:val="left" w:pos="7655"/>
        </w:tabs>
        <w:ind w:left="567" w:right="567"/>
        <w:jc w:val="both"/>
        <w:rPr>
          <w:rFonts w:ascii="Palatino Linotype" w:eastAsia="Palatino Linotype" w:hAnsi="Palatino Linotype" w:cs="Palatino Linotype"/>
        </w:rPr>
      </w:pPr>
      <w:r w:rsidRPr="00962221">
        <w:rPr>
          <w:rFonts w:ascii="Palatino Linotype" w:eastAsia="Palatino Linotype" w:hAnsi="Palatino Linotype" w:cs="Palatino Linotype"/>
          <w:i/>
          <w:iCs/>
        </w:rPr>
        <w:t>(…)</w:t>
      </w:r>
      <w:r w:rsidRPr="00962221">
        <w:rPr>
          <w:rFonts w:ascii="Palatino Linotype" w:eastAsia="Palatino Linotype" w:hAnsi="Palatino Linotype" w:cs="Palatino Linotype"/>
        </w:rPr>
        <w:t>”.</w:t>
      </w:r>
    </w:p>
    <w:p w:rsidR="006C7D2C" w:rsidRPr="00962221" w:rsidRDefault="006C7D2C">
      <w:pPr>
        <w:spacing w:line="360" w:lineRule="auto"/>
        <w:jc w:val="both"/>
        <w:rPr>
          <w:rFonts w:ascii="Palatino Linotype" w:eastAsia="Palatino Linotype" w:hAnsi="Palatino Linotype" w:cs="Palatino Linotype"/>
        </w:rPr>
      </w:pPr>
    </w:p>
    <w:p w:rsidR="006C7D2C" w:rsidRPr="00962221" w:rsidRDefault="00B2748D">
      <w:pPr>
        <w:numPr>
          <w:ilvl w:val="0"/>
          <w:numId w:val="1"/>
        </w:numPr>
        <w:spacing w:line="360" w:lineRule="auto"/>
        <w:ind w:left="0" w:right="49" w:firstLine="0"/>
        <w:jc w:val="both"/>
        <w:rPr>
          <w:rFonts w:ascii="Palatino Linotype" w:eastAsia="Palatino Linotype" w:hAnsi="Palatino Linotype" w:cs="Palatino Linotype"/>
        </w:rPr>
      </w:pPr>
      <w:r w:rsidRPr="00962221">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6C7D2C" w:rsidRPr="00962221" w:rsidRDefault="006C7D2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C7D2C" w:rsidRPr="00962221" w:rsidRDefault="00B2748D">
      <w:pPr>
        <w:numPr>
          <w:ilvl w:val="0"/>
          <w:numId w:val="1"/>
        </w:numPr>
        <w:spacing w:line="360" w:lineRule="auto"/>
        <w:ind w:left="0" w:right="49" w:firstLine="0"/>
        <w:jc w:val="both"/>
        <w:rPr>
          <w:rFonts w:ascii="Palatino Linotype" w:eastAsia="Palatino Linotype" w:hAnsi="Palatino Linotype" w:cs="Palatino Linotype"/>
        </w:rPr>
      </w:pPr>
      <w:r w:rsidRPr="00962221">
        <w:rPr>
          <w:rFonts w:ascii="Palatino Linotype" w:eastAsia="Palatino Linotype" w:hAnsi="Palatino Linotype" w:cs="Palatino Linotype"/>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6C7D2C" w:rsidRPr="00962221" w:rsidRDefault="00B2748D">
      <w:pPr>
        <w:spacing w:after="240"/>
        <w:ind w:left="567" w:right="567"/>
        <w:jc w:val="both"/>
        <w:rPr>
          <w:rFonts w:ascii="Palatino Linotype" w:eastAsia="Palatino Linotype" w:hAnsi="Palatino Linotype" w:cs="Palatino Linotype"/>
          <w:b/>
          <w:bCs/>
          <w:i/>
          <w:iCs/>
        </w:rPr>
      </w:pPr>
      <w:r w:rsidRPr="00962221">
        <w:rPr>
          <w:rFonts w:ascii="Palatino Linotype" w:eastAsia="Palatino Linotype" w:hAnsi="Palatino Linotype" w:cs="Palatino Linotype"/>
          <w:b/>
          <w:bCs/>
          <w:i/>
          <w:iCs/>
        </w:rPr>
        <w:t>Constitución Política de los Estados Unidos Mexicanos</w:t>
      </w:r>
    </w:p>
    <w:p w:rsidR="006C7D2C" w:rsidRPr="00962221" w:rsidRDefault="00B2748D">
      <w:pPr>
        <w:spacing w:before="240" w:after="240"/>
        <w:ind w:left="567" w:right="567"/>
        <w:jc w:val="both"/>
        <w:rPr>
          <w:rFonts w:ascii="Palatino Linotype" w:eastAsia="Palatino Linotype" w:hAnsi="Palatino Linotype" w:cs="Palatino Linotype"/>
          <w:b/>
          <w:bCs/>
          <w:i/>
          <w:iCs/>
        </w:rPr>
      </w:pPr>
      <w:r w:rsidRPr="00962221">
        <w:rPr>
          <w:rFonts w:ascii="Palatino Linotype" w:eastAsia="Palatino Linotype" w:hAnsi="Palatino Linotype" w:cs="Palatino Linotype"/>
          <w:b/>
          <w:bCs/>
          <w:i/>
          <w:iCs/>
        </w:rPr>
        <w:t>“Artículo 6.</w:t>
      </w:r>
    </w:p>
    <w:p w:rsidR="006C7D2C" w:rsidRPr="00962221" w:rsidRDefault="00B2748D">
      <w:pPr>
        <w:spacing w:before="240" w:after="240"/>
        <w:ind w:left="567" w:right="567"/>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w:t>
      </w:r>
    </w:p>
    <w:p w:rsidR="006C7D2C" w:rsidRPr="00962221" w:rsidRDefault="00B2748D">
      <w:pPr>
        <w:spacing w:before="240" w:after="240"/>
        <w:ind w:left="567" w:right="567"/>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Para efectos de lo dispuesto en el presente artículo se observará lo siguiente:</w:t>
      </w:r>
    </w:p>
    <w:p w:rsidR="006C7D2C" w:rsidRPr="00962221" w:rsidRDefault="00B2748D">
      <w:pPr>
        <w:spacing w:before="240" w:after="240"/>
        <w:ind w:left="567" w:right="567"/>
        <w:jc w:val="both"/>
        <w:rPr>
          <w:rFonts w:ascii="Palatino Linotype" w:eastAsia="Palatino Linotype" w:hAnsi="Palatino Linotype" w:cs="Palatino Linotype"/>
          <w:b/>
          <w:bCs/>
          <w:i/>
          <w:iCs/>
        </w:rPr>
      </w:pPr>
      <w:r w:rsidRPr="00962221">
        <w:rPr>
          <w:rFonts w:ascii="Palatino Linotype" w:eastAsia="Palatino Linotype" w:hAnsi="Palatino Linotype" w:cs="Palatino Linotype"/>
          <w:b/>
          <w:bCs/>
          <w:i/>
          <w:iCs/>
        </w:rPr>
        <w:t>A</w:t>
      </w:r>
      <w:r w:rsidRPr="00962221">
        <w:rPr>
          <w:rFonts w:ascii="Palatino Linotype" w:eastAsia="Palatino Linotype" w:hAnsi="Palatino Linotype" w:cs="Palatino Linotype"/>
          <w:i/>
          <w:iCs/>
        </w:rPr>
        <w:t xml:space="preserve">. </w:t>
      </w:r>
      <w:r w:rsidRPr="00962221">
        <w:rPr>
          <w:rFonts w:ascii="Palatino Linotype" w:eastAsia="Palatino Linotype" w:hAnsi="Palatino Linotype" w:cs="Palatino Linotype"/>
          <w:b/>
          <w:bCs/>
          <w:i/>
          <w:iCs/>
        </w:rPr>
        <w:t>Para el ejercicio del derecho de acceso a la información</w:t>
      </w:r>
      <w:r w:rsidRPr="00962221">
        <w:rPr>
          <w:rFonts w:ascii="Palatino Linotype" w:eastAsia="Palatino Linotype" w:hAnsi="Palatino Linotype" w:cs="Palatino Linotype"/>
          <w:i/>
          <w:iCs/>
        </w:rPr>
        <w:t xml:space="preserve">, la Federación y </w:t>
      </w:r>
      <w:r w:rsidRPr="00962221">
        <w:rPr>
          <w:rFonts w:ascii="Palatino Linotype" w:eastAsia="Palatino Linotype" w:hAnsi="Palatino Linotype" w:cs="Palatino Linotype"/>
          <w:b/>
          <w:bCs/>
          <w:i/>
          <w:iCs/>
        </w:rPr>
        <w:t>las entidades federativas, en el ámbito de sus respectivas competencias, se regirán por los siguientes principios y bases:</w:t>
      </w:r>
    </w:p>
    <w:p w:rsidR="006C7D2C" w:rsidRPr="00962221" w:rsidRDefault="00B2748D">
      <w:pPr>
        <w:spacing w:before="240" w:after="240"/>
        <w:ind w:left="567" w:right="567"/>
        <w:jc w:val="both"/>
        <w:rPr>
          <w:rFonts w:ascii="Palatino Linotype" w:eastAsia="Palatino Linotype" w:hAnsi="Palatino Linotype" w:cs="Palatino Linotype"/>
          <w:i/>
          <w:iCs/>
        </w:rPr>
      </w:pPr>
      <w:r w:rsidRPr="00962221">
        <w:rPr>
          <w:rFonts w:ascii="Palatino Linotype" w:eastAsia="Palatino Linotype" w:hAnsi="Palatino Linotype" w:cs="Palatino Linotype"/>
          <w:b/>
          <w:bCs/>
          <w:i/>
          <w:iCs/>
        </w:rPr>
        <w:t>I. Toda la información en posesión de cualquier</w:t>
      </w:r>
      <w:r w:rsidRPr="00962221">
        <w:rPr>
          <w:rFonts w:ascii="Palatino Linotype" w:eastAsia="Palatino Linotype" w:hAnsi="Palatino Linotype" w:cs="Palatino Linotype"/>
          <w:i/>
          <w:iCs/>
        </w:rPr>
        <w:t xml:space="preserve"> </w:t>
      </w:r>
      <w:r w:rsidRPr="00962221">
        <w:rPr>
          <w:rFonts w:ascii="Palatino Linotype" w:eastAsia="Palatino Linotype" w:hAnsi="Palatino Linotype" w:cs="Palatino Linotype"/>
          <w:b/>
          <w:bCs/>
          <w:i/>
          <w:iCs/>
        </w:rPr>
        <w:t>autoridad</w:t>
      </w:r>
      <w:r w:rsidRPr="00962221">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62221">
        <w:rPr>
          <w:rFonts w:ascii="Palatino Linotype" w:eastAsia="Palatino Linotype" w:hAnsi="Palatino Linotype" w:cs="Palatino Linotype"/>
          <w:b/>
          <w:bCs/>
          <w:i/>
          <w:iCs/>
        </w:rPr>
        <w:t>municipal</w:t>
      </w:r>
      <w:r w:rsidRPr="00962221">
        <w:rPr>
          <w:rFonts w:ascii="Palatino Linotype" w:eastAsia="Palatino Linotype" w:hAnsi="Palatino Linotype" w:cs="Palatino Linotype"/>
          <w:i/>
          <w:iCs/>
        </w:rPr>
        <w:t xml:space="preserve">, </w:t>
      </w:r>
      <w:r w:rsidRPr="00962221">
        <w:rPr>
          <w:rFonts w:ascii="Palatino Linotype" w:eastAsia="Palatino Linotype" w:hAnsi="Palatino Linotype" w:cs="Palatino Linotype"/>
          <w:b/>
          <w:bCs/>
          <w:i/>
          <w:iCs/>
        </w:rPr>
        <w:t>es pública</w:t>
      </w:r>
      <w:r w:rsidRPr="00962221">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962221">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962221">
        <w:rPr>
          <w:rFonts w:ascii="Palatino Linotype" w:eastAsia="Palatino Linotype" w:hAnsi="Palatino Linotype" w:cs="Palatino Linotype"/>
          <w:i/>
          <w:iCs/>
        </w:rPr>
        <w:t>, la ley determinará los supuestos específicos bajo los cuales procederá la declaración de inexistencia de la información.”</w:t>
      </w:r>
    </w:p>
    <w:p w:rsidR="006C7D2C" w:rsidRPr="00962221" w:rsidRDefault="006C7D2C">
      <w:pPr>
        <w:tabs>
          <w:tab w:val="left" w:pos="567"/>
        </w:tabs>
        <w:spacing w:before="240"/>
        <w:ind w:left="567" w:right="567"/>
        <w:jc w:val="both"/>
        <w:rPr>
          <w:rFonts w:ascii="Palatino Linotype" w:eastAsia="Palatino Linotype" w:hAnsi="Palatino Linotype" w:cs="Palatino Linotype"/>
          <w:b/>
          <w:bCs/>
          <w:i/>
          <w:iCs/>
        </w:rPr>
      </w:pPr>
    </w:p>
    <w:p w:rsidR="006C7D2C" w:rsidRPr="00962221" w:rsidRDefault="00B2748D">
      <w:pPr>
        <w:spacing w:after="240"/>
        <w:ind w:left="567" w:right="567"/>
        <w:jc w:val="both"/>
        <w:rPr>
          <w:rFonts w:ascii="Palatino Linotype" w:eastAsia="Palatino Linotype" w:hAnsi="Palatino Linotype" w:cs="Palatino Linotype"/>
          <w:b/>
          <w:bCs/>
          <w:i/>
          <w:iCs/>
        </w:rPr>
      </w:pPr>
      <w:r w:rsidRPr="00962221">
        <w:rPr>
          <w:rFonts w:ascii="Palatino Linotype" w:eastAsia="Palatino Linotype" w:hAnsi="Palatino Linotype" w:cs="Palatino Linotype"/>
          <w:b/>
          <w:bCs/>
          <w:i/>
          <w:iCs/>
        </w:rPr>
        <w:t>Constitución Política del Estado Libre y Soberano de México</w:t>
      </w:r>
    </w:p>
    <w:p w:rsidR="006C7D2C" w:rsidRPr="00962221" w:rsidRDefault="00B2748D">
      <w:pPr>
        <w:spacing w:before="240" w:after="240"/>
        <w:ind w:left="567" w:right="567"/>
        <w:jc w:val="both"/>
        <w:rPr>
          <w:rFonts w:ascii="Palatino Linotype" w:eastAsia="Palatino Linotype" w:hAnsi="Palatino Linotype" w:cs="Palatino Linotype"/>
          <w:i/>
          <w:iCs/>
        </w:rPr>
      </w:pPr>
      <w:r w:rsidRPr="00962221">
        <w:rPr>
          <w:rFonts w:ascii="Palatino Linotype" w:eastAsia="Palatino Linotype" w:hAnsi="Palatino Linotype" w:cs="Palatino Linotype"/>
          <w:b/>
          <w:bCs/>
          <w:i/>
          <w:iCs/>
        </w:rPr>
        <w:t>“Artículo 5</w:t>
      </w:r>
      <w:r w:rsidRPr="00962221">
        <w:rPr>
          <w:rFonts w:ascii="Palatino Linotype" w:eastAsia="Palatino Linotype" w:hAnsi="Palatino Linotype" w:cs="Palatino Linotype"/>
          <w:i/>
          <w:iCs/>
        </w:rPr>
        <w:t xml:space="preserve">.- </w:t>
      </w:r>
    </w:p>
    <w:p w:rsidR="006C7D2C" w:rsidRPr="00962221" w:rsidRDefault="00B2748D">
      <w:pPr>
        <w:spacing w:before="240" w:after="240"/>
        <w:ind w:left="567" w:right="567"/>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w:t>
      </w:r>
    </w:p>
    <w:p w:rsidR="006C7D2C" w:rsidRPr="00962221" w:rsidRDefault="00B2748D">
      <w:pPr>
        <w:spacing w:before="240" w:after="240"/>
        <w:ind w:left="567" w:right="567"/>
        <w:jc w:val="both"/>
        <w:rPr>
          <w:rFonts w:ascii="Palatino Linotype" w:eastAsia="Palatino Linotype" w:hAnsi="Palatino Linotype" w:cs="Palatino Linotype"/>
          <w:i/>
          <w:iCs/>
        </w:rPr>
      </w:pPr>
      <w:r w:rsidRPr="00962221">
        <w:rPr>
          <w:rFonts w:ascii="Palatino Linotype" w:eastAsia="Palatino Linotype" w:hAnsi="Palatino Linotype" w:cs="Palatino Linotype"/>
          <w:b/>
          <w:bCs/>
          <w:i/>
          <w:iCs/>
        </w:rPr>
        <w:lastRenderedPageBreak/>
        <w:t>El derecho a la información será garantizado por el Estado. La ley establecerá las previsiones que permitan asegurar la protección, el respeto y la difusión de este derecho</w:t>
      </w:r>
      <w:r w:rsidRPr="00962221">
        <w:rPr>
          <w:rFonts w:ascii="Palatino Linotype" w:eastAsia="Palatino Linotype" w:hAnsi="Palatino Linotype" w:cs="Palatino Linotype"/>
          <w:i/>
          <w:iCs/>
        </w:rPr>
        <w:t>.</w:t>
      </w:r>
    </w:p>
    <w:p w:rsidR="006C7D2C" w:rsidRPr="00962221" w:rsidRDefault="00B2748D">
      <w:pPr>
        <w:spacing w:before="240" w:after="240"/>
        <w:ind w:left="567" w:right="567"/>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C7D2C" w:rsidRPr="00962221" w:rsidRDefault="00B2748D">
      <w:pPr>
        <w:spacing w:before="240" w:after="240"/>
        <w:ind w:left="567" w:right="567"/>
        <w:jc w:val="both"/>
        <w:rPr>
          <w:rFonts w:ascii="Palatino Linotype" w:eastAsia="Palatino Linotype" w:hAnsi="Palatino Linotype" w:cs="Palatino Linotype"/>
          <w:i/>
          <w:iCs/>
        </w:rPr>
      </w:pPr>
      <w:r w:rsidRPr="00962221">
        <w:rPr>
          <w:rFonts w:ascii="Palatino Linotype" w:eastAsia="Palatino Linotype" w:hAnsi="Palatino Linotype" w:cs="Palatino Linotype"/>
          <w:b/>
          <w:bCs/>
          <w:i/>
          <w:iCs/>
        </w:rPr>
        <w:t>Este derecho se regirá por los principios y bases siguientes</w:t>
      </w:r>
      <w:r w:rsidRPr="00962221">
        <w:rPr>
          <w:rFonts w:ascii="Palatino Linotype" w:eastAsia="Palatino Linotype" w:hAnsi="Palatino Linotype" w:cs="Palatino Linotype"/>
          <w:i/>
          <w:iCs/>
        </w:rPr>
        <w:t>:</w:t>
      </w:r>
    </w:p>
    <w:p w:rsidR="006C7D2C" w:rsidRPr="00962221" w:rsidRDefault="00B2748D" w:rsidP="00962221">
      <w:pPr>
        <w:pStyle w:val="Prrafodelista"/>
        <w:numPr>
          <w:ilvl w:val="0"/>
          <w:numId w:val="12"/>
        </w:numPr>
        <w:spacing w:before="240" w:after="240"/>
        <w:ind w:right="567"/>
        <w:jc w:val="both"/>
        <w:rPr>
          <w:rFonts w:ascii="Palatino Linotype" w:eastAsia="Palatino Linotype" w:hAnsi="Palatino Linotype" w:cs="Palatino Linotype"/>
          <w:i/>
          <w:iCs/>
        </w:rPr>
      </w:pPr>
      <w:r w:rsidRPr="00962221">
        <w:rPr>
          <w:rFonts w:ascii="Palatino Linotype" w:eastAsia="Palatino Linotype" w:hAnsi="Palatino Linotype" w:cs="Palatino Linotype"/>
          <w:b/>
          <w:bCs/>
          <w:i/>
          <w:iCs/>
        </w:rPr>
        <w:t>Toda la información en posesión de cualquier autoridad, entidad, órgano y organismos de los</w:t>
      </w:r>
      <w:r w:rsidRPr="00962221">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962221">
        <w:rPr>
          <w:rFonts w:ascii="Palatino Linotype" w:eastAsia="Palatino Linotype" w:hAnsi="Palatino Linotype" w:cs="Palatino Linotype"/>
          <w:b/>
          <w:bCs/>
          <w:i/>
          <w:iCs/>
        </w:rPr>
        <w:t>municipales</w:t>
      </w:r>
      <w:r w:rsidRPr="00962221">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62221">
        <w:rPr>
          <w:rFonts w:ascii="Palatino Linotype" w:eastAsia="Palatino Linotype" w:hAnsi="Palatino Linotype" w:cs="Palatino Linotype"/>
          <w:b/>
          <w:bCs/>
          <w:i/>
          <w:iCs/>
        </w:rPr>
        <w:t>es pública</w:t>
      </w:r>
      <w:r w:rsidRPr="00962221">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962221">
        <w:rPr>
          <w:rFonts w:ascii="Palatino Linotype" w:eastAsia="Palatino Linotype" w:hAnsi="Palatino Linotype" w:cs="Palatino Linotype"/>
          <w:b/>
          <w:bCs/>
          <w:i/>
          <w:iCs/>
        </w:rPr>
        <w:t>En la interpretación de este derecho deberá prevalecer el principio de máxima publicidad</w:t>
      </w:r>
      <w:r w:rsidRPr="00962221">
        <w:rPr>
          <w:rFonts w:ascii="Palatino Linotype" w:eastAsia="Palatino Linotype" w:hAnsi="Palatino Linotype" w:cs="Palatino Linotype"/>
          <w:i/>
          <w:iCs/>
        </w:rPr>
        <w:t xml:space="preserve">. </w:t>
      </w:r>
      <w:r w:rsidRPr="00962221">
        <w:rPr>
          <w:rFonts w:ascii="Palatino Linotype" w:eastAsia="Palatino Linotype" w:hAnsi="Palatino Linotype" w:cs="Palatino Linotype"/>
          <w:b/>
          <w:bCs/>
          <w:i/>
          <w:iCs/>
        </w:rPr>
        <w:t>Los sujetos obligados deberán documentar todo acto que derive del ejercicio de sus facultades, competencias o funciones</w:t>
      </w:r>
      <w:r w:rsidRPr="00962221">
        <w:rPr>
          <w:rFonts w:ascii="Palatino Linotype" w:eastAsia="Palatino Linotype" w:hAnsi="Palatino Linotype" w:cs="Palatino Linotype"/>
          <w:i/>
          <w:iCs/>
        </w:rPr>
        <w:t>, la ley determinará los supuestos específicos bajo los cuales procederá la declaración de inexistencia de la información.”</w:t>
      </w:r>
    </w:p>
    <w:p w:rsidR="00962221" w:rsidRPr="00962221" w:rsidRDefault="00962221" w:rsidP="00962221">
      <w:pPr>
        <w:pStyle w:val="Prrafodelista"/>
        <w:spacing w:before="240" w:after="240"/>
        <w:ind w:left="1287" w:right="567"/>
        <w:jc w:val="both"/>
        <w:rPr>
          <w:rFonts w:ascii="Palatino Linotype" w:eastAsia="Palatino Linotype" w:hAnsi="Palatino Linotype" w:cs="Palatino Linotype"/>
          <w:i/>
          <w:iCs/>
        </w:rPr>
      </w:pPr>
    </w:p>
    <w:p w:rsidR="006C7D2C" w:rsidRPr="00962221" w:rsidRDefault="00B2748D">
      <w:pPr>
        <w:numPr>
          <w:ilvl w:val="0"/>
          <w:numId w:val="1"/>
        </w:numPr>
        <w:spacing w:before="240" w:line="360" w:lineRule="auto"/>
        <w:ind w:left="0" w:right="49" w:firstLine="0"/>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962221">
        <w:rPr>
          <w:rFonts w:ascii="Palatino Linotype" w:eastAsia="Palatino Linotype" w:hAnsi="Palatino Linotype" w:cs="Palatino Linotype"/>
          <w:i/>
          <w:iCs/>
        </w:rPr>
        <w:t>por los principios de simplicidad, rapidez gratuidad del procedimiento, auxilio y orientación a los particulares</w:t>
      </w:r>
      <w:r w:rsidRPr="00962221">
        <w:rPr>
          <w:rFonts w:ascii="Palatino Linotype" w:eastAsia="Palatino Linotype" w:hAnsi="Palatino Linotype" w:cs="Palatino Linotype"/>
        </w:rPr>
        <w:t>, contemplando el derecho de las personas con discapacidad y hablantes de lengua indígena.</w:t>
      </w:r>
    </w:p>
    <w:p w:rsidR="006C7D2C" w:rsidRPr="00962221" w:rsidRDefault="006C7D2C">
      <w:pPr>
        <w:spacing w:before="240" w:line="360" w:lineRule="auto"/>
        <w:ind w:right="49"/>
        <w:jc w:val="both"/>
        <w:rPr>
          <w:rFonts w:ascii="Palatino Linotype" w:eastAsia="Palatino Linotype" w:hAnsi="Palatino Linotype" w:cs="Palatino Linotype"/>
        </w:rPr>
      </w:pPr>
    </w:p>
    <w:p w:rsidR="006C7D2C" w:rsidRPr="00962221" w:rsidRDefault="00B2748D">
      <w:pPr>
        <w:numPr>
          <w:ilvl w:val="0"/>
          <w:numId w:val="1"/>
        </w:numPr>
        <w:spacing w:line="360" w:lineRule="auto"/>
        <w:ind w:left="0" w:right="49" w:firstLine="0"/>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El Derecho de Acceso a la Información se garantiza y respeta oportunamente, y según lo que dispone la Ley, las </w:t>
      </w:r>
      <w:r w:rsidRPr="00962221">
        <w:rPr>
          <w:rFonts w:ascii="Palatino Linotype" w:eastAsia="Palatino Linotype" w:hAnsi="Palatino Linotype" w:cs="Palatino Linotype"/>
          <w:i/>
          <w:iCs/>
        </w:rPr>
        <w:t>solicitudes de acceso a la información</w:t>
      </w:r>
      <w:r w:rsidRPr="00962221">
        <w:rPr>
          <w:rFonts w:ascii="Palatino Linotype" w:eastAsia="Palatino Linotype" w:hAnsi="Palatino Linotype" w:cs="Palatino Linotype"/>
        </w:rPr>
        <w:t>.</w:t>
      </w:r>
    </w:p>
    <w:p w:rsidR="006C7D2C" w:rsidRPr="00962221" w:rsidRDefault="00B2748D">
      <w:pPr>
        <w:numPr>
          <w:ilvl w:val="0"/>
          <w:numId w:val="1"/>
        </w:numPr>
        <w:spacing w:line="360" w:lineRule="auto"/>
        <w:ind w:left="0" w:right="49" w:firstLine="0"/>
        <w:jc w:val="both"/>
        <w:rPr>
          <w:rFonts w:ascii="Palatino Linotype" w:eastAsia="Palatino Linotype" w:hAnsi="Palatino Linotype" w:cs="Palatino Linotype"/>
        </w:rPr>
      </w:pPr>
      <w:r w:rsidRPr="00962221">
        <w:rPr>
          <w:rFonts w:ascii="Palatino Linotype" w:eastAsia="Palatino Linotype" w:hAnsi="Palatino Linotype" w:cs="Palatino Linotype"/>
        </w:rPr>
        <w:lastRenderedPageBreak/>
        <w:t xml:space="preserve">Así entonces, se procede analizar, en primer lugar, si el </w:t>
      </w:r>
      <w:r w:rsidRPr="00962221">
        <w:rPr>
          <w:rFonts w:ascii="Palatino Linotype" w:eastAsia="Palatino Linotype" w:hAnsi="Palatino Linotype" w:cs="Palatino Linotype"/>
          <w:b/>
          <w:bCs/>
        </w:rPr>
        <w:t>SUJETO OBLIGADO</w:t>
      </w:r>
      <w:r w:rsidRPr="00962221">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6C7D2C" w:rsidRPr="00962221" w:rsidRDefault="006C7D2C">
      <w:pPr>
        <w:pBdr>
          <w:top w:val="nil"/>
          <w:left w:val="nil"/>
          <w:bottom w:val="nil"/>
          <w:right w:val="nil"/>
          <w:between w:val="nil"/>
        </w:pBdr>
        <w:ind w:left="720"/>
        <w:rPr>
          <w:rFonts w:ascii="Palatino Linotype" w:eastAsia="Palatino Linotype" w:hAnsi="Palatino Linotype" w:cs="Palatino Linotype"/>
          <w:color w:val="000000"/>
        </w:rPr>
      </w:pPr>
    </w:p>
    <w:p w:rsidR="006C7D2C" w:rsidRPr="00962221" w:rsidRDefault="00B2748D">
      <w:pPr>
        <w:keepNext/>
        <w:keepLines/>
        <w:spacing w:after="240" w:line="360" w:lineRule="auto"/>
        <w:rPr>
          <w:rFonts w:ascii="Palatino Linotype" w:eastAsia="Palatino Linotype" w:hAnsi="Palatino Linotype" w:cs="Palatino Linotype"/>
          <w:b/>
          <w:bCs/>
        </w:rPr>
      </w:pPr>
      <w:r w:rsidRPr="00962221">
        <w:rPr>
          <w:rFonts w:ascii="Palatino Linotype" w:eastAsia="Palatino Linotype" w:hAnsi="Palatino Linotype" w:cs="Palatino Linotype"/>
          <w:b/>
          <w:bCs/>
        </w:rPr>
        <w:t>II. De la información solicitada y la respuesta del SUJETO OBLIGADO</w:t>
      </w:r>
    </w:p>
    <w:p w:rsidR="006C7D2C" w:rsidRPr="00962221" w:rsidRDefault="00B2748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6C7D2C" w:rsidRPr="00962221" w:rsidRDefault="006C7D2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color w:val="000000"/>
          <w:highlight w:val="white"/>
        </w:rPr>
        <w:t xml:space="preserve">Para efectos de estudio es conveniente reiterar que el solicitante requirió de la </w:t>
      </w:r>
      <w:r w:rsidRPr="00962221">
        <w:rPr>
          <w:rFonts w:ascii="Palatino Linotype" w:eastAsia="Palatino Linotype" w:hAnsi="Palatino Linotype" w:cs="Palatino Linotype"/>
          <w:b/>
          <w:bCs/>
          <w:color w:val="000000"/>
        </w:rPr>
        <w:t>reforma Constitucional del Estado de México en el que la LXII Legislatura mexiquense aprobó extinguir el Instituto de Transparencia, Acceso a la Información Pública y Protección de Datos Personal del Estado de México, lo siguiente:</w:t>
      </w:r>
    </w:p>
    <w:p w:rsidR="006C7D2C" w:rsidRPr="00962221" w:rsidRDefault="006C7D2C">
      <w:pPr>
        <w:pBdr>
          <w:top w:val="nil"/>
          <w:left w:val="nil"/>
          <w:bottom w:val="nil"/>
          <w:right w:val="nil"/>
          <w:between w:val="nil"/>
        </w:pBdr>
        <w:spacing w:line="360" w:lineRule="auto"/>
        <w:ind w:right="48"/>
        <w:jc w:val="both"/>
        <w:rPr>
          <w:rFonts w:ascii="Palatino Linotype" w:eastAsia="Palatino Linotype" w:hAnsi="Palatino Linotype" w:cs="Palatino Linotype"/>
          <w:i/>
          <w:iCs/>
          <w:color w:val="000000"/>
          <w:highlight w:val="yellow"/>
        </w:rPr>
      </w:pPr>
    </w:p>
    <w:p w:rsidR="006C7D2C" w:rsidRPr="00962221" w:rsidRDefault="00B2748D">
      <w:pPr>
        <w:numPr>
          <w:ilvl w:val="0"/>
          <w:numId w:val="7"/>
        </w:numPr>
        <w:pBdr>
          <w:top w:val="nil"/>
          <w:left w:val="nil"/>
          <w:bottom w:val="nil"/>
          <w:right w:val="nil"/>
          <w:between w:val="nil"/>
        </w:pBdr>
        <w:ind w:right="539"/>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Documentos generados para que en la Gaceta del Gobierno del Estado de México se publicara la reforma.</w:t>
      </w:r>
    </w:p>
    <w:p w:rsidR="006C7D2C" w:rsidRPr="00962221" w:rsidRDefault="006C7D2C">
      <w:pPr>
        <w:pBdr>
          <w:top w:val="nil"/>
          <w:left w:val="nil"/>
          <w:bottom w:val="nil"/>
          <w:right w:val="nil"/>
          <w:between w:val="nil"/>
        </w:pBdr>
        <w:ind w:left="720" w:right="539"/>
        <w:jc w:val="both"/>
        <w:rPr>
          <w:rFonts w:ascii="Palatino Linotype" w:eastAsia="Palatino Linotype" w:hAnsi="Palatino Linotype" w:cs="Palatino Linotype"/>
          <w:b/>
          <w:bCs/>
          <w:color w:val="000000"/>
        </w:rPr>
      </w:pPr>
    </w:p>
    <w:p w:rsidR="006C7D2C" w:rsidRPr="00962221" w:rsidRDefault="00B2748D">
      <w:pPr>
        <w:numPr>
          <w:ilvl w:val="0"/>
          <w:numId w:val="7"/>
        </w:numPr>
        <w:pBdr>
          <w:top w:val="nil"/>
          <w:left w:val="nil"/>
          <w:bottom w:val="nil"/>
          <w:right w:val="nil"/>
          <w:between w:val="nil"/>
        </w:pBdr>
        <w:ind w:right="539"/>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 xml:space="preserve">Fecha en que se recibió por parte del Poder Ejecutivo y/o Poder Legislativo la promulgación </w:t>
      </w:r>
    </w:p>
    <w:p w:rsidR="006C7D2C" w:rsidRPr="00962221" w:rsidRDefault="006C7D2C">
      <w:pPr>
        <w:pBdr>
          <w:top w:val="nil"/>
          <w:left w:val="nil"/>
          <w:bottom w:val="nil"/>
          <w:right w:val="nil"/>
          <w:between w:val="nil"/>
        </w:pBdr>
        <w:ind w:left="720" w:right="539"/>
        <w:jc w:val="both"/>
        <w:rPr>
          <w:rFonts w:ascii="Palatino Linotype" w:eastAsia="Palatino Linotype" w:hAnsi="Palatino Linotype" w:cs="Palatino Linotype"/>
          <w:b/>
          <w:bCs/>
          <w:color w:val="000000"/>
        </w:rPr>
      </w:pPr>
    </w:p>
    <w:p w:rsidR="006C7D2C" w:rsidRPr="00962221" w:rsidRDefault="00B2748D">
      <w:pPr>
        <w:numPr>
          <w:ilvl w:val="0"/>
          <w:numId w:val="7"/>
        </w:numPr>
        <w:pBdr>
          <w:top w:val="nil"/>
          <w:left w:val="nil"/>
          <w:bottom w:val="nil"/>
          <w:right w:val="nil"/>
          <w:between w:val="nil"/>
        </w:pBdr>
        <w:ind w:right="539"/>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lastRenderedPageBreak/>
        <w:t>Documento que contiene la reforma Constitucional, para su publicación en el Periódico Oficial Gaceta del Gobierno del Estado de México.</w:t>
      </w:r>
    </w:p>
    <w:p w:rsidR="006C7D2C" w:rsidRPr="00962221" w:rsidRDefault="006C7D2C">
      <w:pPr>
        <w:pBdr>
          <w:top w:val="nil"/>
          <w:left w:val="nil"/>
          <w:bottom w:val="nil"/>
          <w:right w:val="nil"/>
          <w:between w:val="nil"/>
        </w:pBdr>
        <w:ind w:left="720" w:right="539"/>
        <w:jc w:val="both"/>
        <w:rPr>
          <w:rFonts w:ascii="Palatino Linotype" w:eastAsia="Palatino Linotype" w:hAnsi="Palatino Linotype" w:cs="Palatino Linotype"/>
          <w:b/>
          <w:bCs/>
          <w:color w:val="000000"/>
        </w:rPr>
      </w:pPr>
    </w:p>
    <w:p w:rsidR="006C7D2C" w:rsidRPr="00962221" w:rsidRDefault="00B2748D">
      <w:pPr>
        <w:numPr>
          <w:ilvl w:val="0"/>
          <w:numId w:val="7"/>
        </w:numPr>
        <w:pBdr>
          <w:top w:val="nil"/>
          <w:left w:val="nil"/>
          <w:bottom w:val="nil"/>
          <w:right w:val="nil"/>
          <w:between w:val="nil"/>
        </w:pBdr>
        <w:spacing w:line="259" w:lineRule="auto"/>
        <w:ind w:right="539"/>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 xml:space="preserve">Oficio de acuse de recibo y el anexo que contiene dicha reforma el cual fue enviado para su publicación. </w:t>
      </w:r>
    </w:p>
    <w:p w:rsidR="006C7D2C" w:rsidRPr="00962221" w:rsidRDefault="006C7D2C">
      <w:pPr>
        <w:pBdr>
          <w:top w:val="nil"/>
          <w:left w:val="nil"/>
          <w:bottom w:val="nil"/>
          <w:right w:val="nil"/>
          <w:between w:val="nil"/>
        </w:pBdr>
        <w:ind w:left="720" w:right="539"/>
        <w:jc w:val="both"/>
        <w:rPr>
          <w:rFonts w:ascii="Palatino Linotype" w:eastAsia="Palatino Linotype" w:hAnsi="Palatino Linotype" w:cs="Palatino Linotype"/>
          <w:b/>
          <w:bCs/>
          <w:color w:val="000000"/>
        </w:rPr>
      </w:pPr>
    </w:p>
    <w:p w:rsidR="006C7D2C" w:rsidRPr="00962221" w:rsidRDefault="00B2748D">
      <w:pPr>
        <w:numPr>
          <w:ilvl w:val="0"/>
          <w:numId w:val="7"/>
        </w:numPr>
        <w:pBdr>
          <w:top w:val="nil"/>
          <w:left w:val="nil"/>
          <w:bottom w:val="nil"/>
          <w:right w:val="nil"/>
          <w:between w:val="nil"/>
        </w:pBdr>
        <w:spacing w:line="259" w:lineRule="auto"/>
        <w:ind w:right="539"/>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 xml:space="preserve">Fecha en que se publicó en la página web del Periódico Oficial "Gaceta de Gobierno" del Estado de México la reforma Constitucional. </w:t>
      </w:r>
    </w:p>
    <w:p w:rsidR="006C7D2C" w:rsidRPr="00962221" w:rsidRDefault="006C7D2C">
      <w:pPr>
        <w:pBdr>
          <w:top w:val="nil"/>
          <w:left w:val="nil"/>
          <w:bottom w:val="nil"/>
          <w:right w:val="nil"/>
          <w:between w:val="nil"/>
        </w:pBdr>
        <w:ind w:left="720" w:right="539"/>
        <w:jc w:val="both"/>
        <w:rPr>
          <w:rFonts w:ascii="Palatino Linotype" w:eastAsia="Palatino Linotype" w:hAnsi="Palatino Linotype" w:cs="Palatino Linotype"/>
          <w:b/>
          <w:bCs/>
          <w:color w:val="000000"/>
        </w:rPr>
      </w:pPr>
    </w:p>
    <w:p w:rsidR="006C7D2C" w:rsidRPr="00962221" w:rsidRDefault="00B2748D">
      <w:pPr>
        <w:numPr>
          <w:ilvl w:val="0"/>
          <w:numId w:val="7"/>
        </w:numPr>
        <w:pBdr>
          <w:top w:val="nil"/>
          <w:left w:val="nil"/>
          <w:bottom w:val="nil"/>
          <w:right w:val="nil"/>
          <w:between w:val="nil"/>
        </w:pBdr>
        <w:spacing w:line="259" w:lineRule="auto"/>
        <w:ind w:right="539"/>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 xml:space="preserve">Archivo .pdf y el link que permita la consulta de la reforma Constitucional. </w:t>
      </w:r>
    </w:p>
    <w:p w:rsidR="006C7D2C" w:rsidRPr="00962221" w:rsidRDefault="006C7D2C">
      <w:pPr>
        <w:pBdr>
          <w:top w:val="nil"/>
          <w:left w:val="nil"/>
          <w:bottom w:val="nil"/>
          <w:right w:val="nil"/>
          <w:between w:val="nil"/>
        </w:pBdr>
        <w:ind w:left="720" w:right="539"/>
        <w:jc w:val="both"/>
        <w:rPr>
          <w:rFonts w:ascii="Palatino Linotype" w:eastAsia="Palatino Linotype" w:hAnsi="Palatino Linotype" w:cs="Palatino Linotype"/>
          <w:b/>
          <w:bCs/>
          <w:color w:val="000000"/>
        </w:rPr>
      </w:pPr>
    </w:p>
    <w:p w:rsidR="006C7D2C" w:rsidRPr="00962221" w:rsidRDefault="00B2748D">
      <w:pPr>
        <w:numPr>
          <w:ilvl w:val="0"/>
          <w:numId w:val="7"/>
        </w:numPr>
        <w:pBdr>
          <w:top w:val="nil"/>
          <w:left w:val="nil"/>
          <w:bottom w:val="nil"/>
          <w:right w:val="nil"/>
          <w:between w:val="nil"/>
        </w:pBdr>
        <w:spacing w:line="259" w:lineRule="auto"/>
        <w:ind w:right="539"/>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 xml:space="preserve">Informe a partir de cuándo contarán los 90 días para extinguir el INFOEM y el día en que se extinguirá dicho Órgano Autónomo </w:t>
      </w:r>
    </w:p>
    <w:p w:rsidR="006C7D2C" w:rsidRPr="00962221" w:rsidRDefault="006C7D2C">
      <w:pPr>
        <w:pBdr>
          <w:top w:val="nil"/>
          <w:left w:val="nil"/>
          <w:bottom w:val="nil"/>
          <w:right w:val="nil"/>
          <w:between w:val="nil"/>
        </w:pBdr>
        <w:ind w:left="720" w:right="539"/>
        <w:jc w:val="both"/>
        <w:rPr>
          <w:rFonts w:ascii="Palatino Linotype" w:eastAsia="Palatino Linotype" w:hAnsi="Palatino Linotype" w:cs="Palatino Linotype"/>
          <w:b/>
          <w:bCs/>
          <w:color w:val="000000"/>
        </w:rPr>
      </w:pPr>
    </w:p>
    <w:p w:rsidR="006C7D2C" w:rsidRPr="00962221" w:rsidRDefault="00B2748D">
      <w:pPr>
        <w:numPr>
          <w:ilvl w:val="0"/>
          <w:numId w:val="7"/>
        </w:numPr>
        <w:pBdr>
          <w:top w:val="nil"/>
          <w:left w:val="nil"/>
          <w:bottom w:val="nil"/>
          <w:right w:val="nil"/>
          <w:between w:val="nil"/>
        </w:pBdr>
        <w:spacing w:line="259" w:lineRule="auto"/>
        <w:ind w:right="539"/>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Documentos, oficios y minutas generados en los que se demuestre el proceso y seguimiento para la publicación en el Periódico Oficial "Gaceta del Gobierno" del Estado de México la reforma Constitucional.</w:t>
      </w:r>
    </w:p>
    <w:p w:rsidR="006C7D2C" w:rsidRPr="00962221" w:rsidRDefault="006C7D2C">
      <w:pPr>
        <w:pBdr>
          <w:top w:val="nil"/>
          <w:left w:val="nil"/>
          <w:bottom w:val="nil"/>
          <w:right w:val="nil"/>
          <w:between w:val="nil"/>
        </w:pBdr>
        <w:ind w:left="720" w:right="539"/>
        <w:jc w:val="both"/>
        <w:rPr>
          <w:rFonts w:ascii="Palatino Linotype" w:eastAsia="Palatino Linotype" w:hAnsi="Palatino Linotype" w:cs="Palatino Linotype"/>
          <w:b/>
          <w:bCs/>
          <w:color w:val="000000"/>
        </w:rPr>
      </w:pPr>
    </w:p>
    <w:p w:rsidR="006C7D2C" w:rsidRPr="00962221" w:rsidRDefault="00B2748D">
      <w:pPr>
        <w:numPr>
          <w:ilvl w:val="0"/>
          <w:numId w:val="7"/>
        </w:numPr>
        <w:pBdr>
          <w:top w:val="nil"/>
          <w:left w:val="nil"/>
          <w:bottom w:val="nil"/>
          <w:right w:val="nil"/>
          <w:between w:val="nil"/>
        </w:pBdr>
        <w:spacing w:after="160" w:line="259" w:lineRule="auto"/>
        <w:ind w:right="539"/>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Forma para iniciar el procedimiento para que sea sancionada la OMISIÓN de publicar en la “Gaceta del Gobierno” reformas Constitucionales que ya han sido aprobadas pero de forma negligente no se atienden el Proceso establecido para su Publicación.</w:t>
      </w:r>
    </w:p>
    <w:p w:rsidR="006C7D2C" w:rsidRPr="00962221" w:rsidRDefault="006C7D2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C7D2C" w:rsidRPr="00962221" w:rsidRDefault="00B2748D">
      <w:pPr>
        <w:pBdr>
          <w:top w:val="nil"/>
          <w:left w:val="nil"/>
          <w:bottom w:val="nil"/>
          <w:right w:val="nil"/>
          <w:between w:val="nil"/>
        </w:pBdr>
        <w:tabs>
          <w:tab w:val="left" w:pos="0"/>
        </w:tabs>
        <w:spacing w:line="360" w:lineRule="auto"/>
        <w:ind w:left="720" w:right="-144"/>
        <w:jc w:val="both"/>
        <w:rPr>
          <w:rFonts w:ascii="Palatino Linotype" w:eastAsia="Palatino Linotype" w:hAnsi="Palatino Linotype" w:cs="Palatino Linotype"/>
          <w:color w:val="000000"/>
          <w:highlight w:val="green"/>
        </w:rPr>
      </w:pPr>
      <w:r w:rsidRPr="00962221">
        <w:rPr>
          <w:rFonts w:ascii="Palatino Linotype" w:eastAsia="Palatino Linotype" w:hAnsi="Palatino Linotype" w:cs="Palatino Linotype"/>
          <w:color w:val="000000"/>
        </w:rPr>
        <w:t xml:space="preserve">De lo anterior el </w:t>
      </w:r>
      <w:r w:rsidRPr="00962221">
        <w:rPr>
          <w:rFonts w:ascii="Palatino Linotype" w:eastAsia="Palatino Linotype" w:hAnsi="Palatino Linotype" w:cs="Palatino Linotype"/>
          <w:b/>
          <w:bCs/>
          <w:color w:val="000000"/>
        </w:rPr>
        <w:t xml:space="preserve">SUJETO OBLIGADO, </w:t>
      </w:r>
      <w:r w:rsidRPr="00962221">
        <w:rPr>
          <w:rFonts w:ascii="Palatino Linotype" w:eastAsia="Palatino Linotype" w:hAnsi="Palatino Linotype" w:cs="Palatino Linotype"/>
          <w:color w:val="000000"/>
        </w:rPr>
        <w:t>a través del servidor público habilitado,</w:t>
      </w:r>
      <w:r w:rsidRPr="00962221">
        <w:rPr>
          <w:rFonts w:ascii="Palatino Linotype" w:eastAsia="Palatino Linotype" w:hAnsi="Palatino Linotype" w:cs="Palatino Linotype"/>
          <w:b/>
          <w:bCs/>
          <w:color w:val="000000"/>
        </w:rPr>
        <w:t xml:space="preserve"> </w:t>
      </w:r>
      <w:r w:rsidRPr="00962221">
        <w:rPr>
          <w:rFonts w:ascii="Palatino Linotype" w:eastAsia="Palatino Linotype" w:hAnsi="Palatino Linotype" w:cs="Palatino Linotype"/>
          <w:color w:val="000000"/>
        </w:rPr>
        <w:t xml:space="preserve">refirió que la iniciativa de decreto por el que se reforman, adicionan y derogan diversas disposiciones de la Constitución Política del Estado Libre y Soberano de México, en materia de Transparencia, Acceso a la Información Pública y Protección de datos personales y simplificación orgánica presentada por la Persona Titular del Poder Ejecutivo del Estado, fue aprobada por la LXII Legislatura del Estado de México el </w:t>
      </w:r>
      <w:r w:rsidRPr="00962221">
        <w:rPr>
          <w:rFonts w:ascii="Palatino Linotype" w:eastAsia="Palatino Linotype" w:hAnsi="Palatino Linotype" w:cs="Palatino Linotype"/>
          <w:b/>
          <w:bCs/>
          <w:color w:val="000000"/>
        </w:rPr>
        <w:t>26 de junio de 2025</w:t>
      </w:r>
      <w:r w:rsidRPr="00962221">
        <w:rPr>
          <w:rFonts w:ascii="Palatino Linotype" w:eastAsia="Palatino Linotype" w:hAnsi="Palatino Linotype" w:cs="Palatino Linotype"/>
          <w:color w:val="000000"/>
        </w:rPr>
        <w:t xml:space="preserve">, en el marco del Segundo Periodo Extraordinario de Sesiones del Primer </w:t>
      </w:r>
      <w:r w:rsidRPr="00962221">
        <w:rPr>
          <w:rFonts w:ascii="Palatino Linotype" w:eastAsia="Palatino Linotype" w:hAnsi="Palatino Linotype" w:cs="Palatino Linotype"/>
          <w:color w:val="000000"/>
        </w:rPr>
        <w:lastRenderedPageBreak/>
        <w:t xml:space="preserve">Año del Ejercicio Constitucional; así mismo indicó que conforme al procedimiento legislativo previsto en el artículo 148 de la Constitución Política del Estado Libre y Soberano de México, para que dichas adiciones o reformas formen parte del texto constitucional, es necesario que sean ratificadas por la mayoría de los Ayuntamientos de la entidad, </w:t>
      </w:r>
      <w:r w:rsidRPr="00962221">
        <w:rPr>
          <w:rFonts w:ascii="Palatino Linotype" w:eastAsia="Palatino Linotype" w:hAnsi="Palatino Linotype" w:cs="Palatino Linotype"/>
          <w:b/>
          <w:bCs/>
          <w:color w:val="000000"/>
        </w:rPr>
        <w:t>por ende corresponde a la legislatura</w:t>
      </w:r>
      <w:r w:rsidRPr="00962221">
        <w:rPr>
          <w:rFonts w:ascii="Palatino Linotype" w:eastAsia="Palatino Linotype" w:hAnsi="Palatino Linotype" w:cs="Palatino Linotype"/>
          <w:color w:val="000000"/>
        </w:rPr>
        <w:t xml:space="preserve">, o en su caso a la </w:t>
      </w:r>
      <w:r w:rsidRPr="00962221">
        <w:rPr>
          <w:rFonts w:ascii="Palatino Linotype" w:eastAsia="Palatino Linotype" w:hAnsi="Palatino Linotype" w:cs="Palatino Linotype"/>
          <w:b/>
          <w:bCs/>
          <w:color w:val="000000"/>
        </w:rPr>
        <w:t>Diputación Permanente</w:t>
      </w:r>
      <w:r w:rsidRPr="00962221">
        <w:rPr>
          <w:rFonts w:ascii="Palatino Linotype" w:eastAsia="Palatino Linotype" w:hAnsi="Palatino Linotype" w:cs="Palatino Linotype"/>
          <w:color w:val="000000"/>
        </w:rPr>
        <w:t xml:space="preserve">, hacer el computo de los votos de los ayuntamientos y declarar la aprobación a efecto de que el decreto sea remitido al Ejecutivo para su promulgación, publicación y observancia, </w:t>
      </w:r>
      <w:r w:rsidRPr="00962221">
        <w:rPr>
          <w:rFonts w:ascii="Palatino Linotype" w:eastAsia="Palatino Linotype" w:hAnsi="Palatino Linotype" w:cs="Palatino Linotype"/>
          <w:b/>
          <w:bCs/>
          <w:color w:val="000000"/>
        </w:rPr>
        <w:t>lo cual a la fecha de la solicitud aún no ha ocurrido</w:t>
      </w:r>
      <w:r w:rsidRPr="00962221">
        <w:rPr>
          <w:rFonts w:ascii="Palatino Linotype" w:eastAsia="Palatino Linotype" w:hAnsi="Palatino Linotype" w:cs="Palatino Linotype"/>
          <w:color w:val="000000"/>
        </w:rPr>
        <w:t xml:space="preserve">, por lo que tomando en consideración que el procedimiento legislativo no había concluido en los términos previstos por la Constitución local, el Decreto de referencia no ha sido promulgado ni publicado en el Periódico Oficial “Gaceta de Gobierno”, esa Unidad administrativa no cuenta con la información requerida, sugiriendo al particular formular su solicitud al Congreso del Estados de México, no se omite mencionar que a través de un acto jurídico posterior como lo es el informe justificado, refirió que la iniciativa fue presentada en la Legislatura del Estado el </w:t>
      </w:r>
      <w:r w:rsidRPr="00962221">
        <w:rPr>
          <w:rFonts w:ascii="Palatino Linotype" w:eastAsia="Palatino Linotype" w:hAnsi="Palatino Linotype" w:cs="Palatino Linotype"/>
          <w:b/>
          <w:bCs/>
          <w:color w:val="000000"/>
        </w:rPr>
        <w:t xml:space="preserve">11 de junio de 2025 </w:t>
      </w:r>
      <w:r w:rsidRPr="00962221">
        <w:rPr>
          <w:rFonts w:ascii="Palatino Linotype" w:eastAsia="Palatino Linotype" w:hAnsi="Palatino Linotype" w:cs="Palatino Linotype"/>
          <w:color w:val="000000"/>
        </w:rPr>
        <w:t xml:space="preserve">y turnada a Comisiones Legislativas por la Diputación permanente el </w:t>
      </w:r>
      <w:r w:rsidRPr="00962221">
        <w:rPr>
          <w:rFonts w:ascii="Palatino Linotype" w:eastAsia="Palatino Linotype" w:hAnsi="Palatino Linotype" w:cs="Palatino Linotype"/>
          <w:b/>
          <w:bCs/>
          <w:color w:val="000000"/>
        </w:rPr>
        <w:t>día 12 del mismo mes y año</w:t>
      </w:r>
      <w:r w:rsidRPr="00962221">
        <w:rPr>
          <w:rFonts w:ascii="Palatino Linotype" w:eastAsia="Palatino Linotype" w:hAnsi="Palatino Linotype" w:cs="Palatino Linotype"/>
          <w:color w:val="000000"/>
        </w:rPr>
        <w:t xml:space="preserve">, además agregó que la iniciativa fue </w:t>
      </w:r>
      <w:r w:rsidRPr="00962221">
        <w:rPr>
          <w:rFonts w:ascii="Palatino Linotype" w:eastAsia="Palatino Linotype" w:hAnsi="Palatino Linotype" w:cs="Palatino Linotype"/>
          <w:b/>
          <w:bCs/>
          <w:color w:val="000000"/>
          <w:u w:val="single"/>
        </w:rPr>
        <w:t>elaborada y presentada a tr</w:t>
      </w:r>
      <w:r w:rsidRPr="00962221">
        <w:rPr>
          <w:rFonts w:ascii="Palatino Linotype" w:eastAsia="Palatino Linotype" w:hAnsi="Palatino Linotype" w:cs="Palatino Linotype"/>
          <w:b/>
          <w:bCs/>
          <w:u w:val="single"/>
        </w:rPr>
        <w:t>a</w:t>
      </w:r>
      <w:r w:rsidRPr="00962221">
        <w:rPr>
          <w:rFonts w:ascii="Palatino Linotype" w:eastAsia="Palatino Linotype" w:hAnsi="Palatino Linotype" w:cs="Palatino Linotype"/>
          <w:b/>
          <w:bCs/>
          <w:color w:val="000000"/>
          <w:u w:val="single"/>
        </w:rPr>
        <w:t>v</w:t>
      </w:r>
      <w:r w:rsidRPr="00962221">
        <w:rPr>
          <w:rFonts w:ascii="Palatino Linotype" w:eastAsia="Palatino Linotype" w:hAnsi="Palatino Linotype" w:cs="Palatino Linotype"/>
          <w:b/>
          <w:bCs/>
          <w:u w:val="single"/>
        </w:rPr>
        <w:t>é</w:t>
      </w:r>
      <w:r w:rsidRPr="00962221">
        <w:rPr>
          <w:rFonts w:ascii="Palatino Linotype" w:eastAsia="Palatino Linotype" w:hAnsi="Palatino Linotype" w:cs="Palatino Linotype"/>
          <w:b/>
          <w:bCs/>
          <w:color w:val="000000"/>
          <w:u w:val="single"/>
        </w:rPr>
        <w:t>s de la Consejería Jurídica</w:t>
      </w:r>
      <w:r w:rsidRPr="00962221">
        <w:rPr>
          <w:rFonts w:ascii="Palatino Linotype" w:eastAsia="Palatino Linotype" w:hAnsi="Palatino Linotype" w:cs="Palatino Linotype"/>
          <w:color w:val="000000"/>
        </w:rPr>
        <w:t>, en términos de las atribuciones establecidas en la Ley Orgánica de la Administración Pública del Estado de México, que faculta a esa Dependencia para revisar y elaborar los proyectos de iniciativa de ley o decreto que se presenten; así como ser el conducto para presentar ante la Legislatura las iniciativas de Ley o Decreto del Ejecutivo.</w:t>
      </w:r>
    </w:p>
    <w:p w:rsidR="006C7D2C" w:rsidRPr="00962221" w:rsidRDefault="006C7D2C">
      <w:pPr>
        <w:pBdr>
          <w:top w:val="nil"/>
          <w:left w:val="nil"/>
          <w:bottom w:val="nil"/>
          <w:right w:val="nil"/>
          <w:between w:val="nil"/>
        </w:pBdr>
        <w:tabs>
          <w:tab w:val="left" w:pos="0"/>
          <w:tab w:val="left" w:pos="567"/>
        </w:tabs>
        <w:spacing w:line="360" w:lineRule="auto"/>
        <w:ind w:right="-28"/>
        <w:jc w:val="both"/>
        <w:rPr>
          <w:rFonts w:ascii="Palatino Linotype" w:eastAsia="Palatino Linotype" w:hAnsi="Palatino Linotype" w:cs="Palatino Linotype"/>
        </w:rPr>
      </w:pPr>
    </w:p>
    <w:p w:rsidR="006C7D2C" w:rsidRPr="00962221" w:rsidRDefault="00B2748D">
      <w:pPr>
        <w:numPr>
          <w:ilvl w:val="0"/>
          <w:numId w:val="1"/>
        </w:numPr>
        <w:pBdr>
          <w:top w:val="nil"/>
          <w:left w:val="nil"/>
          <w:bottom w:val="nil"/>
          <w:right w:val="nil"/>
          <w:between w:val="nil"/>
        </w:pBdr>
        <w:tabs>
          <w:tab w:val="left" w:pos="0"/>
          <w:tab w:val="left" w:pos="567"/>
        </w:tabs>
        <w:spacing w:line="360" w:lineRule="auto"/>
        <w:ind w:left="0" w:right="-28" w:firstLine="0"/>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Precisado lo anterior, se procede al análisis del requerimiento planteado por la persona solicitante y la respuesta proporcionada por el </w:t>
      </w:r>
      <w:r w:rsidRPr="00962221">
        <w:rPr>
          <w:rFonts w:ascii="Palatino Linotype" w:eastAsia="Palatino Linotype" w:hAnsi="Palatino Linotype" w:cs="Palatino Linotype"/>
          <w:b/>
          <w:bCs/>
        </w:rPr>
        <w:t>SUJETO OBLIGADO</w:t>
      </w:r>
      <w:r w:rsidRPr="00962221">
        <w:rPr>
          <w:rFonts w:ascii="Palatino Linotype" w:eastAsia="Palatino Linotype" w:hAnsi="Palatino Linotype" w:cs="Palatino Linotype"/>
        </w:rPr>
        <w:t xml:space="preserve">, a efecto de determinar </w:t>
      </w:r>
      <w:r w:rsidRPr="00962221">
        <w:rPr>
          <w:rFonts w:ascii="Palatino Linotype" w:eastAsia="Palatino Linotype" w:hAnsi="Palatino Linotype" w:cs="Palatino Linotype"/>
        </w:rPr>
        <w:lastRenderedPageBreak/>
        <w:t xml:space="preserve">si el derecho de acceso se satisfizo con las mismas, o en su defecto, señalar los documentos que en el ejercicio de sus atribuciones pudo haber generado, y que, de manera enunciativa más no limitativa, pudieran colmar dicho derecho. </w:t>
      </w:r>
    </w:p>
    <w:p w:rsidR="006C7D2C" w:rsidRPr="00962221" w:rsidRDefault="006C7D2C">
      <w:pPr>
        <w:pBdr>
          <w:top w:val="nil"/>
          <w:left w:val="nil"/>
          <w:bottom w:val="nil"/>
          <w:right w:val="nil"/>
          <w:between w:val="nil"/>
        </w:pBdr>
        <w:ind w:left="720"/>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En este sentido se inserta el siguiente cuadro de análisis:</w:t>
      </w:r>
    </w:p>
    <w:p w:rsidR="006C7D2C" w:rsidRPr="00962221" w:rsidRDefault="006C7D2C">
      <w:pPr>
        <w:pBdr>
          <w:top w:val="nil"/>
          <w:left w:val="nil"/>
          <w:bottom w:val="nil"/>
          <w:right w:val="nil"/>
          <w:between w:val="nil"/>
        </w:pBdr>
        <w:ind w:left="720"/>
        <w:rPr>
          <w:rFonts w:ascii="Palatino Linotype" w:eastAsia="Palatino Linotype" w:hAnsi="Palatino Linotype" w:cs="Palatino Linotype"/>
          <w:color w:val="000000"/>
        </w:rPr>
      </w:pPr>
    </w:p>
    <w:tbl>
      <w:tblPr>
        <w:tblStyle w:val="a"/>
        <w:tblpPr w:leftFromText="141" w:rightFromText="141" w:vertAnchor="text" w:tblpX="137" w:tblpY="1"/>
        <w:tblW w:w="97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4253"/>
        <w:gridCol w:w="1559"/>
        <w:gridCol w:w="2133"/>
      </w:tblGrid>
      <w:tr w:rsidR="006C7D2C" w:rsidRPr="00962221">
        <w:tc>
          <w:tcPr>
            <w:tcW w:w="1838" w:type="dxa"/>
            <w:shd w:val="clear" w:color="auto" w:fill="D9D9D9"/>
          </w:tcPr>
          <w:p w:rsidR="006C7D2C" w:rsidRPr="00962221" w:rsidRDefault="00B2748D" w:rsidP="00962221">
            <w:pPr>
              <w:pBdr>
                <w:top w:val="nil"/>
                <w:left w:val="nil"/>
                <w:bottom w:val="nil"/>
                <w:right w:val="nil"/>
                <w:between w:val="nil"/>
              </w:pBdr>
              <w:ind w:right="-4"/>
              <w:jc w:val="center"/>
              <w:rPr>
                <w:rFonts w:ascii="Palatino Linotype" w:eastAsia="Palatino Linotype" w:hAnsi="Palatino Linotype" w:cs="Palatino Linotype"/>
                <w:b/>
                <w:bCs/>
              </w:rPr>
            </w:pPr>
            <w:r w:rsidRPr="00962221">
              <w:rPr>
                <w:rFonts w:ascii="Palatino Linotype" w:eastAsia="Palatino Linotype" w:hAnsi="Palatino Linotype" w:cs="Palatino Linotype"/>
                <w:b/>
                <w:bCs/>
              </w:rPr>
              <w:t>Información Solicitada</w:t>
            </w:r>
          </w:p>
        </w:tc>
        <w:tc>
          <w:tcPr>
            <w:tcW w:w="4253" w:type="dxa"/>
            <w:shd w:val="clear" w:color="auto" w:fill="D9D9D9"/>
          </w:tcPr>
          <w:p w:rsidR="006C7D2C" w:rsidRPr="00962221" w:rsidRDefault="00B2748D" w:rsidP="00962221">
            <w:pPr>
              <w:pBdr>
                <w:top w:val="nil"/>
                <w:left w:val="nil"/>
                <w:bottom w:val="nil"/>
                <w:right w:val="nil"/>
                <w:between w:val="nil"/>
              </w:pBdr>
              <w:ind w:right="-4"/>
              <w:jc w:val="center"/>
              <w:rPr>
                <w:rFonts w:ascii="Palatino Linotype" w:eastAsia="Palatino Linotype" w:hAnsi="Palatino Linotype" w:cs="Palatino Linotype"/>
                <w:b/>
                <w:bCs/>
              </w:rPr>
            </w:pPr>
            <w:r w:rsidRPr="00962221">
              <w:rPr>
                <w:rFonts w:ascii="Palatino Linotype" w:eastAsia="Palatino Linotype" w:hAnsi="Palatino Linotype" w:cs="Palatino Linotype"/>
                <w:b/>
                <w:bCs/>
              </w:rPr>
              <w:t>Respuesta</w:t>
            </w:r>
          </w:p>
        </w:tc>
        <w:tc>
          <w:tcPr>
            <w:tcW w:w="1559" w:type="dxa"/>
            <w:shd w:val="clear" w:color="auto" w:fill="D9D9D9"/>
          </w:tcPr>
          <w:p w:rsidR="006C7D2C" w:rsidRPr="00962221" w:rsidRDefault="00B2748D" w:rsidP="00962221">
            <w:pPr>
              <w:pBdr>
                <w:top w:val="nil"/>
                <w:left w:val="nil"/>
                <w:bottom w:val="nil"/>
                <w:right w:val="nil"/>
                <w:between w:val="nil"/>
              </w:pBdr>
              <w:ind w:right="-4"/>
              <w:jc w:val="center"/>
              <w:rPr>
                <w:rFonts w:ascii="Palatino Linotype" w:eastAsia="Palatino Linotype" w:hAnsi="Palatino Linotype" w:cs="Palatino Linotype"/>
                <w:b/>
                <w:bCs/>
              </w:rPr>
            </w:pPr>
            <w:r w:rsidRPr="00962221">
              <w:rPr>
                <w:rFonts w:ascii="Palatino Linotype" w:eastAsia="Palatino Linotype" w:hAnsi="Palatino Linotype" w:cs="Palatino Linotype"/>
                <w:b/>
                <w:bCs/>
              </w:rPr>
              <w:t>Informe Justificado</w:t>
            </w:r>
          </w:p>
        </w:tc>
        <w:tc>
          <w:tcPr>
            <w:tcW w:w="2133" w:type="dxa"/>
            <w:shd w:val="clear" w:color="auto" w:fill="D9D9D9"/>
          </w:tcPr>
          <w:p w:rsidR="006C7D2C" w:rsidRPr="00962221" w:rsidRDefault="00B2748D" w:rsidP="00962221">
            <w:pPr>
              <w:pBdr>
                <w:top w:val="nil"/>
                <w:left w:val="nil"/>
                <w:bottom w:val="nil"/>
                <w:right w:val="nil"/>
                <w:between w:val="nil"/>
              </w:pBdr>
              <w:ind w:right="-4"/>
              <w:jc w:val="center"/>
              <w:rPr>
                <w:rFonts w:ascii="Palatino Linotype" w:eastAsia="Palatino Linotype" w:hAnsi="Palatino Linotype" w:cs="Palatino Linotype"/>
                <w:b/>
                <w:bCs/>
              </w:rPr>
            </w:pPr>
            <w:r w:rsidRPr="00962221">
              <w:rPr>
                <w:rFonts w:ascii="Palatino Linotype" w:eastAsia="Palatino Linotype" w:hAnsi="Palatino Linotype" w:cs="Palatino Linotype"/>
                <w:b/>
                <w:bCs/>
              </w:rPr>
              <w:t>Comentario</w:t>
            </w:r>
          </w:p>
        </w:tc>
      </w:tr>
      <w:tr w:rsidR="006C7D2C" w:rsidRPr="00962221">
        <w:tc>
          <w:tcPr>
            <w:tcW w:w="9783" w:type="dxa"/>
            <w:gridSpan w:val="4"/>
            <w:shd w:val="clear" w:color="auto" w:fill="auto"/>
          </w:tcPr>
          <w:p w:rsidR="006C7D2C" w:rsidRPr="00962221" w:rsidRDefault="00B2748D">
            <w:pPr>
              <w:pBdr>
                <w:top w:val="nil"/>
                <w:left w:val="nil"/>
                <w:bottom w:val="nil"/>
                <w:right w:val="nil"/>
                <w:between w:val="nil"/>
              </w:pBdr>
              <w:ind w:right="-4"/>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De la reforma Constitucional del Estado de México en el que la LXII Legislatura mexiquense aprobó extinguir el Instituto de Transparencia, Acceso a la Información Pública y Protección de Datos Personal del Estado de México</w:t>
            </w:r>
          </w:p>
        </w:tc>
      </w:tr>
      <w:tr w:rsidR="006C7D2C" w:rsidRPr="00962221">
        <w:tc>
          <w:tcPr>
            <w:tcW w:w="1838" w:type="dxa"/>
          </w:tcPr>
          <w:p w:rsidR="006C7D2C" w:rsidRPr="00962221" w:rsidRDefault="00B2748D">
            <w:pPr>
              <w:numPr>
                <w:ilvl w:val="0"/>
                <w:numId w:val="11"/>
              </w:numPr>
              <w:pBdr>
                <w:top w:val="nil"/>
                <w:left w:val="nil"/>
                <w:bottom w:val="nil"/>
                <w:right w:val="nil"/>
                <w:between w:val="nil"/>
              </w:pBdr>
              <w:ind w:left="22" w:right="27" w:firstLine="0"/>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Documentos generados para que en la Gaceta del Gobierno del Estado de México se publicara la reforma.</w:t>
            </w:r>
          </w:p>
          <w:p w:rsidR="006C7D2C" w:rsidRPr="00962221" w:rsidRDefault="006C7D2C">
            <w:pPr>
              <w:ind w:left="720" w:right="-4"/>
              <w:jc w:val="both"/>
              <w:rPr>
                <w:rFonts w:ascii="Palatino Linotype" w:eastAsia="Palatino Linotype" w:hAnsi="Palatino Linotype" w:cs="Palatino Linotype"/>
              </w:rPr>
            </w:pPr>
          </w:p>
        </w:tc>
        <w:tc>
          <w:tcPr>
            <w:tcW w:w="4253" w:type="dxa"/>
            <w:vMerge w:val="restart"/>
          </w:tcPr>
          <w:p w:rsidR="006C7D2C" w:rsidRPr="00962221" w:rsidRDefault="00B2748D">
            <w:pPr>
              <w:pBdr>
                <w:top w:val="nil"/>
                <w:left w:val="nil"/>
                <w:bottom w:val="nil"/>
                <w:right w:val="nil"/>
                <w:between w:val="nil"/>
              </w:pBdr>
              <w:ind w:right="-4"/>
              <w:jc w:val="both"/>
              <w:rPr>
                <w:rFonts w:ascii="Palatino Linotype" w:eastAsia="Palatino Linotype" w:hAnsi="Palatino Linotype" w:cs="Palatino Linotype"/>
              </w:rPr>
            </w:pPr>
            <w:r w:rsidRPr="00962221">
              <w:rPr>
                <w:rFonts w:ascii="Palatino Linotype" w:eastAsia="Palatino Linotype" w:hAnsi="Palatino Linotype" w:cs="Palatino Linotype"/>
              </w:rPr>
              <w:t>El Servidor Público Habilitado de la Dirección General de Legislación y del Periódico Oficial “Gaceta de Gobierno”, indicó que conforme al procedimiento legislativo, para que las adiciones o reformas formen parte del texto constitucional, es necesario que además de ser aprobadas por las dos terceras partes de los Diputados, sean ratificadas por la mayoría de los Ayuntamientos, en tal sentido corresponde a la Legislatura o a la Diputación Permanente hacer el cómputo de los votos del Ayuntamiento y declarar la aprobación a efecto de que sea remitido para la promulgación, publicación y observancia, lo cual a la fecha de la solicitud no había acontecido, por ende no cuenta con la información solicitada</w:t>
            </w: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B2748D">
            <w:pPr>
              <w:pBdr>
                <w:top w:val="nil"/>
                <w:left w:val="nil"/>
                <w:bottom w:val="nil"/>
                <w:right w:val="nil"/>
                <w:between w:val="nil"/>
              </w:pBdr>
              <w:ind w:right="-4"/>
              <w:jc w:val="both"/>
              <w:rPr>
                <w:rFonts w:ascii="Palatino Linotype" w:eastAsia="Palatino Linotype" w:hAnsi="Palatino Linotype" w:cs="Palatino Linotype"/>
              </w:rPr>
            </w:pPr>
            <w:r w:rsidRPr="00962221">
              <w:rPr>
                <w:rFonts w:ascii="Palatino Linotype" w:eastAsia="Palatino Linotype" w:hAnsi="Palatino Linotype" w:cs="Palatino Linotype"/>
              </w:rPr>
              <w:t>El Servidor Público Habilitado de la Dirección General de Legislación y del Periódico Oficial “Gaceta de Gobierno”, indicó que conforme al procedimiento legislativo, para que las adiciones o reformas formen parte del texto constitucional, es necesario que además de ser aprobadas por las dos terceras partes de los Diputados, sean ratificadas por la mayoría de los Ayuntamientos, en tal sentido corresponde a la Legislatura o a la Diputación Permanente hacer el cómputo de los votos del Ayuntamiento y declarar la aprobación a efecto de que sea remitido para la promulgación, publicación y observancia, lo cual a la fecha de la solicitud no había acontecido, por ende no cuenta con la información solicitada</w:t>
            </w: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B2748D">
            <w:pPr>
              <w:pBdr>
                <w:top w:val="nil"/>
                <w:left w:val="nil"/>
                <w:bottom w:val="nil"/>
                <w:right w:val="nil"/>
                <w:between w:val="nil"/>
              </w:pBdr>
              <w:ind w:right="-4"/>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El Servidor Público Habilitado de la Dirección General de Legislación y del Periódico Oficial “Gaceta de Gobierno”, indicó que conforme al procedimiento legislativo, para que las adiciones o reformas formen parte del texto constitucional, es necesario que además de ser aprobadas por las dos terceras partes de los Diputados, sean ratificadas por la mayoría de los Ayuntamientos, en tal sentido corresponde a la Legislatura o a la Diputación Permanente hacer el cómputo de los votos del Ayuntamiento y declarar la aprobación a efecto de que sea remitido para la promulgación, publicación y observancia, lo cual a la fecha de la solicitud no había </w:t>
            </w:r>
            <w:r w:rsidRPr="00962221">
              <w:rPr>
                <w:rFonts w:ascii="Palatino Linotype" w:eastAsia="Palatino Linotype" w:hAnsi="Palatino Linotype" w:cs="Palatino Linotype"/>
              </w:rPr>
              <w:lastRenderedPageBreak/>
              <w:t>acontecido, por ende no cuenta con la información solicitada</w:t>
            </w:r>
          </w:p>
        </w:tc>
        <w:tc>
          <w:tcPr>
            <w:tcW w:w="1559" w:type="dxa"/>
            <w:vMerge w:val="restart"/>
          </w:tcPr>
          <w:p w:rsidR="006C7D2C" w:rsidRPr="00962221" w:rsidRDefault="00B2748D">
            <w:pPr>
              <w:pBdr>
                <w:top w:val="nil"/>
                <w:left w:val="nil"/>
                <w:bottom w:val="nil"/>
                <w:right w:val="nil"/>
                <w:between w:val="nil"/>
              </w:pBdr>
              <w:ind w:right="-4"/>
              <w:jc w:val="both"/>
              <w:rPr>
                <w:rFonts w:ascii="Palatino Linotype" w:eastAsia="Palatino Linotype" w:hAnsi="Palatino Linotype" w:cs="Palatino Linotype"/>
              </w:rPr>
            </w:pPr>
            <w:r w:rsidRPr="00962221">
              <w:rPr>
                <w:rFonts w:ascii="Palatino Linotype" w:eastAsia="Palatino Linotype" w:hAnsi="Palatino Linotype" w:cs="Palatino Linotype"/>
              </w:rPr>
              <w:lastRenderedPageBreak/>
              <w:t>Ratifica Respuesta</w:t>
            </w: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B2748D">
            <w:pPr>
              <w:pBdr>
                <w:top w:val="nil"/>
                <w:left w:val="nil"/>
                <w:bottom w:val="nil"/>
                <w:right w:val="nil"/>
                <w:between w:val="nil"/>
              </w:pBdr>
              <w:ind w:right="-4"/>
              <w:jc w:val="both"/>
              <w:rPr>
                <w:rFonts w:ascii="Palatino Linotype" w:eastAsia="Palatino Linotype" w:hAnsi="Palatino Linotype" w:cs="Palatino Linotype"/>
              </w:rPr>
            </w:pPr>
            <w:r w:rsidRPr="00962221">
              <w:rPr>
                <w:rFonts w:ascii="Palatino Linotype" w:eastAsia="Palatino Linotype" w:hAnsi="Palatino Linotype" w:cs="Palatino Linotype"/>
              </w:rPr>
              <w:t>Ratifica Respuesta</w:t>
            </w: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rPr>
            </w:pPr>
          </w:p>
          <w:p w:rsidR="006C7D2C" w:rsidRPr="00962221" w:rsidRDefault="00B2748D">
            <w:pPr>
              <w:pBdr>
                <w:top w:val="nil"/>
                <w:left w:val="nil"/>
                <w:bottom w:val="nil"/>
                <w:right w:val="nil"/>
                <w:between w:val="nil"/>
              </w:pBdr>
              <w:ind w:right="-4"/>
              <w:jc w:val="both"/>
              <w:rPr>
                <w:rFonts w:ascii="Palatino Linotype" w:eastAsia="Palatino Linotype" w:hAnsi="Palatino Linotype" w:cs="Palatino Linotype"/>
              </w:rPr>
            </w:pPr>
            <w:r w:rsidRPr="00962221">
              <w:rPr>
                <w:rFonts w:ascii="Palatino Linotype" w:eastAsia="Palatino Linotype" w:hAnsi="Palatino Linotype" w:cs="Palatino Linotype"/>
              </w:rPr>
              <w:t>Ratifica Respuesta</w:t>
            </w:r>
          </w:p>
        </w:tc>
        <w:tc>
          <w:tcPr>
            <w:tcW w:w="2133" w:type="dxa"/>
            <w:vMerge w:val="restart"/>
          </w:tcPr>
          <w:p w:rsidR="006C7D2C" w:rsidRPr="00962221" w:rsidRDefault="00B2748D">
            <w:pPr>
              <w:pBdr>
                <w:top w:val="nil"/>
                <w:left w:val="nil"/>
                <w:bottom w:val="nil"/>
                <w:right w:val="nil"/>
                <w:between w:val="nil"/>
              </w:pBdr>
              <w:ind w:right="-4"/>
              <w:jc w:val="both"/>
              <w:rPr>
                <w:rFonts w:ascii="Palatino Linotype" w:eastAsia="Palatino Linotype" w:hAnsi="Palatino Linotype" w:cs="Palatino Linotype"/>
                <w:b/>
                <w:bCs/>
              </w:rPr>
            </w:pPr>
            <w:r w:rsidRPr="00962221">
              <w:rPr>
                <w:rFonts w:ascii="Palatino Linotype" w:eastAsia="Palatino Linotype" w:hAnsi="Palatino Linotype" w:cs="Palatino Linotype"/>
                <w:b/>
                <w:bCs/>
              </w:rPr>
              <w:lastRenderedPageBreak/>
              <w:t>Incompetencia</w:t>
            </w: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B2748D">
            <w:pPr>
              <w:pBdr>
                <w:top w:val="nil"/>
                <w:left w:val="nil"/>
                <w:bottom w:val="nil"/>
                <w:right w:val="nil"/>
                <w:between w:val="nil"/>
              </w:pBdr>
              <w:ind w:right="-4"/>
              <w:jc w:val="both"/>
              <w:rPr>
                <w:rFonts w:ascii="Palatino Linotype" w:eastAsia="Palatino Linotype" w:hAnsi="Palatino Linotype" w:cs="Palatino Linotype"/>
                <w:b/>
                <w:bCs/>
              </w:rPr>
            </w:pPr>
            <w:r w:rsidRPr="00962221">
              <w:rPr>
                <w:rFonts w:ascii="Palatino Linotype" w:eastAsia="Palatino Linotype" w:hAnsi="Palatino Linotype" w:cs="Palatino Linotype"/>
                <w:b/>
                <w:bCs/>
              </w:rPr>
              <w:t>Incompetencia</w:t>
            </w: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6C7D2C">
            <w:pPr>
              <w:pBdr>
                <w:top w:val="nil"/>
                <w:left w:val="nil"/>
                <w:bottom w:val="nil"/>
                <w:right w:val="nil"/>
                <w:between w:val="nil"/>
              </w:pBdr>
              <w:ind w:right="-4"/>
              <w:jc w:val="both"/>
              <w:rPr>
                <w:rFonts w:ascii="Palatino Linotype" w:eastAsia="Palatino Linotype" w:hAnsi="Palatino Linotype" w:cs="Palatino Linotype"/>
                <w:b/>
                <w:bCs/>
              </w:rPr>
            </w:pPr>
          </w:p>
          <w:p w:rsidR="006C7D2C" w:rsidRPr="00962221" w:rsidRDefault="00B2748D">
            <w:pPr>
              <w:pBdr>
                <w:top w:val="nil"/>
                <w:left w:val="nil"/>
                <w:bottom w:val="nil"/>
                <w:right w:val="nil"/>
                <w:between w:val="nil"/>
              </w:pBdr>
              <w:ind w:right="-4"/>
              <w:jc w:val="both"/>
              <w:rPr>
                <w:rFonts w:ascii="Palatino Linotype" w:eastAsia="Palatino Linotype" w:hAnsi="Palatino Linotype" w:cs="Palatino Linotype"/>
                <w:b/>
                <w:bCs/>
              </w:rPr>
            </w:pPr>
            <w:r w:rsidRPr="00962221">
              <w:rPr>
                <w:rFonts w:ascii="Palatino Linotype" w:eastAsia="Palatino Linotype" w:hAnsi="Palatino Linotype" w:cs="Palatino Linotype"/>
                <w:b/>
                <w:bCs/>
              </w:rPr>
              <w:t>Incompetencia</w:t>
            </w:r>
          </w:p>
        </w:tc>
      </w:tr>
      <w:tr w:rsidR="006C7D2C" w:rsidRPr="00962221">
        <w:tc>
          <w:tcPr>
            <w:tcW w:w="1838" w:type="dxa"/>
          </w:tcPr>
          <w:p w:rsidR="006C7D2C" w:rsidRPr="00962221" w:rsidRDefault="00B2748D">
            <w:pPr>
              <w:numPr>
                <w:ilvl w:val="0"/>
                <w:numId w:val="11"/>
              </w:numPr>
              <w:pBdr>
                <w:top w:val="nil"/>
                <w:left w:val="nil"/>
                <w:bottom w:val="nil"/>
                <w:right w:val="nil"/>
                <w:between w:val="nil"/>
              </w:pBdr>
              <w:ind w:left="22" w:firstLine="0"/>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 xml:space="preserve">Fecha en que se recibió por parte del Poder Ejecutivo y/o Poder Legislativo la promulgación </w:t>
            </w:r>
          </w:p>
          <w:p w:rsidR="006C7D2C" w:rsidRPr="00962221" w:rsidRDefault="006C7D2C">
            <w:pPr>
              <w:ind w:right="27"/>
              <w:jc w:val="both"/>
              <w:rPr>
                <w:rFonts w:ascii="Palatino Linotype" w:eastAsia="Palatino Linotype" w:hAnsi="Palatino Linotype" w:cs="Palatino Linotype"/>
              </w:rPr>
            </w:pPr>
          </w:p>
        </w:tc>
        <w:tc>
          <w:tcPr>
            <w:tcW w:w="4253" w:type="dxa"/>
            <w:vMerge/>
          </w:tcPr>
          <w:p w:rsidR="006C7D2C" w:rsidRPr="00962221" w:rsidRDefault="006C7D2C">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1559" w:type="dxa"/>
            <w:vMerge/>
          </w:tcPr>
          <w:p w:rsidR="006C7D2C" w:rsidRPr="00962221" w:rsidRDefault="006C7D2C">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2133" w:type="dxa"/>
            <w:vMerge/>
          </w:tcPr>
          <w:p w:rsidR="006C7D2C" w:rsidRPr="00962221" w:rsidRDefault="006C7D2C">
            <w:pPr>
              <w:widowControl w:val="0"/>
              <w:pBdr>
                <w:top w:val="nil"/>
                <w:left w:val="nil"/>
                <w:bottom w:val="nil"/>
                <w:right w:val="nil"/>
                <w:between w:val="nil"/>
              </w:pBdr>
              <w:spacing w:line="276" w:lineRule="auto"/>
              <w:rPr>
                <w:rFonts w:ascii="Palatino Linotype" w:eastAsia="Palatino Linotype" w:hAnsi="Palatino Linotype" w:cs="Palatino Linotype"/>
              </w:rPr>
            </w:pPr>
          </w:p>
        </w:tc>
      </w:tr>
      <w:tr w:rsidR="006C7D2C" w:rsidRPr="00962221">
        <w:tc>
          <w:tcPr>
            <w:tcW w:w="1838" w:type="dxa"/>
          </w:tcPr>
          <w:p w:rsidR="006C7D2C" w:rsidRPr="00962221" w:rsidRDefault="00B2748D">
            <w:pPr>
              <w:numPr>
                <w:ilvl w:val="0"/>
                <w:numId w:val="11"/>
              </w:numPr>
              <w:pBdr>
                <w:top w:val="nil"/>
                <w:left w:val="nil"/>
                <w:bottom w:val="nil"/>
                <w:right w:val="nil"/>
                <w:between w:val="nil"/>
              </w:pBdr>
              <w:tabs>
                <w:tab w:val="left" w:pos="447"/>
              </w:tabs>
              <w:ind w:left="22" w:right="27" w:firstLine="0"/>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 xml:space="preserve">Documento que </w:t>
            </w:r>
            <w:r w:rsidRPr="00962221">
              <w:rPr>
                <w:rFonts w:ascii="Palatino Linotype" w:eastAsia="Palatino Linotype" w:hAnsi="Palatino Linotype" w:cs="Palatino Linotype"/>
                <w:b/>
                <w:bCs/>
                <w:color w:val="000000"/>
              </w:rPr>
              <w:lastRenderedPageBreak/>
              <w:t>contiene la reforma Constitucional, para su publicación en el Periódico Oficial Gaceta del Gobierno del Estado de México.</w:t>
            </w:r>
          </w:p>
        </w:tc>
        <w:tc>
          <w:tcPr>
            <w:tcW w:w="4253" w:type="dxa"/>
            <w:vMerge/>
          </w:tcPr>
          <w:p w:rsidR="006C7D2C" w:rsidRPr="00962221" w:rsidRDefault="006C7D2C">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rPr>
            </w:pPr>
          </w:p>
        </w:tc>
        <w:tc>
          <w:tcPr>
            <w:tcW w:w="1559" w:type="dxa"/>
            <w:vMerge/>
          </w:tcPr>
          <w:p w:rsidR="006C7D2C" w:rsidRPr="00962221" w:rsidRDefault="006C7D2C">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rPr>
            </w:pPr>
          </w:p>
        </w:tc>
        <w:tc>
          <w:tcPr>
            <w:tcW w:w="2133" w:type="dxa"/>
            <w:vMerge/>
          </w:tcPr>
          <w:p w:rsidR="006C7D2C" w:rsidRPr="00962221" w:rsidRDefault="006C7D2C">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rPr>
            </w:pPr>
          </w:p>
        </w:tc>
      </w:tr>
      <w:tr w:rsidR="006C7D2C" w:rsidRPr="00962221">
        <w:tc>
          <w:tcPr>
            <w:tcW w:w="1838" w:type="dxa"/>
          </w:tcPr>
          <w:p w:rsidR="006C7D2C" w:rsidRPr="00962221" w:rsidRDefault="00B2748D">
            <w:pPr>
              <w:numPr>
                <w:ilvl w:val="0"/>
                <w:numId w:val="11"/>
              </w:numPr>
              <w:pBdr>
                <w:top w:val="nil"/>
                <w:left w:val="nil"/>
                <w:bottom w:val="nil"/>
                <w:right w:val="nil"/>
                <w:between w:val="nil"/>
              </w:pBdr>
              <w:spacing w:after="160" w:line="259" w:lineRule="auto"/>
              <w:ind w:left="0" w:firstLine="22"/>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 xml:space="preserve">Oficio de acuse de recibo y el anexo que contiene dicha reforma el cual fue enviado para su publicación. </w:t>
            </w:r>
          </w:p>
        </w:tc>
        <w:tc>
          <w:tcPr>
            <w:tcW w:w="4253" w:type="dxa"/>
            <w:vMerge/>
          </w:tcPr>
          <w:p w:rsidR="006C7D2C" w:rsidRPr="00962221" w:rsidRDefault="006C7D2C">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rPr>
            </w:pPr>
          </w:p>
        </w:tc>
        <w:tc>
          <w:tcPr>
            <w:tcW w:w="1559" w:type="dxa"/>
            <w:vMerge/>
          </w:tcPr>
          <w:p w:rsidR="006C7D2C" w:rsidRPr="00962221" w:rsidRDefault="006C7D2C">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rPr>
            </w:pPr>
          </w:p>
        </w:tc>
        <w:tc>
          <w:tcPr>
            <w:tcW w:w="2133" w:type="dxa"/>
            <w:vMerge/>
          </w:tcPr>
          <w:p w:rsidR="006C7D2C" w:rsidRPr="00962221" w:rsidRDefault="006C7D2C">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rPr>
            </w:pPr>
          </w:p>
        </w:tc>
      </w:tr>
      <w:tr w:rsidR="006C7D2C" w:rsidRPr="00962221">
        <w:tc>
          <w:tcPr>
            <w:tcW w:w="1838" w:type="dxa"/>
          </w:tcPr>
          <w:p w:rsidR="006C7D2C" w:rsidRPr="00962221" w:rsidRDefault="00B2748D">
            <w:pPr>
              <w:numPr>
                <w:ilvl w:val="0"/>
                <w:numId w:val="11"/>
              </w:numPr>
              <w:pBdr>
                <w:top w:val="nil"/>
                <w:left w:val="nil"/>
                <w:bottom w:val="nil"/>
                <w:right w:val="nil"/>
                <w:between w:val="nil"/>
              </w:pBdr>
              <w:spacing w:after="160" w:line="259" w:lineRule="auto"/>
              <w:ind w:left="22" w:right="27" w:firstLine="0"/>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 xml:space="preserve">Fecha en que se publicó en la página web del Periódico Oficial "Gaceta de Gobierno" del Estado de México la reforma </w:t>
            </w:r>
            <w:r w:rsidRPr="00962221">
              <w:rPr>
                <w:rFonts w:ascii="Palatino Linotype" w:eastAsia="Palatino Linotype" w:hAnsi="Palatino Linotype" w:cs="Palatino Linotype"/>
                <w:b/>
                <w:bCs/>
                <w:color w:val="000000"/>
              </w:rPr>
              <w:lastRenderedPageBreak/>
              <w:t>Constitucional</w:t>
            </w:r>
          </w:p>
        </w:tc>
        <w:tc>
          <w:tcPr>
            <w:tcW w:w="4253" w:type="dxa"/>
            <w:vMerge/>
          </w:tcPr>
          <w:p w:rsidR="006C7D2C" w:rsidRPr="00962221" w:rsidRDefault="006C7D2C">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rPr>
            </w:pPr>
          </w:p>
        </w:tc>
        <w:tc>
          <w:tcPr>
            <w:tcW w:w="1559" w:type="dxa"/>
            <w:vMerge/>
          </w:tcPr>
          <w:p w:rsidR="006C7D2C" w:rsidRPr="00962221" w:rsidRDefault="006C7D2C">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rPr>
            </w:pPr>
          </w:p>
        </w:tc>
        <w:tc>
          <w:tcPr>
            <w:tcW w:w="2133" w:type="dxa"/>
            <w:vMerge/>
          </w:tcPr>
          <w:p w:rsidR="006C7D2C" w:rsidRPr="00962221" w:rsidRDefault="006C7D2C">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rPr>
            </w:pPr>
          </w:p>
        </w:tc>
      </w:tr>
      <w:tr w:rsidR="006C7D2C" w:rsidRPr="00962221">
        <w:tc>
          <w:tcPr>
            <w:tcW w:w="1838" w:type="dxa"/>
          </w:tcPr>
          <w:p w:rsidR="006C7D2C" w:rsidRPr="00962221" w:rsidRDefault="00B2748D">
            <w:pPr>
              <w:numPr>
                <w:ilvl w:val="0"/>
                <w:numId w:val="11"/>
              </w:numPr>
              <w:pBdr>
                <w:top w:val="nil"/>
                <w:left w:val="nil"/>
                <w:bottom w:val="nil"/>
                <w:right w:val="nil"/>
                <w:between w:val="nil"/>
              </w:pBdr>
              <w:spacing w:after="160" w:line="259" w:lineRule="auto"/>
              <w:ind w:left="22" w:firstLine="0"/>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 xml:space="preserve">Archivo .pdf y el link que permita la consulta de la reforma Constitucional. </w:t>
            </w:r>
          </w:p>
        </w:tc>
        <w:tc>
          <w:tcPr>
            <w:tcW w:w="4253" w:type="dxa"/>
            <w:vMerge/>
          </w:tcPr>
          <w:p w:rsidR="006C7D2C" w:rsidRPr="00962221" w:rsidRDefault="006C7D2C">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rPr>
            </w:pPr>
          </w:p>
        </w:tc>
        <w:tc>
          <w:tcPr>
            <w:tcW w:w="1559" w:type="dxa"/>
            <w:vMerge/>
          </w:tcPr>
          <w:p w:rsidR="006C7D2C" w:rsidRPr="00962221" w:rsidRDefault="006C7D2C">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rPr>
            </w:pPr>
          </w:p>
        </w:tc>
        <w:tc>
          <w:tcPr>
            <w:tcW w:w="2133" w:type="dxa"/>
            <w:vMerge/>
          </w:tcPr>
          <w:p w:rsidR="006C7D2C" w:rsidRPr="00962221" w:rsidRDefault="006C7D2C">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rPr>
            </w:pPr>
          </w:p>
        </w:tc>
      </w:tr>
      <w:tr w:rsidR="006C7D2C" w:rsidRPr="00962221">
        <w:tc>
          <w:tcPr>
            <w:tcW w:w="1838" w:type="dxa"/>
          </w:tcPr>
          <w:p w:rsidR="006C7D2C" w:rsidRPr="00962221" w:rsidRDefault="00B2748D">
            <w:pPr>
              <w:numPr>
                <w:ilvl w:val="0"/>
                <w:numId w:val="11"/>
              </w:numPr>
              <w:pBdr>
                <w:top w:val="nil"/>
                <w:left w:val="nil"/>
                <w:bottom w:val="nil"/>
                <w:right w:val="nil"/>
                <w:between w:val="nil"/>
              </w:pBdr>
              <w:spacing w:after="160" w:line="259" w:lineRule="auto"/>
              <w:ind w:left="22" w:right="27" w:firstLine="0"/>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 xml:space="preserve">Informe a partir de cuándo contarán los 90 días para extinguir el INFOEM y el día en que se extinguirá dicho Órgano Autónomo </w:t>
            </w:r>
          </w:p>
        </w:tc>
        <w:tc>
          <w:tcPr>
            <w:tcW w:w="4253" w:type="dxa"/>
            <w:vMerge/>
          </w:tcPr>
          <w:p w:rsidR="006C7D2C" w:rsidRPr="00962221" w:rsidRDefault="006C7D2C">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rPr>
            </w:pPr>
          </w:p>
        </w:tc>
        <w:tc>
          <w:tcPr>
            <w:tcW w:w="1559" w:type="dxa"/>
            <w:vMerge/>
          </w:tcPr>
          <w:p w:rsidR="006C7D2C" w:rsidRPr="00962221" w:rsidRDefault="006C7D2C">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rPr>
            </w:pPr>
          </w:p>
        </w:tc>
        <w:tc>
          <w:tcPr>
            <w:tcW w:w="2133" w:type="dxa"/>
            <w:vMerge/>
          </w:tcPr>
          <w:p w:rsidR="006C7D2C" w:rsidRPr="00962221" w:rsidRDefault="006C7D2C">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rPr>
            </w:pPr>
          </w:p>
        </w:tc>
      </w:tr>
      <w:tr w:rsidR="006C7D2C" w:rsidRPr="00962221">
        <w:tc>
          <w:tcPr>
            <w:tcW w:w="1838" w:type="dxa"/>
          </w:tcPr>
          <w:p w:rsidR="006C7D2C" w:rsidRPr="00962221" w:rsidRDefault="00B2748D">
            <w:pPr>
              <w:numPr>
                <w:ilvl w:val="0"/>
                <w:numId w:val="11"/>
              </w:numPr>
              <w:pBdr>
                <w:top w:val="nil"/>
                <w:left w:val="nil"/>
                <w:bottom w:val="nil"/>
                <w:right w:val="nil"/>
                <w:between w:val="nil"/>
              </w:pBdr>
              <w:spacing w:after="160" w:line="259" w:lineRule="auto"/>
              <w:ind w:left="22" w:right="27" w:firstLine="0"/>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 xml:space="preserve">Documentos, oficios y minutas generados en los que se demuestre el proceso y seguimiento para la publicación en el Periódico </w:t>
            </w:r>
            <w:r w:rsidRPr="00962221">
              <w:rPr>
                <w:rFonts w:ascii="Palatino Linotype" w:eastAsia="Palatino Linotype" w:hAnsi="Palatino Linotype" w:cs="Palatino Linotype"/>
                <w:b/>
                <w:bCs/>
                <w:color w:val="000000"/>
              </w:rPr>
              <w:lastRenderedPageBreak/>
              <w:t>Oficial "Gaceta del Gobierno" del Estado de México la reforma Constitucional.</w:t>
            </w:r>
          </w:p>
        </w:tc>
        <w:tc>
          <w:tcPr>
            <w:tcW w:w="4253" w:type="dxa"/>
            <w:vMerge/>
          </w:tcPr>
          <w:p w:rsidR="006C7D2C" w:rsidRPr="00962221" w:rsidRDefault="006C7D2C">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rPr>
            </w:pPr>
          </w:p>
        </w:tc>
        <w:tc>
          <w:tcPr>
            <w:tcW w:w="1559" w:type="dxa"/>
            <w:vMerge/>
          </w:tcPr>
          <w:p w:rsidR="006C7D2C" w:rsidRPr="00962221" w:rsidRDefault="006C7D2C">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rPr>
            </w:pPr>
          </w:p>
        </w:tc>
        <w:tc>
          <w:tcPr>
            <w:tcW w:w="2133" w:type="dxa"/>
            <w:vMerge/>
          </w:tcPr>
          <w:p w:rsidR="006C7D2C" w:rsidRPr="00962221" w:rsidRDefault="006C7D2C">
            <w:pPr>
              <w:widowControl w:val="0"/>
              <w:pBdr>
                <w:top w:val="nil"/>
                <w:left w:val="nil"/>
                <w:bottom w:val="nil"/>
                <w:right w:val="nil"/>
                <w:between w:val="nil"/>
              </w:pBdr>
              <w:spacing w:line="276" w:lineRule="auto"/>
              <w:rPr>
                <w:rFonts w:ascii="Palatino Linotype" w:eastAsia="Palatino Linotype" w:hAnsi="Palatino Linotype" w:cs="Palatino Linotype"/>
                <w:b/>
                <w:bCs/>
                <w:color w:val="000000"/>
              </w:rPr>
            </w:pPr>
          </w:p>
        </w:tc>
      </w:tr>
      <w:tr w:rsidR="006C7D2C" w:rsidRPr="00962221">
        <w:tc>
          <w:tcPr>
            <w:tcW w:w="1838" w:type="dxa"/>
          </w:tcPr>
          <w:p w:rsidR="006C7D2C" w:rsidRPr="00962221" w:rsidRDefault="00B2748D">
            <w:pPr>
              <w:numPr>
                <w:ilvl w:val="0"/>
                <w:numId w:val="11"/>
              </w:numPr>
              <w:pBdr>
                <w:top w:val="nil"/>
                <w:left w:val="nil"/>
                <w:bottom w:val="nil"/>
                <w:right w:val="nil"/>
                <w:between w:val="nil"/>
              </w:pBdr>
              <w:spacing w:after="160" w:line="259" w:lineRule="auto"/>
              <w:ind w:left="22" w:right="27" w:hanging="22"/>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Forma para iniciar el procedimiento para que sea sancionada la OMISIÓN de publicar en la “Gaceta del Gobierno” reformas Constitucionales que ya han sido aprobadas pero de forma negligente no se atienden el Proceso establecido para su Publicación</w:t>
            </w:r>
          </w:p>
        </w:tc>
        <w:tc>
          <w:tcPr>
            <w:tcW w:w="7945" w:type="dxa"/>
            <w:gridSpan w:val="3"/>
          </w:tcPr>
          <w:p w:rsidR="006C7D2C" w:rsidRPr="00962221" w:rsidRDefault="00B2748D">
            <w:pPr>
              <w:pBdr>
                <w:top w:val="nil"/>
                <w:left w:val="nil"/>
                <w:bottom w:val="nil"/>
                <w:right w:val="nil"/>
                <w:between w:val="nil"/>
              </w:pBdr>
              <w:ind w:right="-4"/>
              <w:jc w:val="center"/>
              <w:rPr>
                <w:rFonts w:ascii="Palatino Linotype" w:eastAsia="Palatino Linotype" w:hAnsi="Palatino Linotype" w:cs="Palatino Linotype"/>
              </w:rPr>
            </w:pPr>
            <w:r w:rsidRPr="00962221">
              <w:rPr>
                <w:rFonts w:ascii="Palatino Linotype" w:eastAsia="Palatino Linotype" w:hAnsi="Palatino Linotype" w:cs="Palatino Linotype"/>
              </w:rPr>
              <w:t xml:space="preserve">El </w:t>
            </w:r>
            <w:r w:rsidRPr="00962221">
              <w:rPr>
                <w:rFonts w:ascii="Palatino Linotype" w:eastAsia="Palatino Linotype" w:hAnsi="Palatino Linotype" w:cs="Palatino Linotype"/>
                <w:b/>
                <w:bCs/>
              </w:rPr>
              <w:t xml:space="preserve">SUJETO OBLIGADO, </w:t>
            </w:r>
            <w:r w:rsidRPr="00962221">
              <w:rPr>
                <w:rFonts w:ascii="Palatino Linotype" w:eastAsia="Palatino Linotype" w:hAnsi="Palatino Linotype" w:cs="Palatino Linotype"/>
              </w:rPr>
              <w:t>no se pronunció</w:t>
            </w:r>
          </w:p>
        </w:tc>
      </w:tr>
    </w:tbl>
    <w:p w:rsidR="006C7D2C" w:rsidRPr="00962221" w:rsidRDefault="006C7D2C">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lastRenderedPageBreak/>
        <w:t xml:space="preserve">De lo expuesto en el cuadro descriptivo, se advierte que el </w:t>
      </w:r>
      <w:r w:rsidRPr="00962221">
        <w:rPr>
          <w:rFonts w:ascii="Palatino Linotype" w:eastAsia="Palatino Linotype" w:hAnsi="Palatino Linotype" w:cs="Palatino Linotype"/>
          <w:b/>
          <w:bCs/>
          <w:color w:val="000000"/>
        </w:rPr>
        <w:t xml:space="preserve">SUJETO OBLIGADO, </w:t>
      </w:r>
      <w:r w:rsidRPr="00962221">
        <w:rPr>
          <w:rFonts w:ascii="Palatino Linotype" w:eastAsia="Palatino Linotype" w:hAnsi="Palatino Linotype" w:cs="Palatino Linotype"/>
          <w:color w:val="000000"/>
        </w:rPr>
        <w:t xml:space="preserve">es incompetente para brindar respuesta lo referido en los puntos 1, 2, 3, 4, 5, 6, 7 y 8 del cuadro descriptivo, toda vez que a la fecha de la solicitud de información, aun no se cumplimentaba el procedimiento de reforma constitucional, por tanto se encuentra imposibilitado para brindar la información requerida por el particular, no obstante y a fin de garantizar el derecho de acceso a la información del particular, el </w:t>
      </w:r>
      <w:r w:rsidRPr="00962221">
        <w:rPr>
          <w:rFonts w:ascii="Palatino Linotype" w:eastAsia="Palatino Linotype" w:hAnsi="Palatino Linotype" w:cs="Palatino Linotype"/>
          <w:b/>
          <w:bCs/>
          <w:color w:val="000000"/>
        </w:rPr>
        <w:t xml:space="preserve">SUJETO OBLIGADO, </w:t>
      </w:r>
      <w:r w:rsidRPr="00962221">
        <w:rPr>
          <w:rFonts w:ascii="Palatino Linotype" w:eastAsia="Palatino Linotype" w:hAnsi="Palatino Linotype" w:cs="Palatino Linotype"/>
          <w:color w:val="000000"/>
        </w:rPr>
        <w:t>brindó respuesta a la petición dejando a salvo los derechos del particular a fin de presentar su solicitud ante el Congreso del Estado de México.</w:t>
      </w:r>
    </w:p>
    <w:p w:rsidR="006C7D2C" w:rsidRPr="00962221" w:rsidRDefault="006C7D2C">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Al respecto, es ineludible señalar que la información sobre hechos que aún no se han generado debido a la temporalidad, son hechos futuros e inciertos, los cuales no se pueden determinar ya que están supeditados a la conclusión de los mismos; por lo que no es procedente que los Sujetos Obligados proporcionen dicha información.</w:t>
      </w:r>
    </w:p>
    <w:p w:rsidR="006C7D2C" w:rsidRPr="00962221" w:rsidRDefault="006C7D2C">
      <w:pPr>
        <w:pBdr>
          <w:top w:val="nil"/>
          <w:left w:val="nil"/>
          <w:bottom w:val="nil"/>
          <w:right w:val="nil"/>
          <w:between w:val="nil"/>
        </w:pBdr>
        <w:spacing w:line="360" w:lineRule="auto"/>
        <w:ind w:left="360" w:right="-28"/>
        <w:jc w:val="both"/>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Lo anterior se robustece con la Tesis Aislada con número de registro 209001 , de la Suprema Corte de Justicia de la Nación, emitida por los Tribunales Colegiados de Circuito,  que a la letra señala:</w:t>
      </w:r>
    </w:p>
    <w:p w:rsidR="006C7D2C" w:rsidRPr="00962221" w:rsidRDefault="00B2748D">
      <w:pPr>
        <w:pBdr>
          <w:top w:val="nil"/>
          <w:left w:val="nil"/>
          <w:bottom w:val="nil"/>
          <w:right w:val="nil"/>
          <w:between w:val="nil"/>
        </w:pBdr>
        <w:spacing w:line="360" w:lineRule="auto"/>
        <w:ind w:left="567" w:right="539"/>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“ACTOS FUTUROS DE REALIZACION INCIERTA. NO PROCEDE EL JUICIO DE AMPARO CONTRA LOS. Contra actos futuros de realización incierta no procede el juicio de garantías.”</w:t>
      </w:r>
    </w:p>
    <w:p w:rsidR="006C7D2C" w:rsidRPr="00962221" w:rsidRDefault="006C7D2C">
      <w:pPr>
        <w:pBdr>
          <w:top w:val="nil"/>
          <w:left w:val="nil"/>
          <w:bottom w:val="nil"/>
          <w:right w:val="nil"/>
          <w:between w:val="nil"/>
        </w:pBdr>
        <w:spacing w:line="360" w:lineRule="auto"/>
        <w:ind w:left="360" w:right="-28"/>
        <w:jc w:val="both"/>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 xml:space="preserve">En ese sentido, en el caso concreto no es procedente la exigencia de la parte Recurrente de que el </w:t>
      </w:r>
      <w:r w:rsidRPr="00962221">
        <w:rPr>
          <w:rFonts w:ascii="Palatino Linotype" w:eastAsia="Palatino Linotype" w:hAnsi="Palatino Linotype" w:cs="Palatino Linotype"/>
          <w:b/>
          <w:bCs/>
          <w:color w:val="000000"/>
        </w:rPr>
        <w:t>SUJETO OBLIGADO</w:t>
      </w:r>
      <w:r w:rsidRPr="00962221">
        <w:rPr>
          <w:rFonts w:ascii="Palatino Linotype" w:eastAsia="Palatino Linotype" w:hAnsi="Palatino Linotype" w:cs="Palatino Linotype"/>
          <w:color w:val="000000"/>
        </w:rPr>
        <w:t xml:space="preserve"> atienda el requerimiento en los términos solicitados, pues dicha autoridad únicamente está constreñida a proporcionar la información pública que </w:t>
      </w:r>
      <w:r w:rsidRPr="00962221">
        <w:rPr>
          <w:rFonts w:ascii="Palatino Linotype" w:eastAsia="Palatino Linotype" w:hAnsi="Palatino Linotype" w:cs="Palatino Linotype"/>
          <w:color w:val="000000"/>
        </w:rPr>
        <w:lastRenderedPageBreak/>
        <w:t>genere en uso de sus atribuciones de derecho público con anterioridad a la fecha en la que se presenten las solicitudes de información, en el caso concreto, al catorce de agosto de dos mil veinticinco.</w:t>
      </w:r>
    </w:p>
    <w:p w:rsidR="006C7D2C" w:rsidRPr="00962221" w:rsidRDefault="006C7D2C">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En continuidad, conviene traer a colación lo establecido en el artículo 19 del Reglamento Interior de la Consejería Jurídica que a la letra establece lo siguiente:</w:t>
      </w:r>
    </w:p>
    <w:p w:rsidR="006C7D2C" w:rsidRPr="00962221" w:rsidRDefault="00B2748D">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b/>
          <w:bCs/>
          <w:i/>
          <w:iCs/>
          <w:color w:val="000000"/>
        </w:rPr>
        <w:t>Artículo 19.</w:t>
      </w:r>
      <w:r w:rsidRPr="00962221">
        <w:rPr>
          <w:rFonts w:ascii="Palatino Linotype" w:eastAsia="Palatino Linotype" w:hAnsi="Palatino Linotype" w:cs="Palatino Linotype"/>
          <w:i/>
          <w:iCs/>
          <w:color w:val="000000"/>
        </w:rPr>
        <w:t xml:space="preserve"> Está adscrito orgánica y presupuestalmente a la Consejería, un Órgano Interno de Control, cuya persona titular </w:t>
      </w:r>
      <w:r w:rsidRPr="00962221">
        <w:rPr>
          <w:rFonts w:ascii="Palatino Linotype" w:eastAsia="Palatino Linotype" w:hAnsi="Palatino Linotype" w:cs="Palatino Linotype"/>
          <w:b/>
          <w:bCs/>
          <w:i/>
          <w:iCs/>
          <w:color w:val="000000"/>
        </w:rPr>
        <w:t>depende funcionalmente de la Secretaría de la Contraloría</w:t>
      </w:r>
      <w:r w:rsidRPr="00962221">
        <w:rPr>
          <w:rFonts w:ascii="Palatino Linotype" w:eastAsia="Palatino Linotype" w:hAnsi="Palatino Linotype" w:cs="Palatino Linotype"/>
          <w:i/>
          <w:iCs/>
          <w:color w:val="000000"/>
        </w:rPr>
        <w:t>, con las atribuciones que se establecen en el Reglamento Interior de ésta y los demás ordenamientos legales y administrativos aplicables.</w:t>
      </w:r>
    </w:p>
    <w:p w:rsidR="006C7D2C" w:rsidRPr="00962221" w:rsidRDefault="006C7D2C">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6C7D2C" w:rsidRPr="00962221" w:rsidRDefault="00B2748D">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Ahora bien, tomando en consideración lo referido en el punto que antecede, conviene traer a colación lo establecido en el artículo 21 fracción II del Reglamento Interior de la Secretaría de la Contraloría, ordenamiento que establece:</w:t>
      </w:r>
    </w:p>
    <w:p w:rsidR="006C7D2C" w:rsidRPr="00962221" w:rsidRDefault="006C7D2C">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6C7D2C" w:rsidRPr="00962221" w:rsidRDefault="00B2748D">
      <w:pPr>
        <w:pBdr>
          <w:top w:val="nil"/>
          <w:left w:val="nil"/>
          <w:bottom w:val="nil"/>
          <w:right w:val="nil"/>
          <w:between w:val="nil"/>
        </w:pBdr>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b/>
          <w:bCs/>
          <w:i/>
          <w:iCs/>
        </w:rPr>
        <w:t>Artículo 21. Corresponden a la Dirección de Investigación</w:t>
      </w:r>
      <w:r w:rsidRPr="00962221">
        <w:rPr>
          <w:rFonts w:ascii="Palatino Linotype" w:eastAsia="Palatino Linotype" w:hAnsi="Palatino Linotype" w:cs="Palatino Linotype"/>
          <w:i/>
          <w:iCs/>
        </w:rPr>
        <w:t xml:space="preserve"> las atribuciones siguientes:</w:t>
      </w:r>
    </w:p>
    <w:p w:rsidR="006C7D2C" w:rsidRPr="00962221" w:rsidRDefault="00B2748D">
      <w:pPr>
        <w:pBdr>
          <w:top w:val="nil"/>
          <w:left w:val="nil"/>
          <w:bottom w:val="nil"/>
          <w:right w:val="nil"/>
          <w:between w:val="nil"/>
        </w:pBdr>
        <w:ind w:left="567" w:right="539"/>
        <w:jc w:val="both"/>
        <w:rPr>
          <w:rFonts w:ascii="Palatino Linotype" w:eastAsia="Palatino Linotype" w:hAnsi="Palatino Linotype" w:cs="Palatino Linotype"/>
          <w:b/>
          <w:bCs/>
          <w:i/>
          <w:iCs/>
        </w:rPr>
      </w:pPr>
      <w:r w:rsidRPr="00962221">
        <w:rPr>
          <w:rFonts w:ascii="Palatino Linotype" w:eastAsia="Palatino Linotype" w:hAnsi="Palatino Linotype" w:cs="Palatino Linotype"/>
          <w:b/>
          <w:bCs/>
          <w:i/>
          <w:iCs/>
        </w:rPr>
        <w:t>(…)</w:t>
      </w:r>
    </w:p>
    <w:p w:rsidR="006C7D2C" w:rsidRPr="00962221" w:rsidRDefault="00B2748D">
      <w:pPr>
        <w:pBdr>
          <w:top w:val="nil"/>
          <w:left w:val="nil"/>
          <w:bottom w:val="nil"/>
          <w:right w:val="nil"/>
          <w:between w:val="nil"/>
        </w:pBdr>
        <w:ind w:left="567" w:right="539"/>
        <w:jc w:val="both"/>
        <w:rPr>
          <w:rFonts w:ascii="Palatino Linotype" w:eastAsia="Palatino Linotype" w:hAnsi="Palatino Linotype" w:cs="Palatino Linotype"/>
          <w:b/>
          <w:bCs/>
          <w:i/>
          <w:iCs/>
        </w:rPr>
      </w:pPr>
      <w:r w:rsidRPr="00962221">
        <w:rPr>
          <w:rFonts w:ascii="Palatino Linotype" w:eastAsia="Palatino Linotype" w:hAnsi="Palatino Linotype" w:cs="Palatino Linotype"/>
          <w:b/>
          <w:bCs/>
          <w:i/>
          <w:iCs/>
        </w:rPr>
        <w:t>II. Iniciar las acciones para iniciar de oficio, por denuncia o derivado de auditorías realizadas por las autoridades competentes, las investigaciones por presuntas faltas administrativas o infracciones cometidas por las personas servidoras públicas o de los particulares vinculados con faltas administrativas graves, en términos de la Ley de Responsabilidades; así como instruir la remisión de las investigaciones iniciadas, al Órgano Interno de Control competente, cuando así se estime procedente</w:t>
      </w:r>
    </w:p>
    <w:p w:rsidR="006C7D2C" w:rsidRPr="00962221" w:rsidRDefault="00B2748D">
      <w:pPr>
        <w:pBdr>
          <w:top w:val="nil"/>
          <w:left w:val="nil"/>
          <w:bottom w:val="nil"/>
          <w:right w:val="nil"/>
          <w:between w:val="nil"/>
        </w:pBdr>
        <w:ind w:left="567" w:right="539"/>
        <w:jc w:val="both"/>
        <w:rPr>
          <w:rFonts w:ascii="Palatino Linotype" w:eastAsia="Palatino Linotype" w:hAnsi="Palatino Linotype" w:cs="Palatino Linotype"/>
          <w:b/>
          <w:bCs/>
          <w:i/>
          <w:iCs/>
        </w:rPr>
      </w:pPr>
      <w:r w:rsidRPr="00962221">
        <w:rPr>
          <w:rFonts w:ascii="Palatino Linotype" w:eastAsia="Palatino Linotype" w:hAnsi="Palatino Linotype" w:cs="Palatino Linotype"/>
          <w:b/>
          <w:bCs/>
          <w:i/>
          <w:iCs/>
        </w:rPr>
        <w:t>(…)</w:t>
      </w:r>
    </w:p>
    <w:p w:rsidR="006C7D2C" w:rsidRPr="00962221" w:rsidRDefault="006C7D2C">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 xml:space="preserve">Con lo anterior se advierte que la Unidad Administrativa encargada de tramitar lo relacionado con procedimientos es el Órgano Interno de Control, sin embargo del expediente electrónico no se advierte que se haya pronunciado, ni mucho menos que le hayan realizado </w:t>
      </w:r>
      <w:r w:rsidRPr="00962221">
        <w:rPr>
          <w:rFonts w:ascii="Palatino Linotype" w:eastAsia="Palatino Linotype" w:hAnsi="Palatino Linotype" w:cs="Palatino Linotype"/>
          <w:color w:val="000000"/>
        </w:rPr>
        <w:lastRenderedPageBreak/>
        <w:t xml:space="preserve">el requerimiento correspondiente, lo que evidencia que el </w:t>
      </w:r>
      <w:r w:rsidRPr="00962221">
        <w:rPr>
          <w:rFonts w:ascii="Palatino Linotype" w:eastAsia="Palatino Linotype" w:hAnsi="Palatino Linotype" w:cs="Palatino Linotype"/>
          <w:b/>
          <w:bCs/>
          <w:color w:val="000000"/>
        </w:rPr>
        <w:t xml:space="preserve">SUJETO OBLIGADO, </w:t>
      </w:r>
      <w:r w:rsidRPr="00962221">
        <w:rPr>
          <w:rFonts w:ascii="Palatino Linotype" w:eastAsia="Palatino Linotype" w:hAnsi="Palatino Linotype" w:cs="Palatino Linotype"/>
          <w:color w:val="000000"/>
        </w:rPr>
        <w:t>no cumplió con la búsqueda exhaustiva exigida por la ley de la materia.</w:t>
      </w:r>
    </w:p>
    <w:p w:rsidR="006C7D2C" w:rsidRPr="00962221" w:rsidRDefault="006C7D2C">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Ahora bien, derivado de la naturaleza de la información requerida, es necesario traer a contexto el artículo 10, de la Ley de Responsabilidades Administrativas del Estado de México y Municipios, en su parte conducente, confiere a los órganos internos de control la atribución para investigar, substanciar calificar faltas administrativas en el ámbito de su competencia, así como de  iniciar, substanciar, y resolver los procedimientos de responsabilidad administrativa en los términos previstos en dicha Ley, respecto de aquellos actos u omisiones que hayan sido calificados como faltas no graves.</w:t>
      </w:r>
    </w:p>
    <w:p w:rsidR="006C7D2C" w:rsidRPr="00962221" w:rsidRDefault="00B2748D">
      <w:pPr>
        <w:numPr>
          <w:ilvl w:val="0"/>
          <w:numId w:val="1"/>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Asimismo, el precepto en cita dispone que en aquellos casos en los cuales las autoridades investigadoras determinen en su calificación la existencia de faltas administrativas, así como la presunta responsabilidad del infractor, deben elaborar el Informe de Presunta Responsabilidad Administrativa y presentarlo a la autoridad sustanciadora para que procesa en los términos de la Ley de Responsabilidades de la entidad.</w:t>
      </w:r>
    </w:p>
    <w:p w:rsidR="006C7D2C" w:rsidRPr="00962221" w:rsidRDefault="006C7D2C">
      <w:pPr>
        <w:pBdr>
          <w:top w:val="nil"/>
          <w:left w:val="nil"/>
          <w:bottom w:val="nil"/>
          <w:right w:val="nil"/>
          <w:between w:val="nil"/>
        </w:pBdr>
        <w:ind w:left="720"/>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 xml:space="preserve">Al respecto, es importante mencionar que en términos de los artículos 3 fracciones XIII y XVI, 10 y 13 de la Ley de Responsabilidades Ley de Responsabilidades Administrativas del Estado de México y Municipios los órganos internos de control son competentes para investigar, substanciación y calificación de las faltas administrativas, así como imponer sanciones respecto de las faltas administrativas no graves de los servidores públicos; mientras que el Tribunal de Justicia Administrativa del Estado de México es competente para imponer </w:t>
      </w:r>
      <w:r w:rsidRPr="00962221">
        <w:rPr>
          <w:rFonts w:ascii="Palatino Linotype" w:eastAsia="Palatino Linotype" w:hAnsi="Palatino Linotype" w:cs="Palatino Linotype"/>
          <w:color w:val="000000"/>
        </w:rPr>
        <w:lastRenderedPageBreak/>
        <w:t xml:space="preserve">sanciones por faltas graves de servidores públicos, así como por actos u omisiones de personas físicas o jurídicas colectivas que se encuentran vinculadas con las faltas administrativas graves. </w:t>
      </w:r>
    </w:p>
    <w:p w:rsidR="006C7D2C" w:rsidRPr="00962221" w:rsidRDefault="006C7D2C">
      <w:pPr>
        <w:pBdr>
          <w:top w:val="nil"/>
          <w:left w:val="nil"/>
          <w:bottom w:val="nil"/>
          <w:right w:val="nil"/>
          <w:between w:val="nil"/>
        </w:pBdr>
        <w:ind w:left="720"/>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Hasta este punto es importante mencionar que el Particular fue muy preciso en solicitar las resoluciones emitidas en 2022, debiendo señalar que, las Contralorías Internas de los Sujetos Obligados únicamente investigan, substancian y califican faltas administrativas no graves; mientras que las graves son Competencia del Tribunal de Justicia Administrativa.</w:t>
      </w:r>
    </w:p>
    <w:p w:rsidR="006C7D2C" w:rsidRPr="00962221" w:rsidRDefault="006C7D2C">
      <w:pPr>
        <w:pBdr>
          <w:top w:val="nil"/>
          <w:left w:val="nil"/>
          <w:bottom w:val="nil"/>
          <w:right w:val="nil"/>
          <w:between w:val="nil"/>
        </w:pBdr>
        <w:ind w:left="720"/>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Atento a lo anterior, se colige que el Órgano Interno de Control cuenta con atribuciones para conocer de la información solicitada por la parte Recurrente, al ser el órgano responsable de investigación, substanciación y calificación de las faltas administrativas, así como de imponer sanciones respecto de las faltas administrativas no graves de los servidores públicos.</w:t>
      </w:r>
    </w:p>
    <w:p w:rsidR="006C7D2C" w:rsidRPr="00962221" w:rsidRDefault="006C7D2C">
      <w:pPr>
        <w:pBdr>
          <w:top w:val="nil"/>
          <w:left w:val="nil"/>
          <w:bottom w:val="nil"/>
          <w:right w:val="nil"/>
          <w:between w:val="nil"/>
        </w:pBdr>
        <w:ind w:left="720"/>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Ahora bien, por lo que se refiere a la materia de la solicitud, debe mencionarse que con motivo de la entrada en vigor de la Ley del Sistema Anticorrupción del Estado de México y Municipios publicada en el periódico oficial "Gaceta del Gobierno" el treinta de mayo de 2017, que establece que las sanciones no graves no serán públicas, toda vez que dicha información únicamente es de interés para los Poderes Ejecutivo, Legislativo y Judicial, los Ayuntamiento, Organismos Auxiliares, Fideicomisos Públicos y los Órganos Constitucionalmente Autónomos, en virtud de que exclusivamente se deriva de la relación entre autoridades administrativas y el dueño de los datos personales, para acatar las disposiciones contenidas en el artículo 53 de la citada Ley Anticorrupción y que son de la literalidad siguiente:</w:t>
      </w:r>
    </w:p>
    <w:p w:rsidR="006C7D2C" w:rsidRPr="00962221" w:rsidRDefault="00B2748D">
      <w:pPr>
        <w:spacing w:before="240" w:after="240" w:line="276" w:lineRule="auto"/>
        <w:ind w:left="567" w:right="680"/>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 xml:space="preserve">“Artículo 53. Las sanciones impuestas por faltas administrativas graves serán del conocimiento público cuando éstas contengan impedimentos o inhabilitaciones para ser contratados como servidores públicos o como prestadores de servicios o contratistas del </w:t>
      </w:r>
      <w:r w:rsidRPr="00962221">
        <w:rPr>
          <w:rFonts w:ascii="Palatino Linotype" w:eastAsia="Palatino Linotype" w:hAnsi="Palatino Linotype" w:cs="Palatino Linotype"/>
          <w:i/>
          <w:iCs/>
        </w:rPr>
        <w:lastRenderedPageBreak/>
        <w:t>sector público, en términos de la Ley de Responsabilidades Administrativas del Estado de México y Municipios.</w:t>
      </w:r>
    </w:p>
    <w:p w:rsidR="006C7D2C" w:rsidRPr="00962221" w:rsidRDefault="00B2748D">
      <w:pPr>
        <w:spacing w:before="240" w:after="240" w:line="276" w:lineRule="auto"/>
        <w:ind w:left="567" w:right="680"/>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Los registros de las sanciones relativas a responsabilidades administrativas no graves, quedarán registradas para efectos de eventual reincidencia, pero no serán públicas.”</w:t>
      </w:r>
    </w:p>
    <w:p w:rsidR="006C7D2C" w:rsidRPr="00962221" w:rsidRDefault="00B2748D">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En ese sentido es importante, referir que la Ley de Responsabilidades Administrativas del Estado de México y Municipios, vigente, señala como faltas administrativas no graves, lo siguiente:</w:t>
      </w:r>
    </w:p>
    <w:p w:rsidR="006C7D2C" w:rsidRPr="00962221" w:rsidRDefault="00B2748D">
      <w:pPr>
        <w:spacing w:before="240" w:after="240"/>
        <w:ind w:left="567" w:right="680"/>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“Artículo 3. Para los efectos de la presente Ley, se entenderá por:</w:t>
      </w:r>
    </w:p>
    <w:p w:rsidR="006C7D2C" w:rsidRPr="00962221" w:rsidRDefault="00B2748D">
      <w:pPr>
        <w:spacing w:before="240" w:after="240"/>
        <w:ind w:left="567" w:right="680"/>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w:t>
      </w:r>
    </w:p>
    <w:p w:rsidR="006C7D2C" w:rsidRPr="00962221" w:rsidRDefault="00B2748D">
      <w:pPr>
        <w:spacing w:before="240" w:after="240"/>
        <w:ind w:left="567" w:right="680"/>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XIII. Falta administrativa no grave: A las faltas administrativas de los servidores públicos en los términos de la presente Ley, cuya imposición de la sanción corresponde a la Secretaría de la Contraloría del Estado de México y a los órganos internos de control.</w:t>
      </w:r>
    </w:p>
    <w:p w:rsidR="006C7D2C" w:rsidRPr="00962221" w:rsidRDefault="00B2748D">
      <w:pPr>
        <w:spacing w:before="240" w:after="240"/>
        <w:ind w:left="567" w:right="680"/>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w:t>
      </w:r>
    </w:p>
    <w:p w:rsidR="006C7D2C" w:rsidRPr="00962221" w:rsidRDefault="00B2748D">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La Ley de Responsabilidades Administrativas vigente, contempla como faltas administrativas no graves, las cometidas por el servidor público que, con sus actos u omisiones, incumpla o transgreda sus obligaciones, entre las que se pueden englobar las establecidas en el artículo 50 de la Ley de responsabilidades en mérito:</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“Artículo 50. Incurre en falta administrativa no grave, el servidor público que con sus actos u omisiones, incumpla o transgreda las obligaciones siguientes:</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 xml:space="preserve">I. 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 </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lastRenderedPageBreak/>
        <w:t xml:space="preserve">II. Denunciar los actos u omisiones que en ejercicio de sus funciones llegare a advertir, que puedan constituir faltas administrativas en términos del artículo 95 de la presente Ley. </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 xml:space="preserve">III. Atender las instrucciones de sus superiores, siempre que éstas sean acordes con las disposiciones relacionadas con el servicio público. En caso de recibir instrucción o encomienda contraria a dichas disposiciones, deberá denunciar esta circunstancia en términos del artículo 95 de la presente Ley. </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 xml:space="preserve">IV. Presentar en tiempo y forma la declaración de situación patrimonial y la de intereses que, en su caso, considere se actualice, en los términos establecidos por esta Ley. </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 xml:space="preserve">V. Rendir cuentas sobre el ejercicio de las funciones, en términos de las normas aplicables. </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 xml:space="preserve">VI. Colaborar en los procedimientos judiciales y administrativos en los que sea parte. </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 xml:space="preserve">VII.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ejerzan control sobre la sociedad. Para efectos de la presente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jurídicas colectivas. </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lastRenderedPageBreak/>
        <w:t xml:space="preserve">VIII. Actuar y ejecutar legalmente con la máxima diligencia, los planes, programas, presupuestos y demás normas a fin de alcanzar las metas institucionales según sus responsabilidades, conforme a una cultura de servicio orientada al logro de resultados. </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 xml:space="preserve">IX.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 xml:space="preserve">X. Observar buena conducta en su empleo, cargo o comisión tratando con respeto, diligencia, imparcialidad y rectitud a las personas y servidores públicos con los que tenga relación con motivo de éste. </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 xml:space="preserve">XI. Observar un trato respetuoso con sus subalternos. </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 xml:space="preserve">XII. Supervisar que los servidores públicos sujetos a su dirección, cumplan con las disposiciones de esta Ley. </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 xml:space="preserve">XIII. Cumplir con la entrega de índole administrativo del despacho y de toda aquella documentación inherente a su cargo, en los términos que establezcan las disposiciones legales o administrativas que al efecto se señalen. </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 xml:space="preserve">XIV. Proporcionar, en su caso, en tiempo y forma ante las dependencias competentes, la documentación comprobatoria de la aplicación de recursos económicos federales, estatales o municipales, asignados a través de los programas respectivos. </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XV. Abstenerse de solicitar requisitos, cargas tributarias o cualquier otro concepto adicional no previsto en la legislación aplicable, que tengan por objeto condicionar la expedición de licencias de funcionamiento para unidades económicas o negocios.</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XVI. Cumplir con las disposiciones en materia de Gobierno Digital que impongan la Ley de la materia, su reglamento y demás disposiciones aplicables.</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lastRenderedPageBreak/>
        <w:t xml:space="preserve">XVII. Utilizar las medidas de seguridad informática y protección de datos e información personal recomendada por las instancias competentes. </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 xml:space="preserve">XVIII. Cumplir oportunamente con los laudos que dicte el Tribunal Estatal de Conciliación y Arbitraje o cualquier de las Salas Auxiliares del mismo, así como pagar el monto de las indemnizaciones y demás prestaciones a que tenga derecho el servidor público, y </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XIX. Las demás que le impongan las leyes, reglamentos o disposiciones administrativas aplicables.”</w:t>
      </w:r>
    </w:p>
    <w:p w:rsidR="006C7D2C" w:rsidRPr="00962221" w:rsidRDefault="00B2748D">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De la misma manera, el artículo 51 de la Ley de Responsabilidades Administrativas indica que también serán consideradas faltas administrativas no graves, los daños y perjuicios que de manera culposa o negligente y sin incurrir en alguna de las faltas administrativas graves, cause un servidor público a la Hacienda Pública o al patrimonio de un ente público, siendo de suma importancia mencionar que la autoridad resolutora podrá abstenerse de imponer la sanción que corresponda cuando el daño o perjuicio a la Hacienda Pública Estatal o Municipal o al patrimonio de los entes públicos no exceda de dos mil veces el valor diario de la unidad de medida y actualización y el daño haya sido resarcido o recuperado, tal como se lee en seguida:</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 xml:space="preserve">“Artículo 51. También se considerará falta administrativa no grave, los daños y perjuicios que, de manera culposa o negligente y sin incurrir en alguna de las faltas administrativas graves señaladas en el Capítulo siguiente, cause un servidor público a la Hacienda Pública o al patrimonio de un ente público. </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 xml:space="preserve">Los entes públicos o los particulares que, en términos de este artículo, hayan recibido recursos públicos sin tener derecho a los mismos, deberán reintegrar los mismos a la Hacienda Pública Estatal o Municipal o al patrimonio del ente público afectado en un plazo no mayor a 90 días, contados a partir de la notificación correspondiente por parte del Órgano Superior de Fiscalización o de la autoridad resolutora. </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lastRenderedPageBreak/>
        <w:t xml:space="preserve">En caso de no realizar el reintegro de los recursos señalados en el párrafo anterior, éstos serán considerados créditos fiscales, por lo que la Secretaría de Finanzas del Gobierno del Estado de México deberá ejecutar el cobro de los mismos en términos de las disposiciones jurídicas aplicables. </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La autoridad resolutora podrá abstenerse de imponer la sanción que corresponda conforme al artículo 79 de esta Ley cuando el daño o perjuicio a la Hacienda Pública Estatal o Municipal o al patrimonio de los entes públicos no exceda de dos mil veces el valor diario de la unidad de medida y actualización y el daño haya sido resarcido o recuperado.”</w:t>
      </w:r>
    </w:p>
    <w:p w:rsidR="006C7D2C" w:rsidRPr="00962221" w:rsidRDefault="00B2748D">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En otras palabras, los daños y perjuicios que cause un servidor público a la Hacienda Pública o al patrimonio de un ente público, también podrán ser considerados como una falta no grave, para lo cual se deben actualizar los siguientes supuestos:</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1. El daño o perjuicio se hubiera ocasionado de manera culposa o negligente, esto es sin dolo.</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2. No debe incurrir en alguna de las faltas administrativas graves.</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3. No exceda de dos mil veces el valor diario de la unidad de medida y actualización.</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4. El daño haya sido resarcido o recuperado.</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En caso contrario, los daños o perjuicios se considerarán como faltas graves.</w:t>
      </w:r>
    </w:p>
    <w:p w:rsidR="006C7D2C" w:rsidRPr="00962221" w:rsidRDefault="00B2748D">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 xml:space="preserve">Así, en el entendido de que a través del Órgano Interno de Control está facultado para investigar, substanciar y calificar las faltas administrativas, imponer sanciones respecto de las faltas administrativas no graves de los servidores públicos, bajo la premisa de que, según lo dispuesto en los artículos 18, 24 fracción XXII y 160 párrafo primero de la Ley de Transparencia y Acceso a la Información Pública del Estado de México y Municipios, los Sujetos Obligados tienen el ineludible compromiso de documentar todos los actos que deriven de sus </w:t>
      </w:r>
      <w:r w:rsidRPr="00962221">
        <w:rPr>
          <w:rFonts w:ascii="Palatino Linotype" w:eastAsia="Palatino Linotype" w:hAnsi="Palatino Linotype" w:cs="Palatino Linotype"/>
          <w:color w:val="000000"/>
        </w:rPr>
        <w:lastRenderedPageBreak/>
        <w:t xml:space="preserve">atribuciones, funciones y competencias considerando desde su origen la eventual publicidad de la información como a continuación se lee: </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“Artículo 18. Los sujetos obligados deberán documentar todo acto que derive del ejercicio de sus facultades, competencias o funciones, considerando desde su origen la eventual publicidad y reutilización de la información que generen.</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Artículo 24. Para el cumplimiento de los objetivos de esta Ley, los sujetos obligados deberán cumplir con las siguientes obligaciones, según corresponda, de acuerdo a su naturaleza:</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XXII. Documentar todo acto que derive del ejercicio de sus facultades, competencias o funciones y abstenerse de destruirlos u ocultarlos, dentro de los que destacan los procesos deliberativos y de decisión definitiva;</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w:t>
      </w:r>
    </w:p>
    <w:p w:rsidR="006C7D2C" w:rsidRPr="00962221" w:rsidRDefault="00B2748D">
      <w:pPr>
        <w:spacing w:before="240" w:after="240" w:line="276" w:lineRule="auto"/>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6C7D2C" w:rsidRPr="00962221" w:rsidRDefault="00B2748D">
      <w:pPr>
        <w:numPr>
          <w:ilvl w:val="0"/>
          <w:numId w:val="1"/>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Entonces, al ser información que el Sujeto Obligado genera, administra y posee por estar dentro de sus atribuciones, funciones y competencias del Órgano Interno de Control respecto a expedientes relacionados con procedimientos de responsabilidades administrativas no graves.</w:t>
      </w:r>
    </w:p>
    <w:p w:rsidR="006C7D2C" w:rsidRPr="00962221" w:rsidRDefault="006C7D2C">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 xml:space="preserve">Así las cosas, cabe cabe resaltar que, la Ley de Transparencia y Acceso a la Información Pública del Estado de México y Municipios, en su artículo 150, establece que el procedimiento </w:t>
      </w:r>
      <w:r w:rsidRPr="00962221">
        <w:rPr>
          <w:rFonts w:ascii="Palatino Linotype" w:eastAsia="Palatino Linotype" w:hAnsi="Palatino Linotype" w:cs="Palatino Linotype"/>
          <w:color w:val="000000"/>
        </w:rPr>
        <w:lastRenderedPageBreak/>
        <w:t>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6C7D2C" w:rsidRPr="00962221" w:rsidRDefault="00B2748D">
      <w:pPr>
        <w:pBdr>
          <w:top w:val="nil"/>
          <w:left w:val="nil"/>
          <w:bottom w:val="nil"/>
          <w:right w:val="nil"/>
          <w:between w:val="nil"/>
        </w:pBdr>
        <w:tabs>
          <w:tab w:val="left" w:pos="2475"/>
        </w:tabs>
        <w:spacing w:line="360" w:lineRule="auto"/>
        <w:ind w:right="-847"/>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ab/>
      </w:r>
    </w:p>
    <w:p w:rsidR="006C7D2C" w:rsidRPr="00962221" w:rsidRDefault="00B2748D">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En este sentido, para atender las solicitudes de información, los Sujetos Obligados contarán con un área denominada Unidad de Transparencia</w:t>
      </w:r>
      <w:r w:rsidRPr="00962221">
        <w:rPr>
          <w:rFonts w:ascii="Century Gothic" w:eastAsia="Century Gothic" w:hAnsi="Century Gothic" w:cs="Century Gothic"/>
          <w:color w:val="000000"/>
          <w:vertAlign w:val="superscript"/>
        </w:rPr>
        <w:footnoteReference w:id="5"/>
      </w:r>
      <w:r w:rsidRPr="00962221">
        <w:rPr>
          <w:rFonts w:ascii="Palatino Linotype" w:eastAsia="Palatino Linotype" w:hAnsi="Palatino Linotype" w:cs="Palatino Linotype"/>
          <w:color w:val="000000"/>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962221">
        <w:rPr>
          <w:rFonts w:ascii="Palatino Linotype" w:eastAsia="Palatino Linotype" w:hAnsi="Palatino Linotype" w:cs="Palatino Linotype"/>
          <w:b/>
          <w:bCs/>
          <w:color w:val="000000"/>
        </w:rPr>
        <w:t xml:space="preserve"> </w:t>
      </w:r>
      <w:r w:rsidRPr="00962221">
        <w:rPr>
          <w:rFonts w:ascii="Palatino Linotype" w:eastAsia="Palatino Linotype" w:hAnsi="Palatino Linotype" w:cs="Palatino Linotype"/>
          <w:color w:val="000000"/>
        </w:rPr>
        <w:t>en los términos de la Ley General y la Ley de Transparencia y Acceso a la Información Pública del Estado de México y Municipios</w:t>
      </w:r>
      <w:r w:rsidRPr="00962221">
        <w:rPr>
          <w:rFonts w:ascii="Century Gothic" w:eastAsia="Century Gothic" w:hAnsi="Century Gothic" w:cs="Century Gothic"/>
          <w:color w:val="000000"/>
          <w:vertAlign w:val="superscript"/>
        </w:rPr>
        <w:footnoteReference w:id="6"/>
      </w:r>
      <w:r w:rsidRPr="00962221">
        <w:rPr>
          <w:rFonts w:ascii="Palatino Linotype" w:eastAsia="Palatino Linotype" w:hAnsi="Palatino Linotype" w:cs="Palatino Linotype"/>
          <w:color w:val="000000"/>
        </w:rPr>
        <w:t>.</w:t>
      </w:r>
    </w:p>
    <w:p w:rsidR="006C7D2C" w:rsidRPr="00962221" w:rsidRDefault="006C7D2C">
      <w:pPr>
        <w:ind w:right="-847"/>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962221">
        <w:rPr>
          <w:rFonts w:ascii="Palatino Linotype" w:eastAsia="Palatino Linotype" w:hAnsi="Palatino Linotype" w:cs="Palatino Linotype"/>
          <w:color w:val="000000"/>
        </w:rPr>
        <w:t>De conformidad con lo dispuesto en la Ley de Transparencia y Acceso a la Información Pública del Estado de México y Municipios, las Unidades de Transparencia tendrán, entre sus atribuciones, las siguientes:</w:t>
      </w:r>
    </w:p>
    <w:p w:rsidR="006C7D2C" w:rsidRPr="00962221" w:rsidRDefault="00B2748D">
      <w:pPr>
        <w:numPr>
          <w:ilvl w:val="1"/>
          <w:numId w:val="8"/>
        </w:numPr>
        <w:pBdr>
          <w:top w:val="nil"/>
          <w:left w:val="nil"/>
          <w:bottom w:val="nil"/>
          <w:right w:val="nil"/>
          <w:between w:val="nil"/>
        </w:pBdr>
        <w:ind w:left="709" w:right="539" w:hanging="142"/>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Recibir, tramitar y dar respuesta a las solicitudes de acceso a la información;</w:t>
      </w:r>
    </w:p>
    <w:p w:rsidR="006C7D2C" w:rsidRPr="00962221" w:rsidRDefault="00B2748D">
      <w:pPr>
        <w:numPr>
          <w:ilvl w:val="1"/>
          <w:numId w:val="8"/>
        </w:numPr>
        <w:pBdr>
          <w:top w:val="nil"/>
          <w:left w:val="nil"/>
          <w:bottom w:val="nil"/>
          <w:right w:val="nil"/>
          <w:between w:val="nil"/>
        </w:pBdr>
        <w:ind w:left="709" w:right="539" w:hanging="142"/>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 xml:space="preserve">Realizar, con efectividad, los trámites internos necesarios para la atención de las solicitudes de acceso a la información; </w:t>
      </w:r>
    </w:p>
    <w:p w:rsidR="006C7D2C" w:rsidRPr="00962221" w:rsidRDefault="00B2748D">
      <w:pPr>
        <w:numPr>
          <w:ilvl w:val="1"/>
          <w:numId w:val="8"/>
        </w:numPr>
        <w:pBdr>
          <w:top w:val="nil"/>
          <w:left w:val="nil"/>
          <w:bottom w:val="nil"/>
          <w:right w:val="nil"/>
          <w:between w:val="nil"/>
        </w:pBdr>
        <w:ind w:left="709" w:right="539" w:hanging="142"/>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 xml:space="preserve">Entregar, en su caso, a los particulares la información solicitada; y </w:t>
      </w:r>
    </w:p>
    <w:p w:rsidR="006C7D2C" w:rsidRPr="00962221" w:rsidRDefault="00B2748D">
      <w:pPr>
        <w:numPr>
          <w:ilvl w:val="1"/>
          <w:numId w:val="8"/>
        </w:numPr>
        <w:pBdr>
          <w:top w:val="nil"/>
          <w:left w:val="nil"/>
          <w:bottom w:val="nil"/>
          <w:right w:val="nil"/>
          <w:between w:val="nil"/>
        </w:pBdr>
        <w:spacing w:after="240"/>
        <w:ind w:left="709" w:right="539" w:hanging="142"/>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Efectuar las notificaciones a los solicitantes.</w:t>
      </w:r>
    </w:p>
    <w:p w:rsidR="006C7D2C" w:rsidRPr="00962221" w:rsidRDefault="00B2748D">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962221">
        <w:rPr>
          <w:rFonts w:ascii="Palatino Linotype" w:eastAsia="Palatino Linotype" w:hAnsi="Palatino Linotype" w:cs="Palatino Linotype"/>
          <w:color w:val="000000"/>
        </w:rPr>
        <w:lastRenderedPageBreak/>
        <w:t xml:space="preserve">Otros sujetos del proceso de atención a las solicitudes de información son los servidores públicos habilitados, quienes serán designados por el titular del </w:t>
      </w:r>
      <w:r w:rsidRPr="00962221">
        <w:rPr>
          <w:rFonts w:ascii="Palatino Linotype" w:eastAsia="Palatino Linotype" w:hAnsi="Palatino Linotype" w:cs="Palatino Linotype"/>
          <w:b/>
          <w:bCs/>
          <w:color w:val="000000"/>
        </w:rPr>
        <w:t xml:space="preserve">SUJETO OBLIGADO </w:t>
      </w:r>
      <w:r w:rsidRPr="00962221">
        <w:rPr>
          <w:rFonts w:ascii="Palatino Linotype" w:eastAsia="Palatino Linotype" w:hAnsi="Palatino Linotype" w:cs="Palatino Linotype"/>
          <w:color w:val="000000"/>
        </w:rPr>
        <w:t>a propuesta del responsable de la Unidad de Transparencia</w:t>
      </w:r>
      <w:r w:rsidRPr="00962221">
        <w:rPr>
          <w:rFonts w:ascii="Palatino Linotype" w:eastAsia="Palatino Linotype" w:hAnsi="Palatino Linotype" w:cs="Palatino Linotype"/>
          <w:color w:val="000000"/>
          <w:vertAlign w:val="superscript"/>
        </w:rPr>
        <w:footnoteReference w:id="7"/>
      </w:r>
      <w:r w:rsidRPr="00962221">
        <w:rPr>
          <w:rFonts w:ascii="Palatino Linotype" w:eastAsia="Palatino Linotype" w:hAnsi="Palatino Linotype" w:cs="Palatino Linotype"/>
          <w:color w:val="000000"/>
        </w:rPr>
        <w:t xml:space="preserve"> y tendrán, entre sus atribuciones, las siguientes</w:t>
      </w:r>
      <w:r w:rsidRPr="00962221">
        <w:rPr>
          <w:rFonts w:ascii="Palatino Linotype" w:eastAsia="Palatino Linotype" w:hAnsi="Palatino Linotype" w:cs="Palatino Linotype"/>
          <w:color w:val="000000"/>
          <w:vertAlign w:val="superscript"/>
        </w:rPr>
        <w:footnoteReference w:id="8"/>
      </w:r>
      <w:r w:rsidRPr="00962221">
        <w:rPr>
          <w:rFonts w:ascii="Palatino Linotype" w:eastAsia="Palatino Linotype" w:hAnsi="Palatino Linotype" w:cs="Palatino Linotype"/>
          <w:color w:val="000000"/>
        </w:rPr>
        <w:t>:</w:t>
      </w:r>
    </w:p>
    <w:p w:rsidR="006C7D2C" w:rsidRPr="00962221" w:rsidRDefault="00B2748D">
      <w:pPr>
        <w:numPr>
          <w:ilvl w:val="1"/>
          <w:numId w:val="9"/>
        </w:numPr>
        <w:pBdr>
          <w:top w:val="nil"/>
          <w:left w:val="nil"/>
          <w:bottom w:val="nil"/>
          <w:right w:val="nil"/>
          <w:between w:val="nil"/>
        </w:pBdr>
        <w:spacing w:before="240"/>
        <w:ind w:left="709" w:right="-280" w:hanging="142"/>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Localizar la información que le solicite la Unidad de Transparencia; y</w:t>
      </w:r>
    </w:p>
    <w:p w:rsidR="006C7D2C" w:rsidRPr="00962221" w:rsidRDefault="00B2748D">
      <w:pPr>
        <w:numPr>
          <w:ilvl w:val="1"/>
          <w:numId w:val="9"/>
        </w:numPr>
        <w:pBdr>
          <w:top w:val="nil"/>
          <w:left w:val="nil"/>
          <w:bottom w:val="nil"/>
          <w:right w:val="nil"/>
          <w:between w:val="nil"/>
        </w:pBdr>
        <w:spacing w:after="240"/>
        <w:ind w:left="709" w:right="539" w:hanging="142"/>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Proporcionar la información que obre en los archivos y que le sea solicitada por la Unidad de Transparencia.</w:t>
      </w:r>
    </w:p>
    <w:p w:rsidR="006C7D2C" w:rsidRPr="00962221" w:rsidRDefault="006C7D2C">
      <w:pPr>
        <w:tabs>
          <w:tab w:val="left" w:pos="426"/>
          <w:tab w:val="left" w:pos="567"/>
        </w:tabs>
        <w:ind w:right="-847"/>
        <w:jc w:val="both"/>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962221">
        <w:rPr>
          <w:rFonts w:ascii="Palatino Linotype" w:eastAsia="Palatino Linotype" w:hAnsi="Palatino Linotype" w:cs="Palatino Linotype"/>
          <w:color w:val="000000"/>
        </w:rPr>
        <w:t xml:space="preserve">De tal manera que cada una de las áreas administrativas del </w:t>
      </w:r>
      <w:r w:rsidRPr="00962221">
        <w:rPr>
          <w:rFonts w:ascii="Palatino Linotype" w:eastAsia="Palatino Linotype" w:hAnsi="Palatino Linotype" w:cs="Palatino Linotype"/>
          <w:b/>
          <w:bCs/>
          <w:color w:val="000000"/>
        </w:rPr>
        <w:t>SUJETO OBLIGADO</w:t>
      </w:r>
      <w:r w:rsidRPr="00962221">
        <w:rPr>
          <w:rFonts w:ascii="Palatino Linotype" w:eastAsia="Palatino Linotype" w:hAnsi="Palatino Linotype" w:cs="Palatino Linotype"/>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rsidR="006C7D2C" w:rsidRPr="00962221" w:rsidRDefault="006C7D2C">
      <w:pPr>
        <w:ind w:right="-847"/>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962221">
        <w:rPr>
          <w:rFonts w:ascii="Palatino Linotype" w:eastAsia="Palatino Linotype" w:hAnsi="Palatino Linotype" w:cs="Palatino Linotype"/>
          <w:color w:val="000000"/>
        </w:rPr>
        <w:t>Aunado a lo anterior, la Ley de Transparencia y Acceso a la Información Pública del Estado de México y Municipios, en su artículo 53, establece las funciones correspondientes a esta Unidad; mismas que se inserta a continuación:</w:t>
      </w:r>
    </w:p>
    <w:p w:rsidR="006C7D2C" w:rsidRPr="00962221" w:rsidRDefault="00B2748D">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b/>
          <w:bCs/>
          <w:i/>
          <w:iCs/>
          <w:color w:val="000000"/>
        </w:rPr>
        <w:t>“Artículo 53</w:t>
      </w:r>
      <w:r w:rsidRPr="00962221">
        <w:rPr>
          <w:rFonts w:ascii="Palatino Linotype" w:eastAsia="Palatino Linotype" w:hAnsi="Palatino Linotype" w:cs="Palatino Linotype"/>
          <w:i/>
          <w:iCs/>
          <w:color w:val="000000"/>
        </w:rPr>
        <w:t xml:space="preserve">. Las Unidades de Transparencia tendrán las siguientes funciones: </w:t>
      </w:r>
    </w:p>
    <w:p w:rsidR="006C7D2C" w:rsidRPr="00962221" w:rsidRDefault="006C7D2C">
      <w:pPr>
        <w:pBdr>
          <w:top w:val="nil"/>
          <w:left w:val="nil"/>
          <w:bottom w:val="nil"/>
          <w:right w:val="nil"/>
          <w:between w:val="nil"/>
        </w:pBdr>
        <w:tabs>
          <w:tab w:val="left" w:pos="426"/>
        </w:tabs>
        <w:ind w:left="567" w:right="-280"/>
        <w:jc w:val="both"/>
        <w:rPr>
          <w:rFonts w:ascii="Palatino Linotype" w:eastAsia="Palatino Linotype" w:hAnsi="Palatino Linotype" w:cs="Palatino Linotype"/>
          <w:i/>
          <w:iCs/>
          <w:color w:val="000000"/>
        </w:rPr>
      </w:pPr>
    </w:p>
    <w:p w:rsidR="006C7D2C" w:rsidRPr="00962221" w:rsidRDefault="00B2748D">
      <w:pPr>
        <w:pBdr>
          <w:top w:val="nil"/>
          <w:left w:val="nil"/>
          <w:bottom w:val="nil"/>
          <w:right w:val="nil"/>
          <w:between w:val="nil"/>
        </w:pBdr>
        <w:tabs>
          <w:tab w:val="left" w:pos="426"/>
        </w:tabs>
        <w:ind w:left="567" w:right="-280"/>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6C7D2C" w:rsidRPr="00962221" w:rsidRDefault="00B2748D">
      <w:pPr>
        <w:pBdr>
          <w:top w:val="nil"/>
          <w:left w:val="nil"/>
          <w:bottom w:val="nil"/>
          <w:right w:val="nil"/>
          <w:between w:val="nil"/>
        </w:pBdr>
        <w:tabs>
          <w:tab w:val="left" w:pos="426"/>
        </w:tabs>
        <w:ind w:left="567" w:right="-280"/>
        <w:jc w:val="both"/>
        <w:rPr>
          <w:rFonts w:ascii="Palatino Linotype" w:eastAsia="Palatino Linotype" w:hAnsi="Palatino Linotype" w:cs="Palatino Linotype"/>
          <w:b/>
          <w:bCs/>
          <w:i/>
          <w:iCs/>
          <w:color w:val="000000"/>
        </w:rPr>
      </w:pPr>
      <w:r w:rsidRPr="00962221">
        <w:rPr>
          <w:rFonts w:ascii="Palatino Linotype" w:eastAsia="Palatino Linotype" w:hAnsi="Palatino Linotype" w:cs="Palatino Linotype"/>
          <w:b/>
          <w:bCs/>
          <w:i/>
          <w:iCs/>
          <w:color w:val="000000"/>
        </w:rPr>
        <w:t xml:space="preserve">II. Recibir, tramitar y dar respuesta a las solicitudes de acceso a la información; </w:t>
      </w:r>
    </w:p>
    <w:p w:rsidR="006C7D2C" w:rsidRPr="00962221" w:rsidRDefault="00B2748D">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 xml:space="preserve">III. Auxiliar a los particulares en la elaboración de solicitudes de acceso a la información y, en su caso, orientarlos sobre los sujetos obligados competentes conforme a la normatividad aplicable; </w:t>
      </w:r>
    </w:p>
    <w:p w:rsidR="006C7D2C" w:rsidRPr="00962221" w:rsidRDefault="00B2748D">
      <w:pPr>
        <w:pBdr>
          <w:top w:val="nil"/>
          <w:left w:val="nil"/>
          <w:bottom w:val="nil"/>
          <w:right w:val="nil"/>
          <w:between w:val="nil"/>
        </w:pBdr>
        <w:tabs>
          <w:tab w:val="left" w:pos="426"/>
        </w:tabs>
        <w:ind w:left="567" w:right="539"/>
        <w:jc w:val="both"/>
        <w:rPr>
          <w:rFonts w:ascii="Palatino Linotype" w:eastAsia="Palatino Linotype" w:hAnsi="Palatino Linotype" w:cs="Palatino Linotype"/>
          <w:b/>
          <w:bCs/>
          <w:i/>
          <w:iCs/>
          <w:color w:val="000000"/>
        </w:rPr>
      </w:pPr>
      <w:r w:rsidRPr="00962221">
        <w:rPr>
          <w:rFonts w:ascii="Palatino Linotype" w:eastAsia="Palatino Linotype" w:hAnsi="Palatino Linotype" w:cs="Palatino Linotype"/>
          <w:b/>
          <w:bCs/>
          <w:i/>
          <w:iCs/>
          <w:color w:val="000000"/>
        </w:rPr>
        <w:lastRenderedPageBreak/>
        <w:t xml:space="preserve">IV. Realizar, con efectividad, los trámites internos necesarios para la atención de las solicitudes de acceso a la información; </w:t>
      </w:r>
    </w:p>
    <w:p w:rsidR="006C7D2C" w:rsidRPr="00962221" w:rsidRDefault="00B2748D">
      <w:pPr>
        <w:pBdr>
          <w:top w:val="nil"/>
          <w:left w:val="nil"/>
          <w:bottom w:val="nil"/>
          <w:right w:val="nil"/>
          <w:between w:val="nil"/>
        </w:pBdr>
        <w:tabs>
          <w:tab w:val="left" w:pos="426"/>
        </w:tabs>
        <w:ind w:left="567" w:right="-280"/>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 xml:space="preserve">V. Entregar, en su caso, a los particulares la información solicitada; </w:t>
      </w:r>
    </w:p>
    <w:p w:rsidR="006C7D2C" w:rsidRPr="00962221" w:rsidRDefault="00B2748D">
      <w:pPr>
        <w:pBdr>
          <w:top w:val="nil"/>
          <w:left w:val="nil"/>
          <w:bottom w:val="nil"/>
          <w:right w:val="nil"/>
          <w:between w:val="nil"/>
        </w:pBdr>
        <w:tabs>
          <w:tab w:val="left" w:pos="426"/>
        </w:tabs>
        <w:ind w:left="567" w:right="-280"/>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 xml:space="preserve">VI. Efectuar las notificaciones a los solicitantes; </w:t>
      </w:r>
    </w:p>
    <w:p w:rsidR="006C7D2C" w:rsidRPr="00962221" w:rsidRDefault="00B2748D">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 xml:space="preserve">VII. Proponer al Comité de Transparencia, los procedimientos internos que aseguren la mayor eficiencia en la gestión de las solicitudes de acceso a la información, conforme a la normatividad aplicable; </w:t>
      </w:r>
    </w:p>
    <w:p w:rsidR="006C7D2C" w:rsidRPr="00962221" w:rsidRDefault="00B2748D">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 xml:space="preserve">VIII. Proponer a quien preside el Comité de Transparencia, personal habilitado que sea necesario para recibir y dar trámite a las solicitudes de acceso a la información; </w:t>
      </w:r>
    </w:p>
    <w:p w:rsidR="006C7D2C" w:rsidRPr="00962221" w:rsidRDefault="00B2748D">
      <w:pPr>
        <w:pBdr>
          <w:top w:val="nil"/>
          <w:left w:val="nil"/>
          <w:bottom w:val="nil"/>
          <w:right w:val="nil"/>
          <w:between w:val="nil"/>
        </w:pBdr>
        <w:tabs>
          <w:tab w:val="left" w:pos="426"/>
        </w:tabs>
        <w:ind w:left="567" w:right="539"/>
        <w:jc w:val="both"/>
        <w:rPr>
          <w:rFonts w:ascii="Palatino Linotype" w:eastAsia="Palatino Linotype" w:hAnsi="Palatino Linotype" w:cs="Palatino Linotype"/>
          <w:b/>
          <w:bCs/>
          <w:i/>
          <w:iCs/>
          <w:color w:val="000000"/>
        </w:rPr>
      </w:pPr>
      <w:r w:rsidRPr="00962221">
        <w:rPr>
          <w:rFonts w:ascii="Palatino Linotype" w:eastAsia="Palatino Linotype" w:hAnsi="Palatino Linotype" w:cs="Palatino Linotype"/>
          <w:b/>
          <w:bCs/>
          <w:i/>
          <w:iCs/>
          <w:color w:val="000000"/>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6C7D2C" w:rsidRPr="00962221" w:rsidRDefault="00B2748D">
      <w:pPr>
        <w:pBdr>
          <w:top w:val="nil"/>
          <w:left w:val="nil"/>
          <w:bottom w:val="nil"/>
          <w:right w:val="nil"/>
          <w:between w:val="nil"/>
        </w:pBdr>
        <w:tabs>
          <w:tab w:val="left" w:pos="426"/>
        </w:tabs>
        <w:ind w:left="567" w:right="-280"/>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 xml:space="preserve">X. Presentar ante el Comité, el proyecto de clasificación de información; </w:t>
      </w:r>
    </w:p>
    <w:p w:rsidR="006C7D2C" w:rsidRPr="00962221" w:rsidRDefault="00B2748D">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 xml:space="preserve">XI. Promover e implementar políticas de transparencia proactiva procurando su accesibilidad; </w:t>
      </w:r>
    </w:p>
    <w:p w:rsidR="006C7D2C" w:rsidRPr="00962221" w:rsidRDefault="00B2748D">
      <w:pPr>
        <w:pBdr>
          <w:top w:val="nil"/>
          <w:left w:val="nil"/>
          <w:bottom w:val="nil"/>
          <w:right w:val="nil"/>
          <w:between w:val="nil"/>
        </w:pBdr>
        <w:tabs>
          <w:tab w:val="left" w:pos="426"/>
        </w:tabs>
        <w:ind w:left="567" w:right="-280"/>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 xml:space="preserve">XII. Fomentar la transparencia y accesibilidad al interior del sujeto obligado; </w:t>
      </w:r>
    </w:p>
    <w:p w:rsidR="006C7D2C" w:rsidRPr="00962221" w:rsidRDefault="00B2748D">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XIII. Hacer del conocimiento de la instancia competente la probable responsabilidad por el incumplimiento de las obligaciones previstas en la presente Ley; y</w:t>
      </w:r>
    </w:p>
    <w:p w:rsidR="006C7D2C" w:rsidRPr="00962221" w:rsidRDefault="00B2748D">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XIV. Las demás que resulten necesarias para facilitar el acceso a la información y aquellas que se desprenden de la presente Ley y demás disposiciones jurídicas aplicables. (…)</w:t>
      </w:r>
    </w:p>
    <w:p w:rsidR="006C7D2C" w:rsidRPr="00962221" w:rsidRDefault="00B2748D">
      <w:pPr>
        <w:pBdr>
          <w:top w:val="nil"/>
          <w:left w:val="nil"/>
          <w:bottom w:val="nil"/>
          <w:right w:val="nil"/>
          <w:between w:val="nil"/>
        </w:pBdr>
        <w:tabs>
          <w:tab w:val="left" w:pos="426"/>
        </w:tabs>
        <w:spacing w:after="240"/>
        <w:ind w:left="567" w:right="539"/>
        <w:jc w:val="both"/>
        <w:rPr>
          <w:rFonts w:ascii="Palatino Linotype" w:eastAsia="Palatino Linotype" w:hAnsi="Palatino Linotype" w:cs="Palatino Linotype"/>
          <w:i/>
          <w:iCs/>
          <w:color w:val="000000"/>
        </w:rPr>
      </w:pPr>
      <w:r w:rsidRPr="00962221">
        <w:rPr>
          <w:rFonts w:ascii="Palatino Linotype" w:eastAsia="Palatino Linotype" w:hAnsi="Palatino Linotype" w:cs="Palatino Linotype"/>
          <w:i/>
          <w:iCs/>
          <w:color w:val="000000"/>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rsidR="006C7D2C" w:rsidRPr="00962221" w:rsidRDefault="006C7D2C">
      <w:pPr>
        <w:tabs>
          <w:tab w:val="left" w:pos="426"/>
        </w:tabs>
        <w:spacing w:before="240" w:after="240"/>
        <w:ind w:right="-847"/>
        <w:jc w:val="both"/>
        <w:rPr>
          <w:rFonts w:ascii="Palatino Linotype" w:eastAsia="Palatino Linotype" w:hAnsi="Palatino Linotype" w:cs="Palatino Linotype"/>
          <w:i/>
          <w:iCs/>
        </w:rPr>
      </w:pPr>
    </w:p>
    <w:p w:rsidR="006C7D2C" w:rsidRPr="00962221" w:rsidRDefault="00B2748D">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962221">
        <w:rPr>
          <w:rFonts w:ascii="Palatino Linotype" w:eastAsia="Palatino Linotype" w:hAnsi="Palatino Linotype" w:cs="Palatino Linotype"/>
          <w:color w:val="000000"/>
        </w:rPr>
        <w:t>De lo expuesto y con relación a lo solicitado, se tiene que, la Unidad de Transparencia es la encargada de recibir, tramitar y dar respuesta a las solicitudes de acceso a la información.</w:t>
      </w:r>
    </w:p>
    <w:p w:rsidR="006C7D2C" w:rsidRPr="00962221" w:rsidRDefault="006C7D2C">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b/>
          <w:bCs/>
        </w:rPr>
      </w:pPr>
      <w:r w:rsidRPr="00962221">
        <w:rPr>
          <w:rFonts w:ascii="Palatino Linotype" w:eastAsia="Palatino Linotype" w:hAnsi="Palatino Linotype" w:cs="Palatino Linotype"/>
          <w:color w:val="000000"/>
        </w:rPr>
        <w:lastRenderedPageBreak/>
        <w:t xml:space="preserve">En este sentido, se advierte que, el </w:t>
      </w:r>
      <w:r w:rsidRPr="00962221">
        <w:rPr>
          <w:rFonts w:ascii="Palatino Linotype" w:eastAsia="Palatino Linotype" w:hAnsi="Palatino Linotype" w:cs="Palatino Linotype"/>
          <w:b/>
          <w:bCs/>
          <w:color w:val="000000"/>
        </w:rPr>
        <w:t>SUJETO OBLIGADO</w:t>
      </w:r>
      <w:r w:rsidRPr="00962221">
        <w:rPr>
          <w:rFonts w:ascii="Palatino Linotype" w:eastAsia="Palatino Linotype" w:hAnsi="Palatino Linotype" w:cs="Palatino Linotype"/>
          <w:color w:val="000000"/>
        </w:rPr>
        <w:t xml:space="preserve"> cumplió con el procedimiento de búsqueda exhaustiva y razonable, pues gestionó la solicitud de información en la unidad en donde </w:t>
      </w:r>
      <w:r w:rsidRPr="00962221">
        <w:rPr>
          <w:rFonts w:ascii="Palatino Linotype" w:eastAsia="Palatino Linotype" w:hAnsi="Palatino Linotype" w:cs="Palatino Linotype"/>
          <w:color w:val="000000"/>
          <w:u w:val="single"/>
        </w:rPr>
        <w:t>pudiera</w:t>
      </w:r>
      <w:r w:rsidRPr="00962221">
        <w:rPr>
          <w:rFonts w:ascii="Palatino Linotype" w:eastAsia="Palatino Linotype" w:hAnsi="Palatino Linotype" w:cs="Palatino Linotype"/>
          <w:color w:val="000000"/>
        </w:rPr>
        <w:t xml:space="preserve"> obrar la citada información, siendo este;  el </w:t>
      </w:r>
      <w:r w:rsidRPr="00962221">
        <w:rPr>
          <w:rFonts w:ascii="Palatino Linotype" w:eastAsia="Palatino Linotype" w:hAnsi="Palatino Linotype" w:cs="Palatino Linotype"/>
          <w:b/>
          <w:bCs/>
          <w:color w:val="000000"/>
        </w:rPr>
        <w:t xml:space="preserve">Órgano Interno de Control, </w:t>
      </w:r>
      <w:r w:rsidRPr="00962221">
        <w:rPr>
          <w:rFonts w:ascii="Palatino Linotype" w:eastAsia="Palatino Linotype" w:hAnsi="Palatino Linotype" w:cs="Palatino Linotype"/>
          <w:color w:val="000000"/>
        </w:rPr>
        <w:t xml:space="preserve">por tal motivo, al informar que se realizó una búsqueda exhaustiva en sus archivos sin localizar la información requerida por no haberse generado, poseído y administrado, se colige que no existe ni ha existido registro de la información antes señalada y por ende no pueden existir los documentos requeridos por el </w:t>
      </w:r>
      <w:r w:rsidRPr="00962221">
        <w:rPr>
          <w:rFonts w:ascii="Palatino Linotype" w:eastAsia="Palatino Linotype" w:hAnsi="Palatino Linotype" w:cs="Palatino Linotype"/>
          <w:b/>
          <w:bCs/>
          <w:color w:val="000000"/>
        </w:rPr>
        <w:t>RECURRENTE.</w:t>
      </w:r>
    </w:p>
    <w:p w:rsidR="006C7D2C" w:rsidRPr="00962221" w:rsidRDefault="006C7D2C">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Ahora bien,  es de suma importancia precisar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6C7D2C" w:rsidRPr="00962221" w:rsidRDefault="00B2748D">
      <w:pPr>
        <w:spacing w:before="240" w:after="240"/>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w:t>
      </w:r>
      <w:r w:rsidRPr="00962221">
        <w:rPr>
          <w:rFonts w:ascii="Palatino Linotype" w:eastAsia="Palatino Linotype" w:hAnsi="Palatino Linotype" w:cs="Palatino Linotype"/>
          <w:b/>
          <w:bCs/>
          <w:i/>
          <w:iCs/>
        </w:rPr>
        <w:t>Artículo 4</w:t>
      </w:r>
      <w:r w:rsidRPr="00962221">
        <w:rPr>
          <w:rFonts w:ascii="Palatino Linotype" w:eastAsia="Palatino Linotype" w:hAnsi="Palatino Linotype" w:cs="Palatino Linotype"/>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6C7D2C" w:rsidRPr="00962221" w:rsidRDefault="00B2748D">
      <w:pPr>
        <w:spacing w:before="240" w:after="240"/>
        <w:ind w:left="708" w:right="539" w:hanging="141"/>
        <w:jc w:val="both"/>
        <w:rPr>
          <w:rFonts w:ascii="Palatino Linotype" w:eastAsia="Palatino Linotype" w:hAnsi="Palatino Linotype" w:cs="Palatino Linotype"/>
          <w:b/>
          <w:bCs/>
          <w:i/>
          <w:iCs/>
        </w:rPr>
      </w:pPr>
      <w:r w:rsidRPr="00962221">
        <w:rPr>
          <w:rFonts w:ascii="Palatino Linotype" w:eastAsia="Palatino Linotype" w:hAnsi="Palatino Linotype" w:cs="Palatino Linotype"/>
          <w:b/>
          <w:bCs/>
          <w:i/>
          <w:iC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vigente a la fecha de la solicitud, la presente Ley y demás disposiciones de la materia, privilegiando el principio de máxima publicidad de la información. </w:t>
      </w:r>
      <w:r w:rsidRPr="00962221">
        <w:rPr>
          <w:rFonts w:ascii="Palatino Linotype" w:eastAsia="Palatino Linotype" w:hAnsi="Palatino Linotype" w:cs="Palatino Linotype"/>
          <w:b/>
          <w:bCs/>
          <w:i/>
          <w:iCs/>
        </w:rPr>
        <w:lastRenderedPageBreak/>
        <w:t>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6C7D2C" w:rsidRDefault="00B2748D">
      <w:pPr>
        <w:spacing w:before="240" w:after="240"/>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Los sujetos obligados deben poner en práctica, políticas y programas de acceso a la información que se apeguen a criterios de publicidad, veracidad, oportunidad, precisión y suficiencia en beneficio de los solicitantes.”(Sic)</w:t>
      </w:r>
    </w:p>
    <w:p w:rsidR="00962221" w:rsidRPr="00962221" w:rsidRDefault="00962221">
      <w:pPr>
        <w:spacing w:before="240" w:after="240"/>
        <w:ind w:left="567" w:right="539"/>
        <w:jc w:val="both"/>
        <w:rPr>
          <w:rFonts w:ascii="Palatino Linotype" w:eastAsia="Palatino Linotype" w:hAnsi="Palatino Linotype" w:cs="Palatino Linotype"/>
          <w:i/>
          <w:iCs/>
        </w:rPr>
      </w:pPr>
    </w:p>
    <w:p w:rsidR="006C7D2C" w:rsidRPr="00962221" w:rsidRDefault="00B2748D">
      <w:pPr>
        <w:numPr>
          <w:ilvl w:val="0"/>
          <w:numId w:val="1"/>
        </w:numPr>
        <w:spacing w:before="240" w:line="360" w:lineRule="auto"/>
        <w:ind w:left="0" w:firstLine="0"/>
        <w:jc w:val="both"/>
        <w:rPr>
          <w:rFonts w:ascii="Palatino Linotype" w:eastAsia="Palatino Linotype" w:hAnsi="Palatino Linotype" w:cs="Palatino Linotype"/>
        </w:rPr>
      </w:pPr>
      <w:r w:rsidRPr="00962221">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6C7D2C" w:rsidRPr="00962221" w:rsidRDefault="00B2748D">
      <w:pPr>
        <w:spacing w:after="240"/>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w:t>
      </w:r>
      <w:r w:rsidRPr="00962221">
        <w:rPr>
          <w:rFonts w:ascii="Palatino Linotype" w:eastAsia="Palatino Linotype" w:hAnsi="Palatino Linotype" w:cs="Palatino Linotype"/>
          <w:b/>
          <w:bCs/>
          <w:i/>
          <w:iCs/>
        </w:rPr>
        <w:t>Artículo 12</w:t>
      </w:r>
      <w:r w:rsidRPr="00962221">
        <w:rPr>
          <w:rFonts w:ascii="Palatino Linotype" w:eastAsia="Palatino Linotype" w:hAnsi="Palatino Linotype" w:cs="Palatino Linotype"/>
          <w:i/>
          <w:iCs/>
        </w:rPr>
        <w:t xml:space="preserve">. Quienes generen, recopilen, administren, manejen, procesen, archiven o conserven información pública serán responsables de la misma en los términos de las disposiciones jurídicas aplicables. </w:t>
      </w:r>
    </w:p>
    <w:p w:rsidR="006C7D2C" w:rsidRPr="00962221" w:rsidRDefault="00B2748D">
      <w:pPr>
        <w:spacing w:before="240" w:after="240"/>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6C7D2C" w:rsidRPr="00962221" w:rsidRDefault="00B2748D">
      <w:pPr>
        <w:numPr>
          <w:ilvl w:val="0"/>
          <w:numId w:val="1"/>
        </w:numPr>
        <w:spacing w:before="240" w:line="360" w:lineRule="auto"/>
        <w:ind w:left="0" w:firstLine="0"/>
        <w:jc w:val="both"/>
        <w:rPr>
          <w:rFonts w:ascii="Palatino Linotype" w:eastAsia="Palatino Linotype" w:hAnsi="Palatino Linotype" w:cs="Palatino Linotype"/>
        </w:rPr>
      </w:pPr>
      <w:r w:rsidRPr="00962221">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962221">
        <w:rPr>
          <w:rFonts w:ascii="Palatino Linotype" w:eastAsia="Palatino Linotype" w:hAnsi="Palatino Linotype" w:cs="Palatino Linotype"/>
          <w:i/>
          <w:iCs/>
        </w:rPr>
        <w:t>ad hoc</w:t>
      </w:r>
      <w:r w:rsidRPr="00962221">
        <w:rPr>
          <w:rFonts w:ascii="Palatino Linotype" w:eastAsia="Palatino Linotype" w:hAnsi="Palatino Linotype" w:cs="Palatino Linotype"/>
        </w:rPr>
        <w:t>, para satisfacer el derecho de acceso a la información pública, como así lo establece</w:t>
      </w:r>
      <w:r w:rsidRPr="00962221">
        <w:rPr>
          <w:rFonts w:ascii="Palatino Linotype" w:eastAsia="Palatino Linotype" w:hAnsi="Palatino Linotype" w:cs="Palatino Linotype"/>
          <w:strike/>
          <w:color w:val="FF0000"/>
        </w:rPr>
        <w:t xml:space="preserve"> </w:t>
      </w:r>
      <w:r w:rsidRPr="00962221">
        <w:rPr>
          <w:rFonts w:ascii="Palatino Linotype" w:eastAsia="Palatino Linotype" w:hAnsi="Palatino Linotype" w:cs="Palatino Linotype"/>
        </w:rPr>
        <w:t xml:space="preserve">el </w:t>
      </w:r>
      <w:r w:rsidRPr="00962221">
        <w:rPr>
          <w:rFonts w:ascii="Palatino Linotype" w:eastAsia="Palatino Linotype" w:hAnsi="Palatino Linotype" w:cs="Palatino Linotype"/>
        </w:rPr>
        <w:lastRenderedPageBreak/>
        <w:t>criterio 03/17 emitido por el Instituto Nacional de Transparencia, Acceso a la Información Pública y Protección de Datos Personales, los cuales señalan lo siguiente:</w:t>
      </w:r>
    </w:p>
    <w:p w:rsidR="006C7D2C" w:rsidRPr="00962221" w:rsidRDefault="00B2748D">
      <w:pPr>
        <w:spacing w:after="240"/>
        <w:ind w:left="567" w:right="539"/>
        <w:jc w:val="both"/>
        <w:rPr>
          <w:rFonts w:ascii="Palatino Linotype" w:eastAsia="Palatino Linotype" w:hAnsi="Palatino Linotype" w:cs="Palatino Linotype"/>
          <w:b/>
          <w:bCs/>
          <w:i/>
          <w:iCs/>
        </w:rPr>
      </w:pPr>
      <w:r w:rsidRPr="00962221">
        <w:rPr>
          <w:rFonts w:ascii="Palatino Linotype" w:eastAsia="Palatino Linotype" w:hAnsi="Palatino Linotype" w:cs="Palatino Linotype"/>
          <w:b/>
          <w:bCs/>
          <w:i/>
          <w:iCs/>
        </w:rPr>
        <w:t>03/17</w:t>
      </w:r>
    </w:p>
    <w:p w:rsidR="006C7D2C" w:rsidRPr="00962221" w:rsidRDefault="00B2748D">
      <w:pPr>
        <w:spacing w:before="240" w:after="240"/>
        <w:ind w:left="567" w:right="539"/>
        <w:jc w:val="both"/>
        <w:rPr>
          <w:rFonts w:ascii="Palatino Linotype" w:eastAsia="Palatino Linotype" w:hAnsi="Palatino Linotype" w:cs="Palatino Linotype"/>
          <w:b/>
          <w:bCs/>
          <w:i/>
          <w:iCs/>
        </w:rPr>
      </w:pPr>
      <w:r w:rsidRPr="00962221">
        <w:rPr>
          <w:rFonts w:ascii="Palatino Linotype" w:eastAsia="Palatino Linotype" w:hAnsi="Palatino Linotype" w:cs="Palatino Linotype"/>
          <w:b/>
          <w:bCs/>
          <w:i/>
          <w:iCs/>
        </w:rPr>
        <w:t>“NO EXISTE OBLIGACIÓN DE ELABORAR DOCUMENTOS AD HOC PARA ATENDER LAS SOLICITUDES DE ACCESO A LA INFORMACIÓN.</w:t>
      </w:r>
    </w:p>
    <w:p w:rsidR="006C7D2C" w:rsidRPr="00962221" w:rsidRDefault="00B2748D">
      <w:pPr>
        <w:spacing w:before="240" w:after="240"/>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Los artículos 129 de la Ley General de Transparencia y Acceso a la Información Pública y 130, párrafo cuarto, vigente a la fecha de la solicitud,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6C7D2C" w:rsidRPr="00962221" w:rsidRDefault="00B2748D">
      <w:pPr>
        <w:numPr>
          <w:ilvl w:val="0"/>
          <w:numId w:val="1"/>
        </w:numPr>
        <w:spacing w:before="240" w:line="360" w:lineRule="auto"/>
        <w:ind w:left="0" w:firstLine="0"/>
        <w:jc w:val="both"/>
        <w:rPr>
          <w:rFonts w:ascii="Palatino Linotype" w:eastAsia="Palatino Linotype" w:hAnsi="Palatino Linotype" w:cs="Palatino Linotype"/>
        </w:rPr>
      </w:pPr>
      <w:r w:rsidRPr="00962221">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6C7D2C" w:rsidRPr="00962221" w:rsidRDefault="006C7D2C">
      <w:pPr>
        <w:spacing w:after="240" w:line="360" w:lineRule="auto"/>
        <w:jc w:val="both"/>
        <w:rPr>
          <w:rFonts w:ascii="Palatino Linotype" w:eastAsia="Palatino Linotype" w:hAnsi="Palatino Linotype" w:cs="Palatino Linotype"/>
        </w:rPr>
      </w:pPr>
    </w:p>
    <w:p w:rsidR="006C7D2C" w:rsidRPr="00962221" w:rsidRDefault="00B2748D">
      <w:pPr>
        <w:numPr>
          <w:ilvl w:val="0"/>
          <w:numId w:val="1"/>
        </w:numPr>
        <w:spacing w:before="240" w:line="360" w:lineRule="auto"/>
        <w:ind w:left="0" w:firstLine="0"/>
        <w:jc w:val="both"/>
        <w:rPr>
          <w:rFonts w:ascii="Palatino Linotype" w:eastAsia="Palatino Linotype" w:hAnsi="Palatino Linotype" w:cs="Palatino Linotype"/>
        </w:rPr>
      </w:pPr>
      <w:r w:rsidRPr="00962221">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6C7D2C" w:rsidRPr="00962221" w:rsidRDefault="00B2748D">
      <w:pPr>
        <w:numPr>
          <w:ilvl w:val="0"/>
          <w:numId w:val="1"/>
        </w:numPr>
        <w:spacing w:line="360" w:lineRule="auto"/>
        <w:ind w:left="0" w:firstLine="0"/>
        <w:jc w:val="both"/>
        <w:rPr>
          <w:rFonts w:ascii="Palatino Linotype" w:eastAsia="Palatino Linotype" w:hAnsi="Palatino Linotype" w:cs="Palatino Linotype"/>
        </w:rPr>
      </w:pPr>
      <w:r w:rsidRPr="00962221">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w:t>
      </w:r>
      <w:r w:rsidRPr="00962221">
        <w:rPr>
          <w:rFonts w:ascii="Palatino Linotype" w:eastAsia="Palatino Linotype" w:hAnsi="Palatino Linotype" w:cs="Palatino Linotype"/>
          <w:b/>
          <w:bCs/>
          <w:u w:val="single"/>
        </w:rPr>
        <w:t>oficios</w:t>
      </w:r>
      <w:r w:rsidRPr="00962221">
        <w:rPr>
          <w:rFonts w:ascii="Palatino Linotype" w:eastAsia="Palatino Linotype" w:hAnsi="Palatino Linotype" w:cs="Palatino Linotype"/>
        </w:rPr>
        <w:t xml:space="preserve">,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6C7D2C" w:rsidRPr="00962221" w:rsidRDefault="00B2748D">
      <w:pPr>
        <w:spacing w:after="240"/>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w:t>
      </w:r>
      <w:r w:rsidRPr="00962221">
        <w:rPr>
          <w:rFonts w:ascii="Palatino Linotype" w:eastAsia="Palatino Linotype" w:hAnsi="Palatino Linotype" w:cs="Palatino Linotype"/>
          <w:b/>
          <w:bCs/>
          <w:i/>
          <w:iCs/>
        </w:rPr>
        <w:t xml:space="preserve">Artículo 3. </w:t>
      </w:r>
      <w:r w:rsidRPr="00962221">
        <w:rPr>
          <w:rFonts w:ascii="Palatino Linotype" w:eastAsia="Palatino Linotype" w:hAnsi="Palatino Linotype" w:cs="Palatino Linotype"/>
          <w:i/>
          <w:iCs/>
        </w:rPr>
        <w:t>Para los efectos de la presente Ley se entenderá por:</w:t>
      </w:r>
    </w:p>
    <w:p w:rsidR="006C7D2C" w:rsidRPr="00962221" w:rsidRDefault="00B2748D">
      <w:pPr>
        <w:spacing w:before="240" w:after="240"/>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w:t>
      </w:r>
    </w:p>
    <w:p w:rsidR="006C7D2C" w:rsidRDefault="00B2748D">
      <w:pPr>
        <w:spacing w:before="240" w:after="240"/>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b/>
          <w:bCs/>
          <w:i/>
          <w:iCs/>
        </w:rPr>
        <w:t>XI. Documento:</w:t>
      </w:r>
      <w:r w:rsidRPr="00962221">
        <w:rPr>
          <w:rFonts w:ascii="Palatino Linotype" w:eastAsia="Palatino Linotype" w:hAnsi="Palatino Linotype" w:cs="Palatino Linotype"/>
          <w:i/>
          <w:iCs/>
        </w:rPr>
        <w:t xml:space="preserve"> Los expedientes, reportes, estudios, </w:t>
      </w:r>
      <w:r w:rsidRPr="00962221">
        <w:rPr>
          <w:rFonts w:ascii="Palatino Linotype" w:eastAsia="Palatino Linotype" w:hAnsi="Palatino Linotype" w:cs="Palatino Linotype"/>
          <w:b/>
          <w:bCs/>
          <w:i/>
          <w:iCs/>
        </w:rPr>
        <w:t>actas,</w:t>
      </w:r>
      <w:r w:rsidRPr="00962221">
        <w:rPr>
          <w:rFonts w:ascii="Palatino Linotype" w:eastAsia="Palatino Linotype" w:hAnsi="Palatino Linotype" w:cs="Palatino Linotype"/>
          <w:i/>
          <w:iCs/>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962221">
        <w:rPr>
          <w:rFonts w:ascii="Palatino Linotype" w:eastAsia="Palatino Linotype" w:hAnsi="Palatino Linotype" w:cs="Palatino Linotype"/>
          <w:b/>
          <w:bCs/>
          <w:i/>
          <w:iCs/>
        </w:rPr>
        <w:t>…</w:t>
      </w:r>
      <w:r w:rsidRPr="00962221">
        <w:rPr>
          <w:rFonts w:ascii="Palatino Linotype" w:eastAsia="Palatino Linotype" w:hAnsi="Palatino Linotype" w:cs="Palatino Linotype"/>
          <w:i/>
          <w:iCs/>
        </w:rPr>
        <w:t>” (Sic)</w:t>
      </w:r>
    </w:p>
    <w:p w:rsidR="00962221" w:rsidRPr="00962221" w:rsidRDefault="00962221">
      <w:pPr>
        <w:spacing w:before="240" w:after="240"/>
        <w:ind w:left="567" w:right="539"/>
        <w:jc w:val="both"/>
        <w:rPr>
          <w:rFonts w:ascii="Palatino Linotype" w:eastAsia="Palatino Linotype" w:hAnsi="Palatino Linotype" w:cs="Palatino Linotype"/>
          <w:i/>
          <w:iCs/>
        </w:rPr>
      </w:pPr>
    </w:p>
    <w:p w:rsidR="006C7D2C" w:rsidRPr="00962221" w:rsidRDefault="00B2748D">
      <w:pPr>
        <w:numPr>
          <w:ilvl w:val="0"/>
          <w:numId w:val="1"/>
        </w:numPr>
        <w:spacing w:before="240" w:line="360" w:lineRule="auto"/>
        <w:ind w:left="0" w:firstLine="0"/>
        <w:jc w:val="both"/>
        <w:rPr>
          <w:rFonts w:ascii="Palatino Linotype" w:eastAsia="Palatino Linotype" w:hAnsi="Palatino Linotype" w:cs="Palatino Linotype"/>
        </w:rPr>
      </w:pPr>
      <w:r w:rsidRPr="0096222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6C7D2C" w:rsidRPr="00962221" w:rsidRDefault="00B2748D">
      <w:pPr>
        <w:spacing w:after="240"/>
        <w:ind w:left="567" w:right="539"/>
        <w:jc w:val="both"/>
        <w:rPr>
          <w:rFonts w:ascii="Palatino Linotype" w:eastAsia="Palatino Linotype" w:hAnsi="Palatino Linotype" w:cs="Palatino Linotype"/>
          <w:b/>
          <w:bCs/>
          <w:i/>
          <w:iCs/>
        </w:rPr>
      </w:pPr>
      <w:r w:rsidRPr="00962221">
        <w:rPr>
          <w:rFonts w:ascii="Palatino Linotype" w:eastAsia="Palatino Linotype" w:hAnsi="Palatino Linotype" w:cs="Palatino Linotype"/>
          <w:b/>
          <w:bCs/>
        </w:rPr>
        <w:t>“</w:t>
      </w:r>
      <w:r w:rsidRPr="00962221">
        <w:rPr>
          <w:rFonts w:ascii="Palatino Linotype" w:eastAsia="Palatino Linotype" w:hAnsi="Palatino Linotype" w:cs="Palatino Linotype"/>
          <w:b/>
          <w:bCs/>
          <w:i/>
          <w:iCs/>
        </w:rPr>
        <w:t>CRITERIO 0002-11</w:t>
      </w:r>
    </w:p>
    <w:p w:rsidR="006C7D2C" w:rsidRPr="00962221" w:rsidRDefault="00B2748D">
      <w:pPr>
        <w:spacing w:before="240" w:after="240"/>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b/>
          <w:bCs/>
          <w:i/>
          <w:iCs/>
        </w:rPr>
        <w:lastRenderedPageBreak/>
        <w:t>INFORMACIÓN PÚBLICA, CONCEPTO DE, EN MATERIA DE TRANSPARENCIA. INTERPRETACIÓN SISTEMÁTICA DE LOS ARTÍCULOS 2°, FRACCIÓN V, XV, Y XVI, 3°, 4°, 11 Y 41.</w:t>
      </w:r>
      <w:r w:rsidRPr="00962221">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C7D2C" w:rsidRPr="00962221" w:rsidRDefault="00B2748D">
      <w:pPr>
        <w:spacing w:before="240" w:after="240"/>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En consecuencia el acceso a la información se refiere a que se cumplan cualquiera de los siguientes tres supuestos:</w:t>
      </w:r>
    </w:p>
    <w:p w:rsidR="006C7D2C" w:rsidRPr="00962221" w:rsidRDefault="00B2748D">
      <w:pPr>
        <w:numPr>
          <w:ilvl w:val="0"/>
          <w:numId w:val="2"/>
        </w:numPr>
        <w:spacing w:before="240" w:after="240"/>
        <w:ind w:left="567" w:right="539"/>
        <w:jc w:val="both"/>
        <w:rPr>
          <w:rFonts w:ascii="Palatino Linotype" w:eastAsia="Palatino Linotype" w:hAnsi="Palatino Linotype" w:cs="Palatino Linotype"/>
          <w:b/>
          <w:bCs/>
          <w:i/>
          <w:iCs/>
        </w:rPr>
      </w:pPr>
      <w:r w:rsidRPr="00962221">
        <w:rPr>
          <w:rFonts w:ascii="Palatino Linotype" w:eastAsia="Palatino Linotype" w:hAnsi="Palatino Linotype" w:cs="Palatino Linotype"/>
          <w:b/>
          <w:bCs/>
          <w:i/>
          <w:iCs/>
        </w:rPr>
        <w:t>Que se trate de información registrada en cualquier soporte documental, que en ejercicio de las atribuciones conferidas, sea generada por los Sujetos Obligados;</w:t>
      </w:r>
    </w:p>
    <w:p w:rsidR="006C7D2C" w:rsidRPr="00962221" w:rsidRDefault="00B2748D">
      <w:pPr>
        <w:numPr>
          <w:ilvl w:val="0"/>
          <w:numId w:val="2"/>
        </w:numPr>
        <w:spacing w:before="240" w:after="240"/>
        <w:ind w:left="567" w:right="539"/>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Que se trate de información registrada en cualquier soporte documental, que en ejercicio de las atribuciones conferidas, sea administrada por los Sujetos Obligados, y</w:t>
      </w:r>
    </w:p>
    <w:p w:rsidR="006C7D2C" w:rsidRPr="00962221" w:rsidRDefault="00B2748D">
      <w:pPr>
        <w:spacing w:before="240" w:after="240"/>
        <w:ind w:left="567" w:right="539" w:hanging="284"/>
        <w:jc w:val="both"/>
        <w:rPr>
          <w:rFonts w:ascii="Palatino Linotype" w:eastAsia="Palatino Linotype" w:hAnsi="Palatino Linotype" w:cs="Palatino Linotype"/>
          <w:i/>
          <w:iCs/>
        </w:rPr>
      </w:pPr>
      <w:r w:rsidRPr="00962221">
        <w:rPr>
          <w:rFonts w:ascii="Palatino Linotype" w:eastAsia="Palatino Linotype" w:hAnsi="Palatino Linotype" w:cs="Palatino Linotype"/>
          <w:i/>
          <w:iCs/>
        </w:rPr>
        <w:t>3) Que se trate de información registrada en cualquier soporte documental, que en ejercicio de las atribuciones conferidas, se encuentre en posesión de los Sujetos Obligados.” (Sic)</w:t>
      </w:r>
    </w:p>
    <w:p w:rsidR="006C7D2C" w:rsidRPr="00962221" w:rsidRDefault="00B2748D">
      <w:pPr>
        <w:numPr>
          <w:ilvl w:val="0"/>
          <w:numId w:val="1"/>
        </w:numPr>
        <w:spacing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rPr>
        <w:t xml:space="preserve">De ahí que </w:t>
      </w:r>
      <w:r w:rsidRPr="00962221">
        <w:rPr>
          <w:rFonts w:ascii="Palatino Linotype" w:eastAsia="Palatino Linotype" w:hAnsi="Palatino Linotype" w:cs="Palatino Linotype"/>
          <w:b/>
          <w:bCs/>
        </w:rPr>
        <w:t>EL</w:t>
      </w:r>
      <w:r w:rsidRPr="00962221">
        <w:rPr>
          <w:rFonts w:ascii="Palatino Linotype" w:eastAsia="Palatino Linotype" w:hAnsi="Palatino Linotype" w:cs="Palatino Linotype"/>
        </w:rPr>
        <w:t xml:space="preserve"> </w:t>
      </w:r>
      <w:r w:rsidRPr="00962221">
        <w:rPr>
          <w:rFonts w:ascii="Palatino Linotype" w:eastAsia="Palatino Linotype" w:hAnsi="Palatino Linotype" w:cs="Palatino Linotype"/>
          <w:b/>
          <w:bCs/>
        </w:rPr>
        <w:t>SUJETO OBLIGADO</w:t>
      </w:r>
      <w:r w:rsidRPr="00962221">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962221">
        <w:rPr>
          <w:rFonts w:ascii="Palatino Linotype" w:eastAsia="Palatino Linotype" w:hAnsi="Palatino Linotype" w:cs="Palatino Linotype"/>
          <w:vertAlign w:val="superscript"/>
        </w:rPr>
        <w:footnoteReference w:id="9"/>
      </w:r>
      <w:r w:rsidRPr="00962221">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962221">
        <w:rPr>
          <w:rFonts w:ascii="Palatino Linotype" w:eastAsia="Palatino Linotype" w:hAnsi="Palatino Linotype" w:cs="Palatino Linotype"/>
          <w:vertAlign w:val="superscript"/>
        </w:rPr>
        <w:footnoteReference w:id="10"/>
      </w:r>
      <w:r w:rsidRPr="00962221">
        <w:rPr>
          <w:rFonts w:ascii="Palatino Linotype" w:eastAsia="Palatino Linotype" w:hAnsi="Palatino Linotype" w:cs="Palatino Linotype"/>
        </w:rPr>
        <w:t>.</w:t>
      </w:r>
    </w:p>
    <w:p w:rsidR="006C7D2C" w:rsidRPr="00962221" w:rsidRDefault="006C7D2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lastRenderedPageBreak/>
        <w:t xml:space="preserve">Por lo anteriormente señalado, se advierte que el </w:t>
      </w:r>
      <w:r w:rsidRPr="00962221">
        <w:rPr>
          <w:rFonts w:ascii="Palatino Linotype" w:eastAsia="Palatino Linotype" w:hAnsi="Palatino Linotype" w:cs="Palatino Linotype"/>
          <w:b/>
          <w:bCs/>
          <w:color w:val="000000"/>
        </w:rPr>
        <w:t>SUJETO OBLIGADO</w:t>
      </w:r>
      <w:r w:rsidRPr="00962221">
        <w:rPr>
          <w:rFonts w:ascii="Palatino Linotype" w:eastAsia="Palatino Linotype" w:hAnsi="Palatino Linotype" w:cs="Palatino Linotype"/>
          <w:color w:val="000000"/>
        </w:rPr>
        <w:t xml:space="preserve">, tiene competencia para conocer de lo solicitado por el particular, en consecuencia, una vez analizadas las constancias que integran el expediente electrónico, y en mérito de lo expuesto en líneas anteriores, resultan  fundadas las razones o motivos de inconformidad hechos valer por el </w:t>
      </w:r>
      <w:r w:rsidRPr="00962221">
        <w:rPr>
          <w:rFonts w:ascii="Palatino Linotype" w:eastAsia="Palatino Linotype" w:hAnsi="Palatino Linotype" w:cs="Palatino Linotype"/>
          <w:b/>
          <w:bCs/>
          <w:color w:val="000000"/>
        </w:rPr>
        <w:t>RECURRENTE</w:t>
      </w:r>
      <w:r w:rsidRPr="00962221">
        <w:rPr>
          <w:rFonts w:ascii="Palatino Linotype" w:eastAsia="Palatino Linotype" w:hAnsi="Palatino Linotype" w:cs="Palatino Linotype"/>
          <w:color w:val="000000"/>
        </w:rPr>
        <w:t xml:space="preserve"> dentro del recurso de revisión </w:t>
      </w:r>
      <w:r w:rsidRPr="00962221">
        <w:rPr>
          <w:rFonts w:ascii="Palatino Linotype" w:eastAsia="Palatino Linotype" w:hAnsi="Palatino Linotype" w:cs="Palatino Linotype"/>
          <w:b/>
          <w:bCs/>
          <w:color w:val="000000"/>
        </w:rPr>
        <w:t>10328/INFOEM/IP/RR/2025</w:t>
      </w:r>
      <w:r w:rsidRPr="00962221">
        <w:rPr>
          <w:rFonts w:ascii="Palatino Linotype" w:eastAsia="Palatino Linotype" w:hAnsi="Palatino Linotype" w:cs="Palatino Linotype"/>
          <w:color w:val="000000"/>
        </w:rPr>
        <w:t xml:space="preserve">; por ello, y con fundamento en la fracción III del numeral 186 de la Ley de Transparencia y Acceso a la Información Pública del Estado de México y Municipios, se </w:t>
      </w:r>
      <w:r w:rsidRPr="00962221">
        <w:rPr>
          <w:rFonts w:ascii="Palatino Linotype" w:eastAsia="Palatino Linotype" w:hAnsi="Palatino Linotype" w:cs="Palatino Linotype"/>
          <w:b/>
          <w:bCs/>
          <w:color w:val="000000"/>
        </w:rPr>
        <w:t>MODIFICA</w:t>
      </w:r>
      <w:r w:rsidRPr="00962221">
        <w:rPr>
          <w:rFonts w:ascii="Palatino Linotype" w:eastAsia="Palatino Linotype" w:hAnsi="Palatino Linotype" w:cs="Palatino Linotype"/>
          <w:color w:val="000000"/>
        </w:rPr>
        <w:t xml:space="preserve"> la respuesta del Sujeto Obligado. </w:t>
      </w:r>
    </w:p>
    <w:p w:rsidR="006C7D2C" w:rsidRPr="00962221" w:rsidRDefault="006C7D2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6C7D2C" w:rsidRPr="00962221" w:rsidRDefault="00B2748D">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QUINTO. De la versión pública.</w:t>
      </w:r>
    </w:p>
    <w:p w:rsidR="006C7D2C" w:rsidRPr="00962221" w:rsidRDefault="00B2748D">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Debe destacarse que, debido a la naturaleza de la información solicitada</w:t>
      </w:r>
      <w:r w:rsidRPr="00962221">
        <w:rPr>
          <w:rFonts w:ascii="Palatino Linotype" w:eastAsia="Palatino Linotype" w:hAnsi="Palatino Linotype" w:cs="Palatino Linotype"/>
          <w:b/>
          <w:bCs/>
          <w:color w:val="000000"/>
        </w:rPr>
        <w:t xml:space="preserve"> </w:t>
      </w:r>
      <w:r w:rsidRPr="00962221">
        <w:rPr>
          <w:rFonts w:ascii="Palatino Linotype" w:eastAsia="Palatino Linotype" w:hAnsi="Palatino Linotype" w:cs="Palatino Linotype"/>
          <w:color w:val="000000"/>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6C7D2C" w:rsidRPr="00962221" w:rsidRDefault="006C7D2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La clasificación total o parcial de la información requerida, mediante solicitud de acceso a la información pública, constituye una restricción al derecho humano de acceso a la información, por lo que es menester reiterar los mismos:</w:t>
      </w:r>
    </w:p>
    <w:p w:rsidR="006C7D2C" w:rsidRPr="00962221" w:rsidRDefault="006C7D2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tbl>
      <w:tblPr>
        <w:tblStyle w:val="a0"/>
        <w:tblW w:w="991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689"/>
        <w:gridCol w:w="7229"/>
      </w:tblGrid>
      <w:tr w:rsidR="006C7D2C" w:rsidRPr="00962221" w:rsidTr="00962221">
        <w:tc>
          <w:tcPr>
            <w:tcW w:w="2689" w:type="dxa"/>
          </w:tcPr>
          <w:p w:rsidR="006C7D2C" w:rsidRPr="00962221" w:rsidRDefault="00B2748D">
            <w:pPr>
              <w:spacing w:line="360" w:lineRule="auto"/>
              <w:rPr>
                <w:rFonts w:ascii="Palatino Linotype" w:eastAsia="Palatino Linotype" w:hAnsi="Palatino Linotype" w:cs="Palatino Linotype"/>
              </w:rPr>
            </w:pPr>
            <w:r w:rsidRPr="00962221">
              <w:rPr>
                <w:rFonts w:ascii="Palatino Linotype" w:eastAsia="Palatino Linotype" w:hAnsi="Palatino Linotype" w:cs="Palatino Linotype"/>
              </w:rPr>
              <w:t>a) Requisitos previos.</w:t>
            </w:r>
          </w:p>
        </w:tc>
        <w:tc>
          <w:tcPr>
            <w:tcW w:w="7229" w:type="dxa"/>
          </w:tcPr>
          <w:p w:rsidR="006C7D2C" w:rsidRPr="00962221" w:rsidRDefault="00B2748D">
            <w:pPr>
              <w:spacing w:line="360" w:lineRule="auto"/>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Los artículos 100 y 122 de la Ley Estatal y de la Ley General, respectivamente, señalan que si los Sujetos Obligados determinan que la información actualiza alguno de los supuestos de </w:t>
            </w:r>
            <w:r w:rsidRPr="00962221">
              <w:rPr>
                <w:rFonts w:ascii="Palatino Linotype" w:eastAsia="Palatino Linotype" w:hAnsi="Palatino Linotype" w:cs="Palatino Linotype"/>
              </w:rPr>
              <w:lastRenderedPageBreak/>
              <w:t xml:space="preserve">clasificación, es deber de los titulares de las áreas proponer su clasificación y no del Comité de Transparencia. </w:t>
            </w:r>
          </w:p>
          <w:p w:rsidR="006C7D2C" w:rsidRPr="00962221" w:rsidRDefault="00B2748D">
            <w:pPr>
              <w:spacing w:line="360" w:lineRule="auto"/>
              <w:jc w:val="both"/>
              <w:rPr>
                <w:rFonts w:ascii="Palatino Linotype" w:eastAsia="Palatino Linotype" w:hAnsi="Palatino Linotype" w:cs="Palatino Linotype"/>
              </w:rPr>
            </w:pPr>
            <w:r w:rsidRPr="00962221">
              <w:rPr>
                <w:rFonts w:ascii="Palatino Linotype" w:eastAsia="Palatino Linotype" w:hAnsi="Palatino Linotype" w:cs="Palatino Linotype"/>
              </w:rPr>
              <w:t>Al hacerlo tienen que precisar de qué información se trata, señalando el supuesto de clasificación (confidencialidad o reserva).</w:t>
            </w:r>
          </w:p>
          <w:p w:rsidR="006C7D2C" w:rsidRPr="00962221" w:rsidRDefault="00B2748D">
            <w:pPr>
              <w:spacing w:line="360" w:lineRule="auto"/>
              <w:jc w:val="both"/>
              <w:rPr>
                <w:rFonts w:ascii="Palatino Linotype" w:eastAsia="Palatino Linotype" w:hAnsi="Palatino Linotype" w:cs="Palatino Linotype"/>
              </w:rPr>
            </w:pPr>
            <w:r w:rsidRPr="00962221">
              <w:rPr>
                <w:rFonts w:ascii="Palatino Linotype" w:eastAsia="Palatino Linotype" w:hAnsi="Palatino Linotype" w:cs="Palatino Linotype"/>
              </w:rPr>
              <w:t>Además, se debe señalar el procedimiento, de los tres que establecen los artículos 132 y 106 de la Ley Estatal y General, respectivamente.</w:t>
            </w:r>
          </w:p>
          <w:p w:rsidR="006C7D2C" w:rsidRPr="00962221" w:rsidRDefault="00B2748D">
            <w:pPr>
              <w:spacing w:line="360" w:lineRule="auto"/>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El último de estos requisitos previos consiste en que no se pueden emitir acuerdos de carácter general ni particular, esto es, </w:t>
            </w:r>
            <w:r w:rsidRPr="00962221">
              <w:rPr>
                <w:rFonts w:ascii="Palatino Linotype" w:eastAsia="Palatino Linotype" w:hAnsi="Palatino Linotype" w:cs="Palatino Linotype"/>
                <w:u w:val="single"/>
              </w:rPr>
              <w:t xml:space="preserve">no se puede hacer un acuerdo para clasificar de manera general todos los documentos de un expediente o área,  </w:t>
            </w:r>
            <w:r w:rsidRPr="00962221">
              <w:rPr>
                <w:rFonts w:ascii="Palatino Linotype" w:eastAsia="Palatino Linotype" w:hAnsi="Palatino Linotype" w:cs="Palatino Linotype"/>
              </w:rPr>
              <w:t>sin individualizar su análisis y tampoco se puede hacer un acuerdo por cada dato que se vaya a clasificar dentro de un documento con diez datos, por ejemplo, susceptibles de ser clasificados.</w:t>
            </w:r>
          </w:p>
        </w:tc>
      </w:tr>
      <w:tr w:rsidR="006C7D2C" w:rsidRPr="00962221" w:rsidTr="00962221">
        <w:tc>
          <w:tcPr>
            <w:tcW w:w="2689" w:type="dxa"/>
          </w:tcPr>
          <w:p w:rsidR="006C7D2C" w:rsidRPr="00962221" w:rsidRDefault="00B2748D">
            <w:pPr>
              <w:spacing w:line="360" w:lineRule="auto"/>
              <w:rPr>
                <w:rFonts w:ascii="Palatino Linotype" w:eastAsia="Palatino Linotype" w:hAnsi="Palatino Linotype" w:cs="Palatino Linotype"/>
              </w:rPr>
            </w:pPr>
            <w:r w:rsidRPr="00962221">
              <w:rPr>
                <w:rFonts w:ascii="Palatino Linotype" w:eastAsia="Palatino Linotype" w:hAnsi="Palatino Linotype" w:cs="Palatino Linotype"/>
              </w:rPr>
              <w:lastRenderedPageBreak/>
              <w:t>b) Supuestos de clasificación.</w:t>
            </w:r>
          </w:p>
        </w:tc>
        <w:tc>
          <w:tcPr>
            <w:tcW w:w="7229" w:type="dxa"/>
          </w:tcPr>
          <w:p w:rsidR="006C7D2C" w:rsidRPr="00962221" w:rsidRDefault="00B2748D">
            <w:pPr>
              <w:spacing w:line="360" w:lineRule="auto"/>
              <w:jc w:val="both"/>
              <w:rPr>
                <w:rFonts w:ascii="Palatino Linotype" w:eastAsia="Palatino Linotype" w:hAnsi="Palatino Linotype" w:cs="Palatino Linotype"/>
              </w:rPr>
            </w:pPr>
            <w:r w:rsidRPr="00962221">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rsidR="006C7D2C" w:rsidRPr="00962221" w:rsidRDefault="00B2748D">
            <w:pPr>
              <w:spacing w:line="360" w:lineRule="auto"/>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w:t>
            </w:r>
            <w:r w:rsidRPr="00962221">
              <w:rPr>
                <w:rFonts w:ascii="Palatino Linotype" w:eastAsia="Palatino Linotype" w:hAnsi="Palatino Linotype" w:cs="Palatino Linotype"/>
              </w:rPr>
              <w:lastRenderedPageBreak/>
              <w:t>cumple con esta condición y no se pueden ampliar las excepciones o supuestos de clasificación aduciendo analogía o mayoría de razón.</w:t>
            </w:r>
          </w:p>
          <w:p w:rsidR="006C7D2C" w:rsidRPr="00962221" w:rsidRDefault="00B2748D">
            <w:pPr>
              <w:spacing w:line="360" w:lineRule="auto"/>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El </w:t>
            </w:r>
            <w:r w:rsidRPr="00962221">
              <w:rPr>
                <w:rFonts w:ascii="Palatino Linotype" w:eastAsia="Palatino Linotype" w:hAnsi="Palatino Linotype" w:cs="Palatino Linotype"/>
                <w:b/>
                <w:bCs/>
              </w:rPr>
              <w:t>SUJETO OBLIGADO</w:t>
            </w:r>
            <w:r w:rsidRPr="00962221">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C7D2C" w:rsidRPr="00962221" w:rsidTr="00962221">
        <w:tc>
          <w:tcPr>
            <w:tcW w:w="2689" w:type="dxa"/>
          </w:tcPr>
          <w:p w:rsidR="006C7D2C" w:rsidRPr="00962221" w:rsidRDefault="00B2748D">
            <w:pPr>
              <w:spacing w:line="360" w:lineRule="auto"/>
              <w:rPr>
                <w:rFonts w:ascii="Palatino Linotype" w:eastAsia="Palatino Linotype" w:hAnsi="Palatino Linotype" w:cs="Palatino Linotype"/>
              </w:rPr>
            </w:pPr>
            <w:r w:rsidRPr="00962221">
              <w:rPr>
                <w:rFonts w:ascii="Palatino Linotype" w:eastAsia="Palatino Linotype" w:hAnsi="Palatino Linotype" w:cs="Palatino Linotype"/>
              </w:rPr>
              <w:lastRenderedPageBreak/>
              <w:t>c) Formalidades para emitir el acuerdo de clasificación.</w:t>
            </w:r>
          </w:p>
        </w:tc>
        <w:tc>
          <w:tcPr>
            <w:tcW w:w="7229" w:type="dxa"/>
          </w:tcPr>
          <w:p w:rsidR="006C7D2C" w:rsidRPr="00962221" w:rsidRDefault="00B2748D">
            <w:pPr>
              <w:spacing w:line="360" w:lineRule="auto"/>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rsidR="006C7D2C" w:rsidRPr="00962221" w:rsidRDefault="00B2748D">
            <w:pPr>
              <w:spacing w:line="360" w:lineRule="auto"/>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Es necesario que </w:t>
            </w:r>
            <w:r w:rsidRPr="00962221">
              <w:rPr>
                <w:rFonts w:ascii="Palatino Linotype" w:eastAsia="Palatino Linotype" w:hAnsi="Palatino Linotype" w:cs="Palatino Linotype"/>
                <w:b/>
                <w:bCs/>
                <w:u w:val="single"/>
              </w:rPr>
              <w:t>el acto reúna con los requisitos elementales</w:t>
            </w:r>
            <w:r w:rsidRPr="00962221">
              <w:rPr>
                <w:rFonts w:ascii="Palatino Linotype" w:eastAsia="Palatino Linotype" w:hAnsi="Palatino Linotype" w:cs="Palatino Linotype"/>
              </w:rPr>
              <w:t>, entre ellos, que la autoridad que va a emitir el acto de autoridad sea la legalmente facultada para ello.</w:t>
            </w:r>
          </w:p>
          <w:p w:rsidR="006C7D2C" w:rsidRPr="00962221" w:rsidRDefault="00B2748D">
            <w:pPr>
              <w:spacing w:line="360" w:lineRule="auto"/>
              <w:jc w:val="both"/>
              <w:rPr>
                <w:rFonts w:ascii="Palatino Linotype" w:eastAsia="Palatino Linotype" w:hAnsi="Palatino Linotype" w:cs="Palatino Linotype"/>
              </w:rPr>
            </w:pPr>
            <w:r w:rsidRPr="00962221">
              <w:rPr>
                <w:rFonts w:ascii="Palatino Linotype" w:eastAsia="Palatino Linotype" w:hAnsi="Palatino Linotype" w:cs="Palatino Linotype"/>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C7D2C" w:rsidRPr="00962221" w:rsidTr="00962221">
        <w:tc>
          <w:tcPr>
            <w:tcW w:w="2689" w:type="dxa"/>
          </w:tcPr>
          <w:p w:rsidR="006C7D2C" w:rsidRPr="00962221" w:rsidRDefault="006C7D2C">
            <w:pPr>
              <w:spacing w:line="360" w:lineRule="auto"/>
              <w:rPr>
                <w:rFonts w:ascii="Palatino Linotype" w:eastAsia="Palatino Linotype" w:hAnsi="Palatino Linotype" w:cs="Palatino Linotype"/>
              </w:rPr>
            </w:pPr>
          </w:p>
          <w:p w:rsidR="006C7D2C" w:rsidRPr="00962221" w:rsidRDefault="00B2748D">
            <w:pPr>
              <w:spacing w:line="360" w:lineRule="auto"/>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d) Requisitos de fondo del acuerdo de clasificación. </w:t>
            </w:r>
          </w:p>
        </w:tc>
        <w:tc>
          <w:tcPr>
            <w:tcW w:w="7229" w:type="dxa"/>
          </w:tcPr>
          <w:p w:rsidR="006C7D2C" w:rsidRPr="00962221" w:rsidRDefault="00B2748D">
            <w:pPr>
              <w:spacing w:line="360" w:lineRule="auto"/>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62221">
              <w:rPr>
                <w:rFonts w:ascii="Palatino Linotype" w:eastAsia="Palatino Linotype" w:hAnsi="Palatino Linotype" w:cs="Palatino Linotype"/>
                <w:b/>
                <w:bCs/>
              </w:rPr>
              <w:t>Sujetos Obligados</w:t>
            </w:r>
            <w:r w:rsidRPr="00962221">
              <w:rPr>
                <w:rFonts w:ascii="Palatino Linotype" w:eastAsia="Palatino Linotype" w:hAnsi="Palatino Linotype" w:cs="Palatino Linotype"/>
              </w:rPr>
              <w:t xml:space="preserve">, por lo que deberán fundar y motivar debidamente la clasificación. </w:t>
            </w:r>
          </w:p>
          <w:p w:rsidR="006C7D2C" w:rsidRPr="00962221" w:rsidRDefault="00B2748D">
            <w:pPr>
              <w:spacing w:line="360" w:lineRule="auto"/>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De lo anterior, se desprende que para una correcta </w:t>
            </w:r>
            <w:r w:rsidRPr="00962221">
              <w:rPr>
                <w:rFonts w:ascii="Palatino Linotype" w:eastAsia="Palatino Linotype" w:hAnsi="Palatino Linotype" w:cs="Palatino Linotype"/>
                <w:b/>
                <w:bCs/>
              </w:rPr>
              <w:t>clasificación total o parcial</w:t>
            </w:r>
            <w:r w:rsidRPr="00962221">
              <w:rPr>
                <w:rFonts w:ascii="Palatino Linotype" w:eastAsia="Palatino Linotype" w:hAnsi="Palatino Linotype" w:cs="Palatino Linotype"/>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C7D2C" w:rsidRPr="00962221" w:rsidRDefault="00B2748D">
            <w:pPr>
              <w:spacing w:line="360" w:lineRule="auto"/>
              <w:jc w:val="both"/>
              <w:rPr>
                <w:rFonts w:ascii="Palatino Linotype" w:eastAsia="Palatino Linotype" w:hAnsi="Palatino Linotype" w:cs="Palatino Linotype"/>
              </w:rPr>
            </w:pPr>
            <w:r w:rsidRPr="00962221">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6C7D2C" w:rsidRPr="00962221" w:rsidRDefault="00B2748D">
            <w:pPr>
              <w:spacing w:line="360" w:lineRule="auto"/>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En ese mismo sentido, el numeral trigésimo tercero fracción V de los Lineamientos Generales, precisa que para motivar la </w:t>
            </w:r>
            <w:r w:rsidRPr="00962221">
              <w:rPr>
                <w:rFonts w:ascii="Palatino Linotype" w:eastAsia="Palatino Linotype" w:hAnsi="Palatino Linotype" w:cs="Palatino Linotype"/>
              </w:rPr>
              <w:lastRenderedPageBreak/>
              <w:t>clasificación se deben acreditar las circunstancias de tiempo, modo y lugar.</w:t>
            </w:r>
          </w:p>
          <w:p w:rsidR="006C7D2C" w:rsidRPr="00962221" w:rsidRDefault="00B2748D">
            <w:pPr>
              <w:spacing w:line="360" w:lineRule="auto"/>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Ahora bien, </w:t>
            </w:r>
            <w:r w:rsidRPr="00962221">
              <w:rPr>
                <w:rFonts w:ascii="Palatino Linotype" w:eastAsia="Palatino Linotype" w:hAnsi="Palatino Linotype" w:cs="Palatino Linotype"/>
                <w:b/>
                <w:bCs/>
                <w:u w:val="single"/>
              </w:rPr>
              <w:t>para cada caso además de fundar y motivar</w:t>
            </w:r>
            <w:r w:rsidRPr="00962221">
              <w:rPr>
                <w:rFonts w:ascii="Palatino Linotype" w:eastAsia="Palatino Linotype" w:hAnsi="Palatino Linotype" w:cs="Palatino Linotype"/>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C7D2C" w:rsidRPr="00962221" w:rsidTr="00962221">
        <w:tc>
          <w:tcPr>
            <w:tcW w:w="2689" w:type="dxa"/>
          </w:tcPr>
          <w:p w:rsidR="006C7D2C" w:rsidRPr="00962221" w:rsidRDefault="00B2748D">
            <w:pPr>
              <w:spacing w:line="360" w:lineRule="auto"/>
              <w:jc w:val="both"/>
              <w:rPr>
                <w:rFonts w:ascii="Palatino Linotype" w:eastAsia="Palatino Linotype" w:hAnsi="Palatino Linotype" w:cs="Palatino Linotype"/>
              </w:rPr>
            </w:pPr>
            <w:r w:rsidRPr="00962221">
              <w:rPr>
                <w:rFonts w:ascii="Palatino Linotype" w:eastAsia="Palatino Linotype" w:hAnsi="Palatino Linotype" w:cs="Palatino Linotype"/>
              </w:rPr>
              <w:lastRenderedPageBreak/>
              <w:t xml:space="preserve">e) Condiciones especiales de la clasificación de la información como confidencial. </w:t>
            </w:r>
          </w:p>
          <w:p w:rsidR="006C7D2C" w:rsidRPr="00962221" w:rsidRDefault="006C7D2C">
            <w:pPr>
              <w:spacing w:line="360" w:lineRule="auto"/>
              <w:rPr>
                <w:rFonts w:ascii="Palatino Linotype" w:eastAsia="Palatino Linotype" w:hAnsi="Palatino Linotype" w:cs="Palatino Linotype"/>
              </w:rPr>
            </w:pPr>
          </w:p>
        </w:tc>
        <w:tc>
          <w:tcPr>
            <w:tcW w:w="7229" w:type="dxa"/>
          </w:tcPr>
          <w:p w:rsidR="006C7D2C" w:rsidRPr="00962221" w:rsidRDefault="00B2748D">
            <w:pPr>
              <w:spacing w:line="360" w:lineRule="auto"/>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Los artículos 148 y 120 de la Ley Estatal y de la Ley General, respectivamente, establecen que aun tratándose de datos personales, se podrán proporcionar, incluso sin solicitar el consentimiento de su titular. </w:t>
            </w:r>
          </w:p>
          <w:p w:rsidR="006C7D2C" w:rsidRPr="00962221" w:rsidRDefault="00B2748D">
            <w:pPr>
              <w:spacing w:line="360" w:lineRule="auto"/>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6C7D2C" w:rsidRPr="00962221" w:rsidRDefault="00B2748D">
            <w:pPr>
              <w:spacing w:line="360" w:lineRule="auto"/>
              <w:rPr>
                <w:rFonts w:ascii="Palatino Linotype" w:eastAsia="Palatino Linotype" w:hAnsi="Palatino Linotype" w:cs="Palatino Linotype"/>
              </w:rPr>
            </w:pPr>
            <w:r w:rsidRPr="00962221">
              <w:rPr>
                <w:rFonts w:ascii="Palatino Linotype" w:eastAsia="Palatino Linotype" w:hAnsi="Palatino Linotype" w:cs="Palatino Linotype"/>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6C7D2C" w:rsidRPr="00962221" w:rsidRDefault="006C7D2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6C7D2C" w:rsidRPr="00962221" w:rsidRDefault="00B2748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6C7D2C" w:rsidRPr="00962221" w:rsidRDefault="006C7D2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C7D2C" w:rsidRDefault="00B2748D">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962221">
        <w:rPr>
          <w:rFonts w:ascii="Palatino Linotype" w:eastAsia="Palatino Linotype" w:hAnsi="Palatino Linotype" w:cs="Palatino Linotype"/>
          <w:color w:val="000000"/>
        </w:rPr>
        <w:t xml:space="preserve">Por lo anteriormente expuesto y fundado, este </w:t>
      </w:r>
      <w:r w:rsidRPr="00962221">
        <w:rPr>
          <w:rFonts w:ascii="Palatino Linotype" w:eastAsia="Palatino Linotype" w:hAnsi="Palatino Linotype" w:cs="Palatino Linotype"/>
          <w:b/>
          <w:bCs/>
          <w:color w:val="000000"/>
        </w:rPr>
        <w:t>ÓRGANO GARANTE</w:t>
      </w:r>
      <w:r w:rsidRPr="00962221">
        <w:rPr>
          <w:rFonts w:ascii="Palatino Linotype" w:eastAsia="Palatino Linotype" w:hAnsi="Palatino Linotype" w:cs="Palatino Linotype"/>
          <w:color w:val="000000"/>
        </w:rPr>
        <w:t xml:space="preserve"> emite los siguientes:</w:t>
      </w:r>
    </w:p>
    <w:p w:rsidR="00962221" w:rsidRDefault="00962221" w:rsidP="00962221">
      <w:pPr>
        <w:pStyle w:val="Prrafodelista"/>
        <w:rPr>
          <w:rFonts w:ascii="Palatino Linotype" w:eastAsia="Palatino Linotype" w:hAnsi="Palatino Linotype" w:cs="Palatino Linotype"/>
          <w:color w:val="000000"/>
        </w:rPr>
      </w:pPr>
    </w:p>
    <w:p w:rsidR="00962221" w:rsidRPr="00962221" w:rsidRDefault="00962221" w:rsidP="00962221">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6C7D2C" w:rsidRPr="00962221" w:rsidRDefault="00B2748D">
      <w:pPr>
        <w:keepNext/>
        <w:keepLines/>
        <w:spacing w:line="360" w:lineRule="auto"/>
        <w:jc w:val="center"/>
        <w:rPr>
          <w:rFonts w:ascii="Palatino Linotype" w:eastAsia="Palatino Linotype" w:hAnsi="Palatino Linotype" w:cs="Palatino Linotype"/>
          <w:b/>
          <w:bCs/>
          <w:color w:val="000000"/>
        </w:rPr>
      </w:pPr>
      <w:bookmarkStart w:id="8" w:name="_heading=h.yn3xjrzfdnf" w:colFirst="0" w:colLast="0"/>
      <w:bookmarkEnd w:id="8"/>
      <w:r w:rsidRPr="00962221">
        <w:rPr>
          <w:rFonts w:ascii="Palatino Linotype" w:eastAsia="Palatino Linotype" w:hAnsi="Palatino Linotype" w:cs="Palatino Linotype"/>
          <w:b/>
          <w:bCs/>
          <w:color w:val="000000"/>
        </w:rPr>
        <w:t>R E S O L U T I V O S</w:t>
      </w:r>
    </w:p>
    <w:p w:rsidR="006C7D2C" w:rsidRPr="00962221" w:rsidRDefault="006C7D2C">
      <w:pPr>
        <w:keepNext/>
        <w:keepLines/>
        <w:spacing w:line="360" w:lineRule="auto"/>
        <w:jc w:val="center"/>
        <w:rPr>
          <w:rFonts w:ascii="Palatino Linotype" w:eastAsia="Palatino Linotype" w:hAnsi="Palatino Linotype" w:cs="Palatino Linotype"/>
          <w:b/>
          <w:bCs/>
          <w:color w:val="000000"/>
        </w:rPr>
      </w:pPr>
    </w:p>
    <w:p w:rsidR="006C7D2C" w:rsidRPr="00962221" w:rsidRDefault="00B2748D">
      <w:pPr>
        <w:spacing w:line="360" w:lineRule="auto"/>
        <w:ind w:right="48"/>
        <w:jc w:val="both"/>
        <w:rPr>
          <w:rFonts w:ascii="Palatino Linotype" w:eastAsia="Palatino Linotype" w:hAnsi="Palatino Linotype" w:cs="Palatino Linotype"/>
        </w:rPr>
      </w:pPr>
      <w:r w:rsidRPr="00962221">
        <w:rPr>
          <w:rFonts w:ascii="Palatino Linotype" w:eastAsia="Palatino Linotype" w:hAnsi="Palatino Linotype" w:cs="Palatino Linotype"/>
          <w:b/>
          <w:bCs/>
        </w:rPr>
        <w:t xml:space="preserve">PRIMERO. </w:t>
      </w:r>
      <w:r w:rsidRPr="00962221">
        <w:rPr>
          <w:rFonts w:ascii="Palatino Linotype" w:eastAsia="Palatino Linotype" w:hAnsi="Palatino Linotype" w:cs="Palatino Linotype"/>
        </w:rPr>
        <w:t>Resultan fundadas las</w:t>
      </w:r>
      <w:r w:rsidRPr="00962221">
        <w:rPr>
          <w:rFonts w:ascii="Palatino Linotype" w:eastAsia="Palatino Linotype" w:hAnsi="Palatino Linotype" w:cs="Palatino Linotype"/>
          <w:b/>
          <w:bCs/>
        </w:rPr>
        <w:t xml:space="preserve"> </w:t>
      </w:r>
      <w:r w:rsidRPr="00962221">
        <w:rPr>
          <w:rFonts w:ascii="Palatino Linotype" w:eastAsia="Palatino Linotype" w:hAnsi="Palatino Linotype" w:cs="Palatino Linotype"/>
        </w:rPr>
        <w:t xml:space="preserve">razones o motivos de inconformidad hechos valer en el recurso de revisión </w:t>
      </w:r>
      <w:r w:rsidRPr="00962221">
        <w:rPr>
          <w:rFonts w:ascii="Palatino Linotype" w:eastAsia="Palatino Linotype" w:hAnsi="Palatino Linotype" w:cs="Palatino Linotype"/>
          <w:b/>
          <w:bCs/>
        </w:rPr>
        <w:t xml:space="preserve">10328/INFOEM/IP/RR/2025, </w:t>
      </w:r>
      <w:r w:rsidRPr="00962221">
        <w:rPr>
          <w:rFonts w:ascii="Palatino Linotype" w:eastAsia="Palatino Linotype" w:hAnsi="Palatino Linotype" w:cs="Palatino Linotype"/>
        </w:rPr>
        <w:t xml:space="preserve">en términos del </w:t>
      </w:r>
      <w:r w:rsidRPr="00962221">
        <w:rPr>
          <w:rFonts w:ascii="Palatino Linotype" w:eastAsia="Palatino Linotype" w:hAnsi="Palatino Linotype" w:cs="Palatino Linotype"/>
          <w:b/>
          <w:bCs/>
        </w:rPr>
        <w:t>Considerando</w:t>
      </w:r>
      <w:r w:rsidRPr="00962221">
        <w:rPr>
          <w:rFonts w:ascii="Palatino Linotype" w:eastAsia="Palatino Linotype" w:hAnsi="Palatino Linotype" w:cs="Palatino Linotype"/>
        </w:rPr>
        <w:t xml:space="preserve"> </w:t>
      </w:r>
      <w:r w:rsidRPr="00962221">
        <w:rPr>
          <w:rFonts w:ascii="Palatino Linotype" w:eastAsia="Palatino Linotype" w:hAnsi="Palatino Linotype" w:cs="Palatino Linotype"/>
          <w:b/>
          <w:bCs/>
        </w:rPr>
        <w:t xml:space="preserve">CUARTO y QUINTO  </w:t>
      </w:r>
      <w:r w:rsidRPr="00962221">
        <w:rPr>
          <w:rFonts w:ascii="Palatino Linotype" w:eastAsia="Palatino Linotype" w:hAnsi="Palatino Linotype" w:cs="Palatino Linotype"/>
        </w:rPr>
        <w:t>de la presente resolución.</w:t>
      </w:r>
    </w:p>
    <w:p w:rsidR="006C7D2C" w:rsidRPr="00962221" w:rsidRDefault="006C7D2C">
      <w:pPr>
        <w:spacing w:line="360" w:lineRule="auto"/>
        <w:ind w:right="48"/>
        <w:jc w:val="both"/>
        <w:rPr>
          <w:rFonts w:ascii="Palatino Linotype" w:eastAsia="Palatino Linotype" w:hAnsi="Palatino Linotype" w:cs="Palatino Linotype"/>
        </w:rPr>
      </w:pPr>
    </w:p>
    <w:p w:rsidR="006C7D2C" w:rsidRPr="00962221" w:rsidRDefault="00B2748D">
      <w:pPr>
        <w:spacing w:line="360" w:lineRule="auto"/>
        <w:ind w:right="48"/>
        <w:jc w:val="both"/>
        <w:rPr>
          <w:rFonts w:ascii="Palatino Linotype" w:eastAsia="Palatino Linotype" w:hAnsi="Palatino Linotype" w:cs="Palatino Linotype"/>
        </w:rPr>
      </w:pPr>
      <w:bookmarkStart w:id="9" w:name="_heading=h.42qsc61fiudi" w:colFirst="0" w:colLast="0"/>
      <w:bookmarkEnd w:id="9"/>
      <w:r w:rsidRPr="00962221">
        <w:rPr>
          <w:rFonts w:ascii="Palatino Linotype" w:eastAsia="Palatino Linotype" w:hAnsi="Palatino Linotype" w:cs="Palatino Linotype"/>
          <w:b/>
          <w:bCs/>
        </w:rPr>
        <w:t>SEGUNDO.</w:t>
      </w:r>
      <w:r w:rsidRPr="00962221">
        <w:rPr>
          <w:rFonts w:ascii="Palatino Linotype" w:eastAsia="Palatino Linotype" w:hAnsi="Palatino Linotype" w:cs="Palatino Linotype"/>
          <w:color w:val="2F5496"/>
        </w:rPr>
        <w:t xml:space="preserve"> </w:t>
      </w:r>
      <w:r w:rsidRPr="00962221">
        <w:rPr>
          <w:rFonts w:ascii="Palatino Linotype" w:eastAsia="Palatino Linotype" w:hAnsi="Palatino Linotype" w:cs="Palatino Linotype"/>
        </w:rPr>
        <w:t>Se</w:t>
      </w:r>
      <w:r w:rsidRPr="00962221">
        <w:rPr>
          <w:rFonts w:ascii="Palatino Linotype" w:eastAsia="Palatino Linotype" w:hAnsi="Palatino Linotype" w:cs="Palatino Linotype"/>
          <w:b/>
          <w:bCs/>
        </w:rPr>
        <w:t xml:space="preserve"> MODIFICA </w:t>
      </w:r>
      <w:r w:rsidRPr="00962221">
        <w:rPr>
          <w:rFonts w:ascii="Palatino Linotype" w:eastAsia="Palatino Linotype" w:hAnsi="Palatino Linotype" w:cs="Palatino Linotype"/>
        </w:rPr>
        <w:t xml:space="preserve">la respuesta emitida por la </w:t>
      </w:r>
      <w:r w:rsidRPr="00962221">
        <w:rPr>
          <w:rFonts w:ascii="Palatino Linotype" w:eastAsia="Palatino Linotype" w:hAnsi="Palatino Linotype" w:cs="Palatino Linotype"/>
          <w:b/>
          <w:bCs/>
        </w:rPr>
        <w:t xml:space="preserve">Consejería Jurídica </w:t>
      </w:r>
      <w:r w:rsidRPr="00962221">
        <w:rPr>
          <w:rFonts w:ascii="Palatino Linotype" w:eastAsia="Palatino Linotype" w:hAnsi="Palatino Linotype" w:cs="Palatino Linotype"/>
        </w:rPr>
        <w:t>y se</w:t>
      </w:r>
      <w:r w:rsidRPr="00962221">
        <w:rPr>
          <w:rFonts w:ascii="Palatino Linotype" w:eastAsia="Palatino Linotype" w:hAnsi="Palatino Linotype" w:cs="Palatino Linotype"/>
          <w:b/>
          <w:bCs/>
        </w:rPr>
        <w:t xml:space="preserve"> ORDENA </w:t>
      </w:r>
      <w:r w:rsidRPr="00962221">
        <w:rPr>
          <w:rFonts w:ascii="Palatino Linotype" w:eastAsia="Palatino Linotype" w:hAnsi="Palatino Linotype" w:cs="Palatino Linotype"/>
        </w:rPr>
        <w:t>entregar vía Sistema de Accesos a la Información Mexiquense (SAIMEX), previa búsqueda exhaustiva y de ser procedente en versión pública, la siguiente información:</w:t>
      </w:r>
    </w:p>
    <w:p w:rsidR="006C7D2C" w:rsidRPr="00962221" w:rsidRDefault="006C7D2C">
      <w:pPr>
        <w:spacing w:line="360" w:lineRule="auto"/>
        <w:ind w:right="48"/>
        <w:jc w:val="both"/>
        <w:rPr>
          <w:rFonts w:ascii="Palatino Linotype" w:eastAsia="Palatino Linotype" w:hAnsi="Palatino Linotype" w:cs="Palatino Linotype"/>
        </w:rPr>
      </w:pPr>
    </w:p>
    <w:p w:rsidR="006C7D2C" w:rsidRPr="00962221" w:rsidRDefault="00B2748D">
      <w:pPr>
        <w:numPr>
          <w:ilvl w:val="0"/>
          <w:numId w:val="10"/>
        </w:numPr>
        <w:pBdr>
          <w:top w:val="nil"/>
          <w:left w:val="nil"/>
          <w:bottom w:val="nil"/>
          <w:right w:val="nil"/>
          <w:between w:val="nil"/>
        </w:pBdr>
        <w:spacing w:line="360" w:lineRule="auto"/>
        <w:ind w:right="539"/>
        <w:jc w:val="both"/>
        <w:rPr>
          <w:rFonts w:ascii="Palatino Linotype" w:eastAsia="Palatino Linotype" w:hAnsi="Palatino Linotype" w:cs="Palatino Linotype"/>
          <w:b/>
          <w:bCs/>
          <w:color w:val="000000"/>
        </w:rPr>
      </w:pPr>
      <w:r w:rsidRPr="00962221">
        <w:rPr>
          <w:rFonts w:ascii="Palatino Linotype" w:eastAsia="Palatino Linotype" w:hAnsi="Palatino Linotype" w:cs="Palatino Linotype"/>
          <w:b/>
          <w:bCs/>
          <w:color w:val="000000"/>
        </w:rPr>
        <w:t>El documento donde consten las acciones para iniciar el procedimiento de investigación por presuntas faltas administrativas</w:t>
      </w:r>
      <w:r w:rsidR="00F71122" w:rsidRPr="00962221">
        <w:rPr>
          <w:rFonts w:ascii="Palatino Linotype" w:eastAsia="Palatino Linotype" w:hAnsi="Palatino Linotype" w:cs="Palatino Linotype"/>
          <w:b/>
          <w:bCs/>
          <w:color w:val="000000"/>
        </w:rPr>
        <w:t xml:space="preserve"> por omisión.</w:t>
      </w:r>
    </w:p>
    <w:p w:rsidR="006C7D2C" w:rsidRPr="00962221" w:rsidRDefault="006C7D2C">
      <w:pPr>
        <w:spacing w:line="360" w:lineRule="auto"/>
        <w:jc w:val="both"/>
        <w:rPr>
          <w:rFonts w:ascii="Palatino Linotype" w:eastAsia="Palatino Linotype" w:hAnsi="Palatino Linotype" w:cs="Palatino Linotype"/>
        </w:rPr>
      </w:pPr>
    </w:p>
    <w:p w:rsidR="006C7D2C" w:rsidRPr="00962221" w:rsidRDefault="00B2748D">
      <w:pPr>
        <w:spacing w:line="360" w:lineRule="auto"/>
        <w:jc w:val="both"/>
        <w:rPr>
          <w:rFonts w:ascii="Palatino Linotype" w:eastAsia="Palatino Linotype" w:hAnsi="Palatino Linotype" w:cs="Palatino Linotype"/>
        </w:rPr>
      </w:pPr>
      <w:r w:rsidRPr="00962221">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w:t>
      </w:r>
      <w:r w:rsidRPr="00962221">
        <w:rPr>
          <w:rFonts w:ascii="Palatino Linotype" w:eastAsia="Palatino Linotype" w:hAnsi="Palatino Linotype" w:cs="Palatino Linotype"/>
        </w:rPr>
        <w:lastRenderedPageBreak/>
        <w:t>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6C7D2C" w:rsidRPr="00962221" w:rsidRDefault="006C7D2C">
      <w:pPr>
        <w:spacing w:line="360" w:lineRule="auto"/>
        <w:jc w:val="both"/>
        <w:rPr>
          <w:rFonts w:ascii="Palatino Linotype" w:eastAsia="Palatino Linotype" w:hAnsi="Palatino Linotype" w:cs="Palatino Linotype"/>
        </w:rPr>
      </w:pPr>
    </w:p>
    <w:p w:rsidR="006C7D2C" w:rsidRPr="00962221" w:rsidRDefault="00B2748D">
      <w:pPr>
        <w:spacing w:line="360" w:lineRule="auto"/>
        <w:jc w:val="both"/>
        <w:rPr>
          <w:rFonts w:ascii="Palatino Linotype" w:eastAsia="Palatino Linotype" w:hAnsi="Palatino Linotype" w:cs="Palatino Linotype"/>
        </w:rPr>
      </w:pPr>
      <w:r w:rsidRPr="00962221">
        <w:rPr>
          <w:rFonts w:ascii="Palatino Linotype" w:eastAsia="Palatino Linotype" w:hAnsi="Palatino Linotype" w:cs="Palatino Linotype"/>
        </w:rPr>
        <w:t>Para el caso de que la información que se ordena</w:t>
      </w:r>
      <w:r w:rsidR="00F71122" w:rsidRPr="00962221">
        <w:rPr>
          <w:rFonts w:ascii="Palatino Linotype" w:eastAsia="Palatino Linotype" w:hAnsi="Palatino Linotype" w:cs="Palatino Linotype"/>
        </w:rPr>
        <w:t xml:space="preserve"> entregar</w:t>
      </w:r>
      <w:r w:rsidRPr="00962221">
        <w:rPr>
          <w:rFonts w:ascii="Palatino Linotype" w:eastAsia="Palatino Linotype" w:hAnsi="Palatino Linotype" w:cs="Palatino Linotype"/>
        </w:rPr>
        <w:t>, no obre en los archivos del Sujeto Obligado, bastará con que así se haga del conocimiento del Particular en términos del artículo 19, párrafo segundo, de la Ley de Transparencia y Acceso a la Información Pública del Estado de México y Municipios, para tenerse por colmado dicho requerimiento.</w:t>
      </w:r>
    </w:p>
    <w:p w:rsidR="006C7D2C" w:rsidRPr="00962221" w:rsidRDefault="006C7D2C">
      <w:pPr>
        <w:spacing w:line="360" w:lineRule="auto"/>
        <w:jc w:val="both"/>
        <w:rPr>
          <w:rFonts w:ascii="Palatino Linotype" w:eastAsia="Palatino Linotype" w:hAnsi="Palatino Linotype" w:cs="Palatino Linotype"/>
        </w:rPr>
      </w:pPr>
    </w:p>
    <w:p w:rsidR="006C7D2C" w:rsidRPr="00962221" w:rsidRDefault="00B2748D">
      <w:pPr>
        <w:tabs>
          <w:tab w:val="left" w:pos="8080"/>
        </w:tabs>
        <w:spacing w:line="360" w:lineRule="auto"/>
        <w:ind w:right="48"/>
        <w:jc w:val="both"/>
        <w:rPr>
          <w:rFonts w:ascii="Palatino Linotype" w:eastAsia="Palatino Linotype" w:hAnsi="Palatino Linotype" w:cs="Palatino Linotype"/>
          <w:color w:val="222222"/>
          <w:highlight w:val="white"/>
        </w:rPr>
      </w:pPr>
      <w:r w:rsidRPr="00962221">
        <w:rPr>
          <w:rFonts w:ascii="Palatino Linotype" w:eastAsia="Palatino Linotype" w:hAnsi="Palatino Linotype" w:cs="Palatino Linotype"/>
          <w:b/>
          <w:bCs/>
        </w:rPr>
        <w:t xml:space="preserve">TERCERO. Notifíquese </w:t>
      </w:r>
      <w:r w:rsidRPr="00962221">
        <w:rPr>
          <w:rFonts w:ascii="Palatino Linotype" w:eastAsia="Palatino Linotype" w:hAnsi="Palatino Linotype" w:cs="Palatino Linotype"/>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w:t>
      </w:r>
      <w:r w:rsidRPr="00962221">
        <w:rPr>
          <w:rFonts w:ascii="Palatino Linotype" w:eastAsia="Palatino Linotype" w:hAnsi="Palatino Linotype" w:cs="Palatino Linotype"/>
          <w:b/>
        </w:rPr>
        <w:t>Municipios dé cumplimiento a lo ordenado dentro del plazo de diez días hábiles</w:t>
      </w:r>
      <w:r w:rsidRPr="00962221">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6C7D2C" w:rsidRPr="00962221" w:rsidRDefault="006C7D2C">
      <w:pPr>
        <w:tabs>
          <w:tab w:val="left" w:pos="8080"/>
        </w:tabs>
        <w:spacing w:line="360" w:lineRule="auto"/>
        <w:ind w:right="48"/>
        <w:jc w:val="both"/>
        <w:rPr>
          <w:rFonts w:ascii="Palatino Linotype" w:eastAsia="Palatino Linotype" w:hAnsi="Palatino Linotype" w:cs="Palatino Linotype"/>
          <w:color w:val="222222"/>
          <w:highlight w:val="white"/>
        </w:rPr>
      </w:pPr>
    </w:p>
    <w:p w:rsidR="006C7D2C" w:rsidRPr="00962221" w:rsidRDefault="00B2748D">
      <w:pPr>
        <w:shd w:val="clear" w:color="auto" w:fill="FFFFFF"/>
        <w:spacing w:line="360" w:lineRule="auto"/>
        <w:ind w:right="48"/>
        <w:jc w:val="both"/>
        <w:rPr>
          <w:rFonts w:ascii="Palatino Linotype" w:eastAsia="Palatino Linotype" w:hAnsi="Palatino Linotype" w:cs="Palatino Linotype"/>
        </w:rPr>
      </w:pPr>
      <w:r w:rsidRPr="00962221">
        <w:rPr>
          <w:rFonts w:ascii="Palatino Linotype" w:eastAsia="Palatino Linotype" w:hAnsi="Palatino Linotype" w:cs="Palatino Linotype"/>
          <w:b/>
          <w:bCs/>
        </w:rPr>
        <w:t>CUARTO. Notifíquese al RECURRENTE</w:t>
      </w:r>
      <w:r w:rsidRPr="00962221">
        <w:rPr>
          <w:rFonts w:ascii="Palatino Linotype" w:eastAsia="Palatino Linotype" w:hAnsi="Palatino Linotype" w:cs="Palatino Linotype"/>
        </w:rPr>
        <w:t xml:space="preserve"> la presente resolución vía SAIMEX.</w:t>
      </w:r>
    </w:p>
    <w:p w:rsidR="006C7D2C" w:rsidRPr="00962221" w:rsidRDefault="006C7D2C">
      <w:pPr>
        <w:shd w:val="clear" w:color="auto" w:fill="FFFFFF"/>
        <w:spacing w:line="360" w:lineRule="auto"/>
        <w:ind w:right="48"/>
        <w:jc w:val="both"/>
        <w:rPr>
          <w:rFonts w:ascii="Palatino Linotype" w:eastAsia="Palatino Linotype" w:hAnsi="Palatino Linotype" w:cs="Palatino Linotype"/>
          <w:b/>
          <w:bCs/>
          <w:color w:val="FF0000"/>
        </w:rPr>
      </w:pPr>
    </w:p>
    <w:p w:rsidR="006C7D2C" w:rsidRPr="00962221" w:rsidRDefault="00B2748D">
      <w:pPr>
        <w:spacing w:line="360" w:lineRule="auto"/>
        <w:ind w:right="48"/>
        <w:jc w:val="both"/>
        <w:rPr>
          <w:rFonts w:ascii="Palatino Linotype" w:eastAsia="Palatino Linotype" w:hAnsi="Palatino Linotype" w:cs="Palatino Linotype"/>
        </w:rPr>
      </w:pPr>
      <w:r w:rsidRPr="00962221">
        <w:rPr>
          <w:rFonts w:ascii="Palatino Linotype" w:eastAsia="Palatino Linotype" w:hAnsi="Palatino Linotype" w:cs="Palatino Linotype"/>
          <w:b/>
          <w:bCs/>
        </w:rPr>
        <w:t>QUINTO.</w:t>
      </w:r>
      <w:r w:rsidRPr="00962221">
        <w:rPr>
          <w:rFonts w:ascii="Palatino Linotype" w:eastAsia="Palatino Linotype" w:hAnsi="Palatino Linotype" w:cs="Palatino Linotype"/>
        </w:rPr>
        <w:t xml:space="preserve"> Se hace del conocimiento del </w:t>
      </w:r>
      <w:r w:rsidRPr="00962221">
        <w:rPr>
          <w:rFonts w:ascii="Palatino Linotype" w:eastAsia="Palatino Linotype" w:hAnsi="Palatino Linotype" w:cs="Palatino Linotype"/>
          <w:b/>
          <w:bCs/>
        </w:rPr>
        <w:t>RECURRENTE</w:t>
      </w:r>
      <w:r w:rsidRPr="00962221">
        <w:rPr>
          <w:rFonts w:ascii="Palatino Linotype" w:eastAsia="Palatino Linotype" w:hAnsi="Palatino Linotype" w:cs="Palatino Linotype"/>
        </w:rPr>
        <w:t xml:space="preserve"> que de conformidad con lo establecido en el artículo 196 de la Ley de Transparencia y Acceso a la Información Pública </w:t>
      </w:r>
      <w:r w:rsidRPr="00962221">
        <w:rPr>
          <w:rFonts w:ascii="Palatino Linotype" w:eastAsia="Palatino Linotype" w:hAnsi="Palatino Linotype" w:cs="Palatino Linotype"/>
        </w:rPr>
        <w:lastRenderedPageBreak/>
        <w:t>del Estado de México y Municipios, en caso de que considere que la resolución le cause algún perjuicio podrá impugnarla vía juicio de amparo en los términos de las leyes aplicables.</w:t>
      </w:r>
    </w:p>
    <w:p w:rsidR="006C7D2C" w:rsidRPr="00962221" w:rsidRDefault="006C7D2C">
      <w:pPr>
        <w:spacing w:line="360" w:lineRule="auto"/>
        <w:ind w:right="48"/>
        <w:jc w:val="both"/>
        <w:rPr>
          <w:rFonts w:ascii="Palatino Linotype" w:eastAsia="Palatino Linotype" w:hAnsi="Palatino Linotype" w:cs="Palatino Linotype"/>
          <w:color w:val="000000"/>
          <w:highlight w:val="white"/>
        </w:rPr>
      </w:pPr>
    </w:p>
    <w:p w:rsidR="006C7D2C" w:rsidRPr="00962221" w:rsidRDefault="00B2748D">
      <w:pPr>
        <w:spacing w:line="360" w:lineRule="auto"/>
        <w:ind w:right="48"/>
        <w:jc w:val="both"/>
        <w:rPr>
          <w:rFonts w:ascii="Palatino Linotype" w:eastAsia="Palatino Linotype" w:hAnsi="Palatino Linotype" w:cs="Palatino Linotype"/>
        </w:rPr>
      </w:pPr>
      <w:r w:rsidRPr="00962221">
        <w:rPr>
          <w:rFonts w:ascii="Palatino Linotype" w:eastAsia="Palatino Linotype" w:hAnsi="Palatino Linotype" w:cs="Palatino Linotype"/>
          <w:b/>
          <w:bCs/>
          <w:color w:val="000000"/>
          <w:highlight w:val="white"/>
        </w:rPr>
        <w:t xml:space="preserve">SEXTO. </w:t>
      </w:r>
      <w:r w:rsidRPr="00962221">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6C7D2C" w:rsidRPr="00962221" w:rsidRDefault="006C7D2C">
      <w:pPr>
        <w:shd w:val="clear" w:color="auto" w:fill="FFFFFF"/>
        <w:spacing w:line="360" w:lineRule="auto"/>
        <w:jc w:val="both"/>
        <w:rPr>
          <w:rFonts w:ascii="Palatino Linotype" w:eastAsia="Palatino Linotype" w:hAnsi="Palatino Linotype" w:cs="Palatino Linotype"/>
        </w:rPr>
      </w:pPr>
    </w:p>
    <w:p w:rsidR="004736CA" w:rsidRPr="00962221" w:rsidRDefault="004736CA" w:rsidP="004736CA">
      <w:pPr>
        <w:spacing w:before="240" w:after="240" w:line="360" w:lineRule="auto"/>
        <w:ind w:firstLine="1"/>
        <w:jc w:val="both"/>
        <w:rPr>
          <w:rFonts w:ascii="Palatino Linotype" w:hAnsi="Palatino Linotype"/>
        </w:rPr>
      </w:pPr>
      <w:bookmarkStart w:id="10" w:name="_heading=h.tmhhji9ocihn" w:colFirst="0" w:colLast="0"/>
      <w:bookmarkStart w:id="11" w:name="_Hlk99014733"/>
      <w:bookmarkEnd w:id="10"/>
      <w:r w:rsidRPr="00962221">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QUINCE (15) DE ABRIL DE DOS MIL VEINTISÉIS, ANTE EL SECRETARIO TÉCNICO DEL PLENO </w:t>
      </w:r>
      <w:r w:rsidRPr="00962221">
        <w:rPr>
          <w:rFonts w:ascii="Palatino Linotype" w:hAnsi="Palatino Linotype" w:cs="Palatino Linotype"/>
          <w:color w:val="000000" w:themeColor="text1"/>
        </w:rPr>
        <w:t>ALEXIS TAPIA RAMÍREZ.</w:t>
      </w:r>
    </w:p>
    <w:bookmarkEnd w:id="11"/>
    <w:p w:rsidR="006C7D2C" w:rsidRPr="00962221" w:rsidRDefault="006C7D2C">
      <w:pPr>
        <w:spacing w:line="360" w:lineRule="auto"/>
        <w:rPr>
          <w:rFonts w:ascii="Palatino Linotype" w:eastAsia="Palatino Linotype" w:hAnsi="Palatino Linotype" w:cs="Palatino Linotype"/>
        </w:rPr>
      </w:pPr>
    </w:p>
    <w:p w:rsidR="006C7D2C" w:rsidRPr="00962221" w:rsidRDefault="006C7D2C">
      <w:pPr>
        <w:spacing w:line="360" w:lineRule="auto"/>
        <w:rPr>
          <w:rFonts w:ascii="Palatino Linotype" w:eastAsia="Palatino Linotype" w:hAnsi="Palatino Linotype" w:cs="Palatino Linotype"/>
        </w:rPr>
      </w:pPr>
    </w:p>
    <w:p w:rsidR="006C7D2C" w:rsidRPr="00962221" w:rsidRDefault="006C7D2C">
      <w:pPr>
        <w:spacing w:line="360" w:lineRule="auto"/>
        <w:rPr>
          <w:rFonts w:ascii="Palatino Linotype" w:eastAsia="Palatino Linotype" w:hAnsi="Palatino Linotype" w:cs="Palatino Linotype"/>
        </w:rPr>
      </w:pPr>
    </w:p>
    <w:p w:rsidR="006C7D2C" w:rsidRPr="00962221" w:rsidRDefault="006C7D2C">
      <w:pPr>
        <w:spacing w:line="360" w:lineRule="auto"/>
        <w:rPr>
          <w:rFonts w:ascii="Palatino Linotype" w:eastAsia="Palatino Linotype" w:hAnsi="Palatino Linotype" w:cs="Palatino Linotype"/>
        </w:rPr>
      </w:pPr>
    </w:p>
    <w:p w:rsidR="006C7D2C" w:rsidRPr="00962221" w:rsidRDefault="006C7D2C">
      <w:pPr>
        <w:spacing w:line="360" w:lineRule="auto"/>
        <w:rPr>
          <w:rFonts w:ascii="Palatino Linotype" w:eastAsia="Palatino Linotype" w:hAnsi="Palatino Linotype" w:cs="Palatino Linotype"/>
        </w:rPr>
      </w:pPr>
    </w:p>
    <w:p w:rsidR="006C7D2C" w:rsidRPr="00962221" w:rsidRDefault="006C7D2C">
      <w:pPr>
        <w:spacing w:line="360" w:lineRule="auto"/>
        <w:rPr>
          <w:rFonts w:ascii="Palatino Linotype" w:eastAsia="Palatino Linotype" w:hAnsi="Palatino Linotype" w:cs="Palatino Linotype"/>
        </w:rPr>
      </w:pPr>
    </w:p>
    <w:p w:rsidR="006C7D2C" w:rsidRPr="00962221" w:rsidRDefault="006C7D2C">
      <w:pPr>
        <w:rPr>
          <w:rFonts w:ascii="Palatino Linotype" w:eastAsia="Palatino Linotype" w:hAnsi="Palatino Linotype" w:cs="Palatino Linotype"/>
        </w:rPr>
      </w:pPr>
    </w:p>
    <w:p w:rsidR="006C7D2C" w:rsidRPr="00962221" w:rsidRDefault="006C7D2C">
      <w:pPr>
        <w:rPr>
          <w:rFonts w:ascii="Palatino Linotype" w:eastAsia="Palatino Linotype" w:hAnsi="Palatino Linotype" w:cs="Palatino Linotype"/>
        </w:rPr>
      </w:pPr>
    </w:p>
    <w:p w:rsidR="006C7D2C" w:rsidRPr="00962221" w:rsidRDefault="006C7D2C">
      <w:pPr>
        <w:rPr>
          <w:rFonts w:ascii="Palatino Linotype" w:eastAsia="Palatino Linotype" w:hAnsi="Palatino Linotype" w:cs="Palatino Linotype"/>
        </w:rPr>
      </w:pPr>
    </w:p>
    <w:p w:rsidR="006C7D2C" w:rsidRPr="00962221" w:rsidRDefault="006C7D2C">
      <w:pPr>
        <w:rPr>
          <w:rFonts w:ascii="Palatino Linotype" w:eastAsia="Palatino Linotype" w:hAnsi="Palatino Linotype" w:cs="Palatino Linotype"/>
        </w:rPr>
      </w:pPr>
    </w:p>
    <w:p w:rsidR="006C7D2C" w:rsidRPr="00962221" w:rsidRDefault="006C7D2C">
      <w:pPr>
        <w:rPr>
          <w:rFonts w:ascii="Palatino Linotype" w:eastAsia="Palatino Linotype" w:hAnsi="Palatino Linotype" w:cs="Palatino Linotype"/>
        </w:rPr>
      </w:pPr>
    </w:p>
    <w:p w:rsidR="006C7D2C" w:rsidRPr="00962221" w:rsidRDefault="006C7D2C">
      <w:pPr>
        <w:rPr>
          <w:rFonts w:ascii="Palatino Linotype" w:eastAsia="Palatino Linotype" w:hAnsi="Palatino Linotype" w:cs="Palatino Linotype"/>
        </w:rPr>
      </w:pPr>
    </w:p>
    <w:p w:rsidR="006C7D2C" w:rsidRPr="00962221" w:rsidRDefault="006C7D2C">
      <w:pPr>
        <w:rPr>
          <w:rFonts w:ascii="Palatino Linotype" w:eastAsia="Palatino Linotype" w:hAnsi="Palatino Linotype" w:cs="Palatino Linotype"/>
        </w:rPr>
      </w:pPr>
    </w:p>
    <w:p w:rsidR="002A047D" w:rsidRPr="00962221" w:rsidRDefault="002A047D">
      <w:pPr>
        <w:rPr>
          <w:rFonts w:ascii="Palatino Linotype" w:eastAsia="Palatino Linotype" w:hAnsi="Palatino Linotype" w:cs="Palatino Linotype"/>
        </w:rPr>
      </w:pPr>
    </w:p>
    <w:p w:rsidR="002A047D" w:rsidRPr="00962221" w:rsidRDefault="002A047D">
      <w:pPr>
        <w:rPr>
          <w:rFonts w:ascii="Palatino Linotype" w:eastAsia="Palatino Linotype" w:hAnsi="Palatino Linotype" w:cs="Palatino Linotype"/>
        </w:rPr>
      </w:pPr>
    </w:p>
    <w:p w:rsidR="002A047D" w:rsidRPr="00962221" w:rsidRDefault="002A047D">
      <w:pPr>
        <w:rPr>
          <w:rFonts w:ascii="Palatino Linotype" w:eastAsia="Palatino Linotype" w:hAnsi="Palatino Linotype" w:cs="Palatino Linotype"/>
        </w:rPr>
      </w:pPr>
    </w:p>
    <w:p w:rsidR="002A047D" w:rsidRPr="00962221" w:rsidRDefault="002A047D">
      <w:pPr>
        <w:rPr>
          <w:rFonts w:ascii="Palatino Linotype" w:eastAsia="Palatino Linotype" w:hAnsi="Palatino Linotype" w:cs="Palatino Linotype"/>
        </w:rPr>
      </w:pPr>
    </w:p>
    <w:p w:rsidR="002A047D" w:rsidRPr="00962221" w:rsidRDefault="002A047D">
      <w:pPr>
        <w:rPr>
          <w:rFonts w:ascii="Palatino Linotype" w:eastAsia="Palatino Linotype" w:hAnsi="Palatino Linotype" w:cs="Palatino Linotype"/>
        </w:rPr>
      </w:pPr>
    </w:p>
    <w:sectPr w:rsidR="002A047D" w:rsidRPr="00962221" w:rsidSect="00962221">
      <w:headerReference w:type="even" r:id="rId9"/>
      <w:headerReference w:type="default" r:id="rId10"/>
      <w:footerReference w:type="default" r:id="rId11"/>
      <w:headerReference w:type="first" r:id="rId12"/>
      <w:footerReference w:type="first" r:id="rId13"/>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B72" w:rsidRDefault="00D37B72">
      <w:r>
        <w:separator/>
      </w:r>
    </w:p>
  </w:endnote>
  <w:endnote w:type="continuationSeparator" w:id="0">
    <w:p w:rsidR="00D37B72" w:rsidRDefault="00D37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05C16844-C1F2-4523-9BF0-BE95D650758B}"/>
  </w:font>
  <w:font w:name="Courier New">
    <w:panose1 w:val="02070309020205020404"/>
    <w:charset w:val="00"/>
    <w:family w:val="modern"/>
    <w:pitch w:val="fixed"/>
    <w:sig w:usb0="E0002E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embedRegular r:id="rId2" w:fontKey="{65B5CA0D-62D1-4A8D-8CD4-036E44472CD2}"/>
    <w:embedBold r:id="rId3" w:fontKey="{B80018E3-A7B7-4975-B33C-083AEF18484E}"/>
    <w:embedItalic r:id="rId4" w:fontKey="{D1994306-E5A8-4BF1-A93D-B20D3E6FCB4A}"/>
    <w:embedBoldItalic r:id="rId5" w:fontKey="{CAED3B43-69FF-4FF5-B4B9-A642B91E1211}"/>
  </w:font>
  <w:font w:name="Calibri">
    <w:panose1 w:val="020F0502020204030204"/>
    <w:charset w:val="00"/>
    <w:family w:val="swiss"/>
    <w:pitch w:val="variable"/>
    <w:sig w:usb0="E4002EFF" w:usb1="C200247B" w:usb2="00000009" w:usb3="00000000" w:csb0="000001FF" w:csb1="00000000"/>
    <w:embedRegular r:id="rId6" w:fontKey="{968B84D1-5667-4E78-B441-01FA0F3E4285}"/>
  </w:font>
  <w:font w:name="Georgia">
    <w:panose1 w:val="02040502050405020303"/>
    <w:charset w:val="00"/>
    <w:family w:val="roman"/>
    <w:pitch w:val="variable"/>
    <w:sig w:usb0="00000287" w:usb1="00000000" w:usb2="00000000" w:usb3="00000000" w:csb0="0000009F" w:csb1="00000000"/>
    <w:embedItalic r:id="rId7" w:fontKey="{4A11A464-823E-4D33-AA50-19A5D25AD4E7}"/>
  </w:font>
  <w:font w:name="Century Gothic">
    <w:panose1 w:val="020B0502020202020204"/>
    <w:charset w:val="00"/>
    <w:family w:val="swiss"/>
    <w:pitch w:val="variable"/>
    <w:sig w:usb0="00000287" w:usb1="00000000" w:usb2="00000000" w:usb3="00000000" w:csb0="0000009F" w:csb1="00000000"/>
    <w:embedRegular r:id="rId8" w:fontKey="{E8D298AC-62D3-470B-8475-4D917183FBB7}"/>
    <w:embedItalic r:id="rId9" w:fontKey="{17552A45-4C5D-44C9-BEE0-2BAB4007172D}"/>
  </w:font>
  <w:font w:name="Cambria">
    <w:panose1 w:val="02040503050406030204"/>
    <w:charset w:val="00"/>
    <w:family w:val="roman"/>
    <w:pitch w:val="variable"/>
    <w:sig w:usb0="E00006FF" w:usb1="420024FF" w:usb2="02000000" w:usb3="00000000" w:csb0="0000019F" w:csb1="00000000"/>
    <w:embedRegular r:id="rId10" w:fontKey="{D4473330-099C-4049-BB59-DB34045FF106}"/>
  </w:font>
  <w:font w:name="Garamond">
    <w:panose1 w:val="02020404030301010803"/>
    <w:charset w:val="00"/>
    <w:family w:val="roman"/>
    <w:pitch w:val="variable"/>
    <w:sig w:usb0="00000287" w:usb1="00000000" w:usb2="00000000" w:usb3="00000000" w:csb0="0000009F" w:csb1="00000000"/>
    <w:embedRegular r:id="rId11" w:fontKey="{87C36EEA-27DA-4D1A-8DE3-69A03CC7A64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D2C" w:rsidRDefault="00B2748D">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437205">
      <w:rPr>
        <w:b/>
        <w:bCs/>
        <w:noProof/>
        <w:color w:val="000000"/>
      </w:rPr>
      <w:t>21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437205">
      <w:rPr>
        <w:b/>
        <w:bCs/>
        <w:noProof/>
        <w:color w:val="000000"/>
      </w:rPr>
      <w:t>50</w:t>
    </w:r>
    <w:r>
      <w:rPr>
        <w:b/>
        <w:bCs/>
        <w:color w:val="000000"/>
      </w:rPr>
      <w:fldChar w:fldCharType="end"/>
    </w:r>
  </w:p>
  <w:p w:rsidR="006C7D2C" w:rsidRDefault="006C7D2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D2C" w:rsidRPr="00962221" w:rsidRDefault="00B2748D">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962221">
      <w:rPr>
        <w:rFonts w:ascii="Palatino Linotype" w:hAnsi="Palatino Linotype"/>
        <w:color w:val="000000"/>
        <w:sz w:val="22"/>
      </w:rPr>
      <w:t xml:space="preserve">Página </w:t>
    </w:r>
    <w:r w:rsidRPr="00962221">
      <w:rPr>
        <w:rFonts w:ascii="Palatino Linotype" w:hAnsi="Palatino Linotype"/>
        <w:b/>
        <w:bCs/>
        <w:color w:val="000000"/>
        <w:sz w:val="22"/>
      </w:rPr>
      <w:fldChar w:fldCharType="begin"/>
    </w:r>
    <w:r w:rsidRPr="00962221">
      <w:rPr>
        <w:rFonts w:ascii="Palatino Linotype" w:hAnsi="Palatino Linotype"/>
        <w:b/>
        <w:bCs/>
        <w:color w:val="000000"/>
        <w:sz w:val="22"/>
      </w:rPr>
      <w:instrText>PAGE</w:instrText>
    </w:r>
    <w:r w:rsidRPr="00962221">
      <w:rPr>
        <w:rFonts w:ascii="Palatino Linotype" w:hAnsi="Palatino Linotype"/>
        <w:b/>
        <w:bCs/>
        <w:color w:val="000000"/>
        <w:sz w:val="22"/>
      </w:rPr>
      <w:fldChar w:fldCharType="separate"/>
    </w:r>
    <w:r w:rsidR="00437205">
      <w:rPr>
        <w:rFonts w:ascii="Palatino Linotype" w:hAnsi="Palatino Linotype"/>
        <w:b/>
        <w:bCs/>
        <w:noProof/>
        <w:color w:val="000000"/>
        <w:sz w:val="22"/>
      </w:rPr>
      <w:t>1</w:t>
    </w:r>
    <w:r w:rsidRPr="00962221">
      <w:rPr>
        <w:rFonts w:ascii="Palatino Linotype" w:hAnsi="Palatino Linotype"/>
        <w:b/>
        <w:bCs/>
        <w:color w:val="000000"/>
        <w:sz w:val="22"/>
      </w:rPr>
      <w:fldChar w:fldCharType="end"/>
    </w:r>
    <w:r w:rsidRPr="00962221">
      <w:rPr>
        <w:rFonts w:ascii="Palatino Linotype" w:hAnsi="Palatino Linotype"/>
        <w:color w:val="000000"/>
        <w:sz w:val="22"/>
      </w:rPr>
      <w:t xml:space="preserve"> de </w:t>
    </w:r>
    <w:r w:rsidRPr="00962221">
      <w:rPr>
        <w:rFonts w:ascii="Palatino Linotype" w:hAnsi="Palatino Linotype"/>
        <w:b/>
        <w:bCs/>
        <w:color w:val="000000"/>
        <w:sz w:val="22"/>
      </w:rPr>
      <w:fldChar w:fldCharType="begin"/>
    </w:r>
    <w:r w:rsidRPr="00962221">
      <w:rPr>
        <w:rFonts w:ascii="Palatino Linotype" w:hAnsi="Palatino Linotype"/>
        <w:b/>
        <w:bCs/>
        <w:color w:val="000000"/>
        <w:sz w:val="22"/>
      </w:rPr>
      <w:instrText>NUMPAGES</w:instrText>
    </w:r>
    <w:r w:rsidRPr="00962221">
      <w:rPr>
        <w:rFonts w:ascii="Palatino Linotype" w:hAnsi="Palatino Linotype"/>
        <w:b/>
        <w:bCs/>
        <w:color w:val="000000"/>
        <w:sz w:val="22"/>
      </w:rPr>
      <w:fldChar w:fldCharType="separate"/>
    </w:r>
    <w:r w:rsidR="00437205">
      <w:rPr>
        <w:rFonts w:ascii="Palatino Linotype" w:hAnsi="Palatino Linotype"/>
        <w:b/>
        <w:bCs/>
        <w:noProof/>
        <w:color w:val="000000"/>
        <w:sz w:val="22"/>
      </w:rPr>
      <w:t>50</w:t>
    </w:r>
    <w:r w:rsidRPr="00962221">
      <w:rPr>
        <w:rFonts w:ascii="Palatino Linotype" w:hAnsi="Palatino Linotype"/>
        <w:b/>
        <w:bCs/>
        <w:color w:val="000000"/>
        <w:sz w:val="22"/>
      </w:rPr>
      <w:fldChar w:fldCharType="end"/>
    </w:r>
  </w:p>
  <w:p w:rsidR="006C7D2C" w:rsidRDefault="006C7D2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B72" w:rsidRDefault="00D37B72">
      <w:r>
        <w:separator/>
      </w:r>
    </w:p>
  </w:footnote>
  <w:footnote w:type="continuationSeparator" w:id="0">
    <w:p w:rsidR="00D37B72" w:rsidRDefault="00D37B72">
      <w:r>
        <w:continuationSeparator/>
      </w:r>
    </w:p>
  </w:footnote>
  <w:footnote w:id="1">
    <w:p w:rsidR="006C7D2C" w:rsidRDefault="00B2748D">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6C7D2C" w:rsidRDefault="00B2748D">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6C7D2C" w:rsidRDefault="00B2748D">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6C7D2C" w:rsidRDefault="00B2748D">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rsidR="006C7D2C" w:rsidRDefault="00B2748D">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6">
    <w:p w:rsidR="006C7D2C" w:rsidRDefault="00B2748D">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7">
    <w:p w:rsidR="006C7D2C" w:rsidRDefault="00B2748D">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8">
    <w:p w:rsidR="006C7D2C" w:rsidRDefault="00B2748D">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 w:id="9">
    <w:p w:rsidR="006C7D2C" w:rsidRDefault="00B2748D">
      <w:pPr>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10">
    <w:p w:rsidR="006C7D2C" w:rsidRDefault="00B2748D">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D2C" w:rsidRDefault="00D37B72">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D2C" w:rsidRDefault="006C7D2C">
    <w:pPr>
      <w:widowControl w:val="0"/>
      <w:pBdr>
        <w:top w:val="nil"/>
        <w:left w:val="nil"/>
        <w:bottom w:val="nil"/>
        <w:right w:val="nil"/>
        <w:between w:val="nil"/>
      </w:pBdr>
      <w:spacing w:line="276" w:lineRule="auto"/>
      <w:rPr>
        <w:color w:val="000000"/>
      </w:rPr>
    </w:pPr>
  </w:p>
  <w:tbl>
    <w:tblPr>
      <w:tblStyle w:val="a1"/>
      <w:tblW w:w="9214" w:type="dxa"/>
      <w:tblInd w:w="0" w:type="dxa"/>
      <w:tblLayout w:type="fixed"/>
      <w:tblLook w:val="0400" w:firstRow="0" w:lastRow="0" w:firstColumn="0" w:lastColumn="0" w:noHBand="0" w:noVBand="1"/>
    </w:tblPr>
    <w:tblGrid>
      <w:gridCol w:w="2268"/>
      <w:gridCol w:w="6946"/>
    </w:tblGrid>
    <w:tr w:rsidR="006C7D2C">
      <w:trPr>
        <w:trHeight w:val="1435"/>
      </w:trPr>
      <w:tc>
        <w:tcPr>
          <w:tcW w:w="2268" w:type="dxa"/>
          <w:shd w:val="clear" w:color="auto" w:fill="auto"/>
        </w:tcPr>
        <w:p w:rsidR="006C7D2C" w:rsidRDefault="006C7D2C">
          <w:pPr>
            <w:tabs>
              <w:tab w:val="right" w:pos="4273"/>
            </w:tabs>
            <w:rPr>
              <w:rFonts w:ascii="Garamond" w:eastAsia="Garamond" w:hAnsi="Garamond" w:cs="Garamond"/>
              <w:sz w:val="16"/>
              <w:szCs w:val="16"/>
            </w:rPr>
          </w:pPr>
        </w:p>
      </w:tc>
      <w:tc>
        <w:tcPr>
          <w:tcW w:w="6946" w:type="dxa"/>
          <w:shd w:val="clear" w:color="auto" w:fill="auto"/>
        </w:tcPr>
        <w:p w:rsidR="006C7D2C" w:rsidRDefault="006C7D2C"/>
        <w:tbl>
          <w:tblPr>
            <w:tblStyle w:val="a2"/>
            <w:tblW w:w="6662" w:type="dxa"/>
            <w:tblInd w:w="40" w:type="dxa"/>
            <w:tblLayout w:type="fixed"/>
            <w:tblLook w:val="0400" w:firstRow="0" w:lastRow="0" w:firstColumn="0" w:lastColumn="0" w:noHBand="0" w:noVBand="1"/>
          </w:tblPr>
          <w:tblGrid>
            <w:gridCol w:w="2551"/>
            <w:gridCol w:w="4111"/>
          </w:tblGrid>
          <w:tr w:rsidR="006C7D2C">
            <w:trPr>
              <w:trHeight w:val="150"/>
            </w:trPr>
            <w:tc>
              <w:tcPr>
                <w:tcW w:w="2551" w:type="dxa"/>
                <w:shd w:val="clear" w:color="auto" w:fill="auto"/>
              </w:tcPr>
              <w:p w:rsidR="006C7D2C" w:rsidRDefault="00B2748D">
                <w:pPr>
                  <w:tabs>
                    <w:tab w:val="right" w:pos="8838"/>
                  </w:tabs>
                  <w:ind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111" w:type="dxa"/>
                <w:shd w:val="clear" w:color="auto" w:fill="auto"/>
              </w:tcPr>
              <w:p w:rsidR="006C7D2C" w:rsidRDefault="00B2748D">
                <w:pPr>
                  <w:tabs>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10328/INFOEM/IP/RR/2025</w:t>
                </w:r>
              </w:p>
            </w:tc>
          </w:tr>
          <w:tr w:rsidR="006C7D2C">
            <w:trPr>
              <w:trHeight w:val="295"/>
            </w:trPr>
            <w:tc>
              <w:tcPr>
                <w:tcW w:w="2551" w:type="dxa"/>
                <w:shd w:val="clear" w:color="auto" w:fill="auto"/>
              </w:tcPr>
              <w:p w:rsidR="006C7D2C" w:rsidRDefault="00B2748D">
                <w:pPr>
                  <w:tabs>
                    <w:tab w:val="right" w:pos="8838"/>
                  </w:tabs>
                  <w:ind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111" w:type="dxa"/>
                <w:shd w:val="clear" w:color="auto" w:fill="auto"/>
              </w:tcPr>
              <w:p w:rsidR="006C7D2C" w:rsidRDefault="00B2748D">
                <w:pPr>
                  <w:tabs>
                    <w:tab w:val="left" w:pos="2834"/>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Consejería Jurídica </w:t>
                </w:r>
              </w:p>
            </w:tc>
          </w:tr>
          <w:tr w:rsidR="006C7D2C">
            <w:trPr>
              <w:trHeight w:val="295"/>
            </w:trPr>
            <w:tc>
              <w:tcPr>
                <w:tcW w:w="2551" w:type="dxa"/>
                <w:shd w:val="clear" w:color="auto" w:fill="auto"/>
              </w:tcPr>
              <w:p w:rsidR="006C7D2C" w:rsidRDefault="00B2748D">
                <w:pPr>
                  <w:tabs>
                    <w:tab w:val="right" w:pos="8838"/>
                  </w:tabs>
                  <w:ind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111" w:type="dxa"/>
                <w:shd w:val="clear" w:color="auto" w:fill="auto"/>
              </w:tcPr>
              <w:p w:rsidR="006C7D2C" w:rsidRDefault="00B2748D">
                <w:pPr>
                  <w:tabs>
                    <w:tab w:val="right" w:pos="8838"/>
                  </w:tabs>
                  <w:ind w:left="-108"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rsidR="006C7D2C" w:rsidRDefault="006C7D2C">
                <w:pPr>
                  <w:tabs>
                    <w:tab w:val="right" w:pos="8838"/>
                  </w:tabs>
                  <w:ind w:left="-108" w:right="171"/>
                  <w:jc w:val="both"/>
                  <w:rPr>
                    <w:rFonts w:ascii="Palatino Linotype" w:eastAsia="Palatino Linotype" w:hAnsi="Palatino Linotype" w:cs="Palatino Linotype"/>
                    <w:b/>
                    <w:bCs/>
                    <w:sz w:val="22"/>
                    <w:szCs w:val="22"/>
                  </w:rPr>
                </w:pPr>
              </w:p>
            </w:tc>
          </w:tr>
        </w:tbl>
        <w:p w:rsidR="006C7D2C" w:rsidRDefault="006C7D2C">
          <w:pPr>
            <w:tabs>
              <w:tab w:val="right" w:pos="8838"/>
            </w:tabs>
            <w:ind w:left="-28"/>
            <w:jc w:val="both"/>
            <w:rPr>
              <w:rFonts w:ascii="Arial" w:eastAsia="Arial" w:hAnsi="Arial" w:cs="Arial"/>
              <w:b/>
              <w:bCs/>
              <w:sz w:val="22"/>
              <w:szCs w:val="22"/>
            </w:rPr>
          </w:pPr>
        </w:p>
      </w:tc>
    </w:tr>
  </w:tbl>
  <w:p w:rsidR="006C7D2C" w:rsidRDefault="00D37B72">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10348" w:type="dxa"/>
      <w:tblInd w:w="0" w:type="dxa"/>
      <w:tblLayout w:type="fixed"/>
      <w:tblLook w:val="0400" w:firstRow="0" w:lastRow="0" w:firstColumn="0" w:lastColumn="0" w:noHBand="0" w:noVBand="1"/>
    </w:tblPr>
    <w:tblGrid>
      <w:gridCol w:w="2268"/>
      <w:gridCol w:w="8080"/>
    </w:tblGrid>
    <w:tr w:rsidR="006C7D2C" w:rsidTr="00962221">
      <w:trPr>
        <w:trHeight w:val="1435"/>
      </w:trPr>
      <w:tc>
        <w:tcPr>
          <w:tcW w:w="2268" w:type="dxa"/>
          <w:shd w:val="clear" w:color="auto" w:fill="auto"/>
        </w:tcPr>
        <w:p w:rsidR="006C7D2C" w:rsidRDefault="006C7D2C">
          <w:pPr>
            <w:tabs>
              <w:tab w:val="right" w:pos="4273"/>
            </w:tabs>
            <w:rPr>
              <w:rFonts w:ascii="Garamond" w:eastAsia="Garamond" w:hAnsi="Garamond" w:cs="Garamond"/>
              <w:sz w:val="22"/>
              <w:szCs w:val="22"/>
            </w:rPr>
          </w:pPr>
        </w:p>
      </w:tc>
      <w:tc>
        <w:tcPr>
          <w:tcW w:w="8080" w:type="dxa"/>
          <w:shd w:val="clear" w:color="auto" w:fill="auto"/>
        </w:tcPr>
        <w:tbl>
          <w:tblPr>
            <w:tblStyle w:val="a4"/>
            <w:tblW w:w="7040" w:type="dxa"/>
            <w:tblInd w:w="1161" w:type="dxa"/>
            <w:tblLayout w:type="fixed"/>
            <w:tblLook w:val="0400" w:firstRow="0" w:lastRow="0" w:firstColumn="0" w:lastColumn="0" w:noHBand="0" w:noVBand="1"/>
          </w:tblPr>
          <w:tblGrid>
            <w:gridCol w:w="2822"/>
            <w:gridCol w:w="4218"/>
          </w:tblGrid>
          <w:tr w:rsidR="006C7D2C" w:rsidTr="00962221">
            <w:trPr>
              <w:trHeight w:val="144"/>
            </w:trPr>
            <w:tc>
              <w:tcPr>
                <w:tcW w:w="2822" w:type="dxa"/>
                <w:shd w:val="clear" w:color="auto" w:fill="auto"/>
              </w:tcPr>
              <w:p w:rsidR="006C7D2C" w:rsidRPr="00962221" w:rsidRDefault="00B2748D" w:rsidP="00962221">
                <w:pPr>
                  <w:tabs>
                    <w:tab w:val="right" w:pos="8838"/>
                  </w:tabs>
                  <w:ind w:left="-264" w:right="-105" w:firstLine="195"/>
                  <w:rPr>
                    <w:rFonts w:ascii="Palatino Linotype" w:eastAsia="Palatino Linotype" w:hAnsi="Palatino Linotype" w:cs="Palatino Linotype"/>
                    <w:b/>
                    <w:bCs/>
                    <w:szCs w:val="22"/>
                  </w:rPr>
                </w:pPr>
                <w:r w:rsidRPr="00962221">
                  <w:rPr>
                    <w:rFonts w:ascii="Palatino Linotype" w:eastAsia="Palatino Linotype" w:hAnsi="Palatino Linotype" w:cs="Palatino Linotype"/>
                    <w:b/>
                    <w:bCs/>
                    <w:szCs w:val="22"/>
                  </w:rPr>
                  <w:t>Recurso de Revisión:</w:t>
                </w:r>
              </w:p>
            </w:tc>
            <w:tc>
              <w:tcPr>
                <w:tcW w:w="4218" w:type="dxa"/>
                <w:shd w:val="clear" w:color="auto" w:fill="auto"/>
              </w:tcPr>
              <w:p w:rsidR="006C7D2C" w:rsidRPr="00962221" w:rsidRDefault="00B2748D" w:rsidP="00962221">
                <w:pPr>
                  <w:tabs>
                    <w:tab w:val="right" w:pos="8838"/>
                  </w:tabs>
                  <w:ind w:left="-264" w:right="-105" w:firstLine="195"/>
                  <w:jc w:val="both"/>
                  <w:rPr>
                    <w:rFonts w:ascii="Palatino Linotype" w:eastAsia="Palatino Linotype" w:hAnsi="Palatino Linotype" w:cs="Palatino Linotype"/>
                    <w:b/>
                    <w:bCs/>
                    <w:szCs w:val="22"/>
                  </w:rPr>
                </w:pPr>
                <w:r w:rsidRPr="00962221">
                  <w:rPr>
                    <w:rFonts w:ascii="Palatino Linotype" w:eastAsia="Palatino Linotype" w:hAnsi="Palatino Linotype" w:cs="Palatino Linotype"/>
                    <w:b/>
                    <w:bCs/>
                    <w:szCs w:val="22"/>
                  </w:rPr>
                  <w:t>10328/INFOEM/IP/RR/2025</w:t>
                </w:r>
              </w:p>
            </w:tc>
          </w:tr>
          <w:tr w:rsidR="006C7D2C" w:rsidTr="00962221">
            <w:trPr>
              <w:trHeight w:val="144"/>
            </w:trPr>
            <w:tc>
              <w:tcPr>
                <w:tcW w:w="2822" w:type="dxa"/>
                <w:shd w:val="clear" w:color="auto" w:fill="auto"/>
              </w:tcPr>
              <w:p w:rsidR="006C7D2C" w:rsidRPr="00962221" w:rsidRDefault="00B2748D" w:rsidP="00962221">
                <w:pPr>
                  <w:tabs>
                    <w:tab w:val="right" w:pos="8838"/>
                  </w:tabs>
                  <w:ind w:left="-264" w:right="-105" w:firstLine="195"/>
                  <w:rPr>
                    <w:rFonts w:ascii="Palatino Linotype" w:eastAsia="Palatino Linotype" w:hAnsi="Palatino Linotype" w:cs="Palatino Linotype"/>
                    <w:b/>
                    <w:bCs/>
                    <w:szCs w:val="22"/>
                  </w:rPr>
                </w:pPr>
                <w:r w:rsidRPr="00962221">
                  <w:rPr>
                    <w:rFonts w:ascii="Palatino Linotype" w:eastAsia="Palatino Linotype" w:hAnsi="Palatino Linotype" w:cs="Palatino Linotype"/>
                    <w:b/>
                    <w:bCs/>
                    <w:szCs w:val="22"/>
                  </w:rPr>
                  <w:t>Recurrente:</w:t>
                </w:r>
              </w:p>
            </w:tc>
            <w:tc>
              <w:tcPr>
                <w:tcW w:w="4218" w:type="dxa"/>
                <w:shd w:val="clear" w:color="auto" w:fill="auto"/>
              </w:tcPr>
              <w:p w:rsidR="006C7D2C" w:rsidRPr="00962221" w:rsidRDefault="00437205" w:rsidP="00962221">
                <w:pPr>
                  <w:tabs>
                    <w:tab w:val="left" w:pos="3122"/>
                    <w:tab w:val="right" w:pos="8838"/>
                  </w:tabs>
                  <w:ind w:left="-264" w:right="-105" w:firstLine="195"/>
                  <w:jc w:val="both"/>
                  <w:rPr>
                    <w:rFonts w:ascii="Palatino Linotype" w:eastAsia="Palatino Linotype" w:hAnsi="Palatino Linotype" w:cs="Palatino Linotype"/>
                    <w:b/>
                    <w:bCs/>
                    <w:szCs w:val="22"/>
                  </w:rPr>
                </w:pPr>
                <w:r>
                  <w:rPr>
                    <w:rFonts w:ascii="Palatino Linotype" w:eastAsia="Palatino Linotype" w:hAnsi="Palatino Linotype" w:cs="Palatino Linotype"/>
                    <w:b/>
                    <w:bCs/>
                    <w:szCs w:val="22"/>
                  </w:rPr>
                  <w:t>XXXX</w:t>
                </w:r>
                <w:r w:rsidR="00B2748D" w:rsidRPr="00962221">
                  <w:rPr>
                    <w:rFonts w:ascii="Palatino Linotype" w:eastAsia="Palatino Linotype" w:hAnsi="Palatino Linotype" w:cs="Palatino Linotype"/>
                    <w:b/>
                    <w:bCs/>
                    <w:szCs w:val="22"/>
                  </w:rPr>
                  <w:t xml:space="preserve"> </w:t>
                </w:r>
              </w:p>
            </w:tc>
          </w:tr>
          <w:tr w:rsidR="006C7D2C" w:rsidTr="00962221">
            <w:trPr>
              <w:trHeight w:val="283"/>
            </w:trPr>
            <w:tc>
              <w:tcPr>
                <w:tcW w:w="2822" w:type="dxa"/>
                <w:shd w:val="clear" w:color="auto" w:fill="auto"/>
              </w:tcPr>
              <w:p w:rsidR="006C7D2C" w:rsidRPr="00962221" w:rsidRDefault="00B2748D" w:rsidP="00962221">
                <w:pPr>
                  <w:tabs>
                    <w:tab w:val="right" w:pos="8838"/>
                  </w:tabs>
                  <w:ind w:left="-264" w:right="-105" w:firstLine="195"/>
                  <w:rPr>
                    <w:rFonts w:ascii="Palatino Linotype" w:eastAsia="Palatino Linotype" w:hAnsi="Palatino Linotype" w:cs="Palatino Linotype"/>
                    <w:b/>
                    <w:bCs/>
                    <w:szCs w:val="22"/>
                  </w:rPr>
                </w:pPr>
                <w:r w:rsidRPr="00962221">
                  <w:rPr>
                    <w:rFonts w:ascii="Palatino Linotype" w:eastAsia="Palatino Linotype" w:hAnsi="Palatino Linotype" w:cs="Palatino Linotype"/>
                    <w:b/>
                    <w:bCs/>
                    <w:szCs w:val="22"/>
                  </w:rPr>
                  <w:t>Sujeto Obligado:</w:t>
                </w:r>
              </w:p>
            </w:tc>
            <w:tc>
              <w:tcPr>
                <w:tcW w:w="4218" w:type="dxa"/>
                <w:shd w:val="clear" w:color="auto" w:fill="auto"/>
              </w:tcPr>
              <w:p w:rsidR="006C7D2C" w:rsidRPr="00962221" w:rsidRDefault="00B2748D" w:rsidP="00962221">
                <w:pPr>
                  <w:tabs>
                    <w:tab w:val="left" w:pos="2834"/>
                    <w:tab w:val="right" w:pos="8838"/>
                  </w:tabs>
                  <w:ind w:left="-264" w:right="-105" w:firstLine="195"/>
                  <w:jc w:val="both"/>
                  <w:rPr>
                    <w:rFonts w:ascii="Palatino Linotype" w:eastAsia="Palatino Linotype" w:hAnsi="Palatino Linotype" w:cs="Palatino Linotype"/>
                    <w:b/>
                    <w:bCs/>
                    <w:szCs w:val="22"/>
                  </w:rPr>
                </w:pPr>
                <w:r w:rsidRPr="00962221">
                  <w:rPr>
                    <w:rFonts w:ascii="Palatino Linotype" w:eastAsia="Palatino Linotype" w:hAnsi="Palatino Linotype" w:cs="Palatino Linotype"/>
                    <w:b/>
                    <w:bCs/>
                    <w:szCs w:val="22"/>
                  </w:rPr>
                  <w:t>Consejería Jurídica</w:t>
                </w:r>
              </w:p>
            </w:tc>
          </w:tr>
          <w:tr w:rsidR="006C7D2C" w:rsidTr="00962221">
            <w:trPr>
              <w:trHeight w:val="283"/>
            </w:trPr>
            <w:tc>
              <w:tcPr>
                <w:tcW w:w="2822" w:type="dxa"/>
                <w:shd w:val="clear" w:color="auto" w:fill="auto"/>
              </w:tcPr>
              <w:p w:rsidR="006C7D2C" w:rsidRPr="00962221" w:rsidRDefault="00B2748D" w:rsidP="00962221">
                <w:pPr>
                  <w:tabs>
                    <w:tab w:val="right" w:pos="8838"/>
                  </w:tabs>
                  <w:ind w:left="-264" w:right="-105" w:firstLine="195"/>
                  <w:rPr>
                    <w:rFonts w:ascii="Palatino Linotype" w:eastAsia="Palatino Linotype" w:hAnsi="Palatino Linotype" w:cs="Palatino Linotype"/>
                    <w:b/>
                    <w:bCs/>
                    <w:szCs w:val="22"/>
                  </w:rPr>
                </w:pPr>
                <w:r w:rsidRPr="00962221">
                  <w:rPr>
                    <w:rFonts w:ascii="Palatino Linotype" w:eastAsia="Palatino Linotype" w:hAnsi="Palatino Linotype" w:cs="Palatino Linotype"/>
                    <w:b/>
                    <w:bCs/>
                    <w:szCs w:val="22"/>
                  </w:rPr>
                  <w:t>Comisionada ponente:</w:t>
                </w:r>
              </w:p>
            </w:tc>
            <w:tc>
              <w:tcPr>
                <w:tcW w:w="4218" w:type="dxa"/>
                <w:shd w:val="clear" w:color="auto" w:fill="auto"/>
              </w:tcPr>
              <w:p w:rsidR="006C7D2C" w:rsidRPr="00962221" w:rsidRDefault="00B2748D" w:rsidP="00962221">
                <w:pPr>
                  <w:tabs>
                    <w:tab w:val="right" w:pos="8838"/>
                  </w:tabs>
                  <w:ind w:left="-264" w:right="-105" w:firstLine="195"/>
                  <w:jc w:val="both"/>
                  <w:rPr>
                    <w:rFonts w:ascii="Palatino Linotype" w:eastAsia="Palatino Linotype" w:hAnsi="Palatino Linotype" w:cs="Palatino Linotype"/>
                    <w:b/>
                    <w:bCs/>
                    <w:szCs w:val="22"/>
                  </w:rPr>
                </w:pPr>
                <w:r w:rsidRPr="00962221">
                  <w:rPr>
                    <w:rFonts w:ascii="Palatino Linotype" w:eastAsia="Palatino Linotype" w:hAnsi="Palatino Linotype" w:cs="Palatino Linotype"/>
                    <w:b/>
                    <w:bCs/>
                    <w:szCs w:val="22"/>
                  </w:rPr>
                  <w:t>María del Rosario Mejía Ayala</w:t>
                </w:r>
              </w:p>
              <w:p w:rsidR="006C7D2C" w:rsidRPr="00962221" w:rsidRDefault="006C7D2C" w:rsidP="00962221">
                <w:pPr>
                  <w:tabs>
                    <w:tab w:val="right" w:pos="8838"/>
                  </w:tabs>
                  <w:ind w:left="-264" w:right="-105" w:firstLine="195"/>
                  <w:jc w:val="both"/>
                  <w:rPr>
                    <w:rFonts w:ascii="Palatino Linotype" w:eastAsia="Palatino Linotype" w:hAnsi="Palatino Linotype" w:cs="Palatino Linotype"/>
                    <w:b/>
                    <w:bCs/>
                    <w:szCs w:val="22"/>
                  </w:rPr>
                </w:pPr>
              </w:p>
            </w:tc>
          </w:tr>
        </w:tbl>
        <w:p w:rsidR="006C7D2C" w:rsidRDefault="006C7D2C">
          <w:pPr>
            <w:tabs>
              <w:tab w:val="right" w:pos="8838"/>
            </w:tabs>
            <w:ind w:left="-28"/>
            <w:jc w:val="both"/>
            <w:rPr>
              <w:rFonts w:ascii="Arial" w:eastAsia="Arial" w:hAnsi="Arial" w:cs="Arial"/>
              <w:b/>
              <w:bCs/>
              <w:sz w:val="22"/>
              <w:szCs w:val="22"/>
            </w:rPr>
          </w:pPr>
        </w:p>
      </w:tc>
    </w:tr>
  </w:tbl>
  <w:p w:rsidR="006C7D2C" w:rsidRDefault="00D37B72">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B1EE0"/>
    <w:multiLevelType w:val="multilevel"/>
    <w:tmpl w:val="54E440A4"/>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 w15:restartNumberingAfterBreak="0">
    <w:nsid w:val="034D5432"/>
    <w:multiLevelType w:val="multilevel"/>
    <w:tmpl w:val="A0B4C0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846426"/>
    <w:multiLevelType w:val="multilevel"/>
    <w:tmpl w:val="B874CC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4771921"/>
    <w:multiLevelType w:val="multilevel"/>
    <w:tmpl w:val="53C05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003052"/>
    <w:multiLevelType w:val="multilevel"/>
    <w:tmpl w:val="FC5C1654"/>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E7852B6"/>
    <w:multiLevelType w:val="multilevel"/>
    <w:tmpl w:val="94DA0B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6DF1C58"/>
    <w:multiLevelType w:val="multilevel"/>
    <w:tmpl w:val="11007554"/>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3F06650"/>
    <w:multiLevelType w:val="multilevel"/>
    <w:tmpl w:val="905E0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800384"/>
    <w:multiLevelType w:val="multilevel"/>
    <w:tmpl w:val="18C0FBD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9" w15:restartNumberingAfterBreak="0">
    <w:nsid w:val="68FE2B6B"/>
    <w:multiLevelType w:val="multilevel"/>
    <w:tmpl w:val="DB6EC6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1244BBA"/>
    <w:multiLevelType w:val="hybridMultilevel"/>
    <w:tmpl w:val="68388238"/>
    <w:lvl w:ilvl="0" w:tplc="AD92418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71ED5999"/>
    <w:multiLevelType w:val="multilevel"/>
    <w:tmpl w:val="373C7B2A"/>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8"/>
  </w:num>
  <w:num w:numId="3">
    <w:abstractNumId w:val="0"/>
  </w:num>
  <w:num w:numId="4">
    <w:abstractNumId w:val="3"/>
  </w:num>
  <w:num w:numId="5">
    <w:abstractNumId w:val="7"/>
  </w:num>
  <w:num w:numId="6">
    <w:abstractNumId w:val="9"/>
  </w:num>
  <w:num w:numId="7">
    <w:abstractNumId w:val="5"/>
  </w:num>
  <w:num w:numId="8">
    <w:abstractNumId w:val="11"/>
  </w:num>
  <w:num w:numId="9">
    <w:abstractNumId w:val="4"/>
  </w:num>
  <w:num w:numId="10">
    <w:abstractNumId w:val="1"/>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D2C"/>
    <w:rsid w:val="001C47C4"/>
    <w:rsid w:val="002A047D"/>
    <w:rsid w:val="002F4629"/>
    <w:rsid w:val="003F2973"/>
    <w:rsid w:val="00437205"/>
    <w:rsid w:val="004736CA"/>
    <w:rsid w:val="00513CCC"/>
    <w:rsid w:val="006C7D2C"/>
    <w:rsid w:val="00962221"/>
    <w:rsid w:val="00A84232"/>
    <w:rsid w:val="00B2748D"/>
    <w:rsid w:val="00B83A5A"/>
    <w:rsid w:val="00CD08F3"/>
    <w:rsid w:val="00D37B72"/>
    <w:rsid w:val="00F27EA5"/>
    <w:rsid w:val="00F711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092009A-AF44-4AB2-9E8D-224F394A2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40"/>
      <w:outlineLvl w:val="2"/>
    </w:pPr>
    <w:rPr>
      <w:rFonts w:ascii="Calibri" w:eastAsia="Calibri" w:hAnsi="Calibri" w:cs="Calibri"/>
      <w:color w:val="1E4D7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pBdr>
        <w:top w:val="nil"/>
        <w:left w:val="nil"/>
        <w:bottom w:val="nil"/>
        <w:right w:val="nil"/>
        <w:between w:val="nil"/>
      </w:pBdr>
      <w:ind w:left="567" w:right="567" w:hanging="567"/>
      <w:jc w:val="both"/>
    </w:pPr>
    <w:rPr>
      <w:rFonts w:ascii="Palatino Linotype" w:eastAsia="Palatino Linotype" w:hAnsi="Palatino Linotype" w:cs="Palatino Linotype"/>
      <w:i/>
      <w:iCs/>
      <w:color w:val="000000"/>
      <w:sz w:val="22"/>
      <w:szCs w:val="2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paragraph" w:styleId="Piedepgina">
    <w:name w:val="footer"/>
    <w:basedOn w:val="Normal"/>
    <w:link w:val="PiedepginaCar"/>
    <w:uiPriority w:val="99"/>
    <w:unhideWhenUsed/>
    <w:rsid w:val="00962221"/>
    <w:pPr>
      <w:tabs>
        <w:tab w:val="center" w:pos="4419"/>
        <w:tab w:val="right" w:pos="8838"/>
      </w:tabs>
    </w:pPr>
  </w:style>
  <w:style w:type="character" w:customStyle="1" w:styleId="PiedepginaCar">
    <w:name w:val="Pie de página Car"/>
    <w:basedOn w:val="Fuentedeprrafopredeter"/>
    <w:link w:val="Piedepgina"/>
    <w:uiPriority w:val="99"/>
    <w:rsid w:val="00962221"/>
  </w:style>
  <w:style w:type="paragraph" w:styleId="Prrafodelista">
    <w:name w:val="List Paragraph"/>
    <w:basedOn w:val="Normal"/>
    <w:uiPriority w:val="34"/>
    <w:qFormat/>
    <w:rsid w:val="009622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2536624.pag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twLdevkenb4uVq1wgsOJYMxmvg==">CgMxLjAyDmgubDAybGVoMmhudHdzMg1oLnVva2Yzbm5tbzRmMg5oLm55Y2p0NzMzZXg0NjIOaC52dmR5azZtcGdraHkyDmguZXRueXh3djcxeWgzMg5oLmtobGRnbDNzOWh1YzIOaC5leHAxZjJoMHNqbjkyDWgueW4zeGpyemZkbmYyDmguNDJxc2M2MWZpdWRpMg5oLnRtaGhqaTlvY2lobjgAciExbUVXNVNYVk4wOExKTW1ZRE85OFctV3NGekFtcmtEdGc=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50</Pages>
  <Words>12916</Words>
  <Characters>71041</Characters>
  <Application>Microsoft Office Word</Application>
  <DocSecurity>0</DocSecurity>
  <Lines>592</Lines>
  <Paragraphs>167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83790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INFOEM574</dc:creator>
  <cp:lastModifiedBy>Cuenta Microsoft</cp:lastModifiedBy>
  <cp:revision>9</cp:revision>
  <cp:lastPrinted>2026-04-17T17:23:00Z</cp:lastPrinted>
  <dcterms:created xsi:type="dcterms:W3CDTF">2026-04-13T18:26:00Z</dcterms:created>
  <dcterms:modified xsi:type="dcterms:W3CDTF">2026-04-23T17:54:00Z</dcterms:modified>
</cp:coreProperties>
</file>