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DC0" w:rsidRPr="00836E67" w:rsidRDefault="004C1DC0" w:rsidP="004C1DC0">
      <w:pPr>
        <w:spacing w:line="360" w:lineRule="auto"/>
        <w:jc w:val="both"/>
        <w:rPr>
          <w:rFonts w:ascii="Palatino Linotype" w:hAnsi="Palatino Linotype"/>
        </w:rPr>
      </w:pPr>
      <w:r w:rsidRPr="00836E6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871299" w:rsidRPr="00836E67">
        <w:rPr>
          <w:rFonts w:ascii="Palatino Linotype" w:hAnsi="Palatino Linotype"/>
        </w:rPr>
        <w:t>once de febrero de dos mil veintiséis.</w:t>
      </w:r>
    </w:p>
    <w:p w:rsidR="004C1DC0" w:rsidRPr="00836E67" w:rsidRDefault="004C1DC0" w:rsidP="004C1DC0">
      <w:pPr>
        <w:spacing w:line="360" w:lineRule="auto"/>
        <w:jc w:val="both"/>
        <w:rPr>
          <w:rFonts w:ascii="Palatino Linotype" w:hAnsi="Palatino Linotype"/>
        </w:rPr>
      </w:pPr>
    </w:p>
    <w:p w:rsidR="004C1DC0" w:rsidRPr="00836E67" w:rsidRDefault="004C1DC0" w:rsidP="004C1DC0">
      <w:pPr>
        <w:tabs>
          <w:tab w:val="left" w:pos="1701"/>
        </w:tabs>
        <w:spacing w:before="240" w:line="360" w:lineRule="auto"/>
        <w:jc w:val="both"/>
        <w:rPr>
          <w:rFonts w:ascii="Palatino Linotype" w:hAnsi="Palatino Linotype" w:cs="Arial"/>
          <w:sz w:val="28"/>
        </w:rPr>
      </w:pPr>
      <w:r w:rsidRPr="00836E67">
        <w:rPr>
          <w:rFonts w:ascii="Palatino Linotype" w:hAnsi="Palatino Linotype" w:cs="Arial"/>
          <w:b/>
        </w:rPr>
        <w:t>VISTO</w:t>
      </w:r>
      <w:r w:rsidRPr="00836E67">
        <w:rPr>
          <w:rFonts w:ascii="Palatino Linotype" w:hAnsi="Palatino Linotype" w:cs="Arial"/>
        </w:rPr>
        <w:t xml:space="preserve"> el expediente electrónico formado con motivo del recurso de revisión número</w:t>
      </w:r>
      <w:r w:rsidRPr="00836E67">
        <w:rPr>
          <w:rFonts w:ascii="Palatino Linotype" w:hAnsi="Palatino Linotype" w:cs="Arial"/>
          <w:b/>
        </w:rPr>
        <w:t xml:space="preserve"> </w:t>
      </w:r>
      <w:bookmarkStart w:id="0" w:name="_GoBack"/>
      <w:r w:rsidRPr="00836E67">
        <w:rPr>
          <w:rFonts w:ascii="Palatino Linotype" w:hAnsi="Palatino Linotype" w:cs="Arial"/>
          <w:b/>
          <w:bCs/>
          <w:lang w:eastAsia="es-MX"/>
        </w:rPr>
        <w:t>0</w:t>
      </w:r>
      <w:r w:rsidR="00871299" w:rsidRPr="00836E67">
        <w:rPr>
          <w:rFonts w:ascii="Palatino Linotype" w:hAnsi="Palatino Linotype" w:cs="Arial"/>
          <w:b/>
          <w:bCs/>
          <w:lang w:eastAsia="es-MX"/>
        </w:rPr>
        <w:t>9125</w:t>
      </w:r>
      <w:r w:rsidRPr="00836E67">
        <w:rPr>
          <w:rFonts w:ascii="Palatino Linotype" w:hAnsi="Palatino Linotype" w:cs="Arial"/>
          <w:b/>
          <w:bCs/>
          <w:lang w:eastAsia="es-MX"/>
        </w:rPr>
        <w:t>/INFOEM/IP/RR/2025</w:t>
      </w:r>
      <w:bookmarkEnd w:id="0"/>
      <w:r w:rsidRPr="00836E67">
        <w:rPr>
          <w:rFonts w:ascii="Palatino Linotype" w:hAnsi="Palatino Linotype" w:cs="Arial"/>
          <w:b/>
          <w:bCs/>
          <w:lang w:eastAsia="es-MX"/>
        </w:rPr>
        <w:t xml:space="preserve">, </w:t>
      </w:r>
      <w:r w:rsidRPr="00836E67">
        <w:rPr>
          <w:rFonts w:ascii="Palatino Linotype" w:hAnsi="Palatino Linotype"/>
        </w:rPr>
        <w:t xml:space="preserve">interpuesto por </w:t>
      </w:r>
      <w:r w:rsidR="00871299" w:rsidRPr="00836E67">
        <w:rPr>
          <w:rFonts w:ascii="Palatino Linotype" w:hAnsi="Palatino Linotype"/>
        </w:rPr>
        <w:t>“</w:t>
      </w:r>
      <w:r w:rsidR="002F1F1F">
        <w:rPr>
          <w:rFonts w:ascii="Palatino Linotype" w:hAnsi="Palatino Linotype"/>
        </w:rPr>
        <w:t>XXXXXXXXXXXXXXXX</w:t>
      </w:r>
      <w:r w:rsidR="00871299" w:rsidRPr="00836E67">
        <w:rPr>
          <w:rFonts w:ascii="Palatino Linotype" w:hAnsi="Palatino Linotype"/>
        </w:rPr>
        <w:t>”</w:t>
      </w:r>
      <w:r w:rsidRPr="00836E67">
        <w:rPr>
          <w:rFonts w:ascii="Palatino Linotype" w:hAnsi="Palatino Linotype"/>
        </w:rPr>
        <w:t xml:space="preserve">, en lo sucesivo la parte </w:t>
      </w:r>
      <w:r w:rsidRPr="00836E67">
        <w:rPr>
          <w:rFonts w:ascii="Palatino Linotype" w:hAnsi="Palatino Linotype"/>
          <w:b/>
        </w:rPr>
        <w:t>Recurrente</w:t>
      </w:r>
      <w:r w:rsidRPr="00836E67">
        <w:rPr>
          <w:rFonts w:ascii="Palatino Linotype" w:hAnsi="Palatino Linotype"/>
        </w:rPr>
        <w:t xml:space="preserve">, en contra de la respuesta del </w:t>
      </w:r>
      <w:r w:rsidRPr="00836E67">
        <w:rPr>
          <w:rFonts w:ascii="Palatino Linotype" w:hAnsi="Palatino Linotype"/>
          <w:b/>
        </w:rPr>
        <w:t>Ayuntamiento de Tepotzotlán</w:t>
      </w:r>
      <w:r w:rsidRPr="00836E67">
        <w:rPr>
          <w:rFonts w:ascii="Palatino Linotype" w:hAnsi="Palatino Linotype"/>
        </w:rPr>
        <w:t xml:space="preserve">, en lo subsecuente el </w:t>
      </w:r>
      <w:r w:rsidRPr="00836E67">
        <w:rPr>
          <w:rFonts w:ascii="Palatino Linotype" w:hAnsi="Palatino Linotype"/>
          <w:b/>
        </w:rPr>
        <w:t>Sujeto Obligado</w:t>
      </w:r>
      <w:r w:rsidRPr="00836E67">
        <w:rPr>
          <w:rFonts w:ascii="Palatino Linotype" w:hAnsi="Palatino Linotype"/>
        </w:rPr>
        <w:t>, se procede a dictar la presente resolución.</w:t>
      </w:r>
    </w:p>
    <w:p w:rsidR="004C1DC0" w:rsidRPr="00836E67" w:rsidRDefault="004C1DC0" w:rsidP="004C1DC0">
      <w:pPr>
        <w:pStyle w:val="infoemcitas"/>
        <w:jc w:val="center"/>
        <w:rPr>
          <w:b/>
          <w:bCs/>
          <w:i w:val="0"/>
          <w:iCs/>
          <w:sz w:val="24"/>
          <w:szCs w:val="28"/>
        </w:rPr>
      </w:pPr>
    </w:p>
    <w:p w:rsidR="004C1DC0" w:rsidRPr="00836E67" w:rsidRDefault="004C1DC0" w:rsidP="004C1DC0">
      <w:pPr>
        <w:pStyle w:val="infoemcitas"/>
        <w:jc w:val="center"/>
        <w:rPr>
          <w:b/>
          <w:bCs/>
          <w:i w:val="0"/>
          <w:iCs/>
          <w:sz w:val="28"/>
          <w:szCs w:val="28"/>
        </w:rPr>
      </w:pPr>
      <w:r w:rsidRPr="00836E67">
        <w:rPr>
          <w:b/>
          <w:bCs/>
          <w:i w:val="0"/>
          <w:iCs/>
          <w:sz w:val="28"/>
          <w:szCs w:val="28"/>
        </w:rPr>
        <w:t>A N T E C E D E N T E S   D E L   A S U N T O</w:t>
      </w:r>
    </w:p>
    <w:p w:rsidR="004C1DC0" w:rsidRPr="00836E67" w:rsidRDefault="004C1DC0" w:rsidP="004C1DC0">
      <w:pPr>
        <w:spacing w:before="240" w:after="240" w:line="360" w:lineRule="auto"/>
        <w:jc w:val="both"/>
        <w:rPr>
          <w:rFonts w:ascii="Palatino Linotype" w:hAnsi="Palatino Linotype"/>
        </w:rPr>
      </w:pPr>
      <w:r w:rsidRPr="00836E67">
        <w:rPr>
          <w:rFonts w:ascii="Palatino Linotype" w:hAnsi="Palatino Linotype" w:cs="Arial"/>
          <w:b/>
          <w:sz w:val="28"/>
        </w:rPr>
        <w:t>PRIMERO.</w:t>
      </w:r>
      <w:r w:rsidRPr="00836E67">
        <w:rPr>
          <w:rFonts w:ascii="Palatino Linotype" w:hAnsi="Palatino Linotype" w:cs="Arial"/>
        </w:rPr>
        <w:t xml:space="preserve"> </w:t>
      </w:r>
      <w:r w:rsidRPr="00836E67">
        <w:rPr>
          <w:rFonts w:ascii="Palatino Linotype" w:hAnsi="Palatino Linotype"/>
          <w:b/>
          <w:sz w:val="28"/>
          <w:szCs w:val="28"/>
        </w:rPr>
        <w:t>De la Solicitud de Información.</w:t>
      </w:r>
    </w:p>
    <w:p w:rsidR="004C1DC0" w:rsidRPr="00836E67" w:rsidRDefault="004C1DC0" w:rsidP="004C1DC0">
      <w:pPr>
        <w:spacing w:before="240" w:line="360" w:lineRule="auto"/>
        <w:jc w:val="both"/>
        <w:rPr>
          <w:rFonts w:ascii="Palatino Linotype" w:hAnsi="Palatino Linotype" w:cs="Arial"/>
        </w:rPr>
      </w:pPr>
      <w:r w:rsidRPr="00836E67">
        <w:rPr>
          <w:rFonts w:ascii="Palatino Linotype" w:hAnsi="Palatino Linotype" w:cs="Arial"/>
        </w:rPr>
        <w:t xml:space="preserve">Con fecha </w:t>
      </w:r>
      <w:r w:rsidR="00871299" w:rsidRPr="00836E67">
        <w:rPr>
          <w:rFonts w:ascii="Palatino Linotype" w:hAnsi="Palatino Linotype" w:cs="Arial"/>
          <w:b/>
        </w:rPr>
        <w:t>veinticinco de junio</w:t>
      </w:r>
      <w:r w:rsidRPr="00836E67">
        <w:rPr>
          <w:rFonts w:ascii="Palatino Linotype" w:hAnsi="Palatino Linotype" w:cs="Arial"/>
          <w:b/>
        </w:rPr>
        <w:t xml:space="preserve"> de dos mil veinticinco</w:t>
      </w:r>
      <w:r w:rsidRPr="00836E67">
        <w:rPr>
          <w:rFonts w:ascii="Palatino Linotype" w:hAnsi="Palatino Linotype" w:cs="Arial"/>
        </w:rPr>
        <w:t>, la parte</w:t>
      </w:r>
      <w:r w:rsidRPr="00836E67">
        <w:rPr>
          <w:rFonts w:ascii="Palatino Linotype" w:hAnsi="Palatino Linotype" w:cs="Arial"/>
          <w:b/>
        </w:rPr>
        <w:t xml:space="preserve"> Recurrente </w:t>
      </w:r>
      <w:r w:rsidRPr="00836E67">
        <w:rPr>
          <w:rFonts w:ascii="Palatino Linotype" w:hAnsi="Palatino Linotype" w:cs="Arial"/>
        </w:rPr>
        <w:t>presentó a través del Sistema de Acceso a la Información Mexiquense (</w:t>
      </w:r>
      <w:r w:rsidRPr="00836E67">
        <w:rPr>
          <w:rFonts w:ascii="Palatino Linotype" w:hAnsi="Palatino Linotype" w:cs="Arial"/>
          <w:b/>
        </w:rPr>
        <w:t>SAIMEX)</w:t>
      </w:r>
      <w:r w:rsidRPr="00836E67">
        <w:rPr>
          <w:rFonts w:ascii="Palatino Linotype" w:hAnsi="Palatino Linotype" w:cs="Arial"/>
        </w:rPr>
        <w:t xml:space="preserve"> ante </w:t>
      </w:r>
      <w:r w:rsidRPr="00836E67">
        <w:rPr>
          <w:rFonts w:ascii="Palatino Linotype" w:hAnsi="Palatino Linotype" w:cs="Arial"/>
          <w:b/>
        </w:rPr>
        <w:t>El Sujeto Obligado</w:t>
      </w:r>
      <w:r w:rsidRPr="00836E67">
        <w:rPr>
          <w:rFonts w:ascii="Palatino Linotype" w:hAnsi="Palatino Linotype" w:cs="Arial"/>
        </w:rPr>
        <w:t xml:space="preserve">, solicitud de acceso a la información pública, registrada bajo el número de expediente </w:t>
      </w:r>
      <w:r w:rsidR="00871299" w:rsidRPr="00836E67">
        <w:rPr>
          <w:rFonts w:ascii="Palatino Linotype" w:hAnsi="Palatino Linotype" w:cs="Arial"/>
          <w:b/>
        </w:rPr>
        <w:t>00374/TEPOTZOT/IP/2025</w:t>
      </w:r>
      <w:r w:rsidRPr="00836E67">
        <w:rPr>
          <w:rFonts w:ascii="Palatino Linotype" w:hAnsi="Palatino Linotype" w:cs="Arial"/>
          <w:b/>
        </w:rPr>
        <w:t xml:space="preserve">, </w:t>
      </w:r>
      <w:r w:rsidRPr="00836E67">
        <w:rPr>
          <w:rFonts w:ascii="Palatino Linotype" w:hAnsi="Palatino Linotype" w:cs="Arial"/>
        </w:rPr>
        <w:t>mediante la cual solicitó información en el tenor siguiente:</w:t>
      </w:r>
    </w:p>
    <w:p w:rsidR="004C1DC0" w:rsidRPr="00836E67" w:rsidRDefault="004C1DC0" w:rsidP="004C1DC0">
      <w:pPr>
        <w:pStyle w:val="INFOEM"/>
        <w:rPr>
          <w:lang w:val="es-ES_tradnl" w:eastAsia="es-ES"/>
        </w:rPr>
      </w:pPr>
      <w:r w:rsidRPr="00836E67">
        <w:rPr>
          <w:lang w:val="es-ES_tradnl" w:eastAsia="es-ES"/>
        </w:rPr>
        <w:t>“</w:t>
      </w:r>
      <w:r w:rsidR="00871299" w:rsidRPr="00836E67">
        <w:rPr>
          <w:lang w:val="es-ES" w:eastAsia="es-ES"/>
        </w:rPr>
        <w:t xml:space="preserve">SOLICITUD AL H. AYUNTAMIENTO DEL MUNICIPIO DE TEPOTZOTLAN A TRAVES DEL RESPONSABLE TITULAR DE ESRE; DEL SUPUESTO SERVIDOR PUBLICO DE NOMBRE GABRIEL REYES VAZQUEZ, SE INFORME: AREA DE ADSCRIPCIÓN NUMERO DE EMPLEADO FECHA DE INGRESO ACTIVIDADES QUE REALIZA </w:t>
      </w:r>
      <w:r w:rsidR="00871299" w:rsidRPr="00836E67">
        <w:rPr>
          <w:lang w:val="es-ES" w:eastAsia="es-ES"/>
        </w:rPr>
        <w:lastRenderedPageBreak/>
        <w:t>PERCEPCIONES QUINCENALES FAMILIARES DIRECTOS QUE SON TRABAJADORES EN EL MISMO AYUNTAMIENTO SE ADJUNTE CHEQUEOS DE ENTRADA Y SALIDA DE CADA DIA SE PROPORCIONE LOS ACUSES DE MANIFESTACIÓN DE BIENES ANUAL CORRESPONDIENTE A LOS AÑOS 2025, 2024, 2023, 2022, ASI COMO EL CHEQUEO DE ASISTENCIA DE LOS DÍAS EN QUE EFECTUO DICHAS MANIFESTACIONES.</w:t>
      </w:r>
      <w:r w:rsidRPr="00836E67">
        <w:rPr>
          <w:lang w:val="es-ES_tradnl" w:eastAsia="es-ES"/>
        </w:rPr>
        <w:t>” (Sic)</w:t>
      </w:r>
    </w:p>
    <w:p w:rsidR="004C1DC0" w:rsidRPr="00836E67" w:rsidRDefault="004C1DC0" w:rsidP="004C1DC0">
      <w:pPr>
        <w:spacing w:before="240" w:line="360" w:lineRule="auto"/>
        <w:jc w:val="both"/>
        <w:rPr>
          <w:rFonts w:ascii="Palatino Linotype" w:hAnsi="Palatino Linotype"/>
          <w:lang w:val="es-ES_tradnl"/>
        </w:rPr>
      </w:pPr>
      <w:r w:rsidRPr="00836E67">
        <w:rPr>
          <w:rFonts w:ascii="Palatino Linotype" w:hAnsi="Palatino Linotype"/>
          <w:b/>
          <w:lang w:val="es-ES_tradnl"/>
        </w:rPr>
        <w:t>Modalidad de entrega:</w:t>
      </w:r>
      <w:r w:rsidRPr="00836E67">
        <w:rPr>
          <w:rFonts w:ascii="Palatino Linotype" w:hAnsi="Palatino Linotype"/>
          <w:lang w:val="es-ES_tradnl"/>
        </w:rPr>
        <w:t xml:space="preserve"> A través del SAIMEX.</w:t>
      </w:r>
    </w:p>
    <w:p w:rsidR="004C1DC0" w:rsidRPr="00836E67" w:rsidRDefault="004C1DC0" w:rsidP="004C1DC0">
      <w:pPr>
        <w:spacing w:before="240" w:line="360" w:lineRule="auto"/>
        <w:jc w:val="both"/>
        <w:rPr>
          <w:rFonts w:ascii="Palatino Linotype" w:hAnsi="Palatino Linotype" w:cs="Arial"/>
          <w:b/>
          <w:sz w:val="28"/>
        </w:rPr>
      </w:pPr>
    </w:p>
    <w:p w:rsidR="004C1DC0" w:rsidRPr="00836E67" w:rsidRDefault="004C1DC0" w:rsidP="004C1DC0">
      <w:pPr>
        <w:spacing w:line="360" w:lineRule="auto"/>
        <w:jc w:val="both"/>
        <w:rPr>
          <w:rFonts w:ascii="Palatino Linotype" w:hAnsi="Palatino Linotype" w:cs="Arial"/>
          <w:b/>
          <w:sz w:val="28"/>
        </w:rPr>
      </w:pPr>
      <w:r w:rsidRPr="00836E67">
        <w:rPr>
          <w:rFonts w:ascii="Palatino Linotype" w:hAnsi="Palatino Linotype" w:cs="Arial"/>
          <w:b/>
          <w:sz w:val="28"/>
        </w:rPr>
        <w:t xml:space="preserve">SEGUNDO. </w:t>
      </w:r>
      <w:r w:rsidRPr="00836E67">
        <w:rPr>
          <w:rFonts w:ascii="Palatino Linotype" w:hAnsi="Palatino Linotype" w:cs="Arial"/>
          <w:b/>
          <w:sz w:val="28"/>
          <w:szCs w:val="20"/>
        </w:rPr>
        <w:t>De la incompetencia.</w:t>
      </w:r>
    </w:p>
    <w:p w:rsidR="004C1DC0" w:rsidRPr="00836E67" w:rsidRDefault="004C1DC0" w:rsidP="004C1DC0">
      <w:pPr>
        <w:pStyle w:val="Sinespaciado"/>
        <w:spacing w:line="360" w:lineRule="auto"/>
        <w:jc w:val="both"/>
        <w:rPr>
          <w:rFonts w:ascii="Palatino Linotype" w:hAnsi="Palatino Linotype" w:cs="Arial"/>
          <w:b/>
          <w:sz w:val="24"/>
        </w:rPr>
      </w:pPr>
      <w:r w:rsidRPr="00836E67">
        <w:rPr>
          <w:rFonts w:ascii="Palatino Linotype" w:hAnsi="Palatino Linotype"/>
          <w:sz w:val="24"/>
        </w:rPr>
        <w:t xml:space="preserve">De las constancias que obran en el expediente electrónico, se advierte que el </w:t>
      </w:r>
      <w:r w:rsidRPr="00836E67">
        <w:rPr>
          <w:rFonts w:ascii="Palatino Linotype" w:hAnsi="Palatino Linotype" w:cs="Arial"/>
          <w:sz w:val="24"/>
        </w:rPr>
        <w:t xml:space="preserve">día </w:t>
      </w:r>
      <w:r w:rsidR="00871299" w:rsidRPr="00836E67">
        <w:rPr>
          <w:rFonts w:ascii="Palatino Linotype" w:hAnsi="Palatino Linotype" w:cs="Arial"/>
          <w:b/>
          <w:sz w:val="24"/>
        </w:rPr>
        <w:t>treinta de junio</w:t>
      </w:r>
      <w:r w:rsidRPr="00836E67">
        <w:rPr>
          <w:rFonts w:ascii="Palatino Linotype" w:hAnsi="Palatino Linotype" w:cs="Arial"/>
          <w:b/>
          <w:sz w:val="24"/>
        </w:rPr>
        <w:t xml:space="preserve"> de dos mil veinticinco</w:t>
      </w:r>
      <w:r w:rsidRPr="00836E67">
        <w:rPr>
          <w:rFonts w:ascii="Palatino Linotype" w:hAnsi="Palatino Linotype" w:cs="Arial"/>
          <w:sz w:val="24"/>
        </w:rPr>
        <w:t xml:space="preserve">, el </w:t>
      </w:r>
      <w:r w:rsidRPr="00836E67">
        <w:rPr>
          <w:rFonts w:ascii="Palatino Linotype" w:hAnsi="Palatino Linotype" w:cs="Arial"/>
          <w:b/>
          <w:sz w:val="24"/>
        </w:rPr>
        <w:t>Sujeto Obligado</w:t>
      </w:r>
      <w:r w:rsidRPr="00836E67">
        <w:rPr>
          <w:rFonts w:ascii="Palatino Linotype" w:hAnsi="Palatino Linotype" w:cs="Arial"/>
          <w:sz w:val="24"/>
        </w:rPr>
        <w:t xml:space="preserve"> dio respuesta a la solicitud de información en los siguientes términos: </w:t>
      </w:r>
    </w:p>
    <w:p w:rsidR="004C1DC0" w:rsidRPr="00836E67" w:rsidRDefault="004C1DC0" w:rsidP="004C1DC0">
      <w:pPr>
        <w:spacing w:line="360" w:lineRule="auto"/>
        <w:jc w:val="both"/>
        <w:rPr>
          <w:rFonts w:ascii="Palatino Linotype" w:hAnsi="Palatino Linotype" w:cs="Arial"/>
        </w:rPr>
      </w:pPr>
    </w:p>
    <w:p w:rsidR="004C1DC0" w:rsidRPr="00836E67" w:rsidRDefault="004C1DC0" w:rsidP="004C1DC0">
      <w:pPr>
        <w:ind w:left="567" w:right="567"/>
        <w:jc w:val="both"/>
        <w:rPr>
          <w:rFonts w:ascii="Palatino Linotype" w:hAnsi="Palatino Linotype" w:cs="Arial"/>
          <w:i/>
        </w:rPr>
      </w:pPr>
      <w:r w:rsidRPr="00836E67">
        <w:rPr>
          <w:rFonts w:ascii="Palatino Linotype" w:hAnsi="Palatino Linotype" w:cs="Arial"/>
          <w:i/>
        </w:rPr>
        <w:t>“…</w:t>
      </w:r>
    </w:p>
    <w:p w:rsidR="00871299" w:rsidRPr="00836E67" w:rsidRDefault="00871299" w:rsidP="00871299">
      <w:pPr>
        <w:ind w:left="567" w:right="567"/>
        <w:jc w:val="both"/>
        <w:rPr>
          <w:rFonts w:ascii="Palatino Linotype" w:hAnsi="Palatino Linotype" w:cs="Arial"/>
          <w:i/>
        </w:rPr>
      </w:pPr>
    </w:p>
    <w:p w:rsidR="00871299" w:rsidRPr="00836E67" w:rsidRDefault="00871299" w:rsidP="00871299">
      <w:pPr>
        <w:ind w:left="567" w:right="567"/>
        <w:jc w:val="both"/>
        <w:rPr>
          <w:rFonts w:ascii="Palatino Linotype" w:hAnsi="Palatino Linotype" w:cs="Arial"/>
          <w:i/>
        </w:rPr>
      </w:pPr>
      <w:r w:rsidRPr="00836E67">
        <w:rPr>
          <w:rFonts w:ascii="Palatino Linotype" w:hAnsi="Palatino Linotype" w:cs="Arial"/>
          <w:i/>
        </w:rPr>
        <w:t>Se informa que la información solicitada: “…DEL SUPUESTO SERVIDOR PUBLICO DE NOMBRE GABRIEL REYES VAZQUEZ, SE INFORME: …SE PROPORCIONE LOS ACUSES DE MANIFESTACIÓN DE BIENES ANUAL CORRESPONDIENTE A LOS AÑOS 2025, 2024, 2023, 2022,… “ (sic) No le compete al Sujeto Obligado Ayuntamiento de Tepotzotlán, por lo que se hace de su conocimiento que tiene que ingresar al Sistema de Acceso a la Información Mexiquense (SAIMEX) y dirigirse al Sujeto Obligado de la Administración Pública Centralizada del Poder Ejecutivo Estatal “Secretaría de la Contraloría”, según lo marca el –Padrón de Sujetos Obligados en materia de Transparencia y Acceso a la Información Pública del Estado de México y Municipios- del INFOEM.</w:t>
      </w:r>
    </w:p>
    <w:p w:rsidR="004C1DC0" w:rsidRPr="00836E67" w:rsidRDefault="004C1DC0" w:rsidP="00871299">
      <w:pPr>
        <w:ind w:left="567" w:right="567"/>
        <w:jc w:val="both"/>
        <w:rPr>
          <w:rFonts w:ascii="Palatino Linotype" w:hAnsi="Palatino Linotype" w:cs="Arial"/>
          <w:i/>
        </w:rPr>
      </w:pPr>
      <w:r w:rsidRPr="00836E67">
        <w:rPr>
          <w:rFonts w:ascii="Palatino Linotype" w:hAnsi="Palatino Linotype" w:cs="Arial"/>
          <w:i/>
        </w:rPr>
        <w:t>…“(Sic).</w:t>
      </w:r>
    </w:p>
    <w:p w:rsidR="004C1DC0" w:rsidRPr="00836E67" w:rsidRDefault="004C1DC0" w:rsidP="004C1DC0">
      <w:pPr>
        <w:spacing w:line="360" w:lineRule="auto"/>
        <w:ind w:right="567"/>
        <w:jc w:val="both"/>
        <w:rPr>
          <w:rFonts w:ascii="Palatino Linotype" w:hAnsi="Palatino Linotype" w:cs="Arial"/>
        </w:rPr>
      </w:pPr>
    </w:p>
    <w:p w:rsidR="004C1DC0" w:rsidRPr="00836E67" w:rsidRDefault="004C1DC0" w:rsidP="004C1DC0">
      <w:pPr>
        <w:spacing w:line="360" w:lineRule="auto"/>
        <w:jc w:val="both"/>
        <w:rPr>
          <w:rFonts w:ascii="Palatino Linotype" w:hAnsi="Palatino Linotype" w:cs="Arial"/>
        </w:rPr>
      </w:pPr>
      <w:r w:rsidRPr="00836E67">
        <w:rPr>
          <w:rFonts w:ascii="Palatino Linotype" w:hAnsi="Palatino Linotype" w:cs="Arial"/>
        </w:rPr>
        <w:lastRenderedPageBreak/>
        <w:t xml:space="preserve">Adicionalmente, el </w:t>
      </w:r>
      <w:r w:rsidRPr="00836E67">
        <w:rPr>
          <w:rFonts w:ascii="Palatino Linotype" w:hAnsi="Palatino Linotype" w:cs="Arial"/>
          <w:b/>
        </w:rPr>
        <w:t>Sujeto Obligado</w:t>
      </w:r>
      <w:r w:rsidRPr="00836E67">
        <w:rPr>
          <w:rFonts w:ascii="Palatino Linotype" w:hAnsi="Palatino Linotype" w:cs="Arial"/>
        </w:rPr>
        <w:t xml:space="preserve"> adjuntó el archivo electrónico denominado “</w:t>
      </w:r>
      <w:r w:rsidR="00871299" w:rsidRPr="00836E67">
        <w:rPr>
          <w:rFonts w:ascii="Palatino Linotype" w:hAnsi="Palatino Linotype" w:cs="Arial"/>
          <w:b/>
          <w:i/>
        </w:rPr>
        <w:t>HAT-UTAIP-2025-549 incompetencia parcial.pdf</w:t>
      </w:r>
      <w:r w:rsidRPr="00836E67">
        <w:rPr>
          <w:rFonts w:ascii="Palatino Linotype" w:hAnsi="Palatino Linotype" w:cs="Arial"/>
          <w:b/>
          <w:i/>
        </w:rPr>
        <w:t xml:space="preserve">”, </w:t>
      </w:r>
      <w:r w:rsidRPr="00836E67">
        <w:rPr>
          <w:rFonts w:ascii="Palatino Linotype" w:hAnsi="Palatino Linotype" w:cs="Arial"/>
        </w:rPr>
        <w:t xml:space="preserve">mismo que no se reproduce por ser del conocimiento de las partes, sin embargo, será materia de estudio en el considerando respectivo. </w:t>
      </w:r>
    </w:p>
    <w:p w:rsidR="004C1DC0" w:rsidRPr="00836E67" w:rsidRDefault="004C1DC0" w:rsidP="004C1DC0">
      <w:pPr>
        <w:spacing w:line="360" w:lineRule="auto"/>
        <w:jc w:val="both"/>
        <w:rPr>
          <w:rFonts w:ascii="Palatino Linotype" w:hAnsi="Palatino Linotype" w:cs="Arial"/>
        </w:rPr>
      </w:pPr>
    </w:p>
    <w:p w:rsidR="004C1DC0" w:rsidRPr="00836E67" w:rsidRDefault="004C1DC0" w:rsidP="004C1DC0">
      <w:pPr>
        <w:spacing w:before="240" w:line="360" w:lineRule="auto"/>
        <w:jc w:val="both"/>
        <w:rPr>
          <w:rFonts w:ascii="Palatino Linotype" w:hAnsi="Palatino Linotype" w:cs="Arial"/>
          <w:b/>
          <w:sz w:val="28"/>
        </w:rPr>
      </w:pPr>
      <w:r w:rsidRPr="00836E67">
        <w:rPr>
          <w:rFonts w:ascii="Palatino Linotype" w:hAnsi="Palatino Linotype" w:cs="Arial"/>
          <w:b/>
          <w:sz w:val="28"/>
        </w:rPr>
        <w:t xml:space="preserve">TERCERO. </w:t>
      </w:r>
      <w:r w:rsidRPr="00836E67">
        <w:rPr>
          <w:rFonts w:ascii="Palatino Linotype" w:hAnsi="Palatino Linotype"/>
          <w:b/>
          <w:sz w:val="28"/>
        </w:rPr>
        <w:t>Del recurso de revisión.</w:t>
      </w:r>
    </w:p>
    <w:p w:rsidR="004C1DC0" w:rsidRPr="00836E67" w:rsidRDefault="004C1DC0" w:rsidP="004C1DC0">
      <w:pPr>
        <w:spacing w:before="240" w:line="360" w:lineRule="auto"/>
        <w:jc w:val="both"/>
        <w:rPr>
          <w:rFonts w:ascii="Palatino Linotype" w:hAnsi="Palatino Linotype" w:cs="Arial"/>
        </w:rPr>
      </w:pPr>
      <w:r w:rsidRPr="00836E67">
        <w:rPr>
          <w:rFonts w:ascii="Palatino Linotype" w:hAnsi="Palatino Linotype" w:cs="Arial"/>
        </w:rPr>
        <w:t xml:space="preserve">Inconforme con la respuesta notificada por </w:t>
      </w:r>
      <w:r w:rsidRPr="00836E67">
        <w:rPr>
          <w:rFonts w:ascii="Palatino Linotype" w:hAnsi="Palatino Linotype" w:cs="Arial"/>
          <w:b/>
        </w:rPr>
        <w:t xml:space="preserve">El Sujeto Obligado, </w:t>
      </w:r>
      <w:r w:rsidRPr="00836E67">
        <w:rPr>
          <w:rFonts w:ascii="Palatino Linotype" w:hAnsi="Palatino Linotype" w:cs="Arial"/>
        </w:rPr>
        <w:t>el</w:t>
      </w:r>
      <w:r w:rsidRPr="00836E67">
        <w:rPr>
          <w:rFonts w:ascii="Palatino Linotype" w:hAnsi="Palatino Linotype" w:cs="Arial"/>
          <w:b/>
        </w:rPr>
        <w:t xml:space="preserve"> Recurrente </w:t>
      </w:r>
      <w:r w:rsidRPr="00836E67">
        <w:rPr>
          <w:rFonts w:ascii="Palatino Linotype" w:hAnsi="Palatino Linotype" w:cs="Arial"/>
        </w:rPr>
        <w:t xml:space="preserve">interpuso recurso de revisión, en fecha </w:t>
      </w:r>
      <w:r w:rsidR="00871299" w:rsidRPr="00836E67">
        <w:rPr>
          <w:rFonts w:ascii="Palatino Linotype" w:hAnsi="Palatino Linotype" w:cs="Arial"/>
          <w:b/>
        </w:rPr>
        <w:t>dos de agosto</w:t>
      </w:r>
      <w:r w:rsidRPr="00836E67">
        <w:rPr>
          <w:rFonts w:ascii="Palatino Linotype" w:hAnsi="Palatino Linotype" w:cs="Arial"/>
          <w:b/>
        </w:rPr>
        <w:t xml:space="preserve"> de dos mil veinticinco</w:t>
      </w:r>
      <w:r w:rsidRPr="00836E67">
        <w:rPr>
          <w:rFonts w:ascii="Palatino Linotype" w:hAnsi="Palatino Linotype" w:cs="Arial"/>
        </w:rPr>
        <w:t xml:space="preserve">, el cual fue registrado en el sistema electrónico con el expediente número </w:t>
      </w:r>
      <w:r w:rsidRPr="00836E67">
        <w:rPr>
          <w:rFonts w:ascii="Palatino Linotype" w:hAnsi="Palatino Linotype" w:cs="Arial"/>
          <w:b/>
        </w:rPr>
        <w:t>0</w:t>
      </w:r>
      <w:r w:rsidR="00871299" w:rsidRPr="00836E67">
        <w:rPr>
          <w:rFonts w:ascii="Palatino Linotype" w:hAnsi="Palatino Linotype" w:cs="Arial"/>
          <w:b/>
        </w:rPr>
        <w:t>9125</w:t>
      </w:r>
      <w:r w:rsidRPr="00836E67">
        <w:rPr>
          <w:rFonts w:ascii="Palatino Linotype" w:hAnsi="Palatino Linotype" w:cs="Arial"/>
          <w:b/>
        </w:rPr>
        <w:t xml:space="preserve">/INFOEM/IP/RR/2025; </w:t>
      </w:r>
      <w:r w:rsidRPr="00836E67">
        <w:rPr>
          <w:rFonts w:ascii="Palatino Linotype" w:hAnsi="Palatino Linotype" w:cs="Arial"/>
        </w:rPr>
        <w:t>en los cuales arguye las siguientes manifestaciones:</w:t>
      </w:r>
    </w:p>
    <w:p w:rsidR="004C1DC0" w:rsidRPr="00836E67" w:rsidRDefault="004C1DC0" w:rsidP="004C1DC0">
      <w:pPr>
        <w:pStyle w:val="Prrafodelista"/>
        <w:numPr>
          <w:ilvl w:val="0"/>
          <w:numId w:val="2"/>
        </w:numPr>
        <w:spacing w:before="240" w:line="360" w:lineRule="auto"/>
        <w:ind w:left="142" w:firstLine="0"/>
        <w:jc w:val="both"/>
        <w:rPr>
          <w:rFonts w:ascii="Palatino Linotype" w:hAnsi="Palatino Linotype" w:cs="Arial"/>
          <w:b/>
          <w:i/>
        </w:rPr>
      </w:pPr>
      <w:r w:rsidRPr="00836E67">
        <w:rPr>
          <w:rFonts w:ascii="Palatino Linotype" w:hAnsi="Palatino Linotype" w:cs="Arial"/>
          <w:b/>
          <w:i/>
        </w:rPr>
        <w:t xml:space="preserve">Acto impugnado </w:t>
      </w:r>
    </w:p>
    <w:p w:rsidR="004C1DC0" w:rsidRPr="00836E67" w:rsidRDefault="004C1DC0" w:rsidP="004C1DC0">
      <w:pPr>
        <w:pStyle w:val="INFOEM"/>
        <w:ind w:left="720"/>
      </w:pPr>
      <w:r w:rsidRPr="00836E67">
        <w:t>“</w:t>
      </w:r>
      <w:r w:rsidR="00871299" w:rsidRPr="00836E67">
        <w:t>LA OMISION DE INFORMACION SOLICITADA POR PARTE DEL AYUNTAMIENTO DE TEPOTZOTLAN A TRAVES DE LA TITULAR DE TRANSPARENCIA MUNICIPAL, QUIEN CONTESTO QUE LA AUTORIDAD QUE RESPONDERIA LA SOLICITUD ES LA SECRETARIA DE LA CONTRALORIA, MISMA QUE SE HA DECLINADO INCOMPETENTE PARA ELLO, HHACIENDO ALUCIN QUE LA INFORMACION SOLICITADA ESTA EN PODER DEL H. AYUNTAMIENTO DE TEPOTZOTLAN, SIENDO ESTA DEPENDENCIA A QUIEN SE SOLICITO LA INFORMACION EN PRIMER TERMINO, NEGANDOSE A PROPORCIONARLA. FUNDANDO DE MANERA ERRONEA SU CONTESTACIÓN TITULAR.</w:t>
      </w:r>
      <w:r w:rsidRPr="00836E67">
        <w:t>” (sic)</w:t>
      </w:r>
    </w:p>
    <w:p w:rsidR="004C1DC0" w:rsidRPr="00836E67" w:rsidRDefault="004C1DC0" w:rsidP="004C1DC0">
      <w:pPr>
        <w:pStyle w:val="Prrafodelista"/>
        <w:numPr>
          <w:ilvl w:val="0"/>
          <w:numId w:val="2"/>
        </w:numPr>
        <w:spacing w:before="240" w:line="360" w:lineRule="auto"/>
        <w:ind w:left="142" w:firstLine="0"/>
        <w:jc w:val="both"/>
        <w:rPr>
          <w:rFonts w:ascii="Palatino Linotype" w:hAnsi="Palatino Linotype" w:cs="Arial"/>
          <w:b/>
          <w:i/>
        </w:rPr>
      </w:pPr>
      <w:r w:rsidRPr="00836E67">
        <w:rPr>
          <w:rFonts w:ascii="Palatino Linotype" w:hAnsi="Palatino Linotype" w:cs="Arial"/>
          <w:b/>
          <w:i/>
        </w:rPr>
        <w:t>Razones o motivos de inconformidad</w:t>
      </w:r>
    </w:p>
    <w:p w:rsidR="004C1DC0" w:rsidRPr="00836E67" w:rsidRDefault="004C1DC0" w:rsidP="004C1DC0">
      <w:pPr>
        <w:pStyle w:val="INFOEM"/>
        <w:ind w:left="709"/>
      </w:pPr>
      <w:r w:rsidRPr="00836E67">
        <w:lastRenderedPageBreak/>
        <w:t>“</w:t>
      </w:r>
      <w:r w:rsidR="00871299" w:rsidRPr="00836E67">
        <w:t>FUNDAMENTACION Y MOTIVACION ERRONEA POR PARTE DE LA TITULAR DE TRANSPARENCIA MUNICIPAL DE TEPOTZOTLAN ESTADO DE MEXICO, REFIRIENDO QUE LA INFORMACIÓN SOLICITADA PODIA PROPORCIONARSE POR PARTE DE LA SECRETARIA DE LA CONTRALORIA, SIENDO ESTA ULTIMA QUIEN HA MANIFESTADO SER INCOMPETENTE AL SER EFECTIVAMENTE EL H. AYUNTAMIENTO DE TEPOTZOTLAN QUIEN DEBE PROPORCIONAR LA INFORMACION REQUERIDA , ATENTANDO CONTRA LOS DERECHOS FUNDAMENTALES DE ACCESO A LA INFORMACIÓN PUBLICA.</w:t>
      </w:r>
      <w:r w:rsidRPr="00836E67">
        <w:t>” (sic)</w:t>
      </w:r>
    </w:p>
    <w:p w:rsidR="004C1DC0" w:rsidRPr="00836E67" w:rsidRDefault="004C1DC0" w:rsidP="004C1DC0">
      <w:pPr>
        <w:spacing w:before="240" w:line="360" w:lineRule="auto"/>
        <w:jc w:val="both"/>
        <w:rPr>
          <w:rFonts w:ascii="Palatino Linotype" w:hAnsi="Palatino Linotype" w:cs="Arial"/>
        </w:rPr>
      </w:pPr>
    </w:p>
    <w:p w:rsidR="004C1DC0" w:rsidRPr="00836E67" w:rsidRDefault="004C1DC0" w:rsidP="004C1DC0">
      <w:pPr>
        <w:spacing w:before="240" w:line="360" w:lineRule="auto"/>
        <w:jc w:val="both"/>
        <w:rPr>
          <w:rFonts w:ascii="Palatino Linotype" w:hAnsi="Palatino Linotype" w:cs="Arial"/>
          <w:b/>
        </w:rPr>
      </w:pPr>
      <w:r w:rsidRPr="00836E67">
        <w:rPr>
          <w:rFonts w:ascii="Palatino Linotype" w:hAnsi="Palatino Linotype" w:cs="Arial"/>
          <w:b/>
          <w:sz w:val="28"/>
        </w:rPr>
        <w:t>CUARTO</w:t>
      </w:r>
      <w:r w:rsidRPr="00836E67">
        <w:rPr>
          <w:rFonts w:ascii="Palatino Linotype" w:hAnsi="Palatino Linotype" w:cs="Arial"/>
          <w:b/>
        </w:rPr>
        <w:t xml:space="preserve">. </w:t>
      </w:r>
      <w:r w:rsidRPr="00836E67">
        <w:rPr>
          <w:rFonts w:ascii="Palatino Linotype" w:hAnsi="Palatino Linotype" w:cs="Arial"/>
          <w:b/>
          <w:sz w:val="28"/>
          <w:szCs w:val="28"/>
        </w:rPr>
        <w:t>Del turno y admisión del recurso de revisión.</w:t>
      </w:r>
    </w:p>
    <w:p w:rsidR="004C1DC0" w:rsidRPr="00836E67" w:rsidRDefault="004C1DC0" w:rsidP="004C1DC0">
      <w:pPr>
        <w:spacing w:before="240" w:line="360" w:lineRule="auto"/>
        <w:jc w:val="both"/>
        <w:rPr>
          <w:rFonts w:ascii="Palatino Linotype" w:hAnsi="Palatino Linotype" w:cs="Arial"/>
          <w:sz w:val="28"/>
        </w:rPr>
      </w:pPr>
      <w:r w:rsidRPr="00836E67">
        <w:rPr>
          <w:rFonts w:ascii="Palatino Linotype" w:hAnsi="Palatino Linotype"/>
        </w:rPr>
        <w:t xml:space="preserve">El medio de impugnación fue turnado al Comisionado Presidente </w:t>
      </w:r>
      <w:r w:rsidRPr="00836E67">
        <w:rPr>
          <w:rFonts w:ascii="Palatino Linotype" w:hAnsi="Palatino Linotype"/>
          <w:b/>
        </w:rPr>
        <w:t>José Martínez Vilchis,</w:t>
      </w:r>
      <w:r w:rsidRPr="00836E67">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836E67">
        <w:rPr>
          <w:rFonts w:ascii="Palatino Linotype" w:hAnsi="Palatino Linotype"/>
          <w:b/>
        </w:rPr>
        <w:t>admisión</w:t>
      </w:r>
      <w:r w:rsidRPr="00836E67">
        <w:rPr>
          <w:rFonts w:ascii="Palatino Linotype" w:hAnsi="Palatino Linotype"/>
        </w:rPr>
        <w:t xml:space="preserve"> en fecha </w:t>
      </w:r>
      <w:r w:rsidR="00871299" w:rsidRPr="00836E67">
        <w:rPr>
          <w:rFonts w:ascii="Palatino Linotype" w:hAnsi="Palatino Linotype"/>
          <w:b/>
        </w:rPr>
        <w:t>seis de agosto</w:t>
      </w:r>
      <w:r w:rsidRPr="00836E67">
        <w:rPr>
          <w:rFonts w:ascii="Palatino Linotype" w:hAnsi="Palatino Linotype"/>
          <w:b/>
        </w:rPr>
        <w:t xml:space="preserve"> de dos mil veinticinco</w:t>
      </w:r>
      <w:r w:rsidRPr="00836E67">
        <w:rPr>
          <w:rFonts w:ascii="Palatino Linotype" w:hAnsi="Palatino Linotype"/>
        </w:rPr>
        <w:t>, determinándose en ellos, un plazo de siete días para que las partes manifestaran lo que a su derecho corresponda en términos del numeral ya citado.</w:t>
      </w:r>
    </w:p>
    <w:p w:rsidR="004C1DC0" w:rsidRPr="00836E67" w:rsidRDefault="004C1DC0" w:rsidP="004C1DC0">
      <w:pPr>
        <w:spacing w:line="360" w:lineRule="auto"/>
        <w:jc w:val="both"/>
        <w:rPr>
          <w:rFonts w:ascii="Palatino Linotype" w:hAnsi="Palatino Linotype" w:cs="Arial"/>
        </w:rPr>
      </w:pPr>
    </w:p>
    <w:p w:rsidR="004C1DC0" w:rsidRPr="00836E67" w:rsidRDefault="004C1DC0" w:rsidP="004C1DC0">
      <w:pPr>
        <w:pStyle w:val="Prrafodelista"/>
        <w:spacing w:line="360" w:lineRule="auto"/>
        <w:ind w:left="0"/>
        <w:jc w:val="both"/>
        <w:rPr>
          <w:rFonts w:ascii="Palatino Linotype" w:hAnsi="Palatino Linotype" w:cs="Arial"/>
          <w:b/>
          <w:sz w:val="28"/>
          <w:szCs w:val="28"/>
        </w:rPr>
      </w:pPr>
      <w:r w:rsidRPr="00836E67">
        <w:rPr>
          <w:rFonts w:ascii="Palatino Linotype" w:hAnsi="Palatino Linotype" w:cs="Arial"/>
          <w:b/>
          <w:sz w:val="28"/>
        </w:rPr>
        <w:t>QUINTO</w:t>
      </w:r>
      <w:r w:rsidRPr="00836E67">
        <w:rPr>
          <w:rFonts w:ascii="Palatino Linotype" w:hAnsi="Palatino Linotype" w:cs="Arial"/>
          <w:b/>
          <w:sz w:val="28"/>
          <w:szCs w:val="28"/>
        </w:rPr>
        <w:t>. De la etapa de instrucción.</w:t>
      </w:r>
    </w:p>
    <w:p w:rsidR="00871299" w:rsidRPr="00836E67" w:rsidRDefault="00871299" w:rsidP="00871299">
      <w:pPr>
        <w:spacing w:line="360" w:lineRule="auto"/>
        <w:jc w:val="both"/>
        <w:rPr>
          <w:rFonts w:ascii="Palatino Linotype" w:hAnsi="Palatino Linotype"/>
        </w:rPr>
      </w:pPr>
      <w:r w:rsidRPr="00836E67">
        <w:rPr>
          <w:rFonts w:ascii="Palatino Linotype" w:hAnsi="Palatino Linotype" w:cs="Arial"/>
        </w:rPr>
        <w:t xml:space="preserve">De las constancias que obran en el expediente electrónico del SAIMEX, se advierte que el </w:t>
      </w:r>
      <w:r w:rsidRPr="00836E67">
        <w:rPr>
          <w:rFonts w:ascii="Palatino Linotype" w:hAnsi="Palatino Linotype" w:cs="Arial"/>
          <w:b/>
        </w:rPr>
        <w:t>Sujeto Obligado</w:t>
      </w:r>
      <w:r w:rsidRPr="00836E67">
        <w:rPr>
          <w:rFonts w:ascii="Palatino Linotype" w:hAnsi="Palatino Linotype" w:cs="Arial"/>
        </w:rPr>
        <w:t xml:space="preserve"> rindió su informe justificado en fecha dieciocho de agosto de dos mil veinticinco, por medio del archivo electrónico “</w:t>
      </w:r>
      <w:r w:rsidRPr="00836E67">
        <w:rPr>
          <w:rFonts w:ascii="Palatino Linotype" w:hAnsi="Palatino Linotype" w:cs="Arial"/>
          <w:b/>
          <w:i/>
        </w:rPr>
        <w:t>JRH-420-2025.pdf”</w:t>
      </w:r>
      <w:r w:rsidRPr="00836E67">
        <w:rPr>
          <w:rFonts w:ascii="Palatino Linotype" w:hAnsi="Palatino Linotype" w:cs="Arial"/>
        </w:rPr>
        <w:t xml:space="preserve">, mismo que </w:t>
      </w:r>
      <w:r w:rsidR="00E96DE7" w:rsidRPr="00836E67">
        <w:rPr>
          <w:rFonts w:ascii="Palatino Linotype" w:hAnsi="Palatino Linotype" w:cs="Arial"/>
        </w:rPr>
        <w:t xml:space="preserve">no </w:t>
      </w:r>
      <w:r w:rsidRPr="00836E67">
        <w:rPr>
          <w:rFonts w:ascii="Palatino Linotype" w:hAnsi="Palatino Linotype" w:cs="Arial"/>
        </w:rPr>
        <w:t xml:space="preserve">fue puesto a la vista del Recurrente </w:t>
      </w:r>
      <w:r w:rsidR="00B8548C" w:rsidRPr="00836E67">
        <w:rPr>
          <w:rFonts w:ascii="Palatino Linotype" w:hAnsi="Palatino Linotype" w:cs="Arial"/>
        </w:rPr>
        <w:t xml:space="preserve">al no guardar relación con el recurso que se está resolviendo. </w:t>
      </w:r>
    </w:p>
    <w:p w:rsidR="00871299" w:rsidRPr="00836E67" w:rsidRDefault="00871299" w:rsidP="00871299">
      <w:pPr>
        <w:spacing w:line="360" w:lineRule="auto"/>
        <w:jc w:val="both"/>
        <w:rPr>
          <w:rFonts w:ascii="Palatino Linotype" w:hAnsi="Palatino Linotype"/>
        </w:rPr>
      </w:pPr>
    </w:p>
    <w:p w:rsidR="00871299" w:rsidRPr="00836E67" w:rsidRDefault="00871299" w:rsidP="00871299">
      <w:pPr>
        <w:spacing w:line="360" w:lineRule="auto"/>
        <w:jc w:val="both"/>
        <w:rPr>
          <w:rFonts w:ascii="Palatino Linotype" w:hAnsi="Palatino Linotype" w:cs="Arial"/>
        </w:rPr>
      </w:pPr>
      <w:r w:rsidRPr="00836E67">
        <w:rPr>
          <w:rFonts w:ascii="Palatino Linotype" w:hAnsi="Palatino Linotype" w:cs="Arial"/>
        </w:rPr>
        <w:t xml:space="preserve">Así mismo, se aprecia que no se llevaron a cabo audiencias durante la sustanciación del recurso de revisión, ni se ofrecieron pruebas por parte del </w:t>
      </w:r>
      <w:r w:rsidRPr="00836E67">
        <w:rPr>
          <w:rFonts w:ascii="Palatino Linotype" w:hAnsi="Palatino Linotype" w:cs="Arial"/>
          <w:b/>
        </w:rPr>
        <w:t>Recurrente</w:t>
      </w:r>
      <w:r w:rsidRPr="00836E67">
        <w:rPr>
          <w:rFonts w:ascii="Palatino Linotype" w:hAnsi="Palatino Linotype" w:cs="Arial"/>
        </w:rPr>
        <w:t>; todo lo anterior en términos de los artículos 185 fracciones II y IV, y 195 de la Ley de Transparencia y Acceso a la Información Pública del Estado de México y Municipios.</w:t>
      </w:r>
    </w:p>
    <w:p w:rsidR="004C1DC0" w:rsidRPr="00836E67" w:rsidRDefault="004C1DC0" w:rsidP="004C1DC0">
      <w:pPr>
        <w:spacing w:line="360" w:lineRule="auto"/>
        <w:jc w:val="both"/>
        <w:rPr>
          <w:rFonts w:ascii="Palatino Linotype" w:eastAsia="Calibri" w:hAnsi="Palatino Linotype" w:cs="Arial"/>
          <w:b/>
          <w:sz w:val="28"/>
          <w:szCs w:val="28"/>
        </w:rPr>
      </w:pPr>
    </w:p>
    <w:p w:rsidR="006B39F4" w:rsidRPr="00836E67" w:rsidRDefault="004C1DC0" w:rsidP="006B39F4">
      <w:pPr>
        <w:spacing w:line="360" w:lineRule="auto"/>
        <w:jc w:val="both"/>
        <w:rPr>
          <w:rFonts w:ascii="Palatino Linotype" w:eastAsia="Calibri" w:hAnsi="Palatino Linotype" w:cs="Arial"/>
          <w:b/>
          <w:sz w:val="28"/>
          <w:lang w:val="es-ES_tradnl"/>
        </w:rPr>
      </w:pPr>
      <w:r w:rsidRPr="00836E67">
        <w:rPr>
          <w:rFonts w:ascii="Palatino Linotype" w:hAnsi="Palatino Linotype" w:cs="Arial"/>
          <w:b/>
          <w:sz w:val="28"/>
          <w:szCs w:val="28"/>
        </w:rPr>
        <w:t xml:space="preserve">SEXTO. </w:t>
      </w:r>
      <w:r w:rsidR="006B39F4" w:rsidRPr="00836E67">
        <w:rPr>
          <w:rFonts w:ascii="Palatino Linotype" w:eastAsia="Calibri" w:hAnsi="Palatino Linotype" w:cs="Arial"/>
          <w:b/>
          <w:sz w:val="28"/>
          <w:lang w:val="es-ES_tradnl"/>
        </w:rPr>
        <w:t>De la ampliación del término para resolver.</w:t>
      </w:r>
    </w:p>
    <w:p w:rsidR="006B39F4" w:rsidRPr="00836E67" w:rsidRDefault="006B39F4" w:rsidP="006B39F4">
      <w:pPr>
        <w:spacing w:line="360" w:lineRule="auto"/>
        <w:jc w:val="both"/>
        <w:rPr>
          <w:rFonts w:ascii="Palatino Linotype" w:hAnsi="Palatino Linotype" w:cs="Arial"/>
        </w:rPr>
      </w:pPr>
      <w:r w:rsidRPr="00836E67">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3E14C2" w:rsidRPr="00836E67">
        <w:rPr>
          <w:rFonts w:ascii="Palatino Linotype" w:hAnsi="Palatino Linotype" w:cs="Arial"/>
          <w:b/>
        </w:rPr>
        <w:t>veintinueve</w:t>
      </w:r>
      <w:r w:rsidRPr="00836E67">
        <w:rPr>
          <w:rFonts w:ascii="Palatino Linotype" w:hAnsi="Palatino Linotype" w:cs="Arial"/>
          <w:b/>
        </w:rPr>
        <w:t xml:space="preserve"> de enero de dos mil veintiséis</w:t>
      </w:r>
      <w:r w:rsidRPr="00836E67">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6B39F4" w:rsidRPr="00836E67" w:rsidRDefault="006B39F4" w:rsidP="004C1DC0">
      <w:pPr>
        <w:spacing w:line="360" w:lineRule="auto"/>
        <w:jc w:val="both"/>
        <w:rPr>
          <w:rFonts w:ascii="Palatino Linotype" w:hAnsi="Palatino Linotype" w:cs="Arial"/>
          <w:b/>
          <w:sz w:val="28"/>
          <w:szCs w:val="28"/>
        </w:rPr>
      </w:pPr>
    </w:p>
    <w:p w:rsidR="004C1DC0" w:rsidRPr="00836E67" w:rsidRDefault="006B39F4" w:rsidP="004C1DC0">
      <w:pPr>
        <w:spacing w:line="360" w:lineRule="auto"/>
        <w:jc w:val="both"/>
        <w:rPr>
          <w:rFonts w:ascii="Palatino Linotype" w:hAnsi="Palatino Linotype" w:cs="Arial"/>
          <w:b/>
          <w:sz w:val="28"/>
          <w:szCs w:val="28"/>
        </w:rPr>
      </w:pPr>
      <w:r w:rsidRPr="00836E67">
        <w:rPr>
          <w:rFonts w:ascii="Palatino Linotype" w:hAnsi="Palatino Linotype" w:cs="Arial"/>
          <w:b/>
          <w:sz w:val="28"/>
          <w:szCs w:val="28"/>
        </w:rPr>
        <w:t xml:space="preserve">SÉPTIMO. </w:t>
      </w:r>
      <w:r w:rsidR="004C1DC0" w:rsidRPr="00836E67">
        <w:rPr>
          <w:rFonts w:ascii="Palatino Linotype" w:hAnsi="Palatino Linotype" w:cs="Arial"/>
          <w:b/>
          <w:sz w:val="28"/>
          <w:szCs w:val="28"/>
        </w:rPr>
        <w:t>Del Cierre de Instrucción.</w:t>
      </w:r>
    </w:p>
    <w:p w:rsidR="004C1DC0" w:rsidRPr="00836E67" w:rsidRDefault="004C1DC0" w:rsidP="004C1DC0">
      <w:pPr>
        <w:spacing w:line="360" w:lineRule="auto"/>
        <w:jc w:val="both"/>
        <w:rPr>
          <w:rFonts w:ascii="Palatino Linotype" w:hAnsi="Palatino Linotype" w:cs="Arial"/>
        </w:rPr>
      </w:pPr>
      <w:r w:rsidRPr="00836E67">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4B2240" w:rsidRPr="00836E67">
        <w:rPr>
          <w:rFonts w:ascii="Palatino Linotype" w:hAnsi="Palatino Linotype" w:cs="Arial"/>
          <w:b/>
        </w:rPr>
        <w:t>cuatro</w:t>
      </w:r>
      <w:r w:rsidR="003E14C2" w:rsidRPr="00836E67">
        <w:rPr>
          <w:rFonts w:ascii="Palatino Linotype" w:hAnsi="Palatino Linotype" w:cs="Arial"/>
          <w:b/>
        </w:rPr>
        <w:t xml:space="preserve"> de febrero de dos mil veintiséis</w:t>
      </w:r>
      <w:r w:rsidRPr="00836E67">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4C1DC0" w:rsidRPr="00836E67" w:rsidRDefault="004C1DC0" w:rsidP="004C1DC0">
      <w:pPr>
        <w:spacing w:line="360" w:lineRule="auto"/>
        <w:jc w:val="both"/>
        <w:rPr>
          <w:rFonts w:ascii="Palatino Linotype" w:hAnsi="Palatino Linotype" w:cs="Arial"/>
          <w:b/>
          <w:sz w:val="28"/>
          <w:szCs w:val="28"/>
        </w:rPr>
      </w:pPr>
    </w:p>
    <w:p w:rsidR="004C1DC0" w:rsidRPr="00836E67" w:rsidRDefault="004C1DC0" w:rsidP="004C1DC0">
      <w:pPr>
        <w:spacing w:line="360" w:lineRule="auto"/>
        <w:jc w:val="center"/>
        <w:rPr>
          <w:rFonts w:ascii="Palatino Linotype" w:hAnsi="Palatino Linotype"/>
          <w:b/>
          <w:bCs/>
          <w:spacing w:val="60"/>
          <w:sz w:val="28"/>
          <w:lang w:val="es-ES_tradnl"/>
        </w:rPr>
      </w:pPr>
      <w:r w:rsidRPr="00836E67">
        <w:rPr>
          <w:rFonts w:ascii="Palatino Linotype" w:hAnsi="Palatino Linotype"/>
          <w:b/>
          <w:bCs/>
          <w:spacing w:val="60"/>
          <w:sz w:val="28"/>
          <w:lang w:val="es-ES_tradnl"/>
        </w:rPr>
        <w:lastRenderedPageBreak/>
        <w:t>CONSIDERANDO</w:t>
      </w:r>
    </w:p>
    <w:p w:rsidR="004C1DC0" w:rsidRPr="00836E67" w:rsidRDefault="004C1DC0" w:rsidP="004C1DC0">
      <w:pPr>
        <w:spacing w:line="360" w:lineRule="auto"/>
        <w:ind w:right="49"/>
        <w:jc w:val="both"/>
        <w:rPr>
          <w:rFonts w:ascii="Palatino Linotype" w:hAnsi="Palatino Linotype"/>
          <w:szCs w:val="28"/>
        </w:rPr>
      </w:pPr>
    </w:p>
    <w:p w:rsidR="004C1DC0" w:rsidRPr="00836E67" w:rsidRDefault="004C1DC0" w:rsidP="004C1DC0">
      <w:pPr>
        <w:spacing w:before="240" w:line="360" w:lineRule="auto"/>
        <w:jc w:val="both"/>
        <w:rPr>
          <w:rFonts w:ascii="Palatino Linotype" w:hAnsi="Palatino Linotype" w:cs="Arial"/>
          <w:sz w:val="28"/>
          <w:szCs w:val="28"/>
        </w:rPr>
      </w:pPr>
      <w:r w:rsidRPr="00836E67">
        <w:rPr>
          <w:rFonts w:ascii="Palatino Linotype" w:hAnsi="Palatino Linotype" w:cs="Arial"/>
          <w:b/>
          <w:sz w:val="28"/>
        </w:rPr>
        <w:t>PRIMERO.</w:t>
      </w:r>
      <w:r w:rsidRPr="00836E67">
        <w:rPr>
          <w:rFonts w:ascii="Palatino Linotype" w:hAnsi="Palatino Linotype" w:cs="Arial"/>
          <w:b/>
        </w:rPr>
        <w:t xml:space="preserve"> </w:t>
      </w:r>
      <w:r w:rsidRPr="00836E67">
        <w:rPr>
          <w:rFonts w:ascii="Palatino Linotype" w:hAnsi="Palatino Linotype" w:cs="Arial"/>
          <w:b/>
          <w:sz w:val="28"/>
          <w:szCs w:val="28"/>
        </w:rPr>
        <w:t>De la competencia</w:t>
      </w:r>
      <w:r w:rsidRPr="00836E67">
        <w:rPr>
          <w:rFonts w:ascii="Palatino Linotype" w:hAnsi="Palatino Linotype" w:cs="Arial"/>
          <w:sz w:val="28"/>
          <w:szCs w:val="28"/>
        </w:rPr>
        <w:t>.</w:t>
      </w:r>
    </w:p>
    <w:p w:rsidR="004C1DC0" w:rsidRPr="00836E67" w:rsidRDefault="004C1DC0" w:rsidP="004C1DC0">
      <w:pPr>
        <w:tabs>
          <w:tab w:val="left" w:pos="3402"/>
        </w:tabs>
        <w:spacing w:line="360" w:lineRule="auto"/>
        <w:jc w:val="both"/>
        <w:rPr>
          <w:rFonts w:ascii="Palatino Linotype" w:hAnsi="Palatino Linotype"/>
        </w:rPr>
      </w:pPr>
      <w:r w:rsidRPr="00836E67">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4C1DC0" w:rsidRPr="00836E67" w:rsidRDefault="004C1DC0" w:rsidP="004C1DC0">
      <w:pPr>
        <w:pStyle w:val="Prrafodelista"/>
        <w:autoSpaceDE w:val="0"/>
        <w:autoSpaceDN w:val="0"/>
        <w:adjustRightInd w:val="0"/>
        <w:spacing w:line="360" w:lineRule="auto"/>
        <w:ind w:left="0"/>
        <w:jc w:val="both"/>
        <w:rPr>
          <w:rFonts w:ascii="Palatino Linotype" w:hAnsi="Palatino Linotype" w:cs="Arial"/>
          <w:b/>
          <w:sz w:val="28"/>
        </w:rPr>
      </w:pPr>
    </w:p>
    <w:p w:rsidR="004C1DC0" w:rsidRPr="00836E67" w:rsidRDefault="004C1DC0" w:rsidP="004C1DC0">
      <w:pPr>
        <w:pStyle w:val="Prrafodelista"/>
        <w:autoSpaceDE w:val="0"/>
        <w:autoSpaceDN w:val="0"/>
        <w:adjustRightInd w:val="0"/>
        <w:spacing w:before="240" w:after="160" w:line="360" w:lineRule="auto"/>
        <w:ind w:left="0"/>
        <w:jc w:val="both"/>
        <w:rPr>
          <w:rFonts w:ascii="Palatino Linotype" w:hAnsi="Palatino Linotype" w:cs="Arial"/>
          <w:b/>
        </w:rPr>
      </w:pPr>
      <w:r w:rsidRPr="00836E67">
        <w:rPr>
          <w:rFonts w:ascii="Palatino Linotype" w:hAnsi="Palatino Linotype" w:cs="Arial"/>
          <w:b/>
          <w:sz w:val="28"/>
        </w:rPr>
        <w:t>SEGUNDO</w:t>
      </w:r>
      <w:r w:rsidRPr="00836E67">
        <w:rPr>
          <w:rFonts w:ascii="Palatino Linotype" w:hAnsi="Palatino Linotype" w:cs="Arial"/>
          <w:b/>
        </w:rPr>
        <w:t xml:space="preserve">. </w:t>
      </w:r>
      <w:r w:rsidRPr="00836E67">
        <w:rPr>
          <w:rFonts w:ascii="Palatino Linotype" w:hAnsi="Palatino Linotype" w:cs="Arial"/>
          <w:b/>
          <w:sz w:val="28"/>
          <w:szCs w:val="28"/>
        </w:rPr>
        <w:t>Sobre los alcances del recurso de revisión.</w:t>
      </w:r>
      <w:r w:rsidRPr="00836E67">
        <w:rPr>
          <w:rFonts w:ascii="Palatino Linotype" w:hAnsi="Palatino Linotype" w:cs="Arial"/>
          <w:b/>
        </w:rPr>
        <w:t xml:space="preserve"> </w:t>
      </w:r>
    </w:p>
    <w:p w:rsidR="004C1DC0" w:rsidRPr="00836E67" w:rsidRDefault="004C1DC0" w:rsidP="004C1DC0">
      <w:pPr>
        <w:pStyle w:val="Prrafodelista"/>
        <w:autoSpaceDE w:val="0"/>
        <w:autoSpaceDN w:val="0"/>
        <w:adjustRightInd w:val="0"/>
        <w:spacing w:before="240" w:after="160" w:line="360" w:lineRule="auto"/>
        <w:ind w:left="0"/>
        <w:jc w:val="both"/>
        <w:rPr>
          <w:rFonts w:ascii="Palatino Linotype" w:hAnsi="Palatino Linotype" w:cs="Arial"/>
        </w:rPr>
      </w:pPr>
      <w:r w:rsidRPr="00836E67">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C1DC0" w:rsidRPr="00836E67" w:rsidRDefault="004C1DC0" w:rsidP="004C1DC0">
      <w:pPr>
        <w:pStyle w:val="Prrafodelista"/>
        <w:autoSpaceDE w:val="0"/>
        <w:autoSpaceDN w:val="0"/>
        <w:adjustRightInd w:val="0"/>
        <w:spacing w:before="240" w:after="160" w:line="360" w:lineRule="auto"/>
        <w:ind w:left="0"/>
        <w:jc w:val="both"/>
        <w:rPr>
          <w:rFonts w:ascii="Palatino Linotype" w:hAnsi="Palatino Linotype" w:cs="Arial"/>
        </w:rPr>
      </w:pPr>
    </w:p>
    <w:p w:rsidR="004C1DC0" w:rsidRPr="00836E67" w:rsidRDefault="004C1DC0" w:rsidP="004C1DC0">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836E67">
        <w:rPr>
          <w:rFonts w:ascii="Palatino Linotype" w:hAnsi="Palatino Linotype" w:cs="Arial"/>
          <w:b/>
          <w:sz w:val="28"/>
        </w:rPr>
        <w:t>TERCERO</w:t>
      </w:r>
      <w:r w:rsidRPr="00836E67">
        <w:rPr>
          <w:rFonts w:ascii="Palatino Linotype" w:hAnsi="Palatino Linotype" w:cs="Arial"/>
          <w:b/>
        </w:rPr>
        <w:t xml:space="preserve">. </w:t>
      </w:r>
      <w:r w:rsidRPr="00836E67">
        <w:rPr>
          <w:rFonts w:ascii="Palatino Linotype" w:hAnsi="Palatino Linotype" w:cs="Arial"/>
          <w:b/>
          <w:sz w:val="28"/>
          <w:szCs w:val="28"/>
        </w:rPr>
        <w:t>De las causas de improcedencia.</w:t>
      </w:r>
    </w:p>
    <w:p w:rsidR="004C1DC0" w:rsidRPr="00836E67" w:rsidRDefault="004C1DC0" w:rsidP="004C1DC0">
      <w:pPr>
        <w:pStyle w:val="Prrafodelista"/>
        <w:autoSpaceDE w:val="0"/>
        <w:autoSpaceDN w:val="0"/>
        <w:adjustRightInd w:val="0"/>
        <w:spacing w:before="240" w:after="160" w:line="360" w:lineRule="auto"/>
        <w:ind w:left="0"/>
        <w:jc w:val="both"/>
        <w:rPr>
          <w:rFonts w:ascii="Palatino Linotype" w:hAnsi="Palatino Linotype" w:cs="Arial"/>
        </w:rPr>
      </w:pPr>
      <w:r w:rsidRPr="00836E67">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C1DC0" w:rsidRPr="00836E67" w:rsidRDefault="004C1DC0" w:rsidP="004C1DC0">
      <w:pPr>
        <w:pStyle w:val="Prrafodelista"/>
        <w:autoSpaceDE w:val="0"/>
        <w:autoSpaceDN w:val="0"/>
        <w:adjustRightInd w:val="0"/>
        <w:spacing w:line="360" w:lineRule="auto"/>
        <w:ind w:left="0"/>
        <w:jc w:val="both"/>
        <w:rPr>
          <w:rFonts w:ascii="Palatino Linotype" w:hAnsi="Palatino Linotype" w:cs="Arial"/>
        </w:rPr>
      </w:pPr>
      <w:r w:rsidRPr="00836E67">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36E67">
        <w:rPr>
          <w:rStyle w:val="Refdenotaalpie"/>
          <w:rFonts w:ascii="Palatino Linotype" w:hAnsi="Palatino Linotype" w:cs="Arial"/>
        </w:rPr>
        <w:footnoteReference w:id="1"/>
      </w:r>
      <w:r w:rsidRPr="00836E67">
        <w:rPr>
          <w:rFonts w:ascii="Palatino Linotype" w:hAnsi="Palatino Linotype" w:cs="Arial"/>
        </w:rPr>
        <w:t xml:space="preserve">. Así las cosas, del análisis de los </w:t>
      </w:r>
      <w:r w:rsidRPr="00836E67">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4C1DC0" w:rsidRPr="00836E67" w:rsidRDefault="004C1DC0" w:rsidP="004C1DC0">
      <w:pPr>
        <w:tabs>
          <w:tab w:val="left" w:pos="709"/>
        </w:tabs>
        <w:spacing w:before="240" w:line="360" w:lineRule="auto"/>
        <w:ind w:right="51"/>
        <w:jc w:val="both"/>
        <w:rPr>
          <w:rFonts w:ascii="Palatino Linotype" w:hAnsi="Palatino Linotype"/>
          <w:b/>
          <w:sz w:val="28"/>
          <w:szCs w:val="28"/>
        </w:rPr>
      </w:pPr>
    </w:p>
    <w:p w:rsidR="004C1DC0" w:rsidRPr="00836E67" w:rsidRDefault="004C1DC0" w:rsidP="004C1DC0">
      <w:pPr>
        <w:tabs>
          <w:tab w:val="left" w:pos="709"/>
        </w:tabs>
        <w:spacing w:before="240" w:line="360" w:lineRule="auto"/>
        <w:ind w:right="51"/>
        <w:jc w:val="both"/>
        <w:rPr>
          <w:rFonts w:ascii="Palatino Linotype" w:hAnsi="Palatino Linotype"/>
          <w:b/>
          <w:sz w:val="28"/>
          <w:szCs w:val="28"/>
        </w:rPr>
      </w:pPr>
      <w:r w:rsidRPr="00836E67">
        <w:rPr>
          <w:rFonts w:ascii="Palatino Linotype" w:hAnsi="Palatino Linotype"/>
          <w:b/>
          <w:sz w:val="28"/>
          <w:szCs w:val="28"/>
        </w:rPr>
        <w:t xml:space="preserve">CUARTO. Estudio y resolución del asunto </w:t>
      </w:r>
      <w:r w:rsidRPr="00836E67">
        <w:rPr>
          <w:rFonts w:ascii="Palatino Linotype" w:hAnsi="Palatino Linotype"/>
          <w:b/>
          <w:sz w:val="28"/>
          <w:szCs w:val="28"/>
        </w:rPr>
        <w:tab/>
      </w:r>
    </w:p>
    <w:p w:rsidR="004C1DC0" w:rsidRPr="00836E67" w:rsidRDefault="004C1DC0" w:rsidP="004C1DC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36E67">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4C1DC0" w:rsidRPr="00836E67" w:rsidRDefault="004C1DC0" w:rsidP="004C1DC0">
      <w:pPr>
        <w:autoSpaceDE w:val="0"/>
        <w:autoSpaceDN w:val="0"/>
        <w:adjustRightInd w:val="0"/>
        <w:ind w:right="567"/>
        <w:rPr>
          <w:rFonts w:ascii="Palatino Linotype" w:eastAsia="Calibri" w:hAnsi="Palatino Linotype" w:cs="Arial"/>
        </w:rPr>
      </w:pPr>
    </w:p>
    <w:p w:rsidR="004C1DC0" w:rsidRPr="00836E67" w:rsidRDefault="004C1DC0" w:rsidP="004C1DC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36E67">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4C1DC0" w:rsidRPr="00836E67" w:rsidRDefault="004C1DC0" w:rsidP="004C1DC0">
      <w:pPr>
        <w:pStyle w:val="Citas"/>
        <w:spacing w:before="0" w:after="0" w:line="240" w:lineRule="auto"/>
      </w:pPr>
      <w:r w:rsidRPr="00836E67">
        <w:rPr>
          <w:b/>
        </w:rPr>
        <w:t>Artículo 179.</w:t>
      </w:r>
      <w:r w:rsidRPr="00836E67">
        <w:t xml:space="preserve"> El recurso de revisión es un medio de protección que la Ley otorga a los particulares, para hacer valer su derecho de acceso a la información pública, y procederá en contra de las siguientes causas: </w:t>
      </w:r>
    </w:p>
    <w:p w:rsidR="004C1DC0" w:rsidRPr="00836E67" w:rsidRDefault="004C1DC0" w:rsidP="004C1DC0">
      <w:pPr>
        <w:pStyle w:val="Citas"/>
        <w:numPr>
          <w:ilvl w:val="0"/>
          <w:numId w:val="3"/>
        </w:numPr>
        <w:spacing w:before="0" w:after="0" w:line="240" w:lineRule="auto"/>
      </w:pPr>
      <w:r w:rsidRPr="00836E67">
        <w:t xml:space="preserve">La negativa a la información solicitada; </w:t>
      </w:r>
    </w:p>
    <w:p w:rsidR="004C1DC0" w:rsidRPr="00836E67" w:rsidRDefault="004C1DC0" w:rsidP="004C1DC0">
      <w:pPr>
        <w:pStyle w:val="Citas"/>
        <w:numPr>
          <w:ilvl w:val="0"/>
          <w:numId w:val="3"/>
        </w:numPr>
        <w:spacing w:before="0" w:after="0" w:line="240" w:lineRule="auto"/>
      </w:pPr>
      <w:r w:rsidRPr="00836E67">
        <w:t xml:space="preserve">La clasificación de la información; </w:t>
      </w:r>
    </w:p>
    <w:p w:rsidR="004C1DC0" w:rsidRPr="00836E67" w:rsidRDefault="004C1DC0" w:rsidP="004C1DC0">
      <w:pPr>
        <w:pStyle w:val="Citas"/>
        <w:numPr>
          <w:ilvl w:val="0"/>
          <w:numId w:val="3"/>
        </w:numPr>
        <w:spacing w:before="0" w:after="0" w:line="240" w:lineRule="auto"/>
      </w:pPr>
      <w:r w:rsidRPr="00836E67">
        <w:t xml:space="preserve">La declaración de inexistencia de la información; </w:t>
      </w:r>
    </w:p>
    <w:p w:rsidR="004C1DC0" w:rsidRPr="00836E67" w:rsidRDefault="004C1DC0" w:rsidP="004C1DC0">
      <w:pPr>
        <w:pStyle w:val="Citas"/>
        <w:numPr>
          <w:ilvl w:val="0"/>
          <w:numId w:val="3"/>
        </w:numPr>
        <w:spacing w:before="0" w:after="0" w:line="240" w:lineRule="auto"/>
        <w:rPr>
          <w:b/>
        </w:rPr>
      </w:pPr>
      <w:r w:rsidRPr="00836E67">
        <w:rPr>
          <w:b/>
        </w:rPr>
        <w:t xml:space="preserve">La declaración de incompetencia por el sujeto obligado; </w:t>
      </w:r>
    </w:p>
    <w:p w:rsidR="004C1DC0" w:rsidRPr="00836E67" w:rsidRDefault="004C1DC0" w:rsidP="004C1DC0">
      <w:pPr>
        <w:pStyle w:val="Citas"/>
        <w:numPr>
          <w:ilvl w:val="0"/>
          <w:numId w:val="3"/>
        </w:numPr>
        <w:spacing w:before="0" w:after="0" w:line="240" w:lineRule="auto"/>
      </w:pPr>
      <w:r w:rsidRPr="00836E67">
        <w:t xml:space="preserve">La entrega de información incompleta; </w:t>
      </w:r>
    </w:p>
    <w:p w:rsidR="004C1DC0" w:rsidRPr="00836E67" w:rsidRDefault="004C1DC0" w:rsidP="004C1DC0">
      <w:pPr>
        <w:pStyle w:val="Citas"/>
        <w:numPr>
          <w:ilvl w:val="0"/>
          <w:numId w:val="3"/>
        </w:numPr>
        <w:spacing w:before="0" w:after="0" w:line="240" w:lineRule="auto"/>
      </w:pPr>
      <w:r w:rsidRPr="00836E67">
        <w:t xml:space="preserve">La entrega de información que no corresponda con lo solicitado; </w:t>
      </w:r>
    </w:p>
    <w:p w:rsidR="004C1DC0" w:rsidRPr="00836E67" w:rsidRDefault="004C1DC0" w:rsidP="004C1DC0">
      <w:pPr>
        <w:pStyle w:val="Citas"/>
        <w:numPr>
          <w:ilvl w:val="0"/>
          <w:numId w:val="3"/>
        </w:numPr>
        <w:spacing w:before="0" w:after="0" w:line="240" w:lineRule="auto"/>
      </w:pPr>
      <w:r w:rsidRPr="00836E67">
        <w:lastRenderedPageBreak/>
        <w:t xml:space="preserve">La falta de respuesta a una solicitud de acceso a la información; </w:t>
      </w:r>
    </w:p>
    <w:p w:rsidR="004C1DC0" w:rsidRPr="00836E67" w:rsidRDefault="004C1DC0" w:rsidP="004C1DC0">
      <w:pPr>
        <w:pStyle w:val="Citas"/>
        <w:numPr>
          <w:ilvl w:val="0"/>
          <w:numId w:val="3"/>
        </w:numPr>
        <w:spacing w:before="0" w:after="0" w:line="240" w:lineRule="auto"/>
      </w:pPr>
      <w:r w:rsidRPr="00836E67">
        <w:t xml:space="preserve">La notificación, entrega o puesta a disposición de información en una modalidad o formato distinto al solicitado; </w:t>
      </w:r>
    </w:p>
    <w:p w:rsidR="004C1DC0" w:rsidRPr="00836E67" w:rsidRDefault="004C1DC0" w:rsidP="004C1DC0">
      <w:pPr>
        <w:pStyle w:val="Citas"/>
        <w:numPr>
          <w:ilvl w:val="0"/>
          <w:numId w:val="3"/>
        </w:numPr>
        <w:spacing w:before="0" w:after="0" w:line="240" w:lineRule="auto"/>
      </w:pPr>
      <w:r w:rsidRPr="00836E67">
        <w:t xml:space="preserve">La entrega o puesta a disposición de información en un formato incomprensible y/o no accesible para el solicitante; </w:t>
      </w:r>
    </w:p>
    <w:p w:rsidR="004C1DC0" w:rsidRPr="00836E67" w:rsidRDefault="004C1DC0" w:rsidP="004C1DC0">
      <w:pPr>
        <w:pStyle w:val="Citas"/>
        <w:numPr>
          <w:ilvl w:val="0"/>
          <w:numId w:val="3"/>
        </w:numPr>
        <w:spacing w:before="0" w:after="0" w:line="240" w:lineRule="auto"/>
      </w:pPr>
      <w:r w:rsidRPr="00836E67">
        <w:t xml:space="preserve">Los costos o tiempos de entrega de la información; </w:t>
      </w:r>
    </w:p>
    <w:p w:rsidR="004C1DC0" w:rsidRPr="00836E67" w:rsidRDefault="004C1DC0" w:rsidP="004C1DC0">
      <w:pPr>
        <w:pStyle w:val="Citas"/>
        <w:numPr>
          <w:ilvl w:val="0"/>
          <w:numId w:val="3"/>
        </w:numPr>
        <w:spacing w:before="0" w:after="0" w:line="240" w:lineRule="auto"/>
      </w:pPr>
      <w:r w:rsidRPr="00836E67">
        <w:t xml:space="preserve">La falta de trámite a una solicitud; </w:t>
      </w:r>
    </w:p>
    <w:p w:rsidR="004C1DC0" w:rsidRPr="00836E67" w:rsidRDefault="004C1DC0" w:rsidP="004C1DC0">
      <w:pPr>
        <w:pStyle w:val="Citas"/>
        <w:numPr>
          <w:ilvl w:val="0"/>
          <w:numId w:val="3"/>
        </w:numPr>
        <w:spacing w:before="0" w:after="0" w:line="240" w:lineRule="auto"/>
      </w:pPr>
      <w:r w:rsidRPr="00836E67">
        <w:t xml:space="preserve">La negativa a permitir la consulta directa de la información; </w:t>
      </w:r>
    </w:p>
    <w:p w:rsidR="004C1DC0" w:rsidRPr="00836E67" w:rsidRDefault="004C1DC0" w:rsidP="004C1DC0">
      <w:pPr>
        <w:pStyle w:val="Citas"/>
        <w:numPr>
          <w:ilvl w:val="0"/>
          <w:numId w:val="3"/>
        </w:numPr>
        <w:spacing w:before="0" w:after="0" w:line="240" w:lineRule="auto"/>
      </w:pPr>
      <w:r w:rsidRPr="00836E67">
        <w:t xml:space="preserve">La falta, deficiencia o insuficiencia de la fundamentación y/o motivación en la respuesta; y </w:t>
      </w:r>
    </w:p>
    <w:p w:rsidR="004C1DC0" w:rsidRPr="00836E67" w:rsidRDefault="004C1DC0" w:rsidP="004C1DC0">
      <w:pPr>
        <w:pStyle w:val="Citas"/>
        <w:numPr>
          <w:ilvl w:val="0"/>
          <w:numId w:val="3"/>
        </w:numPr>
        <w:spacing w:before="0" w:after="0" w:line="240" w:lineRule="auto"/>
      </w:pPr>
      <w:r w:rsidRPr="00836E67">
        <w:t xml:space="preserve">La orientación a un trámite específico. </w:t>
      </w:r>
    </w:p>
    <w:p w:rsidR="004C1DC0" w:rsidRPr="00836E67" w:rsidRDefault="004C1DC0" w:rsidP="004C1DC0">
      <w:pPr>
        <w:pStyle w:val="Citas"/>
        <w:spacing w:before="0" w:after="0" w:line="240" w:lineRule="auto"/>
      </w:pPr>
      <w:r w:rsidRPr="00836E67">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4C1DC0" w:rsidRPr="00836E67" w:rsidRDefault="004C1DC0" w:rsidP="004C1DC0">
      <w:pPr>
        <w:autoSpaceDE w:val="0"/>
        <w:autoSpaceDN w:val="0"/>
        <w:adjustRightInd w:val="0"/>
        <w:ind w:right="567"/>
        <w:rPr>
          <w:rFonts w:ascii="Palatino Linotype" w:eastAsia="Calibri" w:hAnsi="Palatino Linotype" w:cs="Arial"/>
        </w:rPr>
      </w:pPr>
    </w:p>
    <w:p w:rsidR="004C1DC0" w:rsidRPr="00836E67" w:rsidRDefault="004C1DC0" w:rsidP="004C1DC0">
      <w:pPr>
        <w:autoSpaceDE w:val="0"/>
        <w:autoSpaceDN w:val="0"/>
        <w:adjustRightInd w:val="0"/>
        <w:ind w:right="567"/>
        <w:rPr>
          <w:rFonts w:ascii="Palatino Linotype" w:eastAsia="Calibri" w:hAnsi="Palatino Linotype" w:cs="Arial"/>
        </w:rPr>
      </w:pPr>
    </w:p>
    <w:p w:rsidR="004C1DC0" w:rsidRPr="00836E67" w:rsidRDefault="004C1DC0" w:rsidP="004C1DC0">
      <w:pPr>
        <w:spacing w:line="360" w:lineRule="auto"/>
        <w:jc w:val="both"/>
        <w:rPr>
          <w:rFonts w:ascii="Palatino Linotype" w:hAnsi="Palatino Linotype" w:cs="Tahoma"/>
          <w:bCs/>
        </w:rPr>
      </w:pPr>
      <w:r w:rsidRPr="00836E67">
        <w:rPr>
          <w:rFonts w:ascii="Palatino Linotype" w:hAnsi="Palatino Linotype" w:cs="Tahoma"/>
          <w:bCs/>
        </w:rPr>
        <w:t xml:space="preserve">Bajo estas líneas argumentativas, al retomar y delimitar los requerimientos del ahora </w:t>
      </w:r>
      <w:r w:rsidRPr="00836E67">
        <w:rPr>
          <w:rFonts w:ascii="Palatino Linotype" w:hAnsi="Palatino Linotype" w:cs="Tahoma"/>
          <w:b/>
          <w:bCs/>
        </w:rPr>
        <w:t>Recurrente</w:t>
      </w:r>
      <w:r w:rsidRPr="00836E67">
        <w:rPr>
          <w:rFonts w:ascii="Palatino Linotype" w:hAnsi="Palatino Linotype" w:cs="Tahoma"/>
          <w:bCs/>
        </w:rPr>
        <w:t>, de manera objetiva se precisa que requiere la siguiente información:</w:t>
      </w:r>
    </w:p>
    <w:p w:rsidR="00B8548C" w:rsidRPr="00836E67" w:rsidRDefault="003E14C2" w:rsidP="00B8548C">
      <w:pPr>
        <w:pStyle w:val="Prrafodelista"/>
        <w:spacing w:before="240" w:line="360" w:lineRule="auto"/>
        <w:ind w:left="720"/>
        <w:jc w:val="both"/>
        <w:rPr>
          <w:rFonts w:ascii="Palatino Linotype" w:hAnsi="Palatino Linotype" w:cs="Arial"/>
        </w:rPr>
      </w:pPr>
      <w:r w:rsidRPr="00836E67">
        <w:rPr>
          <w:rFonts w:ascii="Palatino Linotype" w:hAnsi="Palatino Linotype" w:cs="Arial"/>
        </w:rPr>
        <w:t xml:space="preserve">De Gabriel Reyes Vázquez </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Área</w:t>
      </w:r>
      <w:r w:rsidR="003E14C2" w:rsidRPr="00836E67">
        <w:rPr>
          <w:rFonts w:ascii="Palatino Linotype" w:hAnsi="Palatino Linotype" w:cs="Arial"/>
        </w:rPr>
        <w:t xml:space="preserve"> de adscripción </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N</w:t>
      </w:r>
      <w:r w:rsidR="003E14C2" w:rsidRPr="00836E67">
        <w:rPr>
          <w:rFonts w:ascii="Palatino Linotype" w:hAnsi="Palatino Linotype" w:cs="Arial"/>
        </w:rPr>
        <w:t>úmero de empleado</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F</w:t>
      </w:r>
      <w:r w:rsidR="003E14C2" w:rsidRPr="00836E67">
        <w:rPr>
          <w:rFonts w:ascii="Palatino Linotype" w:hAnsi="Palatino Linotype" w:cs="Arial"/>
        </w:rPr>
        <w:t>echa de ingreso</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Actividades</w:t>
      </w:r>
      <w:r w:rsidR="003E14C2" w:rsidRPr="00836E67">
        <w:rPr>
          <w:rFonts w:ascii="Palatino Linotype" w:hAnsi="Palatino Linotype" w:cs="Arial"/>
        </w:rPr>
        <w:t xml:space="preserve"> que realiza</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P</w:t>
      </w:r>
      <w:r w:rsidR="003E14C2" w:rsidRPr="00836E67">
        <w:rPr>
          <w:rFonts w:ascii="Palatino Linotype" w:hAnsi="Palatino Linotype" w:cs="Arial"/>
        </w:rPr>
        <w:t>ercepciones quincenales</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F</w:t>
      </w:r>
      <w:r w:rsidR="003E14C2" w:rsidRPr="00836E67">
        <w:rPr>
          <w:rFonts w:ascii="Palatino Linotype" w:hAnsi="Palatino Linotype" w:cs="Arial"/>
        </w:rPr>
        <w:t>amiliares directos que son trabajadores en el mismo ayuntamiento</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S</w:t>
      </w:r>
      <w:r w:rsidR="003E14C2" w:rsidRPr="00836E67">
        <w:rPr>
          <w:rFonts w:ascii="Palatino Linotype" w:hAnsi="Palatino Linotype" w:cs="Arial"/>
        </w:rPr>
        <w:t>e adjunte chequeos de entrada y salida de cada día</w:t>
      </w:r>
    </w:p>
    <w:p w:rsidR="00B8548C"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lastRenderedPageBreak/>
        <w:t>S</w:t>
      </w:r>
      <w:r w:rsidR="003E14C2" w:rsidRPr="00836E67">
        <w:rPr>
          <w:rFonts w:ascii="Palatino Linotype" w:hAnsi="Palatino Linotype" w:cs="Arial"/>
        </w:rPr>
        <w:t>e proporcione los acuses de manifestación de bienes anual correspondiente a los años 2025, 2024, 2023, 2022</w:t>
      </w:r>
    </w:p>
    <w:p w:rsidR="004C1DC0" w:rsidRPr="00836E67" w:rsidRDefault="00B8548C" w:rsidP="003E14C2">
      <w:pPr>
        <w:pStyle w:val="Prrafodelista"/>
        <w:numPr>
          <w:ilvl w:val="0"/>
          <w:numId w:val="4"/>
        </w:numPr>
        <w:spacing w:before="240" w:line="360" w:lineRule="auto"/>
        <w:jc w:val="both"/>
        <w:rPr>
          <w:rFonts w:ascii="Palatino Linotype" w:hAnsi="Palatino Linotype" w:cs="Arial"/>
        </w:rPr>
      </w:pPr>
      <w:r w:rsidRPr="00836E67">
        <w:rPr>
          <w:rFonts w:ascii="Palatino Linotype" w:hAnsi="Palatino Linotype" w:cs="Arial"/>
        </w:rPr>
        <w:t>C</w:t>
      </w:r>
      <w:r w:rsidR="003E14C2" w:rsidRPr="00836E67">
        <w:rPr>
          <w:rFonts w:ascii="Palatino Linotype" w:hAnsi="Palatino Linotype" w:cs="Arial"/>
        </w:rPr>
        <w:t>hequeo de asistencia de los días en que efectuó dichas manifestaciones.</w:t>
      </w:r>
    </w:p>
    <w:p w:rsidR="00DB2124" w:rsidRPr="00836E67" w:rsidRDefault="00DB2124" w:rsidP="004C1DC0">
      <w:pPr>
        <w:spacing w:before="240" w:line="360" w:lineRule="auto"/>
        <w:jc w:val="both"/>
        <w:rPr>
          <w:rFonts w:ascii="Palatino Linotype" w:hAnsi="Palatino Linotype" w:cs="Arial"/>
        </w:rPr>
      </w:pPr>
    </w:p>
    <w:p w:rsidR="004C1DC0" w:rsidRPr="00836E67" w:rsidRDefault="004C1DC0" w:rsidP="004C1DC0">
      <w:pPr>
        <w:spacing w:before="240" w:line="360" w:lineRule="auto"/>
        <w:jc w:val="both"/>
        <w:rPr>
          <w:rFonts w:ascii="Palatino Linotype" w:hAnsi="Palatino Linotype" w:cs="Arial"/>
          <w:b/>
        </w:rPr>
      </w:pPr>
      <w:r w:rsidRPr="00836E67">
        <w:rPr>
          <w:rFonts w:ascii="Palatino Linotype" w:hAnsi="Palatino Linotype" w:cs="Arial"/>
        </w:rPr>
        <w:t xml:space="preserve">De conformidad con las constancias que obran en el expediente electrónico, se observa que el </w:t>
      </w:r>
      <w:r w:rsidRPr="00836E67">
        <w:rPr>
          <w:rFonts w:ascii="Palatino Linotype" w:hAnsi="Palatino Linotype" w:cs="Arial"/>
          <w:b/>
        </w:rPr>
        <w:t>Sujeto Obligado</w:t>
      </w:r>
      <w:r w:rsidRPr="00836E67">
        <w:rPr>
          <w:rFonts w:ascii="Palatino Linotype" w:hAnsi="Palatino Linotype" w:cs="Arial"/>
        </w:rPr>
        <w:t xml:space="preserve"> dio respuesta por medio del sistema SAIMEX, a la solicitud de información</w:t>
      </w:r>
      <w:r w:rsidRPr="00836E67">
        <w:rPr>
          <w:rFonts w:ascii="Palatino Linotype" w:eastAsia="Palatino Linotype" w:hAnsi="Palatino Linotype" w:cs="Palatino Linotype"/>
          <w:b/>
          <w:color w:val="000000"/>
        </w:rPr>
        <w:t xml:space="preserve"> </w:t>
      </w:r>
      <w:r w:rsidR="00871299" w:rsidRPr="00836E67">
        <w:rPr>
          <w:rFonts w:ascii="Palatino Linotype" w:hAnsi="Palatino Linotype" w:cs="Arial"/>
          <w:b/>
        </w:rPr>
        <w:t>00374/TEPOTZOT/IP/2025</w:t>
      </w:r>
      <w:r w:rsidRPr="00836E67">
        <w:rPr>
          <w:rFonts w:ascii="Palatino Linotype" w:hAnsi="Palatino Linotype" w:cs="Arial"/>
          <w:b/>
        </w:rPr>
        <w:t xml:space="preserve">; </w:t>
      </w:r>
      <w:r w:rsidRPr="00836E67">
        <w:rPr>
          <w:rFonts w:ascii="Palatino Linotype" w:hAnsi="Palatino Linotype" w:cs="Arial"/>
        </w:rPr>
        <w:t>a través de los archivos electrónicos</w:t>
      </w:r>
      <w:r w:rsidRPr="00836E67">
        <w:rPr>
          <w:rFonts w:ascii="Palatino Linotype" w:hAnsi="Palatino Linotype" w:cs="Arial"/>
          <w:b/>
        </w:rPr>
        <w:t>:</w:t>
      </w:r>
    </w:p>
    <w:p w:rsidR="004C1DC0" w:rsidRPr="00836E67" w:rsidRDefault="003E14C2" w:rsidP="003E14C2">
      <w:pPr>
        <w:pStyle w:val="Sinespaciado"/>
        <w:numPr>
          <w:ilvl w:val="0"/>
          <w:numId w:val="1"/>
        </w:numPr>
        <w:spacing w:before="240" w:line="360" w:lineRule="auto"/>
        <w:jc w:val="both"/>
        <w:rPr>
          <w:rFonts w:ascii="Palatino Linotype" w:hAnsi="Palatino Linotype" w:cs="Arial"/>
          <w:b/>
          <w:i/>
          <w:sz w:val="24"/>
        </w:rPr>
      </w:pPr>
      <w:r w:rsidRPr="00836E67">
        <w:rPr>
          <w:rFonts w:ascii="Palatino Linotype" w:hAnsi="Palatino Linotype" w:cs="Arial"/>
          <w:b/>
          <w:i/>
          <w:sz w:val="24"/>
        </w:rPr>
        <w:t>HAT-UTAIP-2025-549 incompetencia parcial.pdf</w:t>
      </w:r>
      <w:r w:rsidR="004C1DC0" w:rsidRPr="00836E67">
        <w:rPr>
          <w:rFonts w:ascii="Palatino Linotype" w:hAnsi="Palatino Linotype" w:cs="Arial"/>
          <w:b/>
          <w:i/>
          <w:sz w:val="24"/>
        </w:rPr>
        <w:t xml:space="preserve">: </w:t>
      </w:r>
      <w:r w:rsidR="004C1DC0" w:rsidRPr="00836E67">
        <w:rPr>
          <w:rFonts w:ascii="Palatino Linotype" w:hAnsi="Palatino Linotype" w:cs="Arial"/>
          <w:sz w:val="24"/>
        </w:rPr>
        <w:t>oficio número HAT/UTAIP/2025/</w:t>
      </w:r>
      <w:r w:rsidRPr="00836E67">
        <w:rPr>
          <w:rFonts w:ascii="Palatino Linotype" w:hAnsi="Palatino Linotype" w:cs="Arial"/>
          <w:sz w:val="24"/>
        </w:rPr>
        <w:t>549</w:t>
      </w:r>
      <w:r w:rsidR="004C1DC0" w:rsidRPr="00836E67">
        <w:rPr>
          <w:rFonts w:ascii="Palatino Linotype" w:hAnsi="Palatino Linotype" w:cs="Arial"/>
          <w:sz w:val="24"/>
        </w:rPr>
        <w:t xml:space="preserve">, de fecha </w:t>
      </w:r>
      <w:r w:rsidRPr="00836E67">
        <w:rPr>
          <w:rFonts w:ascii="Palatino Linotype" w:hAnsi="Palatino Linotype" w:cs="Arial"/>
          <w:sz w:val="24"/>
        </w:rPr>
        <w:t>30</w:t>
      </w:r>
      <w:r w:rsidR="004C1DC0" w:rsidRPr="00836E67">
        <w:rPr>
          <w:rFonts w:ascii="Palatino Linotype" w:hAnsi="Palatino Linotype" w:cs="Arial"/>
          <w:sz w:val="24"/>
        </w:rPr>
        <w:t xml:space="preserve"> de </w:t>
      </w:r>
      <w:r w:rsidRPr="00836E67">
        <w:rPr>
          <w:rFonts w:ascii="Palatino Linotype" w:hAnsi="Palatino Linotype" w:cs="Arial"/>
          <w:sz w:val="24"/>
        </w:rPr>
        <w:t>junio</w:t>
      </w:r>
      <w:r w:rsidR="004C1DC0" w:rsidRPr="00836E67">
        <w:rPr>
          <w:rFonts w:ascii="Palatino Linotype" w:hAnsi="Palatino Linotype" w:cs="Arial"/>
          <w:sz w:val="24"/>
        </w:rPr>
        <w:t xml:space="preserve"> de 2025, firmado por la Titular de la Unidad de Transparencia y Acceso a la Información Pública, en el que se declara incompetente para atender la solicitud de información, siendo el Sujeto Obligado competente la Secretaría de la Contraloría.   </w:t>
      </w:r>
    </w:p>
    <w:p w:rsidR="004C1DC0" w:rsidRPr="00836E67" w:rsidRDefault="004C1DC0" w:rsidP="004C1DC0">
      <w:pPr>
        <w:spacing w:line="360" w:lineRule="auto"/>
        <w:jc w:val="both"/>
        <w:rPr>
          <w:rFonts w:ascii="Palatino Linotype" w:hAnsi="Palatino Linotype" w:cs="Arial"/>
          <w:bCs/>
        </w:rPr>
      </w:pPr>
    </w:p>
    <w:p w:rsidR="004C1DC0" w:rsidRPr="00836E67" w:rsidRDefault="004C1DC0" w:rsidP="004C1DC0">
      <w:pPr>
        <w:spacing w:line="360" w:lineRule="auto"/>
        <w:jc w:val="both"/>
        <w:rPr>
          <w:rFonts w:ascii="Palatino Linotype" w:hAnsi="Palatino Linotype"/>
          <w:b/>
          <w:i/>
          <w:u w:val="single"/>
        </w:rPr>
      </w:pPr>
      <w:r w:rsidRPr="00836E67">
        <w:rPr>
          <w:rFonts w:ascii="Palatino Linotype" w:hAnsi="Palatino Linotype" w:cs="Arial"/>
          <w:bCs/>
        </w:rPr>
        <w:t xml:space="preserve">Es así como, derivado de la respuesta emitida por </w:t>
      </w:r>
      <w:r w:rsidRPr="00836E67">
        <w:rPr>
          <w:rFonts w:ascii="Palatino Linotype" w:hAnsi="Palatino Linotype" w:cs="Arial"/>
          <w:b/>
          <w:bCs/>
        </w:rPr>
        <w:t>El Sujeto Obligado</w:t>
      </w:r>
      <w:r w:rsidRPr="00836E67">
        <w:rPr>
          <w:rFonts w:ascii="Palatino Linotype" w:hAnsi="Palatino Linotype" w:cs="Arial"/>
          <w:bCs/>
        </w:rPr>
        <w:t xml:space="preserve">, </w:t>
      </w:r>
      <w:r w:rsidRPr="00836E67">
        <w:rPr>
          <w:rFonts w:ascii="Palatino Linotype" w:hAnsi="Palatino Linotype" w:cs="Arial"/>
          <w:b/>
          <w:bCs/>
        </w:rPr>
        <w:t>el Recurrente</w:t>
      </w:r>
      <w:r w:rsidRPr="00836E67">
        <w:rPr>
          <w:rFonts w:ascii="Palatino Linotype" w:hAnsi="Palatino Linotype" w:cs="Arial"/>
          <w:bCs/>
        </w:rPr>
        <w:t>, interpuso el presente recurso de revisión, señalando sustancialmente como sus razones o motivos de inconformidad, lo siguiente:</w:t>
      </w:r>
      <w:r w:rsidRPr="00836E67" w:rsidDel="00107C3B">
        <w:rPr>
          <w:rFonts w:ascii="Palatino Linotype" w:hAnsi="Palatino Linotype"/>
          <w:b/>
          <w:i/>
        </w:rPr>
        <w:t xml:space="preserve"> </w:t>
      </w:r>
      <w:r w:rsidRPr="00836E67">
        <w:rPr>
          <w:rFonts w:ascii="Palatino Linotype" w:hAnsi="Palatino Linotype"/>
          <w:i/>
        </w:rPr>
        <w:t>“</w:t>
      </w:r>
      <w:r w:rsidR="003E14C2" w:rsidRPr="00836E67">
        <w:rPr>
          <w:rFonts w:ascii="Palatino Linotype" w:hAnsi="Palatino Linotype"/>
          <w:i/>
        </w:rPr>
        <w:t xml:space="preserve">FUNDAMENTACION Y MOTIVACION ERRONEA POR PARTE DE LA TITULAR DE TRANSPARENCIA MUNICIPAL DE TEPOTZOTLAN ESTADO DE MEXICO, REFIRIENDO QUE LA INFORMACIÓN SOLICITADA PODIA PROPORCIONARSE POR PARTE DE LA SECRETARIA DE LA CONTRALORIA, SIENDO ESTA ULTIMA QUIEN HA MANIFESTADO SER INCOMPETENTE AL SER EFECTIVAMENTE EL H. AYUNTAMIENTO DE TEPOTZOTLAN QUIEN DEBE PROPORCIONAR LA INFORMACION REQUERIDA , </w:t>
      </w:r>
      <w:r w:rsidR="003E14C2" w:rsidRPr="00836E67">
        <w:rPr>
          <w:rFonts w:ascii="Palatino Linotype" w:hAnsi="Palatino Linotype"/>
          <w:i/>
        </w:rPr>
        <w:lastRenderedPageBreak/>
        <w:t>ATENTANDO CONTRA LOS DERECHOS FUNDAMENTALES DE ACCESO A LA INFORMACIÓN PUBLICA.</w:t>
      </w:r>
      <w:r w:rsidRPr="00836E67">
        <w:rPr>
          <w:rFonts w:ascii="Palatino Linotype" w:hAnsi="Palatino Linotype"/>
          <w:i/>
        </w:rPr>
        <w:t>” (Sic).</w:t>
      </w:r>
    </w:p>
    <w:p w:rsidR="004C1DC0" w:rsidRPr="00836E67" w:rsidRDefault="004C1DC0" w:rsidP="004C1DC0">
      <w:pPr>
        <w:spacing w:line="360" w:lineRule="auto"/>
        <w:jc w:val="both"/>
        <w:rPr>
          <w:rFonts w:ascii="Palatino Linotype" w:hAnsi="Palatino Linotype" w:cs="Arial"/>
        </w:rPr>
      </w:pPr>
      <w:r w:rsidRPr="00836E67">
        <w:rPr>
          <w:rFonts w:ascii="Palatino Linotype" w:hAnsi="Palatino Linotype"/>
          <w:i/>
        </w:rPr>
        <w:t xml:space="preserve"> </w:t>
      </w:r>
    </w:p>
    <w:p w:rsidR="004C1DC0" w:rsidRPr="00836E67" w:rsidRDefault="006F5A68" w:rsidP="004C1DC0">
      <w:pPr>
        <w:pStyle w:val="infoemcitas"/>
        <w:tabs>
          <w:tab w:val="left" w:pos="7655"/>
        </w:tabs>
        <w:ind w:left="0" w:right="0"/>
        <w:rPr>
          <w:rStyle w:val="nfasis"/>
          <w:i/>
          <w:iCs w:val="0"/>
          <w:sz w:val="24"/>
          <w:szCs w:val="24"/>
        </w:rPr>
      </w:pPr>
      <w:r w:rsidRPr="00836E67">
        <w:rPr>
          <w:i w:val="0"/>
          <w:sz w:val="24"/>
          <w:szCs w:val="24"/>
        </w:rPr>
        <w:t>En primer término</w:t>
      </w:r>
      <w:r w:rsidR="004C1DC0" w:rsidRPr="00836E67">
        <w:rPr>
          <w:i w:val="0"/>
          <w:sz w:val="24"/>
          <w:szCs w:val="24"/>
        </w:rPr>
        <w:t xml:space="preserve">, </w:t>
      </w:r>
      <w:r w:rsidR="004C1DC0" w:rsidRPr="00836E67">
        <w:rPr>
          <w:rFonts w:cs="Arial"/>
          <w:i w:val="0"/>
          <w:iCs/>
          <w:sz w:val="24"/>
          <w:szCs w:val="24"/>
        </w:rPr>
        <w:t xml:space="preserve">desde una perspectiva etimológica, la palabra </w:t>
      </w:r>
      <w:r w:rsidR="004C1DC0" w:rsidRPr="00836E67">
        <w:rPr>
          <w:rFonts w:cs="Tahoma"/>
          <w:b/>
          <w:bCs/>
          <w:i w:val="0"/>
          <w:iCs/>
          <w:sz w:val="24"/>
          <w:szCs w:val="24"/>
        </w:rPr>
        <w:t>declarar</w:t>
      </w:r>
      <w:r w:rsidR="004C1DC0" w:rsidRPr="00836E67">
        <w:rPr>
          <w:rFonts w:cs="Tahoma"/>
          <w:i w:val="0"/>
          <w:iCs/>
          <w:sz w:val="24"/>
          <w:szCs w:val="24"/>
        </w:rPr>
        <w:t xml:space="preserve"> proviene del latín</w:t>
      </w:r>
      <w:r w:rsidR="004C1DC0" w:rsidRPr="00836E67">
        <w:rPr>
          <w:rFonts w:cs="Tahoma"/>
          <w:sz w:val="24"/>
          <w:szCs w:val="24"/>
        </w:rPr>
        <w:t xml:space="preserve"> </w:t>
      </w:r>
      <w:r w:rsidR="004C1DC0" w:rsidRPr="00836E67">
        <w:rPr>
          <w:rStyle w:val="nfasis"/>
          <w:b/>
          <w:bCs/>
          <w:sz w:val="24"/>
          <w:szCs w:val="24"/>
        </w:rPr>
        <w:t xml:space="preserve">declarāre, </w:t>
      </w:r>
      <w:r w:rsidR="004C1DC0" w:rsidRPr="00836E67">
        <w:rPr>
          <w:rStyle w:val="nfasis"/>
          <w:sz w:val="24"/>
          <w:szCs w:val="24"/>
        </w:rPr>
        <w:t xml:space="preserve">formada del prefijo </w:t>
      </w:r>
      <w:r w:rsidR="004C1DC0" w:rsidRPr="00836E67">
        <w:rPr>
          <w:rStyle w:val="nfasis"/>
          <w:b/>
          <w:bCs/>
          <w:sz w:val="24"/>
          <w:szCs w:val="24"/>
        </w:rPr>
        <w:t>de</w:t>
      </w:r>
      <w:r w:rsidR="004C1DC0" w:rsidRPr="00836E67">
        <w:rPr>
          <w:rStyle w:val="nfasis"/>
          <w:sz w:val="24"/>
          <w:szCs w:val="24"/>
        </w:rPr>
        <w:t xml:space="preserve"> (denota separación de arriba abajo) y </w:t>
      </w:r>
      <w:r w:rsidR="004C1DC0" w:rsidRPr="00836E67">
        <w:rPr>
          <w:rStyle w:val="nfasis"/>
          <w:b/>
          <w:bCs/>
          <w:sz w:val="24"/>
          <w:szCs w:val="24"/>
        </w:rPr>
        <w:t xml:space="preserve">clarare </w:t>
      </w:r>
      <w:r w:rsidR="004C1DC0" w:rsidRPr="00836E67">
        <w:rPr>
          <w:rStyle w:val="nfasis"/>
          <w:sz w:val="24"/>
          <w:szCs w:val="24"/>
        </w:rPr>
        <w:t xml:space="preserve">(clarificar), al respecto la Real Academia Española la define como: </w:t>
      </w:r>
    </w:p>
    <w:p w:rsidR="004C1DC0" w:rsidRPr="00836E67" w:rsidRDefault="004C1DC0" w:rsidP="004C1DC0">
      <w:pPr>
        <w:pStyle w:val="Citas"/>
      </w:pPr>
      <w:r w:rsidRPr="00836E67">
        <w:t xml:space="preserve">“1. Tr. Manifestar, hacer público. </w:t>
      </w:r>
    </w:p>
    <w:p w:rsidR="004C1DC0" w:rsidRPr="00836E67" w:rsidRDefault="004C1DC0" w:rsidP="004C1DC0">
      <w:pPr>
        <w:pStyle w:val="Citas"/>
      </w:pPr>
      <w:r w:rsidRPr="00836E67">
        <w:t xml:space="preserve">2. Tr. Dicho de quien tiene autoridad para ello: Manifestar una decisión sobre el estado o la condición de alguien o algo. </w:t>
      </w:r>
    </w:p>
    <w:p w:rsidR="004C1DC0" w:rsidRPr="00836E67" w:rsidRDefault="004C1DC0" w:rsidP="004C1DC0">
      <w:pPr>
        <w:pStyle w:val="Citas"/>
      </w:pPr>
      <w:r w:rsidRPr="00836E67">
        <w:t xml:space="preserve">3. Tr. Hacer conocer a la Administración pública la naturaleza y circunstancias del hecho imponible. </w:t>
      </w:r>
    </w:p>
    <w:p w:rsidR="004C1DC0" w:rsidRPr="00836E67" w:rsidRDefault="004C1DC0" w:rsidP="004C1DC0">
      <w:pPr>
        <w:pStyle w:val="Citas"/>
      </w:pPr>
      <w:r w:rsidRPr="00836E67">
        <w:t xml:space="preserve">4. Intr. Manifestar ante el órgano competente hechos con relevancia jurídica. </w:t>
      </w:r>
    </w:p>
    <w:p w:rsidR="004C1DC0" w:rsidRPr="00836E67" w:rsidRDefault="004C1DC0" w:rsidP="004C1DC0">
      <w:pPr>
        <w:pStyle w:val="Citas"/>
        <w:rPr>
          <w:b/>
          <w:bCs/>
        </w:rPr>
      </w:pPr>
      <w:r w:rsidRPr="00836E67">
        <w:t xml:space="preserve">(…)” </w:t>
      </w:r>
      <w:r w:rsidRPr="00836E67">
        <w:rPr>
          <w:b/>
          <w:bCs/>
        </w:rPr>
        <w:t>[Sic]</w:t>
      </w:r>
    </w:p>
    <w:p w:rsidR="004C1DC0" w:rsidRPr="00836E67" w:rsidRDefault="004C1DC0" w:rsidP="004C1DC0">
      <w:pPr>
        <w:pStyle w:val="Citas"/>
        <w:ind w:left="0" w:right="72"/>
        <w:rPr>
          <w:i w:val="0"/>
          <w:iCs/>
          <w:sz w:val="24"/>
          <w:szCs w:val="24"/>
        </w:rPr>
      </w:pPr>
    </w:p>
    <w:p w:rsidR="004C1DC0" w:rsidRPr="00836E67" w:rsidRDefault="004C1DC0" w:rsidP="004C1DC0">
      <w:pPr>
        <w:autoSpaceDE w:val="0"/>
        <w:autoSpaceDN w:val="0"/>
        <w:adjustRightInd w:val="0"/>
        <w:spacing w:line="360" w:lineRule="auto"/>
        <w:jc w:val="both"/>
        <w:rPr>
          <w:rFonts w:ascii="Palatino Linotype" w:hAnsi="Palatino Linotype" w:cs="Tahoma"/>
          <w:b/>
          <w:bCs/>
          <w:u w:val="single"/>
        </w:rPr>
      </w:pPr>
      <w:r w:rsidRPr="00836E67">
        <w:rPr>
          <w:rFonts w:ascii="Palatino Linotype" w:hAnsi="Palatino Linotype" w:cs="Tahoma"/>
        </w:rPr>
        <w:t xml:space="preserve">De manera complementaria, en términos de la Ley de Responsabilidades Administrativas del Estado de México y Municipios, están obligados a presentar las </w:t>
      </w:r>
      <w:r w:rsidRPr="00836E67">
        <w:rPr>
          <w:rFonts w:ascii="Palatino Linotype" w:hAnsi="Palatino Linotype" w:cs="Tahoma"/>
          <w:b/>
          <w:u w:val="single"/>
        </w:rPr>
        <w:t xml:space="preserve">declaraciones de situación </w:t>
      </w:r>
      <w:r w:rsidRPr="00836E67">
        <w:rPr>
          <w:rFonts w:ascii="Palatino Linotype" w:hAnsi="Palatino Linotype" w:cs="Tahoma"/>
          <w:b/>
          <w:bCs/>
          <w:u w:val="single"/>
        </w:rPr>
        <w:t>patrimonial</w:t>
      </w:r>
      <w:r w:rsidRPr="00836E67">
        <w:rPr>
          <w:rFonts w:ascii="Palatino Linotype" w:hAnsi="Palatino Linotype" w:cs="Tahoma"/>
          <w:bCs/>
        </w:rPr>
        <w:t xml:space="preserve"> </w:t>
      </w:r>
      <w:r w:rsidRPr="00836E67">
        <w:rPr>
          <w:rFonts w:ascii="Palatino Linotype" w:hAnsi="Palatino Linotype" w:cs="Tahoma"/>
        </w:rPr>
        <w:t>y de intereses, bajo protesta de decir verdad</w:t>
      </w:r>
      <w:r w:rsidRPr="00836E67">
        <w:rPr>
          <w:rFonts w:ascii="Palatino Linotype" w:hAnsi="Palatino Linotype" w:cs="Tahoma"/>
          <w:u w:val="single"/>
        </w:rPr>
        <w:t xml:space="preserve"> ante la </w:t>
      </w:r>
      <w:r w:rsidRPr="00836E67">
        <w:rPr>
          <w:rFonts w:ascii="Palatino Linotype" w:hAnsi="Palatino Linotype" w:cs="Tahoma"/>
          <w:b/>
          <w:bCs/>
          <w:u w:val="single"/>
        </w:rPr>
        <w:t>Secretaría de la Contraloría</w:t>
      </w:r>
      <w:r w:rsidRPr="00836E67">
        <w:rPr>
          <w:rFonts w:ascii="Palatino Linotype" w:hAnsi="Palatino Linotype" w:cs="Tahoma"/>
          <w:u w:val="single"/>
        </w:rPr>
        <w:t xml:space="preserve"> </w:t>
      </w:r>
      <w:r w:rsidRPr="00836E67">
        <w:rPr>
          <w:rFonts w:ascii="Palatino Linotype" w:hAnsi="Palatino Linotype" w:cs="Tahoma"/>
          <w:b/>
          <w:u w:val="single"/>
        </w:rPr>
        <w:t>(Sujeto Obligado diverso)</w:t>
      </w:r>
      <w:r w:rsidRPr="00836E67">
        <w:rPr>
          <w:rFonts w:ascii="Palatino Linotype" w:hAnsi="Palatino Linotype" w:cs="Tahoma"/>
          <w:u w:val="single"/>
        </w:rPr>
        <w:t xml:space="preserve"> </w:t>
      </w:r>
      <w:r w:rsidRPr="00836E67">
        <w:rPr>
          <w:rFonts w:ascii="Palatino Linotype" w:hAnsi="Palatino Linotype" w:cs="Tahoma"/>
        </w:rPr>
        <w:t xml:space="preserve">o los órganos internos de control, </w:t>
      </w:r>
      <w:r w:rsidRPr="00836E67">
        <w:rPr>
          <w:rFonts w:ascii="Palatino Linotype" w:hAnsi="Palatino Linotype" w:cs="Tahoma"/>
          <w:b/>
          <w:bCs/>
          <w:u w:val="single"/>
        </w:rPr>
        <w:t xml:space="preserve">todos los servidores públicos estatales y municipales, englobando a aquellos adscritos a órganos constitucionalmente autónomos. </w:t>
      </w:r>
    </w:p>
    <w:p w:rsidR="004C1DC0" w:rsidRPr="00836E67" w:rsidRDefault="004C1DC0" w:rsidP="004C1DC0">
      <w:pPr>
        <w:pStyle w:val="INFOEM"/>
      </w:pPr>
      <w:r w:rsidRPr="00836E67">
        <w:rPr>
          <w:b/>
        </w:rPr>
        <w:lastRenderedPageBreak/>
        <w:t>Artículo 33.</w:t>
      </w:r>
      <w:r w:rsidRPr="00836E67">
        <w:t xml:space="preserve"> Estarán obligados a presentar las declaraciones de situación patrimonial y de intereses, bajo protesta de decir verdad </w:t>
      </w:r>
      <w:r w:rsidRPr="00836E67">
        <w:rPr>
          <w:b/>
        </w:rPr>
        <w:t>ante la Secretaría de la Contraloría</w:t>
      </w:r>
      <w:r w:rsidRPr="00836E67">
        <w:t xml:space="preserve"> o los órganos internos de control, todos los servidores públicos estatales y municipales, en los términos previstos en la presente Ley</w:t>
      </w:r>
    </w:p>
    <w:p w:rsidR="004C1DC0" w:rsidRPr="00836E67" w:rsidRDefault="004C1DC0" w:rsidP="004C1DC0">
      <w:pPr>
        <w:spacing w:line="360" w:lineRule="auto"/>
        <w:jc w:val="both"/>
        <w:rPr>
          <w:rFonts w:ascii="Palatino Linotype" w:hAnsi="Palatino Linotype"/>
        </w:rPr>
      </w:pPr>
    </w:p>
    <w:p w:rsidR="004C1DC0" w:rsidRPr="00836E67" w:rsidRDefault="004C1DC0" w:rsidP="004C1DC0">
      <w:pPr>
        <w:pStyle w:val="Prrafodelista"/>
        <w:autoSpaceDE w:val="0"/>
        <w:autoSpaceDN w:val="0"/>
        <w:adjustRightInd w:val="0"/>
        <w:spacing w:line="360" w:lineRule="auto"/>
        <w:ind w:left="0"/>
        <w:jc w:val="both"/>
        <w:rPr>
          <w:rFonts w:ascii="Palatino Linotype" w:hAnsi="Palatino Linotype" w:cs="Arial"/>
        </w:rPr>
      </w:pPr>
      <w:r w:rsidRPr="00836E67">
        <w:rPr>
          <w:rFonts w:ascii="Palatino Linotype" w:eastAsia="Calibri" w:hAnsi="Palatino Linotype" w:cs="Arial"/>
        </w:rPr>
        <w:t>En ese sentido, lo que manifiesta el sujeto obligado se traduce como una expresión en sentido negativo, toda vez que refirió no contar con la información requerida, por lo tanto, dichos requerimientos no pueden obran en los archivos de dicha autoridad, ya que no puede probarse por ser lógica y materialmente imposible, en razón de que, al no haber generado dicha información, no la posee, no administra, y no cuenta con la misma.</w:t>
      </w:r>
    </w:p>
    <w:p w:rsidR="004C1DC0" w:rsidRPr="00836E67" w:rsidRDefault="004C1DC0" w:rsidP="004C1DC0">
      <w:pPr>
        <w:spacing w:line="360" w:lineRule="auto"/>
        <w:ind w:right="51"/>
        <w:jc w:val="both"/>
        <w:rPr>
          <w:rFonts w:ascii="Palatino Linotype" w:hAnsi="Palatino Linotype" w:cs="Arial"/>
        </w:rPr>
      </w:pPr>
    </w:p>
    <w:p w:rsidR="004C1DC0" w:rsidRPr="00836E67" w:rsidRDefault="004C1DC0" w:rsidP="004C1DC0">
      <w:pPr>
        <w:autoSpaceDE w:val="0"/>
        <w:autoSpaceDN w:val="0"/>
        <w:adjustRightInd w:val="0"/>
        <w:spacing w:line="360" w:lineRule="auto"/>
        <w:jc w:val="both"/>
        <w:rPr>
          <w:rFonts w:ascii="Palatino Linotype" w:eastAsia="Calibri" w:hAnsi="Palatino Linotype" w:cs="Arial"/>
        </w:rPr>
      </w:pPr>
      <w:r w:rsidRPr="00836E67">
        <w:rPr>
          <w:rFonts w:ascii="Palatino Linotype" w:eastAsia="Calibri" w:hAnsi="Palatino Linotype" w:cs="Arial"/>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rsidR="004C1DC0" w:rsidRPr="00836E67" w:rsidRDefault="004C1DC0" w:rsidP="004C1DC0">
      <w:pPr>
        <w:spacing w:line="360" w:lineRule="auto"/>
        <w:ind w:right="51"/>
        <w:jc w:val="both"/>
        <w:rPr>
          <w:rFonts w:ascii="Palatino Linotype" w:hAnsi="Palatino Linotype" w:cs="Arial"/>
        </w:rPr>
      </w:pPr>
    </w:p>
    <w:p w:rsidR="004C1DC0" w:rsidRPr="00836E67" w:rsidRDefault="004C1DC0" w:rsidP="004C1DC0">
      <w:pPr>
        <w:autoSpaceDE w:val="0"/>
        <w:autoSpaceDN w:val="0"/>
        <w:adjustRightInd w:val="0"/>
        <w:spacing w:line="360" w:lineRule="auto"/>
        <w:jc w:val="both"/>
        <w:rPr>
          <w:rFonts w:ascii="Palatino Linotype" w:eastAsia="Calibri" w:hAnsi="Palatino Linotype" w:cs="Arial"/>
        </w:rPr>
      </w:pPr>
      <w:r w:rsidRPr="00836E67">
        <w:rPr>
          <w:rFonts w:ascii="Palatino Linotype" w:eastAsia="Calibri" w:hAnsi="Palatino Linotype" w:cs="Arial"/>
        </w:rPr>
        <w:t>Por lo anterior sirve de sustento la Tesis Aislada 267287, emanada por el Máximo Juzgador de la Nación, la cual refiere lo siguiente:</w:t>
      </w:r>
    </w:p>
    <w:p w:rsidR="004C1DC0" w:rsidRPr="00836E67" w:rsidRDefault="004C1DC0" w:rsidP="004C1DC0"/>
    <w:p w:rsidR="004C1DC0" w:rsidRPr="00836E67" w:rsidRDefault="004C1DC0" w:rsidP="004C1DC0">
      <w:pPr>
        <w:shd w:val="clear" w:color="auto" w:fill="FFFFFF"/>
        <w:spacing w:before="120"/>
        <w:ind w:left="851" w:rightChars="386" w:right="926"/>
        <w:jc w:val="both"/>
        <w:rPr>
          <w:rFonts w:ascii="Palatino Linotype" w:eastAsia="Calibri" w:hAnsi="Palatino Linotype"/>
          <w:color w:val="222222"/>
        </w:rPr>
      </w:pPr>
      <w:r w:rsidRPr="00836E67">
        <w:rPr>
          <w:rFonts w:ascii="Palatino Linotype" w:eastAsia="Calibri" w:hAnsi="Palatino Linotype"/>
          <w:b/>
          <w:bCs/>
          <w:i/>
          <w:iCs/>
          <w:color w:val="222222"/>
        </w:rPr>
        <w:t>HECHOS NEGATIVOS, NO SON SUSCEPTIBLES DE DEMOSTRACIÓN. ”</w:t>
      </w:r>
      <w:r w:rsidRPr="00836E67">
        <w:rPr>
          <w:rFonts w:ascii="Palatino Linotype" w:eastAsia="Calibri" w:hAnsi="Palatino Linotype"/>
          <w:i/>
          <w:iCs/>
          <w:color w:val="222222"/>
        </w:rPr>
        <w:t>Tratándose de un hecho negativo, el Juez no tiene por qué invocar prueba alguna de la que se desprenda, ya que es bien sabido que esta clase de hechos no son susceptibles de demostración.</w:t>
      </w:r>
    </w:p>
    <w:p w:rsidR="004C1DC0" w:rsidRPr="00836E67" w:rsidRDefault="004C1DC0" w:rsidP="004C1DC0">
      <w:pPr>
        <w:shd w:val="clear" w:color="auto" w:fill="FFFFFF"/>
        <w:ind w:left="851" w:rightChars="386" w:right="926"/>
        <w:jc w:val="both"/>
        <w:rPr>
          <w:rFonts w:ascii="Palatino Linotype" w:eastAsia="Calibri" w:hAnsi="Palatino Linotype"/>
          <w:i/>
          <w:iCs/>
          <w:color w:val="222222"/>
        </w:rPr>
      </w:pPr>
      <w:r w:rsidRPr="00836E67">
        <w:rPr>
          <w:rFonts w:ascii="Palatino Linotype" w:eastAsia="Calibri" w:hAnsi="Palatino Linotype"/>
          <w:i/>
          <w:iCs/>
          <w:color w:val="222222"/>
        </w:rPr>
        <w:t>Amparo en revisión 2022/61. José García Florín (Menor). 9 de octubre de 1961. Cinco votos. Ponente: José Rivera Pérez Campos.”</w:t>
      </w:r>
    </w:p>
    <w:p w:rsidR="004C1DC0" w:rsidRPr="00836E67" w:rsidRDefault="004C1DC0" w:rsidP="004C1DC0">
      <w:pPr>
        <w:rPr>
          <w:sz w:val="14"/>
        </w:rPr>
      </w:pPr>
    </w:p>
    <w:p w:rsidR="004C1DC0" w:rsidRPr="00836E67" w:rsidRDefault="004C1DC0" w:rsidP="004C1DC0">
      <w:pPr>
        <w:autoSpaceDE w:val="0"/>
        <w:autoSpaceDN w:val="0"/>
        <w:adjustRightInd w:val="0"/>
        <w:spacing w:before="240" w:line="360" w:lineRule="auto"/>
        <w:jc w:val="both"/>
        <w:rPr>
          <w:rFonts w:ascii="Palatino Linotype" w:eastAsia="Calibri" w:hAnsi="Palatino Linotype" w:cs="Arial"/>
        </w:rPr>
      </w:pPr>
      <w:r w:rsidRPr="00836E67">
        <w:rPr>
          <w:rFonts w:ascii="Palatino Linotype" w:eastAsia="Calibri" w:hAnsi="Palatino Linotype" w:cs="Arial"/>
        </w:rPr>
        <w:lastRenderedPageBreak/>
        <w:t>De igual forma viene a colación el Criterio 7/2017, emitido por el Instituto Nacional de Transparencia, Acceso a la Información y Protección de Datos Personales, cuyo texto se transcribe a continuación:</w:t>
      </w:r>
    </w:p>
    <w:p w:rsidR="004C1DC0" w:rsidRPr="00836E67" w:rsidRDefault="004C1DC0" w:rsidP="004C1DC0">
      <w:pPr>
        <w:tabs>
          <w:tab w:val="left" w:pos="851"/>
        </w:tabs>
        <w:spacing w:before="240" w:after="240" w:line="276" w:lineRule="auto"/>
        <w:ind w:left="851" w:right="850"/>
        <w:jc w:val="both"/>
        <w:rPr>
          <w:i/>
          <w:color w:val="222222"/>
        </w:rPr>
      </w:pPr>
      <w:r w:rsidRPr="00836E67">
        <w:rPr>
          <w:rFonts w:ascii="Palatino Linotype" w:hAnsi="Palatino Linotype"/>
          <w:b/>
          <w:i/>
          <w:color w:val="222222"/>
        </w:rPr>
        <w:t>Casos en los que no es necesario que el Comité de Transparencia confirme formalmente la inexistencia de la información.</w:t>
      </w:r>
      <w:r w:rsidRPr="00836E67">
        <w:rPr>
          <w:rFonts w:ascii="Palatino Linotype" w:hAnsi="Palatino Linotype"/>
          <w:i/>
          <w:color w:val="2222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836E67">
        <w:rPr>
          <w:i/>
          <w:color w:val="222222"/>
        </w:rPr>
        <w:t>.</w:t>
      </w:r>
    </w:p>
    <w:p w:rsidR="004C1DC0" w:rsidRPr="00836E67" w:rsidRDefault="004C1DC0" w:rsidP="004C1DC0">
      <w:pPr>
        <w:autoSpaceDE w:val="0"/>
        <w:autoSpaceDN w:val="0"/>
        <w:adjustRightInd w:val="0"/>
        <w:spacing w:line="360" w:lineRule="auto"/>
        <w:jc w:val="both"/>
        <w:rPr>
          <w:rFonts w:ascii="Palatino Linotype" w:hAnsi="Palatino Linotype" w:cs="Arial"/>
        </w:rPr>
      </w:pPr>
      <w:r w:rsidRPr="00836E67">
        <w:rPr>
          <w:rFonts w:ascii="Palatino Linotype" w:hAnsi="Palatino Linotype" w:cs="Arial"/>
        </w:rPr>
        <w:t>Por otro lado, conforme a las tablas de aplicabilidad y de actualización, se tiene lo siguiente:</w:t>
      </w:r>
    </w:p>
    <w:p w:rsidR="004C1DC0" w:rsidRPr="00836E67" w:rsidRDefault="004C1DC0" w:rsidP="004C1DC0">
      <w:pPr>
        <w:autoSpaceDE w:val="0"/>
        <w:autoSpaceDN w:val="0"/>
        <w:adjustRightInd w:val="0"/>
        <w:spacing w:line="360" w:lineRule="auto"/>
        <w:jc w:val="both"/>
        <w:rPr>
          <w:rFonts w:ascii="Palatino Linotype" w:hAnsi="Palatino Linotype" w:cs="Arial"/>
        </w:rPr>
      </w:pPr>
      <w:r w:rsidRPr="00836E67">
        <w:rPr>
          <w:rFonts w:ascii="Palatino Linotype" w:hAnsi="Palatino Linotype" w:cs="Arial"/>
          <w:noProof/>
          <w:lang w:val="es-MX" w:eastAsia="es-MX"/>
        </w:rPr>
        <w:lastRenderedPageBreak/>
        <w:drawing>
          <wp:inline distT="0" distB="0" distL="0" distR="0" wp14:anchorId="350CB937" wp14:editId="442A4B2C">
            <wp:extent cx="5791835" cy="2592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C873B.tmp"/>
                    <pic:cNvPicPr/>
                  </pic:nvPicPr>
                  <pic:blipFill>
                    <a:blip r:embed="rId7">
                      <a:extLst>
                        <a:ext uri="{28A0092B-C50C-407E-A947-70E740481C1C}">
                          <a14:useLocalDpi xmlns:a14="http://schemas.microsoft.com/office/drawing/2010/main" val="0"/>
                        </a:ext>
                      </a:extLst>
                    </a:blip>
                    <a:stretch>
                      <a:fillRect/>
                    </a:stretch>
                  </pic:blipFill>
                  <pic:spPr>
                    <a:xfrm>
                      <a:off x="0" y="0"/>
                      <a:ext cx="5791835" cy="2592705"/>
                    </a:xfrm>
                    <a:prstGeom prst="rect">
                      <a:avLst/>
                    </a:prstGeom>
                  </pic:spPr>
                </pic:pic>
              </a:graphicData>
            </a:graphic>
          </wp:inline>
        </w:drawing>
      </w:r>
    </w:p>
    <w:p w:rsidR="004C1DC0" w:rsidRPr="00836E67" w:rsidRDefault="004C1DC0" w:rsidP="004C1DC0">
      <w:pPr>
        <w:autoSpaceDE w:val="0"/>
        <w:autoSpaceDN w:val="0"/>
        <w:adjustRightInd w:val="0"/>
        <w:spacing w:line="360" w:lineRule="auto"/>
        <w:jc w:val="both"/>
        <w:rPr>
          <w:rFonts w:ascii="Palatino Linotype" w:hAnsi="Palatino Linotype" w:cs="Arial"/>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 xml:space="preserve">Es con base en lo señalado previamente, que podemos concretar que únicamente corresponde a la Contraloría Municipal el de verificar que los servidores públicos municipales cumplan con la obligación de presentar oportunamente la declaración de situación patrimonial; asimismo no se encuentra constreñido a tener disponible la información relacionada con las declaraciones de los servidores públicos, materia de la presente solicitud. </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Ahora bien, es importante señalar que el artículo 32 de la Ley General de Responsabilidades Administrativas, establece:</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“Artículo 32. 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lastRenderedPageBreak/>
        <w:t xml:space="preserve">Por lo anterior, se entiende por servidor público a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 </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 xml:space="preserve">Es así que, la obligación de presentar su declaración de situación patrimonial, es exclusiva de aquellas personas que desempeñen un empleo, cargo o comisión en los entes públicos, en el ámbito federal y local. </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Aunado a lo anterior, la Ley de Responsabilidades Administrativas del Estado de México y Municipios establece en el artículo 2 fracción VI que tiene como objeto establecer las 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“Artículo 33.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Asimismo, deberán presentar su declaración fiscal anual, en los términos que disponga la legislación de la materia.</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Artículo 34. La declaración de situación patrimonial, deberá presentarse en los siguientes plazos: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lastRenderedPageBreak/>
        <w:t xml:space="preserve">I. Declaración inicial, dentro de los sesenta días naturales siguientes a la toma de posesión con motivo del: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a) Ingreso al servicio público por primera vez.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b) Reingreso al servicio público después de sesenta días naturales de la conclusión de su último encargo.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II. Declaración de modificación patrimonial, durante el mes de mayo de cada año.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III. Declaración de conclusión del encargo, dentro de los sesenta días naturales siguientes a la conclusión.</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En el caso de cambio de dependencia o ente público en el mismo orden de gobierno, únicamente se dará aviso de dicha situación y no será necesario presentar la declaración de conclusión.</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w:t>
      </w:r>
      <w:r w:rsidRPr="00836E67">
        <w:rPr>
          <w:rFonts w:ascii="Palatino Linotype" w:eastAsia="Calibri" w:hAnsi="Palatino Linotype" w:cs="Calibri"/>
          <w:i/>
          <w:lang w:val="es-ES_tradnl" w:eastAsia="es-MX"/>
        </w:rPr>
        <w:cr/>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Artículo 35. La declaración de situación patrimonial, deberá ser presentada a través de medios electrónicos, empleándose medios de identificación electrónica.</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La Secretaría de la Contraloría tendrá a su cargo el sistema de certificación de los medios de identificación electrónica que utilicen los servidores públicos y llevará el control de dicho medio.</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lastRenderedPageBreak/>
        <w:t>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 xml:space="preserve">De los dispositivos legales en comento se establece de manera precisa y concreta quienes son los servidores públicos obligados a presentar la declaración de situación patrimonial, así como los plazos en que deben de cumplir con el deber que les impone la Ley de Responsabilidades Administrativas, del mismo modo se precisa que para el caso de la declaración patrimonial, la misma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w:t>
      </w:r>
      <w:r w:rsidRPr="00836E67">
        <w:rPr>
          <w:rFonts w:ascii="Palatino Linotype" w:eastAsia="Calibri" w:hAnsi="Palatino Linotype" w:cs="Calibri"/>
          <w:lang w:val="es-ES_tradnl" w:eastAsia="es-MX"/>
        </w:rPr>
        <w:lastRenderedPageBreak/>
        <w:t xml:space="preserve">presentación de la constancia de declaración fiscal, resaltando que la Secretaría de la Contraloría tendrá a su cargo el sistema de certificación de los medios de identificación electrónica que utilicen los servidores públicos y llevará el control de dicho medio. </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“Artículo 24. A la Dirección General de Responsabilidades Administrativas, corresponden las atribuciones siguientes: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I a V</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VI. Recibir las declaraciones de situación patrimonial, de intereses y el acuse de la presentación de la declaración fiscal de los servidores públicos de la Administración Pública Estatal y Municipal;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 xml:space="preserve">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 </w:t>
      </w:r>
    </w:p>
    <w:p w:rsidR="009F5860" w:rsidRPr="00836E67" w:rsidRDefault="009F5860" w:rsidP="009F5860">
      <w:pPr>
        <w:pBdr>
          <w:top w:val="nil"/>
          <w:left w:val="nil"/>
          <w:bottom w:val="nil"/>
          <w:right w:val="nil"/>
          <w:between w:val="nil"/>
        </w:pBdr>
        <w:spacing w:line="276" w:lineRule="auto"/>
        <w:ind w:left="567" w:right="851"/>
        <w:jc w:val="both"/>
        <w:rPr>
          <w:rFonts w:ascii="Palatino Linotype" w:eastAsia="Calibri" w:hAnsi="Palatino Linotype" w:cs="Calibri"/>
          <w:i/>
          <w:lang w:val="es-ES_tradnl" w:eastAsia="es-MX"/>
        </w:rPr>
      </w:pPr>
      <w:r w:rsidRPr="00836E67">
        <w:rPr>
          <w:rFonts w:ascii="Palatino Linotype" w:eastAsia="Calibri" w:hAnsi="Palatino Linotype" w:cs="Calibri"/>
          <w:i/>
          <w:lang w:val="es-ES_tradnl" w:eastAsia="es-MX"/>
        </w:rPr>
        <w:t>VIII a XLII…”</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Arial"/>
          <w:lang w:val="es-ES_tradnl" w:eastAsia="es-MX"/>
        </w:rPr>
      </w:pPr>
      <w:r w:rsidRPr="00836E67">
        <w:rPr>
          <w:rFonts w:ascii="Palatino Linotype" w:eastAsia="Calibri" w:hAnsi="Palatino Linotype" w:cs="Arial"/>
          <w:lang w:val="es-ES_tradnl" w:eastAsia="es-MX"/>
        </w:rPr>
        <w:t xml:space="preserve">Así que, de los preceptos legales referidos, se advierte que a la Secretaría de la Contraloría le corresponde en a través de la Dirección General de Responsabilidades </w:t>
      </w:r>
      <w:r w:rsidRPr="00836E67">
        <w:rPr>
          <w:rFonts w:ascii="Palatino Linotype" w:eastAsia="Calibri" w:hAnsi="Palatino Linotype" w:cs="Arial"/>
          <w:lang w:val="es-ES_tradnl" w:eastAsia="es-MX"/>
        </w:rPr>
        <w:lastRenderedPageBreak/>
        <w:t>Administrativas, recibir, registrar y resguardar las declaraciones fiscales de los servidores públicos de la Administración Pública Estatal y Municipal.</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Arial"/>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noProof/>
          <w:lang w:val="es-MX" w:eastAsia="es-MX"/>
        </w:rPr>
        <w:t xml:space="preserve">Bajo esta línea de pensamiento resulta importante señalar que </w:t>
      </w:r>
      <w:r w:rsidRPr="00836E67">
        <w:rPr>
          <w:rFonts w:ascii="Palatino Linotype" w:eastAsia="Calibri" w:hAnsi="Palatino Linotype" w:cs="Calibri"/>
          <w:lang w:val="es-ES_tradnl" w:eastAsia="es-MX"/>
        </w:rPr>
        <w:t xml:space="preserve">respecto de la Declaración Patrimonial, este Instituto advirtió que en la página oficial de la Secretaría de la Contraloría, en el apartado de Declaración Patrimonial y de Intereses, consultada en la liga electrónica </w:t>
      </w:r>
      <w:hyperlink r:id="rId8" w:history="1">
        <w:r w:rsidRPr="00836E67">
          <w:rPr>
            <w:rFonts w:ascii="Palatino Linotype" w:eastAsia="Calibri" w:hAnsi="Palatino Linotype" w:cs="Calibri"/>
            <w:color w:val="0563C1" w:themeColor="hyperlink"/>
            <w:u w:val="single"/>
            <w:lang w:val="es-ES_tradnl" w:eastAsia="es-MX"/>
          </w:rPr>
          <w:t>https://portal.secogem.gob.mx/declaranet</w:t>
        </w:r>
      </w:hyperlink>
      <w:r w:rsidRPr="00836E67">
        <w:rPr>
          <w:rFonts w:ascii="Palatino Linotype" w:eastAsia="Calibri" w:hAnsi="Palatino Linotype" w:cs="Calibri"/>
          <w:lang w:val="es-ES_tradnl" w:eastAsia="es-MX"/>
        </w:rPr>
        <w:t>, precisa que dicha dependencia ofrece el portal Decl@ranet, con la finalidad de facilitar a los servidores públicos del Estado de México, presenten su Declaración de Situación Patrimonial, Declaración de Intereses o Posible Conflicto de Intereses y presentación de Constancia de Declaración Fiscal.</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noProof/>
          <w:lang w:val="es-MX" w:eastAsia="es-MX"/>
        </w:rPr>
        <w:drawing>
          <wp:inline distT="0" distB="0" distL="0" distR="0" wp14:anchorId="614CB267" wp14:editId="566503BD">
            <wp:extent cx="5562600" cy="4137087"/>
            <wp:effectExtent l="19050" t="19050" r="19050" b="158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16" t="6675" r="3914" b="12318"/>
                    <a:stretch/>
                  </pic:blipFill>
                  <pic:spPr bwMode="auto">
                    <a:xfrm>
                      <a:off x="0" y="0"/>
                      <a:ext cx="5576819" cy="4147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lastRenderedPageBreak/>
        <w:t xml:space="preserve">Además, que en dicho portal se </w:t>
      </w:r>
      <w:hyperlink r:id="rId10" w:history="1"/>
      <w:r w:rsidRPr="00836E67">
        <w:rPr>
          <w:rFonts w:ascii="Palatino Linotype" w:eastAsia="Calibri" w:hAnsi="Palatino Linotype" w:cs="Calibri"/>
          <w:lang w:val="es-ES_tradnl" w:eastAsia="es-MX"/>
        </w:rPr>
        <w:t xml:space="preserve"> precisa que el sistema Decl@ranet, </w:t>
      </w:r>
      <w:r w:rsidRPr="00836E67">
        <w:rPr>
          <w:rFonts w:ascii="Palatino Linotype" w:eastAsia="Calibri" w:hAnsi="Palatino Linotype" w:cs="Calibri"/>
          <w:b/>
          <w:lang w:val="es-ES_tradnl" w:eastAsia="es-MX"/>
        </w:rPr>
        <w:t>es administrado por la Secretaría de la Contraloría,</w:t>
      </w:r>
      <w:r w:rsidRPr="00836E67">
        <w:rPr>
          <w:rFonts w:ascii="Palatino Linotype" w:eastAsia="Calibri" w:hAnsi="Palatino Linotype" w:cs="Calibri"/>
          <w:lang w:val="es-ES_tradnl" w:eastAsia="es-MX"/>
        </w:rPr>
        <w:t xml:space="preserve"> y cuyo fin es que los servidores públicos del Estado de México, presenten su presenten su Declaración de Situación Patrimonial, Declaración de Intereses o Posible Conflicto de Intereses y presentación de Constancia de Declaración Fiscal.</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Como se logra observar, el Sistema Decl@ranet</w:t>
      </w:r>
      <w:r w:rsidRPr="00836E67">
        <w:rPr>
          <w:rFonts w:ascii="Palatino Linotype" w:eastAsia="Calibri" w:hAnsi="Palatino Linotype" w:cs="Calibri"/>
          <w:b/>
          <w:lang w:val="es-ES_tradnl" w:eastAsia="es-MX"/>
        </w:rPr>
        <w:t>, es operado únicamente por la Secretaría de la Contraloría, por lo que, es la única dependencia que tiene acceso a las declaraciones presentadas por dicha plataforma</w:t>
      </w:r>
      <w:r w:rsidRPr="00836E67">
        <w:rPr>
          <w:rFonts w:ascii="Palatino Linotype" w:eastAsia="Calibri" w:hAnsi="Palatino Linotype" w:cs="Calibri"/>
          <w:lang w:val="es-ES_tradnl" w:eastAsia="es-MX"/>
        </w:rPr>
        <w:t>; situación que se robustece con el Manual General de Organización de la Secretaría de la Contraloría, que señala que dicha dependencia cuenta con diversas unidades administrativas para el ejercicio de sus funciones, entre las cuales se encuentra el Departamento de Recepción y Análisis de Manifestación de Bienes y Declaración de Intereses, encargado de realizar la recepción, registro y resguardo de las declaraciones de situación patrimonial de los servidores públicos de las Administraciones Públicas Estatal y Municipal.</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 xml:space="preserve">En ese orden de ideas,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al tenerse por acreditado que los Ayuntamientos </w:t>
      </w:r>
      <w:r w:rsidRPr="00836E67">
        <w:rPr>
          <w:rFonts w:ascii="Palatino Linotype" w:eastAsia="Calibri" w:hAnsi="Palatino Linotype" w:cs="Calibri"/>
          <w:b/>
          <w:lang w:val="es-ES_tradnl" w:eastAsia="es-MX"/>
        </w:rPr>
        <w:t xml:space="preserve">únicamente verifican el cumplimiento de entrega de las declaraciones patrimoniales, sin que ellos funjan como intermediarios en la recepción y posterior entrega de las mismas ante la Secretaría de la Contraloría del Gobierno del Estado </w:t>
      </w:r>
      <w:r w:rsidRPr="00836E67">
        <w:rPr>
          <w:rFonts w:ascii="Palatino Linotype" w:eastAsia="Calibri" w:hAnsi="Palatino Linotype" w:cs="Calibri"/>
          <w:b/>
          <w:lang w:val="es-ES_tradnl" w:eastAsia="es-MX"/>
        </w:rPr>
        <w:lastRenderedPageBreak/>
        <w:t>de México</w:t>
      </w:r>
      <w:r w:rsidRPr="00836E67">
        <w:rPr>
          <w:rFonts w:ascii="Palatino Linotype" w:eastAsia="Calibri" w:hAnsi="Palatino Linotype" w:cs="Calibri"/>
          <w:lang w:val="es-ES_tradnl" w:eastAsia="es-MX"/>
        </w:rPr>
        <w:t xml:space="preserve">, es fácticamente imposible que el </w:t>
      </w:r>
      <w:r w:rsidRPr="00836E67">
        <w:rPr>
          <w:rFonts w:ascii="Palatino Linotype" w:eastAsia="Calibri" w:hAnsi="Palatino Linotype" w:cs="Calibri"/>
          <w:b/>
          <w:lang w:val="es-ES_tradnl" w:eastAsia="es-MX"/>
        </w:rPr>
        <w:t>Sujeto Obligado,</w:t>
      </w:r>
      <w:r w:rsidRPr="00836E67">
        <w:rPr>
          <w:rFonts w:ascii="Palatino Linotype" w:eastAsia="Calibri" w:hAnsi="Palatino Linotype" w:cs="Calibri"/>
          <w:lang w:val="es-ES_tradnl" w:eastAsia="es-MX"/>
        </w:rPr>
        <w:t xml:space="preserve"> haga entrega de información que no genera, administra o posee en ejercicio de sus atribuciones.</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 xml:space="preserve">Conforme a lo anterior, se logra vislumbrar que el Sujeto Obligado es incompetente para conocer de la información solicitada, pues el encargado de recibir, registrar y resguardar las declaraciones patrimoniales de los Ayuntamientos, incluyendo al Sujeto Obligado, es únicamente la Secretaría de la Contraloría. </w:t>
      </w: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p>
    <w:p w:rsidR="009F5860" w:rsidRPr="00836E67" w:rsidRDefault="009F5860" w:rsidP="009F5860">
      <w:pPr>
        <w:pBdr>
          <w:top w:val="nil"/>
          <w:left w:val="nil"/>
          <w:bottom w:val="nil"/>
          <w:right w:val="nil"/>
          <w:between w:val="nil"/>
        </w:pBdr>
        <w:spacing w:line="360" w:lineRule="auto"/>
        <w:ind w:right="49"/>
        <w:jc w:val="both"/>
        <w:rPr>
          <w:rFonts w:ascii="Palatino Linotype" w:eastAsia="Calibri" w:hAnsi="Palatino Linotype" w:cs="Calibri"/>
          <w:lang w:val="es-ES_tradnl" w:eastAsia="es-MX"/>
        </w:rPr>
      </w:pPr>
      <w:r w:rsidRPr="00836E67">
        <w:rPr>
          <w:rFonts w:ascii="Palatino Linotype" w:eastAsia="Calibri" w:hAnsi="Palatino Linotype" w:cs="Calibri"/>
          <w:lang w:val="es-ES_tradnl" w:eastAsia="es-MX"/>
        </w:rPr>
        <w:t>Al respecto, en el presente caso, la incompetencia parcial es notoria, pues de las atribuciones del Ente Recurrido, no se localizó ninguna donde se advierta que pueda contar con lo solicitado, también lo es que el Sujeto Obligado lo manifestó en respuesta.</w:t>
      </w:r>
    </w:p>
    <w:p w:rsidR="006F5A68" w:rsidRPr="00836E67" w:rsidRDefault="006F5A68" w:rsidP="004C1DC0">
      <w:pPr>
        <w:autoSpaceDE w:val="0"/>
        <w:autoSpaceDN w:val="0"/>
        <w:adjustRightInd w:val="0"/>
        <w:spacing w:line="360" w:lineRule="auto"/>
        <w:jc w:val="both"/>
        <w:rPr>
          <w:rFonts w:ascii="Palatino Linotype" w:hAnsi="Palatino Linotype" w:cs="Arial"/>
        </w:rPr>
      </w:pPr>
    </w:p>
    <w:p w:rsidR="006F5A68" w:rsidRPr="00836E67" w:rsidRDefault="006F5A68" w:rsidP="006F5A68">
      <w:pPr>
        <w:autoSpaceDE w:val="0"/>
        <w:autoSpaceDN w:val="0"/>
        <w:adjustRightInd w:val="0"/>
        <w:spacing w:line="360" w:lineRule="auto"/>
        <w:jc w:val="both"/>
        <w:rPr>
          <w:rFonts w:ascii="Palatino Linotype" w:eastAsia="Calibri" w:hAnsi="Palatino Linotype" w:cs="Arial"/>
          <w:lang w:val="es-ES_tradnl" w:eastAsia="es-MX"/>
        </w:rPr>
      </w:pPr>
      <w:r w:rsidRPr="00836E67">
        <w:rPr>
          <w:rFonts w:ascii="Palatino Linotype" w:hAnsi="Palatino Linotype" w:cs="Arial"/>
        </w:rPr>
        <w:t xml:space="preserve">Por otro lado, los documentos que dan cuenta de la información requerida en los requerimientos </w:t>
      </w:r>
      <w:r w:rsidRPr="00836E67">
        <w:rPr>
          <w:rFonts w:ascii="Palatino Linotype" w:hAnsi="Palatino Linotype" w:cs="Arial"/>
          <w:b/>
          <w:i/>
          <w:u w:val="single"/>
        </w:rPr>
        <w:t>1, 2, 3 y 5,</w:t>
      </w:r>
      <w:r w:rsidRPr="00836E67">
        <w:rPr>
          <w:rFonts w:ascii="Palatino Linotype" w:hAnsi="Palatino Linotype" w:cs="Arial"/>
          <w:u w:val="single"/>
        </w:rPr>
        <w:t xml:space="preserve"> </w:t>
      </w:r>
      <w:r w:rsidRPr="00836E67">
        <w:rPr>
          <w:rFonts w:ascii="Palatino Linotype" w:hAnsi="Palatino Linotype" w:cs="Arial"/>
          <w:b/>
          <w:u w:val="single"/>
        </w:rPr>
        <w:t>son el contrato, nombramiento, formato único de movimiento de personal y/o CFDI por concepto de nómina</w:t>
      </w:r>
      <w:r w:rsidRPr="00836E67">
        <w:rPr>
          <w:rFonts w:ascii="Palatino Linotype" w:hAnsi="Palatino Linotype" w:cs="Arial"/>
        </w:rPr>
        <w:t xml:space="preserve"> (recibos de nómina)</w:t>
      </w:r>
      <w:r w:rsidRPr="00836E67">
        <w:rPr>
          <w:rFonts w:ascii="Palatino Linotype" w:eastAsia="Calibri" w:hAnsi="Palatino Linotype" w:cs="Arial"/>
          <w:lang w:val="es-ES_tradnl" w:eastAsia="es-MX"/>
        </w:rPr>
        <w:t xml:space="preserve">,  resulta oportuno traer a colación lo establecido en </w:t>
      </w:r>
      <w:r w:rsidRPr="00836E67">
        <w:rPr>
          <w:rFonts w:ascii="Palatino Linotype" w:eastAsia="Calibri" w:hAnsi="Palatino Linotype" w:cs="Tahoma"/>
          <w:bCs/>
          <w:lang w:val="es-ES_tradnl" w:eastAsia="es-MX"/>
        </w:rPr>
        <w:t>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rsidR="006F5A68" w:rsidRPr="00836E67" w:rsidRDefault="006F5A68" w:rsidP="006F5A68">
      <w:pPr>
        <w:rPr>
          <w:rFonts w:asciiTheme="minorHAnsi" w:eastAsia="Calibri" w:hAnsiTheme="minorHAnsi" w:cstheme="minorBidi"/>
          <w:sz w:val="22"/>
          <w:szCs w:val="22"/>
          <w:lang w:val="es-MX" w:eastAsia="en-US"/>
          <w14:ligatures w14:val="standardContextual"/>
        </w:rPr>
      </w:pPr>
    </w:p>
    <w:p w:rsidR="006F5A68" w:rsidRPr="00836E67" w:rsidRDefault="006F5A68" w:rsidP="006F5A68">
      <w:pPr>
        <w:spacing w:line="360" w:lineRule="auto"/>
        <w:ind w:left="567" w:right="708"/>
        <w:jc w:val="both"/>
        <w:rPr>
          <w:rFonts w:ascii="Palatino Linotype" w:eastAsia="Calibri" w:hAnsi="Palatino Linotype" w:cs="Tahoma"/>
          <w:bCs/>
          <w:i/>
          <w:szCs w:val="22"/>
          <w:lang w:val="es-ES_tradnl" w:eastAsia="es-MX"/>
        </w:rPr>
      </w:pPr>
      <w:r w:rsidRPr="00836E67">
        <w:rPr>
          <w:rFonts w:ascii="Palatino Linotype" w:eastAsia="Calibri" w:hAnsi="Palatino Linotype" w:cs="Tahoma"/>
          <w:b/>
          <w:bCs/>
          <w:i/>
          <w:szCs w:val="22"/>
          <w:lang w:val="es-ES_tradnl" w:eastAsia="es-MX"/>
        </w:rPr>
        <w:t>ARTÍCULO 5.-</w:t>
      </w:r>
      <w:r w:rsidRPr="00836E67">
        <w:rPr>
          <w:rFonts w:ascii="Palatino Linotype" w:eastAsia="Calibri" w:hAnsi="Palatino Linotype" w:cs="Tahoma"/>
          <w:bCs/>
          <w:i/>
          <w:szCs w:val="22"/>
          <w:lang w:val="es-ES_tradnl" w:eastAsia="es-MX"/>
        </w:rPr>
        <w:t xml:space="preserve"> </w:t>
      </w:r>
      <w:r w:rsidRPr="00836E67">
        <w:rPr>
          <w:rFonts w:ascii="Palatino Linotype" w:eastAsia="Calibri" w:hAnsi="Palatino Linotype" w:cs="Tahoma"/>
          <w:b/>
          <w:bCs/>
          <w:i/>
          <w:szCs w:val="22"/>
          <w:lang w:val="es-ES_tradnl" w:eastAsia="es-MX"/>
        </w:rPr>
        <w:t xml:space="preserve">La relación de trabajo entre las instituciones públicas y sus servidores públicos se entiende establecida mediante </w:t>
      </w:r>
      <w:r w:rsidRPr="00836E67">
        <w:rPr>
          <w:rFonts w:ascii="Palatino Linotype" w:eastAsia="Calibri" w:hAnsi="Palatino Linotype" w:cs="Tahoma"/>
          <w:b/>
          <w:i/>
          <w:szCs w:val="22"/>
          <w:u w:val="single"/>
          <w:lang w:val="es-ES_tradnl" w:eastAsia="es-MX"/>
        </w:rPr>
        <w:t>nombramiento</w:t>
      </w:r>
      <w:r w:rsidRPr="00836E67">
        <w:rPr>
          <w:rFonts w:ascii="Palatino Linotype" w:eastAsia="Calibri" w:hAnsi="Palatino Linotype" w:cs="Tahoma"/>
          <w:b/>
          <w:bCs/>
          <w:i/>
          <w:szCs w:val="22"/>
          <w:u w:val="single"/>
          <w:lang w:val="es-ES_tradnl" w:eastAsia="es-MX"/>
        </w:rPr>
        <w:t>, formato único de movimiento de personal,</w:t>
      </w:r>
      <w:r w:rsidRPr="00836E67">
        <w:rPr>
          <w:rFonts w:ascii="Palatino Linotype" w:eastAsia="Calibri" w:hAnsi="Palatino Linotype" w:cs="Tahoma"/>
          <w:bCs/>
          <w:i/>
          <w:szCs w:val="22"/>
          <w:lang w:val="es-ES_tradnl" w:eastAsia="es-MX"/>
        </w:rPr>
        <w:t xml:space="preserve"> </w:t>
      </w:r>
      <w:r w:rsidRPr="00836E67">
        <w:rPr>
          <w:rFonts w:ascii="Palatino Linotype" w:eastAsia="Calibri" w:hAnsi="Palatino Linotype" w:cs="Tahoma"/>
          <w:b/>
          <w:i/>
          <w:szCs w:val="22"/>
          <w:u w:val="single"/>
          <w:lang w:val="es-ES_tradnl" w:eastAsia="es-MX"/>
        </w:rPr>
        <w:t xml:space="preserve">contrato o por cualquier otro </w:t>
      </w:r>
      <w:r w:rsidRPr="00836E67">
        <w:rPr>
          <w:rFonts w:ascii="Palatino Linotype" w:eastAsia="Calibri" w:hAnsi="Palatino Linotype" w:cs="Tahoma"/>
          <w:b/>
          <w:i/>
          <w:szCs w:val="22"/>
          <w:u w:val="single"/>
          <w:lang w:val="es-ES_tradnl" w:eastAsia="es-MX"/>
        </w:rPr>
        <w:lastRenderedPageBreak/>
        <w:t>acto que tenga como consecuencia la prestación personal subordinada del servicio y la percepción de un sueldo</w:t>
      </w:r>
      <w:r w:rsidRPr="00836E67">
        <w:rPr>
          <w:rFonts w:ascii="Palatino Linotype" w:eastAsia="Calibri" w:hAnsi="Palatino Linotype" w:cs="Tahoma"/>
          <w:bCs/>
          <w:i/>
          <w:szCs w:val="22"/>
          <w:lang w:val="es-ES_tradnl" w:eastAsia="es-MX"/>
        </w:rPr>
        <w:t>.</w:t>
      </w:r>
    </w:p>
    <w:p w:rsidR="006F5A68" w:rsidRPr="00836E67" w:rsidRDefault="006F5A68" w:rsidP="006F5A68">
      <w:pPr>
        <w:spacing w:line="360" w:lineRule="auto"/>
        <w:ind w:right="708"/>
        <w:jc w:val="both"/>
        <w:rPr>
          <w:rFonts w:ascii="Palatino Linotype" w:eastAsia="Calibri" w:hAnsi="Palatino Linotype" w:cs="Tahoma"/>
          <w:bCs/>
          <w:i/>
          <w:szCs w:val="22"/>
          <w:lang w:val="es-ES_tradnl" w:eastAsia="es-MX"/>
        </w:rPr>
      </w:pPr>
    </w:p>
    <w:p w:rsidR="006F5A68" w:rsidRPr="00836E67" w:rsidRDefault="006F5A68" w:rsidP="006F5A68">
      <w:pPr>
        <w:spacing w:line="360" w:lineRule="auto"/>
        <w:ind w:left="567"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bCs/>
          <w:i/>
          <w:szCs w:val="22"/>
          <w:lang w:val="es-ES_tradnl" w:eastAsia="es-MX"/>
        </w:rPr>
        <w:t>Para los efectos de esta ley, las instituciones públicas estarán representadas por sus titulares.</w:t>
      </w:r>
      <w:r w:rsidRPr="00836E67">
        <w:rPr>
          <w:rFonts w:ascii="Palatino Linotype" w:eastAsia="Calibri" w:hAnsi="Palatino Linotype" w:cs="Tahoma"/>
          <w:bCs/>
          <w:i/>
          <w:szCs w:val="22"/>
          <w:lang w:val="es-ES_tradnl" w:eastAsia="es-MX"/>
        </w:rPr>
        <w:cr/>
        <w:t>(</w:t>
      </w:r>
      <w:r w:rsidRPr="00836E67">
        <w:rPr>
          <w:rFonts w:ascii="Palatino Linotype" w:eastAsia="Calibri" w:hAnsi="Palatino Linotype" w:cs="Tahoma"/>
          <w:i/>
          <w:szCs w:val="22"/>
          <w:lang w:val="es-ES_tradnl" w:eastAsia="es-MX"/>
        </w:rPr>
        <w:t xml:space="preserve">…) </w:t>
      </w:r>
    </w:p>
    <w:p w:rsidR="006F5A68" w:rsidRPr="00836E67" w:rsidRDefault="006F5A68" w:rsidP="006F5A68">
      <w:pPr>
        <w:spacing w:line="360" w:lineRule="auto"/>
        <w:ind w:left="709" w:right="708"/>
        <w:jc w:val="center"/>
        <w:rPr>
          <w:rFonts w:ascii="Palatino Linotype" w:eastAsia="Calibri" w:hAnsi="Palatino Linotype" w:cs="Tahoma"/>
          <w:b/>
          <w:i/>
          <w:szCs w:val="22"/>
          <w:lang w:val="es-ES_tradnl" w:eastAsia="es-MX"/>
        </w:rPr>
      </w:pPr>
      <w:r w:rsidRPr="00836E67">
        <w:rPr>
          <w:rFonts w:ascii="Palatino Linotype" w:eastAsia="Calibri" w:hAnsi="Palatino Linotype" w:cs="Tahoma"/>
          <w:b/>
          <w:i/>
          <w:szCs w:val="22"/>
          <w:lang w:val="es-ES_tradnl" w:eastAsia="es-MX"/>
        </w:rPr>
        <w:t>CAPITULO II</w:t>
      </w:r>
    </w:p>
    <w:p w:rsidR="006F5A68" w:rsidRPr="00836E67" w:rsidRDefault="006F5A68" w:rsidP="006F5A68">
      <w:pPr>
        <w:spacing w:line="360" w:lineRule="auto"/>
        <w:ind w:left="709" w:right="708"/>
        <w:jc w:val="center"/>
        <w:rPr>
          <w:rFonts w:ascii="Palatino Linotype" w:eastAsia="Calibri" w:hAnsi="Palatino Linotype" w:cs="Tahoma"/>
          <w:b/>
          <w:i/>
          <w:szCs w:val="22"/>
          <w:lang w:val="es-ES_tradnl" w:eastAsia="es-MX"/>
        </w:rPr>
      </w:pPr>
      <w:r w:rsidRPr="00836E67">
        <w:rPr>
          <w:rFonts w:ascii="Palatino Linotype" w:eastAsia="Calibri" w:hAnsi="Palatino Linotype" w:cs="Tahoma"/>
          <w:b/>
          <w:i/>
          <w:szCs w:val="22"/>
          <w:lang w:val="es-ES_tradnl" w:eastAsia="es-MX"/>
        </w:rPr>
        <w:t>De los Nombramientos</w:t>
      </w:r>
    </w:p>
    <w:p w:rsidR="006F5A68" w:rsidRPr="00836E67" w:rsidRDefault="006F5A68" w:rsidP="006F5A68">
      <w:pPr>
        <w:spacing w:line="360" w:lineRule="auto"/>
        <w:ind w:left="709" w:right="708"/>
        <w:jc w:val="both"/>
        <w:rPr>
          <w:rFonts w:ascii="Palatino Linotype" w:eastAsia="Calibri" w:hAnsi="Palatino Linotype" w:cs="Tahoma"/>
          <w:b/>
          <w:i/>
          <w:szCs w:val="22"/>
          <w:lang w:val="es-ES_tradnl" w:eastAsia="es-MX"/>
        </w:rPr>
      </w:pPr>
    </w:p>
    <w:p w:rsidR="006F5A68" w:rsidRPr="00836E67" w:rsidRDefault="006F5A68" w:rsidP="006F5A68">
      <w:pPr>
        <w:spacing w:line="360" w:lineRule="auto"/>
        <w:ind w:left="709" w:right="708"/>
        <w:jc w:val="both"/>
        <w:rPr>
          <w:rFonts w:ascii="Palatino Linotype" w:eastAsia="Calibri" w:hAnsi="Palatino Linotype" w:cs="Tahoma"/>
          <w:bCs/>
          <w:i/>
          <w:szCs w:val="22"/>
          <w:lang w:val="es-ES_tradnl" w:eastAsia="es-MX"/>
        </w:rPr>
      </w:pPr>
      <w:r w:rsidRPr="00836E67">
        <w:rPr>
          <w:rFonts w:ascii="Palatino Linotype" w:eastAsia="Calibri" w:hAnsi="Palatino Linotype" w:cs="Tahoma"/>
          <w:b/>
          <w:i/>
          <w:szCs w:val="22"/>
          <w:lang w:val="es-ES_tradnl" w:eastAsia="es-MX"/>
        </w:rPr>
        <w:t>ARTÍCULO 49.-</w:t>
      </w:r>
      <w:r w:rsidRPr="00836E67">
        <w:rPr>
          <w:rFonts w:ascii="Palatino Linotype" w:eastAsia="Calibri" w:hAnsi="Palatino Linotype" w:cs="Tahoma"/>
          <w:i/>
          <w:szCs w:val="22"/>
          <w:lang w:val="es-ES_tradnl" w:eastAsia="es-MX"/>
        </w:rPr>
        <w:t xml:space="preserve"> </w:t>
      </w:r>
      <w:r w:rsidRPr="00836E67">
        <w:rPr>
          <w:rFonts w:ascii="Palatino Linotype" w:eastAsia="Calibri" w:hAnsi="Palatino Linotype" w:cs="Tahoma"/>
          <w:bCs/>
          <w:i/>
          <w:szCs w:val="22"/>
          <w:lang w:val="es-ES_tradnl" w:eastAsia="es-MX"/>
        </w:rPr>
        <w:t xml:space="preserve">Los </w:t>
      </w:r>
      <w:r w:rsidRPr="00836E67">
        <w:rPr>
          <w:rFonts w:ascii="Palatino Linotype" w:eastAsia="Calibri" w:hAnsi="Palatino Linotype" w:cs="Tahoma"/>
          <w:b/>
          <w:bCs/>
          <w:i/>
          <w:szCs w:val="22"/>
          <w:u w:val="single"/>
          <w:lang w:val="es-ES_tradnl" w:eastAsia="es-MX"/>
        </w:rPr>
        <w:t xml:space="preserve">nombramientos, </w:t>
      </w:r>
      <w:r w:rsidRPr="00836E67">
        <w:rPr>
          <w:rFonts w:ascii="Palatino Linotype" w:eastAsia="Calibri" w:hAnsi="Palatino Linotype" w:cs="Tahoma"/>
          <w:b/>
          <w:i/>
          <w:szCs w:val="22"/>
          <w:u w:val="single"/>
          <w:lang w:val="es-ES_tradnl" w:eastAsia="es-MX"/>
        </w:rPr>
        <w:t>contratos</w:t>
      </w:r>
      <w:r w:rsidRPr="00836E67">
        <w:rPr>
          <w:rFonts w:ascii="Palatino Linotype" w:eastAsia="Calibri" w:hAnsi="Palatino Linotype" w:cs="Tahoma"/>
          <w:b/>
          <w:bCs/>
          <w:i/>
          <w:szCs w:val="22"/>
          <w:u w:val="single"/>
          <w:lang w:val="es-ES_tradnl" w:eastAsia="es-MX"/>
        </w:rPr>
        <w:t xml:space="preserve"> o formato único de Movimientos de Personal </w:t>
      </w:r>
      <w:r w:rsidRPr="00836E67">
        <w:rPr>
          <w:rFonts w:ascii="Palatino Linotype" w:eastAsia="Calibri" w:hAnsi="Palatino Linotype" w:cs="Tahoma"/>
          <w:b/>
          <w:i/>
          <w:szCs w:val="22"/>
          <w:u w:val="single"/>
          <w:lang w:val="es-ES_tradnl" w:eastAsia="es-MX"/>
        </w:rPr>
        <w:t>de los servidores públicos deberán contener</w:t>
      </w:r>
      <w:r w:rsidRPr="00836E67">
        <w:rPr>
          <w:rFonts w:ascii="Palatino Linotype" w:eastAsia="Calibri" w:hAnsi="Palatino Linotype" w:cs="Tahoma"/>
          <w:bCs/>
          <w:i/>
          <w:szCs w:val="22"/>
          <w:lang w:val="es-ES_tradnl" w:eastAsia="es-MX"/>
        </w:rPr>
        <w:t>:</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i/>
          <w:szCs w:val="22"/>
          <w:lang w:val="es-ES_tradnl" w:eastAsia="es-MX"/>
        </w:rPr>
        <w:t>I. Nombre completo del servidor público;</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i/>
          <w:szCs w:val="22"/>
          <w:lang w:val="es-ES_tradnl" w:eastAsia="es-MX"/>
        </w:rPr>
        <w:t xml:space="preserve">II. Cargo para el que es designado, fecha de inicio de sus servicios y </w:t>
      </w:r>
      <w:r w:rsidRPr="00836E67">
        <w:rPr>
          <w:rFonts w:ascii="Palatino Linotype" w:eastAsia="Calibri" w:hAnsi="Palatino Linotype" w:cs="Tahoma"/>
          <w:b/>
          <w:i/>
          <w:szCs w:val="22"/>
          <w:lang w:val="es-ES_tradnl" w:eastAsia="es-MX"/>
        </w:rPr>
        <w:t>lugar de adscripción</w:t>
      </w:r>
      <w:r w:rsidRPr="00836E67">
        <w:rPr>
          <w:rFonts w:ascii="Palatino Linotype" w:eastAsia="Calibri" w:hAnsi="Palatino Linotype" w:cs="Tahoma"/>
          <w:i/>
          <w:szCs w:val="22"/>
          <w:lang w:val="es-ES_tradnl" w:eastAsia="es-MX"/>
        </w:rPr>
        <w:t>;</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i/>
          <w:szCs w:val="22"/>
          <w:lang w:val="es-ES_tradnl" w:eastAsia="es-MX"/>
        </w:rPr>
        <w:t>III. Carácter del nombramiento, ya sea de servidores públicos generales o de confianza, así como la temporalidad del mismo;</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i/>
          <w:szCs w:val="22"/>
          <w:lang w:val="es-ES_tradnl" w:eastAsia="es-MX"/>
        </w:rPr>
        <w:t xml:space="preserve">IV. </w:t>
      </w:r>
      <w:r w:rsidRPr="00836E67">
        <w:rPr>
          <w:rFonts w:ascii="Palatino Linotype" w:eastAsia="Calibri" w:hAnsi="Palatino Linotype" w:cs="Tahoma"/>
          <w:b/>
          <w:i/>
          <w:szCs w:val="22"/>
          <w:lang w:val="es-ES_tradnl" w:eastAsia="es-MX"/>
        </w:rPr>
        <w:t>Remuneración correspondiente al puesto;</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i/>
          <w:szCs w:val="22"/>
          <w:lang w:val="es-ES_tradnl" w:eastAsia="es-MX"/>
        </w:rPr>
        <w:t>V. Jornada de trabajo;</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i/>
          <w:szCs w:val="22"/>
          <w:lang w:val="es-ES_tradnl" w:eastAsia="es-MX"/>
        </w:rPr>
        <w:t>VI. Derogada;</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i/>
          <w:szCs w:val="22"/>
          <w:lang w:val="es-ES_tradnl" w:eastAsia="es-MX"/>
        </w:rPr>
        <w:t>VII. Firma del servidor público autorizado para emitir el nombramiento, contrato o formato único de Movimientos de Personal, así como el fundamento legal de esa atribución.</w:t>
      </w:r>
    </w:p>
    <w:p w:rsidR="006F5A68" w:rsidRPr="00836E67" w:rsidRDefault="006F5A68" w:rsidP="006F5A68">
      <w:pPr>
        <w:spacing w:line="360" w:lineRule="auto"/>
        <w:ind w:left="709" w:right="708"/>
        <w:jc w:val="both"/>
        <w:rPr>
          <w:rFonts w:ascii="Palatino Linotype" w:eastAsia="Calibri" w:hAnsi="Palatino Linotype" w:cs="Tahoma"/>
          <w:b/>
          <w:i/>
          <w:szCs w:val="22"/>
          <w:lang w:val="es-ES_tradnl" w:eastAsia="es-MX"/>
        </w:rPr>
      </w:pP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b/>
          <w:i/>
          <w:szCs w:val="22"/>
          <w:lang w:val="es-ES_tradnl" w:eastAsia="es-MX"/>
        </w:rPr>
        <w:lastRenderedPageBreak/>
        <w:t>ARTÍCULO 50</w:t>
      </w:r>
      <w:r w:rsidRPr="00836E67">
        <w:rPr>
          <w:rFonts w:ascii="Palatino Linotype" w:eastAsia="Calibri" w:hAnsi="Palatino Linotype" w:cs="Tahoma"/>
          <w:i/>
          <w:szCs w:val="22"/>
          <w:lang w:val="es-ES_tradnl" w:eastAsia="es-MX"/>
        </w:rPr>
        <w:t xml:space="preserve">.- </w:t>
      </w:r>
      <w:r w:rsidRPr="00836E67">
        <w:rPr>
          <w:rFonts w:ascii="Palatino Linotype" w:eastAsia="Calibri" w:hAnsi="Palatino Linotype" w:cs="Tahoma"/>
          <w:bCs/>
          <w:i/>
          <w:szCs w:val="22"/>
          <w:lang w:val="es-ES_tradnl" w:eastAsia="es-MX"/>
        </w:rPr>
        <w:t>El nombramiento</w:t>
      </w:r>
      <w:r w:rsidRPr="00836E67">
        <w:rPr>
          <w:rFonts w:ascii="Palatino Linotype" w:eastAsia="Calibri" w:hAnsi="Palatino Linotype" w:cs="Tahoma"/>
          <w:i/>
          <w:szCs w:val="22"/>
          <w:lang w:val="es-ES_tradnl" w:eastAsia="es-MX"/>
        </w:rPr>
        <w:t xml:space="preserve">, </w:t>
      </w:r>
      <w:r w:rsidRPr="00836E67">
        <w:rPr>
          <w:rFonts w:ascii="Palatino Linotype" w:eastAsia="Calibri" w:hAnsi="Palatino Linotype" w:cs="Tahoma"/>
          <w:bCs/>
          <w:i/>
          <w:szCs w:val="22"/>
          <w:lang w:val="es-ES_tradnl" w:eastAsia="es-MX"/>
        </w:rPr>
        <w:t xml:space="preserve">contrato </w:t>
      </w:r>
      <w:r w:rsidRPr="00836E67">
        <w:rPr>
          <w:rFonts w:ascii="Palatino Linotype" w:eastAsia="Calibri" w:hAnsi="Palatino Linotype" w:cs="Tahoma"/>
          <w:i/>
          <w:szCs w:val="22"/>
          <w:lang w:val="es-ES_tradnl" w:eastAsia="es-MX"/>
        </w:rPr>
        <w:t xml:space="preserve">o </w:t>
      </w:r>
      <w:r w:rsidRPr="00836E67">
        <w:rPr>
          <w:rFonts w:ascii="Palatino Linotype" w:eastAsia="Calibri" w:hAnsi="Palatino Linotype" w:cs="Tahoma"/>
          <w:bCs/>
          <w:i/>
          <w:szCs w:val="22"/>
          <w:lang w:val="es-ES_tradnl" w:eastAsia="es-MX"/>
        </w:rPr>
        <w:t xml:space="preserve">formato único de Movimientos de Personal aceptado </w:t>
      </w:r>
      <w:r w:rsidRPr="00836E67">
        <w:rPr>
          <w:rFonts w:ascii="Palatino Linotype" w:eastAsia="Calibri" w:hAnsi="Palatino Linotype" w:cs="Tahoma"/>
          <w:i/>
          <w:szCs w:val="22"/>
          <w:lang w:val="es-ES_tradnl" w:eastAsia="es-MX"/>
        </w:rPr>
        <w:t>obliga al servidor público a cumplir con los deberes inherentes al puesto especificado en el mismo y a las consecuencias que sean conforme a la ley, al uso y a la buena fe.</w:t>
      </w: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p>
    <w:p w:rsidR="006F5A68" w:rsidRPr="00836E67" w:rsidRDefault="006F5A68" w:rsidP="006F5A68">
      <w:pPr>
        <w:spacing w:line="360" w:lineRule="auto"/>
        <w:ind w:left="709" w:right="708"/>
        <w:jc w:val="both"/>
        <w:rPr>
          <w:rFonts w:ascii="Palatino Linotype" w:eastAsia="Calibri" w:hAnsi="Palatino Linotype" w:cs="Tahoma"/>
          <w:i/>
          <w:szCs w:val="22"/>
          <w:lang w:val="es-ES_tradnl" w:eastAsia="es-MX"/>
        </w:rPr>
      </w:pPr>
      <w:r w:rsidRPr="00836E67">
        <w:rPr>
          <w:rFonts w:ascii="Palatino Linotype" w:eastAsia="Calibri" w:hAnsi="Palatino Linotype" w:cs="Tahoma"/>
          <w:bCs/>
          <w:i/>
          <w:szCs w:val="22"/>
          <w:lang w:val="es-ES_tradnl" w:eastAsia="es-MX"/>
        </w:rPr>
        <w:t>Iguales consecuencias se generarán para todos los servidores públicos, cuando la relación de trabajo se formalice mediante un contrato o por encontrarse en lista de raya</w:t>
      </w:r>
      <w:r w:rsidRPr="00836E67">
        <w:rPr>
          <w:rFonts w:ascii="Palatino Linotype" w:eastAsia="Calibri" w:hAnsi="Palatino Linotype" w:cs="Tahoma"/>
          <w:i/>
          <w:szCs w:val="22"/>
          <w:lang w:val="es-ES_tradnl" w:eastAsia="es-MX"/>
        </w:rPr>
        <w:t>.</w:t>
      </w:r>
      <w:r w:rsidRPr="00836E67">
        <w:rPr>
          <w:rFonts w:ascii="Palatino Linotype" w:eastAsia="Calibri" w:hAnsi="Palatino Linotype" w:cs="Tahoma"/>
          <w:i/>
          <w:szCs w:val="22"/>
          <w:lang w:val="es-ES_tradnl" w:eastAsia="es-MX"/>
        </w:rPr>
        <w:cr/>
      </w:r>
    </w:p>
    <w:p w:rsidR="007C2F10" w:rsidRPr="00836E67" w:rsidRDefault="007C2F10" w:rsidP="007C2F10">
      <w:pPr>
        <w:spacing w:before="240" w:after="240" w:line="360" w:lineRule="auto"/>
        <w:ind w:right="49"/>
        <w:jc w:val="both"/>
        <w:rPr>
          <w:rFonts w:ascii="Palatino Linotype" w:hAnsi="Palatino Linotype" w:cs="Arial"/>
        </w:rPr>
      </w:pPr>
      <w:r w:rsidRPr="00836E67">
        <w:rPr>
          <w:rFonts w:ascii="Palatino Linotype" w:hAnsi="Palatino Linotype" w:cs="Arial"/>
        </w:rPr>
        <w:t>Por otro lado, el artículo 220-K, fracciones II y IV, de la Ley del Trabajo de los Servidores Públicos del Estado y Municipios, establece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 precepto legal que dispone a la literalidad siguiente:</w:t>
      </w:r>
    </w:p>
    <w:p w:rsidR="007C2F10" w:rsidRPr="00836E67" w:rsidRDefault="007C2F10" w:rsidP="007C2F10">
      <w:pPr>
        <w:ind w:left="851" w:right="992"/>
        <w:jc w:val="both"/>
        <w:rPr>
          <w:rFonts w:ascii="Palatino Linotype" w:hAnsi="Palatino Linotype"/>
          <w:bCs/>
          <w:i/>
        </w:rPr>
      </w:pPr>
      <w:r w:rsidRPr="00836E67">
        <w:rPr>
          <w:rFonts w:ascii="Palatino Linotype" w:hAnsi="Palatino Linotype"/>
          <w:b/>
          <w:bCs/>
          <w:i/>
        </w:rPr>
        <w:t>ARTÍCULO 220 K.-</w:t>
      </w:r>
      <w:r w:rsidRPr="00836E67">
        <w:rPr>
          <w:rFonts w:ascii="Palatino Linotype" w:hAnsi="Palatino Linotype"/>
          <w:bCs/>
          <w:i/>
        </w:rPr>
        <w:t xml:space="preserve"> La institución o dependencia pública tiene la obligación de conservar y exhibir en el proceso los documentos que a continuación se precisan:</w:t>
      </w:r>
    </w:p>
    <w:p w:rsidR="007C2F10" w:rsidRPr="00836E67" w:rsidRDefault="007C2F10" w:rsidP="007C2F10">
      <w:pPr>
        <w:ind w:left="851" w:right="992"/>
        <w:jc w:val="both"/>
        <w:rPr>
          <w:rFonts w:ascii="Palatino Linotype" w:hAnsi="Palatino Linotype"/>
          <w:bCs/>
          <w:i/>
        </w:rPr>
      </w:pPr>
      <w:r w:rsidRPr="00836E67">
        <w:rPr>
          <w:rFonts w:ascii="Palatino Linotype" w:hAnsi="Palatino Linotype"/>
          <w:b/>
          <w:bCs/>
          <w:i/>
          <w:u w:val="single"/>
        </w:rPr>
        <w:t>II.</w:t>
      </w:r>
      <w:r w:rsidRPr="00836E67">
        <w:rPr>
          <w:rFonts w:ascii="Palatino Linotype" w:hAnsi="Palatino Linotype"/>
          <w:bCs/>
          <w:i/>
          <w:u w:val="single"/>
        </w:rPr>
        <w:t xml:space="preserve"> </w:t>
      </w:r>
      <w:r w:rsidRPr="00836E67">
        <w:rPr>
          <w:rFonts w:ascii="Palatino Linotype" w:hAnsi="Palatino Linotype"/>
          <w:b/>
          <w:bCs/>
          <w:i/>
          <w:u w:val="single"/>
        </w:rPr>
        <w:t>Recibos de pagos de salarios</w:t>
      </w:r>
      <w:r w:rsidRPr="00836E67">
        <w:rPr>
          <w:rFonts w:ascii="Palatino Linotype" w:hAnsi="Palatino Linotype"/>
          <w:bCs/>
          <w:i/>
        </w:rPr>
        <w:t xml:space="preserve"> o las constancias documentales del pago de salario cuando sea por depósito o mediante información electrónica;</w:t>
      </w:r>
    </w:p>
    <w:p w:rsidR="007C2F10" w:rsidRPr="00836E67" w:rsidRDefault="007C2F10" w:rsidP="007C2F10">
      <w:pPr>
        <w:ind w:left="851" w:right="992"/>
        <w:jc w:val="both"/>
        <w:rPr>
          <w:rFonts w:ascii="Palatino Linotype" w:hAnsi="Palatino Linotype"/>
          <w:b/>
          <w:bCs/>
          <w:i/>
        </w:rPr>
      </w:pPr>
      <w:r w:rsidRPr="00836E67">
        <w:rPr>
          <w:rFonts w:ascii="Palatino Linotype" w:hAnsi="Palatino Linotype"/>
          <w:b/>
          <w:bCs/>
          <w:i/>
        </w:rPr>
        <w:t>(…)</w:t>
      </w:r>
    </w:p>
    <w:p w:rsidR="007C2F10" w:rsidRPr="00836E67" w:rsidRDefault="007C2F10" w:rsidP="007C2F10">
      <w:pPr>
        <w:ind w:left="851" w:right="992"/>
        <w:jc w:val="both"/>
        <w:rPr>
          <w:rFonts w:ascii="Palatino Linotype" w:hAnsi="Palatino Linotype"/>
          <w:b/>
          <w:bCs/>
          <w:i/>
        </w:rPr>
      </w:pPr>
      <w:r w:rsidRPr="00836E67">
        <w:rPr>
          <w:rFonts w:ascii="Palatino Linotype" w:hAnsi="Palatino Linotype"/>
          <w:b/>
          <w:bCs/>
          <w:i/>
        </w:rPr>
        <w:t>IV.</w:t>
      </w:r>
      <w:r w:rsidRPr="00836E67">
        <w:rPr>
          <w:rFonts w:ascii="Palatino Linotype" w:hAnsi="Palatino Linotype"/>
          <w:bCs/>
          <w:i/>
        </w:rPr>
        <w:t xml:space="preserve"> </w:t>
      </w:r>
      <w:r w:rsidRPr="00836E67">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7C2F10" w:rsidRPr="00836E67" w:rsidRDefault="007C2F10" w:rsidP="007C2F10">
      <w:pPr>
        <w:ind w:left="851" w:right="992"/>
        <w:jc w:val="both"/>
        <w:rPr>
          <w:rFonts w:ascii="Palatino Linotype" w:hAnsi="Palatino Linotype"/>
          <w:bCs/>
          <w:i/>
        </w:rPr>
      </w:pPr>
      <w:r w:rsidRPr="00836E67">
        <w:rPr>
          <w:rFonts w:ascii="Palatino Linotype" w:hAnsi="Palatino Linotype"/>
          <w:b/>
          <w:bCs/>
          <w:i/>
        </w:rPr>
        <w:lastRenderedPageBreak/>
        <w:t>Los documentos señalados en la fracción I de este artículo, deberán conservarse mientras dure la relación laboral y hasta un año después;</w:t>
      </w:r>
      <w:r w:rsidRPr="00836E67">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7C2F10" w:rsidRPr="00836E67" w:rsidRDefault="007C2F10" w:rsidP="007C2F10">
      <w:pPr>
        <w:ind w:left="851" w:right="992"/>
        <w:jc w:val="both"/>
        <w:rPr>
          <w:rFonts w:ascii="Palatino Linotype" w:hAnsi="Palatino Linotype"/>
          <w:bCs/>
          <w:i/>
        </w:rPr>
      </w:pPr>
      <w:r w:rsidRPr="00836E67">
        <w:rPr>
          <w:rFonts w:ascii="Palatino Linotype" w:hAnsi="Palatino Linotype"/>
          <w:b/>
          <w:bCs/>
          <w:i/>
        </w:rPr>
        <w:t>Los documentos y constancias aquí señalados, la institución o dependencia</w:t>
      </w:r>
      <w:r w:rsidRPr="00836E67">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836E67">
        <w:rPr>
          <w:rFonts w:ascii="Palatino Linotype" w:hAnsi="Palatino Linotype"/>
          <w:bCs/>
          <w:i/>
        </w:rPr>
        <w:t>, harán prueba plena.</w:t>
      </w:r>
    </w:p>
    <w:p w:rsidR="007C2F10" w:rsidRPr="00836E67" w:rsidRDefault="007C2F10" w:rsidP="007C2F10">
      <w:pPr>
        <w:ind w:left="851" w:right="992"/>
        <w:jc w:val="both"/>
        <w:rPr>
          <w:rFonts w:ascii="Palatino Linotype" w:hAnsi="Palatino Linotype"/>
          <w:bCs/>
          <w:i/>
        </w:rPr>
      </w:pPr>
      <w:r w:rsidRPr="00836E67">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7C2F10" w:rsidRPr="00836E67" w:rsidRDefault="007C2F10" w:rsidP="007C2F10">
      <w:pPr>
        <w:spacing w:line="360" w:lineRule="auto"/>
        <w:rPr>
          <w:rFonts w:ascii="Palatino Linotype" w:hAnsi="Palatino Linotype" w:cs="Arial"/>
          <w:b/>
        </w:rPr>
      </w:pPr>
    </w:p>
    <w:p w:rsidR="007C2F10" w:rsidRPr="00836E67" w:rsidRDefault="007C2F10" w:rsidP="007C2F10">
      <w:pPr>
        <w:spacing w:line="360" w:lineRule="auto"/>
        <w:jc w:val="both"/>
        <w:rPr>
          <w:rFonts w:ascii="Palatino Linotype" w:hAnsi="Palatino Linotype" w:cs="Arial"/>
        </w:rPr>
      </w:pPr>
      <w:r w:rsidRPr="00836E67">
        <w:rPr>
          <w:rFonts w:ascii="Palatino Linotype" w:hAnsi="Palatino Linotype" w:cs="Arial"/>
        </w:rPr>
        <w:t>En ese orden de ideas, conforme al artículo 92, fracción VIII, la remuneración bruta y neta de los servidores públicos corresponde a una obligación de transparencia común, tal como se indica:</w:t>
      </w:r>
    </w:p>
    <w:p w:rsidR="007C2F10" w:rsidRPr="00836E67" w:rsidRDefault="007C2F10" w:rsidP="007C2F10">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b/>
          <w:i/>
          <w:sz w:val="22"/>
          <w:szCs w:val="22"/>
          <w:lang w:val="es-MX" w:eastAsia="en-US"/>
        </w:rPr>
        <w:t>Artículo 92.</w:t>
      </w:r>
      <w:r w:rsidRPr="00836E67">
        <w:rPr>
          <w:rFonts w:ascii="Palatino Linotype" w:eastAsiaTheme="minorHAnsi" w:hAnsi="Palatino Linotype" w:cs="Arial"/>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C2F10" w:rsidRPr="00836E67" w:rsidRDefault="007C2F10" w:rsidP="007C2F10">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t>…</w:t>
      </w:r>
    </w:p>
    <w:p w:rsidR="007C2F10" w:rsidRPr="00836E67" w:rsidRDefault="007C2F10" w:rsidP="007C2F10">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b/>
          <w:i/>
          <w:sz w:val="22"/>
          <w:szCs w:val="22"/>
          <w:lang w:val="es-MX" w:eastAsia="en-US"/>
        </w:rPr>
        <w:t>VIII. La remuneración bruta y neta de todos los servidores públicos</w:t>
      </w:r>
      <w:r w:rsidRPr="00836E67">
        <w:rPr>
          <w:rFonts w:ascii="Palatino Linotype" w:eastAsiaTheme="minorHAnsi" w:hAnsi="Palatino Linotype" w:cs="Arial"/>
          <w:i/>
          <w:sz w:val="22"/>
          <w:szCs w:val="22"/>
          <w:lang w:val="es-MX" w:eastAsia="en-US"/>
        </w:rPr>
        <w:t xml:space="preserve"> de base o de confianza, de todas las percepciones, incluyendo sueldos, prestaciones, gratificaciones, primas, comisiones, dietas, bonos, estímulos, ingresos y sistemas de compensación, señalando la periodicidad de dicha remuneración;</w:t>
      </w:r>
    </w:p>
    <w:p w:rsidR="007C2F10" w:rsidRPr="00836E67" w:rsidRDefault="007C2F10" w:rsidP="007C2F10">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t>…</w:t>
      </w:r>
    </w:p>
    <w:p w:rsidR="007C2F10" w:rsidRPr="00836E67" w:rsidRDefault="007C2F10" w:rsidP="007C2F10">
      <w:pPr>
        <w:spacing w:before="240" w:after="240" w:line="360" w:lineRule="auto"/>
        <w:jc w:val="both"/>
        <w:rPr>
          <w:rFonts w:ascii="Palatino Linotype" w:hAnsi="Palatino Linotype"/>
        </w:rPr>
      </w:pPr>
      <w:r w:rsidRPr="00836E67">
        <w:rPr>
          <w:rFonts w:ascii="Palatino Linotype" w:hAnsi="Palatino Linotype"/>
        </w:rPr>
        <w:lastRenderedPageBreak/>
        <w:t xml:space="preserve">Aunado a lo anterior, </w:t>
      </w:r>
      <w:r w:rsidRPr="00836E67">
        <w:rPr>
          <w:rFonts w:ascii="Palatino Linotype" w:hAnsi="Palatino Linotype" w:cs="Arial"/>
          <w:color w:val="000000"/>
        </w:rPr>
        <w:t>l</w:t>
      </w:r>
      <w:r w:rsidRPr="00836E67">
        <w:rPr>
          <w:rFonts w:ascii="Palatino Linotype" w:hAnsi="Palatino Linotype"/>
          <w:color w:val="000000"/>
        </w:rPr>
        <w:t xml:space="preserve">os Lineamientos para la Presentación del Informe Trimestral Municipal Ejercicio Fiscal 2025, visibles en la página oficial del Órgano Superior de Fiscalización del Estado de México (OSFEM), </w:t>
      </w:r>
      <w:r w:rsidRPr="00836E67">
        <w:rPr>
          <w:rFonts w:ascii="Palatino Linotype" w:hAnsi="Palatino Linotype"/>
        </w:rPr>
        <w:t xml:space="preserve">donde se destaca que dentro de los informes trimestrales que </w:t>
      </w:r>
      <w:r w:rsidRPr="00836E67">
        <w:rPr>
          <w:rFonts w:ascii="Palatino Linotype" w:hAnsi="Palatino Linotype"/>
          <w:b/>
        </w:rPr>
        <w:t xml:space="preserve">El Sujeto Obligado </w:t>
      </w:r>
      <w:r w:rsidRPr="00836E67">
        <w:rPr>
          <w:rFonts w:ascii="Palatino Linotype" w:hAnsi="Palatino Linotype"/>
        </w:rPr>
        <w:t>tiene la obligación de rendir, se contempla precisamente la presentación de la información referente a la C Comprobantes Fiscales Digitales por Internet por concepto de Nómina y Conciliación de nómina, los cuales define como:</w:t>
      </w:r>
    </w:p>
    <w:p w:rsidR="007C2F10" w:rsidRPr="00836E67" w:rsidRDefault="007C2F10" w:rsidP="007C2F10">
      <w:pPr>
        <w:autoSpaceDE w:val="0"/>
        <w:autoSpaceDN w:val="0"/>
        <w:adjustRightInd w:val="0"/>
        <w:spacing w:line="360" w:lineRule="auto"/>
        <w:jc w:val="center"/>
        <w:rPr>
          <w:rFonts w:ascii="Palatino Linotype" w:hAnsi="Palatino Linotype" w:cs="Arial"/>
        </w:rPr>
      </w:pPr>
      <w:r w:rsidRPr="00836E67">
        <w:rPr>
          <w:rFonts w:ascii="Palatino Linotype" w:hAnsi="Palatino Linotype" w:cs="Arial"/>
          <w:noProof/>
          <w:lang w:val="es-MX" w:eastAsia="es-MX"/>
        </w:rPr>
        <w:drawing>
          <wp:inline distT="0" distB="0" distL="0" distR="0" wp14:anchorId="2EBCD8C1" wp14:editId="1DD43F4E">
            <wp:extent cx="3895117" cy="3162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4613D.tmp"/>
                    <pic:cNvPicPr/>
                  </pic:nvPicPr>
                  <pic:blipFill>
                    <a:blip r:embed="rId11">
                      <a:extLst>
                        <a:ext uri="{28A0092B-C50C-407E-A947-70E740481C1C}">
                          <a14:useLocalDpi xmlns:a14="http://schemas.microsoft.com/office/drawing/2010/main" val="0"/>
                        </a:ext>
                      </a:extLst>
                    </a:blip>
                    <a:stretch>
                      <a:fillRect/>
                    </a:stretch>
                  </pic:blipFill>
                  <pic:spPr>
                    <a:xfrm>
                      <a:off x="0" y="0"/>
                      <a:ext cx="3918930" cy="3181633"/>
                    </a:xfrm>
                    <a:prstGeom prst="rect">
                      <a:avLst/>
                    </a:prstGeom>
                  </pic:spPr>
                </pic:pic>
              </a:graphicData>
            </a:graphic>
          </wp:inline>
        </w:drawing>
      </w:r>
    </w:p>
    <w:p w:rsidR="007C2F10" w:rsidRPr="00836E67" w:rsidRDefault="007C2F10" w:rsidP="007C2F10">
      <w:pPr>
        <w:autoSpaceDE w:val="0"/>
        <w:autoSpaceDN w:val="0"/>
        <w:adjustRightInd w:val="0"/>
        <w:spacing w:line="360" w:lineRule="auto"/>
        <w:ind w:right="49"/>
        <w:contextualSpacing/>
        <w:jc w:val="both"/>
        <w:rPr>
          <w:rFonts w:ascii="Palatino Linotype" w:hAnsi="Palatino Linotype"/>
          <w:b/>
        </w:rPr>
      </w:pPr>
    </w:p>
    <w:p w:rsidR="007C2F10" w:rsidRPr="00836E67" w:rsidRDefault="007C2F10" w:rsidP="007C2F10">
      <w:pPr>
        <w:autoSpaceDE w:val="0"/>
        <w:autoSpaceDN w:val="0"/>
        <w:adjustRightInd w:val="0"/>
        <w:spacing w:line="360" w:lineRule="auto"/>
        <w:ind w:right="49"/>
        <w:contextualSpacing/>
        <w:jc w:val="both"/>
        <w:rPr>
          <w:rFonts w:ascii="Palatino Linotype" w:hAnsi="Palatino Linotype" w:cs="Arial"/>
        </w:rPr>
      </w:pPr>
      <w:r w:rsidRPr="00836E67">
        <w:rPr>
          <w:rFonts w:ascii="Palatino Linotype" w:hAnsi="Palatino Linotype" w:cs="Arial"/>
        </w:rPr>
        <w:t xml:space="preserve">De lo anteriormente expuesto, este Instituto advierte que tanto en la conciliación de nómina y CFDI por concepto de nómina es donde se registran las remuneraciones otorgadas a los servidores públicos, las cuales de acuerdo con los artículos 127 de la </w:t>
      </w:r>
      <w:r w:rsidRPr="00836E67">
        <w:rPr>
          <w:rFonts w:ascii="Palatino Linotype" w:hAnsi="Palatino Linotype" w:cs="Arial"/>
          <w:b/>
        </w:rPr>
        <w:t>Constitución Política de los Estados Unidos Mexicanos</w:t>
      </w:r>
      <w:r w:rsidRPr="00836E67">
        <w:rPr>
          <w:rFonts w:ascii="Palatino Linotype" w:hAnsi="Palatino Linotype" w:cs="Arial"/>
        </w:rPr>
        <w:t xml:space="preserve"> y 3, fracción XXXII del </w:t>
      </w:r>
      <w:r w:rsidRPr="00836E67">
        <w:rPr>
          <w:rFonts w:ascii="Palatino Linotype" w:hAnsi="Palatino Linotype" w:cs="Arial"/>
          <w:b/>
        </w:rPr>
        <w:t>Código Financiero del Estado de México y Municipios</w:t>
      </w:r>
      <w:r w:rsidRPr="00836E67">
        <w:rPr>
          <w:rFonts w:ascii="Palatino Linotype" w:hAnsi="Palatino Linotype" w:cs="Arial"/>
        </w:rPr>
        <w:t xml:space="preserve">, constituyen toda percepción o pagos por concepto de sueldo, compensaciones, gratificaciones, habitación, primas, </w:t>
      </w:r>
      <w:r w:rsidRPr="00836E67">
        <w:rPr>
          <w:rFonts w:ascii="Palatino Linotype" w:hAnsi="Palatino Linotype" w:cs="Arial"/>
        </w:rPr>
        <w:lastRenderedPageBreak/>
        <w:t>comisiones, prestaciones en especie, premios, recompensas, bonos, estímulos, dietas, aguinaldos, comisiones y cualquier otra prestación que se entregue a los servidores públicos por su trabajo.</w:t>
      </w:r>
    </w:p>
    <w:p w:rsidR="00546369" w:rsidRPr="00836E67" w:rsidRDefault="00546369" w:rsidP="00546369">
      <w:pPr>
        <w:spacing w:line="360" w:lineRule="auto"/>
        <w:contextualSpacing/>
        <w:jc w:val="both"/>
        <w:rPr>
          <w:rFonts w:ascii="Palatino Linotype" w:hAnsi="Palatino Linotype" w:cs="Tahoma"/>
        </w:rPr>
      </w:pPr>
      <w:r w:rsidRPr="00836E67">
        <w:rPr>
          <w:rFonts w:ascii="Palatino Linotype" w:hAnsi="Palatino Linotype" w:cs="Tahoma"/>
        </w:rPr>
        <w:t xml:space="preserve">En relación con el </w:t>
      </w:r>
      <w:r w:rsidRPr="00836E67">
        <w:rPr>
          <w:rFonts w:ascii="Palatino Linotype" w:hAnsi="Palatino Linotype" w:cs="Tahoma"/>
          <w:u w:val="single"/>
        </w:rPr>
        <w:t>número de empleado de servidores públicos o su equivalente,</w:t>
      </w:r>
      <w:r w:rsidRPr="00836E67">
        <w:rPr>
          <w:rFonts w:ascii="Palatino Linotype" w:hAnsi="Palatino Linotype" w:cs="Tahoma"/>
        </w:rPr>
        <w:t xml:space="preserve"> con independencia del nombre que reciba, constituye un instrumento de control interno que permite a las dependencias y entidades identificar a sus trabajadores y a estos les facilita la realización de gestiones en su carácter de empleado.</w:t>
      </w:r>
    </w:p>
    <w:p w:rsidR="00546369" w:rsidRPr="00836E67" w:rsidRDefault="00546369" w:rsidP="00546369">
      <w:pPr>
        <w:spacing w:line="360" w:lineRule="auto"/>
        <w:contextualSpacing/>
        <w:jc w:val="both"/>
        <w:rPr>
          <w:rFonts w:ascii="Palatino Linotype" w:hAnsi="Palatino Linotype" w:cs="Tahoma"/>
        </w:rPr>
      </w:pPr>
    </w:p>
    <w:p w:rsidR="00546369" w:rsidRPr="00836E67" w:rsidRDefault="00546369" w:rsidP="00546369">
      <w:pPr>
        <w:spacing w:line="360" w:lineRule="auto"/>
        <w:contextualSpacing/>
        <w:jc w:val="both"/>
        <w:rPr>
          <w:rFonts w:ascii="Palatino Linotype" w:hAnsi="Palatino Linotype" w:cs="Tahoma"/>
        </w:rPr>
      </w:pPr>
      <w:r w:rsidRPr="00836E67">
        <w:rPr>
          <w:rFonts w:ascii="Palatino Linotype" w:hAnsi="Palatino Linotype" w:cs="Tahoma"/>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00546369" w:rsidRPr="00836E67" w:rsidRDefault="00546369" w:rsidP="00546369">
      <w:pPr>
        <w:spacing w:line="360" w:lineRule="auto"/>
        <w:contextualSpacing/>
        <w:jc w:val="both"/>
        <w:rPr>
          <w:rFonts w:ascii="Palatino Linotype" w:hAnsi="Palatino Linotype" w:cs="Tahoma"/>
        </w:rPr>
      </w:pPr>
    </w:p>
    <w:p w:rsidR="00546369" w:rsidRPr="00836E67" w:rsidRDefault="00546369" w:rsidP="00546369">
      <w:pPr>
        <w:spacing w:line="360" w:lineRule="auto"/>
        <w:jc w:val="both"/>
        <w:rPr>
          <w:rFonts w:ascii="Palatino Linotype" w:eastAsia="Calibri" w:hAnsi="Palatino Linotype" w:cs="Tahoma"/>
          <w:bCs/>
          <w:iCs/>
        </w:rPr>
      </w:pPr>
      <w:r w:rsidRPr="00836E67">
        <w:rPr>
          <w:rFonts w:ascii="Palatino Linotype" w:eastAsia="Calibri" w:hAnsi="Palatino Linotype" w:cs="Tahoma"/>
          <w:bCs/>
          <w:iCs/>
        </w:rPr>
        <w:t xml:space="preserve">Lo anterior, toma sustento en el </w:t>
      </w:r>
      <w:r w:rsidRPr="00836E67">
        <w:rPr>
          <w:rFonts w:ascii="Palatino Linotype" w:eastAsia="Calibri" w:hAnsi="Palatino Linotype" w:cs="Tahoma"/>
          <w:bCs/>
        </w:rPr>
        <w:t>Criterio de Interpretación, de la Segunda Época, con número de registro SO/006/2019</w:t>
      </w:r>
      <w:r w:rsidRPr="00836E67">
        <w:rPr>
          <w:rFonts w:ascii="Palatino Linotype" w:eastAsia="Calibri" w:hAnsi="Palatino Linotype" w:cs="Tahoma"/>
          <w:bCs/>
          <w:iCs/>
        </w:rPr>
        <w:t>, emitido por el entonces Instituto Nacional de Transparencia, Acceso a la Información y Protección de Datos Personales, que establece lo siguiente:</w:t>
      </w:r>
    </w:p>
    <w:p w:rsidR="00546369" w:rsidRPr="00836E67" w:rsidRDefault="00546369" w:rsidP="00546369">
      <w:pPr>
        <w:spacing w:line="360" w:lineRule="auto"/>
        <w:ind w:left="567" w:right="567"/>
        <w:jc w:val="both"/>
        <w:rPr>
          <w:rFonts w:ascii="Palatino Linotype" w:eastAsia="Calibri" w:hAnsi="Palatino Linotype" w:cs="Tahoma"/>
          <w:bCs/>
          <w:i/>
          <w:iCs/>
        </w:rPr>
      </w:pPr>
      <w:r w:rsidRPr="00836E67">
        <w:rPr>
          <w:rFonts w:ascii="Palatino Linotype" w:eastAsia="Calibri" w:hAnsi="Palatino Linotype" w:cs="Tahoma"/>
          <w:b/>
          <w:bCs/>
          <w:i/>
          <w:iCs/>
        </w:rPr>
        <w:t xml:space="preserve">“Número de empleado. </w:t>
      </w:r>
      <w:r w:rsidRPr="00836E67">
        <w:rPr>
          <w:rFonts w:ascii="Palatino Linotype" w:eastAsia="Calibri" w:hAnsi="Palatino Linotype" w:cs="Tahoma"/>
          <w:bCs/>
          <w:i/>
          <w:iC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546369" w:rsidRPr="00836E67" w:rsidRDefault="00546369" w:rsidP="007C2F10">
      <w:pPr>
        <w:autoSpaceDE w:val="0"/>
        <w:autoSpaceDN w:val="0"/>
        <w:adjustRightInd w:val="0"/>
        <w:spacing w:line="360" w:lineRule="auto"/>
        <w:ind w:right="49"/>
        <w:contextualSpacing/>
        <w:jc w:val="both"/>
        <w:rPr>
          <w:rFonts w:ascii="Palatino Linotype" w:hAnsi="Palatino Linotype" w:cs="Arial"/>
        </w:rPr>
      </w:pPr>
    </w:p>
    <w:p w:rsidR="007C2F10" w:rsidRPr="00836E67" w:rsidRDefault="007C2F10" w:rsidP="006F5A68">
      <w:pPr>
        <w:autoSpaceDE w:val="0"/>
        <w:autoSpaceDN w:val="0"/>
        <w:adjustRightInd w:val="0"/>
        <w:spacing w:line="360" w:lineRule="auto"/>
        <w:jc w:val="both"/>
        <w:rPr>
          <w:rFonts w:ascii="Palatino Linotype" w:hAnsi="Palatino Linotype" w:cs="Arial"/>
        </w:rPr>
      </w:pPr>
    </w:p>
    <w:p w:rsidR="006F5A68" w:rsidRPr="00836E67" w:rsidRDefault="006F5A68" w:rsidP="006F5A68">
      <w:pPr>
        <w:autoSpaceDE w:val="0"/>
        <w:autoSpaceDN w:val="0"/>
        <w:adjustRightInd w:val="0"/>
        <w:spacing w:line="360" w:lineRule="auto"/>
        <w:jc w:val="both"/>
        <w:rPr>
          <w:rFonts w:ascii="Palatino Linotype" w:eastAsia="Calibri" w:hAnsi="Palatino Linotype" w:cs="Arial"/>
          <w:szCs w:val="22"/>
          <w:lang w:val="es-ES_tradnl" w:eastAsia="es-MX"/>
        </w:rPr>
      </w:pPr>
      <w:r w:rsidRPr="00836E67">
        <w:rPr>
          <w:rFonts w:ascii="Palatino Linotype" w:hAnsi="Palatino Linotype" w:cs="Arial"/>
        </w:rPr>
        <w:lastRenderedPageBreak/>
        <w:t xml:space="preserve">Por lo que hace al </w:t>
      </w:r>
      <w:r w:rsidRPr="00836E67">
        <w:rPr>
          <w:rFonts w:ascii="Palatino Linotype" w:hAnsi="Palatino Linotype" w:cs="Arial"/>
          <w:b/>
          <w:u w:val="single"/>
        </w:rPr>
        <w:t>requerimiento 4</w:t>
      </w:r>
      <w:r w:rsidRPr="00836E67">
        <w:rPr>
          <w:rFonts w:ascii="Palatino Linotype" w:hAnsi="Palatino Linotype" w:cs="Arial"/>
        </w:rPr>
        <w:t xml:space="preserve"> (actividades que realiza)</w:t>
      </w:r>
      <w:r w:rsidR="009F5860" w:rsidRPr="00836E67">
        <w:rPr>
          <w:rFonts w:ascii="Palatino Linotype" w:eastAsia="Calibri" w:hAnsi="Palatino Linotype" w:cs="Arial"/>
          <w:szCs w:val="22"/>
          <w:lang w:val="es-ES_tradnl" w:eastAsia="es-MX"/>
        </w:rPr>
        <w:t xml:space="preserve">, </w:t>
      </w:r>
      <w:r w:rsidRPr="00836E67">
        <w:rPr>
          <w:rFonts w:ascii="Palatino Linotype" w:eastAsia="Calibri" w:hAnsi="Palatino Linotype" w:cs="Arial"/>
          <w:szCs w:val="22"/>
          <w:lang w:val="es-ES_tradnl" w:eastAsia="es-MX"/>
        </w:rPr>
        <w:t>esta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rsidR="006F5A68" w:rsidRPr="00836E67" w:rsidRDefault="006F5A68" w:rsidP="006F5A68">
      <w:pPr>
        <w:spacing w:line="360" w:lineRule="auto"/>
        <w:jc w:val="both"/>
        <w:rPr>
          <w:rFonts w:ascii="Palatino Linotype" w:eastAsia="Calibri" w:hAnsi="Palatino Linotype" w:cs="Arial"/>
          <w:szCs w:val="22"/>
          <w:lang w:val="es-ES_tradnl" w:eastAsia="es-MX"/>
        </w:rPr>
      </w:pPr>
    </w:p>
    <w:p w:rsidR="006F5A68" w:rsidRPr="00836E67" w:rsidRDefault="006F5A68" w:rsidP="006F5A68">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w:t>
      </w:r>
    </w:p>
    <w:p w:rsidR="006F5A68" w:rsidRPr="00836E67" w:rsidRDefault="006F5A68" w:rsidP="006F5A68">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t xml:space="preserve">(…) </w:t>
      </w:r>
    </w:p>
    <w:p w:rsidR="006F5A68" w:rsidRPr="00836E67" w:rsidRDefault="006F5A68" w:rsidP="006F5A68">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t xml:space="preserve">II. Su estructura orgánica completa, en un formato que permita vincular cada parte de la estructura, </w:t>
      </w:r>
      <w:r w:rsidRPr="00836E67">
        <w:rPr>
          <w:rFonts w:ascii="Palatino Linotype" w:eastAsiaTheme="minorHAnsi" w:hAnsi="Palatino Linotype" w:cs="Arial"/>
          <w:b/>
          <w:i/>
          <w:sz w:val="22"/>
          <w:szCs w:val="22"/>
          <w:lang w:val="es-MX" w:eastAsia="en-US"/>
        </w:rPr>
        <w:t xml:space="preserve">las atribuciones y responsabilidades que le corresponden a </w:t>
      </w:r>
      <w:r w:rsidRPr="00836E67">
        <w:rPr>
          <w:rFonts w:ascii="Palatino Linotype" w:eastAsiaTheme="minorHAnsi" w:hAnsi="Palatino Linotype" w:cs="Arial"/>
          <w:b/>
          <w:i/>
          <w:sz w:val="22"/>
          <w:szCs w:val="22"/>
          <w:u w:val="single"/>
          <w:lang w:val="es-MX" w:eastAsia="en-US"/>
        </w:rPr>
        <w:t>cada servidor público</w:t>
      </w:r>
      <w:r w:rsidRPr="00836E67">
        <w:rPr>
          <w:rFonts w:ascii="Palatino Linotype" w:eastAsiaTheme="minorHAnsi" w:hAnsi="Palatino Linotype" w:cs="Arial"/>
          <w:b/>
          <w:i/>
          <w:sz w:val="22"/>
          <w:szCs w:val="22"/>
          <w:lang w:val="es-MX" w:eastAsia="en-US"/>
        </w:rPr>
        <w:t>, prestador de servicios profesionales o miembro de los sujetos obligados,</w:t>
      </w:r>
      <w:r w:rsidRPr="00836E67">
        <w:rPr>
          <w:rFonts w:ascii="Palatino Linotype" w:eastAsiaTheme="minorHAnsi" w:hAnsi="Palatino Linotype" w:cs="Arial"/>
          <w:i/>
          <w:sz w:val="22"/>
          <w:szCs w:val="22"/>
          <w:lang w:val="es-MX" w:eastAsia="en-US"/>
        </w:rPr>
        <w:t xml:space="preserve"> de conformidad con las disposiciones jurídicas aplicables;”</w:t>
      </w:r>
    </w:p>
    <w:p w:rsidR="006F5A68" w:rsidRPr="00836E67" w:rsidRDefault="006F5A68" w:rsidP="006F5A68">
      <w:pPr>
        <w:spacing w:line="360" w:lineRule="auto"/>
        <w:jc w:val="both"/>
        <w:rPr>
          <w:rFonts w:ascii="Palatino Linotype" w:eastAsia="Calibri" w:hAnsi="Palatino Linotype" w:cs="Arial"/>
          <w:szCs w:val="22"/>
          <w:lang w:val="es-ES_tradnl" w:eastAsia="es-MX"/>
        </w:rPr>
      </w:pPr>
    </w:p>
    <w:p w:rsidR="006F5A68" w:rsidRPr="00836E67" w:rsidRDefault="006F5A68" w:rsidP="006F5A68">
      <w:pPr>
        <w:spacing w:line="360" w:lineRule="auto"/>
        <w:jc w:val="both"/>
        <w:rPr>
          <w:rFonts w:ascii="Palatino Linotype" w:eastAsia="Calibri" w:hAnsi="Palatino Linotype" w:cs="Arial"/>
          <w:szCs w:val="22"/>
          <w:lang w:val="es-ES_tradnl" w:eastAsia="es-MX"/>
        </w:rPr>
      </w:pPr>
      <w:r w:rsidRPr="00836E67">
        <w:rPr>
          <w:rFonts w:ascii="Palatino Linotype" w:eastAsia="Calibri" w:hAnsi="Palatino Linotype" w:cs="Arial"/>
          <w:szCs w:val="22"/>
          <w:lang w:val="es-ES_tradnl" w:eastAsia="es-MX"/>
        </w:rPr>
        <w:t xml:space="preserve">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rsidR="006F5A68" w:rsidRPr="00836E67" w:rsidRDefault="006F5A68" w:rsidP="006F5A68">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lastRenderedPageBreak/>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6F5A68" w:rsidRPr="00836E67" w:rsidRDefault="006F5A68" w:rsidP="006F5A68">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b/>
          <w:i/>
          <w:sz w:val="22"/>
          <w:szCs w:val="22"/>
          <w:u w:val="single"/>
          <w:lang w:val="es-MX" w:eastAsia="en-US"/>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836E67">
        <w:rPr>
          <w:rFonts w:ascii="Palatino Linotype" w:eastAsiaTheme="minorHAnsi" w:hAnsi="Palatino Linotype" w:cs="Arial"/>
          <w:i/>
          <w:sz w:val="22"/>
          <w:szCs w:val="22"/>
          <w:lang w:val="es-MX" w:eastAsia="en-US"/>
        </w:rPr>
        <w:t xml:space="preserve">;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rsidR="006F5A68" w:rsidRPr="00836E67" w:rsidRDefault="006F5A68" w:rsidP="006F5A68">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t xml:space="preserve">En aquellos casos en los que dicha estructura no corresponda con la funcional, deberá especificarse cuáles puestos se encuentran en tránsito de aprobación por parte de las autoridades competentes.  </w:t>
      </w:r>
    </w:p>
    <w:p w:rsidR="006F5A68" w:rsidRPr="00836E67" w:rsidRDefault="006F5A68" w:rsidP="006F5A68">
      <w:pPr>
        <w:spacing w:before="240" w:after="160" w:line="360" w:lineRule="auto"/>
        <w:ind w:left="851" w:right="851"/>
        <w:jc w:val="both"/>
        <w:rPr>
          <w:rFonts w:ascii="Palatino Linotype" w:eastAsiaTheme="minorHAnsi" w:hAnsi="Palatino Linotype" w:cs="Arial"/>
          <w:i/>
          <w:sz w:val="22"/>
          <w:szCs w:val="22"/>
          <w:lang w:val="es-MX" w:eastAsia="en-US"/>
        </w:rPr>
      </w:pPr>
      <w:r w:rsidRPr="00836E67">
        <w:rPr>
          <w:rFonts w:ascii="Palatino Linotype" w:eastAsiaTheme="minorHAnsi" w:hAnsi="Palatino Linotype" w:cs="Arial"/>
          <w:i/>
          <w:sz w:val="22"/>
          <w:szCs w:val="22"/>
          <w:lang w:val="es-MX" w:eastAsia="en-US"/>
        </w:rPr>
        <w:t xml:space="preserve">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rsidR="006F5A68" w:rsidRPr="00836E67" w:rsidRDefault="006F5A68" w:rsidP="006F5A68">
      <w:pPr>
        <w:spacing w:before="240" w:after="160" w:line="360" w:lineRule="auto"/>
        <w:ind w:left="851" w:right="851"/>
        <w:jc w:val="both"/>
        <w:rPr>
          <w:rFonts w:ascii="Palatino Linotype" w:eastAsiaTheme="minorHAnsi" w:hAnsi="Palatino Linotype" w:cs="Arial"/>
          <w:b/>
          <w:i/>
          <w:sz w:val="22"/>
          <w:szCs w:val="22"/>
          <w:u w:val="single"/>
          <w:lang w:val="es-MX" w:eastAsia="en-US"/>
        </w:rPr>
      </w:pPr>
      <w:r w:rsidRPr="00836E67">
        <w:rPr>
          <w:rFonts w:ascii="Palatino Linotype" w:eastAsiaTheme="minorHAnsi" w:hAnsi="Palatino Linotype" w:cs="Arial"/>
          <w:b/>
          <w:i/>
          <w:sz w:val="22"/>
          <w:szCs w:val="22"/>
          <w:u w:val="single"/>
          <w:lang w:val="es-MX" w:eastAsia="en-US"/>
        </w:rPr>
        <w:lastRenderedPageBreak/>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rsidR="006F5A68" w:rsidRPr="00836E67" w:rsidRDefault="006F5A68" w:rsidP="006F5A68">
      <w:pPr>
        <w:spacing w:before="240" w:after="160" w:line="360" w:lineRule="auto"/>
        <w:ind w:left="851" w:right="851"/>
        <w:jc w:val="both"/>
        <w:rPr>
          <w:rFonts w:ascii="Palatino Linotype" w:eastAsiaTheme="minorHAnsi" w:hAnsi="Palatino Linotype" w:cs="Arial"/>
          <w:b/>
          <w:i/>
          <w:sz w:val="22"/>
          <w:szCs w:val="22"/>
          <w:u w:val="single"/>
          <w:lang w:val="es-MX" w:eastAsia="en-US"/>
        </w:rPr>
      </w:pPr>
      <w:r w:rsidRPr="00836E67">
        <w:rPr>
          <w:rFonts w:ascii="Palatino Linotype" w:eastAsiaTheme="minorHAnsi" w:hAnsi="Palatino Linotype" w:cs="Arial"/>
          <w:b/>
          <w:i/>
          <w:sz w:val="22"/>
          <w:szCs w:val="22"/>
          <w:u w:val="single"/>
          <w:lang w:val="es-MX" w:eastAsia="en-US"/>
        </w:rPr>
        <w:t>…</w:t>
      </w:r>
    </w:p>
    <w:p w:rsidR="006F5A68" w:rsidRPr="00836E67" w:rsidRDefault="006F5A68" w:rsidP="006F5A68">
      <w:pPr>
        <w:spacing w:before="240" w:after="160" w:line="360" w:lineRule="auto"/>
        <w:ind w:left="851" w:right="851"/>
        <w:jc w:val="both"/>
        <w:rPr>
          <w:rFonts w:ascii="Palatino Linotype" w:eastAsiaTheme="minorHAnsi" w:hAnsi="Palatino Linotype" w:cs="Arial"/>
          <w:b/>
          <w:i/>
          <w:sz w:val="22"/>
          <w:szCs w:val="22"/>
          <w:u w:val="single"/>
          <w:lang w:val="es-MX" w:eastAsia="en-US"/>
        </w:rPr>
      </w:pPr>
      <w:r w:rsidRPr="00836E67">
        <w:rPr>
          <w:rFonts w:ascii="Palatino Linotype" w:eastAsiaTheme="minorHAnsi" w:hAnsi="Palatino Linotype" w:cs="Arial"/>
          <w:b/>
          <w:i/>
          <w:sz w:val="22"/>
          <w:szCs w:val="22"/>
          <w:u w:val="single"/>
          <w:lang w:val="es-MX" w:eastAsia="en-US"/>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rsidR="006F5A68" w:rsidRPr="00836E67" w:rsidRDefault="006F5A68" w:rsidP="006F5A68">
      <w:pPr>
        <w:spacing w:line="360" w:lineRule="auto"/>
        <w:jc w:val="center"/>
        <w:rPr>
          <w:rFonts w:ascii="Palatino Linotype" w:eastAsia="Calibri" w:hAnsi="Palatino Linotype" w:cs="Arial"/>
          <w:szCs w:val="22"/>
          <w:lang w:val="es-ES_tradnl" w:eastAsia="es-MX"/>
        </w:rPr>
      </w:pPr>
      <w:r w:rsidRPr="00836E67">
        <w:rPr>
          <w:rFonts w:ascii="Palatino Linotype" w:eastAsia="Calibri" w:hAnsi="Palatino Linotype" w:cs="Arial"/>
          <w:noProof/>
          <w:szCs w:val="22"/>
          <w:lang w:val="es-MX" w:eastAsia="es-MX"/>
        </w:rPr>
        <w:drawing>
          <wp:inline distT="0" distB="0" distL="0" distR="0" wp14:anchorId="39BE429E" wp14:editId="530E7912">
            <wp:extent cx="4019550" cy="3250102"/>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4CB2BE.tmp"/>
                    <pic:cNvPicPr/>
                  </pic:nvPicPr>
                  <pic:blipFill>
                    <a:blip r:embed="rId12">
                      <a:extLst>
                        <a:ext uri="{28A0092B-C50C-407E-A947-70E740481C1C}">
                          <a14:useLocalDpi xmlns:a14="http://schemas.microsoft.com/office/drawing/2010/main" val="0"/>
                        </a:ext>
                      </a:extLst>
                    </a:blip>
                    <a:stretch>
                      <a:fillRect/>
                    </a:stretch>
                  </pic:blipFill>
                  <pic:spPr>
                    <a:xfrm>
                      <a:off x="0" y="0"/>
                      <a:ext cx="4027193" cy="3256282"/>
                    </a:xfrm>
                    <a:prstGeom prst="rect">
                      <a:avLst/>
                    </a:prstGeom>
                  </pic:spPr>
                </pic:pic>
              </a:graphicData>
            </a:graphic>
          </wp:inline>
        </w:drawing>
      </w:r>
    </w:p>
    <w:p w:rsidR="006F5A68" w:rsidRPr="00836E67" w:rsidRDefault="006F5A68" w:rsidP="006F5A68">
      <w:pPr>
        <w:spacing w:line="360" w:lineRule="auto"/>
        <w:jc w:val="both"/>
        <w:rPr>
          <w:rFonts w:ascii="Palatino Linotype" w:eastAsia="Calibri" w:hAnsi="Palatino Linotype" w:cs="Arial"/>
          <w:szCs w:val="22"/>
          <w:lang w:val="es-ES_tradnl" w:eastAsia="es-MX"/>
        </w:rPr>
      </w:pPr>
      <w:r w:rsidRPr="00836E67">
        <w:rPr>
          <w:rFonts w:ascii="Palatino Linotype" w:eastAsia="Calibri" w:hAnsi="Palatino Linotype" w:cs="Arial"/>
          <w:szCs w:val="22"/>
          <w:lang w:val="es-ES_tradnl" w:eastAsia="es-MX"/>
        </w:rPr>
        <w:t xml:space="preserve"> </w:t>
      </w:r>
    </w:p>
    <w:p w:rsidR="006F5A68" w:rsidRPr="00836E67" w:rsidRDefault="006F5A68" w:rsidP="006F5A68">
      <w:pPr>
        <w:spacing w:line="360" w:lineRule="auto"/>
        <w:jc w:val="both"/>
        <w:rPr>
          <w:rFonts w:ascii="Palatino Linotype" w:eastAsia="Calibri" w:hAnsi="Palatino Linotype" w:cs="Arial"/>
          <w:szCs w:val="22"/>
          <w:lang w:val="es-ES_tradnl" w:eastAsia="es-MX"/>
        </w:rPr>
      </w:pPr>
      <w:r w:rsidRPr="00836E67">
        <w:rPr>
          <w:rFonts w:ascii="Palatino Linotype" w:eastAsia="Calibri" w:hAnsi="Palatino Linotype" w:cs="Arial"/>
          <w:szCs w:val="22"/>
          <w:lang w:val="es-ES_tradnl" w:eastAsia="es-MX"/>
        </w:rPr>
        <w:lastRenderedPageBreak/>
        <w:t xml:space="preserve">En razón de lo anterior, se arriba a la conclusión de que la información requerida forma parte de las obligaciones de transparencia común de los sujetos obligados y, por ende, debe contar con esta.  </w:t>
      </w:r>
    </w:p>
    <w:p w:rsidR="006F5A68" w:rsidRPr="00836E67" w:rsidRDefault="006F5A68" w:rsidP="004C1DC0">
      <w:pPr>
        <w:autoSpaceDE w:val="0"/>
        <w:autoSpaceDN w:val="0"/>
        <w:adjustRightInd w:val="0"/>
        <w:spacing w:line="360" w:lineRule="auto"/>
        <w:jc w:val="both"/>
        <w:rPr>
          <w:rFonts w:ascii="Palatino Linotype" w:hAnsi="Palatino Linotype" w:cs="Arial"/>
        </w:rPr>
      </w:pPr>
    </w:p>
    <w:p w:rsidR="00546369" w:rsidRPr="00836E67" w:rsidRDefault="00B504D0" w:rsidP="00546369">
      <w:pPr>
        <w:spacing w:line="360" w:lineRule="auto"/>
        <w:ind w:right="51"/>
        <w:jc w:val="both"/>
        <w:rPr>
          <w:rFonts w:ascii="Palatino Linotype" w:eastAsia="Palatino Linotype" w:hAnsi="Palatino Linotype" w:cs="Palatino Linotype"/>
        </w:rPr>
      </w:pPr>
      <w:r w:rsidRPr="00836E67">
        <w:rPr>
          <w:rFonts w:ascii="Palatino Linotype" w:hAnsi="Palatino Linotype" w:cs="Arial"/>
        </w:rPr>
        <w:t>R</w:t>
      </w:r>
      <w:r w:rsidR="00546369" w:rsidRPr="00836E67">
        <w:rPr>
          <w:rFonts w:ascii="Palatino Linotype" w:hAnsi="Palatino Linotype" w:cs="Arial"/>
        </w:rPr>
        <w:t xml:space="preserve">especto del </w:t>
      </w:r>
      <w:r w:rsidR="00546369" w:rsidRPr="00836E67">
        <w:rPr>
          <w:rFonts w:ascii="Palatino Linotype" w:hAnsi="Palatino Linotype" w:cs="Arial"/>
          <w:b/>
          <w:u w:val="single"/>
        </w:rPr>
        <w:t>requerimiento 7</w:t>
      </w:r>
      <w:r w:rsidR="00546369" w:rsidRPr="00836E67">
        <w:rPr>
          <w:rFonts w:ascii="Palatino Linotype" w:hAnsi="Palatino Linotype" w:cs="Arial"/>
        </w:rPr>
        <w:t xml:space="preserve">, </w:t>
      </w:r>
      <w:r w:rsidR="00546369" w:rsidRPr="00836E67">
        <w:rPr>
          <w:rFonts w:ascii="Palatino Linotype" w:eastAsia="Palatino Linotype" w:hAnsi="Palatino Linotype" w:cs="Palatino Linotype"/>
        </w:rPr>
        <w:t xml:space="preserve">resulta indispensable mencionar que en los artículos 59 y 84 de Ley del Trabajo de los Servidores Públicos del Estado y Municipios establecen que la </w:t>
      </w:r>
      <w:r w:rsidR="00546369" w:rsidRPr="00836E67">
        <w:rPr>
          <w:rFonts w:ascii="Palatino Linotype" w:eastAsia="Palatino Linotype" w:hAnsi="Palatino Linotype" w:cs="Palatino Linotype"/>
          <w:b/>
        </w:rPr>
        <w:t>jornada de trabajo, es el tiempo durante el cual la o el servidor público está a disposición del Ayuntamiento o Unidad Administrativa</w:t>
      </w:r>
      <w:r w:rsidR="00546369" w:rsidRPr="00836E67">
        <w:rPr>
          <w:rFonts w:ascii="Palatino Linotype" w:eastAsia="Palatino Linotype" w:hAnsi="Palatino Linotype" w:cs="Palatino Linotype"/>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w:t>
      </w:r>
    </w:p>
    <w:p w:rsidR="00546369" w:rsidRPr="00836E67" w:rsidRDefault="00546369" w:rsidP="00546369">
      <w:pPr>
        <w:spacing w:line="276" w:lineRule="auto"/>
        <w:ind w:left="851" w:right="616"/>
        <w:jc w:val="both"/>
        <w:rPr>
          <w:rFonts w:ascii="Palatino Linotype" w:eastAsia="Palatino Linotype" w:hAnsi="Palatino Linotype" w:cs="Palatino Linotype"/>
          <w:i/>
        </w:rPr>
      </w:pPr>
      <w:r w:rsidRPr="00836E67">
        <w:rPr>
          <w:rFonts w:ascii="Palatino Linotype" w:eastAsia="Palatino Linotype" w:hAnsi="Palatino Linotype" w:cs="Palatino Linotype"/>
          <w:i/>
        </w:rPr>
        <w:t>“</w:t>
      </w:r>
      <w:r w:rsidRPr="00836E67">
        <w:rPr>
          <w:rFonts w:ascii="Palatino Linotype" w:eastAsia="Palatino Linotype" w:hAnsi="Palatino Linotype" w:cs="Palatino Linotype"/>
          <w:b/>
          <w:i/>
        </w:rPr>
        <w:t>ARTÍCULO 59.</w:t>
      </w:r>
      <w:r w:rsidRPr="00836E67">
        <w:rPr>
          <w:rFonts w:ascii="Palatino Linotype" w:eastAsia="Palatino Linotype" w:hAnsi="Palatino Linotype" w:cs="Palatino Linotype"/>
          <w:i/>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rsidR="00546369" w:rsidRPr="00836E67" w:rsidRDefault="00546369" w:rsidP="00546369">
      <w:pPr>
        <w:spacing w:line="276" w:lineRule="auto"/>
        <w:ind w:left="851" w:right="616"/>
        <w:jc w:val="both"/>
        <w:rPr>
          <w:rFonts w:ascii="Palatino Linotype" w:eastAsia="Palatino Linotype" w:hAnsi="Palatino Linotype" w:cs="Palatino Linotype"/>
          <w:i/>
        </w:rPr>
      </w:pPr>
      <w:r w:rsidRPr="00836E67">
        <w:rPr>
          <w:rFonts w:ascii="Palatino Linotype" w:eastAsia="Palatino Linotype" w:hAnsi="Palatino Linotype" w:cs="Palatino Linotype"/>
          <w:i/>
        </w:rPr>
        <w:t>…</w:t>
      </w:r>
    </w:p>
    <w:p w:rsidR="00546369" w:rsidRPr="00836E67" w:rsidRDefault="00546369" w:rsidP="00546369">
      <w:pPr>
        <w:spacing w:line="276" w:lineRule="auto"/>
        <w:ind w:left="851" w:right="616"/>
        <w:jc w:val="both"/>
        <w:rPr>
          <w:rFonts w:ascii="Palatino Linotype" w:eastAsia="Palatino Linotype" w:hAnsi="Palatino Linotype" w:cs="Palatino Linotype"/>
          <w:i/>
        </w:rPr>
      </w:pPr>
      <w:r w:rsidRPr="00836E67">
        <w:rPr>
          <w:rFonts w:ascii="Palatino Linotype" w:eastAsia="Palatino Linotype" w:hAnsi="Palatino Linotype" w:cs="Palatino Linotype"/>
          <w:b/>
          <w:i/>
        </w:rPr>
        <w:t>ARTÍCULO 84.</w:t>
      </w:r>
      <w:r w:rsidRPr="00836E67">
        <w:rPr>
          <w:rFonts w:ascii="Palatino Linotype" w:eastAsia="Palatino Linotype" w:hAnsi="Palatino Linotype" w:cs="Palatino Linotype"/>
          <w:i/>
        </w:rPr>
        <w:t xml:space="preserve"> Sólo podrán hacerse retenciones, descuentos o deducciones al sueldo de los servidores públicos por concepto de:</w:t>
      </w:r>
    </w:p>
    <w:p w:rsidR="00546369" w:rsidRPr="00836E67" w:rsidRDefault="00546369" w:rsidP="00546369">
      <w:pPr>
        <w:spacing w:line="276" w:lineRule="auto"/>
        <w:ind w:left="851" w:right="616"/>
        <w:jc w:val="both"/>
        <w:rPr>
          <w:rFonts w:ascii="Palatino Linotype" w:eastAsia="Palatino Linotype" w:hAnsi="Palatino Linotype" w:cs="Palatino Linotype"/>
          <w:i/>
        </w:rPr>
      </w:pPr>
      <w:r w:rsidRPr="00836E67">
        <w:rPr>
          <w:rFonts w:ascii="Palatino Linotype" w:eastAsia="Palatino Linotype" w:hAnsi="Palatino Linotype" w:cs="Palatino Linotype"/>
          <w:i/>
        </w:rPr>
        <w:t>…</w:t>
      </w:r>
    </w:p>
    <w:p w:rsidR="00546369" w:rsidRPr="00836E67" w:rsidRDefault="00546369" w:rsidP="00546369">
      <w:pPr>
        <w:spacing w:line="276" w:lineRule="auto"/>
        <w:ind w:left="851" w:right="616"/>
        <w:jc w:val="both"/>
        <w:rPr>
          <w:rFonts w:ascii="Palatino Linotype" w:eastAsia="Palatino Linotype" w:hAnsi="Palatino Linotype" w:cs="Palatino Linotype"/>
          <w:i/>
        </w:rPr>
      </w:pPr>
      <w:r w:rsidRPr="00836E67">
        <w:rPr>
          <w:rFonts w:ascii="Palatino Linotype" w:eastAsia="Palatino Linotype" w:hAnsi="Palatino Linotype" w:cs="Palatino Linotype"/>
          <w:b/>
          <w:i/>
        </w:rPr>
        <w:t>VII.</w:t>
      </w:r>
      <w:r w:rsidRPr="00836E67">
        <w:rPr>
          <w:rFonts w:ascii="Palatino Linotype" w:eastAsia="Palatino Linotype" w:hAnsi="Palatino Linotype" w:cs="Palatino Linotype"/>
          <w:i/>
        </w:rPr>
        <w:t xml:space="preserve"> Faltas de puntualidad o de asistencia injustificadas;”</w:t>
      </w:r>
    </w:p>
    <w:p w:rsidR="00546369" w:rsidRPr="00836E67" w:rsidRDefault="00546369" w:rsidP="00546369">
      <w:pPr>
        <w:spacing w:line="360" w:lineRule="auto"/>
        <w:ind w:right="51"/>
        <w:jc w:val="both"/>
        <w:rPr>
          <w:rFonts w:ascii="Palatino Linotype" w:eastAsia="Palatino Linotype" w:hAnsi="Palatino Linotype" w:cs="Palatino Linotype"/>
        </w:rPr>
      </w:pPr>
    </w:p>
    <w:p w:rsidR="00546369" w:rsidRPr="00836E67" w:rsidRDefault="00546369" w:rsidP="00546369">
      <w:pPr>
        <w:spacing w:line="360" w:lineRule="auto"/>
        <w:ind w:right="51"/>
        <w:jc w:val="both"/>
        <w:rPr>
          <w:rFonts w:ascii="Palatino Linotype" w:eastAsia="Palatino Linotype" w:hAnsi="Palatino Linotype" w:cs="Palatino Linotype"/>
        </w:rPr>
      </w:pPr>
      <w:r w:rsidRPr="00836E67">
        <w:rPr>
          <w:rFonts w:ascii="Palatino Linotype" w:eastAsia="Palatino Linotype" w:hAnsi="Palatino Linotype" w:cs="Palatino Linotype"/>
        </w:rPr>
        <w:t xml:space="preserve">Asimismo, los artículos 88, fracción III, y 220 K, fracción III y penúltimo párrafo de la Ley del Trabajo de los Servidores Públicos, estipulan como obligación de los servidores públicos asistir a sus labores y no faltar sin causa justificada o sin permiso, por otro lado, las instituciones o dependencias tienen la obligación de conservar y exhibir los </w:t>
      </w:r>
      <w:r w:rsidRPr="00836E67">
        <w:rPr>
          <w:rFonts w:ascii="Palatino Linotype" w:eastAsia="Palatino Linotype" w:hAnsi="Palatino Linotype" w:cs="Palatino Linotype"/>
        </w:rPr>
        <w:lastRenderedPageBreak/>
        <w:t>controles de asistencia o la información electrónica de asistencia de los servidores públicos.</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b/>
          <w:i/>
        </w:rPr>
        <w:t>“ARTÍCULO 88.</w:t>
      </w:r>
      <w:r w:rsidRPr="00836E67">
        <w:rPr>
          <w:rFonts w:ascii="Palatino Linotype" w:eastAsia="Palatino Linotype" w:hAnsi="Palatino Linotype" w:cs="Palatino Linotype"/>
          <w:i/>
        </w:rPr>
        <w:t xml:space="preserve"> Son obligaciones de los servidores públicos: </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i/>
        </w:rPr>
        <w:t>…</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b/>
          <w:i/>
        </w:rPr>
        <w:t>III.</w:t>
      </w:r>
      <w:r w:rsidRPr="00836E67">
        <w:rPr>
          <w:rFonts w:ascii="Palatino Linotype" w:eastAsia="Palatino Linotype" w:hAnsi="Palatino Linotype" w:cs="Palatino Linotype"/>
          <w:i/>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i/>
        </w:rPr>
        <w:t>…</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b/>
          <w:i/>
        </w:rPr>
        <w:t>“ARTÍCULO 220 K.-</w:t>
      </w:r>
      <w:r w:rsidRPr="00836E67">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 </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i/>
        </w:rPr>
        <w:t>…</w:t>
      </w:r>
    </w:p>
    <w:p w:rsidR="00546369" w:rsidRPr="00836E67" w:rsidRDefault="00546369" w:rsidP="00546369">
      <w:pPr>
        <w:spacing w:line="276" w:lineRule="auto"/>
        <w:ind w:left="567" w:right="845"/>
        <w:jc w:val="both"/>
        <w:rPr>
          <w:rFonts w:ascii="Palatino Linotype" w:eastAsia="Palatino Linotype" w:hAnsi="Palatino Linotype" w:cs="Palatino Linotype"/>
          <w:i/>
          <w:u w:val="single"/>
        </w:rPr>
      </w:pPr>
      <w:r w:rsidRPr="00836E67">
        <w:rPr>
          <w:rFonts w:ascii="Palatino Linotype" w:eastAsia="Palatino Linotype" w:hAnsi="Palatino Linotype" w:cs="Palatino Linotype"/>
          <w:b/>
          <w:i/>
        </w:rPr>
        <w:t xml:space="preserve">III. </w:t>
      </w:r>
      <w:r w:rsidRPr="00836E67">
        <w:rPr>
          <w:rFonts w:ascii="Palatino Linotype" w:eastAsia="Palatino Linotype" w:hAnsi="Palatino Linotype" w:cs="Palatino Linotype"/>
          <w:b/>
          <w:i/>
          <w:u w:val="single"/>
        </w:rPr>
        <w:t>Controles de asistencia</w:t>
      </w:r>
      <w:r w:rsidRPr="00836E67">
        <w:rPr>
          <w:rFonts w:ascii="Palatino Linotype" w:eastAsia="Palatino Linotype" w:hAnsi="Palatino Linotype" w:cs="Palatino Linotype"/>
          <w:b/>
          <w:i/>
        </w:rPr>
        <w:t xml:space="preserve"> </w:t>
      </w:r>
      <w:r w:rsidRPr="00836E67">
        <w:rPr>
          <w:rFonts w:ascii="Palatino Linotype" w:eastAsia="Palatino Linotype" w:hAnsi="Palatino Linotype" w:cs="Palatino Linotype"/>
          <w:b/>
          <w:i/>
          <w:u w:val="single"/>
        </w:rPr>
        <w:t>o la información magnética o electrónica de asistencia de los servidores públicos</w:t>
      </w:r>
      <w:r w:rsidRPr="00836E67">
        <w:rPr>
          <w:rFonts w:ascii="Palatino Linotype" w:eastAsia="Palatino Linotype" w:hAnsi="Palatino Linotype" w:cs="Palatino Linotype"/>
          <w:i/>
          <w:u w:val="single"/>
        </w:rPr>
        <w:t xml:space="preserve">; </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i/>
        </w:rPr>
        <w:t>…</w:t>
      </w:r>
    </w:p>
    <w:p w:rsidR="00546369" w:rsidRPr="00836E67" w:rsidRDefault="00546369" w:rsidP="00546369">
      <w:pPr>
        <w:spacing w:line="276" w:lineRule="auto"/>
        <w:ind w:left="567" w:right="845"/>
        <w:jc w:val="both"/>
        <w:rPr>
          <w:rFonts w:ascii="Palatino Linotype" w:eastAsia="Palatino Linotype" w:hAnsi="Palatino Linotype" w:cs="Palatino Linotype"/>
          <w:i/>
        </w:rPr>
      </w:pPr>
      <w:r w:rsidRPr="00836E67">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w:t>
      </w:r>
      <w:r w:rsidRPr="00836E67">
        <w:rPr>
          <w:rFonts w:ascii="Palatino Linotype" w:eastAsia="Palatino Linotype" w:hAnsi="Palatino Linotype" w:cs="Palatino Linotype"/>
          <w:b/>
          <w:i/>
        </w:rPr>
        <w:t>los señalados por las fracciones</w:t>
      </w:r>
      <w:r w:rsidRPr="00836E67">
        <w:rPr>
          <w:rFonts w:ascii="Palatino Linotype" w:eastAsia="Palatino Linotype" w:hAnsi="Palatino Linotype" w:cs="Palatino Linotype"/>
          <w:i/>
        </w:rPr>
        <w:t xml:space="preserve"> II, </w:t>
      </w:r>
      <w:r w:rsidRPr="00836E67">
        <w:rPr>
          <w:rFonts w:ascii="Palatino Linotype" w:eastAsia="Palatino Linotype" w:hAnsi="Palatino Linotype" w:cs="Palatino Linotype"/>
          <w:b/>
          <w:i/>
        </w:rPr>
        <w:t>III,</w:t>
      </w:r>
      <w:r w:rsidRPr="00836E67">
        <w:rPr>
          <w:rFonts w:ascii="Palatino Linotype" w:eastAsia="Palatino Linotype" w:hAnsi="Palatino Linotype" w:cs="Palatino Linotype"/>
          <w:i/>
        </w:rPr>
        <w:t xml:space="preserve"> IV </w:t>
      </w:r>
      <w:r w:rsidRPr="00836E67">
        <w:rPr>
          <w:rFonts w:ascii="Palatino Linotype" w:eastAsia="Palatino Linotype" w:hAnsi="Palatino Linotype" w:cs="Palatino Linotype"/>
          <w:b/>
          <w:i/>
        </w:rPr>
        <w:t>durante el último año y un año después de que se extinga la relación laboral</w:t>
      </w:r>
      <w:r w:rsidRPr="00836E67">
        <w:rPr>
          <w:rFonts w:ascii="Palatino Linotype" w:eastAsia="Palatino Linotype" w:hAnsi="Palatino Linotype" w:cs="Palatino Linotype"/>
          <w:i/>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6F5A68" w:rsidRPr="00836E67" w:rsidRDefault="006F5A68" w:rsidP="004C1DC0">
      <w:pPr>
        <w:autoSpaceDE w:val="0"/>
        <w:autoSpaceDN w:val="0"/>
        <w:adjustRightInd w:val="0"/>
        <w:spacing w:line="360" w:lineRule="auto"/>
        <w:jc w:val="both"/>
        <w:rPr>
          <w:rFonts w:ascii="Palatino Linotype" w:hAnsi="Palatino Linotype" w:cs="Arial"/>
        </w:rPr>
      </w:pPr>
    </w:p>
    <w:p w:rsidR="00B504D0" w:rsidRPr="00836E67" w:rsidRDefault="00B504D0" w:rsidP="00B504D0">
      <w:pPr>
        <w:spacing w:line="360" w:lineRule="auto"/>
        <w:jc w:val="both"/>
        <w:rPr>
          <w:rFonts w:ascii="Palatino Linotype" w:hAnsi="Palatino Linotype" w:cs="Arial"/>
          <w:bCs/>
          <w:i/>
          <w:sz w:val="20"/>
          <w:szCs w:val="20"/>
        </w:rPr>
      </w:pPr>
      <w:r w:rsidRPr="00836E67">
        <w:rPr>
          <w:rFonts w:ascii="Palatino Linotype" w:eastAsia="Palatino Linotype" w:hAnsi="Palatino Linotype" w:cs="Palatino Linotype"/>
          <w:color w:val="000000"/>
        </w:rPr>
        <w:t xml:space="preserve">Finalmente, al momento de requerir la información el Recurrente no estableció elemento temporal por lo que resulta importante establecer que la información debía ser entregada de las últimas dos quincenas a la fecha de la solicitud de información, es </w:t>
      </w:r>
      <w:r w:rsidRPr="00836E67">
        <w:rPr>
          <w:rFonts w:ascii="Palatino Linotype" w:eastAsia="Palatino Linotype" w:hAnsi="Palatino Linotype" w:cs="Palatino Linotype"/>
          <w:color w:val="000000"/>
        </w:rPr>
        <w:lastRenderedPageBreak/>
        <w:t>decir, al veinticinco de junio aún no había concluido la segunda quincena, por lo que se deberá entregar el registro de asistencia de la segunda quincena de mayo y la primera quincena de junio.</w:t>
      </w:r>
    </w:p>
    <w:p w:rsidR="006F5A68" w:rsidRPr="00836E67" w:rsidRDefault="006F5A68" w:rsidP="004C1DC0">
      <w:pPr>
        <w:autoSpaceDE w:val="0"/>
        <w:autoSpaceDN w:val="0"/>
        <w:adjustRightInd w:val="0"/>
        <w:spacing w:line="360" w:lineRule="auto"/>
        <w:jc w:val="both"/>
        <w:rPr>
          <w:rFonts w:ascii="Palatino Linotype" w:hAnsi="Palatino Linotype" w:cs="Arial"/>
        </w:rPr>
      </w:pPr>
    </w:p>
    <w:p w:rsidR="004C1DC0" w:rsidRPr="00836E67" w:rsidRDefault="004C1DC0" w:rsidP="004C1DC0">
      <w:pPr>
        <w:autoSpaceDE w:val="0"/>
        <w:autoSpaceDN w:val="0"/>
        <w:adjustRightInd w:val="0"/>
        <w:spacing w:line="360" w:lineRule="auto"/>
        <w:jc w:val="both"/>
        <w:rPr>
          <w:rFonts w:ascii="Palatino Linotype" w:hAnsi="Palatino Linotype" w:cs="Arial"/>
        </w:rPr>
      </w:pPr>
      <w:r w:rsidRPr="00836E67">
        <w:rPr>
          <w:rFonts w:ascii="Palatino Linotype" w:hAnsi="Palatino Linotype" w:cs="Arial"/>
        </w:rPr>
        <w:t>Del estudio realizado, es necesario acotar si el Sujeto Obligado colmó el derecho de acceso a la información pública mediante respuesta:</w:t>
      </w: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71"/>
        <w:gridCol w:w="4111"/>
        <w:gridCol w:w="1372"/>
      </w:tblGrid>
      <w:tr w:rsidR="004C1DC0" w:rsidRPr="00836E67" w:rsidTr="0048396C">
        <w:trPr>
          <w:trHeight w:val="396"/>
        </w:trPr>
        <w:tc>
          <w:tcPr>
            <w:tcW w:w="3671" w:type="dxa"/>
            <w:shd w:val="clear" w:color="auto" w:fill="E7E6E6" w:themeFill="background2"/>
          </w:tcPr>
          <w:p w:rsidR="004C1DC0" w:rsidRPr="00836E67" w:rsidRDefault="004C1DC0" w:rsidP="009F5860">
            <w:pPr>
              <w:spacing w:line="360" w:lineRule="auto"/>
              <w:jc w:val="center"/>
              <w:rPr>
                <w:rFonts w:ascii="Palatino Linotype" w:hAnsi="Palatino Linotype"/>
                <w:b/>
                <w:i/>
                <w:color w:val="000000"/>
              </w:rPr>
            </w:pPr>
            <w:r w:rsidRPr="00836E67">
              <w:rPr>
                <w:rFonts w:ascii="Palatino Linotype" w:hAnsi="Palatino Linotype"/>
                <w:b/>
                <w:i/>
                <w:color w:val="000000"/>
              </w:rPr>
              <w:t>Requerimientos</w:t>
            </w:r>
          </w:p>
        </w:tc>
        <w:tc>
          <w:tcPr>
            <w:tcW w:w="4111" w:type="dxa"/>
            <w:shd w:val="clear" w:color="auto" w:fill="E7E6E6" w:themeFill="background2"/>
          </w:tcPr>
          <w:p w:rsidR="004C1DC0" w:rsidRPr="00836E67" w:rsidRDefault="004C1DC0" w:rsidP="009F5860">
            <w:pPr>
              <w:spacing w:line="360" w:lineRule="auto"/>
              <w:jc w:val="center"/>
              <w:rPr>
                <w:rFonts w:ascii="Palatino Linotype" w:hAnsi="Palatino Linotype"/>
                <w:b/>
                <w:i/>
                <w:color w:val="000000"/>
              </w:rPr>
            </w:pPr>
            <w:r w:rsidRPr="00836E67">
              <w:rPr>
                <w:rFonts w:ascii="Palatino Linotype" w:hAnsi="Palatino Linotype"/>
                <w:b/>
                <w:i/>
                <w:color w:val="000000"/>
              </w:rPr>
              <w:t>Respuesta</w:t>
            </w:r>
          </w:p>
        </w:tc>
        <w:tc>
          <w:tcPr>
            <w:tcW w:w="1372" w:type="dxa"/>
            <w:shd w:val="clear" w:color="auto" w:fill="E7E6E6" w:themeFill="background2"/>
          </w:tcPr>
          <w:p w:rsidR="004C1DC0" w:rsidRPr="00836E67" w:rsidRDefault="004C1DC0" w:rsidP="009F5860">
            <w:pPr>
              <w:spacing w:line="360" w:lineRule="auto"/>
              <w:jc w:val="center"/>
              <w:rPr>
                <w:rFonts w:ascii="Palatino Linotype" w:hAnsi="Palatino Linotype"/>
                <w:b/>
                <w:i/>
                <w:color w:val="000000"/>
              </w:rPr>
            </w:pPr>
            <w:r w:rsidRPr="00836E67">
              <w:rPr>
                <w:rFonts w:ascii="Palatino Linotype" w:hAnsi="Palatino Linotype"/>
                <w:b/>
                <w:i/>
                <w:color w:val="000000"/>
              </w:rPr>
              <w:t>Colma</w:t>
            </w:r>
          </w:p>
        </w:tc>
      </w:tr>
      <w:tr w:rsidR="00DB2124" w:rsidRPr="00836E67" w:rsidTr="0048396C">
        <w:trPr>
          <w:trHeight w:val="396"/>
        </w:trPr>
        <w:tc>
          <w:tcPr>
            <w:tcW w:w="3671" w:type="dxa"/>
            <w:shd w:val="clear" w:color="auto" w:fill="auto"/>
          </w:tcPr>
          <w:p w:rsidR="00DB2124" w:rsidRPr="00836E67" w:rsidRDefault="00DB2124" w:rsidP="001B187B">
            <w:pPr>
              <w:jc w:val="both"/>
              <w:rPr>
                <w:rFonts w:ascii="Palatino Linotype" w:hAnsi="Palatino Linotype" w:cs="Arial"/>
                <w:sz w:val="22"/>
              </w:rPr>
            </w:pPr>
            <w:r w:rsidRPr="00836E67">
              <w:rPr>
                <w:rFonts w:ascii="Palatino Linotype" w:hAnsi="Palatino Linotype" w:cs="Arial"/>
                <w:sz w:val="22"/>
              </w:rPr>
              <w:t xml:space="preserve">De Gabriel Reyes Vázquez </w:t>
            </w:r>
          </w:p>
          <w:p w:rsidR="00DB2124" w:rsidRPr="00836E67" w:rsidRDefault="00DB2124" w:rsidP="001B187B">
            <w:pPr>
              <w:jc w:val="both"/>
              <w:rPr>
                <w:rFonts w:ascii="Palatino Linotype" w:hAnsi="Palatino Linotype" w:cs="Arial"/>
                <w:sz w:val="22"/>
              </w:rPr>
            </w:pPr>
            <w:r w:rsidRPr="00836E67">
              <w:rPr>
                <w:rFonts w:ascii="Palatino Linotype" w:hAnsi="Palatino Linotype" w:cs="Arial"/>
                <w:sz w:val="22"/>
              </w:rPr>
              <w:t xml:space="preserve">Área de adscripción </w:t>
            </w:r>
          </w:p>
          <w:p w:rsidR="00DB2124" w:rsidRPr="00836E67" w:rsidRDefault="00DB2124" w:rsidP="001B187B">
            <w:pPr>
              <w:tabs>
                <w:tab w:val="left" w:pos="1828"/>
              </w:tabs>
              <w:jc w:val="both"/>
              <w:rPr>
                <w:rFonts w:ascii="Palatino Linotype" w:hAnsi="Palatino Linotype"/>
                <w:color w:val="000000"/>
                <w:sz w:val="22"/>
              </w:rPr>
            </w:pPr>
          </w:p>
        </w:tc>
        <w:tc>
          <w:tcPr>
            <w:tcW w:w="4111" w:type="dxa"/>
            <w:vMerge w:val="restart"/>
            <w:shd w:val="clear" w:color="auto" w:fill="auto"/>
          </w:tcPr>
          <w:p w:rsidR="00DB2124" w:rsidRPr="00836E67" w:rsidRDefault="00DB2124" w:rsidP="001B187B">
            <w:pPr>
              <w:jc w:val="both"/>
              <w:rPr>
                <w:rFonts w:ascii="Palatino Linotype" w:hAnsi="Palatino Linotype"/>
                <w:color w:val="000000"/>
              </w:rPr>
            </w:pPr>
            <w:r w:rsidRPr="00836E67">
              <w:rPr>
                <w:rFonts w:ascii="Palatino Linotype" w:hAnsi="Palatino Linotype"/>
                <w:color w:val="000000"/>
              </w:rPr>
              <w:t xml:space="preserve">No hubo pronunciamiento </w:t>
            </w:r>
          </w:p>
          <w:p w:rsidR="00DB2124" w:rsidRPr="00836E67" w:rsidRDefault="00DB2124" w:rsidP="001B187B">
            <w:pPr>
              <w:jc w:val="both"/>
              <w:rPr>
                <w:rFonts w:ascii="Palatino Linotype" w:hAnsi="Palatino Linotype"/>
                <w:color w:val="000000"/>
              </w:rPr>
            </w:pPr>
          </w:p>
          <w:p w:rsidR="00DB2124" w:rsidRPr="00836E67" w:rsidRDefault="00DB2124" w:rsidP="001B187B">
            <w:pPr>
              <w:jc w:val="both"/>
              <w:rPr>
                <w:rFonts w:ascii="Palatino Linotype" w:hAnsi="Palatino Linotype"/>
                <w:color w:val="000000"/>
              </w:rPr>
            </w:pPr>
          </w:p>
        </w:tc>
        <w:tc>
          <w:tcPr>
            <w:tcW w:w="1372" w:type="dxa"/>
            <w:vMerge w:val="restart"/>
            <w:shd w:val="clear" w:color="auto" w:fill="auto"/>
          </w:tcPr>
          <w:p w:rsidR="00DB2124" w:rsidRPr="00836E67" w:rsidRDefault="00DB2124" w:rsidP="001B187B">
            <w:pPr>
              <w:jc w:val="center"/>
              <w:rPr>
                <w:rFonts w:ascii="Palatino Linotype" w:hAnsi="Palatino Linotype"/>
                <w:b/>
                <w:i/>
                <w:color w:val="000000"/>
              </w:rPr>
            </w:pPr>
            <w:r w:rsidRPr="00836E67">
              <w:rPr>
                <w:rFonts w:ascii="Palatino Linotype" w:hAnsi="Palatino Linotype"/>
                <w:b/>
                <w:i/>
                <w:color w:val="000000"/>
              </w:rPr>
              <w:t>No</w:t>
            </w:r>
          </w:p>
          <w:p w:rsidR="00DB2124" w:rsidRPr="00836E67" w:rsidRDefault="00DB2124" w:rsidP="001B187B">
            <w:pPr>
              <w:jc w:val="center"/>
              <w:rPr>
                <w:rFonts w:ascii="Palatino Linotype" w:hAnsi="Palatino Linotype"/>
                <w:i/>
                <w:color w:val="000000"/>
              </w:rPr>
            </w:pPr>
          </w:p>
        </w:tc>
      </w:tr>
      <w:tr w:rsidR="00DB2124" w:rsidRPr="00836E67" w:rsidTr="0048396C">
        <w:trPr>
          <w:trHeight w:val="396"/>
        </w:trPr>
        <w:tc>
          <w:tcPr>
            <w:tcW w:w="3671" w:type="dxa"/>
            <w:shd w:val="clear" w:color="auto" w:fill="auto"/>
          </w:tcPr>
          <w:p w:rsidR="00DB2124" w:rsidRPr="00836E67" w:rsidRDefault="00DB2124" w:rsidP="001B187B">
            <w:pPr>
              <w:tabs>
                <w:tab w:val="left" w:pos="1828"/>
              </w:tabs>
              <w:jc w:val="both"/>
              <w:rPr>
                <w:rFonts w:ascii="Palatino Linotype" w:hAnsi="Palatino Linotype"/>
                <w:color w:val="000000"/>
                <w:sz w:val="22"/>
              </w:rPr>
            </w:pPr>
            <w:r w:rsidRPr="00836E67">
              <w:rPr>
                <w:rFonts w:ascii="Palatino Linotype" w:hAnsi="Palatino Linotype"/>
                <w:color w:val="000000"/>
                <w:sz w:val="22"/>
              </w:rPr>
              <w:t>Número de empleado</w:t>
            </w:r>
          </w:p>
        </w:tc>
        <w:tc>
          <w:tcPr>
            <w:tcW w:w="4111" w:type="dxa"/>
            <w:vMerge/>
            <w:shd w:val="clear" w:color="auto" w:fill="auto"/>
          </w:tcPr>
          <w:p w:rsidR="00DB2124" w:rsidRPr="00836E67" w:rsidRDefault="00DB2124" w:rsidP="001B187B">
            <w:pPr>
              <w:jc w:val="both"/>
              <w:rPr>
                <w:rFonts w:ascii="Palatino Linotype" w:hAnsi="Palatino Linotype"/>
                <w:color w:val="000000"/>
              </w:rPr>
            </w:pPr>
          </w:p>
        </w:tc>
        <w:tc>
          <w:tcPr>
            <w:tcW w:w="1372" w:type="dxa"/>
            <w:vMerge/>
            <w:shd w:val="clear" w:color="auto" w:fill="auto"/>
          </w:tcPr>
          <w:p w:rsidR="00DB2124" w:rsidRPr="00836E67" w:rsidRDefault="00DB2124" w:rsidP="001B187B">
            <w:pPr>
              <w:jc w:val="center"/>
              <w:rPr>
                <w:rFonts w:ascii="Palatino Linotype" w:hAnsi="Palatino Linotype"/>
                <w:b/>
                <w:i/>
                <w:color w:val="000000"/>
              </w:rPr>
            </w:pPr>
          </w:p>
        </w:tc>
      </w:tr>
      <w:tr w:rsidR="00DB2124" w:rsidRPr="00836E67" w:rsidTr="0048396C">
        <w:trPr>
          <w:trHeight w:val="396"/>
        </w:trPr>
        <w:tc>
          <w:tcPr>
            <w:tcW w:w="3671" w:type="dxa"/>
            <w:shd w:val="clear" w:color="auto" w:fill="auto"/>
          </w:tcPr>
          <w:p w:rsidR="00DB2124" w:rsidRPr="00836E67" w:rsidRDefault="00DB2124" w:rsidP="001B187B">
            <w:pPr>
              <w:tabs>
                <w:tab w:val="left" w:pos="1828"/>
              </w:tabs>
              <w:jc w:val="both"/>
              <w:rPr>
                <w:rFonts w:ascii="Palatino Linotype" w:hAnsi="Palatino Linotype"/>
                <w:color w:val="000000"/>
                <w:sz w:val="22"/>
              </w:rPr>
            </w:pPr>
            <w:r w:rsidRPr="00836E67">
              <w:rPr>
                <w:rFonts w:ascii="Palatino Linotype" w:hAnsi="Palatino Linotype" w:cs="Arial"/>
              </w:rPr>
              <w:t>Fecha de ingreso</w:t>
            </w:r>
          </w:p>
        </w:tc>
        <w:tc>
          <w:tcPr>
            <w:tcW w:w="4111" w:type="dxa"/>
            <w:vMerge/>
            <w:shd w:val="clear" w:color="auto" w:fill="auto"/>
          </w:tcPr>
          <w:p w:rsidR="00DB2124" w:rsidRPr="00836E67" w:rsidRDefault="00DB2124" w:rsidP="001B187B">
            <w:pPr>
              <w:jc w:val="both"/>
              <w:rPr>
                <w:rFonts w:ascii="Palatino Linotype" w:hAnsi="Palatino Linotype"/>
                <w:color w:val="000000"/>
              </w:rPr>
            </w:pPr>
          </w:p>
        </w:tc>
        <w:tc>
          <w:tcPr>
            <w:tcW w:w="1372" w:type="dxa"/>
            <w:vMerge/>
            <w:shd w:val="clear" w:color="auto" w:fill="auto"/>
          </w:tcPr>
          <w:p w:rsidR="00DB2124" w:rsidRPr="00836E67" w:rsidRDefault="00DB2124" w:rsidP="001B187B">
            <w:pPr>
              <w:jc w:val="center"/>
              <w:rPr>
                <w:rFonts w:ascii="Palatino Linotype" w:hAnsi="Palatino Linotype"/>
                <w:b/>
                <w:i/>
                <w:color w:val="000000"/>
              </w:rPr>
            </w:pPr>
          </w:p>
        </w:tc>
      </w:tr>
      <w:tr w:rsidR="00DB2124" w:rsidRPr="00836E67" w:rsidTr="0048396C">
        <w:trPr>
          <w:trHeight w:val="396"/>
        </w:trPr>
        <w:tc>
          <w:tcPr>
            <w:tcW w:w="3671" w:type="dxa"/>
            <w:shd w:val="clear" w:color="auto" w:fill="auto"/>
          </w:tcPr>
          <w:p w:rsidR="00DB2124" w:rsidRPr="00836E67" w:rsidRDefault="00DB2124" w:rsidP="001B187B">
            <w:pPr>
              <w:tabs>
                <w:tab w:val="left" w:pos="1828"/>
              </w:tabs>
              <w:jc w:val="both"/>
              <w:rPr>
                <w:rFonts w:ascii="Palatino Linotype" w:hAnsi="Palatino Linotype"/>
                <w:color w:val="000000"/>
                <w:sz w:val="22"/>
              </w:rPr>
            </w:pPr>
            <w:r w:rsidRPr="00836E67">
              <w:rPr>
                <w:rFonts w:ascii="Palatino Linotype" w:hAnsi="Palatino Linotype" w:cs="Arial"/>
              </w:rPr>
              <w:t>Actividades que realiza</w:t>
            </w:r>
          </w:p>
        </w:tc>
        <w:tc>
          <w:tcPr>
            <w:tcW w:w="4111" w:type="dxa"/>
            <w:vMerge/>
            <w:shd w:val="clear" w:color="auto" w:fill="auto"/>
          </w:tcPr>
          <w:p w:rsidR="00DB2124" w:rsidRPr="00836E67" w:rsidRDefault="00DB2124" w:rsidP="001B187B">
            <w:pPr>
              <w:jc w:val="both"/>
              <w:rPr>
                <w:rFonts w:ascii="Palatino Linotype" w:hAnsi="Palatino Linotype"/>
                <w:color w:val="000000"/>
              </w:rPr>
            </w:pPr>
          </w:p>
        </w:tc>
        <w:tc>
          <w:tcPr>
            <w:tcW w:w="1372" w:type="dxa"/>
            <w:vMerge/>
            <w:shd w:val="clear" w:color="auto" w:fill="auto"/>
          </w:tcPr>
          <w:p w:rsidR="00DB2124" w:rsidRPr="00836E67" w:rsidRDefault="00DB2124" w:rsidP="001B187B">
            <w:pPr>
              <w:jc w:val="center"/>
              <w:rPr>
                <w:rFonts w:ascii="Palatino Linotype" w:hAnsi="Palatino Linotype"/>
                <w:b/>
                <w:i/>
                <w:color w:val="000000"/>
              </w:rPr>
            </w:pPr>
          </w:p>
        </w:tc>
      </w:tr>
      <w:tr w:rsidR="00DB2124" w:rsidRPr="00836E67" w:rsidTr="0048396C">
        <w:trPr>
          <w:trHeight w:val="396"/>
        </w:trPr>
        <w:tc>
          <w:tcPr>
            <w:tcW w:w="3671" w:type="dxa"/>
            <w:shd w:val="clear" w:color="auto" w:fill="auto"/>
          </w:tcPr>
          <w:p w:rsidR="00DB2124" w:rsidRPr="00836E67" w:rsidRDefault="00DB2124" w:rsidP="001B187B">
            <w:pPr>
              <w:tabs>
                <w:tab w:val="left" w:pos="1828"/>
              </w:tabs>
              <w:jc w:val="both"/>
              <w:rPr>
                <w:rFonts w:ascii="Palatino Linotype" w:hAnsi="Palatino Linotype"/>
                <w:color w:val="000000"/>
                <w:sz w:val="22"/>
              </w:rPr>
            </w:pPr>
            <w:r w:rsidRPr="00836E67">
              <w:rPr>
                <w:rFonts w:ascii="Palatino Linotype" w:hAnsi="Palatino Linotype" w:cs="Arial"/>
              </w:rPr>
              <w:t>Percepciones quincenales</w:t>
            </w:r>
          </w:p>
        </w:tc>
        <w:tc>
          <w:tcPr>
            <w:tcW w:w="4111" w:type="dxa"/>
            <w:vMerge/>
            <w:shd w:val="clear" w:color="auto" w:fill="auto"/>
          </w:tcPr>
          <w:p w:rsidR="00DB2124" w:rsidRPr="00836E67" w:rsidRDefault="00DB2124" w:rsidP="001B187B">
            <w:pPr>
              <w:jc w:val="both"/>
              <w:rPr>
                <w:rFonts w:ascii="Palatino Linotype" w:hAnsi="Palatino Linotype"/>
                <w:color w:val="000000"/>
              </w:rPr>
            </w:pPr>
          </w:p>
        </w:tc>
        <w:tc>
          <w:tcPr>
            <w:tcW w:w="1372" w:type="dxa"/>
            <w:vMerge/>
            <w:shd w:val="clear" w:color="auto" w:fill="auto"/>
          </w:tcPr>
          <w:p w:rsidR="00DB2124" w:rsidRPr="00836E67" w:rsidRDefault="00DB2124" w:rsidP="001B187B">
            <w:pPr>
              <w:jc w:val="center"/>
              <w:rPr>
                <w:rFonts w:ascii="Palatino Linotype" w:hAnsi="Palatino Linotype"/>
                <w:b/>
                <w:i/>
                <w:color w:val="000000"/>
              </w:rPr>
            </w:pPr>
          </w:p>
        </w:tc>
      </w:tr>
      <w:tr w:rsidR="001B187B" w:rsidRPr="00836E67" w:rsidTr="0048396C">
        <w:trPr>
          <w:trHeight w:val="396"/>
        </w:trPr>
        <w:tc>
          <w:tcPr>
            <w:tcW w:w="3671" w:type="dxa"/>
            <w:shd w:val="clear" w:color="auto" w:fill="auto"/>
          </w:tcPr>
          <w:p w:rsidR="001B187B" w:rsidRPr="00836E67" w:rsidRDefault="001B187B" w:rsidP="001B187B">
            <w:pPr>
              <w:tabs>
                <w:tab w:val="left" w:pos="1828"/>
              </w:tabs>
              <w:jc w:val="both"/>
              <w:rPr>
                <w:rFonts w:ascii="Palatino Linotype" w:hAnsi="Palatino Linotype"/>
                <w:color w:val="000000"/>
                <w:sz w:val="22"/>
              </w:rPr>
            </w:pPr>
            <w:r w:rsidRPr="00836E67">
              <w:rPr>
                <w:rFonts w:ascii="Palatino Linotype" w:hAnsi="Palatino Linotype" w:cs="Arial"/>
              </w:rPr>
              <w:t>Familiares directos que son trabajadores en el mismo ayuntamiento</w:t>
            </w:r>
          </w:p>
        </w:tc>
        <w:tc>
          <w:tcPr>
            <w:tcW w:w="4111" w:type="dxa"/>
            <w:shd w:val="clear" w:color="auto" w:fill="auto"/>
          </w:tcPr>
          <w:p w:rsidR="001B187B" w:rsidRPr="00836E67" w:rsidRDefault="00DB2124" w:rsidP="001B187B">
            <w:pPr>
              <w:jc w:val="both"/>
              <w:rPr>
                <w:rFonts w:ascii="Palatino Linotype" w:hAnsi="Palatino Linotype"/>
                <w:color w:val="000000"/>
              </w:rPr>
            </w:pPr>
            <w:r w:rsidRPr="00836E67">
              <w:rPr>
                <w:rFonts w:ascii="Palatino Linotype" w:hAnsi="Palatino Linotype"/>
                <w:color w:val="000000"/>
              </w:rPr>
              <w:t>No hubo pronunciamiento</w:t>
            </w:r>
          </w:p>
        </w:tc>
        <w:tc>
          <w:tcPr>
            <w:tcW w:w="1372" w:type="dxa"/>
            <w:shd w:val="clear" w:color="auto" w:fill="auto"/>
          </w:tcPr>
          <w:p w:rsidR="001B187B" w:rsidRPr="00836E67" w:rsidRDefault="00546369" w:rsidP="001B187B">
            <w:pPr>
              <w:jc w:val="center"/>
              <w:rPr>
                <w:rFonts w:ascii="Palatino Linotype" w:hAnsi="Palatino Linotype"/>
                <w:b/>
                <w:i/>
                <w:color w:val="000000"/>
              </w:rPr>
            </w:pPr>
            <w:r w:rsidRPr="00836E67">
              <w:rPr>
                <w:rFonts w:ascii="Palatino Linotype" w:hAnsi="Palatino Linotype"/>
                <w:b/>
                <w:i/>
                <w:color w:val="000000"/>
              </w:rPr>
              <w:t>Derecho de petición</w:t>
            </w:r>
          </w:p>
        </w:tc>
      </w:tr>
      <w:tr w:rsidR="001B187B" w:rsidRPr="00836E67" w:rsidTr="0048396C">
        <w:trPr>
          <w:trHeight w:val="396"/>
        </w:trPr>
        <w:tc>
          <w:tcPr>
            <w:tcW w:w="3671" w:type="dxa"/>
            <w:shd w:val="clear" w:color="auto" w:fill="auto"/>
          </w:tcPr>
          <w:p w:rsidR="001B187B" w:rsidRPr="00836E67" w:rsidRDefault="001B187B" w:rsidP="001B187B">
            <w:pPr>
              <w:tabs>
                <w:tab w:val="left" w:pos="1828"/>
              </w:tabs>
              <w:jc w:val="both"/>
              <w:rPr>
                <w:rFonts w:ascii="Palatino Linotype" w:hAnsi="Palatino Linotype"/>
                <w:color w:val="000000"/>
                <w:sz w:val="22"/>
              </w:rPr>
            </w:pPr>
            <w:r w:rsidRPr="00836E67">
              <w:rPr>
                <w:rFonts w:ascii="Palatino Linotype" w:hAnsi="Palatino Linotype" w:cs="Arial"/>
              </w:rPr>
              <w:t>Se adjunte chequeos de entrada y salida de cada día</w:t>
            </w:r>
          </w:p>
        </w:tc>
        <w:tc>
          <w:tcPr>
            <w:tcW w:w="4111" w:type="dxa"/>
            <w:shd w:val="clear" w:color="auto" w:fill="auto"/>
          </w:tcPr>
          <w:p w:rsidR="001B187B" w:rsidRPr="00836E67" w:rsidRDefault="00DB2124" w:rsidP="001B187B">
            <w:pPr>
              <w:jc w:val="both"/>
              <w:rPr>
                <w:rFonts w:ascii="Palatino Linotype" w:hAnsi="Palatino Linotype"/>
                <w:color w:val="000000"/>
              </w:rPr>
            </w:pPr>
            <w:r w:rsidRPr="00836E67">
              <w:rPr>
                <w:rFonts w:ascii="Palatino Linotype" w:hAnsi="Palatino Linotype"/>
                <w:color w:val="000000"/>
              </w:rPr>
              <w:t>No hubo pronunciamiento</w:t>
            </w:r>
          </w:p>
        </w:tc>
        <w:tc>
          <w:tcPr>
            <w:tcW w:w="1372" w:type="dxa"/>
            <w:shd w:val="clear" w:color="auto" w:fill="auto"/>
          </w:tcPr>
          <w:p w:rsidR="001B187B" w:rsidRPr="00836E67" w:rsidRDefault="00546369" w:rsidP="001B187B">
            <w:pPr>
              <w:jc w:val="center"/>
              <w:rPr>
                <w:rFonts w:ascii="Palatino Linotype" w:hAnsi="Palatino Linotype"/>
                <w:b/>
                <w:i/>
                <w:color w:val="000000"/>
              </w:rPr>
            </w:pPr>
            <w:r w:rsidRPr="00836E67">
              <w:rPr>
                <w:rFonts w:ascii="Palatino Linotype" w:hAnsi="Palatino Linotype"/>
                <w:b/>
                <w:i/>
                <w:color w:val="000000"/>
              </w:rPr>
              <w:t xml:space="preserve">No </w:t>
            </w:r>
          </w:p>
        </w:tc>
      </w:tr>
      <w:tr w:rsidR="00B8548C" w:rsidRPr="00836E67" w:rsidTr="0048396C">
        <w:trPr>
          <w:trHeight w:val="396"/>
        </w:trPr>
        <w:tc>
          <w:tcPr>
            <w:tcW w:w="3671" w:type="dxa"/>
            <w:shd w:val="clear" w:color="auto" w:fill="auto"/>
          </w:tcPr>
          <w:p w:rsidR="00B8548C" w:rsidRPr="00836E67" w:rsidRDefault="001B187B" w:rsidP="001B187B">
            <w:pPr>
              <w:tabs>
                <w:tab w:val="left" w:pos="1828"/>
              </w:tabs>
              <w:jc w:val="both"/>
              <w:rPr>
                <w:rFonts w:ascii="Palatino Linotype" w:hAnsi="Palatino Linotype"/>
                <w:color w:val="000000"/>
                <w:sz w:val="22"/>
              </w:rPr>
            </w:pPr>
            <w:r w:rsidRPr="00836E67">
              <w:rPr>
                <w:rFonts w:ascii="Palatino Linotype" w:hAnsi="Palatino Linotype" w:cs="Arial"/>
              </w:rPr>
              <w:t>Se proporcione los acuses de manifestación de bienes anual correspondiente a los años 2025, 2024, 2023, 2022</w:t>
            </w:r>
          </w:p>
        </w:tc>
        <w:tc>
          <w:tcPr>
            <w:tcW w:w="4111" w:type="dxa"/>
            <w:shd w:val="clear" w:color="auto" w:fill="auto"/>
          </w:tcPr>
          <w:p w:rsidR="00B8548C" w:rsidRPr="00836E67" w:rsidRDefault="001B187B" w:rsidP="001B187B">
            <w:pPr>
              <w:jc w:val="both"/>
              <w:rPr>
                <w:rFonts w:ascii="Palatino Linotype" w:hAnsi="Palatino Linotype"/>
                <w:color w:val="000000"/>
              </w:rPr>
            </w:pPr>
            <w:r w:rsidRPr="00836E67">
              <w:rPr>
                <w:rFonts w:ascii="Palatino Linotype" w:hAnsi="Palatino Linotype"/>
                <w:color w:val="000000"/>
              </w:rPr>
              <w:t xml:space="preserve">Incompetencia </w:t>
            </w:r>
          </w:p>
        </w:tc>
        <w:tc>
          <w:tcPr>
            <w:tcW w:w="1372" w:type="dxa"/>
            <w:shd w:val="clear" w:color="auto" w:fill="auto"/>
          </w:tcPr>
          <w:p w:rsidR="00B8548C" w:rsidRPr="00836E67" w:rsidRDefault="001B187B" w:rsidP="001B187B">
            <w:pPr>
              <w:jc w:val="center"/>
              <w:rPr>
                <w:rFonts w:ascii="Palatino Linotype" w:hAnsi="Palatino Linotype"/>
                <w:b/>
                <w:i/>
                <w:color w:val="000000"/>
              </w:rPr>
            </w:pPr>
            <w:r w:rsidRPr="00836E67">
              <w:rPr>
                <w:rFonts w:ascii="Palatino Linotype" w:hAnsi="Palatino Linotype"/>
                <w:b/>
                <w:i/>
                <w:color w:val="000000"/>
              </w:rPr>
              <w:t>Sí</w:t>
            </w:r>
          </w:p>
        </w:tc>
      </w:tr>
      <w:tr w:rsidR="001B187B" w:rsidRPr="00836E67" w:rsidTr="0048396C">
        <w:trPr>
          <w:trHeight w:val="396"/>
        </w:trPr>
        <w:tc>
          <w:tcPr>
            <w:tcW w:w="3671" w:type="dxa"/>
            <w:shd w:val="clear" w:color="auto" w:fill="auto"/>
          </w:tcPr>
          <w:p w:rsidR="001B187B" w:rsidRPr="00836E67" w:rsidRDefault="001B187B" w:rsidP="0048396C">
            <w:pPr>
              <w:tabs>
                <w:tab w:val="left" w:pos="1828"/>
              </w:tabs>
              <w:jc w:val="both"/>
              <w:rPr>
                <w:rFonts w:ascii="Palatino Linotype" w:hAnsi="Palatino Linotype"/>
                <w:color w:val="000000"/>
                <w:sz w:val="22"/>
              </w:rPr>
            </w:pPr>
            <w:r w:rsidRPr="00836E67">
              <w:rPr>
                <w:rFonts w:ascii="Palatino Linotype" w:hAnsi="Palatino Linotype" w:cs="Arial"/>
              </w:rPr>
              <w:t>Chequeo de asistencia de los días en que efectuó dichas manifestaciones</w:t>
            </w:r>
          </w:p>
        </w:tc>
        <w:tc>
          <w:tcPr>
            <w:tcW w:w="4111" w:type="dxa"/>
            <w:shd w:val="clear" w:color="auto" w:fill="auto"/>
          </w:tcPr>
          <w:p w:rsidR="001B187B" w:rsidRPr="00836E67" w:rsidRDefault="001B187B" w:rsidP="001B187B">
            <w:pPr>
              <w:jc w:val="both"/>
              <w:rPr>
                <w:rFonts w:ascii="Palatino Linotype" w:hAnsi="Palatino Linotype"/>
                <w:color w:val="000000"/>
              </w:rPr>
            </w:pPr>
            <w:r w:rsidRPr="00836E67">
              <w:rPr>
                <w:rFonts w:ascii="Palatino Linotype" w:hAnsi="Palatino Linotype"/>
                <w:color w:val="000000"/>
              </w:rPr>
              <w:t>No hubo pronunciamiento</w:t>
            </w:r>
          </w:p>
        </w:tc>
        <w:tc>
          <w:tcPr>
            <w:tcW w:w="1372" w:type="dxa"/>
            <w:shd w:val="clear" w:color="auto" w:fill="auto"/>
          </w:tcPr>
          <w:p w:rsidR="001B187B" w:rsidRPr="00836E67" w:rsidRDefault="006F5A68" w:rsidP="001B187B">
            <w:pPr>
              <w:jc w:val="center"/>
              <w:rPr>
                <w:rFonts w:ascii="Palatino Linotype" w:hAnsi="Palatino Linotype"/>
                <w:b/>
                <w:i/>
                <w:color w:val="000000"/>
              </w:rPr>
            </w:pPr>
            <w:r w:rsidRPr="00836E67">
              <w:rPr>
                <w:rFonts w:ascii="Palatino Linotype" w:hAnsi="Palatino Linotype"/>
                <w:b/>
                <w:i/>
                <w:color w:val="000000"/>
              </w:rPr>
              <w:t>No</w:t>
            </w:r>
          </w:p>
        </w:tc>
      </w:tr>
    </w:tbl>
    <w:p w:rsidR="004C1DC0" w:rsidRPr="00836E67" w:rsidRDefault="004C1DC0" w:rsidP="004C1DC0">
      <w:pPr>
        <w:spacing w:line="360" w:lineRule="auto"/>
        <w:jc w:val="both"/>
        <w:rPr>
          <w:rFonts w:ascii="Palatino Linotype" w:hAnsi="Palatino Linotype" w:cs="Arial"/>
        </w:rPr>
      </w:pPr>
    </w:p>
    <w:p w:rsidR="004C1DC0" w:rsidRPr="00836E67" w:rsidRDefault="004C1DC0" w:rsidP="004C1DC0">
      <w:pPr>
        <w:spacing w:line="360" w:lineRule="auto"/>
        <w:jc w:val="both"/>
        <w:rPr>
          <w:rFonts w:ascii="Palatino Linotype" w:hAnsi="Palatino Linotype"/>
          <w:color w:val="000000"/>
        </w:rPr>
      </w:pPr>
    </w:p>
    <w:p w:rsidR="004C1DC0" w:rsidRPr="00836E67" w:rsidRDefault="004C1DC0" w:rsidP="004C1DC0">
      <w:pPr>
        <w:spacing w:line="360" w:lineRule="auto"/>
        <w:jc w:val="both"/>
        <w:rPr>
          <w:rFonts w:ascii="Palatino Linotype" w:hAnsi="Palatino Linotype"/>
          <w:color w:val="000000"/>
        </w:rPr>
      </w:pPr>
      <w:r w:rsidRPr="00836E67">
        <w:rPr>
          <w:rFonts w:ascii="Palatino Linotype" w:hAnsi="Palatino Linotype"/>
          <w:color w:val="000000"/>
        </w:rPr>
        <w:t xml:space="preserve">Ahora bien, Nuestra Carta Magna dispone que para el ejercicio del derecho de acceso a la información los Estados deben observar diversos principios y bases, entre los </w:t>
      </w:r>
      <w:r w:rsidRPr="00836E67">
        <w:rPr>
          <w:rFonts w:ascii="Palatino Linotype" w:hAnsi="Palatino Linotype"/>
          <w:color w:val="000000"/>
        </w:rPr>
        <w:lastRenderedPageBreak/>
        <w:t>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C1DC0" w:rsidRPr="00836E67" w:rsidRDefault="004C1DC0" w:rsidP="004C1DC0">
      <w:pPr>
        <w:spacing w:line="360" w:lineRule="auto"/>
        <w:jc w:val="both"/>
        <w:rPr>
          <w:rFonts w:ascii="Palatino Linotype" w:hAnsi="Palatino Linotype"/>
          <w:color w:val="000000"/>
        </w:rPr>
      </w:pPr>
    </w:p>
    <w:p w:rsidR="004C1DC0" w:rsidRPr="00836E67" w:rsidRDefault="004C1DC0" w:rsidP="004C1DC0">
      <w:pPr>
        <w:ind w:left="567" w:right="567"/>
        <w:jc w:val="both"/>
        <w:rPr>
          <w:rFonts w:ascii="Palatino Linotype" w:hAnsi="Palatino Linotype"/>
          <w:b/>
          <w:i/>
        </w:rPr>
      </w:pPr>
      <w:r w:rsidRPr="00836E67">
        <w:rPr>
          <w:rFonts w:ascii="Palatino Linotype" w:hAnsi="Palatino Linotype"/>
          <w:b/>
          <w:i/>
        </w:rPr>
        <w:t>Artículo 6</w:t>
      </w:r>
    </w:p>
    <w:p w:rsidR="004C1DC0" w:rsidRPr="00836E67" w:rsidRDefault="004C1DC0" w:rsidP="004C1DC0">
      <w:pPr>
        <w:ind w:left="567" w:right="567"/>
        <w:jc w:val="both"/>
        <w:rPr>
          <w:rFonts w:ascii="Palatino Linotype" w:hAnsi="Palatino Linotype"/>
          <w:i/>
        </w:rPr>
      </w:pPr>
      <w:r w:rsidRPr="00836E67">
        <w:rPr>
          <w:rFonts w:ascii="Palatino Linotype" w:hAnsi="Palatino Linotype"/>
          <w:i/>
        </w:rPr>
        <w:t>…</w:t>
      </w:r>
    </w:p>
    <w:p w:rsidR="004C1DC0" w:rsidRPr="00836E67" w:rsidRDefault="004C1DC0" w:rsidP="004C1DC0">
      <w:pPr>
        <w:ind w:left="567" w:right="567"/>
        <w:jc w:val="both"/>
        <w:rPr>
          <w:rFonts w:ascii="Palatino Linotype" w:hAnsi="Palatino Linotype"/>
          <w:i/>
        </w:rPr>
      </w:pPr>
      <w:r w:rsidRPr="00836E67">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4C1DC0" w:rsidRPr="00836E67" w:rsidRDefault="004C1DC0" w:rsidP="004C1DC0">
      <w:pPr>
        <w:ind w:left="567" w:right="567"/>
        <w:jc w:val="both"/>
        <w:rPr>
          <w:rFonts w:ascii="Palatino Linotype" w:hAnsi="Palatino Linotype"/>
          <w:i/>
        </w:rPr>
      </w:pPr>
    </w:p>
    <w:p w:rsidR="004C1DC0" w:rsidRPr="00836E67" w:rsidRDefault="004C1DC0" w:rsidP="004C1DC0">
      <w:pPr>
        <w:numPr>
          <w:ilvl w:val="0"/>
          <w:numId w:val="5"/>
        </w:numPr>
        <w:ind w:left="993" w:right="567"/>
        <w:jc w:val="both"/>
        <w:rPr>
          <w:rFonts w:ascii="Palatino Linotype" w:hAnsi="Palatino Linotype"/>
          <w:i/>
        </w:rPr>
      </w:pPr>
      <w:r w:rsidRPr="00836E67">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C1DC0" w:rsidRPr="00836E67" w:rsidRDefault="004C1DC0" w:rsidP="004C1DC0">
      <w:pPr>
        <w:spacing w:line="360" w:lineRule="auto"/>
        <w:jc w:val="both"/>
        <w:rPr>
          <w:rFonts w:ascii="Palatino Linotype" w:hAnsi="Palatino Linotype"/>
        </w:rPr>
      </w:pPr>
    </w:p>
    <w:p w:rsidR="004C1DC0" w:rsidRPr="00836E67" w:rsidRDefault="004C1DC0" w:rsidP="004C1DC0">
      <w:pPr>
        <w:spacing w:line="360" w:lineRule="auto"/>
        <w:jc w:val="both"/>
        <w:rPr>
          <w:rFonts w:ascii="Palatino Linotype" w:hAnsi="Palatino Linotype" w:cs="Arial"/>
        </w:rPr>
      </w:pPr>
      <w:r w:rsidRPr="00836E67">
        <w:rPr>
          <w:rFonts w:ascii="Palatino Linotype" w:hAnsi="Palatino Linotype" w:cs="Arial"/>
        </w:rPr>
        <w:t xml:space="preserve">Por otro lado, en atención a lo dispuesto por los artículos 3, fracción XI y 12 </w:t>
      </w:r>
      <w:r w:rsidRPr="00836E67">
        <w:rPr>
          <w:rFonts w:ascii="Palatino Linotype" w:hAnsi="Palatino Linotype" w:cs="Arial"/>
          <w:bCs/>
        </w:rPr>
        <w:t>de la Ley de Transparencia y Acceso a la Información Pública del Estado de México y Municipios</w:t>
      </w:r>
      <w:r w:rsidRPr="00836E67">
        <w:rPr>
          <w:rFonts w:ascii="Palatino Linotype" w:hAnsi="Palatino Linotype" w:cs="Arial"/>
        </w:rPr>
        <w:t>, los cuales son del tenor literal siguiente:</w:t>
      </w:r>
    </w:p>
    <w:p w:rsidR="004C1DC0" w:rsidRPr="00836E67" w:rsidRDefault="004C1DC0" w:rsidP="004C1DC0">
      <w:pPr>
        <w:ind w:left="567" w:right="567"/>
        <w:jc w:val="both"/>
        <w:rPr>
          <w:rFonts w:ascii="Palatino Linotype" w:hAnsi="Palatino Linotype"/>
        </w:rPr>
      </w:pPr>
    </w:p>
    <w:p w:rsidR="004C1DC0" w:rsidRPr="00836E67" w:rsidRDefault="004C1DC0" w:rsidP="004C1DC0">
      <w:pPr>
        <w:ind w:left="567" w:right="332"/>
        <w:jc w:val="both"/>
        <w:rPr>
          <w:rFonts w:ascii="Palatino Linotype" w:hAnsi="Palatino Linotype"/>
          <w:i/>
        </w:rPr>
      </w:pPr>
      <w:r w:rsidRPr="00836E67">
        <w:rPr>
          <w:rFonts w:ascii="Palatino Linotype" w:hAnsi="Palatino Linotype"/>
          <w:b/>
          <w:bCs/>
          <w:i/>
        </w:rPr>
        <w:t xml:space="preserve">Artículo 3.- </w:t>
      </w:r>
      <w:r w:rsidRPr="00836E67">
        <w:rPr>
          <w:rFonts w:ascii="Palatino Linotype" w:hAnsi="Palatino Linotype"/>
          <w:i/>
        </w:rPr>
        <w:t>Para los efectos de la presente Ley se entenderá por:</w:t>
      </w:r>
    </w:p>
    <w:p w:rsidR="004C1DC0" w:rsidRPr="00836E67" w:rsidRDefault="004C1DC0" w:rsidP="004C1DC0">
      <w:pPr>
        <w:ind w:left="567" w:right="332"/>
        <w:jc w:val="both"/>
        <w:rPr>
          <w:rFonts w:ascii="Palatino Linotype" w:hAnsi="Palatino Linotype"/>
          <w:i/>
        </w:rPr>
      </w:pPr>
      <w:r w:rsidRPr="00836E67">
        <w:rPr>
          <w:rFonts w:ascii="Palatino Linotype" w:hAnsi="Palatino Linotype"/>
          <w:i/>
        </w:rPr>
        <w:lastRenderedPageBreak/>
        <w:t>…</w:t>
      </w:r>
    </w:p>
    <w:p w:rsidR="004C1DC0" w:rsidRPr="00836E67" w:rsidRDefault="004C1DC0" w:rsidP="004C1DC0">
      <w:pPr>
        <w:ind w:left="567" w:right="332"/>
        <w:jc w:val="both"/>
        <w:rPr>
          <w:rFonts w:ascii="Palatino Linotype" w:hAnsi="Palatino Linotype"/>
          <w:i/>
        </w:rPr>
      </w:pPr>
      <w:r w:rsidRPr="00836E67">
        <w:rPr>
          <w:rFonts w:ascii="Palatino Linotype" w:hAnsi="Palatino Linotype"/>
          <w:b/>
          <w:i/>
        </w:rPr>
        <w:t>XI.</w:t>
      </w:r>
      <w:r w:rsidRPr="00836E67">
        <w:rPr>
          <w:rFonts w:ascii="Palatino Linotype" w:hAnsi="Palatino Linotype"/>
          <w:i/>
        </w:rPr>
        <w:t xml:space="preserve"> </w:t>
      </w:r>
      <w:r w:rsidRPr="00836E67">
        <w:rPr>
          <w:rFonts w:ascii="Palatino Linotype" w:hAnsi="Palatino Linotype"/>
          <w:b/>
          <w:i/>
        </w:rPr>
        <w:t>Documento:</w:t>
      </w:r>
      <w:r w:rsidRPr="00836E67">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836E67">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836E67">
        <w:rPr>
          <w:rFonts w:ascii="Palatino Linotype" w:hAnsi="Palatino Linotype"/>
          <w:i/>
        </w:rPr>
        <w:t xml:space="preserve"> Los documentos podrán estar en cualquier medio, sea escrito, impreso, sonoro, visual, electrónico, informático u holográfico;</w:t>
      </w:r>
    </w:p>
    <w:p w:rsidR="004C1DC0" w:rsidRPr="00836E67" w:rsidRDefault="004C1DC0" w:rsidP="004C1DC0">
      <w:pPr>
        <w:ind w:left="567" w:right="332"/>
        <w:jc w:val="both"/>
        <w:rPr>
          <w:rFonts w:ascii="Palatino Linotype" w:hAnsi="Palatino Linotype"/>
          <w:i/>
        </w:rPr>
      </w:pPr>
    </w:p>
    <w:p w:rsidR="004C1DC0" w:rsidRPr="00836E67" w:rsidRDefault="004C1DC0" w:rsidP="004C1DC0">
      <w:pPr>
        <w:ind w:left="567" w:right="332"/>
        <w:jc w:val="both"/>
        <w:rPr>
          <w:rFonts w:ascii="Palatino Linotype" w:hAnsi="Palatino Linotype"/>
          <w:i/>
        </w:rPr>
      </w:pPr>
    </w:p>
    <w:p w:rsidR="004C1DC0" w:rsidRPr="00836E67" w:rsidRDefault="004C1DC0" w:rsidP="004C1DC0">
      <w:pPr>
        <w:ind w:left="567" w:right="332"/>
        <w:jc w:val="both"/>
        <w:rPr>
          <w:rFonts w:ascii="Palatino Linotype" w:hAnsi="Palatino Linotype"/>
          <w:bCs/>
          <w:i/>
        </w:rPr>
      </w:pPr>
      <w:r w:rsidRPr="00836E67">
        <w:rPr>
          <w:rFonts w:ascii="Palatino Linotype" w:hAnsi="Palatino Linotype"/>
          <w:b/>
          <w:bCs/>
          <w:i/>
        </w:rPr>
        <w:t>Artículo 4.</w:t>
      </w:r>
      <w:r w:rsidRPr="00836E67">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C1DC0" w:rsidRPr="00836E67" w:rsidRDefault="004C1DC0" w:rsidP="004C1DC0">
      <w:pPr>
        <w:ind w:left="567" w:right="332"/>
        <w:jc w:val="both"/>
        <w:rPr>
          <w:rFonts w:ascii="Palatino Linotype" w:hAnsi="Palatino Linotype"/>
          <w:bCs/>
          <w:i/>
        </w:rPr>
      </w:pPr>
      <w:r w:rsidRPr="00836E67">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836E67">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C1DC0" w:rsidRPr="00836E67" w:rsidRDefault="004C1DC0" w:rsidP="004C1DC0">
      <w:pPr>
        <w:ind w:left="567" w:right="332"/>
        <w:jc w:val="both"/>
        <w:rPr>
          <w:rFonts w:ascii="Palatino Linotype" w:hAnsi="Palatino Linotype"/>
          <w:bCs/>
          <w:i/>
        </w:rPr>
      </w:pPr>
      <w:r w:rsidRPr="00836E67">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4C1DC0" w:rsidRPr="00836E67" w:rsidRDefault="004C1DC0" w:rsidP="004C1DC0">
      <w:pPr>
        <w:ind w:left="567" w:right="332"/>
        <w:jc w:val="both"/>
        <w:rPr>
          <w:rFonts w:ascii="Palatino Linotype" w:hAnsi="Palatino Linotype"/>
          <w:i/>
        </w:rPr>
      </w:pPr>
    </w:p>
    <w:p w:rsidR="004C1DC0" w:rsidRPr="00836E67" w:rsidRDefault="004C1DC0" w:rsidP="004C1DC0">
      <w:pPr>
        <w:ind w:left="567" w:right="332"/>
        <w:jc w:val="both"/>
        <w:rPr>
          <w:rFonts w:ascii="Palatino Linotype" w:hAnsi="Palatino Linotype"/>
          <w:i/>
        </w:rPr>
      </w:pPr>
      <w:r w:rsidRPr="00836E67">
        <w:rPr>
          <w:rFonts w:ascii="Palatino Linotype" w:hAnsi="Palatino Linotype"/>
          <w:b/>
          <w:i/>
        </w:rPr>
        <w:t>Artículo 12.</w:t>
      </w:r>
      <w:r w:rsidRPr="00836E67">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4C1DC0" w:rsidRPr="00836E67" w:rsidRDefault="004C1DC0" w:rsidP="004C1DC0">
      <w:pPr>
        <w:ind w:left="567" w:right="332"/>
        <w:jc w:val="both"/>
        <w:rPr>
          <w:rFonts w:ascii="Palatino Linotype" w:hAnsi="Palatino Linotype"/>
          <w:i/>
          <w:u w:val="single"/>
        </w:rPr>
      </w:pPr>
      <w:r w:rsidRPr="00836E67">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36E67">
        <w:rPr>
          <w:rFonts w:ascii="Palatino Linotype" w:hAnsi="Palatino Linotype"/>
          <w:i/>
        </w:rPr>
        <w:t>.</w:t>
      </w:r>
    </w:p>
    <w:p w:rsidR="004C1DC0" w:rsidRPr="00836E67" w:rsidRDefault="004C1DC0" w:rsidP="004C1DC0">
      <w:pPr>
        <w:spacing w:line="360" w:lineRule="auto"/>
        <w:jc w:val="both"/>
        <w:rPr>
          <w:rFonts w:ascii="Palatino Linotype" w:hAnsi="Palatino Linotype"/>
        </w:rPr>
      </w:pPr>
    </w:p>
    <w:p w:rsidR="004C1DC0" w:rsidRPr="00836E67" w:rsidRDefault="004C1DC0" w:rsidP="004C1DC0">
      <w:pPr>
        <w:spacing w:line="360" w:lineRule="auto"/>
        <w:jc w:val="both"/>
        <w:rPr>
          <w:rFonts w:ascii="Palatino Linotype" w:hAnsi="Palatino Linotype"/>
        </w:rPr>
      </w:pPr>
      <w:r w:rsidRPr="00836E67">
        <w:rPr>
          <w:rFonts w:ascii="Palatino Linotype" w:hAnsi="Palatino Linotype" w:cs="Aria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4C1DC0" w:rsidRPr="00836E67" w:rsidRDefault="004C1DC0" w:rsidP="004C1DC0">
      <w:pPr>
        <w:spacing w:line="360" w:lineRule="auto"/>
        <w:jc w:val="both"/>
        <w:rPr>
          <w:rFonts w:ascii="Palatino Linotype" w:hAnsi="Palatino Linotype"/>
        </w:rPr>
      </w:pPr>
    </w:p>
    <w:p w:rsidR="004C1DC0" w:rsidRPr="00836E67" w:rsidRDefault="004C1DC0" w:rsidP="004C1DC0">
      <w:pPr>
        <w:spacing w:line="360" w:lineRule="auto"/>
        <w:jc w:val="both"/>
        <w:rPr>
          <w:rFonts w:ascii="Palatino Linotype" w:eastAsia="Calibri" w:hAnsi="Palatino Linotype" w:cs="Arial"/>
          <w:color w:val="000000"/>
          <w:lang w:val="es-ES_tradnl" w:eastAsia="es-MX"/>
        </w:rPr>
      </w:pPr>
    </w:p>
    <w:p w:rsidR="004C1DC0" w:rsidRPr="00836E67" w:rsidRDefault="004C1DC0" w:rsidP="004C1DC0">
      <w:pPr>
        <w:spacing w:line="360" w:lineRule="auto"/>
        <w:jc w:val="both"/>
        <w:rPr>
          <w:rFonts w:ascii="Palatino Linotype" w:eastAsia="Calibri" w:hAnsi="Palatino Linotype" w:cs="Arial"/>
          <w:color w:val="000000"/>
          <w:lang w:val="es-ES_tradnl" w:eastAsia="es-MX"/>
        </w:rPr>
      </w:pPr>
      <w:r w:rsidRPr="00836E67">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836E67">
        <w:rPr>
          <w:rFonts w:ascii="Palatino Linotype" w:eastAsia="Calibri" w:hAnsi="Palatino Linotype" w:cs="Arial"/>
          <w:b/>
          <w:color w:val="000000"/>
          <w:lang w:val="es-ES_tradnl" w:eastAsia="es-MX"/>
        </w:rPr>
        <w:t xml:space="preserve"> </w:t>
      </w:r>
      <w:r w:rsidRPr="00836E67">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w:t>
      </w:r>
      <w:r w:rsidRPr="00836E67">
        <w:rPr>
          <w:rFonts w:ascii="Palatino Linotype" w:eastAsia="Calibri" w:hAnsi="Palatino Linotype" w:cs="Arial"/>
          <w:b/>
          <w:color w:val="000000"/>
          <w:lang w:val="es-ES_tradnl" w:eastAsia="es-MX"/>
        </w:rPr>
        <w:t xml:space="preserve">un documento </w:t>
      </w:r>
      <w:r w:rsidRPr="00836E67">
        <w:rPr>
          <w:rFonts w:ascii="Palatino Linotype" w:eastAsia="Calibri" w:hAnsi="Palatino Linotype" w:cs="Arial"/>
          <w:b/>
          <w:i/>
          <w:color w:val="000000"/>
          <w:lang w:val="es-ES_tradnl" w:eastAsia="es-MX"/>
        </w:rPr>
        <w:t>ad hoc</w:t>
      </w:r>
      <w:r w:rsidRPr="00836E67">
        <w:rPr>
          <w:rFonts w:ascii="Palatino Linotype" w:eastAsia="Calibri" w:hAnsi="Palatino Linotype" w:cs="Arial"/>
          <w:color w:val="000000"/>
          <w:lang w:val="es-ES_tradnl" w:eastAsia="es-MX"/>
        </w:rPr>
        <w:t>, para satisfacer el derecho de acceso a la información pública.</w:t>
      </w:r>
    </w:p>
    <w:p w:rsidR="004C1DC0" w:rsidRPr="00836E67" w:rsidRDefault="004C1DC0" w:rsidP="004C1DC0">
      <w:pPr>
        <w:spacing w:line="360" w:lineRule="auto"/>
        <w:jc w:val="both"/>
        <w:rPr>
          <w:rFonts w:ascii="Palatino Linotype" w:eastAsia="Calibri" w:hAnsi="Palatino Linotype" w:cs="Arial"/>
          <w:color w:val="000000"/>
          <w:lang w:val="es-ES_tradnl" w:eastAsia="es-MX"/>
        </w:rPr>
      </w:pPr>
    </w:p>
    <w:p w:rsidR="004C1DC0" w:rsidRPr="00836E67" w:rsidRDefault="004C1DC0" w:rsidP="004C1DC0">
      <w:pPr>
        <w:spacing w:line="360" w:lineRule="auto"/>
        <w:jc w:val="both"/>
        <w:rPr>
          <w:rFonts w:ascii="Palatino Linotype" w:eastAsia="Calibri" w:hAnsi="Palatino Linotype" w:cs="Calibri"/>
          <w:b/>
          <w:bCs/>
          <w:color w:val="000000"/>
          <w:lang w:val="es-ES_tradnl" w:eastAsia="es-MX"/>
        </w:rPr>
      </w:pPr>
      <w:r w:rsidRPr="00836E67">
        <w:rPr>
          <w:rFonts w:ascii="Palatino Linotype" w:eastAsia="Calibri" w:hAnsi="Palatino Linotype" w:cs="Arial"/>
          <w:color w:val="000000"/>
          <w:lang w:val="es-ES_tradnl" w:eastAsia="es-MX"/>
        </w:rPr>
        <w:t xml:space="preserve">Como apoyo a lo anterior, es aplicable el Criterio orientador 03-17, emitido por </w:t>
      </w:r>
      <w:r w:rsidRPr="00836E67">
        <w:rPr>
          <w:rFonts w:ascii="Palatino Linotype" w:eastAsia="Arial Unicode MS" w:hAnsi="Palatino Linotype" w:cs="Arial"/>
          <w:color w:val="000000"/>
          <w:lang w:val="es-ES_tradnl" w:eastAsia="es-MX"/>
        </w:rPr>
        <w:t>el entonces Instituto Nacional de Transparencia, Acceso a la Información y Protección de Datos Personales,</w:t>
      </w:r>
      <w:r w:rsidRPr="00836E67">
        <w:rPr>
          <w:rFonts w:ascii="Palatino Linotype" w:eastAsia="Calibri" w:hAnsi="Palatino Linotype" w:cs="Calibri"/>
          <w:bCs/>
          <w:color w:val="000000"/>
          <w:lang w:val="es-ES_tradnl" w:eastAsia="es-MX"/>
        </w:rPr>
        <w:t xml:space="preserve"> que dice:</w:t>
      </w:r>
      <w:r w:rsidRPr="00836E67">
        <w:rPr>
          <w:rFonts w:ascii="Palatino Linotype" w:eastAsia="Calibri" w:hAnsi="Palatino Linotype" w:cs="Calibri"/>
          <w:b/>
          <w:bCs/>
          <w:color w:val="000000"/>
          <w:lang w:val="es-ES_tradnl" w:eastAsia="es-MX"/>
        </w:rPr>
        <w:t xml:space="preserve"> </w:t>
      </w:r>
    </w:p>
    <w:p w:rsidR="004C1DC0" w:rsidRPr="00836E67" w:rsidRDefault="004C1DC0" w:rsidP="004C1DC0">
      <w:pPr>
        <w:spacing w:line="360" w:lineRule="auto"/>
        <w:jc w:val="both"/>
        <w:rPr>
          <w:rFonts w:ascii="Palatino Linotype" w:hAnsi="Palatino Linotype"/>
          <w:lang w:val="es-ES_tradnl"/>
        </w:rPr>
      </w:pPr>
    </w:p>
    <w:p w:rsidR="004C1DC0" w:rsidRPr="00836E67" w:rsidRDefault="004C1DC0" w:rsidP="004C1DC0">
      <w:pPr>
        <w:spacing w:line="360" w:lineRule="auto"/>
        <w:ind w:left="851" w:right="850"/>
        <w:jc w:val="both"/>
        <w:rPr>
          <w:rFonts w:ascii="Palatino Linotype" w:eastAsia="Calibri" w:hAnsi="Palatino Linotype" w:cs="Arial"/>
          <w:color w:val="000000"/>
          <w:sz w:val="2"/>
          <w:lang w:val="es-ES_tradnl" w:eastAsia="es-MX"/>
        </w:rPr>
      </w:pPr>
    </w:p>
    <w:p w:rsidR="004C1DC0" w:rsidRPr="00836E67" w:rsidRDefault="004C1DC0" w:rsidP="004C1DC0">
      <w:pPr>
        <w:ind w:left="567" w:right="567"/>
        <w:jc w:val="both"/>
        <w:rPr>
          <w:rFonts w:ascii="Palatino Linotype" w:eastAsia="Calibri" w:hAnsi="Palatino Linotype" w:cs="Arial"/>
          <w:i/>
          <w:color w:val="000000"/>
          <w:lang w:val="es-ES_tradnl" w:eastAsia="es-MX"/>
        </w:rPr>
      </w:pPr>
      <w:r w:rsidRPr="00836E67">
        <w:rPr>
          <w:rFonts w:ascii="Palatino Linotype" w:eastAsia="Calibri" w:hAnsi="Palatino Linotype" w:cs="Arial"/>
          <w:b/>
          <w:i/>
          <w:color w:val="000000"/>
          <w:lang w:val="es-ES_tradnl" w:eastAsia="es-MX"/>
        </w:rPr>
        <w:t>No existe obligación de elaborar documentos ad hoc para atender las solicitudes de acceso a la información.</w:t>
      </w:r>
      <w:r w:rsidRPr="00836E67">
        <w:rPr>
          <w:rFonts w:ascii="Palatino Linotype" w:eastAsia="Calibri" w:hAnsi="Palatino Linotype" w:cs="Arial"/>
          <w:i/>
          <w:color w:val="000000"/>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836E67">
        <w:rPr>
          <w:rFonts w:ascii="Palatino Linotype" w:eastAsia="Calibri" w:hAnsi="Palatino Linotype" w:cs="Arial"/>
          <w:i/>
          <w:color w:val="000000"/>
          <w:lang w:val="es-ES_tradnl" w:eastAsia="es-MX"/>
        </w:rPr>
        <w:lastRenderedPageBreak/>
        <w:t>cuentan en el formato en que la misma obre en sus archivos; sin necesidad de elaborar documentos ad hoc para atender las solicitudes de información.</w:t>
      </w:r>
    </w:p>
    <w:p w:rsidR="004C1DC0" w:rsidRPr="00836E67" w:rsidRDefault="004C1DC0" w:rsidP="004C1DC0">
      <w:pPr>
        <w:ind w:left="567" w:right="567"/>
        <w:jc w:val="both"/>
        <w:rPr>
          <w:rFonts w:ascii="Palatino Linotype" w:eastAsia="Calibri" w:hAnsi="Palatino Linotype" w:cs="Arial"/>
          <w:i/>
          <w:color w:val="000000"/>
          <w:sz w:val="2"/>
          <w:lang w:val="es-ES_tradnl" w:eastAsia="es-MX"/>
        </w:rPr>
      </w:pPr>
    </w:p>
    <w:p w:rsidR="004C1DC0" w:rsidRPr="00836E67" w:rsidRDefault="004C1DC0" w:rsidP="004C1DC0">
      <w:pPr>
        <w:spacing w:line="360" w:lineRule="auto"/>
        <w:jc w:val="both"/>
        <w:rPr>
          <w:rFonts w:ascii="Palatino Linotype" w:eastAsia="Calibri" w:hAnsi="Palatino Linotype" w:cs="Arial"/>
          <w:color w:val="000000"/>
          <w:lang w:val="es-ES_tradnl" w:eastAsia="es-MX"/>
        </w:rPr>
      </w:pPr>
    </w:p>
    <w:p w:rsidR="00263752" w:rsidRPr="00836E67" w:rsidRDefault="00263752" w:rsidP="00263752">
      <w:pPr>
        <w:spacing w:line="360" w:lineRule="auto"/>
        <w:jc w:val="both"/>
        <w:rPr>
          <w:rFonts w:ascii="Palatino Linotype" w:hAnsi="Palatino Linotype" w:cs="Arial"/>
          <w:noProof/>
          <w:color w:val="000000"/>
          <w:lang w:eastAsia="es-MX"/>
        </w:rPr>
      </w:pPr>
      <w:r w:rsidRPr="00836E67">
        <w:rPr>
          <w:rFonts w:ascii="Palatino Linotype" w:hAnsi="Palatino Linotype" w:cs="Arial"/>
          <w:noProof/>
          <w:color w:val="000000"/>
          <w:lang w:eastAsia="es-MX"/>
        </w:rPr>
        <w:t xml:space="preserve">Con base en lo anteriormente expuesto, se arriba a la conclusión de que la respuesta del </w:t>
      </w:r>
      <w:r w:rsidRPr="00836E67">
        <w:rPr>
          <w:rFonts w:ascii="Palatino Linotype" w:hAnsi="Palatino Linotype" w:cs="Arial"/>
          <w:b/>
          <w:noProof/>
          <w:color w:val="000000"/>
          <w:lang w:eastAsia="es-MX"/>
        </w:rPr>
        <w:t xml:space="preserve">Sujeto Obligado </w:t>
      </w:r>
      <w:r w:rsidRPr="00836E67">
        <w:rPr>
          <w:rFonts w:ascii="Palatino Linotype" w:hAnsi="Palatino Linotype" w:cs="Arial"/>
          <w:noProof/>
          <w:color w:val="000000"/>
          <w:lang w:eastAsia="es-MX"/>
        </w:rPr>
        <w:t>no</w:t>
      </w:r>
      <w:r w:rsidRPr="00836E67">
        <w:rPr>
          <w:rFonts w:ascii="Palatino Linotype" w:hAnsi="Palatino Linotype" w:cs="Arial"/>
          <w:b/>
          <w:noProof/>
          <w:color w:val="000000"/>
          <w:lang w:eastAsia="es-MX"/>
        </w:rPr>
        <w:t xml:space="preserve"> </w:t>
      </w:r>
      <w:r w:rsidRPr="00836E67">
        <w:rPr>
          <w:rFonts w:ascii="Palatino Linotype" w:hAnsi="Palatino Linotype" w:cs="Arial"/>
          <w:noProof/>
          <w:color w:val="000000"/>
          <w:lang w:eastAsia="es-MX"/>
        </w:rPr>
        <w:t xml:space="preserve">colmó el derecho de acceso a la información ejercido por el particular. </w:t>
      </w:r>
    </w:p>
    <w:p w:rsidR="00263752" w:rsidRPr="00836E67" w:rsidRDefault="00263752" w:rsidP="00263752">
      <w:pPr>
        <w:spacing w:after="160" w:line="360" w:lineRule="auto"/>
        <w:jc w:val="both"/>
        <w:rPr>
          <w:rFonts w:ascii="Palatino Linotype" w:eastAsiaTheme="minorHAnsi" w:hAnsi="Palatino Linotype" w:cs="Arial"/>
          <w:szCs w:val="22"/>
          <w:lang w:val="es-MX" w:eastAsia="en-US"/>
        </w:rPr>
      </w:pPr>
    </w:p>
    <w:p w:rsidR="00263752" w:rsidRPr="00836E67" w:rsidRDefault="00263752" w:rsidP="00263752">
      <w:pPr>
        <w:spacing w:line="360" w:lineRule="auto"/>
        <w:jc w:val="both"/>
        <w:rPr>
          <w:rFonts w:ascii="Palatino Linotype" w:hAnsi="Palatino Linotype" w:cs="Palatino Linotype"/>
          <w:b/>
          <w:i/>
          <w:color w:val="000000"/>
          <w:sz w:val="28"/>
        </w:rPr>
      </w:pPr>
      <w:r w:rsidRPr="00836E67">
        <w:rPr>
          <w:rFonts w:ascii="Palatino Linotype" w:hAnsi="Palatino Linotype" w:cs="Palatino Linotype"/>
          <w:b/>
          <w:i/>
          <w:color w:val="000000"/>
          <w:sz w:val="28"/>
        </w:rPr>
        <w:t xml:space="preserve">De la Versión Pública </w:t>
      </w:r>
    </w:p>
    <w:p w:rsidR="00263752" w:rsidRPr="00836E67" w:rsidRDefault="00263752" w:rsidP="00263752">
      <w:pPr>
        <w:tabs>
          <w:tab w:val="left" w:pos="7938"/>
        </w:tabs>
        <w:spacing w:before="240" w:after="240" w:line="360" w:lineRule="auto"/>
        <w:jc w:val="both"/>
        <w:rPr>
          <w:rFonts w:ascii="Palatino Linotype" w:eastAsia="Arial Unicode MS" w:hAnsi="Palatino Linotype" w:cs="Arial"/>
          <w:lang w:val="es-ES_tradnl" w:eastAsia="es-MX"/>
        </w:rPr>
      </w:pPr>
      <w:r w:rsidRPr="00836E67">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263752" w:rsidRPr="00836E67" w:rsidRDefault="00263752" w:rsidP="00263752">
      <w:pPr>
        <w:spacing w:before="240" w:line="360" w:lineRule="auto"/>
        <w:ind w:left="851" w:right="851"/>
        <w:jc w:val="both"/>
        <w:rPr>
          <w:rFonts w:ascii="Palatino Linotype" w:eastAsia="Calibri" w:hAnsi="Palatino Linotype" w:cs="Arial"/>
          <w:i/>
          <w:lang w:val="es-ES_tradnl" w:eastAsia="es-MX"/>
        </w:rPr>
      </w:pPr>
      <w:r w:rsidRPr="00836E67">
        <w:rPr>
          <w:rFonts w:ascii="Palatino Linotype" w:eastAsia="Calibri" w:hAnsi="Palatino Linotype" w:cs="Arial"/>
          <w:i/>
          <w:lang w:val="es-ES_tradnl" w:eastAsia="es-MX"/>
        </w:rPr>
        <w:t>“Artículo 3. Para los efectos de la presente Ley se entenderá por:</w:t>
      </w:r>
    </w:p>
    <w:p w:rsidR="00263752" w:rsidRPr="00836E67" w:rsidRDefault="00263752" w:rsidP="00263752">
      <w:pPr>
        <w:spacing w:before="240" w:line="360" w:lineRule="auto"/>
        <w:ind w:left="851" w:right="851"/>
        <w:jc w:val="both"/>
        <w:rPr>
          <w:rFonts w:ascii="Palatino Linotype" w:eastAsia="Calibri" w:hAnsi="Palatino Linotype" w:cs="Arial"/>
          <w:i/>
          <w:lang w:val="es-ES_tradnl" w:eastAsia="es-MX"/>
        </w:rPr>
      </w:pPr>
      <w:r w:rsidRPr="00836E67">
        <w:rPr>
          <w:rFonts w:ascii="Palatino Linotype" w:eastAsia="Calibri" w:hAnsi="Palatino Linotype" w:cs="Arial"/>
          <w:i/>
          <w:lang w:val="es-ES_tradnl" w:eastAsia="es-MX"/>
        </w:rPr>
        <w:t>(…)</w:t>
      </w:r>
    </w:p>
    <w:p w:rsidR="00263752" w:rsidRPr="00836E67" w:rsidRDefault="00263752" w:rsidP="00263752">
      <w:pPr>
        <w:spacing w:before="240" w:line="360" w:lineRule="auto"/>
        <w:ind w:left="851" w:right="851"/>
        <w:jc w:val="both"/>
        <w:rPr>
          <w:rFonts w:ascii="Palatino Linotype" w:eastAsia="Calibri" w:hAnsi="Palatino Linotype" w:cs="Arial"/>
          <w:b/>
          <w:i/>
          <w:lang w:val="es-ES_tradnl" w:eastAsia="es-MX"/>
        </w:rPr>
      </w:pPr>
      <w:r w:rsidRPr="00836E67">
        <w:rPr>
          <w:rFonts w:ascii="Palatino Linotype" w:eastAsia="Calibri" w:hAnsi="Palatino Linotype" w:cs="Arial"/>
          <w:b/>
          <w:i/>
          <w:u w:val="single"/>
          <w:lang w:val="es-ES_tradnl" w:eastAsia="es-MX"/>
        </w:rPr>
        <w:t>IX. Datos personales:</w:t>
      </w:r>
      <w:r w:rsidRPr="00836E67">
        <w:rPr>
          <w:rFonts w:ascii="Palatino Linotype" w:eastAsia="Calibri" w:hAnsi="Palatino Linotype" w:cs="Arial"/>
          <w:b/>
          <w:i/>
          <w:lang w:val="es-ES_tradnl" w:eastAsia="es-MX"/>
        </w:rPr>
        <w:t xml:space="preserve"> </w:t>
      </w:r>
      <w:r w:rsidRPr="00836E6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rsidR="00263752" w:rsidRPr="00836E67" w:rsidRDefault="00263752" w:rsidP="00263752">
      <w:pPr>
        <w:spacing w:before="240" w:line="360" w:lineRule="auto"/>
        <w:ind w:left="851" w:right="851"/>
        <w:jc w:val="both"/>
        <w:rPr>
          <w:rFonts w:ascii="Palatino Linotype" w:eastAsia="Calibri" w:hAnsi="Palatino Linotype" w:cs="Arial"/>
          <w:b/>
          <w:i/>
          <w:lang w:val="es-ES_tradnl" w:eastAsia="es-MX"/>
        </w:rPr>
      </w:pPr>
      <w:r w:rsidRPr="00836E67">
        <w:rPr>
          <w:rFonts w:ascii="Palatino Linotype" w:eastAsia="Calibri" w:hAnsi="Palatino Linotype" w:cs="Arial"/>
          <w:b/>
          <w:i/>
          <w:lang w:val="es-ES_tradnl" w:eastAsia="es-MX"/>
        </w:rPr>
        <w:lastRenderedPageBreak/>
        <w:t>(…)</w:t>
      </w:r>
    </w:p>
    <w:p w:rsidR="00263752" w:rsidRPr="00836E67" w:rsidRDefault="00263752" w:rsidP="00263752">
      <w:pPr>
        <w:spacing w:before="240" w:line="360" w:lineRule="auto"/>
        <w:ind w:left="851" w:right="851"/>
        <w:jc w:val="both"/>
        <w:rPr>
          <w:rFonts w:ascii="Palatino Linotype" w:eastAsia="Calibri" w:hAnsi="Palatino Linotype" w:cs="Arial"/>
          <w:b/>
          <w:i/>
          <w:lang w:val="es-ES_tradnl" w:eastAsia="es-MX"/>
        </w:rPr>
      </w:pPr>
      <w:r w:rsidRPr="00836E67">
        <w:rPr>
          <w:rFonts w:ascii="Palatino Linotype" w:eastAsia="Calibri" w:hAnsi="Palatino Linotype" w:cs="Arial"/>
          <w:b/>
          <w:i/>
          <w:u w:val="single"/>
          <w:lang w:val="es-ES_tradnl" w:eastAsia="es-MX"/>
        </w:rPr>
        <w:t>XLV. Versión pública:</w:t>
      </w:r>
      <w:r w:rsidRPr="00836E67">
        <w:rPr>
          <w:rFonts w:ascii="Palatino Linotype" w:eastAsia="Calibri" w:hAnsi="Palatino Linotype" w:cs="Arial"/>
          <w:b/>
          <w:i/>
          <w:lang w:val="es-ES_tradnl" w:eastAsia="es-MX"/>
        </w:rPr>
        <w:t xml:space="preserve"> </w:t>
      </w:r>
      <w:r w:rsidRPr="00836E67">
        <w:rPr>
          <w:rFonts w:ascii="Palatino Linotype" w:eastAsia="Calibri" w:hAnsi="Palatino Linotype" w:cs="Arial"/>
          <w:i/>
          <w:lang w:val="es-ES_tradnl" w:eastAsia="es-MX"/>
        </w:rPr>
        <w:t>Documento en el que se elimine, suprime o borra la información clasificada como reservada o confidencial para permitir su acceso.</w:t>
      </w:r>
    </w:p>
    <w:p w:rsidR="00263752" w:rsidRPr="00836E67" w:rsidRDefault="00263752" w:rsidP="00263752">
      <w:pPr>
        <w:spacing w:before="240" w:line="360" w:lineRule="auto"/>
        <w:ind w:left="851" w:right="851"/>
        <w:jc w:val="both"/>
        <w:rPr>
          <w:rFonts w:ascii="Palatino Linotype" w:eastAsia="Calibri" w:hAnsi="Palatino Linotype" w:cs="Arial"/>
          <w:b/>
          <w:i/>
          <w:lang w:val="es-ES_tradnl" w:eastAsia="es-MX"/>
        </w:rPr>
      </w:pPr>
      <w:r w:rsidRPr="00836E67">
        <w:rPr>
          <w:rFonts w:ascii="Palatino Linotype" w:eastAsia="Calibri" w:hAnsi="Palatino Linotype" w:cs="Arial"/>
          <w:i/>
          <w:lang w:val="es-ES_tradnl" w:eastAsia="es-MX"/>
        </w:rPr>
        <w:t xml:space="preserve">Artículo 122. </w:t>
      </w:r>
      <w:r w:rsidRPr="00836E67">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rsidR="00263752" w:rsidRPr="00836E67" w:rsidRDefault="00263752" w:rsidP="00263752">
      <w:pPr>
        <w:spacing w:before="240" w:line="360" w:lineRule="auto"/>
        <w:ind w:left="851" w:right="851"/>
        <w:jc w:val="both"/>
        <w:rPr>
          <w:rFonts w:ascii="Palatino Linotype" w:eastAsia="Calibri" w:hAnsi="Palatino Linotype" w:cs="Arial"/>
          <w:i/>
          <w:lang w:val="es-ES_tradnl" w:eastAsia="es-MX"/>
        </w:rPr>
      </w:pPr>
      <w:r w:rsidRPr="00836E67">
        <w:rPr>
          <w:rFonts w:ascii="Palatino Linotype" w:eastAsia="Calibri" w:hAnsi="Palatino Linotype" w:cs="Arial"/>
          <w:i/>
          <w:lang w:val="es-ES_tradnl" w:eastAsia="es-MX"/>
        </w:rPr>
        <w:t>[…]</w:t>
      </w:r>
    </w:p>
    <w:p w:rsidR="00263752" w:rsidRPr="00836E67" w:rsidRDefault="00263752" w:rsidP="00263752">
      <w:pPr>
        <w:spacing w:before="240" w:line="360" w:lineRule="auto"/>
        <w:ind w:left="851" w:right="851"/>
        <w:jc w:val="both"/>
        <w:rPr>
          <w:rFonts w:ascii="Palatino Linotype" w:eastAsia="Calibri" w:hAnsi="Palatino Linotype" w:cs="Arial"/>
          <w:i/>
          <w:lang w:val="es-ES_tradnl" w:eastAsia="es-MX"/>
        </w:rPr>
      </w:pPr>
      <w:r w:rsidRPr="00836E67">
        <w:rPr>
          <w:rFonts w:ascii="Palatino Linotype" w:eastAsia="Calibri" w:hAnsi="Palatino Linotype" w:cs="Arial"/>
          <w:i/>
          <w:lang w:val="es-ES_tradnl" w:eastAsia="es-MX"/>
        </w:rPr>
        <w:t>Artículo 132. La clasificación de la información se llevará a cabo en el momento en que:</w:t>
      </w:r>
    </w:p>
    <w:p w:rsidR="00263752" w:rsidRPr="00836E67" w:rsidRDefault="00263752" w:rsidP="00263752">
      <w:pPr>
        <w:spacing w:before="240" w:line="360" w:lineRule="auto"/>
        <w:ind w:left="851" w:right="851"/>
        <w:jc w:val="both"/>
        <w:rPr>
          <w:rFonts w:ascii="Palatino Linotype" w:eastAsia="Calibri" w:hAnsi="Palatino Linotype" w:cs="Arial"/>
          <w:i/>
          <w:lang w:val="es-ES_tradnl" w:eastAsia="es-MX"/>
        </w:rPr>
      </w:pPr>
      <w:r w:rsidRPr="00836E67">
        <w:rPr>
          <w:rFonts w:ascii="Palatino Linotype" w:eastAsia="Calibri" w:hAnsi="Palatino Linotype" w:cs="Arial"/>
          <w:i/>
          <w:lang w:val="es-ES_tradnl" w:eastAsia="es-MX"/>
        </w:rPr>
        <w:t>[…]</w:t>
      </w:r>
    </w:p>
    <w:p w:rsidR="00263752" w:rsidRPr="00836E67" w:rsidRDefault="00263752" w:rsidP="00263752">
      <w:pPr>
        <w:spacing w:before="240" w:line="360" w:lineRule="auto"/>
        <w:ind w:left="851" w:right="851"/>
        <w:jc w:val="both"/>
        <w:rPr>
          <w:rFonts w:ascii="Palatino Linotype" w:eastAsia="Calibri" w:hAnsi="Palatino Linotype" w:cs="Arial"/>
          <w:b/>
          <w:i/>
          <w:u w:val="single"/>
          <w:lang w:val="es-ES_tradnl" w:eastAsia="es-MX"/>
        </w:rPr>
      </w:pPr>
      <w:r w:rsidRPr="00836E67">
        <w:rPr>
          <w:rFonts w:ascii="Palatino Linotype" w:eastAsia="Calibri" w:hAnsi="Palatino Linotype" w:cs="Arial"/>
          <w:b/>
          <w:i/>
          <w:u w:val="single"/>
          <w:lang w:val="es-ES_tradnl" w:eastAsia="es-MX"/>
        </w:rPr>
        <w:t>II. Se determine mediante resolución de autoridad competente; o</w:t>
      </w:r>
    </w:p>
    <w:p w:rsidR="00263752" w:rsidRPr="00836E67" w:rsidRDefault="00263752" w:rsidP="00263752">
      <w:pPr>
        <w:spacing w:before="240" w:line="360" w:lineRule="auto"/>
        <w:ind w:left="851" w:right="851"/>
        <w:jc w:val="both"/>
        <w:rPr>
          <w:rFonts w:ascii="Palatino Linotype" w:eastAsia="Calibri" w:hAnsi="Palatino Linotype" w:cs="Arial"/>
          <w:b/>
          <w:i/>
          <w:lang w:val="es-ES_tradnl" w:eastAsia="es-MX"/>
        </w:rPr>
      </w:pPr>
      <w:r w:rsidRPr="00836E67">
        <w:rPr>
          <w:rFonts w:ascii="Palatino Linotype" w:eastAsia="Calibri" w:hAnsi="Palatino Linotype" w:cs="Arial"/>
          <w:b/>
          <w:i/>
          <w:lang w:val="es-ES_tradnl" w:eastAsia="es-MX"/>
        </w:rPr>
        <w:t>(…)</w:t>
      </w:r>
    </w:p>
    <w:p w:rsidR="00263752" w:rsidRPr="00836E67" w:rsidRDefault="00263752" w:rsidP="00263752">
      <w:pPr>
        <w:spacing w:before="240" w:line="360" w:lineRule="auto"/>
        <w:ind w:left="851" w:right="851"/>
        <w:jc w:val="both"/>
        <w:rPr>
          <w:rFonts w:ascii="Palatino Linotype" w:eastAsia="Calibri" w:hAnsi="Palatino Linotype" w:cs="Arial"/>
          <w:b/>
          <w:i/>
          <w:lang w:val="es-ES_tradnl" w:eastAsia="es-MX"/>
        </w:rPr>
      </w:pPr>
      <w:r w:rsidRPr="00836E6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836E67">
        <w:rPr>
          <w:rFonts w:ascii="Palatino Linotype" w:eastAsia="Calibri" w:hAnsi="Palatino Linotype" w:cs="Arial"/>
          <w:b/>
          <w:i/>
          <w:lang w:val="es-ES_tradnl" w:eastAsia="es-MX"/>
        </w:rPr>
        <w:t xml:space="preserve"> </w:t>
      </w:r>
      <w:r w:rsidRPr="00836E67">
        <w:rPr>
          <w:rFonts w:ascii="Palatino Linotype" w:eastAsia="Calibri" w:hAnsi="Palatino Linotype" w:cs="Arial"/>
          <w:b/>
          <w:i/>
          <w:u w:val="single"/>
          <w:lang w:val="es-ES_tradnl" w:eastAsia="es-MX"/>
        </w:rPr>
        <w:t xml:space="preserve">de manera genérica y fundando y motivando su clasificación.” </w:t>
      </w:r>
      <w:r w:rsidRPr="00836E67">
        <w:rPr>
          <w:rFonts w:ascii="Palatino Linotype" w:eastAsia="Calibri" w:hAnsi="Palatino Linotype" w:cs="Arial"/>
          <w:b/>
          <w:i/>
          <w:lang w:val="es-ES_tradnl" w:eastAsia="es-MX"/>
        </w:rPr>
        <w:t>[Sic]</w:t>
      </w:r>
    </w:p>
    <w:p w:rsidR="00263752" w:rsidRPr="00836E67" w:rsidRDefault="00263752" w:rsidP="00263752">
      <w:pPr>
        <w:spacing w:line="360" w:lineRule="auto"/>
        <w:ind w:right="51"/>
        <w:jc w:val="both"/>
        <w:rPr>
          <w:rFonts w:ascii="Palatino Linotype" w:eastAsia="Arial Unicode MS" w:hAnsi="Palatino Linotype" w:cs="Arial"/>
          <w:lang w:val="es-ES_tradnl" w:eastAsia="es-MX"/>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rsidR="00AF1F4F" w:rsidRPr="00836E67" w:rsidRDefault="00AF1F4F" w:rsidP="00263752">
      <w:pPr>
        <w:spacing w:line="360" w:lineRule="auto"/>
        <w:jc w:val="both"/>
        <w:rPr>
          <w:rFonts w:ascii="Palatino Linotype" w:eastAsiaTheme="minorHAnsi" w:hAnsi="Palatino Linotype" w:cstheme="minorBidi"/>
          <w:szCs w:val="22"/>
          <w:lang w:val="es-MX" w:eastAsia="en-US"/>
        </w:rPr>
      </w:pPr>
    </w:p>
    <w:p w:rsidR="00263752" w:rsidRPr="00836E67" w:rsidRDefault="00263752" w:rsidP="00263752">
      <w:pPr>
        <w:spacing w:line="360" w:lineRule="auto"/>
        <w:jc w:val="both"/>
        <w:rPr>
          <w:rFonts w:ascii="Palatino Linotype" w:hAnsi="Palatino Linotype" w:cs="Arial"/>
          <w:b/>
        </w:rPr>
      </w:pPr>
      <w:r w:rsidRPr="00836E67">
        <w:rPr>
          <w:rFonts w:ascii="Palatino Linotype" w:hAnsi="Palatino Linotype" w:cs="Arial"/>
        </w:rPr>
        <w:t xml:space="preserve">En caso específico, de los documentos solicitados pueden obrar datos que son considerados confidenciales, cuyo acceso debe ser restringido, los cuales deben testarse al momento de la elaboración de versiones públicas, como es el caso del </w:t>
      </w:r>
      <w:r w:rsidRPr="00836E67">
        <w:rPr>
          <w:rFonts w:ascii="Palatino Linotype" w:hAnsi="Palatino Linotype" w:cs="Arial"/>
          <w:b/>
        </w:rPr>
        <w:t>Registro Federal de Contribuyentes (RFC)</w:t>
      </w:r>
      <w:r w:rsidRPr="00836E67">
        <w:rPr>
          <w:rFonts w:ascii="Palatino Linotype" w:hAnsi="Palatino Linotype" w:cs="Arial"/>
        </w:rPr>
        <w:t xml:space="preserve"> y la </w:t>
      </w:r>
      <w:r w:rsidRPr="00836E67">
        <w:rPr>
          <w:rFonts w:ascii="Palatino Linotype" w:hAnsi="Palatino Linotype" w:cs="Arial"/>
          <w:b/>
        </w:rPr>
        <w:t>Clave Única de Registro de Población (CURP).</w:t>
      </w:r>
    </w:p>
    <w:p w:rsidR="00263752" w:rsidRPr="00836E67" w:rsidRDefault="00263752" w:rsidP="00263752">
      <w:pPr>
        <w:spacing w:line="360" w:lineRule="auto"/>
        <w:jc w:val="both"/>
        <w:rPr>
          <w:rFonts w:ascii="Palatino Linotype" w:hAnsi="Palatino Linotype" w:cs="Arial"/>
          <w:b/>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t xml:space="preserve">Por cuanto hace al </w:t>
      </w:r>
      <w:r w:rsidRPr="00836E67">
        <w:rPr>
          <w:rFonts w:ascii="Palatino Linotype" w:hAnsi="Palatino Linotype" w:cs="Arial"/>
          <w:b/>
        </w:rPr>
        <w:t>Registro Federal de Contribuyentes de las personas físicas</w:t>
      </w:r>
      <w:r w:rsidRPr="00836E67">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t>Al respecto, el entonces Instituto Nacional Transparencia, Acceso a la Información y Protección de Datos Personales (INAI) a través del Criterio orientador 19/17, señala literalmente lo siguiente:</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276" w:lineRule="auto"/>
        <w:ind w:left="567" w:right="567"/>
        <w:jc w:val="both"/>
        <w:rPr>
          <w:rFonts w:ascii="Palatino Linotype" w:hAnsi="Palatino Linotype" w:cs="Arial"/>
          <w:i/>
        </w:rPr>
      </w:pPr>
      <w:r w:rsidRPr="00836E67">
        <w:rPr>
          <w:rFonts w:ascii="Palatino Linotype" w:hAnsi="Palatino Linotype" w:cs="Arial"/>
          <w:i/>
        </w:rPr>
        <w:t>“</w:t>
      </w:r>
      <w:r w:rsidRPr="00836E67">
        <w:rPr>
          <w:rFonts w:ascii="Palatino Linotype" w:hAnsi="Palatino Linotype" w:cs="Arial"/>
          <w:b/>
          <w:i/>
        </w:rPr>
        <w:t>Registro Federal de Contribuyentes (RFC) de personas físicas</w:t>
      </w:r>
      <w:r w:rsidRPr="00836E67">
        <w:rPr>
          <w:rFonts w:ascii="Palatino Linotype" w:hAnsi="Palatino Linotype" w:cs="Arial"/>
          <w:i/>
        </w:rPr>
        <w:t>. El RFC es una clave de carácter fiscal, única e irrepetible, que permite identificar al titular, su edad y fecha de nacimiento, por lo que es un dato personal de carácter confidencial.</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lastRenderedPageBreak/>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t xml:space="preserve">Por cuanto hace a la </w:t>
      </w:r>
      <w:r w:rsidRPr="00836E67">
        <w:rPr>
          <w:rFonts w:ascii="Palatino Linotype" w:hAnsi="Palatino Linotype" w:cs="Arial"/>
          <w:b/>
        </w:rPr>
        <w:t>Clave Única de Registro de Población</w:t>
      </w:r>
      <w:r w:rsidRPr="00836E67">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t>Lo anterior, tiene sustento en los artículos 86 y 91, de la Ley General de Población, la cual señala lo siguiente:</w:t>
      </w:r>
    </w:p>
    <w:p w:rsidR="00263752" w:rsidRPr="00836E67" w:rsidRDefault="00263752" w:rsidP="00263752">
      <w:pPr>
        <w:spacing w:line="276" w:lineRule="auto"/>
        <w:jc w:val="both"/>
        <w:rPr>
          <w:rFonts w:ascii="Palatino Linotype" w:hAnsi="Palatino Linotype" w:cs="Arial"/>
        </w:rPr>
      </w:pPr>
    </w:p>
    <w:p w:rsidR="00263752" w:rsidRPr="00836E67" w:rsidRDefault="00263752" w:rsidP="00263752">
      <w:pPr>
        <w:spacing w:line="276" w:lineRule="auto"/>
        <w:ind w:left="567" w:right="567"/>
        <w:jc w:val="both"/>
        <w:rPr>
          <w:rFonts w:ascii="Palatino Linotype" w:hAnsi="Palatino Linotype" w:cs="Arial"/>
          <w:i/>
        </w:rPr>
      </w:pPr>
      <w:r w:rsidRPr="00836E67">
        <w:rPr>
          <w:rFonts w:ascii="Palatino Linotype" w:hAnsi="Palatino Linotype" w:cs="Arial"/>
          <w:i/>
        </w:rPr>
        <w:t>“</w:t>
      </w:r>
      <w:r w:rsidRPr="00836E67">
        <w:rPr>
          <w:rFonts w:ascii="Palatino Linotype" w:hAnsi="Palatino Linotype" w:cs="Arial"/>
          <w:b/>
          <w:i/>
        </w:rPr>
        <w:t>Artículo 86.</w:t>
      </w:r>
      <w:r w:rsidRPr="00836E67">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rsidR="00263752" w:rsidRPr="00836E67" w:rsidRDefault="00263752" w:rsidP="00263752">
      <w:pPr>
        <w:spacing w:line="276" w:lineRule="auto"/>
        <w:ind w:left="567" w:right="567"/>
        <w:jc w:val="both"/>
        <w:rPr>
          <w:rFonts w:ascii="Palatino Linotype" w:hAnsi="Palatino Linotype" w:cs="Arial"/>
          <w:i/>
        </w:rPr>
      </w:pPr>
    </w:p>
    <w:p w:rsidR="00263752" w:rsidRPr="00836E67" w:rsidRDefault="00263752" w:rsidP="00263752">
      <w:pPr>
        <w:spacing w:line="276" w:lineRule="auto"/>
        <w:ind w:left="567" w:right="567"/>
        <w:jc w:val="both"/>
        <w:rPr>
          <w:rFonts w:ascii="Palatino Linotype" w:hAnsi="Palatino Linotype" w:cs="Arial"/>
          <w:i/>
        </w:rPr>
      </w:pPr>
      <w:r w:rsidRPr="00836E67">
        <w:rPr>
          <w:rFonts w:ascii="Palatino Linotype" w:hAnsi="Palatino Linotype" w:cs="Arial"/>
          <w:b/>
          <w:i/>
        </w:rPr>
        <w:t>Artículo 91.</w:t>
      </w:r>
      <w:r w:rsidRPr="00836E67">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w:t>
      </w:r>
      <w:r w:rsidRPr="00836E67">
        <w:rPr>
          <w:rFonts w:ascii="Palatino Linotype" w:hAnsi="Palatino Linotype" w:cs="Arial"/>
        </w:rPr>
        <w:lastRenderedPageBreak/>
        <w:t xml:space="preserve">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t>Al respecto, el entonces Instituto Nacional de Transparencia, Acceso a la Información y Protección de Datos Personales (INAI) a través del Criterio orientador 18/17, señala literalmente lo siguiente:</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276" w:lineRule="auto"/>
        <w:ind w:left="567" w:right="567"/>
        <w:jc w:val="both"/>
        <w:rPr>
          <w:rFonts w:ascii="Palatino Linotype" w:hAnsi="Palatino Linotype" w:cs="Arial"/>
          <w:i/>
        </w:rPr>
      </w:pPr>
      <w:r w:rsidRPr="00836E67">
        <w:rPr>
          <w:rFonts w:ascii="Palatino Linotype" w:hAnsi="Palatino Linotype" w:cs="Arial"/>
          <w:b/>
          <w:i/>
        </w:rPr>
        <w:t>Clave Única de Registro de Población (CURP).</w:t>
      </w:r>
      <w:r w:rsidRPr="00836E67">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63752" w:rsidRPr="00836E67" w:rsidRDefault="00263752" w:rsidP="00263752">
      <w:pPr>
        <w:spacing w:line="276" w:lineRule="auto"/>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63752" w:rsidRPr="00836E67" w:rsidRDefault="00263752" w:rsidP="00263752">
      <w:pPr>
        <w:spacing w:line="360" w:lineRule="auto"/>
        <w:ind w:right="51"/>
        <w:jc w:val="both"/>
        <w:rPr>
          <w:rFonts w:ascii="Palatino Linotype" w:eastAsia="Calibri" w:hAnsi="Palatino Linotype" w:cs="Arial"/>
          <w:lang w:val="es-ES_tradnl" w:eastAsia="es-MX"/>
        </w:rPr>
      </w:pPr>
    </w:p>
    <w:p w:rsidR="00263752" w:rsidRPr="00836E67" w:rsidRDefault="00263752" w:rsidP="00263752">
      <w:pPr>
        <w:spacing w:line="360" w:lineRule="auto"/>
        <w:ind w:right="51"/>
        <w:jc w:val="both"/>
        <w:rPr>
          <w:rFonts w:ascii="Palatino Linotype" w:eastAsia="Arial Unicode MS" w:hAnsi="Palatino Linotype" w:cs="Arial"/>
          <w:lang w:val="es-ES_tradnl" w:eastAsia="es-MX"/>
        </w:rPr>
      </w:pPr>
      <w:r w:rsidRPr="00836E6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36E6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836E6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263752" w:rsidRPr="00836E67" w:rsidRDefault="00263752" w:rsidP="00263752">
      <w:pPr>
        <w:spacing w:after="160" w:line="360" w:lineRule="auto"/>
        <w:jc w:val="both"/>
        <w:rPr>
          <w:rFonts w:ascii="Palatino Linotype" w:eastAsiaTheme="minorHAnsi" w:hAnsi="Palatino Linotype" w:cs="Arial"/>
          <w:szCs w:val="22"/>
          <w:lang w:val="es-MX" w:eastAsia="en-US"/>
        </w:rPr>
      </w:pP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rPr>
        <w:t xml:space="preserve">En mérito de lo expuesto en líneas anteriores, resultan parcialmente fundados los motivos de inconformidad que arguye </w:t>
      </w:r>
      <w:r w:rsidRPr="00836E67">
        <w:rPr>
          <w:rFonts w:ascii="Palatino Linotype" w:hAnsi="Palatino Linotype"/>
          <w:bCs/>
        </w:rPr>
        <w:t>el</w:t>
      </w:r>
      <w:r w:rsidRPr="00836E67">
        <w:rPr>
          <w:rFonts w:ascii="Palatino Linotype" w:hAnsi="Palatino Linotype"/>
          <w:b/>
          <w:bCs/>
        </w:rPr>
        <w:t xml:space="preserve"> Recurrente </w:t>
      </w:r>
      <w:r w:rsidRPr="00836E67">
        <w:rPr>
          <w:rFonts w:ascii="Palatino Linotype" w:hAnsi="Palatino Linotype"/>
        </w:rPr>
        <w:t xml:space="preserve">en su medio de impugnación que fue materia de estudio, por ello </w:t>
      </w:r>
      <w:r w:rsidRPr="00836E67">
        <w:rPr>
          <w:rFonts w:ascii="Palatino Linotype" w:hAnsi="Palatino Linotype" w:cs="Arial"/>
        </w:rPr>
        <w:t>con fundamento en la</w:t>
      </w:r>
      <w:r w:rsidRPr="00836E67">
        <w:rPr>
          <w:rFonts w:ascii="Palatino Linotype" w:hAnsi="Palatino Linotype" w:cs="Arial"/>
          <w:b/>
        </w:rPr>
        <w:t xml:space="preserve"> </w:t>
      </w:r>
      <w:r w:rsidRPr="00836E67">
        <w:rPr>
          <w:rFonts w:ascii="Palatino Linotype" w:hAnsi="Palatino Linotype" w:cs="Arial"/>
          <w:b/>
          <w:bCs/>
          <w:i/>
        </w:rPr>
        <w:t>segunda hipótesis</w:t>
      </w:r>
      <w:r w:rsidRPr="00836E67">
        <w:rPr>
          <w:rFonts w:ascii="Palatino Linotype" w:hAnsi="Palatino Linotype" w:cs="Arial"/>
          <w:b/>
        </w:rPr>
        <w:t xml:space="preserve"> </w:t>
      </w:r>
      <w:r w:rsidRPr="00836E67">
        <w:rPr>
          <w:rFonts w:ascii="Palatino Linotype" w:hAnsi="Palatino Linotype" w:cs="Arial"/>
        </w:rPr>
        <w:t>de la fracción</w:t>
      </w:r>
      <w:r w:rsidRPr="00836E67">
        <w:rPr>
          <w:rFonts w:ascii="Palatino Linotype" w:hAnsi="Palatino Linotype" w:cs="Arial"/>
          <w:b/>
        </w:rPr>
        <w:t xml:space="preserve"> </w:t>
      </w:r>
      <w:r w:rsidRPr="00836E67">
        <w:rPr>
          <w:rFonts w:ascii="Palatino Linotype" w:hAnsi="Palatino Linotype" w:cs="Arial"/>
        </w:rPr>
        <w:t>III, del artículo 186,</w:t>
      </w:r>
      <w:r w:rsidRPr="00836E67">
        <w:rPr>
          <w:rFonts w:ascii="Palatino Linotype" w:hAnsi="Palatino Linotype" w:cs="Arial"/>
          <w:b/>
        </w:rPr>
        <w:t xml:space="preserve"> </w:t>
      </w:r>
      <w:r w:rsidRPr="00836E67">
        <w:rPr>
          <w:rFonts w:ascii="Palatino Linotype" w:hAnsi="Palatino Linotype" w:cs="Arial"/>
        </w:rPr>
        <w:t xml:space="preserve">de la Ley de Transparencia y Acceso a la Información Pública del Estado de México y Municipios, se </w:t>
      </w:r>
      <w:r w:rsidRPr="00836E67">
        <w:rPr>
          <w:rFonts w:ascii="Palatino Linotype" w:hAnsi="Palatino Linotype" w:cs="Arial"/>
          <w:b/>
        </w:rPr>
        <w:t xml:space="preserve">MODIFICA </w:t>
      </w:r>
      <w:r w:rsidRPr="00836E67">
        <w:rPr>
          <w:rFonts w:ascii="Palatino Linotype" w:hAnsi="Palatino Linotype" w:cs="Arial"/>
        </w:rPr>
        <w:t>la respuesta a la solicitud de información número</w:t>
      </w:r>
      <w:r w:rsidRPr="00836E67">
        <w:rPr>
          <w:rFonts w:ascii="Palatino Linotype" w:hAnsi="Palatino Linotype"/>
          <w:b/>
        </w:rPr>
        <w:t xml:space="preserve"> </w:t>
      </w:r>
      <w:r w:rsidR="00AF1F4F" w:rsidRPr="00836E67">
        <w:rPr>
          <w:rFonts w:ascii="Palatino Linotype" w:hAnsi="Palatino Linotype" w:cs="Arial"/>
          <w:b/>
        </w:rPr>
        <w:t>00374/TEPOTZOT/IP/2025</w:t>
      </w:r>
      <w:r w:rsidRPr="00836E67">
        <w:rPr>
          <w:rFonts w:ascii="Palatino Linotype" w:hAnsi="Palatino Linotype" w:cs="Arial"/>
          <w:b/>
        </w:rPr>
        <w:t xml:space="preserve">, </w:t>
      </w:r>
      <w:r w:rsidRPr="00836E67">
        <w:rPr>
          <w:rFonts w:ascii="Palatino Linotype" w:hAnsi="Palatino Linotype" w:cs="Arial"/>
        </w:rPr>
        <w:t xml:space="preserve">que ha sido materia del presente fallo. </w:t>
      </w:r>
    </w:p>
    <w:p w:rsidR="00263752" w:rsidRPr="00836E67" w:rsidRDefault="00263752" w:rsidP="00263752">
      <w:pPr>
        <w:spacing w:line="360" w:lineRule="auto"/>
        <w:jc w:val="both"/>
        <w:rPr>
          <w:rFonts w:ascii="Palatino Linotype" w:hAnsi="Palatino Linotype"/>
        </w:rPr>
      </w:pPr>
      <w:r w:rsidRPr="00836E67">
        <w:rPr>
          <w:rFonts w:ascii="Palatino Linotype" w:hAnsi="Palatino Linotype"/>
        </w:rPr>
        <w:t>Por lo antes expuesto y fundado es de resolverse y,</w:t>
      </w:r>
    </w:p>
    <w:p w:rsidR="00263752" w:rsidRPr="00836E67" w:rsidRDefault="00263752" w:rsidP="00263752">
      <w:pPr>
        <w:spacing w:line="360" w:lineRule="auto"/>
        <w:jc w:val="both"/>
        <w:rPr>
          <w:rFonts w:ascii="Palatino Linotype" w:hAnsi="Palatino Linotype"/>
        </w:rPr>
      </w:pPr>
    </w:p>
    <w:p w:rsidR="00263752" w:rsidRPr="00836E67" w:rsidRDefault="00263752" w:rsidP="00263752">
      <w:pPr>
        <w:spacing w:before="240" w:after="240" w:line="360" w:lineRule="auto"/>
        <w:jc w:val="center"/>
        <w:rPr>
          <w:rFonts w:ascii="Palatino Linotype" w:hAnsi="Palatino Linotype"/>
          <w:b/>
          <w:spacing w:val="60"/>
          <w:sz w:val="28"/>
        </w:rPr>
      </w:pPr>
      <w:r w:rsidRPr="00836E67">
        <w:rPr>
          <w:rFonts w:ascii="Palatino Linotype" w:hAnsi="Palatino Linotype"/>
          <w:b/>
          <w:spacing w:val="60"/>
          <w:sz w:val="28"/>
        </w:rPr>
        <w:t>S E RESUELVE</w:t>
      </w:r>
    </w:p>
    <w:p w:rsidR="00263752" w:rsidRPr="00836E67" w:rsidRDefault="00263752" w:rsidP="00263752">
      <w:pPr>
        <w:spacing w:line="360" w:lineRule="auto"/>
        <w:jc w:val="both"/>
        <w:rPr>
          <w:rFonts w:ascii="Palatino Linotype" w:hAnsi="Palatino Linotype" w:cs="Arial"/>
        </w:rPr>
      </w:pPr>
      <w:r w:rsidRPr="00836E67">
        <w:rPr>
          <w:rFonts w:ascii="Palatino Linotype" w:hAnsi="Palatino Linotype" w:cs="Arial"/>
          <w:b/>
          <w:sz w:val="28"/>
          <w:szCs w:val="28"/>
        </w:rPr>
        <w:lastRenderedPageBreak/>
        <w:t>PRIMERO</w:t>
      </w:r>
      <w:r w:rsidRPr="00836E67">
        <w:rPr>
          <w:rFonts w:ascii="Palatino Linotype" w:hAnsi="Palatino Linotype" w:cs="Arial"/>
          <w:sz w:val="32"/>
          <w:szCs w:val="28"/>
        </w:rPr>
        <w:t>.</w:t>
      </w:r>
      <w:r w:rsidRPr="00836E67">
        <w:rPr>
          <w:rFonts w:ascii="Palatino Linotype" w:hAnsi="Palatino Linotype" w:cs="Arial"/>
        </w:rPr>
        <w:t xml:space="preserve"> Se</w:t>
      </w:r>
      <w:r w:rsidRPr="00836E67">
        <w:rPr>
          <w:rFonts w:ascii="Palatino Linotype" w:hAnsi="Palatino Linotype" w:cs="Arial"/>
          <w:b/>
        </w:rPr>
        <w:t xml:space="preserve"> MODIFICA </w:t>
      </w:r>
      <w:r w:rsidRPr="00836E67">
        <w:rPr>
          <w:rFonts w:ascii="Palatino Linotype" w:hAnsi="Palatino Linotype" w:cs="Arial"/>
        </w:rPr>
        <w:t xml:space="preserve">la respuesta del </w:t>
      </w:r>
      <w:r w:rsidRPr="00836E67">
        <w:rPr>
          <w:rFonts w:ascii="Palatino Linotype" w:hAnsi="Palatino Linotype" w:cs="Arial"/>
          <w:b/>
        </w:rPr>
        <w:t>Sujeto Obligado</w:t>
      </w:r>
      <w:r w:rsidRPr="00836E67">
        <w:rPr>
          <w:rFonts w:ascii="Palatino Linotype" w:hAnsi="Palatino Linotype" w:cs="Arial"/>
        </w:rPr>
        <w:t xml:space="preserve"> a la solicitud de acceso a la información pública</w:t>
      </w:r>
      <w:r w:rsidRPr="00836E67">
        <w:rPr>
          <w:rFonts w:ascii="Palatino Linotype" w:hAnsi="Palatino Linotype" w:cs="Arial"/>
          <w:b/>
        </w:rPr>
        <w:t xml:space="preserve"> </w:t>
      </w:r>
      <w:r w:rsidR="00AF1F4F" w:rsidRPr="00836E67">
        <w:rPr>
          <w:rFonts w:ascii="Palatino Linotype" w:hAnsi="Palatino Linotype" w:cs="Arial"/>
          <w:b/>
        </w:rPr>
        <w:t>00374/TEPOTZOT/IP/2025</w:t>
      </w:r>
      <w:r w:rsidRPr="00836E67">
        <w:rPr>
          <w:rFonts w:ascii="Palatino Linotype" w:hAnsi="Palatino Linotype" w:cs="Arial"/>
        </w:rPr>
        <w:t>,</w:t>
      </w:r>
      <w:r w:rsidRPr="00836E67">
        <w:rPr>
          <w:rFonts w:ascii="Palatino Linotype" w:hAnsi="Palatino Linotype" w:cs="Tahoma"/>
          <w:b/>
        </w:rPr>
        <w:t xml:space="preserve"> </w:t>
      </w:r>
      <w:r w:rsidRPr="00836E67">
        <w:rPr>
          <w:rFonts w:ascii="Palatino Linotype" w:hAnsi="Palatino Linotype" w:cs="Arial"/>
        </w:rPr>
        <w:t>por resultar fundados</w:t>
      </w:r>
      <w:r w:rsidRPr="00836E67">
        <w:rPr>
          <w:rFonts w:ascii="Palatino Linotype" w:hAnsi="Palatino Linotype" w:cs="Arial"/>
          <w:b/>
        </w:rPr>
        <w:t xml:space="preserve"> </w:t>
      </w:r>
      <w:r w:rsidRPr="00836E67">
        <w:rPr>
          <w:rFonts w:ascii="Palatino Linotype" w:hAnsi="Palatino Linotype" w:cs="Arial"/>
        </w:rPr>
        <w:t xml:space="preserve">los motivos de inconformidad vertidos por la parte </w:t>
      </w:r>
      <w:r w:rsidRPr="00836E67">
        <w:rPr>
          <w:rFonts w:ascii="Palatino Linotype" w:hAnsi="Palatino Linotype" w:cs="Arial"/>
          <w:b/>
        </w:rPr>
        <w:t>Recurrente</w:t>
      </w:r>
      <w:r w:rsidRPr="00836E67">
        <w:rPr>
          <w:rFonts w:ascii="Palatino Linotype" w:hAnsi="Palatino Linotype" w:cs="Arial"/>
        </w:rPr>
        <w:t>, en términos del considerando</w:t>
      </w:r>
      <w:r w:rsidRPr="00836E67">
        <w:rPr>
          <w:rFonts w:ascii="Palatino Linotype" w:hAnsi="Palatino Linotype" w:cs="Arial"/>
          <w:b/>
        </w:rPr>
        <w:t xml:space="preserve"> CUARTO </w:t>
      </w:r>
      <w:r w:rsidRPr="00836E67">
        <w:rPr>
          <w:rFonts w:ascii="Palatino Linotype" w:hAnsi="Palatino Linotype" w:cs="Arial"/>
        </w:rPr>
        <w:t>de la presente Resolución.</w:t>
      </w:r>
    </w:p>
    <w:p w:rsidR="00263752" w:rsidRPr="00836E67" w:rsidRDefault="00263752" w:rsidP="00263752">
      <w:pPr>
        <w:spacing w:line="360" w:lineRule="auto"/>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Tahoma"/>
        </w:rPr>
      </w:pPr>
      <w:r w:rsidRPr="00836E67">
        <w:rPr>
          <w:rFonts w:ascii="Palatino Linotype" w:hAnsi="Palatino Linotype" w:cs="Arial"/>
          <w:b/>
          <w:sz w:val="28"/>
        </w:rPr>
        <w:t>SEGUNDO</w:t>
      </w:r>
      <w:r w:rsidRPr="00836E67">
        <w:rPr>
          <w:rFonts w:ascii="Palatino Linotype" w:hAnsi="Palatino Linotype" w:cs="Arial"/>
          <w:b/>
        </w:rPr>
        <w:t>.</w:t>
      </w:r>
      <w:r w:rsidRPr="00836E67">
        <w:rPr>
          <w:rFonts w:ascii="Palatino Linotype" w:hAnsi="Palatino Linotype" w:cs="Tahoma"/>
        </w:rPr>
        <w:t xml:space="preserve"> Se </w:t>
      </w:r>
      <w:r w:rsidRPr="00836E67">
        <w:rPr>
          <w:rFonts w:ascii="Palatino Linotype" w:hAnsi="Palatino Linotype" w:cs="Tahoma"/>
          <w:b/>
        </w:rPr>
        <w:t>ORDENA</w:t>
      </w:r>
      <w:r w:rsidRPr="00836E67">
        <w:rPr>
          <w:rFonts w:ascii="Palatino Linotype" w:hAnsi="Palatino Linotype" w:cs="Tahoma"/>
        </w:rPr>
        <w:t xml:space="preserve"> al </w:t>
      </w:r>
      <w:r w:rsidRPr="00836E67">
        <w:rPr>
          <w:rFonts w:ascii="Palatino Linotype" w:hAnsi="Palatino Linotype" w:cs="Tahoma"/>
          <w:b/>
        </w:rPr>
        <w:t>Sujeto Obligado,</w:t>
      </w:r>
      <w:r w:rsidRPr="00836E67">
        <w:rPr>
          <w:rFonts w:ascii="Palatino Linotype" w:hAnsi="Palatino Linotype" w:cs="Tahoma"/>
        </w:rPr>
        <w:t xml:space="preserve"> haga entrega a la parte </w:t>
      </w:r>
      <w:r w:rsidRPr="00836E67">
        <w:rPr>
          <w:rFonts w:ascii="Palatino Linotype" w:hAnsi="Palatino Linotype" w:cs="Tahoma"/>
          <w:b/>
        </w:rPr>
        <w:t>Recurrente</w:t>
      </w:r>
      <w:r w:rsidRPr="00836E67">
        <w:rPr>
          <w:rFonts w:ascii="Palatino Linotype" w:hAnsi="Palatino Linotype" w:cs="Tahoma"/>
        </w:rPr>
        <w:t>, a través del Sistema de Acceso a la Información Mexiquense (</w:t>
      </w:r>
      <w:r w:rsidRPr="00836E67">
        <w:rPr>
          <w:rFonts w:ascii="Palatino Linotype" w:hAnsi="Palatino Linotype" w:cs="Tahoma"/>
          <w:b/>
        </w:rPr>
        <w:t>SAIMEX</w:t>
      </w:r>
      <w:r w:rsidRPr="00836E67">
        <w:rPr>
          <w:rFonts w:ascii="Palatino Linotype" w:hAnsi="Palatino Linotype" w:cs="Tahoma"/>
        </w:rPr>
        <w:t>), en versión pública de ser procedente, de lo siguiente:</w:t>
      </w:r>
    </w:p>
    <w:p w:rsidR="00AF1F4F" w:rsidRPr="00836E67" w:rsidRDefault="00B51D79" w:rsidP="00B51D79">
      <w:pPr>
        <w:spacing w:before="240" w:line="360" w:lineRule="auto"/>
        <w:jc w:val="both"/>
        <w:rPr>
          <w:rFonts w:ascii="Palatino Linotype" w:hAnsi="Palatino Linotype" w:cs="Arial"/>
        </w:rPr>
      </w:pPr>
      <w:r w:rsidRPr="00836E67">
        <w:rPr>
          <w:rFonts w:ascii="Palatino Linotype" w:hAnsi="Palatino Linotype" w:cs="Arial"/>
        </w:rPr>
        <w:t xml:space="preserve">A. </w:t>
      </w:r>
      <w:r w:rsidR="00AF1F4F" w:rsidRPr="00836E67">
        <w:rPr>
          <w:rFonts w:ascii="Palatino Linotype" w:hAnsi="Palatino Linotype" w:cs="Arial"/>
        </w:rPr>
        <w:t>De Gabriel Reyes Vázquez</w:t>
      </w:r>
      <w:r w:rsidRPr="00836E67">
        <w:rPr>
          <w:rFonts w:ascii="Palatino Linotype" w:hAnsi="Palatino Linotype" w:cs="Arial"/>
        </w:rPr>
        <w:t xml:space="preserve">, </w:t>
      </w:r>
      <w:r w:rsidR="004E7ADC" w:rsidRPr="00836E67">
        <w:rPr>
          <w:rFonts w:ascii="Palatino Linotype" w:hAnsi="Palatino Linotype" w:cs="Arial"/>
        </w:rPr>
        <w:t>al veinticinco de junio de dos mil veinticinco, documentos donde conste</w:t>
      </w:r>
      <w:r w:rsidRPr="00836E67">
        <w:rPr>
          <w:rFonts w:ascii="Palatino Linotype" w:hAnsi="Palatino Linotype" w:cs="Arial"/>
        </w:rPr>
        <w:t>:</w:t>
      </w:r>
      <w:r w:rsidR="00AF1F4F" w:rsidRPr="00836E67">
        <w:rPr>
          <w:rFonts w:ascii="Palatino Linotype" w:hAnsi="Palatino Linotype" w:cs="Arial"/>
        </w:rPr>
        <w:t xml:space="preserve"> </w:t>
      </w:r>
    </w:p>
    <w:p w:rsidR="00AF1F4F" w:rsidRPr="00836E67" w:rsidRDefault="00AF1F4F" w:rsidP="0064756D">
      <w:pPr>
        <w:pStyle w:val="Prrafodelista"/>
        <w:numPr>
          <w:ilvl w:val="0"/>
          <w:numId w:val="7"/>
        </w:numPr>
        <w:spacing w:before="240" w:line="276" w:lineRule="auto"/>
        <w:jc w:val="both"/>
        <w:rPr>
          <w:rFonts w:ascii="Palatino Linotype" w:hAnsi="Palatino Linotype" w:cs="Arial"/>
        </w:rPr>
      </w:pPr>
      <w:r w:rsidRPr="00836E67">
        <w:rPr>
          <w:rFonts w:ascii="Palatino Linotype" w:hAnsi="Palatino Linotype" w:cs="Arial"/>
        </w:rPr>
        <w:t xml:space="preserve">Área </w:t>
      </w:r>
      <w:r w:rsidR="00B51D79" w:rsidRPr="00836E67">
        <w:rPr>
          <w:rFonts w:ascii="Palatino Linotype" w:hAnsi="Palatino Linotype" w:cs="Arial"/>
        </w:rPr>
        <w:t>de adscripción</w:t>
      </w:r>
      <w:r w:rsidR="004E7ADC" w:rsidRPr="00836E67">
        <w:rPr>
          <w:rFonts w:ascii="Palatino Linotype" w:hAnsi="Palatino Linotype" w:cs="Arial"/>
        </w:rPr>
        <w:t>.</w:t>
      </w:r>
    </w:p>
    <w:p w:rsidR="00AF1F4F" w:rsidRPr="00836E67" w:rsidRDefault="00AF1F4F" w:rsidP="0064756D">
      <w:pPr>
        <w:pStyle w:val="Prrafodelista"/>
        <w:numPr>
          <w:ilvl w:val="0"/>
          <w:numId w:val="7"/>
        </w:numPr>
        <w:spacing w:before="240" w:line="276" w:lineRule="auto"/>
        <w:jc w:val="both"/>
        <w:rPr>
          <w:rFonts w:ascii="Palatino Linotype" w:hAnsi="Palatino Linotype" w:cs="Arial"/>
        </w:rPr>
      </w:pPr>
      <w:r w:rsidRPr="00836E67">
        <w:rPr>
          <w:rFonts w:ascii="Palatino Linotype" w:hAnsi="Palatino Linotype" w:cs="Arial"/>
        </w:rPr>
        <w:t>Número de empleado</w:t>
      </w:r>
      <w:r w:rsidR="004E7ADC" w:rsidRPr="00836E67">
        <w:rPr>
          <w:rFonts w:ascii="Palatino Linotype" w:hAnsi="Palatino Linotype" w:cs="Arial"/>
        </w:rPr>
        <w:t>.</w:t>
      </w:r>
    </w:p>
    <w:p w:rsidR="00AF1F4F" w:rsidRPr="00836E67" w:rsidRDefault="00AF1F4F" w:rsidP="0064756D">
      <w:pPr>
        <w:pStyle w:val="Prrafodelista"/>
        <w:numPr>
          <w:ilvl w:val="0"/>
          <w:numId w:val="7"/>
        </w:numPr>
        <w:spacing w:before="240" w:line="276" w:lineRule="auto"/>
        <w:jc w:val="both"/>
        <w:rPr>
          <w:rFonts w:ascii="Palatino Linotype" w:hAnsi="Palatino Linotype" w:cs="Arial"/>
        </w:rPr>
      </w:pPr>
      <w:r w:rsidRPr="00836E67">
        <w:rPr>
          <w:rFonts w:ascii="Palatino Linotype" w:hAnsi="Palatino Linotype" w:cs="Arial"/>
        </w:rPr>
        <w:t>Fecha de ingreso</w:t>
      </w:r>
      <w:r w:rsidR="004E7ADC" w:rsidRPr="00836E67">
        <w:rPr>
          <w:rFonts w:ascii="Palatino Linotype" w:hAnsi="Palatino Linotype" w:cs="Arial"/>
        </w:rPr>
        <w:t>.</w:t>
      </w:r>
    </w:p>
    <w:p w:rsidR="0064756D" w:rsidRPr="00836E67" w:rsidRDefault="00AF1F4F" w:rsidP="0064756D">
      <w:pPr>
        <w:pStyle w:val="Prrafodelista"/>
        <w:numPr>
          <w:ilvl w:val="0"/>
          <w:numId w:val="7"/>
        </w:numPr>
        <w:spacing w:before="240" w:line="276" w:lineRule="auto"/>
        <w:jc w:val="both"/>
        <w:rPr>
          <w:rFonts w:ascii="Palatino Linotype" w:hAnsi="Palatino Linotype" w:cs="Arial"/>
        </w:rPr>
      </w:pPr>
      <w:r w:rsidRPr="00836E67">
        <w:rPr>
          <w:rFonts w:ascii="Palatino Linotype" w:hAnsi="Palatino Linotype" w:cs="Arial"/>
        </w:rPr>
        <w:t>Actividades que realiza</w:t>
      </w:r>
      <w:r w:rsidR="004E7ADC" w:rsidRPr="00836E67">
        <w:rPr>
          <w:rFonts w:ascii="Palatino Linotype" w:hAnsi="Palatino Linotype" w:cs="Arial"/>
        </w:rPr>
        <w:t>.</w:t>
      </w:r>
    </w:p>
    <w:p w:rsidR="00AF1F4F" w:rsidRPr="00836E67" w:rsidRDefault="00AF1F4F" w:rsidP="0064756D">
      <w:pPr>
        <w:pStyle w:val="Prrafodelista"/>
        <w:numPr>
          <w:ilvl w:val="0"/>
          <w:numId w:val="7"/>
        </w:numPr>
        <w:spacing w:before="240" w:line="276" w:lineRule="auto"/>
        <w:jc w:val="both"/>
        <w:rPr>
          <w:rFonts w:ascii="Palatino Linotype" w:hAnsi="Palatino Linotype" w:cs="Arial"/>
        </w:rPr>
      </w:pPr>
      <w:r w:rsidRPr="00836E67">
        <w:rPr>
          <w:rFonts w:ascii="Palatino Linotype" w:hAnsi="Palatino Linotype" w:cs="Arial"/>
        </w:rPr>
        <w:t xml:space="preserve">Percepciones </w:t>
      </w:r>
      <w:r w:rsidR="004E7ADC" w:rsidRPr="00836E67">
        <w:rPr>
          <w:rFonts w:ascii="Palatino Linotype" w:hAnsi="Palatino Linotype" w:cs="Arial"/>
        </w:rPr>
        <w:t xml:space="preserve">brutas y netas </w:t>
      </w:r>
      <w:r w:rsidRPr="00836E67">
        <w:rPr>
          <w:rFonts w:ascii="Palatino Linotype" w:hAnsi="Palatino Linotype" w:cs="Arial"/>
        </w:rPr>
        <w:t>quincenales</w:t>
      </w:r>
      <w:r w:rsidR="004E7ADC" w:rsidRPr="00836E67">
        <w:rPr>
          <w:rFonts w:ascii="Palatino Linotype" w:hAnsi="Palatino Linotype" w:cs="Arial"/>
        </w:rPr>
        <w:t>.</w:t>
      </w:r>
    </w:p>
    <w:p w:rsidR="00263752" w:rsidRPr="00836E67" w:rsidRDefault="004E7ADC" w:rsidP="0064756D">
      <w:pPr>
        <w:pStyle w:val="Prrafodelista"/>
        <w:numPr>
          <w:ilvl w:val="0"/>
          <w:numId w:val="7"/>
        </w:numPr>
        <w:spacing w:before="240" w:line="360" w:lineRule="auto"/>
        <w:ind w:right="567"/>
        <w:jc w:val="both"/>
        <w:rPr>
          <w:rFonts w:cs="Arial"/>
        </w:rPr>
      </w:pPr>
      <w:r w:rsidRPr="00836E67">
        <w:rPr>
          <w:rFonts w:ascii="Palatino Linotype" w:hAnsi="Palatino Linotype" w:cs="Arial"/>
        </w:rPr>
        <w:t xml:space="preserve">Registro de asistencia, en el que se advierta hora de entrada y salida, </w:t>
      </w:r>
      <w:r w:rsidR="002819CB" w:rsidRPr="00836E67">
        <w:rPr>
          <w:rFonts w:ascii="Palatino Linotype" w:hAnsi="Palatino Linotype" w:cs="Arial"/>
        </w:rPr>
        <w:t>de la segunda quincena de mayo y primera quincena de junio de dos mil veinticinco.</w:t>
      </w:r>
    </w:p>
    <w:p w:rsidR="002819CB" w:rsidRPr="00836E67" w:rsidRDefault="002819CB" w:rsidP="00263752">
      <w:pPr>
        <w:pStyle w:val="INFOEM"/>
        <w:spacing w:before="0" w:after="0"/>
        <w:ind w:left="720" w:right="567"/>
        <w:rPr>
          <w:rFonts w:cs="Arial"/>
        </w:rPr>
      </w:pPr>
    </w:p>
    <w:p w:rsidR="00263752" w:rsidRPr="00836E67" w:rsidRDefault="00263752" w:rsidP="00263752">
      <w:pPr>
        <w:pStyle w:val="INFOEM"/>
        <w:spacing w:before="0" w:after="0"/>
        <w:ind w:left="720" w:right="567"/>
      </w:pPr>
      <w:r w:rsidRPr="00836E67">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w:t>
      </w:r>
      <w:r w:rsidRPr="00836E67">
        <w:lastRenderedPageBreak/>
        <w:t>motive las razones sobre los datos que se supriman o eliminen y se ponga a disposición del Recurrente.</w:t>
      </w:r>
    </w:p>
    <w:p w:rsidR="00263752" w:rsidRPr="00836E67" w:rsidRDefault="00263752" w:rsidP="00263752">
      <w:pPr>
        <w:pStyle w:val="INFOEM"/>
        <w:spacing w:before="0" w:after="0"/>
        <w:ind w:left="720" w:right="567"/>
      </w:pPr>
    </w:p>
    <w:p w:rsidR="00263752" w:rsidRPr="00836E67" w:rsidRDefault="00263752" w:rsidP="00263752">
      <w:pPr>
        <w:pStyle w:val="INFOEM"/>
        <w:spacing w:before="0" w:after="0"/>
        <w:ind w:left="720" w:right="567"/>
      </w:pPr>
      <w:r w:rsidRPr="00836E67">
        <w:t xml:space="preserve">En el </w:t>
      </w:r>
      <w:r w:rsidR="004E7ADC" w:rsidRPr="00836E67">
        <w:t xml:space="preserve">punto 6, en el supuesto </w:t>
      </w:r>
      <w:r w:rsidR="004E7ADC" w:rsidRPr="00836E67">
        <w:rPr>
          <w:rFonts w:eastAsia="Palatino Linotype" w:cs="Palatino Linotype"/>
          <w:szCs w:val="22"/>
        </w:rPr>
        <w:t xml:space="preserve">de que </w:t>
      </w:r>
      <w:r w:rsidR="004E7ADC" w:rsidRPr="00836E67">
        <w:rPr>
          <w:rFonts w:eastAsia="Palatino Linotype" w:cs="Palatino Linotype"/>
          <w:bCs/>
          <w:iCs/>
          <w:szCs w:val="22"/>
        </w:rPr>
        <w:t xml:space="preserve">no cuente con registros de asistencia deberá proporcionar la autorización emitida por </w:t>
      </w:r>
      <w:r w:rsidR="00455FE4" w:rsidRPr="00836E67">
        <w:rPr>
          <w:rFonts w:eastAsia="Palatino Linotype" w:cs="Palatino Linotype"/>
          <w:bCs/>
          <w:iCs/>
          <w:szCs w:val="22"/>
        </w:rPr>
        <w:t xml:space="preserve">la </w:t>
      </w:r>
      <w:r w:rsidR="004E7ADC" w:rsidRPr="00836E67">
        <w:rPr>
          <w:rFonts w:eastAsia="Palatino Linotype" w:cs="Palatino Linotype"/>
          <w:bCs/>
          <w:iCs/>
          <w:szCs w:val="22"/>
        </w:rPr>
        <w:t>autoridad competente para exceptuar el registro.</w:t>
      </w:r>
    </w:p>
    <w:p w:rsidR="00263752" w:rsidRPr="00836E67" w:rsidRDefault="00263752" w:rsidP="00263752">
      <w:pPr>
        <w:pStyle w:val="Prrafodelista"/>
        <w:spacing w:line="360" w:lineRule="auto"/>
        <w:ind w:left="720"/>
        <w:jc w:val="both"/>
        <w:rPr>
          <w:rFonts w:ascii="Palatino Linotype" w:hAnsi="Palatino Linotype" w:cs="Arial"/>
        </w:rPr>
      </w:pPr>
    </w:p>
    <w:p w:rsidR="00263752" w:rsidRPr="00836E67" w:rsidRDefault="00263752" w:rsidP="00263752">
      <w:pPr>
        <w:spacing w:line="360" w:lineRule="auto"/>
        <w:jc w:val="both"/>
        <w:rPr>
          <w:rFonts w:ascii="Palatino Linotype" w:hAnsi="Palatino Linotype" w:cs="Tahoma"/>
          <w:bCs/>
        </w:rPr>
      </w:pPr>
      <w:r w:rsidRPr="00836E67">
        <w:rPr>
          <w:rFonts w:ascii="Palatino Linotype" w:hAnsi="Palatino Linotype" w:cs="Arial"/>
          <w:b/>
          <w:sz w:val="28"/>
        </w:rPr>
        <w:t>TERCERO</w:t>
      </w:r>
      <w:r w:rsidRPr="00836E67">
        <w:rPr>
          <w:rFonts w:ascii="Palatino Linotype" w:hAnsi="Palatino Linotype" w:cs="Arial"/>
          <w:b/>
        </w:rPr>
        <w:t>.</w:t>
      </w:r>
      <w:r w:rsidRPr="00836E67">
        <w:rPr>
          <w:rFonts w:ascii="Palatino Linotype" w:hAnsi="Palatino Linotype" w:cs="Arial"/>
        </w:rPr>
        <w:t xml:space="preserve"> </w:t>
      </w:r>
      <w:r w:rsidRPr="00836E67">
        <w:rPr>
          <w:rFonts w:ascii="Palatino Linotype" w:hAnsi="Palatino Linotype" w:cs="Tahoma"/>
          <w:b/>
        </w:rPr>
        <w:t xml:space="preserve">NOTIFÍQUESE </w:t>
      </w:r>
      <w:r w:rsidRPr="00836E67">
        <w:rPr>
          <w:rFonts w:ascii="Palatino Linotype" w:hAnsi="Palatino Linotype" w:cs="Arial"/>
        </w:rPr>
        <w:t xml:space="preserve">a través del Sistema de Acceso a la Información Mexiquense </w:t>
      </w:r>
      <w:r w:rsidRPr="00836E67">
        <w:rPr>
          <w:rFonts w:ascii="Palatino Linotype" w:hAnsi="Palatino Linotype" w:cs="Arial"/>
          <w:b/>
        </w:rPr>
        <w:t>(SAIMEX)</w:t>
      </w:r>
      <w:r w:rsidRPr="00836E67">
        <w:rPr>
          <w:rFonts w:ascii="Palatino Linotype" w:hAnsi="Palatino Linotype" w:cs="Arial"/>
        </w:rPr>
        <w:t xml:space="preserve">, </w:t>
      </w:r>
      <w:r w:rsidRPr="00836E67">
        <w:rPr>
          <w:rFonts w:ascii="Palatino Linotype" w:hAnsi="Palatino Linotype" w:cs="Tahoma"/>
        </w:rPr>
        <w:t xml:space="preserve">la presente Resolución al Titular de la Unidad de Transparencia del </w:t>
      </w:r>
      <w:r w:rsidRPr="00836E67">
        <w:rPr>
          <w:rFonts w:ascii="Palatino Linotype" w:hAnsi="Palatino Linotype" w:cs="Tahoma"/>
          <w:b/>
        </w:rPr>
        <w:t>Sujeto Obligado</w:t>
      </w:r>
      <w:r w:rsidRPr="00836E67">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836E67">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63752" w:rsidRPr="00836E67" w:rsidRDefault="00263752" w:rsidP="00263752">
      <w:pPr>
        <w:spacing w:line="360" w:lineRule="auto"/>
        <w:ind w:right="-595"/>
        <w:jc w:val="both"/>
        <w:rPr>
          <w:rFonts w:ascii="Palatino Linotype" w:hAnsi="Palatino Linotype" w:cs="Tahoma"/>
          <w:bCs/>
        </w:rPr>
      </w:pPr>
    </w:p>
    <w:p w:rsidR="00263752" w:rsidRPr="00836E67" w:rsidRDefault="00263752" w:rsidP="00263752">
      <w:pPr>
        <w:autoSpaceDE w:val="0"/>
        <w:autoSpaceDN w:val="0"/>
        <w:adjustRightInd w:val="0"/>
        <w:spacing w:line="360" w:lineRule="auto"/>
        <w:jc w:val="both"/>
        <w:rPr>
          <w:rFonts w:ascii="Palatino Linotype" w:hAnsi="Palatino Linotype" w:cs="Arial"/>
        </w:rPr>
      </w:pPr>
      <w:r w:rsidRPr="00836E67">
        <w:rPr>
          <w:rFonts w:ascii="Palatino Linotype" w:hAnsi="Palatino Linotype" w:cs="Arial"/>
          <w:b/>
          <w:sz w:val="28"/>
          <w:szCs w:val="28"/>
        </w:rPr>
        <w:t>CUARTO.</w:t>
      </w:r>
      <w:r w:rsidRPr="00836E67">
        <w:rPr>
          <w:rFonts w:ascii="Palatino Linotype" w:hAnsi="Palatino Linotype" w:cs="Arial"/>
          <w:b/>
        </w:rPr>
        <w:t xml:space="preserve"> </w:t>
      </w:r>
      <w:r w:rsidRPr="00836E67">
        <w:rPr>
          <w:rFonts w:ascii="Palatino Linotype" w:hAnsi="Palatino Linotype" w:cs="Arial"/>
        </w:rPr>
        <w:t xml:space="preserve">De conformidad con el artículo 198 de la Ley de Transparencia y Acceso a la Información Pública del Estado de México y Municipios, de considerarlo procedente, el </w:t>
      </w:r>
      <w:r w:rsidRPr="00836E67">
        <w:rPr>
          <w:rFonts w:ascii="Palatino Linotype" w:hAnsi="Palatino Linotype" w:cs="Arial"/>
          <w:b/>
        </w:rPr>
        <w:t>Sujeto Obligado</w:t>
      </w:r>
      <w:r w:rsidRPr="00836E67">
        <w:rPr>
          <w:rFonts w:ascii="Palatino Linotype" w:hAnsi="Palatino Linotype" w:cs="Arial"/>
        </w:rPr>
        <w:t xml:space="preserve"> de manera fundada y motivada, podrá solicitar una ampliación de plazo para el cumplimiento de la presente resolución.</w:t>
      </w:r>
    </w:p>
    <w:p w:rsidR="00263752" w:rsidRPr="00836E67" w:rsidRDefault="00263752" w:rsidP="00263752">
      <w:pPr>
        <w:autoSpaceDE w:val="0"/>
        <w:autoSpaceDN w:val="0"/>
        <w:adjustRightInd w:val="0"/>
        <w:spacing w:line="360" w:lineRule="auto"/>
        <w:jc w:val="both"/>
        <w:rPr>
          <w:rFonts w:ascii="Palatino Linotype" w:hAnsi="Palatino Linotype" w:cs="Arial"/>
        </w:rPr>
      </w:pPr>
    </w:p>
    <w:p w:rsidR="00263752" w:rsidRPr="00836E67" w:rsidRDefault="00263752" w:rsidP="00263752">
      <w:pPr>
        <w:autoSpaceDE w:val="0"/>
        <w:autoSpaceDN w:val="0"/>
        <w:adjustRightInd w:val="0"/>
        <w:spacing w:line="360" w:lineRule="auto"/>
        <w:jc w:val="both"/>
        <w:rPr>
          <w:rFonts w:ascii="Palatino Linotype" w:hAnsi="Palatino Linotype" w:cs="Arial"/>
        </w:rPr>
      </w:pPr>
      <w:r w:rsidRPr="00836E67">
        <w:rPr>
          <w:rFonts w:ascii="Palatino Linotype" w:hAnsi="Palatino Linotype"/>
          <w:b/>
          <w:sz w:val="28"/>
          <w:szCs w:val="28"/>
        </w:rPr>
        <w:lastRenderedPageBreak/>
        <w:t>QUINTO</w:t>
      </w:r>
      <w:r w:rsidRPr="00836E67">
        <w:rPr>
          <w:rFonts w:ascii="Palatino Linotype" w:hAnsi="Palatino Linotype"/>
          <w:b/>
        </w:rPr>
        <w:t xml:space="preserve">. </w:t>
      </w:r>
      <w:r w:rsidRPr="00836E67">
        <w:rPr>
          <w:rFonts w:ascii="Palatino Linotype" w:hAnsi="Palatino Linotype" w:cs="Arial"/>
          <w:b/>
        </w:rPr>
        <w:t>NOTIFÍQUESE</w:t>
      </w:r>
      <w:r w:rsidRPr="00836E67">
        <w:rPr>
          <w:rFonts w:ascii="Palatino Linotype" w:hAnsi="Palatino Linotype" w:cs="Arial"/>
        </w:rPr>
        <w:t xml:space="preserve"> a través del Sistema de Acceso a la Información Mexiquense </w:t>
      </w:r>
      <w:r w:rsidRPr="00836E67">
        <w:rPr>
          <w:rFonts w:ascii="Palatino Linotype" w:hAnsi="Palatino Linotype" w:cs="Arial"/>
          <w:b/>
        </w:rPr>
        <w:t>(SAIMEX)</w:t>
      </w:r>
      <w:r w:rsidRPr="00836E67">
        <w:rPr>
          <w:rFonts w:ascii="Palatino Linotype" w:hAnsi="Palatino Linotype" w:cs="Arial"/>
        </w:rPr>
        <w:t xml:space="preserve">, al </w:t>
      </w:r>
      <w:r w:rsidRPr="00836E67">
        <w:rPr>
          <w:rFonts w:ascii="Palatino Linotype" w:hAnsi="Palatino Linotype" w:cs="Arial"/>
          <w:b/>
        </w:rPr>
        <w:t>Recurrente</w:t>
      </w:r>
      <w:r w:rsidRPr="00836E67">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6A425F" w:rsidRPr="00836E67" w:rsidRDefault="006A425F" w:rsidP="004C1DC0">
      <w:pPr>
        <w:spacing w:line="360" w:lineRule="auto"/>
        <w:jc w:val="both"/>
        <w:rPr>
          <w:rFonts w:ascii="Palatino Linotype" w:hAnsi="Palatino Linotype" w:cs="Arial"/>
        </w:rPr>
      </w:pPr>
    </w:p>
    <w:p w:rsidR="004C1DC0" w:rsidRPr="00836E67" w:rsidRDefault="00836E67" w:rsidP="004C1DC0">
      <w:pPr>
        <w:spacing w:line="360" w:lineRule="auto"/>
        <w:jc w:val="both"/>
        <w:rPr>
          <w:rFonts w:ascii="Palatino Linotype" w:hAnsi="Palatino Linotype" w:cs="Arial"/>
        </w:rPr>
      </w:pPr>
      <w:r w:rsidRPr="00836E67">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r w:rsidR="004C1DC0" w:rsidRPr="00836E67">
        <w:rPr>
          <w:rFonts w:ascii="Palatino Linotype" w:hAnsi="Palatino Linotype" w:cs="Arial"/>
        </w:rPr>
        <w:t>. -----------------------------------------------------------------------------------------------------------------------</w:t>
      </w:r>
      <w:r w:rsidR="006A425F" w:rsidRPr="00836E67">
        <w:rPr>
          <w:rFonts w:ascii="Palatino Linotype" w:hAnsi="Palatino Linotype" w:cs="Arial"/>
        </w:rPr>
        <w:t>-----------------------------------------------------------------------------------</w:t>
      </w:r>
    </w:p>
    <w:p w:rsidR="004C1DC0" w:rsidRDefault="004C1DC0" w:rsidP="004C1DC0">
      <w:pPr>
        <w:spacing w:line="360" w:lineRule="auto"/>
        <w:jc w:val="both"/>
        <w:rPr>
          <w:rFonts w:ascii="Palatino Linotype" w:hAnsi="Palatino Linotype" w:cs="Arial"/>
          <w:sz w:val="16"/>
        </w:rPr>
      </w:pPr>
      <w:r w:rsidRPr="00836E67">
        <w:rPr>
          <w:rFonts w:ascii="Palatino Linotype" w:hAnsi="Palatino Linotype" w:cs="Arial"/>
          <w:sz w:val="16"/>
        </w:rPr>
        <w:t>JMV/CCR/LMST</w:t>
      </w:r>
    </w:p>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4C1DC0" w:rsidRDefault="004C1DC0" w:rsidP="004C1DC0"/>
    <w:p w:rsidR="000C5724" w:rsidRDefault="000C5724"/>
    <w:sectPr w:rsidR="000C5724" w:rsidSect="009F5860">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C9C" w:rsidRDefault="00B62C9C" w:rsidP="004C1DC0">
      <w:r>
        <w:separator/>
      </w:r>
    </w:p>
  </w:endnote>
  <w:endnote w:type="continuationSeparator" w:id="0">
    <w:p w:rsidR="00B62C9C" w:rsidRDefault="00B62C9C" w:rsidP="004C1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4D0" w:rsidRPr="00A2780F" w:rsidRDefault="00B504D0" w:rsidP="009F586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F1F1F">
      <w:rPr>
        <w:rFonts w:ascii="Arial" w:hAnsi="Arial" w:cs="Arial"/>
        <w:b/>
        <w:bCs/>
        <w:noProof/>
        <w:sz w:val="20"/>
        <w:szCs w:val="20"/>
      </w:rPr>
      <w:t>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F1F1F">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4D0" w:rsidRPr="00070856" w:rsidRDefault="00B504D0" w:rsidP="009F586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F1F1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F1F1F">
      <w:rPr>
        <w:rFonts w:ascii="Arial" w:hAnsi="Arial" w:cs="Arial"/>
        <w:b/>
        <w:bCs/>
        <w:noProof/>
        <w:sz w:val="20"/>
        <w:szCs w:val="20"/>
      </w:rPr>
      <w:t>45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C9C" w:rsidRDefault="00B62C9C" w:rsidP="004C1DC0">
      <w:r>
        <w:separator/>
      </w:r>
    </w:p>
  </w:footnote>
  <w:footnote w:type="continuationSeparator" w:id="0">
    <w:p w:rsidR="00B62C9C" w:rsidRDefault="00B62C9C" w:rsidP="004C1DC0">
      <w:r>
        <w:continuationSeparator/>
      </w:r>
    </w:p>
  </w:footnote>
  <w:footnote w:id="1">
    <w:p w:rsidR="00B504D0" w:rsidRPr="005552A8" w:rsidRDefault="00B504D0" w:rsidP="004C1DC0">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504D0" w:rsidRPr="005552A8" w:rsidRDefault="00B504D0" w:rsidP="004C1DC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B504D0" w:rsidRPr="008F2CCC" w:rsidTr="009F5860">
      <w:tc>
        <w:tcPr>
          <w:tcW w:w="3620" w:type="dxa"/>
          <w:shd w:val="clear" w:color="auto" w:fill="auto"/>
        </w:tcPr>
        <w:p w:rsidR="00B504D0" w:rsidRPr="007E5FC4" w:rsidRDefault="00B504D0" w:rsidP="009F586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B504D0" w:rsidRPr="00664658" w:rsidRDefault="00B504D0" w:rsidP="004C1DC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09125/INFOEM/IP/RR/2025</w:t>
          </w:r>
        </w:p>
      </w:tc>
    </w:tr>
    <w:tr w:rsidR="00B504D0" w:rsidRPr="008F2CCC" w:rsidTr="009F5860">
      <w:tc>
        <w:tcPr>
          <w:tcW w:w="3620" w:type="dxa"/>
          <w:shd w:val="clear" w:color="auto" w:fill="auto"/>
        </w:tcPr>
        <w:p w:rsidR="00B504D0" w:rsidRPr="007E5FC4" w:rsidRDefault="00B504D0" w:rsidP="009F586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B504D0" w:rsidRPr="00664658" w:rsidRDefault="00B504D0" w:rsidP="009F5860">
          <w:pPr>
            <w:spacing w:line="276" w:lineRule="auto"/>
            <w:jc w:val="right"/>
            <w:rPr>
              <w:rFonts w:ascii="Palatino Linotype" w:hAnsi="Palatino Linotype"/>
              <w:b/>
              <w:sz w:val="22"/>
              <w:szCs w:val="22"/>
              <w:lang w:val="es-ES_tradnl"/>
            </w:rPr>
          </w:pPr>
          <w:r w:rsidRPr="00032B82">
            <w:rPr>
              <w:rFonts w:ascii="Palatino Linotype" w:hAnsi="Palatino Linotype"/>
              <w:b/>
              <w:sz w:val="22"/>
              <w:szCs w:val="22"/>
            </w:rPr>
            <w:t>Ayuntamiento de Tepotzotlán</w:t>
          </w:r>
        </w:p>
      </w:tc>
    </w:tr>
    <w:tr w:rsidR="00B504D0" w:rsidRPr="008F2CCC" w:rsidTr="009F5860">
      <w:trPr>
        <w:trHeight w:val="228"/>
      </w:trPr>
      <w:tc>
        <w:tcPr>
          <w:tcW w:w="3620" w:type="dxa"/>
          <w:shd w:val="clear" w:color="auto" w:fill="auto"/>
        </w:tcPr>
        <w:p w:rsidR="00B504D0" w:rsidRPr="007E5FC4" w:rsidRDefault="00B504D0" w:rsidP="009F586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B504D0" w:rsidRPr="00664658" w:rsidRDefault="00B504D0" w:rsidP="009F586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504D0" w:rsidRDefault="00B504D0" w:rsidP="009F5860">
    <w:pPr>
      <w:pStyle w:val="Encabezado"/>
      <w:tabs>
        <w:tab w:val="clear" w:pos="4252"/>
        <w:tab w:val="clear" w:pos="8504"/>
        <w:tab w:val="left" w:pos="2326"/>
      </w:tabs>
      <w:rPr>
        <w:rFonts w:ascii="Palatino Linotype" w:hAnsi="Palatino Linotype"/>
        <w:sz w:val="20"/>
      </w:rPr>
    </w:pPr>
  </w:p>
  <w:p w:rsidR="00B504D0" w:rsidRPr="001779E0" w:rsidRDefault="00B504D0" w:rsidP="009F5860">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397223A" wp14:editId="08090488">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B504D0" w:rsidRPr="008F2CCC" w:rsidTr="009F5860">
      <w:tc>
        <w:tcPr>
          <w:tcW w:w="2977" w:type="dxa"/>
          <w:shd w:val="clear" w:color="auto" w:fill="auto"/>
        </w:tcPr>
        <w:p w:rsidR="00B504D0" w:rsidRPr="007E5FC4" w:rsidRDefault="00B504D0" w:rsidP="009F586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B504D0" w:rsidRPr="008F2CCC" w:rsidRDefault="00B504D0" w:rsidP="004C1DC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09125/INFOEM/IP/RR/2025</w:t>
          </w:r>
        </w:p>
      </w:tc>
    </w:tr>
    <w:tr w:rsidR="00B504D0" w:rsidRPr="008F2CCC" w:rsidTr="009F5860">
      <w:tc>
        <w:tcPr>
          <w:tcW w:w="2977" w:type="dxa"/>
          <w:shd w:val="clear" w:color="auto" w:fill="auto"/>
          <w:vAlign w:val="center"/>
        </w:tcPr>
        <w:p w:rsidR="00B504D0" w:rsidRPr="007E5FC4" w:rsidRDefault="00B504D0" w:rsidP="009F586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B504D0" w:rsidRPr="008F2CCC" w:rsidRDefault="002F1F1F" w:rsidP="009F586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w:t>
          </w:r>
          <w:r w:rsidR="00B504D0">
            <w:rPr>
              <w:rFonts w:ascii="Palatino Linotype" w:hAnsi="Palatino Linotype"/>
              <w:b/>
              <w:sz w:val="22"/>
              <w:szCs w:val="22"/>
              <w:lang w:val="es-ES_tradnl"/>
            </w:rPr>
            <w:t xml:space="preserve"> </w:t>
          </w:r>
        </w:p>
      </w:tc>
    </w:tr>
    <w:tr w:rsidR="00B504D0" w:rsidRPr="008F2CCC" w:rsidTr="009F5860">
      <w:trPr>
        <w:trHeight w:val="228"/>
      </w:trPr>
      <w:tc>
        <w:tcPr>
          <w:tcW w:w="2977" w:type="dxa"/>
          <w:shd w:val="clear" w:color="auto" w:fill="auto"/>
        </w:tcPr>
        <w:p w:rsidR="00B504D0" w:rsidRPr="007E5FC4" w:rsidRDefault="00B504D0" w:rsidP="009F586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B504D0" w:rsidRPr="00DC41C8" w:rsidRDefault="00B504D0" w:rsidP="009F5860">
          <w:pPr>
            <w:spacing w:line="360" w:lineRule="auto"/>
            <w:jc w:val="right"/>
            <w:rPr>
              <w:rFonts w:ascii="Palatino Linotype" w:hAnsi="Palatino Linotype"/>
              <w:b/>
              <w:sz w:val="22"/>
              <w:szCs w:val="22"/>
            </w:rPr>
          </w:pPr>
          <w:r w:rsidRPr="00973E12">
            <w:rPr>
              <w:rFonts w:ascii="Palatino Linotype" w:hAnsi="Palatino Linotype"/>
              <w:b/>
              <w:sz w:val="22"/>
              <w:szCs w:val="22"/>
            </w:rPr>
            <w:t>Ayuntamiento de Tepotzotlán</w:t>
          </w:r>
        </w:p>
      </w:tc>
    </w:tr>
    <w:tr w:rsidR="00B504D0" w:rsidRPr="008F2CCC" w:rsidTr="009F5860">
      <w:tc>
        <w:tcPr>
          <w:tcW w:w="2977" w:type="dxa"/>
          <w:shd w:val="clear" w:color="auto" w:fill="auto"/>
        </w:tcPr>
        <w:p w:rsidR="00B504D0" w:rsidRPr="007E5FC4" w:rsidRDefault="00B504D0" w:rsidP="009F586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B504D0" w:rsidRPr="008F2CCC" w:rsidRDefault="00B504D0" w:rsidP="009F586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504D0" w:rsidRPr="009F1AB6" w:rsidRDefault="00B504D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CFF99D0" wp14:editId="54BCBA8B">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CC20037"/>
    <w:multiLevelType w:val="hybridMultilevel"/>
    <w:tmpl w:val="445E6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803773"/>
    <w:multiLevelType w:val="hybridMultilevel"/>
    <w:tmpl w:val="F9D0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9"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DC0"/>
    <w:rsid w:val="000C5724"/>
    <w:rsid w:val="000D650B"/>
    <w:rsid w:val="001B187B"/>
    <w:rsid w:val="00263752"/>
    <w:rsid w:val="002819CB"/>
    <w:rsid w:val="002F1F1F"/>
    <w:rsid w:val="003E14C2"/>
    <w:rsid w:val="00455FE4"/>
    <w:rsid w:val="0048396C"/>
    <w:rsid w:val="004B2240"/>
    <w:rsid w:val="004C1DC0"/>
    <w:rsid w:val="004E7ADC"/>
    <w:rsid w:val="00546369"/>
    <w:rsid w:val="0064756D"/>
    <w:rsid w:val="006A425F"/>
    <w:rsid w:val="006B39F4"/>
    <w:rsid w:val="006F5A68"/>
    <w:rsid w:val="007C2F10"/>
    <w:rsid w:val="00836E67"/>
    <w:rsid w:val="00871299"/>
    <w:rsid w:val="009F5860"/>
    <w:rsid w:val="00AF1F4F"/>
    <w:rsid w:val="00B504D0"/>
    <w:rsid w:val="00B51D79"/>
    <w:rsid w:val="00B62C9C"/>
    <w:rsid w:val="00B8548C"/>
    <w:rsid w:val="00BC1888"/>
    <w:rsid w:val="00C67A52"/>
    <w:rsid w:val="00DB2124"/>
    <w:rsid w:val="00E96DE7"/>
    <w:rsid w:val="00F71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D3BDD6-6AFE-45CB-A98F-96F81F50E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DC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1DC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C1DC0"/>
    <w:rPr>
      <w:rFonts w:eastAsiaTheme="minorEastAsia"/>
      <w:sz w:val="24"/>
      <w:szCs w:val="24"/>
      <w:lang w:val="es-ES_tradnl" w:eastAsia="es-ES"/>
    </w:rPr>
  </w:style>
  <w:style w:type="paragraph" w:styleId="Piedepgina">
    <w:name w:val="footer"/>
    <w:basedOn w:val="Normal"/>
    <w:link w:val="PiedepginaCar"/>
    <w:uiPriority w:val="99"/>
    <w:unhideWhenUsed/>
    <w:rsid w:val="004C1DC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C1DC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C1DC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C1DC0"/>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4C1DC0"/>
    <w:pPr>
      <w:spacing w:after="0" w:line="240" w:lineRule="auto"/>
    </w:pPr>
  </w:style>
  <w:style w:type="character" w:customStyle="1" w:styleId="SinespaciadoCar">
    <w:name w:val="Sin espaciado Car"/>
    <w:aliases w:val="Francesa Car,INAI Car"/>
    <w:link w:val="Sinespaciado"/>
    <w:uiPriority w:val="1"/>
    <w:locked/>
    <w:rsid w:val="004C1DC0"/>
  </w:style>
  <w:style w:type="character" w:styleId="Hipervnculo">
    <w:name w:val="Hyperlink"/>
    <w:aliases w:val="Hipervínculo1,Hipervínculo11,Hipervínculo12,Hipervínculo13,Hipervínculo14,Hipervínculo15"/>
    <w:basedOn w:val="Fuentedeprrafopredeter"/>
    <w:uiPriority w:val="99"/>
    <w:unhideWhenUsed/>
    <w:rsid w:val="004C1DC0"/>
    <w:rPr>
      <w:color w:val="0563C1" w:themeColor="hyperlink"/>
      <w:u w:val="single"/>
    </w:rPr>
  </w:style>
  <w:style w:type="paragraph" w:customStyle="1" w:styleId="INFOEM">
    <w:name w:val="INFOEM"/>
    <w:basedOn w:val="Normal"/>
    <w:qFormat/>
    <w:rsid w:val="004C1DC0"/>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4C1DC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C1DC0"/>
    <w:rPr>
      <w:vertAlign w:val="superscript"/>
    </w:rPr>
  </w:style>
  <w:style w:type="paragraph" w:customStyle="1" w:styleId="infoemcitas">
    <w:name w:val="infoem citas"/>
    <w:basedOn w:val="Normal"/>
    <w:qFormat/>
    <w:rsid w:val="004C1DC0"/>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4C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4C1DC0"/>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nfasis">
    <w:name w:val="Emphasis"/>
    <w:basedOn w:val="Fuentedeprrafopredeter"/>
    <w:uiPriority w:val="20"/>
    <w:qFormat/>
    <w:rsid w:val="004C1D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secogem.gob.mx/declarane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4.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edomex.gob.mx/sites/edomex.gob.mx/files/files/39.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45</Pages>
  <Words>9913</Words>
  <Characters>54526</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10</cp:revision>
  <cp:lastPrinted>2026-02-13T16:41:00Z</cp:lastPrinted>
  <dcterms:created xsi:type="dcterms:W3CDTF">2026-01-29T16:37:00Z</dcterms:created>
  <dcterms:modified xsi:type="dcterms:W3CDTF">2026-03-13T15:53:00Z</dcterms:modified>
</cp:coreProperties>
</file>