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77777777" w:rsidR="004C465F" w:rsidRPr="00E377AC" w:rsidRDefault="004C465F" w:rsidP="004969B8">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5E78B5FA" w:rsidR="00C4052B" w:rsidRPr="00814683" w:rsidRDefault="00C4052B" w:rsidP="004969B8">
          <w:pPr>
            <w:pStyle w:val="TtuloTDC"/>
            <w:spacing w:before="0" w:line="360" w:lineRule="auto"/>
            <w:jc w:val="center"/>
            <w:rPr>
              <w:rFonts w:ascii="Palatino Linotype" w:hAnsi="Palatino Linotype"/>
              <w:color w:val="auto"/>
              <w:sz w:val="22"/>
              <w:szCs w:val="22"/>
            </w:rPr>
          </w:pPr>
          <w:r w:rsidRPr="00814683">
            <w:rPr>
              <w:rFonts w:ascii="Palatino Linotype" w:hAnsi="Palatino Linotype"/>
              <w:color w:val="auto"/>
              <w:sz w:val="22"/>
              <w:szCs w:val="22"/>
              <w:lang w:val="es-ES"/>
            </w:rPr>
            <w:t xml:space="preserve">RESOLUCIÓN DEL RECURSO DE REVISIÓN </w:t>
          </w:r>
          <w:r w:rsidR="00E377AC" w:rsidRPr="00814683">
            <w:rPr>
              <w:rFonts w:ascii="Palatino Linotype" w:hAnsi="Palatino Linotype"/>
              <w:color w:val="auto"/>
              <w:sz w:val="22"/>
              <w:szCs w:val="22"/>
            </w:rPr>
            <w:t>11376</w:t>
          </w:r>
          <w:r w:rsidR="00875F52" w:rsidRPr="00814683">
            <w:rPr>
              <w:rFonts w:ascii="Palatino Linotype" w:hAnsi="Palatino Linotype"/>
              <w:color w:val="auto"/>
              <w:sz w:val="22"/>
              <w:szCs w:val="22"/>
            </w:rPr>
            <w:t>/INFOEM/IP/RR/2025</w:t>
          </w:r>
        </w:p>
        <w:p w14:paraId="73933EFA" w14:textId="77777777" w:rsidR="00C4052B" w:rsidRPr="00814683" w:rsidRDefault="00C4052B" w:rsidP="004969B8">
          <w:pPr>
            <w:spacing w:after="0" w:line="360" w:lineRule="auto"/>
            <w:rPr>
              <w:color w:val="FF0000"/>
            </w:rPr>
          </w:pPr>
        </w:p>
        <w:p w14:paraId="1604DDFA" w14:textId="5B7BF167" w:rsidR="00E95808"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814683">
            <w:rPr>
              <w:color w:val="FF0000"/>
            </w:rPr>
            <w:fldChar w:fldCharType="begin"/>
          </w:r>
          <w:r w:rsidRPr="00814683">
            <w:rPr>
              <w:color w:val="FF0000"/>
            </w:rPr>
            <w:instrText xml:space="preserve"> TOC \o "1-3" \h \z \u </w:instrText>
          </w:r>
          <w:r w:rsidRPr="00814683">
            <w:rPr>
              <w:color w:val="FF0000"/>
            </w:rPr>
            <w:fldChar w:fldCharType="separate"/>
          </w:r>
          <w:hyperlink w:anchor="_Toc226640762" w:history="1">
            <w:r w:rsidR="00E95808" w:rsidRPr="00CD05A1">
              <w:rPr>
                <w:rStyle w:val="Hipervnculo"/>
                <w:noProof/>
              </w:rPr>
              <w:t>A N T E C E D E N T E S</w:t>
            </w:r>
            <w:r w:rsidR="00E95808">
              <w:rPr>
                <w:noProof/>
                <w:webHidden/>
              </w:rPr>
              <w:tab/>
            </w:r>
            <w:r w:rsidR="00E95808">
              <w:rPr>
                <w:noProof/>
                <w:webHidden/>
              </w:rPr>
              <w:fldChar w:fldCharType="begin"/>
            </w:r>
            <w:r w:rsidR="00E95808">
              <w:rPr>
                <w:noProof/>
                <w:webHidden/>
              </w:rPr>
              <w:instrText xml:space="preserve"> PAGEREF _Toc226640762 \h </w:instrText>
            </w:r>
            <w:r w:rsidR="00E95808">
              <w:rPr>
                <w:noProof/>
                <w:webHidden/>
              </w:rPr>
            </w:r>
            <w:r w:rsidR="00E95808">
              <w:rPr>
                <w:noProof/>
                <w:webHidden/>
              </w:rPr>
              <w:fldChar w:fldCharType="separate"/>
            </w:r>
            <w:r w:rsidR="00BF4756">
              <w:rPr>
                <w:noProof/>
                <w:webHidden/>
              </w:rPr>
              <w:t>2</w:t>
            </w:r>
            <w:r w:rsidR="00E95808">
              <w:rPr>
                <w:noProof/>
                <w:webHidden/>
              </w:rPr>
              <w:fldChar w:fldCharType="end"/>
            </w:r>
          </w:hyperlink>
        </w:p>
        <w:p w14:paraId="53C4764B" w14:textId="5EE202F4" w:rsidR="00E9580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0763" w:history="1">
            <w:r w:rsidR="00E95808" w:rsidRPr="00CD05A1">
              <w:rPr>
                <w:rStyle w:val="Hipervnculo"/>
                <w:noProof/>
                <w:lang w:eastAsia="es-ES"/>
              </w:rPr>
              <w:t>I. Presentación de la solicitud de información</w:t>
            </w:r>
            <w:r w:rsidR="00E95808">
              <w:rPr>
                <w:noProof/>
                <w:webHidden/>
              </w:rPr>
              <w:tab/>
            </w:r>
            <w:r w:rsidR="00E95808">
              <w:rPr>
                <w:noProof/>
                <w:webHidden/>
              </w:rPr>
              <w:fldChar w:fldCharType="begin"/>
            </w:r>
            <w:r w:rsidR="00E95808">
              <w:rPr>
                <w:noProof/>
                <w:webHidden/>
              </w:rPr>
              <w:instrText xml:space="preserve"> PAGEREF _Toc226640763 \h </w:instrText>
            </w:r>
            <w:r w:rsidR="00E95808">
              <w:rPr>
                <w:noProof/>
                <w:webHidden/>
              </w:rPr>
            </w:r>
            <w:r w:rsidR="00E95808">
              <w:rPr>
                <w:noProof/>
                <w:webHidden/>
              </w:rPr>
              <w:fldChar w:fldCharType="separate"/>
            </w:r>
            <w:r w:rsidR="00BF4756">
              <w:rPr>
                <w:noProof/>
                <w:webHidden/>
              </w:rPr>
              <w:t>2</w:t>
            </w:r>
            <w:r w:rsidR="00E95808">
              <w:rPr>
                <w:noProof/>
                <w:webHidden/>
              </w:rPr>
              <w:fldChar w:fldCharType="end"/>
            </w:r>
          </w:hyperlink>
        </w:p>
        <w:p w14:paraId="32FAF71C" w14:textId="0DC5DEA9" w:rsidR="00E9580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0764" w:history="1">
            <w:r w:rsidR="00E95808" w:rsidRPr="00CD05A1">
              <w:rPr>
                <w:rStyle w:val="Hipervnculo"/>
                <w:rFonts w:cs="Tahoma"/>
                <w:noProof/>
              </w:rPr>
              <w:t>II.</w:t>
            </w:r>
            <w:r w:rsidR="00E95808" w:rsidRPr="00CD05A1">
              <w:rPr>
                <w:rStyle w:val="Hipervnculo"/>
                <w:noProof/>
              </w:rPr>
              <w:t xml:space="preserve"> Respuesta del Sujeto Obligado</w:t>
            </w:r>
            <w:r w:rsidR="00E95808">
              <w:rPr>
                <w:noProof/>
                <w:webHidden/>
              </w:rPr>
              <w:tab/>
            </w:r>
            <w:r w:rsidR="00E95808">
              <w:rPr>
                <w:noProof/>
                <w:webHidden/>
              </w:rPr>
              <w:fldChar w:fldCharType="begin"/>
            </w:r>
            <w:r w:rsidR="00E95808">
              <w:rPr>
                <w:noProof/>
                <w:webHidden/>
              </w:rPr>
              <w:instrText xml:space="preserve"> PAGEREF _Toc226640764 \h </w:instrText>
            </w:r>
            <w:r w:rsidR="00E95808">
              <w:rPr>
                <w:noProof/>
                <w:webHidden/>
              </w:rPr>
            </w:r>
            <w:r w:rsidR="00E95808">
              <w:rPr>
                <w:noProof/>
                <w:webHidden/>
              </w:rPr>
              <w:fldChar w:fldCharType="separate"/>
            </w:r>
            <w:r w:rsidR="00BF4756">
              <w:rPr>
                <w:noProof/>
                <w:webHidden/>
              </w:rPr>
              <w:t>3</w:t>
            </w:r>
            <w:r w:rsidR="00E95808">
              <w:rPr>
                <w:noProof/>
                <w:webHidden/>
              </w:rPr>
              <w:fldChar w:fldCharType="end"/>
            </w:r>
          </w:hyperlink>
        </w:p>
        <w:p w14:paraId="60E6BB2C" w14:textId="0EE75CF2" w:rsidR="00E9580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0765" w:history="1">
            <w:r w:rsidR="00E95808" w:rsidRPr="00CD05A1">
              <w:rPr>
                <w:rStyle w:val="Hipervnculo"/>
                <w:noProof/>
              </w:rPr>
              <w:t>III. Interposición del Recurso de Revisión</w:t>
            </w:r>
            <w:r w:rsidR="00E95808">
              <w:rPr>
                <w:noProof/>
                <w:webHidden/>
              </w:rPr>
              <w:tab/>
            </w:r>
            <w:r w:rsidR="00E95808">
              <w:rPr>
                <w:noProof/>
                <w:webHidden/>
              </w:rPr>
              <w:fldChar w:fldCharType="begin"/>
            </w:r>
            <w:r w:rsidR="00E95808">
              <w:rPr>
                <w:noProof/>
                <w:webHidden/>
              </w:rPr>
              <w:instrText xml:space="preserve"> PAGEREF _Toc226640765 \h </w:instrText>
            </w:r>
            <w:r w:rsidR="00E95808">
              <w:rPr>
                <w:noProof/>
                <w:webHidden/>
              </w:rPr>
            </w:r>
            <w:r w:rsidR="00E95808">
              <w:rPr>
                <w:noProof/>
                <w:webHidden/>
              </w:rPr>
              <w:fldChar w:fldCharType="separate"/>
            </w:r>
            <w:r w:rsidR="00BF4756">
              <w:rPr>
                <w:noProof/>
                <w:webHidden/>
              </w:rPr>
              <w:t>4</w:t>
            </w:r>
            <w:r w:rsidR="00E95808">
              <w:rPr>
                <w:noProof/>
                <w:webHidden/>
              </w:rPr>
              <w:fldChar w:fldCharType="end"/>
            </w:r>
          </w:hyperlink>
        </w:p>
        <w:p w14:paraId="0EA76433" w14:textId="78F2F72F" w:rsidR="00E9580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0766" w:history="1">
            <w:r w:rsidR="00E95808" w:rsidRPr="00CD05A1">
              <w:rPr>
                <w:rStyle w:val="Hipervnculo"/>
                <w:noProof/>
              </w:rPr>
              <w:t>IV. Trámite del Recurso de Revisión ante este Instituto</w:t>
            </w:r>
            <w:r w:rsidR="00E95808">
              <w:rPr>
                <w:noProof/>
                <w:webHidden/>
              </w:rPr>
              <w:tab/>
            </w:r>
            <w:r w:rsidR="00E95808">
              <w:rPr>
                <w:noProof/>
                <w:webHidden/>
              </w:rPr>
              <w:fldChar w:fldCharType="begin"/>
            </w:r>
            <w:r w:rsidR="00E95808">
              <w:rPr>
                <w:noProof/>
                <w:webHidden/>
              </w:rPr>
              <w:instrText xml:space="preserve"> PAGEREF _Toc226640766 \h </w:instrText>
            </w:r>
            <w:r w:rsidR="00E95808">
              <w:rPr>
                <w:noProof/>
                <w:webHidden/>
              </w:rPr>
            </w:r>
            <w:r w:rsidR="00E95808">
              <w:rPr>
                <w:noProof/>
                <w:webHidden/>
              </w:rPr>
              <w:fldChar w:fldCharType="separate"/>
            </w:r>
            <w:r w:rsidR="00BF4756">
              <w:rPr>
                <w:noProof/>
                <w:webHidden/>
              </w:rPr>
              <w:t>5</w:t>
            </w:r>
            <w:r w:rsidR="00E95808">
              <w:rPr>
                <w:noProof/>
                <w:webHidden/>
              </w:rPr>
              <w:fldChar w:fldCharType="end"/>
            </w:r>
          </w:hyperlink>
        </w:p>
        <w:p w14:paraId="46BBAA81" w14:textId="6116286C" w:rsidR="00E95808" w:rsidRPr="00E95808"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6640767" w:history="1">
            <w:r w:rsidR="00E95808" w:rsidRPr="00E95808">
              <w:rPr>
                <w:rStyle w:val="Hipervnculo"/>
                <w:noProof/>
              </w:rPr>
              <w:t>C O N S I D E R A N D O S</w:t>
            </w:r>
            <w:r w:rsidR="00E95808" w:rsidRPr="00E95808">
              <w:rPr>
                <w:noProof/>
                <w:webHidden/>
              </w:rPr>
              <w:tab/>
            </w:r>
            <w:r w:rsidR="00E95808" w:rsidRPr="00E95808">
              <w:rPr>
                <w:noProof/>
                <w:webHidden/>
              </w:rPr>
              <w:fldChar w:fldCharType="begin"/>
            </w:r>
            <w:r w:rsidR="00E95808" w:rsidRPr="00E95808">
              <w:rPr>
                <w:noProof/>
                <w:webHidden/>
              </w:rPr>
              <w:instrText xml:space="preserve"> PAGEREF _Toc226640767 \h </w:instrText>
            </w:r>
            <w:r w:rsidR="00E95808" w:rsidRPr="00E95808">
              <w:rPr>
                <w:noProof/>
                <w:webHidden/>
              </w:rPr>
            </w:r>
            <w:r w:rsidR="00E95808" w:rsidRPr="00E95808">
              <w:rPr>
                <w:noProof/>
                <w:webHidden/>
              </w:rPr>
              <w:fldChar w:fldCharType="separate"/>
            </w:r>
            <w:r w:rsidR="00BF4756">
              <w:rPr>
                <w:noProof/>
                <w:webHidden/>
              </w:rPr>
              <w:t>9</w:t>
            </w:r>
            <w:r w:rsidR="00E95808" w:rsidRPr="00E95808">
              <w:rPr>
                <w:noProof/>
                <w:webHidden/>
              </w:rPr>
              <w:fldChar w:fldCharType="end"/>
            </w:r>
          </w:hyperlink>
        </w:p>
        <w:p w14:paraId="2888F6A0" w14:textId="228D5D76" w:rsidR="00E95808" w:rsidRPr="00E9580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0768" w:history="1">
            <w:r w:rsidR="00E95808" w:rsidRPr="00E95808">
              <w:rPr>
                <w:rStyle w:val="Hipervnculo"/>
                <w:noProof/>
              </w:rPr>
              <w:t>PRIMERO. Competencia</w:t>
            </w:r>
            <w:r w:rsidR="00E95808" w:rsidRPr="00E95808">
              <w:rPr>
                <w:noProof/>
                <w:webHidden/>
              </w:rPr>
              <w:tab/>
            </w:r>
            <w:r w:rsidR="00E95808" w:rsidRPr="00E95808">
              <w:rPr>
                <w:noProof/>
                <w:webHidden/>
              </w:rPr>
              <w:fldChar w:fldCharType="begin"/>
            </w:r>
            <w:r w:rsidR="00E95808" w:rsidRPr="00E95808">
              <w:rPr>
                <w:noProof/>
                <w:webHidden/>
              </w:rPr>
              <w:instrText xml:space="preserve"> PAGEREF _Toc226640768 \h </w:instrText>
            </w:r>
            <w:r w:rsidR="00E95808" w:rsidRPr="00E95808">
              <w:rPr>
                <w:noProof/>
                <w:webHidden/>
              </w:rPr>
            </w:r>
            <w:r w:rsidR="00E95808" w:rsidRPr="00E95808">
              <w:rPr>
                <w:noProof/>
                <w:webHidden/>
              </w:rPr>
              <w:fldChar w:fldCharType="separate"/>
            </w:r>
            <w:r w:rsidR="00BF4756">
              <w:rPr>
                <w:noProof/>
                <w:webHidden/>
              </w:rPr>
              <w:t>9</w:t>
            </w:r>
            <w:r w:rsidR="00E95808" w:rsidRPr="00E95808">
              <w:rPr>
                <w:noProof/>
                <w:webHidden/>
              </w:rPr>
              <w:fldChar w:fldCharType="end"/>
            </w:r>
          </w:hyperlink>
        </w:p>
        <w:p w14:paraId="296A10D9" w14:textId="58E94837" w:rsidR="00E95808" w:rsidRPr="00E9580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0769" w:history="1">
            <w:r w:rsidR="00E95808" w:rsidRPr="00E95808">
              <w:rPr>
                <w:rStyle w:val="Hipervnculo"/>
                <w:noProof/>
              </w:rPr>
              <w:t>SEGUNDO. Causales de improcedencia y sobreseimiento</w:t>
            </w:r>
            <w:r w:rsidR="00E95808" w:rsidRPr="00E95808">
              <w:rPr>
                <w:noProof/>
                <w:webHidden/>
              </w:rPr>
              <w:tab/>
            </w:r>
            <w:r w:rsidR="00E95808" w:rsidRPr="00E95808">
              <w:rPr>
                <w:noProof/>
                <w:webHidden/>
              </w:rPr>
              <w:fldChar w:fldCharType="begin"/>
            </w:r>
            <w:r w:rsidR="00E95808" w:rsidRPr="00E95808">
              <w:rPr>
                <w:noProof/>
                <w:webHidden/>
              </w:rPr>
              <w:instrText xml:space="preserve"> PAGEREF _Toc226640769 \h </w:instrText>
            </w:r>
            <w:r w:rsidR="00E95808" w:rsidRPr="00E95808">
              <w:rPr>
                <w:noProof/>
                <w:webHidden/>
              </w:rPr>
            </w:r>
            <w:r w:rsidR="00E95808" w:rsidRPr="00E95808">
              <w:rPr>
                <w:noProof/>
                <w:webHidden/>
              </w:rPr>
              <w:fldChar w:fldCharType="separate"/>
            </w:r>
            <w:r w:rsidR="00BF4756">
              <w:rPr>
                <w:noProof/>
                <w:webHidden/>
              </w:rPr>
              <w:t>10</w:t>
            </w:r>
            <w:r w:rsidR="00E95808" w:rsidRPr="00E95808">
              <w:rPr>
                <w:noProof/>
                <w:webHidden/>
              </w:rPr>
              <w:fldChar w:fldCharType="end"/>
            </w:r>
          </w:hyperlink>
        </w:p>
        <w:p w14:paraId="65151B90" w14:textId="1913E5E5" w:rsidR="00E95808" w:rsidRPr="00E9580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0770" w:history="1">
            <w:r w:rsidR="00E95808" w:rsidRPr="00E95808">
              <w:rPr>
                <w:rStyle w:val="Hipervnculo"/>
                <w:noProof/>
              </w:rPr>
              <w:t>TERCERO. Determinación de la Controversia</w:t>
            </w:r>
            <w:r w:rsidR="00E95808" w:rsidRPr="00E95808">
              <w:rPr>
                <w:noProof/>
                <w:webHidden/>
              </w:rPr>
              <w:tab/>
            </w:r>
            <w:r w:rsidR="00E95808" w:rsidRPr="00E95808">
              <w:rPr>
                <w:noProof/>
                <w:webHidden/>
              </w:rPr>
              <w:fldChar w:fldCharType="begin"/>
            </w:r>
            <w:r w:rsidR="00E95808" w:rsidRPr="00E95808">
              <w:rPr>
                <w:noProof/>
                <w:webHidden/>
              </w:rPr>
              <w:instrText xml:space="preserve"> PAGEREF _Toc226640770 \h </w:instrText>
            </w:r>
            <w:r w:rsidR="00E95808" w:rsidRPr="00E95808">
              <w:rPr>
                <w:noProof/>
                <w:webHidden/>
              </w:rPr>
            </w:r>
            <w:r w:rsidR="00E95808" w:rsidRPr="00E95808">
              <w:rPr>
                <w:noProof/>
                <w:webHidden/>
              </w:rPr>
              <w:fldChar w:fldCharType="separate"/>
            </w:r>
            <w:r w:rsidR="00BF4756">
              <w:rPr>
                <w:noProof/>
                <w:webHidden/>
              </w:rPr>
              <w:t>12</w:t>
            </w:r>
            <w:r w:rsidR="00E95808" w:rsidRPr="00E95808">
              <w:rPr>
                <w:noProof/>
                <w:webHidden/>
              </w:rPr>
              <w:fldChar w:fldCharType="end"/>
            </w:r>
          </w:hyperlink>
        </w:p>
        <w:p w14:paraId="75CF4F22" w14:textId="3ADA41B8" w:rsidR="00E95808" w:rsidRPr="00E9580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0771" w:history="1">
            <w:r w:rsidR="00E95808" w:rsidRPr="00E95808">
              <w:rPr>
                <w:rStyle w:val="Hipervnculo"/>
                <w:noProof/>
              </w:rPr>
              <w:t>CUARTO. Marco normativo aplicable en materia de transparencia y acceso a la información pública</w:t>
            </w:r>
            <w:r w:rsidR="00E95808" w:rsidRPr="00E95808">
              <w:rPr>
                <w:noProof/>
                <w:webHidden/>
              </w:rPr>
              <w:tab/>
            </w:r>
            <w:r w:rsidR="00E95808" w:rsidRPr="00E95808">
              <w:rPr>
                <w:noProof/>
                <w:webHidden/>
              </w:rPr>
              <w:fldChar w:fldCharType="begin"/>
            </w:r>
            <w:r w:rsidR="00E95808" w:rsidRPr="00E95808">
              <w:rPr>
                <w:noProof/>
                <w:webHidden/>
              </w:rPr>
              <w:instrText xml:space="preserve"> PAGEREF _Toc226640771 \h </w:instrText>
            </w:r>
            <w:r w:rsidR="00E95808" w:rsidRPr="00E95808">
              <w:rPr>
                <w:noProof/>
                <w:webHidden/>
              </w:rPr>
            </w:r>
            <w:r w:rsidR="00E95808" w:rsidRPr="00E95808">
              <w:rPr>
                <w:noProof/>
                <w:webHidden/>
              </w:rPr>
              <w:fldChar w:fldCharType="separate"/>
            </w:r>
            <w:r w:rsidR="00BF4756">
              <w:rPr>
                <w:noProof/>
                <w:webHidden/>
              </w:rPr>
              <w:t>13</w:t>
            </w:r>
            <w:r w:rsidR="00E95808" w:rsidRPr="00E95808">
              <w:rPr>
                <w:noProof/>
                <w:webHidden/>
              </w:rPr>
              <w:fldChar w:fldCharType="end"/>
            </w:r>
          </w:hyperlink>
        </w:p>
        <w:p w14:paraId="2D1BB3CE" w14:textId="1CDF1220" w:rsidR="00E95808" w:rsidRPr="00E9580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0772" w:history="1">
            <w:r w:rsidR="00E95808" w:rsidRPr="00E95808">
              <w:rPr>
                <w:rStyle w:val="Hipervnculo"/>
                <w:noProof/>
              </w:rPr>
              <w:t>QUINTO. Estudio de Fondo</w:t>
            </w:r>
            <w:r w:rsidR="00E95808" w:rsidRPr="00E95808">
              <w:rPr>
                <w:noProof/>
                <w:webHidden/>
              </w:rPr>
              <w:tab/>
            </w:r>
            <w:r w:rsidR="00E95808" w:rsidRPr="00E95808">
              <w:rPr>
                <w:noProof/>
                <w:webHidden/>
              </w:rPr>
              <w:fldChar w:fldCharType="begin"/>
            </w:r>
            <w:r w:rsidR="00E95808" w:rsidRPr="00E95808">
              <w:rPr>
                <w:noProof/>
                <w:webHidden/>
              </w:rPr>
              <w:instrText xml:space="preserve"> PAGEREF _Toc226640772 \h </w:instrText>
            </w:r>
            <w:r w:rsidR="00E95808" w:rsidRPr="00E95808">
              <w:rPr>
                <w:noProof/>
                <w:webHidden/>
              </w:rPr>
            </w:r>
            <w:r w:rsidR="00E95808" w:rsidRPr="00E95808">
              <w:rPr>
                <w:noProof/>
                <w:webHidden/>
              </w:rPr>
              <w:fldChar w:fldCharType="separate"/>
            </w:r>
            <w:r w:rsidR="00BF4756">
              <w:rPr>
                <w:noProof/>
                <w:webHidden/>
              </w:rPr>
              <w:t>14</w:t>
            </w:r>
            <w:r w:rsidR="00E95808" w:rsidRPr="00E95808">
              <w:rPr>
                <w:noProof/>
                <w:webHidden/>
              </w:rPr>
              <w:fldChar w:fldCharType="end"/>
            </w:r>
          </w:hyperlink>
        </w:p>
        <w:p w14:paraId="1ACDA168" w14:textId="17D95E77" w:rsidR="00E95808" w:rsidRPr="00E95808" w:rsidRDefault="00000000">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26640773" w:history="1">
            <w:r w:rsidR="00E95808" w:rsidRPr="00E95808">
              <w:rPr>
                <w:rStyle w:val="Hipervnculo"/>
                <w:noProof/>
              </w:rPr>
              <w:t>SEXTO. Decisión</w:t>
            </w:r>
            <w:r w:rsidR="00E95808" w:rsidRPr="00E95808">
              <w:rPr>
                <w:noProof/>
                <w:webHidden/>
              </w:rPr>
              <w:tab/>
            </w:r>
            <w:r w:rsidR="00E95808" w:rsidRPr="00E95808">
              <w:rPr>
                <w:noProof/>
                <w:webHidden/>
              </w:rPr>
              <w:fldChar w:fldCharType="begin"/>
            </w:r>
            <w:r w:rsidR="00E95808" w:rsidRPr="00E95808">
              <w:rPr>
                <w:noProof/>
                <w:webHidden/>
              </w:rPr>
              <w:instrText xml:space="preserve"> PAGEREF _Toc226640773 \h </w:instrText>
            </w:r>
            <w:r w:rsidR="00E95808" w:rsidRPr="00E95808">
              <w:rPr>
                <w:noProof/>
                <w:webHidden/>
              </w:rPr>
            </w:r>
            <w:r w:rsidR="00E95808" w:rsidRPr="00E95808">
              <w:rPr>
                <w:noProof/>
                <w:webHidden/>
              </w:rPr>
              <w:fldChar w:fldCharType="separate"/>
            </w:r>
            <w:r w:rsidR="00BF4756">
              <w:rPr>
                <w:noProof/>
                <w:webHidden/>
              </w:rPr>
              <w:t>67</w:t>
            </w:r>
            <w:r w:rsidR="00E95808" w:rsidRPr="00E95808">
              <w:rPr>
                <w:noProof/>
                <w:webHidden/>
              </w:rPr>
              <w:fldChar w:fldCharType="end"/>
            </w:r>
          </w:hyperlink>
        </w:p>
        <w:p w14:paraId="5DB5D5C4" w14:textId="13F59FCE" w:rsidR="00E95808" w:rsidRPr="00E95808" w:rsidRDefault="00000000">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6640774" w:history="1">
            <w:r w:rsidR="00E95808" w:rsidRPr="00E95808">
              <w:rPr>
                <w:rStyle w:val="Hipervnculo"/>
                <w:noProof/>
              </w:rPr>
              <w:t>R E S U E L V E</w:t>
            </w:r>
            <w:r w:rsidR="00E95808" w:rsidRPr="00E95808">
              <w:rPr>
                <w:noProof/>
                <w:webHidden/>
              </w:rPr>
              <w:tab/>
            </w:r>
            <w:r w:rsidR="00E95808" w:rsidRPr="00E95808">
              <w:rPr>
                <w:noProof/>
                <w:webHidden/>
              </w:rPr>
              <w:fldChar w:fldCharType="begin"/>
            </w:r>
            <w:r w:rsidR="00E95808" w:rsidRPr="00E95808">
              <w:rPr>
                <w:noProof/>
                <w:webHidden/>
              </w:rPr>
              <w:instrText xml:space="preserve"> PAGEREF _Toc226640774 \h </w:instrText>
            </w:r>
            <w:r w:rsidR="00E95808" w:rsidRPr="00E95808">
              <w:rPr>
                <w:noProof/>
                <w:webHidden/>
              </w:rPr>
            </w:r>
            <w:r w:rsidR="00E95808" w:rsidRPr="00E95808">
              <w:rPr>
                <w:noProof/>
                <w:webHidden/>
              </w:rPr>
              <w:fldChar w:fldCharType="separate"/>
            </w:r>
            <w:r w:rsidR="00BF4756">
              <w:rPr>
                <w:noProof/>
                <w:webHidden/>
              </w:rPr>
              <w:t>68</w:t>
            </w:r>
            <w:r w:rsidR="00E95808" w:rsidRPr="00E95808">
              <w:rPr>
                <w:noProof/>
                <w:webHidden/>
              </w:rPr>
              <w:fldChar w:fldCharType="end"/>
            </w:r>
          </w:hyperlink>
        </w:p>
        <w:p w14:paraId="5B9D6C11" w14:textId="23D6A8E1" w:rsidR="00C4052B" w:rsidRPr="00814683" w:rsidRDefault="00C4052B" w:rsidP="004969B8">
          <w:pPr>
            <w:spacing w:after="0" w:line="360" w:lineRule="auto"/>
            <w:rPr>
              <w:color w:val="FF0000"/>
            </w:rPr>
          </w:pPr>
          <w:r w:rsidRPr="00814683">
            <w:rPr>
              <w:bCs/>
              <w:color w:val="FF0000"/>
              <w:lang w:val="es-ES"/>
            </w:rPr>
            <w:fldChar w:fldCharType="end"/>
          </w:r>
        </w:p>
      </w:sdtContent>
    </w:sdt>
    <w:p w14:paraId="57481942" w14:textId="77777777" w:rsidR="00C4052B" w:rsidRPr="00814683" w:rsidRDefault="00C4052B" w:rsidP="004969B8">
      <w:pPr>
        <w:tabs>
          <w:tab w:val="left" w:pos="8931"/>
        </w:tabs>
        <w:spacing w:after="0" w:line="360" w:lineRule="auto"/>
        <w:rPr>
          <w:color w:val="FF0000"/>
        </w:rPr>
      </w:pPr>
    </w:p>
    <w:p w14:paraId="411B5995" w14:textId="77777777" w:rsidR="00C4052B" w:rsidRPr="00814683" w:rsidRDefault="00C4052B" w:rsidP="004969B8">
      <w:pPr>
        <w:tabs>
          <w:tab w:val="left" w:pos="8931"/>
        </w:tabs>
        <w:spacing w:after="0" w:line="360" w:lineRule="auto"/>
        <w:rPr>
          <w:color w:val="FF0000"/>
        </w:rPr>
      </w:pPr>
    </w:p>
    <w:p w14:paraId="6784625D" w14:textId="77777777" w:rsidR="00C4052B" w:rsidRPr="00814683" w:rsidRDefault="00C4052B" w:rsidP="004969B8">
      <w:pPr>
        <w:tabs>
          <w:tab w:val="left" w:pos="8931"/>
        </w:tabs>
        <w:spacing w:after="0" w:line="360" w:lineRule="auto"/>
        <w:rPr>
          <w:color w:val="FF0000"/>
        </w:rPr>
      </w:pPr>
    </w:p>
    <w:p w14:paraId="140888DD" w14:textId="77777777" w:rsidR="00C4052B" w:rsidRPr="00814683" w:rsidRDefault="00C4052B" w:rsidP="004969B8">
      <w:pPr>
        <w:tabs>
          <w:tab w:val="left" w:pos="8931"/>
        </w:tabs>
        <w:spacing w:after="0" w:line="360" w:lineRule="auto"/>
        <w:rPr>
          <w:color w:val="FF0000"/>
        </w:rPr>
      </w:pPr>
    </w:p>
    <w:p w14:paraId="46268890" w14:textId="77777777" w:rsidR="00C4052B" w:rsidRPr="00814683" w:rsidRDefault="00C4052B" w:rsidP="004969B8">
      <w:pPr>
        <w:tabs>
          <w:tab w:val="left" w:pos="8931"/>
        </w:tabs>
        <w:spacing w:after="0" w:line="360" w:lineRule="auto"/>
        <w:rPr>
          <w:color w:val="FF0000"/>
        </w:rPr>
      </w:pPr>
    </w:p>
    <w:p w14:paraId="147CC638" w14:textId="77777777" w:rsidR="00C4052B" w:rsidRPr="00814683" w:rsidRDefault="00C4052B" w:rsidP="004969B8">
      <w:pPr>
        <w:tabs>
          <w:tab w:val="left" w:pos="8931"/>
        </w:tabs>
        <w:spacing w:after="0" w:line="360" w:lineRule="auto"/>
        <w:rPr>
          <w:color w:val="FF0000"/>
        </w:rPr>
      </w:pPr>
    </w:p>
    <w:p w14:paraId="01BB5716" w14:textId="77777777" w:rsidR="00C4052B" w:rsidRPr="00814683" w:rsidRDefault="00C4052B" w:rsidP="004969B8">
      <w:pPr>
        <w:tabs>
          <w:tab w:val="left" w:pos="8931"/>
        </w:tabs>
        <w:spacing w:after="0" w:line="360" w:lineRule="auto"/>
        <w:rPr>
          <w:color w:val="FF0000"/>
        </w:rPr>
      </w:pPr>
    </w:p>
    <w:p w14:paraId="096D9F21" w14:textId="77777777" w:rsidR="007F1DB0" w:rsidRPr="00814683" w:rsidRDefault="007F1DB0" w:rsidP="004969B8">
      <w:pPr>
        <w:tabs>
          <w:tab w:val="left" w:pos="8931"/>
        </w:tabs>
        <w:spacing w:after="0" w:line="360" w:lineRule="auto"/>
        <w:rPr>
          <w:color w:val="FF0000"/>
        </w:rPr>
      </w:pPr>
    </w:p>
    <w:p w14:paraId="20157F55" w14:textId="77777777" w:rsidR="007F1DB0" w:rsidRPr="00814683" w:rsidRDefault="007F1DB0" w:rsidP="004969B8">
      <w:pPr>
        <w:tabs>
          <w:tab w:val="left" w:pos="8931"/>
        </w:tabs>
        <w:spacing w:after="0" w:line="360" w:lineRule="auto"/>
        <w:rPr>
          <w:color w:val="FF0000"/>
        </w:rPr>
      </w:pPr>
    </w:p>
    <w:p w14:paraId="62C1CEC9" w14:textId="77777777" w:rsidR="00C4052B" w:rsidRPr="00814683" w:rsidRDefault="00C4052B" w:rsidP="004969B8">
      <w:pPr>
        <w:tabs>
          <w:tab w:val="left" w:pos="8931"/>
        </w:tabs>
        <w:spacing w:after="0" w:line="360" w:lineRule="auto"/>
        <w:rPr>
          <w:color w:val="FF0000"/>
        </w:rPr>
      </w:pPr>
    </w:p>
    <w:p w14:paraId="3FB7EB5E" w14:textId="15B74F8B" w:rsidR="005C690F" w:rsidRPr="00814683" w:rsidRDefault="007D6307" w:rsidP="004969B8">
      <w:pPr>
        <w:tabs>
          <w:tab w:val="left" w:pos="8931"/>
        </w:tabs>
        <w:spacing w:after="0" w:line="360" w:lineRule="auto"/>
        <w:rPr>
          <w:color w:val="auto"/>
        </w:rPr>
      </w:pPr>
      <w:r w:rsidRPr="00814683">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A52500" w:rsidRPr="00814683">
        <w:rPr>
          <w:color w:val="auto"/>
        </w:rPr>
        <w:t xml:space="preserve">fecha </w:t>
      </w:r>
      <w:r w:rsidR="00E377AC" w:rsidRPr="00814683">
        <w:rPr>
          <w:color w:val="auto"/>
        </w:rPr>
        <w:t>ocho de abril de dos mil veintiséis.</w:t>
      </w:r>
    </w:p>
    <w:p w14:paraId="0DCD3B82" w14:textId="77777777" w:rsidR="005C690F" w:rsidRPr="00814683" w:rsidRDefault="005C690F" w:rsidP="004969B8">
      <w:pPr>
        <w:spacing w:after="0" w:line="360" w:lineRule="auto"/>
        <w:rPr>
          <w:b/>
          <w:color w:val="FF0000"/>
        </w:rPr>
      </w:pPr>
    </w:p>
    <w:p w14:paraId="1570B336" w14:textId="4D7650EE" w:rsidR="005C690F" w:rsidRPr="00814683" w:rsidRDefault="007D6307" w:rsidP="004969B8">
      <w:pPr>
        <w:tabs>
          <w:tab w:val="left" w:pos="8931"/>
        </w:tabs>
        <w:spacing w:after="0" w:line="360" w:lineRule="auto"/>
        <w:rPr>
          <w:bCs/>
          <w:color w:val="auto"/>
        </w:rPr>
      </w:pPr>
      <w:r w:rsidRPr="00814683">
        <w:rPr>
          <w:b/>
          <w:bCs/>
          <w:color w:val="auto"/>
        </w:rPr>
        <w:t>VISTO</w:t>
      </w:r>
      <w:r w:rsidRPr="00814683">
        <w:rPr>
          <w:color w:val="auto"/>
        </w:rPr>
        <w:t xml:space="preserve"> el expediente electrónico conformado con motivo del Recurso de Revisión </w:t>
      </w:r>
      <w:r w:rsidR="00937DFD" w:rsidRPr="00905E11">
        <w:rPr>
          <w:b/>
          <w:color w:val="auto"/>
        </w:rPr>
        <w:t>11376</w:t>
      </w:r>
      <w:r w:rsidR="00875F52" w:rsidRPr="00905E11">
        <w:rPr>
          <w:b/>
          <w:color w:val="auto"/>
        </w:rPr>
        <w:t>/INFOEM/IP/RR/2025</w:t>
      </w:r>
      <w:r w:rsidRPr="00814683">
        <w:rPr>
          <w:color w:val="auto"/>
        </w:rPr>
        <w:t xml:space="preserve">, interpuesto </w:t>
      </w:r>
      <w:r w:rsidR="008415EA" w:rsidRPr="00814683">
        <w:rPr>
          <w:color w:val="auto"/>
        </w:rPr>
        <w:t>por</w:t>
      </w:r>
      <w:r w:rsidR="005D114B" w:rsidRPr="00814683">
        <w:rPr>
          <w:color w:val="auto"/>
        </w:rPr>
        <w:t xml:space="preserve"> </w:t>
      </w:r>
      <w:r w:rsidR="00D906B2" w:rsidRPr="00814683">
        <w:rPr>
          <w:color w:val="auto"/>
        </w:rPr>
        <w:t>la persona</w:t>
      </w:r>
      <w:r w:rsidRPr="00814683">
        <w:rPr>
          <w:color w:val="auto"/>
        </w:rPr>
        <w:t xml:space="preserve"> Recurrente o Particular, en contra de la respuesta del Sujeto Obligado</w:t>
      </w:r>
      <w:r w:rsidR="00705FBB" w:rsidRPr="00814683">
        <w:rPr>
          <w:color w:val="auto"/>
        </w:rPr>
        <w:t xml:space="preserve">, </w:t>
      </w:r>
      <w:r w:rsidR="00937DFD" w:rsidRPr="00905E11">
        <w:rPr>
          <w:b/>
          <w:color w:val="auto"/>
        </w:rPr>
        <w:t>Ayuntamiento de Tianguistenco</w:t>
      </w:r>
      <w:r w:rsidR="00EF0C39" w:rsidRPr="00814683">
        <w:rPr>
          <w:color w:val="auto"/>
        </w:rPr>
        <w:t>,</w:t>
      </w:r>
      <w:r w:rsidRPr="00814683">
        <w:rPr>
          <w:color w:val="auto"/>
        </w:rPr>
        <w:t xml:space="preserve"> a la solicitud de acceso a</w:t>
      </w:r>
      <w:r w:rsidRPr="00814683">
        <w:rPr>
          <w:bCs/>
          <w:color w:val="auto"/>
        </w:rPr>
        <w:t xml:space="preserve"> la información </w:t>
      </w:r>
      <w:r w:rsidR="009E2583" w:rsidRPr="00814683">
        <w:rPr>
          <w:bCs/>
          <w:color w:val="auto"/>
        </w:rPr>
        <w:t>pública</w:t>
      </w:r>
      <w:r w:rsidR="00937DFD" w:rsidRPr="00814683">
        <w:rPr>
          <w:bCs/>
          <w:color w:val="auto"/>
        </w:rPr>
        <w:t xml:space="preserve"> 00169/TIANGUIS/IP/2025</w:t>
      </w:r>
      <w:r w:rsidRPr="00814683">
        <w:rPr>
          <w:bCs/>
          <w:color w:val="auto"/>
        </w:rPr>
        <w:t>, se</w:t>
      </w:r>
      <w:r w:rsidRPr="00814683">
        <w:rPr>
          <w:color w:val="auto"/>
        </w:rPr>
        <w:t xml:space="preserve"> emite la presente Resolución, con base en los Antecedentes y Considerandos que se exponen a continuación:</w:t>
      </w:r>
    </w:p>
    <w:p w14:paraId="1F97CEF3" w14:textId="77777777" w:rsidR="005C690F" w:rsidRPr="00814683" w:rsidRDefault="005C690F" w:rsidP="004969B8">
      <w:pPr>
        <w:spacing w:after="0" w:line="360" w:lineRule="auto"/>
        <w:rPr>
          <w:b/>
          <w:color w:val="FF0000"/>
        </w:rPr>
      </w:pPr>
    </w:p>
    <w:p w14:paraId="1DEAF9D3" w14:textId="24D35555" w:rsidR="005C690F" w:rsidRPr="00814683" w:rsidRDefault="00CD6238" w:rsidP="004969B8">
      <w:pPr>
        <w:pStyle w:val="Ttulo1"/>
        <w:spacing w:before="0" w:after="0" w:line="360" w:lineRule="auto"/>
        <w:jc w:val="center"/>
        <w:rPr>
          <w:color w:val="auto"/>
          <w:sz w:val="22"/>
          <w:szCs w:val="22"/>
        </w:rPr>
      </w:pPr>
      <w:bookmarkStart w:id="0" w:name="_Toc226640762"/>
      <w:r w:rsidRPr="00814683">
        <w:rPr>
          <w:color w:val="auto"/>
          <w:sz w:val="22"/>
          <w:szCs w:val="22"/>
        </w:rPr>
        <w:t>A N T E C E D E N T E S</w:t>
      </w:r>
      <w:bookmarkEnd w:id="0"/>
    </w:p>
    <w:p w14:paraId="5A7EDA4F" w14:textId="77777777" w:rsidR="005C690F" w:rsidRPr="00814683" w:rsidRDefault="005C690F" w:rsidP="004969B8">
      <w:pPr>
        <w:spacing w:after="0" w:line="360" w:lineRule="auto"/>
        <w:jc w:val="center"/>
        <w:rPr>
          <w:b/>
          <w:color w:val="auto"/>
        </w:rPr>
      </w:pPr>
    </w:p>
    <w:p w14:paraId="4930DAB9" w14:textId="77777777" w:rsidR="00E22EA8" w:rsidRPr="00814683" w:rsidRDefault="00E22EA8" w:rsidP="004969B8">
      <w:pPr>
        <w:pStyle w:val="Ttulo2"/>
        <w:spacing w:before="0" w:after="0" w:line="360" w:lineRule="auto"/>
        <w:rPr>
          <w:color w:val="auto"/>
          <w:sz w:val="22"/>
          <w:szCs w:val="22"/>
          <w:lang w:eastAsia="es-ES"/>
        </w:rPr>
      </w:pPr>
      <w:bookmarkStart w:id="1" w:name="_Toc226640763"/>
      <w:r w:rsidRPr="00814683">
        <w:rPr>
          <w:color w:val="auto"/>
          <w:sz w:val="22"/>
          <w:szCs w:val="22"/>
          <w:lang w:eastAsia="es-ES"/>
        </w:rPr>
        <w:t>I. Presentación de la solicitud de información</w:t>
      </w:r>
      <w:bookmarkEnd w:id="1"/>
    </w:p>
    <w:p w14:paraId="7243DA53" w14:textId="77777777" w:rsidR="00E22EA8" w:rsidRPr="00814683" w:rsidRDefault="00E22EA8" w:rsidP="004969B8">
      <w:pPr>
        <w:tabs>
          <w:tab w:val="left" w:pos="567"/>
        </w:tabs>
        <w:spacing w:after="0" w:line="360" w:lineRule="auto"/>
        <w:rPr>
          <w:rFonts w:eastAsia="Times New Roman" w:cs="Tahoma"/>
          <w:color w:val="auto"/>
          <w:lang w:eastAsia="es-ES"/>
        </w:rPr>
      </w:pPr>
    </w:p>
    <w:p w14:paraId="301B8A4E" w14:textId="356201BB" w:rsidR="00E22EA8" w:rsidRPr="00814683" w:rsidRDefault="00D906B2" w:rsidP="004969B8">
      <w:pPr>
        <w:spacing w:after="0" w:line="360" w:lineRule="auto"/>
        <w:rPr>
          <w:rFonts w:eastAsia="Times New Roman" w:cs="Tahoma"/>
          <w:color w:val="auto"/>
          <w:lang w:eastAsia="es-ES"/>
        </w:rPr>
      </w:pPr>
      <w:r w:rsidRPr="00814683">
        <w:rPr>
          <w:rFonts w:eastAsia="Times New Roman" w:cs="Tahoma"/>
          <w:color w:val="auto"/>
          <w:lang w:eastAsia="es-ES"/>
        </w:rPr>
        <w:t>El</w:t>
      </w:r>
      <w:r w:rsidR="005D114B" w:rsidRPr="00814683">
        <w:rPr>
          <w:rFonts w:eastAsia="Times New Roman" w:cs="Tahoma"/>
          <w:color w:val="auto"/>
          <w:lang w:eastAsia="es-ES"/>
        </w:rPr>
        <w:t xml:space="preserve"> </w:t>
      </w:r>
      <w:r w:rsidR="00937DFD" w:rsidRPr="00814683">
        <w:rPr>
          <w:rFonts w:eastAsia="Times New Roman" w:cs="Tahoma"/>
          <w:color w:val="auto"/>
          <w:lang w:eastAsia="es-ES"/>
        </w:rPr>
        <w:t>dos de septiembre de dos mil veinticinco</w:t>
      </w:r>
      <w:r w:rsidR="00B8553C" w:rsidRPr="00814683">
        <w:rPr>
          <w:rFonts w:eastAsia="Times New Roman" w:cs="Tahoma"/>
          <w:color w:val="auto"/>
          <w:lang w:eastAsia="es-ES"/>
        </w:rPr>
        <w:t xml:space="preserve">, </w:t>
      </w:r>
      <w:r w:rsidR="00E22EA8" w:rsidRPr="00814683">
        <w:rPr>
          <w:rFonts w:eastAsia="Times New Roman" w:cs="Tahoma"/>
          <w:color w:val="auto"/>
          <w:lang w:eastAsia="es-ES"/>
        </w:rPr>
        <w:t>el Particular presentó una solicitud de acceso a la información pública, a través del Sistema de Acceso a la Información Mexiquense (SAIMEX), ante</w:t>
      </w:r>
      <w:r w:rsidR="000B3C56" w:rsidRPr="00814683">
        <w:rPr>
          <w:rFonts w:eastAsia="Times New Roman" w:cs="Tahoma"/>
          <w:color w:val="auto"/>
          <w:lang w:eastAsia="es-ES"/>
        </w:rPr>
        <w:t xml:space="preserve"> </w:t>
      </w:r>
      <w:r w:rsidR="00DC175C" w:rsidRPr="00814683">
        <w:rPr>
          <w:rFonts w:eastAsia="Times New Roman" w:cs="Tahoma"/>
          <w:color w:val="auto"/>
          <w:lang w:eastAsia="es-ES"/>
        </w:rPr>
        <w:t>el</w:t>
      </w:r>
      <w:r w:rsidR="00B8553C" w:rsidRPr="00814683">
        <w:rPr>
          <w:color w:val="auto"/>
        </w:rPr>
        <w:t xml:space="preserve"> </w:t>
      </w:r>
      <w:r w:rsidR="000B487F" w:rsidRPr="00814683">
        <w:rPr>
          <w:color w:val="auto"/>
        </w:rPr>
        <w:t>Ayuntamiento</w:t>
      </w:r>
      <w:r w:rsidR="009E2583" w:rsidRPr="00814683">
        <w:rPr>
          <w:color w:val="auto"/>
        </w:rPr>
        <w:t xml:space="preserve"> de</w:t>
      </w:r>
      <w:r w:rsidR="00937DFD" w:rsidRPr="00814683">
        <w:rPr>
          <w:color w:val="auto"/>
        </w:rPr>
        <w:t xml:space="preserve"> Tianguistenco</w:t>
      </w:r>
      <w:r w:rsidR="008E0DC4" w:rsidRPr="00814683">
        <w:rPr>
          <w:rFonts w:eastAsia="Calibri" w:cs="Times New Roman"/>
          <w:color w:val="auto"/>
        </w:rPr>
        <w:t>,</w:t>
      </w:r>
      <w:r w:rsidR="00DC175C" w:rsidRPr="00814683">
        <w:rPr>
          <w:rFonts w:eastAsia="Calibri" w:cs="Tahoma"/>
          <w:color w:val="auto"/>
        </w:rPr>
        <w:t xml:space="preserve"> </w:t>
      </w:r>
      <w:r w:rsidR="00E22EA8" w:rsidRPr="00814683">
        <w:rPr>
          <w:rFonts w:eastAsia="Calibri" w:cs="Tahoma"/>
          <w:color w:val="auto"/>
        </w:rPr>
        <w:t xml:space="preserve">en los siguientes términos: </w:t>
      </w:r>
    </w:p>
    <w:p w14:paraId="2B959865" w14:textId="77777777" w:rsidR="00E22EA8" w:rsidRPr="00814683" w:rsidRDefault="00E22EA8" w:rsidP="004969B8">
      <w:pPr>
        <w:spacing w:after="0" w:line="360" w:lineRule="auto"/>
        <w:rPr>
          <w:rFonts w:eastAsia="Calibri" w:cs="Tahoma"/>
          <w:color w:val="FF0000"/>
        </w:rPr>
      </w:pPr>
    </w:p>
    <w:p w14:paraId="4AF8EA11" w14:textId="1F49124E" w:rsidR="00BF362A" w:rsidRPr="00814683" w:rsidRDefault="00125F26" w:rsidP="004969B8">
      <w:pPr>
        <w:spacing w:after="0" w:line="360" w:lineRule="auto"/>
        <w:ind w:left="567" w:right="567"/>
        <w:rPr>
          <w:rFonts w:eastAsia="Times New Roman" w:cs="Tahoma"/>
          <w:b/>
          <w:i/>
          <w:iCs/>
          <w:color w:val="auto"/>
          <w:sz w:val="20"/>
          <w:szCs w:val="20"/>
          <w:lang w:eastAsia="es-ES"/>
        </w:rPr>
      </w:pPr>
      <w:r w:rsidRPr="00814683">
        <w:rPr>
          <w:rFonts w:eastAsia="Times New Roman" w:cs="Tahoma"/>
          <w:b/>
          <w:i/>
          <w:iCs/>
          <w:color w:val="auto"/>
          <w:sz w:val="20"/>
          <w:szCs w:val="20"/>
          <w:lang w:eastAsia="es-ES"/>
        </w:rPr>
        <w:t>“</w:t>
      </w:r>
      <w:r w:rsidR="00E22EA8" w:rsidRPr="00814683">
        <w:rPr>
          <w:rFonts w:eastAsia="Times New Roman" w:cs="Tahoma"/>
          <w:b/>
          <w:i/>
          <w:iCs/>
          <w:color w:val="auto"/>
          <w:sz w:val="20"/>
          <w:szCs w:val="20"/>
          <w:lang w:eastAsia="es-ES"/>
        </w:rPr>
        <w:t xml:space="preserve">DESCRIPCIÓN </w:t>
      </w:r>
      <w:r w:rsidR="00E22EA8" w:rsidRPr="00814683">
        <w:rPr>
          <w:rFonts w:eastAsia="Times New Roman" w:cs="Arial"/>
          <w:bCs/>
          <w:i/>
          <w:iCs/>
          <w:color w:val="auto"/>
          <w:sz w:val="20"/>
          <w:lang w:eastAsia="es-ES"/>
        </w:rPr>
        <w:t>CLARA</w:t>
      </w:r>
      <w:r w:rsidR="00E22EA8" w:rsidRPr="00814683">
        <w:rPr>
          <w:rFonts w:eastAsia="Times New Roman" w:cs="Tahoma"/>
          <w:b/>
          <w:i/>
          <w:iCs/>
          <w:color w:val="auto"/>
          <w:sz w:val="20"/>
          <w:szCs w:val="20"/>
          <w:lang w:eastAsia="es-ES"/>
        </w:rPr>
        <w:t xml:space="preserve"> Y PRECI</w:t>
      </w:r>
      <w:r w:rsidR="0084143D" w:rsidRPr="00814683">
        <w:rPr>
          <w:rFonts w:eastAsia="Times New Roman" w:cs="Tahoma"/>
          <w:b/>
          <w:i/>
          <w:iCs/>
          <w:color w:val="auto"/>
          <w:sz w:val="20"/>
          <w:szCs w:val="20"/>
          <w:lang w:eastAsia="es-ES"/>
        </w:rPr>
        <w:t>SA DE LA INFORMACIÓN SOLICITADA</w:t>
      </w:r>
    </w:p>
    <w:p w14:paraId="36E12FD7" w14:textId="0333D38F" w:rsidR="005D114B" w:rsidRPr="00814683" w:rsidRDefault="00937DFD" w:rsidP="004969B8">
      <w:pPr>
        <w:spacing w:after="0" w:line="360" w:lineRule="auto"/>
        <w:ind w:left="567" w:right="567"/>
        <w:rPr>
          <w:rFonts w:eastAsia="Times New Roman" w:cs="Arial"/>
          <w:bCs/>
          <w:i/>
          <w:iCs/>
          <w:color w:val="auto"/>
          <w:sz w:val="20"/>
          <w:lang w:eastAsia="es-ES"/>
        </w:rPr>
      </w:pPr>
      <w:r w:rsidRPr="00814683">
        <w:rPr>
          <w:rFonts w:eastAsia="Times New Roman" w:cs="Arial"/>
          <w:bCs/>
          <w:i/>
          <w:iCs/>
          <w:color w:val="auto"/>
          <w:sz w:val="20"/>
          <w:lang w:eastAsia="es-ES"/>
        </w:rPr>
        <w:t>Solicito el recibo de nomina del comisario de la quincena del 01 al 15 de agosto de 2025, su permiso de portación de arma de fuego, y su examen de control de confianza y también si esta aprobado o no.</w:t>
      </w:r>
      <w:r w:rsidR="009710FF" w:rsidRPr="00814683">
        <w:rPr>
          <w:rFonts w:eastAsia="Times New Roman" w:cs="Arial"/>
          <w:bCs/>
          <w:i/>
          <w:iCs/>
          <w:color w:val="auto"/>
          <w:sz w:val="20"/>
          <w:lang w:eastAsia="es-ES"/>
        </w:rPr>
        <w:t>” (</w:t>
      </w:r>
      <w:r w:rsidR="00607792" w:rsidRPr="00814683">
        <w:rPr>
          <w:rFonts w:eastAsia="Times New Roman" w:cs="Arial"/>
          <w:bCs/>
          <w:i/>
          <w:iCs/>
          <w:color w:val="auto"/>
          <w:sz w:val="20"/>
          <w:lang w:eastAsia="es-ES"/>
        </w:rPr>
        <w:t>Sic)</w:t>
      </w:r>
    </w:p>
    <w:p w14:paraId="3400FDB9" w14:textId="77777777" w:rsidR="000B487F" w:rsidRPr="00814683" w:rsidRDefault="000B487F" w:rsidP="004969B8">
      <w:pPr>
        <w:tabs>
          <w:tab w:val="left" w:pos="4667"/>
        </w:tabs>
        <w:spacing w:after="0" w:line="360" w:lineRule="auto"/>
        <w:ind w:right="567"/>
        <w:rPr>
          <w:rFonts w:eastAsia="Times New Roman" w:cs="Tahoma"/>
          <w:b/>
          <w:bCs/>
          <w:i/>
          <w:iCs/>
          <w:color w:val="auto"/>
          <w:sz w:val="20"/>
          <w:lang w:eastAsia="es-ES"/>
        </w:rPr>
      </w:pPr>
    </w:p>
    <w:p w14:paraId="6C0DE105" w14:textId="3FEE2196" w:rsidR="00E22EA8" w:rsidRPr="00814683" w:rsidRDefault="00125F26" w:rsidP="004969B8">
      <w:pPr>
        <w:tabs>
          <w:tab w:val="left" w:pos="4667"/>
        </w:tabs>
        <w:spacing w:after="0" w:line="360" w:lineRule="auto"/>
        <w:ind w:left="567" w:right="567"/>
        <w:rPr>
          <w:rFonts w:eastAsia="Times New Roman" w:cs="Tahoma"/>
          <w:b/>
          <w:bCs/>
          <w:i/>
          <w:iCs/>
          <w:color w:val="auto"/>
          <w:sz w:val="20"/>
          <w:lang w:eastAsia="es-ES"/>
        </w:rPr>
      </w:pPr>
      <w:r w:rsidRPr="00814683">
        <w:rPr>
          <w:rFonts w:eastAsia="Times New Roman" w:cs="Tahoma"/>
          <w:b/>
          <w:bCs/>
          <w:i/>
          <w:iCs/>
          <w:color w:val="auto"/>
          <w:sz w:val="20"/>
          <w:lang w:eastAsia="es-ES"/>
        </w:rPr>
        <w:t>“</w:t>
      </w:r>
      <w:r w:rsidR="00E22EA8" w:rsidRPr="00814683">
        <w:rPr>
          <w:rFonts w:eastAsia="Times New Roman" w:cs="Tahoma"/>
          <w:b/>
          <w:bCs/>
          <w:i/>
          <w:iCs/>
          <w:color w:val="auto"/>
          <w:sz w:val="20"/>
          <w:lang w:eastAsia="es-ES"/>
        </w:rPr>
        <w:t>MODALIDAD DE ENTREGA</w:t>
      </w:r>
    </w:p>
    <w:p w14:paraId="0ECE13DD" w14:textId="4A758259" w:rsidR="002F5AA8" w:rsidRPr="00814683" w:rsidRDefault="00BB6693" w:rsidP="004969B8">
      <w:pPr>
        <w:spacing w:after="0" w:line="360" w:lineRule="auto"/>
        <w:ind w:left="567" w:right="567"/>
        <w:rPr>
          <w:rFonts w:eastAsia="Times New Roman" w:cs="Arial"/>
          <w:bCs/>
          <w:i/>
          <w:iCs/>
          <w:color w:val="auto"/>
          <w:sz w:val="20"/>
          <w:lang w:eastAsia="es-ES"/>
        </w:rPr>
      </w:pPr>
      <w:r w:rsidRPr="00814683">
        <w:rPr>
          <w:rFonts w:eastAsia="Times New Roman" w:cs="Arial"/>
          <w:bCs/>
          <w:i/>
          <w:iCs/>
          <w:color w:val="auto"/>
          <w:sz w:val="20"/>
          <w:lang w:eastAsia="es-ES"/>
        </w:rPr>
        <w:t>A través del SAIMEX</w:t>
      </w:r>
      <w:r w:rsidR="00E22EA8" w:rsidRPr="00814683">
        <w:rPr>
          <w:rFonts w:eastAsia="Times New Roman" w:cs="Arial"/>
          <w:bCs/>
          <w:i/>
          <w:iCs/>
          <w:color w:val="auto"/>
          <w:sz w:val="20"/>
          <w:lang w:eastAsia="es-ES"/>
        </w:rPr>
        <w:t>”</w:t>
      </w:r>
    </w:p>
    <w:p w14:paraId="1ED419A1" w14:textId="77777777" w:rsidR="005D114B" w:rsidRPr="00814683" w:rsidRDefault="005D114B" w:rsidP="004969B8">
      <w:pPr>
        <w:spacing w:after="0" w:line="360" w:lineRule="auto"/>
        <w:ind w:right="567"/>
        <w:rPr>
          <w:rFonts w:eastAsia="Times New Roman" w:cs="Arial"/>
          <w:bCs/>
          <w:iCs/>
          <w:color w:val="FF0000"/>
          <w:sz w:val="20"/>
          <w:lang w:eastAsia="es-ES"/>
        </w:rPr>
      </w:pPr>
    </w:p>
    <w:p w14:paraId="0A604AAC" w14:textId="208AD018" w:rsidR="00E22EA8" w:rsidRPr="00814683" w:rsidRDefault="000B3C56" w:rsidP="004969B8">
      <w:pPr>
        <w:pStyle w:val="Ttulo2"/>
        <w:spacing w:before="0" w:after="0" w:line="360" w:lineRule="auto"/>
        <w:rPr>
          <w:color w:val="auto"/>
          <w:sz w:val="22"/>
          <w:szCs w:val="22"/>
        </w:rPr>
      </w:pPr>
      <w:bookmarkStart w:id="2" w:name="_Toc226640764"/>
      <w:r w:rsidRPr="00814683">
        <w:rPr>
          <w:rFonts w:cs="Tahoma"/>
          <w:color w:val="auto"/>
          <w:sz w:val="22"/>
          <w:szCs w:val="22"/>
        </w:rPr>
        <w:lastRenderedPageBreak/>
        <w:t>I</w:t>
      </w:r>
      <w:r w:rsidR="00E22EA8" w:rsidRPr="00814683">
        <w:rPr>
          <w:rFonts w:cs="Tahoma"/>
          <w:color w:val="auto"/>
          <w:sz w:val="22"/>
          <w:szCs w:val="22"/>
        </w:rPr>
        <w:t>I.</w:t>
      </w:r>
      <w:r w:rsidR="00E22EA8" w:rsidRPr="00814683">
        <w:rPr>
          <w:color w:val="auto"/>
          <w:sz w:val="22"/>
          <w:szCs w:val="22"/>
        </w:rPr>
        <w:t xml:space="preserve"> Respuesta del Sujeto Obligado</w:t>
      </w:r>
      <w:bookmarkEnd w:id="2"/>
    </w:p>
    <w:p w14:paraId="10CE94A9" w14:textId="77777777" w:rsidR="00C06004" w:rsidRPr="00814683" w:rsidRDefault="00C06004" w:rsidP="004969B8">
      <w:pPr>
        <w:autoSpaceDE w:val="0"/>
        <w:autoSpaceDN w:val="0"/>
        <w:adjustRightInd w:val="0"/>
        <w:spacing w:after="0" w:line="360" w:lineRule="auto"/>
        <w:rPr>
          <w:b/>
          <w:bCs/>
          <w:color w:val="FF0000"/>
        </w:rPr>
      </w:pPr>
    </w:p>
    <w:p w14:paraId="2668559F" w14:textId="48C33884" w:rsidR="00F8469D" w:rsidRPr="00814683" w:rsidRDefault="00011477" w:rsidP="004969B8">
      <w:pPr>
        <w:spacing w:after="0" w:line="360" w:lineRule="auto"/>
        <w:rPr>
          <w:color w:val="auto"/>
        </w:rPr>
      </w:pPr>
      <w:r w:rsidRPr="00814683">
        <w:rPr>
          <w:color w:val="auto"/>
        </w:rPr>
        <w:t xml:space="preserve">El </w:t>
      </w:r>
      <w:r w:rsidR="00937DFD" w:rsidRPr="00814683">
        <w:rPr>
          <w:color w:val="auto"/>
        </w:rPr>
        <w:t xml:space="preserve">veinticuatro de septiembre </w:t>
      </w:r>
      <w:r w:rsidR="009710FF" w:rsidRPr="00814683">
        <w:rPr>
          <w:color w:val="auto"/>
        </w:rPr>
        <w:t xml:space="preserve">de dos mil veinticinco, </w:t>
      </w:r>
      <w:r w:rsidR="00E22EA8" w:rsidRPr="00814683">
        <w:rPr>
          <w:color w:val="auto"/>
        </w:rPr>
        <w:t>el Sujeto Obligado notificó, a través del Sistema de Acceso a la Información Mexiquense (SAIMEX), la respuesta a la solicitud de acceso a la información pública</w:t>
      </w:r>
      <w:r w:rsidR="00E96692" w:rsidRPr="00814683">
        <w:rPr>
          <w:color w:val="auto"/>
        </w:rPr>
        <w:t>, a través de</w:t>
      </w:r>
      <w:r w:rsidR="00F8469D" w:rsidRPr="00814683">
        <w:rPr>
          <w:color w:val="auto"/>
        </w:rPr>
        <w:t xml:space="preserve"> la digitalización de los siguientes documentos:</w:t>
      </w:r>
      <w:r w:rsidR="009E2583" w:rsidRPr="00814683">
        <w:rPr>
          <w:color w:val="auto"/>
        </w:rPr>
        <w:t xml:space="preserve"> </w:t>
      </w:r>
    </w:p>
    <w:p w14:paraId="00217A88" w14:textId="77777777" w:rsidR="00F8469D" w:rsidRPr="00814683" w:rsidRDefault="00F8469D" w:rsidP="004969B8">
      <w:pPr>
        <w:spacing w:after="0" w:line="360" w:lineRule="auto"/>
        <w:rPr>
          <w:color w:val="FF0000"/>
        </w:rPr>
      </w:pPr>
    </w:p>
    <w:p w14:paraId="045BF85F" w14:textId="747F0000" w:rsidR="00937DFD" w:rsidRPr="00814683" w:rsidRDefault="00AD6335" w:rsidP="004969B8">
      <w:pPr>
        <w:spacing w:after="0" w:line="360" w:lineRule="auto"/>
        <w:rPr>
          <w:bCs/>
          <w:color w:val="auto"/>
        </w:rPr>
      </w:pPr>
      <w:r w:rsidRPr="00814683">
        <w:rPr>
          <w:color w:val="auto"/>
        </w:rPr>
        <w:t xml:space="preserve">i. Oficio </w:t>
      </w:r>
      <w:r w:rsidR="00E95D2C" w:rsidRPr="00814683">
        <w:rPr>
          <w:color w:val="auto"/>
        </w:rPr>
        <w:t>PMT/UT/214/2025 del dos de septiembre de dos mil veinticinco, suscrito por el Titular de la Unidad de Transparencia, dirigido al Encargado del Despacho de la Secretaría Técnica del Consejo Municipal de Seguridad Pública</w:t>
      </w:r>
      <w:r w:rsidR="00E05217" w:rsidRPr="00814683">
        <w:rPr>
          <w:color w:val="auto"/>
        </w:rPr>
        <w:t xml:space="preserve">, por medio del cual se realizó el turno del requerimiento informativo </w:t>
      </w:r>
      <w:r w:rsidR="00E05217" w:rsidRPr="00814683">
        <w:rPr>
          <w:bCs/>
          <w:color w:val="auto"/>
        </w:rPr>
        <w:t>00169/TIANGUIS/IP/2025.</w:t>
      </w:r>
    </w:p>
    <w:p w14:paraId="472FF3EA" w14:textId="77777777" w:rsidR="00E05217" w:rsidRPr="00814683" w:rsidRDefault="00E05217" w:rsidP="004969B8">
      <w:pPr>
        <w:spacing w:after="0" w:line="360" w:lineRule="auto"/>
        <w:rPr>
          <w:bCs/>
          <w:color w:val="auto"/>
        </w:rPr>
      </w:pPr>
    </w:p>
    <w:p w14:paraId="15AD31DA" w14:textId="4526C401" w:rsidR="00E05217" w:rsidRPr="00814683" w:rsidRDefault="00E05217" w:rsidP="004969B8">
      <w:pPr>
        <w:spacing w:after="0" w:line="360" w:lineRule="auto"/>
        <w:rPr>
          <w:bCs/>
          <w:color w:val="auto"/>
        </w:rPr>
      </w:pPr>
      <w:r w:rsidRPr="00814683">
        <w:rPr>
          <w:bCs/>
          <w:color w:val="auto"/>
        </w:rPr>
        <w:t>ii. Acuse de la solicitud de información 00169/TIANGUIS/IP/2025.</w:t>
      </w:r>
    </w:p>
    <w:p w14:paraId="5FAF97E3" w14:textId="77777777" w:rsidR="004A4CF0" w:rsidRPr="00814683" w:rsidRDefault="004A4CF0" w:rsidP="004969B8">
      <w:pPr>
        <w:spacing w:after="0" w:line="360" w:lineRule="auto"/>
        <w:rPr>
          <w:bCs/>
          <w:color w:val="auto"/>
        </w:rPr>
      </w:pPr>
    </w:p>
    <w:p w14:paraId="0E477B97" w14:textId="1EF3AC98" w:rsidR="004A4CF0" w:rsidRPr="00814683" w:rsidRDefault="004A4CF0" w:rsidP="004969B8">
      <w:pPr>
        <w:spacing w:after="0" w:line="360" w:lineRule="auto"/>
        <w:rPr>
          <w:bCs/>
          <w:color w:val="auto"/>
        </w:rPr>
      </w:pPr>
      <w:r w:rsidRPr="00814683">
        <w:rPr>
          <w:bCs/>
          <w:color w:val="auto"/>
        </w:rPr>
        <w:t>i</w:t>
      </w:r>
      <w:r w:rsidR="00500851" w:rsidRPr="00814683">
        <w:rPr>
          <w:bCs/>
          <w:color w:val="auto"/>
        </w:rPr>
        <w:t>ii</w:t>
      </w:r>
      <w:r w:rsidRPr="00814683">
        <w:rPr>
          <w:bCs/>
          <w:color w:val="auto"/>
        </w:rPr>
        <w:t xml:space="preserve">. Oficio </w:t>
      </w:r>
      <w:r w:rsidRPr="00814683">
        <w:rPr>
          <w:color w:val="auto"/>
        </w:rPr>
        <w:t xml:space="preserve">PMT/UT/215/2025 del dos de septiembre de dos mil veinticinco, suscrito por el Titular de la Unidad de Transparencia, dirigido al Encargado del Despacho de la Secretaría Técnica del Consejo Municipal de Seguridad Pública, por medio del cual se realizó el turno del requerimiento informativo </w:t>
      </w:r>
      <w:r w:rsidRPr="00814683">
        <w:rPr>
          <w:bCs/>
          <w:color w:val="auto"/>
        </w:rPr>
        <w:t>00170/TIANGUIS/IP/2025.</w:t>
      </w:r>
    </w:p>
    <w:p w14:paraId="6E62D9D2" w14:textId="524E5B71" w:rsidR="004A4CF0" w:rsidRPr="00814683" w:rsidRDefault="004A4CF0" w:rsidP="004969B8">
      <w:pPr>
        <w:spacing w:after="0" w:line="360" w:lineRule="auto"/>
        <w:rPr>
          <w:color w:val="auto"/>
        </w:rPr>
      </w:pPr>
    </w:p>
    <w:p w14:paraId="4FB1B056" w14:textId="053112DF" w:rsidR="00937DFD" w:rsidRPr="00814683" w:rsidRDefault="00500851" w:rsidP="004969B8">
      <w:pPr>
        <w:spacing w:after="0" w:line="360" w:lineRule="auto"/>
        <w:rPr>
          <w:color w:val="auto"/>
        </w:rPr>
      </w:pPr>
      <w:r w:rsidRPr="00814683">
        <w:rPr>
          <w:color w:val="auto"/>
        </w:rPr>
        <w:t>i</w:t>
      </w:r>
      <w:r w:rsidR="004A4CF0" w:rsidRPr="00814683">
        <w:rPr>
          <w:color w:val="auto"/>
        </w:rPr>
        <w:t xml:space="preserve">v. </w:t>
      </w:r>
      <w:r w:rsidR="00E33DFB" w:rsidRPr="00814683">
        <w:rPr>
          <w:bCs/>
          <w:color w:val="auto"/>
        </w:rPr>
        <w:t>Acuse de la solicitud de información 00170/TIANGUIS/IP/2025.</w:t>
      </w:r>
    </w:p>
    <w:p w14:paraId="6EC6C0B6" w14:textId="77777777" w:rsidR="00937DFD" w:rsidRPr="00814683" w:rsidRDefault="00937DFD" w:rsidP="004969B8">
      <w:pPr>
        <w:spacing w:after="0" w:line="360" w:lineRule="auto"/>
        <w:rPr>
          <w:color w:val="auto"/>
        </w:rPr>
      </w:pPr>
    </w:p>
    <w:p w14:paraId="02E4FC99" w14:textId="68968C75" w:rsidR="00500851" w:rsidRPr="00814683" w:rsidRDefault="00E33DFB" w:rsidP="004969B8">
      <w:pPr>
        <w:spacing w:after="0" w:line="360" w:lineRule="auto"/>
        <w:rPr>
          <w:color w:val="auto"/>
        </w:rPr>
      </w:pPr>
      <w:r w:rsidRPr="00814683">
        <w:rPr>
          <w:color w:val="auto"/>
        </w:rPr>
        <w:t>v</w:t>
      </w:r>
      <w:r w:rsidR="00500851" w:rsidRPr="00814683">
        <w:rPr>
          <w:color w:val="auto"/>
        </w:rPr>
        <w:t>.</w:t>
      </w:r>
      <w:r w:rsidR="00500851" w:rsidRPr="00814683">
        <w:rPr>
          <w:bCs/>
          <w:color w:val="auto"/>
        </w:rPr>
        <w:t xml:space="preserve"> Oficio No. PMT/STCMSP/579/2025 del veintidós de septiembre de dos mil veinticinco, dirigido al Titular de la Unidad de Transparencia, por medio del cual se </w:t>
      </w:r>
      <w:r w:rsidR="00616FF8" w:rsidRPr="00814683">
        <w:rPr>
          <w:bCs/>
          <w:color w:val="auto"/>
        </w:rPr>
        <w:t xml:space="preserve"> establece que la </w:t>
      </w:r>
      <w:r w:rsidR="001C2A07" w:rsidRPr="00814683">
        <w:rPr>
          <w:bCs/>
          <w:color w:val="auto"/>
        </w:rPr>
        <w:t xml:space="preserve">es </w:t>
      </w:r>
      <w:r w:rsidR="002D71B2" w:rsidRPr="00814683">
        <w:rPr>
          <w:color w:val="auto"/>
        </w:rPr>
        <w:t>información del personal de seguridad pública</w:t>
      </w:r>
      <w:r w:rsidR="002D71B2" w:rsidRPr="00814683">
        <w:rPr>
          <w:bCs/>
          <w:color w:val="auto"/>
        </w:rPr>
        <w:t xml:space="preserve"> </w:t>
      </w:r>
      <w:r w:rsidR="001C2A07" w:rsidRPr="00814683">
        <w:rPr>
          <w:bCs/>
          <w:color w:val="auto"/>
        </w:rPr>
        <w:t xml:space="preserve">reservada en términos del artículo 140 y 143 de la </w:t>
      </w:r>
      <w:r w:rsidR="001C2A07" w:rsidRPr="00814683">
        <w:rPr>
          <w:color w:val="auto"/>
        </w:rPr>
        <w:t>Ley de Transparencia y Acceso a la Información Pública del Estado de México y Municipios.</w:t>
      </w:r>
    </w:p>
    <w:p w14:paraId="1EA6A6FB" w14:textId="77777777" w:rsidR="00F302EB" w:rsidRPr="00814683" w:rsidRDefault="00F302EB" w:rsidP="004969B8">
      <w:pPr>
        <w:spacing w:after="0" w:line="360" w:lineRule="auto"/>
        <w:rPr>
          <w:color w:val="auto"/>
        </w:rPr>
      </w:pPr>
    </w:p>
    <w:p w14:paraId="17BEF39A" w14:textId="7F05D5B8" w:rsidR="00F302EB" w:rsidRPr="00814683" w:rsidRDefault="00F302EB" w:rsidP="004969B8">
      <w:pPr>
        <w:spacing w:after="0" w:line="360" w:lineRule="auto"/>
        <w:rPr>
          <w:bCs/>
          <w:color w:val="auto"/>
        </w:rPr>
      </w:pPr>
      <w:r w:rsidRPr="00814683">
        <w:rPr>
          <w:color w:val="auto"/>
        </w:rPr>
        <w:lastRenderedPageBreak/>
        <w:t xml:space="preserve">vi. Oficio </w:t>
      </w:r>
      <w:r w:rsidRPr="00814683">
        <w:t xml:space="preserve">PMT/UT/213/2025 del dos de </w:t>
      </w:r>
      <w:r w:rsidRPr="00814683">
        <w:rPr>
          <w:color w:val="auto"/>
        </w:rPr>
        <w:t xml:space="preserve">septiembre de dos mil veinticinco, suscrito por el Titular de la Unidad de Transparencia, dirigido al Tesorero Municipal, por medio del cual se realizó el turno del requerimiento informativo </w:t>
      </w:r>
      <w:r w:rsidRPr="00814683">
        <w:rPr>
          <w:bCs/>
          <w:color w:val="auto"/>
        </w:rPr>
        <w:t>00169/TIANGUIS/IP/2025.</w:t>
      </w:r>
    </w:p>
    <w:p w14:paraId="7A609E35" w14:textId="0020A064" w:rsidR="00F302EB" w:rsidRPr="00814683" w:rsidRDefault="00F302EB" w:rsidP="004969B8">
      <w:pPr>
        <w:spacing w:after="0" w:line="360" w:lineRule="auto"/>
        <w:rPr>
          <w:bCs/>
          <w:color w:val="auto"/>
        </w:rPr>
      </w:pPr>
    </w:p>
    <w:p w14:paraId="5E75A690" w14:textId="7652B8A4" w:rsidR="00A612A3" w:rsidRPr="00814683" w:rsidRDefault="00A612A3" w:rsidP="004969B8">
      <w:pPr>
        <w:spacing w:after="0" w:line="360" w:lineRule="auto"/>
      </w:pPr>
      <w:r w:rsidRPr="00814683">
        <w:rPr>
          <w:bCs/>
          <w:color w:val="auto"/>
        </w:rPr>
        <w:t xml:space="preserve">vii. Oficio </w:t>
      </w:r>
      <w:r w:rsidRPr="00814683">
        <w:t>PMT/TM/0595/2025 del veintidós de diciembre de dos mil veinticinco, suscrito por el Tesorero Municipal, dirigido al Titular de la Unidad de Transparencia, por medio del cual se menciona lo siguiente:</w:t>
      </w:r>
    </w:p>
    <w:p w14:paraId="7105ADD0" w14:textId="77777777" w:rsidR="004969B8" w:rsidRPr="00814683" w:rsidRDefault="004969B8" w:rsidP="004969B8">
      <w:pPr>
        <w:spacing w:after="0" w:line="360" w:lineRule="auto"/>
      </w:pPr>
    </w:p>
    <w:p w14:paraId="33D4B5E3" w14:textId="24DCD828" w:rsidR="00A612A3" w:rsidRPr="00814683" w:rsidRDefault="00A612A3" w:rsidP="004969B8">
      <w:pPr>
        <w:spacing w:after="0" w:line="360" w:lineRule="auto"/>
        <w:ind w:left="567" w:right="567"/>
        <w:rPr>
          <w:rFonts w:eastAsia="Times New Roman" w:cs="Arial"/>
          <w:bCs/>
          <w:i/>
          <w:iCs/>
          <w:color w:val="auto"/>
          <w:sz w:val="20"/>
          <w:lang w:eastAsia="es-ES"/>
        </w:rPr>
      </w:pPr>
      <w:r w:rsidRPr="00814683">
        <w:rPr>
          <w:rFonts w:eastAsia="Times New Roman" w:cs="Arial"/>
          <w:bCs/>
          <w:i/>
          <w:iCs/>
          <w:color w:val="auto"/>
          <w:sz w:val="20"/>
          <w:lang w:eastAsia="es-ES"/>
        </w:rPr>
        <w:t xml:space="preserve">“…el 02 de septiembre del año en curso en las oficinas de la Tesorería Municipal bajo el número </w:t>
      </w:r>
      <w:r w:rsidRPr="00814683">
        <w:rPr>
          <w:rFonts w:eastAsia="Times New Roman" w:cs="Arial"/>
          <w:b/>
          <w:bCs/>
          <w:i/>
          <w:iCs/>
          <w:color w:val="auto"/>
          <w:sz w:val="20"/>
          <w:lang w:eastAsia="es-ES"/>
        </w:rPr>
        <w:t>PMT/UT/213/2025</w:t>
      </w:r>
      <w:r w:rsidRPr="00814683">
        <w:rPr>
          <w:rFonts w:eastAsia="Times New Roman" w:cs="Arial"/>
          <w:bCs/>
          <w:i/>
          <w:iCs/>
          <w:color w:val="auto"/>
          <w:sz w:val="20"/>
          <w:lang w:eastAsia="es-ES"/>
        </w:rPr>
        <w:t xml:space="preserve"> у número de folio </w:t>
      </w:r>
      <w:r w:rsidRPr="00814683">
        <w:rPr>
          <w:rFonts w:eastAsia="Times New Roman" w:cs="Arial"/>
          <w:b/>
          <w:bCs/>
          <w:i/>
          <w:iCs/>
          <w:color w:val="auto"/>
          <w:sz w:val="20"/>
          <w:lang w:eastAsia="es-ES"/>
        </w:rPr>
        <w:t>00169/TIANGUIS/IP/2025</w:t>
      </w:r>
      <w:r w:rsidRPr="00814683">
        <w:rPr>
          <w:rFonts w:eastAsia="Times New Roman" w:cs="Arial"/>
          <w:bCs/>
          <w:i/>
          <w:iCs/>
          <w:color w:val="auto"/>
          <w:sz w:val="20"/>
          <w:lang w:eastAsia="es-ES"/>
        </w:rPr>
        <w:t xml:space="preserve"> en el que se solicita: </w:t>
      </w:r>
    </w:p>
    <w:p w14:paraId="324C97D6" w14:textId="77777777" w:rsidR="00A612A3" w:rsidRPr="00814683" w:rsidRDefault="00A612A3" w:rsidP="004969B8">
      <w:pPr>
        <w:spacing w:after="0" w:line="360" w:lineRule="auto"/>
        <w:ind w:left="567" w:right="567"/>
        <w:rPr>
          <w:rFonts w:eastAsia="Times New Roman" w:cs="Arial"/>
          <w:bCs/>
          <w:i/>
          <w:iCs/>
          <w:color w:val="auto"/>
          <w:sz w:val="20"/>
          <w:lang w:eastAsia="es-ES"/>
        </w:rPr>
      </w:pPr>
    </w:p>
    <w:p w14:paraId="5E8254DA" w14:textId="025281DC" w:rsidR="00A612A3" w:rsidRPr="00814683" w:rsidRDefault="00A612A3" w:rsidP="004969B8">
      <w:pPr>
        <w:spacing w:after="0" w:line="360" w:lineRule="auto"/>
        <w:ind w:left="567" w:right="567"/>
        <w:rPr>
          <w:rFonts w:eastAsia="Times New Roman" w:cs="Arial"/>
          <w:b/>
          <w:bCs/>
          <w:i/>
          <w:iCs/>
          <w:color w:val="auto"/>
          <w:sz w:val="20"/>
          <w:lang w:eastAsia="es-ES"/>
        </w:rPr>
      </w:pPr>
      <w:r w:rsidRPr="00814683">
        <w:rPr>
          <w:rFonts w:eastAsia="Times New Roman" w:cs="Arial"/>
          <w:b/>
          <w:bCs/>
          <w:i/>
          <w:iCs/>
          <w:color w:val="auto"/>
          <w:sz w:val="20"/>
          <w:lang w:eastAsia="es-ES"/>
        </w:rPr>
        <w:t>“RECIBO DE NOMINA DEL COMISARIO, PERMISO DE APORTACION DE ARMAS Y EL EXAMEN DE CONTROL DE CONFIANZA "Sic.</w:t>
      </w:r>
    </w:p>
    <w:p w14:paraId="475D2D3B" w14:textId="4A719730" w:rsidR="00A612A3" w:rsidRPr="00814683" w:rsidRDefault="00A612A3" w:rsidP="004969B8">
      <w:pPr>
        <w:spacing w:after="0" w:line="360" w:lineRule="auto"/>
        <w:ind w:left="567" w:right="567"/>
        <w:rPr>
          <w:rFonts w:eastAsia="Times New Roman" w:cs="Arial"/>
          <w:bCs/>
          <w:i/>
          <w:iCs/>
          <w:color w:val="auto"/>
          <w:sz w:val="20"/>
          <w:lang w:eastAsia="es-ES"/>
        </w:rPr>
      </w:pPr>
      <w:r w:rsidRPr="00814683">
        <w:rPr>
          <w:rFonts w:eastAsia="Times New Roman" w:cs="Arial"/>
          <w:bCs/>
          <w:i/>
          <w:iCs/>
          <w:color w:val="auto"/>
          <w:sz w:val="20"/>
          <w:lang w:eastAsia="es-ES"/>
        </w:rPr>
        <w:t>…</w:t>
      </w:r>
    </w:p>
    <w:p w14:paraId="1D389DB1" w14:textId="77777777" w:rsidR="00A612A3" w:rsidRPr="00814683" w:rsidRDefault="00A612A3" w:rsidP="004969B8">
      <w:pPr>
        <w:spacing w:after="0" w:line="360" w:lineRule="auto"/>
        <w:ind w:left="567" w:right="567"/>
        <w:rPr>
          <w:rFonts w:eastAsia="Times New Roman" w:cs="Arial"/>
          <w:bCs/>
          <w:i/>
          <w:iCs/>
          <w:color w:val="auto"/>
          <w:sz w:val="20"/>
          <w:lang w:eastAsia="es-ES"/>
        </w:rPr>
      </w:pPr>
      <w:r w:rsidRPr="00814683">
        <w:rPr>
          <w:rFonts w:eastAsia="Times New Roman" w:cs="Arial"/>
          <w:bCs/>
          <w:i/>
          <w:iCs/>
          <w:color w:val="auto"/>
          <w:sz w:val="20"/>
          <w:lang w:eastAsia="es-ES"/>
        </w:rPr>
        <w:t xml:space="preserve">Bajo este orden de ideas me permito dar respuesta a su requerimiento, la información solicitada puede revisada en el siguiente link del IPOMEX en la FRACCION de REMUNERACIONES y con respecto al permiso de portación de armas y el examen de confianza, no eş competencia de la tesorería. </w:t>
      </w:r>
    </w:p>
    <w:p w14:paraId="7C8CB6D9" w14:textId="728CE510" w:rsidR="00A612A3" w:rsidRPr="00814683" w:rsidRDefault="00000000" w:rsidP="004969B8">
      <w:pPr>
        <w:spacing w:after="0" w:line="360" w:lineRule="auto"/>
        <w:ind w:left="567" w:right="567"/>
        <w:rPr>
          <w:rFonts w:eastAsia="Times New Roman" w:cs="Arial"/>
          <w:bCs/>
          <w:i/>
          <w:iCs/>
          <w:color w:val="auto"/>
          <w:sz w:val="20"/>
          <w:lang w:eastAsia="es-ES"/>
        </w:rPr>
      </w:pPr>
      <w:hyperlink r:id="rId9" w:anchor="/obligaciones/192" w:history="1">
        <w:r w:rsidR="00A612A3" w:rsidRPr="00814683">
          <w:rPr>
            <w:rStyle w:val="Hipervnculo"/>
            <w:rFonts w:eastAsia="Times New Roman" w:cs="Arial"/>
            <w:bCs/>
            <w:i/>
            <w:iCs/>
            <w:sz w:val="20"/>
            <w:lang w:eastAsia="es-ES"/>
          </w:rPr>
          <w:t>https://ipomex.org.mx/ipomex/#/obligaciones/192</w:t>
        </w:r>
      </w:hyperlink>
      <w:r w:rsidR="00A612A3" w:rsidRPr="00814683">
        <w:rPr>
          <w:rFonts w:eastAsia="Times New Roman" w:cs="Arial"/>
          <w:bCs/>
          <w:i/>
          <w:iCs/>
          <w:color w:val="auto"/>
          <w:sz w:val="20"/>
          <w:lang w:eastAsia="es-ES"/>
        </w:rPr>
        <w:t xml:space="preserve"> ...” (Sic)</w:t>
      </w:r>
    </w:p>
    <w:p w14:paraId="26456BA3" w14:textId="462572BD" w:rsidR="00E33DFB" w:rsidRPr="00814683" w:rsidRDefault="00E33DFB" w:rsidP="004969B8">
      <w:pPr>
        <w:spacing w:after="0" w:line="360" w:lineRule="auto"/>
        <w:rPr>
          <w:color w:val="FF0000"/>
        </w:rPr>
      </w:pPr>
    </w:p>
    <w:p w14:paraId="7E7FBB31" w14:textId="3E971A14" w:rsidR="00E22EA8" w:rsidRPr="00814683" w:rsidRDefault="00E22EA8" w:rsidP="004969B8">
      <w:pPr>
        <w:pStyle w:val="Ttulo2"/>
        <w:spacing w:before="0" w:after="0" w:line="360" w:lineRule="auto"/>
        <w:rPr>
          <w:color w:val="auto"/>
          <w:sz w:val="22"/>
          <w:szCs w:val="22"/>
        </w:rPr>
      </w:pPr>
      <w:bookmarkStart w:id="3" w:name="_Toc226640765"/>
      <w:r w:rsidRPr="00814683">
        <w:rPr>
          <w:color w:val="auto"/>
          <w:sz w:val="22"/>
          <w:szCs w:val="22"/>
        </w:rPr>
        <w:t>I</w:t>
      </w:r>
      <w:r w:rsidR="004D1D8F" w:rsidRPr="00814683">
        <w:rPr>
          <w:color w:val="auto"/>
          <w:sz w:val="22"/>
          <w:szCs w:val="22"/>
        </w:rPr>
        <w:t>II</w:t>
      </w:r>
      <w:r w:rsidRPr="00814683">
        <w:rPr>
          <w:color w:val="auto"/>
          <w:sz w:val="22"/>
          <w:szCs w:val="22"/>
        </w:rPr>
        <w:t>. Interposición del Recurso de Revisión</w:t>
      </w:r>
      <w:bookmarkEnd w:id="3"/>
    </w:p>
    <w:p w14:paraId="053D45CF" w14:textId="77777777" w:rsidR="00E22EA8" w:rsidRPr="00814683" w:rsidRDefault="00E22EA8" w:rsidP="004969B8">
      <w:pPr>
        <w:spacing w:after="0" w:line="360" w:lineRule="auto"/>
        <w:rPr>
          <w:b/>
          <w:color w:val="auto"/>
        </w:rPr>
      </w:pPr>
    </w:p>
    <w:p w14:paraId="1AABC52F" w14:textId="2EC0AFD2" w:rsidR="00E22EA8" w:rsidRPr="00814683" w:rsidRDefault="00083169" w:rsidP="004969B8">
      <w:pPr>
        <w:spacing w:after="0" w:line="360" w:lineRule="auto"/>
        <w:rPr>
          <w:bCs/>
          <w:color w:val="auto"/>
        </w:rPr>
      </w:pPr>
      <w:r w:rsidRPr="00814683">
        <w:rPr>
          <w:bCs/>
          <w:color w:val="auto"/>
        </w:rPr>
        <w:t>El</w:t>
      </w:r>
      <w:r w:rsidR="008E5E71" w:rsidRPr="00814683">
        <w:rPr>
          <w:bCs/>
          <w:color w:val="auto"/>
        </w:rPr>
        <w:t xml:space="preserve"> </w:t>
      </w:r>
      <w:r w:rsidR="009846F9" w:rsidRPr="00814683">
        <w:rPr>
          <w:bCs/>
          <w:color w:val="auto"/>
        </w:rPr>
        <w:t xml:space="preserve">tres de octubre de dos mil </w:t>
      </w:r>
      <w:r w:rsidR="008F6D94" w:rsidRPr="00814683">
        <w:rPr>
          <w:bCs/>
          <w:color w:val="auto"/>
        </w:rPr>
        <w:t xml:space="preserve">veinticinco, </w:t>
      </w:r>
      <w:r w:rsidR="00E22EA8" w:rsidRPr="00814683">
        <w:rPr>
          <w:bCs/>
          <w:color w:val="auto"/>
        </w:rPr>
        <w:t xml:space="preserve">se recibió en este Instituto, a través del </w:t>
      </w:r>
      <w:r w:rsidR="00E22EA8" w:rsidRPr="00814683">
        <w:rPr>
          <w:bCs/>
          <w:color w:val="auto"/>
          <w:lang w:val="es-ES"/>
        </w:rPr>
        <w:t>Sistema de Acceso a la Información Mexiquense (SAIMEX)</w:t>
      </w:r>
      <w:r w:rsidR="00E22EA8" w:rsidRPr="00814683">
        <w:rPr>
          <w:bCs/>
          <w:color w:val="auto"/>
        </w:rPr>
        <w:t xml:space="preserve">, </w:t>
      </w:r>
      <w:r w:rsidR="009019A8" w:rsidRPr="00814683">
        <w:rPr>
          <w:bCs/>
          <w:color w:val="auto"/>
        </w:rPr>
        <w:t xml:space="preserve">el </w:t>
      </w:r>
      <w:r w:rsidR="00E22EA8" w:rsidRPr="00814683">
        <w:rPr>
          <w:bCs/>
          <w:color w:val="auto"/>
        </w:rPr>
        <w:t>Recurso de Revisión interpuesto por la p</w:t>
      </w:r>
      <w:r w:rsidRPr="00814683">
        <w:rPr>
          <w:bCs/>
          <w:color w:val="auto"/>
        </w:rPr>
        <w:t>ersona</w:t>
      </w:r>
      <w:r w:rsidR="00E22EA8" w:rsidRPr="00814683">
        <w:rPr>
          <w:bCs/>
          <w:color w:val="auto"/>
        </w:rPr>
        <w:t xml:space="preserve"> Recurrente, en contra de la respuesta por el Sujeto Obligado, a la solicitud de información</w:t>
      </w:r>
      <w:r w:rsidR="00F43789" w:rsidRPr="00814683">
        <w:rPr>
          <w:rFonts w:eastAsia="Calibri" w:cs="Times New Roman"/>
          <w:color w:val="auto"/>
        </w:rPr>
        <w:t xml:space="preserve">, </w:t>
      </w:r>
      <w:r w:rsidR="00E22EA8" w:rsidRPr="00814683">
        <w:rPr>
          <w:bCs/>
          <w:color w:val="auto"/>
        </w:rPr>
        <w:t>en los siguientes términos:</w:t>
      </w:r>
    </w:p>
    <w:p w14:paraId="499DDBDB" w14:textId="77777777" w:rsidR="008E5E71" w:rsidRPr="00814683" w:rsidRDefault="008E5E71" w:rsidP="004969B8">
      <w:pPr>
        <w:spacing w:after="0" w:line="360" w:lineRule="auto"/>
        <w:ind w:left="567" w:right="567"/>
        <w:rPr>
          <w:b/>
          <w:bCs/>
          <w:i/>
          <w:color w:val="FF0000"/>
          <w:sz w:val="20"/>
          <w:szCs w:val="20"/>
        </w:rPr>
      </w:pPr>
    </w:p>
    <w:p w14:paraId="08D70F9D" w14:textId="77777777" w:rsidR="004969B8" w:rsidRPr="00814683" w:rsidRDefault="004969B8" w:rsidP="004969B8">
      <w:pPr>
        <w:spacing w:after="0" w:line="360" w:lineRule="auto"/>
        <w:ind w:left="567" w:right="567"/>
        <w:rPr>
          <w:b/>
          <w:bCs/>
          <w:i/>
          <w:color w:val="FF0000"/>
          <w:sz w:val="20"/>
          <w:szCs w:val="20"/>
        </w:rPr>
      </w:pPr>
    </w:p>
    <w:p w14:paraId="1B2CCD45" w14:textId="1F34B3A9" w:rsidR="00E22EA8" w:rsidRPr="00814683" w:rsidRDefault="00E12804" w:rsidP="004969B8">
      <w:pPr>
        <w:spacing w:after="0" w:line="360" w:lineRule="auto"/>
        <w:ind w:left="567" w:right="567"/>
        <w:rPr>
          <w:bCs/>
          <w:i/>
          <w:color w:val="auto"/>
          <w:sz w:val="20"/>
          <w:szCs w:val="20"/>
        </w:rPr>
      </w:pPr>
      <w:r w:rsidRPr="00814683">
        <w:rPr>
          <w:b/>
          <w:bCs/>
          <w:i/>
          <w:color w:val="auto"/>
          <w:sz w:val="20"/>
          <w:szCs w:val="20"/>
        </w:rPr>
        <w:lastRenderedPageBreak/>
        <w:t>‘’</w:t>
      </w:r>
      <w:r w:rsidR="00E22EA8" w:rsidRPr="00814683">
        <w:rPr>
          <w:b/>
          <w:bCs/>
          <w:i/>
          <w:color w:val="auto"/>
          <w:sz w:val="20"/>
          <w:szCs w:val="20"/>
        </w:rPr>
        <w:t>ACTO IMPUGNADO</w:t>
      </w:r>
    </w:p>
    <w:p w14:paraId="3B2615CC" w14:textId="4AD2F2BF" w:rsidR="00E22EA8" w:rsidRPr="00814683" w:rsidRDefault="009846F9" w:rsidP="004969B8">
      <w:pPr>
        <w:spacing w:after="0" w:line="360" w:lineRule="auto"/>
        <w:ind w:left="567" w:right="567"/>
        <w:rPr>
          <w:i/>
          <w:iCs/>
          <w:color w:val="auto"/>
          <w:sz w:val="20"/>
          <w:szCs w:val="20"/>
        </w:rPr>
      </w:pPr>
      <w:r w:rsidRPr="00814683">
        <w:rPr>
          <w:i/>
          <w:iCs/>
          <w:color w:val="auto"/>
          <w:sz w:val="20"/>
          <w:szCs w:val="20"/>
        </w:rPr>
        <w:t>Como dice el meme: Muy rico y todo pero responden puras mamadas,, Primeramente la información que intentan clasificar no esta validada por su comité de transparencia, ni siquiera aprobada, segundamente: el comisario o su técnico, repite todo y no sabe ni como explicar la razón o circunstancias o motivos por los cuales no puede dar la info, ósea, no saben motivar, pero, me imagino que ese es trabajo del titular de transparencia, terceramente: me envían oficios repetidos , no saben ni que están respondiendo y ni que archivos están anexando, asi que, le requiero al al INFOEM, ordene que se me proporcione la información que estoy solicitando. Además, intentan clasificar la información por 5 años, lo cual considero que, resultaría innecesario, ya que a ellos solo les quedan dos años de administración para que quieren clasificarla por muchos años mas.?? Con respecto a tesoreria, solo me da un link en el que no me dice nada, solicito al infoem, se sancione al tesorero por negarme la información.</w:t>
      </w:r>
      <w:r w:rsidR="000714F0" w:rsidRPr="00814683">
        <w:rPr>
          <w:i/>
          <w:iCs/>
          <w:color w:val="auto"/>
          <w:sz w:val="20"/>
          <w:szCs w:val="20"/>
        </w:rPr>
        <w:t>” (Sic)</w:t>
      </w:r>
    </w:p>
    <w:p w14:paraId="53D95269" w14:textId="77777777" w:rsidR="000714F0" w:rsidRPr="00814683" w:rsidRDefault="000714F0" w:rsidP="004969B8">
      <w:pPr>
        <w:spacing w:after="0" w:line="360" w:lineRule="auto"/>
        <w:ind w:left="567" w:right="567"/>
        <w:rPr>
          <w:i/>
          <w:color w:val="FF0000"/>
          <w:sz w:val="20"/>
          <w:szCs w:val="20"/>
        </w:rPr>
      </w:pPr>
    </w:p>
    <w:p w14:paraId="3F1F07C7" w14:textId="49F2AE96" w:rsidR="00E22EA8" w:rsidRPr="00814683" w:rsidRDefault="00E12804" w:rsidP="004969B8">
      <w:pPr>
        <w:spacing w:after="0" w:line="360" w:lineRule="auto"/>
        <w:ind w:left="567" w:right="567"/>
        <w:rPr>
          <w:b/>
          <w:i/>
          <w:color w:val="auto"/>
          <w:sz w:val="20"/>
          <w:szCs w:val="20"/>
        </w:rPr>
      </w:pPr>
      <w:r w:rsidRPr="00814683">
        <w:rPr>
          <w:b/>
          <w:i/>
          <w:color w:val="auto"/>
          <w:sz w:val="20"/>
          <w:szCs w:val="20"/>
        </w:rPr>
        <w:t>‘’</w:t>
      </w:r>
      <w:r w:rsidR="00E22EA8" w:rsidRPr="00814683">
        <w:rPr>
          <w:b/>
          <w:i/>
          <w:color w:val="auto"/>
          <w:sz w:val="20"/>
          <w:szCs w:val="20"/>
        </w:rPr>
        <w:t>RAZONES O MOTIVOS DE LA INCONFORMIDAD</w:t>
      </w:r>
    </w:p>
    <w:p w14:paraId="1F24DC61" w14:textId="67D1E77C" w:rsidR="0035693F" w:rsidRPr="00814683" w:rsidRDefault="009846F9" w:rsidP="004969B8">
      <w:pPr>
        <w:spacing w:after="0" w:line="360" w:lineRule="auto"/>
        <w:ind w:left="567" w:right="567"/>
        <w:rPr>
          <w:i/>
          <w:iCs/>
          <w:color w:val="auto"/>
          <w:sz w:val="20"/>
          <w:szCs w:val="20"/>
        </w:rPr>
      </w:pPr>
      <w:r w:rsidRPr="00814683">
        <w:rPr>
          <w:i/>
          <w:iCs/>
          <w:color w:val="auto"/>
          <w:sz w:val="20"/>
          <w:szCs w:val="20"/>
        </w:rPr>
        <w:t>Como dice el meme: Muy rico y todo pero responden puras mamadas,, Primeramente la información que intentan clasificar no esta validada por su comité de transparencia, ni siquiera aprobada, segundamente: el comisario o su técnico, repite todo y no sabe ni como explicar la razón o circunstancias o motivos por los cuales no puede dar la info, ósea, no saben motivar, pero, me imagino que ese es trabajo del titular de transparencia, terceramente: me envían oficios repetidos , no saben ni que están respondiendo y ni que archivos están anexando, asi que, le requiero al al INFOEM, ordene que se me proporcione la información que estoy solicitando. Además, intentan clasificar la información por 5 años, lo cual considero que, resultaría innecesario, ya que a ellos solo les quedan dos años de administración para que quieren clasificarla por muchos años mas.?? Con respecto a tesoreria, solo me da un link en el que no me dice nada, solicito al infoem, se sancione al tesorero por negarme la información.</w:t>
      </w:r>
      <w:r w:rsidR="0035693F" w:rsidRPr="00814683">
        <w:rPr>
          <w:i/>
          <w:iCs/>
          <w:color w:val="auto"/>
          <w:sz w:val="20"/>
          <w:szCs w:val="20"/>
        </w:rPr>
        <w:t>” (Sic)</w:t>
      </w:r>
    </w:p>
    <w:p w14:paraId="38552330" w14:textId="77777777" w:rsidR="000714F0" w:rsidRPr="00814683" w:rsidRDefault="000714F0" w:rsidP="004969B8">
      <w:pPr>
        <w:spacing w:after="0" w:line="360" w:lineRule="auto"/>
        <w:ind w:left="567" w:right="567" w:firstLine="33"/>
        <w:rPr>
          <w:i/>
          <w:color w:val="FF0000"/>
          <w:sz w:val="20"/>
          <w:szCs w:val="20"/>
        </w:rPr>
      </w:pPr>
    </w:p>
    <w:p w14:paraId="009DB65C" w14:textId="45D040D7" w:rsidR="00E22EA8" w:rsidRPr="00814683" w:rsidRDefault="004D1D8F" w:rsidP="004969B8">
      <w:pPr>
        <w:pStyle w:val="Ttulo2"/>
        <w:spacing w:before="0" w:after="0" w:line="360" w:lineRule="auto"/>
        <w:rPr>
          <w:color w:val="auto"/>
          <w:sz w:val="22"/>
          <w:szCs w:val="22"/>
        </w:rPr>
      </w:pPr>
      <w:bookmarkStart w:id="4" w:name="_Toc226640766"/>
      <w:r w:rsidRPr="00814683">
        <w:rPr>
          <w:color w:val="auto"/>
          <w:sz w:val="22"/>
          <w:szCs w:val="22"/>
        </w:rPr>
        <w:t>I</w:t>
      </w:r>
      <w:r w:rsidR="00E22EA8" w:rsidRPr="00814683">
        <w:rPr>
          <w:color w:val="auto"/>
          <w:sz w:val="22"/>
          <w:szCs w:val="22"/>
        </w:rPr>
        <w:t>V. Trámite del Recurso de Revisión ante este Instituto</w:t>
      </w:r>
      <w:bookmarkEnd w:id="4"/>
    </w:p>
    <w:p w14:paraId="5C9B63F8" w14:textId="77777777" w:rsidR="009B2DAB" w:rsidRPr="00814683" w:rsidRDefault="009B2DAB" w:rsidP="004969B8">
      <w:pPr>
        <w:spacing w:after="0" w:line="360" w:lineRule="auto"/>
        <w:rPr>
          <w:b/>
          <w:bCs/>
          <w:color w:val="FF0000"/>
        </w:rPr>
      </w:pPr>
    </w:p>
    <w:p w14:paraId="173768ED" w14:textId="5E753B7B" w:rsidR="00E22EA8" w:rsidRPr="00814683" w:rsidRDefault="00E22EA8" w:rsidP="004969B8">
      <w:pPr>
        <w:spacing w:after="0" w:line="360" w:lineRule="auto"/>
        <w:rPr>
          <w:bCs/>
          <w:color w:val="auto"/>
        </w:rPr>
      </w:pPr>
      <w:r w:rsidRPr="00814683">
        <w:rPr>
          <w:b/>
          <w:bCs/>
          <w:color w:val="auto"/>
        </w:rPr>
        <w:lastRenderedPageBreak/>
        <w:t>a) Turno del Medio de Impugnación.</w:t>
      </w:r>
      <w:r w:rsidR="000A706F" w:rsidRPr="00814683">
        <w:rPr>
          <w:bCs/>
          <w:color w:val="auto"/>
        </w:rPr>
        <w:t xml:space="preserve"> </w:t>
      </w:r>
      <w:r w:rsidR="005A1B5F" w:rsidRPr="00814683">
        <w:rPr>
          <w:bCs/>
          <w:color w:val="auto"/>
        </w:rPr>
        <w:t>El</w:t>
      </w:r>
      <w:r w:rsidR="00BD37CD" w:rsidRPr="00814683">
        <w:rPr>
          <w:bCs/>
          <w:color w:val="auto"/>
        </w:rPr>
        <w:t xml:space="preserve"> </w:t>
      </w:r>
      <w:r w:rsidR="00A37CB5" w:rsidRPr="00814683">
        <w:rPr>
          <w:bCs/>
          <w:color w:val="auto"/>
        </w:rPr>
        <w:t xml:space="preserve">tres de octubre de dos </w:t>
      </w:r>
      <w:r w:rsidR="00BA4A96" w:rsidRPr="00814683">
        <w:rPr>
          <w:bCs/>
          <w:color w:val="auto"/>
        </w:rPr>
        <w:t xml:space="preserve">mil veinticinco, </w:t>
      </w:r>
      <w:r w:rsidRPr="00814683">
        <w:rPr>
          <w:bCs/>
          <w:color w:val="auto"/>
        </w:rPr>
        <w:t xml:space="preserve">el </w:t>
      </w:r>
      <w:r w:rsidRPr="00814683">
        <w:rPr>
          <w:color w:val="auto"/>
          <w:lang w:val="es-ES"/>
        </w:rPr>
        <w:t>Sistema de Acceso a la Información Mexiquense (SAIMEX),</w:t>
      </w:r>
      <w:r w:rsidRPr="00814683">
        <w:rPr>
          <w:bCs/>
          <w:color w:val="auto"/>
        </w:rPr>
        <w:t xml:space="preserve"> asignó el número de expediente </w:t>
      </w:r>
      <w:r w:rsidR="00A37CB5" w:rsidRPr="00814683">
        <w:rPr>
          <w:b/>
          <w:bCs/>
          <w:color w:val="auto"/>
        </w:rPr>
        <w:t>11376</w:t>
      </w:r>
      <w:r w:rsidR="00875F52" w:rsidRPr="00814683">
        <w:rPr>
          <w:b/>
          <w:bCs/>
          <w:color w:val="auto"/>
        </w:rPr>
        <w:t>/INFOEM/IP/RR/2025</w:t>
      </w:r>
      <w:r w:rsidRPr="00814683">
        <w:rPr>
          <w:bCs/>
          <w:color w:val="auto"/>
        </w:rPr>
        <w:t xml:space="preserve">, al medio de impugnación que nos ocupa, con base en el sistema aprobado por el Pleno de este </w:t>
      </w:r>
      <w:r w:rsidR="00B65BCA" w:rsidRPr="00814683">
        <w:rPr>
          <w:bCs/>
          <w:color w:val="auto"/>
        </w:rPr>
        <w:t>Organismo</w:t>
      </w:r>
      <w:r w:rsidRPr="00814683">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4A953CDA" w14:textId="77777777" w:rsidR="000714F0" w:rsidRPr="00814683" w:rsidRDefault="000714F0" w:rsidP="004969B8">
      <w:pPr>
        <w:spacing w:after="0" w:line="360" w:lineRule="auto"/>
        <w:rPr>
          <w:bCs/>
          <w:color w:val="FF0000"/>
        </w:rPr>
      </w:pPr>
    </w:p>
    <w:p w14:paraId="61891480" w14:textId="6094D4F0" w:rsidR="00E22EA8" w:rsidRPr="00814683" w:rsidRDefault="00E22EA8" w:rsidP="004969B8">
      <w:pPr>
        <w:spacing w:after="0" w:line="360" w:lineRule="auto"/>
        <w:rPr>
          <w:bCs/>
          <w:color w:val="auto"/>
          <w:lang w:val="es-ES_tradnl"/>
        </w:rPr>
      </w:pPr>
      <w:r w:rsidRPr="00814683">
        <w:rPr>
          <w:b/>
          <w:bCs/>
          <w:color w:val="auto"/>
        </w:rPr>
        <w:t>b) Admisión del Recurso de Revisión</w:t>
      </w:r>
      <w:r w:rsidRPr="00814683">
        <w:rPr>
          <w:b/>
          <w:bCs/>
          <w:color w:val="auto"/>
          <w:lang w:val="es-ES_tradnl"/>
        </w:rPr>
        <w:t xml:space="preserve">. </w:t>
      </w:r>
      <w:r w:rsidRPr="00814683">
        <w:rPr>
          <w:bCs/>
          <w:color w:val="auto"/>
          <w:lang w:val="es-ES_tradnl"/>
        </w:rPr>
        <w:t>El</w:t>
      </w:r>
      <w:r w:rsidR="008727F1" w:rsidRPr="00814683">
        <w:rPr>
          <w:bCs/>
          <w:color w:val="auto"/>
          <w:lang w:val="es-ES_tradnl"/>
        </w:rPr>
        <w:t xml:space="preserve"> </w:t>
      </w:r>
      <w:r w:rsidR="00A37CB5" w:rsidRPr="00814683">
        <w:rPr>
          <w:bCs/>
          <w:color w:val="auto"/>
          <w:lang w:val="es-ES_tradnl"/>
        </w:rPr>
        <w:t xml:space="preserve">ocho de octubre de dos mil veinticinco, </w:t>
      </w:r>
      <w:r w:rsidRPr="00814683">
        <w:rPr>
          <w:bCs/>
          <w:color w:val="auto"/>
          <w:lang w:val="es-ES_tradnl"/>
        </w:rPr>
        <w:t xml:space="preserve">se acordó la admisión del Recurso de Revisión interpuesto por </w:t>
      </w:r>
      <w:r w:rsidR="00261B92" w:rsidRPr="00814683">
        <w:rPr>
          <w:bCs/>
          <w:color w:val="auto"/>
          <w:lang w:val="es-ES_tradnl"/>
        </w:rPr>
        <w:t>la persona</w:t>
      </w:r>
      <w:r w:rsidRPr="00814683">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814683">
        <w:rPr>
          <w:bCs/>
          <w:color w:val="auto"/>
          <w:lang w:val="es-ES_tradnl"/>
        </w:rPr>
        <w:t>el</w:t>
      </w:r>
      <w:r w:rsidR="00DC4BDF" w:rsidRPr="00814683">
        <w:rPr>
          <w:bCs/>
          <w:color w:val="auto"/>
          <w:lang w:val="es-ES_tradnl"/>
        </w:rPr>
        <w:t xml:space="preserve"> mismo día</w:t>
      </w:r>
      <w:r w:rsidRPr="00814683">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2B9894A9" w14:textId="73895597" w:rsidR="00F42088" w:rsidRPr="00814683" w:rsidRDefault="00F42088" w:rsidP="004969B8">
      <w:pPr>
        <w:spacing w:after="0" w:line="360" w:lineRule="auto"/>
        <w:rPr>
          <w:color w:val="FF0000"/>
        </w:rPr>
      </w:pPr>
    </w:p>
    <w:p w14:paraId="668B203F" w14:textId="272473A4" w:rsidR="00C35F8E" w:rsidRPr="00814683" w:rsidRDefault="005A1B5F" w:rsidP="004969B8">
      <w:pPr>
        <w:spacing w:after="0" w:line="360" w:lineRule="auto"/>
        <w:rPr>
          <w:bCs/>
          <w:color w:val="auto"/>
        </w:rPr>
      </w:pPr>
      <w:r w:rsidRPr="00814683">
        <w:rPr>
          <w:b/>
          <w:color w:val="auto"/>
        </w:rPr>
        <w:t xml:space="preserve">c) Informe Justificado. </w:t>
      </w:r>
      <w:r w:rsidR="00A414C5" w:rsidRPr="00814683">
        <w:rPr>
          <w:bCs/>
          <w:color w:val="auto"/>
        </w:rPr>
        <w:t xml:space="preserve">El </w:t>
      </w:r>
      <w:r w:rsidR="00A37CB5" w:rsidRPr="00814683">
        <w:rPr>
          <w:bCs/>
          <w:color w:val="auto"/>
        </w:rPr>
        <w:t xml:space="preserve">nueve de </w:t>
      </w:r>
      <w:r w:rsidR="00E95808">
        <w:rPr>
          <w:bCs/>
          <w:color w:val="auto"/>
        </w:rPr>
        <w:t>octubre</w:t>
      </w:r>
      <w:r w:rsidR="00A37CB5" w:rsidRPr="00814683">
        <w:rPr>
          <w:bCs/>
          <w:color w:val="auto"/>
        </w:rPr>
        <w:t xml:space="preserve"> de dos mil veinticinco, </w:t>
      </w:r>
      <w:r w:rsidR="00A414C5" w:rsidRPr="00814683">
        <w:rPr>
          <w:bCs/>
          <w:color w:val="auto"/>
        </w:rPr>
        <w:t xml:space="preserve">se recibió, a través del Sistema de Acceso a la Información Mexiquense (SAIMEX), el Informe Justificado del Sujeto Obligado, </w:t>
      </w:r>
      <w:r w:rsidR="00363464" w:rsidRPr="00814683">
        <w:rPr>
          <w:bCs/>
          <w:color w:val="auto"/>
        </w:rPr>
        <w:t xml:space="preserve">a través de </w:t>
      </w:r>
      <w:bookmarkStart w:id="5" w:name="_Hlk206591199"/>
      <w:r w:rsidR="00A37CB5" w:rsidRPr="00814683">
        <w:rPr>
          <w:bCs/>
          <w:color w:val="auto"/>
        </w:rPr>
        <w:t>la digitalización de los siguientes documentos:</w:t>
      </w:r>
    </w:p>
    <w:p w14:paraId="60D451F0" w14:textId="77777777" w:rsidR="00A37CB5" w:rsidRPr="00814683" w:rsidRDefault="00A37CB5" w:rsidP="004969B8">
      <w:pPr>
        <w:spacing w:after="0" w:line="360" w:lineRule="auto"/>
        <w:rPr>
          <w:bCs/>
          <w:color w:val="auto"/>
        </w:rPr>
      </w:pPr>
    </w:p>
    <w:bookmarkEnd w:id="5"/>
    <w:p w14:paraId="4101454D" w14:textId="74AB5595" w:rsidR="000779F9" w:rsidRPr="00814683" w:rsidRDefault="00A37CB5" w:rsidP="004969B8">
      <w:pPr>
        <w:spacing w:after="0" w:line="360" w:lineRule="auto"/>
      </w:pPr>
      <w:r w:rsidRPr="00814683">
        <w:rPr>
          <w:bCs/>
          <w:color w:val="auto"/>
          <w:lang w:val="es-ES_tradnl"/>
        </w:rPr>
        <w:t xml:space="preserve">i. Acta de la Décima Quinta Sesión Ordinaria del Comité de Transparencia del Ayuntamiento de Tianguistenco, México Administración dos mil veinticinco, dos mil veintisiete, por medio de la cual se realizó el acuerdo </w:t>
      </w:r>
      <w:r w:rsidRPr="00814683">
        <w:t>CTDAYTTOT/15SESIÓN/ORDINARIA/03/SEРTIEMBRE/2025, por medio del cual se clasificó como reservada la información del personal de seguridad de conformidad con lo siguiente:</w:t>
      </w:r>
    </w:p>
    <w:p w14:paraId="6BFF212C" w14:textId="0487D1CD" w:rsidR="00A37CB5" w:rsidRPr="00814683" w:rsidRDefault="00A81F08" w:rsidP="004969B8">
      <w:pPr>
        <w:spacing w:after="0" w:line="360" w:lineRule="auto"/>
        <w:jc w:val="center"/>
        <w:rPr>
          <w:bCs/>
          <w:color w:val="auto"/>
          <w:lang w:val="es-ES_tradnl"/>
        </w:rPr>
      </w:pPr>
      <w:r w:rsidRPr="00814683">
        <w:rPr>
          <w:bCs/>
          <w:noProof/>
          <w:color w:val="auto"/>
        </w:rPr>
        <w:lastRenderedPageBreak/>
        <w:drawing>
          <wp:inline distT="0" distB="0" distL="0" distR="0" wp14:anchorId="698853DA" wp14:editId="2E05BCBF">
            <wp:extent cx="4820323" cy="885949"/>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20323" cy="885949"/>
                    </a:xfrm>
                    <a:prstGeom prst="rect">
                      <a:avLst/>
                    </a:prstGeom>
                  </pic:spPr>
                </pic:pic>
              </a:graphicData>
            </a:graphic>
          </wp:inline>
        </w:drawing>
      </w:r>
    </w:p>
    <w:p w14:paraId="275DC72A" w14:textId="77777777" w:rsidR="00AB7C07" w:rsidRPr="00814683" w:rsidRDefault="00AB7C07" w:rsidP="004969B8">
      <w:pPr>
        <w:spacing w:after="0" w:line="360" w:lineRule="auto"/>
        <w:rPr>
          <w:color w:val="auto"/>
        </w:rPr>
      </w:pPr>
    </w:p>
    <w:p w14:paraId="2A0E06B4" w14:textId="53AE5426" w:rsidR="00AB7C07" w:rsidRPr="00814683" w:rsidRDefault="00AB7C07" w:rsidP="004969B8">
      <w:pPr>
        <w:spacing w:after="0" w:line="360" w:lineRule="auto"/>
        <w:rPr>
          <w:bCs/>
          <w:color w:val="auto"/>
        </w:rPr>
      </w:pPr>
      <w:r w:rsidRPr="00814683">
        <w:rPr>
          <w:color w:val="auto"/>
        </w:rPr>
        <w:t xml:space="preserve">ii. Oficio PMT/UT/214/2025 del dos de septiembre de dos mil veinticinco, suscrito por el Titular de la Unidad de Transparencia, dirigido al Encargado del Despacho de la Secretaría Técnica del Consejo Municipal de Seguridad Pública, por medio del cual se realizó el turno del requerimiento informativo </w:t>
      </w:r>
      <w:r w:rsidRPr="00814683">
        <w:rPr>
          <w:bCs/>
          <w:color w:val="auto"/>
        </w:rPr>
        <w:t>00169/TIANGUIS/IP/2025.</w:t>
      </w:r>
    </w:p>
    <w:p w14:paraId="7723E13B" w14:textId="77777777" w:rsidR="00AB7C07" w:rsidRPr="00814683" w:rsidRDefault="00AB7C07" w:rsidP="004969B8">
      <w:pPr>
        <w:spacing w:after="0" w:line="360" w:lineRule="auto"/>
        <w:rPr>
          <w:bCs/>
          <w:color w:val="auto"/>
        </w:rPr>
      </w:pPr>
    </w:p>
    <w:p w14:paraId="36849D54" w14:textId="61DF10FE" w:rsidR="00AB7C07" w:rsidRPr="00814683" w:rsidRDefault="00AB7C07" w:rsidP="004969B8">
      <w:pPr>
        <w:spacing w:after="0" w:line="360" w:lineRule="auto"/>
        <w:rPr>
          <w:bCs/>
          <w:color w:val="auto"/>
        </w:rPr>
      </w:pPr>
      <w:r w:rsidRPr="00814683">
        <w:rPr>
          <w:bCs/>
          <w:color w:val="auto"/>
        </w:rPr>
        <w:t>iii. Acuse de la solicitud de información 00169/TIANGUIS/IP/2025.</w:t>
      </w:r>
    </w:p>
    <w:p w14:paraId="189473F6" w14:textId="77777777" w:rsidR="00AB7C07" w:rsidRPr="00814683" w:rsidRDefault="00AB7C07" w:rsidP="004969B8">
      <w:pPr>
        <w:spacing w:after="0" w:line="360" w:lineRule="auto"/>
        <w:rPr>
          <w:bCs/>
          <w:color w:val="auto"/>
        </w:rPr>
      </w:pPr>
    </w:p>
    <w:p w14:paraId="1231730C" w14:textId="7D2A9C0C" w:rsidR="00AB7C07" w:rsidRPr="00814683" w:rsidRDefault="00AB7C07" w:rsidP="004969B8">
      <w:pPr>
        <w:spacing w:after="0" w:line="360" w:lineRule="auto"/>
        <w:rPr>
          <w:bCs/>
          <w:color w:val="auto"/>
        </w:rPr>
      </w:pPr>
      <w:r w:rsidRPr="00814683">
        <w:rPr>
          <w:bCs/>
          <w:color w:val="auto"/>
        </w:rPr>
        <w:t xml:space="preserve">iv. Oficio </w:t>
      </w:r>
      <w:r w:rsidRPr="00814683">
        <w:rPr>
          <w:color w:val="auto"/>
        </w:rPr>
        <w:t xml:space="preserve">PMT/UT/215/2025 del dos de septiembre de dos mil veinticinco, suscrito por el Titular de la Unidad de Transparencia, dirigido al Encargado del Despacho de la Secretaría Técnica del Consejo Municipal de Seguridad Pública, por medio del cual se realizó el turno del requerimiento informativo </w:t>
      </w:r>
      <w:r w:rsidRPr="00814683">
        <w:rPr>
          <w:bCs/>
          <w:color w:val="auto"/>
        </w:rPr>
        <w:t>00170/TIANGUIS/IP/2025.</w:t>
      </w:r>
    </w:p>
    <w:p w14:paraId="0E173C33" w14:textId="77777777" w:rsidR="00AB7C07" w:rsidRPr="00814683" w:rsidRDefault="00AB7C07" w:rsidP="004969B8">
      <w:pPr>
        <w:spacing w:after="0" w:line="360" w:lineRule="auto"/>
        <w:rPr>
          <w:color w:val="auto"/>
        </w:rPr>
      </w:pPr>
    </w:p>
    <w:p w14:paraId="2C6D23C8" w14:textId="66B16813" w:rsidR="00AB7C07" w:rsidRPr="00814683" w:rsidRDefault="00AB7C07" w:rsidP="004969B8">
      <w:pPr>
        <w:spacing w:after="0" w:line="360" w:lineRule="auto"/>
        <w:rPr>
          <w:color w:val="auto"/>
        </w:rPr>
      </w:pPr>
      <w:r w:rsidRPr="00814683">
        <w:rPr>
          <w:color w:val="auto"/>
        </w:rPr>
        <w:t xml:space="preserve">v. </w:t>
      </w:r>
      <w:r w:rsidRPr="00814683">
        <w:rPr>
          <w:bCs/>
          <w:color w:val="auto"/>
        </w:rPr>
        <w:t>Acuse de la solicitud de información 00170/TIANGUIS/IP/2025.</w:t>
      </w:r>
    </w:p>
    <w:p w14:paraId="72026C6C" w14:textId="77777777" w:rsidR="00AB7C07" w:rsidRPr="00814683" w:rsidRDefault="00AB7C07" w:rsidP="004969B8">
      <w:pPr>
        <w:spacing w:after="0" w:line="360" w:lineRule="auto"/>
        <w:rPr>
          <w:color w:val="auto"/>
        </w:rPr>
      </w:pPr>
    </w:p>
    <w:p w14:paraId="620650FC" w14:textId="58EA0C2E" w:rsidR="00AB7C07" w:rsidRPr="00814683" w:rsidRDefault="00AB7C07" w:rsidP="004969B8">
      <w:pPr>
        <w:spacing w:after="0" w:line="360" w:lineRule="auto"/>
        <w:rPr>
          <w:color w:val="auto"/>
        </w:rPr>
      </w:pPr>
      <w:r w:rsidRPr="00814683">
        <w:rPr>
          <w:color w:val="auto"/>
        </w:rPr>
        <w:t>vi.</w:t>
      </w:r>
      <w:r w:rsidRPr="00814683">
        <w:rPr>
          <w:bCs/>
          <w:color w:val="auto"/>
        </w:rPr>
        <w:t xml:space="preserve"> Oficio No. PMT/STCMSP/579/2025 del veintidós de septiembre de dos mil veinticinco, dirigido al Titular de la Unidad de Transparencia, por medio del cual se  establece que la es </w:t>
      </w:r>
      <w:r w:rsidR="002D71B2" w:rsidRPr="00814683">
        <w:rPr>
          <w:color w:val="auto"/>
        </w:rPr>
        <w:t>información del personal de seguridad pública</w:t>
      </w:r>
      <w:r w:rsidR="002D71B2" w:rsidRPr="00814683">
        <w:rPr>
          <w:bCs/>
          <w:color w:val="auto"/>
        </w:rPr>
        <w:t xml:space="preserve"> es </w:t>
      </w:r>
      <w:r w:rsidRPr="00814683">
        <w:rPr>
          <w:bCs/>
          <w:color w:val="auto"/>
        </w:rPr>
        <w:t xml:space="preserve">reservada en términos del artículo 140 y 143 de la </w:t>
      </w:r>
      <w:r w:rsidRPr="00814683">
        <w:rPr>
          <w:color w:val="auto"/>
        </w:rPr>
        <w:t>Ley de Transparencia y Acceso a la Información Pública del Estado de México y Municipios.</w:t>
      </w:r>
    </w:p>
    <w:p w14:paraId="54ABAA12" w14:textId="77777777" w:rsidR="003B713F" w:rsidRPr="00814683" w:rsidRDefault="003B713F" w:rsidP="004969B8">
      <w:pPr>
        <w:spacing w:after="0" w:line="360" w:lineRule="auto"/>
        <w:rPr>
          <w:color w:val="auto"/>
        </w:rPr>
      </w:pPr>
    </w:p>
    <w:p w14:paraId="3C424C74" w14:textId="77777777" w:rsidR="003B713F" w:rsidRPr="00814683" w:rsidRDefault="003B713F" w:rsidP="004969B8">
      <w:pPr>
        <w:spacing w:after="0" w:line="360" w:lineRule="auto"/>
      </w:pPr>
      <w:r w:rsidRPr="00814683">
        <w:rPr>
          <w:bCs/>
          <w:color w:val="auto"/>
        </w:rPr>
        <w:lastRenderedPageBreak/>
        <w:t xml:space="preserve">vii. Oficio </w:t>
      </w:r>
      <w:r w:rsidRPr="00814683">
        <w:t>PMT/TM/0595/2025 del veintidós de diciembre de dos mil veinticinco, suscrito por el Tesorero Municipal, dirigido al Titular de la Unidad de Transparencia, por medio del cual se menciona lo siguiente:</w:t>
      </w:r>
    </w:p>
    <w:p w14:paraId="7A695934" w14:textId="77777777" w:rsidR="003B713F" w:rsidRPr="00814683" w:rsidRDefault="003B713F" w:rsidP="004969B8">
      <w:pPr>
        <w:spacing w:after="0" w:line="360" w:lineRule="auto"/>
      </w:pPr>
    </w:p>
    <w:p w14:paraId="567BD56E" w14:textId="77777777" w:rsidR="003B713F" w:rsidRPr="00814683" w:rsidRDefault="003B713F" w:rsidP="004969B8">
      <w:pPr>
        <w:spacing w:after="0" w:line="360" w:lineRule="auto"/>
        <w:ind w:left="567" w:right="567"/>
        <w:rPr>
          <w:rFonts w:eastAsia="Times New Roman" w:cs="Arial"/>
          <w:bCs/>
          <w:i/>
          <w:iCs/>
          <w:color w:val="auto"/>
          <w:sz w:val="20"/>
          <w:lang w:eastAsia="es-ES"/>
        </w:rPr>
      </w:pPr>
      <w:r w:rsidRPr="00814683">
        <w:rPr>
          <w:rFonts w:eastAsia="Times New Roman" w:cs="Arial"/>
          <w:bCs/>
          <w:i/>
          <w:iCs/>
          <w:color w:val="auto"/>
          <w:sz w:val="20"/>
          <w:lang w:eastAsia="es-ES"/>
        </w:rPr>
        <w:t xml:space="preserve">“…el 02 de septiembre del año en curso en las oficinas de la Tesorería Municipal bajo el número </w:t>
      </w:r>
      <w:r w:rsidRPr="00814683">
        <w:rPr>
          <w:rFonts w:eastAsia="Times New Roman" w:cs="Arial"/>
          <w:b/>
          <w:bCs/>
          <w:i/>
          <w:iCs/>
          <w:color w:val="auto"/>
          <w:sz w:val="20"/>
          <w:lang w:eastAsia="es-ES"/>
        </w:rPr>
        <w:t>PMT/UT/213/2025</w:t>
      </w:r>
      <w:r w:rsidRPr="00814683">
        <w:rPr>
          <w:rFonts w:eastAsia="Times New Roman" w:cs="Arial"/>
          <w:bCs/>
          <w:i/>
          <w:iCs/>
          <w:color w:val="auto"/>
          <w:sz w:val="20"/>
          <w:lang w:eastAsia="es-ES"/>
        </w:rPr>
        <w:t xml:space="preserve"> у número de folio </w:t>
      </w:r>
      <w:r w:rsidRPr="00814683">
        <w:rPr>
          <w:rFonts w:eastAsia="Times New Roman" w:cs="Arial"/>
          <w:b/>
          <w:bCs/>
          <w:i/>
          <w:iCs/>
          <w:color w:val="auto"/>
          <w:sz w:val="20"/>
          <w:lang w:eastAsia="es-ES"/>
        </w:rPr>
        <w:t>00169/TIANGUIS/IP/2025</w:t>
      </w:r>
      <w:r w:rsidRPr="00814683">
        <w:rPr>
          <w:rFonts w:eastAsia="Times New Roman" w:cs="Arial"/>
          <w:bCs/>
          <w:i/>
          <w:iCs/>
          <w:color w:val="auto"/>
          <w:sz w:val="20"/>
          <w:lang w:eastAsia="es-ES"/>
        </w:rPr>
        <w:t xml:space="preserve"> en el que se solicita: </w:t>
      </w:r>
    </w:p>
    <w:p w14:paraId="67B7CE40" w14:textId="77777777" w:rsidR="003B713F" w:rsidRPr="00814683" w:rsidRDefault="003B713F" w:rsidP="004969B8">
      <w:pPr>
        <w:spacing w:after="0" w:line="360" w:lineRule="auto"/>
        <w:ind w:left="567" w:right="567"/>
        <w:rPr>
          <w:rFonts w:eastAsia="Times New Roman" w:cs="Arial"/>
          <w:bCs/>
          <w:i/>
          <w:iCs/>
          <w:color w:val="auto"/>
          <w:sz w:val="20"/>
          <w:lang w:eastAsia="es-ES"/>
        </w:rPr>
      </w:pPr>
    </w:p>
    <w:p w14:paraId="11705FAB" w14:textId="77777777" w:rsidR="003B713F" w:rsidRPr="00814683" w:rsidRDefault="003B713F" w:rsidP="004969B8">
      <w:pPr>
        <w:spacing w:after="0" w:line="360" w:lineRule="auto"/>
        <w:ind w:left="567" w:right="567"/>
        <w:rPr>
          <w:rFonts w:eastAsia="Times New Roman" w:cs="Arial"/>
          <w:b/>
          <w:bCs/>
          <w:i/>
          <w:iCs/>
          <w:color w:val="auto"/>
          <w:sz w:val="20"/>
          <w:lang w:eastAsia="es-ES"/>
        </w:rPr>
      </w:pPr>
      <w:r w:rsidRPr="00814683">
        <w:rPr>
          <w:rFonts w:eastAsia="Times New Roman" w:cs="Arial"/>
          <w:b/>
          <w:bCs/>
          <w:i/>
          <w:iCs/>
          <w:color w:val="auto"/>
          <w:sz w:val="20"/>
          <w:lang w:eastAsia="es-ES"/>
        </w:rPr>
        <w:t>“RECIBO DE NOMINA DEL COMISARIO, PERMISO DE APORTACION DE ARMAS Y EL EXAMEN DE CONTROL DE CONFIANZA "Sic.</w:t>
      </w:r>
    </w:p>
    <w:p w14:paraId="1F12E49C" w14:textId="77777777" w:rsidR="003B713F" w:rsidRPr="00814683" w:rsidRDefault="003B713F" w:rsidP="004969B8">
      <w:pPr>
        <w:spacing w:after="0" w:line="360" w:lineRule="auto"/>
        <w:ind w:left="567" w:right="567"/>
        <w:rPr>
          <w:rFonts w:eastAsia="Times New Roman" w:cs="Arial"/>
          <w:bCs/>
          <w:i/>
          <w:iCs/>
          <w:color w:val="auto"/>
          <w:sz w:val="20"/>
          <w:lang w:eastAsia="es-ES"/>
        </w:rPr>
      </w:pPr>
      <w:r w:rsidRPr="00814683">
        <w:rPr>
          <w:rFonts w:eastAsia="Times New Roman" w:cs="Arial"/>
          <w:bCs/>
          <w:i/>
          <w:iCs/>
          <w:color w:val="auto"/>
          <w:sz w:val="20"/>
          <w:lang w:eastAsia="es-ES"/>
        </w:rPr>
        <w:t>…</w:t>
      </w:r>
    </w:p>
    <w:p w14:paraId="622A629C" w14:textId="77777777" w:rsidR="003B713F" w:rsidRPr="00814683" w:rsidRDefault="003B713F" w:rsidP="004969B8">
      <w:pPr>
        <w:spacing w:after="0" w:line="360" w:lineRule="auto"/>
        <w:ind w:left="567" w:right="567"/>
        <w:rPr>
          <w:rFonts w:eastAsia="Times New Roman" w:cs="Arial"/>
          <w:bCs/>
          <w:i/>
          <w:iCs/>
          <w:color w:val="auto"/>
          <w:sz w:val="20"/>
          <w:lang w:eastAsia="es-ES"/>
        </w:rPr>
      </w:pPr>
      <w:r w:rsidRPr="00814683">
        <w:rPr>
          <w:rFonts w:eastAsia="Times New Roman" w:cs="Arial"/>
          <w:bCs/>
          <w:i/>
          <w:iCs/>
          <w:color w:val="auto"/>
          <w:sz w:val="20"/>
          <w:lang w:eastAsia="es-ES"/>
        </w:rPr>
        <w:t xml:space="preserve">Bajo este orden de ideas me permito dar respuesta a su requerimiento, la información solicitada puede revisada en el siguiente link del IPOMEX en la FRACCION de REMUNERACIONES y con respecto al permiso de portación de armas y el examen de confianza, no eş competencia de la tesorería. </w:t>
      </w:r>
    </w:p>
    <w:p w14:paraId="0F15DC28" w14:textId="77777777" w:rsidR="003B713F" w:rsidRPr="00814683" w:rsidRDefault="00000000" w:rsidP="004969B8">
      <w:pPr>
        <w:spacing w:after="0" w:line="360" w:lineRule="auto"/>
        <w:ind w:left="567" w:right="567"/>
        <w:rPr>
          <w:rFonts w:eastAsia="Times New Roman" w:cs="Arial"/>
          <w:bCs/>
          <w:i/>
          <w:iCs/>
          <w:color w:val="auto"/>
          <w:sz w:val="20"/>
          <w:lang w:eastAsia="es-ES"/>
        </w:rPr>
      </w:pPr>
      <w:hyperlink r:id="rId11" w:anchor="/obligaciones/192" w:history="1">
        <w:r w:rsidR="003B713F" w:rsidRPr="00814683">
          <w:rPr>
            <w:rStyle w:val="Hipervnculo"/>
            <w:rFonts w:eastAsia="Times New Roman" w:cs="Arial"/>
            <w:bCs/>
            <w:i/>
            <w:iCs/>
            <w:sz w:val="20"/>
            <w:lang w:eastAsia="es-ES"/>
          </w:rPr>
          <w:t>https://ipomex.org.mx/ipomex/#/obligaciones/192</w:t>
        </w:r>
      </w:hyperlink>
      <w:r w:rsidR="003B713F" w:rsidRPr="00814683">
        <w:rPr>
          <w:rFonts w:eastAsia="Times New Roman" w:cs="Arial"/>
          <w:bCs/>
          <w:i/>
          <w:iCs/>
          <w:color w:val="auto"/>
          <w:sz w:val="20"/>
          <w:lang w:eastAsia="es-ES"/>
        </w:rPr>
        <w:t xml:space="preserve"> ...” (Sic)</w:t>
      </w:r>
    </w:p>
    <w:p w14:paraId="37F2C8CB" w14:textId="77777777" w:rsidR="003B713F" w:rsidRPr="00814683" w:rsidRDefault="003B713F" w:rsidP="004969B8">
      <w:pPr>
        <w:spacing w:after="0" w:line="360" w:lineRule="auto"/>
        <w:rPr>
          <w:color w:val="auto"/>
        </w:rPr>
      </w:pPr>
    </w:p>
    <w:p w14:paraId="696A8EBD" w14:textId="49A28230" w:rsidR="003B713F" w:rsidRPr="00814683" w:rsidRDefault="003B713F" w:rsidP="004969B8">
      <w:pPr>
        <w:spacing w:after="0" w:line="360" w:lineRule="auto"/>
      </w:pPr>
      <w:r w:rsidRPr="00814683">
        <w:t>viii. Oficio PMT/UT/213/2025 del dos de septiembre de dos mil veinticinco, suscrito por el Titular de la Unidad de Transparencia, dirigido al Tesorero Municipal, por medio del cual se realizó el turno del requerimiento informativo 00169/TIANGUIS/IP/2025.</w:t>
      </w:r>
    </w:p>
    <w:p w14:paraId="7A9B43BB" w14:textId="77777777" w:rsidR="00AB7C07" w:rsidRPr="00814683" w:rsidRDefault="00AB7C07" w:rsidP="004969B8">
      <w:pPr>
        <w:spacing w:after="0" w:line="360" w:lineRule="auto"/>
        <w:jc w:val="center"/>
        <w:rPr>
          <w:bCs/>
          <w:color w:val="auto"/>
          <w:lang w:val="es-ES_tradnl"/>
        </w:rPr>
      </w:pPr>
    </w:p>
    <w:p w14:paraId="7F20BBC4" w14:textId="66BE2FE9" w:rsidR="00E053A1" w:rsidRPr="00814683" w:rsidRDefault="00434C6E" w:rsidP="004969B8">
      <w:pPr>
        <w:spacing w:after="0" w:line="360" w:lineRule="auto"/>
        <w:rPr>
          <w:bCs/>
          <w:color w:val="auto"/>
        </w:rPr>
      </w:pPr>
      <w:r w:rsidRPr="00814683">
        <w:rPr>
          <w:rFonts w:eastAsia="Times New Roman" w:cs="Tahoma"/>
          <w:b/>
          <w:color w:val="auto"/>
          <w:szCs w:val="24"/>
          <w:lang w:eastAsia="es-ES"/>
        </w:rPr>
        <w:t xml:space="preserve">d) Ampliación de plazo para resolver. </w:t>
      </w:r>
      <w:r w:rsidRPr="00814683">
        <w:rPr>
          <w:bCs/>
          <w:color w:val="auto"/>
        </w:rPr>
        <w:t xml:space="preserve">El </w:t>
      </w:r>
      <w:r w:rsidR="002F43FA" w:rsidRPr="00814683">
        <w:rPr>
          <w:bCs/>
          <w:color w:val="auto"/>
        </w:rPr>
        <w:t>veintitrés de marzo de dos mil veintiséis</w:t>
      </w:r>
      <w:r w:rsidRPr="00814683">
        <w:rPr>
          <w:bCs/>
          <w:color w:val="auto"/>
        </w:rPr>
        <w:t>, el Comisionado Ponente, con fundamento en lo dispuesto por el artículo 181, párrafo tercero, de la Ley de Transparencia y Acceso a la Información Pública del Estado</w:t>
      </w:r>
      <w:r w:rsidR="00E609BD" w:rsidRPr="00814683">
        <w:rPr>
          <w:bCs/>
          <w:color w:val="auto"/>
        </w:rPr>
        <w:t xml:space="preserve"> </w:t>
      </w:r>
      <w:r w:rsidRPr="00814683">
        <w:rPr>
          <w:bCs/>
          <w:color w:val="auto"/>
        </w:rPr>
        <w:t>de México y Municipios, acordó ampliar por un periodo razonable, el plazo para resolver el</w:t>
      </w:r>
      <w:r w:rsidR="00E609BD" w:rsidRPr="00814683">
        <w:rPr>
          <w:bCs/>
          <w:color w:val="auto"/>
        </w:rPr>
        <w:t xml:space="preserve"> </w:t>
      </w:r>
      <w:r w:rsidRPr="00814683">
        <w:rPr>
          <w:bCs/>
          <w:color w:val="auto"/>
        </w:rPr>
        <w:t>Recurso de Revisión que nos ocupa; acto que fue notificado a las partes el mismo día,</w:t>
      </w:r>
      <w:r w:rsidR="00E609BD" w:rsidRPr="00814683">
        <w:rPr>
          <w:bCs/>
          <w:color w:val="auto"/>
        </w:rPr>
        <w:t xml:space="preserve"> </w:t>
      </w:r>
      <w:r w:rsidRPr="00814683">
        <w:rPr>
          <w:bCs/>
          <w:color w:val="auto"/>
        </w:rPr>
        <w:t>mediante el Sistema de Acceso a la Información Mexiquense (SAIMEX).</w:t>
      </w:r>
    </w:p>
    <w:p w14:paraId="40A23CE1" w14:textId="77777777" w:rsidR="00E053A1" w:rsidRPr="00814683" w:rsidRDefault="00E053A1" w:rsidP="004969B8">
      <w:pPr>
        <w:spacing w:after="0" w:line="360" w:lineRule="auto"/>
        <w:rPr>
          <w:rFonts w:eastAsia="Times New Roman" w:cs="Tahoma"/>
          <w:b/>
          <w:color w:val="FF0000"/>
          <w:szCs w:val="24"/>
          <w:lang w:eastAsia="es-ES"/>
        </w:rPr>
      </w:pPr>
    </w:p>
    <w:p w14:paraId="3F61F1B1" w14:textId="786E5E46" w:rsidR="00AA04D5" w:rsidRPr="00814683" w:rsidRDefault="00DC4BDF" w:rsidP="004969B8">
      <w:pPr>
        <w:spacing w:after="0" w:line="360" w:lineRule="auto"/>
        <w:rPr>
          <w:rFonts w:eastAsia="Times New Roman" w:cs="Tahoma"/>
          <w:b/>
          <w:bCs/>
          <w:color w:val="auto"/>
          <w:szCs w:val="24"/>
          <w:lang w:eastAsia="es-ES"/>
        </w:rPr>
      </w:pPr>
      <w:r w:rsidRPr="00814683">
        <w:rPr>
          <w:rFonts w:eastAsia="Times New Roman" w:cs="Tahoma"/>
          <w:b/>
          <w:color w:val="auto"/>
          <w:szCs w:val="24"/>
          <w:lang w:eastAsia="es-ES"/>
        </w:rPr>
        <w:lastRenderedPageBreak/>
        <w:t>e</w:t>
      </w:r>
      <w:r w:rsidR="00AA04D5" w:rsidRPr="00814683">
        <w:rPr>
          <w:rFonts w:eastAsia="Times New Roman" w:cs="Tahoma"/>
          <w:b/>
          <w:color w:val="auto"/>
          <w:szCs w:val="24"/>
          <w:lang w:eastAsia="es-ES"/>
        </w:rPr>
        <w:t xml:space="preserve">) Vista del Informe Justificado. </w:t>
      </w:r>
      <w:r w:rsidR="00AA04D5" w:rsidRPr="00814683">
        <w:rPr>
          <w:rFonts w:eastAsia="Times New Roman" w:cs="Tahoma"/>
          <w:color w:val="auto"/>
          <w:szCs w:val="24"/>
          <w:lang w:eastAsia="es-ES"/>
        </w:rPr>
        <w:t>El</w:t>
      </w:r>
      <w:r w:rsidR="002F43FA" w:rsidRPr="00814683">
        <w:rPr>
          <w:rFonts w:eastAsia="Times New Roman" w:cs="Tahoma"/>
          <w:color w:val="auto"/>
          <w:szCs w:val="24"/>
          <w:lang w:eastAsia="es-ES"/>
        </w:rPr>
        <w:t xml:space="preserve"> veintitrés de marzo de dos mil veintiséis</w:t>
      </w:r>
      <w:r w:rsidR="000D5B96" w:rsidRPr="00814683">
        <w:rPr>
          <w:rFonts w:eastAsia="Times New Roman" w:cs="Tahoma"/>
          <w:color w:val="auto"/>
          <w:szCs w:val="24"/>
          <w:lang w:eastAsia="es-ES"/>
        </w:rPr>
        <w:t xml:space="preserve">, </w:t>
      </w:r>
      <w:r w:rsidR="00AA04D5" w:rsidRPr="00814683">
        <w:rPr>
          <w:rFonts w:eastAsia="Times New Roman" w:cs="Tahoma"/>
          <w:color w:val="auto"/>
          <w:szCs w:val="24"/>
          <w:lang w:eastAsia="es-ES"/>
        </w:rPr>
        <w:t>se dictó acuerdo mediante el cual se puso a la vista del Particular el Informe Justificado y Desahogo al Requerimiento de Información Adicional, entregado por el Sujeto Obligado, así como los documentos adjuntos, el cual fue notificado a las partes, a través del Sistema de Acceso a la Información Mexiquense (SAIMEX)</w:t>
      </w:r>
      <w:r w:rsidR="004A2DD5" w:rsidRPr="00814683">
        <w:rPr>
          <w:rFonts w:eastAsia="Times New Roman" w:cs="Tahoma"/>
          <w:color w:val="auto"/>
          <w:szCs w:val="24"/>
          <w:lang w:eastAsia="es-ES"/>
        </w:rPr>
        <w:t>, el mismo día</w:t>
      </w:r>
      <w:r w:rsidR="00AA04D5" w:rsidRPr="00814683">
        <w:rPr>
          <w:rFonts w:eastAsia="Times New Roman" w:cs="Tahoma"/>
          <w:color w:val="auto"/>
          <w:szCs w:val="24"/>
          <w:lang w:eastAsia="es-ES"/>
        </w:rPr>
        <w:t xml:space="preserve">. </w:t>
      </w:r>
      <w:r w:rsidR="00AA04D5" w:rsidRPr="00814683">
        <w:rPr>
          <w:rFonts w:eastAsia="Times New Roman" w:cs="Tahoma"/>
          <w:b/>
          <w:bCs/>
          <w:color w:val="auto"/>
          <w:szCs w:val="24"/>
          <w:lang w:eastAsia="es-ES"/>
        </w:rPr>
        <w:t>Cabe señalar que el Particular fue omiso en realizar manifestación alguna.</w:t>
      </w:r>
    </w:p>
    <w:p w14:paraId="7E751F4B" w14:textId="77777777" w:rsidR="000D5B96" w:rsidRPr="00814683" w:rsidRDefault="000D5B96" w:rsidP="004969B8">
      <w:pPr>
        <w:spacing w:after="0" w:line="360" w:lineRule="auto"/>
        <w:rPr>
          <w:rFonts w:eastAsia="Times New Roman" w:cs="Tahoma"/>
          <w:b/>
          <w:bCs/>
          <w:color w:val="FF0000"/>
          <w:szCs w:val="24"/>
          <w:lang w:eastAsia="es-ES"/>
        </w:rPr>
      </w:pPr>
    </w:p>
    <w:p w14:paraId="16CAE687" w14:textId="76B91AC7" w:rsidR="00234D9F" w:rsidRPr="00814683" w:rsidRDefault="00DC4BDF" w:rsidP="004969B8">
      <w:pPr>
        <w:spacing w:after="0" w:line="360" w:lineRule="auto"/>
        <w:rPr>
          <w:color w:val="auto"/>
          <w:lang w:val="es-ES"/>
        </w:rPr>
      </w:pPr>
      <w:r w:rsidRPr="00814683">
        <w:rPr>
          <w:rFonts w:eastAsia="Times New Roman" w:cs="Tahoma"/>
          <w:b/>
          <w:color w:val="auto"/>
          <w:szCs w:val="24"/>
          <w:lang w:eastAsia="es-ES"/>
        </w:rPr>
        <w:t>f</w:t>
      </w:r>
      <w:r w:rsidR="00234D9F" w:rsidRPr="00814683">
        <w:rPr>
          <w:rFonts w:eastAsia="Times New Roman" w:cs="Tahoma"/>
          <w:b/>
          <w:color w:val="auto"/>
          <w:szCs w:val="24"/>
          <w:lang w:eastAsia="es-ES"/>
        </w:rPr>
        <w:t>) Cierre de instrucción.</w:t>
      </w:r>
      <w:r w:rsidR="00234D9F" w:rsidRPr="00814683">
        <w:rPr>
          <w:rFonts w:eastAsia="Times New Roman" w:cs="Tahoma"/>
          <w:color w:val="auto"/>
          <w:szCs w:val="24"/>
          <w:lang w:eastAsia="es-ES"/>
        </w:rPr>
        <w:t xml:space="preserve"> El</w:t>
      </w:r>
      <w:r w:rsidR="002F43FA" w:rsidRPr="00814683">
        <w:rPr>
          <w:rFonts w:eastAsia="Times New Roman" w:cs="Tahoma"/>
          <w:color w:val="auto"/>
          <w:szCs w:val="24"/>
          <w:lang w:eastAsia="es-ES"/>
        </w:rPr>
        <w:t xml:space="preserve"> </w:t>
      </w:r>
      <w:r w:rsidR="00814683">
        <w:rPr>
          <w:rFonts w:eastAsia="Times New Roman" w:cs="Tahoma"/>
          <w:color w:val="auto"/>
          <w:szCs w:val="24"/>
          <w:lang w:eastAsia="es-ES"/>
        </w:rPr>
        <w:t xml:space="preserve">seis de abril </w:t>
      </w:r>
      <w:r w:rsidR="002F43FA" w:rsidRPr="00814683">
        <w:rPr>
          <w:rFonts w:eastAsia="Times New Roman" w:cs="Tahoma"/>
          <w:color w:val="auto"/>
          <w:szCs w:val="24"/>
          <w:lang w:eastAsia="es-ES"/>
        </w:rPr>
        <w:t>de dos mil veintiséis</w:t>
      </w:r>
      <w:r w:rsidR="00234D9F" w:rsidRPr="00814683">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234D9F" w:rsidRPr="00814683">
        <w:rPr>
          <w:color w:val="auto"/>
          <w:lang w:val="es-ES"/>
        </w:rPr>
        <w:t>acto que fue notificado a las partes, mediante el Sistema de Acceso a la Información Mexiquense (SAIMEX), el mismo día.</w:t>
      </w:r>
    </w:p>
    <w:p w14:paraId="3D239BFD" w14:textId="77777777" w:rsidR="002F43FA" w:rsidRPr="00814683" w:rsidRDefault="002F43FA" w:rsidP="004969B8">
      <w:pPr>
        <w:spacing w:after="0" w:line="360" w:lineRule="auto"/>
        <w:rPr>
          <w:rFonts w:eastAsia="Times New Roman" w:cs="Tahoma"/>
          <w:color w:val="FF0000"/>
          <w:szCs w:val="24"/>
          <w:lang w:eastAsia="es-ES"/>
        </w:rPr>
      </w:pPr>
    </w:p>
    <w:p w14:paraId="1C132216" w14:textId="7A4FF25F" w:rsidR="005C690F" w:rsidRPr="00814683" w:rsidRDefault="007D6307" w:rsidP="004969B8">
      <w:pPr>
        <w:spacing w:after="0" w:line="360" w:lineRule="auto"/>
        <w:rPr>
          <w:color w:val="auto"/>
        </w:rPr>
      </w:pPr>
      <w:r w:rsidRPr="00814683">
        <w:rPr>
          <w:color w:val="auto"/>
        </w:rPr>
        <w:t xml:space="preserve">En razón de que fue debidamente </w:t>
      </w:r>
      <w:r w:rsidR="00CC1F8C" w:rsidRPr="00814683">
        <w:rPr>
          <w:color w:val="auto"/>
        </w:rPr>
        <w:t>sustanciado</w:t>
      </w:r>
      <w:r w:rsidRPr="00814683">
        <w:rPr>
          <w:color w:val="auto"/>
        </w:rPr>
        <w:t xml:space="preserve"> e integrado el expediente electrónico y no existe diligencia pendiente de desahogo, se emite la resolución que conforme a Derecho proceda, de acuerdo a los siguientes:</w:t>
      </w:r>
    </w:p>
    <w:p w14:paraId="3A10F1DA" w14:textId="77777777" w:rsidR="00674DAF" w:rsidRPr="00814683" w:rsidRDefault="00674DAF" w:rsidP="004969B8">
      <w:pPr>
        <w:spacing w:after="0" w:line="360" w:lineRule="auto"/>
        <w:rPr>
          <w:color w:val="auto"/>
        </w:rPr>
      </w:pPr>
    </w:p>
    <w:p w14:paraId="250F6589" w14:textId="3F880C72" w:rsidR="005C690F" w:rsidRPr="00814683" w:rsidRDefault="00CD6238" w:rsidP="004969B8">
      <w:pPr>
        <w:pStyle w:val="Ttulo1"/>
        <w:spacing w:before="0" w:after="0" w:line="360" w:lineRule="auto"/>
        <w:jc w:val="center"/>
        <w:rPr>
          <w:color w:val="auto"/>
          <w:sz w:val="22"/>
          <w:szCs w:val="22"/>
        </w:rPr>
      </w:pPr>
      <w:bookmarkStart w:id="6" w:name="_Toc226640767"/>
      <w:r w:rsidRPr="00814683">
        <w:rPr>
          <w:color w:val="auto"/>
          <w:sz w:val="22"/>
          <w:szCs w:val="22"/>
        </w:rPr>
        <w:t>C O N S I D E R A N D O S</w:t>
      </w:r>
      <w:bookmarkEnd w:id="6"/>
    </w:p>
    <w:p w14:paraId="5AB6ED71" w14:textId="77777777" w:rsidR="005C690F" w:rsidRPr="00814683" w:rsidRDefault="005C690F" w:rsidP="004969B8">
      <w:pPr>
        <w:spacing w:after="0" w:line="360" w:lineRule="auto"/>
        <w:jc w:val="center"/>
        <w:rPr>
          <w:b/>
          <w:color w:val="auto"/>
        </w:rPr>
      </w:pPr>
    </w:p>
    <w:p w14:paraId="36BFFC7E" w14:textId="2F0F17EA" w:rsidR="005C690F" w:rsidRPr="00814683" w:rsidRDefault="007D6307" w:rsidP="004969B8">
      <w:pPr>
        <w:pStyle w:val="Ttulo2"/>
        <w:spacing w:before="0" w:after="0" w:line="360" w:lineRule="auto"/>
        <w:rPr>
          <w:color w:val="auto"/>
          <w:sz w:val="22"/>
          <w:szCs w:val="22"/>
        </w:rPr>
      </w:pPr>
      <w:bookmarkStart w:id="7" w:name="_Toc226640768"/>
      <w:r w:rsidRPr="00814683">
        <w:rPr>
          <w:color w:val="auto"/>
          <w:sz w:val="22"/>
          <w:szCs w:val="22"/>
        </w:rPr>
        <w:t xml:space="preserve">PRIMERO. </w:t>
      </w:r>
      <w:r w:rsidR="00CD6238" w:rsidRPr="00814683">
        <w:rPr>
          <w:color w:val="auto"/>
          <w:sz w:val="22"/>
          <w:szCs w:val="22"/>
        </w:rPr>
        <w:t>Competencia</w:t>
      </w:r>
      <w:bookmarkEnd w:id="7"/>
    </w:p>
    <w:p w14:paraId="34E42005" w14:textId="77777777" w:rsidR="0084143D" w:rsidRPr="00814683" w:rsidRDefault="0084143D" w:rsidP="004969B8">
      <w:pPr>
        <w:spacing w:after="0" w:line="360" w:lineRule="auto"/>
        <w:contextualSpacing/>
        <w:rPr>
          <w:rFonts w:eastAsia="Times New Roman" w:cs="Tahoma"/>
          <w:bCs/>
          <w:color w:val="auto"/>
          <w:lang w:eastAsia="es-ES"/>
        </w:rPr>
      </w:pPr>
      <w:bookmarkStart w:id="8" w:name="_heading=h.30j0zll" w:colFirst="0" w:colLast="0"/>
      <w:bookmarkEnd w:id="8"/>
    </w:p>
    <w:p w14:paraId="6CFD4F0A" w14:textId="4F4433EB" w:rsidR="009B7615" w:rsidRPr="00814683" w:rsidRDefault="00722FCE" w:rsidP="004969B8">
      <w:pPr>
        <w:spacing w:after="0" w:line="360" w:lineRule="auto"/>
        <w:rPr>
          <w:bCs/>
          <w:color w:val="auto"/>
        </w:rPr>
      </w:pPr>
      <w:r w:rsidRPr="00814683">
        <w:rPr>
          <w:bCs/>
          <w:color w:val="auto"/>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w:t>
      </w:r>
      <w:r w:rsidRPr="00814683">
        <w:rPr>
          <w:bCs/>
          <w:color w:val="auto"/>
        </w:rPr>
        <w:lastRenderedPageBreak/>
        <w:t>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947228" w14:textId="77777777" w:rsidR="00722FCE" w:rsidRPr="00814683" w:rsidRDefault="00722FCE" w:rsidP="004969B8">
      <w:pPr>
        <w:spacing w:after="0" w:line="360" w:lineRule="auto"/>
        <w:rPr>
          <w:b/>
          <w:color w:val="auto"/>
        </w:rPr>
      </w:pPr>
    </w:p>
    <w:p w14:paraId="552BEE19" w14:textId="77777777" w:rsidR="00B16FA4" w:rsidRPr="00814683" w:rsidRDefault="00B16FA4" w:rsidP="004969B8">
      <w:pPr>
        <w:keepNext/>
        <w:keepLines/>
        <w:spacing w:after="0" w:line="360" w:lineRule="auto"/>
        <w:outlineLvl w:val="1"/>
        <w:rPr>
          <w:b/>
          <w:color w:val="auto"/>
        </w:rPr>
      </w:pPr>
      <w:bookmarkStart w:id="9" w:name="_Toc206087459"/>
      <w:bookmarkStart w:id="10" w:name="_Toc226640769"/>
      <w:r w:rsidRPr="00814683">
        <w:rPr>
          <w:b/>
          <w:color w:val="auto"/>
        </w:rPr>
        <w:t>SEGUNDO. Causales de improcedencia y sobreseimiento</w:t>
      </w:r>
      <w:bookmarkEnd w:id="9"/>
      <w:bookmarkEnd w:id="10"/>
    </w:p>
    <w:p w14:paraId="115A0C74" w14:textId="77777777" w:rsidR="00B16FA4" w:rsidRPr="00814683" w:rsidRDefault="00B16FA4" w:rsidP="004969B8">
      <w:pPr>
        <w:spacing w:after="0" w:line="360" w:lineRule="auto"/>
        <w:rPr>
          <w:color w:val="auto"/>
        </w:rPr>
      </w:pPr>
    </w:p>
    <w:p w14:paraId="469C69AD" w14:textId="77777777" w:rsidR="00B16FA4" w:rsidRPr="00814683" w:rsidRDefault="00B16FA4" w:rsidP="004969B8">
      <w:pPr>
        <w:spacing w:after="0" w:line="360" w:lineRule="auto"/>
        <w:rPr>
          <w:color w:val="auto"/>
        </w:rPr>
      </w:pPr>
      <w:r w:rsidRPr="00814683">
        <w:rPr>
          <w:color w:val="auto"/>
        </w:rPr>
        <w:t xml:space="preserve">De las constancias que forma parte del Recurso de Revisión que se analiza, se advierte que previo al estudio del fondo de la </w:t>
      </w:r>
      <w:r w:rsidRPr="00814683">
        <w:rPr>
          <w:i/>
          <w:color w:val="auto"/>
        </w:rPr>
        <w:t>litis</w:t>
      </w:r>
      <w:r w:rsidRPr="00814683">
        <w:rPr>
          <w:color w:val="auto"/>
        </w:rPr>
        <w:t>, es necesario estudiar las causales de improcedencia y sobreseimiento que se adviertan, para determinar lo que en Derecho proceda.</w:t>
      </w:r>
    </w:p>
    <w:p w14:paraId="798ED9C7" w14:textId="77777777" w:rsidR="00B16FA4" w:rsidRPr="00814683" w:rsidRDefault="00B16FA4" w:rsidP="004969B8">
      <w:pPr>
        <w:spacing w:after="0" w:line="360" w:lineRule="auto"/>
        <w:rPr>
          <w:color w:val="auto"/>
        </w:rPr>
      </w:pPr>
    </w:p>
    <w:p w14:paraId="78458F84" w14:textId="77777777" w:rsidR="00B16FA4" w:rsidRPr="00814683" w:rsidRDefault="00B16FA4" w:rsidP="004969B8">
      <w:pPr>
        <w:spacing w:after="0" w:line="360" w:lineRule="auto"/>
        <w:rPr>
          <w:b/>
          <w:color w:val="auto"/>
        </w:rPr>
      </w:pPr>
      <w:r w:rsidRPr="00814683">
        <w:rPr>
          <w:b/>
          <w:color w:val="auto"/>
        </w:rPr>
        <w:t>Causales de improcedencia</w:t>
      </w:r>
    </w:p>
    <w:p w14:paraId="1F9FAE45" w14:textId="77777777" w:rsidR="00B16FA4" w:rsidRPr="00814683" w:rsidRDefault="00B16FA4" w:rsidP="004969B8">
      <w:pPr>
        <w:spacing w:after="0" w:line="360" w:lineRule="auto"/>
        <w:rPr>
          <w:b/>
          <w:color w:val="auto"/>
        </w:rPr>
      </w:pPr>
    </w:p>
    <w:p w14:paraId="4BED5586" w14:textId="77777777" w:rsidR="00B16FA4" w:rsidRPr="00814683" w:rsidRDefault="00B16FA4" w:rsidP="004969B8">
      <w:pPr>
        <w:spacing w:after="0" w:line="360" w:lineRule="auto"/>
        <w:rPr>
          <w:color w:val="auto"/>
        </w:rPr>
      </w:pPr>
      <w:r w:rsidRPr="00814683">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AF6C1F4" w14:textId="77777777" w:rsidR="00B16FA4" w:rsidRPr="00814683" w:rsidRDefault="00B16FA4" w:rsidP="004969B8">
      <w:pPr>
        <w:spacing w:after="0" w:line="360" w:lineRule="auto"/>
        <w:rPr>
          <w:color w:val="auto"/>
        </w:rPr>
      </w:pPr>
    </w:p>
    <w:p w14:paraId="177BAA66" w14:textId="77777777" w:rsidR="00B16FA4" w:rsidRPr="00814683" w:rsidRDefault="00B16FA4" w:rsidP="004969B8">
      <w:pPr>
        <w:spacing w:after="0" w:line="360" w:lineRule="auto"/>
        <w:rPr>
          <w:color w:val="FF0000"/>
        </w:rPr>
      </w:pPr>
      <w:r w:rsidRPr="00814683">
        <w:rPr>
          <w:color w:val="auto"/>
        </w:rPr>
        <w:lastRenderedPageBreak/>
        <w:t>En el presente caso, </w:t>
      </w:r>
      <w:r w:rsidRPr="00814683">
        <w:rPr>
          <w:b/>
          <w:color w:val="auto"/>
        </w:rPr>
        <w:t>no se actualiza ninguna de las causales de improcedencia</w:t>
      </w:r>
      <w:r w:rsidRPr="00814683">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7E44CF29" w14:textId="77777777" w:rsidR="00B16FA4" w:rsidRPr="00814683" w:rsidRDefault="00B16FA4" w:rsidP="004969B8">
      <w:pPr>
        <w:spacing w:after="0" w:line="360" w:lineRule="auto"/>
        <w:rPr>
          <w:color w:val="auto"/>
        </w:rPr>
      </w:pPr>
    </w:p>
    <w:p w14:paraId="30CC5C5E" w14:textId="5D110945" w:rsidR="00B16FA4" w:rsidRPr="00814683" w:rsidRDefault="00B16FA4" w:rsidP="004969B8">
      <w:pPr>
        <w:spacing w:after="0" w:line="360" w:lineRule="auto"/>
        <w:rPr>
          <w:color w:val="auto"/>
        </w:rPr>
      </w:pPr>
      <w:r w:rsidRPr="00814683">
        <w:rPr>
          <w:color w:val="auto"/>
        </w:rPr>
        <w:t>Por lo cual, se actualiza</w:t>
      </w:r>
      <w:r w:rsidR="002F43FA" w:rsidRPr="00814683">
        <w:rPr>
          <w:color w:val="auto"/>
        </w:rPr>
        <w:t>n</w:t>
      </w:r>
      <w:r w:rsidRPr="00814683">
        <w:rPr>
          <w:color w:val="auto"/>
        </w:rPr>
        <w:t xml:space="preserve"> la</w:t>
      </w:r>
      <w:r w:rsidR="002F43FA" w:rsidRPr="00814683">
        <w:rPr>
          <w:color w:val="auto"/>
        </w:rPr>
        <w:t>s</w:t>
      </w:r>
      <w:r w:rsidRPr="00814683">
        <w:rPr>
          <w:color w:val="auto"/>
        </w:rPr>
        <w:t xml:space="preserve"> causal</w:t>
      </w:r>
      <w:r w:rsidR="002F43FA" w:rsidRPr="00814683">
        <w:rPr>
          <w:color w:val="auto"/>
        </w:rPr>
        <w:t>es</w:t>
      </w:r>
      <w:r w:rsidRPr="00814683">
        <w:rPr>
          <w:color w:val="auto"/>
        </w:rPr>
        <w:t xml:space="preserve"> de procedencia del Recurso de Revisión señalada</w:t>
      </w:r>
      <w:r w:rsidR="002F43FA" w:rsidRPr="00814683">
        <w:rPr>
          <w:color w:val="auto"/>
        </w:rPr>
        <w:t>s</w:t>
      </w:r>
      <w:r w:rsidRPr="00814683">
        <w:rPr>
          <w:color w:val="auto"/>
        </w:rPr>
        <w:t xml:space="preserve"> </w:t>
      </w:r>
      <w:r w:rsidR="002F43FA" w:rsidRPr="00814683">
        <w:rPr>
          <w:color w:val="auto"/>
        </w:rPr>
        <w:t>en el artículo 179, fracciones</w:t>
      </w:r>
      <w:r w:rsidR="00DD7008" w:rsidRPr="00814683">
        <w:rPr>
          <w:color w:val="auto"/>
        </w:rPr>
        <w:t xml:space="preserve"> </w:t>
      </w:r>
      <w:r w:rsidR="00722FCE" w:rsidRPr="00814683">
        <w:rPr>
          <w:color w:val="auto"/>
        </w:rPr>
        <w:t>II</w:t>
      </w:r>
      <w:r w:rsidR="002F43FA" w:rsidRPr="00814683">
        <w:rPr>
          <w:color w:val="auto"/>
        </w:rPr>
        <w:t xml:space="preserve"> y VI</w:t>
      </w:r>
      <w:r w:rsidRPr="00814683">
        <w:rPr>
          <w:color w:val="auto"/>
        </w:rPr>
        <w:t>, de la Ley en cita, pues la persona Recurrente se inconformó de la</w:t>
      </w:r>
      <w:r w:rsidR="00722FCE" w:rsidRPr="00814683">
        <w:rPr>
          <w:color w:val="auto"/>
        </w:rPr>
        <w:t xml:space="preserve"> </w:t>
      </w:r>
      <w:r w:rsidR="002F43FA" w:rsidRPr="00814683">
        <w:rPr>
          <w:color w:val="auto"/>
        </w:rPr>
        <w:t>clasificación de la información y de la entrega de la información que no corresponde con lo solicitado.</w:t>
      </w:r>
    </w:p>
    <w:p w14:paraId="2B006162" w14:textId="77777777" w:rsidR="00B16FA4" w:rsidRPr="00814683" w:rsidRDefault="00B16FA4" w:rsidP="004969B8">
      <w:pPr>
        <w:spacing w:after="0" w:line="360" w:lineRule="auto"/>
        <w:rPr>
          <w:color w:val="auto"/>
        </w:rPr>
      </w:pPr>
    </w:p>
    <w:p w14:paraId="48A4C145" w14:textId="77777777" w:rsidR="00B16FA4" w:rsidRPr="00814683" w:rsidRDefault="00B16FA4" w:rsidP="004969B8">
      <w:pPr>
        <w:spacing w:after="0" w:line="360" w:lineRule="auto"/>
        <w:rPr>
          <w:b/>
          <w:color w:val="auto"/>
        </w:rPr>
      </w:pPr>
      <w:r w:rsidRPr="00814683">
        <w:rPr>
          <w:b/>
          <w:color w:val="auto"/>
        </w:rPr>
        <w:t>Causales de sobreseimiento</w:t>
      </w:r>
    </w:p>
    <w:p w14:paraId="72C3827F" w14:textId="77777777" w:rsidR="004D186F" w:rsidRPr="00814683" w:rsidRDefault="004D186F" w:rsidP="004969B8">
      <w:pPr>
        <w:spacing w:after="0" w:line="360" w:lineRule="auto"/>
        <w:rPr>
          <w:color w:val="FF0000"/>
        </w:rPr>
      </w:pPr>
    </w:p>
    <w:p w14:paraId="768E4B39" w14:textId="0EE4DD12" w:rsidR="004D186F" w:rsidRPr="00814683" w:rsidRDefault="004D186F" w:rsidP="004969B8">
      <w:pPr>
        <w:spacing w:after="0" w:line="360" w:lineRule="auto"/>
        <w:rPr>
          <w:color w:val="auto"/>
        </w:rPr>
      </w:pPr>
      <w:r w:rsidRPr="00814683">
        <w:rPr>
          <w:color w:val="auto"/>
        </w:rPr>
        <w:t>Por ser de previo y especial pronunciamiento, este Instituto analiza si se actualiza alguna causal de sobreseimiento.</w:t>
      </w:r>
    </w:p>
    <w:p w14:paraId="4BE8C184" w14:textId="77777777" w:rsidR="004D186F" w:rsidRPr="00814683" w:rsidRDefault="004D186F" w:rsidP="004969B8">
      <w:pPr>
        <w:spacing w:after="0" w:line="360" w:lineRule="auto"/>
        <w:rPr>
          <w:color w:val="auto"/>
        </w:rPr>
      </w:pPr>
    </w:p>
    <w:p w14:paraId="213A7B87" w14:textId="02D23A7A" w:rsidR="004D186F" w:rsidRPr="00814683" w:rsidRDefault="004D186F" w:rsidP="004969B8">
      <w:pPr>
        <w:spacing w:after="0" w:line="360" w:lineRule="auto"/>
        <w:rPr>
          <w:color w:val="auto"/>
        </w:rPr>
      </w:pPr>
      <w:r w:rsidRPr="00814683">
        <w:rPr>
          <w:color w:val="auto"/>
        </w:rPr>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5BA1B3FF" w14:textId="77777777" w:rsidR="004D186F" w:rsidRPr="00814683" w:rsidRDefault="004D186F" w:rsidP="004969B8">
      <w:pPr>
        <w:spacing w:after="0" w:line="360" w:lineRule="auto"/>
        <w:rPr>
          <w:color w:val="auto"/>
        </w:rPr>
      </w:pPr>
    </w:p>
    <w:p w14:paraId="739757A5" w14:textId="65832230" w:rsidR="00B16FA4" w:rsidRPr="00814683" w:rsidRDefault="004D186F" w:rsidP="004969B8">
      <w:pPr>
        <w:spacing w:after="0" w:line="360" w:lineRule="auto"/>
        <w:rPr>
          <w:color w:val="auto"/>
        </w:rPr>
      </w:pPr>
      <w:r w:rsidRPr="00814683">
        <w:rPr>
          <w:color w:val="auto"/>
        </w:rPr>
        <w:lastRenderedPageBreak/>
        <w:t>Por tales motivos, se considera procedente entrar al fondo del presente asunto.</w:t>
      </w:r>
    </w:p>
    <w:p w14:paraId="5DF8BCE3" w14:textId="77777777" w:rsidR="00487910" w:rsidRPr="00814683" w:rsidRDefault="00487910" w:rsidP="004969B8">
      <w:pPr>
        <w:spacing w:after="0" w:line="360" w:lineRule="auto"/>
        <w:rPr>
          <w:color w:val="auto"/>
        </w:rPr>
      </w:pPr>
    </w:p>
    <w:p w14:paraId="46F299D9" w14:textId="77777777" w:rsidR="00B16FA4" w:rsidRPr="00814683" w:rsidRDefault="00B16FA4" w:rsidP="004969B8">
      <w:pPr>
        <w:keepNext/>
        <w:keepLines/>
        <w:spacing w:after="0" w:line="360" w:lineRule="auto"/>
        <w:outlineLvl w:val="1"/>
        <w:rPr>
          <w:b/>
          <w:color w:val="auto"/>
        </w:rPr>
      </w:pPr>
      <w:bookmarkStart w:id="11" w:name="_Toc206087460"/>
      <w:bookmarkStart w:id="12" w:name="_Toc226640770"/>
      <w:r w:rsidRPr="00814683">
        <w:rPr>
          <w:b/>
          <w:color w:val="auto"/>
        </w:rPr>
        <w:t>TERCERO. Determinación de la Controversia</w:t>
      </w:r>
      <w:bookmarkEnd w:id="11"/>
      <w:bookmarkEnd w:id="12"/>
    </w:p>
    <w:p w14:paraId="37515DDA" w14:textId="77777777" w:rsidR="004A528D" w:rsidRPr="00814683" w:rsidRDefault="004A528D" w:rsidP="004969B8">
      <w:pPr>
        <w:spacing w:after="0" w:line="360" w:lineRule="auto"/>
        <w:rPr>
          <w:b/>
          <w:color w:val="auto"/>
        </w:rPr>
      </w:pPr>
    </w:p>
    <w:p w14:paraId="59A34776" w14:textId="2028C1CB" w:rsidR="0058043F" w:rsidRPr="00814683" w:rsidRDefault="00B16FA4" w:rsidP="004969B8">
      <w:pPr>
        <w:spacing w:after="0" w:line="360" w:lineRule="auto"/>
        <w:rPr>
          <w:color w:val="auto"/>
        </w:rPr>
      </w:pPr>
      <w:r w:rsidRPr="00814683">
        <w:rPr>
          <w:color w:val="auto"/>
        </w:rPr>
        <w:t xml:space="preserve">Una vez realizado el estudio de las constancias que integran el expediente en que se actúa, se desprende que el Recurrente requirió, </w:t>
      </w:r>
      <w:r w:rsidR="0058043F" w:rsidRPr="00814683">
        <w:rPr>
          <w:color w:val="auto"/>
        </w:rPr>
        <w:t>del Comisario del Ayuntamiento, lo siguiente:</w:t>
      </w:r>
    </w:p>
    <w:p w14:paraId="569F5579" w14:textId="77777777" w:rsidR="0058043F" w:rsidRPr="00814683" w:rsidRDefault="0058043F" w:rsidP="004969B8">
      <w:pPr>
        <w:spacing w:after="0" w:line="360" w:lineRule="auto"/>
        <w:rPr>
          <w:color w:val="auto"/>
        </w:rPr>
      </w:pPr>
    </w:p>
    <w:p w14:paraId="399EDCCC" w14:textId="3739B878" w:rsidR="0058043F" w:rsidRPr="00814683" w:rsidRDefault="0058043F" w:rsidP="004969B8">
      <w:pPr>
        <w:pStyle w:val="Prrafodelista"/>
        <w:numPr>
          <w:ilvl w:val="0"/>
          <w:numId w:val="13"/>
        </w:numPr>
        <w:spacing w:line="360" w:lineRule="auto"/>
        <w:rPr>
          <w:color w:val="auto"/>
        </w:rPr>
      </w:pPr>
      <w:r w:rsidRPr="00814683">
        <w:rPr>
          <w:color w:val="auto"/>
        </w:rPr>
        <w:t xml:space="preserve">Recibo de nómina </w:t>
      </w:r>
      <w:r w:rsidR="004969B8" w:rsidRPr="00814683">
        <w:rPr>
          <w:color w:val="auto"/>
        </w:rPr>
        <w:t>de</w:t>
      </w:r>
      <w:r w:rsidRPr="00814683">
        <w:rPr>
          <w:color w:val="auto"/>
        </w:rPr>
        <w:t xml:space="preserve"> la primera quincena de agosto dos mil veinticinco</w:t>
      </w:r>
      <w:r w:rsidR="004969B8" w:rsidRPr="00814683">
        <w:rPr>
          <w:color w:val="auto"/>
        </w:rPr>
        <w:t>;</w:t>
      </w:r>
    </w:p>
    <w:p w14:paraId="152729C7" w14:textId="1F221170" w:rsidR="0058043F" w:rsidRPr="00814683" w:rsidRDefault="00281E7A" w:rsidP="004969B8">
      <w:pPr>
        <w:pStyle w:val="Prrafodelista"/>
        <w:numPr>
          <w:ilvl w:val="0"/>
          <w:numId w:val="13"/>
        </w:numPr>
        <w:spacing w:line="360" w:lineRule="auto"/>
        <w:rPr>
          <w:color w:val="auto"/>
        </w:rPr>
      </w:pPr>
      <w:r w:rsidRPr="00814683">
        <w:rPr>
          <w:color w:val="auto"/>
        </w:rPr>
        <w:t xml:space="preserve">El Permiso de </w:t>
      </w:r>
      <w:r w:rsidR="0058043F" w:rsidRPr="00814683">
        <w:rPr>
          <w:color w:val="auto"/>
        </w:rPr>
        <w:t>Portación de arma de fuego</w:t>
      </w:r>
      <w:r w:rsidR="004969B8" w:rsidRPr="00814683">
        <w:rPr>
          <w:color w:val="auto"/>
        </w:rPr>
        <w:t>, y</w:t>
      </w:r>
    </w:p>
    <w:p w14:paraId="6B13D99C" w14:textId="7903C8B4" w:rsidR="0058043F" w:rsidRPr="00814683" w:rsidRDefault="0058043F" w:rsidP="004969B8">
      <w:pPr>
        <w:pStyle w:val="Prrafodelista"/>
        <w:numPr>
          <w:ilvl w:val="0"/>
          <w:numId w:val="13"/>
        </w:numPr>
        <w:spacing w:line="360" w:lineRule="auto"/>
        <w:rPr>
          <w:color w:val="auto"/>
        </w:rPr>
      </w:pPr>
      <w:r w:rsidRPr="00814683">
        <w:rPr>
          <w:color w:val="auto"/>
        </w:rPr>
        <w:t>Examen de Control y Confianza (si está aprobado o no)</w:t>
      </w:r>
      <w:r w:rsidR="004969B8" w:rsidRPr="00814683">
        <w:rPr>
          <w:color w:val="auto"/>
        </w:rPr>
        <w:t>.</w:t>
      </w:r>
    </w:p>
    <w:p w14:paraId="3B65C49D" w14:textId="77777777" w:rsidR="004A528D" w:rsidRPr="00814683" w:rsidRDefault="004A528D" w:rsidP="004969B8">
      <w:pPr>
        <w:spacing w:after="0" w:line="360" w:lineRule="auto"/>
        <w:rPr>
          <w:rFonts w:cs="Tahoma"/>
          <w:bCs/>
          <w:color w:val="FF0000"/>
        </w:rPr>
      </w:pPr>
    </w:p>
    <w:p w14:paraId="19B196C3" w14:textId="01B5B1B9" w:rsidR="0058043F" w:rsidRPr="00814683" w:rsidRDefault="00B16FA4" w:rsidP="004969B8">
      <w:pPr>
        <w:spacing w:after="0" w:line="360" w:lineRule="auto"/>
        <w:rPr>
          <w:color w:val="FF0000"/>
        </w:rPr>
      </w:pPr>
      <w:r w:rsidRPr="00814683">
        <w:rPr>
          <w:color w:val="auto"/>
        </w:rPr>
        <w:t xml:space="preserve">En respuesta, el Sujeto Obligado, por medio de </w:t>
      </w:r>
      <w:r w:rsidR="0058043F" w:rsidRPr="00814683">
        <w:rPr>
          <w:color w:val="auto"/>
        </w:rPr>
        <w:t xml:space="preserve">la Tesorería Municipal en relación al recibo de nómina, </w:t>
      </w:r>
      <w:r w:rsidR="00A72341" w:rsidRPr="00814683">
        <w:rPr>
          <w:color w:val="auto"/>
        </w:rPr>
        <w:t xml:space="preserve">refirió que </w:t>
      </w:r>
      <w:r w:rsidR="0058043F" w:rsidRPr="00814683">
        <w:rPr>
          <w:color w:val="auto"/>
        </w:rPr>
        <w:t>la información podía ser consultada a través del Portal de Información Pública de Oficio Mexiquense en la fracción de “Remuneraciones”, a través de una liga la cual se advierte está en formato cerrado; por otra parte, en relación con la</w:t>
      </w:r>
      <w:r w:rsidR="003217AF" w:rsidRPr="00814683">
        <w:rPr>
          <w:color w:val="auto"/>
        </w:rPr>
        <w:t xml:space="preserve"> información del personal de seguridad pública</w:t>
      </w:r>
      <w:r w:rsidR="0058043F" w:rsidRPr="00814683">
        <w:rPr>
          <w:color w:val="auto"/>
        </w:rPr>
        <w:t xml:space="preserve">, el Encargado de Despacho de la Secretaría Técnica del Consejo Municipal de Seguridad Pública, señaló que dicha información era reservada en términos del artículo 140 y el 143 de la Ley de </w:t>
      </w:r>
      <w:r w:rsidR="0058043F" w:rsidRPr="00814683">
        <w:rPr>
          <w:rFonts w:eastAsia="Times New Roman" w:cs="Times New Roman"/>
          <w:color w:val="auto"/>
          <w:lang w:val="es-ES"/>
        </w:rPr>
        <w:t>Transparencia y Acceso a la Información Pública del Estado de México y Municipios.</w:t>
      </w:r>
    </w:p>
    <w:p w14:paraId="64D053DD" w14:textId="77777777" w:rsidR="0058043F" w:rsidRPr="00814683" w:rsidRDefault="0058043F" w:rsidP="004969B8">
      <w:pPr>
        <w:spacing w:after="0" w:line="360" w:lineRule="auto"/>
        <w:rPr>
          <w:color w:val="FF0000"/>
        </w:rPr>
      </w:pPr>
    </w:p>
    <w:p w14:paraId="6D53485C" w14:textId="2D10556E" w:rsidR="005E74B4" w:rsidRPr="00814683" w:rsidRDefault="003217AF" w:rsidP="004969B8">
      <w:pPr>
        <w:spacing w:after="0" w:line="360" w:lineRule="auto"/>
        <w:rPr>
          <w:color w:val="auto"/>
        </w:rPr>
      </w:pPr>
      <w:r w:rsidRPr="00814683">
        <w:rPr>
          <w:color w:val="auto"/>
        </w:rPr>
        <w:t>A</w:t>
      </w:r>
      <w:r w:rsidR="00B16FA4" w:rsidRPr="00814683">
        <w:rPr>
          <w:color w:val="auto"/>
        </w:rPr>
        <w:t>nte dicha circunstancia, el Particular se inconformó de la</w:t>
      </w:r>
      <w:r w:rsidR="009E363A" w:rsidRPr="00814683">
        <w:rPr>
          <w:color w:val="auto"/>
        </w:rPr>
        <w:t xml:space="preserve"> </w:t>
      </w:r>
      <w:r w:rsidRPr="00814683">
        <w:rPr>
          <w:color w:val="auto"/>
        </w:rPr>
        <w:t xml:space="preserve">clasificación de la información y de la entrega de la información que no corresponde con lo solicitado, </w:t>
      </w:r>
      <w:r w:rsidR="00B16FA4" w:rsidRPr="00814683">
        <w:rPr>
          <w:color w:val="auto"/>
        </w:rPr>
        <w:t>lo cual, actualiza la</w:t>
      </w:r>
      <w:r w:rsidRPr="00814683">
        <w:rPr>
          <w:color w:val="auto"/>
        </w:rPr>
        <w:t>s</w:t>
      </w:r>
      <w:r w:rsidR="00B16FA4" w:rsidRPr="00814683">
        <w:rPr>
          <w:color w:val="auto"/>
        </w:rPr>
        <w:t xml:space="preserve"> causal</w:t>
      </w:r>
      <w:r w:rsidRPr="00814683">
        <w:rPr>
          <w:color w:val="auto"/>
        </w:rPr>
        <w:t>es</w:t>
      </w:r>
      <w:r w:rsidR="00B16FA4" w:rsidRPr="00814683">
        <w:rPr>
          <w:color w:val="auto"/>
        </w:rPr>
        <w:t xml:space="preserve"> de procede</w:t>
      </w:r>
      <w:r w:rsidR="009E363A" w:rsidRPr="00814683">
        <w:rPr>
          <w:color w:val="auto"/>
        </w:rPr>
        <w:t>ncia prevista</w:t>
      </w:r>
      <w:r w:rsidRPr="00814683">
        <w:rPr>
          <w:color w:val="auto"/>
        </w:rPr>
        <w:t>s</w:t>
      </w:r>
      <w:r w:rsidR="009E363A" w:rsidRPr="00814683">
        <w:rPr>
          <w:color w:val="auto"/>
        </w:rPr>
        <w:t xml:space="preserve"> en la</w:t>
      </w:r>
      <w:r w:rsidRPr="00814683">
        <w:rPr>
          <w:color w:val="auto"/>
        </w:rPr>
        <w:t>s fracciones II y VI</w:t>
      </w:r>
      <w:r w:rsidR="00B16FA4" w:rsidRPr="00814683">
        <w:rPr>
          <w:color w:val="auto"/>
        </w:rPr>
        <w:t xml:space="preserve">, del artículo 179 de la Ley de Transparencia y Acceso a la Información Pública del Estado de México y Municipios. Así, las cosas, una vez admitido y notificado el Recurso de Revisión a las partes, el Sujeto Obligado </w:t>
      </w:r>
      <w:r w:rsidRPr="00814683">
        <w:rPr>
          <w:color w:val="auto"/>
        </w:rPr>
        <w:t xml:space="preserve">ratificó su respuesta y remitió el </w:t>
      </w:r>
      <w:r w:rsidRPr="00814683">
        <w:rPr>
          <w:bCs/>
          <w:color w:val="auto"/>
          <w:lang w:val="es-ES_tradnl"/>
        </w:rPr>
        <w:t xml:space="preserve">Acta de la Décima Quinta Sesión Ordinaria del Comité de </w:t>
      </w:r>
      <w:r w:rsidRPr="00814683">
        <w:rPr>
          <w:bCs/>
          <w:color w:val="auto"/>
          <w:lang w:val="es-ES_tradnl"/>
        </w:rPr>
        <w:lastRenderedPageBreak/>
        <w:t xml:space="preserve">Transparencia del Ayuntamiento de Tianguistenco por medio de la cual se realizó el acuerdo </w:t>
      </w:r>
      <w:r w:rsidRPr="00814683">
        <w:rPr>
          <w:color w:val="000000"/>
        </w:rPr>
        <w:t xml:space="preserve">CTDAYTTOT/15SESIÓN/ORDINARIA/03/SEРTIEMBRE/2025, por medio del cual se clasificó como reservada la información del personal de seguridad (Bases de datos del Sistema , así como los Registros Nacionales y la información contenida en ellos en materia de detenciones, información criminal, </w:t>
      </w:r>
      <w:r w:rsidRPr="00814683">
        <w:rPr>
          <w:color w:val="000000"/>
          <w:u w:val="single"/>
        </w:rPr>
        <w:t xml:space="preserve">personal de seguridad pública, </w:t>
      </w:r>
      <w:r w:rsidRPr="00814683">
        <w:rPr>
          <w:color w:val="000000"/>
        </w:rPr>
        <w:t>personal y equipo de los servicios de seguridad privada, armamento y equipo, vehículos, huellas dactilares, teléfonos, celulares, medidas cautelares, soluciones alternas y formas de terminación anticipada, sentencias y las demás necesarias para la operación del Sistema).</w:t>
      </w:r>
    </w:p>
    <w:p w14:paraId="5D15F0F3" w14:textId="77777777" w:rsidR="009E363A" w:rsidRPr="00814683" w:rsidRDefault="009E363A" w:rsidP="004969B8">
      <w:pPr>
        <w:spacing w:after="0" w:line="360" w:lineRule="auto"/>
        <w:rPr>
          <w:color w:val="FF0000"/>
        </w:rPr>
      </w:pPr>
    </w:p>
    <w:p w14:paraId="5B0D2D88" w14:textId="2C166E7C" w:rsidR="00B16FA4" w:rsidRPr="00814683" w:rsidRDefault="00B16FA4" w:rsidP="004969B8">
      <w:pPr>
        <w:spacing w:after="0" w:line="360" w:lineRule="auto"/>
        <w:rPr>
          <w:rFonts w:ascii="Times New Roman" w:eastAsia="Times New Roman" w:hAnsi="Times New Roman" w:cs="Times New Roman"/>
          <w:color w:val="auto"/>
          <w:sz w:val="20"/>
          <w:szCs w:val="20"/>
        </w:rPr>
      </w:pPr>
      <w:r w:rsidRPr="00814683">
        <w:rPr>
          <w:rFonts w:eastAsia="Times New Roman" w:cs="Times New Roman"/>
          <w:color w:val="auto"/>
          <w:lang w:val="es-ES"/>
        </w:rPr>
        <w:t>Lo anterior, se desprende de las documentales que obran en el expediente de referencia, materia de la presente resolución, consistente en: la solicitud de acceso a la información; la respuesta entregada por el Sujeto Obligado, el escrito recursal en</w:t>
      </w:r>
      <w:r w:rsidR="00113497" w:rsidRPr="00814683">
        <w:rPr>
          <w:rFonts w:eastAsia="Times New Roman" w:cs="Times New Roman"/>
          <w:color w:val="auto"/>
          <w:lang w:val="es-ES"/>
        </w:rPr>
        <w:t xml:space="preserve"> contra de dicha cont</w:t>
      </w:r>
      <w:r w:rsidR="00C34448" w:rsidRPr="00814683">
        <w:rPr>
          <w:rFonts w:eastAsia="Times New Roman" w:cs="Times New Roman"/>
          <w:color w:val="auto"/>
          <w:lang w:val="es-ES"/>
        </w:rPr>
        <w:t xml:space="preserve">estación y </w:t>
      </w:r>
      <w:r w:rsidRPr="00814683">
        <w:rPr>
          <w:rFonts w:eastAsia="Times New Roman" w:cs="Times New Roman"/>
          <w:color w:val="auto"/>
          <w:lang w:val="es-ES"/>
        </w:rPr>
        <w:t>el informe justificado del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2398A242" w14:textId="77777777" w:rsidR="00B16FA4" w:rsidRPr="00814683" w:rsidRDefault="00B16FA4" w:rsidP="004969B8">
      <w:pPr>
        <w:tabs>
          <w:tab w:val="left" w:pos="4962"/>
        </w:tabs>
        <w:spacing w:after="0" w:line="360" w:lineRule="auto"/>
        <w:rPr>
          <w:rFonts w:eastAsia="Calibri" w:cs="Tahoma"/>
          <w:bCs/>
          <w:color w:val="auto"/>
        </w:rPr>
      </w:pPr>
    </w:p>
    <w:p w14:paraId="31958E60" w14:textId="77777777" w:rsidR="00B16FA4" w:rsidRPr="00814683" w:rsidRDefault="00B16FA4" w:rsidP="004969B8">
      <w:pPr>
        <w:keepNext/>
        <w:keepLines/>
        <w:spacing w:after="0" w:line="360" w:lineRule="auto"/>
        <w:outlineLvl w:val="1"/>
        <w:rPr>
          <w:b/>
          <w:color w:val="auto"/>
        </w:rPr>
      </w:pPr>
      <w:bookmarkStart w:id="13" w:name="_Toc206087461"/>
      <w:bookmarkStart w:id="14" w:name="_Toc226640771"/>
      <w:r w:rsidRPr="00814683">
        <w:rPr>
          <w:b/>
          <w:color w:val="auto"/>
        </w:rPr>
        <w:t>CUARTO. Marco normativo aplicable en materia de transparencia y acceso a la información pública</w:t>
      </w:r>
      <w:bookmarkEnd w:id="13"/>
      <w:bookmarkEnd w:id="14"/>
    </w:p>
    <w:p w14:paraId="5183CEE4" w14:textId="77777777" w:rsidR="00B16FA4" w:rsidRPr="00814683" w:rsidRDefault="00B16FA4" w:rsidP="004969B8">
      <w:pPr>
        <w:spacing w:after="0" w:line="360" w:lineRule="auto"/>
        <w:rPr>
          <w:color w:val="auto"/>
        </w:rPr>
      </w:pPr>
    </w:p>
    <w:p w14:paraId="48A4EEBF" w14:textId="77777777" w:rsidR="00B16FA4" w:rsidRPr="00814683" w:rsidRDefault="00B16FA4" w:rsidP="004969B8">
      <w:pPr>
        <w:spacing w:after="0" w:line="360" w:lineRule="auto"/>
        <w:rPr>
          <w:color w:val="auto"/>
        </w:rPr>
      </w:pPr>
      <w:r w:rsidRPr="00814683">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A680121" w14:textId="77777777" w:rsidR="00B16FA4" w:rsidRPr="00814683" w:rsidRDefault="00B16FA4" w:rsidP="004969B8">
      <w:pPr>
        <w:spacing w:after="0" w:line="360" w:lineRule="auto"/>
        <w:rPr>
          <w:color w:val="auto"/>
        </w:rPr>
      </w:pPr>
    </w:p>
    <w:p w14:paraId="030056D6" w14:textId="77777777" w:rsidR="00B16FA4" w:rsidRPr="00814683" w:rsidRDefault="00B16FA4" w:rsidP="004969B8">
      <w:pPr>
        <w:spacing w:after="0" w:line="360" w:lineRule="auto"/>
        <w:rPr>
          <w:color w:val="auto"/>
        </w:rPr>
      </w:pPr>
      <w:r w:rsidRPr="00814683">
        <w:rPr>
          <w:color w:val="auto"/>
        </w:rPr>
        <w:t xml:space="preserve">En materia local, el artículo 5°, fracción I de la Constitución Política del Estado Libre y Soberano de México, es coincidente con la Constitución Federal, en el sentido de la </w:t>
      </w:r>
      <w:r w:rsidRPr="00814683">
        <w:rPr>
          <w:color w:val="auto"/>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14:paraId="3F100F5B" w14:textId="77777777" w:rsidR="00B16FA4" w:rsidRPr="00814683" w:rsidRDefault="00B16FA4" w:rsidP="004969B8">
      <w:pPr>
        <w:spacing w:after="0" w:line="360" w:lineRule="auto"/>
        <w:rPr>
          <w:color w:val="auto"/>
        </w:rPr>
      </w:pPr>
    </w:p>
    <w:p w14:paraId="6629F811" w14:textId="77777777" w:rsidR="00B16FA4" w:rsidRPr="00814683" w:rsidRDefault="00B16FA4" w:rsidP="004969B8">
      <w:pPr>
        <w:spacing w:after="0" w:line="360" w:lineRule="auto"/>
        <w:rPr>
          <w:color w:val="auto"/>
        </w:rPr>
      </w:pPr>
      <w:r w:rsidRPr="00814683">
        <w:rPr>
          <w:color w:val="auto"/>
        </w:rPr>
        <w:t>Por su parte, la Ley de Transparencia y Acceso a la Información Pública del Estado de México y Municipios (Reglamentaria del artículo 5° de la Constitución Local), establece lo siguiente:</w:t>
      </w:r>
    </w:p>
    <w:p w14:paraId="731E8521" w14:textId="77777777" w:rsidR="00B16FA4" w:rsidRPr="00814683" w:rsidRDefault="00B16FA4" w:rsidP="004969B8">
      <w:pPr>
        <w:spacing w:after="0" w:line="360" w:lineRule="auto"/>
        <w:rPr>
          <w:color w:val="auto"/>
        </w:rPr>
      </w:pPr>
    </w:p>
    <w:p w14:paraId="74E644D6" w14:textId="77777777" w:rsidR="00B16FA4" w:rsidRPr="00814683" w:rsidRDefault="00B16FA4" w:rsidP="004969B8">
      <w:pPr>
        <w:spacing w:after="0" w:line="360" w:lineRule="auto"/>
        <w:rPr>
          <w:color w:val="auto"/>
        </w:rPr>
      </w:pPr>
      <w:r w:rsidRPr="00814683">
        <w:rPr>
          <w:color w:val="auto"/>
        </w:rPr>
        <w:t>El artículo 12, que, quienes generen, recopilen, administren, manejen, procesen, archiven o conserven información pública serán responsables de la misma.</w:t>
      </w:r>
    </w:p>
    <w:p w14:paraId="521FDAE4" w14:textId="77777777" w:rsidR="00002B8E" w:rsidRPr="00814683" w:rsidRDefault="00002B8E" w:rsidP="004969B8">
      <w:pPr>
        <w:spacing w:after="0" w:line="360" w:lineRule="auto"/>
        <w:rPr>
          <w:color w:val="auto"/>
        </w:rPr>
      </w:pPr>
    </w:p>
    <w:p w14:paraId="676601C7" w14:textId="77777777" w:rsidR="00B16FA4" w:rsidRPr="00814683" w:rsidRDefault="00B16FA4" w:rsidP="004969B8">
      <w:pPr>
        <w:widowControl w:val="0"/>
        <w:spacing w:after="0" w:line="360" w:lineRule="auto"/>
        <w:rPr>
          <w:color w:val="auto"/>
        </w:rPr>
      </w:pPr>
      <w:r w:rsidRPr="00814683">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4F5F1CEA" w14:textId="77777777" w:rsidR="00B16FA4" w:rsidRPr="00814683" w:rsidRDefault="00B16FA4" w:rsidP="004969B8">
      <w:pPr>
        <w:widowControl w:val="0"/>
        <w:spacing w:after="0" w:line="360" w:lineRule="auto"/>
        <w:rPr>
          <w:color w:val="auto"/>
        </w:rPr>
      </w:pPr>
    </w:p>
    <w:p w14:paraId="0EE50CE2" w14:textId="77777777" w:rsidR="00B16FA4" w:rsidRPr="00814683" w:rsidRDefault="00B16FA4" w:rsidP="004969B8">
      <w:pPr>
        <w:spacing w:after="0" w:line="360" w:lineRule="auto"/>
        <w:rPr>
          <w:color w:val="auto"/>
        </w:rPr>
      </w:pPr>
      <w:r w:rsidRPr="00814683">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42C05B5" w14:textId="77777777" w:rsidR="00B16FA4" w:rsidRPr="00814683" w:rsidRDefault="00B16FA4" w:rsidP="004969B8">
      <w:pPr>
        <w:spacing w:after="0" w:line="360" w:lineRule="auto"/>
        <w:rPr>
          <w:color w:val="auto"/>
        </w:rPr>
      </w:pPr>
    </w:p>
    <w:p w14:paraId="27E3AECC" w14:textId="77777777" w:rsidR="00B16FA4" w:rsidRPr="00814683" w:rsidRDefault="00B16FA4" w:rsidP="004969B8">
      <w:pPr>
        <w:keepNext/>
        <w:keepLines/>
        <w:spacing w:after="0" w:line="360" w:lineRule="auto"/>
        <w:outlineLvl w:val="1"/>
        <w:rPr>
          <w:b/>
          <w:color w:val="auto"/>
        </w:rPr>
      </w:pPr>
      <w:bookmarkStart w:id="15" w:name="_Toc206087462"/>
      <w:bookmarkStart w:id="16" w:name="_Toc226640772"/>
      <w:r w:rsidRPr="00814683">
        <w:rPr>
          <w:b/>
          <w:color w:val="auto"/>
        </w:rPr>
        <w:t>QUINTO. Estudio de Fondo</w:t>
      </w:r>
      <w:bookmarkEnd w:id="15"/>
      <w:bookmarkEnd w:id="16"/>
    </w:p>
    <w:p w14:paraId="64B58ADE" w14:textId="77777777" w:rsidR="00B16FA4" w:rsidRPr="00814683" w:rsidRDefault="00B16FA4" w:rsidP="004969B8">
      <w:pPr>
        <w:spacing w:after="0" w:line="360" w:lineRule="auto"/>
        <w:rPr>
          <w:b/>
          <w:color w:val="FF0000"/>
        </w:rPr>
      </w:pPr>
    </w:p>
    <w:p w14:paraId="239D60C9" w14:textId="77777777" w:rsidR="00B16FA4" w:rsidRPr="00814683" w:rsidRDefault="00B16FA4" w:rsidP="004969B8">
      <w:pPr>
        <w:spacing w:after="0" w:line="360" w:lineRule="auto"/>
        <w:rPr>
          <w:rFonts w:eastAsia="Times New Roman" w:cs="Tahoma"/>
          <w:bCs/>
          <w:iCs/>
          <w:color w:val="auto"/>
          <w:lang w:eastAsia="es-ES"/>
        </w:rPr>
      </w:pPr>
      <w:r w:rsidRPr="00814683">
        <w:rPr>
          <w:color w:val="auto"/>
        </w:rPr>
        <w:t xml:space="preserve">Expuestas las posturas de las partes, se procede al análisis de los agravios hechos valer por la persona Recurrente, </w:t>
      </w:r>
      <w:r w:rsidRPr="00814683">
        <w:rPr>
          <w:rFonts w:eastAsia="Times New Roman" w:cs="Tahoma"/>
          <w:bCs/>
          <w:iCs/>
          <w:color w:val="auto"/>
          <w:lang w:eastAsia="es-ES"/>
        </w:rPr>
        <w:t>por lo que, en principio es necesario contextualizar la solicitud de información.</w:t>
      </w:r>
    </w:p>
    <w:p w14:paraId="23ED2FCA" w14:textId="77777777" w:rsidR="00113497" w:rsidRPr="00814683" w:rsidRDefault="00113497" w:rsidP="004969B8">
      <w:pPr>
        <w:spacing w:after="0" w:line="360" w:lineRule="auto"/>
        <w:rPr>
          <w:rFonts w:eastAsia="Times New Roman" w:cs="Tahoma"/>
          <w:bCs/>
          <w:iCs/>
          <w:color w:val="FF0000"/>
          <w:lang w:eastAsia="es-ES"/>
        </w:rPr>
      </w:pPr>
    </w:p>
    <w:p w14:paraId="1FB022A2" w14:textId="352C5BFC" w:rsidR="00113497" w:rsidRPr="00814683" w:rsidRDefault="003B0CDD" w:rsidP="004969B8">
      <w:pPr>
        <w:spacing w:after="0" w:line="360" w:lineRule="auto"/>
        <w:rPr>
          <w:rFonts w:eastAsia="Times New Roman" w:cs="Tahoma"/>
          <w:b/>
          <w:bCs/>
          <w:iCs/>
          <w:color w:val="auto"/>
          <w:lang w:eastAsia="es-ES"/>
        </w:rPr>
      </w:pPr>
      <w:r w:rsidRPr="00814683">
        <w:rPr>
          <w:rFonts w:eastAsia="Times New Roman" w:cs="Tahoma"/>
          <w:b/>
          <w:bCs/>
          <w:iCs/>
          <w:color w:val="auto"/>
          <w:lang w:eastAsia="es-ES"/>
        </w:rPr>
        <w:t xml:space="preserve">Recibo de nómina </w:t>
      </w:r>
    </w:p>
    <w:p w14:paraId="2B977B07" w14:textId="77777777" w:rsidR="006F2BC5" w:rsidRPr="00814683" w:rsidRDefault="006F2BC5" w:rsidP="004969B8">
      <w:pPr>
        <w:tabs>
          <w:tab w:val="left" w:pos="4962"/>
        </w:tabs>
        <w:spacing w:after="0" w:line="360" w:lineRule="auto"/>
        <w:contextualSpacing/>
        <w:rPr>
          <w:rFonts w:eastAsia="Calibri" w:cs="Tahoma"/>
          <w:color w:val="auto"/>
          <w:lang w:eastAsia="es-ES"/>
        </w:rPr>
      </w:pPr>
      <w:r w:rsidRPr="00814683">
        <w:rPr>
          <w:rFonts w:eastAsia="Calibri" w:cs="Tahoma"/>
          <w:color w:val="auto"/>
          <w:lang w:eastAsia="es-ES"/>
        </w:rPr>
        <w:lastRenderedPageBreak/>
        <w:t xml:space="preserve">En relación con los </w:t>
      </w:r>
      <w:r w:rsidRPr="00814683">
        <w:rPr>
          <w:rFonts w:eastAsia="Calibri" w:cs="Tahoma"/>
          <w:iCs/>
          <w:color w:val="auto"/>
          <w:lang w:eastAsia="es-ES"/>
        </w:rPr>
        <w:t>recibos de nómina</w:t>
      </w:r>
      <w:r w:rsidRPr="00814683">
        <w:rPr>
          <w:rFonts w:eastAsia="Calibri" w:cs="Tahoma"/>
          <w:i/>
          <w:color w:val="auto"/>
          <w:lang w:eastAsia="es-ES"/>
        </w:rPr>
        <w:t xml:space="preserve">, </w:t>
      </w:r>
      <w:r w:rsidRPr="00814683">
        <w:rPr>
          <w:rFonts w:eastAsia="Calibri" w:cs="Tahoma"/>
          <w:color w:val="auto"/>
          <w:lang w:eastAsia="es-ES"/>
        </w:rPr>
        <w:t>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w:t>
      </w:r>
    </w:p>
    <w:p w14:paraId="6D577B74" w14:textId="77777777" w:rsidR="006F2BC5" w:rsidRPr="00814683" w:rsidRDefault="006F2BC5" w:rsidP="004969B8">
      <w:pPr>
        <w:tabs>
          <w:tab w:val="left" w:pos="4962"/>
        </w:tabs>
        <w:spacing w:after="0" w:line="360" w:lineRule="auto"/>
        <w:contextualSpacing/>
        <w:rPr>
          <w:rFonts w:eastAsia="Calibri" w:cs="Tahoma"/>
          <w:color w:val="auto"/>
          <w:lang w:eastAsia="es-ES"/>
        </w:rPr>
      </w:pPr>
    </w:p>
    <w:p w14:paraId="50280F05" w14:textId="77777777" w:rsidR="006F2BC5" w:rsidRPr="00814683" w:rsidRDefault="006F2BC5" w:rsidP="004969B8">
      <w:pPr>
        <w:tabs>
          <w:tab w:val="left" w:pos="4962"/>
        </w:tabs>
        <w:spacing w:after="0" w:line="360" w:lineRule="auto"/>
        <w:contextualSpacing/>
        <w:rPr>
          <w:rFonts w:eastAsia="Calibri" w:cs="Tahoma"/>
          <w:color w:val="auto"/>
          <w:lang w:eastAsia="es-ES"/>
        </w:rPr>
      </w:pPr>
      <w:r w:rsidRPr="00814683">
        <w:rPr>
          <w:rFonts w:eastAsia="Calibri" w:cs="Tahoma"/>
          <w:color w:val="auto"/>
          <w:lang w:eastAsia="es-ES"/>
        </w:rPr>
        <w:t>En orden de ideas, el artículo 3°, fracción LXVIII,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9CC9C09" w14:textId="77777777" w:rsidR="006F2BC5" w:rsidRPr="00814683" w:rsidRDefault="006F2BC5" w:rsidP="004969B8">
      <w:pPr>
        <w:tabs>
          <w:tab w:val="left" w:pos="4962"/>
        </w:tabs>
        <w:spacing w:after="0" w:line="360" w:lineRule="auto"/>
        <w:contextualSpacing/>
        <w:rPr>
          <w:rFonts w:eastAsia="Calibri" w:cs="Tahoma"/>
          <w:color w:val="auto"/>
          <w:lang w:eastAsia="es-ES"/>
        </w:rPr>
      </w:pPr>
    </w:p>
    <w:p w14:paraId="798ACB19" w14:textId="77777777" w:rsidR="006F2BC5" w:rsidRPr="00814683" w:rsidRDefault="006F2BC5" w:rsidP="004969B8">
      <w:pPr>
        <w:tabs>
          <w:tab w:val="left" w:pos="4962"/>
        </w:tabs>
        <w:spacing w:after="0" w:line="360" w:lineRule="auto"/>
        <w:contextualSpacing/>
        <w:rPr>
          <w:rFonts w:eastAsia="Calibri" w:cs="Tahoma"/>
          <w:color w:val="auto"/>
          <w:lang w:eastAsia="es-ES"/>
        </w:rPr>
      </w:pPr>
      <w:r w:rsidRPr="00814683">
        <w:rPr>
          <w:rFonts w:eastAsia="Calibri" w:cs="Tahoma"/>
          <w:color w:val="auto"/>
          <w:lang w:eastAsia="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5C9E895F" w14:textId="77777777" w:rsidR="006F2BC5" w:rsidRPr="00814683" w:rsidRDefault="006F2BC5" w:rsidP="004969B8">
      <w:pPr>
        <w:tabs>
          <w:tab w:val="left" w:pos="4962"/>
        </w:tabs>
        <w:spacing w:after="0" w:line="360" w:lineRule="auto"/>
        <w:contextualSpacing/>
        <w:rPr>
          <w:rFonts w:eastAsia="Calibri" w:cs="Tahoma"/>
          <w:color w:val="auto"/>
          <w:lang w:eastAsia="es-ES"/>
        </w:rPr>
      </w:pPr>
    </w:p>
    <w:p w14:paraId="4908F520" w14:textId="77777777" w:rsidR="006F2BC5" w:rsidRPr="00814683" w:rsidRDefault="006F2BC5" w:rsidP="004969B8">
      <w:pPr>
        <w:spacing w:after="0" w:line="360" w:lineRule="auto"/>
        <w:rPr>
          <w:rFonts w:eastAsia="Calibri" w:cs="Times New Roman"/>
          <w:color w:val="000000"/>
          <w:lang w:eastAsia="en-US"/>
        </w:rPr>
      </w:pPr>
      <w:r w:rsidRPr="00814683">
        <w:rPr>
          <w:rFonts w:eastAsia="Calibri" w:cs="Times New Roman"/>
          <w:color w:val="000000"/>
          <w:lang w:eastAsia="en-U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w:t>
      </w:r>
      <w:r w:rsidRPr="00814683">
        <w:rPr>
          <w:rFonts w:eastAsia="Calibri" w:cs="Times New Roman"/>
          <w:b/>
          <w:bCs/>
          <w:color w:val="000000"/>
          <w:lang w:eastAsia="en-US"/>
        </w:rPr>
        <w:t>los recibos de pago de salarios o las constancias documentales del pago de sueldos,</w:t>
      </w:r>
      <w:r w:rsidRPr="00814683">
        <w:rPr>
          <w:rFonts w:eastAsia="Calibri" w:cs="Times New Roman"/>
          <w:color w:val="000000"/>
          <w:lang w:eastAsia="en-US"/>
        </w:rPr>
        <w:t xml:space="preserve">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77B0B0E0" w14:textId="77777777" w:rsidR="006F2BC5" w:rsidRPr="00814683" w:rsidRDefault="006F2BC5" w:rsidP="004969B8">
      <w:pPr>
        <w:spacing w:after="0" w:line="360" w:lineRule="auto"/>
        <w:rPr>
          <w:rFonts w:eastAsia="Calibri" w:cs="Times New Roman"/>
          <w:color w:val="000000"/>
          <w:lang w:eastAsia="en-US"/>
        </w:rPr>
      </w:pPr>
    </w:p>
    <w:p w14:paraId="507E82ED" w14:textId="77777777" w:rsidR="006F2BC5" w:rsidRPr="00814683" w:rsidRDefault="006F2BC5" w:rsidP="004969B8">
      <w:pPr>
        <w:spacing w:after="0" w:line="360" w:lineRule="auto"/>
        <w:rPr>
          <w:rFonts w:eastAsia="Calibri" w:cs="Times New Roman"/>
          <w:color w:val="000000"/>
          <w:lang w:eastAsia="en-US"/>
        </w:rPr>
      </w:pPr>
      <w:r w:rsidRPr="00814683">
        <w:rPr>
          <w:rFonts w:eastAsia="Calibri" w:cs="Times New Roman"/>
          <w:color w:val="000000"/>
          <w:lang w:eastAsia="en-US"/>
        </w:rPr>
        <w:lastRenderedPageBreak/>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20719A30" w14:textId="77777777" w:rsidR="006F2BC5" w:rsidRPr="00814683" w:rsidRDefault="006F2BC5" w:rsidP="004969B8">
      <w:pPr>
        <w:spacing w:after="0" w:line="360" w:lineRule="auto"/>
        <w:rPr>
          <w:rFonts w:eastAsia="Calibri" w:cs="Times New Roman"/>
          <w:color w:val="000000"/>
          <w:lang w:eastAsia="en-US"/>
        </w:rPr>
      </w:pPr>
    </w:p>
    <w:p w14:paraId="4134DFFB" w14:textId="77777777" w:rsidR="006F2BC5" w:rsidRPr="00814683" w:rsidRDefault="006F2BC5" w:rsidP="004969B8">
      <w:pPr>
        <w:spacing w:after="0" w:line="360" w:lineRule="auto"/>
        <w:ind w:left="567" w:right="567"/>
        <w:rPr>
          <w:rFonts w:eastAsia="Times New Roman" w:cs="Arial"/>
          <w:bCs/>
          <w:i/>
          <w:iCs/>
          <w:color w:val="auto"/>
          <w:sz w:val="20"/>
          <w:lang w:eastAsia="es-ES"/>
        </w:rPr>
      </w:pPr>
      <w:r w:rsidRPr="00814683">
        <w:rPr>
          <w:rFonts w:eastAsia="Times New Roman" w:cs="Arial"/>
          <w:b/>
          <w:i/>
          <w:iCs/>
          <w:color w:val="auto"/>
          <w:sz w:val="20"/>
          <w:lang w:eastAsia="es-ES"/>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sidRPr="00814683">
        <w:rPr>
          <w:rFonts w:eastAsia="Times New Roman" w:cs="Arial"/>
          <w:bCs/>
          <w:i/>
          <w:iCs/>
          <w:color w:val="auto"/>
          <w:sz w:val="20"/>
          <w:lang w:eastAsia="es-ES"/>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24817109" w14:textId="77777777" w:rsidR="006F2BC5" w:rsidRPr="00814683" w:rsidRDefault="006F2BC5" w:rsidP="004969B8">
      <w:pPr>
        <w:spacing w:after="0" w:line="360" w:lineRule="auto"/>
        <w:rPr>
          <w:rFonts w:eastAsia="Calibri" w:cs="Times New Roman"/>
          <w:color w:val="000000"/>
          <w:lang w:eastAsia="en-US"/>
        </w:rPr>
      </w:pPr>
    </w:p>
    <w:p w14:paraId="14DA1960" w14:textId="77777777" w:rsidR="006F2BC5" w:rsidRPr="00814683" w:rsidRDefault="006F2BC5" w:rsidP="004969B8">
      <w:pPr>
        <w:spacing w:after="0" w:line="360" w:lineRule="auto"/>
        <w:rPr>
          <w:rFonts w:eastAsia="Calibri" w:cs="Times New Roman"/>
          <w:color w:val="000000"/>
          <w:lang w:eastAsia="en-US"/>
        </w:rPr>
      </w:pPr>
      <w:r w:rsidRPr="00814683">
        <w:rPr>
          <w:rFonts w:eastAsia="Calibri" w:cs="Times New Roman"/>
          <w:color w:val="000000"/>
          <w:lang w:eastAsia="en-US"/>
        </w:rPr>
        <w:t xml:space="preserve">De la tesis transcrita, se desprende que en </w:t>
      </w:r>
      <w:r w:rsidRPr="00814683">
        <w:rPr>
          <w:rFonts w:eastAsia="Calibri" w:cs="Times New Roman"/>
          <w:b/>
          <w:bCs/>
          <w:color w:val="000000"/>
          <w:lang w:eastAsia="en-US"/>
        </w:rPr>
        <w:t>materia burocrática los recibos de pago acreditan los conceptos y montos que en ellos se insertan,</w:t>
      </w:r>
      <w:r w:rsidRPr="00814683">
        <w:rPr>
          <w:rFonts w:eastAsia="Calibri" w:cs="Times New Roman"/>
          <w:color w:val="000000"/>
          <w:lang w:eastAsia="en-US"/>
        </w:rPr>
        <w:t xml:space="preserve"> y constituyen prueba para demostrar las percepciones y montos que reciben los servidores públicos.</w:t>
      </w:r>
    </w:p>
    <w:p w14:paraId="56D53F8C" w14:textId="77777777" w:rsidR="006F2BC5" w:rsidRPr="00814683" w:rsidRDefault="006F2BC5" w:rsidP="004969B8">
      <w:pPr>
        <w:spacing w:after="0" w:line="360" w:lineRule="auto"/>
        <w:rPr>
          <w:rFonts w:eastAsia="Times New Roman" w:cs="Tahoma"/>
          <w:bCs/>
          <w:iCs/>
          <w:color w:val="FF0000"/>
          <w:lang w:eastAsia="es-ES"/>
        </w:rPr>
      </w:pPr>
    </w:p>
    <w:p w14:paraId="19EC5EED" w14:textId="73FEEC4B" w:rsidR="006F2BC5" w:rsidRPr="00814683" w:rsidRDefault="00F61896" w:rsidP="004969B8">
      <w:pPr>
        <w:spacing w:after="0" w:line="360" w:lineRule="auto"/>
        <w:rPr>
          <w:rFonts w:eastAsia="Times New Roman" w:cs="Tahoma"/>
          <w:b/>
          <w:iCs/>
          <w:color w:val="auto"/>
          <w:lang w:eastAsia="es-ES"/>
        </w:rPr>
      </w:pPr>
      <w:r w:rsidRPr="00814683">
        <w:rPr>
          <w:rFonts w:eastAsia="Times New Roman" w:cs="Tahoma"/>
          <w:b/>
          <w:iCs/>
          <w:color w:val="auto"/>
          <w:lang w:eastAsia="es-ES"/>
        </w:rPr>
        <w:t>Permiso de Portación de Arma de fuego</w:t>
      </w:r>
    </w:p>
    <w:p w14:paraId="6A47D836" w14:textId="77777777" w:rsidR="00F61896" w:rsidRPr="00814683" w:rsidRDefault="00F61896" w:rsidP="004969B8">
      <w:pPr>
        <w:spacing w:after="0" w:line="360" w:lineRule="auto"/>
        <w:rPr>
          <w:rFonts w:eastAsia="Times New Roman" w:cs="Tahoma"/>
          <w:b/>
          <w:iCs/>
          <w:color w:val="FF0000"/>
          <w:lang w:eastAsia="es-ES"/>
        </w:rPr>
      </w:pPr>
    </w:p>
    <w:p w14:paraId="0E4A17C2" w14:textId="7791D4ED" w:rsidR="00D44FE4" w:rsidRPr="00814683" w:rsidRDefault="00D44FE4" w:rsidP="004969B8">
      <w:pPr>
        <w:spacing w:after="0" w:line="360" w:lineRule="auto"/>
      </w:pPr>
      <w:r w:rsidRPr="00814683">
        <w:rPr>
          <w:rFonts w:eastAsia="Times New Roman" w:cs="Tahoma"/>
          <w:bCs/>
          <w:iCs/>
          <w:color w:val="auto"/>
          <w:lang w:eastAsia="es-ES"/>
        </w:rPr>
        <w:t xml:space="preserve">Al respecto, el artículo 21 de la Ley de Seguridad del Estado de México en su fracción XXVII establece que dentro </w:t>
      </w:r>
      <w:r w:rsidRPr="00814683">
        <w:rPr>
          <w:rFonts w:eastAsia="Times New Roman" w:cs="Tahoma"/>
          <w:b/>
          <w:bCs/>
          <w:iCs/>
          <w:color w:val="auto"/>
          <w:lang w:eastAsia="es-ES"/>
        </w:rPr>
        <w:t>de las atribuciones los Presidentes Municipale</w:t>
      </w:r>
      <w:r w:rsidRPr="00814683">
        <w:rPr>
          <w:rFonts w:eastAsia="Times New Roman" w:cs="Tahoma"/>
          <w:bCs/>
          <w:iCs/>
          <w:color w:val="auto"/>
          <w:lang w:eastAsia="es-ES"/>
        </w:rPr>
        <w:t xml:space="preserve">s se encuentra el </w:t>
      </w:r>
      <w:r w:rsidRPr="00814683">
        <w:rPr>
          <w:rFonts w:eastAsia="Times New Roman" w:cs="Tahoma"/>
          <w:bCs/>
          <w:iCs/>
          <w:color w:val="auto"/>
          <w:lang w:eastAsia="es-ES"/>
        </w:rPr>
        <w:lastRenderedPageBreak/>
        <w:t xml:space="preserve">satisfacer </w:t>
      </w:r>
      <w:r w:rsidRPr="00814683">
        <w:t xml:space="preserve">oportunamente los requerimientos que le sean solicitados por la Secretaría, para el registro y actualización de la </w:t>
      </w:r>
      <w:r w:rsidRPr="00814683">
        <w:rPr>
          <w:b/>
          <w:bCs/>
          <w:u w:val="single"/>
        </w:rPr>
        <w:t>licencia colectiva</w:t>
      </w:r>
      <w:r w:rsidRPr="00814683">
        <w:rPr>
          <w:b/>
          <w:bCs/>
        </w:rPr>
        <w:t xml:space="preserve"> para la portación de armas de fuego de los integrantes de las instituciones policiales a su cargo</w:t>
      </w:r>
      <w:r w:rsidRPr="00814683">
        <w:t>.</w:t>
      </w:r>
    </w:p>
    <w:p w14:paraId="631DA8B4" w14:textId="77777777" w:rsidR="00D44FE4" w:rsidRPr="00814683" w:rsidRDefault="00D44FE4" w:rsidP="004969B8">
      <w:pPr>
        <w:spacing w:after="0" w:line="360" w:lineRule="auto"/>
        <w:rPr>
          <w:rFonts w:eastAsia="Times New Roman" w:cs="Tahoma"/>
          <w:bCs/>
          <w:iCs/>
          <w:color w:val="auto"/>
          <w:lang w:eastAsia="es-ES"/>
        </w:rPr>
      </w:pPr>
    </w:p>
    <w:p w14:paraId="688C7A88" w14:textId="6533E15F" w:rsidR="00D97C5C" w:rsidRPr="00814683" w:rsidRDefault="002A4723" w:rsidP="004969B8">
      <w:pPr>
        <w:spacing w:after="0" w:line="360" w:lineRule="auto"/>
        <w:rPr>
          <w:b/>
          <w:bCs/>
        </w:rPr>
      </w:pPr>
      <w:r w:rsidRPr="00814683">
        <w:rPr>
          <w:rFonts w:eastAsia="Times New Roman" w:cs="Tahoma"/>
          <w:bCs/>
          <w:iCs/>
          <w:color w:val="auto"/>
          <w:lang w:eastAsia="es-ES"/>
        </w:rPr>
        <w:t xml:space="preserve">En esa misma consecución de ideas, el artículo </w:t>
      </w:r>
      <w:r w:rsidR="005B55DB" w:rsidRPr="00814683">
        <w:rPr>
          <w:rFonts w:eastAsia="Times New Roman" w:cs="Tahoma"/>
          <w:bCs/>
          <w:iCs/>
          <w:color w:val="auto"/>
          <w:lang w:eastAsia="es-ES"/>
        </w:rPr>
        <w:t xml:space="preserve">58 Quinquies de la Ley en comento en su fracción XI establece que el Secretario Técnico del </w:t>
      </w:r>
      <w:r w:rsidR="005B55DB" w:rsidRPr="00814683">
        <w:t xml:space="preserve">Consejo Municipal de Seguridad Pública funge como </w:t>
      </w:r>
      <w:r w:rsidR="005B55DB" w:rsidRPr="00814683">
        <w:rPr>
          <w:b/>
          <w:bCs/>
        </w:rPr>
        <w:t xml:space="preserve">enlace ante la Secretaría de Seguridad para dar seguimiento al registro y actualización de la </w:t>
      </w:r>
      <w:r w:rsidR="005B55DB" w:rsidRPr="00814683">
        <w:rPr>
          <w:b/>
          <w:bCs/>
          <w:u w:val="single"/>
        </w:rPr>
        <w:t>licencia colectiva</w:t>
      </w:r>
      <w:r w:rsidR="005B55DB" w:rsidRPr="00814683">
        <w:rPr>
          <w:b/>
          <w:bCs/>
        </w:rPr>
        <w:t xml:space="preserve"> para la portación de armas de fuego.</w:t>
      </w:r>
    </w:p>
    <w:p w14:paraId="00EB4BF6" w14:textId="463AD248" w:rsidR="002E6987" w:rsidRPr="00814683" w:rsidRDefault="002E6987" w:rsidP="004969B8">
      <w:pPr>
        <w:spacing w:after="0" w:line="360" w:lineRule="auto"/>
        <w:rPr>
          <w:b/>
          <w:bCs/>
        </w:rPr>
      </w:pPr>
    </w:p>
    <w:p w14:paraId="59A1F5DD" w14:textId="56C0B7FF" w:rsidR="002E6987" w:rsidRPr="00814683" w:rsidRDefault="002E6987" w:rsidP="004969B8">
      <w:pPr>
        <w:spacing w:after="0" w:line="360" w:lineRule="auto"/>
      </w:pPr>
      <w:r w:rsidRPr="00814683">
        <w:rPr>
          <w:bCs/>
        </w:rPr>
        <w:t>En esa misma consecución de ideas</w:t>
      </w:r>
      <w:r w:rsidR="006879D9" w:rsidRPr="00814683">
        <w:rPr>
          <w:bCs/>
        </w:rPr>
        <w:t>,</w:t>
      </w:r>
      <w:r w:rsidRPr="00814683">
        <w:rPr>
          <w:bCs/>
        </w:rPr>
        <w:t xml:space="preserve"> el Reglamento Interior de la Secretaría de Seguridad, en su artículo 7 establece que la Secretaría  para el e</w:t>
      </w:r>
      <w:r w:rsidRPr="00814683">
        <w:t>studio, planeación y despacho de los asuntos de su competencia, así como para atender las funciones de control y evaluación que le corresponden, la persona titular de la Secretaría se auxiliará de diversas unidades administrativas, dentro de las cuales se encuentra la Oficialía Mayor de la Secretaría de Seguridad.</w:t>
      </w:r>
    </w:p>
    <w:p w14:paraId="7F49BFFE" w14:textId="77777777" w:rsidR="002E6987" w:rsidRPr="00814683" w:rsidRDefault="002E6987" w:rsidP="004969B8">
      <w:pPr>
        <w:spacing w:after="0" w:line="360" w:lineRule="auto"/>
      </w:pPr>
    </w:p>
    <w:p w14:paraId="4B57731A" w14:textId="5B9895D6" w:rsidR="002E6987" w:rsidRPr="00814683" w:rsidRDefault="002E6987" w:rsidP="004969B8">
      <w:pPr>
        <w:spacing w:after="0" w:line="360" w:lineRule="auto"/>
        <w:rPr>
          <w:b/>
        </w:rPr>
      </w:pPr>
      <w:r w:rsidRPr="00814683">
        <w:t xml:space="preserve">La cual, de conformidad con lo establecido en su artículo 32 fracción XXVIII se encarga entre otras cosas de </w:t>
      </w:r>
      <w:r w:rsidRPr="00814683">
        <w:rPr>
          <w:b/>
        </w:rPr>
        <w:t>coordinar, gestionar y autorizar las acciones relativas a la Licencia Oficial Colectiva para la portación de armas de fuego, ante la Secretaría de la Defensa Nacional.</w:t>
      </w:r>
    </w:p>
    <w:p w14:paraId="07B90937" w14:textId="77777777" w:rsidR="002E6987" w:rsidRPr="00814683" w:rsidRDefault="002E6987" w:rsidP="004969B8">
      <w:pPr>
        <w:spacing w:after="0" w:line="360" w:lineRule="auto"/>
        <w:rPr>
          <w:b/>
        </w:rPr>
      </w:pPr>
    </w:p>
    <w:p w14:paraId="60A3279E" w14:textId="27A0CC87" w:rsidR="002E6987" w:rsidRPr="00814683" w:rsidRDefault="006879D9" w:rsidP="004969B8">
      <w:pPr>
        <w:spacing w:after="0" w:line="360" w:lineRule="auto"/>
      </w:pPr>
      <w:r w:rsidRPr="00814683">
        <w:rPr>
          <w:bCs/>
        </w:rPr>
        <w:t xml:space="preserve">Al respecto, el Manual de Organización General de la Secretaría de la Defensa Nacional, establece que la Dirección </w:t>
      </w:r>
      <w:r w:rsidRPr="00814683">
        <w:t xml:space="preserve">General del Registro Federal de Armas de Fuego y Control de Explosivos dentro de sus funciones se encarga de </w:t>
      </w:r>
      <w:r w:rsidRPr="00814683">
        <w:rPr>
          <w:b/>
        </w:rPr>
        <w:t xml:space="preserve">tramitar, expedir, revalidar, modificar, controlar, suspender, cancelar y supervisar </w:t>
      </w:r>
      <w:r w:rsidRPr="00814683">
        <w:rPr>
          <w:b/>
          <w:u w:val="single"/>
        </w:rPr>
        <w:t>las licencias oficiales</w:t>
      </w:r>
      <w:r w:rsidRPr="00814683">
        <w:t xml:space="preserve"> y particulares colectivas, así como las particulares individuales de portación de arma de fuego.</w:t>
      </w:r>
    </w:p>
    <w:p w14:paraId="5ED31C6D" w14:textId="77777777" w:rsidR="006879D9" w:rsidRPr="00814683" w:rsidRDefault="006879D9" w:rsidP="004969B8">
      <w:pPr>
        <w:spacing w:after="0" w:line="360" w:lineRule="auto"/>
        <w:rPr>
          <w:b/>
          <w:bCs/>
        </w:rPr>
      </w:pPr>
    </w:p>
    <w:p w14:paraId="3315FBEC" w14:textId="5765FE2C" w:rsidR="00C91C33" w:rsidRPr="00814683" w:rsidRDefault="00C91C33" w:rsidP="004969B8">
      <w:pPr>
        <w:spacing w:after="0" w:line="360" w:lineRule="auto"/>
        <w:rPr>
          <w:bCs/>
        </w:rPr>
      </w:pPr>
      <w:r w:rsidRPr="00814683">
        <w:rPr>
          <w:bCs/>
        </w:rPr>
        <w:lastRenderedPageBreak/>
        <w:t>En ese sentido, la Ley Federal de Armas de Fuego y Explosivos en su artículo 25 establece que las licencias para la portación de armas son de dos tipos:</w:t>
      </w:r>
    </w:p>
    <w:p w14:paraId="7ED4CF7F" w14:textId="77777777" w:rsidR="00C91C33" w:rsidRPr="00814683" w:rsidRDefault="00C91C33" w:rsidP="004969B8">
      <w:pPr>
        <w:spacing w:after="0" w:line="360" w:lineRule="auto"/>
        <w:rPr>
          <w:bCs/>
        </w:rPr>
      </w:pPr>
    </w:p>
    <w:p w14:paraId="3C41EF24" w14:textId="5BD53550" w:rsidR="00FE1D66" w:rsidRPr="00814683" w:rsidRDefault="00FE1D66" w:rsidP="004969B8">
      <w:pPr>
        <w:pStyle w:val="Prrafodelista"/>
        <w:numPr>
          <w:ilvl w:val="0"/>
          <w:numId w:val="15"/>
        </w:numPr>
        <w:spacing w:line="360" w:lineRule="auto"/>
        <w:rPr>
          <w:rFonts w:eastAsia="Palatino Linotype"/>
          <w:bCs/>
        </w:rPr>
      </w:pPr>
      <w:r w:rsidRPr="00814683">
        <w:rPr>
          <w:rFonts w:eastAsia="Palatino Linotype"/>
          <w:bCs/>
        </w:rPr>
        <w:t>Particulares:</w:t>
      </w:r>
    </w:p>
    <w:p w14:paraId="488017D6" w14:textId="17C7B132" w:rsidR="00FE1D66" w:rsidRPr="00814683" w:rsidRDefault="00FE1D66" w:rsidP="004969B8">
      <w:pPr>
        <w:spacing w:after="0" w:line="360" w:lineRule="auto"/>
        <w:ind w:left="426" w:firstLine="141"/>
        <w:rPr>
          <w:bCs/>
        </w:rPr>
      </w:pPr>
      <w:r w:rsidRPr="00814683">
        <w:rPr>
          <w:bCs/>
        </w:rPr>
        <w:t>a) Individuales, para personas físicas, las cuales deben revalidarse cada año.</w:t>
      </w:r>
    </w:p>
    <w:p w14:paraId="751F4BD3" w14:textId="79C1B849" w:rsidR="00FE1D66" w:rsidRPr="00814683" w:rsidRDefault="00FE1D66" w:rsidP="004969B8">
      <w:pPr>
        <w:spacing w:after="0" w:line="360" w:lineRule="auto"/>
        <w:ind w:left="426" w:firstLine="141"/>
        <w:rPr>
          <w:bCs/>
        </w:rPr>
      </w:pPr>
      <w:r w:rsidRPr="00814683">
        <w:rPr>
          <w:bCs/>
        </w:rPr>
        <w:t>b) Colectivas, para personas morales, las cuales deben revalidarse cada dos años, y</w:t>
      </w:r>
    </w:p>
    <w:p w14:paraId="3CA3CD9C" w14:textId="77777777" w:rsidR="00FE1D66" w:rsidRPr="00814683" w:rsidRDefault="00FE1D66" w:rsidP="004969B8">
      <w:pPr>
        <w:spacing w:after="0" w:line="360" w:lineRule="auto"/>
        <w:rPr>
          <w:bCs/>
        </w:rPr>
      </w:pPr>
    </w:p>
    <w:p w14:paraId="1BEAED36" w14:textId="354E344F" w:rsidR="00FE1D66" w:rsidRPr="00814683" w:rsidRDefault="00FE1D66" w:rsidP="004969B8">
      <w:pPr>
        <w:pStyle w:val="Prrafodelista"/>
        <w:numPr>
          <w:ilvl w:val="0"/>
          <w:numId w:val="15"/>
        </w:numPr>
        <w:spacing w:line="360" w:lineRule="auto"/>
        <w:rPr>
          <w:rFonts w:eastAsia="Palatino Linotype"/>
          <w:bCs/>
        </w:rPr>
      </w:pPr>
      <w:r w:rsidRPr="00814683">
        <w:rPr>
          <w:rFonts w:eastAsia="Palatino Linotype"/>
          <w:bCs/>
        </w:rPr>
        <w:t>Oficiales Colectivas, para las instituciones a que se refiere el artículo 24 de esta Ley, las cuales deben revalidarse cada dos años.</w:t>
      </w:r>
    </w:p>
    <w:p w14:paraId="4BEC2066" w14:textId="77777777" w:rsidR="00FE1D66" w:rsidRPr="00814683" w:rsidRDefault="00FE1D66" w:rsidP="004969B8">
      <w:pPr>
        <w:spacing w:after="0" w:line="360" w:lineRule="auto"/>
        <w:rPr>
          <w:bCs/>
        </w:rPr>
      </w:pPr>
    </w:p>
    <w:p w14:paraId="2AB8A475" w14:textId="10488D73" w:rsidR="00CB5BD4" w:rsidRPr="00814683" w:rsidRDefault="00CB5BD4" w:rsidP="004969B8">
      <w:pPr>
        <w:spacing w:after="0" w:line="360" w:lineRule="auto"/>
      </w:pPr>
      <w:r w:rsidRPr="00814683">
        <w:rPr>
          <w:bCs/>
        </w:rPr>
        <w:t xml:space="preserve">En esa misma ilación de ideas, el artículo 29 de la Ley en comento señala que la </w:t>
      </w:r>
      <w:r w:rsidRPr="00814683">
        <w:rPr>
          <w:b/>
        </w:rPr>
        <w:t>licencia oficial colectiva para la portación de armas puede expedirse a las instituciones policiales</w:t>
      </w:r>
      <w:r w:rsidRPr="00814683">
        <w:t xml:space="preserve">, y de procuración de </w:t>
      </w:r>
      <w:r w:rsidR="001E4C86" w:rsidRPr="00814683">
        <w:t>justicia federal y estatal</w:t>
      </w:r>
      <w:r w:rsidRPr="00814683">
        <w:t xml:space="preserve">, así como a los organismos que, por sus funciones de carácter público, justifiquen su necesidad. </w:t>
      </w:r>
    </w:p>
    <w:p w14:paraId="4A671FB6" w14:textId="77777777" w:rsidR="00152265" w:rsidRPr="00814683" w:rsidRDefault="00152265" w:rsidP="004969B8">
      <w:pPr>
        <w:spacing w:after="0" w:line="360" w:lineRule="auto"/>
      </w:pPr>
    </w:p>
    <w:p w14:paraId="351850C3" w14:textId="14E2CF2E" w:rsidR="00FE1D66" w:rsidRPr="00814683" w:rsidRDefault="00152265" w:rsidP="004969B8">
      <w:pPr>
        <w:spacing w:after="0" w:line="360" w:lineRule="auto"/>
        <w:rPr>
          <w:bCs/>
        </w:rPr>
      </w:pPr>
      <w:r w:rsidRPr="00814683">
        <w:t>En relación con lo anterior, la página oficial de la Secretaría de la Defensa Nacional (</w:t>
      </w:r>
      <w:hyperlink r:id="rId12" w:history="1">
        <w:r w:rsidRPr="00814683">
          <w:rPr>
            <w:rStyle w:val="Hipervnculo"/>
          </w:rPr>
          <w:t>https://www.gob.mx/defensa/acciones-y-programas/sedena-02-036</w:t>
        </w:r>
      </w:hyperlink>
      <w:r w:rsidRPr="00814683">
        <w:t xml:space="preserve"> ), </w:t>
      </w:r>
      <w:r w:rsidR="002B2604" w:rsidRPr="00814683">
        <w:t xml:space="preserve"> señala que para la </w:t>
      </w:r>
      <w:r w:rsidRPr="00814683">
        <w:t xml:space="preserve"> </w:t>
      </w:r>
      <w:r w:rsidR="002B2604" w:rsidRPr="00814683">
        <w:rPr>
          <w:bCs/>
        </w:rPr>
        <w:t>expedición de una licencia oficial colectiva a diversos cuerpos de seguridad pública del país</w:t>
      </w:r>
      <w:r w:rsidR="002C7028" w:rsidRPr="00814683">
        <w:rPr>
          <w:bCs/>
        </w:rPr>
        <w:t>, de debe cumplir con los siguientes requisitos:</w:t>
      </w:r>
    </w:p>
    <w:p w14:paraId="2A69EF21" w14:textId="77777777" w:rsidR="004969B8" w:rsidRPr="00814683" w:rsidRDefault="004969B8" w:rsidP="004969B8">
      <w:pPr>
        <w:spacing w:after="0" w:line="360" w:lineRule="auto"/>
        <w:rPr>
          <w:bCs/>
        </w:rPr>
      </w:pPr>
    </w:p>
    <w:p w14:paraId="0DAF4378" w14:textId="77777777" w:rsidR="0059016B" w:rsidRPr="00814683" w:rsidRDefault="0059016B" w:rsidP="004969B8">
      <w:pPr>
        <w:pStyle w:val="Prrafodelista"/>
        <w:numPr>
          <w:ilvl w:val="0"/>
          <w:numId w:val="16"/>
        </w:numPr>
        <w:spacing w:line="360" w:lineRule="auto"/>
        <w:rPr>
          <w:bCs/>
        </w:rPr>
      </w:pPr>
      <w:r w:rsidRPr="00814683">
        <w:rPr>
          <w:bCs/>
        </w:rPr>
        <w:t xml:space="preserve">Solicitud de quien sea titular de la gubernatura de la entidad federativa que desea la concesión de una Licencia Oficial Colectiva, </w:t>
      </w:r>
      <w:r w:rsidRPr="00814683">
        <w:rPr>
          <w:b/>
          <w:bCs/>
        </w:rPr>
        <w:t>anexando el acuerdo presidencial</w:t>
      </w:r>
      <w:r w:rsidRPr="00814683">
        <w:rPr>
          <w:bCs/>
        </w:rPr>
        <w:t xml:space="preserve"> en donde se autoriza la creación de una nueva corporación policíaca.</w:t>
      </w:r>
    </w:p>
    <w:p w14:paraId="693DEE25" w14:textId="77777777" w:rsidR="0059016B" w:rsidRPr="00814683" w:rsidRDefault="0059016B" w:rsidP="004969B8">
      <w:pPr>
        <w:pStyle w:val="Prrafodelista"/>
        <w:spacing w:line="360" w:lineRule="auto"/>
        <w:rPr>
          <w:bCs/>
        </w:rPr>
      </w:pPr>
    </w:p>
    <w:p w14:paraId="17BC150F" w14:textId="4950E5C2" w:rsidR="0059016B" w:rsidRPr="00814683" w:rsidRDefault="0059016B" w:rsidP="004969B8">
      <w:pPr>
        <w:pStyle w:val="Prrafodelista"/>
        <w:numPr>
          <w:ilvl w:val="0"/>
          <w:numId w:val="16"/>
        </w:numPr>
        <w:spacing w:line="360" w:lineRule="auto"/>
        <w:rPr>
          <w:bCs/>
        </w:rPr>
      </w:pPr>
      <w:r w:rsidRPr="00814683">
        <w:rPr>
          <w:bCs/>
        </w:rPr>
        <w:t xml:space="preserve">Relación de personal y armamento que estará amparado en la Licencia Oficial Colectiva solicitada, conforme a los modelos 1, 2 y 3, </w:t>
      </w:r>
      <w:r w:rsidR="00B20E32" w:rsidRPr="00814683">
        <w:rPr>
          <w:bCs/>
        </w:rPr>
        <w:t xml:space="preserve">los cuales contienen (relación </w:t>
      </w:r>
      <w:r w:rsidR="00B20E32" w:rsidRPr="00814683">
        <w:rPr>
          <w:bCs/>
        </w:rPr>
        <w:lastRenderedPageBreak/>
        <w:t xml:space="preserve">del  personal, municipio, localidad relación de armamento con sus características, propiedad del armamento, responsable, dependencia, entidad, municipio cargos, responsables) </w:t>
      </w:r>
      <w:hyperlink r:id="rId13" w:history="1">
        <w:r w:rsidR="00B20E32" w:rsidRPr="00814683">
          <w:rPr>
            <w:rStyle w:val="Hipervnculo"/>
            <w:bCs/>
          </w:rPr>
          <w:t>https://www.gob.mx/cms/uploads/attachment/file/1003269/17.-_DEFENSA-02-036.pdf</w:t>
        </w:r>
      </w:hyperlink>
      <w:r w:rsidR="00B20E32" w:rsidRPr="00814683">
        <w:rPr>
          <w:bCs/>
        </w:rPr>
        <w:t xml:space="preserve">  </w:t>
      </w:r>
      <w:r w:rsidRPr="00814683">
        <w:rPr>
          <w:bCs/>
        </w:rPr>
        <w:t>en original y cuatro copias (se anexan formatos), en caso de no contar con armamento deberá requisitar los espacios correspondientes con el número cero, así como un disco compacto respaldando la información de los modelos en archivo electrónico en programa Excel, sin ningún tipo de protección en celdas, campos. Etc., con el fin de hacer las consultas necesarias.</w:t>
      </w:r>
    </w:p>
    <w:p w14:paraId="07E5ECF8" w14:textId="77777777" w:rsidR="0059016B" w:rsidRPr="00814683" w:rsidRDefault="0059016B" w:rsidP="004969B8">
      <w:pPr>
        <w:pStyle w:val="Prrafodelista"/>
        <w:spacing w:line="360" w:lineRule="auto"/>
        <w:rPr>
          <w:bCs/>
        </w:rPr>
      </w:pPr>
    </w:p>
    <w:p w14:paraId="25809859" w14:textId="77777777" w:rsidR="0059016B" w:rsidRPr="00814683" w:rsidRDefault="0059016B" w:rsidP="004969B8">
      <w:pPr>
        <w:pStyle w:val="Prrafodelista"/>
        <w:numPr>
          <w:ilvl w:val="0"/>
          <w:numId w:val="16"/>
        </w:numPr>
        <w:spacing w:line="360" w:lineRule="auto"/>
        <w:rPr>
          <w:bCs/>
        </w:rPr>
      </w:pPr>
      <w:r w:rsidRPr="00814683">
        <w:rPr>
          <w:bCs/>
        </w:rPr>
        <w:t>El personal operativo a considerar en la Licencia Oficial Colectiva, deberá cumplir en todo momento con la totalidad de los requisitos establecidos en el Art. 26 Fracc. I de la Ley Federal de Armas de Fuego y Explosivos los cuales son los siguientes:</w:t>
      </w:r>
    </w:p>
    <w:p w14:paraId="1CD718ED" w14:textId="77777777" w:rsidR="0059016B" w:rsidRPr="00814683" w:rsidRDefault="0059016B" w:rsidP="004969B8">
      <w:pPr>
        <w:pStyle w:val="Prrafodelista"/>
        <w:spacing w:line="360" w:lineRule="auto"/>
        <w:rPr>
          <w:bCs/>
        </w:rPr>
      </w:pPr>
    </w:p>
    <w:p w14:paraId="51615523" w14:textId="4CEF8BE8" w:rsidR="0059016B" w:rsidRPr="00814683" w:rsidRDefault="0059016B" w:rsidP="004969B8">
      <w:pPr>
        <w:pStyle w:val="Prrafodelista"/>
        <w:numPr>
          <w:ilvl w:val="0"/>
          <w:numId w:val="17"/>
        </w:numPr>
        <w:spacing w:line="360" w:lineRule="auto"/>
        <w:ind w:left="1276" w:firstLine="0"/>
        <w:rPr>
          <w:bCs/>
        </w:rPr>
      </w:pPr>
      <w:r w:rsidRPr="00814683">
        <w:rPr>
          <w:bCs/>
        </w:rPr>
        <w:t>Tener un modo honesto de vivir.</w:t>
      </w:r>
    </w:p>
    <w:p w14:paraId="502EC331" w14:textId="00738FDD" w:rsidR="0059016B" w:rsidRPr="00814683" w:rsidRDefault="0059016B" w:rsidP="004969B8">
      <w:pPr>
        <w:pStyle w:val="Prrafodelista"/>
        <w:numPr>
          <w:ilvl w:val="0"/>
          <w:numId w:val="17"/>
        </w:numPr>
        <w:spacing w:line="360" w:lineRule="auto"/>
        <w:ind w:left="1276" w:firstLine="0"/>
        <w:rPr>
          <w:bCs/>
        </w:rPr>
      </w:pPr>
      <w:r w:rsidRPr="00814683">
        <w:rPr>
          <w:bCs/>
        </w:rPr>
        <w:t>Haber cumplido los obligados con el Servicio Militar Nacional.</w:t>
      </w:r>
    </w:p>
    <w:p w14:paraId="69AE5EE4" w14:textId="6C62C4E9" w:rsidR="0059016B" w:rsidRPr="00814683" w:rsidRDefault="0059016B" w:rsidP="004969B8">
      <w:pPr>
        <w:pStyle w:val="Prrafodelista"/>
        <w:numPr>
          <w:ilvl w:val="0"/>
          <w:numId w:val="17"/>
        </w:numPr>
        <w:spacing w:line="360" w:lineRule="auto"/>
        <w:ind w:left="1276" w:firstLine="0"/>
        <w:rPr>
          <w:bCs/>
        </w:rPr>
      </w:pPr>
      <w:r w:rsidRPr="00814683">
        <w:rPr>
          <w:bCs/>
        </w:rPr>
        <w:t>No tener impedimento físico y mental para el manejo de las armas; demostrando con certificado médico y psicológico, expedidos por facultativos autorizados, elaborados en papel membretado, el cual contenga su registro ante las autoridades de salud, cedula profesional, así como su registro federal de causantes, anexando los exámenes clínicos y psicológicos que se le hayan practicado.</w:t>
      </w:r>
    </w:p>
    <w:p w14:paraId="533F4D4F" w14:textId="2428FE42" w:rsidR="0059016B" w:rsidRPr="00814683" w:rsidRDefault="0059016B" w:rsidP="004969B8">
      <w:pPr>
        <w:pStyle w:val="Prrafodelista"/>
        <w:numPr>
          <w:ilvl w:val="0"/>
          <w:numId w:val="17"/>
        </w:numPr>
        <w:spacing w:line="360" w:lineRule="auto"/>
        <w:ind w:left="1276" w:firstLine="0"/>
        <w:rPr>
          <w:bCs/>
        </w:rPr>
      </w:pPr>
      <w:r w:rsidRPr="00814683">
        <w:rPr>
          <w:bCs/>
        </w:rPr>
        <w:t>No haber sido condenado por delito cometido con el empleo de armas de fuego; ratificado con certificado expedido por la primera autoridad judicial.</w:t>
      </w:r>
    </w:p>
    <w:p w14:paraId="2B526773" w14:textId="53AEE04C" w:rsidR="0059016B" w:rsidRPr="00814683" w:rsidRDefault="0059016B" w:rsidP="004969B8">
      <w:pPr>
        <w:pStyle w:val="Prrafodelista"/>
        <w:numPr>
          <w:ilvl w:val="0"/>
          <w:numId w:val="17"/>
        </w:numPr>
        <w:spacing w:line="360" w:lineRule="auto"/>
        <w:ind w:left="1276" w:firstLine="0"/>
        <w:rPr>
          <w:bCs/>
        </w:rPr>
      </w:pPr>
      <w:r w:rsidRPr="00814683">
        <w:rPr>
          <w:bCs/>
        </w:rPr>
        <w:t>Certificado médico-toxicológico de no consumo de drogas, enervantes o psicotrópicos.</w:t>
      </w:r>
    </w:p>
    <w:p w14:paraId="13577169" w14:textId="77777777" w:rsidR="0059016B" w:rsidRPr="00814683" w:rsidRDefault="0059016B" w:rsidP="004969B8">
      <w:pPr>
        <w:spacing w:after="0" w:line="360" w:lineRule="auto"/>
        <w:ind w:left="1276"/>
        <w:rPr>
          <w:bCs/>
        </w:rPr>
      </w:pPr>
    </w:p>
    <w:p w14:paraId="1CA67953" w14:textId="77777777" w:rsidR="0059016B" w:rsidRPr="00814683" w:rsidRDefault="0059016B" w:rsidP="004969B8">
      <w:pPr>
        <w:pStyle w:val="Prrafodelista"/>
        <w:numPr>
          <w:ilvl w:val="0"/>
          <w:numId w:val="17"/>
        </w:numPr>
        <w:spacing w:line="360" w:lineRule="auto"/>
        <w:ind w:left="1276" w:firstLine="0"/>
        <w:rPr>
          <w:bCs/>
        </w:rPr>
      </w:pPr>
      <w:r w:rsidRPr="00814683">
        <w:rPr>
          <w:bCs/>
        </w:rPr>
        <w:lastRenderedPageBreak/>
        <w:t>En caso de contar con armamento deberá remitir, copia de los folios de manifestación “C” y “D” del armamento registrado a nombre de la corporación de que se trate.</w:t>
      </w:r>
    </w:p>
    <w:p w14:paraId="39893720" w14:textId="77777777" w:rsidR="0059016B" w:rsidRPr="00814683" w:rsidRDefault="0059016B" w:rsidP="004969B8">
      <w:pPr>
        <w:pStyle w:val="Prrafodelista"/>
        <w:numPr>
          <w:ilvl w:val="0"/>
          <w:numId w:val="17"/>
        </w:numPr>
        <w:spacing w:line="360" w:lineRule="auto"/>
        <w:ind w:left="1276" w:firstLine="0"/>
        <w:rPr>
          <w:bCs/>
        </w:rPr>
      </w:pPr>
      <w:r w:rsidRPr="00814683">
        <w:rPr>
          <w:bCs/>
        </w:rPr>
        <w:t>Los certificados médicos: físico, psicológico y toxicológico, deberán ser elaborados de conformidad a los formatos publicados en el diario oficial de la federación el 12 de enero de 2004.</w:t>
      </w:r>
    </w:p>
    <w:p w14:paraId="60149586" w14:textId="77777777" w:rsidR="0059016B" w:rsidRPr="00814683" w:rsidRDefault="0059016B" w:rsidP="004969B8">
      <w:pPr>
        <w:pStyle w:val="Prrafodelista"/>
        <w:numPr>
          <w:ilvl w:val="0"/>
          <w:numId w:val="17"/>
        </w:numPr>
        <w:spacing w:line="360" w:lineRule="auto"/>
        <w:ind w:left="1276" w:firstLine="0"/>
        <w:rPr>
          <w:bCs/>
        </w:rPr>
      </w:pPr>
      <w:r w:rsidRPr="00814683">
        <w:rPr>
          <w:bCs/>
        </w:rPr>
        <w:t>Aprobar la visita de inspección que realice el personal militar a las instalaciones en donde se resguarda o se resguardará el armamento, a fin de determinar si cumplen con las medidas de seguridad y control necesarias para tal fin, con motivo de su solicitud.</w:t>
      </w:r>
    </w:p>
    <w:p w14:paraId="6259013D" w14:textId="77777777" w:rsidR="0059016B" w:rsidRPr="00814683" w:rsidRDefault="0059016B" w:rsidP="004969B8">
      <w:pPr>
        <w:pStyle w:val="Prrafodelista"/>
        <w:spacing w:line="360" w:lineRule="auto"/>
        <w:rPr>
          <w:bCs/>
        </w:rPr>
      </w:pPr>
    </w:p>
    <w:p w14:paraId="5C32CD95" w14:textId="05C6B769" w:rsidR="002C7028" w:rsidRPr="00814683" w:rsidRDefault="0059016B" w:rsidP="004969B8">
      <w:pPr>
        <w:pStyle w:val="Prrafodelista"/>
        <w:numPr>
          <w:ilvl w:val="0"/>
          <w:numId w:val="17"/>
        </w:numPr>
        <w:spacing w:line="360" w:lineRule="auto"/>
        <w:ind w:left="1276" w:firstLine="0"/>
        <w:rPr>
          <w:b/>
          <w:bCs/>
        </w:rPr>
      </w:pPr>
      <w:r w:rsidRPr="00814683">
        <w:rPr>
          <w:b/>
          <w:bCs/>
        </w:rPr>
        <w:t>Formato de la credencial que expedirá al personal operativo.</w:t>
      </w:r>
    </w:p>
    <w:p w14:paraId="4F0E068A" w14:textId="7D862AEE" w:rsidR="00B20E32" w:rsidRPr="00814683" w:rsidRDefault="00B20E32" w:rsidP="004969B8">
      <w:pPr>
        <w:spacing w:after="0" w:line="360" w:lineRule="auto"/>
        <w:ind w:left="1276"/>
        <w:rPr>
          <w:b/>
          <w:bCs/>
        </w:rPr>
      </w:pPr>
    </w:p>
    <w:p w14:paraId="2872AC8A" w14:textId="6F8D0D6B" w:rsidR="002B2604" w:rsidRPr="00814683" w:rsidRDefault="00B20E32" w:rsidP="004969B8">
      <w:pPr>
        <w:spacing w:after="0" w:line="360" w:lineRule="auto"/>
        <w:rPr>
          <w:b/>
          <w:bCs/>
        </w:rPr>
      </w:pPr>
      <w:r w:rsidRPr="00814683">
        <w:rPr>
          <w:b/>
          <w:bCs/>
        </w:rPr>
        <w:t xml:space="preserve">Evolución de Control y Confianza </w:t>
      </w:r>
    </w:p>
    <w:p w14:paraId="7C3AE483" w14:textId="77777777" w:rsidR="00B20E32" w:rsidRPr="00814683" w:rsidRDefault="00B20E32" w:rsidP="004969B8">
      <w:pPr>
        <w:spacing w:after="0" w:line="360" w:lineRule="auto"/>
        <w:rPr>
          <w:rFonts w:eastAsia="Times New Roman" w:cs="Tahoma"/>
          <w:bCs/>
          <w:iCs/>
          <w:color w:val="FF0000"/>
          <w:lang w:eastAsia="es-ES"/>
        </w:rPr>
      </w:pPr>
    </w:p>
    <w:p w14:paraId="7075D75F" w14:textId="1F73C8AA" w:rsidR="00BF07A2" w:rsidRPr="00814683" w:rsidRDefault="00BF07A2" w:rsidP="004969B8">
      <w:pPr>
        <w:spacing w:after="0" w:line="360" w:lineRule="auto"/>
      </w:pPr>
      <w:r w:rsidRPr="00814683">
        <w:rPr>
          <w:rFonts w:eastAsia="Times New Roman" w:cs="Tahoma"/>
          <w:bCs/>
          <w:iCs/>
          <w:color w:val="auto"/>
          <w:lang w:eastAsia="es-ES"/>
        </w:rPr>
        <w:t xml:space="preserve">Al respecto, </w:t>
      </w:r>
      <w:r w:rsidR="004C7093" w:rsidRPr="00814683">
        <w:rPr>
          <w:rFonts w:eastAsia="Times New Roman" w:cs="Tahoma"/>
          <w:bCs/>
          <w:iCs/>
          <w:color w:val="auto"/>
          <w:lang w:eastAsia="es-ES"/>
        </w:rPr>
        <w:t xml:space="preserve">la Ley General del Sistema Nacional de Seguridad Pública </w:t>
      </w:r>
      <w:r w:rsidR="008C1EFA" w:rsidRPr="00814683">
        <w:rPr>
          <w:rFonts w:eastAsia="Times New Roman" w:cs="Tahoma"/>
          <w:bCs/>
          <w:iCs/>
          <w:color w:val="auto"/>
          <w:lang w:eastAsia="es-ES"/>
        </w:rPr>
        <w:t xml:space="preserve">vigente  en su artículo 10 establece que le corresponde a la Federación, las </w:t>
      </w:r>
      <w:r w:rsidR="008C1EFA" w:rsidRPr="00814683">
        <w:t xml:space="preserve"> entidades federativas y los municipios, en el ámbito de sus respectivas competencias entre otras cosas </w:t>
      </w:r>
      <w:r w:rsidR="008C1EFA" w:rsidRPr="00814683">
        <w:rPr>
          <w:b/>
        </w:rPr>
        <w:t>establecer centros de evaluación y control de confianza,</w:t>
      </w:r>
      <w:r w:rsidR="008C1EFA" w:rsidRPr="00814683">
        <w:t xml:space="preserve"> conforme a los lineamientos, procedimientos, protocolos y perfiles determinados por el Secretariado Ejecutivo, así como garantizar la observancia permanente de la normativa aplicable.</w:t>
      </w:r>
    </w:p>
    <w:p w14:paraId="37E5E186" w14:textId="77777777" w:rsidR="008C1EFA" w:rsidRPr="00814683" w:rsidRDefault="008C1EFA" w:rsidP="004969B8">
      <w:pPr>
        <w:spacing w:after="0" w:line="360" w:lineRule="auto"/>
      </w:pPr>
    </w:p>
    <w:p w14:paraId="09099B43" w14:textId="71E26E7F" w:rsidR="008C1EFA" w:rsidRPr="00814683" w:rsidRDefault="008C1EFA" w:rsidP="004969B8">
      <w:pPr>
        <w:spacing w:after="0" w:line="360" w:lineRule="auto"/>
        <w:rPr>
          <w:b/>
        </w:rPr>
      </w:pPr>
      <w:r w:rsidRPr="00814683">
        <w:t xml:space="preserve">En esa misma consecución de ideas, el artículo 29 de la Ley en comento establece que la Conferencia de Procuración de Justicia dentro de sus funciones se encarga entre otras cosas </w:t>
      </w:r>
      <w:r w:rsidRPr="00814683">
        <w:rPr>
          <w:b/>
        </w:rPr>
        <w:t xml:space="preserve">de promover la homologación de los procedimientos de control de confianza de los </w:t>
      </w:r>
      <w:r w:rsidRPr="00814683">
        <w:rPr>
          <w:b/>
        </w:rPr>
        <w:lastRenderedPageBreak/>
        <w:t>integrantes de las Instituciones de Procuración de Justicia, de conformidad con las disposiciones aplicables.</w:t>
      </w:r>
    </w:p>
    <w:p w14:paraId="6B560EE8" w14:textId="77777777" w:rsidR="004969B8" w:rsidRPr="00814683" w:rsidRDefault="004969B8" w:rsidP="004969B8">
      <w:pPr>
        <w:spacing w:after="0" w:line="360" w:lineRule="auto"/>
        <w:rPr>
          <w:b/>
        </w:rPr>
      </w:pPr>
    </w:p>
    <w:p w14:paraId="06AA1891" w14:textId="619B9D5D" w:rsidR="00680215" w:rsidRPr="00814683" w:rsidRDefault="00680215" w:rsidP="004969B8">
      <w:pPr>
        <w:spacing w:after="0" w:line="360" w:lineRule="auto"/>
        <w:rPr>
          <w:b/>
        </w:rPr>
      </w:pPr>
      <w:r w:rsidRPr="00814683">
        <w:t xml:space="preserve">En ese sentido, el artículo 47 de  la Ley de referencia señala que la persona titular del Secretariado Ejecutivo se encargara </w:t>
      </w:r>
      <w:r w:rsidRPr="00814683">
        <w:rPr>
          <w:b/>
        </w:rPr>
        <w:t>de emitir los modelos de los centros de evaluación de control de confianza y de los Centros de Comando y Control, así como los criterios para su certificación.</w:t>
      </w:r>
    </w:p>
    <w:p w14:paraId="29F0F2D8" w14:textId="77777777" w:rsidR="00680215" w:rsidRPr="00814683" w:rsidRDefault="00680215" w:rsidP="004969B8">
      <w:pPr>
        <w:spacing w:after="0" w:line="360" w:lineRule="auto"/>
        <w:rPr>
          <w:b/>
        </w:rPr>
      </w:pPr>
    </w:p>
    <w:p w14:paraId="14B2BE26" w14:textId="33142BBB" w:rsidR="009C6CE6" w:rsidRPr="00814683" w:rsidRDefault="009C6CE6" w:rsidP="004969B8">
      <w:pPr>
        <w:spacing w:after="0" w:line="360" w:lineRule="auto"/>
      </w:pPr>
      <w:r w:rsidRPr="00814683">
        <w:t xml:space="preserve">Al respecto el artículo 60 de la </w:t>
      </w:r>
      <w:r w:rsidRPr="00814683">
        <w:rPr>
          <w:rFonts w:eastAsia="Times New Roman" w:cs="Tahoma"/>
          <w:bCs/>
          <w:iCs/>
          <w:color w:val="auto"/>
          <w:lang w:eastAsia="es-ES"/>
        </w:rPr>
        <w:t xml:space="preserve">Ley General del Sistema Nacional de Seguridad Pública establece que </w:t>
      </w:r>
      <w:r w:rsidRPr="00814683">
        <w:rPr>
          <w:rFonts w:eastAsia="Times New Roman" w:cs="Tahoma"/>
          <w:b/>
          <w:bCs/>
          <w:iCs/>
          <w:color w:val="auto"/>
          <w:lang w:eastAsia="es-ES"/>
        </w:rPr>
        <w:t>las</w:t>
      </w:r>
      <w:r w:rsidRPr="00814683">
        <w:rPr>
          <w:b/>
        </w:rPr>
        <w:t xml:space="preserve"> personas servidoras públicas</w:t>
      </w:r>
      <w:r w:rsidRPr="00814683">
        <w:t xml:space="preserve"> adscritas a la Secretaría, al Secretariado Ejecutivo y a las demás </w:t>
      </w:r>
      <w:r w:rsidRPr="00814683">
        <w:rPr>
          <w:b/>
        </w:rPr>
        <w:t>Instituciones de Seguridad Pública,</w:t>
      </w:r>
      <w:r w:rsidRPr="00814683">
        <w:t xml:space="preserve"> incluyendo sus titulares, en los tres órdenes de gobierno, serán consideradas personal de seguridad pública y de confianza, por lo que </w:t>
      </w:r>
      <w:r w:rsidRPr="00814683">
        <w:rPr>
          <w:b/>
          <w:u w:val="single"/>
        </w:rPr>
        <w:t>deberán sujetarse a evaluaciones de control de confianza</w:t>
      </w:r>
      <w:r w:rsidRPr="00814683">
        <w:t xml:space="preserve"> en los términos de esta Ley, las disposiciones que de ella deriven y las demás que les sean aplicables</w:t>
      </w:r>
      <w:r w:rsidR="006C662E" w:rsidRPr="00814683">
        <w:t>.</w:t>
      </w:r>
    </w:p>
    <w:p w14:paraId="27DE6287" w14:textId="77777777" w:rsidR="006C662E" w:rsidRPr="00814683" w:rsidRDefault="006C662E" w:rsidP="004969B8">
      <w:pPr>
        <w:spacing w:after="0" w:line="360" w:lineRule="auto"/>
      </w:pPr>
    </w:p>
    <w:p w14:paraId="1976945C" w14:textId="7BFB33BC" w:rsidR="006C662E" w:rsidRPr="00814683" w:rsidRDefault="006C662E" w:rsidP="004969B8">
      <w:pPr>
        <w:spacing w:after="0" w:line="360" w:lineRule="auto"/>
      </w:pPr>
      <w:r w:rsidRPr="00814683">
        <w:t xml:space="preserve">Por su parte, el artículo 90 de la Ley en comento establece que las </w:t>
      </w:r>
      <w:r w:rsidRPr="00814683">
        <w:rPr>
          <w:b/>
        </w:rPr>
        <w:t xml:space="preserve">evaluaciones de control de confianza </w:t>
      </w:r>
      <w:r w:rsidR="00203D3B" w:rsidRPr="00814683">
        <w:t>tienen por objeto:</w:t>
      </w:r>
    </w:p>
    <w:p w14:paraId="6EFCC092" w14:textId="77777777" w:rsidR="00203D3B" w:rsidRPr="00814683" w:rsidRDefault="00203D3B" w:rsidP="004969B8">
      <w:pPr>
        <w:spacing w:after="0" w:line="360" w:lineRule="auto"/>
      </w:pPr>
    </w:p>
    <w:p w14:paraId="4824D710" w14:textId="77777777" w:rsidR="00203D3B" w:rsidRPr="00814683" w:rsidRDefault="00203D3B" w:rsidP="004969B8">
      <w:pPr>
        <w:pStyle w:val="Prrafodelista"/>
        <w:numPr>
          <w:ilvl w:val="0"/>
          <w:numId w:val="20"/>
        </w:numPr>
        <w:spacing w:line="360" w:lineRule="auto"/>
      </w:pPr>
      <w:r w:rsidRPr="00814683">
        <w:t>Reconocer habilidades, destrezas y actitudes, para que las personas integrantes de las Instituciones de Seguridad Pública realicen sus funciones conforme a los perfiles aprobados para tal efecto, y</w:t>
      </w:r>
    </w:p>
    <w:p w14:paraId="74C85DCB" w14:textId="77777777" w:rsidR="00203D3B" w:rsidRPr="00814683" w:rsidRDefault="00203D3B" w:rsidP="004969B8">
      <w:pPr>
        <w:spacing w:after="0" w:line="360" w:lineRule="auto"/>
      </w:pPr>
    </w:p>
    <w:p w14:paraId="7174A0A4" w14:textId="45C32464" w:rsidR="00203D3B" w:rsidRPr="00814683" w:rsidRDefault="00203D3B" w:rsidP="004969B8">
      <w:pPr>
        <w:pStyle w:val="Prrafodelista"/>
        <w:numPr>
          <w:ilvl w:val="0"/>
          <w:numId w:val="20"/>
        </w:numPr>
        <w:spacing w:line="360" w:lineRule="auto"/>
        <w:ind w:left="714" w:hanging="357"/>
        <w:rPr>
          <w:rFonts w:cs="Tahoma"/>
          <w:bCs/>
          <w:iCs/>
          <w:color w:val="auto"/>
        </w:rPr>
      </w:pPr>
      <w:r w:rsidRPr="00814683">
        <w:t xml:space="preserve">Identificar los factores de riesgo que interfieran, repercutan o pongan en peligro el desempeño de las funciones policiales, ministeriales, periciales y penitenciarias con el fin de garantizar la calidad de los servicios, enfocándose, cuando menos, a los </w:t>
      </w:r>
      <w:r w:rsidRPr="00814683">
        <w:lastRenderedPageBreak/>
        <w:t>siguientes aspectos de las personas integrantes de las Instituciones de Seguridad Pública:</w:t>
      </w:r>
    </w:p>
    <w:p w14:paraId="0031F23F" w14:textId="77777777" w:rsidR="004969B8" w:rsidRPr="00814683" w:rsidRDefault="004969B8" w:rsidP="004969B8">
      <w:pPr>
        <w:pStyle w:val="Prrafodelista"/>
        <w:rPr>
          <w:rFonts w:cs="Tahoma"/>
          <w:bCs/>
          <w:iCs/>
          <w:color w:val="auto"/>
        </w:rPr>
      </w:pPr>
    </w:p>
    <w:p w14:paraId="4AC4D9EC" w14:textId="00512866" w:rsidR="00203D3B" w:rsidRPr="00814683" w:rsidRDefault="00203D3B" w:rsidP="004969B8">
      <w:pPr>
        <w:pStyle w:val="Prrafodelista"/>
        <w:numPr>
          <w:ilvl w:val="1"/>
          <w:numId w:val="23"/>
        </w:numPr>
        <w:spacing w:line="360" w:lineRule="auto"/>
        <w:rPr>
          <w:rFonts w:cs="Tahoma"/>
          <w:bCs/>
          <w:iCs/>
          <w:color w:val="auto"/>
        </w:rPr>
      </w:pPr>
      <w:r w:rsidRPr="00814683">
        <w:rPr>
          <w:rFonts w:cs="Tahoma"/>
          <w:bCs/>
          <w:iCs/>
          <w:color w:val="auto"/>
        </w:rPr>
        <w:t>Observancia de un desarrollo patrimonial justificado, en el que sus egresos guarden adecuada proporción con sus ingresos;</w:t>
      </w:r>
    </w:p>
    <w:p w14:paraId="140CEFA5" w14:textId="0418959F" w:rsidR="00203D3B" w:rsidRPr="00814683" w:rsidRDefault="00203D3B" w:rsidP="004969B8">
      <w:pPr>
        <w:pStyle w:val="Prrafodelista"/>
        <w:numPr>
          <w:ilvl w:val="1"/>
          <w:numId w:val="23"/>
        </w:numPr>
        <w:spacing w:line="360" w:lineRule="auto"/>
        <w:rPr>
          <w:rFonts w:cs="Tahoma"/>
          <w:bCs/>
          <w:iCs/>
          <w:color w:val="auto"/>
        </w:rPr>
      </w:pPr>
      <w:r w:rsidRPr="00814683">
        <w:rPr>
          <w:rFonts w:cs="Tahoma"/>
          <w:bCs/>
          <w:iCs/>
          <w:color w:val="auto"/>
        </w:rPr>
        <w:t>Ausencia de abuso de sustancias que alteren el estado físico y mental, como el alcohol, sustancias psicotrópicas, estupefacientes u otras que produzcan efectos similares;</w:t>
      </w:r>
    </w:p>
    <w:p w14:paraId="35BC486C" w14:textId="118A1DFC" w:rsidR="00203D3B" w:rsidRPr="00814683" w:rsidRDefault="00203D3B" w:rsidP="004969B8">
      <w:pPr>
        <w:pStyle w:val="Prrafodelista"/>
        <w:numPr>
          <w:ilvl w:val="1"/>
          <w:numId w:val="23"/>
        </w:numPr>
        <w:spacing w:line="360" w:lineRule="auto"/>
        <w:rPr>
          <w:rFonts w:cs="Tahoma"/>
          <w:bCs/>
          <w:iCs/>
          <w:color w:val="auto"/>
        </w:rPr>
      </w:pPr>
      <w:r w:rsidRPr="00814683">
        <w:rPr>
          <w:rFonts w:cs="Tahoma"/>
          <w:bCs/>
          <w:iCs/>
          <w:color w:val="auto"/>
        </w:rPr>
        <w:t>Ausencia de cualquier vínculo con organizaciones delictivas y sus integrantes;</w:t>
      </w:r>
    </w:p>
    <w:p w14:paraId="70A42A9A" w14:textId="77777777" w:rsidR="00203D3B" w:rsidRPr="00814683" w:rsidRDefault="00203D3B" w:rsidP="004969B8">
      <w:pPr>
        <w:pStyle w:val="Prrafodelista"/>
        <w:numPr>
          <w:ilvl w:val="1"/>
          <w:numId w:val="23"/>
        </w:numPr>
        <w:spacing w:line="360" w:lineRule="auto"/>
        <w:rPr>
          <w:rFonts w:cs="Tahoma"/>
          <w:bCs/>
          <w:iCs/>
          <w:color w:val="auto"/>
        </w:rPr>
      </w:pPr>
      <w:r w:rsidRPr="00814683">
        <w:rPr>
          <w:rFonts w:cs="Tahoma"/>
          <w:bCs/>
          <w:iCs/>
          <w:color w:val="auto"/>
        </w:rPr>
        <w:t>No haber sido condenada por sentencia irrevocable por delito doloso, ni estar sujeta a proceso penal y no estar suspendida o inhabilitada, ni haber sido destituida por resolución firme como persona servidora pública;</w:t>
      </w:r>
    </w:p>
    <w:p w14:paraId="5C03C662" w14:textId="77777777" w:rsidR="00203D3B" w:rsidRPr="00814683" w:rsidRDefault="00203D3B" w:rsidP="004969B8">
      <w:pPr>
        <w:pStyle w:val="Prrafodelista"/>
        <w:numPr>
          <w:ilvl w:val="1"/>
          <w:numId w:val="23"/>
        </w:numPr>
        <w:spacing w:line="360" w:lineRule="auto"/>
        <w:rPr>
          <w:rFonts w:cs="Tahoma"/>
          <w:bCs/>
          <w:iCs/>
          <w:color w:val="auto"/>
        </w:rPr>
      </w:pPr>
      <w:r w:rsidRPr="00814683">
        <w:rPr>
          <w:rFonts w:cs="Tahoma"/>
          <w:bCs/>
          <w:iCs/>
          <w:color w:val="auto"/>
        </w:rPr>
        <w:t>No favorecer, justificar o encubrir la comisión de violaciones graves a los derechos humanos, el ejercicio de violencia contra las mujeres, los niños, niñas y adolescentes, las personas adultas mayores y otros grupos vulnerables, así como el abuso o maltrato animal, y</w:t>
      </w:r>
    </w:p>
    <w:p w14:paraId="48459AFF" w14:textId="77777777" w:rsidR="00203D3B" w:rsidRPr="00814683" w:rsidRDefault="00203D3B" w:rsidP="004969B8">
      <w:pPr>
        <w:pStyle w:val="Prrafodelista"/>
        <w:numPr>
          <w:ilvl w:val="1"/>
          <w:numId w:val="23"/>
        </w:numPr>
        <w:spacing w:line="360" w:lineRule="auto"/>
        <w:rPr>
          <w:rFonts w:cs="Tahoma"/>
          <w:bCs/>
          <w:iCs/>
          <w:color w:val="auto"/>
        </w:rPr>
      </w:pPr>
      <w:r w:rsidRPr="00814683">
        <w:rPr>
          <w:rFonts w:cs="Tahoma"/>
          <w:bCs/>
          <w:iCs/>
          <w:color w:val="auto"/>
        </w:rPr>
        <w:t>Los demás que se establezcan en los criterios y lineamientos que para tal efecto emita el Secretariado Ejecutivo.</w:t>
      </w:r>
    </w:p>
    <w:p w14:paraId="45CC47E2" w14:textId="77777777" w:rsidR="00203D3B" w:rsidRPr="00814683" w:rsidRDefault="00203D3B" w:rsidP="004969B8">
      <w:pPr>
        <w:spacing w:after="0" w:line="360" w:lineRule="auto"/>
      </w:pPr>
    </w:p>
    <w:p w14:paraId="7AACF53B" w14:textId="31580360" w:rsidR="00203D3B" w:rsidRPr="00814683" w:rsidRDefault="00203D3B" w:rsidP="004969B8">
      <w:pPr>
        <w:spacing w:after="0" w:line="360" w:lineRule="auto"/>
      </w:pPr>
      <w:r w:rsidRPr="00814683">
        <w:rPr>
          <w:b/>
        </w:rPr>
        <w:t>Solo podrán incorporarse a las Instituciones de Seguridad Pública las personas que obtengan un resultado aprobatorio en las evaluaciones de control de confianza realizadas por los centros de control de confianza debidamente certificados o acreditados para ello</w:t>
      </w:r>
      <w:r w:rsidRPr="00814683">
        <w:t>.</w:t>
      </w:r>
    </w:p>
    <w:p w14:paraId="7A5D6EBF" w14:textId="77777777" w:rsidR="00B20E32" w:rsidRPr="00814683" w:rsidRDefault="00B20E32" w:rsidP="004969B8">
      <w:pPr>
        <w:spacing w:after="0" w:line="360" w:lineRule="auto"/>
        <w:rPr>
          <w:rFonts w:eastAsia="Times New Roman" w:cs="Tahoma"/>
          <w:bCs/>
          <w:iCs/>
          <w:color w:val="auto"/>
          <w:lang w:eastAsia="es-ES"/>
        </w:rPr>
      </w:pPr>
    </w:p>
    <w:p w14:paraId="623664CC" w14:textId="18EB55F5" w:rsidR="007B5C1C" w:rsidRPr="00814683" w:rsidRDefault="007B5C1C" w:rsidP="004969B8">
      <w:pPr>
        <w:spacing w:after="0" w:line="360" w:lineRule="auto"/>
        <w:rPr>
          <w:rFonts w:eastAsia="Times New Roman" w:cs="Tahoma"/>
          <w:b/>
          <w:bCs/>
          <w:iCs/>
          <w:color w:val="auto"/>
          <w:lang w:eastAsia="es-ES"/>
        </w:rPr>
      </w:pPr>
      <w:r w:rsidRPr="00814683">
        <w:rPr>
          <w:rFonts w:eastAsia="Times New Roman" w:cs="Tahoma"/>
          <w:bCs/>
          <w:iCs/>
          <w:color w:val="auto"/>
          <w:lang w:eastAsia="es-ES"/>
        </w:rPr>
        <w:t xml:space="preserve">De conformidad con el artículo 92 de la Ley en cita </w:t>
      </w:r>
      <w:r w:rsidRPr="00814683">
        <w:rPr>
          <w:rFonts w:eastAsia="Times New Roman" w:cs="Tahoma"/>
          <w:b/>
          <w:bCs/>
          <w:iCs/>
          <w:color w:val="auto"/>
          <w:lang w:eastAsia="es-ES"/>
        </w:rPr>
        <w:t xml:space="preserve">las evaluaciones de control de confianza perderán validez </w:t>
      </w:r>
      <w:r w:rsidRPr="00814683">
        <w:rPr>
          <w:rFonts w:eastAsia="Times New Roman" w:cs="Tahoma"/>
          <w:bCs/>
          <w:iCs/>
          <w:color w:val="auto"/>
          <w:lang w:eastAsia="es-ES"/>
        </w:rPr>
        <w:t>cuando las personas servidoras públicas</w:t>
      </w:r>
      <w:r w:rsidRPr="00814683">
        <w:rPr>
          <w:rFonts w:eastAsia="Times New Roman" w:cs="Tahoma"/>
          <w:b/>
          <w:bCs/>
          <w:iCs/>
          <w:color w:val="auto"/>
          <w:lang w:eastAsia="es-ES"/>
        </w:rPr>
        <w:t>:</w:t>
      </w:r>
    </w:p>
    <w:p w14:paraId="7D717189" w14:textId="77777777" w:rsidR="007B5C1C" w:rsidRPr="00814683" w:rsidRDefault="007B5C1C" w:rsidP="004969B8">
      <w:pPr>
        <w:spacing w:after="0" w:line="360" w:lineRule="auto"/>
        <w:rPr>
          <w:rFonts w:eastAsia="Times New Roman" w:cs="Tahoma"/>
          <w:b/>
          <w:bCs/>
          <w:iCs/>
          <w:color w:val="auto"/>
          <w:lang w:eastAsia="es-ES"/>
        </w:rPr>
      </w:pPr>
    </w:p>
    <w:p w14:paraId="3D0697AA" w14:textId="77777777" w:rsidR="007B5C1C" w:rsidRPr="00814683" w:rsidRDefault="007B5C1C" w:rsidP="004969B8">
      <w:pPr>
        <w:pStyle w:val="Prrafodelista"/>
        <w:numPr>
          <w:ilvl w:val="0"/>
          <w:numId w:val="24"/>
        </w:numPr>
        <w:spacing w:line="360" w:lineRule="auto"/>
      </w:pPr>
      <w:r w:rsidRPr="00814683">
        <w:lastRenderedPageBreak/>
        <w:t xml:space="preserve">Sean separadas de su encargo por incumplir con alguno de los requisitos de ingreso o permanencia a que se refiere esta Ley y demás disposiciones aplicables; </w:t>
      </w:r>
    </w:p>
    <w:p w14:paraId="7A1687CE" w14:textId="40F53C62" w:rsidR="007B5C1C" w:rsidRPr="00814683" w:rsidRDefault="007B5C1C" w:rsidP="004969B8">
      <w:pPr>
        <w:pStyle w:val="Prrafodelista"/>
        <w:numPr>
          <w:ilvl w:val="0"/>
          <w:numId w:val="24"/>
        </w:numPr>
        <w:spacing w:line="360" w:lineRule="auto"/>
      </w:pPr>
      <w:r w:rsidRPr="00814683">
        <w:t xml:space="preserve">Sean removidas de su encargo; </w:t>
      </w:r>
    </w:p>
    <w:p w14:paraId="43CEE4DC" w14:textId="7EEC1393" w:rsidR="007B5C1C" w:rsidRPr="00814683" w:rsidRDefault="007B5C1C" w:rsidP="004969B8">
      <w:pPr>
        <w:pStyle w:val="Prrafodelista"/>
        <w:numPr>
          <w:ilvl w:val="0"/>
          <w:numId w:val="24"/>
        </w:numPr>
        <w:spacing w:line="360" w:lineRule="auto"/>
      </w:pPr>
      <w:r w:rsidRPr="00814683">
        <w:t xml:space="preserve">No obtengan la revalidación de dicha evaluación; </w:t>
      </w:r>
    </w:p>
    <w:p w14:paraId="46B18B00" w14:textId="77777777" w:rsidR="007B5C1C" w:rsidRPr="00814683" w:rsidRDefault="007B5C1C" w:rsidP="004969B8">
      <w:pPr>
        <w:pStyle w:val="Prrafodelista"/>
        <w:numPr>
          <w:ilvl w:val="0"/>
          <w:numId w:val="24"/>
        </w:numPr>
        <w:spacing w:line="360" w:lineRule="auto"/>
      </w:pPr>
      <w:r w:rsidRPr="00814683">
        <w:t xml:space="preserve">Se actualice alguna de las hipótesis previstas en el artículo 79 de esta Ley, </w:t>
      </w:r>
    </w:p>
    <w:p w14:paraId="1EE55ADE" w14:textId="255BF5D3" w:rsidR="007B5C1C" w:rsidRPr="00814683" w:rsidRDefault="007B5C1C" w:rsidP="004969B8">
      <w:pPr>
        <w:pStyle w:val="Prrafodelista"/>
        <w:numPr>
          <w:ilvl w:val="0"/>
          <w:numId w:val="24"/>
        </w:numPr>
        <w:spacing w:line="360" w:lineRule="auto"/>
      </w:pPr>
      <w:r w:rsidRPr="00814683">
        <w:t>Las demás causas que establezcan las disposiciones aplicables.</w:t>
      </w:r>
    </w:p>
    <w:p w14:paraId="0DDD2877" w14:textId="77777777" w:rsidR="007B5C1C" w:rsidRPr="00814683" w:rsidRDefault="007B5C1C" w:rsidP="004969B8">
      <w:pPr>
        <w:spacing w:after="0" w:line="360" w:lineRule="auto"/>
      </w:pPr>
    </w:p>
    <w:p w14:paraId="174D5A3E" w14:textId="5FDBC9E4" w:rsidR="007B5C1C" w:rsidRPr="00814683" w:rsidRDefault="007B5C1C" w:rsidP="004969B8">
      <w:pPr>
        <w:spacing w:after="0" w:line="360" w:lineRule="auto"/>
        <w:rPr>
          <w:rFonts w:eastAsia="Times New Roman" w:cs="Tahoma"/>
          <w:b/>
          <w:bCs/>
          <w:iCs/>
          <w:color w:val="auto"/>
          <w:u w:val="single"/>
          <w:lang w:eastAsia="es-ES"/>
        </w:rPr>
      </w:pPr>
      <w:r w:rsidRPr="00814683">
        <w:t xml:space="preserve"> </w:t>
      </w:r>
      <w:r w:rsidRPr="00814683">
        <w:rPr>
          <w:u w:val="single"/>
        </w:rPr>
        <w:t>En cualquiera de los supuestos anteriores deberá actualizarse el registro nacional correspondiente.</w:t>
      </w:r>
    </w:p>
    <w:p w14:paraId="0D8BC5E2" w14:textId="77777777" w:rsidR="007B5C1C" w:rsidRPr="00814683" w:rsidRDefault="007B5C1C" w:rsidP="004969B8">
      <w:pPr>
        <w:spacing w:after="0" w:line="360" w:lineRule="auto"/>
        <w:rPr>
          <w:rFonts w:eastAsia="Times New Roman" w:cs="Tahoma"/>
          <w:b/>
          <w:bCs/>
          <w:iCs/>
          <w:color w:val="auto"/>
          <w:lang w:eastAsia="es-ES"/>
        </w:rPr>
      </w:pPr>
    </w:p>
    <w:p w14:paraId="30CFFA2A" w14:textId="11EF13D0" w:rsidR="007B5C1C" w:rsidRPr="00814683" w:rsidRDefault="007B5C1C" w:rsidP="004969B8">
      <w:pPr>
        <w:spacing w:after="0" w:line="360" w:lineRule="auto"/>
      </w:pPr>
      <w:r w:rsidRPr="00814683">
        <w:rPr>
          <w:rFonts w:eastAsia="Times New Roman" w:cs="Tahoma"/>
          <w:bCs/>
          <w:iCs/>
          <w:color w:val="auto"/>
          <w:lang w:eastAsia="es-ES"/>
        </w:rPr>
        <w:t xml:space="preserve">Por su parte, el artículo 93 de la Ley en comento señala que </w:t>
      </w:r>
      <w:r w:rsidRPr="00814683">
        <w:rPr>
          <w:rFonts w:eastAsia="Times New Roman" w:cs="Tahoma"/>
          <w:b/>
          <w:bCs/>
          <w:iCs/>
          <w:color w:val="auto"/>
          <w:lang w:eastAsia="es-ES"/>
        </w:rPr>
        <w:t xml:space="preserve">las </w:t>
      </w:r>
      <w:r w:rsidRPr="00814683">
        <w:rPr>
          <w:b/>
        </w:rPr>
        <w:t xml:space="preserve"> personas integrantes de las Instituciones de Seguridad Pública deberán someterse y aprobar los procesos de evaluación de control de confianza </w:t>
      </w:r>
      <w:r w:rsidRPr="00814683">
        <w:t>y del desempeño con la periodicidad y en los casos que establezca la normativa aplicable.</w:t>
      </w:r>
    </w:p>
    <w:p w14:paraId="5C41F2B6" w14:textId="77777777" w:rsidR="0056454B" w:rsidRPr="00814683" w:rsidRDefault="0056454B" w:rsidP="004969B8">
      <w:pPr>
        <w:spacing w:after="0" w:line="360" w:lineRule="auto"/>
      </w:pPr>
    </w:p>
    <w:p w14:paraId="180F6E3C" w14:textId="26381030" w:rsidR="00ED3DC6" w:rsidRPr="00814683" w:rsidRDefault="0056454B" w:rsidP="004969B8">
      <w:pPr>
        <w:spacing w:after="0" w:line="360" w:lineRule="auto"/>
      </w:pPr>
      <w:r w:rsidRPr="00814683">
        <w:t>Ahora bien</w:t>
      </w:r>
      <w:r w:rsidR="001B5DC9" w:rsidRPr="00814683">
        <w:t xml:space="preserve">, </w:t>
      </w:r>
      <w:r w:rsidRPr="00814683">
        <w:t xml:space="preserve"> el artículo 94 de la Ley </w:t>
      </w:r>
      <w:r w:rsidRPr="00814683">
        <w:rPr>
          <w:rFonts w:eastAsia="Times New Roman" w:cs="Tahoma"/>
          <w:bCs/>
          <w:iCs/>
          <w:color w:val="auto"/>
          <w:lang w:eastAsia="es-ES"/>
        </w:rPr>
        <w:t xml:space="preserve">General del Sistema Nacional de Seguridad Pública establece los perfiles y requisitos para formar parte de las Instituciones Policiales dentro de los cuales se contempla que toda </w:t>
      </w:r>
      <w:r w:rsidRPr="00814683">
        <w:t xml:space="preserve"> </w:t>
      </w:r>
      <w:r w:rsidRPr="00814683">
        <w:rPr>
          <w:b/>
        </w:rPr>
        <w:t>persona aspirante deberá contar con la evaluación de control de confianza aprobada y vigente</w:t>
      </w:r>
      <w:r w:rsidRPr="00814683">
        <w:t xml:space="preserve"> que expedida por el centro correspondiente.</w:t>
      </w:r>
    </w:p>
    <w:p w14:paraId="13F0469B" w14:textId="77777777" w:rsidR="006E7180" w:rsidRPr="00814683" w:rsidRDefault="006E7180" w:rsidP="004969B8">
      <w:pPr>
        <w:spacing w:after="0" w:line="360" w:lineRule="auto"/>
      </w:pPr>
    </w:p>
    <w:p w14:paraId="6ED99970" w14:textId="77777777" w:rsidR="001B5DC9" w:rsidRPr="00814683" w:rsidRDefault="001B5DC9" w:rsidP="004969B8">
      <w:pPr>
        <w:spacing w:after="0" w:line="360" w:lineRule="auto"/>
        <w:rPr>
          <w:rFonts w:eastAsia="Calibri" w:cs="Tahoma"/>
          <w:color w:val="auto"/>
          <w:szCs w:val="20"/>
          <w:lang w:eastAsia="es-ES"/>
        </w:rPr>
      </w:pPr>
      <w:r w:rsidRPr="00814683">
        <w:rPr>
          <w:rFonts w:eastAsia="Calibri" w:cs="Tahoma"/>
          <w:color w:val="auto"/>
          <w:szCs w:val="20"/>
          <w:lang w:eastAsia="es-ES"/>
        </w:rPr>
        <w:t xml:space="preserve">Conforme a lo anterior, los artículos 222 y 223 del Manual General de Organización del Centro de Control de Confianza del Estado de México, establecen que el Centro de Control de Confianza del Estado de México es un organismo público descentralizado, el cual tiene por objeto realizar las evaluaciones permanentes, de control de confianza, poligrafía, entorno social y psicológico, así como exámenes toxicológicos a los aspirantes y a los integrantes de </w:t>
      </w:r>
      <w:r w:rsidRPr="00814683">
        <w:rPr>
          <w:rFonts w:eastAsia="Calibri" w:cs="Tahoma"/>
          <w:color w:val="auto"/>
          <w:szCs w:val="20"/>
          <w:lang w:eastAsia="es-ES"/>
        </w:rPr>
        <w:lastRenderedPageBreak/>
        <w:t>las Instituciones de Seguridad Pública y privada, estatal y municipal a fin de emitir, en su caso, la certificación correspondiente.</w:t>
      </w:r>
    </w:p>
    <w:p w14:paraId="361FE9EB" w14:textId="77777777" w:rsidR="001B5DC9" w:rsidRPr="00814683" w:rsidRDefault="001B5DC9" w:rsidP="004969B8">
      <w:pPr>
        <w:spacing w:after="0" w:line="360" w:lineRule="auto"/>
        <w:rPr>
          <w:rFonts w:eastAsia="Calibri" w:cs="Tahoma"/>
          <w:color w:val="auto"/>
          <w:szCs w:val="20"/>
          <w:lang w:eastAsia="es-ES"/>
        </w:rPr>
      </w:pPr>
    </w:p>
    <w:p w14:paraId="015DB23E" w14:textId="7BEB5550" w:rsidR="001B5DC9" w:rsidRPr="00814683" w:rsidRDefault="001B5DC9" w:rsidP="004969B8">
      <w:pPr>
        <w:spacing w:after="0" w:line="360" w:lineRule="auto"/>
        <w:rPr>
          <w:rFonts w:eastAsia="Calibri" w:cs="Tahoma"/>
          <w:color w:val="auto"/>
          <w:szCs w:val="20"/>
          <w:lang w:eastAsia="es-ES"/>
        </w:rPr>
      </w:pPr>
      <w:r w:rsidRPr="00814683">
        <w:rPr>
          <w:rFonts w:eastAsia="Calibri" w:cs="Tahoma"/>
          <w:color w:val="auto"/>
          <w:szCs w:val="20"/>
          <w:lang w:eastAsia="es-ES"/>
        </w:rPr>
        <w:t xml:space="preserve">En ese mismo orden de ideas, conforme a lo establecido en la página del Centro de Control de Confianza del Estado de México </w:t>
      </w:r>
      <w:hyperlink r:id="rId14" w:history="1">
        <w:r w:rsidRPr="00814683">
          <w:rPr>
            <w:rStyle w:val="Hipervnculo"/>
            <w:rFonts w:eastAsia="Calibri" w:cs="Tahoma"/>
            <w:szCs w:val="20"/>
            <w:lang w:eastAsia="es-ES"/>
          </w:rPr>
          <w:t>https://ccc.edomex.gob.mx/para_que%20sirven_evaluaciones_cc</w:t>
        </w:r>
      </w:hyperlink>
      <w:r w:rsidRPr="00814683">
        <w:rPr>
          <w:rFonts w:eastAsia="Calibri" w:cs="Tahoma"/>
          <w:color w:val="auto"/>
          <w:szCs w:val="20"/>
          <w:lang w:eastAsia="es-ES"/>
        </w:rPr>
        <w:t xml:space="preserve">  las evaluaciones de control y confianza sirven para  fortalecer la </w:t>
      </w:r>
      <w:r w:rsidRPr="00814683">
        <w:rPr>
          <w:rFonts w:eastAsia="Calibri" w:cs="Tahoma"/>
          <w:b/>
          <w:bCs/>
          <w:color w:val="auto"/>
          <w:szCs w:val="20"/>
          <w:lang w:eastAsia="es-ES"/>
        </w:rPr>
        <w:t>credibilidad, eficacia y operatividad</w:t>
      </w:r>
      <w:r w:rsidRPr="00814683">
        <w:rPr>
          <w:rFonts w:eastAsia="Calibri" w:cs="Tahoma"/>
          <w:color w:val="auto"/>
          <w:szCs w:val="20"/>
          <w:lang w:eastAsia="es-ES"/>
        </w:rPr>
        <w:t> en las instituciones de seguridad, de conformidad con la normatividad, procedimientos, objetivos y funciones aplicables en cada institución, así como la obligatoriedad de </w:t>
      </w:r>
      <w:r w:rsidRPr="00814683">
        <w:rPr>
          <w:rFonts w:eastAsia="Calibri" w:cs="Tahoma"/>
          <w:b/>
          <w:bCs/>
          <w:color w:val="auto"/>
          <w:szCs w:val="20"/>
          <w:lang w:eastAsia="es-ES"/>
        </w:rPr>
        <w:t>mantener niveles homogéneos de profesionalización</w:t>
      </w:r>
      <w:r w:rsidRPr="00814683">
        <w:rPr>
          <w:rFonts w:eastAsia="Calibri" w:cs="Tahoma"/>
          <w:color w:val="auto"/>
          <w:szCs w:val="20"/>
          <w:lang w:eastAsia="es-ES"/>
        </w:rPr>
        <w:t> en el desempeño de sus funciones.</w:t>
      </w:r>
    </w:p>
    <w:p w14:paraId="0BD28BA2" w14:textId="77777777" w:rsidR="00801045" w:rsidRPr="00814683" w:rsidRDefault="00801045" w:rsidP="004969B8">
      <w:pPr>
        <w:spacing w:after="0" w:line="360" w:lineRule="auto"/>
        <w:rPr>
          <w:rFonts w:eastAsia="Calibri" w:cs="Tahoma"/>
          <w:color w:val="auto"/>
          <w:szCs w:val="20"/>
          <w:lang w:eastAsia="es-ES"/>
        </w:rPr>
      </w:pPr>
    </w:p>
    <w:p w14:paraId="5FB8D0FE" w14:textId="4DBF62BC" w:rsidR="00801045" w:rsidRPr="00814683" w:rsidRDefault="00801045" w:rsidP="004969B8">
      <w:pPr>
        <w:spacing w:after="0" w:line="360" w:lineRule="auto"/>
        <w:rPr>
          <w:rFonts w:eastAsia="Calibri" w:cs="Tahoma"/>
          <w:color w:val="auto"/>
          <w:szCs w:val="20"/>
          <w:lang w:eastAsia="es-ES"/>
        </w:rPr>
      </w:pPr>
      <w:r w:rsidRPr="00814683">
        <w:rPr>
          <w:rFonts w:eastAsia="Calibri" w:cs="Tahoma"/>
          <w:color w:val="auto"/>
          <w:szCs w:val="20"/>
          <w:lang w:eastAsia="es-ES"/>
        </w:rPr>
        <w:t>Así mismo, permite contar con instituciones de seguridad pública y/o privada que destaquen por servidores públicos competentes, confiables, alejados de la corrupción, con una visión de servicio y cuyo perfil corresponda a los requerimientos del puesto y valores institucionales.</w:t>
      </w:r>
    </w:p>
    <w:p w14:paraId="07AD9A8B" w14:textId="77777777" w:rsidR="00801045" w:rsidRPr="00814683" w:rsidRDefault="00801045" w:rsidP="004969B8">
      <w:pPr>
        <w:spacing w:after="0" w:line="360" w:lineRule="auto"/>
        <w:rPr>
          <w:rFonts w:eastAsia="Calibri" w:cs="Tahoma"/>
          <w:color w:val="auto"/>
          <w:szCs w:val="20"/>
          <w:lang w:eastAsia="es-ES"/>
        </w:rPr>
      </w:pPr>
    </w:p>
    <w:p w14:paraId="423BA6CE" w14:textId="406E458D" w:rsidR="004A2660" w:rsidRPr="00814683" w:rsidRDefault="004A2660" w:rsidP="004969B8">
      <w:pPr>
        <w:spacing w:after="0" w:line="360" w:lineRule="auto"/>
        <w:rPr>
          <w:rFonts w:eastAsia="Calibri" w:cs="Tahoma"/>
          <w:color w:val="auto"/>
          <w:szCs w:val="20"/>
          <w:lang w:eastAsia="es-ES"/>
        </w:rPr>
      </w:pPr>
      <w:r w:rsidRPr="00814683">
        <w:rPr>
          <w:rFonts w:eastAsia="Calibri" w:cs="Tahoma"/>
          <w:color w:val="auto"/>
          <w:szCs w:val="20"/>
          <w:lang w:eastAsia="es-ES"/>
        </w:rPr>
        <w:t xml:space="preserve">La evaluación de control y confianza se compone de 7 etapas las cuales se realizaran en 3 días de conformidad con lo establecido en la página oficial del Centro de Control de Confianza del Estado de México </w:t>
      </w:r>
      <w:hyperlink r:id="rId15" w:history="1">
        <w:r w:rsidRPr="00814683">
          <w:rPr>
            <w:rStyle w:val="Hipervnculo"/>
            <w:rFonts w:eastAsia="Calibri" w:cs="Tahoma"/>
            <w:szCs w:val="20"/>
            <w:lang w:eastAsia="es-ES"/>
          </w:rPr>
          <w:t>https://ccc.edomex.gob.mx/proceso_evaluacion</w:t>
        </w:r>
      </w:hyperlink>
      <w:r w:rsidRPr="00814683">
        <w:rPr>
          <w:rFonts w:eastAsia="Calibri" w:cs="Tahoma"/>
          <w:color w:val="auto"/>
          <w:szCs w:val="20"/>
          <w:lang w:eastAsia="es-ES"/>
        </w:rPr>
        <w:t>, tal como se muestra a continuación:</w:t>
      </w:r>
    </w:p>
    <w:p w14:paraId="616F0817" w14:textId="368D9AA6" w:rsidR="004A2660" w:rsidRPr="00814683" w:rsidRDefault="00BD685D" w:rsidP="004969B8">
      <w:pPr>
        <w:spacing w:after="0" w:line="360" w:lineRule="auto"/>
        <w:rPr>
          <w:rFonts w:eastAsia="Calibri" w:cs="Tahoma"/>
          <w:color w:val="auto"/>
          <w:szCs w:val="20"/>
          <w:lang w:eastAsia="es-ES"/>
        </w:rPr>
      </w:pPr>
      <w:r w:rsidRPr="00814683">
        <w:rPr>
          <w:rFonts w:eastAsia="Calibri" w:cs="Tahoma"/>
          <w:noProof/>
          <w:color w:val="auto"/>
          <w:szCs w:val="20"/>
        </w:rPr>
        <w:drawing>
          <wp:inline distT="0" distB="0" distL="0" distR="0" wp14:anchorId="7172B5E2" wp14:editId="092B3ED0">
            <wp:extent cx="5430741" cy="2152015"/>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58063" cy="2202468"/>
                    </a:xfrm>
                    <a:prstGeom prst="rect">
                      <a:avLst/>
                    </a:prstGeom>
                  </pic:spPr>
                </pic:pic>
              </a:graphicData>
            </a:graphic>
          </wp:inline>
        </w:drawing>
      </w:r>
    </w:p>
    <w:p w14:paraId="6554C531" w14:textId="3CE117A0" w:rsidR="00ED3DC6" w:rsidRPr="00814683" w:rsidRDefault="00010AA0" w:rsidP="004969B8">
      <w:pPr>
        <w:spacing w:after="0" w:line="360" w:lineRule="auto"/>
      </w:pPr>
      <w:r w:rsidRPr="00814683">
        <w:lastRenderedPageBreak/>
        <w:t xml:space="preserve">Además, de conformidad con lo establecido en el artículo 11 del Reglamento Interior del Centro de Control de Confianza del Estado de México las personas de las Instituciones de Seguridad para el </w:t>
      </w:r>
      <w:r w:rsidRPr="00814683">
        <w:rPr>
          <w:b/>
        </w:rPr>
        <w:t>ingreso, reingreso, promoción y permanencia</w:t>
      </w:r>
      <w:r w:rsidRPr="00814683">
        <w:t xml:space="preserve">  deben acreditar las evaluaciones de control y confianza. </w:t>
      </w:r>
    </w:p>
    <w:p w14:paraId="64614C57" w14:textId="77777777" w:rsidR="002A4D1F" w:rsidRPr="00814683" w:rsidRDefault="002A4D1F" w:rsidP="004969B8">
      <w:pPr>
        <w:spacing w:after="0" w:line="360" w:lineRule="auto"/>
      </w:pPr>
    </w:p>
    <w:p w14:paraId="1EBC3AF0" w14:textId="06154D26" w:rsidR="00730C49" w:rsidRPr="00814683" w:rsidRDefault="002A4D1F" w:rsidP="004969B8">
      <w:pPr>
        <w:spacing w:after="0" w:line="360" w:lineRule="auto"/>
        <w:rPr>
          <w:b/>
        </w:rPr>
      </w:pPr>
      <w:r w:rsidRPr="00814683">
        <w:t xml:space="preserve">Por su parte el </w:t>
      </w:r>
      <w:r w:rsidR="00A0226C" w:rsidRPr="00814683">
        <w:t xml:space="preserve">Manual General de Organización del </w:t>
      </w:r>
      <w:r w:rsidR="00730C49" w:rsidRPr="00814683">
        <w:t>Centro de Control y Confianza del Estado de México, establece que la Unidad de Evaluación es el área encarga de emitir los resultados finales derivados de los procesos de las evaluaciones de control de confianza a los elementos de seguridad pública y de nuevo ingreso.</w:t>
      </w:r>
      <w:r w:rsidR="004969B8" w:rsidRPr="00814683">
        <w:t>m</w:t>
      </w:r>
      <w:r w:rsidR="00730C49" w:rsidRPr="00814683">
        <w:t xml:space="preserve">Unidad, que dentro de sus funcionas se encarga entre otras cosas de integrar el </w:t>
      </w:r>
      <w:r w:rsidR="00730C49" w:rsidRPr="00814683">
        <w:rPr>
          <w:b/>
        </w:rPr>
        <w:t xml:space="preserve">resultado único e integral de la evaluación de control y confianza. </w:t>
      </w:r>
    </w:p>
    <w:p w14:paraId="21030E90" w14:textId="77777777" w:rsidR="004969B8" w:rsidRPr="00814683" w:rsidRDefault="004969B8" w:rsidP="004969B8">
      <w:pPr>
        <w:spacing w:after="0" w:line="360" w:lineRule="auto"/>
        <w:rPr>
          <w:b/>
        </w:rPr>
      </w:pPr>
    </w:p>
    <w:p w14:paraId="04319F93" w14:textId="7D7B43F2" w:rsidR="00561B84" w:rsidRPr="00814683" w:rsidRDefault="00B16FA4" w:rsidP="004969B8">
      <w:pPr>
        <w:spacing w:after="0" w:line="360" w:lineRule="auto"/>
        <w:rPr>
          <w:color w:val="auto"/>
        </w:rPr>
      </w:pPr>
      <w:r w:rsidRPr="00814683">
        <w:rPr>
          <w:rFonts w:eastAsia="Times New Roman" w:cs="Tahoma"/>
          <w:bCs/>
          <w:iCs/>
          <w:color w:val="auto"/>
          <w:lang w:val="es-ES" w:eastAsia="es-ES"/>
        </w:rPr>
        <w:t>Conforme a lo anterior, se logra vislumbrar que la pretensión de la persona Recurrente es obtener,</w:t>
      </w:r>
      <w:r w:rsidRPr="00814683">
        <w:rPr>
          <w:color w:val="auto"/>
        </w:rPr>
        <w:t xml:space="preserve"> </w:t>
      </w:r>
      <w:r w:rsidR="00561B84" w:rsidRPr="00814683">
        <w:rPr>
          <w:color w:val="auto"/>
        </w:rPr>
        <w:t>del</w:t>
      </w:r>
      <w:r w:rsidR="00CA4A37" w:rsidRPr="00814683">
        <w:rPr>
          <w:color w:val="auto"/>
        </w:rPr>
        <w:t xml:space="preserve"> Director de Seguridad Pública y Tránsito Municipal</w:t>
      </w:r>
      <w:r w:rsidR="00561B84" w:rsidRPr="00814683">
        <w:rPr>
          <w:color w:val="auto"/>
        </w:rPr>
        <w:t>,</w:t>
      </w:r>
      <w:r w:rsidR="004969B8" w:rsidRPr="00814683">
        <w:rPr>
          <w:color w:val="auto"/>
        </w:rPr>
        <w:t xml:space="preserve"> </w:t>
      </w:r>
      <w:r w:rsidR="00561B84" w:rsidRPr="00814683">
        <w:rPr>
          <w:color w:val="auto"/>
        </w:rPr>
        <w:t>lo siguiente:</w:t>
      </w:r>
    </w:p>
    <w:p w14:paraId="7EC37D5A" w14:textId="77777777" w:rsidR="00561B84" w:rsidRPr="00814683" w:rsidRDefault="00561B84" w:rsidP="004969B8">
      <w:pPr>
        <w:spacing w:after="0" w:line="360" w:lineRule="auto"/>
        <w:rPr>
          <w:color w:val="auto"/>
        </w:rPr>
      </w:pPr>
    </w:p>
    <w:p w14:paraId="2CACD351" w14:textId="77777777" w:rsidR="00561B84" w:rsidRPr="00814683" w:rsidRDefault="00561B84" w:rsidP="004969B8">
      <w:pPr>
        <w:numPr>
          <w:ilvl w:val="0"/>
          <w:numId w:val="25"/>
        </w:numPr>
        <w:spacing w:after="0" w:line="360" w:lineRule="auto"/>
        <w:rPr>
          <w:color w:val="auto"/>
        </w:rPr>
      </w:pPr>
      <w:r w:rsidRPr="00814683">
        <w:rPr>
          <w:color w:val="auto"/>
        </w:rPr>
        <w:t>Recibo de nómina correspondiente a la primera quincena de agosto dos mil veinticinco</w:t>
      </w:r>
    </w:p>
    <w:p w14:paraId="7D339A5F" w14:textId="1934D814" w:rsidR="00561B84" w:rsidRPr="00814683" w:rsidRDefault="00777E05" w:rsidP="004969B8">
      <w:pPr>
        <w:numPr>
          <w:ilvl w:val="0"/>
          <w:numId w:val="25"/>
        </w:numPr>
        <w:spacing w:after="0" w:line="360" w:lineRule="auto"/>
        <w:rPr>
          <w:color w:val="auto"/>
        </w:rPr>
      </w:pPr>
      <w:r w:rsidRPr="00814683">
        <w:rPr>
          <w:color w:val="auto"/>
        </w:rPr>
        <w:t xml:space="preserve">La licencia para la portación de arma </w:t>
      </w:r>
      <w:r w:rsidR="00561B84" w:rsidRPr="00814683">
        <w:rPr>
          <w:color w:val="auto"/>
        </w:rPr>
        <w:t>de fuego, vigente al dos de septiembre de dos mil veinticinco.</w:t>
      </w:r>
    </w:p>
    <w:p w14:paraId="53D6BCA7" w14:textId="1441035A" w:rsidR="00561B84" w:rsidRPr="00814683" w:rsidRDefault="00561B84" w:rsidP="004969B8">
      <w:pPr>
        <w:numPr>
          <w:ilvl w:val="0"/>
          <w:numId w:val="25"/>
        </w:numPr>
        <w:spacing w:after="0" w:line="360" w:lineRule="auto"/>
        <w:rPr>
          <w:color w:val="auto"/>
        </w:rPr>
      </w:pPr>
      <w:r w:rsidRPr="00814683">
        <w:rPr>
          <w:color w:val="auto"/>
        </w:rPr>
        <w:t>Resultado global</w:t>
      </w:r>
      <w:r w:rsidRPr="00814683">
        <w:t xml:space="preserve"> de la evaluación de control y confianza</w:t>
      </w:r>
      <w:r w:rsidRPr="00814683">
        <w:rPr>
          <w:color w:val="auto"/>
        </w:rPr>
        <w:t>, vigente al dos de septiembre de dos mil veinticinco.</w:t>
      </w:r>
    </w:p>
    <w:p w14:paraId="7172E572" w14:textId="77777777" w:rsidR="00B16FA4" w:rsidRPr="00814683" w:rsidRDefault="00B16FA4" w:rsidP="004969B8">
      <w:pPr>
        <w:spacing w:after="0" w:line="360" w:lineRule="auto"/>
        <w:rPr>
          <w:color w:val="FF0000"/>
          <w:lang w:eastAsia="es-ES_tradnl"/>
        </w:rPr>
      </w:pPr>
    </w:p>
    <w:p w14:paraId="5FD9336F" w14:textId="1E89F375" w:rsidR="00B16FA4" w:rsidRPr="00814683" w:rsidRDefault="00B16FA4" w:rsidP="004969B8">
      <w:pPr>
        <w:spacing w:after="0" w:line="360" w:lineRule="auto"/>
        <w:rPr>
          <w:color w:val="FF0000"/>
        </w:rPr>
      </w:pPr>
      <w:r w:rsidRPr="00814683">
        <w:rPr>
          <w:color w:val="auto"/>
          <w:lang w:eastAsia="es-ES_tradnl"/>
        </w:rPr>
        <w:t>Establecida dicha circunstancia</w:t>
      </w:r>
      <w:r w:rsidRPr="00814683">
        <w:rPr>
          <w:color w:val="auto"/>
        </w:rPr>
        <w:t>, de las constancias que obran en el expediente electrónico, se advierte que el Sujeto Obligado turnó la solicitud de información a la</w:t>
      </w:r>
      <w:r w:rsidR="005F6841" w:rsidRPr="00814683">
        <w:rPr>
          <w:color w:val="auto"/>
        </w:rPr>
        <w:t xml:space="preserve"> </w:t>
      </w:r>
      <w:r w:rsidR="005F6841" w:rsidRPr="00814683">
        <w:rPr>
          <w:b/>
          <w:color w:val="auto"/>
        </w:rPr>
        <w:t xml:space="preserve">Tesorería Municipal </w:t>
      </w:r>
      <w:r w:rsidR="005F6841" w:rsidRPr="00814683">
        <w:rPr>
          <w:color w:val="auto"/>
        </w:rPr>
        <w:t xml:space="preserve">y al </w:t>
      </w:r>
      <w:r w:rsidR="005F6841" w:rsidRPr="00814683">
        <w:rPr>
          <w:b/>
          <w:color w:val="auto"/>
        </w:rPr>
        <w:t>Encargado de Despacho de la Secretaría Técnica del Consejo Municipal de Seguridad Pública</w:t>
      </w:r>
      <w:r w:rsidRPr="00814683">
        <w:rPr>
          <w:color w:val="auto"/>
        </w:rPr>
        <w:t xml:space="preserve">; por lo que, es oportuno hacer referencia al </w:t>
      </w:r>
      <w:r w:rsidRPr="00814683">
        <w:rPr>
          <w:b/>
          <w:color w:val="auto"/>
        </w:rPr>
        <w:t xml:space="preserve">procedimiento de búsqueda que deben </w:t>
      </w:r>
      <w:r w:rsidRPr="00814683">
        <w:rPr>
          <w:b/>
          <w:color w:val="auto"/>
        </w:rPr>
        <w:lastRenderedPageBreak/>
        <w:t>de seguir los Sujetos Obligados para localizar la información</w:t>
      </w:r>
      <w:r w:rsidRPr="00814683">
        <w:rPr>
          <w:color w:val="auto"/>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A970E41" w14:textId="77777777" w:rsidR="00B16FA4" w:rsidRPr="00814683" w:rsidRDefault="00B16FA4" w:rsidP="004969B8">
      <w:pPr>
        <w:spacing w:after="0" w:line="360" w:lineRule="auto"/>
        <w:rPr>
          <w:color w:val="FF0000"/>
        </w:rPr>
      </w:pPr>
    </w:p>
    <w:p w14:paraId="2D4D86F4" w14:textId="50C72401" w:rsidR="005F6841" w:rsidRPr="00814683" w:rsidRDefault="005F6841" w:rsidP="004969B8">
      <w:pPr>
        <w:spacing w:after="0" w:line="360" w:lineRule="auto"/>
      </w:pPr>
      <w:r w:rsidRPr="00814683">
        <w:rPr>
          <w:color w:val="auto"/>
        </w:rPr>
        <w:t>Así a efecto de verificar que el Sujeto Obligado cumplió con el procedimiento de búsqueda de la información solicitada, es necesario traer a colación el Manual General de Organización de</w:t>
      </w:r>
      <w:r w:rsidR="00E03615" w:rsidRPr="00814683">
        <w:rPr>
          <w:color w:val="auto"/>
        </w:rPr>
        <w:t xml:space="preserve"> la Administración Municipal de Tianguistenco, 2025-2027, en el cual se establece que la Tesorería Municipal es el área encargada de coordinar los </w:t>
      </w:r>
      <w:r w:rsidR="00E03615" w:rsidRPr="00814683">
        <w:t>recursos financieros humanos, materiales y servicios generales necesarios para la ejecución de los planes y programas de las unidades administrativas, que integran el Ayuntamiento de Tianguistenco, manejándolos con criterios de racionalidad y disciplina presupuestal, a efecto de optimizar su utilización y aprovechamiento.</w:t>
      </w:r>
    </w:p>
    <w:p w14:paraId="02BD27B0" w14:textId="77777777" w:rsidR="00E03615" w:rsidRPr="00814683" w:rsidRDefault="00E03615" w:rsidP="004969B8">
      <w:pPr>
        <w:spacing w:after="0" w:line="360" w:lineRule="auto"/>
      </w:pPr>
    </w:p>
    <w:p w14:paraId="2DA83EF0" w14:textId="668B5487" w:rsidR="00E03615" w:rsidRPr="00814683" w:rsidRDefault="00E03615" w:rsidP="004969B8">
      <w:pPr>
        <w:spacing w:after="0" w:line="360" w:lineRule="auto"/>
        <w:rPr>
          <w:b/>
          <w:color w:val="auto"/>
        </w:rPr>
      </w:pPr>
      <w:r w:rsidRPr="00814683">
        <w:t xml:space="preserve">La cual cuenta con una Coordinación de nómina misma que se encarga de calcular las percepciones, deducciones, cuotas, impuestos y retenciones en el sistema de nómina y emitir los reportes necesarios, </w:t>
      </w:r>
      <w:r w:rsidRPr="00814683">
        <w:rPr>
          <w:b/>
        </w:rPr>
        <w:t>procesar la nómina de pagos</w:t>
      </w:r>
      <w:r w:rsidRPr="00814683">
        <w:t xml:space="preserve"> y generar el archivo correspondiente para interface con bancos, </w:t>
      </w:r>
      <w:r w:rsidRPr="00814683">
        <w:rPr>
          <w:b/>
        </w:rPr>
        <w:t>realizar recibos y recabar firmas de los empleados, resguardando la documentación comprobatoria del pago de remuneraciones, así como de supervisar la generación y entrega de los recibos de nómina.</w:t>
      </w:r>
    </w:p>
    <w:p w14:paraId="123F0201" w14:textId="77777777" w:rsidR="005F6841" w:rsidRPr="00814683" w:rsidRDefault="005F6841" w:rsidP="004969B8">
      <w:pPr>
        <w:spacing w:after="0" w:line="360" w:lineRule="auto"/>
        <w:rPr>
          <w:color w:val="FF0000"/>
        </w:rPr>
      </w:pPr>
    </w:p>
    <w:p w14:paraId="5DED3A2F" w14:textId="497011C0" w:rsidR="0039189C" w:rsidRPr="00814683" w:rsidRDefault="0039189C" w:rsidP="004969B8">
      <w:pPr>
        <w:spacing w:after="0" w:line="360" w:lineRule="auto"/>
      </w:pPr>
      <w:r w:rsidRPr="00814683">
        <w:rPr>
          <w:color w:val="auto"/>
        </w:rPr>
        <w:t xml:space="preserve">Por otra parte, el Manual en comento establece que la Dirección de Seguridad Pública y Tránsito tiene como objetivo </w:t>
      </w:r>
      <w:r w:rsidRPr="00814683">
        <w:rPr>
          <w:b/>
          <w:color w:val="auto"/>
        </w:rPr>
        <w:t>f</w:t>
      </w:r>
      <w:r w:rsidRPr="00814683">
        <w:rPr>
          <w:b/>
        </w:rPr>
        <w:t xml:space="preserve">ortalecer el servicio policial </w:t>
      </w:r>
      <w:r w:rsidRPr="00814683">
        <w:t xml:space="preserve">a través del talento humano, </w:t>
      </w:r>
      <w:r w:rsidRPr="00814683">
        <w:lastRenderedPageBreak/>
        <w:t xml:space="preserve">mediante la delimitación territorial, la asignación de responsabilidades, y la distribución de los recursos, con el fin de contrarrestar causas y factores generadores de delitos y desviaciones sociales, contribuyendo al mantenimiento de la seguridad y convivencia ciudadana. Así como brindar apoyo, asesoría legal y de seguimiento a los requerimientos y mandatos realizados por autoridades judiciales y administrativas. </w:t>
      </w:r>
    </w:p>
    <w:p w14:paraId="3722E6BE" w14:textId="77777777" w:rsidR="0039189C" w:rsidRPr="00814683" w:rsidRDefault="0039189C" w:rsidP="004969B8">
      <w:pPr>
        <w:spacing w:after="0" w:line="360" w:lineRule="auto"/>
      </w:pPr>
    </w:p>
    <w:p w14:paraId="6B65DC19" w14:textId="088FCC58" w:rsidR="0039189C" w:rsidRPr="00814683" w:rsidRDefault="0039189C" w:rsidP="004969B8">
      <w:pPr>
        <w:spacing w:after="0" w:line="360" w:lineRule="auto"/>
      </w:pPr>
      <w:r w:rsidRPr="00814683">
        <w:t xml:space="preserve">Así como, </w:t>
      </w:r>
      <w:r w:rsidRPr="00814683">
        <w:rPr>
          <w:b/>
        </w:rPr>
        <w:t>facilitar la capacitación y actualización al personal</w:t>
      </w:r>
      <w:r w:rsidRPr="00814683">
        <w:t xml:space="preserve"> con la finalidad de enriquecer el servicio profesional de carrera, a través de cursos, talleres o diplomados, que imparta la federación, el Gobierno del Estado, el Municipio y/o docentes particulares, con el propósito de salvaguardar la vida, la integridad, los derechos y bienes de las personas, así como preservar las libertades, el orden y la paz pública en el territorio municipal, con estricto apego a la protección de los derechos humanos.</w:t>
      </w:r>
    </w:p>
    <w:p w14:paraId="0F9F0CA3" w14:textId="77777777" w:rsidR="0039189C" w:rsidRPr="00814683" w:rsidRDefault="0039189C" w:rsidP="004969B8">
      <w:pPr>
        <w:spacing w:after="0" w:line="360" w:lineRule="auto"/>
      </w:pPr>
    </w:p>
    <w:p w14:paraId="63B47353" w14:textId="51AEDF3A" w:rsidR="0039189C" w:rsidRPr="00814683" w:rsidRDefault="0039189C" w:rsidP="004969B8">
      <w:pPr>
        <w:spacing w:after="0" w:line="360" w:lineRule="auto"/>
        <w:rPr>
          <w:color w:val="auto"/>
        </w:rPr>
      </w:pPr>
      <w:r w:rsidRPr="00814683">
        <w:t xml:space="preserve">Además, de que dicha Dirección dentro de sus funciones se encarga entre otras cosas de </w:t>
      </w:r>
      <w:r w:rsidR="00DD4D08" w:rsidRPr="00814683">
        <w:rPr>
          <w:b/>
        </w:rPr>
        <w:t>solicitar a las instancias competentes, la práctica de revisiones circunstanciadas, de conformidad con las normas que rigen en materia de control y evaluación gubernamental</w:t>
      </w:r>
      <w:r w:rsidR="00DD4D08" w:rsidRPr="00814683">
        <w:t xml:space="preserve"> en el ámbito municipal.</w:t>
      </w:r>
    </w:p>
    <w:p w14:paraId="0B454732" w14:textId="77777777" w:rsidR="0039189C" w:rsidRPr="00814683" w:rsidRDefault="0039189C" w:rsidP="004969B8">
      <w:pPr>
        <w:spacing w:after="0" w:line="360" w:lineRule="auto"/>
        <w:rPr>
          <w:color w:val="auto"/>
        </w:rPr>
      </w:pPr>
    </w:p>
    <w:p w14:paraId="766DB12E" w14:textId="7D3E0650" w:rsidR="00D1230E" w:rsidRPr="00814683" w:rsidRDefault="00D1230E" w:rsidP="004969B8">
      <w:pPr>
        <w:spacing w:after="0" w:line="360" w:lineRule="auto"/>
      </w:pPr>
      <w:r w:rsidRPr="00814683">
        <w:rPr>
          <w:color w:val="auto"/>
        </w:rPr>
        <w:t>Por su parte, el Reglamento Orgánico de la Administración Municipal de Tianguistenco</w:t>
      </w:r>
      <w:r w:rsidR="00CF7AED" w:rsidRPr="00814683">
        <w:rPr>
          <w:color w:val="auto"/>
        </w:rPr>
        <w:t>, 2025-2027, en su artículo 104 fracción XI, establece que la corresponde</w:t>
      </w:r>
      <w:r w:rsidRPr="00814683">
        <w:rPr>
          <w:color w:val="auto"/>
        </w:rPr>
        <w:t xml:space="preserve"> </w:t>
      </w:r>
      <w:r w:rsidR="00CF7AED" w:rsidRPr="00814683">
        <w:rPr>
          <w:color w:val="auto"/>
        </w:rPr>
        <w:t xml:space="preserve">a la Dirección de Seguridad Pública y Tránsito Municipal verificar que </w:t>
      </w:r>
      <w:r w:rsidR="00CF7AED" w:rsidRPr="00814683">
        <w:rPr>
          <w:b/>
          <w:color w:val="auto"/>
        </w:rPr>
        <w:t xml:space="preserve">los </w:t>
      </w:r>
      <w:r w:rsidR="00CF7AED" w:rsidRPr="00814683">
        <w:rPr>
          <w:b/>
        </w:rPr>
        <w:t xml:space="preserve">elementos a su cargo se sometan a las evaluaciones de control de confianza </w:t>
      </w:r>
      <w:r w:rsidR="00CF7AED" w:rsidRPr="00814683">
        <w:t>y cuenten con el Certificado Único Policial (CUP) de conformidad con las disposiciones legales aplicables.</w:t>
      </w:r>
    </w:p>
    <w:p w14:paraId="176C9506" w14:textId="77777777" w:rsidR="00D770AE" w:rsidRPr="00814683" w:rsidRDefault="00D770AE" w:rsidP="004969B8">
      <w:pPr>
        <w:spacing w:after="0" w:line="360" w:lineRule="auto"/>
      </w:pPr>
    </w:p>
    <w:p w14:paraId="3B9DBE8D" w14:textId="41C806F5" w:rsidR="00D770AE" w:rsidRPr="00814683" w:rsidRDefault="00D770AE" w:rsidP="004969B8">
      <w:pPr>
        <w:spacing w:after="0" w:line="360" w:lineRule="auto"/>
      </w:pPr>
      <w:r w:rsidRPr="00814683">
        <w:t xml:space="preserve">De igual manera, le corresponde informar a las autoridades competentes sobre los movimientos de altas y bajas de los miembros del cuerpo de Seguridad Pública y Tránsito </w:t>
      </w:r>
      <w:r w:rsidRPr="00814683">
        <w:lastRenderedPageBreak/>
        <w:t>Municipal, a través de plataformas y/o sistemas del ámbito estatal y federal; como de sus vehículos</w:t>
      </w:r>
      <w:r w:rsidRPr="00814683">
        <w:rPr>
          <w:b/>
        </w:rPr>
        <w:t>, armamento,</w:t>
      </w:r>
      <w:r w:rsidRPr="00814683">
        <w:t xml:space="preserve"> municiones y equipo.</w:t>
      </w:r>
    </w:p>
    <w:p w14:paraId="6CB70334" w14:textId="77777777" w:rsidR="00D03D7C" w:rsidRPr="00814683" w:rsidRDefault="00D03D7C" w:rsidP="004969B8">
      <w:pPr>
        <w:spacing w:after="0" w:line="360" w:lineRule="auto"/>
      </w:pPr>
    </w:p>
    <w:p w14:paraId="4402C492" w14:textId="049B40F9" w:rsidR="00D03D7C" w:rsidRPr="00814683" w:rsidRDefault="00D03D7C" w:rsidP="004969B8">
      <w:pPr>
        <w:spacing w:after="0" w:line="360" w:lineRule="auto"/>
        <w:rPr>
          <w:b/>
        </w:rPr>
      </w:pPr>
      <w:r w:rsidRPr="00814683">
        <w:t xml:space="preserve">Así mismo, el artículo 70 del Reglamento en comento señala que la Dirección de Administración, a través de la Coordinación de Recursos Humanos se encarga de integrar los </w:t>
      </w:r>
      <w:r w:rsidRPr="00814683">
        <w:rPr>
          <w:b/>
        </w:rPr>
        <w:t>expedientes de los servidores públicos.</w:t>
      </w:r>
    </w:p>
    <w:p w14:paraId="7AC5CCDA" w14:textId="77777777" w:rsidR="00D41140" w:rsidRPr="00814683" w:rsidRDefault="00D41140" w:rsidP="004969B8">
      <w:pPr>
        <w:spacing w:after="0" w:line="360" w:lineRule="auto"/>
        <w:rPr>
          <w:b/>
        </w:rPr>
      </w:pPr>
    </w:p>
    <w:p w14:paraId="35332C2C" w14:textId="41447E6E" w:rsidR="00D41140" w:rsidRPr="00814683" w:rsidRDefault="00D41140" w:rsidP="004969B8">
      <w:pPr>
        <w:spacing w:after="0" w:line="360" w:lineRule="auto"/>
        <w:rPr>
          <w:b/>
          <w:bCs/>
        </w:rPr>
      </w:pPr>
      <w:r w:rsidRPr="00814683">
        <w:t xml:space="preserve">Finalmente, el </w:t>
      </w:r>
      <w:r w:rsidRPr="00814683">
        <w:rPr>
          <w:rFonts w:eastAsia="Times New Roman" w:cs="Tahoma"/>
          <w:bCs/>
          <w:iCs/>
          <w:color w:val="auto"/>
          <w:lang w:eastAsia="es-ES"/>
        </w:rPr>
        <w:t xml:space="preserve">artículo 58 Quinquies de la Ley de Seguridad del Estado de México en comento en su fracción XI establece que el </w:t>
      </w:r>
      <w:r w:rsidRPr="00814683">
        <w:rPr>
          <w:rFonts w:eastAsia="Times New Roman" w:cs="Tahoma"/>
          <w:bCs/>
          <w:iCs/>
          <w:color w:val="auto"/>
          <w:u w:val="single"/>
          <w:lang w:eastAsia="es-ES"/>
        </w:rPr>
        <w:t xml:space="preserve">Secretario Técnico del </w:t>
      </w:r>
      <w:r w:rsidRPr="00814683">
        <w:rPr>
          <w:u w:val="single"/>
        </w:rPr>
        <w:t>Consejo Municipal de Seguridad Pública</w:t>
      </w:r>
      <w:r w:rsidRPr="00814683">
        <w:t xml:space="preserve"> funge como </w:t>
      </w:r>
      <w:r w:rsidRPr="00814683">
        <w:rPr>
          <w:b/>
          <w:bCs/>
        </w:rPr>
        <w:t xml:space="preserve">enlace ante la Secretaría de Seguridad para dar seguimiento al registro y actualización de la </w:t>
      </w:r>
      <w:r w:rsidRPr="00814683">
        <w:rPr>
          <w:b/>
          <w:bCs/>
          <w:u w:val="single"/>
        </w:rPr>
        <w:t>licencia colectiva</w:t>
      </w:r>
      <w:r w:rsidRPr="00814683">
        <w:rPr>
          <w:b/>
          <w:bCs/>
        </w:rPr>
        <w:t xml:space="preserve"> para la portación de armas de fuego.</w:t>
      </w:r>
    </w:p>
    <w:p w14:paraId="7BC90F5E" w14:textId="77777777" w:rsidR="0039189C" w:rsidRPr="00814683" w:rsidRDefault="0039189C" w:rsidP="004969B8">
      <w:pPr>
        <w:spacing w:after="0" w:line="360" w:lineRule="auto"/>
        <w:rPr>
          <w:color w:val="auto"/>
        </w:rPr>
      </w:pPr>
    </w:p>
    <w:p w14:paraId="4881CA62" w14:textId="3A4EA355" w:rsidR="00F36429" w:rsidRPr="00814683" w:rsidRDefault="00B16FA4" w:rsidP="004969B8">
      <w:pPr>
        <w:spacing w:after="0" w:line="360" w:lineRule="auto"/>
        <w:rPr>
          <w:color w:val="auto"/>
        </w:rPr>
      </w:pPr>
      <w:r w:rsidRPr="00814683">
        <w:rPr>
          <w:color w:val="auto"/>
        </w:rPr>
        <w:t xml:space="preserve">Así y de lo plasmado en párrafos anteriores, se logra colegir que, el Sujeto Obligado </w:t>
      </w:r>
      <w:r w:rsidR="00AD0245" w:rsidRPr="00814683">
        <w:rPr>
          <w:color w:val="auto"/>
        </w:rPr>
        <w:t xml:space="preserve">no cumplió  con </w:t>
      </w:r>
      <w:r w:rsidRPr="00814683">
        <w:rPr>
          <w:color w:val="auto"/>
        </w:rPr>
        <w:t xml:space="preserve">el procedimiento de búsqueda establecido en el artículo 162 de la Ley de Transparencia y Acceso a la Información Pública del Estado de México y Municipios, toda vez, que </w:t>
      </w:r>
      <w:r w:rsidR="00AD0245" w:rsidRPr="00814683">
        <w:rPr>
          <w:color w:val="auto"/>
        </w:rPr>
        <w:t xml:space="preserve">fue omiso en gestionar el requerimiento informativo a todas las áreas competentes para conocer de lo solicitado, a saber, de la </w:t>
      </w:r>
      <w:r w:rsidR="00F36429" w:rsidRPr="00814683">
        <w:rPr>
          <w:color w:val="auto"/>
        </w:rPr>
        <w:t>Dirección de Seguridad Pública y Tránsito Municipal y la Dirección de Administración, áreas que pudieran contener la información relacionada con el resultado único e  integral o resultado global de la evaluación de control y confianza. Ahora bien se procede al análisis de las respuestas proporcionadas de conformidad con lo siguiente:</w:t>
      </w:r>
    </w:p>
    <w:p w14:paraId="02DCA470" w14:textId="77777777" w:rsidR="00F36429" w:rsidRPr="00814683" w:rsidRDefault="00F36429" w:rsidP="004969B8">
      <w:pPr>
        <w:spacing w:after="0" w:line="360" w:lineRule="auto"/>
        <w:rPr>
          <w:color w:val="FF0000"/>
        </w:rPr>
      </w:pPr>
    </w:p>
    <w:p w14:paraId="6B19891E" w14:textId="17D5874D" w:rsidR="00A854BA" w:rsidRPr="00814683" w:rsidRDefault="00125DDC" w:rsidP="004969B8">
      <w:pPr>
        <w:spacing w:after="0" w:line="360" w:lineRule="auto"/>
        <w:rPr>
          <w:b/>
          <w:color w:val="auto"/>
        </w:rPr>
      </w:pPr>
      <w:r w:rsidRPr="00814683">
        <w:rPr>
          <w:b/>
          <w:color w:val="auto"/>
        </w:rPr>
        <w:t xml:space="preserve">Numeral 1 </w:t>
      </w:r>
    </w:p>
    <w:p w14:paraId="5A12F47D" w14:textId="77777777" w:rsidR="00C96E22" w:rsidRPr="00814683" w:rsidRDefault="00C96E22" w:rsidP="004969B8">
      <w:pPr>
        <w:spacing w:after="0" w:line="360" w:lineRule="auto"/>
        <w:rPr>
          <w:b/>
          <w:color w:val="auto"/>
        </w:rPr>
      </w:pPr>
    </w:p>
    <w:p w14:paraId="3EDA007D" w14:textId="78C09F92" w:rsidR="00A72341" w:rsidRPr="00814683" w:rsidRDefault="00A72341" w:rsidP="004969B8">
      <w:pPr>
        <w:spacing w:after="0" w:line="360" w:lineRule="auto"/>
        <w:rPr>
          <w:color w:val="auto"/>
        </w:rPr>
      </w:pPr>
      <w:r w:rsidRPr="00814683">
        <w:rPr>
          <w:color w:val="auto"/>
        </w:rPr>
        <w:t xml:space="preserve">Al respecto, el Sujeto Obligado a través de la </w:t>
      </w:r>
      <w:r w:rsidR="00E61043" w:rsidRPr="00814683">
        <w:rPr>
          <w:color w:val="auto"/>
        </w:rPr>
        <w:t xml:space="preserve">Tesorería Municipal en relación al recibo de nómina, refirió que la información podía ser consultada a través del Portal de Información </w:t>
      </w:r>
      <w:r w:rsidR="00E61043" w:rsidRPr="00814683">
        <w:rPr>
          <w:color w:val="auto"/>
        </w:rPr>
        <w:lastRenderedPageBreak/>
        <w:t>Pública de Oficio Mexiquense en la fracción de “Remuneraciones”, a través de una liga la cual se advierte está en formato cerrado.</w:t>
      </w:r>
    </w:p>
    <w:p w14:paraId="47481D15" w14:textId="77777777" w:rsidR="00E61043" w:rsidRPr="00814683" w:rsidRDefault="00E61043" w:rsidP="004969B8">
      <w:pPr>
        <w:spacing w:after="0" w:line="360" w:lineRule="auto"/>
        <w:rPr>
          <w:color w:val="auto"/>
        </w:rPr>
      </w:pPr>
    </w:p>
    <w:p w14:paraId="34908EB0" w14:textId="46653177" w:rsidR="00E61043" w:rsidRPr="00814683" w:rsidRDefault="00E61043" w:rsidP="004969B8">
      <w:pPr>
        <w:spacing w:after="0" w:line="360" w:lineRule="auto"/>
      </w:pPr>
      <w:r w:rsidRPr="00814683">
        <w:t>Sobre el tema,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33278D61" w14:textId="77777777" w:rsidR="00E61043" w:rsidRPr="00814683" w:rsidRDefault="00E61043" w:rsidP="004969B8">
      <w:pPr>
        <w:spacing w:after="0" w:line="360" w:lineRule="auto"/>
      </w:pPr>
    </w:p>
    <w:p w14:paraId="0F679257" w14:textId="3074467A" w:rsidR="00E61043" w:rsidRPr="00814683" w:rsidRDefault="00E61043" w:rsidP="004969B8">
      <w:pPr>
        <w:spacing w:after="0" w:line="360" w:lineRule="auto"/>
        <w:rPr>
          <w:color w:val="auto"/>
        </w:rPr>
      </w:pPr>
      <w:r w:rsidRPr="00814683">
        <w:rPr>
          <w:color w:val="auto"/>
        </w:rPr>
        <w:t>Asimismo, establece que al proporcionar información pública es necesario que sea en un formato que no tenga ninguna restricción en el acceso o reutilización, por lo que, es necesario que los datos digitales (como ligas electrónicas), se proporcionen en un formato abierto. En ese contexto, el artículo 3°, fracciones VIII y XVI de la Ley de Transparencia y Acceso a la Información Pública del Estado de México y Municipios, precisan lo siguiente:</w:t>
      </w:r>
      <w:r w:rsidRPr="00814683">
        <w:rPr>
          <w:color w:val="auto"/>
        </w:rPr>
        <w:cr/>
      </w:r>
    </w:p>
    <w:p w14:paraId="35FE0667" w14:textId="0C3815D0" w:rsidR="00EF1DD9" w:rsidRPr="00814683" w:rsidRDefault="00EF1DD9" w:rsidP="004969B8">
      <w:pPr>
        <w:pStyle w:val="Prrafodelista"/>
        <w:numPr>
          <w:ilvl w:val="0"/>
          <w:numId w:val="26"/>
        </w:numPr>
        <w:spacing w:line="360" w:lineRule="auto"/>
        <w:rPr>
          <w:color w:val="auto"/>
        </w:rPr>
      </w:pPr>
      <w:r w:rsidRPr="00814683">
        <w:rPr>
          <w:b/>
          <w:color w:val="auto"/>
        </w:rPr>
        <w:t xml:space="preserve">Dato abierto: </w:t>
      </w:r>
      <w:r w:rsidRPr="00814683">
        <w:rPr>
          <w:color w:val="auto"/>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8C99E44" w14:textId="77777777" w:rsidR="00EF1DD9" w:rsidRPr="00814683" w:rsidRDefault="00EF1DD9" w:rsidP="004969B8">
      <w:pPr>
        <w:spacing w:after="0" w:line="360" w:lineRule="auto"/>
        <w:rPr>
          <w:color w:val="auto"/>
        </w:rPr>
      </w:pPr>
    </w:p>
    <w:p w14:paraId="28BECA89" w14:textId="5F9CADEF" w:rsidR="00E61043" w:rsidRPr="00814683" w:rsidRDefault="00EF1DD9" w:rsidP="004969B8">
      <w:pPr>
        <w:pStyle w:val="Prrafodelista"/>
        <w:numPr>
          <w:ilvl w:val="0"/>
          <w:numId w:val="26"/>
        </w:numPr>
        <w:spacing w:line="360" w:lineRule="auto"/>
        <w:rPr>
          <w:color w:val="auto"/>
        </w:rPr>
      </w:pPr>
      <w:r w:rsidRPr="00814683">
        <w:rPr>
          <w:b/>
          <w:color w:val="auto"/>
        </w:rPr>
        <w:t>Formato accesible:</w:t>
      </w:r>
      <w:r w:rsidRPr="00814683">
        <w:rPr>
          <w:color w:val="auto"/>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3806E55D" w14:textId="01B229CC" w:rsidR="00730AD5" w:rsidRPr="00814683" w:rsidRDefault="00AE7D14" w:rsidP="004969B8">
      <w:pPr>
        <w:spacing w:after="0" w:line="360" w:lineRule="auto"/>
        <w:rPr>
          <w:color w:val="auto"/>
        </w:rPr>
      </w:pPr>
      <w:r w:rsidRPr="00814683">
        <w:rPr>
          <w:color w:val="auto"/>
        </w:rPr>
        <w:lastRenderedPageBreak/>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7B9A04A9" w14:textId="77777777" w:rsidR="00730AD5" w:rsidRPr="00814683" w:rsidRDefault="00730AD5" w:rsidP="004969B8">
      <w:pPr>
        <w:spacing w:after="0" w:line="360" w:lineRule="auto"/>
        <w:rPr>
          <w:color w:val="FF0000"/>
        </w:rPr>
      </w:pPr>
    </w:p>
    <w:p w14:paraId="5EB1CC77" w14:textId="4F214E87" w:rsidR="00730AD5" w:rsidRPr="00814683" w:rsidRDefault="00AE7D14" w:rsidP="004969B8">
      <w:pPr>
        <w:spacing w:after="0" w:line="360" w:lineRule="auto"/>
      </w:pPr>
      <w:r w:rsidRPr="00814683">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4BCE5E4B" w14:textId="77777777" w:rsidR="00AE7D14" w:rsidRPr="00814683" w:rsidRDefault="00AE7D14" w:rsidP="004969B8">
      <w:pPr>
        <w:spacing w:after="0" w:line="360" w:lineRule="auto"/>
      </w:pPr>
    </w:p>
    <w:p w14:paraId="06657FBE" w14:textId="77777777" w:rsidR="00566DE6" w:rsidRPr="00814683" w:rsidRDefault="00566DE6" w:rsidP="004969B8">
      <w:pPr>
        <w:spacing w:after="0" w:line="360" w:lineRule="auto"/>
      </w:pPr>
      <w:r w:rsidRPr="00814683">
        <w:t xml:space="preserve">Como se logra observar, el Sujeto Obligado si bien señaló una página electrónica, omitió proporcionarlas en formato abierto, lo cual implica la dificultad de acceder a la misma, pues se traduce al hecho de que el Particular tendría que colocar cada dígito alfanumérico, y cuya equivocación implicaría no acceder a la información contenida en las mismas. </w:t>
      </w:r>
    </w:p>
    <w:p w14:paraId="4AEB54DA" w14:textId="77777777" w:rsidR="00566DE6" w:rsidRPr="00814683" w:rsidRDefault="00566DE6" w:rsidP="004969B8">
      <w:pPr>
        <w:spacing w:after="0" w:line="360" w:lineRule="auto"/>
      </w:pPr>
    </w:p>
    <w:p w14:paraId="47044780" w14:textId="182CB3EB" w:rsidR="00AE7D14" w:rsidRPr="00814683" w:rsidRDefault="00566DE6" w:rsidP="004969B8">
      <w:pPr>
        <w:spacing w:after="0" w:line="360" w:lineRule="auto"/>
      </w:pPr>
      <w:r w:rsidRPr="00814683">
        <w:t xml:space="preserve">Además de señalar que la información contenida en el apartado de Remuneraciones del </w:t>
      </w:r>
      <w:r w:rsidRPr="00814683">
        <w:rPr>
          <w:color w:val="auto"/>
        </w:rPr>
        <w:t xml:space="preserve">Portal de Información Pública de Oficio Mexiquense Ayuntamiento de Tianguistenco, no da cuenta de la información solicitada, pues la pretensión del Particular versa en obtener el recibo de nómina correspondiente a la primera quincena de agosto de dos mil veinticinco del Director de Seguridad Pública y Tránsito Municipal, </w:t>
      </w:r>
      <w:r w:rsidRPr="00814683">
        <w:t>por lo que, se advierte que el Ente Recurrido no dio acceso a la información requerida.</w:t>
      </w:r>
    </w:p>
    <w:p w14:paraId="7D886BA8" w14:textId="77777777" w:rsidR="004969B8" w:rsidRPr="00814683" w:rsidRDefault="004969B8" w:rsidP="004969B8">
      <w:pPr>
        <w:spacing w:after="0" w:line="360" w:lineRule="auto"/>
      </w:pPr>
    </w:p>
    <w:p w14:paraId="05FF08A1" w14:textId="0450A822" w:rsidR="00566DE6" w:rsidRPr="00814683" w:rsidRDefault="00566DE6" w:rsidP="004969B8">
      <w:pPr>
        <w:spacing w:after="0" w:line="360" w:lineRule="auto"/>
        <w:rPr>
          <w:color w:val="auto"/>
        </w:rPr>
      </w:pPr>
      <w:r w:rsidRPr="00814683">
        <w:t xml:space="preserve">Por lo que, en el presente caso se considera que para atender el requerimiento informativo el Sujeto Obligado deberá realizar una búsqueda exhaustiva y razonable en los archivos de la </w:t>
      </w:r>
      <w:r w:rsidRPr="00814683">
        <w:lastRenderedPageBreak/>
        <w:t xml:space="preserve">Tesorería Municipal, a efecto de que proporcione, el </w:t>
      </w:r>
      <w:r w:rsidRPr="00814683">
        <w:rPr>
          <w:color w:val="auto"/>
        </w:rPr>
        <w:t>recibo de nómina correspondiente a la primera quincena de agosto de dos mil veinticinco del Director de Seguridad Pública y Tránsito Municipal.</w:t>
      </w:r>
    </w:p>
    <w:p w14:paraId="0CAB10F9" w14:textId="77777777" w:rsidR="00566DE6" w:rsidRPr="00814683" w:rsidRDefault="00566DE6" w:rsidP="004969B8">
      <w:pPr>
        <w:spacing w:after="0" w:line="360" w:lineRule="auto"/>
        <w:rPr>
          <w:color w:val="auto"/>
        </w:rPr>
      </w:pPr>
    </w:p>
    <w:p w14:paraId="1831EF60" w14:textId="7732BEF8" w:rsidR="00566DE6" w:rsidRPr="00814683" w:rsidRDefault="00566DE6" w:rsidP="004969B8">
      <w:pPr>
        <w:spacing w:after="0" w:line="360" w:lineRule="auto"/>
      </w:pPr>
      <w:r w:rsidRPr="00814683">
        <w:t>Dicha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70D5389C" w14:textId="77777777" w:rsidR="00566DE6" w:rsidRPr="00814683" w:rsidRDefault="00566DE6" w:rsidP="004969B8">
      <w:pPr>
        <w:spacing w:after="0" w:line="360" w:lineRule="auto"/>
      </w:pPr>
    </w:p>
    <w:p w14:paraId="3EE9B714" w14:textId="64C8E1A6" w:rsidR="00566DE6" w:rsidRPr="00814683" w:rsidRDefault="00566DE6" w:rsidP="004969B8">
      <w:pPr>
        <w:spacing w:after="0" w:line="360" w:lineRule="auto"/>
      </w:pPr>
      <w:r w:rsidRPr="00814683">
        <w:t xml:space="preserve">De esta manera, el derecho de acceso a la información pública se satisface en aquellos casos en que se entregue el soporte documental en el que conste la información solicitada, sin necesidad de elaborar documentos </w:t>
      </w:r>
      <w:r w:rsidRPr="00814683">
        <w:rPr>
          <w:i/>
        </w:rPr>
        <w:t>ad hoc</w:t>
      </w:r>
      <w:r w:rsidRPr="00814683">
        <w:t>; lo cual, de conformidad con en el artículo 160 de la Ley de Transparencia y Acceso a la Información Pública del Estado de México y Municipios, el cual refiere que los sujetos obligados deberán entregar la información que obre en sus archivos.</w:t>
      </w:r>
    </w:p>
    <w:p w14:paraId="5776D7D0" w14:textId="77777777" w:rsidR="00566DE6" w:rsidRPr="00814683" w:rsidRDefault="00566DE6" w:rsidP="004969B8">
      <w:pPr>
        <w:spacing w:after="0" w:line="360" w:lineRule="auto"/>
      </w:pPr>
    </w:p>
    <w:p w14:paraId="05423503" w14:textId="57B8231E" w:rsidR="00566DE6" w:rsidRPr="00814683" w:rsidRDefault="00566DE6" w:rsidP="004969B8">
      <w:pPr>
        <w:spacing w:after="0" w:line="360" w:lineRule="auto"/>
      </w:pPr>
      <w:r w:rsidRPr="00814683">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el recibo de nómina solicitado.</w:t>
      </w:r>
    </w:p>
    <w:p w14:paraId="12B84DC0" w14:textId="77777777" w:rsidR="004331F4" w:rsidRPr="00814683" w:rsidRDefault="004331F4" w:rsidP="004969B8">
      <w:pPr>
        <w:spacing w:after="0" w:line="360" w:lineRule="auto"/>
      </w:pPr>
    </w:p>
    <w:p w14:paraId="438B682F" w14:textId="5AAFF056" w:rsidR="004331F4" w:rsidRPr="00814683" w:rsidRDefault="00671989" w:rsidP="004969B8">
      <w:pPr>
        <w:spacing w:after="0" w:line="360" w:lineRule="auto"/>
        <w:rPr>
          <w:b/>
        </w:rPr>
      </w:pPr>
      <w:r w:rsidRPr="00814683">
        <w:rPr>
          <w:b/>
        </w:rPr>
        <w:t xml:space="preserve">Numerales 2 y 3 </w:t>
      </w:r>
    </w:p>
    <w:p w14:paraId="2AA3E72A" w14:textId="77777777" w:rsidR="00671989" w:rsidRPr="00814683" w:rsidRDefault="00671989" w:rsidP="004969B8">
      <w:pPr>
        <w:spacing w:after="0" w:line="360" w:lineRule="auto"/>
        <w:rPr>
          <w:b/>
        </w:rPr>
      </w:pPr>
    </w:p>
    <w:p w14:paraId="70657848" w14:textId="3BF2284C" w:rsidR="00671989" w:rsidRPr="00814683" w:rsidRDefault="00671989" w:rsidP="004969B8">
      <w:pPr>
        <w:spacing w:after="0" w:line="360" w:lineRule="auto"/>
        <w:rPr>
          <w:color w:val="000000"/>
        </w:rPr>
      </w:pPr>
      <w:r w:rsidRPr="00814683">
        <w:t>Al respecto, el Sujeto Obligado en respuesta como en informe justificado  a través de</w:t>
      </w:r>
      <w:r w:rsidRPr="00814683">
        <w:rPr>
          <w:color w:val="auto"/>
        </w:rPr>
        <w:t xml:space="preserve">l Encargado de Despacho de la Secretaría Técnica del Consejo Municipal de Seguridad </w:t>
      </w:r>
      <w:r w:rsidRPr="00814683">
        <w:rPr>
          <w:color w:val="auto"/>
        </w:rPr>
        <w:lastRenderedPageBreak/>
        <w:t>Pública, señaló que la información relacionada con el personal de seguridad pública (</w:t>
      </w:r>
      <w:r w:rsidRPr="00814683">
        <w:rPr>
          <w:color w:val="000000"/>
        </w:rPr>
        <w:t xml:space="preserve">Bases de datos del Sistema , así como los Registros Nacionales y la información contenida en ellos en materia de detenciones, información criminal, </w:t>
      </w:r>
      <w:r w:rsidRPr="00814683">
        <w:rPr>
          <w:color w:val="000000"/>
          <w:u w:val="single"/>
        </w:rPr>
        <w:t xml:space="preserve">personal de seguridad pública, </w:t>
      </w:r>
      <w:r w:rsidRPr="00814683">
        <w:rPr>
          <w:color w:val="000000"/>
        </w:rPr>
        <w:t xml:space="preserve">personal y equipo de los servicios de seguridad privada, armamento y equipo, vehículos, huellas dactilares, teléfonos, celulares, medidas cautelares, soluciones alternas y formas de terminación anticipada, sentencias y las demás necesarias para la operación del Sistema), era información reservada, en términos del </w:t>
      </w:r>
      <w:r w:rsidRPr="00814683">
        <w:rPr>
          <w:color w:val="auto"/>
        </w:rPr>
        <w:t xml:space="preserve">artículo 140 y el 143 de la Ley de </w:t>
      </w:r>
      <w:r w:rsidRPr="00814683">
        <w:rPr>
          <w:rFonts w:eastAsia="Times New Roman" w:cs="Times New Roman"/>
          <w:color w:val="auto"/>
          <w:lang w:val="es-ES"/>
        </w:rPr>
        <w:t>Transparencia y Acceso a la Información Pública del Estado de México y Municipios</w:t>
      </w:r>
      <w:r w:rsidR="00AC70ED" w:rsidRPr="00814683">
        <w:rPr>
          <w:rFonts w:eastAsia="Times New Roman" w:cs="Times New Roman"/>
          <w:color w:val="auto"/>
          <w:lang w:val="es-ES"/>
        </w:rPr>
        <w:t xml:space="preserve">, así mismo remitió el </w:t>
      </w:r>
      <w:r w:rsidR="00AC70ED" w:rsidRPr="00814683">
        <w:rPr>
          <w:bCs/>
          <w:color w:val="auto"/>
          <w:lang w:val="es-ES_tradnl"/>
        </w:rPr>
        <w:t xml:space="preserve">el acuerdo </w:t>
      </w:r>
      <w:r w:rsidR="00AC70ED" w:rsidRPr="00814683">
        <w:rPr>
          <w:color w:val="000000"/>
        </w:rPr>
        <w:t>CTDAYTTOT/15SESIÓN/ORDINARIA/03/SEРTIEMBRE/2025, por medio del cual se clasificó como reservada la información del personal de seguridad.</w:t>
      </w:r>
    </w:p>
    <w:p w14:paraId="5400C227" w14:textId="77777777" w:rsidR="00AC70ED" w:rsidRPr="00814683" w:rsidRDefault="00AC70ED" w:rsidP="004969B8">
      <w:pPr>
        <w:spacing w:after="0" w:line="360" w:lineRule="auto"/>
        <w:rPr>
          <w:color w:val="000000"/>
        </w:rPr>
      </w:pPr>
    </w:p>
    <w:p w14:paraId="45539FD7" w14:textId="77777777" w:rsidR="00365B64" w:rsidRPr="00814683" w:rsidRDefault="00365B64" w:rsidP="004969B8">
      <w:pPr>
        <w:spacing w:after="0" w:line="360" w:lineRule="auto"/>
        <w:ind w:right="-28"/>
        <w:rPr>
          <w:b/>
          <w:bCs/>
          <w:color w:val="auto"/>
        </w:rPr>
      </w:pPr>
      <w:r w:rsidRPr="00814683">
        <w:rPr>
          <w:color w:val="auto"/>
        </w:rPr>
        <w:t xml:space="preserve">Al respecto, cabe precisar, que conforme al artículo 20 de la Ley de Transparencia y Acceso a la Información Pública del Estado de México y Municipios, </w:t>
      </w:r>
      <w:r w:rsidRPr="00814683">
        <w:rPr>
          <w:b/>
          <w:bCs/>
          <w:color w:val="auto"/>
        </w:rPr>
        <w:t>ante la negativa de acceso a la información o su inexistencia, el sujeto obligado deberá demostrar que encuentra en alguna de las excepciones establecidas en la normatividad aplicable.</w:t>
      </w:r>
    </w:p>
    <w:p w14:paraId="3427D120" w14:textId="77777777" w:rsidR="00365B64" w:rsidRPr="00814683" w:rsidRDefault="00365B64" w:rsidP="004969B8">
      <w:pPr>
        <w:spacing w:after="0" w:line="360" w:lineRule="auto"/>
        <w:ind w:right="-28"/>
        <w:rPr>
          <w:color w:val="auto"/>
        </w:rPr>
      </w:pPr>
    </w:p>
    <w:p w14:paraId="768E802E" w14:textId="77777777" w:rsidR="00365B64" w:rsidRPr="00814683" w:rsidRDefault="00365B64" w:rsidP="004969B8">
      <w:pPr>
        <w:spacing w:after="0" w:line="360" w:lineRule="auto"/>
        <w:ind w:right="-28"/>
        <w:rPr>
          <w:color w:val="auto"/>
        </w:rPr>
      </w:pPr>
      <w:r w:rsidRPr="00814683">
        <w:rPr>
          <w:color w:val="auto"/>
        </w:rPr>
        <w:t>En ese sentido, según Trujillo, Humberto (2019), en el “Diccionario de Transparencia y Acceso a la Información Pública” (p. 201), la negativa de acceso a la información ocurre cuando de manera fundada y motivada, una autoridad la niega o la limita, por alguna de las siguientes razones:</w:t>
      </w:r>
    </w:p>
    <w:p w14:paraId="53D85075" w14:textId="77777777" w:rsidR="00365B64" w:rsidRPr="00814683" w:rsidRDefault="00365B64" w:rsidP="004969B8">
      <w:pPr>
        <w:spacing w:after="0" w:line="360" w:lineRule="auto"/>
        <w:ind w:right="-28"/>
        <w:rPr>
          <w:color w:val="auto"/>
        </w:rPr>
      </w:pPr>
    </w:p>
    <w:p w14:paraId="2C937A23" w14:textId="77777777" w:rsidR="00365B64" w:rsidRPr="00814683" w:rsidRDefault="00365B64" w:rsidP="004969B8">
      <w:pPr>
        <w:spacing w:after="0" w:line="360" w:lineRule="auto"/>
        <w:rPr>
          <w:color w:val="auto"/>
        </w:rPr>
      </w:pPr>
      <w:r w:rsidRPr="00814683">
        <w:rPr>
          <w:color w:val="auto"/>
        </w:rPr>
        <w:t xml:space="preserve">En ese sentido, según Trujillo, Humberto (2019), en el “Diccionario de Transparencia y Acceso a la Información Pública” (p. 201), </w:t>
      </w:r>
      <w:r w:rsidRPr="00814683">
        <w:rPr>
          <w:b/>
          <w:bCs/>
          <w:color w:val="auto"/>
        </w:rPr>
        <w:t>la negativa de acceso a la información</w:t>
      </w:r>
      <w:r w:rsidRPr="00814683">
        <w:rPr>
          <w:color w:val="auto"/>
        </w:rPr>
        <w:t xml:space="preserve"> ocurre cuando de manera fundada y motivada, una autoridad la niega o la limita, por alguna de las siguientes razones:</w:t>
      </w:r>
    </w:p>
    <w:p w14:paraId="30C15E31" w14:textId="77777777" w:rsidR="00365B64" w:rsidRPr="00814683" w:rsidRDefault="00365B64" w:rsidP="004969B8">
      <w:pPr>
        <w:spacing w:after="0" w:line="360" w:lineRule="auto"/>
        <w:rPr>
          <w:color w:val="auto"/>
        </w:rPr>
      </w:pPr>
    </w:p>
    <w:p w14:paraId="0547509A" w14:textId="77777777" w:rsidR="00365B64" w:rsidRPr="00814683" w:rsidRDefault="00365B64" w:rsidP="004969B8">
      <w:pPr>
        <w:numPr>
          <w:ilvl w:val="0"/>
          <w:numId w:val="27"/>
        </w:numPr>
        <w:spacing w:after="0" w:line="360" w:lineRule="auto"/>
        <w:rPr>
          <w:color w:val="000000"/>
        </w:rPr>
      </w:pPr>
      <w:r w:rsidRPr="00814683">
        <w:rPr>
          <w:b/>
          <w:bCs/>
          <w:color w:val="000000"/>
        </w:rPr>
        <w:lastRenderedPageBreak/>
        <w:t>La inexistencia de la información (p. 171):</w:t>
      </w:r>
      <w:r w:rsidRPr="00814683">
        <w:rPr>
          <w:color w:val="000000"/>
        </w:rPr>
        <w:t xml:space="preserve"> Sucede cuando la información solicitada no se encuentra en los archivos públicos o clasificados, de los entes sujetos a las Leyes de Transparencia</w:t>
      </w:r>
    </w:p>
    <w:p w14:paraId="1BEBCC69" w14:textId="77777777" w:rsidR="00365B64" w:rsidRPr="00814683" w:rsidRDefault="00365B64" w:rsidP="004969B8">
      <w:pPr>
        <w:spacing w:after="0" w:line="360" w:lineRule="auto"/>
        <w:rPr>
          <w:color w:val="000000"/>
        </w:rPr>
      </w:pPr>
    </w:p>
    <w:p w14:paraId="400D8EEB" w14:textId="77777777" w:rsidR="00365B64" w:rsidRPr="00814683" w:rsidRDefault="00365B64" w:rsidP="004969B8">
      <w:pPr>
        <w:numPr>
          <w:ilvl w:val="0"/>
          <w:numId w:val="27"/>
        </w:numPr>
        <w:spacing w:after="0" w:line="360" w:lineRule="auto"/>
        <w:rPr>
          <w:color w:val="000000"/>
        </w:rPr>
      </w:pPr>
      <w:r w:rsidRPr="00814683">
        <w:rPr>
          <w:b/>
          <w:bCs/>
          <w:color w:val="000000"/>
        </w:rPr>
        <w:t>La incompetencia del Sujeto Obligado (p. 171):</w:t>
      </w:r>
      <w:r w:rsidRPr="00814683">
        <w:rPr>
          <w:color w:val="000000"/>
        </w:rPr>
        <w:t xml:space="preserve"> Ocurre cuando el Sujeto Obligado carece de atribuciones para poseer la información peticionada.</w:t>
      </w:r>
    </w:p>
    <w:p w14:paraId="63309EBE" w14:textId="77777777" w:rsidR="00365B64" w:rsidRPr="00814683" w:rsidRDefault="00365B64" w:rsidP="004969B8">
      <w:pPr>
        <w:spacing w:after="0" w:line="360" w:lineRule="auto"/>
        <w:rPr>
          <w:color w:val="000000"/>
        </w:rPr>
      </w:pPr>
    </w:p>
    <w:p w14:paraId="5B46C2E7" w14:textId="77777777" w:rsidR="00365B64" w:rsidRPr="00814683" w:rsidRDefault="00365B64" w:rsidP="004969B8">
      <w:pPr>
        <w:numPr>
          <w:ilvl w:val="0"/>
          <w:numId w:val="27"/>
        </w:numPr>
        <w:spacing w:after="0" w:line="360" w:lineRule="auto"/>
        <w:rPr>
          <w:color w:val="000000"/>
        </w:rPr>
      </w:pPr>
      <w:r w:rsidRPr="00814683">
        <w:rPr>
          <w:b/>
          <w:bCs/>
          <w:color w:val="000000"/>
        </w:rPr>
        <w:t>La clasificación de la información (p. 70):</w:t>
      </w:r>
      <w:r w:rsidRPr="00814683">
        <w:rPr>
          <w:color w:val="000000"/>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44AFF6A1" w14:textId="77777777" w:rsidR="00365B64" w:rsidRPr="00814683" w:rsidRDefault="00365B64" w:rsidP="004969B8">
      <w:pPr>
        <w:spacing w:after="0" w:line="360" w:lineRule="auto"/>
        <w:rPr>
          <w:color w:val="auto"/>
        </w:rPr>
      </w:pPr>
    </w:p>
    <w:p w14:paraId="2D9548BE" w14:textId="77777777" w:rsidR="00365B64" w:rsidRPr="00814683" w:rsidRDefault="00365B64" w:rsidP="004969B8">
      <w:pPr>
        <w:spacing w:after="0" w:line="360" w:lineRule="auto"/>
        <w:rPr>
          <w:b/>
          <w:bCs/>
          <w:color w:val="auto"/>
        </w:rPr>
      </w:pPr>
      <w:r w:rsidRPr="00814683">
        <w:rPr>
          <w:color w:val="auto"/>
        </w:rPr>
        <w:t xml:space="preserve">En ese orden de ideas y en atención a lo anterior, es de señalar que las excepciones al derecho de acceso a la información, consisten en que la documentación sea inexistente, se encuentre </w:t>
      </w:r>
      <w:r w:rsidRPr="00814683">
        <w:rPr>
          <w:b/>
          <w:bCs/>
          <w:color w:val="auto"/>
        </w:rPr>
        <w:t>clasificada,</w:t>
      </w:r>
      <w:r w:rsidRPr="00814683">
        <w:rPr>
          <w:color w:val="auto"/>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814683">
        <w:rPr>
          <w:b/>
          <w:bCs/>
          <w:color w:val="auto"/>
        </w:rPr>
        <w:t>confidenciales o reservados.</w:t>
      </w:r>
    </w:p>
    <w:p w14:paraId="53147B16" w14:textId="77777777" w:rsidR="00365B64" w:rsidRPr="00814683" w:rsidRDefault="00365B64" w:rsidP="004969B8">
      <w:pPr>
        <w:spacing w:after="0" w:line="360" w:lineRule="auto"/>
        <w:rPr>
          <w:b/>
          <w:bCs/>
          <w:color w:val="auto"/>
        </w:rPr>
      </w:pPr>
    </w:p>
    <w:p w14:paraId="53C2E191" w14:textId="77777777" w:rsidR="00365B64" w:rsidRPr="00814683" w:rsidRDefault="00365B64" w:rsidP="004969B8">
      <w:pPr>
        <w:spacing w:after="0" w:line="360" w:lineRule="auto"/>
        <w:rPr>
          <w:color w:val="auto"/>
        </w:rPr>
      </w:pPr>
      <w:r w:rsidRPr="00814683">
        <w:rPr>
          <w:color w:val="auto"/>
        </w:rPr>
        <w:t xml:space="preserve">Así, en los artículos 122, 128 y 130 de la Ley Transparencia y Acceso a la Información Pública del Estado de México y Municipios, se prevé que </w:t>
      </w:r>
      <w:r w:rsidRPr="00814683">
        <w:rPr>
          <w:b/>
          <w:bCs/>
          <w:color w:val="auto"/>
        </w:rPr>
        <w:t>la clasificación</w:t>
      </w:r>
      <w:r w:rsidRPr="00814683">
        <w:rPr>
          <w:color w:val="auto"/>
        </w:rPr>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76546B10" w14:textId="77777777" w:rsidR="00365B64" w:rsidRPr="00814683" w:rsidRDefault="00365B64" w:rsidP="004969B8">
      <w:pPr>
        <w:spacing w:after="0" w:line="360" w:lineRule="auto"/>
        <w:rPr>
          <w:color w:val="auto"/>
        </w:rPr>
      </w:pPr>
    </w:p>
    <w:p w14:paraId="1F9C3A87" w14:textId="77777777" w:rsidR="00365B64" w:rsidRPr="00814683" w:rsidRDefault="00365B64" w:rsidP="004969B8">
      <w:pPr>
        <w:spacing w:after="0" w:line="360" w:lineRule="auto"/>
        <w:rPr>
          <w:color w:val="auto"/>
        </w:rPr>
      </w:pPr>
      <w:r w:rsidRPr="00814683">
        <w:rPr>
          <w:color w:val="auto"/>
        </w:rPr>
        <w:lastRenderedPageBreak/>
        <w:t xml:space="preserve">Por lo cual, en los casos en que se niegue el acceso a la información, por actualizarse alguno de los supuestos de clasificación, </w:t>
      </w:r>
      <w:r w:rsidRPr="00814683">
        <w:rPr>
          <w:b/>
          <w:bCs/>
          <w:color w:val="auto"/>
        </w:rPr>
        <w:t>el Comité de Transparencia deberá confirmar, modificar o revocar la decisión;</w:t>
      </w:r>
      <w:r w:rsidRPr="00814683">
        <w:rPr>
          <w:color w:val="auto"/>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477E0E4E" w14:textId="77777777" w:rsidR="00365B64" w:rsidRPr="00814683" w:rsidRDefault="00365B64" w:rsidP="004969B8">
      <w:pPr>
        <w:spacing w:after="0" w:line="360" w:lineRule="auto"/>
        <w:rPr>
          <w:color w:val="auto"/>
        </w:rPr>
      </w:pPr>
    </w:p>
    <w:p w14:paraId="49F7A831" w14:textId="77777777" w:rsidR="00365B64" w:rsidRPr="00814683" w:rsidRDefault="00365B64" w:rsidP="004969B8">
      <w:pPr>
        <w:spacing w:after="0" w:line="360" w:lineRule="auto"/>
        <w:rPr>
          <w:color w:val="auto"/>
        </w:rPr>
      </w:pPr>
      <w:r w:rsidRPr="00814683">
        <w:rPr>
          <w:color w:val="auto"/>
        </w:rPr>
        <w:t>En otro orden de ideas</w:t>
      </w:r>
      <w:r w:rsidRPr="00814683">
        <w:rPr>
          <w:b/>
          <w:color w:val="auto"/>
          <w:u w:val="single"/>
        </w:rPr>
        <w:t xml:space="preserve">, la clasificación como reservada o confidencial, </w:t>
      </w:r>
      <w:r w:rsidRPr="00814683">
        <w:rPr>
          <w:color w:val="auto"/>
        </w:rPr>
        <w:t>en materia de transparencia y acceso a la información, va tendiente al contenido de los documentos, sin tomar en cuenta otras situaciones como la localización o ubicación de los archivos, pues su fin es proteger la información contenida en estos.</w:t>
      </w:r>
    </w:p>
    <w:p w14:paraId="3CFC422F" w14:textId="77777777" w:rsidR="00365B64" w:rsidRPr="00814683" w:rsidRDefault="00365B64" w:rsidP="004969B8">
      <w:pPr>
        <w:spacing w:after="0" w:line="360" w:lineRule="auto"/>
        <w:rPr>
          <w:color w:val="auto"/>
        </w:rPr>
      </w:pPr>
    </w:p>
    <w:p w14:paraId="3483CB82" w14:textId="43789869" w:rsidR="00365B64" w:rsidRPr="00814683" w:rsidRDefault="00365B64" w:rsidP="004969B8">
      <w:pPr>
        <w:spacing w:after="0" w:line="360" w:lineRule="auto"/>
        <w:rPr>
          <w:b/>
          <w:color w:val="auto"/>
        </w:rPr>
      </w:pPr>
      <w:r w:rsidRPr="00814683">
        <w:rPr>
          <w:color w:val="auto"/>
        </w:rPr>
        <w:t xml:space="preserve">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cuales se traen por analogía, establecen que los sujetos obligados no podrán emitir acuerdos de carácter general que clasifiquen documentos o expedientes; por lo que, la clasificación de información se llevará a cabo </w:t>
      </w:r>
      <w:r w:rsidRPr="00814683">
        <w:rPr>
          <w:b/>
          <w:color w:val="auto"/>
        </w:rPr>
        <w:t>mediante un análisis caso por caso.</w:t>
      </w:r>
    </w:p>
    <w:p w14:paraId="3F230A2D" w14:textId="77777777" w:rsidR="00365B64" w:rsidRPr="00814683" w:rsidRDefault="00365B64" w:rsidP="004969B8">
      <w:pPr>
        <w:spacing w:after="0" w:line="360" w:lineRule="auto"/>
        <w:rPr>
          <w:color w:val="auto"/>
        </w:rPr>
      </w:pPr>
    </w:p>
    <w:p w14:paraId="3E4A32EB" w14:textId="77777777" w:rsidR="00365B64" w:rsidRPr="00814683" w:rsidRDefault="00365B64" w:rsidP="004969B8">
      <w:pPr>
        <w:spacing w:after="0" w:line="360" w:lineRule="auto"/>
        <w:rPr>
          <w:color w:val="auto"/>
        </w:rPr>
      </w:pPr>
      <w:r w:rsidRPr="00814683">
        <w:rPr>
          <w:color w:val="auto"/>
        </w:rPr>
        <w:t>Sobre lo anterior, el artículo 131 de la Ley referida, así como el Quinto de los Lineamientos Generales vigentes a la fecha de la solicitud, establecen que los sujetos obligados deberán fundar y motivar debidamente la clasificación de la información.</w:t>
      </w:r>
    </w:p>
    <w:p w14:paraId="3F9041A8" w14:textId="77777777" w:rsidR="00365B64" w:rsidRPr="00814683" w:rsidRDefault="00365B64" w:rsidP="004969B8">
      <w:pPr>
        <w:spacing w:after="0" w:line="360" w:lineRule="auto"/>
        <w:rPr>
          <w:color w:val="auto"/>
        </w:rPr>
      </w:pPr>
    </w:p>
    <w:p w14:paraId="1C338D2B" w14:textId="77777777" w:rsidR="00365B64" w:rsidRPr="00814683" w:rsidRDefault="00365B64" w:rsidP="004969B8">
      <w:pPr>
        <w:spacing w:after="0" w:line="360" w:lineRule="auto"/>
        <w:rPr>
          <w:color w:val="auto"/>
        </w:rPr>
      </w:pPr>
      <w:r w:rsidRPr="00814683">
        <w:rPr>
          <w:color w:val="auto"/>
        </w:rPr>
        <w:t>Al respecto, el Octavo de los Lineamientos Generales en comento, precisa lo siguiente:</w:t>
      </w:r>
    </w:p>
    <w:p w14:paraId="00BB7AE0" w14:textId="77777777" w:rsidR="00365B64" w:rsidRPr="00814683" w:rsidRDefault="00365B64" w:rsidP="004969B8">
      <w:pPr>
        <w:spacing w:after="0" w:line="360" w:lineRule="auto"/>
        <w:rPr>
          <w:color w:val="auto"/>
        </w:rPr>
      </w:pPr>
    </w:p>
    <w:p w14:paraId="33658518" w14:textId="77777777" w:rsidR="00365B64" w:rsidRPr="00814683" w:rsidRDefault="00365B64" w:rsidP="004969B8">
      <w:pPr>
        <w:numPr>
          <w:ilvl w:val="0"/>
          <w:numId w:val="28"/>
        </w:numPr>
        <w:spacing w:after="0" w:line="360" w:lineRule="auto"/>
        <w:rPr>
          <w:color w:val="auto"/>
        </w:rPr>
      </w:pPr>
      <w:r w:rsidRPr="00814683">
        <w:rPr>
          <w:b/>
          <w:bCs/>
          <w:color w:val="auto"/>
        </w:rPr>
        <w:lastRenderedPageBreak/>
        <w:t xml:space="preserve">Para fundar la clasificación </w:t>
      </w:r>
      <w:r w:rsidRPr="00814683">
        <w:rPr>
          <w:color w:val="auto"/>
        </w:rPr>
        <w:t xml:space="preserve">de la información se deberán señalar el artículo, fracción, inciso, párrafo o numeral de la Ley aplicable; </w:t>
      </w:r>
    </w:p>
    <w:p w14:paraId="58AFB984" w14:textId="77777777" w:rsidR="00365B64" w:rsidRPr="00814683" w:rsidRDefault="00365B64" w:rsidP="004969B8">
      <w:pPr>
        <w:spacing w:after="0" w:line="360" w:lineRule="auto"/>
        <w:rPr>
          <w:color w:val="auto"/>
        </w:rPr>
      </w:pPr>
    </w:p>
    <w:p w14:paraId="686CF373" w14:textId="77777777" w:rsidR="00365B64" w:rsidRPr="00814683" w:rsidRDefault="00365B64" w:rsidP="004969B8">
      <w:pPr>
        <w:numPr>
          <w:ilvl w:val="0"/>
          <w:numId w:val="28"/>
        </w:numPr>
        <w:spacing w:after="0" w:line="360" w:lineRule="auto"/>
        <w:rPr>
          <w:color w:val="000000"/>
        </w:rPr>
      </w:pPr>
      <w:r w:rsidRPr="00814683">
        <w:rPr>
          <w:b/>
          <w:bCs/>
          <w:color w:val="auto"/>
        </w:rPr>
        <w:t>Para motivar la clasificación</w:t>
      </w:r>
      <w:r w:rsidRPr="00814683">
        <w:rPr>
          <w:color w:val="auto"/>
        </w:rPr>
        <w:t xml:space="preserve"> se deberán indicar las razones y circunstancias especiales que lo llevaron a concluir que el caso particular se ajusta al supuesto previsto por la norma legal invocada.</w:t>
      </w:r>
    </w:p>
    <w:p w14:paraId="36C479EA" w14:textId="77777777" w:rsidR="00365B64" w:rsidRPr="00814683" w:rsidRDefault="00365B64" w:rsidP="004969B8">
      <w:pPr>
        <w:spacing w:after="0" w:line="360" w:lineRule="auto"/>
        <w:rPr>
          <w:color w:val="FF0000"/>
        </w:rPr>
      </w:pPr>
    </w:p>
    <w:p w14:paraId="2A85D881" w14:textId="77777777" w:rsidR="00365B64" w:rsidRPr="00814683" w:rsidRDefault="00365B64" w:rsidP="004969B8">
      <w:pPr>
        <w:spacing w:after="0" w:line="360" w:lineRule="auto"/>
        <w:rPr>
          <w:color w:val="auto"/>
        </w:rPr>
      </w:pPr>
      <w:r w:rsidRPr="00814683">
        <w:rPr>
          <w:color w:val="auto"/>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6BCFA62D" w14:textId="77777777" w:rsidR="00365B64" w:rsidRPr="00814683" w:rsidRDefault="00365B64" w:rsidP="004969B8">
      <w:pPr>
        <w:spacing w:after="0" w:line="360" w:lineRule="auto"/>
        <w:rPr>
          <w:color w:val="auto"/>
        </w:rPr>
      </w:pPr>
    </w:p>
    <w:p w14:paraId="1826F9F8" w14:textId="77777777" w:rsidR="00365B64" w:rsidRPr="00814683" w:rsidRDefault="00365B64" w:rsidP="004969B8">
      <w:pPr>
        <w:spacing w:after="0" w:line="360" w:lineRule="auto"/>
        <w:ind w:left="567" w:right="567"/>
        <w:rPr>
          <w:i/>
          <w:iCs/>
          <w:color w:val="000000"/>
          <w:sz w:val="20"/>
          <w:szCs w:val="20"/>
        </w:rPr>
      </w:pPr>
      <w:r w:rsidRPr="00814683">
        <w:rPr>
          <w:b/>
          <w:bCs/>
          <w:i/>
          <w:iCs/>
          <w:color w:val="000000"/>
          <w:sz w:val="20"/>
          <w:szCs w:val="20"/>
        </w:rPr>
        <w:t>“FUNDAMENTACION Y MOTIVACION, CONCEPTO DE.</w:t>
      </w:r>
      <w:r w:rsidRPr="00814683">
        <w:rPr>
          <w:i/>
          <w:iCs/>
          <w:color w:val="000000"/>
          <w:sz w:val="20"/>
          <w:szCs w:val="20"/>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A506F0B" w14:textId="77777777" w:rsidR="00365B64" w:rsidRPr="00814683" w:rsidRDefault="00365B64" w:rsidP="004969B8">
      <w:pPr>
        <w:spacing w:after="0" w:line="360" w:lineRule="auto"/>
        <w:rPr>
          <w:color w:val="auto"/>
        </w:rPr>
      </w:pPr>
    </w:p>
    <w:p w14:paraId="6AC0CB91" w14:textId="77777777" w:rsidR="00365B64" w:rsidRPr="00814683" w:rsidRDefault="00365B64" w:rsidP="004969B8">
      <w:pPr>
        <w:spacing w:after="0" w:line="360" w:lineRule="auto"/>
        <w:rPr>
          <w:color w:val="auto"/>
        </w:rPr>
      </w:pPr>
      <w:r w:rsidRPr="00814683">
        <w:rPr>
          <w:color w:val="auto"/>
        </w:rPr>
        <w:t>Conforme a lo anterior, se advierte lo siguiente:</w:t>
      </w:r>
    </w:p>
    <w:p w14:paraId="014E59F6" w14:textId="77777777" w:rsidR="00365B64" w:rsidRPr="00814683" w:rsidRDefault="00365B64" w:rsidP="004969B8">
      <w:pPr>
        <w:spacing w:after="0" w:line="360" w:lineRule="auto"/>
        <w:rPr>
          <w:color w:val="auto"/>
        </w:rPr>
      </w:pPr>
    </w:p>
    <w:p w14:paraId="35DDF581" w14:textId="77777777" w:rsidR="00365B64" w:rsidRPr="00814683" w:rsidRDefault="00365B64" w:rsidP="004969B8">
      <w:pPr>
        <w:numPr>
          <w:ilvl w:val="0"/>
          <w:numId w:val="29"/>
        </w:numPr>
        <w:spacing w:after="0" w:line="360" w:lineRule="auto"/>
        <w:rPr>
          <w:color w:val="auto"/>
        </w:rPr>
      </w:pPr>
      <w:r w:rsidRPr="00814683">
        <w:rPr>
          <w:b/>
          <w:bCs/>
          <w:color w:val="auto"/>
        </w:rPr>
        <w:t>Fundamentación:</w:t>
      </w:r>
      <w:r w:rsidRPr="00814683">
        <w:rPr>
          <w:color w:val="auto"/>
        </w:rPr>
        <w:t xml:space="preserve"> Obligación de la autoridad que emite un acto, para citar los preceptos legales, sustantivos y adjetivos, en que se apoye para la determinación tomada.</w:t>
      </w:r>
    </w:p>
    <w:p w14:paraId="1F20261D" w14:textId="77777777" w:rsidR="00365B64" w:rsidRPr="00814683" w:rsidRDefault="00365B64" w:rsidP="004969B8">
      <w:pPr>
        <w:spacing w:after="0" w:line="360" w:lineRule="auto"/>
        <w:rPr>
          <w:color w:val="auto"/>
        </w:rPr>
      </w:pPr>
    </w:p>
    <w:p w14:paraId="2F62FA15" w14:textId="77777777" w:rsidR="00365B64" w:rsidRPr="00814683" w:rsidRDefault="00365B64" w:rsidP="004969B8">
      <w:pPr>
        <w:numPr>
          <w:ilvl w:val="0"/>
          <w:numId w:val="29"/>
        </w:numPr>
        <w:spacing w:after="0" w:line="360" w:lineRule="auto"/>
        <w:rPr>
          <w:color w:val="000000"/>
        </w:rPr>
      </w:pPr>
      <w:r w:rsidRPr="00814683">
        <w:rPr>
          <w:b/>
          <w:bCs/>
          <w:color w:val="000000"/>
        </w:rPr>
        <w:t>Motivación:</w:t>
      </w:r>
      <w:r w:rsidRPr="00814683">
        <w:rPr>
          <w:color w:val="000000"/>
        </w:rPr>
        <w:t xml:space="preserve"> Razonamientos lógico-jurídicos sobre porque se consideró en el caso en concreto, que se ajusta a la hipótesis normativa.</w:t>
      </w:r>
    </w:p>
    <w:p w14:paraId="0320BF6A" w14:textId="77777777" w:rsidR="00365B64" w:rsidRPr="00814683" w:rsidRDefault="00365B64" w:rsidP="004969B8">
      <w:pPr>
        <w:spacing w:after="0" w:line="360" w:lineRule="auto"/>
        <w:rPr>
          <w:color w:val="FF0000"/>
        </w:rPr>
      </w:pPr>
    </w:p>
    <w:p w14:paraId="1A5BF970" w14:textId="77777777" w:rsidR="00365B64" w:rsidRPr="00814683" w:rsidRDefault="00365B64" w:rsidP="004969B8">
      <w:pPr>
        <w:spacing w:after="0" w:line="360" w:lineRule="auto"/>
        <w:rPr>
          <w:color w:val="auto"/>
        </w:rPr>
      </w:pPr>
      <w:r w:rsidRPr="00814683">
        <w:rPr>
          <w:color w:val="auto"/>
        </w:rPr>
        <w:t>En ese orden de ideas, el Trigésimo tercero de los Lineamientos Generales previamente señalados, establece la forma en que se debe fundamentar y motivar la reserva de la información, es decir, a través de los siguientes pasos:</w:t>
      </w:r>
    </w:p>
    <w:p w14:paraId="557CEC72" w14:textId="77777777" w:rsidR="00365B64" w:rsidRPr="00814683" w:rsidRDefault="00365B64" w:rsidP="004969B8">
      <w:pPr>
        <w:spacing w:after="0" w:line="360" w:lineRule="auto"/>
        <w:rPr>
          <w:color w:val="auto"/>
        </w:rPr>
      </w:pPr>
    </w:p>
    <w:p w14:paraId="3487A915" w14:textId="77777777" w:rsidR="00365B64" w:rsidRPr="00814683" w:rsidRDefault="00365B64" w:rsidP="004969B8">
      <w:pPr>
        <w:numPr>
          <w:ilvl w:val="0"/>
          <w:numId w:val="30"/>
        </w:numPr>
        <w:spacing w:after="0" w:line="360" w:lineRule="auto"/>
        <w:rPr>
          <w:color w:val="auto"/>
        </w:rPr>
      </w:pPr>
      <w:r w:rsidRPr="00814683">
        <w:rPr>
          <w:color w:val="auto"/>
        </w:rPr>
        <w:t xml:space="preserve">Se deberá demostrar que la publicidad de la información generaría un riesgo de perjuicio, que rebasa el interés público; </w:t>
      </w:r>
    </w:p>
    <w:p w14:paraId="536E5209" w14:textId="77777777" w:rsidR="00365B64" w:rsidRPr="00814683" w:rsidRDefault="00365B64" w:rsidP="004969B8">
      <w:pPr>
        <w:spacing w:after="0" w:line="360" w:lineRule="auto"/>
        <w:ind w:left="720"/>
        <w:rPr>
          <w:color w:val="auto"/>
        </w:rPr>
      </w:pPr>
    </w:p>
    <w:p w14:paraId="4A4E0114" w14:textId="77777777" w:rsidR="00365B64" w:rsidRPr="00814683" w:rsidRDefault="00365B64" w:rsidP="004969B8">
      <w:pPr>
        <w:numPr>
          <w:ilvl w:val="0"/>
          <w:numId w:val="30"/>
        </w:numPr>
        <w:spacing w:after="0" w:line="360" w:lineRule="auto"/>
        <w:rPr>
          <w:color w:val="auto"/>
        </w:rPr>
      </w:pPr>
      <w:r w:rsidRPr="00814683">
        <w:rPr>
          <w:color w:val="auto"/>
        </w:rPr>
        <w:t xml:space="preserve">Se acreditará el vínculo entre la difusión de la información y la afectación del interés jurídico tutelado; </w:t>
      </w:r>
    </w:p>
    <w:p w14:paraId="2D8C45FE" w14:textId="77777777" w:rsidR="00365B64" w:rsidRPr="00814683" w:rsidRDefault="00365B64" w:rsidP="004969B8">
      <w:pPr>
        <w:spacing w:after="0" w:line="360" w:lineRule="auto"/>
        <w:ind w:left="720"/>
        <w:rPr>
          <w:color w:val="auto"/>
        </w:rPr>
      </w:pPr>
    </w:p>
    <w:p w14:paraId="7965E00F" w14:textId="77777777" w:rsidR="00365B64" w:rsidRPr="00814683" w:rsidRDefault="00365B64" w:rsidP="004969B8">
      <w:pPr>
        <w:numPr>
          <w:ilvl w:val="0"/>
          <w:numId w:val="30"/>
        </w:numPr>
        <w:spacing w:after="0" w:line="360" w:lineRule="auto"/>
        <w:rPr>
          <w:color w:val="auto"/>
        </w:rPr>
      </w:pPr>
      <w:r w:rsidRPr="00814683">
        <w:rPr>
          <w:color w:val="auto"/>
        </w:rPr>
        <w:t xml:space="preserve">Se precisará las razones objetivas por las que la apertura de la información generaría una afectación, por medio del riesgo real, demostrable e identificable; </w:t>
      </w:r>
    </w:p>
    <w:p w14:paraId="5451A7E5" w14:textId="77777777" w:rsidR="00365B64" w:rsidRPr="00814683" w:rsidRDefault="00365B64" w:rsidP="004969B8">
      <w:pPr>
        <w:spacing w:after="0" w:line="360" w:lineRule="auto"/>
        <w:ind w:left="720"/>
        <w:rPr>
          <w:color w:val="auto"/>
        </w:rPr>
      </w:pPr>
    </w:p>
    <w:p w14:paraId="5BA2CD30" w14:textId="77777777" w:rsidR="00365B64" w:rsidRPr="00814683" w:rsidRDefault="00365B64" w:rsidP="004969B8">
      <w:pPr>
        <w:numPr>
          <w:ilvl w:val="0"/>
          <w:numId w:val="30"/>
        </w:numPr>
        <w:spacing w:after="0" w:line="360" w:lineRule="auto"/>
        <w:rPr>
          <w:color w:val="auto"/>
        </w:rPr>
      </w:pPr>
      <w:r w:rsidRPr="00814683">
        <w:rPr>
          <w:color w:val="auto"/>
        </w:rPr>
        <w:t xml:space="preserve">Se deberán señalar las circunstancias de modo, tiempo y lugar del daño, y </w:t>
      </w:r>
    </w:p>
    <w:p w14:paraId="0FA691D8" w14:textId="77777777" w:rsidR="00365B64" w:rsidRPr="00814683" w:rsidRDefault="00365B64" w:rsidP="004969B8">
      <w:pPr>
        <w:spacing w:after="0" w:line="360" w:lineRule="auto"/>
        <w:ind w:left="720"/>
        <w:rPr>
          <w:color w:val="auto"/>
        </w:rPr>
      </w:pPr>
    </w:p>
    <w:p w14:paraId="0435B210" w14:textId="77777777" w:rsidR="00365B64" w:rsidRPr="00814683" w:rsidRDefault="00365B64" w:rsidP="004969B8">
      <w:pPr>
        <w:numPr>
          <w:ilvl w:val="0"/>
          <w:numId w:val="30"/>
        </w:numPr>
        <w:spacing w:after="0" w:line="360" w:lineRule="auto"/>
        <w:rPr>
          <w:color w:val="auto"/>
        </w:rPr>
      </w:pPr>
      <w:r w:rsidRPr="00814683">
        <w:rPr>
          <w:color w:val="auto"/>
        </w:rPr>
        <w:t>Se elegirá la opción de excepción al acceso a la información que menos restrinja, la cual será adecuada y proporcional para la protección del interés público.</w:t>
      </w:r>
    </w:p>
    <w:p w14:paraId="44D30466" w14:textId="77777777" w:rsidR="000254B1" w:rsidRPr="00814683" w:rsidRDefault="000254B1" w:rsidP="004969B8">
      <w:pPr>
        <w:spacing w:after="0" w:line="360" w:lineRule="auto"/>
        <w:rPr>
          <w:rFonts w:eastAsia="Times New Roman" w:cs="Times New Roman"/>
          <w:color w:val="auto"/>
          <w:lang w:val="es-ES"/>
        </w:rPr>
      </w:pPr>
    </w:p>
    <w:p w14:paraId="6E5C9D2F" w14:textId="16E3F721" w:rsidR="000254B1" w:rsidRPr="00814683" w:rsidRDefault="00365B64" w:rsidP="004969B8">
      <w:pPr>
        <w:spacing w:after="0" w:line="360" w:lineRule="auto"/>
      </w:pPr>
      <w:r w:rsidRPr="00814683">
        <w:t>Así, tomando en consideración, las formalidades previstas por la Ley de la Materia, de los Lineamientos Generales y el análisis de las constancias se logra advertir que el Sujeto Obligado no fundamentó, ni motivó la clasificación de la información, por las siguientes consideraciones:</w:t>
      </w:r>
    </w:p>
    <w:p w14:paraId="428C700D" w14:textId="77777777" w:rsidR="00365B64" w:rsidRPr="00814683" w:rsidRDefault="00365B64" w:rsidP="004969B8">
      <w:pPr>
        <w:spacing w:after="0" w:line="360" w:lineRule="auto"/>
      </w:pPr>
    </w:p>
    <w:p w14:paraId="20B36C01" w14:textId="10C54D3F" w:rsidR="00365B64" w:rsidRPr="00814683" w:rsidRDefault="00365B64" w:rsidP="004969B8">
      <w:pPr>
        <w:pStyle w:val="Prrafodelista"/>
        <w:numPr>
          <w:ilvl w:val="0"/>
          <w:numId w:val="31"/>
        </w:numPr>
        <w:spacing w:line="360" w:lineRule="auto"/>
        <w:rPr>
          <w:color w:val="auto"/>
        </w:rPr>
      </w:pPr>
      <w:r w:rsidRPr="00814683">
        <w:rPr>
          <w:color w:val="auto"/>
        </w:rPr>
        <w:t xml:space="preserve">No señaló de manera clara y precisa los artículos de los ordenamientos jurídicos aplicables; pues únicamente señaló que la información era reservada en términos de los 140 y el 143 de la Ley de </w:t>
      </w:r>
      <w:r w:rsidRPr="00814683">
        <w:rPr>
          <w:color w:val="auto"/>
          <w:lang w:val="es-ES"/>
        </w:rPr>
        <w:t>Transparencia y Acceso a la Información Pública del Estado de México y Municipios, sin especificar la causal de reserva específica, aunado al hecho que el artículo 143 corresponde a la información clasificada como confidencial.</w:t>
      </w:r>
    </w:p>
    <w:p w14:paraId="5DD93D93" w14:textId="29EE7B82" w:rsidR="00365B64" w:rsidRPr="00814683" w:rsidRDefault="00365B64" w:rsidP="004969B8">
      <w:pPr>
        <w:pStyle w:val="Prrafodelista"/>
        <w:numPr>
          <w:ilvl w:val="0"/>
          <w:numId w:val="31"/>
        </w:numPr>
        <w:spacing w:line="360" w:lineRule="auto"/>
        <w:rPr>
          <w:color w:val="auto"/>
        </w:rPr>
      </w:pPr>
      <w:r w:rsidRPr="00814683">
        <w:rPr>
          <w:color w:val="auto"/>
        </w:rPr>
        <w:t>No precisó las razones objetivas, concretas y específicas por las cuales la apertura de</w:t>
      </w:r>
      <w:r w:rsidR="003A1708" w:rsidRPr="00814683">
        <w:rPr>
          <w:color w:val="auto"/>
        </w:rPr>
        <w:t xml:space="preserve"> </w:t>
      </w:r>
      <w:r w:rsidRPr="00814683">
        <w:rPr>
          <w:color w:val="auto"/>
        </w:rPr>
        <w:t>la información generaría una afectación que rebase el interés público, pues, el Sujeto</w:t>
      </w:r>
      <w:r w:rsidR="003A1708" w:rsidRPr="00814683">
        <w:rPr>
          <w:color w:val="auto"/>
        </w:rPr>
        <w:t xml:space="preserve"> </w:t>
      </w:r>
      <w:r w:rsidRPr="00814683">
        <w:rPr>
          <w:color w:val="auto"/>
        </w:rPr>
        <w:t>Obligado no indicó las razones por las cuales considera que la información era</w:t>
      </w:r>
      <w:r w:rsidR="003A1708" w:rsidRPr="00814683">
        <w:rPr>
          <w:color w:val="auto"/>
        </w:rPr>
        <w:t xml:space="preserve"> </w:t>
      </w:r>
      <w:r w:rsidRPr="00814683">
        <w:rPr>
          <w:color w:val="auto"/>
        </w:rPr>
        <w:t>reservada;</w:t>
      </w:r>
    </w:p>
    <w:p w14:paraId="3D04F59B" w14:textId="48D2FF85" w:rsidR="003A1708" w:rsidRPr="00814683" w:rsidRDefault="003A1708" w:rsidP="004969B8">
      <w:pPr>
        <w:pStyle w:val="Prrafodelista"/>
        <w:numPr>
          <w:ilvl w:val="0"/>
          <w:numId w:val="31"/>
        </w:numPr>
        <w:spacing w:line="360" w:lineRule="auto"/>
        <w:rPr>
          <w:color w:val="auto"/>
        </w:rPr>
      </w:pPr>
      <w:r w:rsidRPr="00814683">
        <w:rPr>
          <w:color w:val="auto"/>
        </w:rPr>
        <w:t>No acreditó el vínculo entre la información peticionada y la afectación que podría causar;</w:t>
      </w:r>
    </w:p>
    <w:p w14:paraId="5EFF25C3" w14:textId="29EFEB1F" w:rsidR="003A1708" w:rsidRPr="00814683" w:rsidRDefault="003A1708" w:rsidP="004969B8">
      <w:pPr>
        <w:pStyle w:val="Prrafodelista"/>
        <w:numPr>
          <w:ilvl w:val="0"/>
          <w:numId w:val="31"/>
        </w:numPr>
        <w:spacing w:line="360" w:lineRule="auto"/>
        <w:rPr>
          <w:color w:val="auto"/>
        </w:rPr>
      </w:pPr>
      <w:r w:rsidRPr="00814683">
        <w:rPr>
          <w:color w:val="auto"/>
        </w:rPr>
        <w:t>Omitió señalar, las circunstancias de tiempo, modo y lugar del daño que produciría entreg</w:t>
      </w:r>
      <w:r w:rsidR="002857C4" w:rsidRPr="00814683">
        <w:rPr>
          <w:color w:val="auto"/>
        </w:rPr>
        <w:t>ar la información peticionada ,</w:t>
      </w:r>
    </w:p>
    <w:p w14:paraId="741BDEEC" w14:textId="22104AA4" w:rsidR="002857C4" w:rsidRPr="00814683" w:rsidRDefault="002857C4" w:rsidP="004969B8">
      <w:pPr>
        <w:pStyle w:val="Prrafodelista"/>
        <w:numPr>
          <w:ilvl w:val="0"/>
          <w:numId w:val="31"/>
        </w:numPr>
        <w:spacing w:line="360" w:lineRule="auto"/>
        <w:rPr>
          <w:color w:val="auto"/>
        </w:rPr>
      </w:pPr>
      <w:r w:rsidRPr="00814683">
        <w:rPr>
          <w:color w:val="auto"/>
        </w:rPr>
        <w:t xml:space="preserve">La reserva no se realizó específicamente analizando la información solicitada pues se realizó de manera genérica, y </w:t>
      </w:r>
    </w:p>
    <w:p w14:paraId="45588728" w14:textId="56D72AAC" w:rsidR="003A1708" w:rsidRPr="00814683" w:rsidRDefault="003A1708" w:rsidP="004969B8">
      <w:pPr>
        <w:pStyle w:val="Prrafodelista"/>
        <w:numPr>
          <w:ilvl w:val="0"/>
          <w:numId w:val="31"/>
        </w:numPr>
        <w:spacing w:line="360" w:lineRule="auto"/>
        <w:rPr>
          <w:color w:val="auto"/>
        </w:rPr>
      </w:pPr>
      <w:r w:rsidRPr="00814683">
        <w:rPr>
          <w:color w:val="auto"/>
        </w:rPr>
        <w:t>No se establecieron las razones, por las cuales la reserva era el medio menos restrictivo, para la protección del interés jurídico.</w:t>
      </w:r>
    </w:p>
    <w:p w14:paraId="660C2754" w14:textId="77777777" w:rsidR="002857C4" w:rsidRPr="00814683" w:rsidRDefault="002857C4" w:rsidP="004969B8">
      <w:pPr>
        <w:spacing w:after="0" w:line="360" w:lineRule="auto"/>
        <w:rPr>
          <w:color w:val="auto"/>
        </w:rPr>
      </w:pPr>
    </w:p>
    <w:p w14:paraId="6CE7FA84" w14:textId="31BBB4A0" w:rsidR="00671989" w:rsidRPr="00814683" w:rsidRDefault="00AB3597" w:rsidP="004969B8">
      <w:pPr>
        <w:spacing w:after="0" w:line="360" w:lineRule="auto"/>
        <w:rPr>
          <w:b/>
          <w:color w:val="auto"/>
        </w:rPr>
      </w:pPr>
      <w:r w:rsidRPr="00814683">
        <w:rPr>
          <w:color w:val="auto"/>
        </w:rPr>
        <w:t xml:space="preserve">Así, se advierte que el Sujeto Obligado, no fundamentó y motivó la reserva, pues no realizó de manera correcta, la prueba de daño,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w:t>
      </w:r>
      <w:r w:rsidRPr="00814683">
        <w:rPr>
          <w:color w:val="auto"/>
        </w:rPr>
        <w:lastRenderedPageBreak/>
        <w:t xml:space="preserve">producirse con la publicidad de la información es mayor que el interés de conocerla, lo cual da como resultado que el agravio sea </w:t>
      </w:r>
      <w:r w:rsidRPr="00814683">
        <w:rPr>
          <w:b/>
          <w:color w:val="auto"/>
        </w:rPr>
        <w:t>FUNDADO.</w:t>
      </w:r>
    </w:p>
    <w:p w14:paraId="090D2D1A" w14:textId="77777777" w:rsidR="00AB3597" w:rsidRPr="00814683" w:rsidRDefault="00AB3597" w:rsidP="004969B8">
      <w:pPr>
        <w:spacing w:after="0" w:line="360" w:lineRule="auto"/>
        <w:rPr>
          <w:b/>
          <w:color w:val="auto"/>
        </w:rPr>
      </w:pPr>
    </w:p>
    <w:p w14:paraId="59880327" w14:textId="4B549155" w:rsidR="00AB3597" w:rsidRPr="00814683" w:rsidRDefault="00E46C39" w:rsidP="004969B8">
      <w:pPr>
        <w:spacing w:after="0" w:line="360" w:lineRule="auto"/>
        <w:rPr>
          <w:color w:val="auto"/>
        </w:rPr>
      </w:pPr>
      <w:r w:rsidRPr="00814683">
        <w:rPr>
          <w:color w:val="auto"/>
        </w:rPr>
        <w:t>Ahora bien, sin menospreciar lo anterior, este Instituto procederá al análisis sobre si la información actualiza alguna causal de procedencia; para lo cual, es de señalar que se debe realizar una evaluación, caso por caso, a través de una prueba de daño, tomando como referencia, el principio de máxima publicidad y el interés público de dar a conocer la información requerida.</w:t>
      </w:r>
      <w:r w:rsidRPr="00814683">
        <w:rPr>
          <w:color w:val="auto"/>
        </w:rPr>
        <w:cr/>
      </w:r>
    </w:p>
    <w:p w14:paraId="02F41DFA" w14:textId="4E5F9983" w:rsidR="00E46C39" w:rsidRPr="00814683" w:rsidRDefault="00E46C39" w:rsidP="004969B8">
      <w:pPr>
        <w:spacing w:after="0" w:line="360" w:lineRule="auto"/>
      </w:pPr>
      <w:r w:rsidRPr="00814683">
        <w:t>En ese contexto, respecto a los conceptos señalados, en el artículo 9°, fracción VII, de la Ley de Transparencia y Acceso a la Información Pública del Estado de México y Municipios</w:t>
      </w:r>
      <w:r w:rsidR="0076365D" w:rsidRPr="00814683">
        <w:t>, establece</w:t>
      </w:r>
      <w:r w:rsidRPr="00814683">
        <w:t xml:space="preserve"> lo siguiente:</w:t>
      </w:r>
    </w:p>
    <w:p w14:paraId="37346F0C" w14:textId="77777777" w:rsidR="0076365D" w:rsidRPr="00814683" w:rsidRDefault="0076365D" w:rsidP="004969B8">
      <w:pPr>
        <w:spacing w:after="0" w:line="360" w:lineRule="auto"/>
      </w:pPr>
    </w:p>
    <w:p w14:paraId="55B53A20" w14:textId="4F8D7552" w:rsidR="0076365D" w:rsidRPr="00814683" w:rsidRDefault="0076365D" w:rsidP="004969B8">
      <w:pPr>
        <w:pStyle w:val="Prrafodelista"/>
        <w:numPr>
          <w:ilvl w:val="0"/>
          <w:numId w:val="32"/>
        </w:numPr>
        <w:spacing w:line="360" w:lineRule="auto"/>
        <w:rPr>
          <w:color w:val="auto"/>
        </w:rPr>
      </w:pPr>
      <w:r w:rsidRPr="00814683">
        <w:rPr>
          <w:b/>
          <w:color w:val="auto"/>
        </w:rPr>
        <w:t>Principio de Máxima Publicidad:</w:t>
      </w:r>
      <w:r w:rsidRPr="00814683">
        <w:rPr>
          <w:color w:val="auto"/>
        </w:rPr>
        <w:t xml:space="preserve"> Precisa que toda la información en posesión de los entes sujetos a las Leyes de Transparencia, es pública, completa, oportuna y accesible, sujeta a un claro régimen de excepciones.</w:t>
      </w:r>
    </w:p>
    <w:p w14:paraId="00DAB1E5" w14:textId="77777777" w:rsidR="0076365D" w:rsidRPr="00814683" w:rsidRDefault="0076365D" w:rsidP="004969B8">
      <w:pPr>
        <w:spacing w:after="0" w:line="360" w:lineRule="auto"/>
        <w:rPr>
          <w:color w:val="auto"/>
        </w:rPr>
      </w:pPr>
    </w:p>
    <w:p w14:paraId="392B1C9F" w14:textId="2531C7D0" w:rsidR="00E46C39" w:rsidRPr="00814683" w:rsidRDefault="0076365D" w:rsidP="004969B8">
      <w:pPr>
        <w:pStyle w:val="Prrafodelista"/>
        <w:numPr>
          <w:ilvl w:val="0"/>
          <w:numId w:val="32"/>
        </w:numPr>
        <w:spacing w:line="360" w:lineRule="auto"/>
        <w:rPr>
          <w:color w:val="auto"/>
        </w:rPr>
      </w:pPr>
      <w:r w:rsidRPr="00814683">
        <w:rPr>
          <w:b/>
          <w:color w:val="auto"/>
        </w:rPr>
        <w:t>Información de Interés Público:</w:t>
      </w:r>
      <w:r w:rsidRPr="00814683">
        <w:rPr>
          <w:color w:val="auto"/>
        </w:rPr>
        <w:t xml:space="preserve"> Es aquella que resulta relevante o beneficiosa para la sociedad y no simplemente de interés individual, cuya divulgación resulta útil para que el público comprenda las actividades que llevan a cabo los sujetos obligados.</w:t>
      </w:r>
    </w:p>
    <w:p w14:paraId="6DCDB3A2" w14:textId="77777777" w:rsidR="00777E05" w:rsidRPr="00814683" w:rsidRDefault="00777E05" w:rsidP="004969B8">
      <w:pPr>
        <w:spacing w:after="0" w:line="360" w:lineRule="auto"/>
      </w:pPr>
    </w:p>
    <w:p w14:paraId="0658424C" w14:textId="7CC61877" w:rsidR="00E46C39" w:rsidRPr="00814683" w:rsidRDefault="00B202F7" w:rsidP="004969B8">
      <w:pPr>
        <w:spacing w:after="0" w:line="360" w:lineRule="auto"/>
        <w:rPr>
          <w:color w:val="auto"/>
        </w:rPr>
      </w:pPr>
      <w:r w:rsidRPr="00814683">
        <w:t>Así, el análisis de la reserva de la información, será realizado tomando en consideración, el interés público que existe para entregar la información solicitada, con el fin dar cumplimiento cabal, al principio máxima publicidad; para lo cual, es necesario</w:t>
      </w:r>
      <w:r w:rsidR="00777E05" w:rsidRPr="00814683">
        <w:t xml:space="preserve"> en relación con la </w:t>
      </w:r>
      <w:r w:rsidR="00777E05" w:rsidRPr="00814683">
        <w:rPr>
          <w:b/>
          <w:color w:val="auto"/>
        </w:rPr>
        <w:t xml:space="preserve">licencia para la portación de arma </w:t>
      </w:r>
      <w:r w:rsidR="00777E05" w:rsidRPr="00814683">
        <w:rPr>
          <w:color w:val="auto"/>
        </w:rPr>
        <w:t xml:space="preserve">de fuego, a analizar si pudiera vulnerar la causal de reserva </w:t>
      </w:r>
      <w:r w:rsidR="00777E05" w:rsidRPr="00814683">
        <w:rPr>
          <w:color w:val="auto"/>
        </w:rPr>
        <w:lastRenderedPageBreak/>
        <w:t>establecida en el artículo 140, fracción I, de la Ley de Transparencia y Acceso a la Información Pública del Estado de México y Municipios, que prevé lo siguiente:</w:t>
      </w:r>
    </w:p>
    <w:p w14:paraId="13E49FDA" w14:textId="77777777" w:rsidR="00777E05" w:rsidRPr="00814683" w:rsidRDefault="00777E05" w:rsidP="004969B8">
      <w:pPr>
        <w:spacing w:after="0" w:line="360" w:lineRule="auto"/>
        <w:rPr>
          <w:color w:val="auto"/>
        </w:rPr>
      </w:pPr>
    </w:p>
    <w:p w14:paraId="44A22DB3" w14:textId="77777777" w:rsidR="00777E05" w:rsidRPr="00814683" w:rsidRDefault="00777E05" w:rsidP="004969B8">
      <w:pPr>
        <w:spacing w:after="0" w:line="360" w:lineRule="auto"/>
        <w:ind w:left="567" w:right="567"/>
        <w:rPr>
          <w:i/>
          <w:color w:val="auto"/>
          <w:sz w:val="20"/>
          <w:szCs w:val="20"/>
        </w:rPr>
      </w:pPr>
      <w:r w:rsidRPr="00814683">
        <w:rPr>
          <w:b/>
          <w:i/>
          <w:color w:val="auto"/>
          <w:sz w:val="20"/>
          <w:szCs w:val="20"/>
        </w:rPr>
        <w:t>“Artículo 140.</w:t>
      </w:r>
      <w:r w:rsidRPr="00814683">
        <w:rPr>
          <w:i/>
          <w:color w:val="auto"/>
          <w:sz w:val="20"/>
          <w:szCs w:val="20"/>
        </w:rPr>
        <w:t xml:space="preserve"> El acceso a la información pública será restringido excepcionalmente, cuando por razones de interés público, ésta sea clasificada como reservada, conforme a los criterios siguientes: </w:t>
      </w:r>
    </w:p>
    <w:p w14:paraId="1CC01441" w14:textId="77777777" w:rsidR="00777E05" w:rsidRPr="00814683" w:rsidRDefault="00777E05" w:rsidP="004969B8">
      <w:pPr>
        <w:spacing w:after="0" w:line="360" w:lineRule="auto"/>
        <w:ind w:left="567" w:right="567"/>
        <w:rPr>
          <w:i/>
          <w:color w:val="auto"/>
          <w:sz w:val="20"/>
          <w:szCs w:val="20"/>
        </w:rPr>
      </w:pPr>
    </w:p>
    <w:p w14:paraId="0FD5CE7E" w14:textId="77777777" w:rsidR="00777E05" w:rsidRPr="00814683" w:rsidRDefault="00777E05" w:rsidP="004969B8">
      <w:pPr>
        <w:spacing w:after="0" w:line="360" w:lineRule="auto"/>
        <w:ind w:left="567" w:right="567"/>
        <w:rPr>
          <w:i/>
          <w:color w:val="auto"/>
          <w:sz w:val="20"/>
          <w:szCs w:val="20"/>
        </w:rPr>
      </w:pPr>
      <w:r w:rsidRPr="00814683">
        <w:rPr>
          <w:i/>
          <w:color w:val="auto"/>
          <w:sz w:val="20"/>
          <w:szCs w:val="20"/>
        </w:rPr>
        <w:t>I. Comprometa la seguridad pública y cuente con un propósito genuino y un efecto demostrable;</w:t>
      </w:r>
    </w:p>
    <w:p w14:paraId="185F7930" w14:textId="77777777" w:rsidR="00777E05" w:rsidRPr="00814683" w:rsidRDefault="00777E05" w:rsidP="004969B8">
      <w:pPr>
        <w:spacing w:after="0" w:line="360" w:lineRule="auto"/>
        <w:ind w:left="567" w:right="567"/>
        <w:rPr>
          <w:i/>
          <w:color w:val="auto"/>
          <w:sz w:val="20"/>
          <w:szCs w:val="20"/>
        </w:rPr>
      </w:pPr>
      <w:r w:rsidRPr="00814683">
        <w:rPr>
          <w:i/>
          <w:color w:val="auto"/>
          <w:sz w:val="20"/>
          <w:szCs w:val="20"/>
        </w:rPr>
        <w:t>…”</w:t>
      </w:r>
    </w:p>
    <w:p w14:paraId="21B8EFDF" w14:textId="77777777" w:rsidR="00777E05" w:rsidRPr="00814683" w:rsidRDefault="00777E05" w:rsidP="004969B8">
      <w:pPr>
        <w:spacing w:after="0" w:line="360" w:lineRule="auto"/>
        <w:rPr>
          <w:color w:val="auto"/>
        </w:rPr>
      </w:pPr>
    </w:p>
    <w:p w14:paraId="4ED6F1C9" w14:textId="77777777" w:rsidR="00777E05" w:rsidRPr="00814683" w:rsidRDefault="00777E05" w:rsidP="004969B8">
      <w:pPr>
        <w:spacing w:after="0" w:line="360" w:lineRule="auto"/>
        <w:rPr>
          <w:color w:val="auto"/>
        </w:rPr>
      </w:pPr>
      <w:r w:rsidRPr="00814683">
        <w:rPr>
          <w:color w:val="auto"/>
        </w:rPr>
        <w:t>De dicho precepto normativo se desprende que podrá clasificarse como información reservada aquella cuya publicación comprometa la seguridad pública y cuente con un propósito genuino y un efecto demostrable. Por su parte, los Lineamientos Generales, disponen:</w:t>
      </w:r>
    </w:p>
    <w:p w14:paraId="27069991" w14:textId="77777777" w:rsidR="00777E05" w:rsidRPr="00814683" w:rsidRDefault="00777E05" w:rsidP="004969B8">
      <w:pPr>
        <w:spacing w:after="0" w:line="360" w:lineRule="auto"/>
        <w:rPr>
          <w:color w:val="auto"/>
        </w:rPr>
      </w:pPr>
    </w:p>
    <w:p w14:paraId="433E1895" w14:textId="77777777" w:rsidR="00777E05" w:rsidRPr="00814683" w:rsidRDefault="00777E05" w:rsidP="004969B8">
      <w:pPr>
        <w:spacing w:after="0" w:line="360" w:lineRule="auto"/>
        <w:ind w:left="567" w:right="567"/>
        <w:rPr>
          <w:i/>
          <w:color w:val="auto"/>
          <w:sz w:val="20"/>
          <w:szCs w:val="20"/>
        </w:rPr>
      </w:pPr>
      <w:r w:rsidRPr="00814683">
        <w:rPr>
          <w:b/>
          <w:i/>
          <w:color w:val="auto"/>
          <w:sz w:val="20"/>
          <w:szCs w:val="20"/>
        </w:rPr>
        <w:t>“Décimo octavo.</w:t>
      </w:r>
      <w:r w:rsidRPr="00814683">
        <w:rPr>
          <w:i/>
          <w:color w:val="auto"/>
          <w:sz w:val="20"/>
          <w:szCs w:val="20"/>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4041DBDA" w14:textId="77777777" w:rsidR="00777E05" w:rsidRPr="00814683" w:rsidRDefault="00777E05" w:rsidP="004969B8">
      <w:pPr>
        <w:spacing w:after="0" w:line="360" w:lineRule="auto"/>
        <w:ind w:left="567" w:right="567"/>
        <w:rPr>
          <w:i/>
          <w:color w:val="auto"/>
          <w:sz w:val="20"/>
          <w:szCs w:val="20"/>
        </w:rPr>
      </w:pPr>
    </w:p>
    <w:p w14:paraId="399C1E3A" w14:textId="77777777" w:rsidR="00777E05" w:rsidRPr="00814683" w:rsidRDefault="00777E05" w:rsidP="004969B8">
      <w:pPr>
        <w:spacing w:after="0" w:line="360" w:lineRule="auto"/>
        <w:ind w:left="567" w:right="567"/>
        <w:rPr>
          <w:i/>
          <w:color w:val="auto"/>
          <w:sz w:val="20"/>
          <w:szCs w:val="20"/>
        </w:rPr>
      </w:pPr>
      <w:r w:rsidRPr="00814683">
        <w:rPr>
          <w:i/>
          <w:color w:val="auto"/>
          <w:sz w:val="20"/>
          <w:szCs w:val="20"/>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35405D5B" w14:textId="77777777" w:rsidR="00777E05" w:rsidRPr="00814683" w:rsidRDefault="00777E05" w:rsidP="004969B8">
      <w:pPr>
        <w:spacing w:after="0" w:line="360" w:lineRule="auto"/>
        <w:ind w:left="567" w:right="567"/>
        <w:rPr>
          <w:i/>
          <w:color w:val="auto"/>
          <w:sz w:val="20"/>
          <w:szCs w:val="20"/>
        </w:rPr>
      </w:pPr>
    </w:p>
    <w:p w14:paraId="014A2E13" w14:textId="77777777" w:rsidR="00777E05" w:rsidRPr="00814683" w:rsidRDefault="00777E05" w:rsidP="004969B8">
      <w:pPr>
        <w:spacing w:after="0" w:line="360" w:lineRule="auto"/>
        <w:ind w:left="567" w:right="567"/>
        <w:rPr>
          <w:i/>
          <w:color w:val="auto"/>
          <w:sz w:val="20"/>
          <w:szCs w:val="20"/>
        </w:rPr>
      </w:pPr>
      <w:r w:rsidRPr="00814683">
        <w:rPr>
          <w:i/>
          <w:color w:val="auto"/>
          <w:sz w:val="20"/>
          <w:szCs w:val="20"/>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15D6435B" w14:textId="77777777" w:rsidR="00777E05" w:rsidRPr="00814683" w:rsidRDefault="00777E05" w:rsidP="004969B8">
      <w:pPr>
        <w:spacing w:after="0" w:line="360" w:lineRule="auto"/>
        <w:rPr>
          <w:color w:val="auto"/>
        </w:rPr>
      </w:pPr>
    </w:p>
    <w:p w14:paraId="57E2B33B" w14:textId="77777777" w:rsidR="00777E05" w:rsidRPr="00814683" w:rsidRDefault="00777E05" w:rsidP="004969B8">
      <w:pPr>
        <w:spacing w:after="0" w:line="360" w:lineRule="auto"/>
        <w:rPr>
          <w:color w:val="auto"/>
        </w:rPr>
      </w:pPr>
      <w:r w:rsidRPr="00814683">
        <w:rPr>
          <w:color w:val="auto"/>
        </w:rPr>
        <w:t>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w:t>
      </w:r>
    </w:p>
    <w:p w14:paraId="2F02B41E" w14:textId="77777777" w:rsidR="00777E05" w:rsidRPr="00814683" w:rsidRDefault="00777E05" w:rsidP="004969B8">
      <w:pPr>
        <w:spacing w:after="0" w:line="360" w:lineRule="auto"/>
        <w:rPr>
          <w:color w:val="auto"/>
        </w:rPr>
      </w:pPr>
    </w:p>
    <w:p w14:paraId="15C49E3F" w14:textId="77777777" w:rsidR="00777E05" w:rsidRPr="00814683" w:rsidRDefault="00777E05" w:rsidP="004969B8">
      <w:pPr>
        <w:spacing w:after="0" w:line="360" w:lineRule="auto"/>
        <w:rPr>
          <w:color w:val="auto"/>
        </w:rPr>
      </w:pPr>
      <w:r w:rsidRPr="00814683">
        <w:rPr>
          <w:color w:val="auto"/>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32F784F8" w14:textId="77777777" w:rsidR="00777E05" w:rsidRPr="00814683" w:rsidRDefault="00777E05" w:rsidP="004969B8">
      <w:pPr>
        <w:spacing w:after="0" w:line="360" w:lineRule="auto"/>
        <w:rPr>
          <w:color w:val="auto"/>
        </w:rPr>
      </w:pPr>
    </w:p>
    <w:p w14:paraId="5CB4ECC4" w14:textId="77777777" w:rsidR="00777E05" w:rsidRPr="00814683" w:rsidRDefault="00777E05" w:rsidP="004969B8">
      <w:pPr>
        <w:spacing w:after="0" w:line="360" w:lineRule="auto"/>
        <w:rPr>
          <w:color w:val="auto"/>
        </w:rPr>
      </w:pPr>
      <w:r w:rsidRPr="00814683">
        <w:rPr>
          <w:color w:val="auto"/>
        </w:rPr>
        <w:t>En ese orden de ideas, el artículo 81 de la Ley de Seguridad del Estado de México, que establece lo siguiente:</w:t>
      </w:r>
    </w:p>
    <w:p w14:paraId="23EC10C5" w14:textId="77777777" w:rsidR="00777E05" w:rsidRPr="00814683" w:rsidRDefault="00777E05" w:rsidP="004969B8">
      <w:pPr>
        <w:spacing w:after="0" w:line="360" w:lineRule="auto"/>
        <w:rPr>
          <w:color w:val="FF0000"/>
        </w:rPr>
      </w:pPr>
    </w:p>
    <w:p w14:paraId="324C08D2" w14:textId="77777777" w:rsidR="00777E05" w:rsidRPr="00814683" w:rsidRDefault="00777E05" w:rsidP="004969B8">
      <w:pPr>
        <w:spacing w:after="0" w:line="360" w:lineRule="auto"/>
        <w:ind w:left="567" w:right="567"/>
        <w:rPr>
          <w:i/>
          <w:color w:val="auto"/>
          <w:sz w:val="20"/>
          <w:szCs w:val="20"/>
        </w:rPr>
      </w:pPr>
      <w:r w:rsidRPr="00814683">
        <w:rPr>
          <w:b/>
          <w:i/>
          <w:color w:val="auto"/>
          <w:sz w:val="20"/>
          <w:szCs w:val="20"/>
        </w:rPr>
        <w:t>“Artículo 81.-</w:t>
      </w:r>
      <w:r w:rsidRPr="00814683">
        <w:rPr>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29FB1D0F" w14:textId="77777777" w:rsidR="00777E05" w:rsidRPr="00814683" w:rsidRDefault="00777E05" w:rsidP="004969B8">
      <w:pPr>
        <w:spacing w:after="0" w:line="360" w:lineRule="auto"/>
        <w:ind w:left="567" w:right="567"/>
        <w:rPr>
          <w:color w:val="auto"/>
        </w:rPr>
      </w:pPr>
    </w:p>
    <w:p w14:paraId="219687D7" w14:textId="77777777" w:rsidR="00777E05" w:rsidRPr="00814683" w:rsidRDefault="00777E05" w:rsidP="004969B8">
      <w:pPr>
        <w:spacing w:after="0" w:line="360" w:lineRule="auto"/>
        <w:ind w:left="567" w:right="567"/>
        <w:rPr>
          <w:i/>
          <w:color w:val="auto"/>
          <w:sz w:val="20"/>
          <w:szCs w:val="20"/>
        </w:rPr>
      </w:pPr>
      <w:r w:rsidRPr="00814683">
        <w:rPr>
          <w:i/>
          <w:color w:val="auto"/>
          <w:sz w:val="20"/>
          <w:szCs w:val="20"/>
        </w:rPr>
        <w:t xml:space="preserve">I.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26E61035" w14:textId="77777777" w:rsidR="00777E05" w:rsidRPr="00814683" w:rsidRDefault="00777E05" w:rsidP="004969B8">
      <w:pPr>
        <w:spacing w:after="0" w:line="360" w:lineRule="auto"/>
        <w:ind w:left="567" w:right="567"/>
        <w:rPr>
          <w:i/>
          <w:color w:val="auto"/>
          <w:sz w:val="20"/>
          <w:szCs w:val="20"/>
        </w:rPr>
      </w:pPr>
      <w:r w:rsidRPr="00814683">
        <w:rPr>
          <w:i/>
          <w:color w:val="auto"/>
          <w:sz w:val="20"/>
          <w:szCs w:val="20"/>
        </w:rPr>
        <w:t xml:space="preserve">II. Aquella cuya revelación pueda ser utilizada para actualizar o potenciar una amenaza a la seguridad pública o a las instituciones del Estado de México; </w:t>
      </w:r>
    </w:p>
    <w:p w14:paraId="63089792" w14:textId="77777777" w:rsidR="00777E05" w:rsidRPr="00814683" w:rsidRDefault="00777E05" w:rsidP="004969B8">
      <w:pPr>
        <w:spacing w:after="0" w:line="360" w:lineRule="auto"/>
        <w:ind w:left="567" w:right="567"/>
        <w:rPr>
          <w:i/>
          <w:color w:val="auto"/>
          <w:sz w:val="20"/>
          <w:szCs w:val="20"/>
        </w:rPr>
      </w:pPr>
      <w:r w:rsidRPr="00814683">
        <w:rPr>
          <w:i/>
          <w:color w:val="auto"/>
          <w:sz w:val="20"/>
          <w:szCs w:val="20"/>
        </w:rPr>
        <w:t xml:space="preserve">… </w:t>
      </w:r>
    </w:p>
    <w:p w14:paraId="5BAB9F78" w14:textId="77777777" w:rsidR="00777E05" w:rsidRPr="00814683" w:rsidRDefault="00777E05" w:rsidP="004969B8">
      <w:pPr>
        <w:spacing w:after="0" w:line="360" w:lineRule="auto"/>
        <w:ind w:left="567" w:right="567"/>
        <w:rPr>
          <w:i/>
          <w:color w:val="auto"/>
          <w:sz w:val="20"/>
          <w:szCs w:val="20"/>
        </w:rPr>
      </w:pPr>
      <w:r w:rsidRPr="00814683">
        <w:rPr>
          <w:i/>
          <w:color w:val="auto"/>
          <w:sz w:val="20"/>
          <w:szCs w:val="20"/>
        </w:rPr>
        <w:t xml:space="preserve">IV. La que sea producto de una intervención de comunicaciones privadas autorizadas conforme a la Constitución Federal y las disposiciones legales correspondientes; y </w:t>
      </w:r>
    </w:p>
    <w:p w14:paraId="621199DB" w14:textId="77777777" w:rsidR="00777E05" w:rsidRPr="00814683" w:rsidRDefault="00777E05" w:rsidP="004969B8">
      <w:pPr>
        <w:spacing w:after="0" w:line="360" w:lineRule="auto"/>
        <w:ind w:left="567" w:right="567"/>
        <w:rPr>
          <w:i/>
          <w:color w:val="auto"/>
          <w:sz w:val="20"/>
          <w:szCs w:val="20"/>
        </w:rPr>
      </w:pPr>
      <w:r w:rsidRPr="00814683">
        <w:rPr>
          <w:i/>
          <w:color w:val="auto"/>
          <w:sz w:val="20"/>
          <w:szCs w:val="20"/>
        </w:rPr>
        <w:lastRenderedPageBreak/>
        <w:t>V. La contenida en averiguaciones previas, carpetas de investigación, expedientes y demás archivos relativos a la investigación para la prevención y la investigación de los delitos y faltas administrativas, en términos de las disposiciones aplicables.”</w:t>
      </w:r>
    </w:p>
    <w:p w14:paraId="5848498A" w14:textId="77777777" w:rsidR="00777E05" w:rsidRPr="00814683" w:rsidRDefault="00777E05" w:rsidP="004969B8">
      <w:pPr>
        <w:spacing w:after="0" w:line="360" w:lineRule="auto"/>
        <w:rPr>
          <w:color w:val="FF0000"/>
        </w:rPr>
      </w:pPr>
    </w:p>
    <w:p w14:paraId="683A0AF2" w14:textId="77777777" w:rsidR="00777E05" w:rsidRPr="00814683" w:rsidRDefault="00777E05" w:rsidP="004969B8">
      <w:pPr>
        <w:spacing w:after="0" w:line="360" w:lineRule="auto"/>
        <w:rPr>
          <w:color w:val="auto"/>
        </w:rPr>
      </w:pPr>
      <w:r w:rsidRPr="00814683">
        <w:rPr>
          <w:color w:val="auto"/>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5C2E1A0" w14:textId="77777777" w:rsidR="00777E05" w:rsidRPr="00814683" w:rsidRDefault="00777E05" w:rsidP="004969B8">
      <w:pPr>
        <w:spacing w:after="0" w:line="360" w:lineRule="auto"/>
        <w:rPr>
          <w:color w:val="auto"/>
        </w:rPr>
      </w:pPr>
    </w:p>
    <w:p w14:paraId="70566654" w14:textId="4460FCEA" w:rsidR="00777E05" w:rsidRPr="00814683" w:rsidRDefault="00777E05" w:rsidP="004969B8">
      <w:pPr>
        <w:spacing w:after="0" w:line="360" w:lineRule="auto"/>
        <w:rPr>
          <w:color w:val="auto"/>
        </w:rPr>
      </w:pPr>
      <w:r w:rsidRPr="00814683">
        <w:rPr>
          <w:color w:val="auto"/>
        </w:rPr>
        <w:t xml:space="preserve">Una vez establecido lo anterior, resulta necesario precisar, que  la </w:t>
      </w:r>
      <w:r w:rsidRPr="00814683">
        <w:rPr>
          <w:b/>
          <w:color w:val="auto"/>
        </w:rPr>
        <w:t>licencia para la portación de arma</w:t>
      </w:r>
      <w:r w:rsidRPr="00814683">
        <w:rPr>
          <w:color w:val="auto"/>
        </w:rPr>
        <w:t>, podrían tener las características específicas de los mismos, por lo que este Instituto  advierte que proporcionar las características o especificaciones de los equipos o armamento adquiridos, revelaría la nueva tecnología, sistemas  y componentes, con los que cuenta la  Dirección ,  pues al proporcionar información sobre el </w:t>
      </w:r>
      <w:r w:rsidRPr="00814683">
        <w:rPr>
          <w:b/>
          <w:color w:val="auto"/>
        </w:rPr>
        <w:t>armamento,  blindaje y radios con los que cuenta el personal de seguridad pública,</w:t>
      </w:r>
      <w:r w:rsidRPr="00814683">
        <w:rPr>
          <w:color w:val="auto"/>
        </w:rPr>
        <w:t> se estaría dando cuenta de los aparatos que se utilizan para estar en comunicación los policías municipales, así como, las características del equipo y armamento especial, con el que cuentan el personal, y que es utilizado para mantener la seguridad dentro del territorio del Municipio.</w:t>
      </w:r>
    </w:p>
    <w:p w14:paraId="3DA08EFD" w14:textId="77777777" w:rsidR="00777E05" w:rsidRPr="00814683" w:rsidRDefault="00777E05" w:rsidP="004969B8">
      <w:pPr>
        <w:spacing w:after="0" w:line="360" w:lineRule="auto"/>
        <w:rPr>
          <w:color w:val="FF0000"/>
        </w:rPr>
      </w:pPr>
    </w:p>
    <w:p w14:paraId="539A5E18" w14:textId="57D4A5CB" w:rsidR="00777E05" w:rsidRPr="00814683" w:rsidRDefault="00777E05" w:rsidP="004969B8">
      <w:pPr>
        <w:spacing w:after="0" w:line="360" w:lineRule="auto"/>
        <w:rPr>
          <w:color w:val="auto"/>
        </w:rPr>
      </w:pPr>
      <w:r w:rsidRPr="00814683">
        <w:rPr>
          <w:color w:val="auto"/>
        </w:rPr>
        <w:t>Inclusive, dar a conocer las especificaciones y características de dicho equipamiento, podría ocasionar que los entes delincuenciales busquen allegarse de instrumentos para disminuir o destruir estos, con el fin de aumentar la inseguridad de Tianguistenco y poner en riesgo la integridad en el caso en concreto de los elementos, pues podría ser utilizada dicha información para buscar las debilidades de las mismas y poderse aprovechar de dichas situaciones para realizar diversos delitos, lo cual va en detrimento de la paz y orden social.</w:t>
      </w:r>
    </w:p>
    <w:p w14:paraId="68D850CE" w14:textId="77777777" w:rsidR="00AE7136" w:rsidRPr="00814683" w:rsidRDefault="00777E05" w:rsidP="004969B8">
      <w:pPr>
        <w:spacing w:after="0" w:line="360" w:lineRule="auto"/>
        <w:rPr>
          <w:color w:val="auto"/>
        </w:rPr>
      </w:pPr>
      <w:r w:rsidRPr="00814683">
        <w:rPr>
          <w:color w:val="auto"/>
        </w:rPr>
        <w:lastRenderedPageBreak/>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w:t>
      </w:r>
      <w:r w:rsidR="0045782F" w:rsidRPr="00814683">
        <w:rPr>
          <w:color w:val="auto"/>
        </w:rPr>
        <w:t>de los derechos de las personas y</w:t>
      </w:r>
      <w:r w:rsidRPr="00814683">
        <w:rPr>
          <w:color w:val="auto"/>
        </w:rPr>
        <w:t xml:space="preserve">  los elementos, así como para el mantenimiento del orden público, toda vez </w:t>
      </w:r>
      <w:r w:rsidRPr="00814683">
        <w:rPr>
          <w:b/>
          <w:color w:val="auto"/>
        </w:rPr>
        <w:t>que da cuenta del armamento utilizado por los elementos de la Dirección General de Seguridad y Protección</w:t>
      </w:r>
      <w:r w:rsidR="0045782F" w:rsidRPr="00814683">
        <w:rPr>
          <w:b/>
          <w:color w:val="auto"/>
        </w:rPr>
        <w:t xml:space="preserve">; </w:t>
      </w:r>
      <w:r w:rsidR="0045782F" w:rsidRPr="00814683">
        <w:rPr>
          <w:color w:val="auto"/>
        </w:rPr>
        <w:t xml:space="preserve">sin embargo la Licencia Oficial Colectiva para la portación de arma de arma de fuego  constituye un elemento fundamental para legalizar la portación de armas de uso exclusivo del Ejército por parte de corporaciones policiales y empresas de seguridad privada. </w:t>
      </w:r>
    </w:p>
    <w:p w14:paraId="2EDA4884" w14:textId="77777777" w:rsidR="00AE7136" w:rsidRPr="00814683" w:rsidRDefault="00AE7136" w:rsidP="004969B8">
      <w:pPr>
        <w:spacing w:after="0" w:line="360" w:lineRule="auto"/>
        <w:rPr>
          <w:color w:val="auto"/>
        </w:rPr>
      </w:pPr>
    </w:p>
    <w:p w14:paraId="117CE28F" w14:textId="4DA0DA0F" w:rsidR="0045782F" w:rsidRPr="00814683" w:rsidRDefault="0045782F" w:rsidP="004969B8">
      <w:pPr>
        <w:spacing w:after="0" w:line="360" w:lineRule="auto"/>
        <w:rPr>
          <w:color w:val="auto"/>
        </w:rPr>
      </w:pPr>
      <w:r w:rsidRPr="00814683">
        <w:rPr>
          <w:b/>
          <w:color w:val="auto"/>
        </w:rPr>
        <w:t xml:space="preserve">Asegura el control estatal, la capacitación del personal y la responsabilidad institucional, garantizando que el armamento se use exclusivamente en funciones de seguridad n el cual además, aporta certeza a la ciudadanía sobre la legalidad de sus fuerzas de seguridad y fortalece la gobernabilidad en las administraciones locales, </w:t>
      </w:r>
      <w:r w:rsidRPr="00814683">
        <w:rPr>
          <w:color w:val="auto"/>
        </w:rPr>
        <w:t xml:space="preserve">por lo que la licencia de portación de arma de fuego de los elementos de seguridad no actualiza la causal de clasificación prevista en el artículo 140, fracción I de la Ley de Transparencia y Acceso a la Información Pública del Estado de México; sin embargo, por cuanto hace a la información </w:t>
      </w:r>
      <w:r w:rsidRPr="00814683">
        <w:t>sobre el </w:t>
      </w:r>
      <w:r w:rsidRPr="00814683">
        <w:rPr>
          <w:b/>
          <w:bCs/>
        </w:rPr>
        <w:t xml:space="preserve">armamento, municiones, blindaje y demás características del armamento del personal de seguridad contenidos en la </w:t>
      </w:r>
      <w:r w:rsidRPr="00814683">
        <w:rPr>
          <w:bCs/>
        </w:rPr>
        <w:t>licencia de portación de arma de fuego, acreditarían la  causal de clasificación prevista en el artículo 140, fracción I de la Ley de Transparencia y Acceso a la Información Pública del Estado de México.</w:t>
      </w:r>
    </w:p>
    <w:p w14:paraId="12E91AEE" w14:textId="77777777" w:rsidR="0045782F" w:rsidRPr="00814683" w:rsidRDefault="0045782F" w:rsidP="004969B8">
      <w:pPr>
        <w:spacing w:after="0" w:line="360" w:lineRule="auto"/>
        <w:rPr>
          <w:b/>
          <w:color w:val="auto"/>
        </w:rPr>
      </w:pPr>
    </w:p>
    <w:p w14:paraId="1B2D72F8" w14:textId="082DBDDA" w:rsidR="00930F78" w:rsidRPr="00814683" w:rsidRDefault="00930F78" w:rsidP="004969B8">
      <w:pPr>
        <w:spacing w:after="0" w:line="360" w:lineRule="auto"/>
        <w:rPr>
          <w:b/>
          <w:color w:val="auto"/>
        </w:rPr>
      </w:pPr>
      <w:r w:rsidRPr="00814683">
        <w:rPr>
          <w:color w:val="auto"/>
        </w:rPr>
        <w:t xml:space="preserve">Por tales consideraciones, </w:t>
      </w:r>
      <w:r w:rsidRPr="00814683">
        <w:rPr>
          <w:b/>
          <w:color w:val="auto"/>
        </w:rPr>
        <w:t>resulta procedente la reserva, en términos del artículo 140, fracción I, de la Ley de Transparencia y Acceso a la Información Pública del Estado de México y Municipios, respecto a las características del armamento, localizado en su caso, en las licencias de portación de armas de fuego de los elementos de seguridad pública.</w:t>
      </w:r>
    </w:p>
    <w:p w14:paraId="287E15D2" w14:textId="5FAF3668" w:rsidR="00DB405F" w:rsidRPr="00814683" w:rsidRDefault="00DB405F" w:rsidP="004969B8">
      <w:pPr>
        <w:spacing w:after="0" w:line="360" w:lineRule="auto"/>
        <w:rPr>
          <w:color w:val="auto"/>
        </w:rPr>
      </w:pPr>
      <w:r w:rsidRPr="00814683">
        <w:rPr>
          <w:color w:val="auto"/>
        </w:rPr>
        <w:lastRenderedPageBreak/>
        <w:t xml:space="preserve">En relación con </w:t>
      </w:r>
      <w:r w:rsidR="00445AFC" w:rsidRPr="00814683">
        <w:rPr>
          <w:color w:val="auto"/>
        </w:rPr>
        <w:t>el nombre</w:t>
      </w:r>
      <w:r w:rsidR="00FA2470" w:rsidRPr="00814683">
        <w:rPr>
          <w:color w:val="auto"/>
        </w:rPr>
        <w:t xml:space="preserve"> </w:t>
      </w:r>
      <w:r w:rsidRPr="00814683">
        <w:rPr>
          <w:color w:val="auto"/>
        </w:rPr>
        <w:t>de los elementos operativos en materia de seguridad pública</w:t>
      </w:r>
      <w:r w:rsidRPr="00814683">
        <w:rPr>
          <w:rFonts w:eastAsia="Calibri" w:cs="Times New Roman"/>
          <w:color w:val="auto"/>
        </w:rPr>
        <w:t>; al respecto, con relación, los primeros dos datos referidos, el artículo 140, fracción IV, de la Ley de Transparencia y Acceso a la Información Pública del Estado de México y Municipios, prevé lo siguiente:</w:t>
      </w:r>
    </w:p>
    <w:p w14:paraId="0817EC3D" w14:textId="77777777" w:rsidR="00DB405F" w:rsidRPr="00814683" w:rsidRDefault="00DB405F" w:rsidP="004969B8">
      <w:pPr>
        <w:tabs>
          <w:tab w:val="left" w:pos="4962"/>
        </w:tabs>
        <w:spacing w:after="0" w:line="360" w:lineRule="auto"/>
        <w:ind w:left="567" w:right="567"/>
        <w:rPr>
          <w:i/>
          <w:color w:val="auto"/>
        </w:rPr>
      </w:pPr>
    </w:p>
    <w:p w14:paraId="18CE9690" w14:textId="77777777" w:rsidR="00DB405F" w:rsidRPr="00814683" w:rsidRDefault="00DB405F" w:rsidP="004969B8">
      <w:pPr>
        <w:tabs>
          <w:tab w:val="left" w:pos="4962"/>
        </w:tabs>
        <w:spacing w:after="0" w:line="360" w:lineRule="auto"/>
        <w:ind w:left="567" w:right="567"/>
        <w:rPr>
          <w:i/>
          <w:color w:val="auto"/>
          <w:sz w:val="20"/>
          <w:szCs w:val="20"/>
        </w:rPr>
      </w:pPr>
      <w:r w:rsidRPr="00814683">
        <w:rPr>
          <w:i/>
          <w:color w:val="auto"/>
          <w:sz w:val="20"/>
          <w:szCs w:val="20"/>
        </w:rPr>
        <w:t xml:space="preserve"> “</w:t>
      </w:r>
      <w:r w:rsidRPr="00814683">
        <w:rPr>
          <w:b/>
          <w:i/>
          <w:color w:val="auto"/>
          <w:sz w:val="20"/>
          <w:szCs w:val="20"/>
        </w:rPr>
        <w:t>Artículo 140.</w:t>
      </w:r>
      <w:r w:rsidRPr="00814683">
        <w:rPr>
          <w:i/>
          <w:color w:val="auto"/>
          <w:sz w:val="20"/>
          <w:szCs w:val="20"/>
        </w:rPr>
        <w:t xml:space="preserve"> El acceso a la información pública será restringido excepcionalmente, cuando por razones de interés público, ésta sea clasificada como reservada, conforme a los criterios siguientes: </w:t>
      </w:r>
    </w:p>
    <w:p w14:paraId="4872C0D8" w14:textId="77777777" w:rsidR="00DB405F" w:rsidRPr="00814683" w:rsidRDefault="00DB405F" w:rsidP="004969B8">
      <w:pPr>
        <w:tabs>
          <w:tab w:val="left" w:pos="4962"/>
        </w:tabs>
        <w:spacing w:after="0" w:line="360" w:lineRule="auto"/>
        <w:ind w:left="567" w:right="567"/>
        <w:rPr>
          <w:i/>
          <w:color w:val="auto"/>
          <w:sz w:val="20"/>
          <w:szCs w:val="20"/>
        </w:rPr>
      </w:pPr>
      <w:r w:rsidRPr="00814683">
        <w:rPr>
          <w:i/>
          <w:color w:val="auto"/>
          <w:sz w:val="20"/>
          <w:szCs w:val="20"/>
        </w:rPr>
        <w:t>…</w:t>
      </w:r>
    </w:p>
    <w:p w14:paraId="755CF096" w14:textId="77777777" w:rsidR="00DB405F" w:rsidRPr="00814683" w:rsidRDefault="00DB405F" w:rsidP="004969B8">
      <w:pPr>
        <w:tabs>
          <w:tab w:val="left" w:pos="4962"/>
        </w:tabs>
        <w:spacing w:after="0" w:line="360" w:lineRule="auto"/>
        <w:ind w:left="567" w:right="567"/>
        <w:rPr>
          <w:i/>
          <w:color w:val="auto"/>
          <w:sz w:val="20"/>
          <w:szCs w:val="20"/>
        </w:rPr>
      </w:pPr>
      <w:r w:rsidRPr="00814683">
        <w:rPr>
          <w:i/>
          <w:color w:val="auto"/>
          <w:sz w:val="20"/>
          <w:szCs w:val="20"/>
        </w:rPr>
        <w:t>IV. Ponga en riesgo la vida, la seguridad o la salud de una persona física;</w:t>
      </w:r>
    </w:p>
    <w:p w14:paraId="0986ADB2" w14:textId="77777777" w:rsidR="00DB405F" w:rsidRPr="00814683" w:rsidRDefault="00DB405F" w:rsidP="004969B8">
      <w:pPr>
        <w:tabs>
          <w:tab w:val="left" w:pos="4962"/>
        </w:tabs>
        <w:spacing w:after="0" w:line="360" w:lineRule="auto"/>
        <w:ind w:left="567" w:right="567"/>
        <w:rPr>
          <w:i/>
          <w:color w:val="auto"/>
          <w:sz w:val="20"/>
          <w:szCs w:val="20"/>
        </w:rPr>
      </w:pPr>
      <w:r w:rsidRPr="00814683">
        <w:rPr>
          <w:i/>
          <w:color w:val="auto"/>
          <w:sz w:val="20"/>
          <w:szCs w:val="20"/>
        </w:rPr>
        <w:t xml:space="preserve">…” </w:t>
      </w:r>
    </w:p>
    <w:p w14:paraId="0EC23B3E" w14:textId="77777777" w:rsidR="00DB405F" w:rsidRPr="00814683" w:rsidRDefault="00DB405F" w:rsidP="004969B8">
      <w:pPr>
        <w:spacing w:after="0" w:line="360" w:lineRule="auto"/>
        <w:rPr>
          <w:color w:val="auto"/>
        </w:rPr>
      </w:pPr>
    </w:p>
    <w:p w14:paraId="4C676821" w14:textId="77777777" w:rsidR="00DB405F" w:rsidRPr="00814683" w:rsidRDefault="00DB405F" w:rsidP="004969B8">
      <w:pPr>
        <w:spacing w:after="0" w:line="360" w:lineRule="auto"/>
        <w:rPr>
          <w:color w:val="auto"/>
        </w:rPr>
      </w:pPr>
      <w:r w:rsidRPr="00814683">
        <w:rPr>
          <w:color w:val="auto"/>
        </w:rPr>
        <w:t>Del precepto legal anteriormente citado se desprende que como información reservada podrá clasificarse aquella cuya publicación pueda poner en riesgo la vida, seguridad o salud de una persona física; para acreditar lo anterior, los Lineamientos Generales vigentes a la fecha de la solicitud, establecen lo siguiente:</w:t>
      </w:r>
    </w:p>
    <w:p w14:paraId="36129314" w14:textId="77777777" w:rsidR="00DB405F" w:rsidRPr="00814683" w:rsidRDefault="00DB405F" w:rsidP="004969B8">
      <w:pPr>
        <w:spacing w:after="0" w:line="360" w:lineRule="auto"/>
        <w:rPr>
          <w:color w:val="auto"/>
        </w:rPr>
      </w:pPr>
    </w:p>
    <w:p w14:paraId="01A13EFC" w14:textId="77777777" w:rsidR="00DB405F" w:rsidRPr="00814683" w:rsidRDefault="00DB405F" w:rsidP="004969B8">
      <w:pPr>
        <w:spacing w:after="0" w:line="360" w:lineRule="auto"/>
        <w:ind w:left="567" w:right="567"/>
        <w:rPr>
          <w:i/>
          <w:color w:val="auto"/>
          <w:sz w:val="20"/>
          <w:szCs w:val="20"/>
        </w:rPr>
      </w:pPr>
      <w:r w:rsidRPr="00814683">
        <w:rPr>
          <w:b/>
          <w:i/>
          <w:color w:val="auto"/>
          <w:sz w:val="20"/>
          <w:szCs w:val="20"/>
        </w:rPr>
        <w:t xml:space="preserve">“Vigésimo tercero. </w:t>
      </w:r>
      <w:r w:rsidRPr="00814683">
        <w:rPr>
          <w:i/>
          <w:color w:val="auto"/>
          <w:sz w:val="20"/>
          <w:szCs w:val="20"/>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14:paraId="21F9FF6C" w14:textId="77777777" w:rsidR="00DB405F" w:rsidRPr="00814683" w:rsidRDefault="00DB405F" w:rsidP="004969B8">
      <w:pPr>
        <w:spacing w:after="0" w:line="360" w:lineRule="auto"/>
        <w:ind w:left="567" w:right="567"/>
        <w:rPr>
          <w:i/>
          <w:color w:val="auto"/>
          <w:sz w:val="20"/>
          <w:szCs w:val="20"/>
        </w:rPr>
      </w:pPr>
    </w:p>
    <w:p w14:paraId="0EC89CB8" w14:textId="77777777" w:rsidR="00DB405F" w:rsidRPr="00814683" w:rsidRDefault="00DB405F" w:rsidP="004969B8">
      <w:pPr>
        <w:spacing w:after="0" w:line="360" w:lineRule="auto"/>
        <w:rPr>
          <w:b/>
          <w:color w:val="auto"/>
        </w:rPr>
      </w:pPr>
      <w:r w:rsidRPr="00814683">
        <w:rPr>
          <w:color w:val="auto"/>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14:paraId="4130EC96" w14:textId="77777777" w:rsidR="00DB405F" w:rsidRPr="00814683" w:rsidRDefault="00DB405F" w:rsidP="004969B8">
      <w:pPr>
        <w:spacing w:after="0" w:line="360" w:lineRule="auto"/>
        <w:rPr>
          <w:color w:val="auto"/>
        </w:rPr>
      </w:pPr>
    </w:p>
    <w:p w14:paraId="0CF11F5C" w14:textId="77777777" w:rsidR="00DB405F" w:rsidRPr="00814683" w:rsidRDefault="00DB405F" w:rsidP="004969B8">
      <w:pPr>
        <w:spacing w:after="0" w:line="360" w:lineRule="auto"/>
        <w:rPr>
          <w:color w:val="auto"/>
        </w:rPr>
      </w:pPr>
      <w:r w:rsidRPr="00814683">
        <w:rPr>
          <w:color w:val="auto"/>
        </w:rPr>
        <w:lastRenderedPageBreak/>
        <w:t>Además, el artículo 81, fracción III, de la Ley de Seguridad del Estado de México, establece lo siguiente:</w:t>
      </w:r>
    </w:p>
    <w:p w14:paraId="194CB496" w14:textId="77777777" w:rsidR="00DB405F" w:rsidRPr="00814683" w:rsidRDefault="00DB405F" w:rsidP="004969B8">
      <w:pPr>
        <w:spacing w:after="0" w:line="360" w:lineRule="auto"/>
        <w:rPr>
          <w:color w:val="FF0000"/>
        </w:rPr>
      </w:pPr>
    </w:p>
    <w:p w14:paraId="2EB89FC2" w14:textId="77777777" w:rsidR="00DB405F" w:rsidRPr="00814683" w:rsidRDefault="00DB405F" w:rsidP="004969B8">
      <w:pPr>
        <w:spacing w:after="0" w:line="360" w:lineRule="auto"/>
        <w:ind w:left="567" w:right="567"/>
        <w:rPr>
          <w:i/>
          <w:color w:val="auto"/>
          <w:sz w:val="20"/>
          <w:szCs w:val="20"/>
        </w:rPr>
      </w:pPr>
      <w:r w:rsidRPr="00814683">
        <w:rPr>
          <w:b/>
          <w:i/>
          <w:color w:val="auto"/>
          <w:sz w:val="20"/>
          <w:szCs w:val="20"/>
        </w:rPr>
        <w:t>“Artículo 81.-</w:t>
      </w:r>
      <w:r w:rsidRPr="00814683">
        <w:rPr>
          <w:i/>
          <w:color w:val="auto"/>
          <w:sz w:val="20"/>
          <w:szCs w:val="2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7BD590F7" w14:textId="77777777" w:rsidR="00DB405F" w:rsidRPr="00814683" w:rsidRDefault="00DB405F" w:rsidP="004969B8">
      <w:pPr>
        <w:spacing w:after="0" w:line="360" w:lineRule="auto"/>
        <w:ind w:left="567" w:right="567"/>
        <w:rPr>
          <w:i/>
          <w:color w:val="auto"/>
          <w:sz w:val="20"/>
          <w:szCs w:val="20"/>
        </w:rPr>
      </w:pPr>
      <w:r w:rsidRPr="00814683">
        <w:rPr>
          <w:i/>
          <w:color w:val="auto"/>
          <w:sz w:val="20"/>
          <w:szCs w:val="20"/>
        </w:rPr>
        <w:t>…</w:t>
      </w:r>
    </w:p>
    <w:p w14:paraId="4B275C79" w14:textId="77777777" w:rsidR="00DB405F" w:rsidRPr="00814683" w:rsidRDefault="00DB405F" w:rsidP="004969B8">
      <w:pPr>
        <w:spacing w:after="0" w:line="360" w:lineRule="auto"/>
        <w:ind w:left="567" w:right="567"/>
        <w:rPr>
          <w:i/>
          <w:color w:val="auto"/>
          <w:sz w:val="20"/>
          <w:szCs w:val="20"/>
        </w:rPr>
      </w:pPr>
      <w:r w:rsidRPr="00814683">
        <w:rPr>
          <w:i/>
          <w:color w:val="auto"/>
          <w:sz w:val="20"/>
          <w:szCs w:val="20"/>
        </w:rPr>
        <w:t>III. La relativa a los servidores públicos integrantes de las instituciones de seguridad pública, cuya revelación pueda poner en riesgo su vida e integridad física con motivo de sus funciones;</w:t>
      </w:r>
    </w:p>
    <w:p w14:paraId="40137AD4" w14:textId="77777777" w:rsidR="00DB405F" w:rsidRPr="00814683" w:rsidRDefault="00DB405F" w:rsidP="004969B8">
      <w:pPr>
        <w:spacing w:after="0" w:line="360" w:lineRule="auto"/>
        <w:ind w:left="567" w:right="567"/>
        <w:rPr>
          <w:i/>
          <w:color w:val="auto"/>
          <w:sz w:val="20"/>
          <w:szCs w:val="20"/>
        </w:rPr>
      </w:pPr>
      <w:r w:rsidRPr="00814683">
        <w:rPr>
          <w:i/>
          <w:color w:val="auto"/>
          <w:sz w:val="20"/>
          <w:szCs w:val="20"/>
        </w:rPr>
        <w:t>…”</w:t>
      </w:r>
    </w:p>
    <w:p w14:paraId="465BEDEF" w14:textId="77777777" w:rsidR="00DB405F" w:rsidRPr="00814683" w:rsidRDefault="00DB405F" w:rsidP="004969B8">
      <w:pPr>
        <w:spacing w:after="0" w:line="360" w:lineRule="auto"/>
        <w:rPr>
          <w:color w:val="FF0000"/>
          <w:sz w:val="20"/>
          <w:szCs w:val="20"/>
        </w:rPr>
      </w:pPr>
    </w:p>
    <w:p w14:paraId="4FC3B846" w14:textId="77777777" w:rsidR="00DB405F" w:rsidRPr="00814683" w:rsidRDefault="00DB405F" w:rsidP="004969B8">
      <w:pPr>
        <w:spacing w:after="0" w:line="360" w:lineRule="auto"/>
        <w:rPr>
          <w:color w:val="auto"/>
        </w:rPr>
      </w:pPr>
      <w:r w:rsidRPr="00814683">
        <w:rPr>
          <w:color w:val="auto"/>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22813617" w14:textId="77777777" w:rsidR="00DB405F" w:rsidRPr="00814683" w:rsidRDefault="00DB405F" w:rsidP="004969B8">
      <w:pPr>
        <w:spacing w:after="0" w:line="360" w:lineRule="auto"/>
        <w:rPr>
          <w:color w:val="auto"/>
        </w:rPr>
      </w:pPr>
    </w:p>
    <w:p w14:paraId="5204CFF8" w14:textId="77777777" w:rsidR="00DB405F" w:rsidRPr="00814683" w:rsidRDefault="00DB405F" w:rsidP="004969B8">
      <w:pPr>
        <w:spacing w:after="0" w:line="360" w:lineRule="auto"/>
        <w:rPr>
          <w:color w:val="auto"/>
        </w:rPr>
      </w:pPr>
      <w:r w:rsidRPr="00814683">
        <w:rPr>
          <w:color w:val="auto"/>
        </w:rPr>
        <w:t>En ese contexto, es de señalar que los datos de servidores públicos, entre los que se encuentran el nombre de los trabajadores, por regla general, son de naturaleza pública, de conformidad con el artículo 92, fracción VII, de la Ley de Transparencia y Acceso a la Información Pública del Estado de México y Municipios.</w:t>
      </w:r>
    </w:p>
    <w:p w14:paraId="1DAB3F1A" w14:textId="77777777" w:rsidR="00DB405F" w:rsidRPr="00814683" w:rsidRDefault="00DB405F" w:rsidP="004969B8">
      <w:pPr>
        <w:spacing w:after="0" w:line="360" w:lineRule="auto"/>
        <w:rPr>
          <w:color w:val="FF0000"/>
        </w:rPr>
      </w:pPr>
    </w:p>
    <w:p w14:paraId="4DA09266" w14:textId="77777777" w:rsidR="00DB405F" w:rsidRPr="00814683" w:rsidRDefault="00DB405F" w:rsidP="004969B8">
      <w:pPr>
        <w:spacing w:after="0" w:line="360" w:lineRule="auto"/>
        <w:rPr>
          <w:color w:val="auto"/>
        </w:rPr>
      </w:pPr>
      <w:r w:rsidRPr="00814683">
        <w:rPr>
          <w:color w:val="auto"/>
        </w:rPr>
        <w:t>No obstante, resulta necesario traer a colación por analogía, el Criterio Orientador, con número de registro SO/006/2009, de la Primera Época, emitido por el entonces Instituto Federal de Acceso a la Información y Protección de Datos ahora Instituto Nacional de Transparencia, Acceso a la Información y Protección de Datos Personales, vigente a la fecha de la solicitud, que establece lo siguiente:</w:t>
      </w:r>
    </w:p>
    <w:p w14:paraId="241D379C" w14:textId="77777777" w:rsidR="00DB405F" w:rsidRPr="00814683" w:rsidRDefault="00DB405F" w:rsidP="004969B8">
      <w:pPr>
        <w:spacing w:after="0" w:line="360" w:lineRule="auto"/>
        <w:rPr>
          <w:color w:val="auto"/>
        </w:rPr>
      </w:pPr>
    </w:p>
    <w:p w14:paraId="0FEB2C5F" w14:textId="77777777" w:rsidR="00DB405F" w:rsidRPr="00814683" w:rsidRDefault="00DB405F" w:rsidP="004969B8">
      <w:pPr>
        <w:tabs>
          <w:tab w:val="left" w:pos="4962"/>
        </w:tabs>
        <w:spacing w:after="0" w:line="360" w:lineRule="auto"/>
        <w:ind w:left="567" w:right="567"/>
        <w:rPr>
          <w:i/>
          <w:color w:val="auto"/>
          <w:sz w:val="20"/>
          <w:szCs w:val="20"/>
        </w:rPr>
      </w:pPr>
      <w:r w:rsidRPr="00814683">
        <w:rPr>
          <w:b/>
          <w:i/>
          <w:color w:val="auto"/>
          <w:sz w:val="20"/>
          <w:szCs w:val="20"/>
        </w:rPr>
        <w:lastRenderedPageBreak/>
        <w:t>“Nombres de servidores públicos dedicados a actividades en materia de seguridad, por excepción pueden considerarse información reservada.</w:t>
      </w:r>
      <w:r w:rsidRPr="00814683">
        <w:rPr>
          <w:i/>
          <w:color w:val="auto"/>
          <w:sz w:val="20"/>
          <w:szCs w:val="20"/>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C12040A" w14:textId="77777777" w:rsidR="00DB405F" w:rsidRPr="00814683" w:rsidRDefault="00DB405F" w:rsidP="004969B8">
      <w:pPr>
        <w:spacing w:after="0" w:line="360" w:lineRule="auto"/>
        <w:rPr>
          <w:color w:val="auto"/>
        </w:rPr>
      </w:pPr>
    </w:p>
    <w:p w14:paraId="6A31D111" w14:textId="77777777" w:rsidR="00DB405F" w:rsidRPr="00814683" w:rsidRDefault="00DB405F" w:rsidP="004969B8">
      <w:pPr>
        <w:spacing w:after="0" w:line="360" w:lineRule="auto"/>
        <w:rPr>
          <w:color w:val="auto"/>
        </w:rPr>
      </w:pPr>
      <w:r w:rsidRPr="00814683">
        <w:rPr>
          <w:color w:val="auto"/>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142E666D" w14:textId="77777777" w:rsidR="00DB405F" w:rsidRPr="00814683" w:rsidRDefault="00DB405F" w:rsidP="004969B8">
      <w:pPr>
        <w:spacing w:after="0" w:line="360" w:lineRule="auto"/>
        <w:rPr>
          <w:color w:val="auto"/>
        </w:rPr>
      </w:pPr>
    </w:p>
    <w:p w14:paraId="531C10A1" w14:textId="77777777" w:rsidR="00DB405F" w:rsidRPr="00814683" w:rsidRDefault="00DB405F" w:rsidP="004969B8">
      <w:pPr>
        <w:spacing w:after="0" w:line="360" w:lineRule="auto"/>
        <w:rPr>
          <w:color w:val="auto"/>
        </w:rPr>
      </w:pPr>
      <w:r w:rsidRPr="00814683">
        <w:rPr>
          <w:color w:val="auto"/>
        </w:rPr>
        <w:lastRenderedPageBreak/>
        <w:t>Además, el Criterio Reiterado 09/24, emitido por el Pleno de este Instituto, precisa que el nombre del personal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14:paraId="76B6D0B1" w14:textId="77777777" w:rsidR="00DB405F" w:rsidRPr="00814683" w:rsidRDefault="00DB405F" w:rsidP="004969B8">
      <w:pPr>
        <w:spacing w:after="0" w:line="360" w:lineRule="auto"/>
        <w:rPr>
          <w:color w:val="auto"/>
        </w:rPr>
      </w:pPr>
    </w:p>
    <w:p w14:paraId="5E711F31" w14:textId="7695D89D" w:rsidR="00DB405F" w:rsidRPr="00814683" w:rsidRDefault="00DB405F" w:rsidP="004969B8">
      <w:pPr>
        <w:spacing w:after="0" w:line="360" w:lineRule="auto"/>
        <w:rPr>
          <w:color w:val="auto"/>
        </w:rPr>
      </w:pPr>
      <w:r w:rsidRPr="00814683">
        <w:rPr>
          <w:color w:val="auto"/>
        </w:rPr>
        <w:t>En ese orden de ideas, si bien por regla general los nombres</w:t>
      </w:r>
      <w:r w:rsidR="00FA2470" w:rsidRPr="00814683">
        <w:rPr>
          <w:color w:val="auto"/>
        </w:rPr>
        <w:t xml:space="preserve"> y gafetes que contienen las fotografías y nombres</w:t>
      </w:r>
      <w:r w:rsidRPr="00814683">
        <w:rPr>
          <w:color w:val="auto"/>
        </w:rPr>
        <w:t xml:space="preserve"> de los trabajadores gubernamentales son información pública de oficio, existe una excepción relativa a </w:t>
      </w:r>
      <w:r w:rsidRPr="00814683">
        <w:rPr>
          <w:b/>
          <w:color w:val="auto"/>
        </w:rPr>
        <w:t>aquellos que realicen actividades operativas en materia de seguridad,</w:t>
      </w:r>
      <w:r w:rsidRPr="00814683">
        <w:rPr>
          <w:color w:val="auto"/>
        </w:rPr>
        <w:t xml:space="preserve"> como es el caso de los elementos operativos y la policía municipal.</w:t>
      </w:r>
    </w:p>
    <w:p w14:paraId="34C6959C" w14:textId="77777777" w:rsidR="00DB405F" w:rsidRPr="00814683" w:rsidRDefault="00DB405F" w:rsidP="004969B8">
      <w:pPr>
        <w:spacing w:after="0" w:line="360" w:lineRule="auto"/>
        <w:rPr>
          <w:color w:val="FF0000"/>
        </w:rPr>
      </w:pPr>
    </w:p>
    <w:p w14:paraId="41665059" w14:textId="77777777" w:rsidR="00DB405F" w:rsidRPr="00814683" w:rsidRDefault="00DB405F" w:rsidP="004969B8">
      <w:pPr>
        <w:spacing w:after="0" w:line="360" w:lineRule="auto"/>
        <w:rPr>
          <w:color w:val="auto"/>
        </w:rPr>
      </w:pPr>
      <w:r w:rsidRPr="00814683">
        <w:rPr>
          <w:color w:val="auto"/>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D253589" w14:textId="77777777" w:rsidR="00DB405F" w:rsidRPr="00814683" w:rsidRDefault="00DB405F" w:rsidP="004969B8">
      <w:pPr>
        <w:spacing w:after="0" w:line="360" w:lineRule="auto"/>
        <w:rPr>
          <w:color w:val="FF0000"/>
        </w:rPr>
      </w:pPr>
    </w:p>
    <w:p w14:paraId="67837C05" w14:textId="77777777" w:rsidR="00DB405F" w:rsidRPr="00814683" w:rsidRDefault="00DB405F" w:rsidP="004969B8">
      <w:pPr>
        <w:spacing w:after="0" w:line="360" w:lineRule="auto"/>
        <w:rPr>
          <w:color w:val="auto"/>
        </w:rPr>
      </w:pPr>
      <w:r w:rsidRPr="00814683">
        <w:rPr>
          <w:color w:val="auto"/>
        </w:rPr>
        <w:t>En ese contexto, el artículo 6°, fracciones XI y XII de dicho ordenamiento jurídico, establece los siguientes conceptos:</w:t>
      </w:r>
    </w:p>
    <w:p w14:paraId="3A39AEF2" w14:textId="77777777" w:rsidR="00DB405F" w:rsidRPr="00814683" w:rsidRDefault="00DB405F" w:rsidP="004969B8">
      <w:pPr>
        <w:spacing w:after="0" w:line="360" w:lineRule="auto"/>
        <w:rPr>
          <w:color w:val="auto"/>
        </w:rPr>
      </w:pPr>
    </w:p>
    <w:p w14:paraId="51F95FAA" w14:textId="77777777" w:rsidR="00DB405F" w:rsidRPr="00814683" w:rsidRDefault="00DB405F" w:rsidP="004969B8">
      <w:pPr>
        <w:numPr>
          <w:ilvl w:val="0"/>
          <w:numId w:val="1"/>
        </w:numPr>
        <w:spacing w:after="0" w:line="360" w:lineRule="auto"/>
        <w:rPr>
          <w:b/>
          <w:color w:val="auto"/>
        </w:rPr>
      </w:pPr>
      <w:r w:rsidRPr="00814683">
        <w:rPr>
          <w:b/>
          <w:color w:val="auto"/>
        </w:rPr>
        <w:t xml:space="preserve">Instituciones Policiales: </w:t>
      </w:r>
      <w:r w:rsidRPr="00814683">
        <w:rPr>
          <w:color w:val="auto"/>
        </w:rPr>
        <w:t xml:space="preserve">Son los cuerpos de policía, de vigilancia y custodia de los establecimientos penitenciarios, detención preventiva, centros de arraigo y en general, </w:t>
      </w:r>
      <w:r w:rsidRPr="00814683">
        <w:rPr>
          <w:b/>
          <w:color w:val="auto"/>
        </w:rPr>
        <w:t>todas las dependencias encargadas de la seguridad pública a nivel</w:t>
      </w:r>
      <w:r w:rsidRPr="00814683">
        <w:rPr>
          <w:color w:val="auto"/>
        </w:rPr>
        <w:t xml:space="preserve"> estatal y </w:t>
      </w:r>
      <w:r w:rsidRPr="00814683">
        <w:rPr>
          <w:b/>
          <w:color w:val="auto"/>
        </w:rPr>
        <w:t>municipal.</w:t>
      </w:r>
    </w:p>
    <w:p w14:paraId="66D7F038" w14:textId="77777777" w:rsidR="00DB405F" w:rsidRPr="00814683" w:rsidRDefault="00DB405F" w:rsidP="004969B8">
      <w:pPr>
        <w:spacing w:after="0" w:line="360" w:lineRule="auto"/>
        <w:ind w:left="720"/>
        <w:rPr>
          <w:color w:val="auto"/>
        </w:rPr>
      </w:pPr>
    </w:p>
    <w:p w14:paraId="05279107" w14:textId="77777777" w:rsidR="00DB405F" w:rsidRPr="00814683" w:rsidRDefault="00DB405F" w:rsidP="004969B8">
      <w:pPr>
        <w:numPr>
          <w:ilvl w:val="0"/>
          <w:numId w:val="1"/>
        </w:numPr>
        <w:spacing w:after="0" w:line="360" w:lineRule="auto"/>
        <w:rPr>
          <w:b/>
          <w:color w:val="auto"/>
        </w:rPr>
      </w:pPr>
      <w:r w:rsidRPr="00814683">
        <w:rPr>
          <w:b/>
          <w:color w:val="auto"/>
        </w:rPr>
        <w:t xml:space="preserve">Instituciones de Seguridad Pública: </w:t>
      </w:r>
      <w:r w:rsidRPr="00814683">
        <w:rPr>
          <w:color w:val="auto"/>
        </w:rPr>
        <w:t xml:space="preserve">Instituciones Policiales, Procuración de Justicia, Sistema Penitenciario y </w:t>
      </w:r>
      <w:r w:rsidRPr="00814683">
        <w:rPr>
          <w:b/>
          <w:color w:val="auto"/>
        </w:rPr>
        <w:t xml:space="preserve">dependencias encargadas de la seguridad pública a nivel </w:t>
      </w:r>
      <w:r w:rsidRPr="00814683">
        <w:rPr>
          <w:color w:val="auto"/>
        </w:rPr>
        <w:t xml:space="preserve">estatal y </w:t>
      </w:r>
      <w:r w:rsidRPr="00814683">
        <w:rPr>
          <w:b/>
          <w:color w:val="auto"/>
        </w:rPr>
        <w:t>municipal.</w:t>
      </w:r>
    </w:p>
    <w:p w14:paraId="59F3769C" w14:textId="77777777" w:rsidR="00DB405F" w:rsidRPr="00814683" w:rsidRDefault="00DB405F" w:rsidP="004969B8">
      <w:pPr>
        <w:spacing w:after="0" w:line="360" w:lineRule="auto"/>
        <w:rPr>
          <w:b/>
          <w:color w:val="FF0000"/>
        </w:rPr>
      </w:pPr>
    </w:p>
    <w:p w14:paraId="6C1A19EF" w14:textId="141ADC29" w:rsidR="00DB405F" w:rsidRPr="00814683" w:rsidRDefault="00DB405F" w:rsidP="004969B8">
      <w:pPr>
        <w:spacing w:after="0" w:line="360" w:lineRule="auto"/>
        <w:rPr>
          <w:color w:val="auto"/>
        </w:rPr>
      </w:pPr>
      <w:r w:rsidRPr="00814683">
        <w:rPr>
          <w:color w:val="auto"/>
        </w:rPr>
        <w:t>Conforme a lo anterior, se puede deducir que la Dirección</w:t>
      </w:r>
      <w:r w:rsidR="00473D3F" w:rsidRPr="00814683">
        <w:rPr>
          <w:color w:val="auto"/>
        </w:rPr>
        <w:t xml:space="preserve"> de Seguridad Pública y Tránsito Municipal</w:t>
      </w:r>
      <w:r w:rsidRPr="00814683">
        <w:rPr>
          <w:color w:val="auto"/>
        </w:rPr>
        <w:t>, es una institución de seguridad pública, pues tiene como atribución principal, la prevención de delitos y proteger a las personas, sus propiedades, posesiones y derechos.</w:t>
      </w:r>
    </w:p>
    <w:p w14:paraId="4061C8CE" w14:textId="77777777" w:rsidR="00DB405F" w:rsidRPr="00814683" w:rsidRDefault="00DB405F" w:rsidP="004969B8">
      <w:pPr>
        <w:spacing w:after="0" w:line="360" w:lineRule="auto"/>
        <w:rPr>
          <w:color w:val="FF0000"/>
        </w:rPr>
      </w:pPr>
    </w:p>
    <w:p w14:paraId="02615EBB" w14:textId="77777777" w:rsidR="00DB405F" w:rsidRPr="00814683" w:rsidRDefault="00DB405F" w:rsidP="004969B8">
      <w:pPr>
        <w:tabs>
          <w:tab w:val="left" w:pos="4962"/>
        </w:tabs>
        <w:spacing w:after="0" w:line="360" w:lineRule="auto"/>
        <w:ind w:right="-28"/>
        <w:rPr>
          <w:color w:val="auto"/>
        </w:rPr>
      </w:pPr>
      <w:r w:rsidRPr="00814683">
        <w:rPr>
          <w:color w:val="auto"/>
        </w:rPr>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814683">
        <w:rPr>
          <w:b/>
          <w:color w:val="auto"/>
        </w:rPr>
        <w:t>desempeña funciones de mando</w:t>
      </w:r>
      <w:r w:rsidRPr="00814683">
        <w:rPr>
          <w:color w:val="auto"/>
        </w:rPr>
        <w:t xml:space="preserve">), entre los cuales, se encuentra </w:t>
      </w:r>
      <w:r w:rsidRPr="00814683">
        <w:rPr>
          <w:b/>
          <w:color w:val="auto"/>
        </w:rPr>
        <w:t>la Policía Municipal</w:t>
      </w:r>
      <w:r w:rsidRPr="00814683">
        <w:rPr>
          <w:color w:val="auto"/>
        </w:rPr>
        <w:t>.</w:t>
      </w:r>
    </w:p>
    <w:p w14:paraId="6C7BE1E1" w14:textId="77777777" w:rsidR="00DB405F" w:rsidRPr="00814683" w:rsidRDefault="00DB405F" w:rsidP="004969B8">
      <w:pPr>
        <w:tabs>
          <w:tab w:val="left" w:pos="4962"/>
        </w:tabs>
        <w:spacing w:after="0" w:line="360" w:lineRule="auto"/>
        <w:ind w:right="-28"/>
        <w:rPr>
          <w:color w:val="FF0000"/>
        </w:rPr>
      </w:pPr>
    </w:p>
    <w:p w14:paraId="67956C8D" w14:textId="77777777" w:rsidR="00DB405F" w:rsidRPr="00814683" w:rsidRDefault="00DB405F" w:rsidP="004969B8">
      <w:pPr>
        <w:tabs>
          <w:tab w:val="left" w:pos="4962"/>
        </w:tabs>
        <w:spacing w:after="0" w:line="360" w:lineRule="auto"/>
        <w:ind w:right="-28"/>
        <w:rPr>
          <w:color w:val="auto"/>
        </w:rPr>
      </w:pPr>
      <w:r w:rsidRPr="00814683">
        <w:rPr>
          <w:color w:val="auto"/>
        </w:rPr>
        <w:t xml:space="preserve">Asimismo, se advierte que las Instituciones Policiales, se conforman del personal </w:t>
      </w:r>
      <w:r w:rsidRPr="00814683">
        <w:rPr>
          <w:b/>
          <w:color w:val="auto"/>
        </w:rPr>
        <w:t>administrativo,</w:t>
      </w:r>
      <w:r w:rsidRPr="00814683">
        <w:rPr>
          <w:color w:val="auto"/>
        </w:rPr>
        <w:t xml:space="preserve"> que son los trabajadores de apoyo (chofer, personal de mantenimiento, servicios generales y área secretaria); </w:t>
      </w:r>
      <w:r w:rsidRPr="00814683">
        <w:rPr>
          <w:b/>
          <w:color w:val="auto"/>
        </w:rPr>
        <w:t>así como, el personal de mando</w:t>
      </w:r>
      <w:r w:rsidRPr="00814683">
        <w:rPr>
          <w:color w:val="auto"/>
        </w:rPr>
        <w:t xml:space="preserve"> (alto, medio y superior), que es aquel que realiza funciones de dirección, coordinación y supervisión, por lo cual, corresponde a aquel que tenga trabajadores a su cargo.</w:t>
      </w:r>
    </w:p>
    <w:p w14:paraId="6A7238B5" w14:textId="77777777" w:rsidR="00DB405F" w:rsidRPr="00814683" w:rsidRDefault="00DB405F" w:rsidP="004969B8">
      <w:pPr>
        <w:spacing w:after="0" w:line="360" w:lineRule="auto"/>
        <w:rPr>
          <w:color w:val="auto"/>
        </w:rPr>
      </w:pPr>
    </w:p>
    <w:p w14:paraId="3AF66FA4" w14:textId="77777777" w:rsidR="00DB405F" w:rsidRPr="00814683" w:rsidRDefault="00DB405F" w:rsidP="004969B8">
      <w:pPr>
        <w:spacing w:after="0" w:line="360" w:lineRule="auto"/>
        <w:rPr>
          <w:color w:val="auto"/>
        </w:rPr>
      </w:pPr>
      <w:r w:rsidRPr="00814683">
        <w:rPr>
          <w:color w:val="auto"/>
        </w:rPr>
        <w:t xml:space="preserve">Así, dar a conocer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w:t>
      </w:r>
      <w:r w:rsidRPr="00814683">
        <w:rPr>
          <w:color w:val="auto"/>
        </w:rPr>
        <w:lastRenderedPageBreak/>
        <w:t>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B25B209" w14:textId="77777777" w:rsidR="00DB405F" w:rsidRPr="00814683" w:rsidRDefault="00DB405F" w:rsidP="004969B8">
      <w:pPr>
        <w:spacing w:after="0" w:line="360" w:lineRule="auto"/>
        <w:rPr>
          <w:color w:val="auto"/>
        </w:rPr>
      </w:pPr>
    </w:p>
    <w:p w14:paraId="102BB360" w14:textId="77777777" w:rsidR="00DB405F" w:rsidRPr="00814683" w:rsidRDefault="00DB405F" w:rsidP="004969B8">
      <w:pPr>
        <w:spacing w:after="0" w:line="360" w:lineRule="auto"/>
        <w:rPr>
          <w:color w:val="auto"/>
        </w:rPr>
      </w:pPr>
      <w:r w:rsidRPr="00814683">
        <w:rPr>
          <w:color w:val="auto"/>
        </w:rPr>
        <w:t xml:space="preserve">Sin embargo, por lo que hace al </w:t>
      </w:r>
      <w:r w:rsidRPr="00814683">
        <w:rPr>
          <w:b/>
          <w:color w:val="auto"/>
        </w:rPr>
        <w:t>personal administrativo y los mandos medios y superiores</w:t>
      </w:r>
      <w:r w:rsidRPr="00814683">
        <w:rPr>
          <w:color w:val="auto"/>
        </w:rPr>
        <w:t>,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14:paraId="778D34E0" w14:textId="77777777" w:rsidR="00DB405F" w:rsidRPr="00814683" w:rsidRDefault="00DB405F" w:rsidP="004969B8">
      <w:pPr>
        <w:spacing w:after="0" w:line="360" w:lineRule="auto"/>
        <w:rPr>
          <w:color w:val="auto"/>
        </w:rPr>
      </w:pPr>
    </w:p>
    <w:p w14:paraId="7F326EC1" w14:textId="53F937D0" w:rsidR="00DB405F" w:rsidRPr="00814683" w:rsidRDefault="00DB405F" w:rsidP="004969B8">
      <w:pPr>
        <w:spacing w:after="0" w:line="360" w:lineRule="auto"/>
        <w:rPr>
          <w:b/>
          <w:color w:val="auto"/>
          <w:u w:val="single"/>
        </w:rPr>
      </w:pPr>
      <w:r w:rsidRPr="00814683">
        <w:rPr>
          <w:b/>
          <w:color w:val="auto"/>
          <w:u w:val="single"/>
        </w:rPr>
        <w:t>De tal situación, se considera que dar a conocer el nombre</w:t>
      </w:r>
      <w:r w:rsidR="00AF2ADD" w:rsidRPr="00814683">
        <w:rPr>
          <w:b/>
          <w:color w:val="auto"/>
          <w:u w:val="single"/>
        </w:rPr>
        <w:t xml:space="preserve"> </w:t>
      </w:r>
      <w:r w:rsidR="00371755" w:rsidRPr="00814683">
        <w:rPr>
          <w:b/>
          <w:color w:val="auto"/>
          <w:u w:val="single"/>
        </w:rPr>
        <w:t xml:space="preserve">y la licencia de portación de arma de fuego </w:t>
      </w:r>
      <w:r w:rsidR="00AF2ADD" w:rsidRPr="00814683">
        <w:rPr>
          <w:b/>
          <w:color w:val="auto"/>
          <w:u w:val="single"/>
        </w:rPr>
        <w:t>que contiene el nombre y fotografía</w:t>
      </w:r>
      <w:r w:rsidRPr="00814683">
        <w:rPr>
          <w:b/>
          <w:color w:val="auto"/>
          <w:u w:val="single"/>
        </w:rPr>
        <w:t xml:space="preserve"> de los elementos operativos en materia de seguridad, como lo son los policías municipales,</w:t>
      </w:r>
      <w:r w:rsidRPr="00814683">
        <w:rPr>
          <w:color w:val="auto"/>
        </w:rPr>
        <w:t xml:space="preserve">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4CCFEC35" w14:textId="77777777" w:rsidR="00DB405F" w:rsidRPr="00814683" w:rsidRDefault="00DB405F" w:rsidP="004969B8">
      <w:pPr>
        <w:spacing w:after="0" w:line="360" w:lineRule="auto"/>
        <w:rPr>
          <w:color w:val="auto"/>
        </w:rPr>
      </w:pPr>
    </w:p>
    <w:p w14:paraId="5FA57E1A" w14:textId="51A5FE9C" w:rsidR="00DB405F" w:rsidRPr="00814683" w:rsidRDefault="00DB405F" w:rsidP="004969B8">
      <w:pPr>
        <w:spacing w:after="0" w:line="360" w:lineRule="auto"/>
        <w:rPr>
          <w:color w:val="auto"/>
        </w:rPr>
      </w:pPr>
      <w:r w:rsidRPr="00814683">
        <w:rPr>
          <w:color w:val="auto"/>
        </w:rPr>
        <w:t>Lo anterior toma relevancia pues los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w:t>
      </w:r>
      <w:r w:rsidR="00495FF8" w:rsidRPr="00814683">
        <w:rPr>
          <w:color w:val="auto"/>
        </w:rPr>
        <w:t xml:space="preserve">rando así, el interés general, aunado a que dar a conocer los nombres de los elementos de seguridad que realizan </w:t>
      </w:r>
      <w:r w:rsidR="00495FF8" w:rsidRPr="00814683">
        <w:rPr>
          <w:color w:val="auto"/>
        </w:rPr>
        <w:lastRenderedPageBreak/>
        <w:t>actividades de escolta, acompañamiento, vigilancia, protección del Presidente Municipal pone en peligro la vida de los mismos elementos y del Presidente Municipal.</w:t>
      </w:r>
    </w:p>
    <w:p w14:paraId="6AE384E8" w14:textId="77777777" w:rsidR="00DB405F" w:rsidRPr="00814683" w:rsidRDefault="00DB405F" w:rsidP="004969B8">
      <w:pPr>
        <w:spacing w:after="0" w:line="360" w:lineRule="auto"/>
        <w:rPr>
          <w:color w:val="auto"/>
        </w:rPr>
      </w:pPr>
    </w:p>
    <w:p w14:paraId="356EB3D7" w14:textId="7549E180" w:rsidR="00DB405F" w:rsidRPr="00814683" w:rsidRDefault="00DB405F" w:rsidP="004969B8">
      <w:pPr>
        <w:spacing w:after="0" w:line="360" w:lineRule="auto"/>
        <w:rPr>
          <w:b/>
          <w:color w:val="auto"/>
        </w:rPr>
      </w:pPr>
      <w:r w:rsidRPr="00814683">
        <w:rPr>
          <w:color w:val="auto"/>
        </w:rPr>
        <w:t xml:space="preserve">Por tales consideraciones, </w:t>
      </w:r>
      <w:r w:rsidRPr="00814683">
        <w:rPr>
          <w:b/>
          <w:color w:val="auto"/>
        </w:rPr>
        <w:t>resulta procedente la reserva del nombre</w:t>
      </w:r>
      <w:r w:rsidR="00AF2ADD" w:rsidRPr="00814683">
        <w:rPr>
          <w:b/>
          <w:color w:val="auto"/>
        </w:rPr>
        <w:t xml:space="preserve"> </w:t>
      </w:r>
      <w:r w:rsidR="00371755" w:rsidRPr="00814683">
        <w:rPr>
          <w:b/>
          <w:color w:val="auto"/>
        </w:rPr>
        <w:t>de los elementos operativos adscritos  a la Dirección de Seguridad Pública y Tránsito Municipal, en caso de estar contenidos en la Licencia Oficial Colectiva de Portación de Arma de Fuego</w:t>
      </w:r>
      <w:r w:rsidRPr="00814683">
        <w:rPr>
          <w:b/>
          <w:color w:val="auto"/>
        </w:rPr>
        <w:t xml:space="preserve">, en términos del artículo 140, fracción IV, de la Ley de Transparencia y Acceso a la Información Pública del Estado de México y Municipios. </w:t>
      </w:r>
    </w:p>
    <w:p w14:paraId="1B4ECB40" w14:textId="77777777" w:rsidR="00FA2470" w:rsidRPr="00814683" w:rsidRDefault="00FA2470" w:rsidP="004969B8">
      <w:pPr>
        <w:spacing w:after="0" w:line="360" w:lineRule="auto"/>
        <w:rPr>
          <w:b/>
          <w:color w:val="FF0000"/>
        </w:rPr>
      </w:pPr>
    </w:p>
    <w:p w14:paraId="3BF8626E" w14:textId="77777777" w:rsidR="00894FC6" w:rsidRPr="00814683" w:rsidRDefault="00FA2470" w:rsidP="004969B8">
      <w:pPr>
        <w:spacing w:after="0" w:line="360" w:lineRule="auto"/>
      </w:pPr>
      <w:r w:rsidRPr="00814683">
        <w:rPr>
          <w:color w:val="auto"/>
        </w:rPr>
        <w:t xml:space="preserve">En </w:t>
      </w:r>
      <w:r w:rsidR="00E11836" w:rsidRPr="00814683">
        <w:rPr>
          <w:color w:val="auto"/>
        </w:rPr>
        <w:t>relaci</w:t>
      </w:r>
      <w:r w:rsidR="00885299" w:rsidRPr="00814683">
        <w:rPr>
          <w:color w:val="auto"/>
        </w:rPr>
        <w:t xml:space="preserve">ón con el resultado único e  integral o resultado global de la evaluación de control y confianza,  del Director de Seguridad Pública y Tránsito Municipal, vigente al dos de septiembre de dos mil veinticinco, se considera que </w:t>
      </w:r>
      <w:r w:rsidR="00885299" w:rsidRPr="00814683">
        <w:t xml:space="preserve">no actualiza la causal de clasificación, en términos del artículo 143, fracción I, o del artículo 140 de la Ley de Transparencia y Acceso a la Información Pública del Estado de México y Municipios, pues con dicho dato se logra advertir que los servidores públicos solicitados cumplen con uno de los requisitos indispensables y establecidos en la normatividad aplicable, para ocupar dichos puestos, en la institución de seguridad pública; lo cual guarda relevancia pues en el presente caso, se trata de un cargo de mando </w:t>
      </w:r>
      <w:r w:rsidR="00894FC6" w:rsidRPr="00814683">
        <w:t xml:space="preserve"> o </w:t>
      </w:r>
      <w:r w:rsidR="00885299" w:rsidRPr="00814683">
        <w:t>superior</w:t>
      </w:r>
      <w:r w:rsidR="00894FC6" w:rsidRPr="00814683">
        <w:t>.</w:t>
      </w:r>
    </w:p>
    <w:p w14:paraId="071FFC93" w14:textId="42E4E263" w:rsidR="00885299" w:rsidRPr="00814683" w:rsidRDefault="00885299" w:rsidP="004969B8">
      <w:pPr>
        <w:spacing w:after="0" w:line="360" w:lineRule="auto"/>
        <w:rPr>
          <w:color w:val="auto"/>
        </w:rPr>
      </w:pPr>
      <w:r w:rsidRPr="00814683">
        <w:t xml:space="preserve"> </w:t>
      </w:r>
    </w:p>
    <w:p w14:paraId="6A87E5EE" w14:textId="77777777" w:rsidR="00CA7521" w:rsidRPr="00814683" w:rsidRDefault="00CA7521" w:rsidP="004969B8">
      <w:pPr>
        <w:tabs>
          <w:tab w:val="left" w:pos="4962"/>
        </w:tabs>
        <w:spacing w:after="0" w:line="360" w:lineRule="auto"/>
        <w:rPr>
          <w:rFonts w:eastAsia="Calibri" w:cs="Tahoma"/>
          <w:color w:val="auto"/>
          <w:szCs w:val="20"/>
          <w:lang w:eastAsia="es-ES"/>
        </w:rPr>
      </w:pPr>
      <w:r w:rsidRPr="00814683">
        <w:rPr>
          <w:rFonts w:eastAsia="Calibri" w:cs="Tahoma"/>
          <w:color w:val="auto"/>
          <w:szCs w:val="20"/>
          <w:lang w:eastAsia="es-ES"/>
        </w:rPr>
        <w:t xml:space="preserve">Situación que guarda relevancia, pues en la resolución de la Acción de Inconstitucionalidad 88/2018, la Suprema Corte de Justicia de la Nación precisa que los resultados de las evaluaciones de control de confianza, es decir, los resultados de los exámenes médicos, toxicológicos, psicológicos, poligráficos y estudios socioeconómicos, guardan la naturaleza de confidencial. </w:t>
      </w:r>
    </w:p>
    <w:p w14:paraId="72FFDE72" w14:textId="77777777" w:rsidR="00885299" w:rsidRPr="00814683" w:rsidRDefault="00885299" w:rsidP="004969B8">
      <w:pPr>
        <w:spacing w:after="0" w:line="360" w:lineRule="auto"/>
        <w:rPr>
          <w:color w:val="FF0000"/>
        </w:rPr>
      </w:pPr>
    </w:p>
    <w:p w14:paraId="744AF60D" w14:textId="78DDF3B2" w:rsidR="00CA7521" w:rsidRPr="00814683" w:rsidRDefault="00CA7521" w:rsidP="004969B8">
      <w:pPr>
        <w:tabs>
          <w:tab w:val="left" w:pos="4962"/>
        </w:tabs>
        <w:spacing w:after="0" w:line="360" w:lineRule="auto"/>
        <w:rPr>
          <w:rFonts w:eastAsia="Calibri" w:cs="Tahoma"/>
          <w:color w:val="auto"/>
          <w:szCs w:val="20"/>
          <w:lang w:eastAsia="es-ES"/>
        </w:rPr>
      </w:pPr>
      <w:r w:rsidRPr="00814683">
        <w:rPr>
          <w:rFonts w:eastAsia="Calibri" w:cs="Tahoma"/>
          <w:color w:val="auto"/>
          <w:szCs w:val="20"/>
          <w:lang w:eastAsia="es-ES"/>
        </w:rPr>
        <w:lastRenderedPageBreak/>
        <w:t>Además, es de referir que es de interés público de la ciudadanía, conocer que los trabajadores gubernamentales cumplen con todos los requisitos establecidos en la normatividad respectiva, sobre todo, en materia de seguridad pública, pues solo así, se puede saber, si los empleados señalados, son aptos para ocupar determinados puestos; toma relevancia dicha situación, al tratarse, en el presente caso de un cargo medio o superior.</w:t>
      </w:r>
    </w:p>
    <w:p w14:paraId="7ACE41DC" w14:textId="77777777" w:rsidR="00CA7521" w:rsidRPr="00814683" w:rsidRDefault="00CA7521" w:rsidP="004969B8">
      <w:pPr>
        <w:tabs>
          <w:tab w:val="left" w:pos="4962"/>
        </w:tabs>
        <w:spacing w:after="0" w:line="360" w:lineRule="auto"/>
        <w:rPr>
          <w:rFonts w:eastAsia="Calibri" w:cs="Tahoma"/>
          <w:color w:val="auto"/>
          <w:szCs w:val="20"/>
          <w:lang w:eastAsia="es-ES"/>
        </w:rPr>
      </w:pPr>
    </w:p>
    <w:p w14:paraId="0C5E1CDC" w14:textId="77777777" w:rsidR="00CA7521" w:rsidRPr="00814683" w:rsidRDefault="00CA7521" w:rsidP="004969B8">
      <w:pPr>
        <w:tabs>
          <w:tab w:val="left" w:pos="4962"/>
        </w:tabs>
        <w:spacing w:after="0" w:line="360" w:lineRule="auto"/>
        <w:rPr>
          <w:rFonts w:eastAsia="Calibri" w:cs="Tahoma"/>
          <w:color w:val="auto"/>
          <w:szCs w:val="20"/>
          <w:lang w:eastAsia="es-ES"/>
        </w:rPr>
      </w:pPr>
      <w:r w:rsidRPr="00814683">
        <w:rPr>
          <w:rFonts w:eastAsia="Calibri" w:cs="Tahoma"/>
          <w:color w:val="auto"/>
          <w:szCs w:val="20"/>
          <w:lang w:eastAsia="es-ES"/>
        </w:rPr>
        <w:t>Situación que se robustece con el Criterio Reiterado 06/24, emitido por el Pleno de este Instituto, el cual establece que el resultado de los procesos de cada etapa respecto a las evaluaciones de control de confianza es confidencial; sin embargo, será público el resultado global correspondiente a que el servidor público haya “Aprobado” o “No aprobado” la evaluación.</w:t>
      </w:r>
    </w:p>
    <w:p w14:paraId="5F445A25" w14:textId="77777777" w:rsidR="00885299" w:rsidRPr="00814683" w:rsidRDefault="00885299" w:rsidP="004969B8">
      <w:pPr>
        <w:spacing w:after="0" w:line="360" w:lineRule="auto"/>
        <w:rPr>
          <w:color w:val="FF0000"/>
        </w:rPr>
      </w:pPr>
    </w:p>
    <w:p w14:paraId="5C433733" w14:textId="219047EF" w:rsidR="00885299" w:rsidRPr="00814683" w:rsidRDefault="00CA7521" w:rsidP="004969B8">
      <w:pPr>
        <w:spacing w:after="0" w:line="360" w:lineRule="auto"/>
        <w:rPr>
          <w:color w:val="auto"/>
        </w:rPr>
      </w:pPr>
      <w:r w:rsidRPr="00814683">
        <w:rPr>
          <w:rFonts w:eastAsia="Times New Roman" w:cs="Times New Roman"/>
          <w:color w:val="auto"/>
          <w:szCs w:val="20"/>
          <w:lang w:eastAsia="es-ES"/>
        </w:rPr>
        <w:t xml:space="preserve">Así, este Instituto considera que, para atender el requerimiento de información, el Sujeto Obligado deberá realizar una búsqueda exhaustiva y razonable en las áreas competentes para conocer de lo solicitado dentro de las cuales no podrá omitir a la Dirección de Seguridad Pública y Tránsito y la Dirección de Administración, a efecto de que proporcione </w:t>
      </w:r>
      <w:r w:rsidRPr="00814683">
        <w:rPr>
          <w:color w:val="auto"/>
        </w:rPr>
        <w:t>el resultado único e  integral o resultado global de la evaluación de control y confianza,  del Director de Seguridad Pública y Tránsito Municipal, vigente al dos de septiembre de dos mil veinticinco, con la finalidad de dar cumplimiento a los artículos 12 y 160 de la Ley de Transparencia y Acceso a la Información Pública del Estado de México y Municipios.</w:t>
      </w:r>
    </w:p>
    <w:p w14:paraId="6C3F9B9E" w14:textId="77777777" w:rsidR="00CA7521" w:rsidRPr="00814683" w:rsidRDefault="00CA7521" w:rsidP="004969B8">
      <w:pPr>
        <w:spacing w:after="0" w:line="360" w:lineRule="auto"/>
        <w:rPr>
          <w:color w:val="auto"/>
        </w:rPr>
      </w:pPr>
    </w:p>
    <w:p w14:paraId="5F41FA01" w14:textId="27030BA2" w:rsidR="00CA7521" w:rsidRPr="00814683" w:rsidRDefault="00CA7521" w:rsidP="004969B8">
      <w:pPr>
        <w:spacing w:after="0" w:line="360" w:lineRule="auto"/>
        <w:rPr>
          <w:color w:val="auto"/>
        </w:rPr>
      </w:pPr>
      <w:r w:rsidRPr="00814683">
        <w:rPr>
          <w:color w:val="auto"/>
        </w:rPr>
        <w:t>Finalmente, no pasa desapercibido que los documentos que dan cuenta de lo solicitado pudieran contener de manera enunciativa, más no limitativa los siguientes datos:</w:t>
      </w:r>
    </w:p>
    <w:p w14:paraId="3AE21401" w14:textId="77777777" w:rsidR="00CA7521" w:rsidRPr="00814683" w:rsidRDefault="00CA7521" w:rsidP="004969B8">
      <w:pPr>
        <w:spacing w:after="0" w:line="360" w:lineRule="auto"/>
        <w:rPr>
          <w:color w:val="auto"/>
        </w:rPr>
      </w:pPr>
    </w:p>
    <w:p w14:paraId="0E262F27" w14:textId="415B51AF" w:rsidR="00CA7521" w:rsidRPr="00814683" w:rsidRDefault="00CA7521" w:rsidP="004969B8">
      <w:pPr>
        <w:numPr>
          <w:ilvl w:val="0"/>
          <w:numId w:val="35"/>
        </w:numPr>
        <w:spacing w:after="0" w:line="360" w:lineRule="auto"/>
        <w:contextualSpacing/>
        <w:rPr>
          <w:rFonts w:eastAsia="Calibri" w:cs="Times New Roman"/>
          <w:iCs/>
          <w:color w:val="auto"/>
          <w:szCs w:val="24"/>
          <w:lang w:val="es-ES" w:eastAsia="en-US"/>
        </w:rPr>
      </w:pPr>
      <w:r w:rsidRPr="00814683">
        <w:rPr>
          <w:rFonts w:eastAsia="Calibri" w:cs="Times New Roman"/>
          <w:iCs/>
          <w:color w:val="auto"/>
          <w:szCs w:val="24"/>
          <w:lang w:val="es-ES" w:eastAsia="en-US"/>
        </w:rPr>
        <w:t>Registro Federal de Contribuyentes (RFC)</w:t>
      </w:r>
    </w:p>
    <w:p w14:paraId="67596E6E" w14:textId="78B541B0" w:rsidR="00CA7521" w:rsidRPr="00814683" w:rsidRDefault="00CA7521" w:rsidP="004969B8">
      <w:pPr>
        <w:numPr>
          <w:ilvl w:val="0"/>
          <w:numId w:val="35"/>
        </w:numPr>
        <w:spacing w:after="0" w:line="360" w:lineRule="auto"/>
        <w:contextualSpacing/>
        <w:rPr>
          <w:rFonts w:eastAsia="Calibri" w:cs="Times New Roman"/>
          <w:iCs/>
          <w:color w:val="auto"/>
          <w:szCs w:val="24"/>
          <w:lang w:val="es-ES" w:eastAsia="en-US"/>
        </w:rPr>
      </w:pPr>
      <w:r w:rsidRPr="00814683">
        <w:rPr>
          <w:rFonts w:eastAsia="Calibri" w:cs="Times New Roman"/>
          <w:iCs/>
          <w:color w:val="auto"/>
          <w:szCs w:val="24"/>
          <w:lang w:val="es-ES" w:eastAsia="en-US"/>
        </w:rPr>
        <w:t>Clave Única de Registro de Población (CURP)</w:t>
      </w:r>
    </w:p>
    <w:p w14:paraId="1896DA26" w14:textId="77777777" w:rsidR="00CA7521" w:rsidRPr="00814683" w:rsidRDefault="00CA7521" w:rsidP="004969B8">
      <w:pPr>
        <w:numPr>
          <w:ilvl w:val="0"/>
          <w:numId w:val="35"/>
        </w:numPr>
        <w:spacing w:after="0" w:line="360" w:lineRule="auto"/>
        <w:contextualSpacing/>
        <w:rPr>
          <w:rFonts w:eastAsia="Calibri" w:cs="Times New Roman"/>
          <w:color w:val="auto"/>
          <w:szCs w:val="24"/>
          <w:lang w:eastAsia="en-US"/>
        </w:rPr>
      </w:pPr>
      <w:r w:rsidRPr="00814683">
        <w:rPr>
          <w:rFonts w:eastAsia="Calibri" w:cs="Times New Roman"/>
          <w:color w:val="auto"/>
          <w:szCs w:val="24"/>
          <w:lang w:eastAsia="en-US"/>
        </w:rPr>
        <w:lastRenderedPageBreak/>
        <w:t>Número de seguridad social del Instituto de Seguridad Social del Estado de México y Municipios;</w:t>
      </w:r>
    </w:p>
    <w:p w14:paraId="6E3BA238" w14:textId="77777777" w:rsidR="00CA7521" w:rsidRPr="00814683" w:rsidRDefault="00CA7521" w:rsidP="004969B8">
      <w:pPr>
        <w:numPr>
          <w:ilvl w:val="0"/>
          <w:numId w:val="35"/>
        </w:numPr>
        <w:spacing w:after="0" w:line="360" w:lineRule="auto"/>
        <w:contextualSpacing/>
        <w:rPr>
          <w:rFonts w:eastAsia="Calibri" w:cs="Times New Roman"/>
          <w:color w:val="auto"/>
          <w:szCs w:val="24"/>
          <w:lang w:eastAsia="en-US"/>
        </w:rPr>
      </w:pPr>
      <w:r w:rsidRPr="00814683">
        <w:rPr>
          <w:rFonts w:eastAsia="Calibri" w:cs="Times New Roman"/>
          <w:color w:val="auto"/>
          <w:szCs w:val="24"/>
          <w:lang w:eastAsia="en-US"/>
        </w:rPr>
        <w:t>Deducciones personales;</w:t>
      </w:r>
    </w:p>
    <w:p w14:paraId="00CB23F3" w14:textId="77777777" w:rsidR="00CA7521" w:rsidRPr="00814683" w:rsidRDefault="00CA7521" w:rsidP="004969B8">
      <w:pPr>
        <w:numPr>
          <w:ilvl w:val="0"/>
          <w:numId w:val="35"/>
        </w:numPr>
        <w:spacing w:after="0" w:line="360" w:lineRule="auto"/>
        <w:contextualSpacing/>
        <w:rPr>
          <w:rFonts w:eastAsia="Calibri" w:cs="Times New Roman"/>
          <w:color w:val="auto"/>
          <w:szCs w:val="24"/>
          <w:lang w:eastAsia="en-US"/>
        </w:rPr>
      </w:pPr>
      <w:r w:rsidRPr="00814683">
        <w:rPr>
          <w:rFonts w:eastAsia="Times New Roman" w:cs="Tahoma"/>
          <w:bCs/>
          <w:color w:val="auto"/>
          <w:szCs w:val="24"/>
          <w:lang w:val="es-ES" w:eastAsia="en-US"/>
        </w:rPr>
        <w:t>Código bidimensional o QR;</w:t>
      </w:r>
    </w:p>
    <w:p w14:paraId="0C2EE072" w14:textId="77777777" w:rsidR="00CA7521" w:rsidRPr="00814683" w:rsidRDefault="00CA7521" w:rsidP="004969B8">
      <w:pPr>
        <w:numPr>
          <w:ilvl w:val="0"/>
          <w:numId w:val="35"/>
        </w:numPr>
        <w:spacing w:after="0" w:line="360" w:lineRule="auto"/>
        <w:contextualSpacing/>
        <w:rPr>
          <w:rFonts w:eastAsia="Calibri" w:cs="Times New Roman"/>
          <w:iCs/>
          <w:color w:val="auto"/>
          <w:szCs w:val="24"/>
          <w:lang w:val="es-ES" w:eastAsia="en-US"/>
        </w:rPr>
      </w:pPr>
      <w:r w:rsidRPr="00814683">
        <w:rPr>
          <w:rFonts w:eastAsia="Calibri" w:cs="Times New Roman"/>
          <w:iCs/>
          <w:color w:val="auto"/>
          <w:szCs w:val="24"/>
          <w:lang w:val="es-ES" w:eastAsia="en-US"/>
        </w:rPr>
        <w:t>Sellos digitales del emisor y del Servicio de Administración Tributaria;</w:t>
      </w:r>
    </w:p>
    <w:p w14:paraId="7D652D9C" w14:textId="77777777" w:rsidR="00CA7521" w:rsidRPr="00814683" w:rsidRDefault="00CA7521" w:rsidP="004969B8">
      <w:pPr>
        <w:numPr>
          <w:ilvl w:val="0"/>
          <w:numId w:val="35"/>
        </w:numPr>
        <w:spacing w:after="0" w:line="360" w:lineRule="auto"/>
        <w:contextualSpacing/>
        <w:rPr>
          <w:rFonts w:eastAsia="Calibri" w:cs="Times New Roman"/>
          <w:iCs/>
          <w:color w:val="auto"/>
          <w:szCs w:val="24"/>
          <w:lang w:val="es-ES" w:eastAsia="en-US"/>
        </w:rPr>
      </w:pPr>
      <w:r w:rsidRPr="00814683">
        <w:rPr>
          <w:rFonts w:eastAsia="Calibri" w:cs="Times New Roman"/>
          <w:iCs/>
          <w:color w:val="auto"/>
          <w:szCs w:val="24"/>
          <w:lang w:val="es-ES" w:eastAsia="en-US"/>
        </w:rPr>
        <w:t xml:space="preserve">Cadena original del complemento de certificación digital del organismo previamente señalado; </w:t>
      </w:r>
    </w:p>
    <w:p w14:paraId="2D93A7DB" w14:textId="77777777" w:rsidR="00CA7521" w:rsidRPr="00814683" w:rsidRDefault="00CA7521" w:rsidP="004969B8">
      <w:pPr>
        <w:numPr>
          <w:ilvl w:val="0"/>
          <w:numId w:val="35"/>
        </w:numPr>
        <w:spacing w:after="0" w:line="360" w:lineRule="auto"/>
        <w:contextualSpacing/>
        <w:rPr>
          <w:rFonts w:eastAsia="Calibri" w:cs="Times New Roman"/>
          <w:iCs/>
          <w:color w:val="auto"/>
          <w:szCs w:val="24"/>
          <w:lang w:val="es-ES" w:eastAsia="en-US"/>
        </w:rPr>
      </w:pPr>
      <w:r w:rsidRPr="00814683">
        <w:rPr>
          <w:rFonts w:eastAsia="Calibri" w:cs="Times New Roman"/>
          <w:iCs/>
          <w:color w:val="auto"/>
          <w:szCs w:val="24"/>
          <w:lang w:val="es-ES" w:eastAsia="en-US"/>
        </w:rPr>
        <w:t>Nombre de elementos operativos de la Dirección General de Seguridad Pública Municipal;</w:t>
      </w:r>
    </w:p>
    <w:p w14:paraId="149B4744" w14:textId="77777777" w:rsidR="00CA7521" w:rsidRPr="00814683" w:rsidRDefault="00CA7521" w:rsidP="004969B8">
      <w:pPr>
        <w:numPr>
          <w:ilvl w:val="0"/>
          <w:numId w:val="35"/>
        </w:numPr>
        <w:spacing w:after="0" w:line="360" w:lineRule="auto"/>
        <w:contextualSpacing/>
        <w:rPr>
          <w:rFonts w:eastAsia="Calibri" w:cs="Times New Roman"/>
          <w:iCs/>
          <w:color w:val="auto"/>
          <w:szCs w:val="24"/>
          <w:lang w:val="es-ES" w:eastAsia="en-US"/>
        </w:rPr>
      </w:pPr>
      <w:r w:rsidRPr="00814683">
        <w:rPr>
          <w:rFonts w:eastAsia="Calibri" w:cs="Times New Roman"/>
          <w:iCs/>
          <w:color w:val="auto"/>
          <w:szCs w:val="24"/>
          <w:lang w:val="es-ES" w:eastAsia="en-US"/>
        </w:rPr>
        <w:t>Folio fiscal;</w:t>
      </w:r>
    </w:p>
    <w:p w14:paraId="2409B2DA" w14:textId="77777777" w:rsidR="00CA7521" w:rsidRPr="00814683" w:rsidRDefault="00CA7521" w:rsidP="004969B8">
      <w:pPr>
        <w:numPr>
          <w:ilvl w:val="0"/>
          <w:numId w:val="35"/>
        </w:numPr>
        <w:spacing w:after="0" w:line="360" w:lineRule="auto"/>
        <w:contextualSpacing/>
        <w:rPr>
          <w:rFonts w:eastAsia="Calibri" w:cs="Times New Roman"/>
          <w:iCs/>
          <w:color w:val="auto"/>
          <w:szCs w:val="24"/>
          <w:lang w:val="es-ES" w:eastAsia="en-US"/>
        </w:rPr>
      </w:pPr>
      <w:r w:rsidRPr="00814683">
        <w:rPr>
          <w:rFonts w:eastAsia="Calibri" w:cs="Times New Roman"/>
          <w:iCs/>
          <w:color w:val="auto"/>
          <w:szCs w:val="24"/>
          <w:lang w:val="es-ES" w:eastAsia="en-US"/>
        </w:rPr>
        <w:t>Número de serie del CSD del SAT y del emisor;</w:t>
      </w:r>
    </w:p>
    <w:p w14:paraId="231F230C" w14:textId="099673DC" w:rsidR="00CA7521" w:rsidRPr="00814683" w:rsidRDefault="00CA7521" w:rsidP="004969B8">
      <w:pPr>
        <w:numPr>
          <w:ilvl w:val="0"/>
          <w:numId w:val="35"/>
        </w:numPr>
        <w:spacing w:after="0" w:line="360" w:lineRule="auto"/>
        <w:contextualSpacing/>
        <w:rPr>
          <w:rFonts w:eastAsia="Calibri" w:cs="Times New Roman"/>
          <w:iCs/>
          <w:color w:val="auto"/>
          <w:szCs w:val="24"/>
          <w:lang w:val="es-ES" w:eastAsia="en-US"/>
        </w:rPr>
      </w:pPr>
      <w:r w:rsidRPr="00814683">
        <w:rPr>
          <w:rFonts w:eastAsia="Calibri" w:cs="Times New Roman"/>
          <w:iCs/>
          <w:color w:val="auto"/>
          <w:szCs w:val="24"/>
          <w:lang w:val="es-ES" w:eastAsia="en-US"/>
        </w:rPr>
        <w:t xml:space="preserve">Deducciones por Ley; </w:t>
      </w:r>
    </w:p>
    <w:p w14:paraId="7C9052A1" w14:textId="3D724972" w:rsidR="00CA7521" w:rsidRPr="00814683" w:rsidRDefault="00CA7521" w:rsidP="004969B8">
      <w:pPr>
        <w:numPr>
          <w:ilvl w:val="0"/>
          <w:numId w:val="35"/>
        </w:numPr>
        <w:spacing w:after="0" w:line="360" w:lineRule="auto"/>
        <w:ind w:right="-28"/>
        <w:contextualSpacing/>
        <w:rPr>
          <w:rFonts w:eastAsia="Times New Roman" w:cs="Times New Roman"/>
          <w:bCs/>
          <w:iCs/>
          <w:color w:val="auto"/>
          <w:szCs w:val="20"/>
          <w:lang w:val="es-ES" w:eastAsia="es-ES"/>
        </w:rPr>
      </w:pPr>
      <w:r w:rsidRPr="00814683">
        <w:rPr>
          <w:rFonts w:eastAsia="Times New Roman" w:cs="Times New Roman"/>
          <w:bCs/>
          <w:iCs/>
          <w:color w:val="auto"/>
          <w:szCs w:val="20"/>
          <w:lang w:val="es-ES" w:eastAsia="es-ES"/>
        </w:rPr>
        <w:t>Número de cuenta; y</w:t>
      </w:r>
    </w:p>
    <w:p w14:paraId="3F66199C" w14:textId="4C6919BE" w:rsidR="00CA7521" w:rsidRPr="00814683" w:rsidRDefault="00CA7521" w:rsidP="004969B8">
      <w:pPr>
        <w:numPr>
          <w:ilvl w:val="0"/>
          <w:numId w:val="35"/>
        </w:numPr>
        <w:spacing w:after="0" w:line="360" w:lineRule="auto"/>
        <w:ind w:right="-28"/>
        <w:contextualSpacing/>
        <w:rPr>
          <w:rFonts w:eastAsia="Times New Roman" w:cs="Times New Roman"/>
          <w:bCs/>
          <w:iCs/>
          <w:color w:val="auto"/>
          <w:szCs w:val="20"/>
          <w:lang w:val="es-ES" w:eastAsia="es-ES"/>
        </w:rPr>
      </w:pPr>
      <w:r w:rsidRPr="00814683">
        <w:rPr>
          <w:rFonts w:eastAsia="Times New Roman" w:cs="Times New Roman"/>
          <w:bCs/>
          <w:iCs/>
          <w:color w:val="auto"/>
          <w:szCs w:val="20"/>
          <w:lang w:val="es-ES" w:eastAsia="es-ES"/>
        </w:rPr>
        <w:t>Huella dactilar.</w:t>
      </w:r>
    </w:p>
    <w:p w14:paraId="606A2F2B" w14:textId="77777777" w:rsidR="004969B8" w:rsidRPr="00814683" w:rsidRDefault="004969B8" w:rsidP="004969B8">
      <w:pPr>
        <w:spacing w:after="0" w:line="360" w:lineRule="auto"/>
        <w:ind w:right="-28"/>
        <w:rPr>
          <w:rFonts w:eastAsia="Calibri" w:cs="Times New Roman"/>
          <w:color w:val="auto"/>
          <w:lang w:eastAsia="en-US"/>
        </w:rPr>
      </w:pPr>
    </w:p>
    <w:p w14:paraId="668AA065" w14:textId="0C48D042" w:rsidR="00CA7521" w:rsidRPr="00814683" w:rsidRDefault="00CA7521" w:rsidP="004969B8">
      <w:pPr>
        <w:spacing w:after="0" w:line="360" w:lineRule="auto"/>
        <w:ind w:right="-28"/>
        <w:rPr>
          <w:rFonts w:eastAsia="Calibri" w:cs="Times New Roman"/>
          <w:color w:val="auto"/>
          <w:lang w:eastAsia="en-US"/>
        </w:rPr>
      </w:pPr>
      <w:r w:rsidRPr="00814683">
        <w:rPr>
          <w:rFonts w:eastAsia="Calibri" w:cs="Times New Roman"/>
          <w:color w:val="auto"/>
          <w:lang w:eastAsia="en-US"/>
        </w:rPr>
        <w:t>De lo anterior, resulta procedente analizar si dichos datos son públicos o privados; en principio, cabe mencionar que el artículo 143, fracción I, de la Ley previamente citada, establece que la información privada y los datos personales, concernientes a una persona física o jurídica colectiva identificada o identificable son confidenciales.</w:t>
      </w:r>
    </w:p>
    <w:p w14:paraId="6F381F00" w14:textId="77777777" w:rsidR="00CA7521" w:rsidRPr="00814683" w:rsidRDefault="00CA7521" w:rsidP="004969B8">
      <w:pPr>
        <w:spacing w:after="0" w:line="360" w:lineRule="auto"/>
        <w:rPr>
          <w:rFonts w:eastAsia="Calibri" w:cs="Times New Roman"/>
          <w:color w:val="auto"/>
          <w:lang w:eastAsia="en-US"/>
        </w:rPr>
      </w:pPr>
    </w:p>
    <w:p w14:paraId="570A3ACF"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w:t>
      </w:r>
      <w:r w:rsidRPr="00814683">
        <w:rPr>
          <w:rFonts w:eastAsia="Calibri" w:cs="Times New Roman"/>
          <w:color w:val="auto"/>
          <w:lang w:eastAsia="en-US"/>
        </w:rPr>
        <w:lastRenderedPageBreak/>
        <w:t>para proteger los derechos de terceros o cuando se transmita entre sujetos obligados en términos de los tratados y los acuerdos interinstitucionales.</w:t>
      </w:r>
    </w:p>
    <w:p w14:paraId="3E7F021F" w14:textId="77777777" w:rsidR="00CA7521" w:rsidRPr="00814683" w:rsidRDefault="00CA7521" w:rsidP="004969B8">
      <w:pPr>
        <w:spacing w:after="0" w:line="360" w:lineRule="auto"/>
        <w:rPr>
          <w:rFonts w:eastAsia="Calibri" w:cs="Times New Roman"/>
          <w:color w:val="auto"/>
          <w:lang w:eastAsia="en-US"/>
        </w:rPr>
      </w:pPr>
    </w:p>
    <w:p w14:paraId="298140D2"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En términos de lo expuesto, la documentación y aquellos datos que se consideren confidenciales, serán una limitante del derecho de acceso a la información, siempre y cuando:</w:t>
      </w:r>
    </w:p>
    <w:p w14:paraId="5EA07ECC" w14:textId="77777777" w:rsidR="00CA7521" w:rsidRPr="00814683" w:rsidRDefault="00CA7521" w:rsidP="004969B8">
      <w:pPr>
        <w:spacing w:after="0" w:line="360" w:lineRule="auto"/>
        <w:rPr>
          <w:rFonts w:eastAsia="Calibri" w:cs="Times New Roman"/>
          <w:color w:val="auto"/>
          <w:lang w:eastAsia="en-US"/>
        </w:rPr>
      </w:pPr>
    </w:p>
    <w:p w14:paraId="4E2D2F07" w14:textId="77777777" w:rsidR="00CA7521" w:rsidRPr="00814683" w:rsidRDefault="00CA7521" w:rsidP="004969B8">
      <w:pPr>
        <w:numPr>
          <w:ilvl w:val="0"/>
          <w:numId w:val="36"/>
        </w:numPr>
        <w:spacing w:after="0" w:line="360" w:lineRule="auto"/>
        <w:rPr>
          <w:rFonts w:eastAsia="Calibri" w:cs="Times New Roman"/>
          <w:color w:val="auto"/>
          <w:lang w:eastAsia="en-US"/>
        </w:rPr>
      </w:pPr>
      <w:r w:rsidRPr="00814683">
        <w:rPr>
          <w:rFonts w:eastAsia="Calibri" w:cs="Times New Roman"/>
          <w:color w:val="auto"/>
          <w:lang w:eastAsia="en-US"/>
        </w:rPr>
        <w:t xml:space="preserve">Se trate de datos personales o información privada; esto es, información concerniente a una persona física o jurídico colectiva y que esta sea identificada o identificable. </w:t>
      </w:r>
    </w:p>
    <w:p w14:paraId="3671EDFE" w14:textId="77777777" w:rsidR="00CA7521" w:rsidRPr="00814683" w:rsidRDefault="00CA7521" w:rsidP="004969B8">
      <w:pPr>
        <w:numPr>
          <w:ilvl w:val="0"/>
          <w:numId w:val="36"/>
        </w:numPr>
        <w:spacing w:after="0" w:line="360" w:lineRule="auto"/>
        <w:rPr>
          <w:rFonts w:eastAsia="Calibri" w:cs="Times New Roman"/>
          <w:color w:val="auto"/>
          <w:lang w:eastAsia="en-US"/>
        </w:rPr>
      </w:pPr>
      <w:r w:rsidRPr="00814683">
        <w:rPr>
          <w:rFonts w:eastAsia="Calibri" w:cs="Times New Roman"/>
          <w:color w:val="auto"/>
          <w:lang w:eastAsia="en-US"/>
        </w:rPr>
        <w:t xml:space="preserve">Para la difusión de los datos, se requiera el consentimiento del titular. </w:t>
      </w:r>
    </w:p>
    <w:p w14:paraId="4BC409EE" w14:textId="77777777" w:rsidR="00CA7521" w:rsidRPr="00814683" w:rsidRDefault="00CA7521" w:rsidP="004969B8">
      <w:pPr>
        <w:spacing w:after="0" w:line="360" w:lineRule="auto"/>
        <w:rPr>
          <w:rFonts w:eastAsia="Calibri" w:cs="Times New Roman"/>
          <w:color w:val="auto"/>
          <w:lang w:eastAsia="en-US"/>
        </w:rPr>
      </w:pPr>
    </w:p>
    <w:p w14:paraId="3ABDD570"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FB20BB2" w14:textId="77777777" w:rsidR="00CA7521" w:rsidRPr="00814683" w:rsidRDefault="00CA7521" w:rsidP="004969B8">
      <w:pPr>
        <w:spacing w:after="0" w:line="360" w:lineRule="auto"/>
        <w:rPr>
          <w:rFonts w:eastAsia="Calibri" w:cs="Times New Roman"/>
          <w:color w:val="auto"/>
          <w:lang w:eastAsia="en-US"/>
        </w:rPr>
      </w:pPr>
    </w:p>
    <w:p w14:paraId="0C77759F"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Además, en el artículo 5° de dicho ordenamiento jurídico, establece que es la Ley aplicable para todo tratamiento de datos personales.</w:t>
      </w:r>
    </w:p>
    <w:p w14:paraId="5DE812F3" w14:textId="77777777" w:rsidR="00CA7521" w:rsidRPr="00814683" w:rsidRDefault="00CA7521" w:rsidP="004969B8">
      <w:pPr>
        <w:spacing w:after="0" w:line="360" w:lineRule="auto"/>
        <w:rPr>
          <w:rFonts w:eastAsia="Calibri" w:cs="Times New Roman"/>
          <w:color w:val="auto"/>
          <w:lang w:eastAsia="en-US"/>
        </w:rPr>
      </w:pPr>
    </w:p>
    <w:p w14:paraId="2B2BEB57"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w:t>
      </w:r>
      <w:r w:rsidRPr="00814683">
        <w:rPr>
          <w:rFonts w:eastAsia="Calibri" w:cs="Times New Roman"/>
          <w:color w:val="auto"/>
          <w:lang w:eastAsia="en-US"/>
        </w:rPr>
        <w:lastRenderedPageBreak/>
        <w:t>responsabilidad; además, que dicho tratamiento deberá obedecer exclusivamente a sus atribuciones legales y con el consentimiento de su titular, además de que debe estar justificado en ley (principio de finalidad).</w:t>
      </w:r>
    </w:p>
    <w:p w14:paraId="4EF03422" w14:textId="77777777" w:rsidR="00CA7521" w:rsidRPr="00814683" w:rsidRDefault="00CA7521" w:rsidP="004969B8">
      <w:pPr>
        <w:spacing w:after="0" w:line="360" w:lineRule="auto"/>
        <w:rPr>
          <w:rFonts w:eastAsia="Calibri" w:cs="Times New Roman"/>
          <w:color w:val="auto"/>
          <w:lang w:eastAsia="en-US"/>
        </w:rPr>
      </w:pPr>
    </w:p>
    <w:p w14:paraId="700CD9C9"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En este sentido, un dato personal es cualquier información que pueda hacer a una persona física o jurídica colectiva identificada e identificable; por lo que, bajo dicha circunstancia, se analizarán si los datos mencionados, deben ser considerados confidenciales, en términos del artículo 143, fracción I, de la Ley de Transparencia y Acceso a la Información Pública del Estado de México y Municipios, o públicos.</w:t>
      </w:r>
    </w:p>
    <w:p w14:paraId="380BE144" w14:textId="77777777" w:rsidR="00CA7521" w:rsidRPr="00814683" w:rsidRDefault="00CA7521" w:rsidP="004969B8">
      <w:pPr>
        <w:spacing w:after="0" w:line="360" w:lineRule="auto"/>
        <w:rPr>
          <w:rFonts w:eastAsia="Calibri" w:cs="Times New Roman"/>
          <w:color w:val="auto"/>
          <w:lang w:eastAsia="en-US"/>
        </w:rPr>
      </w:pPr>
    </w:p>
    <w:p w14:paraId="3ACDC140" w14:textId="77777777" w:rsidR="00CA7521" w:rsidRPr="00814683" w:rsidRDefault="00CA7521" w:rsidP="004969B8">
      <w:pPr>
        <w:numPr>
          <w:ilvl w:val="0"/>
          <w:numId w:val="41"/>
        </w:numPr>
        <w:spacing w:after="0" w:line="360" w:lineRule="auto"/>
        <w:contextualSpacing/>
        <w:rPr>
          <w:rFonts w:eastAsia="Calibri" w:cs="Times New Roman"/>
          <w:color w:val="auto"/>
          <w:szCs w:val="24"/>
          <w:lang w:eastAsia="en-US"/>
        </w:rPr>
      </w:pPr>
      <w:r w:rsidRPr="00814683">
        <w:rPr>
          <w:rFonts w:eastAsia="Calibri" w:cs="Times New Roman"/>
          <w:b/>
          <w:color w:val="auto"/>
          <w:szCs w:val="24"/>
          <w:lang w:eastAsia="en-US"/>
        </w:rPr>
        <w:t>Clave Única de Registro de Población (CURP)</w:t>
      </w:r>
    </w:p>
    <w:p w14:paraId="027B7C09" w14:textId="77777777" w:rsidR="00CA7521" w:rsidRPr="00814683" w:rsidRDefault="00CA7521" w:rsidP="004969B8">
      <w:pPr>
        <w:spacing w:after="0" w:line="360" w:lineRule="auto"/>
        <w:rPr>
          <w:rFonts w:eastAsia="Calibri" w:cs="Times New Roman"/>
          <w:color w:val="FF0000"/>
          <w:lang w:eastAsia="en-US"/>
        </w:rPr>
      </w:pPr>
    </w:p>
    <w:p w14:paraId="56521932"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269D6849" w14:textId="77777777" w:rsidR="00CA7521" w:rsidRPr="00814683" w:rsidRDefault="00CA7521" w:rsidP="004969B8">
      <w:pPr>
        <w:spacing w:after="0" w:line="360" w:lineRule="auto"/>
        <w:rPr>
          <w:rFonts w:eastAsia="Calibri" w:cs="Times New Roman"/>
          <w:color w:val="auto"/>
          <w:lang w:eastAsia="en-US"/>
        </w:rPr>
      </w:pPr>
    </w:p>
    <w:p w14:paraId="7FB6902F"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9C648D9" w14:textId="77777777" w:rsidR="00CA7521" w:rsidRPr="00814683" w:rsidRDefault="00CA7521" w:rsidP="004969B8">
      <w:pPr>
        <w:spacing w:after="0" w:line="360" w:lineRule="auto"/>
        <w:rPr>
          <w:rFonts w:eastAsia="Calibri" w:cs="Times New Roman"/>
          <w:color w:val="auto"/>
          <w:lang w:eastAsia="en-US"/>
        </w:rPr>
      </w:pPr>
    </w:p>
    <w:p w14:paraId="66E5645A"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 xml:space="preserve">En ese orden de ideas, la Secretaría de Gobernación estableció que la Clave Única del Registro de Población, es un instrumento de registro que se asigna a todas las personas que viven en </w:t>
      </w:r>
      <w:r w:rsidRPr="00814683">
        <w:rPr>
          <w:rFonts w:eastAsia="Calibri" w:cs="Times New Roman"/>
          <w:color w:val="auto"/>
          <w:lang w:eastAsia="en-US"/>
        </w:rPr>
        <w:lastRenderedPageBreak/>
        <w:t xml:space="preserve">el territorio nacional, así como a los mexicanos que residen en el extranjero y se compone de dieciocho elementos, representados por letras y números, que </w:t>
      </w:r>
      <w:r w:rsidRPr="00814683">
        <w:rPr>
          <w:rFonts w:eastAsia="Calibri" w:cs="Times New Roman"/>
          <w:b/>
          <w:color w:val="auto"/>
          <w:lang w:eastAsia="en-US"/>
        </w:rPr>
        <w:t>se generan a partir de los datos contenidos en el documento probatorio de la identidad</w:t>
      </w:r>
      <w:r w:rsidRPr="00814683">
        <w:rPr>
          <w:rFonts w:eastAsia="Calibri" w:cs="Times New Roman"/>
          <w:color w:val="auto"/>
          <w:lang w:eastAsia="en-US"/>
        </w:rPr>
        <w:t xml:space="preserve"> </w:t>
      </w:r>
      <w:r w:rsidRPr="00814683">
        <w:rPr>
          <w:rFonts w:eastAsia="Calibri" w:cs="Times New Roman"/>
          <w:b/>
          <w:color w:val="auto"/>
          <w:lang w:eastAsia="en-US"/>
        </w:rPr>
        <w:t xml:space="preserve">del interesado </w:t>
      </w:r>
      <w:r w:rsidRPr="00814683">
        <w:rPr>
          <w:rFonts w:eastAsia="Calibri" w:cs="Times New Roman"/>
          <w:color w:val="auto"/>
          <w:lang w:eastAsia="en-US"/>
        </w:rPr>
        <w:t>(acta de nacimiento, carta de naturalización o documento migratorio) de la siguiente forma:</w:t>
      </w:r>
    </w:p>
    <w:p w14:paraId="0947C164" w14:textId="77777777" w:rsidR="00CA7521" w:rsidRPr="00814683" w:rsidRDefault="00CA7521" w:rsidP="004969B8">
      <w:pPr>
        <w:spacing w:after="0" w:line="360" w:lineRule="auto"/>
        <w:rPr>
          <w:rFonts w:eastAsia="Calibri" w:cs="Times New Roman"/>
          <w:color w:val="auto"/>
          <w:lang w:eastAsia="en-US"/>
        </w:rPr>
      </w:pPr>
    </w:p>
    <w:p w14:paraId="20D2D400" w14:textId="77777777" w:rsidR="00CA7521" w:rsidRPr="00814683" w:rsidRDefault="00CA7521" w:rsidP="004969B8">
      <w:pPr>
        <w:numPr>
          <w:ilvl w:val="0"/>
          <w:numId w:val="39"/>
        </w:numPr>
        <w:spacing w:after="0" w:line="360" w:lineRule="auto"/>
        <w:rPr>
          <w:rFonts w:eastAsia="Calibri" w:cs="Times New Roman"/>
          <w:color w:val="auto"/>
          <w:lang w:eastAsia="en-US"/>
        </w:rPr>
      </w:pPr>
      <w:r w:rsidRPr="00814683">
        <w:rPr>
          <w:rFonts w:eastAsia="Calibri" w:cs="Times New Roman"/>
          <w:color w:val="auto"/>
          <w:lang w:eastAsia="en-US"/>
        </w:rPr>
        <w:t>El primero y segundo apellidos, así como al nombre de pila;</w:t>
      </w:r>
    </w:p>
    <w:p w14:paraId="531BC017" w14:textId="77777777" w:rsidR="00CA7521" w:rsidRPr="00814683" w:rsidRDefault="00CA7521" w:rsidP="004969B8">
      <w:pPr>
        <w:numPr>
          <w:ilvl w:val="0"/>
          <w:numId w:val="39"/>
        </w:numPr>
        <w:spacing w:after="0" w:line="360" w:lineRule="auto"/>
        <w:rPr>
          <w:rFonts w:eastAsia="Calibri" w:cs="Times New Roman"/>
          <w:color w:val="auto"/>
          <w:lang w:eastAsia="en-US"/>
        </w:rPr>
      </w:pPr>
      <w:r w:rsidRPr="00814683">
        <w:rPr>
          <w:rFonts w:eastAsia="Calibri" w:cs="Times New Roman"/>
          <w:color w:val="auto"/>
          <w:lang w:eastAsia="en-US"/>
        </w:rPr>
        <w:t>La fecha de nacimiento;</w:t>
      </w:r>
    </w:p>
    <w:p w14:paraId="6AA5261E" w14:textId="77777777" w:rsidR="00CA7521" w:rsidRPr="00814683" w:rsidRDefault="00CA7521" w:rsidP="004969B8">
      <w:pPr>
        <w:numPr>
          <w:ilvl w:val="0"/>
          <w:numId w:val="39"/>
        </w:numPr>
        <w:spacing w:after="0" w:line="360" w:lineRule="auto"/>
        <w:rPr>
          <w:rFonts w:eastAsia="Calibri" w:cs="Times New Roman"/>
          <w:color w:val="auto"/>
          <w:lang w:eastAsia="en-US"/>
        </w:rPr>
      </w:pPr>
      <w:r w:rsidRPr="00814683">
        <w:rPr>
          <w:rFonts w:eastAsia="Calibri" w:cs="Times New Roman"/>
          <w:color w:val="auto"/>
          <w:lang w:eastAsia="en-US"/>
        </w:rPr>
        <w:t>El sexo, y</w:t>
      </w:r>
    </w:p>
    <w:p w14:paraId="5CB43F16" w14:textId="77777777" w:rsidR="00CA7521" w:rsidRPr="00814683" w:rsidRDefault="00CA7521" w:rsidP="004969B8">
      <w:pPr>
        <w:numPr>
          <w:ilvl w:val="0"/>
          <w:numId w:val="39"/>
        </w:numPr>
        <w:spacing w:after="0" w:line="360" w:lineRule="auto"/>
        <w:rPr>
          <w:rFonts w:eastAsia="Calibri" w:cs="Times New Roman"/>
          <w:color w:val="auto"/>
          <w:lang w:eastAsia="en-US"/>
        </w:rPr>
      </w:pPr>
      <w:r w:rsidRPr="00814683">
        <w:rPr>
          <w:rFonts w:eastAsia="Calibri" w:cs="Times New Roman"/>
          <w:color w:val="auto"/>
          <w:lang w:eastAsia="en-US"/>
        </w:rPr>
        <w:t>La entidad federativa de nacimiento.</w:t>
      </w:r>
    </w:p>
    <w:p w14:paraId="09E5284E" w14:textId="77777777" w:rsidR="00CA7521" w:rsidRPr="00814683" w:rsidRDefault="00CA7521" w:rsidP="004969B8">
      <w:pPr>
        <w:spacing w:after="0" w:line="360" w:lineRule="auto"/>
        <w:rPr>
          <w:rFonts w:eastAsia="Calibri" w:cs="Times New Roman"/>
          <w:color w:val="auto"/>
          <w:lang w:eastAsia="en-US"/>
        </w:rPr>
      </w:pPr>
    </w:p>
    <w:p w14:paraId="3747EEBC"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Los dos últimos elementos de la Clave Única de Registro de Población evitan la duplicidad de la Clave y garantizan su correcta integración.</w:t>
      </w:r>
    </w:p>
    <w:p w14:paraId="5D9E7730" w14:textId="77777777" w:rsidR="00CA7521" w:rsidRPr="00814683" w:rsidRDefault="00CA7521" w:rsidP="004969B8">
      <w:pPr>
        <w:spacing w:after="0" w:line="360" w:lineRule="auto"/>
        <w:rPr>
          <w:rFonts w:eastAsia="Calibri" w:cs="Times New Roman"/>
          <w:color w:val="auto"/>
          <w:lang w:eastAsia="en-US"/>
        </w:rPr>
      </w:pPr>
    </w:p>
    <w:p w14:paraId="234F64ED"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37DF8E92" w14:textId="77777777" w:rsidR="00CA7521" w:rsidRPr="00814683" w:rsidRDefault="00CA7521" w:rsidP="004969B8">
      <w:pPr>
        <w:spacing w:after="0" w:line="360" w:lineRule="auto"/>
        <w:rPr>
          <w:rFonts w:eastAsia="Calibri" w:cs="Times New Roman"/>
          <w:color w:val="auto"/>
          <w:lang w:eastAsia="en-US"/>
        </w:rPr>
      </w:pPr>
    </w:p>
    <w:p w14:paraId="166D52E7"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Situación que se robustece, con el Criterio Orientador, de la Segunda Época, con número de registro SO/018/2017, emitido por el Instituto Nacional de Transparencia, Acceso a la Información y Protección de Datos Personales, vigente a la fecha de la solicitud, que establece lo siguiente:</w:t>
      </w:r>
    </w:p>
    <w:p w14:paraId="7B1235EA" w14:textId="77777777" w:rsidR="00CA7521" w:rsidRPr="00814683" w:rsidRDefault="00CA7521" w:rsidP="004969B8">
      <w:pPr>
        <w:spacing w:after="0" w:line="360" w:lineRule="auto"/>
        <w:ind w:left="567" w:right="567"/>
        <w:rPr>
          <w:rFonts w:eastAsia="Calibri" w:cs="Times New Roman"/>
          <w:color w:val="auto"/>
          <w:sz w:val="20"/>
          <w:szCs w:val="20"/>
          <w:lang w:eastAsia="en-US"/>
        </w:rPr>
      </w:pPr>
    </w:p>
    <w:p w14:paraId="04AB5596" w14:textId="77777777" w:rsidR="00CA7521" w:rsidRPr="00814683" w:rsidRDefault="00CA7521" w:rsidP="004969B8">
      <w:pPr>
        <w:spacing w:after="0" w:line="360" w:lineRule="auto"/>
        <w:ind w:left="567" w:right="567"/>
        <w:rPr>
          <w:rFonts w:eastAsia="Calibri" w:cs="Times New Roman"/>
          <w:i/>
          <w:color w:val="auto"/>
          <w:sz w:val="20"/>
          <w:szCs w:val="20"/>
          <w:lang w:eastAsia="en-US"/>
        </w:rPr>
      </w:pPr>
      <w:r w:rsidRPr="00814683">
        <w:rPr>
          <w:rFonts w:eastAsia="Calibri" w:cs="Times New Roman"/>
          <w:b/>
          <w:i/>
          <w:color w:val="auto"/>
          <w:sz w:val="20"/>
          <w:szCs w:val="20"/>
          <w:lang w:eastAsia="en-US"/>
        </w:rPr>
        <w:t xml:space="preserve">“Clave Única de Registro de Población (CURP). </w:t>
      </w:r>
      <w:r w:rsidRPr="00814683">
        <w:rPr>
          <w:rFonts w:eastAsia="Calibri" w:cs="Times New Roman"/>
          <w:i/>
          <w:color w:val="auto"/>
          <w:sz w:val="20"/>
          <w:szCs w:val="20"/>
          <w:lang w:eastAsia="en-US"/>
        </w:rPr>
        <w:t xml:space="preserve">La Clave Única de Registro de Población se integra por datos personales que sólo conciernen al particular titular de la misma, como lo son su </w:t>
      </w:r>
      <w:r w:rsidRPr="00814683">
        <w:rPr>
          <w:rFonts w:eastAsia="Calibri" w:cs="Times New Roman"/>
          <w:i/>
          <w:color w:val="auto"/>
          <w:sz w:val="20"/>
          <w:szCs w:val="20"/>
          <w:lang w:eastAsia="en-US"/>
        </w:rPr>
        <w:lastRenderedPageBreak/>
        <w:t xml:space="preserve">nombre, apellidos, fecha de nacimiento, lugar de nacimiento y sexo. Dichos datos, constituyen información que distingue plenamente a una persona física del resto de los habitantes del país, por lo que la CURP está considerada como información confidencial.” </w:t>
      </w:r>
    </w:p>
    <w:p w14:paraId="3BFF0D78" w14:textId="77777777" w:rsidR="00CA7521" w:rsidRPr="00814683" w:rsidRDefault="00CA7521" w:rsidP="004969B8">
      <w:pPr>
        <w:spacing w:after="0" w:line="360" w:lineRule="auto"/>
        <w:rPr>
          <w:rFonts w:eastAsia="Calibri" w:cs="Times New Roman"/>
          <w:color w:val="auto"/>
          <w:lang w:eastAsia="en-US"/>
        </w:rPr>
      </w:pPr>
    </w:p>
    <w:p w14:paraId="42B4945A"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24AC1FC8" w14:textId="77777777" w:rsidR="00CA7521" w:rsidRPr="00814683" w:rsidRDefault="00CA7521" w:rsidP="004969B8">
      <w:pPr>
        <w:spacing w:after="0" w:line="360" w:lineRule="auto"/>
        <w:rPr>
          <w:rFonts w:eastAsia="Calibri" w:cs="Times New Roman"/>
          <w:color w:val="auto"/>
          <w:lang w:eastAsia="en-US"/>
        </w:rPr>
      </w:pPr>
    </w:p>
    <w:p w14:paraId="7A4C0263" w14:textId="77777777" w:rsidR="00CA7521" w:rsidRPr="00814683" w:rsidRDefault="00CA7521" w:rsidP="004969B8">
      <w:pPr>
        <w:numPr>
          <w:ilvl w:val="0"/>
          <w:numId w:val="38"/>
        </w:numPr>
        <w:spacing w:after="0" w:line="360" w:lineRule="auto"/>
        <w:rPr>
          <w:rFonts w:eastAsia="Calibri" w:cs="Times New Roman"/>
          <w:b/>
          <w:color w:val="auto"/>
          <w:lang w:eastAsia="en-US"/>
        </w:rPr>
      </w:pPr>
      <w:r w:rsidRPr="00814683">
        <w:rPr>
          <w:rFonts w:eastAsia="Calibri" w:cs="Times New Roman"/>
          <w:b/>
          <w:color w:val="auto"/>
          <w:lang w:eastAsia="en-US"/>
        </w:rPr>
        <w:t>Registro Federal de Contribuyentes (RFC)</w:t>
      </w:r>
    </w:p>
    <w:p w14:paraId="51047BC9" w14:textId="77777777" w:rsidR="00CA7521" w:rsidRPr="00814683" w:rsidRDefault="00CA7521" w:rsidP="004969B8">
      <w:pPr>
        <w:spacing w:after="0" w:line="360" w:lineRule="auto"/>
        <w:rPr>
          <w:rFonts w:eastAsia="Calibri" w:cs="Times New Roman"/>
          <w:color w:val="auto"/>
          <w:lang w:eastAsia="en-US"/>
        </w:rPr>
      </w:pPr>
    </w:p>
    <w:p w14:paraId="340DB68C"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D20DB40" w14:textId="77777777" w:rsidR="00CA7521" w:rsidRPr="00814683" w:rsidRDefault="00CA7521" w:rsidP="004969B8">
      <w:pPr>
        <w:spacing w:after="0" w:line="360" w:lineRule="auto"/>
        <w:rPr>
          <w:rFonts w:eastAsia="Calibri" w:cs="Times New Roman"/>
          <w:color w:val="auto"/>
          <w:lang w:eastAsia="en-US"/>
        </w:rPr>
      </w:pPr>
    </w:p>
    <w:p w14:paraId="4087D72E"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3656CAA4" w14:textId="77777777" w:rsidR="00CA7521" w:rsidRPr="00814683" w:rsidRDefault="00CA7521" w:rsidP="004969B8">
      <w:pPr>
        <w:spacing w:after="0" w:line="360" w:lineRule="auto"/>
        <w:rPr>
          <w:rFonts w:eastAsia="Calibri" w:cs="Times New Roman"/>
          <w:color w:val="auto"/>
          <w:lang w:eastAsia="en-US"/>
        </w:rPr>
      </w:pPr>
    </w:p>
    <w:p w14:paraId="3AA8C1A2"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w:t>
      </w:r>
      <w:r w:rsidRPr="00814683">
        <w:rPr>
          <w:rFonts w:eastAsia="Calibri" w:cs="Times New Roman"/>
          <w:color w:val="auto"/>
          <w:lang w:eastAsia="en-US"/>
        </w:rPr>
        <w:lastRenderedPageBreak/>
        <w:t>contribuyentes; mientras que los particulares tramitan dicho dato, con el único propósito de realizar mediante esa clave de identificación, operaciones o actividades de naturaleza fiscal.</w:t>
      </w:r>
    </w:p>
    <w:p w14:paraId="77192556" w14:textId="77777777" w:rsidR="00CA7521" w:rsidRPr="00814683" w:rsidRDefault="00CA7521" w:rsidP="004969B8">
      <w:pPr>
        <w:spacing w:after="0" w:line="360" w:lineRule="auto"/>
        <w:rPr>
          <w:rFonts w:eastAsia="Calibri" w:cs="Times New Roman"/>
          <w:color w:val="auto"/>
          <w:lang w:eastAsia="en-US"/>
        </w:rPr>
      </w:pPr>
    </w:p>
    <w:p w14:paraId="1ABA4B02"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7DC3B74" w14:textId="77777777" w:rsidR="00CA7521" w:rsidRPr="00814683" w:rsidRDefault="00CA7521" w:rsidP="004969B8">
      <w:pPr>
        <w:spacing w:after="0" w:line="360" w:lineRule="auto"/>
        <w:rPr>
          <w:rFonts w:eastAsia="Calibri" w:cs="Times New Roman"/>
          <w:color w:val="auto"/>
          <w:lang w:eastAsia="en-US"/>
        </w:rPr>
      </w:pPr>
    </w:p>
    <w:p w14:paraId="56E1C607"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Lo anterior, resulta congruente con el Criterio Orientador, de la Segunda Época, con número de registro SO/019/2017, emitido por el entonces Instituto Nacional de Transparencia, Acceso a la Información y Protección de Datos Personales, vigente a la fecha de la solicitud, en el cual se señala lo siguiente:</w:t>
      </w:r>
    </w:p>
    <w:p w14:paraId="2E76E22C" w14:textId="77777777" w:rsidR="00CA7521" w:rsidRPr="00814683" w:rsidRDefault="00CA7521" w:rsidP="004969B8">
      <w:pPr>
        <w:spacing w:after="0" w:line="360" w:lineRule="auto"/>
        <w:rPr>
          <w:rFonts w:eastAsia="Calibri" w:cs="Times New Roman"/>
          <w:color w:val="auto"/>
          <w:lang w:eastAsia="en-US"/>
        </w:rPr>
      </w:pPr>
    </w:p>
    <w:p w14:paraId="21CF6D7B" w14:textId="77777777" w:rsidR="00CA7521" w:rsidRPr="00814683" w:rsidRDefault="00CA7521" w:rsidP="004969B8">
      <w:pPr>
        <w:spacing w:after="0" w:line="360" w:lineRule="auto"/>
        <w:ind w:left="567" w:right="567"/>
        <w:rPr>
          <w:rFonts w:eastAsia="Calibri" w:cs="Times New Roman"/>
          <w:i/>
          <w:color w:val="auto"/>
          <w:sz w:val="20"/>
          <w:szCs w:val="20"/>
          <w:lang w:eastAsia="en-US"/>
        </w:rPr>
      </w:pPr>
      <w:r w:rsidRPr="00814683">
        <w:rPr>
          <w:rFonts w:eastAsia="Calibri" w:cs="Times New Roman"/>
          <w:b/>
          <w:i/>
          <w:color w:val="auto"/>
          <w:sz w:val="20"/>
          <w:szCs w:val="20"/>
          <w:lang w:eastAsia="en-US"/>
        </w:rPr>
        <w:t>“Registro Federal de Contribuyentes (RFC) de personas físicas.</w:t>
      </w:r>
      <w:r w:rsidRPr="00814683">
        <w:rPr>
          <w:rFonts w:eastAsia="Calibri" w:cs="Times New Roman"/>
          <w:i/>
          <w:color w:val="auto"/>
          <w:sz w:val="20"/>
          <w:szCs w:val="20"/>
          <w:lang w:eastAsia="en-US"/>
        </w:rPr>
        <w:t xml:space="preserve"> El RFC es una clave de carácter fiscal, única e irrepetible, que permite identificar al titular, su edad y fecha de nacimiento, por lo que es un dato personal de carácter confidencial.”</w:t>
      </w:r>
    </w:p>
    <w:p w14:paraId="2DA7C3B4" w14:textId="77777777" w:rsidR="00CA7521" w:rsidRPr="00814683" w:rsidRDefault="00CA7521" w:rsidP="004969B8">
      <w:pPr>
        <w:spacing w:after="0" w:line="360" w:lineRule="auto"/>
        <w:rPr>
          <w:rFonts w:eastAsia="Calibri" w:cs="Times New Roman"/>
          <w:color w:val="auto"/>
          <w:lang w:eastAsia="en-US"/>
        </w:rPr>
      </w:pPr>
    </w:p>
    <w:p w14:paraId="180B96D3"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FA5EC9B" w14:textId="77777777" w:rsidR="00CA7521" w:rsidRPr="00814683" w:rsidRDefault="00CA7521" w:rsidP="004969B8">
      <w:pPr>
        <w:tabs>
          <w:tab w:val="center" w:pos="4522"/>
        </w:tabs>
        <w:spacing w:after="0" w:line="360" w:lineRule="auto"/>
        <w:rPr>
          <w:rFonts w:eastAsia="Calibri" w:cs="Times New Roman"/>
          <w:color w:val="auto"/>
          <w:lang w:eastAsia="en-US"/>
        </w:rPr>
      </w:pPr>
    </w:p>
    <w:p w14:paraId="6B72A284" w14:textId="77777777" w:rsidR="00CA7521" w:rsidRPr="00814683" w:rsidRDefault="00CA7521" w:rsidP="004969B8">
      <w:pPr>
        <w:numPr>
          <w:ilvl w:val="0"/>
          <w:numId w:val="37"/>
        </w:numPr>
        <w:spacing w:after="0" w:line="360" w:lineRule="auto"/>
        <w:contextualSpacing/>
        <w:jc w:val="left"/>
        <w:rPr>
          <w:rFonts w:eastAsia="Calibri" w:cs="Tahoma"/>
          <w:b/>
          <w:bCs/>
          <w:iCs/>
          <w:color w:val="auto"/>
          <w:lang w:eastAsia="en-US"/>
        </w:rPr>
      </w:pPr>
      <w:r w:rsidRPr="00814683">
        <w:rPr>
          <w:rFonts w:eastAsia="Calibri" w:cs="Tahoma"/>
          <w:b/>
          <w:bCs/>
          <w:iCs/>
          <w:color w:val="auto"/>
          <w:lang w:eastAsia="en-US"/>
        </w:rPr>
        <w:t>Código bidimensional o Qr</w:t>
      </w:r>
    </w:p>
    <w:p w14:paraId="27D1823D" w14:textId="77777777" w:rsidR="00CA7521" w:rsidRPr="00814683" w:rsidRDefault="00CA7521" w:rsidP="004969B8">
      <w:pPr>
        <w:spacing w:after="0" w:line="360" w:lineRule="auto"/>
        <w:contextualSpacing/>
        <w:rPr>
          <w:rFonts w:eastAsia="Calibri" w:cs="Tahoma"/>
          <w:b/>
          <w:bCs/>
          <w:iCs/>
          <w:color w:val="auto"/>
          <w:lang w:eastAsia="en-US"/>
        </w:rPr>
      </w:pPr>
    </w:p>
    <w:p w14:paraId="2B7E215F" w14:textId="77777777" w:rsidR="00CA7521" w:rsidRPr="00814683" w:rsidRDefault="00CA7521" w:rsidP="004969B8">
      <w:pPr>
        <w:spacing w:after="0" w:line="360" w:lineRule="auto"/>
        <w:contextualSpacing/>
        <w:rPr>
          <w:rFonts w:eastAsia="Calibri" w:cs="Tahoma"/>
          <w:bCs/>
          <w:color w:val="auto"/>
          <w:lang w:eastAsia="en-US"/>
        </w:rPr>
      </w:pPr>
      <w:r w:rsidRPr="00814683">
        <w:rPr>
          <w:rFonts w:eastAsia="Calibri" w:cs="Tahoma"/>
          <w:bCs/>
          <w:color w:val="auto"/>
          <w:lang w:eastAsia="en-US"/>
        </w:rPr>
        <w:lastRenderedPageBreak/>
        <w:t xml:space="preserve">En principio, resulta necesario señalar que los comprobantes fiscales digitales por Internet, deben de incluir un código bidimensional conforme al formato </w:t>
      </w:r>
      <w:r w:rsidRPr="00814683">
        <w:rPr>
          <w:rFonts w:eastAsia="Calibri" w:cs="Tahoma"/>
          <w:bCs/>
          <w:i/>
          <w:color w:val="auto"/>
          <w:lang w:eastAsia="en-US"/>
        </w:rPr>
        <w:t>QR Code (Quick Response Code)</w:t>
      </w:r>
      <w:r w:rsidRPr="00814683">
        <w:rPr>
          <w:rFonts w:eastAsia="Calibri" w:cs="Tahoma"/>
          <w:bCs/>
          <w:color w:val="auto"/>
          <w:lang w:eastAsia="en-US"/>
        </w:rPr>
        <w:t>, el cual contiene el Registro Federal de Contribuyentes del receptor, del emisor, o de ambos; incluso con la captura de dicho código, a través de la aplicación móvil del Servicio de Administración Tributaria, permite el acceso al Registro Federal de Contribuyentes, como del Sujeto Obligado, como de los servidores públicos.</w:t>
      </w:r>
    </w:p>
    <w:p w14:paraId="20D310BB" w14:textId="77777777" w:rsidR="00CA7521" w:rsidRPr="00814683" w:rsidRDefault="00CA7521" w:rsidP="004969B8">
      <w:pPr>
        <w:spacing w:after="0" w:line="360" w:lineRule="auto"/>
        <w:contextualSpacing/>
        <w:rPr>
          <w:rFonts w:eastAsia="Calibri" w:cs="Tahoma"/>
          <w:bCs/>
          <w:color w:val="auto"/>
          <w:lang w:eastAsia="en-US"/>
        </w:rPr>
      </w:pPr>
    </w:p>
    <w:p w14:paraId="5C3599E4" w14:textId="77777777" w:rsidR="00CA7521" w:rsidRPr="00814683" w:rsidRDefault="00CA7521" w:rsidP="004969B8">
      <w:pPr>
        <w:spacing w:after="0" w:line="360" w:lineRule="auto"/>
        <w:contextualSpacing/>
        <w:rPr>
          <w:rFonts w:eastAsia="Calibri" w:cs="Tahoma"/>
          <w:bCs/>
          <w:color w:val="auto"/>
          <w:lang w:eastAsia="en-US"/>
        </w:rPr>
      </w:pPr>
      <w:r w:rsidRPr="00814683">
        <w:rPr>
          <w:rFonts w:eastAsia="Calibri" w:cs="Tahoma"/>
          <w:bCs/>
          <w:color w:val="auto"/>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0F5DB65E" w14:textId="77777777" w:rsidR="00CA7521" w:rsidRPr="00814683" w:rsidRDefault="00CA7521" w:rsidP="004969B8">
      <w:pPr>
        <w:tabs>
          <w:tab w:val="center" w:pos="4522"/>
        </w:tabs>
        <w:spacing w:after="0" w:line="360" w:lineRule="auto"/>
        <w:rPr>
          <w:rFonts w:eastAsia="Calibri" w:cs="Times New Roman"/>
          <w:color w:val="auto"/>
          <w:lang w:eastAsia="en-US"/>
        </w:rPr>
      </w:pPr>
    </w:p>
    <w:p w14:paraId="1929F544" w14:textId="77777777" w:rsidR="00CA7521" w:rsidRPr="00814683" w:rsidRDefault="00CA7521" w:rsidP="004969B8">
      <w:pPr>
        <w:numPr>
          <w:ilvl w:val="0"/>
          <w:numId w:val="38"/>
        </w:numPr>
        <w:spacing w:after="0" w:line="360" w:lineRule="auto"/>
        <w:rPr>
          <w:rFonts w:eastAsia="Calibri" w:cs="Times New Roman"/>
          <w:b/>
          <w:color w:val="auto"/>
          <w:lang w:eastAsia="en-US"/>
        </w:rPr>
      </w:pPr>
      <w:r w:rsidRPr="00814683">
        <w:rPr>
          <w:rFonts w:eastAsia="Calibri" w:cs="Times New Roman"/>
          <w:b/>
          <w:color w:val="auto"/>
          <w:lang w:eastAsia="en-US"/>
        </w:rPr>
        <w:t>Número de seguridad social del Instituto de Seguridad Social del Estado de México y Municipios</w:t>
      </w:r>
    </w:p>
    <w:p w14:paraId="79B2DF42" w14:textId="77777777" w:rsidR="00CA7521" w:rsidRPr="00814683" w:rsidRDefault="00CA7521" w:rsidP="004969B8">
      <w:pPr>
        <w:spacing w:after="0" w:line="360" w:lineRule="auto"/>
        <w:rPr>
          <w:rFonts w:eastAsia="Calibri" w:cs="Times New Roman"/>
          <w:b/>
          <w:color w:val="FF0000"/>
          <w:lang w:eastAsia="en-US"/>
        </w:rPr>
      </w:pPr>
    </w:p>
    <w:p w14:paraId="5E2BD199"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214C6B4" w14:textId="77777777" w:rsidR="00CA7521" w:rsidRPr="00814683" w:rsidRDefault="00CA7521" w:rsidP="004969B8">
      <w:pPr>
        <w:spacing w:after="0" w:line="360" w:lineRule="auto"/>
        <w:rPr>
          <w:rFonts w:eastAsia="Calibri" w:cs="Times New Roman"/>
          <w:color w:val="auto"/>
          <w:lang w:eastAsia="en-US"/>
        </w:rPr>
      </w:pPr>
    </w:p>
    <w:p w14:paraId="0217C55B"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w:t>
      </w:r>
      <w:r w:rsidRPr="00814683">
        <w:rPr>
          <w:rFonts w:eastAsia="Calibri" w:cs="Times New Roman"/>
          <w:color w:val="auto"/>
          <w:lang w:eastAsia="en-US"/>
        </w:rPr>
        <w:lastRenderedPageBreak/>
        <w:t>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4FADEFE" w14:textId="77777777" w:rsidR="00CA7521" w:rsidRPr="00814683" w:rsidRDefault="00CA7521" w:rsidP="004969B8">
      <w:pPr>
        <w:spacing w:after="0" w:line="360" w:lineRule="auto"/>
        <w:rPr>
          <w:rFonts w:eastAsia="Calibri" w:cs="Times New Roman"/>
          <w:color w:val="auto"/>
          <w:lang w:eastAsia="en-US"/>
        </w:rPr>
      </w:pPr>
    </w:p>
    <w:p w14:paraId="07499331"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CA06BE9" w14:textId="77777777" w:rsidR="00CA7521" w:rsidRPr="00814683" w:rsidRDefault="00CA7521" w:rsidP="004969B8">
      <w:pPr>
        <w:spacing w:after="0" w:line="360" w:lineRule="auto"/>
        <w:rPr>
          <w:rFonts w:eastAsia="Calibri" w:cs="Times New Roman"/>
          <w:color w:val="auto"/>
          <w:lang w:eastAsia="en-US"/>
        </w:rPr>
      </w:pPr>
    </w:p>
    <w:p w14:paraId="21588A76"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CC488EA" w14:textId="77777777" w:rsidR="00CA7521" w:rsidRPr="00814683" w:rsidRDefault="00CA7521" w:rsidP="004969B8">
      <w:pPr>
        <w:spacing w:after="0" w:line="360" w:lineRule="auto"/>
        <w:rPr>
          <w:rFonts w:eastAsia="Calibri" w:cs="Times New Roman"/>
          <w:color w:val="auto"/>
          <w:lang w:eastAsia="en-US"/>
        </w:rPr>
      </w:pPr>
    </w:p>
    <w:p w14:paraId="7AC54DC0" w14:textId="77777777" w:rsidR="00CA7521" w:rsidRPr="00814683" w:rsidRDefault="00CA7521" w:rsidP="004969B8">
      <w:pPr>
        <w:numPr>
          <w:ilvl w:val="0"/>
          <w:numId w:val="40"/>
        </w:numPr>
        <w:spacing w:after="0" w:line="360" w:lineRule="auto"/>
        <w:jc w:val="left"/>
        <w:rPr>
          <w:rFonts w:eastAsia="Calibri" w:cs="Times New Roman"/>
          <w:b/>
          <w:color w:val="auto"/>
          <w:lang w:eastAsia="en-US"/>
        </w:rPr>
      </w:pPr>
      <w:r w:rsidRPr="00814683">
        <w:rPr>
          <w:rFonts w:eastAsia="Calibri" w:cs="Times New Roman"/>
          <w:b/>
          <w:color w:val="auto"/>
          <w:lang w:eastAsia="en-US"/>
        </w:rPr>
        <w:t>Deducciones personales</w:t>
      </w:r>
    </w:p>
    <w:p w14:paraId="7E44A94B" w14:textId="77777777" w:rsidR="00CA7521" w:rsidRPr="00814683" w:rsidRDefault="00CA7521" w:rsidP="004969B8">
      <w:pPr>
        <w:spacing w:after="0" w:line="360" w:lineRule="auto"/>
        <w:ind w:left="720"/>
        <w:rPr>
          <w:rFonts w:eastAsia="Calibri" w:cs="Times New Roman"/>
          <w:b/>
          <w:color w:val="auto"/>
          <w:lang w:eastAsia="en-US"/>
        </w:rPr>
      </w:pPr>
    </w:p>
    <w:p w14:paraId="2B1FADD7"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 xml:space="preserve">Es necesario precisar que existen deducciones que se generan con motivo de una decisión libre y voluntaria de los servidores públicos, como son: créditos personales, cuotas sindicales y fondo de resistencia del Sindicato Único de Trabajadores de los Poderes, Municipios e </w:t>
      </w:r>
      <w:r w:rsidRPr="00814683">
        <w:rPr>
          <w:rFonts w:eastAsia="Calibri" w:cs="Times New Roman"/>
          <w:color w:val="auto"/>
          <w:lang w:eastAsia="en-US"/>
        </w:rPr>
        <w:lastRenderedPageBreak/>
        <w:t>Institución Descentralizadas del Estado de México, seguro de vida, accidentes y enfermedades.</w:t>
      </w:r>
    </w:p>
    <w:p w14:paraId="795CD3DD" w14:textId="77777777" w:rsidR="00CA7521" w:rsidRPr="00814683" w:rsidRDefault="00CA7521" w:rsidP="004969B8">
      <w:pPr>
        <w:spacing w:after="0" w:line="360" w:lineRule="auto"/>
        <w:rPr>
          <w:rFonts w:eastAsia="Calibri" w:cs="Times New Roman"/>
          <w:color w:val="auto"/>
          <w:lang w:eastAsia="en-US"/>
        </w:rPr>
      </w:pPr>
    </w:p>
    <w:p w14:paraId="7938BF6A"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 xml:space="preserve">Asimismo, hay otras que se generan con motivo de una sentencia judicial, como es la pensión alimenticia que periódicamente se retira de la cuenta de un empleado, a efecto de que sea entregado a un tercero.  </w:t>
      </w:r>
    </w:p>
    <w:p w14:paraId="111448B6" w14:textId="77777777" w:rsidR="00CA7521" w:rsidRPr="00814683" w:rsidRDefault="00CA7521" w:rsidP="004969B8">
      <w:pPr>
        <w:spacing w:after="0" w:line="360" w:lineRule="auto"/>
        <w:rPr>
          <w:rFonts w:eastAsia="Calibri" w:cs="Times New Roman"/>
          <w:color w:val="auto"/>
          <w:lang w:eastAsia="en-US"/>
        </w:rPr>
      </w:pPr>
    </w:p>
    <w:p w14:paraId="523623B1" w14:textId="77777777" w:rsidR="00CA7521" w:rsidRPr="00814683" w:rsidRDefault="00CA7521" w:rsidP="004969B8">
      <w:pPr>
        <w:spacing w:after="0" w:line="360" w:lineRule="auto"/>
        <w:rPr>
          <w:rFonts w:eastAsia="Calibri" w:cs="Times New Roman"/>
          <w:color w:val="auto"/>
          <w:lang w:eastAsia="en-US"/>
        </w:rPr>
      </w:pPr>
      <w:r w:rsidRPr="00814683">
        <w:rPr>
          <w:rFonts w:eastAsia="Calibri" w:cs="Times New Roman"/>
          <w:color w:val="auto"/>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02041246" w14:textId="77777777" w:rsidR="00CA7521" w:rsidRPr="00814683" w:rsidRDefault="00CA7521" w:rsidP="004969B8">
      <w:pPr>
        <w:spacing w:after="0" w:line="360" w:lineRule="auto"/>
        <w:rPr>
          <w:rFonts w:eastAsia="Calibri" w:cs="Times New Roman"/>
          <w:color w:val="auto"/>
          <w:lang w:eastAsia="en-US"/>
        </w:rPr>
      </w:pPr>
    </w:p>
    <w:p w14:paraId="713DBA27" w14:textId="77777777" w:rsidR="00CA7521" w:rsidRPr="00814683" w:rsidRDefault="00CA7521" w:rsidP="004969B8">
      <w:pPr>
        <w:spacing w:after="0" w:line="360" w:lineRule="auto"/>
        <w:rPr>
          <w:rFonts w:eastAsia="Calibri" w:cs="Times New Roman"/>
          <w:b/>
          <w:bCs/>
          <w:color w:val="auto"/>
          <w:lang w:eastAsia="en-US"/>
        </w:rPr>
      </w:pPr>
      <w:r w:rsidRPr="00814683">
        <w:rPr>
          <w:rFonts w:eastAsia="Calibri" w:cs="Times New Roman"/>
          <w:color w:val="auto"/>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r w:rsidRPr="00814683">
        <w:rPr>
          <w:rFonts w:eastAsia="Calibri" w:cs="Times New Roman"/>
          <w:b/>
          <w:bCs/>
          <w:color w:val="auto"/>
          <w:lang w:eastAsia="en-US"/>
        </w:rPr>
        <w:t>Cabe precisar que el Sujeto Obligado dejó visible la cuota sindical.</w:t>
      </w:r>
    </w:p>
    <w:p w14:paraId="681B693F" w14:textId="77777777" w:rsidR="00CA7521" w:rsidRPr="00814683" w:rsidRDefault="00CA7521" w:rsidP="004969B8">
      <w:pPr>
        <w:spacing w:after="0" w:line="360" w:lineRule="auto"/>
        <w:rPr>
          <w:rFonts w:eastAsia="Calibri" w:cs="Times New Roman"/>
          <w:color w:val="auto"/>
          <w:lang w:eastAsia="en-US"/>
        </w:rPr>
      </w:pPr>
    </w:p>
    <w:p w14:paraId="7EA18933" w14:textId="77777777" w:rsidR="00CA7521" w:rsidRPr="00814683" w:rsidRDefault="00CA7521" w:rsidP="004969B8">
      <w:pPr>
        <w:spacing w:after="0" w:line="360" w:lineRule="auto"/>
        <w:contextualSpacing/>
        <w:rPr>
          <w:rFonts w:eastAsia="Times New Roman" w:cs="Tahoma"/>
          <w:bCs/>
          <w:color w:val="auto"/>
          <w:lang w:val="es-ES" w:eastAsia="es-ES"/>
        </w:rPr>
      </w:pPr>
    </w:p>
    <w:p w14:paraId="16195846" w14:textId="77777777" w:rsidR="00CA7521" w:rsidRPr="00814683" w:rsidRDefault="00CA7521" w:rsidP="004969B8">
      <w:pPr>
        <w:numPr>
          <w:ilvl w:val="0"/>
          <w:numId w:val="37"/>
        </w:numPr>
        <w:spacing w:after="0" w:line="360" w:lineRule="auto"/>
        <w:jc w:val="left"/>
        <w:rPr>
          <w:rFonts w:eastAsia="Calibri"/>
          <w:b/>
          <w:bCs/>
          <w:color w:val="000000"/>
        </w:rPr>
      </w:pPr>
      <w:r w:rsidRPr="00814683">
        <w:rPr>
          <w:rFonts w:eastAsia="Calibri"/>
          <w:b/>
          <w:bCs/>
          <w:color w:val="000000"/>
        </w:rPr>
        <w:t>Deducciones por Ley</w:t>
      </w:r>
    </w:p>
    <w:p w14:paraId="655C3AE3" w14:textId="77777777" w:rsidR="00CA7521" w:rsidRPr="00814683" w:rsidRDefault="00CA7521" w:rsidP="004969B8">
      <w:pPr>
        <w:spacing w:after="0" w:line="360" w:lineRule="auto"/>
        <w:rPr>
          <w:rFonts w:eastAsia="Calibri"/>
          <w:color w:val="000000"/>
        </w:rPr>
      </w:pPr>
    </w:p>
    <w:p w14:paraId="1E4BFEEB" w14:textId="77777777" w:rsidR="00CA7521" w:rsidRPr="00814683" w:rsidRDefault="00CA7521" w:rsidP="004969B8">
      <w:pPr>
        <w:spacing w:after="0" w:line="360" w:lineRule="auto"/>
        <w:rPr>
          <w:rFonts w:eastAsia="Calibri"/>
          <w:color w:val="000000"/>
        </w:rPr>
      </w:pPr>
      <w:r w:rsidRPr="00814683">
        <w:rPr>
          <w:rFonts w:eastAsia="Calibri"/>
          <w:color w:val="000000"/>
        </w:rPr>
        <w:t xml:space="preserve">Sobre dichos datos, el artículo 84 de la Ley del Trabajo de los Servidores Públicos del Estado de México y Municipios, establece que a los trabajadores gubernamentales se les podrán aplicar diversos descuentos o deducciones, entre las cuales, se encuentran los gravámenes </w:t>
      </w:r>
      <w:r w:rsidRPr="00814683">
        <w:rPr>
          <w:rFonts w:eastAsia="Calibri"/>
          <w:color w:val="000000"/>
        </w:rPr>
        <w:lastRenderedPageBreak/>
        <w:t>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14:paraId="647F38CA" w14:textId="77777777" w:rsidR="00CA7521" w:rsidRPr="00814683" w:rsidRDefault="00CA7521" w:rsidP="004969B8">
      <w:pPr>
        <w:spacing w:after="0" w:line="360" w:lineRule="auto"/>
        <w:rPr>
          <w:rFonts w:eastAsia="Calibri"/>
          <w:color w:val="000000"/>
        </w:rPr>
      </w:pPr>
    </w:p>
    <w:p w14:paraId="7FB278CB" w14:textId="77777777" w:rsidR="00CA7521" w:rsidRPr="00814683" w:rsidRDefault="00CA7521" w:rsidP="004969B8">
      <w:pPr>
        <w:spacing w:after="0" w:line="360" w:lineRule="auto"/>
        <w:rPr>
          <w:rFonts w:eastAsia="Calibri"/>
          <w:color w:val="000000"/>
        </w:rPr>
      </w:pPr>
      <w:r w:rsidRPr="00814683">
        <w:rPr>
          <w:rFonts w:eastAsia="Calibri"/>
          <w:color w:val="000000"/>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7CD0F4A9" w14:textId="77777777" w:rsidR="00CA7521" w:rsidRPr="00814683" w:rsidRDefault="00CA7521" w:rsidP="004969B8">
      <w:pPr>
        <w:spacing w:after="0" w:line="360" w:lineRule="auto"/>
        <w:rPr>
          <w:rFonts w:eastAsia="Calibri"/>
          <w:color w:val="000000"/>
        </w:rPr>
      </w:pPr>
    </w:p>
    <w:p w14:paraId="7746ED67" w14:textId="77777777" w:rsidR="00CA7521" w:rsidRPr="00814683" w:rsidRDefault="00CA7521" w:rsidP="004969B8">
      <w:pPr>
        <w:spacing w:after="0" w:line="360" w:lineRule="auto"/>
        <w:rPr>
          <w:rFonts w:eastAsia="Calibri"/>
          <w:color w:val="000000"/>
        </w:rPr>
      </w:pPr>
      <w:r w:rsidRPr="00814683">
        <w:rPr>
          <w:rFonts w:eastAsia="Calibri"/>
          <w:color w:val="000000"/>
        </w:rPr>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770E8BEA" w14:textId="77777777" w:rsidR="00CA7521" w:rsidRPr="00814683" w:rsidRDefault="00CA7521" w:rsidP="004969B8">
      <w:pPr>
        <w:spacing w:after="0" w:line="360" w:lineRule="auto"/>
        <w:rPr>
          <w:rFonts w:eastAsia="Calibri"/>
          <w:color w:val="000000"/>
        </w:rPr>
      </w:pPr>
    </w:p>
    <w:p w14:paraId="041A87D2" w14:textId="77777777" w:rsidR="00CA7521" w:rsidRPr="00814683" w:rsidRDefault="00CA7521" w:rsidP="004969B8">
      <w:pPr>
        <w:spacing w:after="0" w:line="360" w:lineRule="auto"/>
        <w:rPr>
          <w:rFonts w:eastAsia="Calibri"/>
          <w:color w:val="000000"/>
        </w:rPr>
      </w:pPr>
      <w:r w:rsidRPr="00814683">
        <w:rPr>
          <w:rFonts w:eastAsia="Calibri"/>
          <w:color w:val="000000"/>
        </w:rPr>
        <w:t>Además, se advierte en el presente caso, que la servidora pública si cuenta con estas deducciones, pues el Sujeto Obligado, clasificó de manera correcta, su número de seguridad social (régimen de trabajo).</w:t>
      </w:r>
    </w:p>
    <w:p w14:paraId="08D947DA" w14:textId="77777777" w:rsidR="00CA7521" w:rsidRPr="00814683" w:rsidRDefault="00CA7521" w:rsidP="004969B8">
      <w:pPr>
        <w:spacing w:after="0" w:line="360" w:lineRule="auto"/>
        <w:rPr>
          <w:rFonts w:eastAsia="Calibri"/>
          <w:color w:val="000000"/>
        </w:rPr>
      </w:pPr>
    </w:p>
    <w:p w14:paraId="12A63164" w14:textId="722570AE" w:rsidR="00CA7521" w:rsidRPr="00814683" w:rsidRDefault="00CA7521" w:rsidP="004969B8">
      <w:pPr>
        <w:spacing w:after="0" w:line="360" w:lineRule="auto"/>
        <w:rPr>
          <w:rFonts w:eastAsia="Calibri"/>
          <w:color w:val="000000"/>
        </w:rPr>
      </w:pPr>
      <w:r w:rsidRPr="00814683">
        <w:rPr>
          <w:rFonts w:eastAsia="Calibri"/>
          <w:color w:val="000000"/>
        </w:rPr>
        <w:t>Por tal circunstancia y toda vez, que las deducciones por Ley, son de carácter obligatorio y ayuda a rendir cuentas, de que el Ayuntamiento de</w:t>
      </w:r>
      <w:r w:rsidR="00423C3F">
        <w:rPr>
          <w:rFonts w:eastAsia="Calibri"/>
          <w:color w:val="000000"/>
        </w:rPr>
        <w:t xml:space="preserve"> Tianguistenco</w:t>
      </w:r>
      <w:r w:rsidRPr="00814683">
        <w:rPr>
          <w:rFonts w:eastAsia="Calibri"/>
          <w:color w:val="000000"/>
        </w:rPr>
        <w:t xml:space="preserve"> 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0CC18FD7" w14:textId="77777777" w:rsidR="00CA7521" w:rsidRPr="00814683" w:rsidRDefault="00CA7521" w:rsidP="004969B8">
      <w:pPr>
        <w:spacing w:after="0" w:line="360" w:lineRule="auto"/>
        <w:contextualSpacing/>
        <w:rPr>
          <w:rFonts w:eastAsia="Times New Roman" w:cs="Tahoma"/>
          <w:bCs/>
          <w:color w:val="auto"/>
          <w:lang w:val="es-ES" w:eastAsia="es-ES"/>
        </w:rPr>
      </w:pPr>
    </w:p>
    <w:p w14:paraId="78B7DBA8" w14:textId="77777777" w:rsidR="00CA7521" w:rsidRPr="00814683" w:rsidRDefault="00CA7521" w:rsidP="004969B8">
      <w:pPr>
        <w:numPr>
          <w:ilvl w:val="0"/>
          <w:numId w:val="43"/>
        </w:numPr>
        <w:spacing w:after="0" w:line="360" w:lineRule="auto"/>
        <w:jc w:val="left"/>
        <w:rPr>
          <w:color w:val="000000"/>
        </w:rPr>
      </w:pPr>
      <w:r w:rsidRPr="00814683">
        <w:rPr>
          <w:b/>
          <w:color w:val="000000"/>
        </w:rPr>
        <w:lastRenderedPageBreak/>
        <w:t xml:space="preserve">Sellos digitales del emisor y del Servicio de Administración Tributaria y cadena original del complemento de certificación digital del órgano previamente señalado; así como los respectivos números de serie de los certificados de sellos digitales, folio fiscal y número de serie del emisor. </w:t>
      </w:r>
    </w:p>
    <w:p w14:paraId="4072B0D8" w14:textId="77777777" w:rsidR="00CA7521" w:rsidRPr="00814683" w:rsidRDefault="00CA7521" w:rsidP="004969B8">
      <w:pPr>
        <w:spacing w:after="0" w:line="360" w:lineRule="auto"/>
        <w:ind w:left="720"/>
        <w:rPr>
          <w:color w:val="000000"/>
        </w:rPr>
      </w:pPr>
    </w:p>
    <w:p w14:paraId="0AF72F34" w14:textId="77777777" w:rsidR="00CA7521" w:rsidRPr="00814683" w:rsidRDefault="00CA7521" w:rsidP="004969B8">
      <w:pPr>
        <w:spacing w:after="0" w:line="360" w:lineRule="auto"/>
        <w:rPr>
          <w:color w:val="000000"/>
        </w:rPr>
      </w:pPr>
      <w:r w:rsidRPr="00814683">
        <w:rPr>
          <w:color w:val="000000"/>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47DAA479" w14:textId="77777777" w:rsidR="00CA7521" w:rsidRPr="00814683" w:rsidRDefault="00CA7521" w:rsidP="004969B8">
      <w:pPr>
        <w:spacing w:after="0" w:line="360" w:lineRule="auto"/>
        <w:rPr>
          <w:color w:val="000000"/>
        </w:rPr>
      </w:pPr>
      <w:r w:rsidRPr="00814683">
        <w:rPr>
          <w:color w:val="000000"/>
        </w:rPr>
        <w:t> </w:t>
      </w:r>
    </w:p>
    <w:p w14:paraId="29E493D8" w14:textId="77777777" w:rsidR="00CA7521" w:rsidRPr="00814683" w:rsidRDefault="00CA7521" w:rsidP="004969B8">
      <w:pPr>
        <w:spacing w:after="0" w:line="360" w:lineRule="auto"/>
        <w:rPr>
          <w:color w:val="000000"/>
        </w:rPr>
      </w:pPr>
      <w:r w:rsidRPr="00814683">
        <w:rPr>
          <w:color w:val="000000"/>
        </w:rPr>
        <w:t>Las cadenas originales y sellos que se agregan a las facturas</w:t>
      </w:r>
      <w:r w:rsidRPr="00814683">
        <w:rPr>
          <w:b/>
          <w:color w:val="000000"/>
        </w:rPr>
        <w:t>,</w:t>
      </w:r>
      <w:r w:rsidRPr="00814683">
        <w:rPr>
          <w:color w:val="000000"/>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41088FCC" w14:textId="77777777" w:rsidR="00CA7521" w:rsidRPr="00814683" w:rsidRDefault="00CA7521" w:rsidP="004969B8">
      <w:pPr>
        <w:spacing w:after="0" w:line="360" w:lineRule="auto"/>
        <w:rPr>
          <w:color w:val="000000"/>
        </w:rPr>
      </w:pPr>
      <w:r w:rsidRPr="00814683">
        <w:rPr>
          <w:color w:val="000000"/>
        </w:rPr>
        <w:t> </w:t>
      </w:r>
    </w:p>
    <w:p w14:paraId="00816625" w14:textId="77777777" w:rsidR="00CA7521" w:rsidRPr="00814683" w:rsidRDefault="00CA7521" w:rsidP="004969B8">
      <w:pPr>
        <w:spacing w:after="0" w:line="360" w:lineRule="auto"/>
        <w:ind w:left="567" w:right="539"/>
        <w:rPr>
          <w:i/>
          <w:color w:val="000000"/>
          <w:sz w:val="20"/>
          <w:szCs w:val="20"/>
        </w:rPr>
      </w:pPr>
      <w:r w:rsidRPr="00814683">
        <w:rPr>
          <w:i/>
          <w:color w:val="000000"/>
          <w:sz w:val="20"/>
          <w:szCs w:val="20"/>
        </w:rPr>
        <w:t>“…</w:t>
      </w:r>
    </w:p>
    <w:p w14:paraId="7F385588" w14:textId="77777777" w:rsidR="00CA7521" w:rsidRPr="00814683" w:rsidRDefault="00CA7521" w:rsidP="004969B8">
      <w:pPr>
        <w:spacing w:after="0" w:line="360" w:lineRule="auto"/>
        <w:ind w:left="567" w:right="539"/>
        <w:rPr>
          <w:i/>
          <w:color w:val="000000"/>
          <w:sz w:val="20"/>
          <w:szCs w:val="20"/>
        </w:rPr>
      </w:pPr>
      <w:r w:rsidRPr="00814683">
        <w:rPr>
          <w:i/>
          <w:color w:val="000000"/>
          <w:sz w:val="20"/>
          <w:szCs w:val="20"/>
        </w:rPr>
        <w:t>Elementos utilizados en la generación de Sellos Digitales:</w:t>
      </w:r>
    </w:p>
    <w:p w14:paraId="2F36362C" w14:textId="77777777" w:rsidR="00CA7521" w:rsidRPr="00814683" w:rsidRDefault="00CA7521" w:rsidP="004969B8">
      <w:pPr>
        <w:spacing w:after="0" w:line="360" w:lineRule="auto"/>
        <w:ind w:left="567" w:right="539"/>
        <w:rPr>
          <w:i/>
          <w:color w:val="000000"/>
          <w:sz w:val="20"/>
          <w:szCs w:val="20"/>
        </w:rPr>
      </w:pPr>
      <w:r w:rsidRPr="00814683">
        <w:rPr>
          <w:i/>
          <w:color w:val="000000"/>
          <w:sz w:val="20"/>
          <w:szCs w:val="20"/>
        </w:rPr>
        <w:t>•</w:t>
      </w:r>
      <w:r w:rsidRPr="00814683">
        <w:rPr>
          <w:i/>
          <w:color w:val="000000"/>
          <w:sz w:val="20"/>
          <w:szCs w:val="20"/>
        </w:rPr>
        <w:tab/>
        <w:t>Cadena Original, el elemento a sellar, en este caso de un comprobante fiscal digital a través de Internet.</w:t>
      </w:r>
    </w:p>
    <w:p w14:paraId="4DC90D6D" w14:textId="77777777" w:rsidR="00CA7521" w:rsidRPr="00814683" w:rsidRDefault="00CA7521" w:rsidP="004969B8">
      <w:pPr>
        <w:spacing w:after="0" w:line="360" w:lineRule="auto"/>
        <w:ind w:left="567" w:right="539"/>
        <w:rPr>
          <w:i/>
          <w:color w:val="000000"/>
          <w:sz w:val="20"/>
          <w:szCs w:val="20"/>
        </w:rPr>
      </w:pPr>
      <w:r w:rsidRPr="00814683">
        <w:rPr>
          <w:i/>
          <w:color w:val="000000"/>
          <w:sz w:val="20"/>
          <w:szCs w:val="20"/>
        </w:rPr>
        <w:lastRenderedPageBreak/>
        <w:t>•</w:t>
      </w:r>
      <w:r w:rsidRPr="00814683">
        <w:rPr>
          <w:i/>
          <w:color w:val="000000"/>
          <w:sz w:val="20"/>
          <w:szCs w:val="20"/>
        </w:rPr>
        <w:tab/>
        <w:t>Certificado de Sello Digital y su correspondiente clave privada.</w:t>
      </w:r>
    </w:p>
    <w:p w14:paraId="3514E777" w14:textId="77777777" w:rsidR="00CA7521" w:rsidRPr="00814683" w:rsidRDefault="00CA7521" w:rsidP="004969B8">
      <w:pPr>
        <w:spacing w:after="0" w:line="360" w:lineRule="auto"/>
        <w:ind w:left="567" w:right="539"/>
        <w:rPr>
          <w:i/>
          <w:color w:val="000000"/>
          <w:sz w:val="20"/>
          <w:szCs w:val="20"/>
        </w:rPr>
      </w:pPr>
      <w:r w:rsidRPr="00814683">
        <w:rPr>
          <w:i/>
          <w:color w:val="000000"/>
          <w:sz w:val="20"/>
          <w:szCs w:val="20"/>
        </w:rPr>
        <w:t>•</w:t>
      </w:r>
      <w:r w:rsidRPr="00814683">
        <w:rPr>
          <w:i/>
          <w:color w:val="000000"/>
          <w:sz w:val="20"/>
          <w:szCs w:val="20"/>
        </w:rPr>
        <w:tab/>
        <w:t>Algoritmos de criptografía de clave pública para firma electrónica avanzada.</w:t>
      </w:r>
    </w:p>
    <w:p w14:paraId="7E00840A" w14:textId="77777777" w:rsidR="00CA7521" w:rsidRPr="00814683" w:rsidRDefault="00CA7521" w:rsidP="004969B8">
      <w:pPr>
        <w:spacing w:after="0" w:line="360" w:lineRule="auto"/>
        <w:ind w:left="567" w:right="539"/>
        <w:rPr>
          <w:i/>
          <w:color w:val="000000"/>
          <w:sz w:val="20"/>
          <w:szCs w:val="20"/>
        </w:rPr>
      </w:pPr>
      <w:r w:rsidRPr="00814683">
        <w:rPr>
          <w:i/>
          <w:color w:val="000000"/>
          <w:sz w:val="20"/>
          <w:szCs w:val="20"/>
        </w:rPr>
        <w:t>•</w:t>
      </w:r>
      <w:r w:rsidRPr="00814683">
        <w:rPr>
          <w:i/>
          <w:color w:val="000000"/>
          <w:sz w:val="20"/>
          <w:szCs w:val="20"/>
        </w:rPr>
        <w:tab/>
        <w:t>Especificaciones de conversión de la firma electrónica avanzada a Base 64.</w:t>
      </w:r>
    </w:p>
    <w:p w14:paraId="74D65C3B" w14:textId="77777777" w:rsidR="00CA7521" w:rsidRPr="00814683" w:rsidRDefault="00CA7521" w:rsidP="004969B8">
      <w:pPr>
        <w:spacing w:after="0" w:line="360" w:lineRule="auto"/>
        <w:ind w:left="567" w:right="539"/>
        <w:rPr>
          <w:i/>
          <w:color w:val="000000"/>
          <w:sz w:val="20"/>
          <w:szCs w:val="20"/>
        </w:rPr>
      </w:pPr>
      <w:r w:rsidRPr="00814683">
        <w:rPr>
          <w:i/>
          <w:color w:val="000000"/>
          <w:sz w:val="20"/>
          <w:szCs w:val="20"/>
        </w:rPr>
        <w:t>Para la generación de sellos digitales se utiliza criptografía de clave pública aplicada a una cadena original.</w:t>
      </w:r>
    </w:p>
    <w:p w14:paraId="5E9D3326" w14:textId="77777777" w:rsidR="00CA7521" w:rsidRPr="00814683" w:rsidRDefault="00CA7521" w:rsidP="004969B8">
      <w:pPr>
        <w:spacing w:after="0" w:line="360" w:lineRule="auto"/>
        <w:ind w:left="567" w:right="539"/>
        <w:rPr>
          <w:i/>
          <w:color w:val="000000"/>
          <w:sz w:val="20"/>
          <w:szCs w:val="20"/>
        </w:rPr>
      </w:pPr>
      <w:r w:rsidRPr="00814683">
        <w:rPr>
          <w:i/>
          <w:color w:val="000000"/>
          <w:sz w:val="20"/>
          <w:szCs w:val="20"/>
        </w:rPr>
        <w:t>Criptografía de la Clave Pública</w:t>
      </w:r>
    </w:p>
    <w:p w14:paraId="4FC0326A" w14:textId="77777777" w:rsidR="00CA7521" w:rsidRPr="00814683" w:rsidRDefault="00CA7521" w:rsidP="004969B8">
      <w:pPr>
        <w:spacing w:after="0" w:line="360" w:lineRule="auto"/>
        <w:ind w:left="567" w:right="539"/>
        <w:rPr>
          <w:i/>
          <w:color w:val="000000"/>
          <w:sz w:val="20"/>
          <w:szCs w:val="20"/>
        </w:rPr>
      </w:pPr>
      <w:r w:rsidRPr="00814683">
        <w:rPr>
          <w:i/>
          <w:color w:val="000000"/>
          <w:sz w:val="20"/>
          <w:szCs w:val="20"/>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1B5ADEC8" w14:textId="77777777" w:rsidR="00CA7521" w:rsidRPr="00814683" w:rsidRDefault="00CA7521" w:rsidP="004969B8">
      <w:pPr>
        <w:spacing w:after="0" w:line="360" w:lineRule="auto"/>
        <w:ind w:left="567" w:right="539"/>
        <w:rPr>
          <w:i/>
          <w:color w:val="000000"/>
          <w:sz w:val="20"/>
          <w:szCs w:val="20"/>
        </w:rPr>
      </w:pPr>
      <w:r w:rsidRPr="00814683">
        <w:rPr>
          <w:i/>
          <w:color w:val="000000"/>
          <w:sz w:val="20"/>
          <w:szCs w:val="20"/>
        </w:rPr>
        <w:t>…”</w:t>
      </w:r>
    </w:p>
    <w:p w14:paraId="08216312" w14:textId="77777777" w:rsidR="00CA7521" w:rsidRPr="00814683" w:rsidRDefault="00CA7521" w:rsidP="004969B8">
      <w:pPr>
        <w:spacing w:after="0" w:line="360" w:lineRule="auto"/>
        <w:rPr>
          <w:color w:val="000000"/>
        </w:rPr>
      </w:pPr>
    </w:p>
    <w:p w14:paraId="03E256CD" w14:textId="77777777" w:rsidR="00CA7521" w:rsidRPr="00814683" w:rsidRDefault="00CA7521" w:rsidP="004969B8">
      <w:pPr>
        <w:spacing w:after="0" w:line="360" w:lineRule="auto"/>
        <w:rPr>
          <w:rFonts w:eastAsia="Calibri"/>
          <w:color w:val="000000"/>
          <w:lang w:eastAsia="en-US"/>
        </w:rPr>
      </w:pPr>
      <w:r w:rsidRPr="00814683">
        <w:rPr>
          <w:color w:val="000000"/>
        </w:rPr>
        <w:t>Es decir, por sí solos las cadenas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r w:rsidRPr="00814683">
        <w:rPr>
          <w:rFonts w:eastAsia="Calibri"/>
          <w:color w:val="000000"/>
          <w:lang w:eastAsia="en-US"/>
        </w:rPr>
        <w:t xml:space="preserve"> </w:t>
      </w:r>
    </w:p>
    <w:p w14:paraId="1D289EDD" w14:textId="77777777" w:rsidR="00CA7521" w:rsidRPr="00814683" w:rsidRDefault="00CA7521" w:rsidP="004969B8">
      <w:pPr>
        <w:spacing w:after="0" w:line="360" w:lineRule="auto"/>
        <w:rPr>
          <w:rFonts w:eastAsia="Calibri"/>
          <w:color w:val="000000"/>
          <w:lang w:eastAsia="en-US"/>
        </w:rPr>
      </w:pPr>
    </w:p>
    <w:p w14:paraId="3A633417" w14:textId="77777777" w:rsidR="00CA7521" w:rsidRPr="00814683" w:rsidRDefault="00CA7521" w:rsidP="004969B8">
      <w:pPr>
        <w:spacing w:after="0" w:line="360" w:lineRule="auto"/>
        <w:contextualSpacing/>
        <w:rPr>
          <w:rFonts w:cs="Tahoma"/>
          <w:bCs/>
          <w:color w:val="000000"/>
          <w:lang w:val="es-ES"/>
        </w:rPr>
      </w:pPr>
      <w:r w:rsidRPr="00814683">
        <w:rPr>
          <w:rFonts w:cs="Tahoma"/>
          <w:bCs/>
          <w:color w:val="000000"/>
          <w:lang w:val="es-ES"/>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0AD22BDA" w14:textId="77777777" w:rsidR="00CA7521" w:rsidRPr="00814683" w:rsidRDefault="00CA7521" w:rsidP="004969B8">
      <w:pPr>
        <w:spacing w:after="0" w:line="360" w:lineRule="auto"/>
        <w:rPr>
          <w:rFonts w:eastAsia="Calibri"/>
          <w:color w:val="000000"/>
          <w:lang w:eastAsia="en-US"/>
        </w:rPr>
      </w:pPr>
    </w:p>
    <w:p w14:paraId="3BE90756" w14:textId="77777777" w:rsidR="00CA7521" w:rsidRPr="00814683" w:rsidRDefault="00CA7521" w:rsidP="004969B8">
      <w:pPr>
        <w:spacing w:after="0" w:line="360" w:lineRule="auto"/>
        <w:rPr>
          <w:color w:val="000000"/>
        </w:rPr>
      </w:pPr>
      <w:r w:rsidRPr="00814683">
        <w:rPr>
          <w:color w:val="000000"/>
        </w:rPr>
        <w:t xml:space="preserve">Por otra parte, por lo que hace al número de serie de los certificados de Sello Digitales del emisor y del Servicio de Administración Tributaria, el ANEXO 20 de la Segunda Resolución </w:t>
      </w:r>
      <w:r w:rsidRPr="00814683">
        <w:rPr>
          <w:color w:val="000000"/>
        </w:rPr>
        <w:lastRenderedPageBreak/>
        <w:t>de modificaciones a la Resolución Miscelánea Fiscal, precisa que dichos datos se conforman por veinte caracteres numéricos; dicha situación se robustece con el ejemplo localizado en el documento denominado “Cómo ubicar el Folio Fiscal en una factura”, emitido por el Instituto Nacional electoral, en la cual se advierte que únicamente se encuentra conformado por números, se muestra a continuación:</w:t>
      </w:r>
    </w:p>
    <w:p w14:paraId="75CB5078" w14:textId="77777777" w:rsidR="00CA7521" w:rsidRPr="00814683" w:rsidRDefault="00CA7521" w:rsidP="004969B8">
      <w:pPr>
        <w:spacing w:after="0" w:line="360" w:lineRule="auto"/>
        <w:rPr>
          <w:color w:val="000000"/>
        </w:rPr>
      </w:pPr>
    </w:p>
    <w:p w14:paraId="13DB10D2" w14:textId="77777777" w:rsidR="00CA7521" w:rsidRPr="00814683" w:rsidRDefault="00CA7521" w:rsidP="004969B8">
      <w:pPr>
        <w:spacing w:after="0" w:line="360" w:lineRule="auto"/>
        <w:jc w:val="center"/>
        <w:rPr>
          <w:color w:val="000000"/>
        </w:rPr>
      </w:pPr>
      <w:r w:rsidRPr="00814683">
        <w:rPr>
          <w:noProof/>
          <w:color w:val="000000"/>
        </w:rPr>
        <w:drawing>
          <wp:inline distT="0" distB="0" distL="0" distR="0" wp14:anchorId="48359E67" wp14:editId="4C0A9E79">
            <wp:extent cx="4619625" cy="914400"/>
            <wp:effectExtent l="0" t="0" r="9525"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9625" cy="914400"/>
                    </a:xfrm>
                    <a:prstGeom prst="rect">
                      <a:avLst/>
                    </a:prstGeom>
                    <a:noFill/>
                    <a:ln>
                      <a:noFill/>
                    </a:ln>
                  </pic:spPr>
                </pic:pic>
              </a:graphicData>
            </a:graphic>
          </wp:inline>
        </w:drawing>
      </w:r>
    </w:p>
    <w:p w14:paraId="5620FA44" w14:textId="77777777" w:rsidR="00CA7521" w:rsidRPr="00814683" w:rsidRDefault="00CA7521" w:rsidP="004969B8">
      <w:pPr>
        <w:tabs>
          <w:tab w:val="left" w:pos="4962"/>
        </w:tabs>
        <w:spacing w:after="0" w:line="360" w:lineRule="auto"/>
        <w:rPr>
          <w:color w:val="000000"/>
        </w:rPr>
      </w:pPr>
    </w:p>
    <w:p w14:paraId="4A2DE276" w14:textId="77777777" w:rsidR="00CA7521" w:rsidRPr="00814683" w:rsidRDefault="00CA7521" w:rsidP="004969B8">
      <w:pPr>
        <w:spacing w:after="0" w:line="360" w:lineRule="auto"/>
        <w:rPr>
          <w:color w:val="000000"/>
        </w:rPr>
      </w:pPr>
      <w:r w:rsidRPr="00814683">
        <w:rPr>
          <w:color w:val="000000"/>
        </w:rPr>
        <w:t>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14:paraId="5D55A7F3" w14:textId="77777777" w:rsidR="00CA7521" w:rsidRPr="00814683" w:rsidRDefault="00CA7521" w:rsidP="004969B8">
      <w:pPr>
        <w:spacing w:after="0" w:line="360" w:lineRule="auto"/>
        <w:rPr>
          <w:color w:val="000000"/>
        </w:rPr>
      </w:pPr>
    </w:p>
    <w:p w14:paraId="3A190260" w14:textId="77777777" w:rsidR="00CA7521" w:rsidRPr="00814683" w:rsidRDefault="00CA7521" w:rsidP="004969B8">
      <w:pPr>
        <w:spacing w:after="0" w:line="360" w:lineRule="auto"/>
        <w:rPr>
          <w:color w:val="000000"/>
        </w:rPr>
      </w:pPr>
      <w:r w:rsidRPr="00814683">
        <w:rPr>
          <w:color w:val="000000"/>
        </w:rPr>
        <w:t xml:space="preserve">Ahora bien, por lo que hace </w:t>
      </w:r>
      <w:r w:rsidRPr="00814683">
        <w:rPr>
          <w:b/>
          <w:bCs/>
          <w:color w:val="000000"/>
        </w:rPr>
        <w:t>Folio Fiscal,</w:t>
      </w:r>
      <w:r w:rsidRPr="00814683">
        <w:rPr>
          <w:color w:val="000000"/>
        </w:rPr>
        <w:t xml:space="preserve"> cabe precisar que conforme al ANEXO 20 de la Segunda Resolución de modificaciones a la Resolución Miscelánea Fiscal ,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6C7CE255" w14:textId="77777777" w:rsidR="00CA7521" w:rsidRPr="00814683" w:rsidRDefault="00CA7521" w:rsidP="004969B8">
      <w:pPr>
        <w:spacing w:after="0" w:line="360" w:lineRule="auto"/>
        <w:rPr>
          <w:color w:val="000000"/>
        </w:rPr>
      </w:pPr>
      <w:r w:rsidRPr="00814683">
        <w:rPr>
          <w:color w:val="000000"/>
        </w:rPr>
        <w:t xml:space="preserve"> </w:t>
      </w:r>
    </w:p>
    <w:p w14:paraId="0E03BF55" w14:textId="77777777" w:rsidR="00CA7521" w:rsidRPr="00814683" w:rsidRDefault="00CA7521" w:rsidP="004969B8">
      <w:pPr>
        <w:spacing w:after="0" w:line="360" w:lineRule="auto"/>
        <w:jc w:val="center"/>
        <w:rPr>
          <w:color w:val="000000"/>
        </w:rPr>
      </w:pPr>
      <w:r w:rsidRPr="00814683">
        <w:rPr>
          <w:noProof/>
          <w:color w:val="000000"/>
        </w:rPr>
        <w:lastRenderedPageBreak/>
        <w:drawing>
          <wp:inline distT="0" distB="0" distL="0" distR="0" wp14:anchorId="4E6E659E" wp14:editId="7C3D3A2F">
            <wp:extent cx="4438650" cy="1028700"/>
            <wp:effectExtent l="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40CFDB72" w14:textId="77777777" w:rsidR="00CA7521" w:rsidRPr="00814683" w:rsidRDefault="00CA7521" w:rsidP="004969B8">
      <w:pPr>
        <w:spacing w:after="0" w:line="360" w:lineRule="auto"/>
        <w:rPr>
          <w:color w:val="000000"/>
        </w:rPr>
      </w:pPr>
    </w:p>
    <w:p w14:paraId="01228DC4" w14:textId="77777777" w:rsidR="00CA7521" w:rsidRPr="00814683" w:rsidRDefault="00CA7521" w:rsidP="004969B8">
      <w:pPr>
        <w:spacing w:after="0" w:line="360" w:lineRule="auto"/>
        <w:rPr>
          <w:color w:val="000000"/>
        </w:rPr>
      </w:pPr>
      <w:r w:rsidRPr="00814683">
        <w:rPr>
          <w:color w:val="000000"/>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25A55A84" w14:textId="77777777" w:rsidR="00CA7521" w:rsidRPr="00814683" w:rsidRDefault="00CA7521" w:rsidP="004969B8">
      <w:pPr>
        <w:spacing w:after="0" w:line="360" w:lineRule="auto"/>
        <w:rPr>
          <w:color w:val="000000"/>
        </w:rPr>
      </w:pPr>
    </w:p>
    <w:p w14:paraId="538E4A47" w14:textId="77777777" w:rsidR="00CA7521" w:rsidRPr="00814683" w:rsidRDefault="00CA7521" w:rsidP="004969B8">
      <w:pPr>
        <w:spacing w:after="0" w:line="360" w:lineRule="auto"/>
        <w:rPr>
          <w:color w:val="000000"/>
        </w:rPr>
      </w:pPr>
      <w:r w:rsidRPr="00814683">
        <w:rPr>
          <w:color w:val="000000"/>
        </w:rPr>
        <w:t xml:space="preserve">Ahora bien, por lo que hace al </w:t>
      </w:r>
      <w:r w:rsidRPr="00814683">
        <w:rPr>
          <w:b/>
          <w:bCs/>
          <w:color w:val="000000"/>
        </w:rPr>
        <w:t>número de serie y folio interno</w:t>
      </w:r>
      <w:r w:rsidRPr="00814683">
        <w:rPr>
          <w:color w:val="000000"/>
        </w:rPr>
        <w:t>,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ambos corresponden a dígitos que si bien determina el Sujeto Obligado,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14C46059" w14:textId="77777777" w:rsidR="00CA7521" w:rsidRPr="00814683" w:rsidRDefault="00CA7521" w:rsidP="004969B8">
      <w:pPr>
        <w:spacing w:after="0" w:line="360" w:lineRule="auto"/>
        <w:rPr>
          <w:color w:val="000000"/>
        </w:rPr>
      </w:pPr>
    </w:p>
    <w:p w14:paraId="4CB0EA55" w14:textId="77777777" w:rsidR="00CA7521" w:rsidRPr="00814683" w:rsidRDefault="00CA7521" w:rsidP="004969B8">
      <w:pPr>
        <w:numPr>
          <w:ilvl w:val="0"/>
          <w:numId w:val="44"/>
        </w:numPr>
        <w:spacing w:after="0" w:line="360" w:lineRule="auto"/>
        <w:jc w:val="left"/>
        <w:rPr>
          <w:b/>
          <w:color w:val="000000"/>
        </w:rPr>
      </w:pPr>
      <w:r w:rsidRPr="00814683">
        <w:rPr>
          <w:b/>
          <w:color w:val="000000"/>
        </w:rPr>
        <w:t>Cuenta bancaria de servidores públicos</w:t>
      </w:r>
    </w:p>
    <w:p w14:paraId="3A1A9AF7" w14:textId="77777777" w:rsidR="00CA7521" w:rsidRPr="00814683" w:rsidRDefault="00CA7521" w:rsidP="004969B8">
      <w:pPr>
        <w:spacing w:after="0" w:line="360" w:lineRule="auto"/>
        <w:rPr>
          <w:color w:val="000000"/>
        </w:rPr>
      </w:pPr>
    </w:p>
    <w:p w14:paraId="29B7D8A3" w14:textId="77777777" w:rsidR="00CA7521" w:rsidRPr="00814683" w:rsidRDefault="00CA7521" w:rsidP="004969B8">
      <w:pPr>
        <w:spacing w:after="0" w:line="360" w:lineRule="auto"/>
        <w:rPr>
          <w:color w:val="000000"/>
        </w:rPr>
      </w:pPr>
      <w:r w:rsidRPr="00814683">
        <w:rPr>
          <w:color w:val="000000"/>
        </w:rPr>
        <w:t xml:space="preserve">Al respecto, se estima que dicho dato se relaciona con hechos y actos de carácter económico, pues los mismos darían cuenta, de la relación que tiene una institución financiero con un </w:t>
      </w:r>
      <w:r w:rsidRPr="00814683">
        <w:rPr>
          <w:color w:val="000000"/>
        </w:rPr>
        <w:lastRenderedPageBreak/>
        <w:t>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0CFEB611" w14:textId="77777777" w:rsidR="00CA7521" w:rsidRPr="00814683" w:rsidRDefault="00CA7521" w:rsidP="004969B8">
      <w:pPr>
        <w:spacing w:after="0" w:line="360" w:lineRule="auto"/>
        <w:rPr>
          <w:color w:val="000000"/>
        </w:rPr>
      </w:pPr>
      <w:r w:rsidRPr="00814683">
        <w:rPr>
          <w:color w:val="000000"/>
        </w:rPr>
        <w:t> </w:t>
      </w:r>
    </w:p>
    <w:p w14:paraId="229B5D47" w14:textId="77777777" w:rsidR="00CA7521" w:rsidRPr="00814683" w:rsidRDefault="00CA7521" w:rsidP="004969B8">
      <w:pPr>
        <w:spacing w:after="0" w:line="360" w:lineRule="auto"/>
        <w:rPr>
          <w:color w:val="000000"/>
        </w:rPr>
      </w:pPr>
      <w:r w:rsidRPr="00814683">
        <w:rPr>
          <w:color w:val="000000"/>
        </w:rPr>
        <w:t>A mayor abundamiento, resulta necesario traer a colación el Criterio SO/010/2017, emitido por el Instituto Nacional de Transparencia, Acceso a la Información y Protección de Datos Personales, mismo que establece lo siguiente:</w:t>
      </w:r>
    </w:p>
    <w:p w14:paraId="3D5641FD" w14:textId="77777777" w:rsidR="00CA7521" w:rsidRPr="00814683" w:rsidRDefault="00CA7521" w:rsidP="004969B8">
      <w:pPr>
        <w:spacing w:after="0" w:line="360" w:lineRule="auto"/>
        <w:rPr>
          <w:color w:val="000000"/>
        </w:rPr>
      </w:pPr>
    </w:p>
    <w:p w14:paraId="312E4E8B" w14:textId="77777777" w:rsidR="00CA7521" w:rsidRPr="00814683" w:rsidRDefault="00CA7521" w:rsidP="004969B8">
      <w:pPr>
        <w:spacing w:after="0" w:line="360" w:lineRule="auto"/>
        <w:ind w:left="567" w:right="567"/>
        <w:rPr>
          <w:i/>
          <w:color w:val="000000"/>
          <w:sz w:val="20"/>
          <w:szCs w:val="20"/>
        </w:rPr>
      </w:pPr>
      <w:r w:rsidRPr="00814683">
        <w:rPr>
          <w:i/>
          <w:color w:val="000000"/>
          <w:sz w:val="20"/>
          <w:szCs w:val="20"/>
        </w:rPr>
        <w:t>“</w:t>
      </w:r>
      <w:r w:rsidRPr="00814683">
        <w:rPr>
          <w:b/>
          <w:i/>
          <w:color w:val="000000"/>
          <w:sz w:val="20"/>
          <w:szCs w:val="20"/>
        </w:rPr>
        <w:t>Cuentas bancarias y/o CLABE interbancaria de personas físicas y morales privadas.</w:t>
      </w:r>
      <w:r w:rsidRPr="00814683">
        <w:rPr>
          <w:i/>
          <w:color w:val="000000"/>
          <w:sz w:val="20"/>
          <w:szCs w:val="2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887F6D9" w14:textId="77777777" w:rsidR="00CA7521" w:rsidRPr="00814683" w:rsidRDefault="00CA7521" w:rsidP="004969B8">
      <w:pPr>
        <w:spacing w:after="0" w:line="360" w:lineRule="auto"/>
        <w:rPr>
          <w:color w:val="000000"/>
        </w:rPr>
      </w:pPr>
    </w:p>
    <w:p w14:paraId="7315C031" w14:textId="77777777" w:rsidR="00CA7521" w:rsidRPr="00814683" w:rsidRDefault="00CA7521" w:rsidP="004969B8">
      <w:pPr>
        <w:spacing w:after="0" w:line="360" w:lineRule="auto"/>
        <w:rPr>
          <w:color w:val="000000"/>
        </w:rPr>
      </w:pPr>
      <w:r w:rsidRPr="00814683">
        <w:rPr>
          <w:color w:val="000000"/>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770D7665" w14:textId="77777777" w:rsidR="00CA7521" w:rsidRPr="00814683" w:rsidRDefault="00CA7521" w:rsidP="004969B8">
      <w:pPr>
        <w:spacing w:after="0" w:line="360" w:lineRule="auto"/>
        <w:ind w:right="-28"/>
        <w:contextualSpacing/>
        <w:rPr>
          <w:rFonts w:eastAsia="Times New Roman" w:cs="Times New Roman"/>
          <w:bCs/>
          <w:iCs/>
          <w:color w:val="auto"/>
          <w:szCs w:val="20"/>
          <w:lang w:val="es-ES" w:eastAsia="es-ES"/>
        </w:rPr>
      </w:pPr>
    </w:p>
    <w:p w14:paraId="704F547B" w14:textId="7A41E8DC" w:rsidR="00636AF1" w:rsidRPr="00814683" w:rsidRDefault="00636AF1" w:rsidP="004969B8">
      <w:pPr>
        <w:pStyle w:val="Prrafodelista"/>
        <w:numPr>
          <w:ilvl w:val="0"/>
          <w:numId w:val="46"/>
        </w:numPr>
        <w:spacing w:line="360" w:lineRule="auto"/>
        <w:ind w:right="-28"/>
        <w:rPr>
          <w:rFonts w:eastAsia="Palatino Linotype"/>
          <w:b/>
          <w:color w:val="000000"/>
        </w:rPr>
      </w:pPr>
      <w:r w:rsidRPr="00814683">
        <w:rPr>
          <w:rFonts w:eastAsia="Palatino Linotype"/>
          <w:b/>
          <w:color w:val="000000"/>
        </w:rPr>
        <w:t xml:space="preserve">Huella Dactilar </w:t>
      </w:r>
    </w:p>
    <w:p w14:paraId="1E540609" w14:textId="77777777" w:rsidR="00D479C4" w:rsidRPr="00814683" w:rsidRDefault="00D479C4" w:rsidP="004969B8">
      <w:pPr>
        <w:spacing w:after="0" w:line="360" w:lineRule="auto"/>
      </w:pPr>
    </w:p>
    <w:p w14:paraId="5CA5E7C9" w14:textId="4662CAD6" w:rsidR="00CA7521" w:rsidRPr="00814683" w:rsidRDefault="00D479C4" w:rsidP="004969B8">
      <w:pPr>
        <w:spacing w:after="0" w:line="360" w:lineRule="auto"/>
      </w:pPr>
      <w:r w:rsidRPr="00814683">
        <w:t xml:space="preserve">Al respecto, la huella dactilar es la impresión visible o moldeada que produce el contacto de las crestas papilares de un dedo de la mano sobre una superficie. 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19" w:history="1">
        <w:r w:rsidRPr="00814683">
          <w:rPr>
            <w:rStyle w:val="Hipervnculo"/>
          </w:rPr>
          <w:t>https://docplayer.es/5455342-Nuevas-tecnologias-biometricas-instituto-nacional-deciencias-penales-procuraduria-general-de-la-republica-version-1-0.html</w:t>
        </w:r>
      </w:hyperlink>
      <w:r w:rsidRPr="00814683">
        <w:t xml:space="preserve"> , se indica que existen tres principios fundamentales para la identificación de las huellas dactilares, a saber:</w:t>
      </w:r>
    </w:p>
    <w:p w14:paraId="03B2B9CB" w14:textId="77777777" w:rsidR="00D479C4" w:rsidRPr="00814683" w:rsidRDefault="00D479C4" w:rsidP="004969B8">
      <w:pPr>
        <w:spacing w:after="0" w:line="360" w:lineRule="auto"/>
        <w:rPr>
          <w:color w:val="auto"/>
        </w:rPr>
      </w:pPr>
    </w:p>
    <w:p w14:paraId="08229EE6" w14:textId="4F5A0374" w:rsidR="00D479C4" w:rsidRPr="00814683" w:rsidRDefault="00D479C4" w:rsidP="004969B8">
      <w:pPr>
        <w:pStyle w:val="Prrafodelista"/>
        <w:numPr>
          <w:ilvl w:val="0"/>
          <w:numId w:val="46"/>
        </w:numPr>
        <w:spacing w:line="360" w:lineRule="auto"/>
        <w:rPr>
          <w:color w:val="auto"/>
        </w:rPr>
      </w:pPr>
      <w:r w:rsidRPr="00814683">
        <w:rPr>
          <w:b/>
          <w:color w:val="auto"/>
        </w:rPr>
        <w:t>Primer principio.</w:t>
      </w:r>
      <w:r w:rsidRPr="00814683">
        <w:rPr>
          <w:color w:val="auto"/>
        </w:rPr>
        <w:t xml:space="preserve"> La huella es una característica individual. No hay dos huellas con características en las crestas que sean idénticas.</w:t>
      </w:r>
    </w:p>
    <w:p w14:paraId="18622DCB" w14:textId="0BE6A7C8" w:rsidR="00D479C4" w:rsidRPr="00814683" w:rsidRDefault="00D479C4" w:rsidP="004969B8">
      <w:pPr>
        <w:pStyle w:val="Prrafodelista"/>
        <w:numPr>
          <w:ilvl w:val="0"/>
          <w:numId w:val="46"/>
        </w:numPr>
        <w:spacing w:line="360" w:lineRule="auto"/>
        <w:rPr>
          <w:color w:val="auto"/>
        </w:rPr>
      </w:pPr>
      <w:r w:rsidRPr="00814683">
        <w:rPr>
          <w:b/>
          <w:color w:val="auto"/>
        </w:rPr>
        <w:t>Segundo principio</w:t>
      </w:r>
      <w:r w:rsidRPr="00814683">
        <w:rPr>
          <w:color w:val="auto"/>
        </w:rPr>
        <w:t>. Una huella permanece sin cambios durante toda la vida de un individuo (sin embargo, puede adquirir cicatrices o cualquier otra deformación que impida su identificación clara).</w:t>
      </w:r>
    </w:p>
    <w:p w14:paraId="18784E14" w14:textId="27DF2E7A" w:rsidR="00D479C4" w:rsidRPr="00814683" w:rsidRDefault="00D479C4" w:rsidP="004969B8">
      <w:pPr>
        <w:pStyle w:val="Prrafodelista"/>
        <w:numPr>
          <w:ilvl w:val="0"/>
          <w:numId w:val="46"/>
        </w:numPr>
        <w:spacing w:line="360" w:lineRule="auto"/>
        <w:rPr>
          <w:color w:val="auto"/>
        </w:rPr>
      </w:pPr>
      <w:r w:rsidRPr="00814683">
        <w:rPr>
          <w:b/>
          <w:color w:val="auto"/>
        </w:rPr>
        <w:t>Tercer principio.</w:t>
      </w:r>
      <w:r w:rsidRPr="00814683">
        <w:rPr>
          <w:color w:val="auto"/>
        </w:rPr>
        <w:t xml:space="preserve"> Las huellas tienen patrones que se forman con sus crestas, lo que hace posible clasificarlas sistemáticamente para agilizar las búsquedas.</w:t>
      </w:r>
    </w:p>
    <w:p w14:paraId="570C4F87" w14:textId="77777777" w:rsidR="00D479C4" w:rsidRPr="00814683" w:rsidRDefault="00D479C4" w:rsidP="004969B8">
      <w:pPr>
        <w:spacing w:after="0" w:line="360" w:lineRule="auto"/>
        <w:rPr>
          <w:color w:val="auto"/>
        </w:rPr>
      </w:pPr>
    </w:p>
    <w:p w14:paraId="10FB15A2" w14:textId="3DE416D4" w:rsidR="00D479C4" w:rsidRPr="00814683" w:rsidRDefault="00D479C4" w:rsidP="004969B8">
      <w:pPr>
        <w:spacing w:after="0" w:line="360" w:lineRule="auto"/>
        <w:rPr>
          <w:b/>
        </w:rPr>
      </w:pPr>
      <w:r w:rsidRPr="00814683">
        <w:t xml:space="preserve">Conforme a lo expuesto, es indubitable que la huella dactilar es una característica propia de un individuo que permite su reconocimiento. Por tanto, sin duda, se considera que es una característica individual que se utiliza como medio de identificación de las personas y, </w:t>
      </w:r>
      <w:r w:rsidRPr="00814683">
        <w:rPr>
          <w:b/>
        </w:rPr>
        <w:t>por tanto, constituye un dato personal, de conformidad con lo establecido en el artículo 143, fracción I de la Ley de la materia.</w:t>
      </w:r>
    </w:p>
    <w:p w14:paraId="08558BBF" w14:textId="3DEABC15" w:rsidR="009662EA" w:rsidRPr="00814683" w:rsidRDefault="009662EA" w:rsidP="004969B8">
      <w:pPr>
        <w:spacing w:after="0" w:line="360" w:lineRule="auto"/>
        <w:rPr>
          <w:color w:val="auto"/>
        </w:rPr>
      </w:pPr>
      <w:r w:rsidRPr="00814683">
        <w:rPr>
          <w:color w:val="auto"/>
        </w:rPr>
        <w:lastRenderedPageBreak/>
        <w:t>Así, este Instituto considera que el Sujeto Obligado deberá proporcionar los documentos faltantes de ser necesario en versión pública, en atención a lo analizado en el presente Considerando;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4DEC7D2" w14:textId="77777777" w:rsidR="009662EA" w:rsidRPr="00814683" w:rsidRDefault="009662EA" w:rsidP="004969B8">
      <w:pPr>
        <w:spacing w:after="0" w:line="360" w:lineRule="auto"/>
        <w:rPr>
          <w:color w:val="auto"/>
        </w:rPr>
      </w:pPr>
    </w:p>
    <w:p w14:paraId="724CA432" w14:textId="01A4AE4A" w:rsidR="00D479C4" w:rsidRPr="00814683" w:rsidRDefault="009662EA" w:rsidP="004969B8">
      <w:pPr>
        <w:spacing w:after="0" w:line="360" w:lineRule="auto"/>
        <w:rPr>
          <w:color w:val="auto"/>
        </w:rPr>
      </w:pPr>
      <w:r w:rsidRPr="00814683">
        <w:rPr>
          <w:color w:val="auto"/>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742F737" w14:textId="77777777" w:rsidR="00B24C51" w:rsidRPr="00814683" w:rsidRDefault="00B24C51" w:rsidP="004969B8">
      <w:pPr>
        <w:spacing w:after="0" w:line="360" w:lineRule="auto"/>
        <w:contextualSpacing/>
        <w:rPr>
          <w:bCs/>
          <w:color w:val="FF0000"/>
        </w:rPr>
      </w:pPr>
    </w:p>
    <w:p w14:paraId="4CBBD573" w14:textId="77777777" w:rsidR="00B16FA4" w:rsidRPr="00814683" w:rsidRDefault="00B16FA4" w:rsidP="004969B8">
      <w:pPr>
        <w:keepNext/>
        <w:keepLines/>
        <w:spacing w:after="0" w:line="360" w:lineRule="auto"/>
        <w:outlineLvl w:val="1"/>
        <w:rPr>
          <w:b/>
          <w:color w:val="auto"/>
        </w:rPr>
      </w:pPr>
      <w:bookmarkStart w:id="17" w:name="_Toc206087463"/>
      <w:bookmarkStart w:id="18" w:name="_Toc226640773"/>
      <w:r w:rsidRPr="00814683">
        <w:rPr>
          <w:b/>
          <w:color w:val="auto"/>
        </w:rPr>
        <w:t>SEXTO. Decisión</w:t>
      </w:r>
      <w:bookmarkEnd w:id="17"/>
      <w:bookmarkEnd w:id="18"/>
    </w:p>
    <w:p w14:paraId="73840B0B" w14:textId="77777777" w:rsidR="00B24C51" w:rsidRPr="00814683" w:rsidRDefault="00B24C51" w:rsidP="004969B8">
      <w:pPr>
        <w:spacing w:after="0" w:line="360" w:lineRule="auto"/>
        <w:rPr>
          <w:color w:val="FF0000"/>
        </w:rPr>
      </w:pPr>
    </w:p>
    <w:p w14:paraId="232B916F" w14:textId="6589D7C0" w:rsidR="00B16FA4" w:rsidRPr="00814683" w:rsidRDefault="00B24C51" w:rsidP="004969B8">
      <w:pPr>
        <w:spacing w:after="0" w:line="360" w:lineRule="auto"/>
        <w:rPr>
          <w:color w:val="FF0000"/>
        </w:rPr>
      </w:pPr>
      <w:r w:rsidRPr="00814683">
        <w:rPr>
          <w:color w:val="auto"/>
        </w:rPr>
        <w:t xml:space="preserve">Con fundamento en el artículo 186, fracción III, de la Ley de Transparencia y Acceso a la Información Pública del Estado de México y Municipios, este Instituto considera procedente </w:t>
      </w:r>
      <w:r w:rsidR="009662EA" w:rsidRPr="00814683">
        <w:rPr>
          <w:b/>
          <w:color w:val="auto"/>
        </w:rPr>
        <w:t>REVOCA</w:t>
      </w:r>
      <w:r w:rsidRPr="00814683">
        <w:rPr>
          <w:b/>
          <w:color w:val="auto"/>
        </w:rPr>
        <w:t>R</w:t>
      </w:r>
      <w:r w:rsidRPr="00814683">
        <w:rPr>
          <w:color w:val="auto"/>
        </w:rPr>
        <w:t xml:space="preserve"> la respuesta otorgada por el Sujeto Obligado a la solicitud de información </w:t>
      </w:r>
      <w:r w:rsidR="009662EA" w:rsidRPr="00814683">
        <w:rPr>
          <w:color w:val="auto"/>
        </w:rPr>
        <w:t>00169/TIANGUIS/IP/2025</w:t>
      </w:r>
      <w:r w:rsidRPr="00814683">
        <w:rPr>
          <w:color w:val="auto"/>
        </w:rPr>
        <w:t>, a efecto de que, previa búsqueda exhaustiva y razonable en los archivos de las áreas compe</w:t>
      </w:r>
      <w:r w:rsidR="00F510BE" w:rsidRPr="00814683">
        <w:rPr>
          <w:color w:val="auto"/>
        </w:rPr>
        <w:t xml:space="preserve">tentes, entregue la información </w:t>
      </w:r>
      <w:r w:rsidR="009662EA" w:rsidRPr="00814683">
        <w:rPr>
          <w:color w:val="auto"/>
        </w:rPr>
        <w:t>requerida.</w:t>
      </w:r>
    </w:p>
    <w:p w14:paraId="0774863A" w14:textId="77777777" w:rsidR="00F557CB" w:rsidRPr="00814683" w:rsidRDefault="00F557CB" w:rsidP="004969B8">
      <w:pPr>
        <w:spacing w:after="0" w:line="360" w:lineRule="auto"/>
        <w:rPr>
          <w:color w:val="FF0000"/>
        </w:rPr>
      </w:pPr>
    </w:p>
    <w:p w14:paraId="5977032C" w14:textId="77777777" w:rsidR="00B16FA4" w:rsidRPr="00814683" w:rsidRDefault="00B16FA4" w:rsidP="004969B8">
      <w:pPr>
        <w:spacing w:after="0" w:line="360" w:lineRule="auto"/>
        <w:contextualSpacing/>
        <w:rPr>
          <w:rFonts w:eastAsia="Calibri" w:cs="Tahoma"/>
          <w:b/>
          <w:bCs/>
          <w:color w:val="auto"/>
        </w:rPr>
      </w:pPr>
      <w:r w:rsidRPr="00814683">
        <w:rPr>
          <w:rFonts w:eastAsia="Calibri" w:cs="Tahoma"/>
          <w:b/>
          <w:bCs/>
          <w:color w:val="auto"/>
        </w:rPr>
        <w:t>Términos de la Resolución para conocimiento del Particular</w:t>
      </w:r>
    </w:p>
    <w:p w14:paraId="78B72B6E" w14:textId="77777777" w:rsidR="00F557CB" w:rsidRPr="00814683" w:rsidRDefault="00F557CB" w:rsidP="004969B8">
      <w:pPr>
        <w:spacing w:after="0" w:line="360" w:lineRule="auto"/>
        <w:contextualSpacing/>
        <w:rPr>
          <w:rFonts w:eastAsia="Calibri" w:cs="Tahoma"/>
          <w:b/>
          <w:bCs/>
          <w:color w:val="auto"/>
        </w:rPr>
      </w:pPr>
    </w:p>
    <w:p w14:paraId="7A113AED" w14:textId="4C87A300" w:rsidR="00F557CB" w:rsidRPr="00814683" w:rsidRDefault="00F557CB" w:rsidP="004969B8">
      <w:pPr>
        <w:spacing w:after="0" w:line="360" w:lineRule="auto"/>
        <w:rPr>
          <w:color w:val="auto"/>
        </w:rPr>
      </w:pPr>
      <w:r w:rsidRPr="00814683">
        <w:rPr>
          <w:color w:val="auto"/>
        </w:rPr>
        <w:t xml:space="preserve">Se le hace del conocimiento a la persona Recurrente que, en el presente asunto, se le da la razón, pues el Sujeto Obligado no proporcionó la información solicitada por el Particular, </w:t>
      </w:r>
      <w:r w:rsidRPr="00814683">
        <w:rPr>
          <w:color w:val="auto"/>
        </w:rPr>
        <w:lastRenderedPageBreak/>
        <w:t>por lo que, deberá entregar</w:t>
      </w:r>
      <w:r w:rsidR="00F510BE" w:rsidRPr="00814683">
        <w:rPr>
          <w:color w:val="auto"/>
        </w:rPr>
        <w:t xml:space="preserve"> los documentos que den cuenta de lo solicitado</w:t>
      </w:r>
      <w:r w:rsidRPr="00814683">
        <w:rPr>
          <w:color w:val="auto"/>
        </w:rPr>
        <w:t>.</w:t>
      </w:r>
      <w:r w:rsidR="006404D0" w:rsidRPr="00814683">
        <w:rPr>
          <w:color w:val="auto"/>
        </w:rPr>
        <w:t xml:space="preserve"> </w:t>
      </w:r>
      <w:r w:rsidRPr="00814683">
        <w:rPr>
          <w:color w:val="auto"/>
        </w:rPr>
        <w:t>Finalmente, se le informa que la labor de este Instituto de Transparencia, Acceso a la Información Pública y Protección de Datos Personales del Estado de México y Municipios, es apoyar a la población a acceder a la información pública y garantizar la protección de sus datos personales.</w:t>
      </w:r>
    </w:p>
    <w:p w14:paraId="020E90FC" w14:textId="77777777" w:rsidR="00F557CB" w:rsidRPr="00814683" w:rsidRDefault="00F557CB" w:rsidP="004969B8">
      <w:pPr>
        <w:spacing w:after="0" w:line="360" w:lineRule="auto"/>
        <w:rPr>
          <w:color w:val="FF0000"/>
        </w:rPr>
      </w:pPr>
    </w:p>
    <w:p w14:paraId="2CAFF82A" w14:textId="03DCC2D5" w:rsidR="00F557CB" w:rsidRPr="00814683" w:rsidRDefault="00F557CB" w:rsidP="004969B8">
      <w:pPr>
        <w:spacing w:after="0" w:line="360" w:lineRule="auto"/>
        <w:rPr>
          <w:color w:val="auto"/>
        </w:rPr>
      </w:pPr>
      <w:r w:rsidRPr="00814683">
        <w:rPr>
          <w:color w:val="auto"/>
        </w:rPr>
        <w:t>Por lo expuesto y fundado, este Pleno:</w:t>
      </w:r>
    </w:p>
    <w:p w14:paraId="74ED6752" w14:textId="77777777" w:rsidR="00B16FA4" w:rsidRPr="00814683" w:rsidRDefault="00B16FA4" w:rsidP="004969B8">
      <w:pPr>
        <w:spacing w:after="0" w:line="360" w:lineRule="auto"/>
        <w:contextualSpacing/>
        <w:rPr>
          <w:rFonts w:eastAsia="Calibri"/>
          <w:color w:val="auto"/>
        </w:rPr>
      </w:pPr>
    </w:p>
    <w:p w14:paraId="52A19F09" w14:textId="77777777" w:rsidR="00B16FA4" w:rsidRPr="00814683" w:rsidRDefault="00B16FA4" w:rsidP="004969B8">
      <w:pPr>
        <w:keepNext/>
        <w:keepLines/>
        <w:spacing w:after="0" w:line="360" w:lineRule="auto"/>
        <w:jc w:val="center"/>
        <w:outlineLvl w:val="0"/>
        <w:rPr>
          <w:b/>
          <w:color w:val="auto"/>
        </w:rPr>
      </w:pPr>
      <w:bookmarkStart w:id="19" w:name="_Toc206087464"/>
      <w:bookmarkStart w:id="20" w:name="_Toc226640774"/>
      <w:r w:rsidRPr="00814683">
        <w:rPr>
          <w:b/>
          <w:color w:val="auto"/>
        </w:rPr>
        <w:t>R E S U E L V E</w:t>
      </w:r>
      <w:bookmarkEnd w:id="19"/>
      <w:bookmarkEnd w:id="20"/>
    </w:p>
    <w:p w14:paraId="74401050" w14:textId="77777777" w:rsidR="00F557CB" w:rsidRPr="00814683" w:rsidRDefault="00F557CB" w:rsidP="004969B8">
      <w:pPr>
        <w:keepNext/>
        <w:keepLines/>
        <w:spacing w:after="0" w:line="360" w:lineRule="auto"/>
        <w:jc w:val="center"/>
        <w:outlineLvl w:val="0"/>
        <w:rPr>
          <w:b/>
          <w:color w:val="FF0000"/>
        </w:rPr>
      </w:pPr>
    </w:p>
    <w:p w14:paraId="0153B841" w14:textId="02E6D3B9" w:rsidR="00F557CB" w:rsidRPr="00814683" w:rsidRDefault="00F557CB" w:rsidP="004969B8">
      <w:pPr>
        <w:spacing w:after="0" w:line="360" w:lineRule="auto"/>
        <w:rPr>
          <w:rFonts w:cs="Tahoma"/>
          <w:color w:val="auto"/>
          <w:lang w:eastAsia="en-US"/>
        </w:rPr>
      </w:pPr>
      <w:r w:rsidRPr="00814683">
        <w:rPr>
          <w:b/>
          <w:color w:val="auto"/>
          <w:lang w:eastAsia="en-US"/>
        </w:rPr>
        <w:t xml:space="preserve">PRIMERO. </w:t>
      </w:r>
      <w:r w:rsidRPr="00814683">
        <w:rPr>
          <w:color w:val="auto"/>
          <w:lang w:eastAsia="en-US"/>
        </w:rPr>
        <w:t xml:space="preserve">Se </w:t>
      </w:r>
      <w:r w:rsidR="008A1013" w:rsidRPr="00814683">
        <w:rPr>
          <w:b/>
          <w:color w:val="auto"/>
          <w:lang w:eastAsia="en-US"/>
        </w:rPr>
        <w:t>REVO</w:t>
      </w:r>
      <w:r w:rsidRPr="00814683">
        <w:rPr>
          <w:b/>
          <w:color w:val="auto"/>
          <w:lang w:eastAsia="en-US"/>
        </w:rPr>
        <w:t xml:space="preserve">CA </w:t>
      </w:r>
      <w:r w:rsidRPr="00814683">
        <w:rPr>
          <w:color w:val="auto"/>
          <w:lang w:eastAsia="en-US"/>
        </w:rPr>
        <w:t>la respuesta entregada por el</w:t>
      </w:r>
      <w:r w:rsidR="00993FA1" w:rsidRPr="00814683">
        <w:rPr>
          <w:color w:val="auto"/>
          <w:lang w:eastAsia="en-US"/>
        </w:rPr>
        <w:t xml:space="preserve"> Sujeto Obligado</w:t>
      </w:r>
      <w:r w:rsidRPr="00814683">
        <w:rPr>
          <w:color w:val="auto"/>
          <w:lang w:eastAsia="en-US"/>
        </w:rPr>
        <w:t>, a la solicitud de información</w:t>
      </w:r>
      <w:r w:rsidRPr="00814683">
        <w:rPr>
          <w:rFonts w:cs="Tahoma"/>
          <w:color w:val="auto"/>
          <w:lang w:eastAsia="en-US"/>
        </w:rPr>
        <w:t xml:space="preserve"> </w:t>
      </w:r>
      <w:r w:rsidR="00993FA1" w:rsidRPr="00814683">
        <w:rPr>
          <w:rFonts w:cs="Tahoma"/>
          <w:color w:val="auto"/>
          <w:lang w:eastAsia="en-US"/>
        </w:rPr>
        <w:t>00169/TIANGUIS/IP/2025</w:t>
      </w:r>
      <w:r w:rsidRPr="00814683">
        <w:rPr>
          <w:color w:val="auto"/>
          <w:lang w:eastAsia="en-US"/>
        </w:rPr>
        <w:t>, por resultar</w:t>
      </w:r>
      <w:r w:rsidRPr="00814683">
        <w:rPr>
          <w:b/>
          <w:color w:val="auto"/>
          <w:lang w:eastAsia="en-US"/>
        </w:rPr>
        <w:t xml:space="preserve"> FUNDADAS </w:t>
      </w:r>
      <w:r w:rsidRPr="00814683">
        <w:rPr>
          <w:color w:val="auto"/>
          <w:lang w:eastAsia="en-US"/>
        </w:rPr>
        <w:t>las razones o motivos de inconformidad hechos valer por la persona Recurrente, en términos de los considerandos QUINTO y SEXTO de la presente Resolución.</w:t>
      </w:r>
    </w:p>
    <w:p w14:paraId="03D0420D" w14:textId="77777777" w:rsidR="00F557CB" w:rsidRPr="00814683" w:rsidRDefault="00F557CB" w:rsidP="004969B8">
      <w:pPr>
        <w:spacing w:after="0" w:line="360" w:lineRule="auto"/>
        <w:rPr>
          <w:color w:val="FF0000"/>
          <w:lang w:eastAsia="en-US"/>
        </w:rPr>
      </w:pPr>
    </w:p>
    <w:p w14:paraId="7F4C618C" w14:textId="4CE8D928" w:rsidR="008C4B92" w:rsidRPr="00814683" w:rsidRDefault="00F557CB" w:rsidP="004969B8">
      <w:pPr>
        <w:spacing w:after="0" w:line="360" w:lineRule="auto"/>
        <w:rPr>
          <w:color w:val="auto"/>
          <w:lang w:eastAsia="en-US"/>
        </w:rPr>
      </w:pPr>
      <w:r w:rsidRPr="00814683">
        <w:rPr>
          <w:b/>
          <w:color w:val="auto"/>
          <w:lang w:eastAsia="en-US"/>
        </w:rPr>
        <w:t xml:space="preserve">SEGUNDO. </w:t>
      </w:r>
      <w:r w:rsidRPr="00814683">
        <w:rPr>
          <w:color w:val="auto"/>
          <w:lang w:eastAsia="en-US"/>
        </w:rPr>
        <w:t xml:space="preserve">Se </w:t>
      </w:r>
      <w:r w:rsidRPr="00814683">
        <w:rPr>
          <w:b/>
          <w:color w:val="auto"/>
          <w:lang w:eastAsia="en-US"/>
        </w:rPr>
        <w:t>ORDENA</w:t>
      </w:r>
      <w:r w:rsidRPr="00814683">
        <w:rPr>
          <w:color w:val="auto"/>
          <w:lang w:eastAsia="en-US"/>
        </w:rPr>
        <w:t xml:space="preserve"> al Sujeto Obligado</w:t>
      </w:r>
      <w:r w:rsidRPr="00814683">
        <w:rPr>
          <w:b/>
          <w:color w:val="auto"/>
          <w:lang w:eastAsia="en-US"/>
        </w:rPr>
        <w:t xml:space="preserve">, </w:t>
      </w:r>
      <w:r w:rsidRPr="00814683">
        <w:rPr>
          <w:color w:val="auto"/>
          <w:lang w:eastAsia="en-US"/>
        </w:rPr>
        <w:t xml:space="preserve">a efecto de que previa búsqueda exhaustiva y razonable en los archivos de las unidades administrativas competentes, entregue a través del Sistema de Acceso a la Información Mexiquense (SAIMEX), </w:t>
      </w:r>
      <w:r w:rsidR="00445AFC" w:rsidRPr="00814683">
        <w:rPr>
          <w:color w:val="auto"/>
          <w:lang w:eastAsia="en-US"/>
        </w:rPr>
        <w:t xml:space="preserve">en su caso, en versión pública, </w:t>
      </w:r>
      <w:r w:rsidR="004969B8" w:rsidRPr="00814683">
        <w:rPr>
          <w:color w:val="auto"/>
          <w:lang w:eastAsia="en-US"/>
        </w:rPr>
        <w:t xml:space="preserve">respecto al </w:t>
      </w:r>
      <w:r w:rsidR="00993FA1" w:rsidRPr="00814683">
        <w:rPr>
          <w:color w:val="auto"/>
          <w:lang w:eastAsia="en-US"/>
        </w:rPr>
        <w:t>Director de Seguridad Pública y Tránsito Municipal</w:t>
      </w:r>
      <w:r w:rsidR="004969B8" w:rsidRPr="00814683">
        <w:rPr>
          <w:color w:val="auto"/>
          <w:lang w:eastAsia="en-US"/>
        </w:rPr>
        <w:t xml:space="preserve"> en funciones al dos de septiembre de dos mil veinticinco</w:t>
      </w:r>
      <w:r w:rsidR="00993FA1" w:rsidRPr="00814683">
        <w:rPr>
          <w:color w:val="auto"/>
          <w:lang w:eastAsia="en-US"/>
        </w:rPr>
        <w:t xml:space="preserve">, </w:t>
      </w:r>
      <w:r w:rsidR="00F510BE" w:rsidRPr="00814683">
        <w:rPr>
          <w:color w:val="auto"/>
          <w:lang w:eastAsia="en-US"/>
        </w:rPr>
        <w:t>lo siguiente:</w:t>
      </w:r>
    </w:p>
    <w:p w14:paraId="4C71F0F3" w14:textId="77777777" w:rsidR="008C4B92" w:rsidRPr="00814683" w:rsidRDefault="008C4B92" w:rsidP="004969B8">
      <w:pPr>
        <w:pStyle w:val="Prrafodelista"/>
        <w:spacing w:line="360" w:lineRule="auto"/>
        <w:rPr>
          <w:color w:val="FF0000"/>
        </w:rPr>
      </w:pPr>
    </w:p>
    <w:p w14:paraId="4FED9CCB" w14:textId="6F62E5C0" w:rsidR="00445AFC" w:rsidRPr="00814683" w:rsidRDefault="00445AFC" w:rsidP="004969B8">
      <w:pPr>
        <w:pStyle w:val="Prrafodelista"/>
        <w:numPr>
          <w:ilvl w:val="0"/>
          <w:numId w:val="11"/>
        </w:numPr>
        <w:tabs>
          <w:tab w:val="left" w:pos="4962"/>
        </w:tabs>
        <w:spacing w:line="360" w:lineRule="auto"/>
        <w:rPr>
          <w:rFonts w:eastAsia="Calibri" w:cs="Tahoma"/>
          <w:iCs/>
          <w:color w:val="auto"/>
          <w:lang w:val="es-ES" w:eastAsia="es-ES_tradnl"/>
        </w:rPr>
      </w:pPr>
      <w:r w:rsidRPr="00814683">
        <w:rPr>
          <w:rFonts w:eastAsia="Calibri" w:cs="Tahoma"/>
          <w:iCs/>
          <w:color w:val="auto"/>
          <w:lang w:val="es-ES" w:eastAsia="es-ES_tradnl"/>
        </w:rPr>
        <w:t xml:space="preserve">El </w:t>
      </w:r>
      <w:r w:rsidR="00993FA1" w:rsidRPr="00814683">
        <w:rPr>
          <w:rFonts w:eastAsia="Calibri" w:cs="Tahoma"/>
          <w:iCs/>
          <w:color w:val="auto"/>
          <w:lang w:val="es-ES" w:eastAsia="es-ES_tradnl"/>
        </w:rPr>
        <w:t xml:space="preserve">recibo de nómina </w:t>
      </w:r>
      <w:r w:rsidR="004969B8" w:rsidRPr="00814683">
        <w:rPr>
          <w:rFonts w:eastAsia="Calibri" w:cs="Tahoma"/>
          <w:iCs/>
          <w:color w:val="auto"/>
          <w:lang w:val="es-ES" w:eastAsia="es-ES_tradnl"/>
        </w:rPr>
        <w:t>de</w:t>
      </w:r>
      <w:r w:rsidR="00993FA1" w:rsidRPr="00814683">
        <w:rPr>
          <w:rFonts w:eastAsia="Calibri" w:cs="Tahoma"/>
          <w:iCs/>
          <w:color w:val="auto"/>
          <w:lang w:val="es-ES" w:eastAsia="es-ES_tradnl"/>
        </w:rPr>
        <w:t xml:space="preserve"> la primera quincena de agosto de dos mil veinticinco.</w:t>
      </w:r>
    </w:p>
    <w:p w14:paraId="1E1B69E4" w14:textId="77777777" w:rsidR="00993FA1" w:rsidRPr="00814683" w:rsidRDefault="00993FA1" w:rsidP="004969B8">
      <w:pPr>
        <w:pStyle w:val="Prrafodelista"/>
        <w:tabs>
          <w:tab w:val="left" w:pos="4962"/>
        </w:tabs>
        <w:spacing w:line="360" w:lineRule="auto"/>
        <w:rPr>
          <w:rFonts w:eastAsia="Calibri" w:cs="Tahoma"/>
          <w:iCs/>
          <w:color w:val="auto"/>
          <w:lang w:val="es-ES" w:eastAsia="es-ES_tradnl"/>
        </w:rPr>
      </w:pPr>
    </w:p>
    <w:p w14:paraId="39B800B8" w14:textId="47F02CC0" w:rsidR="00993FA1" w:rsidRPr="00814683" w:rsidRDefault="00993FA1" w:rsidP="004969B8">
      <w:pPr>
        <w:pStyle w:val="Prrafodelista"/>
        <w:numPr>
          <w:ilvl w:val="0"/>
          <w:numId w:val="11"/>
        </w:numPr>
        <w:tabs>
          <w:tab w:val="left" w:pos="4962"/>
        </w:tabs>
        <w:spacing w:line="360" w:lineRule="auto"/>
        <w:rPr>
          <w:rFonts w:eastAsia="Calibri" w:cs="Tahoma"/>
          <w:iCs/>
          <w:color w:val="auto"/>
          <w:lang w:val="es-ES" w:eastAsia="es-ES_tradnl"/>
        </w:rPr>
      </w:pPr>
      <w:r w:rsidRPr="00814683">
        <w:rPr>
          <w:rFonts w:eastAsia="Calibri" w:cs="Tahoma"/>
          <w:iCs/>
          <w:color w:val="auto"/>
          <w:lang w:val="es-ES" w:eastAsia="es-ES_tradnl"/>
        </w:rPr>
        <w:t>El resultado global de evaluación de control y confianza vigente al dos de septiembre de dos mil veinticinco.</w:t>
      </w:r>
    </w:p>
    <w:p w14:paraId="07D5CC04" w14:textId="77777777" w:rsidR="00993FA1" w:rsidRPr="00814683" w:rsidRDefault="00993FA1" w:rsidP="004969B8">
      <w:pPr>
        <w:pStyle w:val="Prrafodelista"/>
        <w:tabs>
          <w:tab w:val="left" w:pos="4962"/>
        </w:tabs>
        <w:spacing w:line="360" w:lineRule="auto"/>
        <w:rPr>
          <w:rFonts w:eastAsia="Calibri" w:cs="Tahoma"/>
          <w:iCs/>
          <w:color w:val="auto"/>
          <w:lang w:val="es-ES" w:eastAsia="es-ES_tradnl"/>
        </w:rPr>
      </w:pPr>
    </w:p>
    <w:p w14:paraId="7B300BDB" w14:textId="77777777" w:rsidR="004969B8" w:rsidRPr="00814683" w:rsidRDefault="004969B8" w:rsidP="004969B8">
      <w:pPr>
        <w:pStyle w:val="Prrafodelista"/>
        <w:tabs>
          <w:tab w:val="left" w:pos="4962"/>
        </w:tabs>
        <w:spacing w:line="360" w:lineRule="auto"/>
        <w:rPr>
          <w:rFonts w:eastAsia="Calibri" w:cs="Tahoma"/>
          <w:iCs/>
          <w:color w:val="auto"/>
          <w:lang w:eastAsia="es-ES_tradnl"/>
        </w:rPr>
      </w:pPr>
    </w:p>
    <w:p w14:paraId="425735B6" w14:textId="63F1A195" w:rsidR="00993FA1" w:rsidRPr="00814683" w:rsidRDefault="00993FA1" w:rsidP="004969B8">
      <w:pPr>
        <w:pStyle w:val="Prrafodelista"/>
        <w:numPr>
          <w:ilvl w:val="0"/>
          <w:numId w:val="11"/>
        </w:numPr>
        <w:tabs>
          <w:tab w:val="left" w:pos="4962"/>
        </w:tabs>
        <w:spacing w:line="360" w:lineRule="auto"/>
        <w:rPr>
          <w:rFonts w:eastAsia="Calibri" w:cs="Tahoma"/>
          <w:iCs/>
          <w:color w:val="auto"/>
          <w:lang w:val="es-ES" w:eastAsia="es-ES_tradnl"/>
        </w:rPr>
      </w:pPr>
      <w:r w:rsidRPr="00814683">
        <w:rPr>
          <w:rFonts w:eastAsia="Calibri" w:cs="Tahoma"/>
          <w:iCs/>
          <w:color w:val="auto"/>
          <w:lang w:val="es-ES" w:eastAsia="es-ES_tradnl"/>
        </w:rPr>
        <w:lastRenderedPageBreak/>
        <w:t>La licencia de portación de arma de fuego vigente al dos de septiembre de dos mil veinticinco.</w:t>
      </w:r>
    </w:p>
    <w:p w14:paraId="0BA13411" w14:textId="77777777" w:rsidR="00993FA1" w:rsidRPr="00814683" w:rsidRDefault="00993FA1" w:rsidP="004969B8">
      <w:pPr>
        <w:pStyle w:val="Prrafodelista"/>
        <w:tabs>
          <w:tab w:val="left" w:pos="4962"/>
        </w:tabs>
        <w:spacing w:line="360" w:lineRule="auto"/>
        <w:rPr>
          <w:rFonts w:eastAsia="Calibri" w:cs="Tahoma"/>
          <w:iCs/>
          <w:color w:val="FF0000"/>
          <w:lang w:val="es-ES" w:eastAsia="es-ES_tradnl"/>
        </w:rPr>
      </w:pPr>
    </w:p>
    <w:p w14:paraId="0A1F7A94" w14:textId="5A59F150" w:rsidR="004969B8" w:rsidRPr="00814683" w:rsidRDefault="004969B8" w:rsidP="004969B8">
      <w:pPr>
        <w:spacing w:line="360" w:lineRule="auto"/>
        <w:contextualSpacing/>
        <w:rPr>
          <w:rFonts w:eastAsia="Calibri" w:cs="Tahoma"/>
          <w:iCs/>
          <w:color w:val="000000"/>
          <w:lang w:eastAsia="es-ES_tradnl"/>
        </w:rPr>
      </w:pPr>
      <w:r w:rsidRPr="00814683">
        <w:rPr>
          <w:rFonts w:eastAsia="Calibri" w:cs="Tahoma"/>
          <w:iCs/>
          <w:color w:val="000000"/>
          <w:lang w:eastAsia="es-ES_tradnl"/>
        </w:rPr>
        <w:t>Además, deberá proporcionar el Acuerdo de Clasificación donde el Comité de Transparencia, confirme la eliminación de los datos o información, en atención a lo analizado en el Considerando QUINTO, en la versión pública, de conformidad con los artículos 49, fracciones II y VIII y 132 de la Ley de Transparencia y Acceso a la Información Pública del Estado de México y Municipios.</w:t>
      </w:r>
    </w:p>
    <w:p w14:paraId="7A8CE44E" w14:textId="77777777" w:rsidR="004969B8" w:rsidRPr="00814683" w:rsidRDefault="004969B8" w:rsidP="004969B8">
      <w:pPr>
        <w:spacing w:after="0" w:line="360" w:lineRule="auto"/>
        <w:rPr>
          <w:color w:val="FF0000"/>
          <w:lang w:val="es-ES" w:eastAsia="en-US"/>
        </w:rPr>
      </w:pPr>
    </w:p>
    <w:p w14:paraId="297CF712" w14:textId="608CDB2A" w:rsidR="008C4B92" w:rsidRPr="00814683" w:rsidRDefault="008C4B92" w:rsidP="004969B8">
      <w:pPr>
        <w:spacing w:after="0" w:line="360" w:lineRule="auto"/>
        <w:ind w:right="-28"/>
        <w:contextualSpacing/>
        <w:rPr>
          <w:rFonts w:cs="Tahoma"/>
          <w:bCs/>
          <w:iCs/>
          <w:color w:val="auto"/>
        </w:rPr>
      </w:pPr>
      <w:r w:rsidRPr="00814683">
        <w:rPr>
          <w:rFonts w:eastAsia="Calibri" w:cs="Tahoma"/>
          <w:b/>
          <w:bCs/>
          <w:color w:val="auto"/>
        </w:rPr>
        <w:t xml:space="preserve">TERCERO. </w:t>
      </w:r>
      <w:r w:rsidRPr="00814683">
        <w:rPr>
          <w:rFonts w:cs="Tahoma"/>
          <w:b/>
          <w:bCs/>
          <w:iCs/>
          <w:color w:val="auto"/>
        </w:rPr>
        <w:t xml:space="preserve">NOTIFÍQUESE POR SAIMEX </w:t>
      </w:r>
      <w:r w:rsidRPr="00814683">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w:t>
      </w:r>
      <w:r w:rsidR="006404D0" w:rsidRPr="00814683">
        <w:rPr>
          <w:rFonts w:cs="Tahoma"/>
          <w:bCs/>
          <w:iCs/>
          <w:color w:val="auto"/>
        </w:rPr>
        <w:t>referida.</w:t>
      </w:r>
    </w:p>
    <w:p w14:paraId="3A1F3625" w14:textId="77777777" w:rsidR="008C4B92" w:rsidRPr="00814683" w:rsidRDefault="008C4B92" w:rsidP="004969B8">
      <w:pPr>
        <w:spacing w:after="0" w:line="360" w:lineRule="auto"/>
        <w:ind w:right="-28"/>
        <w:contextualSpacing/>
        <w:rPr>
          <w:rFonts w:cs="Tahoma"/>
          <w:bCs/>
          <w:iCs/>
          <w:color w:val="auto"/>
        </w:rPr>
      </w:pPr>
    </w:p>
    <w:p w14:paraId="5A6D03A7" w14:textId="04A04D6F" w:rsidR="008C4B92" w:rsidRPr="00814683" w:rsidRDefault="008C4B92" w:rsidP="004969B8">
      <w:pPr>
        <w:spacing w:after="0" w:line="360" w:lineRule="auto"/>
        <w:ind w:right="-28"/>
        <w:contextualSpacing/>
        <w:rPr>
          <w:rFonts w:cs="Tahoma"/>
          <w:bCs/>
          <w:iCs/>
          <w:color w:val="auto"/>
        </w:rPr>
      </w:pPr>
      <w:r w:rsidRPr="00814683">
        <w:rPr>
          <w:rFonts w:eastAsia="Calibri" w:cs="Tahoma"/>
          <w:iCs/>
          <w:color w:val="auto"/>
        </w:rPr>
        <w:t xml:space="preserve">De conformidad con el artículo 198 de la </w:t>
      </w:r>
      <w:r w:rsidR="006404D0" w:rsidRPr="00814683">
        <w:rPr>
          <w:rFonts w:cs="Tahoma"/>
          <w:bCs/>
          <w:iCs/>
          <w:color w:val="auto"/>
        </w:rPr>
        <w:t>Ley de la materia</w:t>
      </w:r>
      <w:r w:rsidRPr="00814683">
        <w:rPr>
          <w:rFonts w:eastAsia="Calibri" w:cs="Tahoma"/>
          <w:iCs/>
          <w:color w:val="auto"/>
        </w:rPr>
        <w:t>, de considerarlo procedente, el Sujeto Obligado de manera fundada y motivada, podrá solicitar una ampliación de plazo para el cumplimiento de la presente resolución.</w:t>
      </w:r>
    </w:p>
    <w:p w14:paraId="2332122F" w14:textId="77777777" w:rsidR="008C4B92" w:rsidRPr="00814683" w:rsidRDefault="008C4B92" w:rsidP="004969B8">
      <w:pPr>
        <w:spacing w:after="0" w:line="360" w:lineRule="auto"/>
        <w:contextualSpacing/>
        <w:rPr>
          <w:rFonts w:eastAsia="Calibri" w:cs="Tahoma"/>
          <w:color w:val="auto"/>
          <w:lang w:val="es-ES"/>
        </w:rPr>
      </w:pPr>
    </w:p>
    <w:p w14:paraId="52F059DC" w14:textId="77777777" w:rsidR="008C4B92" w:rsidRPr="00814683" w:rsidRDefault="008C4B92" w:rsidP="004969B8">
      <w:pPr>
        <w:spacing w:after="0" w:line="360" w:lineRule="auto"/>
        <w:contextualSpacing/>
        <w:rPr>
          <w:rFonts w:cs="Tahoma"/>
          <w:color w:val="auto"/>
        </w:rPr>
      </w:pPr>
      <w:r w:rsidRPr="00814683">
        <w:rPr>
          <w:rFonts w:eastAsia="Calibri" w:cs="Tahoma"/>
          <w:b/>
          <w:color w:val="auto"/>
        </w:rPr>
        <w:t>CUARTO</w:t>
      </w:r>
      <w:r w:rsidRPr="00814683">
        <w:rPr>
          <w:rFonts w:eastAsia="Calibri" w:cs="Tahoma"/>
          <w:b/>
          <w:bCs/>
          <w:color w:val="auto"/>
        </w:rPr>
        <w:t xml:space="preserve">. </w:t>
      </w:r>
      <w:r w:rsidRPr="00814683">
        <w:rPr>
          <w:rFonts w:cs="Tahoma"/>
          <w:b/>
          <w:color w:val="auto"/>
        </w:rPr>
        <w:t>NOTIFÍQUESE POR SAIMEX</w:t>
      </w:r>
      <w:r w:rsidRPr="00814683">
        <w:rPr>
          <w:rFonts w:cs="Tahoma"/>
          <w:color w:val="auto"/>
        </w:rPr>
        <w:t xml:space="preserve"> a la persona Recurrente la presente Resolución, asimismo, se hace de su conocimiento que de conformidad con lo establecido en el artículo </w:t>
      </w:r>
      <w:r w:rsidRPr="00814683">
        <w:rPr>
          <w:rFonts w:cs="Tahoma"/>
          <w:color w:val="auto"/>
        </w:rPr>
        <w:lastRenderedPageBreak/>
        <w:t>196 de la Ley de Transparencia y Acceso a la Información Pública del Estado de México y Municipios podrá promover el Juicio de Amparo en los términos de las leyes aplicables.</w:t>
      </w:r>
    </w:p>
    <w:p w14:paraId="69B41D05" w14:textId="77777777" w:rsidR="008C4B92" w:rsidRPr="00814683" w:rsidRDefault="008C4B92" w:rsidP="004969B8">
      <w:pPr>
        <w:spacing w:after="0" w:line="360" w:lineRule="auto"/>
        <w:contextualSpacing/>
        <w:rPr>
          <w:rFonts w:cs="Arial"/>
          <w:b/>
          <w:bCs/>
          <w:color w:val="auto"/>
        </w:rPr>
      </w:pPr>
    </w:p>
    <w:p w14:paraId="0ACC251B" w14:textId="4B0EA749" w:rsidR="00E375B0" w:rsidRPr="004818C0" w:rsidRDefault="008C4B92" w:rsidP="004969B8">
      <w:pPr>
        <w:spacing w:after="0" w:line="360" w:lineRule="auto"/>
        <w:contextualSpacing/>
        <w:rPr>
          <w:rFonts w:eastAsia="Calibri" w:cs="Tahoma"/>
          <w:bCs/>
          <w:color w:val="auto"/>
        </w:rPr>
      </w:pPr>
      <w:r w:rsidRPr="00814683">
        <w:rPr>
          <w:rFonts w:eastAsia="Calibri" w:cs="Tahoma"/>
          <w:bCs/>
          <w:color w:val="auto"/>
        </w:rPr>
        <w:t>ASÍ LO RESUELVE, POR </w:t>
      </w:r>
      <w:r w:rsidRPr="00814683">
        <w:rPr>
          <w:rFonts w:eastAsia="Calibri" w:cs="Tahoma"/>
          <w:b/>
          <w:bCs/>
          <w:color w:val="auto"/>
        </w:rPr>
        <w:t>UNANIMIDAD</w:t>
      </w:r>
      <w:r w:rsidRPr="00814683">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w:t>
      </w:r>
      <w:r w:rsidR="00905E11">
        <w:rPr>
          <w:rFonts w:eastAsia="Calibri" w:cs="Tahoma"/>
          <w:bCs/>
          <w:color w:val="auto"/>
        </w:rPr>
        <w:t>,</w:t>
      </w:r>
      <w:r w:rsidRPr="00814683">
        <w:rPr>
          <w:rFonts w:eastAsia="Calibri" w:cs="Tahoma"/>
          <w:bCs/>
          <w:color w:val="auto"/>
        </w:rPr>
        <w:t xml:space="preserve"> SHARON CRISTINA MORALES MARTÍNEZ, LUIS GUSTAVO PARRA NORIEGA</w:t>
      </w:r>
      <w:r w:rsidR="006108D2" w:rsidRPr="00814683">
        <w:rPr>
          <w:rFonts w:eastAsia="Calibri" w:cs="Tahoma"/>
          <w:bCs/>
          <w:color w:val="auto"/>
        </w:rPr>
        <w:t xml:space="preserve"> </w:t>
      </w:r>
      <w:r w:rsidR="00B41866" w:rsidRPr="00814683">
        <w:rPr>
          <w:rFonts w:eastAsia="Calibri" w:cs="Tahoma"/>
          <w:bCs/>
          <w:color w:val="auto"/>
        </w:rPr>
        <w:t>CON VOTO PARTICULAR</w:t>
      </w:r>
      <w:r w:rsidR="00CF163E" w:rsidRPr="00814683">
        <w:rPr>
          <w:rFonts w:eastAsia="Calibri" w:cs="Tahoma"/>
          <w:bCs/>
          <w:color w:val="auto"/>
        </w:rPr>
        <w:t xml:space="preserve"> </w:t>
      </w:r>
      <w:r w:rsidRPr="00814683">
        <w:rPr>
          <w:rFonts w:eastAsia="Calibri" w:cs="Tahoma"/>
          <w:bCs/>
          <w:color w:val="auto"/>
        </w:rPr>
        <w:t xml:space="preserve">Y GUADALUPE RAMÍREZ PEÑA, EN LA </w:t>
      </w:r>
      <w:r w:rsidR="004818C0" w:rsidRPr="00814683">
        <w:rPr>
          <w:rFonts w:eastAsia="Calibri" w:cs="Tahoma"/>
          <w:bCs/>
          <w:color w:val="auto"/>
        </w:rPr>
        <w:t xml:space="preserve">DÉCIMA SEGUNDA  </w:t>
      </w:r>
      <w:r w:rsidRPr="00814683">
        <w:rPr>
          <w:rFonts w:eastAsia="Calibri" w:cs="Tahoma"/>
          <w:bCs/>
          <w:color w:val="auto"/>
        </w:rPr>
        <w:t>SESIÓN ORDINARIA, CELEBRADA EL</w:t>
      </w:r>
      <w:r w:rsidR="004818C0" w:rsidRPr="00814683">
        <w:rPr>
          <w:rFonts w:eastAsia="Calibri" w:cs="Tahoma"/>
          <w:bCs/>
          <w:color w:val="auto"/>
        </w:rPr>
        <w:t xml:space="preserve"> OCHO DE ABRIL DE DOS MIL VEINTISÉIS</w:t>
      </w:r>
      <w:r w:rsidRPr="00814683">
        <w:rPr>
          <w:rFonts w:eastAsia="Calibri" w:cs="Tahoma"/>
          <w:bCs/>
          <w:color w:val="auto"/>
        </w:rPr>
        <w:t>, ANTE EL SECRETARIO TÉCNICO DEL PLENO, ALEXIS TAPIA RAMÍREZ.</w:t>
      </w:r>
    </w:p>
    <w:p w14:paraId="6BD875ED" w14:textId="77777777" w:rsidR="00DC7C54" w:rsidRPr="004818C0" w:rsidRDefault="00DC7C54" w:rsidP="004969B8">
      <w:pPr>
        <w:spacing w:after="0" w:line="360" w:lineRule="auto"/>
        <w:contextualSpacing/>
        <w:rPr>
          <w:rFonts w:eastAsia="Calibri" w:cs="Tahoma"/>
          <w:bCs/>
          <w:color w:val="auto"/>
        </w:rPr>
      </w:pPr>
    </w:p>
    <w:p w14:paraId="755D5006" w14:textId="77777777" w:rsidR="00DC7C54" w:rsidRPr="004818C0" w:rsidRDefault="00DC7C54" w:rsidP="004969B8">
      <w:pPr>
        <w:spacing w:after="0" w:line="360" w:lineRule="auto"/>
        <w:contextualSpacing/>
        <w:rPr>
          <w:rFonts w:eastAsia="Calibri" w:cs="Tahoma"/>
          <w:bCs/>
          <w:color w:val="auto"/>
        </w:rPr>
      </w:pPr>
    </w:p>
    <w:p w14:paraId="39D67CF7" w14:textId="77777777" w:rsidR="00DC7C54" w:rsidRPr="004818C0" w:rsidRDefault="00DC7C54" w:rsidP="004969B8">
      <w:pPr>
        <w:spacing w:after="0" w:line="360" w:lineRule="auto"/>
        <w:contextualSpacing/>
        <w:rPr>
          <w:rFonts w:eastAsia="Calibri" w:cs="Tahoma"/>
          <w:bCs/>
          <w:color w:val="auto"/>
        </w:rPr>
      </w:pPr>
    </w:p>
    <w:p w14:paraId="54B8372D" w14:textId="77777777" w:rsidR="00E375B0" w:rsidRPr="004818C0" w:rsidRDefault="00E375B0" w:rsidP="004969B8">
      <w:pPr>
        <w:keepNext/>
        <w:keepLines/>
        <w:spacing w:after="0" w:line="360" w:lineRule="auto"/>
        <w:outlineLvl w:val="0"/>
        <w:rPr>
          <w:b/>
          <w:color w:val="auto"/>
        </w:rPr>
      </w:pPr>
    </w:p>
    <w:p w14:paraId="3A29A64B" w14:textId="77777777" w:rsidR="00E375B0" w:rsidRDefault="00E375B0" w:rsidP="004969B8">
      <w:pPr>
        <w:keepNext/>
        <w:keepLines/>
        <w:spacing w:after="0" w:line="360" w:lineRule="auto"/>
        <w:outlineLvl w:val="0"/>
        <w:rPr>
          <w:b/>
          <w:color w:val="auto"/>
        </w:rPr>
      </w:pPr>
    </w:p>
    <w:p w14:paraId="5CC6A96A" w14:textId="77777777" w:rsidR="004818C0" w:rsidRDefault="004818C0" w:rsidP="004969B8">
      <w:pPr>
        <w:keepNext/>
        <w:keepLines/>
        <w:spacing w:after="0" w:line="360" w:lineRule="auto"/>
        <w:outlineLvl w:val="0"/>
        <w:rPr>
          <w:b/>
          <w:color w:val="auto"/>
        </w:rPr>
      </w:pPr>
    </w:p>
    <w:p w14:paraId="4C5E36DA" w14:textId="77777777" w:rsidR="004818C0" w:rsidRDefault="004818C0" w:rsidP="004969B8">
      <w:pPr>
        <w:keepNext/>
        <w:keepLines/>
        <w:spacing w:after="0" w:line="360" w:lineRule="auto"/>
        <w:outlineLvl w:val="0"/>
        <w:rPr>
          <w:b/>
          <w:color w:val="auto"/>
        </w:rPr>
      </w:pPr>
    </w:p>
    <w:p w14:paraId="556B1FE3" w14:textId="77777777" w:rsidR="004818C0" w:rsidRDefault="004818C0" w:rsidP="004969B8">
      <w:pPr>
        <w:keepNext/>
        <w:keepLines/>
        <w:spacing w:after="0" w:line="360" w:lineRule="auto"/>
        <w:outlineLvl w:val="0"/>
        <w:rPr>
          <w:b/>
          <w:color w:val="auto"/>
        </w:rPr>
      </w:pPr>
    </w:p>
    <w:p w14:paraId="09B32760" w14:textId="77777777" w:rsidR="004818C0" w:rsidRDefault="004818C0" w:rsidP="004969B8">
      <w:pPr>
        <w:keepNext/>
        <w:keepLines/>
        <w:spacing w:after="0" w:line="360" w:lineRule="auto"/>
        <w:outlineLvl w:val="0"/>
        <w:rPr>
          <w:b/>
          <w:color w:val="auto"/>
        </w:rPr>
      </w:pPr>
    </w:p>
    <w:p w14:paraId="38FA5488" w14:textId="77777777" w:rsidR="004818C0" w:rsidRDefault="004818C0" w:rsidP="004969B8">
      <w:pPr>
        <w:keepNext/>
        <w:keepLines/>
        <w:spacing w:after="0" w:line="360" w:lineRule="auto"/>
        <w:outlineLvl w:val="0"/>
        <w:rPr>
          <w:b/>
          <w:color w:val="auto"/>
        </w:rPr>
      </w:pPr>
    </w:p>
    <w:p w14:paraId="7689CA42" w14:textId="77777777" w:rsidR="004818C0" w:rsidRDefault="004818C0" w:rsidP="004969B8">
      <w:pPr>
        <w:keepNext/>
        <w:keepLines/>
        <w:spacing w:after="0" w:line="360" w:lineRule="auto"/>
        <w:outlineLvl w:val="0"/>
        <w:rPr>
          <w:b/>
          <w:color w:val="auto"/>
        </w:rPr>
      </w:pPr>
    </w:p>
    <w:p w14:paraId="1F21328D" w14:textId="77777777" w:rsidR="004818C0" w:rsidRDefault="004818C0" w:rsidP="004969B8">
      <w:pPr>
        <w:keepNext/>
        <w:keepLines/>
        <w:spacing w:after="0" w:line="360" w:lineRule="auto"/>
        <w:outlineLvl w:val="0"/>
        <w:rPr>
          <w:b/>
          <w:color w:val="auto"/>
        </w:rPr>
      </w:pPr>
    </w:p>
    <w:p w14:paraId="579D0657" w14:textId="77777777" w:rsidR="004818C0" w:rsidRDefault="004818C0" w:rsidP="004969B8">
      <w:pPr>
        <w:keepNext/>
        <w:keepLines/>
        <w:spacing w:after="0" w:line="360" w:lineRule="auto"/>
        <w:outlineLvl w:val="0"/>
        <w:rPr>
          <w:b/>
          <w:color w:val="auto"/>
        </w:rPr>
      </w:pPr>
    </w:p>
    <w:p w14:paraId="3E091D82" w14:textId="77777777" w:rsidR="004818C0" w:rsidRDefault="004818C0" w:rsidP="004969B8">
      <w:pPr>
        <w:keepNext/>
        <w:keepLines/>
        <w:spacing w:after="0" w:line="360" w:lineRule="auto"/>
        <w:outlineLvl w:val="0"/>
        <w:rPr>
          <w:b/>
          <w:color w:val="auto"/>
        </w:rPr>
      </w:pPr>
    </w:p>
    <w:p w14:paraId="7EBDDF43" w14:textId="77777777" w:rsidR="004818C0" w:rsidRDefault="004818C0" w:rsidP="004969B8">
      <w:pPr>
        <w:keepNext/>
        <w:keepLines/>
        <w:spacing w:after="0" w:line="360" w:lineRule="auto"/>
        <w:outlineLvl w:val="0"/>
        <w:rPr>
          <w:b/>
          <w:color w:val="auto"/>
        </w:rPr>
      </w:pPr>
    </w:p>
    <w:p w14:paraId="552B01C7" w14:textId="77777777" w:rsidR="004818C0" w:rsidRDefault="004818C0" w:rsidP="004969B8">
      <w:pPr>
        <w:keepNext/>
        <w:keepLines/>
        <w:spacing w:after="0" w:line="360" w:lineRule="auto"/>
        <w:outlineLvl w:val="0"/>
        <w:rPr>
          <w:b/>
          <w:color w:val="auto"/>
        </w:rPr>
      </w:pPr>
    </w:p>
    <w:p w14:paraId="6DF0139F" w14:textId="77777777" w:rsidR="004818C0" w:rsidRDefault="004818C0" w:rsidP="004969B8">
      <w:pPr>
        <w:keepNext/>
        <w:keepLines/>
        <w:spacing w:after="0" w:line="360" w:lineRule="auto"/>
        <w:outlineLvl w:val="0"/>
        <w:rPr>
          <w:b/>
          <w:color w:val="auto"/>
        </w:rPr>
      </w:pPr>
    </w:p>
    <w:p w14:paraId="2E2D9CEB" w14:textId="77777777" w:rsidR="004818C0" w:rsidRDefault="004818C0" w:rsidP="004969B8">
      <w:pPr>
        <w:keepNext/>
        <w:keepLines/>
        <w:spacing w:after="0" w:line="360" w:lineRule="auto"/>
        <w:outlineLvl w:val="0"/>
        <w:rPr>
          <w:b/>
          <w:color w:val="auto"/>
        </w:rPr>
      </w:pPr>
    </w:p>
    <w:p w14:paraId="26E9BB6A" w14:textId="77777777" w:rsidR="004818C0" w:rsidRDefault="004818C0" w:rsidP="004969B8">
      <w:pPr>
        <w:keepNext/>
        <w:keepLines/>
        <w:spacing w:after="0" w:line="360" w:lineRule="auto"/>
        <w:outlineLvl w:val="0"/>
        <w:rPr>
          <w:b/>
          <w:color w:val="auto"/>
        </w:rPr>
      </w:pPr>
    </w:p>
    <w:p w14:paraId="6FC79564" w14:textId="77777777" w:rsidR="004818C0" w:rsidRDefault="004818C0" w:rsidP="004969B8">
      <w:pPr>
        <w:keepNext/>
        <w:keepLines/>
        <w:spacing w:after="0" w:line="360" w:lineRule="auto"/>
        <w:outlineLvl w:val="0"/>
        <w:rPr>
          <w:b/>
          <w:color w:val="auto"/>
        </w:rPr>
      </w:pPr>
    </w:p>
    <w:p w14:paraId="56BB0CE5" w14:textId="77777777" w:rsidR="004818C0" w:rsidRDefault="004818C0" w:rsidP="004969B8">
      <w:pPr>
        <w:keepNext/>
        <w:keepLines/>
        <w:spacing w:after="0" w:line="360" w:lineRule="auto"/>
        <w:outlineLvl w:val="0"/>
        <w:rPr>
          <w:b/>
          <w:color w:val="auto"/>
        </w:rPr>
      </w:pPr>
    </w:p>
    <w:p w14:paraId="60EA98DD" w14:textId="77777777" w:rsidR="004818C0" w:rsidRDefault="004818C0" w:rsidP="004969B8">
      <w:pPr>
        <w:keepNext/>
        <w:keepLines/>
        <w:spacing w:after="0" w:line="360" w:lineRule="auto"/>
        <w:outlineLvl w:val="0"/>
        <w:rPr>
          <w:b/>
          <w:color w:val="auto"/>
        </w:rPr>
      </w:pPr>
    </w:p>
    <w:p w14:paraId="22F730CD" w14:textId="77777777" w:rsidR="004818C0" w:rsidRDefault="004818C0" w:rsidP="004969B8">
      <w:pPr>
        <w:keepNext/>
        <w:keepLines/>
        <w:spacing w:after="0" w:line="360" w:lineRule="auto"/>
        <w:outlineLvl w:val="0"/>
        <w:rPr>
          <w:b/>
          <w:color w:val="auto"/>
        </w:rPr>
      </w:pPr>
    </w:p>
    <w:p w14:paraId="0017EC23" w14:textId="77777777" w:rsidR="004818C0" w:rsidRDefault="004818C0" w:rsidP="004969B8">
      <w:pPr>
        <w:keepNext/>
        <w:keepLines/>
        <w:spacing w:after="0" w:line="360" w:lineRule="auto"/>
        <w:outlineLvl w:val="0"/>
        <w:rPr>
          <w:b/>
          <w:color w:val="auto"/>
        </w:rPr>
      </w:pPr>
    </w:p>
    <w:p w14:paraId="30CAAF04" w14:textId="77777777" w:rsidR="004818C0" w:rsidRDefault="004818C0" w:rsidP="004969B8">
      <w:pPr>
        <w:keepNext/>
        <w:keepLines/>
        <w:spacing w:after="0" w:line="360" w:lineRule="auto"/>
        <w:outlineLvl w:val="0"/>
        <w:rPr>
          <w:b/>
          <w:color w:val="auto"/>
        </w:rPr>
      </w:pPr>
    </w:p>
    <w:p w14:paraId="6AA8FE0D" w14:textId="77777777" w:rsidR="004818C0" w:rsidRPr="004818C0" w:rsidRDefault="004818C0" w:rsidP="004969B8">
      <w:pPr>
        <w:keepNext/>
        <w:keepLines/>
        <w:spacing w:after="0" w:line="360" w:lineRule="auto"/>
        <w:outlineLvl w:val="0"/>
        <w:rPr>
          <w:b/>
          <w:color w:val="auto"/>
        </w:rPr>
      </w:pPr>
    </w:p>
    <w:sectPr w:rsidR="004818C0" w:rsidRPr="004818C0" w:rsidSect="000B49C4">
      <w:headerReference w:type="even" r:id="rId20"/>
      <w:headerReference w:type="default" r:id="rId21"/>
      <w:footerReference w:type="even" r:id="rId22"/>
      <w:footerReference w:type="default" r:id="rId23"/>
      <w:headerReference w:type="first" r:id="rId24"/>
      <w:footerReference w:type="first" r:id="rId2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011ED" w14:textId="77777777" w:rsidR="008153C4" w:rsidRDefault="008153C4">
      <w:pPr>
        <w:spacing w:after="0" w:line="240" w:lineRule="auto"/>
      </w:pPr>
      <w:r>
        <w:separator/>
      </w:r>
    </w:p>
  </w:endnote>
  <w:endnote w:type="continuationSeparator" w:id="0">
    <w:p w14:paraId="0055FE85" w14:textId="77777777" w:rsidR="008153C4" w:rsidRDefault="00815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993FA1" w:rsidRDefault="00993FA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F4756">
      <w:rPr>
        <w:b/>
        <w:noProof/>
        <w:color w:val="000000"/>
        <w:sz w:val="24"/>
        <w:szCs w:val="24"/>
      </w:rPr>
      <w:t>71</w:t>
    </w:r>
    <w:r>
      <w:rPr>
        <w:b/>
        <w:color w:val="000000"/>
        <w:sz w:val="24"/>
        <w:szCs w:val="24"/>
      </w:rPr>
      <w:fldChar w:fldCharType="end"/>
    </w:r>
  </w:p>
  <w:p w14:paraId="7EB9860B" w14:textId="77777777" w:rsidR="00993FA1" w:rsidRDefault="00993FA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993FA1" w:rsidRDefault="00993FA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F4756">
      <w:rPr>
        <w:b/>
        <w:noProof/>
        <w:color w:val="000000"/>
        <w:sz w:val="24"/>
        <w:szCs w:val="24"/>
      </w:rPr>
      <w:t>70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F4756">
      <w:rPr>
        <w:b/>
        <w:noProof/>
        <w:color w:val="000000"/>
        <w:sz w:val="24"/>
        <w:szCs w:val="24"/>
      </w:rPr>
      <w:t>71</w:t>
    </w:r>
    <w:r>
      <w:rPr>
        <w:b/>
        <w:color w:val="000000"/>
        <w:sz w:val="24"/>
        <w:szCs w:val="24"/>
      </w:rPr>
      <w:fldChar w:fldCharType="end"/>
    </w:r>
  </w:p>
  <w:p w14:paraId="0D7FA8D9" w14:textId="77777777" w:rsidR="00993FA1" w:rsidRDefault="00993FA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993FA1" w:rsidRDefault="00993FA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F4756">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F4756">
      <w:rPr>
        <w:b/>
        <w:noProof/>
        <w:color w:val="000000"/>
        <w:sz w:val="24"/>
        <w:szCs w:val="24"/>
      </w:rPr>
      <w:t>71</w:t>
    </w:r>
    <w:r>
      <w:rPr>
        <w:b/>
        <w:color w:val="000000"/>
        <w:sz w:val="24"/>
        <w:szCs w:val="24"/>
      </w:rPr>
      <w:fldChar w:fldCharType="end"/>
    </w:r>
  </w:p>
  <w:p w14:paraId="6796AF5F" w14:textId="77777777" w:rsidR="00993FA1" w:rsidRDefault="00993FA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46ED5" w14:textId="77777777" w:rsidR="008153C4" w:rsidRDefault="008153C4">
      <w:pPr>
        <w:spacing w:after="0" w:line="240" w:lineRule="auto"/>
      </w:pPr>
      <w:r>
        <w:separator/>
      </w:r>
    </w:p>
  </w:footnote>
  <w:footnote w:type="continuationSeparator" w:id="0">
    <w:p w14:paraId="5B968787" w14:textId="77777777" w:rsidR="008153C4" w:rsidRDefault="00815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993FA1" w:rsidRDefault="00993FA1">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93FA1" w14:paraId="10C29E94" w14:textId="77777777">
      <w:trPr>
        <w:trHeight w:val="132"/>
      </w:trPr>
      <w:tc>
        <w:tcPr>
          <w:tcW w:w="2691" w:type="dxa"/>
        </w:tcPr>
        <w:p w14:paraId="7D85A4B8" w14:textId="77777777" w:rsidR="00993FA1" w:rsidRDefault="00993FA1">
          <w:pPr>
            <w:tabs>
              <w:tab w:val="right" w:pos="8838"/>
            </w:tabs>
            <w:ind w:right="-105"/>
            <w:rPr>
              <w:b/>
            </w:rPr>
          </w:pPr>
          <w:r>
            <w:rPr>
              <w:b/>
            </w:rPr>
            <w:t>Recurso de Revisión:</w:t>
          </w:r>
        </w:p>
      </w:tc>
      <w:tc>
        <w:tcPr>
          <w:tcW w:w="3405" w:type="dxa"/>
        </w:tcPr>
        <w:p w14:paraId="0B0D1A9D" w14:textId="77777777" w:rsidR="00993FA1" w:rsidRDefault="00993FA1">
          <w:pPr>
            <w:tabs>
              <w:tab w:val="right" w:pos="8838"/>
            </w:tabs>
            <w:ind w:left="-28" w:right="-32"/>
          </w:pPr>
          <w:r>
            <w:t>03846/INFOEM/IP/RR/2020</w:t>
          </w:r>
        </w:p>
      </w:tc>
    </w:tr>
    <w:tr w:rsidR="00993FA1" w14:paraId="2F47AC72" w14:textId="77777777">
      <w:trPr>
        <w:trHeight w:val="261"/>
      </w:trPr>
      <w:tc>
        <w:tcPr>
          <w:tcW w:w="2691" w:type="dxa"/>
        </w:tcPr>
        <w:p w14:paraId="154A4752" w14:textId="77777777" w:rsidR="00993FA1" w:rsidRDefault="00993FA1">
          <w:pPr>
            <w:tabs>
              <w:tab w:val="right" w:pos="8838"/>
            </w:tabs>
            <w:ind w:right="-105"/>
            <w:rPr>
              <w:b/>
            </w:rPr>
          </w:pPr>
          <w:r>
            <w:rPr>
              <w:b/>
            </w:rPr>
            <w:t>Sujeto Obligado:</w:t>
          </w:r>
        </w:p>
      </w:tc>
      <w:tc>
        <w:tcPr>
          <w:tcW w:w="3405" w:type="dxa"/>
        </w:tcPr>
        <w:p w14:paraId="5D9EC711" w14:textId="77777777" w:rsidR="00993FA1" w:rsidRDefault="00993FA1">
          <w:pPr>
            <w:tabs>
              <w:tab w:val="right" w:pos="8838"/>
            </w:tabs>
            <w:ind w:right="-32"/>
          </w:pPr>
          <w:r>
            <w:t>Ayuntamiento de Temascalcingo</w:t>
          </w:r>
        </w:p>
      </w:tc>
    </w:tr>
    <w:tr w:rsidR="00993FA1" w14:paraId="11FBB450" w14:textId="77777777">
      <w:trPr>
        <w:trHeight w:val="261"/>
      </w:trPr>
      <w:tc>
        <w:tcPr>
          <w:tcW w:w="2691" w:type="dxa"/>
        </w:tcPr>
        <w:p w14:paraId="6BAF6003" w14:textId="77777777" w:rsidR="00993FA1" w:rsidRDefault="00993FA1">
          <w:pPr>
            <w:tabs>
              <w:tab w:val="right" w:pos="8838"/>
            </w:tabs>
            <w:ind w:right="-105"/>
            <w:rPr>
              <w:b/>
            </w:rPr>
          </w:pPr>
          <w:r>
            <w:rPr>
              <w:b/>
            </w:rPr>
            <w:t>Comisionado Ponente:</w:t>
          </w:r>
        </w:p>
      </w:tc>
      <w:tc>
        <w:tcPr>
          <w:tcW w:w="3405" w:type="dxa"/>
        </w:tcPr>
        <w:p w14:paraId="420341AF" w14:textId="77777777" w:rsidR="00993FA1" w:rsidRDefault="00993FA1">
          <w:pPr>
            <w:tabs>
              <w:tab w:val="right" w:pos="8838"/>
            </w:tabs>
            <w:ind w:right="-32"/>
            <w:rPr>
              <w:b/>
            </w:rPr>
          </w:pPr>
          <w:r>
            <w:t>Luis Gustavo Parra Noriega</w:t>
          </w:r>
        </w:p>
      </w:tc>
    </w:tr>
  </w:tbl>
  <w:p w14:paraId="00411D75" w14:textId="77777777" w:rsidR="00993FA1"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993FA1"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237"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268"/>
      <w:gridCol w:w="3969"/>
    </w:tblGrid>
    <w:tr w:rsidR="00993FA1" w14:paraId="40D5D5A3" w14:textId="77777777" w:rsidTr="004969B8">
      <w:trPr>
        <w:trHeight w:val="138"/>
      </w:trPr>
      <w:tc>
        <w:tcPr>
          <w:tcW w:w="2268" w:type="dxa"/>
          <w:vAlign w:val="center"/>
        </w:tcPr>
        <w:p w14:paraId="43377EBE" w14:textId="77777777" w:rsidR="00993FA1" w:rsidRDefault="00993FA1" w:rsidP="008C266D">
          <w:pPr>
            <w:tabs>
              <w:tab w:val="right" w:pos="8838"/>
            </w:tabs>
            <w:ind w:left="-108" w:right="-105"/>
            <w:jc w:val="left"/>
            <w:rPr>
              <w:b/>
            </w:rPr>
          </w:pPr>
        </w:p>
        <w:p w14:paraId="1DB5C8D0" w14:textId="7E98B3D2" w:rsidR="00993FA1" w:rsidRDefault="00993FA1" w:rsidP="008C266D">
          <w:pPr>
            <w:tabs>
              <w:tab w:val="right" w:pos="8838"/>
            </w:tabs>
            <w:ind w:left="-108" w:right="-105"/>
            <w:jc w:val="left"/>
            <w:rPr>
              <w:b/>
            </w:rPr>
          </w:pPr>
          <w:r>
            <w:rPr>
              <w:b/>
            </w:rPr>
            <w:t>Recurso de Revisión:</w:t>
          </w:r>
        </w:p>
      </w:tc>
      <w:tc>
        <w:tcPr>
          <w:tcW w:w="3969" w:type="dxa"/>
        </w:tcPr>
        <w:p w14:paraId="5BCC69C4" w14:textId="77777777" w:rsidR="00993FA1" w:rsidRPr="00EF0C39" w:rsidRDefault="00993FA1" w:rsidP="008C266D">
          <w:pPr>
            <w:tabs>
              <w:tab w:val="right" w:pos="8838"/>
            </w:tabs>
            <w:ind w:right="57"/>
          </w:pPr>
        </w:p>
        <w:p w14:paraId="61E59D71" w14:textId="2437E666" w:rsidR="00993FA1" w:rsidRPr="00EF0C39" w:rsidRDefault="00993FA1" w:rsidP="008C266D">
          <w:pPr>
            <w:tabs>
              <w:tab w:val="right" w:pos="8838"/>
            </w:tabs>
            <w:ind w:right="57"/>
          </w:pPr>
          <w:r w:rsidRPr="00E377AC">
            <w:t>11376/INFOEM/IP/RR/2025</w:t>
          </w:r>
        </w:p>
      </w:tc>
    </w:tr>
    <w:tr w:rsidR="00993FA1" w14:paraId="7A281F30" w14:textId="77777777" w:rsidTr="004969B8">
      <w:trPr>
        <w:trHeight w:val="273"/>
      </w:trPr>
      <w:tc>
        <w:tcPr>
          <w:tcW w:w="2268" w:type="dxa"/>
        </w:tcPr>
        <w:p w14:paraId="6671A308" w14:textId="77777777" w:rsidR="00993FA1" w:rsidRDefault="00993FA1" w:rsidP="008C266D">
          <w:pPr>
            <w:tabs>
              <w:tab w:val="right" w:pos="8838"/>
            </w:tabs>
            <w:ind w:left="-108" w:right="-105"/>
            <w:rPr>
              <w:b/>
            </w:rPr>
          </w:pPr>
          <w:r>
            <w:rPr>
              <w:b/>
            </w:rPr>
            <w:t>Sujeto Obligado:</w:t>
          </w:r>
        </w:p>
      </w:tc>
      <w:tc>
        <w:tcPr>
          <w:tcW w:w="3969" w:type="dxa"/>
        </w:tcPr>
        <w:p w14:paraId="30885B6D" w14:textId="182F7C0A" w:rsidR="00993FA1" w:rsidRPr="00EF0C39" w:rsidRDefault="00993FA1" w:rsidP="00B8553C">
          <w:pPr>
            <w:tabs>
              <w:tab w:val="right" w:pos="8838"/>
            </w:tabs>
            <w:ind w:right="180"/>
          </w:pPr>
          <w:r w:rsidRPr="00E377AC">
            <w:t>Ayuntamiento de Tianguistenco</w:t>
          </w:r>
        </w:p>
      </w:tc>
    </w:tr>
    <w:tr w:rsidR="00993FA1" w14:paraId="00C22F2F" w14:textId="77777777" w:rsidTr="004969B8">
      <w:trPr>
        <w:trHeight w:val="273"/>
      </w:trPr>
      <w:tc>
        <w:tcPr>
          <w:tcW w:w="2268" w:type="dxa"/>
        </w:tcPr>
        <w:p w14:paraId="70417649" w14:textId="77777777" w:rsidR="00993FA1" w:rsidRDefault="00993FA1" w:rsidP="008C266D">
          <w:pPr>
            <w:tabs>
              <w:tab w:val="right" w:pos="8838"/>
            </w:tabs>
            <w:ind w:left="-108" w:right="-105"/>
            <w:rPr>
              <w:b/>
            </w:rPr>
          </w:pPr>
          <w:r>
            <w:rPr>
              <w:b/>
            </w:rPr>
            <w:t>Comisionado Ponente:</w:t>
          </w:r>
        </w:p>
      </w:tc>
      <w:tc>
        <w:tcPr>
          <w:tcW w:w="3969" w:type="dxa"/>
        </w:tcPr>
        <w:p w14:paraId="5E6EB38B" w14:textId="77777777" w:rsidR="00993FA1" w:rsidRPr="00EF0C39" w:rsidRDefault="00993FA1" w:rsidP="008C266D">
          <w:pPr>
            <w:tabs>
              <w:tab w:val="right" w:pos="8838"/>
            </w:tabs>
            <w:ind w:right="-170"/>
          </w:pPr>
          <w:r w:rsidRPr="00EF0C39">
            <w:t>Luis Gustavo Parra Noriega</w:t>
          </w:r>
        </w:p>
        <w:p w14:paraId="1A63C67B" w14:textId="77777777" w:rsidR="00993FA1" w:rsidRPr="00EF0C39" w:rsidRDefault="00993FA1" w:rsidP="008C266D">
          <w:pPr>
            <w:tabs>
              <w:tab w:val="right" w:pos="8838"/>
            </w:tabs>
            <w:ind w:right="-170"/>
            <w:rPr>
              <w:b/>
            </w:rPr>
          </w:pPr>
        </w:p>
      </w:tc>
    </w:tr>
  </w:tbl>
  <w:p w14:paraId="3498D107" w14:textId="7E17876C" w:rsidR="00993FA1" w:rsidRDefault="00993FA1"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7777777" w:rsidR="00993FA1" w:rsidRDefault="00993FA1">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93FA1" w14:paraId="6B3232BD" w14:textId="77777777" w:rsidTr="008C4D34">
      <w:trPr>
        <w:trHeight w:val="132"/>
      </w:trPr>
      <w:tc>
        <w:tcPr>
          <w:tcW w:w="2551" w:type="dxa"/>
        </w:tcPr>
        <w:p w14:paraId="38F16E2F" w14:textId="77777777" w:rsidR="00993FA1" w:rsidRDefault="00993FA1">
          <w:pPr>
            <w:tabs>
              <w:tab w:val="right" w:pos="8838"/>
            </w:tabs>
            <w:ind w:right="-105"/>
            <w:rPr>
              <w:b/>
            </w:rPr>
          </w:pPr>
          <w:r>
            <w:rPr>
              <w:b/>
            </w:rPr>
            <w:t>Recurso de Revisión:</w:t>
          </w:r>
        </w:p>
      </w:tc>
      <w:tc>
        <w:tcPr>
          <w:tcW w:w="4253" w:type="dxa"/>
        </w:tcPr>
        <w:p w14:paraId="211CDC0A" w14:textId="1B06452F" w:rsidR="00993FA1" w:rsidRPr="00026C6B" w:rsidRDefault="00993FA1" w:rsidP="009474FB">
          <w:pPr>
            <w:tabs>
              <w:tab w:val="right" w:pos="8838"/>
            </w:tabs>
            <w:ind w:right="-32"/>
          </w:pPr>
          <w:r w:rsidRPr="00E377AC">
            <w:t>11376/INFOEM/IP/RR/2025</w:t>
          </w:r>
        </w:p>
      </w:tc>
    </w:tr>
    <w:tr w:rsidR="00993FA1" w14:paraId="6AA3CC58" w14:textId="77777777" w:rsidTr="008C4D34">
      <w:trPr>
        <w:trHeight w:val="132"/>
      </w:trPr>
      <w:tc>
        <w:tcPr>
          <w:tcW w:w="2551" w:type="dxa"/>
        </w:tcPr>
        <w:p w14:paraId="7FD164F5" w14:textId="77777777" w:rsidR="00993FA1" w:rsidRPr="00B8553C" w:rsidRDefault="00993FA1" w:rsidP="00B8553C">
          <w:pPr>
            <w:tabs>
              <w:tab w:val="right" w:pos="8838"/>
            </w:tabs>
            <w:ind w:right="-32"/>
            <w:rPr>
              <w:b/>
              <w:bCs/>
            </w:rPr>
          </w:pPr>
          <w:r w:rsidRPr="00B8553C">
            <w:rPr>
              <w:b/>
              <w:bCs/>
            </w:rPr>
            <w:t>Recurrente:</w:t>
          </w:r>
          <w:r w:rsidRPr="00B8553C">
            <w:rPr>
              <w:b/>
              <w:bCs/>
            </w:rPr>
            <w:tab/>
          </w:r>
        </w:p>
      </w:tc>
      <w:tc>
        <w:tcPr>
          <w:tcW w:w="4253" w:type="dxa"/>
        </w:tcPr>
        <w:p w14:paraId="1F1B0537" w14:textId="13EA6241" w:rsidR="00993FA1" w:rsidRPr="00EF0C39" w:rsidRDefault="00993FA1" w:rsidP="00B8553C">
          <w:pPr>
            <w:tabs>
              <w:tab w:val="right" w:pos="8838"/>
            </w:tabs>
            <w:ind w:right="-32"/>
          </w:pPr>
          <w:r w:rsidRPr="00B8553C">
            <w:t> </w:t>
          </w:r>
        </w:p>
      </w:tc>
    </w:tr>
    <w:tr w:rsidR="00993FA1" w14:paraId="5113CAA6" w14:textId="77777777" w:rsidTr="008C4D34">
      <w:trPr>
        <w:trHeight w:val="261"/>
      </w:trPr>
      <w:tc>
        <w:tcPr>
          <w:tcW w:w="2551" w:type="dxa"/>
        </w:tcPr>
        <w:p w14:paraId="28E3431B" w14:textId="30EC7C18" w:rsidR="00993FA1" w:rsidRPr="009474FB" w:rsidRDefault="00993FA1" w:rsidP="00B8553C">
          <w:pPr>
            <w:tabs>
              <w:tab w:val="right" w:pos="8838"/>
            </w:tabs>
            <w:ind w:right="-32"/>
            <w:rPr>
              <w:b/>
              <w:bCs/>
            </w:rPr>
          </w:pPr>
          <w:r w:rsidRPr="009474FB">
            <w:rPr>
              <w:b/>
              <w:bCs/>
            </w:rPr>
            <w:t>Sujeto Obligado:</w:t>
          </w:r>
        </w:p>
      </w:tc>
      <w:tc>
        <w:tcPr>
          <w:tcW w:w="4253" w:type="dxa"/>
        </w:tcPr>
        <w:p w14:paraId="3192354E" w14:textId="7D55CD95" w:rsidR="00993FA1" w:rsidRPr="00026C6B" w:rsidRDefault="00993FA1" w:rsidP="00B8553C">
          <w:pPr>
            <w:tabs>
              <w:tab w:val="right" w:pos="8838"/>
            </w:tabs>
            <w:ind w:right="-32"/>
          </w:pPr>
          <w:r w:rsidRPr="00E377AC">
            <w:t>Ayuntamiento de Tianguistenco</w:t>
          </w:r>
        </w:p>
      </w:tc>
    </w:tr>
    <w:tr w:rsidR="00993FA1" w14:paraId="5D4C2A35" w14:textId="77777777" w:rsidTr="008C4D34">
      <w:trPr>
        <w:trHeight w:val="261"/>
      </w:trPr>
      <w:tc>
        <w:tcPr>
          <w:tcW w:w="2551" w:type="dxa"/>
        </w:tcPr>
        <w:p w14:paraId="7F522FEC" w14:textId="77777777" w:rsidR="00993FA1" w:rsidRDefault="00993FA1">
          <w:pPr>
            <w:tabs>
              <w:tab w:val="right" w:pos="8838"/>
            </w:tabs>
            <w:ind w:right="-105"/>
            <w:rPr>
              <w:b/>
            </w:rPr>
          </w:pPr>
          <w:r>
            <w:rPr>
              <w:b/>
            </w:rPr>
            <w:t>Comisionado Ponente:</w:t>
          </w:r>
        </w:p>
      </w:tc>
      <w:tc>
        <w:tcPr>
          <w:tcW w:w="4253" w:type="dxa"/>
        </w:tcPr>
        <w:p w14:paraId="0F0566F9" w14:textId="77777777" w:rsidR="00993FA1" w:rsidRPr="00EF0C39" w:rsidRDefault="00993FA1" w:rsidP="00C46A25">
          <w:pPr>
            <w:tabs>
              <w:tab w:val="right" w:pos="8838"/>
            </w:tabs>
            <w:ind w:right="-32"/>
            <w:rPr>
              <w:b/>
            </w:rPr>
          </w:pPr>
          <w:r w:rsidRPr="00EF0C39">
            <w:t>Luis Gustavo Parra Noriega</w:t>
          </w:r>
        </w:p>
      </w:tc>
    </w:tr>
  </w:tbl>
  <w:p w14:paraId="4DFC2598" w14:textId="77777777" w:rsidR="00993FA1" w:rsidRDefault="00000000">
    <w:pPr>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B6F28"/>
    <w:multiLevelType w:val="hybridMultilevel"/>
    <w:tmpl w:val="23C80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8A787E"/>
    <w:multiLevelType w:val="multilevel"/>
    <w:tmpl w:val="9D228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3939FF"/>
    <w:multiLevelType w:val="hybridMultilevel"/>
    <w:tmpl w:val="45042B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1E7A74"/>
    <w:multiLevelType w:val="hybridMultilevel"/>
    <w:tmpl w:val="EE5612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5FD7810"/>
    <w:multiLevelType w:val="hybridMultilevel"/>
    <w:tmpl w:val="BB2616C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6A6453C"/>
    <w:multiLevelType w:val="hybridMultilevel"/>
    <w:tmpl w:val="8968C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74A412F"/>
    <w:multiLevelType w:val="multilevel"/>
    <w:tmpl w:val="ED36F9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C90BBC"/>
    <w:multiLevelType w:val="hybridMultilevel"/>
    <w:tmpl w:val="A1D4B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B806752"/>
    <w:multiLevelType w:val="hybridMultilevel"/>
    <w:tmpl w:val="E39EC7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B834C9B"/>
    <w:multiLevelType w:val="multilevel"/>
    <w:tmpl w:val="418E6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0C36CF"/>
    <w:multiLevelType w:val="hybridMultilevel"/>
    <w:tmpl w:val="A96E9356"/>
    <w:lvl w:ilvl="0" w:tplc="080A0005">
      <w:start w:val="1"/>
      <w:numFmt w:val="bullet"/>
      <w:lvlText w:val=""/>
      <w:lvlJc w:val="left"/>
      <w:pPr>
        <w:ind w:left="6598"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D6A5712"/>
    <w:multiLevelType w:val="hybridMultilevel"/>
    <w:tmpl w:val="1C96FF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EC9582A"/>
    <w:multiLevelType w:val="multilevel"/>
    <w:tmpl w:val="0CEAC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15FA4BEB"/>
    <w:multiLevelType w:val="hybridMultilevel"/>
    <w:tmpl w:val="5A8E91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73751B1"/>
    <w:multiLevelType w:val="hybridMultilevel"/>
    <w:tmpl w:val="5B1CB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FD85943"/>
    <w:multiLevelType w:val="hybridMultilevel"/>
    <w:tmpl w:val="5EFA3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0202C52"/>
    <w:multiLevelType w:val="hybridMultilevel"/>
    <w:tmpl w:val="20A6E1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81E4880"/>
    <w:multiLevelType w:val="hybridMultilevel"/>
    <w:tmpl w:val="10C0E7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B353351"/>
    <w:multiLevelType w:val="multilevel"/>
    <w:tmpl w:val="DE5AD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013572D"/>
    <w:multiLevelType w:val="hybridMultilevel"/>
    <w:tmpl w:val="254091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861AC3"/>
    <w:multiLevelType w:val="hybridMultilevel"/>
    <w:tmpl w:val="C8DA03E6"/>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54476DA"/>
    <w:multiLevelType w:val="hybridMultilevel"/>
    <w:tmpl w:val="9A66C7CA"/>
    <w:lvl w:ilvl="0" w:tplc="89CA80C6">
      <w:start w:val="4"/>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5F04E86"/>
    <w:multiLevelType w:val="hybridMultilevel"/>
    <w:tmpl w:val="6F9E78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156844"/>
    <w:multiLevelType w:val="hybridMultilevel"/>
    <w:tmpl w:val="88C6A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B32608"/>
    <w:multiLevelType w:val="hybridMultilevel"/>
    <w:tmpl w:val="CEA2B34E"/>
    <w:lvl w:ilvl="0" w:tplc="C18CBBF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9205B1B"/>
    <w:multiLevelType w:val="multilevel"/>
    <w:tmpl w:val="B58E9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ADF775B"/>
    <w:multiLevelType w:val="hybridMultilevel"/>
    <w:tmpl w:val="4BB00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04C0FD2"/>
    <w:multiLevelType w:val="hybridMultilevel"/>
    <w:tmpl w:val="0E0E6A50"/>
    <w:lvl w:ilvl="0" w:tplc="89CA80C6">
      <w:start w:val="4"/>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2ED58D7"/>
    <w:multiLevelType w:val="hybridMultilevel"/>
    <w:tmpl w:val="EAFC884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677A0848"/>
    <w:multiLevelType w:val="multilevel"/>
    <w:tmpl w:val="C744F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8D8014A"/>
    <w:multiLevelType w:val="hybridMultilevel"/>
    <w:tmpl w:val="45960C1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2755164"/>
    <w:multiLevelType w:val="hybridMultilevel"/>
    <w:tmpl w:val="6130E6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2" w15:restartNumberingAfterBreak="0">
    <w:nsid w:val="74CF0A8B"/>
    <w:multiLevelType w:val="hybridMultilevel"/>
    <w:tmpl w:val="4F3AC70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C274EE"/>
    <w:multiLevelType w:val="hybridMultilevel"/>
    <w:tmpl w:val="47F63D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8650125"/>
    <w:multiLevelType w:val="hybridMultilevel"/>
    <w:tmpl w:val="25022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C30056B"/>
    <w:multiLevelType w:val="hybridMultilevel"/>
    <w:tmpl w:val="EF145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03019508">
    <w:abstractNumId w:val="39"/>
  </w:num>
  <w:num w:numId="2" w16cid:durableId="389770434">
    <w:abstractNumId w:val="31"/>
  </w:num>
  <w:num w:numId="3" w16cid:durableId="1960263744">
    <w:abstractNumId w:val="36"/>
  </w:num>
  <w:num w:numId="4" w16cid:durableId="1018193261">
    <w:abstractNumId w:val="29"/>
  </w:num>
  <w:num w:numId="5" w16cid:durableId="652489818">
    <w:abstractNumId w:val="20"/>
  </w:num>
  <w:num w:numId="6" w16cid:durableId="592780905">
    <w:abstractNumId w:val="14"/>
  </w:num>
  <w:num w:numId="7" w16cid:durableId="13110598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45937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88675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4598189">
    <w:abstractNumId w:val="34"/>
  </w:num>
  <w:num w:numId="11" w16cid:durableId="133254034">
    <w:abstractNumId w:val="15"/>
  </w:num>
  <w:num w:numId="12" w16cid:durableId="1086345610">
    <w:abstractNumId w:val="4"/>
  </w:num>
  <w:num w:numId="13" w16cid:durableId="1794713864">
    <w:abstractNumId w:val="30"/>
  </w:num>
  <w:num w:numId="14" w16cid:durableId="810484155">
    <w:abstractNumId w:val="26"/>
  </w:num>
  <w:num w:numId="15" w16cid:durableId="133111312">
    <w:abstractNumId w:val="43"/>
  </w:num>
  <w:num w:numId="16" w16cid:durableId="1478647942">
    <w:abstractNumId w:val="21"/>
  </w:num>
  <w:num w:numId="17" w16cid:durableId="642274906">
    <w:abstractNumId w:val="11"/>
  </w:num>
  <w:num w:numId="18" w16cid:durableId="230122615">
    <w:abstractNumId w:val="6"/>
  </w:num>
  <w:num w:numId="19" w16cid:durableId="1610550034">
    <w:abstractNumId w:val="19"/>
  </w:num>
  <w:num w:numId="20" w16cid:durableId="1534536899">
    <w:abstractNumId w:val="40"/>
  </w:num>
  <w:num w:numId="21" w16cid:durableId="1379086996">
    <w:abstractNumId w:val="27"/>
  </w:num>
  <w:num w:numId="22" w16cid:durableId="1948344441">
    <w:abstractNumId w:val="9"/>
  </w:num>
  <w:num w:numId="23" w16cid:durableId="283851424">
    <w:abstractNumId w:val="12"/>
  </w:num>
  <w:num w:numId="24" w16cid:durableId="622617097">
    <w:abstractNumId w:val="44"/>
  </w:num>
  <w:num w:numId="25" w16cid:durableId="1604334877">
    <w:abstractNumId w:val="42"/>
  </w:num>
  <w:num w:numId="26" w16cid:durableId="481428883">
    <w:abstractNumId w:val="8"/>
  </w:num>
  <w:num w:numId="27" w16cid:durableId="342325653">
    <w:abstractNumId w:val="25"/>
  </w:num>
  <w:num w:numId="28" w16cid:durableId="1826123618">
    <w:abstractNumId w:val="10"/>
  </w:num>
  <w:num w:numId="29" w16cid:durableId="221063403">
    <w:abstractNumId w:val="1"/>
  </w:num>
  <w:num w:numId="30" w16cid:durableId="2043480890">
    <w:abstractNumId w:val="13"/>
  </w:num>
  <w:num w:numId="31" w16cid:durableId="608859759">
    <w:abstractNumId w:val="45"/>
  </w:num>
  <w:num w:numId="32" w16cid:durableId="1717196357">
    <w:abstractNumId w:val="0"/>
  </w:num>
  <w:num w:numId="33" w16cid:durableId="561520176">
    <w:abstractNumId w:val="3"/>
  </w:num>
  <w:num w:numId="34" w16cid:durableId="558396497">
    <w:abstractNumId w:val="16"/>
  </w:num>
  <w:num w:numId="35" w16cid:durableId="1726097960">
    <w:abstractNumId w:val="38"/>
  </w:num>
  <w:num w:numId="36" w16cid:durableId="19765976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90585203">
    <w:abstractNumId w:val="18"/>
  </w:num>
  <w:num w:numId="38" w16cid:durableId="1334147535">
    <w:abstractNumId w:val="2"/>
  </w:num>
  <w:num w:numId="39" w16cid:durableId="1359116265">
    <w:abstractNumId w:val="24"/>
  </w:num>
  <w:num w:numId="40" w16cid:durableId="1703746323">
    <w:abstractNumId w:val="32"/>
  </w:num>
  <w:num w:numId="41" w16cid:durableId="1874267910">
    <w:abstractNumId w:val="28"/>
  </w:num>
  <w:num w:numId="42" w16cid:durableId="664359807">
    <w:abstractNumId w:val="33"/>
  </w:num>
  <w:num w:numId="43" w16cid:durableId="774523950">
    <w:abstractNumId w:val="7"/>
  </w:num>
  <w:num w:numId="44" w16cid:durableId="1203902727">
    <w:abstractNumId w:val="37"/>
  </w:num>
  <w:num w:numId="45" w16cid:durableId="2099862236">
    <w:abstractNumId w:val="5"/>
  </w:num>
  <w:num w:numId="46" w16cid:durableId="1557401126">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083"/>
    <w:rsid w:val="00001ADF"/>
    <w:rsid w:val="00002B8E"/>
    <w:rsid w:val="00003081"/>
    <w:rsid w:val="000053EA"/>
    <w:rsid w:val="0000637C"/>
    <w:rsid w:val="00006A45"/>
    <w:rsid w:val="0000724F"/>
    <w:rsid w:val="00010AA0"/>
    <w:rsid w:val="0001108B"/>
    <w:rsid w:val="00011477"/>
    <w:rsid w:val="00011608"/>
    <w:rsid w:val="00014169"/>
    <w:rsid w:val="00014EE2"/>
    <w:rsid w:val="00016290"/>
    <w:rsid w:val="0001751F"/>
    <w:rsid w:val="000201B0"/>
    <w:rsid w:val="00021BE0"/>
    <w:rsid w:val="00023BBD"/>
    <w:rsid w:val="00024E6B"/>
    <w:rsid w:val="000254B1"/>
    <w:rsid w:val="000255D3"/>
    <w:rsid w:val="0002588C"/>
    <w:rsid w:val="00025ABE"/>
    <w:rsid w:val="000263A7"/>
    <w:rsid w:val="00026B5A"/>
    <w:rsid w:val="00026C6B"/>
    <w:rsid w:val="0003084A"/>
    <w:rsid w:val="000316C2"/>
    <w:rsid w:val="00033026"/>
    <w:rsid w:val="0003318A"/>
    <w:rsid w:val="00033683"/>
    <w:rsid w:val="00033F2C"/>
    <w:rsid w:val="00036DB6"/>
    <w:rsid w:val="0003782D"/>
    <w:rsid w:val="0004134C"/>
    <w:rsid w:val="000426D2"/>
    <w:rsid w:val="000427E4"/>
    <w:rsid w:val="000465EC"/>
    <w:rsid w:val="00050E2E"/>
    <w:rsid w:val="00057151"/>
    <w:rsid w:val="000602BA"/>
    <w:rsid w:val="00061123"/>
    <w:rsid w:val="00065C07"/>
    <w:rsid w:val="0006681B"/>
    <w:rsid w:val="000709AA"/>
    <w:rsid w:val="00071494"/>
    <w:rsid w:val="000714F0"/>
    <w:rsid w:val="0007259F"/>
    <w:rsid w:val="000735F0"/>
    <w:rsid w:val="00075996"/>
    <w:rsid w:val="00075A71"/>
    <w:rsid w:val="00075CAF"/>
    <w:rsid w:val="000779F9"/>
    <w:rsid w:val="0008060A"/>
    <w:rsid w:val="00081D01"/>
    <w:rsid w:val="0008295C"/>
    <w:rsid w:val="00082B5B"/>
    <w:rsid w:val="00083169"/>
    <w:rsid w:val="00086486"/>
    <w:rsid w:val="000866B0"/>
    <w:rsid w:val="00087074"/>
    <w:rsid w:val="00087EDB"/>
    <w:rsid w:val="0009167E"/>
    <w:rsid w:val="00092501"/>
    <w:rsid w:val="000946F3"/>
    <w:rsid w:val="00095FB6"/>
    <w:rsid w:val="00096C21"/>
    <w:rsid w:val="00096CFE"/>
    <w:rsid w:val="00097713"/>
    <w:rsid w:val="00097C52"/>
    <w:rsid w:val="000A1B83"/>
    <w:rsid w:val="000A2EA2"/>
    <w:rsid w:val="000A3910"/>
    <w:rsid w:val="000A4520"/>
    <w:rsid w:val="000A5B44"/>
    <w:rsid w:val="000A706F"/>
    <w:rsid w:val="000B2470"/>
    <w:rsid w:val="000B3514"/>
    <w:rsid w:val="000B3C56"/>
    <w:rsid w:val="000B3DAA"/>
    <w:rsid w:val="000B4503"/>
    <w:rsid w:val="000B487F"/>
    <w:rsid w:val="000B49C4"/>
    <w:rsid w:val="000B52FC"/>
    <w:rsid w:val="000C0CBE"/>
    <w:rsid w:val="000C10A2"/>
    <w:rsid w:val="000C1BDF"/>
    <w:rsid w:val="000C4A35"/>
    <w:rsid w:val="000C567D"/>
    <w:rsid w:val="000C7D5D"/>
    <w:rsid w:val="000D04D2"/>
    <w:rsid w:val="000D1EFD"/>
    <w:rsid w:val="000D257F"/>
    <w:rsid w:val="000D3AD3"/>
    <w:rsid w:val="000D46ED"/>
    <w:rsid w:val="000D5B96"/>
    <w:rsid w:val="000D6774"/>
    <w:rsid w:val="000D7457"/>
    <w:rsid w:val="000E2459"/>
    <w:rsid w:val="000E3169"/>
    <w:rsid w:val="000E5DBC"/>
    <w:rsid w:val="000F17A6"/>
    <w:rsid w:val="000F3B49"/>
    <w:rsid w:val="000F4583"/>
    <w:rsid w:val="000F4AC1"/>
    <w:rsid w:val="000F562C"/>
    <w:rsid w:val="000F618C"/>
    <w:rsid w:val="000F6219"/>
    <w:rsid w:val="000F6E36"/>
    <w:rsid w:val="001055EA"/>
    <w:rsid w:val="00105987"/>
    <w:rsid w:val="001061B1"/>
    <w:rsid w:val="001065C6"/>
    <w:rsid w:val="0011010D"/>
    <w:rsid w:val="00113497"/>
    <w:rsid w:val="001135C1"/>
    <w:rsid w:val="00114360"/>
    <w:rsid w:val="001150A1"/>
    <w:rsid w:val="00115992"/>
    <w:rsid w:val="00116C35"/>
    <w:rsid w:val="00117597"/>
    <w:rsid w:val="00121952"/>
    <w:rsid w:val="001227E7"/>
    <w:rsid w:val="00122ED0"/>
    <w:rsid w:val="00122FBD"/>
    <w:rsid w:val="00123CFE"/>
    <w:rsid w:val="00123FD7"/>
    <w:rsid w:val="00124AF7"/>
    <w:rsid w:val="00124CA9"/>
    <w:rsid w:val="00125905"/>
    <w:rsid w:val="00125DDC"/>
    <w:rsid w:val="00125F26"/>
    <w:rsid w:val="001260CE"/>
    <w:rsid w:val="0012618B"/>
    <w:rsid w:val="00126AD3"/>
    <w:rsid w:val="001325F3"/>
    <w:rsid w:val="00132F29"/>
    <w:rsid w:val="00134465"/>
    <w:rsid w:val="001418BD"/>
    <w:rsid w:val="00141BAD"/>
    <w:rsid w:val="001425CB"/>
    <w:rsid w:val="001434E7"/>
    <w:rsid w:val="001479C0"/>
    <w:rsid w:val="00147F25"/>
    <w:rsid w:val="001502AB"/>
    <w:rsid w:val="001507E8"/>
    <w:rsid w:val="00152265"/>
    <w:rsid w:val="00153139"/>
    <w:rsid w:val="001531F7"/>
    <w:rsid w:val="001548D6"/>
    <w:rsid w:val="001558BD"/>
    <w:rsid w:val="00155BD1"/>
    <w:rsid w:val="001566D4"/>
    <w:rsid w:val="00162C99"/>
    <w:rsid w:val="0016373E"/>
    <w:rsid w:val="00163D9F"/>
    <w:rsid w:val="00165AB2"/>
    <w:rsid w:val="00166452"/>
    <w:rsid w:val="00166907"/>
    <w:rsid w:val="00166A42"/>
    <w:rsid w:val="00167084"/>
    <w:rsid w:val="00170ACC"/>
    <w:rsid w:val="001710E2"/>
    <w:rsid w:val="00171703"/>
    <w:rsid w:val="0017245F"/>
    <w:rsid w:val="00175910"/>
    <w:rsid w:val="00175BBC"/>
    <w:rsid w:val="00176DE4"/>
    <w:rsid w:val="00177875"/>
    <w:rsid w:val="00181D59"/>
    <w:rsid w:val="00184025"/>
    <w:rsid w:val="00184ED6"/>
    <w:rsid w:val="00191153"/>
    <w:rsid w:val="00192C48"/>
    <w:rsid w:val="00195EC3"/>
    <w:rsid w:val="0019787E"/>
    <w:rsid w:val="001A0321"/>
    <w:rsid w:val="001A2062"/>
    <w:rsid w:val="001A2A5B"/>
    <w:rsid w:val="001A5A72"/>
    <w:rsid w:val="001A5B6F"/>
    <w:rsid w:val="001A6C0E"/>
    <w:rsid w:val="001B11F0"/>
    <w:rsid w:val="001B1BF5"/>
    <w:rsid w:val="001B2090"/>
    <w:rsid w:val="001B34AA"/>
    <w:rsid w:val="001B5DC9"/>
    <w:rsid w:val="001B7A8F"/>
    <w:rsid w:val="001B7EFB"/>
    <w:rsid w:val="001C0E72"/>
    <w:rsid w:val="001C2A07"/>
    <w:rsid w:val="001C5AF8"/>
    <w:rsid w:val="001C5CD2"/>
    <w:rsid w:val="001C638A"/>
    <w:rsid w:val="001D1635"/>
    <w:rsid w:val="001D24CD"/>
    <w:rsid w:val="001D3B39"/>
    <w:rsid w:val="001D3DC8"/>
    <w:rsid w:val="001D3FB9"/>
    <w:rsid w:val="001D4823"/>
    <w:rsid w:val="001D4F21"/>
    <w:rsid w:val="001D5DBE"/>
    <w:rsid w:val="001D7D0E"/>
    <w:rsid w:val="001E06ED"/>
    <w:rsid w:val="001E312A"/>
    <w:rsid w:val="001E4284"/>
    <w:rsid w:val="001E4C86"/>
    <w:rsid w:val="001E4ECA"/>
    <w:rsid w:val="001E6077"/>
    <w:rsid w:val="001E669E"/>
    <w:rsid w:val="001F280E"/>
    <w:rsid w:val="001F285F"/>
    <w:rsid w:val="001F6FD5"/>
    <w:rsid w:val="001F7B60"/>
    <w:rsid w:val="00200E63"/>
    <w:rsid w:val="002025F4"/>
    <w:rsid w:val="00203D3B"/>
    <w:rsid w:val="00203F8C"/>
    <w:rsid w:val="00204DE3"/>
    <w:rsid w:val="0020727C"/>
    <w:rsid w:val="002077C7"/>
    <w:rsid w:val="0020799F"/>
    <w:rsid w:val="00211CD8"/>
    <w:rsid w:val="002217AE"/>
    <w:rsid w:val="00223487"/>
    <w:rsid w:val="002238B8"/>
    <w:rsid w:val="00224508"/>
    <w:rsid w:val="00225DB6"/>
    <w:rsid w:val="00227456"/>
    <w:rsid w:val="00227615"/>
    <w:rsid w:val="00230985"/>
    <w:rsid w:val="00230B8F"/>
    <w:rsid w:val="00234D9F"/>
    <w:rsid w:val="0023512B"/>
    <w:rsid w:val="00243764"/>
    <w:rsid w:val="0024531F"/>
    <w:rsid w:val="002475DE"/>
    <w:rsid w:val="00251665"/>
    <w:rsid w:val="00252910"/>
    <w:rsid w:val="002529AD"/>
    <w:rsid w:val="00252A2A"/>
    <w:rsid w:val="00253448"/>
    <w:rsid w:val="00253A9C"/>
    <w:rsid w:val="00253BD9"/>
    <w:rsid w:val="00254FE2"/>
    <w:rsid w:val="0025520C"/>
    <w:rsid w:val="00257C2B"/>
    <w:rsid w:val="00260F01"/>
    <w:rsid w:val="0026163E"/>
    <w:rsid w:val="00261B92"/>
    <w:rsid w:val="00261CB4"/>
    <w:rsid w:val="00261DF6"/>
    <w:rsid w:val="0026345D"/>
    <w:rsid w:val="00266E26"/>
    <w:rsid w:val="00267457"/>
    <w:rsid w:val="00271E85"/>
    <w:rsid w:val="00272783"/>
    <w:rsid w:val="00273A4E"/>
    <w:rsid w:val="00274745"/>
    <w:rsid w:val="00275CC4"/>
    <w:rsid w:val="00277624"/>
    <w:rsid w:val="00277A96"/>
    <w:rsid w:val="00280625"/>
    <w:rsid w:val="00280CF8"/>
    <w:rsid w:val="00281E7A"/>
    <w:rsid w:val="00282176"/>
    <w:rsid w:val="002822A3"/>
    <w:rsid w:val="00283CD3"/>
    <w:rsid w:val="002857C4"/>
    <w:rsid w:val="00287374"/>
    <w:rsid w:val="0029130B"/>
    <w:rsid w:val="00291318"/>
    <w:rsid w:val="0029310D"/>
    <w:rsid w:val="00293A22"/>
    <w:rsid w:val="00294C03"/>
    <w:rsid w:val="00295482"/>
    <w:rsid w:val="002957C8"/>
    <w:rsid w:val="00297828"/>
    <w:rsid w:val="0029784D"/>
    <w:rsid w:val="002A02CD"/>
    <w:rsid w:val="002A376A"/>
    <w:rsid w:val="002A3A8E"/>
    <w:rsid w:val="002A4723"/>
    <w:rsid w:val="002A4D1F"/>
    <w:rsid w:val="002A5DEB"/>
    <w:rsid w:val="002B2604"/>
    <w:rsid w:val="002B2FEA"/>
    <w:rsid w:val="002B5A2D"/>
    <w:rsid w:val="002B772B"/>
    <w:rsid w:val="002C0C3A"/>
    <w:rsid w:val="002C4A39"/>
    <w:rsid w:val="002C516D"/>
    <w:rsid w:val="002C7028"/>
    <w:rsid w:val="002C74FC"/>
    <w:rsid w:val="002C7C43"/>
    <w:rsid w:val="002D2107"/>
    <w:rsid w:val="002D2619"/>
    <w:rsid w:val="002D2A77"/>
    <w:rsid w:val="002D71B2"/>
    <w:rsid w:val="002D722F"/>
    <w:rsid w:val="002E067E"/>
    <w:rsid w:val="002E1671"/>
    <w:rsid w:val="002E2627"/>
    <w:rsid w:val="002E34B7"/>
    <w:rsid w:val="002E5C60"/>
    <w:rsid w:val="002E6125"/>
    <w:rsid w:val="002E6987"/>
    <w:rsid w:val="002F0526"/>
    <w:rsid w:val="002F08A1"/>
    <w:rsid w:val="002F12B4"/>
    <w:rsid w:val="002F389A"/>
    <w:rsid w:val="002F43FA"/>
    <w:rsid w:val="002F44A5"/>
    <w:rsid w:val="002F5845"/>
    <w:rsid w:val="002F5AA8"/>
    <w:rsid w:val="002F5CFB"/>
    <w:rsid w:val="002F72B7"/>
    <w:rsid w:val="0030116D"/>
    <w:rsid w:val="00302BCB"/>
    <w:rsid w:val="00302FC8"/>
    <w:rsid w:val="003037BC"/>
    <w:rsid w:val="00303A1B"/>
    <w:rsid w:val="00303BA0"/>
    <w:rsid w:val="00305E65"/>
    <w:rsid w:val="00307242"/>
    <w:rsid w:val="00310366"/>
    <w:rsid w:val="00310A3F"/>
    <w:rsid w:val="00311CAF"/>
    <w:rsid w:val="0031200F"/>
    <w:rsid w:val="00312EFE"/>
    <w:rsid w:val="003131F2"/>
    <w:rsid w:val="00313684"/>
    <w:rsid w:val="00314919"/>
    <w:rsid w:val="003155C2"/>
    <w:rsid w:val="00316458"/>
    <w:rsid w:val="00316488"/>
    <w:rsid w:val="00316D7A"/>
    <w:rsid w:val="00320D4E"/>
    <w:rsid w:val="003217AF"/>
    <w:rsid w:val="0032276A"/>
    <w:rsid w:val="0032438A"/>
    <w:rsid w:val="00325B13"/>
    <w:rsid w:val="00325D1E"/>
    <w:rsid w:val="00325F25"/>
    <w:rsid w:val="00330566"/>
    <w:rsid w:val="00330942"/>
    <w:rsid w:val="00333468"/>
    <w:rsid w:val="0033361C"/>
    <w:rsid w:val="00334910"/>
    <w:rsid w:val="00335ED7"/>
    <w:rsid w:val="0033681E"/>
    <w:rsid w:val="00336E20"/>
    <w:rsid w:val="00341669"/>
    <w:rsid w:val="00342465"/>
    <w:rsid w:val="00343D45"/>
    <w:rsid w:val="00344FF7"/>
    <w:rsid w:val="00345E3B"/>
    <w:rsid w:val="00351D44"/>
    <w:rsid w:val="00353296"/>
    <w:rsid w:val="0035368D"/>
    <w:rsid w:val="00353E8F"/>
    <w:rsid w:val="00354255"/>
    <w:rsid w:val="00355D05"/>
    <w:rsid w:val="0035693F"/>
    <w:rsid w:val="00356E1B"/>
    <w:rsid w:val="003602C9"/>
    <w:rsid w:val="0036042F"/>
    <w:rsid w:val="00360668"/>
    <w:rsid w:val="00363464"/>
    <w:rsid w:val="00364926"/>
    <w:rsid w:val="00365B64"/>
    <w:rsid w:val="00365FC2"/>
    <w:rsid w:val="003663BF"/>
    <w:rsid w:val="00366BB8"/>
    <w:rsid w:val="00371755"/>
    <w:rsid w:val="00375CA3"/>
    <w:rsid w:val="00376AEF"/>
    <w:rsid w:val="00376EBD"/>
    <w:rsid w:val="00381132"/>
    <w:rsid w:val="003814AE"/>
    <w:rsid w:val="0038398F"/>
    <w:rsid w:val="00384E94"/>
    <w:rsid w:val="003868AB"/>
    <w:rsid w:val="003876F1"/>
    <w:rsid w:val="003878F3"/>
    <w:rsid w:val="00390A24"/>
    <w:rsid w:val="00391317"/>
    <w:rsid w:val="0039189C"/>
    <w:rsid w:val="0039216D"/>
    <w:rsid w:val="0039615C"/>
    <w:rsid w:val="003A1708"/>
    <w:rsid w:val="003A2276"/>
    <w:rsid w:val="003A2B31"/>
    <w:rsid w:val="003A47C4"/>
    <w:rsid w:val="003A4CF8"/>
    <w:rsid w:val="003A4DE4"/>
    <w:rsid w:val="003A4EEC"/>
    <w:rsid w:val="003B0CDD"/>
    <w:rsid w:val="003B3C6F"/>
    <w:rsid w:val="003B5A66"/>
    <w:rsid w:val="003B612B"/>
    <w:rsid w:val="003B6F0C"/>
    <w:rsid w:val="003B713F"/>
    <w:rsid w:val="003C13CD"/>
    <w:rsid w:val="003C28F2"/>
    <w:rsid w:val="003C30A0"/>
    <w:rsid w:val="003C7338"/>
    <w:rsid w:val="003C74C5"/>
    <w:rsid w:val="003D0829"/>
    <w:rsid w:val="003D0D51"/>
    <w:rsid w:val="003D1DC8"/>
    <w:rsid w:val="003D25DC"/>
    <w:rsid w:val="003D35DB"/>
    <w:rsid w:val="003D6C3F"/>
    <w:rsid w:val="003D72F0"/>
    <w:rsid w:val="003E1C9F"/>
    <w:rsid w:val="003E20C8"/>
    <w:rsid w:val="003E33FE"/>
    <w:rsid w:val="003E540A"/>
    <w:rsid w:val="003E5846"/>
    <w:rsid w:val="003E6941"/>
    <w:rsid w:val="003E6A2A"/>
    <w:rsid w:val="003F0A87"/>
    <w:rsid w:val="003F1D74"/>
    <w:rsid w:val="003F2BB6"/>
    <w:rsid w:val="003F2BF4"/>
    <w:rsid w:val="003F2C8E"/>
    <w:rsid w:val="003F3A72"/>
    <w:rsid w:val="003F4319"/>
    <w:rsid w:val="003F4C6D"/>
    <w:rsid w:val="003F5EB2"/>
    <w:rsid w:val="003F5F91"/>
    <w:rsid w:val="003F6C55"/>
    <w:rsid w:val="003F73D8"/>
    <w:rsid w:val="00404E33"/>
    <w:rsid w:val="0041096D"/>
    <w:rsid w:val="00417AAE"/>
    <w:rsid w:val="00417B3C"/>
    <w:rsid w:val="00417F3A"/>
    <w:rsid w:val="004200C7"/>
    <w:rsid w:val="00420209"/>
    <w:rsid w:val="004214D5"/>
    <w:rsid w:val="00421740"/>
    <w:rsid w:val="00422311"/>
    <w:rsid w:val="00423C3F"/>
    <w:rsid w:val="004264B7"/>
    <w:rsid w:val="00426F2D"/>
    <w:rsid w:val="00430BA0"/>
    <w:rsid w:val="004326F9"/>
    <w:rsid w:val="004331F4"/>
    <w:rsid w:val="00434B43"/>
    <w:rsid w:val="00434C6E"/>
    <w:rsid w:val="004352C6"/>
    <w:rsid w:val="00436F80"/>
    <w:rsid w:val="0044017B"/>
    <w:rsid w:val="00442432"/>
    <w:rsid w:val="0044320C"/>
    <w:rsid w:val="0044451C"/>
    <w:rsid w:val="00444F6E"/>
    <w:rsid w:val="00445AFC"/>
    <w:rsid w:val="00446CA3"/>
    <w:rsid w:val="00447979"/>
    <w:rsid w:val="004479B9"/>
    <w:rsid w:val="00447E01"/>
    <w:rsid w:val="0045046D"/>
    <w:rsid w:val="0045262F"/>
    <w:rsid w:val="004552A9"/>
    <w:rsid w:val="00455EA5"/>
    <w:rsid w:val="00456B23"/>
    <w:rsid w:val="0045782F"/>
    <w:rsid w:val="00460A5B"/>
    <w:rsid w:val="00461DF2"/>
    <w:rsid w:val="004649E0"/>
    <w:rsid w:val="004665B9"/>
    <w:rsid w:val="00467659"/>
    <w:rsid w:val="00471E99"/>
    <w:rsid w:val="00471FE2"/>
    <w:rsid w:val="004721AA"/>
    <w:rsid w:val="00473151"/>
    <w:rsid w:val="00473D3F"/>
    <w:rsid w:val="00474793"/>
    <w:rsid w:val="00475AEF"/>
    <w:rsid w:val="00475E62"/>
    <w:rsid w:val="004818C0"/>
    <w:rsid w:val="00481F23"/>
    <w:rsid w:val="00483320"/>
    <w:rsid w:val="00484E27"/>
    <w:rsid w:val="004858B3"/>
    <w:rsid w:val="00487556"/>
    <w:rsid w:val="00487910"/>
    <w:rsid w:val="00492333"/>
    <w:rsid w:val="004933EE"/>
    <w:rsid w:val="00495FF8"/>
    <w:rsid w:val="004969B8"/>
    <w:rsid w:val="0049788F"/>
    <w:rsid w:val="004A10B0"/>
    <w:rsid w:val="004A10E6"/>
    <w:rsid w:val="004A1993"/>
    <w:rsid w:val="004A2660"/>
    <w:rsid w:val="004A2DD5"/>
    <w:rsid w:val="004A4B80"/>
    <w:rsid w:val="004A4CF0"/>
    <w:rsid w:val="004A528D"/>
    <w:rsid w:val="004B0945"/>
    <w:rsid w:val="004B0C65"/>
    <w:rsid w:val="004B27E7"/>
    <w:rsid w:val="004B33EF"/>
    <w:rsid w:val="004B471B"/>
    <w:rsid w:val="004B58D3"/>
    <w:rsid w:val="004B7343"/>
    <w:rsid w:val="004B73FB"/>
    <w:rsid w:val="004C1F00"/>
    <w:rsid w:val="004C21E6"/>
    <w:rsid w:val="004C465F"/>
    <w:rsid w:val="004C4B74"/>
    <w:rsid w:val="004C56AA"/>
    <w:rsid w:val="004C6321"/>
    <w:rsid w:val="004C6BC6"/>
    <w:rsid w:val="004C7093"/>
    <w:rsid w:val="004C7590"/>
    <w:rsid w:val="004D1512"/>
    <w:rsid w:val="004D186F"/>
    <w:rsid w:val="004D1D8F"/>
    <w:rsid w:val="004D243B"/>
    <w:rsid w:val="004D31D5"/>
    <w:rsid w:val="004D3748"/>
    <w:rsid w:val="004D5035"/>
    <w:rsid w:val="004D63D9"/>
    <w:rsid w:val="004E0AD6"/>
    <w:rsid w:val="004E22FF"/>
    <w:rsid w:val="004E3063"/>
    <w:rsid w:val="004E43C9"/>
    <w:rsid w:val="004E47CC"/>
    <w:rsid w:val="004F0490"/>
    <w:rsid w:val="004F2671"/>
    <w:rsid w:val="004F4C74"/>
    <w:rsid w:val="004F56D3"/>
    <w:rsid w:val="004F59FB"/>
    <w:rsid w:val="004F6AF9"/>
    <w:rsid w:val="004F76F4"/>
    <w:rsid w:val="004F7F19"/>
    <w:rsid w:val="005000C0"/>
    <w:rsid w:val="00500851"/>
    <w:rsid w:val="00500B4F"/>
    <w:rsid w:val="005018D0"/>
    <w:rsid w:val="00501A66"/>
    <w:rsid w:val="0050206E"/>
    <w:rsid w:val="00502A7C"/>
    <w:rsid w:val="00502E3B"/>
    <w:rsid w:val="00506126"/>
    <w:rsid w:val="0051107B"/>
    <w:rsid w:val="00511E76"/>
    <w:rsid w:val="00512046"/>
    <w:rsid w:val="00512879"/>
    <w:rsid w:val="0051497B"/>
    <w:rsid w:val="00515399"/>
    <w:rsid w:val="005166D4"/>
    <w:rsid w:val="005171ED"/>
    <w:rsid w:val="00521F1D"/>
    <w:rsid w:val="00521F47"/>
    <w:rsid w:val="00522A47"/>
    <w:rsid w:val="00523008"/>
    <w:rsid w:val="0052322C"/>
    <w:rsid w:val="0052427C"/>
    <w:rsid w:val="00524283"/>
    <w:rsid w:val="00525A14"/>
    <w:rsid w:val="00526EC4"/>
    <w:rsid w:val="00527563"/>
    <w:rsid w:val="00527748"/>
    <w:rsid w:val="005302BB"/>
    <w:rsid w:val="00530B10"/>
    <w:rsid w:val="0053198B"/>
    <w:rsid w:val="00531A8A"/>
    <w:rsid w:val="00535A8D"/>
    <w:rsid w:val="00537C32"/>
    <w:rsid w:val="00540586"/>
    <w:rsid w:val="00541FB4"/>
    <w:rsid w:val="00545D04"/>
    <w:rsid w:val="0054710A"/>
    <w:rsid w:val="005501BA"/>
    <w:rsid w:val="00550C0B"/>
    <w:rsid w:val="005517BD"/>
    <w:rsid w:val="005520E3"/>
    <w:rsid w:val="00552C67"/>
    <w:rsid w:val="005569DD"/>
    <w:rsid w:val="00556C13"/>
    <w:rsid w:val="00557FFD"/>
    <w:rsid w:val="00561B84"/>
    <w:rsid w:val="00562D89"/>
    <w:rsid w:val="00562DAA"/>
    <w:rsid w:val="0056443F"/>
    <w:rsid w:val="0056454B"/>
    <w:rsid w:val="00566DE6"/>
    <w:rsid w:val="00572946"/>
    <w:rsid w:val="005732F8"/>
    <w:rsid w:val="00580345"/>
    <w:rsid w:val="0058043F"/>
    <w:rsid w:val="0058163D"/>
    <w:rsid w:val="005816DE"/>
    <w:rsid w:val="00582FC0"/>
    <w:rsid w:val="00585C29"/>
    <w:rsid w:val="005867A9"/>
    <w:rsid w:val="00586E85"/>
    <w:rsid w:val="0058767A"/>
    <w:rsid w:val="0059016B"/>
    <w:rsid w:val="00590FB7"/>
    <w:rsid w:val="005914EE"/>
    <w:rsid w:val="0059170F"/>
    <w:rsid w:val="00596059"/>
    <w:rsid w:val="005968DD"/>
    <w:rsid w:val="00596E5D"/>
    <w:rsid w:val="005A0A77"/>
    <w:rsid w:val="005A1B5F"/>
    <w:rsid w:val="005A1DBB"/>
    <w:rsid w:val="005A39F4"/>
    <w:rsid w:val="005A3DA3"/>
    <w:rsid w:val="005A56DD"/>
    <w:rsid w:val="005A79D9"/>
    <w:rsid w:val="005A7C36"/>
    <w:rsid w:val="005B0A95"/>
    <w:rsid w:val="005B187A"/>
    <w:rsid w:val="005B1AE5"/>
    <w:rsid w:val="005B21C9"/>
    <w:rsid w:val="005B252D"/>
    <w:rsid w:val="005B55DB"/>
    <w:rsid w:val="005B5FE6"/>
    <w:rsid w:val="005B6BFA"/>
    <w:rsid w:val="005C03D2"/>
    <w:rsid w:val="005C09AF"/>
    <w:rsid w:val="005C111B"/>
    <w:rsid w:val="005C182F"/>
    <w:rsid w:val="005C20B7"/>
    <w:rsid w:val="005C2B87"/>
    <w:rsid w:val="005C3BAC"/>
    <w:rsid w:val="005C4598"/>
    <w:rsid w:val="005C4CCD"/>
    <w:rsid w:val="005C6174"/>
    <w:rsid w:val="005C690F"/>
    <w:rsid w:val="005C6E2D"/>
    <w:rsid w:val="005C757F"/>
    <w:rsid w:val="005D114B"/>
    <w:rsid w:val="005D1E83"/>
    <w:rsid w:val="005D2071"/>
    <w:rsid w:val="005D22D8"/>
    <w:rsid w:val="005D31EC"/>
    <w:rsid w:val="005D38F1"/>
    <w:rsid w:val="005D4959"/>
    <w:rsid w:val="005D53B0"/>
    <w:rsid w:val="005D73EF"/>
    <w:rsid w:val="005E16CC"/>
    <w:rsid w:val="005E1C3E"/>
    <w:rsid w:val="005E74B4"/>
    <w:rsid w:val="005F199D"/>
    <w:rsid w:val="005F36FE"/>
    <w:rsid w:val="005F38B6"/>
    <w:rsid w:val="005F4B93"/>
    <w:rsid w:val="005F5498"/>
    <w:rsid w:val="005F6462"/>
    <w:rsid w:val="005F6841"/>
    <w:rsid w:val="005F6FFF"/>
    <w:rsid w:val="005F773E"/>
    <w:rsid w:val="005F785A"/>
    <w:rsid w:val="00600A20"/>
    <w:rsid w:val="00602E5C"/>
    <w:rsid w:val="006033D0"/>
    <w:rsid w:val="006037C1"/>
    <w:rsid w:val="006059DA"/>
    <w:rsid w:val="00606B1A"/>
    <w:rsid w:val="00607792"/>
    <w:rsid w:val="006108D2"/>
    <w:rsid w:val="00616FF8"/>
    <w:rsid w:val="006206A1"/>
    <w:rsid w:val="006207EF"/>
    <w:rsid w:val="00621F2D"/>
    <w:rsid w:val="00622401"/>
    <w:rsid w:val="00622CFB"/>
    <w:rsid w:val="006241B8"/>
    <w:rsid w:val="006242F2"/>
    <w:rsid w:val="00624488"/>
    <w:rsid w:val="006245B4"/>
    <w:rsid w:val="0062588A"/>
    <w:rsid w:val="00625F65"/>
    <w:rsid w:val="00626112"/>
    <w:rsid w:val="006271E6"/>
    <w:rsid w:val="006272E2"/>
    <w:rsid w:val="00627513"/>
    <w:rsid w:val="00627C9D"/>
    <w:rsid w:val="00630CBC"/>
    <w:rsid w:val="00631035"/>
    <w:rsid w:val="00631EA9"/>
    <w:rsid w:val="00632BA8"/>
    <w:rsid w:val="00632D54"/>
    <w:rsid w:val="00632F61"/>
    <w:rsid w:val="00635A27"/>
    <w:rsid w:val="00636AF1"/>
    <w:rsid w:val="00637785"/>
    <w:rsid w:val="00637B1E"/>
    <w:rsid w:val="00640115"/>
    <w:rsid w:val="006404D0"/>
    <w:rsid w:val="0064067B"/>
    <w:rsid w:val="006418B3"/>
    <w:rsid w:val="006430B1"/>
    <w:rsid w:val="00644832"/>
    <w:rsid w:val="00644B2E"/>
    <w:rsid w:val="00654DE3"/>
    <w:rsid w:val="00655025"/>
    <w:rsid w:val="00655068"/>
    <w:rsid w:val="00655B7F"/>
    <w:rsid w:val="006573B9"/>
    <w:rsid w:val="00657AC8"/>
    <w:rsid w:val="00660AAD"/>
    <w:rsid w:val="00661603"/>
    <w:rsid w:val="0066178F"/>
    <w:rsid w:val="00661A2D"/>
    <w:rsid w:val="00661B94"/>
    <w:rsid w:val="00662C70"/>
    <w:rsid w:val="00662D89"/>
    <w:rsid w:val="0066640F"/>
    <w:rsid w:val="006664D4"/>
    <w:rsid w:val="00667F81"/>
    <w:rsid w:val="00670EAA"/>
    <w:rsid w:val="006715A0"/>
    <w:rsid w:val="00671989"/>
    <w:rsid w:val="00671B38"/>
    <w:rsid w:val="00671BB1"/>
    <w:rsid w:val="006731C7"/>
    <w:rsid w:val="00673306"/>
    <w:rsid w:val="006742DC"/>
    <w:rsid w:val="00674DAF"/>
    <w:rsid w:val="00674E18"/>
    <w:rsid w:val="0067593C"/>
    <w:rsid w:val="006778E2"/>
    <w:rsid w:val="00680146"/>
    <w:rsid w:val="00680215"/>
    <w:rsid w:val="00680F20"/>
    <w:rsid w:val="0068262B"/>
    <w:rsid w:val="00683ABF"/>
    <w:rsid w:val="00684E69"/>
    <w:rsid w:val="006879D9"/>
    <w:rsid w:val="00687BCB"/>
    <w:rsid w:val="00690202"/>
    <w:rsid w:val="0069037C"/>
    <w:rsid w:val="00692763"/>
    <w:rsid w:val="00692CEE"/>
    <w:rsid w:val="00693B4D"/>
    <w:rsid w:val="00694971"/>
    <w:rsid w:val="00695898"/>
    <w:rsid w:val="0069657C"/>
    <w:rsid w:val="006A0CDD"/>
    <w:rsid w:val="006B0607"/>
    <w:rsid w:val="006B083B"/>
    <w:rsid w:val="006B3839"/>
    <w:rsid w:val="006B4C0B"/>
    <w:rsid w:val="006B5A2B"/>
    <w:rsid w:val="006B64F0"/>
    <w:rsid w:val="006C0BD7"/>
    <w:rsid w:val="006C17DE"/>
    <w:rsid w:val="006C25E4"/>
    <w:rsid w:val="006C272F"/>
    <w:rsid w:val="006C2DF8"/>
    <w:rsid w:val="006C3470"/>
    <w:rsid w:val="006C43E9"/>
    <w:rsid w:val="006C662E"/>
    <w:rsid w:val="006C6EBC"/>
    <w:rsid w:val="006C7CD1"/>
    <w:rsid w:val="006C7E76"/>
    <w:rsid w:val="006D1130"/>
    <w:rsid w:val="006D16BD"/>
    <w:rsid w:val="006D1CE7"/>
    <w:rsid w:val="006D2366"/>
    <w:rsid w:val="006D2960"/>
    <w:rsid w:val="006D48DA"/>
    <w:rsid w:val="006D49E4"/>
    <w:rsid w:val="006D6301"/>
    <w:rsid w:val="006D65A5"/>
    <w:rsid w:val="006D6790"/>
    <w:rsid w:val="006D7FDA"/>
    <w:rsid w:val="006E33C5"/>
    <w:rsid w:val="006E7180"/>
    <w:rsid w:val="006E72D4"/>
    <w:rsid w:val="006E73D0"/>
    <w:rsid w:val="006E7C4E"/>
    <w:rsid w:val="006E7CFC"/>
    <w:rsid w:val="006F134A"/>
    <w:rsid w:val="006F1838"/>
    <w:rsid w:val="006F272D"/>
    <w:rsid w:val="006F2BC5"/>
    <w:rsid w:val="006F330E"/>
    <w:rsid w:val="006F4CC9"/>
    <w:rsid w:val="006F79F1"/>
    <w:rsid w:val="006F7CBF"/>
    <w:rsid w:val="007001B2"/>
    <w:rsid w:val="00702A9C"/>
    <w:rsid w:val="00702D5F"/>
    <w:rsid w:val="007041F9"/>
    <w:rsid w:val="00704B14"/>
    <w:rsid w:val="00705FBB"/>
    <w:rsid w:val="0070680E"/>
    <w:rsid w:val="0071036C"/>
    <w:rsid w:val="00711B4D"/>
    <w:rsid w:val="007123FF"/>
    <w:rsid w:val="00712ED6"/>
    <w:rsid w:val="00716DFD"/>
    <w:rsid w:val="00717D87"/>
    <w:rsid w:val="00722FCE"/>
    <w:rsid w:val="007234B0"/>
    <w:rsid w:val="007234F7"/>
    <w:rsid w:val="007248C4"/>
    <w:rsid w:val="00726E13"/>
    <w:rsid w:val="00726FDD"/>
    <w:rsid w:val="007279D2"/>
    <w:rsid w:val="0073003B"/>
    <w:rsid w:val="00730AD5"/>
    <w:rsid w:val="00730C49"/>
    <w:rsid w:val="00730D6D"/>
    <w:rsid w:val="00731FB9"/>
    <w:rsid w:val="00731FC4"/>
    <w:rsid w:val="007331D2"/>
    <w:rsid w:val="007334FE"/>
    <w:rsid w:val="00734C7C"/>
    <w:rsid w:val="00737D3E"/>
    <w:rsid w:val="007412DA"/>
    <w:rsid w:val="00741DC7"/>
    <w:rsid w:val="0074201B"/>
    <w:rsid w:val="007428C7"/>
    <w:rsid w:val="00743915"/>
    <w:rsid w:val="0074523A"/>
    <w:rsid w:val="00747CDF"/>
    <w:rsid w:val="00751A94"/>
    <w:rsid w:val="00754B31"/>
    <w:rsid w:val="007574E7"/>
    <w:rsid w:val="00762A7C"/>
    <w:rsid w:val="00762DCC"/>
    <w:rsid w:val="0076365D"/>
    <w:rsid w:val="00764BBE"/>
    <w:rsid w:val="0076657F"/>
    <w:rsid w:val="007671A4"/>
    <w:rsid w:val="007672B3"/>
    <w:rsid w:val="007709FF"/>
    <w:rsid w:val="00770BF5"/>
    <w:rsid w:val="00770DC0"/>
    <w:rsid w:val="00770E69"/>
    <w:rsid w:val="00771614"/>
    <w:rsid w:val="007723F6"/>
    <w:rsid w:val="007741D2"/>
    <w:rsid w:val="00774227"/>
    <w:rsid w:val="00775391"/>
    <w:rsid w:val="0077760E"/>
    <w:rsid w:val="00777E05"/>
    <w:rsid w:val="00781F61"/>
    <w:rsid w:val="007823A6"/>
    <w:rsid w:val="00782D16"/>
    <w:rsid w:val="00783335"/>
    <w:rsid w:val="00784CEA"/>
    <w:rsid w:val="0078673F"/>
    <w:rsid w:val="00791D9B"/>
    <w:rsid w:val="00792220"/>
    <w:rsid w:val="00792309"/>
    <w:rsid w:val="00793027"/>
    <w:rsid w:val="00796030"/>
    <w:rsid w:val="007962A6"/>
    <w:rsid w:val="00796712"/>
    <w:rsid w:val="007A097D"/>
    <w:rsid w:val="007A0BC3"/>
    <w:rsid w:val="007A1ACB"/>
    <w:rsid w:val="007A2872"/>
    <w:rsid w:val="007A3334"/>
    <w:rsid w:val="007A4992"/>
    <w:rsid w:val="007A540E"/>
    <w:rsid w:val="007A6A27"/>
    <w:rsid w:val="007B0293"/>
    <w:rsid w:val="007B1F0F"/>
    <w:rsid w:val="007B38A7"/>
    <w:rsid w:val="007B4143"/>
    <w:rsid w:val="007B4717"/>
    <w:rsid w:val="007B4E28"/>
    <w:rsid w:val="007B58B9"/>
    <w:rsid w:val="007B5B46"/>
    <w:rsid w:val="007B5C1C"/>
    <w:rsid w:val="007B5CE4"/>
    <w:rsid w:val="007B5FBE"/>
    <w:rsid w:val="007B65AB"/>
    <w:rsid w:val="007B6891"/>
    <w:rsid w:val="007B6F45"/>
    <w:rsid w:val="007C02D1"/>
    <w:rsid w:val="007C2D40"/>
    <w:rsid w:val="007C3700"/>
    <w:rsid w:val="007C636E"/>
    <w:rsid w:val="007C76F2"/>
    <w:rsid w:val="007C7745"/>
    <w:rsid w:val="007C7BAF"/>
    <w:rsid w:val="007D04B8"/>
    <w:rsid w:val="007D086D"/>
    <w:rsid w:val="007D24AE"/>
    <w:rsid w:val="007D354B"/>
    <w:rsid w:val="007D6307"/>
    <w:rsid w:val="007E01AD"/>
    <w:rsid w:val="007E0603"/>
    <w:rsid w:val="007E172B"/>
    <w:rsid w:val="007E1EF5"/>
    <w:rsid w:val="007E25E4"/>
    <w:rsid w:val="007E6087"/>
    <w:rsid w:val="007E6351"/>
    <w:rsid w:val="007E64DE"/>
    <w:rsid w:val="007E6532"/>
    <w:rsid w:val="007E65E1"/>
    <w:rsid w:val="007E79A0"/>
    <w:rsid w:val="007E7B3F"/>
    <w:rsid w:val="007F0BE3"/>
    <w:rsid w:val="007F1DB0"/>
    <w:rsid w:val="007F4407"/>
    <w:rsid w:val="007F57DE"/>
    <w:rsid w:val="007F5B1F"/>
    <w:rsid w:val="007F6273"/>
    <w:rsid w:val="007F75BA"/>
    <w:rsid w:val="00800641"/>
    <w:rsid w:val="00801045"/>
    <w:rsid w:val="008027F2"/>
    <w:rsid w:val="00803119"/>
    <w:rsid w:val="00803884"/>
    <w:rsid w:val="0081186D"/>
    <w:rsid w:val="00812FF1"/>
    <w:rsid w:val="00814683"/>
    <w:rsid w:val="008153C4"/>
    <w:rsid w:val="00816D86"/>
    <w:rsid w:val="0081756A"/>
    <w:rsid w:val="008201FA"/>
    <w:rsid w:val="008234EA"/>
    <w:rsid w:val="00826071"/>
    <w:rsid w:val="008267DF"/>
    <w:rsid w:val="00826E84"/>
    <w:rsid w:val="00830986"/>
    <w:rsid w:val="00832F26"/>
    <w:rsid w:val="00836749"/>
    <w:rsid w:val="00836872"/>
    <w:rsid w:val="0084143D"/>
    <w:rsid w:val="008415EA"/>
    <w:rsid w:val="008416D9"/>
    <w:rsid w:val="008427E8"/>
    <w:rsid w:val="00843D1E"/>
    <w:rsid w:val="008441D0"/>
    <w:rsid w:val="00845194"/>
    <w:rsid w:val="0084559D"/>
    <w:rsid w:val="008473B9"/>
    <w:rsid w:val="00850BF6"/>
    <w:rsid w:val="00852A55"/>
    <w:rsid w:val="00853828"/>
    <w:rsid w:val="00853A05"/>
    <w:rsid w:val="00853AA3"/>
    <w:rsid w:val="008546E5"/>
    <w:rsid w:val="0085490B"/>
    <w:rsid w:val="00857B5B"/>
    <w:rsid w:val="0086125E"/>
    <w:rsid w:val="008614CC"/>
    <w:rsid w:val="0086265B"/>
    <w:rsid w:val="0086309F"/>
    <w:rsid w:val="008638A5"/>
    <w:rsid w:val="00864802"/>
    <w:rsid w:val="008649BE"/>
    <w:rsid w:val="00864C7E"/>
    <w:rsid w:val="008652D2"/>
    <w:rsid w:val="008659CE"/>
    <w:rsid w:val="0087213E"/>
    <w:rsid w:val="008727F1"/>
    <w:rsid w:val="008740AD"/>
    <w:rsid w:val="008758D4"/>
    <w:rsid w:val="00875F52"/>
    <w:rsid w:val="00876A3F"/>
    <w:rsid w:val="00877B42"/>
    <w:rsid w:val="00877D7C"/>
    <w:rsid w:val="00881288"/>
    <w:rsid w:val="008836D3"/>
    <w:rsid w:val="00883B33"/>
    <w:rsid w:val="0088400C"/>
    <w:rsid w:val="00884148"/>
    <w:rsid w:val="00884812"/>
    <w:rsid w:val="00884B61"/>
    <w:rsid w:val="00885299"/>
    <w:rsid w:val="008870EB"/>
    <w:rsid w:val="00890557"/>
    <w:rsid w:val="00892BFA"/>
    <w:rsid w:val="008932E1"/>
    <w:rsid w:val="00894FC6"/>
    <w:rsid w:val="008956AA"/>
    <w:rsid w:val="00897A05"/>
    <w:rsid w:val="008A1013"/>
    <w:rsid w:val="008A1159"/>
    <w:rsid w:val="008A121E"/>
    <w:rsid w:val="008A1573"/>
    <w:rsid w:val="008A233A"/>
    <w:rsid w:val="008A460F"/>
    <w:rsid w:val="008A51BE"/>
    <w:rsid w:val="008A60AE"/>
    <w:rsid w:val="008A64DD"/>
    <w:rsid w:val="008B21BC"/>
    <w:rsid w:val="008B270A"/>
    <w:rsid w:val="008B5C9D"/>
    <w:rsid w:val="008B6536"/>
    <w:rsid w:val="008B7D4E"/>
    <w:rsid w:val="008C1EFA"/>
    <w:rsid w:val="008C1F18"/>
    <w:rsid w:val="008C266D"/>
    <w:rsid w:val="008C2A32"/>
    <w:rsid w:val="008C37E8"/>
    <w:rsid w:val="008C40B1"/>
    <w:rsid w:val="008C4B92"/>
    <w:rsid w:val="008C4D34"/>
    <w:rsid w:val="008D28E1"/>
    <w:rsid w:val="008D3404"/>
    <w:rsid w:val="008D3B37"/>
    <w:rsid w:val="008D3B3F"/>
    <w:rsid w:val="008D43A8"/>
    <w:rsid w:val="008D46FC"/>
    <w:rsid w:val="008D54BC"/>
    <w:rsid w:val="008D58F4"/>
    <w:rsid w:val="008D62B5"/>
    <w:rsid w:val="008D7C22"/>
    <w:rsid w:val="008E0D53"/>
    <w:rsid w:val="008E0DC4"/>
    <w:rsid w:val="008E586D"/>
    <w:rsid w:val="008E5E71"/>
    <w:rsid w:val="008E736C"/>
    <w:rsid w:val="008E7959"/>
    <w:rsid w:val="008F0749"/>
    <w:rsid w:val="008F3E15"/>
    <w:rsid w:val="008F4E82"/>
    <w:rsid w:val="008F5A51"/>
    <w:rsid w:val="008F6D94"/>
    <w:rsid w:val="00900916"/>
    <w:rsid w:val="009019A8"/>
    <w:rsid w:val="00902059"/>
    <w:rsid w:val="00903E21"/>
    <w:rsid w:val="0090431D"/>
    <w:rsid w:val="009048A7"/>
    <w:rsid w:val="00905638"/>
    <w:rsid w:val="009056C0"/>
    <w:rsid w:val="00905E11"/>
    <w:rsid w:val="00905F76"/>
    <w:rsid w:val="00910155"/>
    <w:rsid w:val="00910872"/>
    <w:rsid w:val="00913279"/>
    <w:rsid w:val="00913AC7"/>
    <w:rsid w:val="00914F2B"/>
    <w:rsid w:val="00915E1E"/>
    <w:rsid w:val="00916347"/>
    <w:rsid w:val="00916D5B"/>
    <w:rsid w:val="00922F61"/>
    <w:rsid w:val="009259F6"/>
    <w:rsid w:val="00926758"/>
    <w:rsid w:val="00927131"/>
    <w:rsid w:val="00930ABE"/>
    <w:rsid w:val="00930F78"/>
    <w:rsid w:val="00931311"/>
    <w:rsid w:val="009319F4"/>
    <w:rsid w:val="00933E27"/>
    <w:rsid w:val="00934474"/>
    <w:rsid w:val="00934D26"/>
    <w:rsid w:val="009355BF"/>
    <w:rsid w:val="00937325"/>
    <w:rsid w:val="00937C87"/>
    <w:rsid w:val="00937DFD"/>
    <w:rsid w:val="00940831"/>
    <w:rsid w:val="00940894"/>
    <w:rsid w:val="00940E97"/>
    <w:rsid w:val="00941A05"/>
    <w:rsid w:val="00943435"/>
    <w:rsid w:val="00945CB8"/>
    <w:rsid w:val="009474FB"/>
    <w:rsid w:val="009502F9"/>
    <w:rsid w:val="00950D76"/>
    <w:rsid w:val="00950ED4"/>
    <w:rsid w:val="0095477E"/>
    <w:rsid w:val="0095571A"/>
    <w:rsid w:val="00956E0E"/>
    <w:rsid w:val="009576DD"/>
    <w:rsid w:val="00960DEA"/>
    <w:rsid w:val="00960E46"/>
    <w:rsid w:val="00962083"/>
    <w:rsid w:val="00962C51"/>
    <w:rsid w:val="0096397F"/>
    <w:rsid w:val="00963E6F"/>
    <w:rsid w:val="009643D0"/>
    <w:rsid w:val="00965741"/>
    <w:rsid w:val="009662EA"/>
    <w:rsid w:val="00966BF0"/>
    <w:rsid w:val="0096799D"/>
    <w:rsid w:val="009710FF"/>
    <w:rsid w:val="00972243"/>
    <w:rsid w:val="00972D02"/>
    <w:rsid w:val="009739BA"/>
    <w:rsid w:val="0097583D"/>
    <w:rsid w:val="00977832"/>
    <w:rsid w:val="00977989"/>
    <w:rsid w:val="00980739"/>
    <w:rsid w:val="00983208"/>
    <w:rsid w:val="00983A37"/>
    <w:rsid w:val="00983F77"/>
    <w:rsid w:val="009846F9"/>
    <w:rsid w:val="009850C3"/>
    <w:rsid w:val="00986D91"/>
    <w:rsid w:val="0098711E"/>
    <w:rsid w:val="00992901"/>
    <w:rsid w:val="00993FA1"/>
    <w:rsid w:val="009948FA"/>
    <w:rsid w:val="00996BDA"/>
    <w:rsid w:val="009973CB"/>
    <w:rsid w:val="0099774B"/>
    <w:rsid w:val="009A3D12"/>
    <w:rsid w:val="009A58BD"/>
    <w:rsid w:val="009A5A8E"/>
    <w:rsid w:val="009A699B"/>
    <w:rsid w:val="009B0BC1"/>
    <w:rsid w:val="009B1B0E"/>
    <w:rsid w:val="009B2DAB"/>
    <w:rsid w:val="009B3CF8"/>
    <w:rsid w:val="009B614F"/>
    <w:rsid w:val="009B7615"/>
    <w:rsid w:val="009C04AF"/>
    <w:rsid w:val="009C11B4"/>
    <w:rsid w:val="009C1CF9"/>
    <w:rsid w:val="009C1F1B"/>
    <w:rsid w:val="009C3818"/>
    <w:rsid w:val="009C3A1D"/>
    <w:rsid w:val="009C3C89"/>
    <w:rsid w:val="009C43A3"/>
    <w:rsid w:val="009C606F"/>
    <w:rsid w:val="009C6467"/>
    <w:rsid w:val="009C6CE6"/>
    <w:rsid w:val="009D07C4"/>
    <w:rsid w:val="009D11E6"/>
    <w:rsid w:val="009D3177"/>
    <w:rsid w:val="009D39DF"/>
    <w:rsid w:val="009D41AB"/>
    <w:rsid w:val="009D4333"/>
    <w:rsid w:val="009D443C"/>
    <w:rsid w:val="009D4BA7"/>
    <w:rsid w:val="009D778F"/>
    <w:rsid w:val="009D7D07"/>
    <w:rsid w:val="009E03A4"/>
    <w:rsid w:val="009E0F24"/>
    <w:rsid w:val="009E2583"/>
    <w:rsid w:val="009E263E"/>
    <w:rsid w:val="009E29E8"/>
    <w:rsid w:val="009E2E2A"/>
    <w:rsid w:val="009E363A"/>
    <w:rsid w:val="009E4128"/>
    <w:rsid w:val="009E4A04"/>
    <w:rsid w:val="009F2105"/>
    <w:rsid w:val="009F3790"/>
    <w:rsid w:val="009F39DF"/>
    <w:rsid w:val="009F6813"/>
    <w:rsid w:val="00A0226C"/>
    <w:rsid w:val="00A03F8F"/>
    <w:rsid w:val="00A042BC"/>
    <w:rsid w:val="00A04351"/>
    <w:rsid w:val="00A045F2"/>
    <w:rsid w:val="00A071E9"/>
    <w:rsid w:val="00A1369B"/>
    <w:rsid w:val="00A13E85"/>
    <w:rsid w:val="00A15402"/>
    <w:rsid w:val="00A15E3B"/>
    <w:rsid w:val="00A16D8E"/>
    <w:rsid w:val="00A20875"/>
    <w:rsid w:val="00A243FA"/>
    <w:rsid w:val="00A244C7"/>
    <w:rsid w:val="00A3057B"/>
    <w:rsid w:val="00A32203"/>
    <w:rsid w:val="00A33F9B"/>
    <w:rsid w:val="00A345D0"/>
    <w:rsid w:val="00A361DB"/>
    <w:rsid w:val="00A363DD"/>
    <w:rsid w:val="00A36DDE"/>
    <w:rsid w:val="00A36E65"/>
    <w:rsid w:val="00A37912"/>
    <w:rsid w:val="00A37CB5"/>
    <w:rsid w:val="00A37EDE"/>
    <w:rsid w:val="00A414C5"/>
    <w:rsid w:val="00A41A9E"/>
    <w:rsid w:val="00A43BA2"/>
    <w:rsid w:val="00A43D66"/>
    <w:rsid w:val="00A45EE8"/>
    <w:rsid w:val="00A462A9"/>
    <w:rsid w:val="00A51D86"/>
    <w:rsid w:val="00A52408"/>
    <w:rsid w:val="00A52500"/>
    <w:rsid w:val="00A538A9"/>
    <w:rsid w:val="00A54AEE"/>
    <w:rsid w:val="00A55E82"/>
    <w:rsid w:val="00A56228"/>
    <w:rsid w:val="00A56AF6"/>
    <w:rsid w:val="00A576F9"/>
    <w:rsid w:val="00A60433"/>
    <w:rsid w:val="00A60BDF"/>
    <w:rsid w:val="00A612A3"/>
    <w:rsid w:val="00A620E2"/>
    <w:rsid w:val="00A63444"/>
    <w:rsid w:val="00A63E30"/>
    <w:rsid w:val="00A6488A"/>
    <w:rsid w:val="00A65AD2"/>
    <w:rsid w:val="00A660B5"/>
    <w:rsid w:val="00A72341"/>
    <w:rsid w:val="00A73E9A"/>
    <w:rsid w:val="00A7487F"/>
    <w:rsid w:val="00A753B3"/>
    <w:rsid w:val="00A75C5D"/>
    <w:rsid w:val="00A805B7"/>
    <w:rsid w:val="00A81F08"/>
    <w:rsid w:val="00A8342D"/>
    <w:rsid w:val="00A834AF"/>
    <w:rsid w:val="00A84E9B"/>
    <w:rsid w:val="00A854BA"/>
    <w:rsid w:val="00A85D07"/>
    <w:rsid w:val="00A90E9B"/>
    <w:rsid w:val="00A915DD"/>
    <w:rsid w:val="00A9286C"/>
    <w:rsid w:val="00A94490"/>
    <w:rsid w:val="00A95E07"/>
    <w:rsid w:val="00A9667D"/>
    <w:rsid w:val="00A96A4E"/>
    <w:rsid w:val="00A9703D"/>
    <w:rsid w:val="00AA04D5"/>
    <w:rsid w:val="00AA0B22"/>
    <w:rsid w:val="00AA21E0"/>
    <w:rsid w:val="00AA345B"/>
    <w:rsid w:val="00AA5511"/>
    <w:rsid w:val="00AA556D"/>
    <w:rsid w:val="00AA662C"/>
    <w:rsid w:val="00AA6BA1"/>
    <w:rsid w:val="00AA7A13"/>
    <w:rsid w:val="00AB0BA1"/>
    <w:rsid w:val="00AB145D"/>
    <w:rsid w:val="00AB1C9F"/>
    <w:rsid w:val="00AB1E37"/>
    <w:rsid w:val="00AB328F"/>
    <w:rsid w:val="00AB3597"/>
    <w:rsid w:val="00AB4133"/>
    <w:rsid w:val="00AB4AC2"/>
    <w:rsid w:val="00AB4F34"/>
    <w:rsid w:val="00AB51A8"/>
    <w:rsid w:val="00AB7B0B"/>
    <w:rsid w:val="00AB7C07"/>
    <w:rsid w:val="00AC0AE0"/>
    <w:rsid w:val="00AC1EF8"/>
    <w:rsid w:val="00AC1FD8"/>
    <w:rsid w:val="00AC45E1"/>
    <w:rsid w:val="00AC4EC9"/>
    <w:rsid w:val="00AC5D01"/>
    <w:rsid w:val="00AC70CA"/>
    <w:rsid w:val="00AC70ED"/>
    <w:rsid w:val="00AC7111"/>
    <w:rsid w:val="00AD0245"/>
    <w:rsid w:val="00AD0383"/>
    <w:rsid w:val="00AD3E0D"/>
    <w:rsid w:val="00AD468B"/>
    <w:rsid w:val="00AD4F7B"/>
    <w:rsid w:val="00AD6335"/>
    <w:rsid w:val="00AD7954"/>
    <w:rsid w:val="00AE23EF"/>
    <w:rsid w:val="00AE23FB"/>
    <w:rsid w:val="00AE256C"/>
    <w:rsid w:val="00AE5058"/>
    <w:rsid w:val="00AE7136"/>
    <w:rsid w:val="00AE734B"/>
    <w:rsid w:val="00AE7D14"/>
    <w:rsid w:val="00AF0F53"/>
    <w:rsid w:val="00AF2649"/>
    <w:rsid w:val="00AF2ADD"/>
    <w:rsid w:val="00AF2C42"/>
    <w:rsid w:val="00AF3428"/>
    <w:rsid w:val="00AF4BF2"/>
    <w:rsid w:val="00AF4DA4"/>
    <w:rsid w:val="00AF592A"/>
    <w:rsid w:val="00AF656D"/>
    <w:rsid w:val="00AF7546"/>
    <w:rsid w:val="00B00C4E"/>
    <w:rsid w:val="00B02499"/>
    <w:rsid w:val="00B02796"/>
    <w:rsid w:val="00B02A3F"/>
    <w:rsid w:val="00B03235"/>
    <w:rsid w:val="00B03A57"/>
    <w:rsid w:val="00B04319"/>
    <w:rsid w:val="00B04A35"/>
    <w:rsid w:val="00B04BE1"/>
    <w:rsid w:val="00B050D9"/>
    <w:rsid w:val="00B06610"/>
    <w:rsid w:val="00B123FB"/>
    <w:rsid w:val="00B1247F"/>
    <w:rsid w:val="00B153FA"/>
    <w:rsid w:val="00B16FA4"/>
    <w:rsid w:val="00B202F7"/>
    <w:rsid w:val="00B20E32"/>
    <w:rsid w:val="00B22164"/>
    <w:rsid w:val="00B22A17"/>
    <w:rsid w:val="00B22B9F"/>
    <w:rsid w:val="00B22F78"/>
    <w:rsid w:val="00B24C51"/>
    <w:rsid w:val="00B25BE9"/>
    <w:rsid w:val="00B27131"/>
    <w:rsid w:val="00B27951"/>
    <w:rsid w:val="00B31892"/>
    <w:rsid w:val="00B32689"/>
    <w:rsid w:val="00B32CC5"/>
    <w:rsid w:val="00B331EC"/>
    <w:rsid w:val="00B347A1"/>
    <w:rsid w:val="00B35F83"/>
    <w:rsid w:val="00B368A0"/>
    <w:rsid w:val="00B36A30"/>
    <w:rsid w:val="00B409FA"/>
    <w:rsid w:val="00B41866"/>
    <w:rsid w:val="00B42F31"/>
    <w:rsid w:val="00B43D92"/>
    <w:rsid w:val="00B45D8A"/>
    <w:rsid w:val="00B51050"/>
    <w:rsid w:val="00B510F4"/>
    <w:rsid w:val="00B526F5"/>
    <w:rsid w:val="00B52CAD"/>
    <w:rsid w:val="00B53EAF"/>
    <w:rsid w:val="00B54B7F"/>
    <w:rsid w:val="00B55291"/>
    <w:rsid w:val="00B554D6"/>
    <w:rsid w:val="00B6454E"/>
    <w:rsid w:val="00B65BCA"/>
    <w:rsid w:val="00B6639B"/>
    <w:rsid w:val="00B66F84"/>
    <w:rsid w:val="00B674F3"/>
    <w:rsid w:val="00B675A3"/>
    <w:rsid w:val="00B67947"/>
    <w:rsid w:val="00B7570D"/>
    <w:rsid w:val="00B8016B"/>
    <w:rsid w:val="00B80E36"/>
    <w:rsid w:val="00B844D4"/>
    <w:rsid w:val="00B84F6E"/>
    <w:rsid w:val="00B8553C"/>
    <w:rsid w:val="00B87E0A"/>
    <w:rsid w:val="00B90713"/>
    <w:rsid w:val="00B9500B"/>
    <w:rsid w:val="00B958F8"/>
    <w:rsid w:val="00B970C0"/>
    <w:rsid w:val="00BA1D80"/>
    <w:rsid w:val="00BA4A96"/>
    <w:rsid w:val="00BA4E6F"/>
    <w:rsid w:val="00BA56A8"/>
    <w:rsid w:val="00BA784F"/>
    <w:rsid w:val="00BA7A1E"/>
    <w:rsid w:val="00BB3F28"/>
    <w:rsid w:val="00BB4FD9"/>
    <w:rsid w:val="00BB5711"/>
    <w:rsid w:val="00BB5722"/>
    <w:rsid w:val="00BB6693"/>
    <w:rsid w:val="00BB6BB6"/>
    <w:rsid w:val="00BB6CD0"/>
    <w:rsid w:val="00BC02E9"/>
    <w:rsid w:val="00BC17E4"/>
    <w:rsid w:val="00BC3EC5"/>
    <w:rsid w:val="00BC46B6"/>
    <w:rsid w:val="00BC4981"/>
    <w:rsid w:val="00BC4DE0"/>
    <w:rsid w:val="00BC5546"/>
    <w:rsid w:val="00BD2771"/>
    <w:rsid w:val="00BD35AA"/>
    <w:rsid w:val="00BD37CD"/>
    <w:rsid w:val="00BD3C78"/>
    <w:rsid w:val="00BD6505"/>
    <w:rsid w:val="00BD685D"/>
    <w:rsid w:val="00BD707F"/>
    <w:rsid w:val="00BE1981"/>
    <w:rsid w:val="00BE1D45"/>
    <w:rsid w:val="00BE57BB"/>
    <w:rsid w:val="00BE7092"/>
    <w:rsid w:val="00BE7118"/>
    <w:rsid w:val="00BE720F"/>
    <w:rsid w:val="00BF07A2"/>
    <w:rsid w:val="00BF0C25"/>
    <w:rsid w:val="00BF0E2D"/>
    <w:rsid w:val="00BF2D7F"/>
    <w:rsid w:val="00BF362A"/>
    <w:rsid w:val="00BF4756"/>
    <w:rsid w:val="00BF5AD6"/>
    <w:rsid w:val="00BF7869"/>
    <w:rsid w:val="00C06004"/>
    <w:rsid w:val="00C06076"/>
    <w:rsid w:val="00C06389"/>
    <w:rsid w:val="00C0763F"/>
    <w:rsid w:val="00C105DF"/>
    <w:rsid w:val="00C10CB7"/>
    <w:rsid w:val="00C11279"/>
    <w:rsid w:val="00C11A18"/>
    <w:rsid w:val="00C12B98"/>
    <w:rsid w:val="00C13A67"/>
    <w:rsid w:val="00C13CD5"/>
    <w:rsid w:val="00C157A7"/>
    <w:rsid w:val="00C17BA6"/>
    <w:rsid w:val="00C202D8"/>
    <w:rsid w:val="00C2045C"/>
    <w:rsid w:val="00C218B8"/>
    <w:rsid w:val="00C25444"/>
    <w:rsid w:val="00C26633"/>
    <w:rsid w:val="00C276CE"/>
    <w:rsid w:val="00C335A8"/>
    <w:rsid w:val="00C34448"/>
    <w:rsid w:val="00C34810"/>
    <w:rsid w:val="00C3501D"/>
    <w:rsid w:val="00C35F8E"/>
    <w:rsid w:val="00C362E2"/>
    <w:rsid w:val="00C3662C"/>
    <w:rsid w:val="00C4052B"/>
    <w:rsid w:val="00C409B6"/>
    <w:rsid w:val="00C40CD5"/>
    <w:rsid w:val="00C40D73"/>
    <w:rsid w:val="00C40DD3"/>
    <w:rsid w:val="00C42A8E"/>
    <w:rsid w:val="00C42EF8"/>
    <w:rsid w:val="00C44308"/>
    <w:rsid w:val="00C44571"/>
    <w:rsid w:val="00C46A25"/>
    <w:rsid w:val="00C47E88"/>
    <w:rsid w:val="00C500A8"/>
    <w:rsid w:val="00C51B7F"/>
    <w:rsid w:val="00C529B0"/>
    <w:rsid w:val="00C53D9F"/>
    <w:rsid w:val="00C540CA"/>
    <w:rsid w:val="00C556AB"/>
    <w:rsid w:val="00C56339"/>
    <w:rsid w:val="00C56A5A"/>
    <w:rsid w:val="00C56B62"/>
    <w:rsid w:val="00C60D14"/>
    <w:rsid w:val="00C64E46"/>
    <w:rsid w:val="00C650CF"/>
    <w:rsid w:val="00C65690"/>
    <w:rsid w:val="00C66F2D"/>
    <w:rsid w:val="00C67C95"/>
    <w:rsid w:val="00C67CE6"/>
    <w:rsid w:val="00C67DE9"/>
    <w:rsid w:val="00C71154"/>
    <w:rsid w:val="00C71160"/>
    <w:rsid w:val="00C71D49"/>
    <w:rsid w:val="00C7208B"/>
    <w:rsid w:val="00C72D68"/>
    <w:rsid w:val="00C737F2"/>
    <w:rsid w:val="00C73F3A"/>
    <w:rsid w:val="00C74467"/>
    <w:rsid w:val="00C751C9"/>
    <w:rsid w:val="00C75DFF"/>
    <w:rsid w:val="00C77D00"/>
    <w:rsid w:val="00C77F35"/>
    <w:rsid w:val="00C80071"/>
    <w:rsid w:val="00C8054F"/>
    <w:rsid w:val="00C80A0D"/>
    <w:rsid w:val="00C8214A"/>
    <w:rsid w:val="00C825E5"/>
    <w:rsid w:val="00C8345C"/>
    <w:rsid w:val="00C849B4"/>
    <w:rsid w:val="00C85CD7"/>
    <w:rsid w:val="00C91A6F"/>
    <w:rsid w:val="00C91C33"/>
    <w:rsid w:val="00C91E33"/>
    <w:rsid w:val="00C930C8"/>
    <w:rsid w:val="00C95611"/>
    <w:rsid w:val="00C96C82"/>
    <w:rsid w:val="00C96E22"/>
    <w:rsid w:val="00CA45CB"/>
    <w:rsid w:val="00CA4A37"/>
    <w:rsid w:val="00CA4C3A"/>
    <w:rsid w:val="00CA4E57"/>
    <w:rsid w:val="00CA675A"/>
    <w:rsid w:val="00CA7521"/>
    <w:rsid w:val="00CA7AA6"/>
    <w:rsid w:val="00CA7ADA"/>
    <w:rsid w:val="00CA7C07"/>
    <w:rsid w:val="00CA7F1D"/>
    <w:rsid w:val="00CB5BD4"/>
    <w:rsid w:val="00CB5C38"/>
    <w:rsid w:val="00CB7D76"/>
    <w:rsid w:val="00CC1C87"/>
    <w:rsid w:val="00CC1F8C"/>
    <w:rsid w:val="00CC29B3"/>
    <w:rsid w:val="00CC2EA8"/>
    <w:rsid w:val="00CC5500"/>
    <w:rsid w:val="00CC6E48"/>
    <w:rsid w:val="00CC77E6"/>
    <w:rsid w:val="00CD4DE8"/>
    <w:rsid w:val="00CD5841"/>
    <w:rsid w:val="00CD5A8F"/>
    <w:rsid w:val="00CD5E2A"/>
    <w:rsid w:val="00CD611D"/>
    <w:rsid w:val="00CD6238"/>
    <w:rsid w:val="00CD6617"/>
    <w:rsid w:val="00CD6876"/>
    <w:rsid w:val="00CD6D28"/>
    <w:rsid w:val="00CE0F1F"/>
    <w:rsid w:val="00CE1555"/>
    <w:rsid w:val="00CE2494"/>
    <w:rsid w:val="00CE2973"/>
    <w:rsid w:val="00CE4073"/>
    <w:rsid w:val="00CE5DA0"/>
    <w:rsid w:val="00CE719D"/>
    <w:rsid w:val="00CE724E"/>
    <w:rsid w:val="00CE7470"/>
    <w:rsid w:val="00CE7DD9"/>
    <w:rsid w:val="00CE7F68"/>
    <w:rsid w:val="00CF163E"/>
    <w:rsid w:val="00CF23A0"/>
    <w:rsid w:val="00CF4EFF"/>
    <w:rsid w:val="00CF55B7"/>
    <w:rsid w:val="00CF6092"/>
    <w:rsid w:val="00CF6B54"/>
    <w:rsid w:val="00CF723E"/>
    <w:rsid w:val="00CF7AED"/>
    <w:rsid w:val="00D0067F"/>
    <w:rsid w:val="00D01D7C"/>
    <w:rsid w:val="00D02831"/>
    <w:rsid w:val="00D03A37"/>
    <w:rsid w:val="00D03D7C"/>
    <w:rsid w:val="00D0405D"/>
    <w:rsid w:val="00D0437B"/>
    <w:rsid w:val="00D04C47"/>
    <w:rsid w:val="00D06409"/>
    <w:rsid w:val="00D069F8"/>
    <w:rsid w:val="00D07E4B"/>
    <w:rsid w:val="00D1230E"/>
    <w:rsid w:val="00D1318A"/>
    <w:rsid w:val="00D13CEA"/>
    <w:rsid w:val="00D13F20"/>
    <w:rsid w:val="00D144B1"/>
    <w:rsid w:val="00D15014"/>
    <w:rsid w:val="00D15AA1"/>
    <w:rsid w:val="00D164BC"/>
    <w:rsid w:val="00D203E4"/>
    <w:rsid w:val="00D22915"/>
    <w:rsid w:val="00D231AE"/>
    <w:rsid w:val="00D23481"/>
    <w:rsid w:val="00D2544E"/>
    <w:rsid w:val="00D25C63"/>
    <w:rsid w:val="00D270CC"/>
    <w:rsid w:val="00D279F0"/>
    <w:rsid w:val="00D3133A"/>
    <w:rsid w:val="00D34325"/>
    <w:rsid w:val="00D3496C"/>
    <w:rsid w:val="00D36A13"/>
    <w:rsid w:val="00D36A9F"/>
    <w:rsid w:val="00D37195"/>
    <w:rsid w:val="00D40E81"/>
    <w:rsid w:val="00D41140"/>
    <w:rsid w:val="00D42E23"/>
    <w:rsid w:val="00D4426A"/>
    <w:rsid w:val="00D44FE4"/>
    <w:rsid w:val="00D466A8"/>
    <w:rsid w:val="00D46E14"/>
    <w:rsid w:val="00D479C4"/>
    <w:rsid w:val="00D51004"/>
    <w:rsid w:val="00D52EC1"/>
    <w:rsid w:val="00D579E6"/>
    <w:rsid w:val="00D61FF9"/>
    <w:rsid w:val="00D62480"/>
    <w:rsid w:val="00D629E3"/>
    <w:rsid w:val="00D64273"/>
    <w:rsid w:val="00D64996"/>
    <w:rsid w:val="00D64C4F"/>
    <w:rsid w:val="00D66DDB"/>
    <w:rsid w:val="00D70766"/>
    <w:rsid w:val="00D7252C"/>
    <w:rsid w:val="00D770AE"/>
    <w:rsid w:val="00D7768F"/>
    <w:rsid w:val="00D824D9"/>
    <w:rsid w:val="00D82691"/>
    <w:rsid w:val="00D837B0"/>
    <w:rsid w:val="00D83FBA"/>
    <w:rsid w:val="00D873AA"/>
    <w:rsid w:val="00D906B2"/>
    <w:rsid w:val="00D91F3E"/>
    <w:rsid w:val="00D92325"/>
    <w:rsid w:val="00D95A1B"/>
    <w:rsid w:val="00D95ACB"/>
    <w:rsid w:val="00D967E5"/>
    <w:rsid w:val="00D97C5C"/>
    <w:rsid w:val="00DA1EA0"/>
    <w:rsid w:val="00DA2E83"/>
    <w:rsid w:val="00DA3868"/>
    <w:rsid w:val="00DA3A68"/>
    <w:rsid w:val="00DA4E7C"/>
    <w:rsid w:val="00DA72E9"/>
    <w:rsid w:val="00DB277C"/>
    <w:rsid w:val="00DB3FB8"/>
    <w:rsid w:val="00DB405F"/>
    <w:rsid w:val="00DB5A7F"/>
    <w:rsid w:val="00DB7DC5"/>
    <w:rsid w:val="00DC0C32"/>
    <w:rsid w:val="00DC175C"/>
    <w:rsid w:val="00DC32C8"/>
    <w:rsid w:val="00DC4BDF"/>
    <w:rsid w:val="00DC69D9"/>
    <w:rsid w:val="00DC7159"/>
    <w:rsid w:val="00DC7C06"/>
    <w:rsid w:val="00DC7C54"/>
    <w:rsid w:val="00DC7E08"/>
    <w:rsid w:val="00DD0CD5"/>
    <w:rsid w:val="00DD1932"/>
    <w:rsid w:val="00DD2423"/>
    <w:rsid w:val="00DD4191"/>
    <w:rsid w:val="00DD4D08"/>
    <w:rsid w:val="00DD7008"/>
    <w:rsid w:val="00DD732B"/>
    <w:rsid w:val="00DE00CB"/>
    <w:rsid w:val="00DE02CA"/>
    <w:rsid w:val="00DE12B2"/>
    <w:rsid w:val="00DE224D"/>
    <w:rsid w:val="00DE39BB"/>
    <w:rsid w:val="00DE3CE1"/>
    <w:rsid w:val="00DE41C5"/>
    <w:rsid w:val="00DE707C"/>
    <w:rsid w:val="00DF43D9"/>
    <w:rsid w:val="00DF5E71"/>
    <w:rsid w:val="00DF7F84"/>
    <w:rsid w:val="00E0113F"/>
    <w:rsid w:val="00E01D06"/>
    <w:rsid w:val="00E01F9C"/>
    <w:rsid w:val="00E022A1"/>
    <w:rsid w:val="00E0245B"/>
    <w:rsid w:val="00E02A52"/>
    <w:rsid w:val="00E03615"/>
    <w:rsid w:val="00E0447A"/>
    <w:rsid w:val="00E05217"/>
    <w:rsid w:val="00E052B8"/>
    <w:rsid w:val="00E053A1"/>
    <w:rsid w:val="00E0712E"/>
    <w:rsid w:val="00E10780"/>
    <w:rsid w:val="00E11836"/>
    <w:rsid w:val="00E12804"/>
    <w:rsid w:val="00E134FA"/>
    <w:rsid w:val="00E13E31"/>
    <w:rsid w:val="00E14126"/>
    <w:rsid w:val="00E20267"/>
    <w:rsid w:val="00E21882"/>
    <w:rsid w:val="00E22006"/>
    <w:rsid w:val="00E22EA8"/>
    <w:rsid w:val="00E23058"/>
    <w:rsid w:val="00E23F4A"/>
    <w:rsid w:val="00E25D40"/>
    <w:rsid w:val="00E319C2"/>
    <w:rsid w:val="00E319EF"/>
    <w:rsid w:val="00E31CB8"/>
    <w:rsid w:val="00E332FF"/>
    <w:rsid w:val="00E33DFB"/>
    <w:rsid w:val="00E34A79"/>
    <w:rsid w:val="00E354BF"/>
    <w:rsid w:val="00E361ED"/>
    <w:rsid w:val="00E375B0"/>
    <w:rsid w:val="00E377AC"/>
    <w:rsid w:val="00E37EED"/>
    <w:rsid w:val="00E40395"/>
    <w:rsid w:val="00E40CA6"/>
    <w:rsid w:val="00E41747"/>
    <w:rsid w:val="00E44D06"/>
    <w:rsid w:val="00E455A3"/>
    <w:rsid w:val="00E46240"/>
    <w:rsid w:val="00E46C39"/>
    <w:rsid w:val="00E51B73"/>
    <w:rsid w:val="00E53017"/>
    <w:rsid w:val="00E54144"/>
    <w:rsid w:val="00E547F7"/>
    <w:rsid w:val="00E57404"/>
    <w:rsid w:val="00E57A6E"/>
    <w:rsid w:val="00E57C5B"/>
    <w:rsid w:val="00E609BD"/>
    <w:rsid w:val="00E61043"/>
    <w:rsid w:val="00E64BEF"/>
    <w:rsid w:val="00E64E18"/>
    <w:rsid w:val="00E66BEB"/>
    <w:rsid w:val="00E71771"/>
    <w:rsid w:val="00E71F80"/>
    <w:rsid w:val="00E7201D"/>
    <w:rsid w:val="00E73985"/>
    <w:rsid w:val="00E73A8B"/>
    <w:rsid w:val="00E7452D"/>
    <w:rsid w:val="00E74CB0"/>
    <w:rsid w:val="00E81B7C"/>
    <w:rsid w:val="00E82E3A"/>
    <w:rsid w:val="00E8490D"/>
    <w:rsid w:val="00E85AC5"/>
    <w:rsid w:val="00E864E9"/>
    <w:rsid w:val="00E909E3"/>
    <w:rsid w:val="00E91D41"/>
    <w:rsid w:val="00E932DE"/>
    <w:rsid w:val="00E94009"/>
    <w:rsid w:val="00E95808"/>
    <w:rsid w:val="00E95D2C"/>
    <w:rsid w:val="00E96692"/>
    <w:rsid w:val="00E9742F"/>
    <w:rsid w:val="00EA372C"/>
    <w:rsid w:val="00EA5175"/>
    <w:rsid w:val="00EA54CC"/>
    <w:rsid w:val="00EB020F"/>
    <w:rsid w:val="00EB33A4"/>
    <w:rsid w:val="00EB6216"/>
    <w:rsid w:val="00EB6CF0"/>
    <w:rsid w:val="00EC1274"/>
    <w:rsid w:val="00EC285A"/>
    <w:rsid w:val="00EC3047"/>
    <w:rsid w:val="00EC4067"/>
    <w:rsid w:val="00EC4A9D"/>
    <w:rsid w:val="00EC4F2E"/>
    <w:rsid w:val="00EC5C68"/>
    <w:rsid w:val="00EC6576"/>
    <w:rsid w:val="00EC6C01"/>
    <w:rsid w:val="00ED2DE6"/>
    <w:rsid w:val="00ED3627"/>
    <w:rsid w:val="00ED37B8"/>
    <w:rsid w:val="00ED3C94"/>
    <w:rsid w:val="00ED3DC6"/>
    <w:rsid w:val="00ED5B5F"/>
    <w:rsid w:val="00ED67BB"/>
    <w:rsid w:val="00EE1B70"/>
    <w:rsid w:val="00EE3EC4"/>
    <w:rsid w:val="00EE53C1"/>
    <w:rsid w:val="00EF0C39"/>
    <w:rsid w:val="00EF1DD9"/>
    <w:rsid w:val="00EF2351"/>
    <w:rsid w:val="00EF36E1"/>
    <w:rsid w:val="00EF6C8B"/>
    <w:rsid w:val="00F017E3"/>
    <w:rsid w:val="00F01BE8"/>
    <w:rsid w:val="00F028A5"/>
    <w:rsid w:val="00F02ACE"/>
    <w:rsid w:val="00F03296"/>
    <w:rsid w:val="00F03463"/>
    <w:rsid w:val="00F03E2D"/>
    <w:rsid w:val="00F05082"/>
    <w:rsid w:val="00F06AF6"/>
    <w:rsid w:val="00F06D4D"/>
    <w:rsid w:val="00F104DF"/>
    <w:rsid w:val="00F10F4C"/>
    <w:rsid w:val="00F130D0"/>
    <w:rsid w:val="00F138EA"/>
    <w:rsid w:val="00F16F36"/>
    <w:rsid w:val="00F20567"/>
    <w:rsid w:val="00F205D6"/>
    <w:rsid w:val="00F21641"/>
    <w:rsid w:val="00F21BA6"/>
    <w:rsid w:val="00F26C65"/>
    <w:rsid w:val="00F302EB"/>
    <w:rsid w:val="00F316B5"/>
    <w:rsid w:val="00F32CD9"/>
    <w:rsid w:val="00F36429"/>
    <w:rsid w:val="00F42088"/>
    <w:rsid w:val="00F43789"/>
    <w:rsid w:val="00F47855"/>
    <w:rsid w:val="00F50072"/>
    <w:rsid w:val="00F507C6"/>
    <w:rsid w:val="00F510BE"/>
    <w:rsid w:val="00F51CCB"/>
    <w:rsid w:val="00F51D19"/>
    <w:rsid w:val="00F530A8"/>
    <w:rsid w:val="00F550A0"/>
    <w:rsid w:val="00F557CB"/>
    <w:rsid w:val="00F56036"/>
    <w:rsid w:val="00F56168"/>
    <w:rsid w:val="00F56367"/>
    <w:rsid w:val="00F57AD5"/>
    <w:rsid w:val="00F6097F"/>
    <w:rsid w:val="00F61896"/>
    <w:rsid w:val="00F61BC4"/>
    <w:rsid w:val="00F62018"/>
    <w:rsid w:val="00F62352"/>
    <w:rsid w:val="00F6282A"/>
    <w:rsid w:val="00F62E83"/>
    <w:rsid w:val="00F6436B"/>
    <w:rsid w:val="00F65096"/>
    <w:rsid w:val="00F65D8D"/>
    <w:rsid w:val="00F66D90"/>
    <w:rsid w:val="00F709C2"/>
    <w:rsid w:val="00F70A24"/>
    <w:rsid w:val="00F71565"/>
    <w:rsid w:val="00F7237E"/>
    <w:rsid w:val="00F73D29"/>
    <w:rsid w:val="00F7642B"/>
    <w:rsid w:val="00F773C0"/>
    <w:rsid w:val="00F80790"/>
    <w:rsid w:val="00F81612"/>
    <w:rsid w:val="00F81CB3"/>
    <w:rsid w:val="00F8469D"/>
    <w:rsid w:val="00F848AF"/>
    <w:rsid w:val="00F8704A"/>
    <w:rsid w:val="00F8788F"/>
    <w:rsid w:val="00F87926"/>
    <w:rsid w:val="00F908B7"/>
    <w:rsid w:val="00F91851"/>
    <w:rsid w:val="00F933B4"/>
    <w:rsid w:val="00F936DE"/>
    <w:rsid w:val="00F93F64"/>
    <w:rsid w:val="00F955F5"/>
    <w:rsid w:val="00FA03D1"/>
    <w:rsid w:val="00FA2470"/>
    <w:rsid w:val="00FA29D0"/>
    <w:rsid w:val="00FA2ED3"/>
    <w:rsid w:val="00FA3A0C"/>
    <w:rsid w:val="00FA3EA6"/>
    <w:rsid w:val="00FA6B8E"/>
    <w:rsid w:val="00FB0D59"/>
    <w:rsid w:val="00FB1BAA"/>
    <w:rsid w:val="00FB1BCD"/>
    <w:rsid w:val="00FB1D33"/>
    <w:rsid w:val="00FB450A"/>
    <w:rsid w:val="00FB503E"/>
    <w:rsid w:val="00FB6F19"/>
    <w:rsid w:val="00FB7A52"/>
    <w:rsid w:val="00FB7C3A"/>
    <w:rsid w:val="00FC01D5"/>
    <w:rsid w:val="00FC2034"/>
    <w:rsid w:val="00FC293C"/>
    <w:rsid w:val="00FC387F"/>
    <w:rsid w:val="00FC6F1F"/>
    <w:rsid w:val="00FD34DC"/>
    <w:rsid w:val="00FD5141"/>
    <w:rsid w:val="00FD5CCF"/>
    <w:rsid w:val="00FD667D"/>
    <w:rsid w:val="00FE1D66"/>
    <w:rsid w:val="00FE3AE7"/>
    <w:rsid w:val="00FE58DC"/>
    <w:rsid w:val="00FE609B"/>
    <w:rsid w:val="00FE62B8"/>
    <w:rsid w:val="00FF6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0D3073A6-AEA7-4EDB-9104-219B1CC4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1D3B39"/>
    <w:rPr>
      <w:color w:val="605E5C"/>
      <w:shd w:val="clear" w:color="auto" w:fill="E1DFDD"/>
    </w:rPr>
  </w:style>
  <w:style w:type="character" w:customStyle="1" w:styleId="Mencinsinresolver5">
    <w:name w:val="Mención sin resolver5"/>
    <w:basedOn w:val="Fuentedeprrafopredeter"/>
    <w:uiPriority w:val="99"/>
    <w:semiHidden/>
    <w:unhideWhenUsed/>
    <w:rsid w:val="00AA7A13"/>
    <w:rPr>
      <w:color w:val="605E5C"/>
      <w:shd w:val="clear" w:color="auto" w:fill="E1DFDD"/>
    </w:rPr>
  </w:style>
  <w:style w:type="character" w:customStyle="1" w:styleId="il">
    <w:name w:val="il"/>
    <w:basedOn w:val="Fuentedeprrafopredeter"/>
    <w:rsid w:val="00BC4DE0"/>
  </w:style>
  <w:style w:type="paragraph" w:styleId="Textodeglobo">
    <w:name w:val="Balloon Text"/>
    <w:basedOn w:val="Normal"/>
    <w:link w:val="TextodegloboCar"/>
    <w:uiPriority w:val="99"/>
    <w:semiHidden/>
    <w:unhideWhenUsed/>
    <w:rsid w:val="006258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2588A"/>
    <w:rPr>
      <w:rFonts w:ascii="Segoe UI" w:hAnsi="Segoe UI" w:cs="Segoe UI"/>
      <w:color w:val="000000" w:themeColor="text1"/>
      <w:sz w:val="18"/>
      <w:szCs w:val="18"/>
      <w:lang w:eastAsia="es-MX"/>
    </w:rPr>
  </w:style>
  <w:style w:type="character" w:styleId="Textoennegrita">
    <w:name w:val="Strong"/>
    <w:basedOn w:val="Fuentedeprrafopredeter"/>
    <w:uiPriority w:val="22"/>
    <w:qFormat/>
    <w:rsid w:val="001B5D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31411908">
      <w:bodyDiv w:val="1"/>
      <w:marLeft w:val="0"/>
      <w:marRight w:val="0"/>
      <w:marTop w:val="0"/>
      <w:marBottom w:val="0"/>
      <w:divBdr>
        <w:top w:val="none" w:sz="0" w:space="0" w:color="auto"/>
        <w:left w:val="none" w:sz="0" w:space="0" w:color="auto"/>
        <w:bottom w:val="none" w:sz="0" w:space="0" w:color="auto"/>
        <w:right w:val="none" w:sz="0" w:space="0" w:color="auto"/>
      </w:divBdr>
    </w:div>
    <w:div w:id="142431407">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538084">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4553071">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31973971">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854155">
      <w:bodyDiv w:val="1"/>
      <w:marLeft w:val="0"/>
      <w:marRight w:val="0"/>
      <w:marTop w:val="0"/>
      <w:marBottom w:val="0"/>
      <w:divBdr>
        <w:top w:val="none" w:sz="0" w:space="0" w:color="auto"/>
        <w:left w:val="none" w:sz="0" w:space="0" w:color="auto"/>
        <w:bottom w:val="none" w:sz="0" w:space="0" w:color="auto"/>
        <w:right w:val="none" w:sz="0" w:space="0" w:color="auto"/>
      </w:divBdr>
      <w:divsChild>
        <w:div w:id="1948346076">
          <w:marLeft w:val="0"/>
          <w:marRight w:val="0"/>
          <w:marTop w:val="0"/>
          <w:marBottom w:val="0"/>
          <w:divBdr>
            <w:top w:val="none" w:sz="0" w:space="0" w:color="auto"/>
            <w:left w:val="none" w:sz="0" w:space="0" w:color="auto"/>
            <w:bottom w:val="none" w:sz="0" w:space="0" w:color="auto"/>
            <w:right w:val="none" w:sz="0" w:space="0" w:color="auto"/>
          </w:divBdr>
          <w:divsChild>
            <w:div w:id="203955208">
              <w:marLeft w:val="0"/>
              <w:marRight w:val="0"/>
              <w:marTop w:val="0"/>
              <w:marBottom w:val="0"/>
              <w:divBdr>
                <w:top w:val="none" w:sz="0" w:space="0" w:color="auto"/>
                <w:left w:val="none" w:sz="0" w:space="0" w:color="auto"/>
                <w:bottom w:val="none" w:sz="0" w:space="0" w:color="auto"/>
                <w:right w:val="none" w:sz="0" w:space="0" w:color="auto"/>
              </w:divBdr>
              <w:divsChild>
                <w:div w:id="17453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29540433">
      <w:bodyDiv w:val="1"/>
      <w:marLeft w:val="0"/>
      <w:marRight w:val="0"/>
      <w:marTop w:val="0"/>
      <w:marBottom w:val="0"/>
      <w:divBdr>
        <w:top w:val="none" w:sz="0" w:space="0" w:color="auto"/>
        <w:left w:val="none" w:sz="0" w:space="0" w:color="auto"/>
        <w:bottom w:val="none" w:sz="0" w:space="0" w:color="auto"/>
        <w:right w:val="none" w:sz="0" w:space="0" w:color="auto"/>
      </w:divBdr>
    </w:div>
    <w:div w:id="1441871373">
      <w:bodyDiv w:val="1"/>
      <w:marLeft w:val="0"/>
      <w:marRight w:val="0"/>
      <w:marTop w:val="0"/>
      <w:marBottom w:val="0"/>
      <w:divBdr>
        <w:top w:val="none" w:sz="0" w:space="0" w:color="auto"/>
        <w:left w:val="none" w:sz="0" w:space="0" w:color="auto"/>
        <w:bottom w:val="none" w:sz="0" w:space="0" w:color="auto"/>
        <w:right w:val="none" w:sz="0" w:space="0" w:color="auto"/>
      </w:divBdr>
    </w:div>
    <w:div w:id="1448239335">
      <w:bodyDiv w:val="1"/>
      <w:marLeft w:val="0"/>
      <w:marRight w:val="0"/>
      <w:marTop w:val="0"/>
      <w:marBottom w:val="0"/>
      <w:divBdr>
        <w:top w:val="none" w:sz="0" w:space="0" w:color="auto"/>
        <w:left w:val="none" w:sz="0" w:space="0" w:color="auto"/>
        <w:bottom w:val="none" w:sz="0" w:space="0" w:color="auto"/>
        <w:right w:val="none" w:sz="0" w:space="0" w:color="auto"/>
      </w:divBdr>
      <w:divsChild>
        <w:div w:id="1819572935">
          <w:marLeft w:val="0"/>
          <w:marRight w:val="0"/>
          <w:marTop w:val="0"/>
          <w:marBottom w:val="0"/>
          <w:divBdr>
            <w:top w:val="none" w:sz="0" w:space="0" w:color="auto"/>
            <w:left w:val="none" w:sz="0" w:space="0" w:color="auto"/>
            <w:bottom w:val="none" w:sz="0" w:space="0" w:color="auto"/>
            <w:right w:val="none" w:sz="0" w:space="0" w:color="auto"/>
          </w:divBdr>
          <w:divsChild>
            <w:div w:id="61369277">
              <w:marLeft w:val="0"/>
              <w:marRight w:val="0"/>
              <w:marTop w:val="0"/>
              <w:marBottom w:val="0"/>
              <w:divBdr>
                <w:top w:val="none" w:sz="0" w:space="0" w:color="auto"/>
                <w:left w:val="none" w:sz="0" w:space="0" w:color="auto"/>
                <w:bottom w:val="none" w:sz="0" w:space="0" w:color="auto"/>
                <w:right w:val="none" w:sz="0" w:space="0" w:color="auto"/>
              </w:divBdr>
              <w:divsChild>
                <w:div w:id="11112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9832410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77224644">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75055384">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984855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98471445">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06202564">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cms/uploads/attachment/file/1003269/17.-_DEFENSA-02-036.pdf"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gob.mx/defensa/acciones-y-programas/sedena-02-036" TargetMode="External"/><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omex.org.mx/ipomex/"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ccc.edomex.gob.mx/proceso_evaluacion"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ocplayer.es/5455342-Nuevas-tecnologias-biometricas-instituto-nacional-deciencias-penales-procuraduria-general-de-la-republica-version-1-0.html" TargetMode="External"/><Relationship Id="rId4" Type="http://schemas.openxmlformats.org/officeDocument/2006/relationships/styles" Target="styles.xml"/><Relationship Id="rId9" Type="http://schemas.openxmlformats.org/officeDocument/2006/relationships/hyperlink" Target="https://ipomex.org.mx/ipomex/" TargetMode="External"/><Relationship Id="rId14" Type="http://schemas.openxmlformats.org/officeDocument/2006/relationships/hyperlink" Target="https://ccc.edomex.gob.mx/para_que%20sirven_evaluaciones_cc"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C9DE67-0D43-461D-8B68-46A12EC8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17920</Words>
  <Characters>98565</Characters>
  <Application>Microsoft Office Word</Application>
  <DocSecurity>0</DocSecurity>
  <Lines>821</Lines>
  <Paragraphs>232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2026-04-10T15:20:00Z</cp:lastPrinted>
  <dcterms:created xsi:type="dcterms:W3CDTF">2026-04-24T21:39:00Z</dcterms:created>
  <dcterms:modified xsi:type="dcterms:W3CDTF">2026-04-24T21:39:00Z</dcterms:modified>
</cp:coreProperties>
</file>