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FED42" w14:textId="0A8B8F8C" w:rsidR="006C2841" w:rsidRPr="00A86B8B" w:rsidRDefault="00D06478">
      <w:pPr>
        <w:spacing w:before="240" w:after="240" w:line="360" w:lineRule="auto"/>
        <w:jc w:val="both"/>
        <w:rPr>
          <w:rFonts w:ascii="Palatino Linotype" w:eastAsia="Palatino Linotype" w:hAnsi="Palatino Linotype" w:cs="Palatino Linotype"/>
          <w:sz w:val="22"/>
          <w:szCs w:val="22"/>
        </w:rPr>
      </w:pPr>
      <w:bookmarkStart w:id="0" w:name="_heading=h.3rdcrjn" w:colFirst="0" w:colLast="0"/>
      <w:bookmarkEnd w:id="0"/>
      <w:r w:rsidRPr="00A86B8B">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en Metepec, Estado de México, a</w:t>
      </w:r>
      <w:r w:rsidR="00151514" w:rsidRPr="00A86B8B">
        <w:rPr>
          <w:rFonts w:ascii="Palatino Linotype" w:eastAsia="Palatino Linotype" w:hAnsi="Palatino Linotype" w:cs="Palatino Linotype"/>
          <w:sz w:val="22"/>
          <w:szCs w:val="22"/>
        </w:rPr>
        <w:t xml:space="preserve"> veinticinco</w:t>
      </w:r>
      <w:r w:rsidRPr="00A86B8B">
        <w:rPr>
          <w:rFonts w:ascii="Palatino Linotype" w:eastAsia="Palatino Linotype" w:hAnsi="Palatino Linotype" w:cs="Palatino Linotype"/>
          <w:sz w:val="22"/>
          <w:szCs w:val="22"/>
        </w:rPr>
        <w:t xml:space="preserve"> de febrero de dos mil veintiséis. </w:t>
      </w:r>
    </w:p>
    <w:p w14:paraId="132DF41E" w14:textId="470B9D02" w:rsidR="006C2841" w:rsidRPr="00A86B8B" w:rsidRDefault="00D06478">
      <w:pPr>
        <w:tabs>
          <w:tab w:val="left" w:pos="5812"/>
        </w:tabs>
        <w:spacing w:before="240" w:after="240" w:line="360" w:lineRule="auto"/>
        <w:jc w:val="both"/>
        <w:rPr>
          <w:rFonts w:ascii="Palatino Linotype" w:eastAsia="Palatino Linotype" w:hAnsi="Palatino Linotype" w:cs="Palatino Linotype"/>
          <w:sz w:val="22"/>
          <w:szCs w:val="22"/>
        </w:rPr>
      </w:pPr>
      <w:bookmarkStart w:id="1" w:name="_heading=h.daj3j2xo6q66" w:colFirst="0" w:colLast="0"/>
      <w:bookmarkEnd w:id="1"/>
      <w:r w:rsidRPr="00A86B8B">
        <w:rPr>
          <w:rFonts w:ascii="Palatino Linotype" w:eastAsia="Palatino Linotype" w:hAnsi="Palatino Linotype" w:cs="Palatino Linotype"/>
          <w:b/>
          <w:bCs/>
          <w:sz w:val="22"/>
          <w:szCs w:val="22"/>
        </w:rPr>
        <w:t>VISTO</w:t>
      </w:r>
      <w:r w:rsidRPr="00A86B8B">
        <w:rPr>
          <w:rFonts w:ascii="Palatino Linotype" w:eastAsia="Palatino Linotype" w:hAnsi="Palatino Linotype" w:cs="Palatino Linotype"/>
          <w:sz w:val="22"/>
          <w:szCs w:val="22"/>
        </w:rPr>
        <w:t xml:space="preserve"> el expediente formado con motivo del recurso de revisión </w:t>
      </w:r>
      <w:r w:rsidRPr="00A86B8B">
        <w:rPr>
          <w:rFonts w:ascii="Palatino Linotype" w:eastAsia="Palatino Linotype" w:hAnsi="Palatino Linotype" w:cs="Palatino Linotype"/>
          <w:b/>
          <w:bCs/>
          <w:sz w:val="22"/>
          <w:szCs w:val="22"/>
        </w:rPr>
        <w:t>1</w:t>
      </w:r>
      <w:r w:rsidR="000902CA" w:rsidRPr="00A86B8B">
        <w:rPr>
          <w:rFonts w:ascii="Palatino Linotype" w:eastAsia="Palatino Linotype" w:hAnsi="Palatino Linotype" w:cs="Palatino Linotype"/>
          <w:b/>
          <w:bCs/>
          <w:sz w:val="22"/>
          <w:szCs w:val="22"/>
        </w:rPr>
        <w:t>3804</w:t>
      </w:r>
      <w:r w:rsidRPr="00A86B8B">
        <w:rPr>
          <w:rFonts w:ascii="Palatino Linotype" w:eastAsia="Palatino Linotype" w:hAnsi="Palatino Linotype" w:cs="Palatino Linotype"/>
          <w:b/>
          <w:bCs/>
          <w:sz w:val="22"/>
          <w:szCs w:val="22"/>
        </w:rPr>
        <w:t>/INFOEM/IP/RR/2025</w:t>
      </w:r>
      <w:r w:rsidRPr="00A86B8B">
        <w:rPr>
          <w:rFonts w:ascii="Palatino Linotype" w:eastAsia="Palatino Linotype" w:hAnsi="Palatino Linotype" w:cs="Palatino Linotype"/>
          <w:sz w:val="22"/>
          <w:szCs w:val="22"/>
        </w:rPr>
        <w:t>, interpuesto por</w:t>
      </w:r>
      <w:r w:rsidRPr="00A86B8B">
        <w:rPr>
          <w:rFonts w:ascii="Palatino Linotype" w:eastAsia="Palatino Linotype" w:hAnsi="Palatino Linotype" w:cs="Palatino Linotype"/>
          <w:b/>
          <w:bCs/>
          <w:sz w:val="22"/>
          <w:szCs w:val="22"/>
        </w:rPr>
        <w:t xml:space="preserve"> </w:t>
      </w:r>
      <w:r w:rsidR="00E437DB" w:rsidRPr="00E437DB">
        <w:rPr>
          <w:rFonts w:ascii="Palatino Linotype" w:eastAsia="Palatino Linotype" w:hAnsi="Palatino Linotype" w:cs="Palatino Linotype"/>
          <w:b/>
          <w:bCs/>
          <w:sz w:val="22"/>
          <w:szCs w:val="22"/>
        </w:rPr>
        <w:t>XXXXX XXXXXXXXX</w:t>
      </w:r>
      <w:r w:rsidRPr="00E437DB">
        <w:rPr>
          <w:rFonts w:ascii="Palatino Linotype" w:eastAsia="Palatino Linotype" w:hAnsi="Palatino Linotype" w:cs="Palatino Linotype"/>
          <w:b/>
          <w:bCs/>
          <w:sz w:val="22"/>
          <w:szCs w:val="22"/>
        </w:rPr>
        <w:t>,</w:t>
      </w:r>
      <w:bookmarkStart w:id="2" w:name="_GoBack"/>
      <w:bookmarkEnd w:id="2"/>
      <w:r w:rsidRPr="00A86B8B">
        <w:rPr>
          <w:rFonts w:ascii="Palatino Linotype" w:eastAsia="Palatino Linotype" w:hAnsi="Palatino Linotype" w:cs="Palatino Linotype"/>
          <w:sz w:val="22"/>
          <w:szCs w:val="22"/>
        </w:rPr>
        <w:t xml:space="preserve"> en lo sucesivo</w:t>
      </w:r>
      <w:r w:rsidRPr="00A86B8B">
        <w:rPr>
          <w:rFonts w:ascii="Palatino Linotype" w:eastAsia="Palatino Linotype" w:hAnsi="Palatino Linotype" w:cs="Palatino Linotype"/>
          <w:b/>
          <w:bCs/>
          <w:sz w:val="22"/>
          <w:szCs w:val="22"/>
        </w:rPr>
        <w:t xml:space="preserve"> </w:t>
      </w:r>
      <w:r w:rsidRPr="00A86B8B">
        <w:rPr>
          <w:rFonts w:ascii="Palatino Linotype" w:eastAsia="Palatino Linotype" w:hAnsi="Palatino Linotype" w:cs="Palatino Linotype"/>
          <w:sz w:val="22"/>
          <w:szCs w:val="22"/>
        </w:rPr>
        <w:t xml:space="preserve">la parte </w:t>
      </w:r>
      <w:r w:rsidRPr="00A86B8B">
        <w:rPr>
          <w:rFonts w:ascii="Palatino Linotype" w:eastAsia="Palatino Linotype" w:hAnsi="Palatino Linotype" w:cs="Palatino Linotype"/>
          <w:b/>
          <w:bCs/>
          <w:sz w:val="22"/>
          <w:szCs w:val="22"/>
        </w:rPr>
        <w:t>Recurrente,</w:t>
      </w:r>
      <w:r w:rsidRPr="00A86B8B">
        <w:rPr>
          <w:rFonts w:ascii="Palatino Linotype" w:eastAsia="Palatino Linotype" w:hAnsi="Palatino Linotype" w:cs="Palatino Linotype"/>
          <w:sz w:val="22"/>
          <w:szCs w:val="22"/>
        </w:rPr>
        <w:t xml:space="preserve"> en contra de la respuesta a la solicitud de información con número de folio</w:t>
      </w:r>
      <w:r w:rsidRPr="00A86B8B">
        <w:rPr>
          <w:rFonts w:ascii="Palatino Linotype" w:eastAsia="Palatino Linotype" w:hAnsi="Palatino Linotype" w:cs="Palatino Linotype"/>
          <w:b/>
          <w:bCs/>
          <w:sz w:val="22"/>
          <w:szCs w:val="22"/>
        </w:rPr>
        <w:t xml:space="preserve"> </w:t>
      </w:r>
      <w:r w:rsidR="00151514" w:rsidRPr="00A86B8B">
        <w:rPr>
          <w:rFonts w:ascii="Palatino Linotype" w:eastAsia="Palatino Linotype" w:hAnsi="Palatino Linotype" w:cs="Palatino Linotype"/>
          <w:b/>
          <w:bCs/>
          <w:sz w:val="22"/>
          <w:szCs w:val="22"/>
        </w:rPr>
        <w:t>00750/PLEGISLA/IP/2025</w:t>
      </w:r>
      <w:r w:rsidRPr="00A86B8B">
        <w:rPr>
          <w:rFonts w:ascii="Palatino Linotype" w:eastAsia="Palatino Linotype" w:hAnsi="Palatino Linotype" w:cs="Palatino Linotype"/>
          <w:b/>
          <w:bCs/>
          <w:sz w:val="22"/>
          <w:szCs w:val="22"/>
        </w:rPr>
        <w:t xml:space="preserve">, </w:t>
      </w:r>
      <w:r w:rsidRPr="00A86B8B">
        <w:rPr>
          <w:rFonts w:ascii="Palatino Linotype" w:eastAsia="Palatino Linotype" w:hAnsi="Palatino Linotype" w:cs="Palatino Linotype"/>
          <w:sz w:val="22"/>
          <w:szCs w:val="22"/>
        </w:rPr>
        <w:t xml:space="preserve">por parte de la </w:t>
      </w:r>
      <w:r w:rsidR="000902CA" w:rsidRPr="00A86B8B">
        <w:rPr>
          <w:rFonts w:ascii="Palatino Linotype" w:eastAsia="Palatino Linotype" w:hAnsi="Palatino Linotype" w:cs="Palatino Linotype"/>
          <w:b/>
          <w:bCs/>
          <w:sz w:val="22"/>
          <w:szCs w:val="22"/>
        </w:rPr>
        <w:t>Poder Legislativo</w:t>
      </w:r>
      <w:r w:rsidRPr="00A86B8B">
        <w:rPr>
          <w:rFonts w:ascii="Palatino Linotype" w:eastAsia="Palatino Linotype" w:hAnsi="Palatino Linotype" w:cs="Palatino Linotype"/>
          <w:b/>
          <w:bCs/>
          <w:sz w:val="22"/>
          <w:szCs w:val="22"/>
        </w:rPr>
        <w:t xml:space="preserve">, </w:t>
      </w:r>
      <w:r w:rsidRPr="00A86B8B">
        <w:rPr>
          <w:rFonts w:ascii="Palatino Linotype" w:eastAsia="Palatino Linotype" w:hAnsi="Palatino Linotype" w:cs="Palatino Linotype"/>
          <w:sz w:val="22"/>
          <w:szCs w:val="22"/>
        </w:rPr>
        <w:t xml:space="preserve">en lo sucesivo el </w:t>
      </w:r>
      <w:r w:rsidRPr="00A86B8B">
        <w:rPr>
          <w:rFonts w:ascii="Palatino Linotype" w:eastAsia="Palatino Linotype" w:hAnsi="Palatino Linotype" w:cs="Palatino Linotype"/>
          <w:b/>
          <w:bCs/>
          <w:sz w:val="22"/>
          <w:szCs w:val="22"/>
        </w:rPr>
        <w:t xml:space="preserve">Sujeto Obligado, </w:t>
      </w:r>
      <w:r w:rsidRPr="00A86B8B">
        <w:rPr>
          <w:rFonts w:ascii="Palatino Linotype" w:eastAsia="Palatino Linotype" w:hAnsi="Palatino Linotype" w:cs="Palatino Linotype"/>
          <w:sz w:val="22"/>
          <w:szCs w:val="22"/>
        </w:rPr>
        <w:t xml:space="preserve">se procede a dictar la presente resolución con base en los siguientes: </w:t>
      </w:r>
    </w:p>
    <w:p w14:paraId="64FACF07" w14:textId="77777777" w:rsidR="006C2841" w:rsidRPr="00A86B8B" w:rsidRDefault="00D06478">
      <w:pPr>
        <w:spacing w:before="240" w:after="240" w:line="360" w:lineRule="auto"/>
        <w:jc w:val="center"/>
        <w:rPr>
          <w:rFonts w:ascii="Palatino Linotype" w:eastAsia="Palatino Linotype" w:hAnsi="Palatino Linotype" w:cs="Palatino Linotype"/>
          <w:b/>
          <w:bCs/>
          <w:sz w:val="22"/>
          <w:szCs w:val="22"/>
        </w:rPr>
      </w:pPr>
      <w:r w:rsidRPr="00A86B8B">
        <w:rPr>
          <w:rFonts w:ascii="Palatino Linotype" w:eastAsia="Palatino Linotype" w:hAnsi="Palatino Linotype" w:cs="Palatino Linotype"/>
          <w:b/>
          <w:bCs/>
          <w:sz w:val="22"/>
          <w:szCs w:val="22"/>
        </w:rPr>
        <w:t>I. A N T E C E D E N T E S</w:t>
      </w:r>
    </w:p>
    <w:p w14:paraId="04E53F3A" w14:textId="7F02A9F8" w:rsidR="006C2841" w:rsidRPr="00A86B8B" w:rsidRDefault="00D06478">
      <w:pPr>
        <w:spacing w:before="240" w:after="240" w:line="360" w:lineRule="auto"/>
        <w:jc w:val="both"/>
        <w:rPr>
          <w:rFonts w:ascii="Palatino Linotype" w:eastAsia="Palatino Linotype" w:hAnsi="Palatino Linotype" w:cs="Palatino Linotype"/>
          <w:sz w:val="22"/>
          <w:szCs w:val="22"/>
        </w:rPr>
      </w:pPr>
      <w:bookmarkStart w:id="3" w:name="_heading=h.gjdgxs" w:colFirst="0" w:colLast="0"/>
      <w:bookmarkEnd w:id="3"/>
      <w:r w:rsidRPr="00A86B8B">
        <w:rPr>
          <w:rFonts w:ascii="Palatino Linotype" w:eastAsia="Palatino Linotype" w:hAnsi="Palatino Linotype" w:cs="Palatino Linotype"/>
          <w:b/>
          <w:bCs/>
          <w:sz w:val="22"/>
          <w:szCs w:val="22"/>
        </w:rPr>
        <w:t>1. Solicitud de acceso a la información.</w:t>
      </w:r>
      <w:r w:rsidRPr="00A86B8B">
        <w:rPr>
          <w:rFonts w:ascii="Palatino Linotype" w:eastAsia="Palatino Linotype" w:hAnsi="Palatino Linotype" w:cs="Palatino Linotype"/>
          <w:sz w:val="22"/>
          <w:szCs w:val="22"/>
        </w:rPr>
        <w:t xml:space="preserve"> El </w:t>
      </w:r>
      <w:r w:rsidR="000902CA" w:rsidRPr="00A86B8B">
        <w:rPr>
          <w:rFonts w:ascii="Palatino Linotype" w:eastAsia="Palatino Linotype" w:hAnsi="Palatino Linotype" w:cs="Palatino Linotype"/>
          <w:b/>
          <w:bCs/>
          <w:sz w:val="22"/>
          <w:szCs w:val="22"/>
        </w:rPr>
        <w:t>dos</w:t>
      </w:r>
      <w:r w:rsidRPr="00A86B8B">
        <w:rPr>
          <w:rFonts w:ascii="Palatino Linotype" w:eastAsia="Palatino Linotype" w:hAnsi="Palatino Linotype" w:cs="Palatino Linotype"/>
          <w:b/>
          <w:bCs/>
          <w:sz w:val="22"/>
          <w:szCs w:val="22"/>
        </w:rPr>
        <w:t xml:space="preserve"> de diciembre de dos mil veinticinco,</w:t>
      </w:r>
      <w:r w:rsidRPr="00A86B8B">
        <w:rPr>
          <w:rFonts w:ascii="Palatino Linotype" w:eastAsia="Palatino Linotype" w:hAnsi="Palatino Linotype" w:cs="Palatino Linotype"/>
          <w:sz w:val="22"/>
          <w:szCs w:val="22"/>
        </w:rPr>
        <w:t xml:space="preserve"> la parte </w:t>
      </w:r>
      <w:r w:rsidRPr="00A86B8B">
        <w:rPr>
          <w:rFonts w:ascii="Palatino Linotype" w:eastAsia="Palatino Linotype" w:hAnsi="Palatino Linotype" w:cs="Palatino Linotype"/>
          <w:b/>
          <w:bCs/>
          <w:sz w:val="22"/>
          <w:szCs w:val="22"/>
        </w:rPr>
        <w:t xml:space="preserve">Recurrente </w:t>
      </w:r>
      <w:r w:rsidRPr="00A86B8B">
        <w:rPr>
          <w:rFonts w:ascii="Palatino Linotype" w:eastAsia="Palatino Linotype" w:hAnsi="Palatino Linotype" w:cs="Palatino Linotype"/>
          <w:sz w:val="22"/>
          <w:szCs w:val="22"/>
        </w:rPr>
        <w:t xml:space="preserve">presentó la solicitud de acceso a la información pública ante el </w:t>
      </w:r>
      <w:r w:rsidRPr="00A86B8B">
        <w:rPr>
          <w:rFonts w:ascii="Palatino Linotype" w:eastAsia="Palatino Linotype" w:hAnsi="Palatino Linotype" w:cs="Palatino Linotype"/>
          <w:b/>
          <w:bCs/>
          <w:sz w:val="22"/>
          <w:szCs w:val="22"/>
        </w:rPr>
        <w:t>Sujeto Obligado</w:t>
      </w:r>
      <w:r w:rsidRPr="00A86B8B">
        <w:rPr>
          <w:rFonts w:ascii="Palatino Linotype" w:eastAsia="Palatino Linotype" w:hAnsi="Palatino Linotype" w:cs="Palatino Linotype"/>
          <w:sz w:val="22"/>
          <w:szCs w:val="22"/>
        </w:rPr>
        <w:t xml:space="preserve">, a través del Sistema de Acceso a la Información Mexiquense, en lo subsecuente el </w:t>
      </w:r>
      <w:r w:rsidRPr="00A86B8B">
        <w:rPr>
          <w:rFonts w:ascii="Palatino Linotype" w:eastAsia="Palatino Linotype" w:hAnsi="Palatino Linotype" w:cs="Palatino Linotype"/>
          <w:b/>
          <w:bCs/>
          <w:sz w:val="22"/>
          <w:szCs w:val="22"/>
        </w:rPr>
        <w:t>SAIMEX,</w:t>
      </w:r>
      <w:r w:rsidRPr="00A86B8B">
        <w:rPr>
          <w:rFonts w:ascii="Palatino Linotype" w:eastAsia="Palatino Linotype" w:hAnsi="Palatino Linotype" w:cs="Palatino Linotype"/>
          <w:sz w:val="22"/>
          <w:szCs w:val="22"/>
        </w:rPr>
        <w:t xml:space="preserve"> mediante la cual requirió lo siguiente:</w:t>
      </w:r>
    </w:p>
    <w:p w14:paraId="69B734F6" w14:textId="276EFF1F"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 xml:space="preserve"> “</w:t>
      </w:r>
      <w:r w:rsidR="000902CA" w:rsidRPr="00A86B8B">
        <w:rPr>
          <w:rFonts w:ascii="Palatino Linotype" w:eastAsia="Palatino Linotype" w:hAnsi="Palatino Linotype" w:cs="Palatino Linotype"/>
          <w:i/>
          <w:iCs/>
          <w:sz w:val="22"/>
          <w:szCs w:val="22"/>
        </w:rPr>
        <w:t>Solicito lo0s resultados de las auditorias del OSFEM llevadas a cabo en el municipio de ACAMBAY, en el año 2024 y 2025</w:t>
      </w:r>
      <w:r w:rsidRPr="00A86B8B">
        <w:rPr>
          <w:rFonts w:ascii="Palatino Linotype" w:eastAsia="Palatino Linotype" w:hAnsi="Palatino Linotype" w:cs="Palatino Linotype"/>
          <w:b/>
          <w:bCs/>
          <w:i/>
          <w:iCs/>
          <w:sz w:val="22"/>
          <w:szCs w:val="22"/>
        </w:rPr>
        <w:t>”</w:t>
      </w:r>
      <w:r w:rsidRPr="00A86B8B">
        <w:rPr>
          <w:rFonts w:ascii="Palatino Linotype" w:eastAsia="Palatino Linotype" w:hAnsi="Palatino Linotype" w:cs="Palatino Linotype"/>
          <w:i/>
          <w:iCs/>
          <w:sz w:val="22"/>
          <w:szCs w:val="22"/>
        </w:rPr>
        <w:t xml:space="preserve"> (sic) </w:t>
      </w:r>
    </w:p>
    <w:p w14:paraId="5CAF3CA2" w14:textId="77777777" w:rsidR="006F4E99" w:rsidRPr="00A86B8B" w:rsidRDefault="006F4E99">
      <w:pPr>
        <w:spacing w:before="120" w:after="120"/>
        <w:ind w:left="851" w:right="902"/>
        <w:jc w:val="both"/>
        <w:rPr>
          <w:rFonts w:ascii="Palatino Linotype" w:eastAsia="Palatino Linotype" w:hAnsi="Palatino Linotype" w:cs="Palatino Linotype"/>
          <w:b/>
          <w:bCs/>
          <w:i/>
          <w:iCs/>
          <w:sz w:val="22"/>
          <w:szCs w:val="22"/>
        </w:rPr>
      </w:pPr>
    </w:p>
    <w:p w14:paraId="3477B79B" w14:textId="77777777" w:rsidR="006C2841" w:rsidRPr="00A86B8B" w:rsidRDefault="00D06478">
      <w:pPr>
        <w:spacing w:line="360" w:lineRule="auto"/>
        <w:jc w:val="both"/>
        <w:rPr>
          <w:rFonts w:ascii="Palatino Linotype" w:eastAsia="Palatino Linotype" w:hAnsi="Palatino Linotype" w:cs="Palatino Linotype"/>
          <w:sz w:val="22"/>
          <w:szCs w:val="22"/>
        </w:rPr>
      </w:pPr>
      <w:bookmarkStart w:id="4" w:name="_heading=h.3dy6vkm" w:colFirst="0" w:colLast="0"/>
      <w:bookmarkEnd w:id="4"/>
      <w:r w:rsidRPr="00A86B8B">
        <w:rPr>
          <w:rFonts w:ascii="Palatino Linotype" w:eastAsia="Palatino Linotype" w:hAnsi="Palatino Linotype" w:cs="Palatino Linotype"/>
          <w:b/>
          <w:bCs/>
          <w:sz w:val="22"/>
          <w:szCs w:val="22"/>
        </w:rPr>
        <w:t xml:space="preserve">Modalidad elegida para la entrega de la información: </w:t>
      </w:r>
      <w:r w:rsidRPr="00A86B8B">
        <w:rPr>
          <w:rFonts w:ascii="Palatino Linotype" w:eastAsia="Palatino Linotype" w:hAnsi="Palatino Linotype" w:cs="Palatino Linotype"/>
          <w:sz w:val="22"/>
          <w:szCs w:val="22"/>
        </w:rPr>
        <w:t>a través del SAIMEX.</w:t>
      </w:r>
    </w:p>
    <w:p w14:paraId="6FCB80E9" w14:textId="3461D002"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b/>
          <w:bCs/>
          <w:sz w:val="22"/>
          <w:szCs w:val="22"/>
        </w:rPr>
        <w:t xml:space="preserve">2. Respuesta. </w:t>
      </w:r>
      <w:r w:rsidRPr="00A86B8B">
        <w:rPr>
          <w:rFonts w:ascii="Palatino Linotype" w:eastAsia="Palatino Linotype" w:hAnsi="Palatino Linotype" w:cs="Palatino Linotype"/>
          <w:sz w:val="22"/>
          <w:szCs w:val="22"/>
        </w:rPr>
        <w:t xml:space="preserve">El </w:t>
      </w:r>
      <w:r w:rsidR="000902CA" w:rsidRPr="00A86B8B">
        <w:rPr>
          <w:rFonts w:ascii="Palatino Linotype" w:eastAsia="Palatino Linotype" w:hAnsi="Palatino Linotype" w:cs="Palatino Linotype"/>
          <w:b/>
          <w:bCs/>
          <w:sz w:val="22"/>
          <w:szCs w:val="22"/>
        </w:rPr>
        <w:t>cinco de diciembre</w:t>
      </w:r>
      <w:r w:rsidRPr="00A86B8B">
        <w:rPr>
          <w:rFonts w:ascii="Palatino Linotype" w:eastAsia="Palatino Linotype" w:hAnsi="Palatino Linotype" w:cs="Palatino Linotype"/>
          <w:b/>
          <w:bCs/>
          <w:sz w:val="22"/>
          <w:szCs w:val="22"/>
        </w:rPr>
        <w:t xml:space="preserve"> de dos mil veinticinco,</w:t>
      </w:r>
      <w:r w:rsidRPr="00A86B8B">
        <w:rPr>
          <w:rFonts w:ascii="Palatino Linotype" w:eastAsia="Palatino Linotype" w:hAnsi="Palatino Linotype" w:cs="Palatino Linotype"/>
          <w:sz w:val="22"/>
          <w:szCs w:val="22"/>
        </w:rPr>
        <w:t xml:space="preserve"> el </w:t>
      </w:r>
      <w:r w:rsidRPr="00A86B8B">
        <w:rPr>
          <w:rFonts w:ascii="Palatino Linotype" w:eastAsia="Palatino Linotype" w:hAnsi="Palatino Linotype" w:cs="Palatino Linotype"/>
          <w:b/>
          <w:bCs/>
          <w:sz w:val="22"/>
          <w:szCs w:val="22"/>
        </w:rPr>
        <w:t xml:space="preserve">Sujeto Obligado </w:t>
      </w:r>
      <w:r w:rsidRPr="00A86B8B">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6D1D4F0C" w14:textId="6FC303A0" w:rsidR="006C2841" w:rsidRPr="00A86B8B" w:rsidRDefault="00D06478">
      <w:pPr>
        <w:spacing w:before="240" w:after="24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w:t>
      </w:r>
      <w:r w:rsidR="000902CA" w:rsidRPr="00A86B8B">
        <w:rPr>
          <w:rFonts w:ascii="Palatino Linotype" w:eastAsia="Palatino Linotype" w:hAnsi="Palatino Linotype" w:cs="Palatino Linotype"/>
          <w:i/>
          <w:iCs/>
          <w:sz w:val="22"/>
          <w:szCs w:val="22"/>
        </w:rPr>
        <w:t xml:space="preserve">Se adjunta oficio de respuesta </w:t>
      </w:r>
      <w:hyperlink r:id="rId8" w:history="1">
        <w:r w:rsidR="000902CA" w:rsidRPr="00A86B8B">
          <w:rPr>
            <w:rStyle w:val="Hipervnculo"/>
            <w:rFonts w:ascii="Palatino Linotype" w:eastAsia="Palatino Linotype" w:hAnsi="Palatino Linotype" w:cs="Palatino Linotype"/>
            <w:b/>
            <w:i/>
            <w:iCs/>
            <w:color w:val="auto"/>
            <w:sz w:val="22"/>
            <w:szCs w:val="22"/>
          </w:rPr>
          <w:t>https://www.osfem.gob.mx/assets/fiscalizacion/informes/resultados/2023/municipios/pdf/aytto_acambayderuizcastaneda.pdf</w:t>
        </w:r>
      </w:hyperlink>
      <w:r w:rsidR="000902CA" w:rsidRPr="00A86B8B">
        <w:rPr>
          <w:rFonts w:ascii="Palatino Linotype" w:eastAsia="Palatino Linotype" w:hAnsi="Palatino Linotype" w:cs="Palatino Linotype"/>
          <w:i/>
          <w:iCs/>
          <w:sz w:val="22"/>
          <w:szCs w:val="22"/>
        </w:rPr>
        <w:t xml:space="preserve"> </w:t>
      </w:r>
      <w:hyperlink r:id="rId9" w:history="1">
        <w:r w:rsidR="000902CA" w:rsidRPr="00A86B8B">
          <w:rPr>
            <w:rStyle w:val="Hipervnculo"/>
            <w:rFonts w:ascii="Palatino Linotype" w:eastAsia="Palatino Linotype" w:hAnsi="Palatino Linotype" w:cs="Palatino Linotype"/>
            <w:b/>
            <w:i/>
            <w:iCs/>
            <w:color w:val="auto"/>
            <w:sz w:val="22"/>
            <w:szCs w:val="22"/>
          </w:rPr>
          <w:t>https://www.osfem.gob.mx/assets/fiscalizacion/informes/resultados/2024/auditorias/municipios/aytto_acambayderuizcastaneda.pdf</w:t>
        </w:r>
      </w:hyperlink>
      <w:r w:rsidRPr="00A86B8B">
        <w:rPr>
          <w:rFonts w:ascii="Palatino Linotype" w:eastAsia="Palatino Linotype" w:hAnsi="Palatino Linotype" w:cs="Palatino Linotype"/>
          <w:i/>
          <w:iCs/>
          <w:sz w:val="22"/>
          <w:szCs w:val="22"/>
        </w:rPr>
        <w:t>...” (sic)</w:t>
      </w:r>
    </w:p>
    <w:p w14:paraId="7C08D4D2" w14:textId="77777777" w:rsidR="000902CA" w:rsidRPr="00A86B8B" w:rsidRDefault="00D06478">
      <w:pPr>
        <w:spacing w:before="240" w:after="240" w:line="360" w:lineRule="auto"/>
        <w:ind w:right="49"/>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El </w:t>
      </w:r>
      <w:r w:rsidRPr="00A86B8B">
        <w:rPr>
          <w:rFonts w:ascii="Palatino Linotype" w:eastAsia="Palatino Linotype" w:hAnsi="Palatino Linotype" w:cs="Palatino Linotype"/>
          <w:b/>
          <w:bCs/>
          <w:sz w:val="22"/>
          <w:szCs w:val="22"/>
        </w:rPr>
        <w:t xml:space="preserve">Sujeto Obligado </w:t>
      </w:r>
      <w:r w:rsidR="000902CA" w:rsidRPr="00A86B8B">
        <w:rPr>
          <w:rFonts w:ascii="Palatino Linotype" w:eastAsia="Palatino Linotype" w:hAnsi="Palatino Linotype" w:cs="Palatino Linotype"/>
          <w:sz w:val="22"/>
          <w:szCs w:val="22"/>
        </w:rPr>
        <w:t>adjuntó lo siguiente:</w:t>
      </w:r>
    </w:p>
    <w:p w14:paraId="663CE220" w14:textId="1513709D" w:rsidR="000902CA" w:rsidRPr="00A86B8B" w:rsidRDefault="000902CA" w:rsidP="000902CA">
      <w:pPr>
        <w:spacing w:before="240" w:after="240" w:line="360" w:lineRule="auto"/>
        <w:ind w:right="49"/>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Oficio número UIPL/2226/2025, mediante el cual el Titular de la Unidad notificó la respuesta proporcionada por el servidor público habilitado del Órgano Superior de Fiscalización del Estado de México.</w:t>
      </w:r>
    </w:p>
    <w:p w14:paraId="186E687D" w14:textId="53C949AD" w:rsidR="006C2841" w:rsidRPr="00A86B8B" w:rsidRDefault="000902CA">
      <w:pPr>
        <w:spacing w:before="240" w:after="240" w:line="360" w:lineRule="auto"/>
        <w:ind w:right="49"/>
        <w:jc w:val="both"/>
        <w:rPr>
          <w:rFonts w:ascii="Palatino Linotype" w:hAnsi="Palatino Linotype"/>
          <w:sz w:val="22"/>
          <w:szCs w:val="22"/>
        </w:rPr>
      </w:pPr>
      <w:r w:rsidRPr="00A86B8B">
        <w:rPr>
          <w:rFonts w:ascii="Palatino Linotype" w:eastAsia="Palatino Linotype" w:hAnsi="Palatino Linotype" w:cs="Palatino Linotype"/>
          <w:sz w:val="22"/>
          <w:szCs w:val="22"/>
        </w:rPr>
        <w:t xml:space="preserve">- </w:t>
      </w:r>
      <w:r w:rsidR="00D06478" w:rsidRPr="00A86B8B">
        <w:rPr>
          <w:rFonts w:ascii="Palatino Linotype" w:eastAsia="Palatino Linotype" w:hAnsi="Palatino Linotype" w:cs="Palatino Linotype"/>
          <w:sz w:val="22"/>
          <w:szCs w:val="22"/>
        </w:rPr>
        <w:t xml:space="preserve"> </w:t>
      </w:r>
      <w:r w:rsidR="00F866DF" w:rsidRPr="00A86B8B">
        <w:rPr>
          <w:rFonts w:ascii="Palatino Linotype" w:eastAsia="Palatino Linotype" w:hAnsi="Palatino Linotype" w:cs="Palatino Linotype"/>
          <w:sz w:val="22"/>
          <w:szCs w:val="22"/>
        </w:rPr>
        <w:t xml:space="preserve">Oficio número OSFEM/UAJ/DJC/SPH/253/2025, mediante el cual </w:t>
      </w:r>
      <w:r w:rsidR="00F77685" w:rsidRPr="00A86B8B">
        <w:rPr>
          <w:rFonts w:ascii="Palatino Linotype" w:eastAsia="Palatino Linotype" w:hAnsi="Palatino Linotype" w:cs="Palatino Linotype"/>
          <w:sz w:val="22"/>
          <w:szCs w:val="22"/>
        </w:rPr>
        <w:t xml:space="preserve">el Servidor Público Habilitado </w:t>
      </w:r>
      <w:r w:rsidR="00925A6A" w:rsidRPr="00A86B8B">
        <w:rPr>
          <w:rFonts w:ascii="Palatino Linotype" w:eastAsia="Palatino Linotype" w:hAnsi="Palatino Linotype" w:cs="Palatino Linotype"/>
          <w:sz w:val="22"/>
          <w:szCs w:val="22"/>
        </w:rPr>
        <w:t>del Órgano Superior de Fiscalización del Estado de México</w:t>
      </w:r>
      <w:r w:rsidR="00615F38" w:rsidRPr="00A86B8B">
        <w:rPr>
          <w:rFonts w:ascii="Palatino Linotype" w:eastAsia="Palatino Linotype" w:hAnsi="Palatino Linotype" w:cs="Palatino Linotype"/>
          <w:sz w:val="22"/>
          <w:szCs w:val="22"/>
        </w:rPr>
        <w:t xml:space="preserve"> manifestó que </w:t>
      </w:r>
      <w:r w:rsidR="00615F38" w:rsidRPr="00A86B8B">
        <w:rPr>
          <w:rFonts w:ascii="Palatino Linotype" w:hAnsi="Palatino Linotype"/>
          <w:sz w:val="22"/>
          <w:szCs w:val="22"/>
        </w:rPr>
        <w:t>el Programa Anual de Auditorías 2024, emitido por el Órgano Superior de Fiscalización, y publicado en el periódico oficial Gaceta del Gobierno del Estado de México el 16 de febrero del año 2024, contempló la ejecución de la auditoría en materia de Inversión Física al Ayuntamiento del Municipio de Acambay de Ruíz Castañeda, con número AlF-006, en cuanto al ejercicio fiscal 2023, asimismo, el Programa Anual de Auditorías 2025, emitido por esta institución, publicado en el periódico oficial Gaceta del Gobierno del Estado de México el 20 de febrero del año en curso, contempló la ejecución de la auditoría en materia de legalidad al Ayuntamiento del Municipio de Acambay de Ruíz Castañeda, con número AL-001, y para efectos de la consulta, proporcionó dos direcciones electrónicas en formato cerrado.</w:t>
      </w:r>
    </w:p>
    <w:p w14:paraId="5EAB30E4" w14:textId="77F4D35B" w:rsidR="006C2841" w:rsidRPr="00A86B8B" w:rsidRDefault="00D06478">
      <w:pPr>
        <w:spacing w:before="240" w:after="240" w:line="360" w:lineRule="auto"/>
        <w:ind w:right="49"/>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b/>
          <w:bCs/>
          <w:sz w:val="22"/>
          <w:szCs w:val="22"/>
        </w:rPr>
        <w:t xml:space="preserve">3. Interposición del recurso de revisión. </w:t>
      </w:r>
      <w:r w:rsidRPr="00A86B8B">
        <w:rPr>
          <w:rFonts w:ascii="Palatino Linotype" w:eastAsia="Palatino Linotype" w:hAnsi="Palatino Linotype" w:cs="Palatino Linotype"/>
          <w:sz w:val="22"/>
          <w:szCs w:val="22"/>
        </w:rPr>
        <w:t xml:space="preserve">Inconforme con los términos de la respuesta emitida por parte del </w:t>
      </w:r>
      <w:r w:rsidRPr="00A86B8B">
        <w:rPr>
          <w:rFonts w:ascii="Palatino Linotype" w:eastAsia="Palatino Linotype" w:hAnsi="Palatino Linotype" w:cs="Palatino Linotype"/>
          <w:b/>
          <w:bCs/>
          <w:sz w:val="22"/>
          <w:szCs w:val="22"/>
        </w:rPr>
        <w:t>Sujeto Obligado</w:t>
      </w:r>
      <w:r w:rsidRPr="00A86B8B">
        <w:rPr>
          <w:rFonts w:ascii="Palatino Linotype" w:eastAsia="Palatino Linotype" w:hAnsi="Palatino Linotype" w:cs="Palatino Linotype"/>
          <w:sz w:val="22"/>
          <w:szCs w:val="22"/>
        </w:rPr>
        <w:t xml:space="preserve">, el </w:t>
      </w:r>
      <w:r w:rsidR="00B11A31" w:rsidRPr="00A86B8B">
        <w:rPr>
          <w:rFonts w:ascii="Palatino Linotype" w:eastAsia="Palatino Linotype" w:hAnsi="Palatino Linotype" w:cs="Palatino Linotype"/>
          <w:b/>
          <w:bCs/>
          <w:sz w:val="22"/>
          <w:szCs w:val="22"/>
        </w:rPr>
        <w:t>cinco</w:t>
      </w:r>
      <w:r w:rsidRPr="00A86B8B">
        <w:rPr>
          <w:rFonts w:ascii="Palatino Linotype" w:eastAsia="Palatino Linotype" w:hAnsi="Palatino Linotype" w:cs="Palatino Linotype"/>
          <w:b/>
          <w:bCs/>
          <w:sz w:val="22"/>
          <w:szCs w:val="22"/>
        </w:rPr>
        <w:t xml:space="preserve"> de diciembre de dos mil veinticinco,</w:t>
      </w:r>
      <w:r w:rsidRPr="00A86B8B">
        <w:rPr>
          <w:rFonts w:ascii="Palatino Linotype" w:eastAsia="Palatino Linotype" w:hAnsi="Palatino Linotype" w:cs="Palatino Linotype"/>
          <w:sz w:val="22"/>
          <w:szCs w:val="22"/>
        </w:rPr>
        <w:t xml:space="preserve"> la parte </w:t>
      </w:r>
      <w:r w:rsidRPr="00A86B8B">
        <w:rPr>
          <w:rFonts w:ascii="Palatino Linotype" w:eastAsia="Palatino Linotype" w:hAnsi="Palatino Linotype" w:cs="Palatino Linotype"/>
          <w:b/>
          <w:bCs/>
          <w:sz w:val="22"/>
          <w:szCs w:val="22"/>
        </w:rPr>
        <w:t>Recurrente</w:t>
      </w:r>
      <w:r w:rsidRPr="00A86B8B">
        <w:rPr>
          <w:rFonts w:ascii="Palatino Linotype" w:eastAsia="Palatino Linotype" w:hAnsi="Palatino Linotype" w:cs="Palatino Linotype"/>
          <w:sz w:val="22"/>
          <w:szCs w:val="22"/>
        </w:rPr>
        <w:t xml:space="preserve"> interpuso el recurso de revisión a través de </w:t>
      </w:r>
      <w:r w:rsidRPr="00A86B8B">
        <w:rPr>
          <w:rFonts w:ascii="Palatino Linotype" w:eastAsia="Palatino Linotype" w:hAnsi="Palatino Linotype" w:cs="Palatino Linotype"/>
          <w:b/>
          <w:bCs/>
          <w:sz w:val="22"/>
          <w:szCs w:val="22"/>
        </w:rPr>
        <w:t xml:space="preserve">SAIMEX, </w:t>
      </w:r>
      <w:r w:rsidRPr="00A86B8B">
        <w:rPr>
          <w:rFonts w:ascii="Palatino Linotype" w:eastAsia="Palatino Linotype" w:hAnsi="Palatino Linotype" w:cs="Palatino Linotype"/>
          <w:sz w:val="22"/>
          <w:szCs w:val="22"/>
        </w:rPr>
        <w:t>en donde se manifestó de la siguiente manera:</w:t>
      </w:r>
    </w:p>
    <w:p w14:paraId="687F7E7B" w14:textId="77777777" w:rsidR="006C2841" w:rsidRPr="00A86B8B" w:rsidRDefault="00D06478">
      <w:pPr>
        <w:spacing w:before="240" w:after="240" w:line="360" w:lineRule="auto"/>
        <w:ind w:right="49"/>
        <w:jc w:val="both"/>
        <w:rPr>
          <w:rFonts w:ascii="Palatino Linotype" w:eastAsia="Palatino Linotype" w:hAnsi="Palatino Linotype" w:cs="Palatino Linotype"/>
          <w:b/>
          <w:bCs/>
          <w:sz w:val="22"/>
          <w:szCs w:val="22"/>
        </w:rPr>
      </w:pPr>
      <w:r w:rsidRPr="00A86B8B">
        <w:rPr>
          <w:rFonts w:ascii="Palatino Linotype" w:eastAsia="Palatino Linotype" w:hAnsi="Palatino Linotype" w:cs="Palatino Linotype"/>
          <w:b/>
          <w:bCs/>
          <w:sz w:val="22"/>
          <w:szCs w:val="22"/>
        </w:rPr>
        <w:t xml:space="preserve">Acto impugnado: </w:t>
      </w:r>
    </w:p>
    <w:p w14:paraId="7E2424D9" w14:textId="13E44E6F" w:rsidR="006C2841" w:rsidRPr="00A86B8B" w:rsidRDefault="00D06478">
      <w:pPr>
        <w:ind w:left="851" w:right="900"/>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w:t>
      </w:r>
      <w:r w:rsidR="00B11A31" w:rsidRPr="00A86B8B">
        <w:rPr>
          <w:rFonts w:ascii="Palatino Linotype" w:eastAsia="Palatino Linotype" w:hAnsi="Palatino Linotype" w:cs="Palatino Linotype"/>
          <w:i/>
          <w:iCs/>
          <w:sz w:val="22"/>
          <w:szCs w:val="22"/>
        </w:rPr>
        <w:t>algunoa de los links proporcionados no abre y la pagina marca error solo uno abre.</w:t>
      </w:r>
      <w:r w:rsidRPr="00A86B8B">
        <w:rPr>
          <w:rFonts w:ascii="Palatino Linotype" w:eastAsia="Palatino Linotype" w:hAnsi="Palatino Linotype" w:cs="Palatino Linotype"/>
          <w:i/>
          <w:iCs/>
          <w:sz w:val="22"/>
          <w:szCs w:val="22"/>
        </w:rPr>
        <w:t>” (sic)</w:t>
      </w:r>
    </w:p>
    <w:p w14:paraId="4BA695D0" w14:textId="77777777" w:rsidR="006C2841" w:rsidRPr="00A86B8B" w:rsidRDefault="006C2841">
      <w:pPr>
        <w:spacing w:line="360" w:lineRule="auto"/>
        <w:jc w:val="both"/>
        <w:rPr>
          <w:rFonts w:ascii="Palatino Linotype" w:eastAsia="Palatino Linotype" w:hAnsi="Palatino Linotype" w:cs="Palatino Linotype"/>
          <w:b/>
          <w:bCs/>
          <w:sz w:val="22"/>
          <w:szCs w:val="22"/>
        </w:rPr>
      </w:pPr>
      <w:bookmarkStart w:id="5" w:name="_heading=h.30j0zll" w:colFirst="0" w:colLast="0"/>
      <w:bookmarkEnd w:id="5"/>
    </w:p>
    <w:p w14:paraId="50CE2580" w14:textId="77777777" w:rsidR="006C2841" w:rsidRPr="00A86B8B" w:rsidRDefault="00D06478">
      <w:pPr>
        <w:spacing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b/>
          <w:bCs/>
          <w:sz w:val="22"/>
          <w:szCs w:val="22"/>
        </w:rPr>
        <w:t>Y, Razones o motivos de inconformidad</w:t>
      </w:r>
      <w:r w:rsidRPr="00A86B8B">
        <w:rPr>
          <w:rFonts w:ascii="Palatino Linotype" w:eastAsia="Palatino Linotype" w:hAnsi="Palatino Linotype" w:cs="Palatino Linotype"/>
          <w:sz w:val="22"/>
          <w:szCs w:val="22"/>
        </w:rPr>
        <w:t>:</w:t>
      </w:r>
    </w:p>
    <w:p w14:paraId="0F8190A5" w14:textId="22D7E943" w:rsidR="006C2841" w:rsidRPr="00A86B8B" w:rsidRDefault="00D06478">
      <w:pPr>
        <w:tabs>
          <w:tab w:val="left" w:pos="2745"/>
        </w:tabs>
        <w:spacing w:before="240" w:after="240"/>
        <w:ind w:left="851" w:right="900"/>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w:t>
      </w:r>
      <w:r w:rsidR="00B11A31" w:rsidRPr="00A86B8B">
        <w:rPr>
          <w:rFonts w:ascii="Palatino Linotype" w:eastAsia="Palatino Linotype" w:hAnsi="Palatino Linotype" w:cs="Palatino Linotype"/>
          <w:i/>
          <w:iCs/>
          <w:sz w:val="22"/>
          <w:szCs w:val="22"/>
        </w:rPr>
        <w:t>Los datos de acceso no son correctos, no reenvia con un click, aparece error</w:t>
      </w:r>
      <w:r w:rsidRPr="00A86B8B">
        <w:rPr>
          <w:rFonts w:ascii="Palatino Linotype" w:eastAsia="Palatino Linotype" w:hAnsi="Palatino Linotype" w:cs="Palatino Linotype"/>
          <w:i/>
          <w:iCs/>
          <w:sz w:val="22"/>
          <w:szCs w:val="22"/>
        </w:rPr>
        <w:t>” (sic)</w:t>
      </w:r>
    </w:p>
    <w:p w14:paraId="46095F72" w14:textId="6AD7C6CC" w:rsidR="00B11A3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La parte </w:t>
      </w:r>
      <w:r w:rsidRPr="00A86B8B">
        <w:rPr>
          <w:rFonts w:ascii="Palatino Linotype" w:eastAsia="Palatino Linotype" w:hAnsi="Palatino Linotype" w:cs="Palatino Linotype"/>
          <w:b/>
          <w:bCs/>
          <w:sz w:val="22"/>
          <w:szCs w:val="22"/>
        </w:rPr>
        <w:t xml:space="preserve">Recurrente </w:t>
      </w:r>
      <w:r w:rsidRPr="00A86B8B">
        <w:rPr>
          <w:rFonts w:ascii="Palatino Linotype" w:eastAsia="Palatino Linotype" w:hAnsi="Palatino Linotype" w:cs="Palatino Linotype"/>
          <w:sz w:val="22"/>
          <w:szCs w:val="22"/>
        </w:rPr>
        <w:t xml:space="preserve">adjuntó </w:t>
      </w:r>
      <w:r w:rsidR="001940D4" w:rsidRPr="00A86B8B">
        <w:rPr>
          <w:rFonts w:ascii="Palatino Linotype" w:eastAsia="Palatino Linotype" w:hAnsi="Palatino Linotype" w:cs="Palatino Linotype"/>
          <w:sz w:val="22"/>
          <w:szCs w:val="22"/>
        </w:rPr>
        <w:t>una captura de pantalla a efecto de comprobar su dicho.</w:t>
      </w:r>
    </w:p>
    <w:p w14:paraId="4B85B12E"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b/>
          <w:bCs/>
          <w:sz w:val="22"/>
          <w:szCs w:val="22"/>
        </w:rPr>
        <w:t xml:space="preserve">4. Turno. </w:t>
      </w:r>
      <w:r w:rsidRPr="00A86B8B">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A86B8B">
        <w:rPr>
          <w:rFonts w:ascii="Palatino Linotype" w:eastAsia="Palatino Linotype" w:hAnsi="Palatino Linotype" w:cs="Palatino Linotype"/>
          <w:b/>
          <w:bCs/>
          <w:sz w:val="22"/>
          <w:szCs w:val="22"/>
        </w:rPr>
        <w:t xml:space="preserve">Guadalupe Ramírez Peña, </w:t>
      </w:r>
      <w:r w:rsidRPr="00A86B8B">
        <w:rPr>
          <w:rFonts w:ascii="Palatino Linotype" w:eastAsia="Palatino Linotype" w:hAnsi="Palatino Linotype" w:cs="Palatino Linotype"/>
          <w:sz w:val="22"/>
          <w:szCs w:val="22"/>
        </w:rPr>
        <w:t>a efecto de que analizara sobre su admisión o su desechamiento.</w:t>
      </w:r>
    </w:p>
    <w:p w14:paraId="62EB015C" w14:textId="007CDBD6" w:rsidR="006C2841" w:rsidRPr="00A86B8B" w:rsidRDefault="00D06478">
      <w:pPr>
        <w:spacing w:before="240" w:after="240" w:line="360" w:lineRule="auto"/>
        <w:jc w:val="both"/>
        <w:rPr>
          <w:rFonts w:ascii="Palatino Linotype" w:eastAsia="Palatino Linotype" w:hAnsi="Palatino Linotype" w:cs="Palatino Linotype"/>
          <w:b/>
          <w:bCs/>
          <w:sz w:val="22"/>
          <w:szCs w:val="22"/>
        </w:rPr>
      </w:pPr>
      <w:r w:rsidRPr="00A86B8B">
        <w:rPr>
          <w:rFonts w:ascii="Palatino Linotype" w:eastAsia="Palatino Linotype" w:hAnsi="Palatino Linotype" w:cs="Palatino Linotype"/>
          <w:b/>
          <w:bCs/>
          <w:sz w:val="22"/>
          <w:szCs w:val="22"/>
        </w:rPr>
        <w:t>5. Admisión del Recurso de revisión.</w:t>
      </w:r>
      <w:r w:rsidRPr="00A86B8B">
        <w:rPr>
          <w:rFonts w:ascii="Palatino Linotype" w:eastAsia="Palatino Linotype" w:hAnsi="Palatino Linotype" w:cs="Palatino Linotype"/>
          <w:sz w:val="22"/>
          <w:szCs w:val="22"/>
        </w:rPr>
        <w:t xml:space="preserve"> El</w:t>
      </w:r>
      <w:r w:rsidRPr="00A86B8B">
        <w:rPr>
          <w:rFonts w:ascii="Palatino Linotype" w:eastAsia="Palatino Linotype" w:hAnsi="Palatino Linotype" w:cs="Palatino Linotype"/>
          <w:b/>
          <w:bCs/>
          <w:sz w:val="22"/>
          <w:szCs w:val="22"/>
        </w:rPr>
        <w:t xml:space="preserve"> </w:t>
      </w:r>
      <w:r w:rsidR="00CD04E8" w:rsidRPr="00A86B8B">
        <w:rPr>
          <w:rFonts w:ascii="Palatino Linotype" w:eastAsia="Palatino Linotype" w:hAnsi="Palatino Linotype" w:cs="Palatino Linotype"/>
          <w:b/>
          <w:bCs/>
          <w:sz w:val="22"/>
          <w:szCs w:val="22"/>
        </w:rPr>
        <w:t>diez de diciembre</w:t>
      </w:r>
      <w:r w:rsidRPr="00A86B8B">
        <w:rPr>
          <w:rFonts w:ascii="Palatino Linotype" w:eastAsia="Palatino Linotype" w:hAnsi="Palatino Linotype" w:cs="Palatino Linotype"/>
          <w:b/>
          <w:bCs/>
          <w:sz w:val="22"/>
          <w:szCs w:val="22"/>
        </w:rPr>
        <w:t xml:space="preserve"> de dos mil veinticinco, </w:t>
      </w:r>
      <w:r w:rsidRPr="00A86B8B">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A86B8B">
        <w:rPr>
          <w:rFonts w:ascii="Palatino Linotype" w:eastAsia="Palatino Linotype" w:hAnsi="Palatino Linotype" w:cs="Palatino Linotype"/>
          <w:b/>
          <w:bCs/>
          <w:sz w:val="22"/>
          <w:szCs w:val="22"/>
        </w:rPr>
        <w:t xml:space="preserve">Sujeto Obligado </w:t>
      </w:r>
      <w:r w:rsidRPr="00A86B8B">
        <w:rPr>
          <w:rFonts w:ascii="Palatino Linotype" w:eastAsia="Palatino Linotype" w:hAnsi="Palatino Linotype" w:cs="Palatino Linotype"/>
          <w:sz w:val="22"/>
          <w:szCs w:val="22"/>
        </w:rPr>
        <w:t>presentara su informe justificado.</w:t>
      </w:r>
    </w:p>
    <w:p w14:paraId="4C6EC2C8" w14:textId="2B5C2D45" w:rsidR="00CF5FD5"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b/>
          <w:bCs/>
          <w:sz w:val="22"/>
          <w:szCs w:val="22"/>
        </w:rPr>
        <w:t>6. Manifestaciones</w:t>
      </w:r>
      <w:r w:rsidRPr="00A86B8B">
        <w:rPr>
          <w:rFonts w:ascii="Palatino Linotype" w:eastAsia="Palatino Linotype" w:hAnsi="Palatino Linotype" w:cs="Palatino Linotype"/>
          <w:sz w:val="22"/>
          <w:szCs w:val="22"/>
        </w:rPr>
        <w:t xml:space="preserve">. El </w:t>
      </w:r>
      <w:r w:rsidR="00CD04E8" w:rsidRPr="00A86B8B">
        <w:rPr>
          <w:rFonts w:ascii="Palatino Linotype" w:eastAsia="Palatino Linotype" w:hAnsi="Palatino Linotype" w:cs="Palatino Linotype"/>
          <w:b/>
          <w:bCs/>
          <w:sz w:val="22"/>
          <w:szCs w:val="22"/>
        </w:rPr>
        <w:t>quince de diciembre</w:t>
      </w:r>
      <w:r w:rsidRPr="00A86B8B">
        <w:rPr>
          <w:rFonts w:ascii="Palatino Linotype" w:eastAsia="Palatino Linotype" w:hAnsi="Palatino Linotype" w:cs="Palatino Linotype"/>
          <w:b/>
          <w:bCs/>
          <w:sz w:val="22"/>
          <w:szCs w:val="22"/>
        </w:rPr>
        <w:t xml:space="preserve"> de</w:t>
      </w:r>
      <w:r w:rsidRPr="00A86B8B">
        <w:rPr>
          <w:rFonts w:ascii="Palatino Linotype" w:eastAsia="Palatino Linotype" w:hAnsi="Palatino Linotype" w:cs="Palatino Linotype"/>
          <w:sz w:val="22"/>
          <w:szCs w:val="22"/>
        </w:rPr>
        <w:t xml:space="preserve"> </w:t>
      </w:r>
      <w:r w:rsidRPr="00A86B8B">
        <w:rPr>
          <w:rFonts w:ascii="Palatino Linotype" w:eastAsia="Palatino Linotype" w:hAnsi="Palatino Linotype" w:cs="Palatino Linotype"/>
          <w:b/>
          <w:bCs/>
          <w:sz w:val="22"/>
          <w:szCs w:val="22"/>
        </w:rPr>
        <w:t xml:space="preserve">dos mil </w:t>
      </w:r>
      <w:r w:rsidR="00FF2E79" w:rsidRPr="00A86B8B">
        <w:rPr>
          <w:rFonts w:ascii="Palatino Linotype" w:eastAsia="Palatino Linotype" w:hAnsi="Palatino Linotype" w:cs="Palatino Linotype"/>
          <w:b/>
          <w:bCs/>
          <w:sz w:val="22"/>
          <w:szCs w:val="22"/>
        </w:rPr>
        <w:t>veinticinco</w:t>
      </w:r>
      <w:r w:rsidRPr="00A86B8B">
        <w:rPr>
          <w:rFonts w:ascii="Palatino Linotype" w:eastAsia="Palatino Linotype" w:hAnsi="Palatino Linotype" w:cs="Palatino Linotype"/>
          <w:sz w:val="22"/>
          <w:szCs w:val="22"/>
        </w:rPr>
        <w:t xml:space="preserve">, el </w:t>
      </w:r>
      <w:r w:rsidRPr="00A86B8B">
        <w:rPr>
          <w:rFonts w:ascii="Palatino Linotype" w:eastAsia="Palatino Linotype" w:hAnsi="Palatino Linotype" w:cs="Palatino Linotype"/>
          <w:b/>
          <w:bCs/>
          <w:sz w:val="22"/>
          <w:szCs w:val="22"/>
        </w:rPr>
        <w:t>Sujeto Obligado</w:t>
      </w:r>
      <w:r w:rsidRPr="00A86B8B">
        <w:rPr>
          <w:rFonts w:ascii="Palatino Linotype" w:eastAsia="Palatino Linotype" w:hAnsi="Palatino Linotype" w:cs="Palatino Linotype"/>
          <w:sz w:val="22"/>
          <w:szCs w:val="22"/>
        </w:rPr>
        <w:t xml:space="preserve"> remitió, a través del SAIMEX su informe justificado</w:t>
      </w:r>
      <w:r w:rsidR="00CF5FD5" w:rsidRPr="00A86B8B">
        <w:rPr>
          <w:rFonts w:ascii="Palatino Linotype" w:eastAsia="Palatino Linotype" w:hAnsi="Palatino Linotype" w:cs="Palatino Linotype"/>
          <w:sz w:val="22"/>
          <w:szCs w:val="22"/>
        </w:rPr>
        <w:t xml:space="preserve"> mediante el cual ratificó en lo sustancial la respuesta proporcionada en primera instancia, manifestando que </w:t>
      </w:r>
      <w:r w:rsidR="00CF5FD5" w:rsidRPr="00A86B8B">
        <w:rPr>
          <w:rFonts w:ascii="Palatino Linotype" w:hAnsi="Palatino Linotype"/>
          <w:sz w:val="22"/>
          <w:szCs w:val="22"/>
        </w:rPr>
        <w:t xml:space="preserve">del análisis de la respuesta proporcionada por el Servidor Público Habilitado en fecha del presente mes y año, y que obra agregada en el sistema, se advierte que al seleccionar ambos enlaces, no se copia de manera completa la liga correspondiente, sin embargo, </w:t>
      </w:r>
      <w:r w:rsidR="00CF5FD5" w:rsidRPr="00A86B8B">
        <w:rPr>
          <w:rFonts w:ascii="Palatino Linotype" w:eastAsia="Palatino Linotype" w:hAnsi="Palatino Linotype" w:cs="Palatino Linotype"/>
          <w:sz w:val="22"/>
          <w:szCs w:val="22"/>
        </w:rPr>
        <w:t xml:space="preserve"> </w:t>
      </w:r>
      <w:r w:rsidR="00CF5FD5" w:rsidRPr="00A86B8B">
        <w:rPr>
          <w:rFonts w:ascii="Palatino Linotype" w:hAnsi="Palatino Linotype"/>
          <w:sz w:val="22"/>
          <w:szCs w:val="22"/>
        </w:rPr>
        <w:t>en la página de respuesta del propio sistema, proporcionada con la misma notificación, se adjuntó también el enlace correspondiente a cada una de las auditorías, a los cuales se puede acceder sin mayor inconveniente.</w:t>
      </w:r>
    </w:p>
    <w:p w14:paraId="6CA0037B" w14:textId="5DBF51BB" w:rsidR="006C2841" w:rsidRPr="00A86B8B" w:rsidRDefault="00F60E61">
      <w:pPr>
        <w:spacing w:before="240" w:after="240" w:line="360" w:lineRule="auto"/>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sz w:val="22"/>
          <w:szCs w:val="22"/>
        </w:rPr>
        <w:t>Una vez analizada la información,</w:t>
      </w:r>
      <w:r w:rsidR="00D06478" w:rsidRPr="00A86B8B">
        <w:rPr>
          <w:rFonts w:ascii="Palatino Linotype" w:eastAsia="Palatino Linotype" w:hAnsi="Palatino Linotype" w:cs="Palatino Linotype"/>
          <w:sz w:val="22"/>
          <w:szCs w:val="22"/>
        </w:rPr>
        <w:t xml:space="preserve"> se hizo del conocimiento de la persona solicitante a efecto de que manifestara lo que a su derecho estimara conveniente, siendo omisa en ejercer dicha prerrogativa.</w:t>
      </w:r>
    </w:p>
    <w:p w14:paraId="554BE554" w14:textId="26AE1E19" w:rsidR="006B3541" w:rsidRPr="00A86B8B" w:rsidRDefault="00D06478" w:rsidP="006B3541">
      <w:pPr>
        <w:spacing w:before="240" w:after="240" w:line="360" w:lineRule="auto"/>
        <w:jc w:val="both"/>
        <w:rPr>
          <w:rFonts w:ascii="Palatino Linotype" w:eastAsia="Palatino Linotype" w:hAnsi="Palatino Linotype" w:cs="Palatino Linotype"/>
          <w:b/>
          <w:sz w:val="22"/>
          <w:szCs w:val="22"/>
        </w:rPr>
      </w:pPr>
      <w:r w:rsidRPr="00A86B8B">
        <w:rPr>
          <w:rFonts w:ascii="Palatino Linotype" w:eastAsia="Palatino Linotype" w:hAnsi="Palatino Linotype" w:cs="Palatino Linotype"/>
          <w:b/>
          <w:bCs/>
          <w:sz w:val="22"/>
          <w:szCs w:val="22"/>
        </w:rPr>
        <w:t xml:space="preserve">7. </w:t>
      </w:r>
      <w:r w:rsidR="006B3541" w:rsidRPr="00A86B8B">
        <w:rPr>
          <w:rFonts w:ascii="Palatino Linotype" w:eastAsia="Palatino Linotype" w:hAnsi="Palatino Linotype" w:cs="Palatino Linotype"/>
          <w:b/>
          <w:sz w:val="22"/>
          <w:szCs w:val="22"/>
        </w:rPr>
        <w:t>Ampliación del término para resolver</w:t>
      </w:r>
      <w:r w:rsidR="006B3541" w:rsidRPr="00A86B8B">
        <w:rPr>
          <w:rFonts w:ascii="Palatino Linotype" w:eastAsia="Palatino Linotype" w:hAnsi="Palatino Linotype" w:cs="Palatino Linotype"/>
          <w:sz w:val="22"/>
          <w:szCs w:val="22"/>
        </w:rPr>
        <w:t xml:space="preserve">. El </w:t>
      </w:r>
      <w:r w:rsidR="006B3541" w:rsidRPr="00A86B8B">
        <w:rPr>
          <w:rFonts w:ascii="Palatino Linotype" w:eastAsia="Palatino Linotype" w:hAnsi="Palatino Linotype" w:cs="Palatino Linotype"/>
          <w:b/>
          <w:sz w:val="22"/>
          <w:szCs w:val="22"/>
        </w:rPr>
        <w:t>dieciocho de febrero de dos mil veinticinco</w:t>
      </w:r>
      <w:r w:rsidR="006B3541" w:rsidRPr="00A86B8B">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51B27673" w14:textId="258B4974" w:rsidR="006C2841" w:rsidRPr="00A86B8B" w:rsidRDefault="006B3541">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b/>
          <w:bCs/>
          <w:sz w:val="22"/>
          <w:szCs w:val="22"/>
        </w:rPr>
        <w:t xml:space="preserve">8. </w:t>
      </w:r>
      <w:r w:rsidR="00D06478" w:rsidRPr="00A86B8B">
        <w:rPr>
          <w:rFonts w:ascii="Palatino Linotype" w:eastAsia="Palatino Linotype" w:hAnsi="Palatino Linotype" w:cs="Palatino Linotype"/>
          <w:b/>
          <w:bCs/>
          <w:sz w:val="22"/>
          <w:szCs w:val="22"/>
        </w:rPr>
        <w:t xml:space="preserve">Cierre de instrucción. </w:t>
      </w:r>
      <w:r w:rsidR="00D06478" w:rsidRPr="00A86B8B">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3C4119" w:rsidRPr="00A86B8B">
        <w:rPr>
          <w:rFonts w:ascii="Palatino Linotype" w:eastAsia="Palatino Linotype" w:hAnsi="Palatino Linotype" w:cs="Palatino Linotype"/>
          <w:b/>
          <w:bCs/>
          <w:sz w:val="22"/>
          <w:szCs w:val="22"/>
        </w:rPr>
        <w:t>ve</w:t>
      </w:r>
      <w:r w:rsidR="00CD0E5D" w:rsidRPr="00A86B8B">
        <w:rPr>
          <w:rFonts w:ascii="Palatino Linotype" w:eastAsia="Palatino Linotype" w:hAnsi="Palatino Linotype" w:cs="Palatino Linotype"/>
          <w:b/>
          <w:bCs/>
          <w:sz w:val="22"/>
          <w:szCs w:val="22"/>
        </w:rPr>
        <w:t>inticinco</w:t>
      </w:r>
      <w:r w:rsidR="003C4119" w:rsidRPr="00A86B8B">
        <w:rPr>
          <w:rFonts w:ascii="Palatino Linotype" w:eastAsia="Palatino Linotype" w:hAnsi="Palatino Linotype" w:cs="Palatino Linotype"/>
          <w:b/>
          <w:bCs/>
          <w:sz w:val="22"/>
          <w:szCs w:val="22"/>
        </w:rPr>
        <w:t xml:space="preserve"> de </w:t>
      </w:r>
      <w:r w:rsidR="0020252C" w:rsidRPr="00A86B8B">
        <w:rPr>
          <w:rFonts w:ascii="Palatino Linotype" w:eastAsia="Palatino Linotype" w:hAnsi="Palatino Linotype" w:cs="Palatino Linotype"/>
          <w:b/>
          <w:bCs/>
          <w:sz w:val="22"/>
          <w:szCs w:val="22"/>
        </w:rPr>
        <w:t>febrero</w:t>
      </w:r>
      <w:r w:rsidR="00D06478" w:rsidRPr="00A86B8B">
        <w:rPr>
          <w:rFonts w:ascii="Palatino Linotype" w:eastAsia="Palatino Linotype" w:hAnsi="Palatino Linotype" w:cs="Palatino Linotype"/>
          <w:b/>
          <w:bCs/>
          <w:sz w:val="22"/>
          <w:szCs w:val="22"/>
        </w:rPr>
        <w:t xml:space="preserve"> de dos mil veintiséis</w:t>
      </w:r>
      <w:r w:rsidR="00D06478" w:rsidRPr="00A86B8B">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r w:rsidR="00CD0E5D" w:rsidRPr="00A86B8B">
        <w:rPr>
          <w:rFonts w:ascii="Palatino Linotype" w:eastAsia="Palatino Linotype" w:hAnsi="Palatino Linotype" w:cs="Palatino Linotype"/>
          <w:sz w:val="22"/>
          <w:szCs w:val="22"/>
        </w:rPr>
        <w:t xml:space="preserve">, el cual se hizo del conocimiento de las partes veintisiete de febrero de dos mil veintiséis. </w:t>
      </w:r>
    </w:p>
    <w:p w14:paraId="467701DA"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E8EED7F" w14:textId="77777777" w:rsidR="006C2841" w:rsidRPr="00A86B8B" w:rsidRDefault="00D06478">
      <w:pPr>
        <w:widowControl w:val="0"/>
        <w:spacing w:before="240" w:after="240" w:line="360" w:lineRule="auto"/>
        <w:jc w:val="center"/>
        <w:rPr>
          <w:rFonts w:ascii="Palatino Linotype" w:eastAsia="Palatino Linotype" w:hAnsi="Palatino Linotype" w:cs="Palatino Linotype"/>
          <w:b/>
          <w:bCs/>
          <w:sz w:val="22"/>
          <w:szCs w:val="22"/>
        </w:rPr>
      </w:pPr>
      <w:r w:rsidRPr="00A86B8B">
        <w:rPr>
          <w:rFonts w:ascii="Palatino Linotype" w:eastAsia="Palatino Linotype" w:hAnsi="Palatino Linotype" w:cs="Palatino Linotype"/>
          <w:b/>
          <w:bCs/>
          <w:sz w:val="22"/>
          <w:szCs w:val="22"/>
        </w:rPr>
        <w:t>II. C O N S I D E R A N D O S</w:t>
      </w:r>
    </w:p>
    <w:p w14:paraId="2C3A1128"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bookmarkStart w:id="6" w:name="_heading=h.9hvwel199kxp" w:colFirst="0" w:colLast="0"/>
      <w:bookmarkEnd w:id="6"/>
      <w:r w:rsidRPr="00A86B8B">
        <w:rPr>
          <w:rFonts w:ascii="Palatino Linotype" w:eastAsia="Palatino Linotype" w:hAnsi="Palatino Linotype" w:cs="Palatino Linotype"/>
          <w:b/>
          <w:bCs/>
          <w:sz w:val="22"/>
          <w:szCs w:val="22"/>
        </w:rPr>
        <w:t>Primero. Competencia.</w:t>
      </w:r>
      <w:r w:rsidRPr="00A86B8B">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AB0F436"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bookmarkStart w:id="7" w:name="_heading=h.tyjcwt" w:colFirst="0" w:colLast="0"/>
      <w:bookmarkEnd w:id="7"/>
      <w:r w:rsidRPr="00A86B8B">
        <w:rPr>
          <w:rFonts w:ascii="Palatino Linotype" w:eastAsia="Palatino Linotype" w:hAnsi="Palatino Linotype" w:cs="Palatino Linotype"/>
          <w:b/>
          <w:bCs/>
          <w:sz w:val="22"/>
          <w:szCs w:val="22"/>
        </w:rPr>
        <w:t>Segundo. Oportunidad y Procedibilidad del Recurso de Revisión</w:t>
      </w:r>
      <w:r w:rsidRPr="00A86B8B">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01959CCE" w14:textId="720B33C3"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A86B8B">
        <w:rPr>
          <w:rFonts w:ascii="Palatino Linotype" w:eastAsia="Palatino Linotype" w:hAnsi="Palatino Linotype" w:cs="Palatino Linotype"/>
          <w:b/>
          <w:bCs/>
          <w:sz w:val="22"/>
          <w:szCs w:val="22"/>
        </w:rPr>
        <w:t xml:space="preserve">Sujeto Obligado </w:t>
      </w:r>
      <w:r w:rsidRPr="00A86B8B">
        <w:rPr>
          <w:rFonts w:ascii="Palatino Linotype" w:eastAsia="Palatino Linotype" w:hAnsi="Palatino Linotype" w:cs="Palatino Linotype"/>
          <w:sz w:val="22"/>
          <w:szCs w:val="22"/>
        </w:rPr>
        <w:t xml:space="preserve">remitió la respuesta a la solicitud de información el día </w:t>
      </w:r>
      <w:r w:rsidR="003C4119" w:rsidRPr="00A86B8B">
        <w:rPr>
          <w:rFonts w:ascii="Palatino Linotype" w:eastAsia="Palatino Linotype" w:hAnsi="Palatino Linotype" w:cs="Palatino Linotype"/>
          <w:b/>
          <w:bCs/>
          <w:sz w:val="22"/>
          <w:szCs w:val="22"/>
        </w:rPr>
        <w:t>cinco de</w:t>
      </w:r>
      <w:r w:rsidRPr="00A86B8B">
        <w:rPr>
          <w:rFonts w:ascii="Palatino Linotype" w:eastAsia="Palatino Linotype" w:hAnsi="Palatino Linotype" w:cs="Palatino Linotype"/>
          <w:b/>
          <w:bCs/>
          <w:sz w:val="22"/>
          <w:szCs w:val="22"/>
        </w:rPr>
        <w:t xml:space="preserve"> diciembre de dos mil veinticinco, </w:t>
      </w:r>
      <w:r w:rsidRPr="00A86B8B">
        <w:rPr>
          <w:rFonts w:ascii="Palatino Linotype" w:eastAsia="Palatino Linotype" w:hAnsi="Palatino Linotype" w:cs="Palatino Linotype"/>
          <w:sz w:val="22"/>
          <w:szCs w:val="22"/>
        </w:rPr>
        <w:t xml:space="preserve">mientras que el recurso de revisión interpuesto por la parte </w:t>
      </w:r>
      <w:r w:rsidRPr="00A86B8B">
        <w:rPr>
          <w:rFonts w:ascii="Palatino Linotype" w:eastAsia="Palatino Linotype" w:hAnsi="Palatino Linotype" w:cs="Palatino Linotype"/>
          <w:b/>
          <w:bCs/>
          <w:sz w:val="22"/>
          <w:szCs w:val="22"/>
        </w:rPr>
        <w:t xml:space="preserve">Recurrente, </w:t>
      </w:r>
      <w:r w:rsidRPr="00A86B8B">
        <w:rPr>
          <w:rFonts w:ascii="Palatino Linotype" w:eastAsia="Palatino Linotype" w:hAnsi="Palatino Linotype" w:cs="Palatino Linotype"/>
          <w:sz w:val="22"/>
          <w:szCs w:val="22"/>
        </w:rPr>
        <w:t>se tuvo por presentado el día</w:t>
      </w:r>
      <w:r w:rsidRPr="00A86B8B">
        <w:rPr>
          <w:rFonts w:ascii="Palatino Linotype" w:eastAsia="Palatino Linotype" w:hAnsi="Palatino Linotype" w:cs="Palatino Linotype"/>
          <w:b/>
          <w:bCs/>
          <w:sz w:val="22"/>
          <w:szCs w:val="22"/>
        </w:rPr>
        <w:t xml:space="preserve"> </w:t>
      </w:r>
      <w:r w:rsidR="003C4119" w:rsidRPr="00A86B8B">
        <w:rPr>
          <w:rFonts w:ascii="Palatino Linotype" w:eastAsia="Palatino Linotype" w:hAnsi="Palatino Linotype" w:cs="Palatino Linotype"/>
          <w:b/>
          <w:bCs/>
          <w:sz w:val="22"/>
          <w:szCs w:val="22"/>
        </w:rPr>
        <w:t xml:space="preserve">cinco de </w:t>
      </w:r>
      <w:r w:rsidRPr="00A86B8B">
        <w:rPr>
          <w:rFonts w:ascii="Palatino Linotype" w:eastAsia="Palatino Linotype" w:hAnsi="Palatino Linotype" w:cs="Palatino Linotype"/>
          <w:b/>
          <w:bCs/>
          <w:sz w:val="22"/>
          <w:szCs w:val="22"/>
        </w:rPr>
        <w:t xml:space="preserve">diciembre de dos mil veinticinco, </w:t>
      </w:r>
      <w:r w:rsidRPr="00A86B8B">
        <w:rPr>
          <w:rFonts w:ascii="Palatino Linotype" w:eastAsia="Palatino Linotype" w:hAnsi="Palatino Linotype" w:cs="Palatino Linotype"/>
          <w:sz w:val="22"/>
          <w:szCs w:val="22"/>
        </w:rPr>
        <w:t>esto es, el mismo día en el que tuvo conocimiento de la respuesta impugnada. En este sentido, se concluye que el presente recurso de revisión se encuentra dentro de los márgenes temporales previstos en las disposiciones legales referidas.</w:t>
      </w:r>
    </w:p>
    <w:p w14:paraId="63AD2E80"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05DDD007"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b/>
          <w:bCs/>
          <w:i/>
          <w:iCs/>
          <w:sz w:val="22"/>
          <w:szCs w:val="22"/>
        </w:rPr>
        <w:t>“RECURSO DE RECLAMACIÓN. SU INTERPOSICIÓN NO ES EXTEMPORÁNEA SI SE REALIZA ANTES DE QUE INICIE EL PLAZO PARA HACERLO</w:t>
      </w:r>
      <w:r w:rsidRPr="00A86B8B">
        <w:rPr>
          <w:rFonts w:ascii="Palatino Linotype" w:eastAsia="Palatino Linotype" w:hAnsi="Palatino Linotype" w:cs="Palatino Linotype"/>
          <w:i/>
          <w:iCs/>
          <w:sz w:val="22"/>
          <w:szCs w:val="22"/>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29824E39"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Al mismo tiempo, por cuanto hace a la procedibilidad de los recursos de revisión, una vez realizado el análisis de los formatos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06FFA499" w14:textId="13450ED0"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A86B8B">
        <w:rPr>
          <w:rFonts w:ascii="Palatino Linotype" w:eastAsia="Palatino Linotype" w:hAnsi="Palatino Linotype" w:cs="Palatino Linotype"/>
          <w:b/>
          <w:bCs/>
          <w:sz w:val="22"/>
          <w:szCs w:val="22"/>
        </w:rPr>
        <w:t>Recurrente</w:t>
      </w:r>
      <w:r w:rsidRPr="00A86B8B">
        <w:rPr>
          <w:rFonts w:ascii="Palatino Linotype" w:eastAsia="Palatino Linotype" w:hAnsi="Palatino Linotype" w:cs="Palatino Linotype"/>
          <w:sz w:val="22"/>
          <w:szCs w:val="22"/>
        </w:rPr>
        <w:t xml:space="preserve"> en sus motivos de inconformidad, de acu</w:t>
      </w:r>
      <w:r w:rsidR="007956D6" w:rsidRPr="00A86B8B">
        <w:rPr>
          <w:rFonts w:ascii="Palatino Linotype" w:eastAsia="Palatino Linotype" w:hAnsi="Palatino Linotype" w:cs="Palatino Linotype"/>
          <w:sz w:val="22"/>
          <w:szCs w:val="22"/>
        </w:rPr>
        <w:t>erdo al artículo 179, fracción I</w:t>
      </w:r>
      <w:r w:rsidR="00FF2E79" w:rsidRPr="00A86B8B">
        <w:rPr>
          <w:rFonts w:ascii="Palatino Linotype" w:eastAsia="Palatino Linotype" w:hAnsi="Palatino Linotype" w:cs="Palatino Linotype"/>
          <w:sz w:val="22"/>
          <w:szCs w:val="22"/>
        </w:rPr>
        <w:t>X</w:t>
      </w:r>
      <w:r w:rsidRPr="00A86B8B">
        <w:rPr>
          <w:rFonts w:ascii="Palatino Linotype" w:eastAsia="Palatino Linotype" w:hAnsi="Palatino Linotype" w:cs="Palatino Linotype"/>
          <w:sz w:val="22"/>
          <w:szCs w:val="22"/>
        </w:rPr>
        <w:t xml:space="preserve"> del ordenamiento legal citado, que a la letra dice: </w:t>
      </w:r>
    </w:p>
    <w:p w14:paraId="185A246D" w14:textId="77777777" w:rsidR="006C2841" w:rsidRPr="00A86B8B" w:rsidRDefault="00D06478">
      <w:pPr>
        <w:tabs>
          <w:tab w:val="left" w:pos="7938"/>
        </w:tabs>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w:t>
      </w:r>
      <w:r w:rsidRPr="00A86B8B">
        <w:rPr>
          <w:rFonts w:ascii="Palatino Linotype" w:eastAsia="Palatino Linotype" w:hAnsi="Palatino Linotype" w:cs="Palatino Linotype"/>
          <w:b/>
          <w:bCs/>
          <w:i/>
          <w:iCs/>
          <w:sz w:val="22"/>
          <w:szCs w:val="22"/>
        </w:rPr>
        <w:t>Artículo 179.</w:t>
      </w:r>
      <w:r w:rsidRPr="00A86B8B">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1A6E13B4" w14:textId="4A2CCE6D" w:rsidR="007956D6" w:rsidRPr="00A86B8B" w:rsidRDefault="007956D6" w:rsidP="007956D6">
      <w:pPr>
        <w:tabs>
          <w:tab w:val="left" w:pos="7938"/>
        </w:tabs>
        <w:spacing w:before="120" w:after="120"/>
        <w:ind w:left="851" w:right="900"/>
        <w:jc w:val="both"/>
        <w:rPr>
          <w:rFonts w:ascii="Palatino Linotype" w:eastAsia="Palatino Linotype" w:hAnsi="Palatino Linotype" w:cs="Palatino Linotype"/>
          <w:b/>
          <w:i/>
          <w:iCs/>
          <w:sz w:val="22"/>
          <w:szCs w:val="22"/>
        </w:rPr>
      </w:pPr>
      <w:r w:rsidRPr="00A86B8B">
        <w:rPr>
          <w:rFonts w:ascii="Palatino Linotype" w:eastAsia="Palatino Linotype" w:hAnsi="Palatino Linotype" w:cs="Palatino Linotype"/>
          <w:b/>
          <w:i/>
          <w:iCs/>
          <w:sz w:val="22"/>
          <w:szCs w:val="22"/>
        </w:rPr>
        <w:t>...</w:t>
      </w:r>
    </w:p>
    <w:p w14:paraId="55342ED5" w14:textId="7A8BC895" w:rsidR="006C2841" w:rsidRPr="00A86B8B" w:rsidRDefault="00FF2E79" w:rsidP="007956D6">
      <w:pPr>
        <w:tabs>
          <w:tab w:val="left" w:pos="7938"/>
        </w:tabs>
        <w:spacing w:before="120" w:after="120"/>
        <w:ind w:left="851" w:right="900"/>
        <w:jc w:val="both"/>
        <w:rPr>
          <w:rFonts w:ascii="Palatino Linotype" w:eastAsia="Palatino Linotype" w:hAnsi="Palatino Linotype" w:cs="Palatino Linotype"/>
          <w:i/>
          <w:iCs/>
          <w:sz w:val="22"/>
          <w:szCs w:val="22"/>
        </w:rPr>
      </w:pPr>
      <w:r w:rsidRPr="00A86B8B">
        <w:rPr>
          <w:rFonts w:ascii="Palatino Linotype" w:hAnsi="Palatino Linotype"/>
          <w:b/>
          <w:i/>
          <w:sz w:val="22"/>
          <w:szCs w:val="22"/>
        </w:rPr>
        <w:t>IX.</w:t>
      </w:r>
      <w:r w:rsidRPr="00A86B8B">
        <w:rPr>
          <w:rFonts w:ascii="Palatino Linotype" w:hAnsi="Palatino Linotype"/>
          <w:i/>
          <w:sz w:val="22"/>
          <w:szCs w:val="22"/>
        </w:rPr>
        <w:t xml:space="preserve"> La entrega o puesta a disposición de información en un formato incomprensible y/o no accesible para el solicitante</w:t>
      </w:r>
      <w:r w:rsidR="00D06478" w:rsidRPr="00A86B8B">
        <w:rPr>
          <w:rFonts w:ascii="Palatino Linotype" w:eastAsia="Palatino Linotype" w:hAnsi="Palatino Linotype" w:cs="Palatino Linotype"/>
          <w:i/>
          <w:iCs/>
          <w:sz w:val="22"/>
          <w:szCs w:val="22"/>
        </w:rPr>
        <w:t>;”</w:t>
      </w:r>
    </w:p>
    <w:p w14:paraId="4DF574EC" w14:textId="77777777" w:rsidR="006C2841" w:rsidRPr="00A86B8B" w:rsidRDefault="00D06478">
      <w:pPr>
        <w:spacing w:before="240" w:after="240" w:line="360" w:lineRule="auto"/>
        <w:jc w:val="both"/>
        <w:rPr>
          <w:rFonts w:ascii="Palatino Linotype" w:eastAsia="Palatino Linotype" w:hAnsi="Palatino Linotype" w:cs="Palatino Linotype"/>
          <w:b/>
          <w:bCs/>
          <w:sz w:val="22"/>
          <w:szCs w:val="22"/>
        </w:rPr>
      </w:pPr>
      <w:r w:rsidRPr="00A86B8B">
        <w:rPr>
          <w:rFonts w:ascii="Palatino Linotype" w:eastAsia="Palatino Linotype" w:hAnsi="Palatino Linotype" w:cs="Palatino Linotype"/>
          <w:b/>
          <w:bCs/>
          <w:sz w:val="22"/>
          <w:szCs w:val="22"/>
        </w:rPr>
        <w:t xml:space="preserve">Tercero. Materia de la revisión. </w:t>
      </w:r>
      <w:r w:rsidRPr="00A86B8B">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A86B8B">
        <w:rPr>
          <w:rFonts w:ascii="Palatino Linotype" w:eastAsia="Palatino Linotype" w:hAnsi="Palatino Linotype" w:cs="Palatino Linotype"/>
          <w:b/>
          <w:bCs/>
          <w:sz w:val="22"/>
          <w:szCs w:val="22"/>
        </w:rPr>
        <w:t xml:space="preserve">verificar si la información proporcionada por el Sujeto Obligado es adecuada y suficiente para satisfacer el derecho de acceso a la información pública </w:t>
      </w:r>
      <w:r w:rsidRPr="00A86B8B">
        <w:rPr>
          <w:rFonts w:ascii="Palatino Linotype" w:eastAsia="Palatino Linotype" w:hAnsi="Palatino Linotype" w:cs="Palatino Linotype"/>
          <w:sz w:val="22"/>
          <w:szCs w:val="22"/>
        </w:rPr>
        <w:t xml:space="preserve">de la parte </w:t>
      </w:r>
      <w:r w:rsidRPr="00A86B8B">
        <w:rPr>
          <w:rFonts w:ascii="Palatino Linotype" w:eastAsia="Palatino Linotype" w:hAnsi="Palatino Linotype" w:cs="Palatino Linotype"/>
          <w:b/>
          <w:bCs/>
          <w:sz w:val="22"/>
          <w:szCs w:val="22"/>
        </w:rPr>
        <w:t>Recurrente</w:t>
      </w:r>
      <w:r w:rsidRPr="00A86B8B">
        <w:rPr>
          <w:rFonts w:ascii="Palatino Linotype" w:eastAsia="Palatino Linotype" w:hAnsi="Palatino Linotype" w:cs="Palatino Linotype"/>
          <w:sz w:val="22"/>
          <w:szCs w:val="22"/>
        </w:rPr>
        <w:t>, o en su defecto, en caso de ser procedente, ordenar la entrega de información.</w:t>
      </w:r>
    </w:p>
    <w:p w14:paraId="5C936FE1"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bookmarkStart w:id="8" w:name="_heading=h.2et92p0" w:colFirst="0" w:colLast="0"/>
      <w:bookmarkEnd w:id="8"/>
      <w:r w:rsidRPr="00A86B8B">
        <w:rPr>
          <w:rFonts w:ascii="Palatino Linotype" w:eastAsia="Palatino Linotype" w:hAnsi="Palatino Linotype" w:cs="Palatino Linotype"/>
          <w:b/>
          <w:bCs/>
          <w:sz w:val="22"/>
          <w:szCs w:val="22"/>
        </w:rPr>
        <w:t xml:space="preserve">Cuarto. Estudio del asunto. </w:t>
      </w:r>
      <w:r w:rsidRPr="00A86B8B">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F37E507"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w:t>
      </w:r>
      <w:r w:rsidRPr="00A86B8B">
        <w:rPr>
          <w:rFonts w:ascii="Palatino Linotype" w:eastAsia="Palatino Linotype" w:hAnsi="Palatino Linotype" w:cs="Palatino Linotype"/>
          <w:b/>
          <w:bCs/>
          <w:i/>
          <w:iCs/>
          <w:sz w:val="22"/>
          <w:szCs w:val="22"/>
        </w:rPr>
        <w:t>Artículo 4</w:t>
      </w:r>
      <w:r w:rsidRPr="00A86B8B">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3E5A12A9"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A86B8B">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08AC46C"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A86B8B">
        <w:rPr>
          <w:rFonts w:ascii="Palatino Linotype" w:eastAsia="Palatino Linotype" w:hAnsi="Palatino Linotype" w:cs="Palatino Linotype"/>
          <w:i/>
          <w:iCs/>
          <w:sz w:val="22"/>
          <w:szCs w:val="22"/>
        </w:rPr>
        <w:t>.”</w:t>
      </w:r>
    </w:p>
    <w:p w14:paraId="069E33B6"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7E3283BD"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b/>
          <w:bCs/>
          <w:i/>
          <w:iCs/>
          <w:sz w:val="22"/>
          <w:szCs w:val="22"/>
        </w:rPr>
        <w:t>“Artículo 12.-</w:t>
      </w:r>
      <w:r w:rsidRPr="00A86B8B">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72F4D375"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A86B8B">
        <w:rPr>
          <w:rFonts w:ascii="Palatino Linotype" w:eastAsia="Palatino Linotype" w:hAnsi="Palatino Linotype" w:cs="Palatino Linotype"/>
          <w:i/>
          <w:iCs/>
          <w:sz w:val="22"/>
          <w:szCs w:val="22"/>
        </w:rPr>
        <w:t xml:space="preserve">. </w:t>
      </w:r>
      <w:r w:rsidRPr="00A86B8B">
        <w:rPr>
          <w:rFonts w:ascii="Palatino Linotype" w:eastAsia="Palatino Linotype" w:hAnsi="Palatino Linotype" w:cs="Palatino Linotype"/>
          <w:b/>
          <w:bCs/>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35611BA0" w14:textId="77777777" w:rsidR="006C2841" w:rsidRPr="00A86B8B" w:rsidRDefault="00D06478">
      <w:pPr>
        <w:spacing w:before="240" w:after="240" w:line="360" w:lineRule="auto"/>
        <w:ind w:right="-93"/>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696DA728" w14:textId="77777777" w:rsidR="006C2841" w:rsidRPr="00A86B8B" w:rsidRDefault="00D06478">
      <w:pPr>
        <w:spacing w:before="240" w:after="240" w:line="360" w:lineRule="auto"/>
        <w:jc w:val="both"/>
        <w:rPr>
          <w:rFonts w:ascii="Palatino Linotype" w:eastAsia="Palatino Linotype" w:hAnsi="Palatino Linotype" w:cs="Palatino Linotype"/>
          <w:b/>
          <w:bCs/>
          <w:sz w:val="22"/>
          <w:szCs w:val="22"/>
        </w:rPr>
      </w:pPr>
      <w:r w:rsidRPr="00A86B8B">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A86B8B">
        <w:rPr>
          <w:rFonts w:ascii="Palatino Linotype" w:eastAsia="Palatino Linotype" w:hAnsi="Palatino Linotype" w:cs="Palatino Linotype"/>
          <w:b/>
          <w:bCs/>
          <w:sz w:val="22"/>
          <w:szCs w:val="22"/>
        </w:rPr>
        <w:t xml:space="preserve"> </w:t>
      </w:r>
    </w:p>
    <w:p w14:paraId="2EB2A829" w14:textId="77777777" w:rsidR="006C2841" w:rsidRPr="00A86B8B" w:rsidRDefault="00D06478">
      <w:pPr>
        <w:spacing w:before="120" w:after="120"/>
        <w:ind w:left="1134"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 xml:space="preserve"> “</w:t>
      </w:r>
      <w:r w:rsidRPr="00A86B8B">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A86B8B">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6EA05B0" w14:textId="77777777" w:rsidR="006C2841" w:rsidRPr="00A86B8B" w:rsidRDefault="00D06478">
      <w:pPr>
        <w:spacing w:before="120" w:after="12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AE8EDC8" w14:textId="77777777" w:rsidR="006C2841" w:rsidRPr="00A86B8B" w:rsidRDefault="00D06478">
      <w:pPr>
        <w:spacing w:before="120" w:after="12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44F6D804" w14:textId="77777777" w:rsidR="006C2841" w:rsidRPr="00A86B8B" w:rsidRDefault="00D06478">
      <w:pPr>
        <w:tabs>
          <w:tab w:val="left" w:pos="993"/>
        </w:tabs>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w:t>
      </w:r>
      <w:r w:rsidRPr="00A86B8B">
        <w:rPr>
          <w:rFonts w:ascii="Palatino Linotype" w:eastAsia="Palatino Linotype" w:hAnsi="Palatino Linotype" w:cs="Palatino Linotype"/>
          <w:b/>
          <w:bCs/>
          <w:i/>
          <w:iCs/>
          <w:sz w:val="22"/>
          <w:szCs w:val="22"/>
        </w:rPr>
        <w:t xml:space="preserve">Artículo 3. </w:t>
      </w:r>
      <w:r w:rsidRPr="00A86B8B">
        <w:rPr>
          <w:rFonts w:ascii="Palatino Linotype" w:eastAsia="Palatino Linotype" w:hAnsi="Palatino Linotype" w:cs="Palatino Linotype"/>
          <w:i/>
          <w:iCs/>
          <w:sz w:val="22"/>
          <w:szCs w:val="22"/>
        </w:rPr>
        <w:t>Para los efectos de la presente Ley se entenderá por:</w:t>
      </w:r>
    </w:p>
    <w:p w14:paraId="4CC9DA6F" w14:textId="77777777" w:rsidR="006C2841" w:rsidRPr="00A86B8B" w:rsidRDefault="00D06478">
      <w:pPr>
        <w:tabs>
          <w:tab w:val="left" w:pos="993"/>
        </w:tabs>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w:t>
      </w:r>
    </w:p>
    <w:p w14:paraId="76CDAB03" w14:textId="77777777" w:rsidR="006C2841" w:rsidRPr="00A86B8B" w:rsidRDefault="00D06478">
      <w:pPr>
        <w:tabs>
          <w:tab w:val="left" w:pos="993"/>
        </w:tabs>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b/>
          <w:bCs/>
          <w:i/>
          <w:iCs/>
          <w:sz w:val="22"/>
          <w:szCs w:val="22"/>
        </w:rPr>
        <w:t>XI. Documento:</w:t>
      </w:r>
      <w:r w:rsidRPr="00A86B8B">
        <w:rPr>
          <w:rFonts w:ascii="Palatino Linotype" w:eastAsia="Palatino Linotype" w:hAnsi="Palatino Linotype" w:cs="Palatino Linotype"/>
          <w:i/>
          <w:iCs/>
          <w:sz w:val="22"/>
          <w:szCs w:val="22"/>
        </w:rPr>
        <w:t xml:space="preserve"> Los expedientes, reportes, estudios, actas</w:t>
      </w:r>
      <w:r w:rsidRPr="00A86B8B">
        <w:rPr>
          <w:rFonts w:ascii="Palatino Linotype" w:eastAsia="Palatino Linotype" w:hAnsi="Palatino Linotype" w:cs="Palatino Linotype"/>
          <w:b/>
          <w:bCs/>
          <w:i/>
          <w:iCs/>
          <w:sz w:val="22"/>
          <w:szCs w:val="22"/>
        </w:rPr>
        <w:t>,</w:t>
      </w:r>
      <w:r w:rsidRPr="00A86B8B">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B26985C"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22AFEE72"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b/>
          <w:bCs/>
          <w:sz w:val="22"/>
          <w:szCs w:val="22"/>
        </w:rPr>
        <w:t>“</w:t>
      </w:r>
      <w:r w:rsidRPr="00A86B8B">
        <w:rPr>
          <w:rFonts w:ascii="Palatino Linotype" w:eastAsia="Palatino Linotype" w:hAnsi="Palatino Linotype" w:cs="Palatino Linotype"/>
          <w:b/>
          <w:bCs/>
          <w:i/>
          <w:iCs/>
          <w:sz w:val="22"/>
          <w:szCs w:val="22"/>
        </w:rPr>
        <w:t>INFORMACIÓN PÚBLICA, CONCEPTO DE, EN MATERIA DE TRANSPARENCIA. INTERPRETACIÓN SISTEMÁTICA DE LOS ARTÍCULOS 2°, FRACCIÓN V, XV, Y XVI, 3°, 4°, 11 Y 41.</w:t>
      </w:r>
      <w:r w:rsidRPr="00A86B8B">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25B49E7"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132F0F7E"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0F720FD2"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2) Que se trate de información registrada en cualquier soporte documental, que en ejercicio de las atribuciones conferidas, sea administrada por los Sujetos Obligados, y</w:t>
      </w:r>
    </w:p>
    <w:p w14:paraId="25D5A3DD" w14:textId="77777777" w:rsidR="006C2841" w:rsidRPr="00A86B8B" w:rsidRDefault="00D06478">
      <w:pPr>
        <w:spacing w:before="120" w:after="120"/>
        <w:ind w:left="851" w:right="902"/>
        <w:jc w:val="both"/>
        <w:rPr>
          <w:rFonts w:ascii="Palatino Linotype" w:eastAsia="Palatino Linotype" w:hAnsi="Palatino Linotype" w:cs="Palatino Linotype"/>
          <w:i/>
          <w:iCs/>
          <w:sz w:val="22"/>
          <w:szCs w:val="22"/>
        </w:rPr>
      </w:pPr>
      <w:r w:rsidRPr="00A86B8B">
        <w:rPr>
          <w:rFonts w:ascii="Palatino Linotype" w:eastAsia="Palatino Linotype" w:hAnsi="Palatino Linotype" w:cs="Palatino Linotype"/>
          <w:i/>
          <w:iCs/>
          <w:sz w:val="22"/>
          <w:szCs w:val="22"/>
        </w:rPr>
        <w:t>3) Que se trate de información registrada en cualquier soporte documental, que en ejercicio de las atribuciones conferidas, se encuentre en posesión de los Sujetos Obligados.”</w:t>
      </w:r>
    </w:p>
    <w:p w14:paraId="0FFC0E16" w14:textId="77777777" w:rsidR="006C2841" w:rsidRPr="00A86B8B" w:rsidRDefault="00D06478">
      <w:pPr>
        <w:spacing w:before="240" w:after="240" w:line="360" w:lineRule="auto"/>
        <w:ind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53B50954"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En el mismo tenor, los artículos 6, apartado A, fracción I, de la Constitución Política de los Estados Unidos Mexicanos y 5, párrafo cuadragésimo sexto,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6333C337" w14:textId="77777777" w:rsidR="006C2841" w:rsidRPr="00A86B8B" w:rsidRDefault="00D06478">
      <w:pPr>
        <w:spacing w:before="240" w:after="240" w:line="360" w:lineRule="auto"/>
        <w:ind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A86B8B">
        <w:rPr>
          <w:rFonts w:ascii="Palatino Linotype" w:eastAsia="Palatino Linotype" w:hAnsi="Palatino Linotype" w:cs="Palatino Linotype"/>
          <w:b/>
          <w:bCs/>
          <w:sz w:val="22"/>
          <w:szCs w:val="22"/>
        </w:rPr>
        <w:t>Recurrente</w:t>
      </w:r>
      <w:r w:rsidRPr="00A86B8B">
        <w:rPr>
          <w:rFonts w:ascii="Palatino Linotype" w:eastAsia="Palatino Linotype" w:hAnsi="Palatino Linotype" w:cs="Palatino Linotype"/>
          <w:sz w:val="22"/>
          <w:szCs w:val="22"/>
        </w:rPr>
        <w:t xml:space="preserve"> requirió al </w:t>
      </w:r>
      <w:r w:rsidRPr="00A86B8B">
        <w:rPr>
          <w:rFonts w:ascii="Palatino Linotype" w:eastAsia="Palatino Linotype" w:hAnsi="Palatino Linotype" w:cs="Palatino Linotype"/>
          <w:b/>
          <w:bCs/>
          <w:sz w:val="22"/>
          <w:szCs w:val="22"/>
        </w:rPr>
        <w:t xml:space="preserve">Sujeto Obligado </w:t>
      </w:r>
      <w:r w:rsidRPr="00A86B8B">
        <w:rPr>
          <w:rFonts w:ascii="Palatino Linotype" w:eastAsia="Palatino Linotype" w:hAnsi="Palatino Linotype" w:cs="Palatino Linotype"/>
          <w:sz w:val="22"/>
          <w:szCs w:val="22"/>
        </w:rPr>
        <w:t>le proporcione, información consistente en lo siguiente:</w:t>
      </w:r>
    </w:p>
    <w:p w14:paraId="3F1501B9" w14:textId="63BC6C23" w:rsidR="001B6387" w:rsidRPr="00A86B8B" w:rsidRDefault="00D06478">
      <w:pPr>
        <w:spacing w:before="240" w:after="240" w:line="360" w:lineRule="auto"/>
        <w:ind w:left="284"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1. </w:t>
      </w:r>
      <w:r w:rsidR="001B6387" w:rsidRPr="00A86B8B">
        <w:rPr>
          <w:rFonts w:ascii="Palatino Linotype" w:eastAsia="Palatino Linotype" w:hAnsi="Palatino Linotype" w:cs="Palatino Linotype"/>
          <w:sz w:val="22"/>
          <w:szCs w:val="22"/>
        </w:rPr>
        <w:t xml:space="preserve">Los resultados de las auditorias del OSFEM llevadas a cabo en el municipio de </w:t>
      </w:r>
      <w:r w:rsidR="00B94E09" w:rsidRPr="00A86B8B">
        <w:rPr>
          <w:rFonts w:ascii="Palatino Linotype" w:eastAsia="Palatino Linotype" w:hAnsi="Palatino Linotype" w:cs="Palatino Linotype"/>
          <w:sz w:val="22"/>
          <w:szCs w:val="22"/>
        </w:rPr>
        <w:t xml:space="preserve">Acambay, en </w:t>
      </w:r>
      <w:r w:rsidR="001B6387" w:rsidRPr="00A86B8B">
        <w:rPr>
          <w:rFonts w:ascii="Palatino Linotype" w:eastAsia="Palatino Linotype" w:hAnsi="Palatino Linotype" w:cs="Palatino Linotype"/>
          <w:sz w:val="22"/>
          <w:szCs w:val="22"/>
        </w:rPr>
        <w:t>el año 2024 y 2025.</w:t>
      </w:r>
    </w:p>
    <w:p w14:paraId="1BCDA39E" w14:textId="587D00BB" w:rsidR="00C9757E" w:rsidRPr="00A86B8B" w:rsidRDefault="00D06478" w:rsidP="00C9757E">
      <w:pPr>
        <w:spacing w:before="240" w:after="240" w:line="360" w:lineRule="auto"/>
        <w:ind w:right="49"/>
        <w:jc w:val="both"/>
        <w:rPr>
          <w:rFonts w:ascii="Palatino Linotype" w:hAnsi="Palatino Linotype"/>
          <w:sz w:val="22"/>
          <w:szCs w:val="22"/>
        </w:rPr>
      </w:pPr>
      <w:r w:rsidRPr="00A86B8B">
        <w:rPr>
          <w:rFonts w:ascii="Palatino Linotype" w:eastAsia="Palatino Linotype" w:hAnsi="Palatino Linotype" w:cs="Palatino Linotype"/>
          <w:sz w:val="22"/>
          <w:szCs w:val="22"/>
        </w:rPr>
        <w:t xml:space="preserve">En respuesta el </w:t>
      </w:r>
      <w:r w:rsidRPr="00A86B8B">
        <w:rPr>
          <w:rFonts w:ascii="Palatino Linotype" w:eastAsia="Palatino Linotype" w:hAnsi="Palatino Linotype" w:cs="Palatino Linotype"/>
          <w:b/>
          <w:bCs/>
          <w:sz w:val="22"/>
          <w:szCs w:val="22"/>
        </w:rPr>
        <w:t xml:space="preserve">Sujeto Obligado, </w:t>
      </w:r>
      <w:r w:rsidRPr="00A86B8B">
        <w:rPr>
          <w:rFonts w:ascii="Palatino Linotype" w:eastAsia="Palatino Linotype" w:hAnsi="Palatino Linotype" w:cs="Palatino Linotype"/>
          <w:sz w:val="22"/>
          <w:szCs w:val="22"/>
        </w:rPr>
        <w:t>por conducto de</w:t>
      </w:r>
      <w:r w:rsidR="00972BAC" w:rsidRPr="00A86B8B">
        <w:rPr>
          <w:rFonts w:ascii="Palatino Linotype" w:eastAsia="Palatino Linotype" w:hAnsi="Palatino Linotype" w:cs="Palatino Linotype"/>
          <w:sz w:val="22"/>
          <w:szCs w:val="22"/>
        </w:rPr>
        <w:t>l Servidor Público Habilitado del Órgano Superior de Fiscalización del Estado de México</w:t>
      </w:r>
      <w:r w:rsidR="00C9757E" w:rsidRPr="00A86B8B">
        <w:rPr>
          <w:rFonts w:ascii="Palatino Linotype" w:eastAsia="Palatino Linotype" w:hAnsi="Palatino Linotype" w:cs="Palatino Linotype"/>
          <w:sz w:val="22"/>
          <w:szCs w:val="22"/>
        </w:rPr>
        <w:t xml:space="preserve"> manifestó que </w:t>
      </w:r>
      <w:r w:rsidR="00C9757E" w:rsidRPr="00A86B8B">
        <w:rPr>
          <w:rFonts w:ascii="Palatino Linotype" w:hAnsi="Palatino Linotype"/>
          <w:sz w:val="22"/>
          <w:szCs w:val="22"/>
        </w:rPr>
        <w:t>el Programa Anual de Auditorías 2024, emitido por el Órgano Superior de Fiscalización, y publicado en el periódico oficial Gaceta del Gobierno del Estado de México el 16 de febrero del año 2024, contempló la ejecución de la auditoría en materia de Inversión Física al Ayuntamiento del Municipio de Acambay de Ruíz Castañeda, con número AlF-006, en cuanto al ejercicio fiscal 2023, asimismo, el Programa Anual de Auditorías 2025, emitido por esta institución, publicado en el periódico oficial Gaceta del Gobierno del Estado de México el 20 de febrero del año en curso, contempló la ejecución de la auditoría en materia de legalidad al Ayuntamiento del Municipio de Acambay de Ruíz Castañeda, con número AL-001, y para efectos de la consulta, proporcionó dos direcciones electrónicas en formato abierto y cerrado.</w:t>
      </w:r>
    </w:p>
    <w:p w14:paraId="69B509AD" w14:textId="007A05F5" w:rsidR="00EC6F95" w:rsidRPr="00A86B8B" w:rsidRDefault="00D06478">
      <w:pPr>
        <w:spacing w:before="240" w:after="240" w:line="360" w:lineRule="auto"/>
        <w:ind w:right="49"/>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Sin embargo, la parte </w:t>
      </w:r>
      <w:r w:rsidRPr="00A86B8B">
        <w:rPr>
          <w:rFonts w:ascii="Palatino Linotype" w:eastAsia="Palatino Linotype" w:hAnsi="Palatino Linotype" w:cs="Palatino Linotype"/>
          <w:b/>
          <w:bCs/>
          <w:sz w:val="22"/>
          <w:szCs w:val="22"/>
        </w:rPr>
        <w:t xml:space="preserve">Recurrente </w:t>
      </w:r>
      <w:r w:rsidRPr="00A86B8B">
        <w:rPr>
          <w:rFonts w:ascii="Palatino Linotype" w:eastAsia="Palatino Linotype" w:hAnsi="Palatino Linotype" w:cs="Palatino Linotype"/>
          <w:sz w:val="22"/>
          <w:szCs w:val="22"/>
        </w:rPr>
        <w:t xml:space="preserve">interpuso el recurso de revisión que nos ocupa, en el que </w:t>
      </w:r>
      <w:r w:rsidR="00EC6F95" w:rsidRPr="00A86B8B">
        <w:rPr>
          <w:rFonts w:ascii="Palatino Linotype" w:eastAsia="Palatino Linotype" w:hAnsi="Palatino Linotype" w:cs="Palatino Linotype"/>
          <w:sz w:val="22"/>
          <w:szCs w:val="22"/>
        </w:rPr>
        <w:t>señaló como motivo de inconformidad que uno de los links proporcionados no abre ya que la página solo marca error</w:t>
      </w:r>
      <w:r w:rsidR="001940D4" w:rsidRPr="00A86B8B">
        <w:rPr>
          <w:rFonts w:ascii="Palatino Linotype" w:eastAsia="Palatino Linotype" w:hAnsi="Palatino Linotype" w:cs="Palatino Linotype"/>
          <w:sz w:val="22"/>
          <w:szCs w:val="22"/>
        </w:rPr>
        <w:t>, como pretendió acreditar con la siguiente captura de pantalla:</w:t>
      </w:r>
    </w:p>
    <w:p w14:paraId="5D4008D9" w14:textId="536BFDBD" w:rsidR="00C0609B" w:rsidRPr="00A86B8B" w:rsidRDefault="001940D4" w:rsidP="00C0609B">
      <w:pPr>
        <w:spacing w:before="240" w:after="240" w:line="360" w:lineRule="auto"/>
        <w:ind w:right="49"/>
        <w:jc w:val="both"/>
        <w:rPr>
          <w:rFonts w:ascii="Palatino Linotype" w:hAnsi="Palatino Linotype"/>
          <w:sz w:val="22"/>
          <w:szCs w:val="22"/>
        </w:rPr>
      </w:pPr>
      <w:r w:rsidRPr="00A86B8B">
        <w:rPr>
          <w:rFonts w:ascii="Palatino Linotype" w:eastAsia="Palatino Linotype" w:hAnsi="Palatino Linotype" w:cs="Palatino Linotype"/>
          <w:noProof/>
          <w:sz w:val="22"/>
          <w:szCs w:val="22"/>
        </w:rPr>
        <w:drawing>
          <wp:inline distT="0" distB="0" distL="0" distR="0" wp14:anchorId="598899B7" wp14:editId="4C03D42F">
            <wp:extent cx="5612130" cy="303403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034030"/>
                    </a:xfrm>
                    <a:prstGeom prst="rect">
                      <a:avLst/>
                    </a:prstGeom>
                  </pic:spPr>
                </pic:pic>
              </a:graphicData>
            </a:graphic>
          </wp:inline>
        </w:drawing>
      </w:r>
      <w:r w:rsidR="00D06478" w:rsidRPr="00A86B8B">
        <w:rPr>
          <w:rFonts w:ascii="Palatino Linotype" w:eastAsia="Palatino Linotype" w:hAnsi="Palatino Linotype" w:cs="Palatino Linotype"/>
          <w:sz w:val="22"/>
          <w:szCs w:val="22"/>
        </w:rPr>
        <w:t xml:space="preserve">En la etapa de manifestaciones, el </w:t>
      </w:r>
      <w:r w:rsidR="00D06478" w:rsidRPr="00A86B8B">
        <w:rPr>
          <w:rFonts w:ascii="Palatino Linotype" w:eastAsia="Palatino Linotype" w:hAnsi="Palatino Linotype" w:cs="Palatino Linotype"/>
          <w:b/>
          <w:bCs/>
          <w:sz w:val="22"/>
          <w:szCs w:val="22"/>
        </w:rPr>
        <w:t xml:space="preserve">Sujeto Obligado </w:t>
      </w:r>
      <w:r w:rsidR="00D06478" w:rsidRPr="00A86B8B">
        <w:rPr>
          <w:rFonts w:ascii="Palatino Linotype" w:eastAsia="Palatino Linotype" w:hAnsi="Palatino Linotype" w:cs="Palatino Linotype"/>
          <w:sz w:val="22"/>
          <w:szCs w:val="22"/>
        </w:rPr>
        <w:t>reiteró la respuesta proporcionada en primera instancia</w:t>
      </w:r>
      <w:r w:rsidRPr="00A86B8B">
        <w:rPr>
          <w:rFonts w:ascii="Palatino Linotype" w:eastAsia="Palatino Linotype" w:hAnsi="Palatino Linotype" w:cs="Palatino Linotype"/>
          <w:sz w:val="22"/>
          <w:szCs w:val="22"/>
        </w:rPr>
        <w:t>, y, atendiendo a los motivos de inconformidad alegados por la persona solicitante,</w:t>
      </w:r>
      <w:r w:rsidR="00C0609B" w:rsidRPr="00A86B8B">
        <w:rPr>
          <w:rFonts w:ascii="Palatino Linotype" w:eastAsia="Palatino Linotype" w:hAnsi="Palatino Linotype" w:cs="Palatino Linotype"/>
          <w:sz w:val="22"/>
          <w:szCs w:val="22"/>
        </w:rPr>
        <w:t xml:space="preserve"> refirió que </w:t>
      </w:r>
      <w:r w:rsidR="00C0609B" w:rsidRPr="00A86B8B">
        <w:rPr>
          <w:rFonts w:ascii="Palatino Linotype" w:hAnsi="Palatino Linotype"/>
          <w:sz w:val="22"/>
          <w:szCs w:val="22"/>
        </w:rPr>
        <w:t xml:space="preserve">del análisis de la respuesta proporcionada por el Servidor Público Habilitado en fecha del presente mes y año, y que obra agregada en el sistema, se advierte que al seleccionar ambos enlaces, no se copia de manera completa la liga correspondiente, sin embargo, </w:t>
      </w:r>
      <w:r w:rsidR="00C0609B" w:rsidRPr="00A86B8B">
        <w:rPr>
          <w:rFonts w:ascii="Palatino Linotype" w:eastAsia="Palatino Linotype" w:hAnsi="Palatino Linotype" w:cs="Palatino Linotype"/>
          <w:sz w:val="22"/>
          <w:szCs w:val="22"/>
        </w:rPr>
        <w:t xml:space="preserve"> </w:t>
      </w:r>
      <w:r w:rsidR="00C0609B" w:rsidRPr="00A86B8B">
        <w:rPr>
          <w:rFonts w:ascii="Palatino Linotype" w:hAnsi="Palatino Linotype"/>
          <w:sz w:val="22"/>
          <w:szCs w:val="22"/>
        </w:rPr>
        <w:t>en la página de respuesta del propio sistema, proporcionada con la misma notificación, se adjuntó también el enlace correspondiente a cada una de las auditorías, a los cuales se puede acceder sin mayor inconveniente, como demostró con las siguientes capturas de pantalla:</w:t>
      </w:r>
    </w:p>
    <w:p w14:paraId="70F21D10" w14:textId="49A9B3A9" w:rsidR="00C0609B" w:rsidRPr="00A86B8B" w:rsidRDefault="00C0609B" w:rsidP="00C0609B">
      <w:pPr>
        <w:spacing w:before="240" w:after="240" w:line="360" w:lineRule="auto"/>
        <w:ind w:right="49"/>
        <w:jc w:val="center"/>
        <w:rPr>
          <w:rFonts w:ascii="Palatino Linotype" w:eastAsia="Palatino Linotype" w:hAnsi="Palatino Linotype" w:cs="Palatino Linotype"/>
          <w:sz w:val="22"/>
          <w:szCs w:val="22"/>
        </w:rPr>
      </w:pPr>
      <w:r w:rsidRPr="00A86B8B">
        <w:rPr>
          <w:rFonts w:ascii="Palatino Linotype" w:eastAsia="Palatino Linotype" w:hAnsi="Palatino Linotype" w:cs="Palatino Linotype"/>
          <w:noProof/>
          <w:sz w:val="22"/>
          <w:szCs w:val="22"/>
        </w:rPr>
        <w:drawing>
          <wp:inline distT="0" distB="0" distL="0" distR="0" wp14:anchorId="0E5E2D32" wp14:editId="7D06E3C3">
            <wp:extent cx="5040000" cy="3720407"/>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40000" cy="3720407"/>
                    </a:xfrm>
                    <a:prstGeom prst="rect">
                      <a:avLst/>
                    </a:prstGeom>
                  </pic:spPr>
                </pic:pic>
              </a:graphicData>
            </a:graphic>
          </wp:inline>
        </w:drawing>
      </w:r>
    </w:p>
    <w:p w14:paraId="0029CF5A" w14:textId="23F85FE4" w:rsidR="00C0609B" w:rsidRPr="00A86B8B" w:rsidRDefault="00C0609B" w:rsidP="00C0609B">
      <w:pPr>
        <w:spacing w:before="240" w:after="240" w:line="360" w:lineRule="auto"/>
        <w:ind w:right="49"/>
        <w:jc w:val="center"/>
        <w:rPr>
          <w:rFonts w:ascii="Palatino Linotype" w:eastAsia="Palatino Linotype" w:hAnsi="Palatino Linotype" w:cs="Palatino Linotype"/>
          <w:sz w:val="22"/>
          <w:szCs w:val="22"/>
        </w:rPr>
      </w:pPr>
      <w:r w:rsidRPr="00A86B8B">
        <w:rPr>
          <w:rFonts w:ascii="Palatino Linotype" w:eastAsia="Palatino Linotype" w:hAnsi="Palatino Linotype" w:cs="Palatino Linotype"/>
          <w:noProof/>
          <w:sz w:val="22"/>
          <w:szCs w:val="22"/>
        </w:rPr>
        <w:drawing>
          <wp:inline distT="0" distB="0" distL="0" distR="0" wp14:anchorId="0A836AF9" wp14:editId="41327178">
            <wp:extent cx="5040000" cy="3313238"/>
            <wp:effectExtent l="0" t="0" r="825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0000" cy="3313238"/>
                    </a:xfrm>
                    <a:prstGeom prst="rect">
                      <a:avLst/>
                    </a:prstGeom>
                  </pic:spPr>
                </pic:pic>
              </a:graphicData>
            </a:graphic>
          </wp:inline>
        </w:drawing>
      </w:r>
    </w:p>
    <w:p w14:paraId="12973A66" w14:textId="007CC457" w:rsidR="00462843" w:rsidRPr="00A86B8B" w:rsidRDefault="00462843" w:rsidP="00462843">
      <w:pPr>
        <w:spacing w:before="240" w:after="240" w:line="360" w:lineRule="auto"/>
        <w:ind w:right="49"/>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En esta tesitura, de las constancias que integran el expediente electrónico  relacionado con el recurso de revisión materia de estudio, se colige que el </w:t>
      </w:r>
      <w:r w:rsidRPr="00A86B8B">
        <w:rPr>
          <w:rFonts w:ascii="Palatino Linotype" w:eastAsia="Palatino Linotype" w:hAnsi="Palatino Linotype" w:cs="Palatino Linotype"/>
          <w:b/>
          <w:sz w:val="22"/>
          <w:szCs w:val="22"/>
        </w:rPr>
        <w:t>Sujeto Obligado</w:t>
      </w:r>
      <w:r w:rsidRPr="00A86B8B">
        <w:rPr>
          <w:rFonts w:ascii="Palatino Linotype" w:eastAsia="Palatino Linotype" w:hAnsi="Palatino Linotype" w:cs="Palatino Linotype"/>
          <w:sz w:val="22"/>
          <w:szCs w:val="22"/>
        </w:rPr>
        <w:t xml:space="preserve"> no niega la competencia para conocer de la información solicitada, sino por el contrario, con la respuesta pronunciada asevera que es competente para conocer de la solicitud de información</w:t>
      </w:r>
      <w:r w:rsidRPr="00A86B8B">
        <w:rPr>
          <w:rFonts w:ascii="Palatino Linotype" w:eastAsia="Palatino Linotype" w:hAnsi="Palatino Linotype" w:cs="Palatino Linotype"/>
          <w:i/>
          <w:sz w:val="22"/>
          <w:szCs w:val="22"/>
        </w:rPr>
        <w:t xml:space="preserve">, </w:t>
      </w:r>
      <w:r w:rsidRPr="00A86B8B">
        <w:rPr>
          <w:rFonts w:ascii="Palatino Linotype" w:eastAsia="Palatino Linotype" w:hAnsi="Palatino Linotype" w:cs="Palatino Linotype"/>
          <w:sz w:val="22"/>
          <w:szCs w:val="22"/>
        </w:rPr>
        <w:t xml:space="preserve">lo anterior es así, ya que el estudio enunciado tiene por objeto determinar si </w:t>
      </w:r>
      <w:r w:rsidRPr="00A86B8B">
        <w:rPr>
          <w:rFonts w:ascii="Palatino Linotype" w:hAnsi="Palatino Linotype"/>
          <w:sz w:val="22"/>
          <w:szCs w:val="22"/>
        </w:rPr>
        <w:t>los</w:t>
      </w:r>
      <w:r w:rsidRPr="00A86B8B">
        <w:rPr>
          <w:rFonts w:ascii="Palatino Linotype" w:eastAsia="Palatino Linotype" w:hAnsi="Palatino Linotype" w:cs="Palatino Linotype"/>
          <w:sz w:val="22"/>
          <w:szCs w:val="22"/>
        </w:rPr>
        <w:t xml:space="preserve"> Sujeto</w:t>
      </w:r>
      <w:r w:rsidRPr="00A86B8B">
        <w:rPr>
          <w:rFonts w:ascii="Palatino Linotype" w:hAnsi="Palatino Linotype"/>
          <w:sz w:val="22"/>
          <w:szCs w:val="22"/>
        </w:rPr>
        <w:t>s</w:t>
      </w:r>
      <w:r w:rsidRPr="00A86B8B">
        <w:rPr>
          <w:rFonts w:ascii="Palatino Linotype" w:eastAsia="Palatino Linotype" w:hAnsi="Palatino Linotype" w:cs="Palatino Linotype"/>
          <w:sz w:val="22"/>
          <w:szCs w:val="22"/>
        </w:rPr>
        <w:t xml:space="preserve"> Obligado</w:t>
      </w:r>
      <w:r w:rsidRPr="00A86B8B">
        <w:rPr>
          <w:rFonts w:ascii="Palatino Linotype" w:hAnsi="Palatino Linotype"/>
          <w:sz w:val="22"/>
          <w:szCs w:val="22"/>
        </w:rPr>
        <w:t>s</w:t>
      </w:r>
      <w:r w:rsidRPr="00A86B8B">
        <w:rPr>
          <w:rFonts w:ascii="Palatino Linotype" w:eastAsia="Palatino Linotype" w:hAnsi="Palatino Linotype" w:cs="Palatino Linotype"/>
          <w:sz w:val="22"/>
          <w:szCs w:val="22"/>
        </w:rPr>
        <w:t xml:space="preserve"> generan, poseen o administran  la información solicitada, sin embargo, en aquellos casos en que </w:t>
      </w:r>
      <w:r w:rsidRPr="00A86B8B">
        <w:rPr>
          <w:rFonts w:ascii="Palatino Linotype" w:hAnsi="Palatino Linotype"/>
          <w:sz w:val="22"/>
          <w:szCs w:val="22"/>
        </w:rPr>
        <w:t>e</w:t>
      </w:r>
      <w:r w:rsidRPr="00A86B8B">
        <w:rPr>
          <w:rFonts w:ascii="Palatino Linotype" w:eastAsia="Palatino Linotype" w:hAnsi="Palatino Linotype" w:cs="Palatino Linotype"/>
          <w:sz w:val="22"/>
          <w:szCs w:val="22"/>
        </w:rPr>
        <w:t>st</w:t>
      </w:r>
      <w:r w:rsidRPr="00A86B8B">
        <w:rPr>
          <w:rFonts w:ascii="Palatino Linotype" w:hAnsi="Palatino Linotype"/>
          <w:sz w:val="22"/>
          <w:szCs w:val="22"/>
        </w:rPr>
        <w:t xml:space="preserve">os </w:t>
      </w:r>
      <w:r w:rsidRPr="00A86B8B">
        <w:rPr>
          <w:rFonts w:ascii="Palatino Linotype" w:eastAsia="Palatino Linotype" w:hAnsi="Palatino Linotype" w:cs="Palatino Linotype"/>
          <w:sz w:val="22"/>
          <w:szCs w:val="22"/>
        </w:rPr>
        <w:t>ha</w:t>
      </w:r>
      <w:r w:rsidRPr="00A86B8B">
        <w:rPr>
          <w:rFonts w:ascii="Palatino Linotype" w:hAnsi="Palatino Linotype"/>
          <w:sz w:val="22"/>
          <w:szCs w:val="22"/>
        </w:rPr>
        <w:t>n</w:t>
      </w:r>
      <w:r w:rsidRPr="00A86B8B">
        <w:rPr>
          <w:rFonts w:ascii="Palatino Linotype" w:eastAsia="Palatino Linotype" w:hAnsi="Palatino Linotype" w:cs="Palatino Linotype"/>
          <w:sz w:val="22"/>
          <w:szCs w:val="22"/>
        </w:rPr>
        <w:t xml:space="preserve"> asumido </w:t>
      </w:r>
      <w:r w:rsidRPr="00A86B8B">
        <w:rPr>
          <w:rFonts w:ascii="Palatino Linotype" w:eastAsia="Palatino Linotype" w:hAnsi="Palatino Linotype" w:cs="Palatino Linotype"/>
          <w:b/>
          <w:sz w:val="22"/>
          <w:szCs w:val="22"/>
        </w:rPr>
        <w:t>la competencia</w:t>
      </w:r>
      <w:r w:rsidRPr="00A86B8B">
        <w:rPr>
          <w:rFonts w:ascii="Palatino Linotype" w:eastAsia="Palatino Linotype" w:hAnsi="Palatino Linotype" w:cs="Palatino Linotype"/>
          <w:sz w:val="22"/>
          <w:szCs w:val="22"/>
        </w:rPr>
        <w:t xml:space="preserve">, sería ocioso y a nada práctico nos conduciría su estudio, ya que, se insiste, el ente obligado </w:t>
      </w:r>
      <w:r w:rsidRPr="00A86B8B">
        <w:rPr>
          <w:rFonts w:ascii="Palatino Linotype" w:eastAsia="Palatino Linotype" w:hAnsi="Palatino Linotype" w:cs="Palatino Linotype"/>
          <w:b/>
          <w:sz w:val="22"/>
          <w:szCs w:val="22"/>
          <w:u w:val="single"/>
        </w:rPr>
        <w:t>asumió la competencia referida</w:t>
      </w:r>
      <w:r w:rsidRPr="00A86B8B">
        <w:rPr>
          <w:rFonts w:ascii="Palatino Linotype" w:eastAsia="Palatino Linotype" w:hAnsi="Palatino Linotype" w:cs="Palatino Linotype"/>
          <w:sz w:val="22"/>
          <w:szCs w:val="22"/>
        </w:rPr>
        <w:t>, motivo por el cual se actualiza el supuesto previsto en el artículo 12 de la legis</w:t>
      </w:r>
      <w:r w:rsidR="005E4603" w:rsidRPr="00A86B8B">
        <w:rPr>
          <w:rFonts w:ascii="Palatino Linotype" w:eastAsia="Palatino Linotype" w:hAnsi="Palatino Linotype" w:cs="Palatino Linotype"/>
          <w:sz w:val="22"/>
          <w:szCs w:val="22"/>
        </w:rPr>
        <w:t>lación aplicable en la materia, citado con antelación.</w:t>
      </w:r>
    </w:p>
    <w:p w14:paraId="2571E6E3" w14:textId="77777777" w:rsidR="00462843" w:rsidRPr="00A86B8B" w:rsidRDefault="00462843" w:rsidP="00462843">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Por consiguiente, se procede al análisis de los requerimientos planteados por la particular y la respuesta proporcionada por el </w:t>
      </w:r>
      <w:r w:rsidRPr="00A86B8B">
        <w:rPr>
          <w:rFonts w:ascii="Palatino Linotype" w:eastAsia="Palatino Linotype" w:hAnsi="Palatino Linotype" w:cs="Palatino Linotype"/>
          <w:b/>
          <w:sz w:val="22"/>
          <w:szCs w:val="22"/>
        </w:rPr>
        <w:t>Sujeto Obligado</w:t>
      </w:r>
      <w:r w:rsidRPr="00A86B8B">
        <w:rPr>
          <w:rFonts w:ascii="Palatino Linotype" w:eastAsia="Palatino Linotype" w:hAnsi="Palatino Linotype" w:cs="Palatino Linotype"/>
          <w:sz w:val="22"/>
          <w:szCs w:val="22"/>
        </w:rPr>
        <w:t xml:space="preserve">, a efecto de determinar si el derecho de acceso se satisfizo con la misma, o en su defecto, señalar los documentos que en el ejercicio de sus atribuciones pudo haber generado, y que, de manera enunciativa más no limitativa, pudieran colmar dicho derecho. </w:t>
      </w:r>
    </w:p>
    <w:p w14:paraId="01273AA4" w14:textId="77777777" w:rsidR="00B50FFE" w:rsidRPr="00A86B8B" w:rsidRDefault="00B50FFE" w:rsidP="00B50FFE">
      <w:pPr>
        <w:spacing w:before="240" w:after="240" w:line="360" w:lineRule="auto"/>
        <w:jc w:val="both"/>
        <w:rPr>
          <w:rFonts w:ascii="Palatino Linotype" w:eastAsia="Palatino Linotype" w:hAnsi="Palatino Linotype" w:cs="Palatino Linotype"/>
          <w:sz w:val="22"/>
          <w:szCs w:val="22"/>
        </w:rPr>
      </w:pPr>
      <w:bookmarkStart w:id="9" w:name="_Hlk222391050"/>
      <w:r w:rsidRPr="00A86B8B">
        <w:rPr>
          <w:rFonts w:ascii="Palatino Linotype" w:eastAsia="Palatino Linotype" w:hAnsi="Palatino Linotype" w:cs="Palatino Linotype"/>
          <w:sz w:val="22"/>
          <w:szCs w:val="22"/>
        </w:rPr>
        <w:t>Atento a lo anterior, es oportuno traer a colación el artículo 161 de la Ley de Transparencia y Acceso a la Información Pública del Estado de México y Municipios</w:t>
      </w:r>
      <w:r w:rsidRPr="00A86B8B">
        <w:rPr>
          <w:rFonts w:ascii="Palatino Linotype" w:eastAsia="Palatino Linotype" w:hAnsi="Palatino Linotype" w:cs="Palatino Linotype"/>
          <w:i/>
          <w:sz w:val="22"/>
          <w:szCs w:val="22"/>
        </w:rPr>
        <w:t xml:space="preserve">, </w:t>
      </w:r>
      <w:r w:rsidRPr="00A86B8B">
        <w:rPr>
          <w:rFonts w:ascii="Palatino Linotype" w:eastAsia="Palatino Linotype" w:hAnsi="Palatino Linotype" w:cs="Palatino Linotype"/>
          <w:sz w:val="22"/>
          <w:szCs w:val="22"/>
        </w:rPr>
        <w:t>el cual establece las características que debe tener la información desde el momento en el que se genera, su publicación y entrega; así como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590151B6" w14:textId="77777777" w:rsidR="00B50FFE" w:rsidRPr="00A86B8B" w:rsidRDefault="00B50FFE" w:rsidP="00B50FFE">
      <w:pPr>
        <w:spacing w:before="120" w:after="120" w:line="276" w:lineRule="auto"/>
        <w:ind w:left="284"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a) La fuente</w:t>
      </w:r>
    </w:p>
    <w:p w14:paraId="22A88C6F" w14:textId="77777777" w:rsidR="00B50FFE" w:rsidRPr="00A86B8B" w:rsidRDefault="00B50FFE" w:rsidP="00B50FFE">
      <w:pPr>
        <w:spacing w:before="120" w:after="120" w:line="276" w:lineRule="auto"/>
        <w:ind w:left="284"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b) El lugar y</w:t>
      </w:r>
    </w:p>
    <w:p w14:paraId="3720510C" w14:textId="77777777" w:rsidR="00B50FFE" w:rsidRPr="00A86B8B" w:rsidRDefault="00B50FFE" w:rsidP="00B50FFE">
      <w:pPr>
        <w:spacing w:before="120" w:after="120" w:line="276" w:lineRule="auto"/>
        <w:ind w:left="284"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c) La forma</w:t>
      </w:r>
    </w:p>
    <w:p w14:paraId="6DD20137" w14:textId="77777777" w:rsidR="00B50FFE" w:rsidRPr="00A86B8B" w:rsidRDefault="00B50FFE" w:rsidP="00B50FFE">
      <w:pPr>
        <w:spacing w:before="240" w:after="240" w:line="360" w:lineRule="auto"/>
        <w:ind w:right="49"/>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Asimismo, se establece que la fuente de la información deberá ser:</w:t>
      </w:r>
    </w:p>
    <w:p w14:paraId="2C857C3D" w14:textId="77777777" w:rsidR="00B50FFE" w:rsidRPr="00A86B8B" w:rsidRDefault="00B50FFE" w:rsidP="00B50FFE">
      <w:pPr>
        <w:spacing w:before="120" w:after="120" w:line="276" w:lineRule="auto"/>
        <w:ind w:left="284"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a) Precisa</w:t>
      </w:r>
    </w:p>
    <w:p w14:paraId="17FC014F" w14:textId="77777777" w:rsidR="00B50FFE" w:rsidRPr="00A86B8B" w:rsidRDefault="00B50FFE" w:rsidP="00B50FFE">
      <w:pPr>
        <w:spacing w:before="120" w:after="120" w:line="276" w:lineRule="auto"/>
        <w:ind w:left="284"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b) Concreta</w:t>
      </w:r>
    </w:p>
    <w:p w14:paraId="39CB02AD" w14:textId="77777777" w:rsidR="00B50FFE" w:rsidRPr="00A86B8B" w:rsidRDefault="00B50FFE" w:rsidP="00B50FFE">
      <w:pPr>
        <w:spacing w:before="120" w:after="120" w:line="276" w:lineRule="auto"/>
        <w:ind w:left="284" w:right="51"/>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c) Y no debe implicar que el solicitante realice una búsqueda en toda la información que se encuentre disponible.</w:t>
      </w:r>
    </w:p>
    <w:p w14:paraId="3C326B8F" w14:textId="77777777" w:rsidR="00B50FFE" w:rsidRPr="00A86B8B" w:rsidRDefault="00B50FFE" w:rsidP="00B50FFE">
      <w:pPr>
        <w:spacing w:before="240" w:after="240" w:line="360" w:lineRule="auto"/>
        <w:ind w:right="49"/>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Imperativos legales que establecen el procedimiento que deben seguir los Sujetos Obligados para que pueda tomarse como válida su orientación sobre la forma en que puede consultar la información requerida.</w:t>
      </w:r>
    </w:p>
    <w:p w14:paraId="1DB454C0" w14:textId="74E9AEF1" w:rsidR="00805CD5" w:rsidRPr="00A86B8B" w:rsidRDefault="00B50FFE" w:rsidP="00B50FFE">
      <w:pPr>
        <w:tabs>
          <w:tab w:val="left" w:pos="975"/>
        </w:tabs>
        <w:spacing w:before="240" w:after="240" w:line="360" w:lineRule="auto"/>
        <w:jc w:val="both"/>
        <w:rPr>
          <w:rFonts w:ascii="Palatino Linotype" w:eastAsia="Palatino Linotype" w:hAnsi="Palatino Linotype" w:cs="Palatino Linotype"/>
          <w:b/>
          <w:sz w:val="22"/>
          <w:szCs w:val="22"/>
        </w:rPr>
      </w:pPr>
      <w:r w:rsidRPr="00A86B8B">
        <w:rPr>
          <w:rFonts w:ascii="Palatino Linotype" w:eastAsia="Palatino Linotype" w:hAnsi="Palatino Linotype" w:cs="Palatino Linotype"/>
          <w:sz w:val="22"/>
          <w:szCs w:val="22"/>
        </w:rPr>
        <w:t xml:space="preserve">Con base en lo anterior, este Organismo Garante procedió a la consulta de la información contenida en las </w:t>
      </w:r>
      <w:r w:rsidR="00A245B4" w:rsidRPr="00A86B8B">
        <w:rPr>
          <w:rFonts w:ascii="Palatino Linotype" w:eastAsia="Palatino Linotype" w:hAnsi="Palatino Linotype" w:cs="Palatino Linotype"/>
          <w:sz w:val="22"/>
          <w:szCs w:val="22"/>
        </w:rPr>
        <w:t xml:space="preserve">ligas electrónicas proporcionadas por el </w:t>
      </w:r>
      <w:r w:rsidR="00A245B4" w:rsidRPr="00A86B8B">
        <w:rPr>
          <w:rFonts w:ascii="Palatino Linotype" w:eastAsia="Palatino Linotype" w:hAnsi="Palatino Linotype" w:cs="Palatino Linotype"/>
          <w:b/>
          <w:sz w:val="22"/>
          <w:szCs w:val="22"/>
        </w:rPr>
        <w:t>Sujeto Obligado:</w:t>
      </w:r>
    </w:p>
    <w:p w14:paraId="17244DB8" w14:textId="5E8EFD6D"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r w:rsidRPr="00A86B8B">
        <w:rPr>
          <w:rFonts w:ascii="Palatino Linotype" w:eastAsia="Palatino Linotype" w:hAnsi="Palatino Linotype" w:cs="Palatino Linotype"/>
          <w:b/>
          <w:noProof/>
          <w:sz w:val="22"/>
          <w:szCs w:val="22"/>
        </w:rPr>
        <mc:AlternateContent>
          <mc:Choice Requires="wps">
            <w:drawing>
              <wp:anchor distT="0" distB="0" distL="114300" distR="114300" simplePos="0" relativeHeight="251659264" behindDoc="0" locked="0" layoutInCell="1" allowOverlap="1" wp14:anchorId="2E9D1D62" wp14:editId="5551AF88">
                <wp:simplePos x="0" y="0"/>
                <wp:positionH relativeFrom="margin">
                  <wp:align>right</wp:align>
                </wp:positionH>
                <wp:positionV relativeFrom="paragraph">
                  <wp:posOffset>28575</wp:posOffset>
                </wp:positionV>
                <wp:extent cx="5514975" cy="3781425"/>
                <wp:effectExtent l="38100" t="19050" r="66675" b="85725"/>
                <wp:wrapNone/>
                <wp:docPr id="8" name="Conector recto 8"/>
                <wp:cNvGraphicFramePr/>
                <a:graphic xmlns:a="http://schemas.openxmlformats.org/drawingml/2006/main">
                  <a:graphicData uri="http://schemas.microsoft.com/office/word/2010/wordprocessingShape">
                    <wps:wsp>
                      <wps:cNvCnPr/>
                      <wps:spPr>
                        <a:xfrm>
                          <a:off x="0" y="0"/>
                          <a:ext cx="5514975" cy="37814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D153DC" id="Conector recto 8"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3.05pt,2.25pt" to="817.3pt,3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" strokecolor="black [3200]" strokeweight="2pt">
                <v:shadow on="t" color="black" opacity="24903f" origin=",.5" offset="0,.55556mm"/>
                <w10:wrap anchorx="margin"/>
              </v:line>
            </w:pict>
          </mc:Fallback>
        </mc:AlternateContent>
      </w:r>
    </w:p>
    <w:p w14:paraId="691681D7"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1F8000B4"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0CA7CCF0"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1C6DDAF9"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3D763662"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7B1122B8"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5B6DD3DE"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1F65E290"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22B16BE8" w14:textId="77777777"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p>
    <w:p w14:paraId="43E95A0C" w14:textId="0470F6D3" w:rsidR="00A245B4" w:rsidRPr="00A86B8B" w:rsidRDefault="00E437DB" w:rsidP="00B50FFE">
      <w:pPr>
        <w:tabs>
          <w:tab w:val="left" w:pos="975"/>
        </w:tabs>
        <w:spacing w:before="240" w:after="240" w:line="360" w:lineRule="auto"/>
        <w:jc w:val="both"/>
        <w:rPr>
          <w:rFonts w:ascii="Palatino Linotype" w:eastAsia="Palatino Linotype" w:hAnsi="Palatino Linotype" w:cs="Palatino Linotype"/>
          <w:b/>
          <w:sz w:val="22"/>
          <w:szCs w:val="22"/>
        </w:rPr>
      </w:pPr>
      <w:hyperlink r:id="rId13" w:history="1">
        <w:r w:rsidR="004D6423" w:rsidRPr="00A86B8B">
          <w:rPr>
            <w:rStyle w:val="Hipervnculo"/>
            <w:rFonts w:ascii="Palatino Linotype" w:eastAsia="Palatino Linotype" w:hAnsi="Palatino Linotype" w:cs="Palatino Linotype"/>
            <w:b/>
            <w:color w:val="auto"/>
            <w:sz w:val="22"/>
            <w:szCs w:val="22"/>
          </w:rPr>
          <w:t>https://www.osfem.gob.mx/assets/fiscalizacion/informes/resultados/2023/municipios/pdf/aytto_acambayderuizcastaneda.pdf</w:t>
        </w:r>
      </w:hyperlink>
      <w:r w:rsidR="004D6423" w:rsidRPr="00A86B8B">
        <w:rPr>
          <w:rFonts w:ascii="Palatino Linotype" w:eastAsia="Palatino Linotype" w:hAnsi="Palatino Linotype" w:cs="Palatino Linotype"/>
          <w:b/>
          <w:sz w:val="22"/>
          <w:szCs w:val="22"/>
        </w:rPr>
        <w:t xml:space="preserve"> </w:t>
      </w:r>
    </w:p>
    <w:p w14:paraId="4DDC0EC6" w14:textId="321015A9" w:rsidR="004D6423" w:rsidRPr="00A86B8B" w:rsidRDefault="004D6423" w:rsidP="00B50FFE">
      <w:pPr>
        <w:tabs>
          <w:tab w:val="left" w:pos="975"/>
        </w:tabs>
        <w:spacing w:before="240" w:after="240" w:line="360" w:lineRule="auto"/>
        <w:jc w:val="both"/>
        <w:rPr>
          <w:rFonts w:ascii="Palatino Linotype" w:eastAsia="Palatino Linotype" w:hAnsi="Palatino Linotype" w:cs="Palatino Linotype"/>
          <w:b/>
          <w:sz w:val="22"/>
          <w:szCs w:val="22"/>
        </w:rPr>
      </w:pPr>
      <w:r w:rsidRPr="00A86B8B">
        <w:rPr>
          <w:rFonts w:ascii="Palatino Linotype" w:eastAsia="Palatino Linotype" w:hAnsi="Palatino Linotype" w:cs="Palatino Linotype"/>
          <w:b/>
          <w:noProof/>
          <w:sz w:val="22"/>
          <w:szCs w:val="22"/>
        </w:rPr>
        <w:drawing>
          <wp:inline distT="0" distB="0" distL="0" distR="0" wp14:anchorId="2E1BB92E" wp14:editId="33F56AFF">
            <wp:extent cx="5612130" cy="600392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6003925"/>
                    </a:xfrm>
                    <a:prstGeom prst="rect">
                      <a:avLst/>
                    </a:prstGeom>
                  </pic:spPr>
                </pic:pic>
              </a:graphicData>
            </a:graphic>
          </wp:inline>
        </w:drawing>
      </w:r>
    </w:p>
    <w:p w14:paraId="7CB9A184" w14:textId="0B856299" w:rsidR="004D6423" w:rsidRPr="00A86B8B" w:rsidRDefault="004D6423" w:rsidP="004D6423">
      <w:pPr>
        <w:tabs>
          <w:tab w:val="left" w:pos="975"/>
        </w:tabs>
        <w:spacing w:before="240" w:after="240" w:line="360" w:lineRule="auto"/>
        <w:jc w:val="center"/>
        <w:rPr>
          <w:rFonts w:ascii="Palatino Linotype" w:eastAsia="Palatino Linotype" w:hAnsi="Palatino Linotype" w:cs="Palatino Linotype"/>
          <w:b/>
          <w:sz w:val="22"/>
          <w:szCs w:val="22"/>
        </w:rPr>
      </w:pPr>
    </w:p>
    <w:p w14:paraId="1537C95A" w14:textId="77777777" w:rsidR="00462843" w:rsidRPr="00A86B8B" w:rsidRDefault="00462843">
      <w:pPr>
        <w:tabs>
          <w:tab w:val="left" w:pos="975"/>
        </w:tabs>
        <w:spacing w:before="240" w:after="240" w:line="360" w:lineRule="auto"/>
        <w:jc w:val="both"/>
        <w:rPr>
          <w:rFonts w:ascii="Palatino Linotype" w:eastAsia="Palatino Linotype" w:hAnsi="Palatino Linotype" w:cs="Palatino Linotype"/>
          <w:sz w:val="22"/>
          <w:szCs w:val="22"/>
        </w:rPr>
      </w:pPr>
    </w:p>
    <w:p w14:paraId="7F9DBA1C" w14:textId="5A4A5D93" w:rsidR="004D6423" w:rsidRPr="00A86B8B" w:rsidRDefault="00E437DB">
      <w:pPr>
        <w:tabs>
          <w:tab w:val="left" w:pos="975"/>
        </w:tabs>
        <w:spacing w:before="240" w:after="240" w:line="360" w:lineRule="auto"/>
        <w:jc w:val="both"/>
        <w:rPr>
          <w:rFonts w:ascii="Palatino Linotype" w:eastAsia="Palatino Linotype" w:hAnsi="Palatino Linotype" w:cs="Palatino Linotype"/>
          <w:b/>
          <w:sz w:val="22"/>
          <w:szCs w:val="22"/>
        </w:rPr>
      </w:pPr>
      <w:hyperlink r:id="rId15" w:history="1">
        <w:r w:rsidR="004D6423" w:rsidRPr="00A86B8B">
          <w:rPr>
            <w:rStyle w:val="Hipervnculo"/>
            <w:rFonts w:ascii="Palatino Linotype" w:eastAsia="Palatino Linotype" w:hAnsi="Palatino Linotype" w:cs="Palatino Linotype"/>
            <w:b/>
            <w:color w:val="auto"/>
            <w:sz w:val="22"/>
            <w:szCs w:val="22"/>
          </w:rPr>
          <w:t>https://www.osfem.gob.mx/assets/fiscalizacion/informes/resultados/2024/auditorias/municipios/aytto_acambayderuizcastaneda.pdf</w:t>
        </w:r>
      </w:hyperlink>
      <w:r w:rsidR="004D6423" w:rsidRPr="00A86B8B">
        <w:rPr>
          <w:rFonts w:ascii="Palatino Linotype" w:eastAsia="Palatino Linotype" w:hAnsi="Palatino Linotype" w:cs="Palatino Linotype"/>
          <w:b/>
          <w:sz w:val="22"/>
          <w:szCs w:val="22"/>
        </w:rPr>
        <w:t xml:space="preserve"> </w:t>
      </w:r>
    </w:p>
    <w:p w14:paraId="60F9BE27" w14:textId="5A62D52C" w:rsidR="004D6423" w:rsidRPr="00A86B8B" w:rsidRDefault="004D6423">
      <w:pPr>
        <w:tabs>
          <w:tab w:val="left" w:pos="975"/>
        </w:tabs>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noProof/>
          <w:sz w:val="22"/>
          <w:szCs w:val="22"/>
        </w:rPr>
        <w:drawing>
          <wp:inline distT="0" distB="0" distL="0" distR="0" wp14:anchorId="1C98D1B4" wp14:editId="2DB19C44">
            <wp:extent cx="5544324" cy="550621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44324" cy="5506218"/>
                    </a:xfrm>
                    <a:prstGeom prst="rect">
                      <a:avLst/>
                    </a:prstGeom>
                  </pic:spPr>
                </pic:pic>
              </a:graphicData>
            </a:graphic>
          </wp:inline>
        </w:drawing>
      </w:r>
    </w:p>
    <w:p w14:paraId="17F6B0A3" w14:textId="46CC1B59" w:rsidR="006A149D" w:rsidRPr="00A86B8B" w:rsidRDefault="004D6423">
      <w:pPr>
        <w:tabs>
          <w:tab w:val="left" w:pos="975"/>
        </w:tabs>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 xml:space="preserve">Como se advierte, las direcciones electrónicas proporcionadas </w:t>
      </w:r>
      <w:r w:rsidR="006A149D" w:rsidRPr="00A86B8B">
        <w:rPr>
          <w:rFonts w:ascii="Palatino Linotype" w:eastAsia="Palatino Linotype" w:hAnsi="Palatino Linotype" w:cs="Palatino Linotype"/>
          <w:sz w:val="22"/>
          <w:szCs w:val="22"/>
        </w:rPr>
        <w:t xml:space="preserve">por el </w:t>
      </w:r>
      <w:r w:rsidR="006A149D" w:rsidRPr="00A86B8B">
        <w:rPr>
          <w:rFonts w:ascii="Palatino Linotype" w:eastAsia="Palatino Linotype" w:hAnsi="Palatino Linotype" w:cs="Palatino Linotype"/>
          <w:b/>
          <w:sz w:val="22"/>
          <w:szCs w:val="22"/>
        </w:rPr>
        <w:t xml:space="preserve">Sujeto Obligado, </w:t>
      </w:r>
      <w:r w:rsidR="006A149D" w:rsidRPr="00A86B8B">
        <w:rPr>
          <w:rFonts w:ascii="Palatino Linotype" w:eastAsia="Palatino Linotype" w:hAnsi="Palatino Linotype" w:cs="Palatino Linotype"/>
          <w:sz w:val="22"/>
          <w:szCs w:val="22"/>
        </w:rPr>
        <w:t xml:space="preserve">a través del oficio OSFEM/UAJ/DJC/SPH/253/2025 en formato cerrado, y </w:t>
      </w:r>
      <w:r w:rsidR="006A149D" w:rsidRPr="00A86B8B">
        <w:rPr>
          <w:rFonts w:ascii="Palatino Linotype" w:eastAsia="Palatino Linotype" w:hAnsi="Palatino Linotype" w:cs="Palatino Linotype"/>
          <w:b/>
          <w:sz w:val="22"/>
          <w:szCs w:val="22"/>
        </w:rPr>
        <w:t xml:space="preserve">por medio de la respuesta proporcionada en el propio SAIMEX </w:t>
      </w:r>
      <w:r w:rsidR="006A149D" w:rsidRPr="00A86B8B">
        <w:rPr>
          <w:rFonts w:ascii="Palatino Linotype" w:eastAsia="Palatino Linotype" w:hAnsi="Palatino Linotype" w:cs="Palatino Linotype"/>
          <w:b/>
          <w:sz w:val="22"/>
          <w:szCs w:val="22"/>
          <w:u w:val="single"/>
        </w:rPr>
        <w:t>en formato abierto</w:t>
      </w:r>
      <w:r w:rsidR="006A149D" w:rsidRPr="00A86B8B">
        <w:rPr>
          <w:rFonts w:ascii="Palatino Linotype" w:eastAsia="Palatino Linotype" w:hAnsi="Palatino Linotype" w:cs="Palatino Linotype"/>
          <w:sz w:val="22"/>
          <w:szCs w:val="22"/>
        </w:rPr>
        <w:t>,</w:t>
      </w:r>
      <w:r w:rsidR="008C53D4" w:rsidRPr="00A86B8B">
        <w:rPr>
          <w:rFonts w:ascii="Palatino Linotype" w:eastAsia="Palatino Linotype" w:hAnsi="Palatino Linotype" w:cs="Palatino Linotype"/>
          <w:sz w:val="22"/>
          <w:szCs w:val="22"/>
        </w:rPr>
        <w:t xml:space="preserve"> contienen </w:t>
      </w:r>
      <w:r w:rsidR="002F2E3E" w:rsidRPr="00A86B8B">
        <w:rPr>
          <w:rFonts w:ascii="Palatino Linotype" w:eastAsia="Palatino Linotype" w:hAnsi="Palatino Linotype" w:cs="Palatino Linotype"/>
          <w:sz w:val="22"/>
          <w:szCs w:val="22"/>
        </w:rPr>
        <w:t>el informe de resultados de las auditorías realizadas al ayuntamiento de Acambay de Ruiz Castañeda</w:t>
      </w:r>
      <w:r w:rsidR="004F0B7A" w:rsidRPr="00A86B8B">
        <w:rPr>
          <w:rFonts w:ascii="Palatino Linotype" w:eastAsia="Palatino Linotype" w:hAnsi="Palatino Linotype" w:cs="Palatino Linotype"/>
          <w:sz w:val="22"/>
          <w:szCs w:val="22"/>
        </w:rPr>
        <w:t xml:space="preserve"> en los ejercicios fiscales 2023 y 2024</w:t>
      </w:r>
      <w:r w:rsidR="002F2E3E" w:rsidRPr="00A86B8B">
        <w:rPr>
          <w:rFonts w:ascii="Palatino Linotype" w:eastAsia="Palatino Linotype" w:hAnsi="Palatino Linotype" w:cs="Palatino Linotype"/>
          <w:sz w:val="22"/>
          <w:szCs w:val="22"/>
        </w:rPr>
        <w:t xml:space="preserve">, derivado del Programa Anual de Auditorías 2024 y </w:t>
      </w:r>
      <w:r w:rsidR="002F2E3E" w:rsidRPr="00A86B8B">
        <w:rPr>
          <w:rFonts w:ascii="Palatino Linotype" w:hAnsi="Palatino Linotype"/>
          <w:sz w:val="22"/>
          <w:szCs w:val="22"/>
        </w:rPr>
        <w:t>Programa Anual de Auditorías 2025</w:t>
      </w:r>
      <w:r w:rsidR="004F0B7A" w:rsidRPr="00A86B8B">
        <w:rPr>
          <w:rFonts w:ascii="Palatino Linotype" w:hAnsi="Palatino Linotype"/>
          <w:sz w:val="22"/>
          <w:szCs w:val="22"/>
        </w:rPr>
        <w:t>, respectivamente.</w:t>
      </w:r>
    </w:p>
    <w:p w14:paraId="48424D06" w14:textId="514F7479" w:rsidR="00982750" w:rsidRPr="00A86B8B" w:rsidRDefault="00D901C0">
      <w:pPr>
        <w:tabs>
          <w:tab w:val="left" w:pos="975"/>
        </w:tabs>
        <w:spacing w:before="240" w:after="240" w:line="360" w:lineRule="auto"/>
        <w:jc w:val="both"/>
        <w:rPr>
          <w:rFonts w:ascii="Palatino Linotype" w:hAnsi="Palatino Linotype"/>
          <w:sz w:val="22"/>
          <w:szCs w:val="22"/>
        </w:rPr>
      </w:pPr>
      <w:r w:rsidRPr="00A86B8B">
        <w:rPr>
          <w:rFonts w:ascii="Palatino Linotype" w:eastAsia="Palatino Linotype" w:hAnsi="Palatino Linotype" w:cs="Palatino Linotype"/>
          <w:sz w:val="22"/>
          <w:szCs w:val="22"/>
        </w:rPr>
        <w:t>Es importante mencionar que</w:t>
      </w:r>
      <w:r w:rsidR="00FF1D90" w:rsidRPr="00A86B8B">
        <w:rPr>
          <w:rFonts w:ascii="Palatino Linotype" w:eastAsia="Palatino Linotype" w:hAnsi="Palatino Linotype" w:cs="Palatino Linotype"/>
          <w:sz w:val="22"/>
          <w:szCs w:val="22"/>
        </w:rPr>
        <w:t xml:space="preserve"> de conformidad con el artículo 8, fracción I</w:t>
      </w:r>
      <w:r w:rsidR="0019327A" w:rsidRPr="00A86B8B">
        <w:rPr>
          <w:rFonts w:ascii="Palatino Linotype" w:eastAsia="Palatino Linotype" w:hAnsi="Palatino Linotype" w:cs="Palatino Linotype"/>
          <w:sz w:val="22"/>
          <w:szCs w:val="22"/>
        </w:rPr>
        <w:t xml:space="preserve"> y II</w:t>
      </w:r>
      <w:r w:rsidR="00FF1D90" w:rsidRPr="00A86B8B">
        <w:rPr>
          <w:rFonts w:ascii="Palatino Linotype" w:eastAsia="Palatino Linotype" w:hAnsi="Palatino Linotype" w:cs="Palatino Linotype"/>
          <w:sz w:val="22"/>
          <w:szCs w:val="22"/>
        </w:rPr>
        <w:t xml:space="preserve"> de la Ley de Fiscalización Superior del Estado de México, el Órgano Superior de Fiscalización </w:t>
      </w:r>
      <w:r w:rsidR="00982750" w:rsidRPr="00A86B8B">
        <w:rPr>
          <w:rFonts w:ascii="Palatino Linotype" w:eastAsia="Palatino Linotype" w:hAnsi="Palatino Linotype" w:cs="Palatino Linotype"/>
          <w:sz w:val="22"/>
          <w:szCs w:val="22"/>
        </w:rPr>
        <w:t xml:space="preserve">es responsable de </w:t>
      </w:r>
      <w:r w:rsidR="00982750" w:rsidRPr="00A86B8B">
        <w:rPr>
          <w:rFonts w:ascii="Palatino Linotype" w:eastAsia="Palatino Linotype" w:hAnsi="Palatino Linotype" w:cs="Palatino Linotype"/>
          <w:b/>
          <w:sz w:val="22"/>
          <w:szCs w:val="22"/>
        </w:rPr>
        <w:t xml:space="preserve">fiscalizar </w:t>
      </w:r>
      <w:r w:rsidR="00982750" w:rsidRPr="00A86B8B">
        <w:rPr>
          <w:rFonts w:ascii="Palatino Linotype" w:hAnsi="Palatino Linotype"/>
          <w:b/>
          <w:sz w:val="22"/>
          <w:szCs w:val="22"/>
        </w:rPr>
        <w:t>en todo momento</w:t>
      </w:r>
      <w:r w:rsidR="00982750" w:rsidRPr="00A86B8B">
        <w:rPr>
          <w:rFonts w:ascii="Palatino Linotype" w:hAnsi="Palatino Linotype"/>
          <w:sz w:val="22"/>
          <w:szCs w:val="22"/>
        </w:rPr>
        <w:t>,</w:t>
      </w:r>
      <w:r w:rsidR="00982750" w:rsidRPr="00A86B8B">
        <w:rPr>
          <w:rFonts w:ascii="Palatino Linotype" w:hAnsi="Palatino Linotype"/>
          <w:b/>
          <w:sz w:val="22"/>
          <w:szCs w:val="22"/>
        </w:rPr>
        <w:t xml:space="preserve"> </w:t>
      </w:r>
      <w:r w:rsidR="00982750" w:rsidRPr="00A86B8B">
        <w:rPr>
          <w:rFonts w:ascii="Palatino Linotype" w:hAnsi="Palatino Linotype"/>
          <w:b/>
          <w:sz w:val="22"/>
          <w:szCs w:val="22"/>
          <w:u w:val="single"/>
        </w:rPr>
        <w:t>respecto del año inmediato anterior</w:t>
      </w:r>
      <w:r w:rsidR="00982750" w:rsidRPr="00A86B8B">
        <w:rPr>
          <w:rFonts w:ascii="Palatino Linotype" w:hAnsi="Palatino Linotype"/>
          <w:sz w:val="22"/>
          <w:szCs w:val="22"/>
        </w:rPr>
        <w:t>, los ingresos y egresos de las entidades fiscalizables a efecto de comprobar que su recaudación, administración, desempeño, niveles de deuda y aplicación se apegue a las disposiciones legales, administrativas, presupuestales, financieras y de planeación aplicables;</w:t>
      </w:r>
      <w:r w:rsidR="00D21581" w:rsidRPr="00A86B8B">
        <w:rPr>
          <w:rFonts w:ascii="Palatino Linotype" w:hAnsi="Palatino Linotype"/>
          <w:sz w:val="22"/>
          <w:szCs w:val="22"/>
        </w:rPr>
        <w:t xml:space="preserve"> así como </w:t>
      </w:r>
      <w:r w:rsidR="00982750" w:rsidRPr="00A86B8B">
        <w:rPr>
          <w:rFonts w:ascii="Palatino Linotype" w:hAnsi="Palatino Linotype"/>
          <w:sz w:val="22"/>
          <w:szCs w:val="22"/>
        </w:rPr>
        <w:t>el ejercicio, la custodia y aplicación de los recursos estatales y municipales, así como los recursos federales, en términos de los conve</w:t>
      </w:r>
      <w:r w:rsidR="00D21581" w:rsidRPr="00A86B8B">
        <w:rPr>
          <w:rFonts w:ascii="Palatino Linotype" w:hAnsi="Palatino Linotype"/>
          <w:sz w:val="22"/>
          <w:szCs w:val="22"/>
        </w:rPr>
        <w:t>nios correspondientes.</w:t>
      </w:r>
    </w:p>
    <w:p w14:paraId="6739E1B7" w14:textId="0959DA33" w:rsidR="008F0A4B" w:rsidRPr="00A86B8B" w:rsidRDefault="008F0A4B" w:rsidP="008F0A4B">
      <w:pPr>
        <w:spacing w:before="240" w:after="240" w:line="360" w:lineRule="auto"/>
        <w:jc w:val="both"/>
        <w:rPr>
          <w:rFonts w:ascii="Palatino Linotype" w:eastAsia="Palatino Linotype" w:hAnsi="Palatino Linotype" w:cs="Palatino Linotype"/>
        </w:rPr>
      </w:pPr>
      <w:r w:rsidRPr="00A86B8B">
        <w:rPr>
          <w:rFonts w:ascii="Palatino Linotype" w:hAnsi="Palatino Linotype"/>
          <w:sz w:val="22"/>
          <w:szCs w:val="22"/>
        </w:rPr>
        <w:t xml:space="preserve">Por consiguiente, toda vez que el </w:t>
      </w:r>
      <w:r w:rsidRPr="00A86B8B">
        <w:rPr>
          <w:rFonts w:ascii="Palatino Linotype" w:hAnsi="Palatino Linotype"/>
          <w:b/>
          <w:sz w:val="22"/>
          <w:szCs w:val="22"/>
        </w:rPr>
        <w:t xml:space="preserve">Sujeto Obligado </w:t>
      </w:r>
      <w:r w:rsidRPr="00A86B8B">
        <w:rPr>
          <w:rFonts w:ascii="Palatino Linotype" w:hAnsi="Palatino Linotype"/>
          <w:sz w:val="22"/>
          <w:szCs w:val="22"/>
        </w:rPr>
        <w:t xml:space="preserve">proporcionó las ligas electrónicas </w:t>
      </w:r>
      <w:r w:rsidR="00FF2E79" w:rsidRPr="00A86B8B">
        <w:rPr>
          <w:rFonts w:ascii="Palatino Linotype" w:eastAsia="Palatino Linotype" w:hAnsi="Palatino Linotype" w:cs="Palatino Linotype"/>
          <w:sz w:val="22"/>
          <w:szCs w:val="22"/>
        </w:rPr>
        <w:t xml:space="preserve">donde se encuentran publicados los informes de resultados de las auditorías realizadas al ayuntamiento de Acambay de Ruiz Castañeda derivado del Programa Anual de Auditorías 2024 y </w:t>
      </w:r>
      <w:r w:rsidR="00FF2E79" w:rsidRPr="00A86B8B">
        <w:rPr>
          <w:rFonts w:ascii="Palatino Linotype" w:hAnsi="Palatino Linotype"/>
          <w:sz w:val="22"/>
          <w:szCs w:val="22"/>
        </w:rPr>
        <w:t>Programa Anual de Auditorías 2025</w:t>
      </w:r>
      <w:r w:rsidRPr="00A86B8B">
        <w:rPr>
          <w:rFonts w:ascii="Palatino Linotype" w:eastAsia="Palatino Linotype" w:hAnsi="Palatino Linotype" w:cs="Palatino Linotype"/>
          <w:sz w:val="22"/>
          <w:szCs w:val="22"/>
        </w:rPr>
        <w:t>, se considera que el requerimiento de información quedó atendido</w:t>
      </w:r>
      <w:r w:rsidRPr="00A86B8B">
        <w:rPr>
          <w:rFonts w:ascii="Palatino Linotype" w:eastAsia="Palatino Linotype" w:hAnsi="Palatino Linotype" w:cs="Palatino Linotype"/>
        </w:rPr>
        <w:t>.</w:t>
      </w:r>
    </w:p>
    <w:bookmarkEnd w:id="9"/>
    <w:p w14:paraId="7E60F354" w14:textId="77777777" w:rsidR="008F0A4B" w:rsidRPr="00A86B8B" w:rsidRDefault="008F0A4B" w:rsidP="008F0A4B">
      <w:pPr>
        <w:spacing w:before="240" w:after="240" w:line="360" w:lineRule="auto"/>
        <w:ind w:right="51"/>
        <w:jc w:val="both"/>
        <w:rPr>
          <w:rFonts w:ascii="Palatino Linotype" w:eastAsia="Palatino Linotype" w:hAnsi="Palatino Linotype" w:cs="Palatino Linotype"/>
          <w:sz w:val="22"/>
        </w:rPr>
      </w:pPr>
      <w:r w:rsidRPr="00A86B8B">
        <w:rPr>
          <w:rFonts w:ascii="Palatino Linotype" w:eastAsia="Palatino Linotype" w:hAnsi="Palatino Linotype" w:cs="Palatino Linotype"/>
          <w:sz w:val="22"/>
        </w:rPr>
        <w:t xml:space="preserve">Derivado de lo expuesto, se concluye que los motivos de inconformidad de la parte </w:t>
      </w:r>
      <w:r w:rsidRPr="00A86B8B">
        <w:rPr>
          <w:rFonts w:ascii="Palatino Linotype" w:eastAsia="Palatino Linotype" w:hAnsi="Palatino Linotype" w:cs="Palatino Linotype"/>
          <w:b/>
          <w:sz w:val="22"/>
        </w:rPr>
        <w:t xml:space="preserve">Recurrente </w:t>
      </w:r>
      <w:r w:rsidRPr="00A86B8B">
        <w:rPr>
          <w:rFonts w:ascii="Palatino Linotype" w:eastAsia="Palatino Linotype" w:hAnsi="Palatino Linotype" w:cs="Palatino Linotype"/>
          <w:sz w:val="22"/>
        </w:rPr>
        <w:t xml:space="preserve">devienen infundados, siendo procedente </w:t>
      </w:r>
      <w:r w:rsidRPr="00A86B8B">
        <w:rPr>
          <w:rFonts w:ascii="Palatino Linotype" w:eastAsia="Palatino Linotype" w:hAnsi="Palatino Linotype" w:cs="Palatino Linotype"/>
          <w:i/>
          <w:sz w:val="22"/>
        </w:rPr>
        <w:t xml:space="preserve">Confirmar </w:t>
      </w:r>
      <w:r w:rsidRPr="00A86B8B">
        <w:rPr>
          <w:rFonts w:ascii="Palatino Linotype" w:eastAsia="Palatino Linotype" w:hAnsi="Palatino Linotype" w:cs="Palatino Linotype"/>
          <w:sz w:val="22"/>
        </w:rPr>
        <w:t xml:space="preserve">la respuesta proporcionada por el </w:t>
      </w:r>
      <w:r w:rsidRPr="00A86B8B">
        <w:rPr>
          <w:rFonts w:ascii="Palatino Linotype" w:eastAsia="Palatino Linotype" w:hAnsi="Palatino Linotype" w:cs="Palatino Linotype"/>
          <w:b/>
          <w:sz w:val="22"/>
        </w:rPr>
        <w:t xml:space="preserve">Sujeto Obligado </w:t>
      </w:r>
      <w:r w:rsidRPr="00A86B8B">
        <w:rPr>
          <w:rFonts w:ascii="Palatino Linotype" w:eastAsia="Palatino Linotype" w:hAnsi="Palatino Linotype" w:cs="Palatino Linotype"/>
          <w:sz w:val="22"/>
        </w:rPr>
        <w:t>en términos del artículo 186, fracción II de la Ley de Transparencia y Acceso a la Información Pública del Estado de México y Municipios.</w:t>
      </w:r>
    </w:p>
    <w:p w14:paraId="0A9B824A" w14:textId="77777777"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sz w:val="22"/>
          <w:szCs w:val="22"/>
        </w:rPr>
        <w:t>Así, con fundamento en lo prescrito en los artículos 5 párrafos cuadragésimo cuarto, cuadragésimo quinto cuadragésimo sexto, de la Constitución Política del Estado Libre y Soberano de México; Transitorio Cuarto, párrafo segundo del Decreto número 198 de la “LXII” Legislatura del Estado de México; 2, fracción II; 29, 36 fracciones I y II; 176, 178, 181, 185 y 186 fracción II de la Ley de Transparencia y Acceso a la Información Pública del Estado de México y Municipios, este Pleno:</w:t>
      </w:r>
    </w:p>
    <w:p w14:paraId="0AE20556" w14:textId="77777777" w:rsidR="006C2841" w:rsidRPr="00A86B8B" w:rsidRDefault="00D06478">
      <w:pPr>
        <w:pBdr>
          <w:top w:val="nil"/>
          <w:left w:val="nil"/>
          <w:bottom w:val="nil"/>
          <w:right w:val="nil"/>
          <w:between w:val="nil"/>
        </w:pBdr>
        <w:spacing w:before="240" w:after="240" w:line="360" w:lineRule="auto"/>
        <w:jc w:val="center"/>
        <w:rPr>
          <w:rFonts w:ascii="Palatino Linotype" w:eastAsia="Palatino Linotype" w:hAnsi="Palatino Linotype" w:cs="Palatino Linotype"/>
          <w:b/>
          <w:bCs/>
          <w:sz w:val="22"/>
          <w:szCs w:val="22"/>
        </w:rPr>
      </w:pPr>
      <w:r w:rsidRPr="00A86B8B">
        <w:rPr>
          <w:rFonts w:ascii="Palatino Linotype" w:eastAsia="Palatino Linotype" w:hAnsi="Palatino Linotype" w:cs="Palatino Linotype"/>
          <w:b/>
          <w:bCs/>
          <w:sz w:val="22"/>
          <w:szCs w:val="22"/>
        </w:rPr>
        <w:t>III. R E S U E L V E</w:t>
      </w:r>
    </w:p>
    <w:p w14:paraId="7D188945" w14:textId="77777777" w:rsidR="008F0A4B" w:rsidRPr="00A86B8B" w:rsidRDefault="00D06478" w:rsidP="008F0A4B">
      <w:pPr>
        <w:spacing w:before="240" w:after="240" w:line="360" w:lineRule="auto"/>
        <w:jc w:val="both"/>
        <w:rPr>
          <w:rFonts w:ascii="Palatino Linotype" w:eastAsia="Palatino Linotype" w:hAnsi="Palatino Linotype" w:cs="Palatino Linotype"/>
          <w:sz w:val="22"/>
          <w:szCs w:val="22"/>
        </w:rPr>
      </w:pPr>
      <w:bookmarkStart w:id="10" w:name="_heading=h.26in1rg" w:colFirst="0" w:colLast="0"/>
      <w:bookmarkEnd w:id="10"/>
      <w:r w:rsidRPr="00A86B8B">
        <w:rPr>
          <w:rFonts w:ascii="Palatino Linotype" w:eastAsia="Palatino Linotype" w:hAnsi="Palatino Linotype" w:cs="Palatino Linotype"/>
          <w:b/>
          <w:bCs/>
          <w:sz w:val="22"/>
          <w:szCs w:val="22"/>
        </w:rPr>
        <w:t xml:space="preserve">Primero. </w:t>
      </w:r>
      <w:r w:rsidRPr="00A86B8B">
        <w:rPr>
          <w:rFonts w:ascii="Palatino Linotype" w:eastAsia="Palatino Linotype" w:hAnsi="Palatino Linotype" w:cs="Palatino Linotype"/>
          <w:sz w:val="22"/>
          <w:szCs w:val="22"/>
        </w:rPr>
        <w:t>Resultan</w:t>
      </w:r>
      <w:r w:rsidRPr="00A86B8B">
        <w:rPr>
          <w:rFonts w:ascii="Palatino Linotype" w:eastAsia="Palatino Linotype" w:hAnsi="Palatino Linotype" w:cs="Palatino Linotype"/>
          <w:b/>
          <w:bCs/>
          <w:sz w:val="22"/>
          <w:szCs w:val="22"/>
        </w:rPr>
        <w:t xml:space="preserve"> </w:t>
      </w:r>
      <w:r w:rsidR="008F0A4B" w:rsidRPr="00A86B8B">
        <w:rPr>
          <w:rFonts w:ascii="Palatino Linotype" w:eastAsia="Palatino Linotype" w:hAnsi="Palatino Linotype" w:cs="Palatino Linotype"/>
          <w:b/>
          <w:bCs/>
          <w:sz w:val="22"/>
          <w:szCs w:val="22"/>
        </w:rPr>
        <w:t>infundadas</w:t>
      </w:r>
      <w:r w:rsidRPr="00A86B8B">
        <w:rPr>
          <w:rFonts w:ascii="Palatino Linotype" w:eastAsia="Palatino Linotype" w:hAnsi="Palatino Linotype" w:cs="Palatino Linotype"/>
          <w:sz w:val="22"/>
          <w:szCs w:val="22"/>
        </w:rPr>
        <w:t xml:space="preserve"> las razones o motivos de inconformidad hechos valer por la parte</w:t>
      </w:r>
      <w:r w:rsidRPr="00A86B8B">
        <w:rPr>
          <w:rFonts w:ascii="Palatino Linotype" w:eastAsia="Palatino Linotype" w:hAnsi="Palatino Linotype" w:cs="Palatino Linotype"/>
          <w:b/>
          <w:bCs/>
          <w:sz w:val="22"/>
          <w:szCs w:val="22"/>
        </w:rPr>
        <w:t xml:space="preserve"> Recurrente</w:t>
      </w:r>
      <w:r w:rsidRPr="00A86B8B">
        <w:rPr>
          <w:rFonts w:ascii="Palatino Linotype" w:eastAsia="Palatino Linotype" w:hAnsi="Palatino Linotype" w:cs="Palatino Linotype"/>
          <w:sz w:val="22"/>
          <w:szCs w:val="22"/>
        </w:rPr>
        <w:t xml:space="preserve"> en el recurso de revisión </w:t>
      </w:r>
      <w:r w:rsidR="008F0A4B" w:rsidRPr="00A86B8B">
        <w:rPr>
          <w:rFonts w:ascii="Palatino Linotype" w:eastAsia="Palatino Linotype" w:hAnsi="Palatino Linotype" w:cs="Palatino Linotype"/>
          <w:b/>
          <w:bCs/>
          <w:sz w:val="22"/>
          <w:szCs w:val="22"/>
        </w:rPr>
        <w:t>13804</w:t>
      </w:r>
      <w:r w:rsidRPr="00A86B8B">
        <w:rPr>
          <w:rFonts w:ascii="Palatino Linotype" w:eastAsia="Palatino Linotype" w:hAnsi="Palatino Linotype" w:cs="Palatino Linotype"/>
          <w:b/>
          <w:bCs/>
          <w:sz w:val="22"/>
          <w:szCs w:val="22"/>
        </w:rPr>
        <w:t>/INFOEM/IP/RR/2025</w:t>
      </w:r>
      <w:r w:rsidRPr="00A86B8B">
        <w:rPr>
          <w:rFonts w:ascii="Palatino Linotype" w:eastAsia="Palatino Linotype" w:hAnsi="Palatino Linotype" w:cs="Palatino Linotype"/>
          <w:sz w:val="22"/>
          <w:szCs w:val="22"/>
        </w:rPr>
        <w:t xml:space="preserve">; </w:t>
      </w:r>
      <w:r w:rsidR="008F0A4B" w:rsidRPr="00A86B8B">
        <w:rPr>
          <w:rFonts w:ascii="Palatino Linotype" w:eastAsia="Palatino Linotype" w:hAnsi="Palatino Linotype" w:cs="Palatino Linotype"/>
          <w:sz w:val="22"/>
          <w:szCs w:val="22"/>
        </w:rPr>
        <w:t xml:space="preserve">por lo que, en términos del </w:t>
      </w:r>
      <w:r w:rsidR="008F0A4B" w:rsidRPr="00A86B8B">
        <w:rPr>
          <w:rFonts w:ascii="Palatino Linotype" w:eastAsia="Palatino Linotype" w:hAnsi="Palatino Linotype" w:cs="Palatino Linotype"/>
          <w:b/>
          <w:sz w:val="22"/>
          <w:szCs w:val="22"/>
        </w:rPr>
        <w:t>Considerando</w:t>
      </w:r>
      <w:r w:rsidR="008F0A4B" w:rsidRPr="00A86B8B">
        <w:rPr>
          <w:rFonts w:ascii="Palatino Linotype" w:eastAsia="Palatino Linotype" w:hAnsi="Palatino Linotype" w:cs="Palatino Linotype"/>
          <w:sz w:val="22"/>
          <w:szCs w:val="22"/>
        </w:rPr>
        <w:t xml:space="preserve"> </w:t>
      </w:r>
      <w:r w:rsidR="008F0A4B" w:rsidRPr="00A86B8B">
        <w:rPr>
          <w:rFonts w:ascii="Palatino Linotype" w:eastAsia="Palatino Linotype" w:hAnsi="Palatino Linotype" w:cs="Palatino Linotype"/>
          <w:b/>
          <w:sz w:val="22"/>
          <w:szCs w:val="22"/>
        </w:rPr>
        <w:t xml:space="preserve">Cuarto </w:t>
      </w:r>
      <w:r w:rsidR="008F0A4B" w:rsidRPr="00A86B8B">
        <w:rPr>
          <w:rFonts w:ascii="Palatino Linotype" w:eastAsia="Palatino Linotype" w:hAnsi="Palatino Linotype" w:cs="Palatino Linotype"/>
          <w:sz w:val="22"/>
          <w:szCs w:val="22"/>
        </w:rPr>
        <w:t xml:space="preserve">de esta resolución, se </w:t>
      </w:r>
      <w:r w:rsidR="008F0A4B" w:rsidRPr="00A86B8B">
        <w:rPr>
          <w:rFonts w:ascii="Palatino Linotype" w:eastAsia="Palatino Linotype" w:hAnsi="Palatino Linotype" w:cs="Palatino Linotype"/>
          <w:b/>
          <w:sz w:val="22"/>
          <w:szCs w:val="22"/>
        </w:rPr>
        <w:t xml:space="preserve">Confirma </w:t>
      </w:r>
      <w:r w:rsidR="008F0A4B" w:rsidRPr="00A86B8B">
        <w:rPr>
          <w:rFonts w:ascii="Palatino Linotype" w:eastAsia="Palatino Linotype" w:hAnsi="Palatino Linotype" w:cs="Palatino Linotype"/>
          <w:sz w:val="22"/>
          <w:szCs w:val="22"/>
        </w:rPr>
        <w:t xml:space="preserve">la respuesta emitida por el </w:t>
      </w:r>
      <w:r w:rsidR="008F0A4B" w:rsidRPr="00A86B8B">
        <w:rPr>
          <w:rFonts w:ascii="Palatino Linotype" w:eastAsia="Palatino Linotype" w:hAnsi="Palatino Linotype" w:cs="Palatino Linotype"/>
          <w:b/>
          <w:sz w:val="22"/>
          <w:szCs w:val="22"/>
        </w:rPr>
        <w:t xml:space="preserve">Sujeto Obligado. </w:t>
      </w:r>
    </w:p>
    <w:p w14:paraId="77F96E48" w14:textId="77777777" w:rsidR="00E82CE5" w:rsidRPr="00A86B8B" w:rsidRDefault="00E82CE5" w:rsidP="00E82CE5">
      <w:pPr>
        <w:spacing w:before="240" w:after="240" w:line="360" w:lineRule="auto"/>
        <w:jc w:val="both"/>
        <w:rPr>
          <w:rFonts w:ascii="Palatino Linotype" w:eastAsia="Palatino Linotype" w:hAnsi="Palatino Linotype" w:cs="Palatino Linotype"/>
          <w:sz w:val="22"/>
          <w:szCs w:val="22"/>
        </w:rPr>
      </w:pPr>
      <w:bookmarkStart w:id="11" w:name="_heading=h.4cxau4am0rpd" w:colFirst="0" w:colLast="0"/>
      <w:bookmarkEnd w:id="11"/>
      <w:r w:rsidRPr="00A86B8B">
        <w:rPr>
          <w:rFonts w:ascii="Palatino Linotype" w:eastAsia="Palatino Linotype" w:hAnsi="Palatino Linotype" w:cs="Palatino Linotype"/>
          <w:b/>
          <w:sz w:val="22"/>
          <w:szCs w:val="22"/>
        </w:rPr>
        <w:t xml:space="preserve">Segundo. Notifíquese, </w:t>
      </w:r>
      <w:r w:rsidRPr="00A86B8B">
        <w:rPr>
          <w:rFonts w:ascii="Palatino Linotype" w:eastAsia="Palatino Linotype" w:hAnsi="Palatino Linotype" w:cs="Palatino Linotype"/>
          <w:sz w:val="22"/>
          <w:szCs w:val="22"/>
        </w:rPr>
        <w:t>vía</w:t>
      </w:r>
      <w:r w:rsidRPr="00A86B8B">
        <w:rPr>
          <w:rFonts w:ascii="Palatino Linotype" w:eastAsia="Palatino Linotype" w:hAnsi="Palatino Linotype" w:cs="Palatino Linotype"/>
          <w:b/>
          <w:sz w:val="22"/>
          <w:szCs w:val="22"/>
        </w:rPr>
        <w:t xml:space="preserve"> SAIMEX</w:t>
      </w:r>
      <w:r w:rsidRPr="00A86B8B">
        <w:rPr>
          <w:rFonts w:ascii="Palatino Linotype" w:eastAsia="Palatino Linotype" w:hAnsi="Palatino Linotype" w:cs="Palatino Linotype"/>
          <w:b/>
          <w:i/>
          <w:sz w:val="22"/>
          <w:szCs w:val="22"/>
        </w:rPr>
        <w:t xml:space="preserve">, </w:t>
      </w:r>
      <w:r w:rsidRPr="00A86B8B">
        <w:rPr>
          <w:rFonts w:ascii="Palatino Linotype" w:eastAsia="Palatino Linotype" w:hAnsi="Palatino Linotype" w:cs="Palatino Linotype"/>
          <w:sz w:val="22"/>
          <w:szCs w:val="22"/>
        </w:rPr>
        <w:t>la presente resolución</w:t>
      </w:r>
      <w:r w:rsidRPr="00A86B8B">
        <w:rPr>
          <w:rFonts w:ascii="Palatino Linotype" w:eastAsia="Palatino Linotype" w:hAnsi="Palatino Linotype" w:cs="Palatino Linotype"/>
          <w:b/>
          <w:i/>
          <w:sz w:val="22"/>
          <w:szCs w:val="22"/>
        </w:rPr>
        <w:t xml:space="preserve"> </w:t>
      </w:r>
      <w:r w:rsidRPr="00A86B8B">
        <w:rPr>
          <w:rFonts w:ascii="Palatino Linotype" w:eastAsia="Palatino Linotype" w:hAnsi="Palatino Linotype" w:cs="Palatino Linotype"/>
          <w:sz w:val="22"/>
          <w:szCs w:val="22"/>
        </w:rPr>
        <w:t xml:space="preserve">a la persona Titular de la Unidad de Transparencia del </w:t>
      </w:r>
      <w:r w:rsidRPr="00A86B8B">
        <w:rPr>
          <w:rFonts w:ascii="Palatino Linotype" w:eastAsia="Palatino Linotype" w:hAnsi="Palatino Linotype" w:cs="Palatino Linotype"/>
          <w:b/>
          <w:sz w:val="22"/>
          <w:szCs w:val="22"/>
        </w:rPr>
        <w:t>Sujeto Obligado</w:t>
      </w:r>
      <w:r w:rsidRPr="00A86B8B">
        <w:rPr>
          <w:rFonts w:ascii="Palatino Linotype" w:eastAsia="Palatino Linotype" w:hAnsi="Palatino Linotype" w:cs="Palatino Linotype"/>
          <w:sz w:val="22"/>
          <w:szCs w:val="22"/>
        </w:rPr>
        <w:t xml:space="preserve"> para su conocimiento, en términos del artículo 189 de la Ley de Transparencia y Acceso a la Información Pública del Estado de México y Municipios.</w:t>
      </w:r>
    </w:p>
    <w:p w14:paraId="3349F73D" w14:textId="3D6F7E1A" w:rsidR="006C2841" w:rsidRPr="00A86B8B" w:rsidRDefault="00D06478">
      <w:pPr>
        <w:spacing w:before="240" w:after="240" w:line="360" w:lineRule="auto"/>
        <w:jc w:val="both"/>
        <w:rPr>
          <w:rFonts w:ascii="Palatino Linotype" w:eastAsia="Palatino Linotype" w:hAnsi="Palatino Linotype" w:cs="Palatino Linotype"/>
          <w:sz w:val="22"/>
          <w:szCs w:val="22"/>
        </w:rPr>
      </w:pPr>
      <w:r w:rsidRPr="00A86B8B">
        <w:rPr>
          <w:rFonts w:ascii="Palatino Linotype" w:eastAsia="Palatino Linotype" w:hAnsi="Palatino Linotype" w:cs="Palatino Linotype"/>
          <w:b/>
          <w:bCs/>
          <w:sz w:val="22"/>
          <w:szCs w:val="22"/>
        </w:rPr>
        <w:t xml:space="preserve">Tercero. Notifíquese, </w:t>
      </w:r>
      <w:r w:rsidRPr="00A86B8B">
        <w:rPr>
          <w:rFonts w:ascii="Palatino Linotype" w:eastAsia="Palatino Linotype" w:hAnsi="Palatino Linotype" w:cs="Palatino Linotype"/>
          <w:sz w:val="22"/>
          <w:szCs w:val="22"/>
        </w:rPr>
        <w:t xml:space="preserve">vía </w:t>
      </w:r>
      <w:r w:rsidRPr="00A86B8B">
        <w:rPr>
          <w:rFonts w:ascii="Palatino Linotype" w:eastAsia="Palatino Linotype" w:hAnsi="Palatino Linotype" w:cs="Palatino Linotype"/>
          <w:b/>
          <w:bCs/>
          <w:sz w:val="22"/>
          <w:szCs w:val="22"/>
        </w:rPr>
        <w:t>SAIMEX</w:t>
      </w:r>
      <w:r w:rsidRPr="00A86B8B">
        <w:rPr>
          <w:rFonts w:ascii="Palatino Linotype" w:eastAsia="Palatino Linotype" w:hAnsi="Palatino Linotype" w:cs="Palatino Linotype"/>
          <w:sz w:val="22"/>
          <w:szCs w:val="22"/>
        </w:rPr>
        <w:t xml:space="preserve">, a la parte </w:t>
      </w:r>
      <w:r w:rsidRPr="00A86B8B">
        <w:rPr>
          <w:rFonts w:ascii="Palatino Linotype" w:eastAsia="Palatino Linotype" w:hAnsi="Palatino Linotype" w:cs="Palatino Linotype"/>
          <w:b/>
          <w:bCs/>
          <w:sz w:val="22"/>
          <w:szCs w:val="22"/>
        </w:rPr>
        <w:t>Recurrente</w:t>
      </w:r>
      <w:r w:rsidRPr="00A86B8B">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379EB51B" w14:textId="197EB3B6" w:rsidR="006C2841" w:rsidRPr="00CD0E5D" w:rsidRDefault="00D06478">
      <w:pPr>
        <w:tabs>
          <w:tab w:val="left" w:pos="8647"/>
        </w:tabs>
        <w:spacing w:before="240" w:after="240" w:line="360" w:lineRule="auto"/>
        <w:ind w:right="51"/>
        <w:jc w:val="both"/>
        <w:rPr>
          <w:rFonts w:ascii="Palatino Linotype" w:eastAsia="Palatino Linotype" w:hAnsi="Palatino Linotype" w:cs="Palatino Linotype"/>
          <w:sz w:val="22"/>
          <w:szCs w:val="22"/>
        </w:rPr>
      </w:pPr>
      <w:bookmarkStart w:id="12" w:name="_heading=h.lnxbz9" w:colFirst="0" w:colLast="0"/>
      <w:bookmarkEnd w:id="12"/>
      <w:r w:rsidRPr="00A86B8B">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82CE5" w:rsidRPr="00A86B8B">
        <w:rPr>
          <w:rFonts w:ascii="Palatino Linotype" w:eastAsia="Palatino Linotype" w:hAnsi="Palatino Linotype" w:cs="Palatino Linotype"/>
          <w:sz w:val="22"/>
          <w:szCs w:val="22"/>
        </w:rPr>
        <w:t>SÉPTIMA</w:t>
      </w:r>
      <w:r w:rsidRPr="00A86B8B">
        <w:rPr>
          <w:rFonts w:ascii="Palatino Linotype" w:eastAsia="Palatino Linotype" w:hAnsi="Palatino Linotype" w:cs="Palatino Linotype"/>
          <w:sz w:val="22"/>
          <w:szCs w:val="22"/>
        </w:rPr>
        <w:t xml:space="preserve"> SESIÓN ORDINARIA CELEBRADA EL</w:t>
      </w:r>
      <w:r w:rsidR="00460534" w:rsidRPr="00A86B8B">
        <w:rPr>
          <w:rFonts w:ascii="Palatino Linotype" w:eastAsia="Palatino Linotype" w:hAnsi="Palatino Linotype" w:cs="Palatino Linotype"/>
          <w:sz w:val="22"/>
          <w:szCs w:val="22"/>
        </w:rPr>
        <w:t xml:space="preserve"> </w:t>
      </w:r>
      <w:r w:rsidR="00E82CE5" w:rsidRPr="00A86B8B">
        <w:rPr>
          <w:rFonts w:ascii="Palatino Linotype" w:eastAsia="Palatino Linotype" w:hAnsi="Palatino Linotype" w:cs="Palatino Linotype"/>
          <w:sz w:val="22"/>
          <w:szCs w:val="22"/>
        </w:rPr>
        <w:t>VEINTI</w:t>
      </w:r>
      <w:r w:rsidR="00460534" w:rsidRPr="00A86B8B">
        <w:rPr>
          <w:rFonts w:ascii="Palatino Linotype" w:eastAsia="Palatino Linotype" w:hAnsi="Palatino Linotype" w:cs="Palatino Linotype"/>
          <w:sz w:val="22"/>
          <w:szCs w:val="22"/>
        </w:rPr>
        <w:t>CINCO</w:t>
      </w:r>
      <w:r w:rsidRPr="00A86B8B">
        <w:rPr>
          <w:rFonts w:ascii="Palatino Linotype" w:eastAsia="Palatino Linotype" w:hAnsi="Palatino Linotype" w:cs="Palatino Linotype"/>
          <w:sz w:val="22"/>
          <w:szCs w:val="22"/>
        </w:rPr>
        <w:t xml:space="preserve"> DE FEBRERO DE DOS MIL VEINTISÉIS, ANTE EL SECRETARIO TÉCNICO DEL PLENO ALEXIS TAPIA RAMÍREZ.</w:t>
      </w:r>
    </w:p>
    <w:p w14:paraId="5E968D65"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50BB4B8F" w14:textId="77777777" w:rsidR="006C2841" w:rsidRPr="00CD0E5D" w:rsidRDefault="006C2841">
      <w:pPr>
        <w:spacing w:line="360" w:lineRule="auto"/>
        <w:jc w:val="center"/>
        <w:rPr>
          <w:rFonts w:ascii="Palatino Linotype" w:eastAsia="Palatino Linotype" w:hAnsi="Palatino Linotype" w:cs="Palatino Linotype"/>
          <w:sz w:val="22"/>
          <w:szCs w:val="22"/>
        </w:rPr>
      </w:pPr>
    </w:p>
    <w:p w14:paraId="3C4E8E0F"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2CAC9883" w14:textId="6B8DACE6" w:rsidR="006C2841" w:rsidRPr="00CD0E5D" w:rsidRDefault="006C2841">
      <w:pPr>
        <w:spacing w:line="360" w:lineRule="auto"/>
        <w:jc w:val="both"/>
        <w:rPr>
          <w:rFonts w:ascii="Palatino Linotype" w:eastAsia="Palatino Linotype" w:hAnsi="Palatino Linotype" w:cs="Palatino Linotype"/>
          <w:sz w:val="22"/>
          <w:szCs w:val="22"/>
        </w:rPr>
      </w:pPr>
    </w:p>
    <w:p w14:paraId="352ED184" w14:textId="60288666" w:rsidR="00CD0E5D" w:rsidRPr="00CD0E5D" w:rsidRDefault="00CD0E5D">
      <w:pPr>
        <w:spacing w:line="360" w:lineRule="auto"/>
        <w:jc w:val="both"/>
        <w:rPr>
          <w:rFonts w:ascii="Palatino Linotype" w:eastAsia="Palatino Linotype" w:hAnsi="Palatino Linotype" w:cs="Palatino Linotype"/>
          <w:sz w:val="22"/>
          <w:szCs w:val="22"/>
        </w:rPr>
      </w:pPr>
    </w:p>
    <w:p w14:paraId="0DB8E1E8" w14:textId="08BF3583" w:rsidR="00CD0E5D" w:rsidRPr="00CD0E5D" w:rsidRDefault="00CD0E5D">
      <w:pPr>
        <w:spacing w:line="360" w:lineRule="auto"/>
        <w:jc w:val="both"/>
        <w:rPr>
          <w:rFonts w:ascii="Palatino Linotype" w:eastAsia="Palatino Linotype" w:hAnsi="Palatino Linotype" w:cs="Palatino Linotype"/>
          <w:sz w:val="22"/>
          <w:szCs w:val="22"/>
        </w:rPr>
      </w:pPr>
    </w:p>
    <w:p w14:paraId="2A7486DB" w14:textId="5366561A" w:rsidR="00CD0E5D" w:rsidRPr="00CD0E5D" w:rsidRDefault="00CD0E5D">
      <w:pPr>
        <w:spacing w:line="360" w:lineRule="auto"/>
        <w:jc w:val="both"/>
        <w:rPr>
          <w:rFonts w:ascii="Palatino Linotype" w:eastAsia="Palatino Linotype" w:hAnsi="Palatino Linotype" w:cs="Palatino Linotype"/>
          <w:sz w:val="22"/>
          <w:szCs w:val="22"/>
        </w:rPr>
      </w:pPr>
    </w:p>
    <w:p w14:paraId="1801F56B" w14:textId="1E30D8C6" w:rsidR="00CD0E5D" w:rsidRPr="00CD0E5D" w:rsidRDefault="00CD0E5D">
      <w:pPr>
        <w:spacing w:line="360" w:lineRule="auto"/>
        <w:jc w:val="both"/>
        <w:rPr>
          <w:rFonts w:ascii="Palatino Linotype" w:eastAsia="Palatino Linotype" w:hAnsi="Palatino Linotype" w:cs="Palatino Linotype"/>
          <w:sz w:val="22"/>
          <w:szCs w:val="22"/>
        </w:rPr>
      </w:pPr>
    </w:p>
    <w:p w14:paraId="52F8E1AB" w14:textId="30F650BD" w:rsidR="00CD0E5D" w:rsidRPr="00CD0E5D" w:rsidRDefault="00CD0E5D">
      <w:pPr>
        <w:spacing w:line="360" w:lineRule="auto"/>
        <w:jc w:val="both"/>
        <w:rPr>
          <w:rFonts w:ascii="Palatino Linotype" w:eastAsia="Palatino Linotype" w:hAnsi="Palatino Linotype" w:cs="Palatino Linotype"/>
          <w:sz w:val="22"/>
          <w:szCs w:val="22"/>
        </w:rPr>
      </w:pPr>
    </w:p>
    <w:p w14:paraId="7484208C" w14:textId="0BE19C6A" w:rsidR="00CD0E5D" w:rsidRPr="00CD0E5D" w:rsidRDefault="00CD0E5D">
      <w:pPr>
        <w:spacing w:line="360" w:lineRule="auto"/>
        <w:jc w:val="both"/>
        <w:rPr>
          <w:rFonts w:ascii="Palatino Linotype" w:eastAsia="Palatino Linotype" w:hAnsi="Palatino Linotype" w:cs="Palatino Linotype"/>
          <w:sz w:val="22"/>
          <w:szCs w:val="22"/>
        </w:rPr>
      </w:pPr>
    </w:p>
    <w:p w14:paraId="693A443B" w14:textId="7B586E56" w:rsidR="00CD0E5D" w:rsidRPr="00CD0E5D" w:rsidRDefault="00CD0E5D">
      <w:pPr>
        <w:spacing w:line="360" w:lineRule="auto"/>
        <w:jc w:val="both"/>
        <w:rPr>
          <w:rFonts w:ascii="Palatino Linotype" w:eastAsia="Palatino Linotype" w:hAnsi="Palatino Linotype" w:cs="Palatino Linotype"/>
          <w:sz w:val="22"/>
          <w:szCs w:val="22"/>
        </w:rPr>
      </w:pPr>
    </w:p>
    <w:p w14:paraId="0A8DD075" w14:textId="7D82CBAD" w:rsidR="00CD0E5D" w:rsidRPr="00CD0E5D" w:rsidRDefault="00CD0E5D">
      <w:pPr>
        <w:spacing w:line="360" w:lineRule="auto"/>
        <w:jc w:val="both"/>
        <w:rPr>
          <w:rFonts w:ascii="Palatino Linotype" w:eastAsia="Palatino Linotype" w:hAnsi="Palatino Linotype" w:cs="Palatino Linotype"/>
          <w:sz w:val="22"/>
          <w:szCs w:val="22"/>
        </w:rPr>
      </w:pPr>
    </w:p>
    <w:p w14:paraId="1DCCAE60" w14:textId="504A5C89" w:rsidR="00CD0E5D" w:rsidRPr="00CD0E5D" w:rsidRDefault="00CD0E5D">
      <w:pPr>
        <w:spacing w:line="360" w:lineRule="auto"/>
        <w:jc w:val="both"/>
        <w:rPr>
          <w:rFonts w:ascii="Palatino Linotype" w:eastAsia="Palatino Linotype" w:hAnsi="Palatino Linotype" w:cs="Palatino Linotype"/>
          <w:sz w:val="22"/>
          <w:szCs w:val="22"/>
        </w:rPr>
      </w:pPr>
    </w:p>
    <w:p w14:paraId="4FCCCE6F" w14:textId="7F1849EB" w:rsidR="00CD0E5D" w:rsidRPr="00CD0E5D" w:rsidRDefault="00CD0E5D">
      <w:pPr>
        <w:spacing w:line="360" w:lineRule="auto"/>
        <w:jc w:val="both"/>
        <w:rPr>
          <w:rFonts w:ascii="Palatino Linotype" w:eastAsia="Palatino Linotype" w:hAnsi="Palatino Linotype" w:cs="Palatino Linotype"/>
          <w:sz w:val="22"/>
          <w:szCs w:val="22"/>
        </w:rPr>
      </w:pPr>
    </w:p>
    <w:p w14:paraId="61D8B527" w14:textId="51AA91E0" w:rsidR="00CD0E5D" w:rsidRPr="00CD0E5D" w:rsidRDefault="00CD0E5D">
      <w:pPr>
        <w:spacing w:line="360" w:lineRule="auto"/>
        <w:jc w:val="both"/>
        <w:rPr>
          <w:rFonts w:ascii="Palatino Linotype" w:eastAsia="Palatino Linotype" w:hAnsi="Palatino Linotype" w:cs="Palatino Linotype"/>
          <w:sz w:val="22"/>
          <w:szCs w:val="22"/>
        </w:rPr>
      </w:pPr>
    </w:p>
    <w:p w14:paraId="17AB301E" w14:textId="1D61BE66" w:rsidR="00CD0E5D" w:rsidRPr="00CD0E5D" w:rsidRDefault="00CD0E5D">
      <w:pPr>
        <w:spacing w:line="360" w:lineRule="auto"/>
        <w:jc w:val="both"/>
        <w:rPr>
          <w:rFonts w:ascii="Palatino Linotype" w:eastAsia="Palatino Linotype" w:hAnsi="Palatino Linotype" w:cs="Palatino Linotype"/>
          <w:sz w:val="22"/>
          <w:szCs w:val="22"/>
        </w:rPr>
      </w:pPr>
    </w:p>
    <w:p w14:paraId="49D21E2E" w14:textId="1CDC9D5C" w:rsidR="00CD0E5D" w:rsidRPr="00CD0E5D" w:rsidRDefault="00CD0E5D">
      <w:pPr>
        <w:spacing w:line="360" w:lineRule="auto"/>
        <w:jc w:val="both"/>
        <w:rPr>
          <w:rFonts w:ascii="Palatino Linotype" w:eastAsia="Palatino Linotype" w:hAnsi="Palatino Linotype" w:cs="Palatino Linotype"/>
          <w:sz w:val="22"/>
          <w:szCs w:val="22"/>
        </w:rPr>
      </w:pPr>
    </w:p>
    <w:p w14:paraId="568D934F" w14:textId="10592315" w:rsidR="00CD0E5D" w:rsidRPr="00CD0E5D" w:rsidRDefault="00CD0E5D">
      <w:pPr>
        <w:spacing w:line="360" w:lineRule="auto"/>
        <w:jc w:val="both"/>
        <w:rPr>
          <w:rFonts w:ascii="Palatino Linotype" w:eastAsia="Palatino Linotype" w:hAnsi="Palatino Linotype" w:cs="Palatino Linotype"/>
          <w:sz w:val="22"/>
          <w:szCs w:val="22"/>
        </w:rPr>
      </w:pPr>
    </w:p>
    <w:p w14:paraId="46A386E3" w14:textId="0A7A9D64" w:rsidR="00CD0E5D" w:rsidRPr="00CD0E5D" w:rsidRDefault="00CD0E5D">
      <w:pPr>
        <w:spacing w:line="360" w:lineRule="auto"/>
        <w:jc w:val="both"/>
        <w:rPr>
          <w:rFonts w:ascii="Palatino Linotype" w:eastAsia="Palatino Linotype" w:hAnsi="Palatino Linotype" w:cs="Palatino Linotype"/>
          <w:sz w:val="22"/>
          <w:szCs w:val="22"/>
        </w:rPr>
      </w:pPr>
    </w:p>
    <w:p w14:paraId="1CF4C086" w14:textId="748A9B2F" w:rsidR="00CD0E5D" w:rsidRPr="00CD0E5D" w:rsidRDefault="00CD0E5D">
      <w:pPr>
        <w:spacing w:line="360" w:lineRule="auto"/>
        <w:jc w:val="both"/>
        <w:rPr>
          <w:rFonts w:ascii="Palatino Linotype" w:eastAsia="Palatino Linotype" w:hAnsi="Palatino Linotype" w:cs="Palatino Linotype"/>
          <w:sz w:val="22"/>
          <w:szCs w:val="22"/>
        </w:rPr>
      </w:pPr>
    </w:p>
    <w:p w14:paraId="0470575C" w14:textId="64D40C82" w:rsidR="00CD0E5D" w:rsidRPr="00CD0E5D" w:rsidRDefault="00CD0E5D">
      <w:pPr>
        <w:spacing w:line="360" w:lineRule="auto"/>
        <w:jc w:val="both"/>
        <w:rPr>
          <w:rFonts w:ascii="Palatino Linotype" w:eastAsia="Palatino Linotype" w:hAnsi="Palatino Linotype" w:cs="Palatino Linotype"/>
          <w:sz w:val="22"/>
          <w:szCs w:val="22"/>
        </w:rPr>
      </w:pPr>
    </w:p>
    <w:p w14:paraId="35F0B7E3" w14:textId="6ECB3F14" w:rsidR="00CD0E5D" w:rsidRPr="00CD0E5D" w:rsidRDefault="00CD0E5D">
      <w:pPr>
        <w:spacing w:line="360" w:lineRule="auto"/>
        <w:jc w:val="both"/>
        <w:rPr>
          <w:rFonts w:ascii="Palatino Linotype" w:eastAsia="Palatino Linotype" w:hAnsi="Palatino Linotype" w:cs="Palatino Linotype"/>
          <w:sz w:val="22"/>
          <w:szCs w:val="22"/>
        </w:rPr>
      </w:pPr>
    </w:p>
    <w:p w14:paraId="063FC447" w14:textId="57597B62" w:rsidR="00CD0E5D" w:rsidRPr="00CD0E5D" w:rsidRDefault="00CD0E5D">
      <w:pPr>
        <w:spacing w:line="360" w:lineRule="auto"/>
        <w:jc w:val="both"/>
        <w:rPr>
          <w:rFonts w:ascii="Palatino Linotype" w:eastAsia="Palatino Linotype" w:hAnsi="Palatino Linotype" w:cs="Palatino Linotype"/>
          <w:sz w:val="22"/>
          <w:szCs w:val="22"/>
        </w:rPr>
      </w:pPr>
    </w:p>
    <w:p w14:paraId="1EDF4328" w14:textId="7620263A" w:rsidR="00CD0E5D" w:rsidRPr="00CD0E5D" w:rsidRDefault="00CD0E5D">
      <w:pPr>
        <w:spacing w:line="360" w:lineRule="auto"/>
        <w:jc w:val="both"/>
        <w:rPr>
          <w:rFonts w:ascii="Palatino Linotype" w:eastAsia="Palatino Linotype" w:hAnsi="Palatino Linotype" w:cs="Palatino Linotype"/>
          <w:sz w:val="22"/>
          <w:szCs w:val="22"/>
        </w:rPr>
      </w:pPr>
    </w:p>
    <w:p w14:paraId="4A6770F6" w14:textId="7D656ACD" w:rsidR="00CD0E5D" w:rsidRPr="00CD0E5D" w:rsidRDefault="00CD0E5D">
      <w:pPr>
        <w:spacing w:line="360" w:lineRule="auto"/>
        <w:jc w:val="both"/>
        <w:rPr>
          <w:rFonts w:ascii="Palatino Linotype" w:eastAsia="Palatino Linotype" w:hAnsi="Palatino Linotype" w:cs="Palatino Linotype"/>
          <w:sz w:val="22"/>
          <w:szCs w:val="22"/>
        </w:rPr>
      </w:pPr>
    </w:p>
    <w:p w14:paraId="36BF27B8" w14:textId="77777777" w:rsidR="00CD0E5D" w:rsidRPr="00CD0E5D" w:rsidRDefault="00CD0E5D">
      <w:pPr>
        <w:spacing w:line="360" w:lineRule="auto"/>
        <w:jc w:val="both"/>
        <w:rPr>
          <w:rFonts w:ascii="Palatino Linotype" w:eastAsia="Palatino Linotype" w:hAnsi="Palatino Linotype" w:cs="Palatino Linotype"/>
          <w:sz w:val="22"/>
          <w:szCs w:val="22"/>
        </w:rPr>
      </w:pPr>
    </w:p>
    <w:p w14:paraId="7463A2DE"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2D6C1137"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25DD3A7B"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33194FCF"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6D178AD8"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3B3667B8"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3135E35F"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7B609211"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42D09F38"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587909B9"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3676EB01"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0B225551"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3F2FB0A2"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23981723"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1CBC5CDA"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0142E773"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7EB5C87E"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1ED97FF0" w14:textId="77777777" w:rsidR="006C2841" w:rsidRPr="00CD0E5D" w:rsidRDefault="006C2841">
      <w:pPr>
        <w:spacing w:line="360" w:lineRule="auto"/>
        <w:jc w:val="both"/>
        <w:rPr>
          <w:rFonts w:ascii="Palatino Linotype" w:eastAsia="Palatino Linotype" w:hAnsi="Palatino Linotype" w:cs="Palatino Linotype"/>
          <w:sz w:val="22"/>
          <w:szCs w:val="22"/>
        </w:rPr>
      </w:pPr>
    </w:p>
    <w:p w14:paraId="190DEA70" w14:textId="77777777" w:rsidR="006C2841" w:rsidRPr="00CD0E5D" w:rsidRDefault="006C2841">
      <w:pPr>
        <w:spacing w:line="360" w:lineRule="auto"/>
        <w:jc w:val="both"/>
        <w:rPr>
          <w:rFonts w:ascii="Palatino Linotype" w:eastAsia="Palatino Linotype" w:hAnsi="Palatino Linotype" w:cs="Palatino Linotype"/>
          <w:sz w:val="22"/>
          <w:szCs w:val="22"/>
        </w:rPr>
      </w:pPr>
    </w:p>
    <w:sectPr w:rsidR="006C2841" w:rsidRPr="00CD0E5D">
      <w:headerReference w:type="default" r:id="rId17"/>
      <w:footerReference w:type="default" r:id="rId18"/>
      <w:headerReference w:type="first" r:id="rId19"/>
      <w:footerReference w:type="first" r:id="rId20"/>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75130" w14:textId="77777777" w:rsidR="002322F1" w:rsidRDefault="002322F1">
      <w:r>
        <w:separator/>
      </w:r>
    </w:p>
  </w:endnote>
  <w:endnote w:type="continuationSeparator" w:id="0">
    <w:p w14:paraId="404BCE3E" w14:textId="77777777" w:rsidR="002322F1" w:rsidRDefault="0023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A7C6F19-E113-4B1D-8596-145E404B20B0}"/>
    <w:embedBold r:id="rId2" w:fontKey="{0A4EF36D-133D-40F1-85D5-119C21977455}"/>
  </w:font>
  <w:font w:name="Cambria">
    <w:panose1 w:val="02040503050406030204"/>
    <w:charset w:val="00"/>
    <w:family w:val="roman"/>
    <w:pitch w:val="variable"/>
    <w:sig w:usb0="E00006FF" w:usb1="420024FF" w:usb2="02000000" w:usb3="00000000" w:csb0="0000019F" w:csb1="00000000"/>
    <w:embedRegular r:id="rId3" w:fontKey="{C74D55A8-0485-4985-82D9-B2C06C6EB1DD}"/>
    <w:embedBold r:id="rId4" w:fontKey="{E3F2F066-4553-43A7-9A09-C5324AD32F11}"/>
    <w:embedBoldItalic r:id="rId5" w:fontKey="{6CA0F5E9-5191-44DF-8733-896174A09DC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F225130C-C363-46E8-B3AF-D370899251B8}"/>
  </w:font>
  <w:font w:name="Georgia">
    <w:panose1 w:val="02040502050405020303"/>
    <w:charset w:val="00"/>
    <w:family w:val="roman"/>
    <w:pitch w:val="variable"/>
    <w:sig w:usb0="00000287" w:usb1="00000000" w:usb2="00000000" w:usb3="00000000" w:csb0="0000009F" w:csb1="00000000"/>
    <w:embedItalic r:id="rId7" w:fontKey="{804E563B-56A5-41EE-A9EF-9F83572D2067}"/>
  </w:font>
  <w:font w:name="Palatino Linotype">
    <w:panose1 w:val="02040502050505030304"/>
    <w:charset w:val="00"/>
    <w:family w:val="roman"/>
    <w:pitch w:val="variable"/>
    <w:sig w:usb0="E0000287" w:usb1="40000013" w:usb2="00000000" w:usb3="00000000" w:csb0="0000019F" w:csb1="00000000"/>
    <w:embedRegular r:id="rId8" w:fontKey="{1C26C22C-6361-4EFA-995B-2173B768FD07}"/>
    <w:embedBold r:id="rId9" w:fontKey="{AC836EBC-8C42-4028-B610-1A24B1FC585A}"/>
    <w:embedItalic r:id="rId10" w:fontKey="{D6E79E04-43DB-4216-BC50-4760C9B869D1}"/>
    <w:embedBoldItalic r:id="rId11" w:fontKey="{824C2BC2-7107-4495-BC01-B92556800D8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816D2" w14:textId="1EB43B0D" w:rsidR="00CF5FD5" w:rsidRDefault="00CF5FD5">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437DB">
      <w:rPr>
        <w:rFonts w:ascii="Palatino Linotype" w:eastAsia="Palatino Linotype" w:hAnsi="Palatino Linotype" w:cs="Palatino Linotype"/>
        <w:b/>
        <w:bCs/>
        <w:noProof/>
        <w:color w:val="000000"/>
        <w:sz w:val="20"/>
        <w:szCs w:val="20"/>
      </w:rPr>
      <w:t>6</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437DB">
      <w:rPr>
        <w:rFonts w:ascii="Palatino Linotype" w:eastAsia="Palatino Linotype" w:hAnsi="Palatino Linotype" w:cs="Palatino Linotype"/>
        <w:b/>
        <w:bCs/>
        <w:noProof/>
        <w:color w:val="000000"/>
        <w:sz w:val="20"/>
        <w:szCs w:val="20"/>
      </w:rPr>
      <w:t>21</w:t>
    </w:r>
    <w:r>
      <w:rPr>
        <w:rFonts w:ascii="Palatino Linotype" w:eastAsia="Palatino Linotype" w:hAnsi="Palatino Linotype" w:cs="Palatino Linotype"/>
        <w:b/>
        <w:bCs/>
        <w:color w:val="000000"/>
        <w:sz w:val="20"/>
        <w:szCs w:val="20"/>
      </w:rPr>
      <w:fldChar w:fldCharType="end"/>
    </w:r>
  </w:p>
  <w:p w14:paraId="01F04B30" w14:textId="77777777" w:rsidR="00CF5FD5" w:rsidRDefault="00CF5FD5">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7EB4E" w14:textId="2B05B81D" w:rsidR="00CF5FD5" w:rsidRDefault="00CF5FD5">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437DB">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437DB">
      <w:rPr>
        <w:rFonts w:ascii="Palatino Linotype" w:eastAsia="Palatino Linotype" w:hAnsi="Palatino Linotype" w:cs="Palatino Linotype"/>
        <w:b/>
        <w:bCs/>
        <w:noProof/>
        <w:color w:val="000000"/>
        <w:sz w:val="20"/>
        <w:szCs w:val="20"/>
      </w:rPr>
      <w:t>21</w:t>
    </w:r>
    <w:r>
      <w:rPr>
        <w:rFonts w:ascii="Palatino Linotype" w:eastAsia="Palatino Linotype" w:hAnsi="Palatino Linotype" w:cs="Palatino Linotype"/>
        <w:b/>
        <w:bCs/>
        <w:color w:val="000000"/>
        <w:sz w:val="20"/>
        <w:szCs w:val="20"/>
      </w:rPr>
      <w:fldChar w:fldCharType="end"/>
    </w:r>
  </w:p>
  <w:p w14:paraId="2D6AC822" w14:textId="77777777" w:rsidR="00CF5FD5" w:rsidRDefault="00CF5FD5">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E2E27" w14:textId="77777777" w:rsidR="002322F1" w:rsidRDefault="002322F1">
      <w:r>
        <w:separator/>
      </w:r>
    </w:p>
  </w:footnote>
  <w:footnote w:type="continuationSeparator" w:id="0">
    <w:p w14:paraId="1976522B" w14:textId="77777777" w:rsidR="002322F1" w:rsidRDefault="002322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9673E" w14:textId="77777777" w:rsidR="00CF5FD5" w:rsidRDefault="00CF5FD5">
    <w:pPr>
      <w:rPr>
        <w:rFonts w:ascii="Cambria" w:eastAsia="Cambria" w:hAnsi="Cambria" w:cs="Cambria"/>
        <w:color w:val="000000"/>
      </w:rPr>
    </w:pPr>
    <w:r>
      <w:rPr>
        <w:noProof/>
      </w:rPr>
      <w:drawing>
        <wp:anchor distT="0" distB="0" distL="0" distR="0" simplePos="0" relativeHeight="251658240" behindDoc="1" locked="0" layoutInCell="1" hidden="0" allowOverlap="1" wp14:anchorId="5D0FC80F" wp14:editId="417AC5B6">
          <wp:simplePos x="0" y="0"/>
          <wp:positionH relativeFrom="column">
            <wp:posOffset>-1080089</wp:posOffset>
          </wp:positionH>
          <wp:positionV relativeFrom="paragraph">
            <wp:posOffset>-488259</wp:posOffset>
          </wp:positionV>
          <wp:extent cx="7809865" cy="1016571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e"/>
      <w:tblW w:w="5953" w:type="dxa"/>
      <w:tblInd w:w="3261" w:type="dxa"/>
      <w:tblLayout w:type="fixed"/>
      <w:tblLook w:val="0400" w:firstRow="0" w:lastRow="0" w:firstColumn="0" w:lastColumn="0" w:noHBand="0" w:noVBand="1"/>
    </w:tblPr>
    <w:tblGrid>
      <w:gridCol w:w="2489"/>
      <w:gridCol w:w="3464"/>
    </w:tblGrid>
    <w:tr w:rsidR="00CF5FD5" w14:paraId="642E7B73" w14:textId="77777777">
      <w:tc>
        <w:tcPr>
          <w:tcW w:w="2489" w:type="dxa"/>
        </w:tcPr>
        <w:p w14:paraId="2D7A8613" w14:textId="77777777" w:rsidR="00CF5FD5" w:rsidRDefault="00CF5FD5">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464" w:type="dxa"/>
          <w:vAlign w:val="center"/>
        </w:tcPr>
        <w:p w14:paraId="5076447E" w14:textId="07803ADC" w:rsidR="00CF5FD5" w:rsidRDefault="00CF5FD5">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13804/INFOEM/IP/RR/2025</w:t>
          </w:r>
        </w:p>
      </w:tc>
    </w:tr>
    <w:tr w:rsidR="00CF5FD5" w14:paraId="75C891B3" w14:textId="77777777">
      <w:trPr>
        <w:trHeight w:val="228"/>
      </w:trPr>
      <w:tc>
        <w:tcPr>
          <w:tcW w:w="2489" w:type="dxa"/>
          <w:vAlign w:val="center"/>
        </w:tcPr>
        <w:p w14:paraId="6642D746" w14:textId="77777777" w:rsidR="00CF5FD5" w:rsidRDefault="00CF5FD5">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464" w:type="dxa"/>
          <w:vAlign w:val="center"/>
        </w:tcPr>
        <w:p w14:paraId="2D4972DF" w14:textId="5F2D3F51" w:rsidR="00CF5FD5" w:rsidRDefault="00CF5FD5">
          <w:pPr>
            <w:ind w:left="-45" w:right="176"/>
            <w:jc w:val="both"/>
            <w:rPr>
              <w:rFonts w:ascii="Palatino Linotype" w:eastAsia="Palatino Linotype" w:hAnsi="Palatino Linotype" w:cs="Palatino Linotype"/>
              <w:b/>
              <w:bCs/>
              <w:sz w:val="22"/>
              <w:szCs w:val="22"/>
            </w:rPr>
          </w:pPr>
          <w:r w:rsidRPr="00151514">
            <w:rPr>
              <w:rFonts w:ascii="Palatino Linotype" w:eastAsia="Palatino Linotype" w:hAnsi="Palatino Linotype" w:cs="Palatino Linotype"/>
              <w:b/>
              <w:bCs/>
              <w:sz w:val="22"/>
              <w:szCs w:val="22"/>
            </w:rPr>
            <w:t>Poder Legislativo</w:t>
          </w:r>
        </w:p>
      </w:tc>
    </w:tr>
    <w:tr w:rsidR="00CF5FD5" w14:paraId="3E6DF6DA" w14:textId="77777777">
      <w:tc>
        <w:tcPr>
          <w:tcW w:w="2489" w:type="dxa"/>
          <w:vAlign w:val="center"/>
        </w:tcPr>
        <w:p w14:paraId="2A8A852D" w14:textId="77777777" w:rsidR="00CF5FD5" w:rsidRDefault="00CF5FD5">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464" w:type="dxa"/>
          <w:vAlign w:val="center"/>
        </w:tcPr>
        <w:p w14:paraId="1F23E0A6" w14:textId="77777777" w:rsidR="00CF5FD5" w:rsidRDefault="00CF5FD5">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1BA3EC07" w14:textId="77777777" w:rsidR="00CF5FD5" w:rsidRDefault="00CF5FD5">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38701" w14:textId="092E9364" w:rsidR="00CF5FD5" w:rsidRDefault="00CF5FD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tbl>
    <w:tblPr>
      <w:tblStyle w:val="afff"/>
      <w:tblW w:w="5953" w:type="dxa"/>
      <w:tblInd w:w="3261" w:type="dxa"/>
      <w:tblLayout w:type="fixed"/>
      <w:tblLook w:val="0400" w:firstRow="0" w:lastRow="0" w:firstColumn="0" w:lastColumn="0" w:noHBand="0" w:noVBand="1"/>
    </w:tblPr>
    <w:tblGrid>
      <w:gridCol w:w="2489"/>
      <w:gridCol w:w="3464"/>
    </w:tblGrid>
    <w:tr w:rsidR="00CF5FD5" w14:paraId="0F301C2B" w14:textId="77777777">
      <w:tc>
        <w:tcPr>
          <w:tcW w:w="2489" w:type="dxa"/>
        </w:tcPr>
        <w:p w14:paraId="5BFEFDDD" w14:textId="77777777" w:rsidR="00CF5FD5" w:rsidRDefault="00CF5FD5">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464" w:type="dxa"/>
          <w:vAlign w:val="center"/>
        </w:tcPr>
        <w:p w14:paraId="605DF295" w14:textId="3F146EF5" w:rsidR="00CF5FD5" w:rsidRDefault="00CF5FD5">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13804/INFOEM/IP/RR/2025</w:t>
          </w:r>
        </w:p>
      </w:tc>
    </w:tr>
    <w:tr w:rsidR="00CF5FD5" w14:paraId="4EF0FECC" w14:textId="77777777">
      <w:tc>
        <w:tcPr>
          <w:tcW w:w="2489" w:type="dxa"/>
        </w:tcPr>
        <w:p w14:paraId="43B54F86" w14:textId="77777777" w:rsidR="00CF5FD5" w:rsidRDefault="00CF5FD5">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3464" w:type="dxa"/>
          <w:vAlign w:val="center"/>
        </w:tcPr>
        <w:p w14:paraId="1DB8A079" w14:textId="1CFD7B6C" w:rsidR="00CF5FD5" w:rsidRDefault="00CF5FD5" w:rsidP="00E437DB">
          <w:pPr>
            <w:ind w:right="175"/>
            <w:jc w:val="both"/>
            <w:rPr>
              <w:rFonts w:ascii="Palatino Linotype" w:eastAsia="Palatino Linotype" w:hAnsi="Palatino Linotype" w:cs="Palatino Linotype"/>
              <w:b/>
              <w:bCs/>
              <w:sz w:val="22"/>
              <w:szCs w:val="22"/>
              <w:highlight w:val="yellow"/>
            </w:rPr>
          </w:pPr>
          <w:r>
            <w:rPr>
              <w:noProof/>
            </w:rPr>
            <w:drawing>
              <wp:anchor distT="0" distB="0" distL="0" distR="0" simplePos="0" relativeHeight="251659264" behindDoc="1" locked="0" layoutInCell="1" hidden="0" allowOverlap="1" wp14:anchorId="1DFF9DED" wp14:editId="4DACD7F2">
                <wp:simplePos x="0" y="0"/>
                <wp:positionH relativeFrom="column">
                  <wp:posOffset>-4799965</wp:posOffset>
                </wp:positionH>
                <wp:positionV relativeFrom="paragraph">
                  <wp:posOffset>-735330</wp:posOffset>
                </wp:positionV>
                <wp:extent cx="7809865" cy="1016571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sidR="00E437DB">
            <w:rPr>
              <w:rFonts w:ascii="Palatino Linotype" w:eastAsia="Palatino Linotype" w:hAnsi="Palatino Linotype" w:cs="Palatino Linotype"/>
              <w:b/>
              <w:bCs/>
              <w:sz w:val="22"/>
              <w:szCs w:val="22"/>
            </w:rPr>
            <w:t xml:space="preserve">XXXXX XXXXXXXXX </w:t>
          </w:r>
        </w:p>
      </w:tc>
    </w:tr>
    <w:tr w:rsidR="00CF5FD5" w14:paraId="3B60E81D" w14:textId="77777777">
      <w:trPr>
        <w:trHeight w:val="228"/>
      </w:trPr>
      <w:tc>
        <w:tcPr>
          <w:tcW w:w="2489" w:type="dxa"/>
          <w:vAlign w:val="center"/>
        </w:tcPr>
        <w:p w14:paraId="0E6BC4D5" w14:textId="77777777" w:rsidR="00CF5FD5" w:rsidRDefault="00CF5FD5">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464" w:type="dxa"/>
          <w:vAlign w:val="center"/>
        </w:tcPr>
        <w:p w14:paraId="576AE85C" w14:textId="4C01F960" w:rsidR="00CF5FD5" w:rsidRDefault="00CF5FD5">
          <w:pPr>
            <w:ind w:left="-45" w:right="176"/>
            <w:jc w:val="both"/>
            <w:rPr>
              <w:rFonts w:ascii="Palatino Linotype" w:eastAsia="Palatino Linotype" w:hAnsi="Palatino Linotype" w:cs="Palatino Linotype"/>
              <w:b/>
              <w:bCs/>
              <w:sz w:val="22"/>
              <w:szCs w:val="22"/>
            </w:rPr>
          </w:pPr>
          <w:r w:rsidRPr="00151514">
            <w:rPr>
              <w:rFonts w:ascii="Palatino Linotype" w:eastAsia="Palatino Linotype" w:hAnsi="Palatino Linotype" w:cs="Palatino Linotype"/>
              <w:b/>
              <w:bCs/>
              <w:sz w:val="22"/>
              <w:szCs w:val="22"/>
            </w:rPr>
            <w:t>Poder Legislativo</w:t>
          </w:r>
        </w:p>
      </w:tc>
    </w:tr>
    <w:tr w:rsidR="00CF5FD5" w14:paraId="38920365" w14:textId="77777777">
      <w:tc>
        <w:tcPr>
          <w:tcW w:w="2489" w:type="dxa"/>
          <w:vAlign w:val="center"/>
        </w:tcPr>
        <w:p w14:paraId="0FB58072" w14:textId="77777777" w:rsidR="00CF5FD5" w:rsidRDefault="00CF5FD5">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464" w:type="dxa"/>
          <w:vAlign w:val="center"/>
        </w:tcPr>
        <w:p w14:paraId="410D5C12" w14:textId="77777777" w:rsidR="00CF5FD5" w:rsidRDefault="00CF5FD5">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5498FFE6" w14:textId="77777777" w:rsidR="00CF5FD5" w:rsidRDefault="00CF5FD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C3ACF"/>
    <w:multiLevelType w:val="multilevel"/>
    <w:tmpl w:val="D3C2437A"/>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69F5480"/>
    <w:multiLevelType w:val="multilevel"/>
    <w:tmpl w:val="149E3BF8"/>
    <w:lvl w:ilvl="0">
      <w:start w:val="1"/>
      <w:numFmt w:val="decimal"/>
      <w:pStyle w:val="Listaconvietas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841"/>
    <w:rsid w:val="0004059C"/>
    <w:rsid w:val="000701E5"/>
    <w:rsid w:val="000902CA"/>
    <w:rsid w:val="0010075D"/>
    <w:rsid w:val="00113699"/>
    <w:rsid w:val="00120878"/>
    <w:rsid w:val="00151514"/>
    <w:rsid w:val="0019327A"/>
    <w:rsid w:val="001940D4"/>
    <w:rsid w:val="001B6387"/>
    <w:rsid w:val="0020252C"/>
    <w:rsid w:val="002322F1"/>
    <w:rsid w:val="00253F79"/>
    <w:rsid w:val="002F2E3E"/>
    <w:rsid w:val="00393916"/>
    <w:rsid w:val="00395BD8"/>
    <w:rsid w:val="003C4119"/>
    <w:rsid w:val="003C5C22"/>
    <w:rsid w:val="00460534"/>
    <w:rsid w:val="00462843"/>
    <w:rsid w:val="004C2466"/>
    <w:rsid w:val="004C69D6"/>
    <w:rsid w:val="004D6423"/>
    <w:rsid w:val="004F0B7A"/>
    <w:rsid w:val="00596DE7"/>
    <w:rsid w:val="005E4603"/>
    <w:rsid w:val="00615F38"/>
    <w:rsid w:val="00656610"/>
    <w:rsid w:val="006A149D"/>
    <w:rsid w:val="006B3541"/>
    <w:rsid w:val="006C2841"/>
    <w:rsid w:val="006F4E3B"/>
    <w:rsid w:val="006F4E99"/>
    <w:rsid w:val="0070449F"/>
    <w:rsid w:val="007956D6"/>
    <w:rsid w:val="00805CD5"/>
    <w:rsid w:val="008B7E8F"/>
    <w:rsid w:val="008C53D4"/>
    <w:rsid w:val="008F0A4B"/>
    <w:rsid w:val="00925A6A"/>
    <w:rsid w:val="00972BAC"/>
    <w:rsid w:val="00982750"/>
    <w:rsid w:val="00997C0C"/>
    <w:rsid w:val="009D60E9"/>
    <w:rsid w:val="009E7B3B"/>
    <w:rsid w:val="009F0E7A"/>
    <w:rsid w:val="00A245B4"/>
    <w:rsid w:val="00A86B8B"/>
    <w:rsid w:val="00A90FE0"/>
    <w:rsid w:val="00B11A31"/>
    <w:rsid w:val="00B50FFE"/>
    <w:rsid w:val="00B94E09"/>
    <w:rsid w:val="00BC20E3"/>
    <w:rsid w:val="00C0609B"/>
    <w:rsid w:val="00C9757E"/>
    <w:rsid w:val="00CC4A22"/>
    <w:rsid w:val="00CC503F"/>
    <w:rsid w:val="00CD04E8"/>
    <w:rsid w:val="00CD0E5D"/>
    <w:rsid w:val="00CF5FD5"/>
    <w:rsid w:val="00D06478"/>
    <w:rsid w:val="00D21581"/>
    <w:rsid w:val="00D31806"/>
    <w:rsid w:val="00D901C0"/>
    <w:rsid w:val="00E437DB"/>
    <w:rsid w:val="00E82CE5"/>
    <w:rsid w:val="00EC6F95"/>
    <w:rsid w:val="00F60E61"/>
    <w:rsid w:val="00F77685"/>
    <w:rsid w:val="00F866DF"/>
    <w:rsid w:val="00F94DCD"/>
    <w:rsid w:val="00FF1D90"/>
    <w:rsid w:val="00FF2E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7159"/>
  <w15:docId w15:val="{226AEDDE-E89A-419F-8D24-26C1DE86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a">
    <w:basedOn w:val="TableNormalf3"/>
    <w:tblPr>
      <w:tblStyleRowBandSize w:val="1"/>
      <w:tblStyleColBandSize w:val="1"/>
      <w:tblCellMar>
        <w:left w:w="115" w:type="dxa"/>
        <w:right w:w="115" w:type="dxa"/>
      </w:tblCellMar>
    </w:tblPr>
  </w:style>
  <w:style w:type="table" w:customStyle="1" w:styleId="a0">
    <w:basedOn w:val="TableNormalf3"/>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3"/>
    <w:tblPr>
      <w:tblStyleRowBandSize w:val="1"/>
      <w:tblStyleColBandSize w:val="1"/>
      <w:tblCellMar>
        <w:left w:w="115" w:type="dxa"/>
        <w:right w:w="115" w:type="dxa"/>
      </w:tblCellMar>
    </w:tblPr>
  </w:style>
  <w:style w:type="table" w:customStyle="1" w:styleId="a2">
    <w:basedOn w:val="TableNormalf3"/>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2"/>
    <w:tblPr>
      <w:tblStyleRowBandSize w:val="1"/>
      <w:tblStyleColBandSize w:val="1"/>
      <w:tblCellMar>
        <w:left w:w="115" w:type="dxa"/>
        <w:right w:w="115" w:type="dxa"/>
      </w:tblCellMar>
    </w:tblPr>
  </w:style>
  <w:style w:type="table" w:customStyle="1" w:styleId="a4">
    <w:basedOn w:val="TableNormalf2"/>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1"/>
    <w:tblPr>
      <w:tblStyleRowBandSize w:val="1"/>
      <w:tblStyleColBandSize w:val="1"/>
      <w:tblCellMar>
        <w:left w:w="108" w:type="dxa"/>
        <w:right w:w="108" w:type="dxa"/>
      </w:tblCellMar>
    </w:tblPr>
  </w:style>
  <w:style w:type="table" w:customStyle="1" w:styleId="a6">
    <w:basedOn w:val="TableNormalf1"/>
    <w:tblPr>
      <w:tblStyleRowBandSize w:val="1"/>
      <w:tblStyleColBandSize w:val="1"/>
      <w:tblCellMar>
        <w:left w:w="108" w:type="dxa"/>
        <w:right w:w="108" w:type="dxa"/>
      </w:tblCellMar>
    </w:tblPr>
  </w:style>
  <w:style w:type="table" w:customStyle="1" w:styleId="a7">
    <w:basedOn w:val="TableNormalf1"/>
    <w:tblPr>
      <w:tblStyleRowBandSize w:val="1"/>
      <w:tblStyleColBandSize w:val="1"/>
      <w:tblCellMar>
        <w:left w:w="108" w:type="dxa"/>
        <w:right w:w="108" w:type="dxa"/>
      </w:tblCellMar>
    </w:tblPr>
  </w:style>
  <w:style w:type="table" w:customStyle="1" w:styleId="a8">
    <w:basedOn w:val="TableNormalf1"/>
    <w:tblPr>
      <w:tblStyleRowBandSize w:val="1"/>
      <w:tblStyleColBandSize w:val="1"/>
      <w:tblCellMar>
        <w:left w:w="108" w:type="dxa"/>
        <w:right w:w="108" w:type="dxa"/>
      </w:tblCellMar>
    </w:tblPr>
  </w:style>
  <w:style w:type="table" w:customStyle="1" w:styleId="a9">
    <w:basedOn w:val="TableNormalf1"/>
    <w:tblPr>
      <w:tblStyleRowBandSize w:val="1"/>
      <w:tblStyleColBandSize w:val="1"/>
      <w:tblCellMar>
        <w:left w:w="108" w:type="dxa"/>
        <w:right w:w="108" w:type="dxa"/>
      </w:tblCellMar>
    </w:tblPr>
  </w:style>
  <w:style w:type="table" w:customStyle="1" w:styleId="aa">
    <w:basedOn w:val="TableNormalf1"/>
    <w:tblPr>
      <w:tblStyleRowBandSize w:val="1"/>
      <w:tblStyleColBandSize w:val="1"/>
      <w:tblCellMar>
        <w:left w:w="115" w:type="dxa"/>
        <w:right w:w="115" w:type="dxa"/>
      </w:tblCellMar>
    </w:tblPr>
  </w:style>
  <w:style w:type="table" w:customStyle="1" w:styleId="ab">
    <w:basedOn w:val="TableNormalf1"/>
    <w:tblPr>
      <w:tblStyleRowBandSize w:val="1"/>
      <w:tblStyleColBandSize w:val="1"/>
      <w:tblCellMar>
        <w:left w:w="115" w:type="dxa"/>
        <w:right w:w="115" w:type="dxa"/>
      </w:tblCellMar>
    </w:tblPr>
  </w:style>
  <w:style w:type="table" w:customStyle="1" w:styleId="ac">
    <w:basedOn w:val="TableNormalf0"/>
    <w:tblPr>
      <w:tblStyleRowBandSize w:val="1"/>
      <w:tblStyleColBandSize w:val="1"/>
      <w:tblCellMar>
        <w:left w:w="108" w:type="dxa"/>
        <w:right w:w="108" w:type="dxa"/>
      </w:tblCellMar>
    </w:tblPr>
  </w:style>
  <w:style w:type="table" w:customStyle="1" w:styleId="ad">
    <w:basedOn w:val="TableNormalf0"/>
    <w:tblPr>
      <w:tblStyleRowBandSize w:val="1"/>
      <w:tblStyleColBandSize w:val="1"/>
      <w:tblCellMar>
        <w:left w:w="115" w:type="dxa"/>
        <w:right w:w="115" w:type="dxa"/>
      </w:tblCellMar>
    </w:tblPr>
  </w:style>
  <w:style w:type="table" w:customStyle="1" w:styleId="ae">
    <w:basedOn w:val="TableNormalf0"/>
    <w:tblPr>
      <w:tblStyleRowBandSize w:val="1"/>
      <w:tblStyleColBandSize w:val="1"/>
      <w:tblCellMar>
        <w:left w:w="115" w:type="dxa"/>
        <w:right w:w="115" w:type="dxa"/>
      </w:tblCellMar>
    </w:tblPr>
  </w:style>
  <w:style w:type="table" w:customStyle="1" w:styleId="af">
    <w:basedOn w:val="TableNormalf"/>
    <w:tblPr>
      <w:tblStyleRowBandSize w:val="1"/>
      <w:tblStyleColBandSize w:val="1"/>
      <w:tblCellMar>
        <w:left w:w="115" w:type="dxa"/>
        <w:right w:w="115" w:type="dxa"/>
      </w:tblCellMar>
    </w:tblPr>
  </w:style>
  <w:style w:type="table" w:customStyle="1" w:styleId="af0">
    <w:basedOn w:val="TableNormalf"/>
    <w:tblPr>
      <w:tblStyleRowBandSize w:val="1"/>
      <w:tblStyleColBandSize w:val="1"/>
      <w:tblCellMar>
        <w:left w:w="115" w:type="dxa"/>
        <w:right w:w="115" w:type="dxa"/>
      </w:tblCellMar>
    </w:tblPr>
  </w:style>
  <w:style w:type="table" w:customStyle="1" w:styleId="af1">
    <w:basedOn w:val="TableNormalf"/>
    <w:tblPr>
      <w:tblStyleRowBandSize w:val="1"/>
      <w:tblStyleColBandSize w:val="1"/>
      <w:tblCellMar>
        <w:left w:w="115" w:type="dxa"/>
        <w:right w:w="115" w:type="dxa"/>
      </w:tblCellMar>
    </w:tblPr>
  </w:style>
  <w:style w:type="table" w:customStyle="1" w:styleId="af2">
    <w:basedOn w:val="TableNormale"/>
    <w:tblPr>
      <w:tblStyleRowBandSize w:val="1"/>
      <w:tblStyleColBandSize w:val="1"/>
      <w:tblCellMar>
        <w:left w:w="115" w:type="dxa"/>
        <w:right w:w="115" w:type="dxa"/>
      </w:tblCellMar>
    </w:tblPr>
  </w:style>
  <w:style w:type="table" w:customStyle="1" w:styleId="af3">
    <w:basedOn w:val="TableNormale"/>
    <w:tblPr>
      <w:tblStyleRowBandSize w:val="1"/>
      <w:tblStyleColBandSize w:val="1"/>
      <w:tblCellMar>
        <w:left w:w="115" w:type="dxa"/>
        <w:right w:w="115" w:type="dxa"/>
      </w:tblCellMar>
    </w:tblPr>
  </w:style>
  <w:style w:type="table" w:customStyle="1" w:styleId="af4">
    <w:basedOn w:val="TableNormald"/>
    <w:tblPr>
      <w:tblStyleRowBandSize w:val="1"/>
      <w:tblStyleColBandSize w:val="1"/>
      <w:tblCellMar>
        <w:left w:w="115" w:type="dxa"/>
        <w:right w:w="115" w:type="dxa"/>
      </w:tblCellMar>
    </w:tblPr>
  </w:style>
  <w:style w:type="table" w:customStyle="1" w:styleId="af5">
    <w:basedOn w:val="TableNormald"/>
    <w:tblPr>
      <w:tblStyleRowBandSize w:val="1"/>
      <w:tblStyleColBandSize w:val="1"/>
      <w:tblCellMar>
        <w:left w:w="115" w:type="dxa"/>
        <w:right w:w="115" w:type="dxa"/>
      </w:tblCellMar>
    </w:tblPr>
  </w:style>
  <w:style w:type="table" w:customStyle="1" w:styleId="af6">
    <w:basedOn w:val="TableNormalc"/>
    <w:tblPr>
      <w:tblStyleRowBandSize w:val="1"/>
      <w:tblStyleColBandSize w:val="1"/>
      <w:tblCellMar>
        <w:left w:w="115" w:type="dxa"/>
        <w:right w:w="115" w:type="dxa"/>
      </w:tblCellMar>
    </w:tblPr>
  </w:style>
  <w:style w:type="table" w:customStyle="1" w:styleId="af7">
    <w:basedOn w:val="TableNormalc"/>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b"/>
    <w:tblPr>
      <w:tblStyleRowBandSize w:val="1"/>
      <w:tblStyleColBandSize w:val="1"/>
      <w:tblCellMar>
        <w:left w:w="115" w:type="dxa"/>
        <w:right w:w="115" w:type="dxa"/>
      </w:tblCellMar>
    </w:tblPr>
  </w:style>
  <w:style w:type="table" w:customStyle="1" w:styleId="af9">
    <w:basedOn w:val="TableNormalb"/>
    <w:tblPr>
      <w:tblStyleRowBandSize w:val="1"/>
      <w:tblStyleColBandSize w:val="1"/>
      <w:tblCellMar>
        <w:left w:w="115" w:type="dxa"/>
        <w:right w:w="115" w:type="dxa"/>
      </w:tblCellMar>
    </w:tblPr>
  </w:style>
  <w:style w:type="table" w:customStyle="1" w:styleId="afa">
    <w:basedOn w:val="TableNormala"/>
    <w:tblPr>
      <w:tblStyleRowBandSize w:val="1"/>
      <w:tblStyleColBandSize w:val="1"/>
      <w:tblCellMar>
        <w:left w:w="115" w:type="dxa"/>
        <w:right w:w="115" w:type="dxa"/>
      </w:tblCellMar>
    </w:tblPr>
  </w:style>
  <w:style w:type="table" w:customStyle="1" w:styleId="afb">
    <w:basedOn w:val="TableNormala"/>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left w:w="115" w:type="dxa"/>
        <w:right w:w="115" w:type="dxa"/>
      </w:tblCellMar>
    </w:tblPr>
  </w:style>
  <w:style w:type="table" w:customStyle="1" w:styleId="afe">
    <w:basedOn w:val="TableNormal8"/>
    <w:tblPr>
      <w:tblStyleRowBandSize w:val="1"/>
      <w:tblStyleColBandSize w:val="1"/>
      <w:tblCellMar>
        <w:left w:w="115" w:type="dxa"/>
        <w:right w:w="115" w:type="dxa"/>
      </w:tblCellMar>
    </w:tblPr>
  </w:style>
  <w:style w:type="table" w:customStyle="1" w:styleId="aff">
    <w:basedOn w:val="TableNormal8"/>
    <w:tblPr>
      <w:tblStyleRowBandSize w:val="1"/>
      <w:tblStyleColBandSize w:val="1"/>
      <w:tblCellMar>
        <w:left w:w="115" w:type="dxa"/>
        <w:right w:w="115" w:type="dxa"/>
      </w:tblCellMar>
    </w:tblPr>
  </w:style>
  <w:style w:type="table" w:customStyle="1" w:styleId="aff0">
    <w:basedOn w:val="TableNormal7"/>
    <w:tblPr>
      <w:tblStyleRowBandSize w:val="1"/>
      <w:tblStyleColBandSize w:val="1"/>
      <w:tblCellMar>
        <w:left w:w="115" w:type="dxa"/>
        <w:right w:w="115" w:type="dxa"/>
      </w:tblCellMar>
    </w:tblPr>
  </w:style>
  <w:style w:type="table" w:customStyle="1" w:styleId="aff1">
    <w:basedOn w:val="TableNormal7"/>
    <w:tblPr>
      <w:tblStyleRowBandSize w:val="1"/>
      <w:tblStyleColBandSize w:val="1"/>
      <w:tblCellMar>
        <w:left w:w="115" w:type="dxa"/>
        <w:right w:w="115" w:type="dxa"/>
      </w:tblCellMar>
    </w:tblPr>
  </w:style>
  <w:style w:type="table" w:customStyle="1" w:styleId="aff2">
    <w:basedOn w:val="TableNormal6"/>
    <w:tblPr>
      <w:tblStyleRowBandSize w:val="1"/>
      <w:tblStyleColBandSize w:val="1"/>
      <w:tblCellMar>
        <w:left w:w="115" w:type="dxa"/>
        <w:right w:w="115" w:type="dxa"/>
      </w:tblCellMar>
    </w:tblPr>
  </w:style>
  <w:style w:type="table" w:customStyle="1" w:styleId="aff3">
    <w:basedOn w:val="TableNormal6"/>
    <w:tblPr>
      <w:tblStyleRowBandSize w:val="1"/>
      <w:tblStyleColBandSize w:val="1"/>
      <w:tblCellMar>
        <w:left w:w="115" w:type="dxa"/>
        <w:right w:w="115" w:type="dxa"/>
      </w:tblCellMar>
    </w:tblPr>
  </w:style>
  <w:style w:type="table" w:customStyle="1" w:styleId="aff4">
    <w:basedOn w:val="TableNormal5"/>
    <w:tblPr>
      <w:tblStyleRowBandSize w:val="1"/>
      <w:tblStyleColBandSize w:val="1"/>
      <w:tblCellMar>
        <w:left w:w="115" w:type="dxa"/>
        <w:right w:w="115" w:type="dxa"/>
      </w:tblCellMar>
    </w:tblPr>
  </w:style>
  <w:style w:type="table" w:customStyle="1" w:styleId="aff5">
    <w:basedOn w:val="TableNormal5"/>
    <w:tblPr>
      <w:tblStyleRowBandSize w:val="1"/>
      <w:tblStyleColBandSize w:val="1"/>
      <w:tblCellMar>
        <w:left w:w="115" w:type="dxa"/>
        <w:right w:w="115" w:type="dxa"/>
      </w:tblCellMar>
    </w:tblPr>
  </w:style>
  <w:style w:type="table" w:customStyle="1" w:styleId="aff6">
    <w:basedOn w:val="TableNormal4"/>
    <w:tblPr>
      <w:tblStyleRowBandSize w:val="1"/>
      <w:tblStyleColBandSize w:val="1"/>
      <w:tblCellMar>
        <w:left w:w="115" w:type="dxa"/>
        <w:right w:w="115" w:type="dxa"/>
      </w:tblCellMar>
    </w:tblPr>
  </w:style>
  <w:style w:type="table" w:customStyle="1" w:styleId="aff7">
    <w:basedOn w:val="TableNormal4"/>
    <w:tblPr>
      <w:tblStyleRowBandSize w:val="1"/>
      <w:tblStyleColBandSize w:val="1"/>
      <w:tblCellMar>
        <w:left w:w="115" w:type="dxa"/>
        <w:right w:w="115" w:type="dxa"/>
      </w:tblCellMar>
    </w:tblPr>
  </w:style>
  <w:style w:type="table" w:customStyle="1" w:styleId="aff8">
    <w:basedOn w:val="TableNormal3"/>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paragraph" w:styleId="Lista">
    <w:name w:val="List"/>
    <w:basedOn w:val="Normal"/>
    <w:uiPriority w:val="99"/>
    <w:unhideWhenUsed/>
    <w:rsid w:val="00AD21B4"/>
    <w:pPr>
      <w:ind w:left="283" w:hanging="283"/>
      <w:contextualSpacing/>
    </w:pPr>
  </w:style>
  <w:style w:type="paragraph" w:styleId="Lista2">
    <w:name w:val="List 2"/>
    <w:basedOn w:val="Normal"/>
    <w:uiPriority w:val="99"/>
    <w:unhideWhenUsed/>
    <w:rsid w:val="00AD21B4"/>
    <w:pPr>
      <w:ind w:left="566" w:hanging="283"/>
      <w:contextualSpacing/>
    </w:pPr>
  </w:style>
  <w:style w:type="paragraph" w:styleId="Lista3">
    <w:name w:val="List 3"/>
    <w:basedOn w:val="Normal"/>
    <w:uiPriority w:val="99"/>
    <w:unhideWhenUsed/>
    <w:rsid w:val="00AD21B4"/>
    <w:pPr>
      <w:ind w:left="849" w:hanging="283"/>
      <w:contextualSpacing/>
    </w:pPr>
  </w:style>
  <w:style w:type="paragraph" w:styleId="Lista4">
    <w:name w:val="List 4"/>
    <w:basedOn w:val="Normal"/>
    <w:uiPriority w:val="99"/>
    <w:unhideWhenUsed/>
    <w:rsid w:val="00AD21B4"/>
    <w:pPr>
      <w:ind w:left="1132" w:hanging="283"/>
      <w:contextualSpacing/>
    </w:pPr>
  </w:style>
  <w:style w:type="paragraph" w:styleId="Lista5">
    <w:name w:val="List 5"/>
    <w:basedOn w:val="Normal"/>
    <w:uiPriority w:val="99"/>
    <w:unhideWhenUsed/>
    <w:rsid w:val="00AD21B4"/>
    <w:pPr>
      <w:ind w:left="1415" w:hanging="283"/>
      <w:contextualSpacing/>
    </w:pPr>
  </w:style>
  <w:style w:type="paragraph" w:styleId="Listaconvietas">
    <w:name w:val="List Bullet"/>
    <w:basedOn w:val="Normal"/>
    <w:uiPriority w:val="99"/>
    <w:unhideWhenUsed/>
    <w:rsid w:val="00AD21B4"/>
    <w:pPr>
      <w:numPr>
        <w:numId w:val="2"/>
      </w:numPr>
      <w:contextualSpacing/>
    </w:pPr>
  </w:style>
  <w:style w:type="paragraph" w:styleId="Listaconvietas2">
    <w:name w:val="List Bullet 2"/>
    <w:basedOn w:val="Normal"/>
    <w:uiPriority w:val="99"/>
    <w:unhideWhenUsed/>
    <w:rsid w:val="00AD21B4"/>
    <w:pPr>
      <w:tabs>
        <w:tab w:val="num" w:pos="720"/>
      </w:tabs>
      <w:ind w:left="720" w:hanging="720"/>
      <w:contextualSpacing/>
    </w:pPr>
  </w:style>
  <w:style w:type="paragraph" w:styleId="Textoindependiente">
    <w:name w:val="Body Text"/>
    <w:basedOn w:val="Normal"/>
    <w:link w:val="TextoindependienteCar"/>
    <w:uiPriority w:val="99"/>
    <w:unhideWhenUsed/>
    <w:rsid w:val="00AD21B4"/>
    <w:pPr>
      <w:spacing w:after="120"/>
    </w:pPr>
  </w:style>
  <w:style w:type="character" w:customStyle="1" w:styleId="TextoindependienteCar">
    <w:name w:val="Texto independiente Car"/>
    <w:basedOn w:val="Fuentedeprrafopredeter"/>
    <w:link w:val="Textoindependiente"/>
    <w:uiPriority w:val="99"/>
    <w:rsid w:val="00AD21B4"/>
  </w:style>
  <w:style w:type="paragraph" w:styleId="Sangradetextonormal">
    <w:name w:val="Body Text Indent"/>
    <w:basedOn w:val="Normal"/>
    <w:link w:val="SangradetextonormalCar"/>
    <w:uiPriority w:val="99"/>
    <w:unhideWhenUsed/>
    <w:rsid w:val="00AD21B4"/>
    <w:pPr>
      <w:spacing w:after="120"/>
      <w:ind w:left="283"/>
    </w:pPr>
  </w:style>
  <w:style w:type="character" w:customStyle="1" w:styleId="SangradetextonormalCar">
    <w:name w:val="Sangría de texto normal Car"/>
    <w:basedOn w:val="Fuentedeprrafopredeter"/>
    <w:link w:val="Sangradetextonormal"/>
    <w:uiPriority w:val="99"/>
    <w:rsid w:val="00AD21B4"/>
  </w:style>
  <w:style w:type="paragraph" w:styleId="Textoindependienteprimerasangra2">
    <w:name w:val="Body Text First Indent 2"/>
    <w:basedOn w:val="Sangradetextonormal"/>
    <w:link w:val="Textoindependienteprimerasangra2Car"/>
    <w:uiPriority w:val="99"/>
    <w:unhideWhenUsed/>
    <w:rsid w:val="00AD21B4"/>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D21B4"/>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osfem.gob.mx/assets/fiscalizacion/informes/resultados/2023/municipios/pdf/aytto_acambayderuizcastaneda.pdf" TargetMode="External"/><Relationship Id="rId13" Type="http://schemas.openxmlformats.org/officeDocument/2006/relationships/hyperlink" Target="https://www.osfem.gob.mx/assets/fiscalizacion/informes/resultados/2023/municipios/pdf/aytto_acambayderuizcastaneda.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osfem.gob.mx/assets/fiscalizacion/informes/resultados/2024/auditorias/municipios/aytto_acambayderuizcastaneda.pdf"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osfem.gob.mx/assets/fiscalizacion/informes/resultados/2024/auditorias/municipios/aytto_acambayderuizcastaneda.pdf" TargetMode="External"/><Relationship Id="rId14" Type="http://schemas.openxmlformats.org/officeDocument/2006/relationships/image" Target="media/image4.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vHqCJNaLOqPgUEWf31ZglzVOyA==">CgMxLjAyCWguM3JkY3JqbjIOaC5kYWozajJ4bzZxNjYyCGguZ2pkZ3hzMgloLjNkeTZ2a20yCWguMzBqMHpsbDIOaC45aHZ3ZWwxOTlreHAyCGgudHlqY3d0MgloLjJldDkycDAyCWguMjZpbjFyZzIOaC40Y3hhdTRhbTBycGQyCWguMTdkcDh2dTIIaC5sbnhiejk4AHIhMXl4MC1pTWQ3QmRhNWc1Ty1TckhGaGVRR0ROYVVWaG9t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4683</Words>
  <Characters>25757</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2026-02-27T18:13:00Z</cp:lastPrinted>
  <dcterms:created xsi:type="dcterms:W3CDTF">2026-04-06T22:57:00Z</dcterms:created>
  <dcterms:modified xsi:type="dcterms:W3CDTF">2026-04-06T22:57:00Z</dcterms:modified>
</cp:coreProperties>
</file>