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A8FB2" w14:textId="7EC511C4" w:rsidR="005829DD" w:rsidRPr="007928B4" w:rsidRDefault="005829DD" w:rsidP="005829DD">
      <w:pPr>
        <w:spacing w:before="240" w:after="240"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w:t>
      </w:r>
      <w:r w:rsidR="007928B4">
        <w:rPr>
          <w:rFonts w:ascii="Palatino Linotype" w:eastAsia="Palatino Linotype" w:hAnsi="Palatino Linotype" w:cs="Palatino Linotype"/>
        </w:rPr>
        <w:t xml:space="preserve"> en Metepec, Estado de México, de fecha</w:t>
      </w:r>
      <w:r w:rsidRPr="007928B4">
        <w:rPr>
          <w:rFonts w:ascii="Palatino Linotype" w:eastAsia="Palatino Linotype" w:hAnsi="Palatino Linotype" w:cs="Palatino Linotype"/>
        </w:rPr>
        <w:t xml:space="preserve"> </w:t>
      </w:r>
      <w:r w:rsidR="00051DE5" w:rsidRPr="007928B4">
        <w:rPr>
          <w:rFonts w:ascii="Palatino Linotype" w:eastAsia="Palatino Linotype" w:hAnsi="Palatino Linotype" w:cs="Palatino Linotype"/>
          <w:b/>
        </w:rPr>
        <w:t>veinte</w:t>
      </w:r>
      <w:r w:rsidR="007D6A1A" w:rsidRPr="007928B4">
        <w:rPr>
          <w:rFonts w:ascii="Palatino Linotype" w:eastAsia="Palatino Linotype" w:hAnsi="Palatino Linotype" w:cs="Palatino Linotype"/>
          <w:b/>
        </w:rPr>
        <w:t xml:space="preserve"> </w:t>
      </w:r>
      <w:r w:rsidR="007928B4">
        <w:rPr>
          <w:rFonts w:ascii="Palatino Linotype" w:eastAsia="Palatino Linotype" w:hAnsi="Palatino Linotype" w:cs="Palatino Linotype"/>
          <w:b/>
        </w:rPr>
        <w:t xml:space="preserve">(20) </w:t>
      </w:r>
      <w:r w:rsidR="007D6A1A" w:rsidRPr="007928B4">
        <w:rPr>
          <w:rFonts w:ascii="Palatino Linotype" w:eastAsia="Palatino Linotype" w:hAnsi="Palatino Linotype" w:cs="Palatino Linotype"/>
          <w:b/>
        </w:rPr>
        <w:t>de mayo de dos mil veintiséis</w:t>
      </w:r>
      <w:r w:rsidRPr="007928B4">
        <w:rPr>
          <w:rFonts w:ascii="Palatino Linotype" w:eastAsia="Palatino Linotype" w:hAnsi="Palatino Linotype" w:cs="Palatino Linotype"/>
        </w:rPr>
        <w:t xml:space="preserve">. </w:t>
      </w:r>
    </w:p>
    <w:p w14:paraId="4E27959A" w14:textId="3AA46EE0" w:rsidR="005829DD" w:rsidRPr="007928B4" w:rsidRDefault="005829DD" w:rsidP="005829DD">
      <w:pPr>
        <w:spacing w:before="240" w:after="240"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b/>
        </w:rPr>
        <w:t>VISTO</w:t>
      </w:r>
      <w:r w:rsidRPr="007928B4">
        <w:rPr>
          <w:rFonts w:ascii="Palatino Linotype" w:eastAsia="Palatino Linotype" w:hAnsi="Palatino Linotype" w:cs="Palatino Linotype"/>
        </w:rPr>
        <w:t xml:space="preserve"> el expediente formado con motivo del recurso de revisión </w:t>
      </w:r>
      <w:r w:rsidR="007D6A1A" w:rsidRPr="007928B4">
        <w:rPr>
          <w:rFonts w:ascii="Palatino Linotype" w:eastAsia="Palatino Linotype" w:hAnsi="Palatino Linotype" w:cs="Palatino Linotype"/>
          <w:b/>
        </w:rPr>
        <w:t>11698/INFOEM/IP/RR/2025</w:t>
      </w:r>
      <w:r w:rsidRPr="007928B4">
        <w:rPr>
          <w:rFonts w:ascii="Palatino Linotype" w:eastAsia="Palatino Linotype" w:hAnsi="Palatino Linotype" w:cs="Palatino Linotype"/>
        </w:rPr>
        <w:t>, interpuesto por</w:t>
      </w:r>
      <w:r w:rsidRPr="007928B4">
        <w:rPr>
          <w:rFonts w:ascii="Palatino Linotype" w:eastAsia="Palatino Linotype" w:hAnsi="Palatino Linotype" w:cs="Palatino Linotype"/>
          <w:b/>
        </w:rPr>
        <w:t xml:space="preserve"> </w:t>
      </w:r>
      <w:r w:rsidR="007D6A1A" w:rsidRPr="007928B4">
        <w:rPr>
          <w:rFonts w:ascii="Palatino Linotype" w:eastAsia="Palatino Linotype" w:hAnsi="Palatino Linotype" w:cs="Palatino Linotype"/>
          <w:b/>
          <w:bCs/>
        </w:rPr>
        <w:t>un</w:t>
      </w:r>
      <w:r w:rsidR="007928B4">
        <w:rPr>
          <w:rFonts w:ascii="Palatino Linotype" w:eastAsia="Palatino Linotype" w:hAnsi="Palatino Linotype" w:cs="Palatino Linotype"/>
          <w:b/>
          <w:bCs/>
        </w:rPr>
        <w:t xml:space="preserve">a persona que no proporciona </w:t>
      </w:r>
      <w:r w:rsidR="007D6A1A" w:rsidRPr="007928B4">
        <w:rPr>
          <w:rFonts w:ascii="Palatino Linotype" w:eastAsia="Palatino Linotype" w:hAnsi="Palatino Linotype" w:cs="Palatino Linotype"/>
          <w:b/>
          <w:bCs/>
        </w:rPr>
        <w:t>datos de identificación</w:t>
      </w:r>
      <w:r w:rsidRPr="007928B4">
        <w:rPr>
          <w:rFonts w:ascii="Palatino Linotype" w:eastAsia="Palatino Linotype" w:hAnsi="Palatino Linotype" w:cs="Palatino Linotype"/>
        </w:rPr>
        <w:t xml:space="preserve">, en lo sucesivo la parte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en contra de la respuesta a su solicitud de información con número de folio</w:t>
      </w:r>
      <w:r w:rsidRPr="007928B4">
        <w:rPr>
          <w:rFonts w:ascii="Palatino Linotype" w:eastAsia="Palatino Linotype" w:hAnsi="Palatino Linotype" w:cs="Palatino Linotype"/>
          <w:b/>
        </w:rPr>
        <w:t xml:space="preserve"> </w:t>
      </w:r>
      <w:r w:rsidR="007D6A1A" w:rsidRPr="007928B4">
        <w:rPr>
          <w:rFonts w:ascii="Palatino Linotype" w:eastAsia="Palatino Linotype" w:hAnsi="Palatino Linotype" w:cs="Palatino Linotype"/>
          <w:b/>
        </w:rPr>
        <w:t>00131/TRIECA/IP/2025</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 xml:space="preserve">por parte del </w:t>
      </w:r>
      <w:r w:rsidR="007D6A1A" w:rsidRPr="007928B4">
        <w:rPr>
          <w:rFonts w:ascii="Palatino Linotype" w:eastAsia="Palatino Linotype" w:hAnsi="Palatino Linotype" w:cs="Palatino Linotype"/>
          <w:b/>
        </w:rPr>
        <w:t>Tribunal Estatal de Conciliación y Arbitraje</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 xml:space="preserve">en </w:t>
      </w:r>
      <w:r w:rsidR="007928B4">
        <w:rPr>
          <w:rFonts w:ascii="Palatino Linotype" w:eastAsia="Palatino Linotype" w:hAnsi="Palatino Linotype" w:cs="Palatino Linotype"/>
        </w:rPr>
        <w:t>adelante</w:t>
      </w:r>
      <w:r w:rsidRPr="007928B4">
        <w:rPr>
          <w:rFonts w:ascii="Palatino Linotype" w:eastAsia="Palatino Linotype" w:hAnsi="Palatino Linotype" w:cs="Palatino Linotype"/>
        </w:rPr>
        <w:t xml:space="preserve"> el </w:t>
      </w:r>
      <w:r w:rsidRPr="007928B4">
        <w:rPr>
          <w:rFonts w:ascii="Palatino Linotype" w:eastAsia="Palatino Linotype" w:hAnsi="Palatino Linotype" w:cs="Palatino Linotype"/>
          <w:b/>
        </w:rPr>
        <w:t xml:space="preserve">SUJETO OBLIGADO, </w:t>
      </w:r>
      <w:r w:rsidRPr="007928B4">
        <w:rPr>
          <w:rFonts w:ascii="Palatino Linotype" w:eastAsia="Palatino Linotype" w:hAnsi="Palatino Linotype" w:cs="Palatino Linotype"/>
        </w:rPr>
        <w:t xml:space="preserve">se procede a dictar la presente resolución con base en los siguientes: </w:t>
      </w:r>
    </w:p>
    <w:p w14:paraId="5FA30B09" w14:textId="77777777" w:rsidR="005829DD" w:rsidRPr="007928B4" w:rsidRDefault="005829DD" w:rsidP="007928B4">
      <w:pPr>
        <w:spacing w:before="240" w:after="240" w:line="360" w:lineRule="auto"/>
        <w:ind w:left="360"/>
        <w:jc w:val="center"/>
        <w:rPr>
          <w:rFonts w:ascii="Palatino Linotype" w:eastAsia="Palatino Linotype" w:hAnsi="Palatino Linotype" w:cs="Palatino Linotype"/>
          <w:b/>
        </w:rPr>
      </w:pPr>
      <w:r w:rsidRPr="007928B4">
        <w:rPr>
          <w:rFonts w:ascii="Palatino Linotype" w:eastAsia="Palatino Linotype" w:hAnsi="Palatino Linotype" w:cs="Palatino Linotype"/>
          <w:b/>
        </w:rPr>
        <w:t>A N T E C E D E N T E S</w:t>
      </w:r>
    </w:p>
    <w:p w14:paraId="0CEB4D29" w14:textId="707E1592"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En fecha </w:t>
      </w:r>
      <w:r w:rsidR="007D6A1A" w:rsidRPr="007928B4">
        <w:rPr>
          <w:rFonts w:ascii="Palatino Linotype" w:eastAsia="Palatino Linotype" w:hAnsi="Palatino Linotype" w:cs="Palatino Linotype"/>
          <w:b/>
        </w:rPr>
        <w:t>veintidós de septiembre de dos mil veinticinco</w:t>
      </w:r>
      <w:r w:rsidRPr="007928B4">
        <w:rPr>
          <w:rFonts w:ascii="Palatino Linotype" w:eastAsia="Palatino Linotype" w:hAnsi="Palatino Linotype" w:cs="Palatino Linotype"/>
          <w:b/>
        </w:rPr>
        <w:t>,</w:t>
      </w:r>
      <w:r w:rsidRPr="007928B4">
        <w:rPr>
          <w:rFonts w:ascii="Palatino Linotype" w:eastAsia="Palatino Linotype" w:hAnsi="Palatino Linotype" w:cs="Palatino Linotype"/>
        </w:rPr>
        <w:t xml:space="preserve"> la parte </w:t>
      </w:r>
      <w:r w:rsidRPr="007928B4">
        <w:rPr>
          <w:rFonts w:ascii="Palatino Linotype" w:eastAsia="Palatino Linotype" w:hAnsi="Palatino Linotype" w:cs="Palatino Linotype"/>
          <w:b/>
        </w:rPr>
        <w:t xml:space="preserve">RECURRENTE </w:t>
      </w:r>
      <w:r w:rsidRPr="007928B4">
        <w:rPr>
          <w:rFonts w:ascii="Palatino Linotype" w:eastAsia="Palatino Linotype" w:hAnsi="Palatino Linotype" w:cs="Palatino Linotype"/>
        </w:rPr>
        <w:t>presentó, a través del Sistema de Acceso a la Información Mexiquense</w:t>
      </w:r>
      <w:r w:rsidRPr="007928B4">
        <w:rPr>
          <w:rFonts w:ascii="Palatino Linotype" w:eastAsia="Palatino Linotype" w:hAnsi="Palatino Linotype" w:cs="Palatino Linotype"/>
          <w:b/>
        </w:rPr>
        <w:t>,</w:t>
      </w:r>
      <w:r w:rsidRPr="007928B4">
        <w:rPr>
          <w:rFonts w:ascii="Palatino Linotype" w:eastAsia="Palatino Linotype" w:hAnsi="Palatino Linotype" w:cs="Palatino Linotype"/>
        </w:rPr>
        <w:t xml:space="preserve"> ante el </w:t>
      </w:r>
      <w:r w:rsidRPr="007928B4">
        <w:rPr>
          <w:rFonts w:ascii="Palatino Linotype" w:eastAsia="Palatino Linotype" w:hAnsi="Palatino Linotype" w:cs="Palatino Linotype"/>
          <w:b/>
        </w:rPr>
        <w:t>SUJETO OBLIGADO</w:t>
      </w:r>
      <w:r w:rsidRPr="007928B4">
        <w:rPr>
          <w:rFonts w:ascii="Palatino Linotype" w:eastAsia="Palatino Linotype" w:hAnsi="Palatino Linotype" w:cs="Palatino Linotype"/>
        </w:rPr>
        <w:t>, la solicitud de acceso a la información número</w:t>
      </w:r>
      <w:r w:rsidRPr="007928B4">
        <w:rPr>
          <w:rFonts w:ascii="Palatino Linotype" w:eastAsia="Palatino Linotype" w:hAnsi="Palatino Linotype" w:cs="Palatino Linotype"/>
          <w:b/>
        </w:rPr>
        <w:t xml:space="preserve"> </w:t>
      </w:r>
      <w:r w:rsidR="007D6A1A" w:rsidRPr="007928B4">
        <w:rPr>
          <w:rFonts w:ascii="Palatino Linotype" w:eastAsia="Palatino Linotype" w:hAnsi="Palatino Linotype" w:cs="Palatino Linotype"/>
          <w:b/>
        </w:rPr>
        <w:t>00131/TRIECA/IP/2025</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 xml:space="preserve">mediante la cual requirió la información siguiente: </w:t>
      </w:r>
    </w:p>
    <w:p w14:paraId="39FBDF28" w14:textId="46D53BDC" w:rsidR="00FD51D2" w:rsidRPr="007928B4" w:rsidRDefault="005829DD" w:rsidP="00FD51D2">
      <w:pPr>
        <w:spacing w:before="240"/>
        <w:ind w:left="851" w:right="902"/>
        <w:jc w:val="both"/>
        <w:rPr>
          <w:rFonts w:ascii="Palatino Linotype" w:eastAsia="Palatino Linotype" w:hAnsi="Palatino Linotype" w:cs="Palatino Linotype"/>
          <w:b/>
          <w:i/>
        </w:rPr>
      </w:pPr>
      <w:bookmarkStart w:id="0" w:name="_heading=h.gjdgxs" w:colFirst="0" w:colLast="0"/>
      <w:bookmarkEnd w:id="0"/>
      <w:r w:rsidRPr="007928B4">
        <w:rPr>
          <w:rFonts w:ascii="Palatino Linotype" w:eastAsia="Palatino Linotype" w:hAnsi="Palatino Linotype" w:cs="Palatino Linotype"/>
          <w:i/>
        </w:rPr>
        <w:t>“</w:t>
      </w:r>
      <w:r w:rsidR="007D6A1A" w:rsidRPr="007928B4">
        <w:rPr>
          <w:rFonts w:ascii="Palatino Linotype" w:eastAsia="Palatino Linotype" w:hAnsi="Palatino Linotype" w:cs="Palatino Linotype"/>
          <w:i/>
        </w:rPr>
        <w:t xml:space="preserve">Solicito el expediente concluido adjunto en imagen correspondiente de </w:t>
      </w:r>
      <w:r w:rsidR="0064078B">
        <w:rPr>
          <w:rFonts w:ascii="Palatino Linotype" w:eastAsia="Palatino Linotype" w:hAnsi="Palatino Linotype" w:cs="Palatino Linotype"/>
          <w:i/>
        </w:rPr>
        <w:t>XXXX</w:t>
      </w:r>
      <w:r w:rsidR="007D6A1A" w:rsidRPr="007928B4">
        <w:rPr>
          <w:rFonts w:ascii="Palatino Linotype" w:eastAsia="Palatino Linotype" w:hAnsi="Palatino Linotype" w:cs="Palatino Linotype"/>
          <w:i/>
        </w:rPr>
        <w:t xml:space="preserve"> vs osfem</w:t>
      </w:r>
      <w:r w:rsidR="00FD51D2" w:rsidRPr="007928B4">
        <w:rPr>
          <w:rFonts w:ascii="Palatino Linotype" w:eastAsia="Palatino Linotype" w:hAnsi="Palatino Linotype" w:cs="Palatino Linotype"/>
          <w:i/>
        </w:rPr>
        <w:t>.</w:t>
      </w:r>
      <w:r w:rsidR="00FD51D2" w:rsidRPr="007928B4">
        <w:rPr>
          <w:rFonts w:ascii="Palatino Linotype" w:eastAsia="Palatino Linotype" w:hAnsi="Palatino Linotype" w:cs="Palatino Linotype"/>
          <w:b/>
          <w:i/>
        </w:rPr>
        <w:t>”</w:t>
      </w:r>
    </w:p>
    <w:p w14:paraId="0EACE364" w14:textId="77777777" w:rsidR="00FD51D2" w:rsidRPr="007928B4" w:rsidRDefault="00FD51D2" w:rsidP="00FD51D2">
      <w:pPr>
        <w:spacing w:before="240"/>
        <w:ind w:left="851" w:right="902"/>
        <w:jc w:val="both"/>
        <w:rPr>
          <w:rFonts w:ascii="Palatino Linotype" w:eastAsia="Palatino Linotype" w:hAnsi="Palatino Linotype" w:cs="Palatino Linotype"/>
          <w:b/>
          <w:i/>
        </w:rPr>
      </w:pPr>
    </w:p>
    <w:p w14:paraId="199C2F59" w14:textId="7C60A042" w:rsidR="005829DD" w:rsidRPr="007928B4" w:rsidRDefault="005829DD" w:rsidP="00FD51D2">
      <w:pPr>
        <w:spacing w:before="240"/>
        <w:ind w:left="851" w:right="902"/>
        <w:jc w:val="both"/>
        <w:rPr>
          <w:rFonts w:ascii="Palatino Linotype" w:eastAsia="Palatino Linotype" w:hAnsi="Palatino Linotype" w:cs="Palatino Linotype"/>
        </w:rPr>
      </w:pPr>
      <w:r w:rsidRPr="007928B4">
        <w:rPr>
          <w:rFonts w:ascii="Palatino Linotype" w:eastAsia="Palatino Linotype" w:hAnsi="Palatino Linotype" w:cs="Palatino Linotype"/>
          <w:b/>
        </w:rPr>
        <w:t>Modalidad de Entrega:</w:t>
      </w:r>
      <w:r w:rsidRPr="007928B4">
        <w:rPr>
          <w:rFonts w:ascii="Palatino Linotype" w:eastAsia="Palatino Linotype" w:hAnsi="Palatino Linotype" w:cs="Palatino Linotype"/>
        </w:rPr>
        <w:t xml:space="preserve"> A través de</w:t>
      </w:r>
      <w:r w:rsidR="007D6A1A" w:rsidRPr="007928B4">
        <w:rPr>
          <w:rFonts w:ascii="Palatino Linotype" w:eastAsia="Palatino Linotype" w:hAnsi="Palatino Linotype" w:cs="Palatino Linotype"/>
        </w:rPr>
        <w:t>l Sistema de Acceso a la Información</w:t>
      </w:r>
    </w:p>
    <w:p w14:paraId="084050CB" w14:textId="77777777" w:rsidR="007928B4" w:rsidRPr="007928B4" w:rsidRDefault="007928B4" w:rsidP="005829DD">
      <w:pPr>
        <w:spacing w:line="360" w:lineRule="auto"/>
        <w:jc w:val="both"/>
        <w:rPr>
          <w:rFonts w:ascii="Palatino Linotype" w:eastAsia="Palatino Linotype" w:hAnsi="Palatino Linotype" w:cs="Palatino Linotype"/>
        </w:rPr>
      </w:pPr>
    </w:p>
    <w:p w14:paraId="32E190FF" w14:textId="3A3A2822" w:rsidR="007D6A1A" w:rsidRPr="007928B4" w:rsidRDefault="007D6A1A" w:rsidP="005829DD">
      <w:pPr>
        <w:numPr>
          <w:ilvl w:val="0"/>
          <w:numId w:val="4"/>
        </w:numPr>
        <w:spacing w:line="360" w:lineRule="auto"/>
        <w:ind w:left="0" w:firstLine="0"/>
        <w:jc w:val="both"/>
        <w:rPr>
          <w:rFonts w:ascii="Palatino Linotype" w:eastAsia="Palatino Linotype" w:hAnsi="Palatino Linotype" w:cs="Palatino Linotype"/>
          <w:b/>
        </w:rPr>
      </w:pPr>
      <w:r w:rsidRPr="007928B4">
        <w:rPr>
          <w:rFonts w:ascii="Palatino Linotype" w:eastAsia="Palatino Linotype" w:hAnsi="Palatino Linotype" w:cs="Palatino Linotype"/>
          <w:bCs/>
        </w:rPr>
        <w:t xml:space="preserve">Al momento de ingresar la solicitud de información el entonces </w:t>
      </w:r>
      <w:r w:rsidRPr="007928B4">
        <w:rPr>
          <w:rFonts w:ascii="Palatino Linotype" w:eastAsia="Palatino Linotype" w:hAnsi="Palatino Linotype" w:cs="Palatino Linotype"/>
          <w:b/>
        </w:rPr>
        <w:t xml:space="preserve">SOLICITANTE </w:t>
      </w:r>
      <w:r w:rsidRPr="007928B4">
        <w:rPr>
          <w:rFonts w:ascii="Palatino Linotype" w:eastAsia="Palatino Linotype" w:hAnsi="Palatino Linotype" w:cs="Palatino Linotype"/>
          <w:bCs/>
        </w:rPr>
        <w:t xml:space="preserve">anexo el archivo </w:t>
      </w:r>
      <w:r w:rsidRPr="007928B4">
        <w:rPr>
          <w:rFonts w:ascii="Palatino Linotype" w:eastAsia="Palatino Linotype" w:hAnsi="Palatino Linotype" w:cs="Palatino Linotype"/>
          <w:b/>
          <w:i/>
          <w:iCs/>
        </w:rPr>
        <w:t xml:space="preserve">Screenshot_20250922_210559_Chrome.jpg, </w:t>
      </w:r>
      <w:r w:rsidRPr="007928B4">
        <w:rPr>
          <w:rFonts w:ascii="Palatino Linotype" w:eastAsia="Palatino Linotype" w:hAnsi="Palatino Linotype" w:cs="Palatino Linotype"/>
          <w:bCs/>
        </w:rPr>
        <w:t xml:space="preserve">que contiene una imagen del expediente solicitado. </w:t>
      </w:r>
    </w:p>
    <w:p w14:paraId="2BE0A3D8" w14:textId="1755A8D5"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b/>
        </w:rPr>
      </w:pPr>
      <w:r w:rsidRPr="007928B4">
        <w:rPr>
          <w:rFonts w:ascii="Palatino Linotype" w:eastAsia="Palatino Linotype" w:hAnsi="Palatino Linotype" w:cs="Palatino Linotype"/>
        </w:rPr>
        <w:lastRenderedPageBreak/>
        <w:t xml:space="preserve">El </w:t>
      </w:r>
      <w:r w:rsidR="007D6A1A" w:rsidRPr="007928B4">
        <w:rPr>
          <w:rFonts w:ascii="Palatino Linotype" w:eastAsia="Palatino Linotype" w:hAnsi="Palatino Linotype" w:cs="Palatino Linotype"/>
          <w:b/>
        </w:rPr>
        <w:t xml:space="preserve">nueve de septiembre </w:t>
      </w:r>
      <w:r w:rsidR="00901979" w:rsidRPr="007928B4">
        <w:rPr>
          <w:rFonts w:ascii="Palatino Linotype" w:eastAsia="Palatino Linotype" w:hAnsi="Palatino Linotype" w:cs="Palatino Linotype"/>
          <w:b/>
        </w:rPr>
        <w:t xml:space="preserve">de dos mil veinticinco, </w:t>
      </w:r>
      <w:r w:rsidRPr="007928B4">
        <w:rPr>
          <w:rFonts w:ascii="Palatino Linotype" w:eastAsia="Palatino Linotype" w:hAnsi="Palatino Linotype" w:cs="Palatino Linotype"/>
        </w:rPr>
        <w:t xml:space="preserve">el </w:t>
      </w:r>
      <w:r w:rsidRPr="007928B4">
        <w:rPr>
          <w:rFonts w:ascii="Palatino Linotype" w:eastAsia="Palatino Linotype" w:hAnsi="Palatino Linotype" w:cs="Palatino Linotype"/>
          <w:b/>
        </w:rPr>
        <w:t xml:space="preserve">SUJETO OBLIGADO </w:t>
      </w:r>
      <w:r w:rsidRPr="007928B4">
        <w:rPr>
          <w:rFonts w:ascii="Palatino Linotype" w:eastAsia="Palatino Linotype" w:hAnsi="Palatino Linotype" w:cs="Palatino Linotype"/>
        </w:rPr>
        <w:t xml:space="preserve">entrego un archivo electrónico en formato pdf, cuyo contenido grosso modo es el siguiente:   </w:t>
      </w:r>
    </w:p>
    <w:p w14:paraId="1645A123" w14:textId="097D94A9" w:rsidR="00901979" w:rsidRPr="007928B4" w:rsidRDefault="007D6A1A" w:rsidP="005829DD">
      <w:pPr>
        <w:spacing w:before="240" w:after="240"/>
        <w:ind w:left="1134" w:right="1134"/>
        <w:contextualSpacing/>
        <w:jc w:val="both"/>
        <w:rPr>
          <w:rFonts w:ascii="Palatino Linotype" w:eastAsia="Palatino Linotype" w:hAnsi="Palatino Linotype" w:cs="Palatino Linotype"/>
          <w:i/>
        </w:rPr>
      </w:pPr>
      <w:r w:rsidRPr="007928B4">
        <w:rPr>
          <w:rFonts w:ascii="Palatino Linotype" w:eastAsia="Palatino Linotype" w:hAnsi="Palatino Linotype" w:cs="Palatino Linotype"/>
          <w:b/>
          <w:bCs/>
          <w:i/>
        </w:rPr>
        <w:t xml:space="preserve">img20251009_16170084.pdf: </w:t>
      </w:r>
      <w:r w:rsidRPr="007928B4">
        <w:rPr>
          <w:rFonts w:ascii="Palatino Linotype" w:eastAsia="Palatino Linotype" w:hAnsi="Palatino Linotype" w:cs="Palatino Linotype"/>
          <w:i/>
        </w:rPr>
        <w:t xml:space="preserve">oficio del Encargado del Despacho de la Secretaría General Jurídica y Consultiva, mediante el cual informa que después de una búsqueda exhaustiva y razonable no se encontró la información solicitada, situación por la cual no puede ser entregada. </w:t>
      </w:r>
    </w:p>
    <w:p w14:paraId="31BCD403" w14:textId="77777777" w:rsidR="007D6A1A" w:rsidRPr="007928B4" w:rsidRDefault="007D6A1A" w:rsidP="005829DD">
      <w:pPr>
        <w:spacing w:before="240" w:after="240"/>
        <w:ind w:left="1134" w:right="1134"/>
        <w:contextualSpacing/>
        <w:jc w:val="both"/>
        <w:rPr>
          <w:rFonts w:ascii="Palatino Linotype" w:eastAsia="Palatino Linotype" w:hAnsi="Palatino Linotype" w:cs="Palatino Linotype"/>
          <w:i/>
        </w:rPr>
      </w:pPr>
    </w:p>
    <w:p w14:paraId="08437CD5" w14:textId="6DE08186"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Inconforme con los términos de la respuesta emitida por parte del </w:t>
      </w:r>
      <w:r w:rsidRPr="007928B4">
        <w:rPr>
          <w:rFonts w:ascii="Palatino Linotype" w:eastAsia="Palatino Linotype" w:hAnsi="Palatino Linotype" w:cs="Palatino Linotype"/>
          <w:b/>
        </w:rPr>
        <w:t>SUJETO OBLIGADO</w:t>
      </w:r>
      <w:r w:rsidRPr="007928B4">
        <w:rPr>
          <w:rFonts w:ascii="Palatino Linotype" w:eastAsia="Palatino Linotype" w:hAnsi="Palatino Linotype" w:cs="Palatino Linotype"/>
        </w:rPr>
        <w:t xml:space="preserve">, el </w:t>
      </w:r>
      <w:r w:rsidR="007D6A1A" w:rsidRPr="007928B4">
        <w:rPr>
          <w:rFonts w:ascii="Palatino Linotype" w:eastAsia="Palatino Linotype" w:hAnsi="Palatino Linotype" w:cs="Palatino Linotype"/>
          <w:b/>
        </w:rPr>
        <w:t xml:space="preserve">nueve de octubre </w:t>
      </w:r>
      <w:r w:rsidR="001A4446" w:rsidRPr="007928B4">
        <w:rPr>
          <w:rFonts w:ascii="Palatino Linotype" w:eastAsia="Palatino Linotype" w:hAnsi="Palatino Linotype" w:cs="Palatino Linotype"/>
          <w:b/>
        </w:rPr>
        <w:t>de dos mil veinticinco</w:t>
      </w:r>
      <w:r w:rsidRPr="007928B4">
        <w:rPr>
          <w:rFonts w:ascii="Palatino Linotype" w:eastAsia="Palatino Linotype" w:hAnsi="Palatino Linotype" w:cs="Palatino Linotype"/>
        </w:rPr>
        <w:t xml:space="preserve">, la parte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interpuso el recurso de revisión a través de SAIMEX, en donde se manifestó de la siguiente manera:</w:t>
      </w:r>
    </w:p>
    <w:p w14:paraId="2018A4F0" w14:textId="77777777" w:rsidR="005829DD" w:rsidRPr="007928B4" w:rsidRDefault="005829DD" w:rsidP="007928B4">
      <w:pPr>
        <w:pStyle w:val="Prrafodelista"/>
        <w:numPr>
          <w:ilvl w:val="0"/>
          <w:numId w:val="10"/>
        </w:numPr>
        <w:tabs>
          <w:tab w:val="left" w:pos="2745"/>
        </w:tabs>
        <w:spacing w:before="240" w:after="240" w:line="360" w:lineRule="auto"/>
        <w:jc w:val="both"/>
        <w:rPr>
          <w:rFonts w:ascii="Palatino Linotype" w:eastAsia="Palatino Linotype" w:hAnsi="Palatino Linotype" w:cs="Palatino Linotype"/>
          <w:b/>
          <w:sz w:val="24"/>
        </w:rPr>
      </w:pPr>
      <w:r w:rsidRPr="007928B4">
        <w:rPr>
          <w:rFonts w:ascii="Palatino Linotype" w:eastAsia="Palatino Linotype" w:hAnsi="Palatino Linotype" w:cs="Palatino Linotype"/>
          <w:b/>
          <w:sz w:val="24"/>
        </w:rPr>
        <w:t xml:space="preserve">Acto impugnado: </w:t>
      </w:r>
      <w:r w:rsidRPr="007928B4">
        <w:rPr>
          <w:rFonts w:ascii="Palatino Linotype" w:eastAsia="Palatino Linotype" w:hAnsi="Palatino Linotype" w:cs="Palatino Linotype"/>
          <w:b/>
          <w:sz w:val="24"/>
        </w:rPr>
        <w:tab/>
      </w:r>
      <w:bookmarkStart w:id="1" w:name="_GoBack"/>
      <w:bookmarkEnd w:id="1"/>
    </w:p>
    <w:p w14:paraId="6C7C4F72" w14:textId="667B0955" w:rsidR="005829DD" w:rsidRPr="007928B4" w:rsidRDefault="005829DD" w:rsidP="005829DD">
      <w:pPr>
        <w:ind w:left="851" w:right="902"/>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r w:rsidR="007D6A1A" w:rsidRPr="007928B4">
        <w:rPr>
          <w:rFonts w:ascii="Palatino Linotype" w:eastAsia="Palatino Linotype" w:hAnsi="Palatino Linotype" w:cs="Palatino Linotype"/>
          <w:i/>
        </w:rPr>
        <w:t>Respuesta</w:t>
      </w:r>
      <w:r w:rsidRPr="007928B4">
        <w:rPr>
          <w:rFonts w:ascii="Palatino Linotype" w:eastAsia="Palatino Linotype" w:hAnsi="Palatino Linotype" w:cs="Palatino Linotype"/>
          <w:i/>
        </w:rPr>
        <w:t>” (Sic)</w:t>
      </w:r>
    </w:p>
    <w:p w14:paraId="7800B475" w14:textId="77777777" w:rsidR="005829DD" w:rsidRPr="007928B4" w:rsidRDefault="005829DD" w:rsidP="005829DD">
      <w:pPr>
        <w:ind w:left="851" w:right="902"/>
        <w:jc w:val="both"/>
        <w:rPr>
          <w:rFonts w:ascii="Palatino Linotype" w:eastAsia="Palatino Linotype" w:hAnsi="Palatino Linotype" w:cs="Palatino Linotype"/>
          <w:i/>
        </w:rPr>
      </w:pPr>
    </w:p>
    <w:p w14:paraId="4E17EA02" w14:textId="77777777" w:rsidR="005829DD" w:rsidRPr="007928B4" w:rsidRDefault="005829DD" w:rsidP="007928B4">
      <w:pPr>
        <w:pStyle w:val="Prrafodelista"/>
        <w:numPr>
          <w:ilvl w:val="0"/>
          <w:numId w:val="10"/>
        </w:numPr>
        <w:spacing w:line="360" w:lineRule="auto"/>
        <w:jc w:val="both"/>
        <w:rPr>
          <w:rFonts w:ascii="Palatino Linotype" w:eastAsia="Palatino Linotype" w:hAnsi="Palatino Linotype" w:cs="Palatino Linotype"/>
          <w:sz w:val="24"/>
        </w:rPr>
      </w:pPr>
      <w:r w:rsidRPr="007928B4">
        <w:rPr>
          <w:rFonts w:ascii="Palatino Linotype" w:eastAsia="Palatino Linotype" w:hAnsi="Palatino Linotype" w:cs="Palatino Linotype"/>
          <w:b/>
          <w:sz w:val="24"/>
        </w:rPr>
        <w:t>Razones o motivos de inconformidad</w:t>
      </w:r>
      <w:r w:rsidRPr="007928B4">
        <w:rPr>
          <w:rFonts w:ascii="Palatino Linotype" w:eastAsia="Palatino Linotype" w:hAnsi="Palatino Linotype" w:cs="Palatino Linotype"/>
          <w:sz w:val="24"/>
        </w:rPr>
        <w:t>:</w:t>
      </w:r>
    </w:p>
    <w:p w14:paraId="06793229" w14:textId="627A8430" w:rsidR="005829DD" w:rsidRPr="007928B4" w:rsidRDefault="005829DD" w:rsidP="005829DD">
      <w:pPr>
        <w:ind w:left="851" w:right="902"/>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r w:rsidR="007D6A1A" w:rsidRPr="007928B4">
        <w:rPr>
          <w:rFonts w:ascii="Palatino Linotype" w:eastAsia="Palatino Linotype" w:hAnsi="Palatino Linotype" w:cs="Palatino Linotype"/>
          <w:i/>
        </w:rPr>
        <w:t>Niegan la información pese a que se encuentra la imagen en donde se informa que obra en sus archivos, solicito remitan el expediente solicitado</w:t>
      </w:r>
      <w:r w:rsidR="001A4446" w:rsidRPr="007928B4">
        <w:rPr>
          <w:rFonts w:ascii="Palatino Linotype" w:eastAsia="Palatino Linotype" w:hAnsi="Palatino Linotype" w:cs="Palatino Linotype"/>
          <w:i/>
        </w:rPr>
        <w:t>.</w:t>
      </w:r>
      <w:r w:rsidRPr="007928B4">
        <w:rPr>
          <w:rFonts w:ascii="Palatino Linotype" w:eastAsia="Palatino Linotype" w:hAnsi="Palatino Linotype" w:cs="Palatino Linotype"/>
          <w:i/>
        </w:rPr>
        <w:t>” (Sic)</w:t>
      </w:r>
    </w:p>
    <w:p w14:paraId="5A46DD28" w14:textId="77777777" w:rsidR="001A4446" w:rsidRPr="007928B4" w:rsidRDefault="001A4446" w:rsidP="001A4446">
      <w:pPr>
        <w:ind w:left="1134" w:right="1134"/>
        <w:jc w:val="both"/>
        <w:rPr>
          <w:rFonts w:ascii="Palatino Linotype" w:eastAsia="Palatino Linotype" w:hAnsi="Palatino Linotype" w:cs="Palatino Linotype"/>
          <w:b/>
          <w:i/>
        </w:rPr>
      </w:pPr>
    </w:p>
    <w:p w14:paraId="6B9F3274"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7928B4">
        <w:rPr>
          <w:rFonts w:ascii="Palatino Linotype" w:eastAsia="Palatino Linotype" w:hAnsi="Palatino Linotype" w:cs="Palatino Linotype"/>
          <w:b/>
        </w:rPr>
        <w:t xml:space="preserve">María del Rosario Mejía Ayala, </w:t>
      </w:r>
      <w:r w:rsidRPr="007928B4">
        <w:rPr>
          <w:rFonts w:ascii="Palatino Linotype" w:eastAsia="Palatino Linotype" w:hAnsi="Palatino Linotype" w:cs="Palatino Linotype"/>
        </w:rPr>
        <w:t>a efecto de que analizara sobre su admisión o su desechamiento.</w:t>
      </w:r>
    </w:p>
    <w:p w14:paraId="555F6DB2" w14:textId="77777777" w:rsidR="005829DD" w:rsidRPr="007928B4" w:rsidRDefault="005829DD" w:rsidP="005829DD">
      <w:pPr>
        <w:spacing w:line="360" w:lineRule="auto"/>
        <w:ind w:right="51"/>
        <w:jc w:val="both"/>
        <w:rPr>
          <w:rFonts w:ascii="Palatino Linotype" w:eastAsia="Palatino Linotype" w:hAnsi="Palatino Linotype" w:cs="Palatino Linotype"/>
        </w:rPr>
      </w:pPr>
    </w:p>
    <w:p w14:paraId="490032AF" w14:textId="748C6073" w:rsidR="00F1036F" w:rsidRPr="007928B4" w:rsidRDefault="005829DD" w:rsidP="00F1036F">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El </w:t>
      </w:r>
      <w:r w:rsidR="0031345A" w:rsidRPr="007928B4">
        <w:rPr>
          <w:rFonts w:ascii="Palatino Linotype" w:eastAsia="Palatino Linotype" w:hAnsi="Palatino Linotype" w:cs="Palatino Linotype"/>
          <w:b/>
        </w:rPr>
        <w:t xml:space="preserve">veinte de octubre </w:t>
      </w:r>
      <w:r w:rsidR="004929EE" w:rsidRPr="007928B4">
        <w:rPr>
          <w:rFonts w:ascii="Palatino Linotype" w:eastAsia="Palatino Linotype" w:hAnsi="Palatino Linotype" w:cs="Palatino Linotype"/>
          <w:b/>
        </w:rPr>
        <w:t xml:space="preserve">de dos mil </w:t>
      </w:r>
      <w:r w:rsidR="00993E4D" w:rsidRPr="007928B4">
        <w:rPr>
          <w:rFonts w:ascii="Palatino Linotype" w:eastAsia="Palatino Linotype" w:hAnsi="Palatino Linotype" w:cs="Palatino Linotype"/>
          <w:b/>
        </w:rPr>
        <w:t>veinticinco</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este Instituto de Transparencia, Acceso a la Información Pública y Protección de Datos P</w:t>
      </w:r>
      <w:r w:rsidR="003B789F" w:rsidRPr="007928B4">
        <w:rPr>
          <w:rFonts w:ascii="Palatino Linotype" w:eastAsia="Palatino Linotype" w:hAnsi="Palatino Linotype" w:cs="Palatino Linotype"/>
        </w:rPr>
        <w:t>ersonales del Estado de México</w:t>
      </w:r>
      <w:r w:rsidRPr="007928B4">
        <w:rPr>
          <w:rFonts w:ascii="Palatino Linotype" w:eastAsia="Palatino Linotype" w:hAnsi="Palatino Linotype" w:cs="Palatino Linotype"/>
        </w:rPr>
        <w:t xml:space="preserve">Municipios, </w:t>
      </w:r>
      <w:r w:rsidRPr="007928B4">
        <w:rPr>
          <w:rFonts w:ascii="Palatino Linotype" w:eastAsia="Palatino Linotype" w:hAnsi="Palatino Linotype" w:cs="Palatino Linotype"/>
        </w:rPr>
        <w:lastRenderedPageBreak/>
        <w:t xml:space="preserve">admitió a trámite el recurso de revisión que ahora se resuelve, dando un plazo máximo de siete días hábiles para que las partes manifestaran lo que a su derecho resultara conveniente, ofrecieran pruebas, formularan alegatos y el </w:t>
      </w:r>
      <w:r w:rsidRPr="007928B4">
        <w:rPr>
          <w:rFonts w:ascii="Palatino Linotype" w:eastAsia="Palatino Linotype" w:hAnsi="Palatino Linotype" w:cs="Palatino Linotype"/>
          <w:b/>
        </w:rPr>
        <w:t xml:space="preserve">SUJETO OBLIGADO </w:t>
      </w:r>
      <w:r w:rsidRPr="007928B4">
        <w:rPr>
          <w:rFonts w:ascii="Palatino Linotype" w:eastAsia="Palatino Linotype" w:hAnsi="Palatino Linotype" w:cs="Palatino Linotype"/>
        </w:rPr>
        <w:t>presentara su informe justificado.</w:t>
      </w:r>
    </w:p>
    <w:p w14:paraId="27A5486E" w14:textId="77777777" w:rsidR="00F1036F" w:rsidRPr="007928B4" w:rsidRDefault="00F1036F" w:rsidP="00F1036F">
      <w:pPr>
        <w:tabs>
          <w:tab w:val="left" w:pos="1279"/>
          <w:tab w:val="left" w:pos="8647"/>
        </w:tabs>
        <w:ind w:right="851"/>
        <w:jc w:val="both"/>
        <w:rPr>
          <w:rFonts w:ascii="Palatino Linotype" w:eastAsia="Palatino Linotype" w:hAnsi="Palatino Linotype" w:cs="Palatino Linotype"/>
          <w:i/>
          <w:color w:val="000000"/>
        </w:rPr>
      </w:pPr>
    </w:p>
    <w:p w14:paraId="617238CC" w14:textId="2123795D" w:rsidR="004C36C8" w:rsidRPr="007928B4" w:rsidRDefault="004C36C8" w:rsidP="002F41D7">
      <w:pPr>
        <w:numPr>
          <w:ilvl w:val="0"/>
          <w:numId w:val="4"/>
        </w:numPr>
        <w:spacing w:line="360" w:lineRule="auto"/>
        <w:ind w:left="0" w:firstLine="0"/>
        <w:jc w:val="both"/>
        <w:rPr>
          <w:rFonts w:ascii="Palatino Linotype" w:eastAsia="Palatino Linotype" w:hAnsi="Palatino Linotype" w:cs="Palatino Linotype"/>
          <w:b/>
          <w:i/>
          <w:color w:val="000000"/>
        </w:rPr>
      </w:pPr>
      <w:r w:rsidRPr="007928B4">
        <w:rPr>
          <w:rFonts w:ascii="Palatino Linotype" w:eastAsia="Palatino Linotype" w:hAnsi="Palatino Linotype" w:cs="Palatino Linotype"/>
          <w:color w:val="000000"/>
        </w:rPr>
        <w:t xml:space="preserve">De lo anterior, </w:t>
      </w:r>
      <w:r w:rsidR="002F41D7" w:rsidRPr="007928B4">
        <w:rPr>
          <w:rFonts w:ascii="Palatino Linotype" w:eastAsia="Palatino Linotype" w:hAnsi="Palatino Linotype" w:cs="Palatino Linotype"/>
          <w:color w:val="000000"/>
        </w:rPr>
        <w:t xml:space="preserve">tal y como se observa en el expediente electrónico el </w:t>
      </w:r>
      <w:r w:rsidR="002F41D7" w:rsidRPr="007928B4">
        <w:rPr>
          <w:rFonts w:ascii="Palatino Linotype" w:eastAsia="Palatino Linotype" w:hAnsi="Palatino Linotype" w:cs="Palatino Linotype"/>
          <w:b/>
          <w:bCs/>
          <w:color w:val="000000"/>
        </w:rPr>
        <w:t xml:space="preserve">SUJETO OBLIGADO </w:t>
      </w:r>
      <w:r w:rsidR="002F41D7" w:rsidRPr="007928B4">
        <w:rPr>
          <w:rFonts w:ascii="Palatino Linotype" w:eastAsia="Palatino Linotype" w:hAnsi="Palatino Linotype" w:cs="Palatino Linotype"/>
          <w:color w:val="000000"/>
        </w:rPr>
        <w:t xml:space="preserve">y el </w:t>
      </w:r>
      <w:r w:rsidR="002F41D7" w:rsidRPr="007928B4">
        <w:rPr>
          <w:rFonts w:ascii="Palatino Linotype" w:eastAsia="Palatino Linotype" w:hAnsi="Palatino Linotype" w:cs="Palatino Linotype"/>
          <w:b/>
          <w:bCs/>
          <w:color w:val="000000"/>
        </w:rPr>
        <w:t xml:space="preserve">RECURRENTE </w:t>
      </w:r>
      <w:r w:rsidR="002F41D7" w:rsidRPr="007928B4">
        <w:rPr>
          <w:rFonts w:ascii="Palatino Linotype" w:eastAsia="Palatino Linotype" w:hAnsi="Palatino Linotype" w:cs="Palatino Linotype"/>
          <w:color w:val="000000"/>
        </w:rPr>
        <w:t xml:space="preserve">fueron omisos en manifestar lo que a su derecho conviniera y asistiera, respectivamente. </w:t>
      </w:r>
    </w:p>
    <w:p w14:paraId="0A88AB53" w14:textId="77777777" w:rsidR="00F1036F" w:rsidRPr="007928B4" w:rsidRDefault="00F1036F" w:rsidP="00F1036F">
      <w:pPr>
        <w:spacing w:line="360" w:lineRule="auto"/>
        <w:jc w:val="both"/>
        <w:rPr>
          <w:rFonts w:ascii="Palatino Linotype" w:eastAsia="Palatino Linotype" w:hAnsi="Palatino Linotype" w:cs="Palatino Linotype"/>
          <w:b/>
          <w:color w:val="FF0000"/>
          <w:u w:val="single"/>
        </w:rPr>
      </w:pPr>
    </w:p>
    <w:p w14:paraId="3821354B" w14:textId="4301EEBF"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b/>
          <w:color w:val="FF0000"/>
          <w:u w:val="single"/>
        </w:rPr>
      </w:pPr>
      <w:r w:rsidRPr="007928B4">
        <w:rPr>
          <w:rFonts w:ascii="Palatino Linotype" w:eastAsia="Palatino Linotype" w:hAnsi="Palatino Linotype" w:cs="Palatino Linotype"/>
          <w:b/>
        </w:rPr>
        <w:t xml:space="preserve">Reconducción de vía y prevención. </w:t>
      </w:r>
      <w:r w:rsidRPr="007928B4">
        <w:rPr>
          <w:rFonts w:ascii="Palatino Linotype" w:eastAsia="Palatino Linotype" w:hAnsi="Palatino Linotype" w:cs="Palatino Linotype"/>
        </w:rPr>
        <w:t xml:space="preserve">El </w:t>
      </w:r>
      <w:r w:rsidR="00A56F7D" w:rsidRPr="007928B4">
        <w:rPr>
          <w:rFonts w:ascii="Palatino Linotype" w:eastAsia="Palatino Linotype" w:hAnsi="Palatino Linotype" w:cs="Palatino Linotype"/>
          <w:b/>
        </w:rPr>
        <w:t>veinte de abril de dos mil veintiséis</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 xml:space="preserve">fue notificado a las partes, el acuerdo por el que se daba tratamiento al presente Recurso de Revisión, vía Derecho de Acceso, Rectificación, Cancelación y Oposición –para posteriores referencias, Derechos ARCO- del tratamiento de Datos Personales a los que pretendía tener acceso la parte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asimismo, atento a lo dispuesto en los artículos 11, 126, 127, 131 y 136 de la Ley de Protección de Datos Personales en Posesión de Sujetos Obligados del Estado de México y Municipios y 185 fracciones I, II y IV de la Ley de Transparencia y Acceso a la Información Pública del Estado de México y Municipios de aplicación supletoria, se previno a la parte</w:t>
      </w:r>
      <w:r w:rsidRPr="007928B4">
        <w:rPr>
          <w:rFonts w:ascii="Palatino Linotype" w:eastAsia="Palatino Linotype" w:hAnsi="Palatino Linotype" w:cs="Palatino Linotype"/>
          <w:b/>
          <w:color w:val="FF0000"/>
          <w:u w:val="single"/>
        </w:rPr>
        <w:t xml:space="preserv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para que, en un plazo máximo de </w:t>
      </w:r>
      <w:r w:rsidRPr="007928B4">
        <w:rPr>
          <w:rFonts w:ascii="Palatino Linotype" w:eastAsia="Palatino Linotype" w:hAnsi="Palatino Linotype" w:cs="Palatino Linotype"/>
          <w:b/>
        </w:rPr>
        <w:t>cinco días hábiles</w:t>
      </w:r>
      <w:r w:rsidRPr="007928B4">
        <w:rPr>
          <w:rFonts w:ascii="Palatino Linotype" w:eastAsia="Palatino Linotype" w:hAnsi="Palatino Linotype" w:cs="Palatino Linotype"/>
        </w:rPr>
        <w:t xml:space="preserve"> contados a partir del día siguiente de la notificación del presente Acuerdo, subsane la omisión de </w:t>
      </w:r>
      <w:r w:rsidRPr="007928B4">
        <w:rPr>
          <w:rFonts w:ascii="Palatino Linotype" w:eastAsia="Palatino Linotype" w:hAnsi="Palatino Linotype" w:cs="Palatino Linotype"/>
          <w:b/>
        </w:rPr>
        <w:t>acreditar su identidad</w:t>
      </w:r>
      <w:r w:rsidRPr="007928B4">
        <w:rPr>
          <w:rFonts w:ascii="Palatino Linotype" w:eastAsia="Palatino Linotype" w:hAnsi="Palatino Linotype" w:cs="Palatino Linotype"/>
        </w:rPr>
        <w:t xml:space="preserve"> mediante identificación oficial vigente con fotografía para acceder a los datos personales que desea y acreditara su interés legítimo y/o jurídico respecto de la información a la que desea acceder, es decir, remitiera el documento que acredite que la información a la que desea acceder, contiene sus datos personales o es un bien, parte de su patrimonio, con el apercibimiento de no cumplir con el requerimiento, se desechará el recurso </w:t>
      </w:r>
      <w:r w:rsidRPr="007928B4">
        <w:rPr>
          <w:rFonts w:ascii="Palatino Linotype" w:eastAsia="Palatino Linotype" w:hAnsi="Palatino Linotype" w:cs="Palatino Linotype"/>
        </w:rPr>
        <w:lastRenderedPageBreak/>
        <w:t xml:space="preserve">de revisión en términos de lo señalado por el artículo 136 de la Ley de Protección de Datos Personales en Posesión de Sujetos Obligados del Estado de México y Municipios. </w:t>
      </w:r>
    </w:p>
    <w:p w14:paraId="6D06432D" w14:textId="77777777" w:rsidR="0065732D" w:rsidRPr="007928B4" w:rsidRDefault="0065732D" w:rsidP="0065732D">
      <w:pPr>
        <w:spacing w:line="360" w:lineRule="auto"/>
        <w:jc w:val="both"/>
        <w:rPr>
          <w:rFonts w:ascii="Palatino Linotype" w:eastAsia="Palatino Linotype" w:hAnsi="Palatino Linotype" w:cs="Palatino Linotype"/>
          <w:i/>
          <w:color w:val="FF0000"/>
          <w:u w:val="single"/>
        </w:rPr>
      </w:pPr>
    </w:p>
    <w:p w14:paraId="02616106" w14:textId="29325D0A" w:rsidR="00A56F7D" w:rsidRPr="007928B4" w:rsidRDefault="00A56F7D" w:rsidP="00A56F7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El </w:t>
      </w:r>
      <w:r w:rsidRPr="007928B4">
        <w:rPr>
          <w:rFonts w:ascii="Palatino Linotype" w:eastAsia="Palatino Linotype" w:hAnsi="Palatino Linotype" w:cs="Palatino Linotype"/>
          <w:b/>
          <w:color w:val="000000"/>
        </w:rPr>
        <w:t>veintiocho de abril de dos mil veintiséis</w:t>
      </w:r>
      <w:r w:rsidRPr="007928B4">
        <w:rPr>
          <w:rFonts w:ascii="Palatino Linotype" w:eastAsia="Palatino Linotype" w:hAnsi="Palatino Linotype" w:cs="Palatino Linotype"/>
          <w:color w:val="000000"/>
        </w:rPr>
        <w:t xml:space="preserve">, la Comisionada Ponente notificó los acuerdos de ampliación para emitir resolución, en términos del artículo 181 párrafo tercero de la Ley de Transparencia y Acceso a la Información Pública del Estado de México y Municipios. </w:t>
      </w:r>
    </w:p>
    <w:p w14:paraId="59468B78" w14:textId="77777777" w:rsidR="00A56F7D" w:rsidRPr="007928B4" w:rsidRDefault="00A56F7D" w:rsidP="00A56F7D">
      <w:pPr>
        <w:spacing w:line="360" w:lineRule="auto"/>
        <w:jc w:val="both"/>
        <w:rPr>
          <w:rFonts w:ascii="Palatino Linotype" w:eastAsia="Palatino Linotype" w:hAnsi="Palatino Linotype" w:cs="Palatino Linotype"/>
        </w:rPr>
      </w:pPr>
    </w:p>
    <w:p w14:paraId="76179B53" w14:textId="19C3AA2E" w:rsidR="005829DD" w:rsidRPr="007928B4" w:rsidRDefault="0065732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hAnsi="Palatino Linotype"/>
        </w:rPr>
        <w:t xml:space="preserve">El </w:t>
      </w:r>
      <w:r w:rsidR="00A56F7D" w:rsidRPr="007928B4">
        <w:rPr>
          <w:rFonts w:ascii="Palatino Linotype" w:hAnsi="Palatino Linotype"/>
          <w:b/>
        </w:rPr>
        <w:t>veintiocho de abril de dos mil veintiséis</w:t>
      </w:r>
      <w:r w:rsidRPr="007928B4">
        <w:rPr>
          <w:rFonts w:ascii="Palatino Linotype" w:hAnsi="Palatino Linotype"/>
        </w:rPr>
        <w:t>, al no haber desahogado la prevención relativa a la acreditación de la identidad y representación, así como la identidad de la persona titular de los datos personales sobre los cuales se pretende ejercer el Derecho de acceso, en el plazo establecido para tal efecto, se decretó la preclusión del mismo, de conformidad con los artículos 124 y 136 de la Ley de Protección de Datos Personales en Posesión de Sujetos Obligados de</w:t>
      </w:r>
      <w:r w:rsidR="000A6E1E" w:rsidRPr="007928B4">
        <w:rPr>
          <w:rFonts w:ascii="Palatino Linotype" w:hAnsi="Palatino Linotype"/>
        </w:rPr>
        <w:t xml:space="preserve">l Estado de México y Municipios, por lo que, </w:t>
      </w:r>
      <w:r w:rsidRPr="007928B4">
        <w:rPr>
          <w:rFonts w:ascii="Palatino Linotype" w:hAnsi="Palatino Linotype"/>
        </w:rPr>
        <w:t>se decretó el cierre de instrucción</w:t>
      </w:r>
      <w:r w:rsidR="000A6E1E" w:rsidRPr="007928B4">
        <w:rPr>
          <w:rFonts w:ascii="Palatino Linotype" w:hAnsi="Palatino Linotype"/>
        </w:rPr>
        <w:t>.</w:t>
      </w:r>
    </w:p>
    <w:p w14:paraId="5E241DC6" w14:textId="77777777" w:rsidR="00A56F7D" w:rsidRPr="007928B4" w:rsidRDefault="00A56F7D" w:rsidP="00A56F7D">
      <w:pPr>
        <w:pStyle w:val="Prrafodelista"/>
        <w:rPr>
          <w:rFonts w:ascii="Palatino Linotype" w:eastAsia="Palatino Linotype" w:hAnsi="Palatino Linotype" w:cs="Palatino Linotype"/>
          <w:sz w:val="24"/>
          <w:szCs w:val="24"/>
        </w:rPr>
      </w:pPr>
    </w:p>
    <w:p w14:paraId="0264552C" w14:textId="77777777" w:rsidR="00A56F7D" w:rsidRPr="007928B4" w:rsidRDefault="00A56F7D" w:rsidP="00A56F7D">
      <w:pPr>
        <w:spacing w:line="360" w:lineRule="auto"/>
        <w:jc w:val="both"/>
        <w:rPr>
          <w:rFonts w:ascii="Palatino Linotype" w:eastAsia="Palatino Linotype" w:hAnsi="Palatino Linotype" w:cs="Palatino Linotype"/>
        </w:rPr>
      </w:pPr>
    </w:p>
    <w:p w14:paraId="02AEC49B" w14:textId="77777777" w:rsidR="005829DD" w:rsidRPr="007928B4" w:rsidRDefault="005829DD" w:rsidP="007928B4">
      <w:pPr>
        <w:pBdr>
          <w:top w:val="nil"/>
          <w:left w:val="nil"/>
          <w:bottom w:val="nil"/>
          <w:right w:val="nil"/>
          <w:between w:val="nil"/>
        </w:pBdr>
        <w:spacing w:line="360" w:lineRule="auto"/>
        <w:ind w:left="360"/>
        <w:jc w:val="center"/>
        <w:rPr>
          <w:rFonts w:ascii="Palatino Linotype" w:eastAsia="Palatino Linotype" w:hAnsi="Palatino Linotype" w:cs="Palatino Linotype"/>
          <w:b/>
          <w:color w:val="000000"/>
        </w:rPr>
      </w:pPr>
      <w:r w:rsidRPr="007928B4">
        <w:rPr>
          <w:rFonts w:ascii="Palatino Linotype" w:eastAsia="Palatino Linotype" w:hAnsi="Palatino Linotype" w:cs="Palatino Linotype"/>
          <w:b/>
          <w:color w:val="000000"/>
        </w:rPr>
        <w:t>C O N S I D E R A N D O:</w:t>
      </w:r>
    </w:p>
    <w:p w14:paraId="05B90EC2" w14:textId="77777777" w:rsidR="005829DD" w:rsidRPr="007928B4" w:rsidRDefault="005829DD" w:rsidP="005829DD">
      <w:pPr>
        <w:spacing w:line="360" w:lineRule="auto"/>
        <w:jc w:val="both"/>
        <w:rPr>
          <w:rFonts w:ascii="Palatino Linotype" w:eastAsia="Palatino Linotype" w:hAnsi="Palatino Linotype" w:cs="Palatino Linotype"/>
          <w:b/>
        </w:rPr>
      </w:pPr>
    </w:p>
    <w:p w14:paraId="2777CE8B" w14:textId="77777777" w:rsidR="005829DD" w:rsidRPr="007928B4" w:rsidRDefault="000A6E1E" w:rsidP="005829DD">
      <w:pPr>
        <w:numPr>
          <w:ilvl w:val="0"/>
          <w:numId w:val="4"/>
        </w:numPr>
        <w:spacing w:line="360" w:lineRule="auto"/>
        <w:ind w:left="0" w:firstLine="0"/>
        <w:jc w:val="both"/>
        <w:rPr>
          <w:rFonts w:ascii="Palatino Linotype" w:hAnsi="Palatino Linotype"/>
          <w:color w:val="000000" w:themeColor="text1"/>
        </w:rPr>
      </w:pPr>
      <w:r w:rsidRPr="007928B4">
        <w:rPr>
          <w:rFonts w:ascii="Palatino Linotype" w:hAnsi="Palatino Linotype"/>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tercero, trigésimo cuarto y trigésimo quinto fracción IV de la Constitución Política del Estado Libre y Soberano de México; 1, 8, 9, 10, 37 y 42, fracciones I, II y III, de la </w:t>
      </w:r>
      <w:r w:rsidRPr="007928B4">
        <w:rPr>
          <w:rFonts w:ascii="Palatino Linotype" w:hAnsi="Palatino Linotype"/>
        </w:rPr>
        <w:lastRenderedPageBreak/>
        <w:t>Ley General de Transparencia y Acceso a la Información Pública vigente a la fecha de la solicitud; 1, 2, fracciones II y IV; 13, 29, 36, fracciones I y II; 176, 178, 179, 181 párrafo tercero, 185, 188 y 189 de la Ley Transparencia y Acceso a la Información Pública del Estado de México y Municipios; 7, 9, fracciones I y XXIV; 1, 3, fracción XXIV, fracción I, 103 y 111, de la Ley General de Protección de Datos Personales en Posesión de Sujetos Obligados, publicada en el Diario Oficial de la Federación el veintiséis de enero de dos mil diecisiete;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r w:rsidR="005829DD" w:rsidRPr="007928B4">
        <w:rPr>
          <w:rFonts w:ascii="Palatino Linotype" w:hAnsi="Palatino Linotype"/>
        </w:rPr>
        <w:t>.</w:t>
      </w:r>
    </w:p>
    <w:p w14:paraId="3A3B7F75" w14:textId="77777777" w:rsidR="005829DD" w:rsidRPr="007928B4" w:rsidRDefault="005829DD" w:rsidP="005829DD">
      <w:pPr>
        <w:spacing w:line="360" w:lineRule="auto"/>
        <w:jc w:val="both"/>
        <w:rPr>
          <w:rFonts w:ascii="Palatino Linotype" w:hAnsi="Palatino Linotype"/>
          <w:color w:val="000000" w:themeColor="text1"/>
        </w:rPr>
      </w:pPr>
    </w:p>
    <w:p w14:paraId="17957559" w14:textId="6CDF8FBA" w:rsidR="005829DD" w:rsidRPr="007928B4" w:rsidRDefault="005829DD" w:rsidP="005829DD">
      <w:pPr>
        <w:numPr>
          <w:ilvl w:val="0"/>
          <w:numId w:val="4"/>
        </w:numPr>
        <w:spacing w:line="360" w:lineRule="auto"/>
        <w:ind w:left="0" w:firstLine="0"/>
        <w:jc w:val="both"/>
        <w:rPr>
          <w:rFonts w:ascii="Palatino Linotype" w:hAnsi="Palatino Linotype"/>
        </w:rPr>
      </w:pPr>
      <w:r w:rsidRPr="007928B4">
        <w:rPr>
          <w:rFonts w:ascii="Palatino Linotype" w:eastAsia="Calibri" w:hAnsi="Palatino Linotype" w:cs="Arial"/>
        </w:rPr>
        <w:t xml:space="preserve">El medio de impugnación fue presentado a través del </w:t>
      </w:r>
      <w:r w:rsidRPr="007928B4">
        <w:rPr>
          <w:rFonts w:ascii="Palatino Linotype" w:eastAsia="Calibri" w:hAnsi="Palatino Linotype" w:cs="Arial"/>
          <w:b/>
        </w:rPr>
        <w:t>SAIMEX,</w:t>
      </w:r>
      <w:r w:rsidRPr="007928B4">
        <w:rPr>
          <w:rFonts w:ascii="Palatino Linotype" w:eastAsia="Calibri" w:hAnsi="Palatino Linotype" w:cs="Arial"/>
        </w:rPr>
        <w:t xml:space="preserve"> en el formato previamente aprobado para tal efecto y dentro del plazo legal de quince días hábiles otorgados; siendo así que el </w:t>
      </w:r>
      <w:r w:rsidRPr="007928B4">
        <w:rPr>
          <w:rFonts w:ascii="Palatino Linotype" w:eastAsia="Calibri" w:hAnsi="Palatino Linotype" w:cs="Arial"/>
          <w:b/>
        </w:rPr>
        <w:t>SUJETO OBLIGADO</w:t>
      </w:r>
      <w:r w:rsidRPr="007928B4">
        <w:rPr>
          <w:rFonts w:ascii="Palatino Linotype" w:eastAsia="Calibri" w:hAnsi="Palatino Linotype" w:cs="Arial"/>
        </w:rPr>
        <w:t xml:space="preserve"> entregó respuestas el </w:t>
      </w:r>
      <w:r w:rsidR="00E92F23" w:rsidRPr="007928B4">
        <w:rPr>
          <w:rFonts w:ascii="Palatino Linotype" w:eastAsia="Calibri" w:hAnsi="Palatino Linotype" w:cs="Arial"/>
          <w:b/>
        </w:rPr>
        <w:t xml:space="preserve">nueve de octubre de </w:t>
      </w:r>
      <w:r w:rsidR="000A6E1E" w:rsidRPr="007928B4">
        <w:rPr>
          <w:rFonts w:ascii="Palatino Linotype" w:eastAsia="Calibri" w:hAnsi="Palatino Linotype" w:cs="Arial"/>
          <w:b/>
        </w:rPr>
        <w:t>dos mil veinticinco</w:t>
      </w:r>
      <w:r w:rsidRPr="007928B4">
        <w:rPr>
          <w:rFonts w:ascii="Palatino Linotype" w:eastAsia="Calibri" w:hAnsi="Palatino Linotype" w:cs="Arial"/>
        </w:rPr>
        <w:t xml:space="preserve">, </w:t>
      </w:r>
      <w:r w:rsidRPr="007928B4">
        <w:rPr>
          <w:rFonts w:ascii="Palatino Linotype" w:hAnsi="Palatino Linotype" w:cs="Arial"/>
        </w:rPr>
        <w:t xml:space="preserve">de tal forma que el plazo para interponer el recurso de revisión transcurrió del </w:t>
      </w:r>
      <w:r w:rsidR="00E92F23" w:rsidRPr="007928B4">
        <w:rPr>
          <w:rFonts w:ascii="Palatino Linotype" w:hAnsi="Palatino Linotype" w:cs="Arial"/>
          <w:b/>
        </w:rPr>
        <w:t xml:space="preserve">diez al treinta de octubre </w:t>
      </w:r>
      <w:r w:rsidR="000A6E1E" w:rsidRPr="007928B4">
        <w:rPr>
          <w:rFonts w:ascii="Palatino Linotype" w:hAnsi="Palatino Linotype" w:cs="Arial"/>
          <w:b/>
        </w:rPr>
        <w:t>de dos mil veinticinco</w:t>
      </w:r>
      <w:r w:rsidRPr="007928B4">
        <w:rPr>
          <w:rFonts w:ascii="Palatino Linotype" w:hAnsi="Palatino Linotype" w:cs="Arial"/>
        </w:rPr>
        <w:t xml:space="preserve">; en consecuencia, se presentó la inconformidad el día </w:t>
      </w:r>
      <w:r w:rsidR="00E92F23" w:rsidRPr="007928B4">
        <w:rPr>
          <w:rFonts w:ascii="Palatino Linotype" w:hAnsi="Palatino Linotype" w:cs="Arial"/>
          <w:b/>
        </w:rPr>
        <w:t xml:space="preserve">nueve de octubre </w:t>
      </w:r>
      <w:r w:rsidR="000A6E1E" w:rsidRPr="007928B4">
        <w:rPr>
          <w:rFonts w:ascii="Palatino Linotype" w:hAnsi="Palatino Linotype" w:cs="Arial"/>
          <w:b/>
        </w:rPr>
        <w:t>de dos mil veinticinco</w:t>
      </w:r>
      <w:r w:rsidRPr="007928B4">
        <w:rPr>
          <w:rFonts w:ascii="Palatino Linotype" w:hAnsi="Palatino Linotype" w:cs="Arial"/>
        </w:rPr>
        <w:t>, por lo que se encuentra dentro de los márgenes temporales previstos en el artículo 178 de la Ley de Transparencia y Acceso a la Información Pública del Estado de México y Municipios, de aplicación supletoria.</w:t>
      </w:r>
    </w:p>
    <w:p w14:paraId="5BC39E36" w14:textId="77777777" w:rsidR="005829DD" w:rsidRPr="007928B4" w:rsidRDefault="005829DD" w:rsidP="005829DD">
      <w:pPr>
        <w:spacing w:line="360" w:lineRule="auto"/>
        <w:ind w:left="720"/>
        <w:contextualSpacing/>
        <w:rPr>
          <w:rFonts w:ascii="Palatino Linotype" w:hAnsi="Palatino Linotype" w:cs="Arial"/>
          <w:color w:val="000000" w:themeColor="text1"/>
          <w:lang w:val="es-ES"/>
        </w:rPr>
      </w:pPr>
    </w:p>
    <w:p w14:paraId="065BCDA8"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Palatino Linotype" w:hAnsi="Palatino Linotype" w:cs="Palatino Linotype"/>
          <w:color w:val="000000"/>
        </w:rPr>
        <w:t xml:space="preserve">Por </w:t>
      </w:r>
      <w:r w:rsidRPr="007928B4">
        <w:rPr>
          <w:rFonts w:ascii="Palatino Linotype" w:eastAsia="Calibri" w:hAnsi="Palatino Linotype" w:cs="Arial"/>
        </w:rPr>
        <w:t>otro</w:t>
      </w:r>
      <w:r w:rsidRPr="007928B4">
        <w:rPr>
          <w:rFonts w:ascii="Palatino Linotype" w:eastAsia="Palatino Linotype" w:hAnsi="Palatino Linotype" w:cs="Palatino Linotype"/>
          <w:color w:val="000000"/>
        </w:rPr>
        <w:t xml:space="preserve"> lado, es de suma importancia señalar que la parte recurrente no proporciona un nombre completo o datos de identificación como se advierte en el detalle de seguimiento del SAIMEX, no obstante lo anterior, no proporcionar el nombre completo no es motivo para archivar la </w:t>
      </w:r>
      <w:r w:rsidRPr="007928B4">
        <w:rPr>
          <w:rFonts w:ascii="Palatino Linotype" w:eastAsia="Calibri" w:hAnsi="Palatino Linotype" w:cs="Arial"/>
        </w:rPr>
        <w:t>solicitud</w:t>
      </w:r>
      <w:r w:rsidRPr="007928B4">
        <w:rPr>
          <w:rFonts w:ascii="Palatino Linotype" w:eastAsia="Palatino Linotype" w:hAnsi="Palatino Linotype" w:cs="Palatino Linotype"/>
          <w:color w:val="000000"/>
        </w:rPr>
        <w:t xml:space="preserve"> de acceso a la información pública como concluida, conforme a lo </w:t>
      </w:r>
      <w:r w:rsidRPr="007928B4">
        <w:rPr>
          <w:rFonts w:ascii="Palatino Linotype" w:eastAsia="Palatino Linotype" w:hAnsi="Palatino Linotype" w:cs="Palatino Linotype"/>
          <w:color w:val="000000"/>
        </w:rPr>
        <w:lastRenderedPageBreak/>
        <w:t>previsto en el artículo 155, penúltimo párrafo de la Ley de Transparencia y Acceso a la Información Pública del Estado de México y Municipios que establece lo siguiente:</w:t>
      </w:r>
    </w:p>
    <w:p w14:paraId="0AED52D8"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w:t>
      </w:r>
      <w:r w:rsidRPr="007928B4">
        <w:rPr>
          <w:rFonts w:ascii="Palatino Linotype" w:eastAsia="Palatino Linotype" w:hAnsi="Palatino Linotype" w:cs="Palatino Linotype"/>
          <w:b/>
          <w:i/>
          <w:color w:val="000000"/>
        </w:rPr>
        <w:t>Las solicitudes anónimas</w:t>
      </w:r>
      <w:r w:rsidRPr="007928B4">
        <w:rPr>
          <w:rFonts w:ascii="Palatino Linotype" w:eastAsia="Palatino Linotype" w:hAnsi="Palatino Linotype" w:cs="Palatino Linotype"/>
          <w:i/>
          <w:color w:val="000000"/>
        </w:rPr>
        <w:t xml:space="preserve">, con nombre incompleto o seudónimo </w:t>
      </w:r>
      <w:r w:rsidRPr="007928B4">
        <w:rPr>
          <w:rFonts w:ascii="Palatino Linotype" w:eastAsia="Palatino Linotype" w:hAnsi="Palatino Linotype" w:cs="Palatino Linotype"/>
          <w:b/>
          <w:i/>
          <w:color w:val="000000"/>
        </w:rPr>
        <w:t>serán procedentes para su trámite por parte del sujeto obligado ante quien se presente</w:t>
      </w:r>
      <w:r w:rsidRPr="007928B4">
        <w:rPr>
          <w:rFonts w:ascii="Palatino Linotype" w:eastAsia="Palatino Linotype" w:hAnsi="Palatino Linotype" w:cs="Palatino Linotype"/>
          <w:i/>
          <w:color w:val="000000"/>
        </w:rPr>
        <w:t>. No podrá requerirse información adicional con motivo del nombre proporcionado por el solicitante.”</w:t>
      </w:r>
    </w:p>
    <w:p w14:paraId="4D8FCD68" w14:textId="77777777" w:rsidR="00254EBA" w:rsidRPr="007928B4" w:rsidRDefault="00254EBA" w:rsidP="00254EBA">
      <w:pPr>
        <w:pBdr>
          <w:top w:val="nil"/>
          <w:left w:val="nil"/>
          <w:bottom w:val="nil"/>
          <w:right w:val="nil"/>
          <w:between w:val="nil"/>
        </w:pBdr>
        <w:ind w:right="-787"/>
        <w:rPr>
          <w:rFonts w:ascii="Palatino Linotype" w:eastAsia="Palatino Linotype" w:hAnsi="Palatino Linotype" w:cs="Palatino Linotype"/>
          <w:i/>
          <w:color w:val="000000"/>
        </w:rPr>
      </w:pPr>
    </w:p>
    <w:p w14:paraId="20C7FDAD"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335BA918"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w:t>
      </w:r>
      <w:r w:rsidRPr="007928B4">
        <w:rPr>
          <w:rFonts w:ascii="Palatino Linotype" w:eastAsia="Palatino Linotype" w:hAnsi="Palatino Linotype" w:cs="Palatino Linotype"/>
          <w:b/>
          <w:i/>
          <w:color w:val="000000"/>
        </w:rPr>
        <w:t>Artículo 6.-</w:t>
      </w:r>
      <w:r w:rsidRPr="007928B4">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E72CFFD" w14:textId="77777777" w:rsidR="00254EBA" w:rsidRPr="007928B4" w:rsidRDefault="00254EBA" w:rsidP="00254EBA">
      <w:pPr>
        <w:pBdr>
          <w:top w:val="nil"/>
          <w:left w:val="nil"/>
          <w:bottom w:val="nil"/>
          <w:right w:val="nil"/>
          <w:between w:val="nil"/>
        </w:pBdr>
        <w:spacing w:after="120"/>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Para efectos de lo dispuesto en el presente artículo se observará lo siguiente:</w:t>
      </w:r>
    </w:p>
    <w:p w14:paraId="75A207AE"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A. Para el ejercicio del derecho de acceso a la información, la Federación, los Estados y el Distrito Federal, en el ámbito de sus respectivas competencias, se regirán por los siguientes principios y bases:</w:t>
      </w:r>
    </w:p>
    <w:p w14:paraId="640D9831"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éstos.”(Sic)</w:t>
      </w:r>
    </w:p>
    <w:p w14:paraId="789484E9" w14:textId="77777777" w:rsidR="00254EBA" w:rsidRPr="007928B4" w:rsidRDefault="00254EBA" w:rsidP="00254EBA">
      <w:pPr>
        <w:pBdr>
          <w:top w:val="nil"/>
          <w:left w:val="nil"/>
          <w:bottom w:val="nil"/>
          <w:right w:val="nil"/>
          <w:between w:val="nil"/>
        </w:pBdr>
        <w:ind w:left="360" w:right="-787" w:hanging="76"/>
        <w:rPr>
          <w:rFonts w:ascii="Palatino Linotype" w:eastAsia="Palatino Linotype" w:hAnsi="Palatino Linotype" w:cs="Palatino Linotype"/>
          <w:i/>
          <w:color w:val="000000"/>
        </w:rPr>
      </w:pPr>
    </w:p>
    <w:p w14:paraId="74BBDB2C"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Calibri" w:hAnsi="Palatino Linotype" w:cs="Arial"/>
          <w:lang w:val="es-AR" w:eastAsia="es-ES"/>
        </w:rPr>
        <w:t>Así</w:t>
      </w:r>
      <w:r w:rsidRPr="007928B4">
        <w:rPr>
          <w:rFonts w:ascii="Palatino Linotype" w:eastAsia="Palatino Linotype" w:hAnsi="Palatino Linotype" w:cs="Palatino Linotype"/>
          <w:color w:val="000000"/>
        </w:rPr>
        <w:t xml:space="preserve"> </w:t>
      </w:r>
      <w:r w:rsidRPr="007928B4">
        <w:rPr>
          <w:rFonts w:ascii="Palatino Linotype" w:eastAsia="Calibri" w:hAnsi="Palatino Linotype" w:cs="Arial"/>
        </w:rPr>
        <w:t>como</w:t>
      </w:r>
      <w:r w:rsidRPr="007928B4">
        <w:rPr>
          <w:rFonts w:ascii="Palatino Linotype" w:eastAsia="Palatino Linotype" w:hAnsi="Palatino Linotype" w:cs="Palatino Linotype"/>
          <w:color w:val="000000"/>
        </w:rPr>
        <w:t xml:space="preserve"> el artículo 5 fracción III, párrafo vigésimo noveno, trigésimo y trigésimo </w:t>
      </w:r>
      <w:r w:rsidRPr="007928B4">
        <w:rPr>
          <w:rFonts w:ascii="Palatino Linotype" w:eastAsia="Calibri" w:hAnsi="Palatino Linotype" w:cs="Arial"/>
        </w:rPr>
        <w:t>primero</w:t>
      </w:r>
      <w:r w:rsidRPr="007928B4">
        <w:rPr>
          <w:rFonts w:ascii="Palatino Linotype" w:eastAsia="Palatino Linotype" w:hAnsi="Palatino Linotype" w:cs="Palatino Linotype"/>
          <w:color w:val="000000"/>
        </w:rPr>
        <w:t>, de la Constitución Política del Estado Libre y Soberano de México, que determina lo siguiente:</w:t>
      </w:r>
    </w:p>
    <w:p w14:paraId="65D422FD"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w:t>
      </w:r>
      <w:r w:rsidRPr="007928B4">
        <w:rPr>
          <w:rFonts w:ascii="Palatino Linotype" w:eastAsia="Palatino Linotype" w:hAnsi="Palatino Linotype" w:cs="Palatino Linotype"/>
          <w:b/>
          <w:i/>
          <w:color w:val="000000"/>
        </w:rPr>
        <w:t>Artículo 5.-</w:t>
      </w:r>
      <w:r w:rsidRPr="007928B4">
        <w:rPr>
          <w:rFonts w:ascii="Palatino Linotype" w:eastAsia="Palatino Linotype" w:hAnsi="Palatino Linotype" w:cs="Palatino Linotype"/>
          <w:i/>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w:t>
      </w:r>
      <w:r w:rsidRPr="007928B4">
        <w:rPr>
          <w:rFonts w:ascii="Palatino Linotype" w:eastAsia="Palatino Linotype" w:hAnsi="Palatino Linotype" w:cs="Palatino Linotype"/>
          <w:i/>
          <w:color w:val="000000"/>
        </w:rPr>
        <w:lastRenderedPageBreak/>
        <w:t>suspenderse salvo en los casos y bajo las condiciones que la Constitución Política de los Estados Unidos Mexicanos establece”.(Sic)</w:t>
      </w:r>
    </w:p>
    <w:p w14:paraId="164F356E" w14:textId="77777777" w:rsidR="00254EBA" w:rsidRPr="007928B4" w:rsidRDefault="00254EBA" w:rsidP="00254EBA">
      <w:pPr>
        <w:ind w:left="1134" w:right="900"/>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p>
    <w:p w14:paraId="77C1778D"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Toda persona en el Estado de México, tiene derecho al libre acceso a la información plural y oportuna, así como a buscar recibir y difundir información e ideas de toda índole por cualquier medio de expresión.</w:t>
      </w:r>
    </w:p>
    <w:p w14:paraId="54145E13" w14:textId="77777777" w:rsidR="00254EBA" w:rsidRPr="007928B4" w:rsidRDefault="00254EBA" w:rsidP="00254EBA">
      <w:pPr>
        <w:ind w:left="1134" w:right="900"/>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p>
    <w:p w14:paraId="2C69D080"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El derecho a la información será garantizado por el Estado. La ley establecerá las previsiones que permitan asegurar la protección, el respeto y la difusión de este derecho.</w:t>
      </w:r>
    </w:p>
    <w:p w14:paraId="727090EB"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p>
    <w:p w14:paraId="63748014"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7627116"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14:paraId="66990918" w14:textId="77777777" w:rsidR="00254EBA" w:rsidRPr="007928B4" w:rsidRDefault="00254EBA" w:rsidP="00254EBA">
      <w:pPr>
        <w:ind w:left="1134" w:right="900"/>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p>
    <w:p w14:paraId="17FECF17"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14:paraId="255B5204" w14:textId="77777777" w:rsidR="00254EBA" w:rsidRPr="007928B4" w:rsidRDefault="00254EBA" w:rsidP="00254EBA">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14:paraId="3B6620D2"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Calibri" w:hAnsi="Palatino Linotype" w:cs="Arial"/>
          <w:lang w:val="es-AR" w:eastAsia="es-ES"/>
        </w:rPr>
        <w:t>Por</w:t>
      </w:r>
      <w:r w:rsidRPr="007928B4">
        <w:rPr>
          <w:rFonts w:ascii="Palatino Linotype" w:eastAsia="Palatino Linotype" w:hAnsi="Palatino Linotype" w:cs="Palatino Linotype"/>
          <w:color w:val="000000"/>
        </w:rPr>
        <w:t xml:space="preserve"> </w:t>
      </w:r>
      <w:r w:rsidRPr="007928B4">
        <w:rPr>
          <w:rFonts w:ascii="Palatino Linotype" w:eastAsia="Calibri" w:hAnsi="Palatino Linotype" w:cs="Arial"/>
        </w:rPr>
        <w:t>otra</w:t>
      </w:r>
      <w:r w:rsidRPr="007928B4">
        <w:rPr>
          <w:rFonts w:ascii="Palatino Linotype" w:eastAsia="Palatino Linotype" w:hAnsi="Palatino Linotype" w:cs="Palatino Linotype"/>
          <w:color w:val="000000"/>
        </w:rPr>
        <w:t xml:space="preserve"> parte, del contenido del artículo 1 de la Constitución Política de los Estados Unidos mexicanos, se destaca lo siguiente:</w:t>
      </w:r>
    </w:p>
    <w:p w14:paraId="75CADD4E"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w:t>
      </w:r>
      <w:r w:rsidRPr="007928B4">
        <w:rPr>
          <w:rFonts w:ascii="Palatino Linotype" w:eastAsia="Palatino Linotype" w:hAnsi="Palatino Linotype" w:cs="Palatino Linotype"/>
          <w:b/>
          <w:i/>
          <w:color w:val="000000"/>
        </w:rPr>
        <w:t>Artículo 1</w:t>
      </w:r>
      <w:r w:rsidRPr="007928B4">
        <w:rPr>
          <w:rFonts w:ascii="Palatino Linotype" w:eastAsia="Palatino Linotype" w:hAnsi="Palatino Linotype" w:cs="Palatino Linotype"/>
          <w:i/>
          <w:color w:val="000000"/>
        </w:rPr>
        <w:t xml:space="preserve">. En los Estados Unidos Mexicanos todas las personas gozarán de los derechos humanos reconocidos en esta Constitución y en los tratados  internacionales de los que el Estado Mexicano sea parte, así como de las garantías </w:t>
      </w:r>
      <w:r w:rsidRPr="007928B4">
        <w:rPr>
          <w:rFonts w:ascii="Palatino Linotype" w:eastAsia="Palatino Linotype" w:hAnsi="Palatino Linotype" w:cs="Palatino Linotype"/>
          <w:i/>
          <w:color w:val="000000"/>
        </w:rPr>
        <w:lastRenderedPageBreak/>
        <w:t>para su protección, cuyo ejercicio no podrá restringirse ni suspenderse, salvo en los casos y bajo las condiciones que esta Constitución establece.</w:t>
      </w:r>
    </w:p>
    <w:p w14:paraId="0298F905"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Las normas relativas a los derechos humanos se interpretarán de conformidad con esta Constitución y con los tratados internacionales de la materia favoreciendo en todo tiempo a las personas la protección más amplia.</w:t>
      </w:r>
    </w:p>
    <w:p w14:paraId="4195D5B6"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2C3476FF" w14:textId="77777777" w:rsidR="00254EBA" w:rsidRPr="007928B4" w:rsidRDefault="00254EBA" w:rsidP="00254EBA">
      <w:pPr>
        <w:pBdr>
          <w:top w:val="nil"/>
          <w:left w:val="nil"/>
          <w:bottom w:val="nil"/>
          <w:right w:val="nil"/>
          <w:between w:val="nil"/>
        </w:pBdr>
        <w:ind w:left="360" w:right="-787" w:firstLine="66"/>
        <w:rPr>
          <w:rFonts w:ascii="Palatino Linotype" w:eastAsia="Palatino Linotype" w:hAnsi="Palatino Linotype" w:cs="Palatino Linotype"/>
          <w:i/>
          <w:color w:val="000000"/>
        </w:rPr>
      </w:pPr>
    </w:p>
    <w:p w14:paraId="73C5D0E0"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Calibri" w:hAnsi="Palatino Linotype" w:cs="Arial"/>
        </w:rPr>
        <w:t>Esto</w:t>
      </w:r>
      <w:r w:rsidRPr="007928B4">
        <w:rPr>
          <w:rFonts w:ascii="Palatino Linotype" w:eastAsia="Palatino Linotype" w:hAnsi="Palatino Linotype" w:cs="Palatino Linotype"/>
          <w:color w:val="000000"/>
        </w:rPr>
        <w:t xml:space="preserve"> es, que el derecho humano de acceso a la información pública, se aprecia que toda persona, sin necesidad de acreditar interés alguno o justificar su interposición, deberá tener acceso a la información pública, es decir, dicho </w:t>
      </w:r>
      <w:r w:rsidRPr="007928B4">
        <w:rPr>
          <w:rFonts w:ascii="Palatino Linotype" w:eastAsia="Palatino Linotype" w:hAnsi="Palatino Linotype" w:cs="Palatino Linotype"/>
          <w:i/>
          <w:color w:val="000000"/>
        </w:rPr>
        <w:t xml:space="preserve">derecho </w:t>
      </w:r>
      <w:r w:rsidRPr="007928B4">
        <w:rPr>
          <w:rFonts w:ascii="Palatino Linotype" w:eastAsia="Calibri" w:hAnsi="Palatino Linotype" w:cs="Arial"/>
        </w:rPr>
        <w:t>fundamental</w:t>
      </w:r>
      <w:r w:rsidRPr="007928B4">
        <w:rPr>
          <w:rFonts w:ascii="Palatino Linotype" w:eastAsia="Palatino Linotype" w:hAnsi="Palatino Linotype" w:cs="Palatino Linotype"/>
          <w:i/>
          <w:color w:val="000000"/>
        </w:rPr>
        <w:t xml:space="preserve"> exime a quien lo ejerce</w:t>
      </w:r>
      <w:r w:rsidRPr="007928B4">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9E41B1C" w14:textId="77777777" w:rsidR="007928B4" w:rsidRPr="007928B4" w:rsidRDefault="007928B4" w:rsidP="007928B4">
      <w:pPr>
        <w:spacing w:line="360" w:lineRule="auto"/>
        <w:jc w:val="both"/>
        <w:rPr>
          <w:rFonts w:ascii="Palatino Linotype" w:hAnsi="Palatino Linotype"/>
          <w:color w:val="000000"/>
        </w:rPr>
      </w:pPr>
    </w:p>
    <w:p w14:paraId="446F19DD" w14:textId="77777777" w:rsidR="001725F0" w:rsidRPr="007928B4" w:rsidRDefault="001725F0" w:rsidP="001725F0">
      <w:pPr>
        <w:numPr>
          <w:ilvl w:val="0"/>
          <w:numId w:val="4"/>
        </w:numPr>
        <w:spacing w:line="360" w:lineRule="auto"/>
        <w:ind w:left="0" w:firstLine="0"/>
        <w:jc w:val="both"/>
        <w:rPr>
          <w:rFonts w:ascii="Palatino Linotype" w:hAnsi="Palatino Linotype" w:cs="Arial"/>
          <w:bCs/>
          <w:color w:val="555555"/>
        </w:rPr>
      </w:pPr>
      <w:r w:rsidRPr="007928B4">
        <w:rPr>
          <w:rFonts w:ascii="Palatino Linotype" w:hAnsi="Palatino Linotype" w:cs="Arial"/>
        </w:rPr>
        <w:t xml:space="preserve">Al </w:t>
      </w:r>
      <w:r w:rsidRPr="007928B4">
        <w:rPr>
          <w:rFonts w:ascii="Palatino Linotype" w:eastAsia="Calibri" w:hAnsi="Palatino Linotype" w:cs="Arial"/>
        </w:rPr>
        <w:t>respecto</w:t>
      </w:r>
      <w:r w:rsidRPr="007928B4">
        <w:rPr>
          <w:rFonts w:ascii="Palatino Linotype" w:hAnsi="Palatino Linotype" w:cs="Arial"/>
        </w:rPr>
        <w:t xml:space="preserve"> </w:t>
      </w:r>
      <w:r w:rsidRPr="007928B4">
        <w:rPr>
          <w:rFonts w:ascii="Palatino Linotype" w:hAnsi="Palatino Linotype" w:cs="Arial"/>
          <w:bCs/>
          <w:color w:val="000000"/>
        </w:rPr>
        <w:t>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14:paraId="75400780" w14:textId="77777777" w:rsidR="001725F0" w:rsidRPr="007928B4" w:rsidRDefault="001725F0" w:rsidP="001725F0">
      <w:pPr>
        <w:spacing w:line="360" w:lineRule="auto"/>
        <w:ind w:left="360" w:hanging="360"/>
        <w:contextualSpacing/>
        <w:rPr>
          <w:rFonts w:ascii="Palatino Linotype" w:hAnsi="Palatino Linotype" w:cs="Arial"/>
        </w:rPr>
      </w:pPr>
    </w:p>
    <w:p w14:paraId="346CBFFF" w14:textId="77777777" w:rsidR="001725F0" w:rsidRPr="007928B4" w:rsidRDefault="001725F0" w:rsidP="001725F0">
      <w:pPr>
        <w:numPr>
          <w:ilvl w:val="0"/>
          <w:numId w:val="4"/>
        </w:numPr>
        <w:spacing w:line="360" w:lineRule="auto"/>
        <w:ind w:left="0" w:firstLine="0"/>
        <w:jc w:val="both"/>
        <w:rPr>
          <w:rFonts w:ascii="Palatino Linotype" w:hAnsi="Palatino Linotype" w:cs="Arial"/>
          <w:bCs/>
          <w:color w:val="555555"/>
        </w:rPr>
      </w:pPr>
      <w:r w:rsidRPr="007928B4">
        <w:rPr>
          <w:rFonts w:ascii="Palatino Linotype" w:hAnsi="Palatino Linotype" w:cs="Arial"/>
        </w:rPr>
        <w:lastRenderedPageBreak/>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14:paraId="04B5DDE4" w14:textId="77777777" w:rsidR="001725F0" w:rsidRPr="007928B4" w:rsidRDefault="001725F0" w:rsidP="001725F0">
      <w:pPr>
        <w:spacing w:line="360" w:lineRule="auto"/>
        <w:ind w:left="425" w:right="474"/>
        <w:contextualSpacing/>
        <w:jc w:val="both"/>
        <w:rPr>
          <w:rFonts w:ascii="Palatino Linotype" w:hAnsi="Palatino Linotype" w:cs="Arial"/>
          <w:i/>
        </w:rPr>
      </w:pPr>
      <w:r w:rsidRPr="007928B4">
        <w:rPr>
          <w:rFonts w:ascii="Palatino Linotype" w:hAnsi="Palatino Linotype" w:cs="Arial"/>
          <w:b/>
          <w:i/>
        </w:rPr>
        <w:t>“RECURSO DE RECLAMACIÓN. SU INTERPOSICIÓN NO ES EXTEMPORÁNEA SI SE REALIZA ANTES DE QUE INICIE EL PLAZO PARA HACERLO</w:t>
      </w:r>
      <w:r w:rsidRPr="007928B4">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500E370A" w14:textId="77777777" w:rsidR="001725F0" w:rsidRPr="007928B4" w:rsidRDefault="001725F0" w:rsidP="001725F0">
      <w:pPr>
        <w:spacing w:line="360" w:lineRule="auto"/>
        <w:ind w:left="426" w:right="616"/>
        <w:contextualSpacing/>
        <w:jc w:val="both"/>
        <w:rPr>
          <w:rFonts w:ascii="Palatino Linotype" w:hAnsi="Palatino Linotype" w:cs="Arial"/>
          <w:i/>
        </w:rPr>
      </w:pPr>
    </w:p>
    <w:p w14:paraId="4C6251D9" w14:textId="77777777" w:rsidR="001725F0" w:rsidRPr="007928B4" w:rsidRDefault="001725F0" w:rsidP="001725F0">
      <w:pPr>
        <w:numPr>
          <w:ilvl w:val="0"/>
          <w:numId w:val="4"/>
        </w:numPr>
        <w:spacing w:line="360" w:lineRule="auto"/>
        <w:ind w:left="0" w:firstLine="0"/>
        <w:jc w:val="both"/>
        <w:rPr>
          <w:rFonts w:ascii="Palatino Linotype" w:hAnsi="Palatino Linotype" w:cs="Arial"/>
          <w:i/>
        </w:rPr>
      </w:pPr>
      <w:r w:rsidRPr="007928B4">
        <w:rPr>
          <w:rFonts w:ascii="Palatino Linotype" w:hAnsi="Palatino Linotype" w:cs="Arial"/>
        </w:rPr>
        <w:t>Esto</w:t>
      </w:r>
      <w:r w:rsidRPr="007928B4">
        <w:rPr>
          <w:rFonts w:ascii="Palatino Linotype" w:hAnsi="Palatino Linotype"/>
        </w:rPr>
        <w:t xml:space="preserve"> es así porque en primer lugar es necesario que </w:t>
      </w:r>
      <w:r w:rsidRPr="007928B4">
        <w:rPr>
          <w:rFonts w:ascii="Palatino Linotype" w:hAnsi="Palatino Linotype"/>
          <w:b/>
        </w:rPr>
        <w:t>EL RECURRENTE</w:t>
      </w:r>
      <w:r w:rsidRPr="007928B4">
        <w:rPr>
          <w:rFonts w:ascii="Palatino Linotype" w:hAnsi="Palatino Linotype"/>
        </w:rPr>
        <w:t xml:space="preserve"> conozca el acto que le provoca agravio y a partir de ahí formular su recurso de </w:t>
      </w:r>
      <w:r w:rsidRPr="007928B4">
        <w:rPr>
          <w:rFonts w:ascii="Palatino Linotype" w:eastAsia="Calibri" w:hAnsi="Palatino Linotype" w:cs="Arial"/>
        </w:rPr>
        <w:t>revisión</w:t>
      </w:r>
      <w:r w:rsidRPr="007928B4">
        <w:rPr>
          <w:rFonts w:ascii="Palatino Linotype" w:hAnsi="Palatino Linotype"/>
        </w:rPr>
        <w:t xml:space="preserve"> </w:t>
      </w:r>
      <w:r w:rsidRPr="007928B4">
        <w:rPr>
          <w:rFonts w:ascii="Palatino Linotype" w:hAnsi="Palatino Linotype" w:cs="Arial"/>
        </w:rPr>
        <w:t>señalando</w:t>
      </w:r>
      <w:r w:rsidRPr="007928B4">
        <w:rPr>
          <w:rFonts w:ascii="Palatino Linotype" w:hAnsi="Palatino Linotype"/>
        </w:rPr>
        <w:t xml:space="preserve"> </w:t>
      </w:r>
      <w:r w:rsidRPr="007928B4">
        <w:rPr>
          <w:rFonts w:ascii="Palatino Linotype" w:hAnsi="Palatino Linotype" w:cs="Arial"/>
        </w:rPr>
        <w:t>tanto</w:t>
      </w:r>
      <w:r w:rsidRPr="007928B4">
        <w:rPr>
          <w:rFonts w:ascii="Palatino Linotype" w:hAnsi="Palatino Linotype"/>
        </w:rPr>
        <w:t xml:space="preserve"> el acto impugnado como el motivo de inconformidad. Y si bien la ley señala que el plazo corre un día después de haber sido notificada la respuesta, en nada se afecta al proceso que el mismo día de </w:t>
      </w:r>
      <w:r w:rsidRPr="007928B4">
        <w:rPr>
          <w:rFonts w:ascii="Palatino Linotype" w:hAnsi="Palatino Linotype"/>
          <w:b/>
        </w:rPr>
        <w:t>notificada EL RECURRENTE</w:t>
      </w:r>
      <w:r w:rsidRPr="007928B4">
        <w:rPr>
          <w:rFonts w:ascii="Palatino Linotype" w:hAnsi="Palatino Linotype"/>
        </w:rPr>
        <w:t xml:space="preserve"> actúe, ya que al contrario lo que demuestra es el interés del mismo para ejercer su derecho bajo el principio constitucional de justicia expedita.</w:t>
      </w:r>
    </w:p>
    <w:p w14:paraId="72EADC27" w14:textId="77777777" w:rsidR="001725F0" w:rsidRPr="007928B4" w:rsidRDefault="001725F0" w:rsidP="001725F0">
      <w:pPr>
        <w:tabs>
          <w:tab w:val="left" w:pos="0"/>
        </w:tabs>
        <w:spacing w:line="360" w:lineRule="auto"/>
        <w:ind w:left="360" w:right="49" w:hanging="360"/>
        <w:contextualSpacing/>
        <w:jc w:val="both"/>
        <w:rPr>
          <w:rFonts w:ascii="Palatino Linotype" w:hAnsi="Palatino Linotype" w:cs="Arial"/>
          <w:i/>
        </w:rPr>
      </w:pPr>
    </w:p>
    <w:p w14:paraId="370CBAB5" w14:textId="77777777" w:rsidR="001725F0" w:rsidRPr="007928B4" w:rsidRDefault="001725F0" w:rsidP="001725F0">
      <w:pPr>
        <w:numPr>
          <w:ilvl w:val="0"/>
          <w:numId w:val="4"/>
        </w:numPr>
        <w:spacing w:line="360" w:lineRule="auto"/>
        <w:ind w:left="0" w:firstLine="0"/>
        <w:jc w:val="both"/>
        <w:rPr>
          <w:rFonts w:ascii="Palatino Linotype" w:hAnsi="Palatino Linotype" w:cs="Arial"/>
          <w:i/>
        </w:rPr>
      </w:pPr>
      <w:r w:rsidRPr="007928B4">
        <w:rPr>
          <w:rFonts w:ascii="Palatino Linotype" w:hAnsi="Palatino Linotype"/>
        </w:rPr>
        <w:t xml:space="preserve">Por lo que la presentación del recurso, el mismo día del conocimiento de la respuesta, -se </w:t>
      </w:r>
      <w:r w:rsidRPr="007928B4">
        <w:rPr>
          <w:rFonts w:ascii="Palatino Linotype" w:eastAsia="Calibri" w:hAnsi="Palatino Linotype" w:cs="Arial"/>
        </w:rPr>
        <w:t>insiste</w:t>
      </w:r>
      <w:r w:rsidRPr="007928B4">
        <w:rPr>
          <w:rFonts w:ascii="Palatino Linotype" w:hAnsi="Palatino Linotype"/>
        </w:rPr>
        <w:t xml:space="preserve">- no constituye un acto que altere el procedimiento, solo permite su gestión de </w:t>
      </w:r>
      <w:r w:rsidRPr="007928B4">
        <w:rPr>
          <w:rFonts w:ascii="Palatino Linotype" w:hAnsi="Palatino Linotype"/>
        </w:rPr>
        <w:lastRenderedPageBreak/>
        <w:t>manera rápida lo que no afecta ningún principio procesal y es protector del derecho de acceso a la justicia pronta y expedita.</w:t>
      </w:r>
    </w:p>
    <w:p w14:paraId="7E637303" w14:textId="77777777" w:rsidR="001725F0" w:rsidRPr="007928B4" w:rsidRDefault="001725F0" w:rsidP="001725F0">
      <w:pPr>
        <w:spacing w:line="360" w:lineRule="auto"/>
        <w:ind w:left="360" w:hanging="360"/>
        <w:contextualSpacing/>
        <w:rPr>
          <w:rFonts w:ascii="Palatino Linotype" w:hAnsi="Palatino Linotype"/>
        </w:rPr>
      </w:pPr>
    </w:p>
    <w:p w14:paraId="4840424F" w14:textId="77777777" w:rsidR="001725F0" w:rsidRPr="007928B4" w:rsidRDefault="001725F0" w:rsidP="001725F0">
      <w:pPr>
        <w:numPr>
          <w:ilvl w:val="0"/>
          <w:numId w:val="4"/>
        </w:numPr>
        <w:spacing w:line="360" w:lineRule="auto"/>
        <w:ind w:left="0" w:firstLine="0"/>
        <w:jc w:val="both"/>
        <w:rPr>
          <w:rFonts w:ascii="Palatino Linotype" w:hAnsi="Palatino Linotype" w:cs="Arial"/>
          <w:i/>
        </w:rPr>
      </w:pPr>
      <w:r w:rsidRPr="007928B4">
        <w:rPr>
          <w:rFonts w:ascii="Palatino Linotype" w:hAnsi="Palatino Linotype"/>
        </w:rPr>
        <w:t xml:space="preserve">Por lo tanto, la interposición del recurso de revisión antes de que inicie el plazo para su presentación no es determinante para declararlo extemporáneo, siempre y cuando ello ocurra de manera posterior a que se ha notificado la respuesta del </w:t>
      </w:r>
      <w:r w:rsidRPr="007928B4">
        <w:rPr>
          <w:rFonts w:ascii="Palatino Linotype" w:hAnsi="Palatino Linotype"/>
          <w:b/>
        </w:rPr>
        <w:t>SUJETO OBLIGADO.</w:t>
      </w:r>
    </w:p>
    <w:p w14:paraId="06EB2314" w14:textId="77777777" w:rsidR="00254EBA" w:rsidRPr="007928B4" w:rsidRDefault="00254EBA" w:rsidP="00254EBA">
      <w:pPr>
        <w:spacing w:line="360" w:lineRule="auto"/>
        <w:jc w:val="both"/>
        <w:rPr>
          <w:rFonts w:ascii="Palatino Linotype" w:eastAsia="Palatino Linotype" w:hAnsi="Palatino Linotype" w:cs="Palatino Linotype"/>
          <w:color w:val="000000"/>
        </w:rPr>
      </w:pPr>
    </w:p>
    <w:p w14:paraId="05AD79EE" w14:textId="77777777" w:rsidR="00254EBA" w:rsidRPr="007928B4" w:rsidRDefault="00254EBA" w:rsidP="00254EBA">
      <w:pPr>
        <w:numPr>
          <w:ilvl w:val="0"/>
          <w:numId w:val="4"/>
        </w:numPr>
        <w:spacing w:line="360" w:lineRule="auto"/>
        <w:ind w:left="0" w:firstLine="0"/>
        <w:jc w:val="both"/>
        <w:rPr>
          <w:rFonts w:ascii="Palatino Linotype" w:hAnsi="Palatino Linotype"/>
          <w:color w:val="000000"/>
        </w:rPr>
      </w:pPr>
      <w:r w:rsidRPr="007928B4">
        <w:rPr>
          <w:rFonts w:ascii="Palatino Linotype" w:eastAsia="Palatino Linotype" w:hAnsi="Palatino Linotype" w:cs="Palatino Linotype"/>
          <w:color w:val="000000"/>
        </w:rPr>
        <w:t xml:space="preserve">Lo </w:t>
      </w:r>
      <w:r w:rsidRPr="007928B4">
        <w:rPr>
          <w:rFonts w:ascii="Palatino Linotype" w:eastAsia="Calibri" w:hAnsi="Palatino Linotype" w:cs="Arial"/>
        </w:rPr>
        <w:t>que</w:t>
      </w:r>
      <w:r w:rsidRPr="007928B4">
        <w:rPr>
          <w:rFonts w:ascii="Palatino Linotype" w:eastAsia="Palatino Linotype" w:hAnsi="Palatino Linotype" w:cs="Palatino Linotype"/>
          <w:color w:val="000000"/>
        </w:rPr>
        <w:t xml:space="preserve"> se fortalece con el Criterio 6/2014 del entonces Instituto Federal de Acceso a la Información y Protección de Datos, ahora Instituto Nacional de Transparencia Acceso a la </w:t>
      </w:r>
      <w:r w:rsidRPr="007928B4">
        <w:rPr>
          <w:rFonts w:ascii="Palatino Linotype" w:eastAsia="Calibri" w:hAnsi="Palatino Linotype" w:cs="Arial"/>
        </w:rPr>
        <w:t>Información</w:t>
      </w:r>
      <w:r w:rsidRPr="007928B4">
        <w:rPr>
          <w:rFonts w:ascii="Palatino Linotype" w:eastAsia="Palatino Linotype" w:hAnsi="Palatino Linotype" w:cs="Palatino Linotype"/>
          <w:color w:val="000000"/>
        </w:rPr>
        <w:t xml:space="preserve"> y Protección de Datos Personales, el cual se reproduce para una mayor referencia:</w:t>
      </w:r>
    </w:p>
    <w:p w14:paraId="452A682F" w14:textId="77777777" w:rsidR="00254EBA" w:rsidRPr="007928B4" w:rsidRDefault="00254EBA" w:rsidP="00254EB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14:paraId="06EBAC78" w14:textId="77777777" w:rsidR="00254EBA" w:rsidRPr="007928B4" w:rsidRDefault="00254EBA" w:rsidP="00254EBA">
      <w:pPr>
        <w:pStyle w:val="Prrafodelista"/>
        <w:rPr>
          <w:rFonts w:ascii="Palatino Linotype" w:eastAsia="Calibri" w:hAnsi="Palatino Linotype" w:cs="Arial"/>
          <w:sz w:val="24"/>
          <w:szCs w:val="24"/>
        </w:rPr>
      </w:pPr>
    </w:p>
    <w:p w14:paraId="5B719F8B" w14:textId="13F90366" w:rsidR="00F31A2A" w:rsidRPr="007928B4" w:rsidRDefault="00254EBA" w:rsidP="001725F0">
      <w:pPr>
        <w:numPr>
          <w:ilvl w:val="0"/>
          <w:numId w:val="4"/>
        </w:numPr>
        <w:spacing w:line="360" w:lineRule="auto"/>
        <w:ind w:left="0" w:firstLine="0"/>
        <w:jc w:val="both"/>
        <w:rPr>
          <w:rFonts w:ascii="Palatino Linotype" w:eastAsia="Calibri" w:hAnsi="Palatino Linotype" w:cs="Arial"/>
        </w:rPr>
      </w:pPr>
      <w:r w:rsidRPr="007928B4">
        <w:rPr>
          <w:rFonts w:ascii="Palatino Linotype" w:eastAsia="Calibri" w:hAnsi="Palatino Linotype" w:cs="Arial"/>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5842CE29" w14:textId="77777777" w:rsidR="005829DD" w:rsidRPr="007928B4" w:rsidRDefault="005829DD" w:rsidP="005829DD">
      <w:pPr>
        <w:spacing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b/>
        </w:rPr>
        <w:lastRenderedPageBreak/>
        <w:t xml:space="preserve">TERCERO. Análisis de las causales de improcedencia y sobreseimiento del recurso de revisión. </w:t>
      </w:r>
    </w:p>
    <w:p w14:paraId="127E0B49"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En primer término, es importante establecer la materia de la solicitud, para determinar si se trata de una solicitud de acceso a la información como fue ingresada, o bien, si es de acceso a datos personales, en virtud de que la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al momento de formular su solicitud lo realizó vía el Sistema de Acceso a la Información Mexiquense.</w:t>
      </w:r>
    </w:p>
    <w:p w14:paraId="0883985C" w14:textId="77777777" w:rsidR="005F168E" w:rsidRPr="007928B4" w:rsidRDefault="005F168E" w:rsidP="005F168E">
      <w:pPr>
        <w:spacing w:line="360" w:lineRule="auto"/>
        <w:jc w:val="both"/>
        <w:rPr>
          <w:rFonts w:ascii="Palatino Linotype" w:eastAsia="Palatino Linotype" w:hAnsi="Palatino Linotype" w:cs="Palatino Linotype"/>
        </w:rPr>
      </w:pPr>
    </w:p>
    <w:p w14:paraId="3B78B4AC"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Es importante precisar que el derecho de acceso a la información pública tiene su sustento en los artículos 6, apartado A, fracción IV de la Constitución Política de los Estados Unidos Mexicanos; 5, párrafos vigésimo segundo, vigésimo tercero y vigésimo cuarto, fracciones IV y V de la Constitución Política del Estado Libre y Soberano de México, con relación en los artículos 1, 2 y 4 de la Ley de Transparencia y Acceso a la Información Pública del Estado de México y Municipios.</w:t>
      </w:r>
    </w:p>
    <w:p w14:paraId="20B80D9E" w14:textId="77777777" w:rsidR="005829DD" w:rsidRPr="007928B4" w:rsidRDefault="005829DD" w:rsidP="005829DD">
      <w:pPr>
        <w:spacing w:line="360" w:lineRule="auto"/>
        <w:jc w:val="both"/>
        <w:rPr>
          <w:rFonts w:ascii="Palatino Linotype" w:eastAsia="Palatino Linotype" w:hAnsi="Palatino Linotype" w:cs="Palatino Linotype"/>
        </w:rPr>
      </w:pPr>
    </w:p>
    <w:p w14:paraId="4FEF25CA"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El cual, implica transparentar el ejercicio de la función pública, facilitar el acceso de los particulares a la información pública que los Sujetos Obligados generen, posean o administren en ejercicio de sus atribuciones, mediante procedimientos sencillos y expeditos, de manera oportuna y gratuita, privilegiando el principio de máxima publicidad de la información. </w:t>
      </w:r>
    </w:p>
    <w:p w14:paraId="2489837C" w14:textId="77777777" w:rsidR="005829DD" w:rsidRPr="007928B4" w:rsidRDefault="005829DD" w:rsidP="005829DD">
      <w:pPr>
        <w:spacing w:line="360" w:lineRule="auto"/>
        <w:jc w:val="both"/>
        <w:rPr>
          <w:rFonts w:ascii="Palatino Linotype" w:eastAsia="Palatino Linotype" w:hAnsi="Palatino Linotype" w:cs="Palatino Linotype"/>
        </w:rPr>
      </w:pPr>
    </w:p>
    <w:p w14:paraId="4A86025D"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Por ello, los Sujetos Obligados deben poner en práctica, políticas y programas de acceso a la información que se apeguen a principios de simplicidad, rapidez, y gratuidad del procedimiento, de auxilio y orientación a los particulares, así como la atención adecuada a las personas con discapacidad y a los hablantes de la lengua indígena, a través del </w:t>
      </w:r>
      <w:r w:rsidRPr="007928B4">
        <w:rPr>
          <w:rFonts w:ascii="Palatino Linotype" w:eastAsia="Palatino Linotype" w:hAnsi="Palatino Linotype" w:cs="Palatino Linotype"/>
        </w:rPr>
        <w:lastRenderedPageBreak/>
        <w:t>procedimiento previsto en los artículos 150, 152, 153 y 155 de la Ley de Transparencia y Acceso a la Información Pública del Estado de México y Municipios.</w:t>
      </w:r>
    </w:p>
    <w:p w14:paraId="12158D38" w14:textId="77777777" w:rsidR="005829DD" w:rsidRPr="007928B4" w:rsidRDefault="003574E7" w:rsidP="005829DD">
      <w:pPr>
        <w:spacing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lang w:val="es-ES" w:eastAsia="en-US"/>
        </w:rPr>
        <w:t xml:space="preserve"> </w:t>
      </w:r>
    </w:p>
    <w:p w14:paraId="5FD7523E"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En ese sentido debe quedar claro que una solicitud de información es un requerimiento formulado ante los sujetos obligados, a través de la cual se abre la posibilidad de consultar, </w:t>
      </w:r>
      <w:r w:rsidRPr="007928B4">
        <w:rPr>
          <w:rFonts w:ascii="Palatino Linotype" w:eastAsia="Palatino Linotype" w:hAnsi="Palatino Linotype" w:cs="Palatino Linotype"/>
          <w:b/>
        </w:rPr>
        <w:t>sin necesidad de acreditar ningún tipo de interés</w:t>
      </w:r>
      <w:r w:rsidRPr="007928B4">
        <w:rPr>
          <w:rFonts w:ascii="Palatino Linotype" w:eastAsia="Palatino Linotype" w:hAnsi="Palatino Linotype" w:cs="Palatino Linotype"/>
        </w:rPr>
        <w:t>, los documentos generados, administrados y resguardados por ellos, tal cual se encuentran en sus archivos. Por lo tanto, los sujetos obligados no tienen la responsabilidad de elaborar resúmenes, cálculos ni investigaciones que impliquen el procesamiento de los datos. En contraste, deben buscar y entregar la información requerida, de acuerdo con la Ley de Transparencia local.</w:t>
      </w:r>
    </w:p>
    <w:p w14:paraId="627AF780" w14:textId="77777777" w:rsidR="005829DD" w:rsidRPr="007928B4" w:rsidRDefault="005829DD" w:rsidP="005829DD">
      <w:pPr>
        <w:spacing w:line="360" w:lineRule="auto"/>
        <w:jc w:val="both"/>
        <w:rPr>
          <w:rFonts w:ascii="Palatino Linotype" w:eastAsia="Palatino Linotype" w:hAnsi="Palatino Linotype" w:cs="Palatino Linotype"/>
        </w:rPr>
      </w:pPr>
    </w:p>
    <w:p w14:paraId="2275E7AE"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Ahora bien, por lo que respecta al </w:t>
      </w:r>
      <w:r w:rsidRPr="007928B4">
        <w:rPr>
          <w:rFonts w:ascii="Palatino Linotype" w:eastAsia="Palatino Linotype" w:hAnsi="Palatino Linotype" w:cs="Palatino Linotype"/>
          <w:b/>
        </w:rPr>
        <w:t>procedimiento de acceso a los datos personales</w:t>
      </w:r>
      <w:r w:rsidRPr="007928B4">
        <w:rPr>
          <w:rFonts w:ascii="Palatino Linotype" w:eastAsia="Palatino Linotype" w:hAnsi="Palatino Linotype" w:cs="Palatino Linotype"/>
        </w:rPr>
        <w:t xml:space="preserve"> debe destacarse que, de igual forma que el derecho de acceso a la información pública tiene su sustento en los artículos 6, apartado A, fracción II  y 16 párrafo segundo de la Constitución Política de los Estados Unidos Mexicanos, los cuales establecen medularmente que la información que se refiere a la vida privada y los datos personales será protegida en los términos y con las excepciones que fijen las leyes, siendo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los datos, por razones de seguridad nacional, disposiciones de orden público, seguridad y salud públicas o para proteger los derechos de terceros.</w:t>
      </w:r>
    </w:p>
    <w:p w14:paraId="2045D38E" w14:textId="77777777" w:rsidR="005829DD" w:rsidRPr="007928B4" w:rsidRDefault="005829DD" w:rsidP="005829DD">
      <w:pPr>
        <w:spacing w:line="360" w:lineRule="auto"/>
        <w:jc w:val="both"/>
        <w:rPr>
          <w:rFonts w:ascii="Palatino Linotype" w:eastAsia="Palatino Linotype" w:hAnsi="Palatino Linotype" w:cs="Palatino Linotype"/>
        </w:rPr>
      </w:pPr>
    </w:p>
    <w:p w14:paraId="31D1C428"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lastRenderedPageBreak/>
        <w:t xml:space="preserve">Procedimiento que, además, está regulado en la Ley de Protección de Datos Personales del Estado de México en específico en los artículos 25 y 26 que establecen que el titular por sí o través de su </w:t>
      </w:r>
      <w:r w:rsidRPr="007928B4">
        <w:rPr>
          <w:rFonts w:ascii="Palatino Linotype" w:eastAsia="Palatino Linotype" w:hAnsi="Palatino Linotype" w:cs="Palatino Linotype"/>
          <w:b/>
        </w:rPr>
        <w:t xml:space="preserve">representante legal </w:t>
      </w:r>
      <w:r w:rsidRPr="007928B4">
        <w:rPr>
          <w:rFonts w:ascii="Palatino Linotype" w:eastAsia="Palatino Linotype" w:hAnsi="Palatino Linotype" w:cs="Palatino Linotype"/>
        </w:rPr>
        <w:t xml:space="preserve">que </w:t>
      </w:r>
      <w:r w:rsidRPr="007928B4">
        <w:rPr>
          <w:rFonts w:ascii="Palatino Linotype" w:eastAsia="Palatino Linotype" w:hAnsi="Palatino Linotype" w:cs="Palatino Linotype"/>
          <w:b/>
        </w:rPr>
        <w:t>acrediten su identidad o representación</w:t>
      </w:r>
      <w:r w:rsidRPr="007928B4">
        <w:rPr>
          <w:rFonts w:ascii="Palatino Linotype" w:eastAsia="Palatino Linotype" w:hAnsi="Palatino Linotype" w:cs="Palatino Linotype"/>
        </w:rPr>
        <w:t xml:space="preserve">, respectivamente; tiene derecho a solicitar y ser informado sobre sus datos personales que estén en posesión de los Sujetos Obligados, el origen de dichos datos, el tratamiento del cual sean objeto, las cesiones realizadas o que se pretendan realizar, así como a tener acceso al aviso de privacidad al que está sujeto dicho tratamiento; entendiéndose por dato personal cualquier información concerniente a una persona física o </w:t>
      </w:r>
      <w:r w:rsidRPr="007928B4">
        <w:rPr>
          <w:rFonts w:ascii="Palatino Linotype" w:eastAsia="Palatino Linotype" w:hAnsi="Palatino Linotype" w:cs="Palatino Linotype"/>
          <w:b/>
        </w:rPr>
        <w:t>jurídica colectiva identificada o identificable</w:t>
      </w:r>
      <w:r w:rsidRPr="007928B4">
        <w:rPr>
          <w:rFonts w:ascii="Palatino Linotype" w:eastAsia="Palatino Linotype" w:hAnsi="Palatino Linotype" w:cs="Palatino Linotype"/>
        </w:rPr>
        <w:t>, establecida en cualquier formato o modalidad y que esté almacenada en bases de datos, conforme a lo establecido en esta Ley.</w:t>
      </w:r>
    </w:p>
    <w:p w14:paraId="575EF6A4" w14:textId="77777777" w:rsidR="005829DD" w:rsidRPr="007928B4" w:rsidRDefault="005829DD" w:rsidP="005829DD">
      <w:pPr>
        <w:spacing w:line="360" w:lineRule="auto"/>
        <w:jc w:val="both"/>
        <w:rPr>
          <w:rFonts w:ascii="Palatino Linotype" w:eastAsia="Palatino Linotype" w:hAnsi="Palatino Linotype" w:cs="Palatino Linotype"/>
        </w:rPr>
      </w:pPr>
    </w:p>
    <w:p w14:paraId="7128CFAF"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rPr>
        <w:t>Así</w:t>
      </w:r>
      <w:r w:rsidRPr="007928B4">
        <w:rPr>
          <w:rFonts w:ascii="Palatino Linotype" w:eastAsia="Palatino Linotype" w:hAnsi="Palatino Linotype" w:cs="Palatino Linotype"/>
          <w:color w:val="000000"/>
        </w:rPr>
        <w:t xml:space="preserve"> las cosas, tenemos que cuando hablamos de una solicitud de derechos ARCO se refiere a aquel derecho que tiene un titular de datos personales, para solicitar el acceso, rectificación, cancelación, oposición y portabilidad sobre el tratamiento de sus datos, ante el </w:t>
      </w:r>
      <w:r w:rsidRPr="007928B4">
        <w:rPr>
          <w:rFonts w:ascii="Palatino Linotype" w:eastAsia="Palatino Linotype" w:hAnsi="Palatino Linotype" w:cs="Palatino Linotype"/>
          <w:b/>
          <w:color w:val="000000"/>
        </w:rPr>
        <w:t>SUJETO OBLIGADO</w:t>
      </w:r>
      <w:r w:rsidRPr="007928B4">
        <w:rPr>
          <w:rFonts w:ascii="Palatino Linotype" w:eastAsia="Palatino Linotype" w:hAnsi="Palatino Linotype" w:cs="Palatino Linotype"/>
          <w:color w:val="000000"/>
        </w:rPr>
        <w:t xml:space="preserve"> que esté en posesión de los mismos.</w:t>
      </w:r>
    </w:p>
    <w:p w14:paraId="45B4722C" w14:textId="77777777" w:rsidR="005829DD" w:rsidRPr="007928B4" w:rsidRDefault="005829DD" w:rsidP="005829DD">
      <w:pPr>
        <w:spacing w:line="360" w:lineRule="auto"/>
        <w:jc w:val="both"/>
        <w:rPr>
          <w:rFonts w:ascii="Palatino Linotype" w:eastAsia="Palatino Linotype" w:hAnsi="Palatino Linotype" w:cs="Palatino Linotype"/>
          <w:color w:val="000000"/>
        </w:rPr>
      </w:pPr>
    </w:p>
    <w:p w14:paraId="368CD6BB"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Es así, que del análisis a la solicitud se advierte que la parte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requiere acceder los siguientes datos: </w:t>
      </w:r>
    </w:p>
    <w:p w14:paraId="254E10EF" w14:textId="2AFBA38C" w:rsidR="003A23F3" w:rsidRPr="007928B4" w:rsidRDefault="002C3D10" w:rsidP="000569C5">
      <w:pPr>
        <w:pStyle w:val="Prrafodelista"/>
        <w:numPr>
          <w:ilvl w:val="0"/>
          <w:numId w:val="9"/>
        </w:numPr>
        <w:ind w:left="1134" w:right="1134" w:firstLine="0"/>
        <w:jc w:val="both"/>
        <w:rPr>
          <w:rFonts w:ascii="Palatino Linotype" w:eastAsia="Palatino Linotype" w:hAnsi="Palatino Linotype" w:cs="Palatino Linotype"/>
          <w:b/>
          <w:i/>
          <w:iCs/>
          <w:sz w:val="24"/>
          <w:szCs w:val="24"/>
        </w:rPr>
      </w:pPr>
      <w:r w:rsidRPr="007928B4">
        <w:rPr>
          <w:rFonts w:ascii="Palatino Linotype" w:eastAsia="Palatino Linotype" w:hAnsi="Palatino Linotype" w:cs="Palatino Linotype"/>
          <w:b/>
          <w:i/>
          <w:iCs/>
          <w:sz w:val="24"/>
          <w:szCs w:val="24"/>
        </w:rPr>
        <w:t>E</w:t>
      </w:r>
      <w:r w:rsidR="000569C5" w:rsidRPr="007928B4">
        <w:rPr>
          <w:rFonts w:ascii="Palatino Linotype" w:eastAsia="Palatino Linotype" w:hAnsi="Palatino Linotype" w:cs="Palatino Linotype"/>
          <w:b/>
          <w:i/>
          <w:iCs/>
          <w:sz w:val="24"/>
          <w:szCs w:val="24"/>
        </w:rPr>
        <w:t>xpediente concluido correspondiente de Moisés Jiménez González vs OSFEM</w:t>
      </w:r>
    </w:p>
    <w:p w14:paraId="1072A5B6" w14:textId="77777777" w:rsidR="005829DD" w:rsidRPr="007928B4" w:rsidRDefault="005829DD" w:rsidP="005829DD">
      <w:pPr>
        <w:spacing w:line="360" w:lineRule="auto"/>
        <w:jc w:val="both"/>
        <w:rPr>
          <w:rFonts w:ascii="Palatino Linotype" w:eastAsia="Palatino Linotype" w:hAnsi="Palatino Linotype" w:cs="Palatino Linotype"/>
        </w:rPr>
      </w:pPr>
    </w:p>
    <w:p w14:paraId="194BE55A" w14:textId="788A0024" w:rsidR="005829DD" w:rsidRPr="007928B4" w:rsidRDefault="000569C5"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A</w:t>
      </w:r>
      <w:r w:rsidR="005829DD" w:rsidRPr="007928B4">
        <w:rPr>
          <w:rFonts w:ascii="Palatino Linotype" w:eastAsia="Palatino Linotype" w:hAnsi="Palatino Linotype" w:cs="Palatino Linotype"/>
        </w:rPr>
        <w:t xml:space="preserve">tendiendo a la solicitud, el procedimiento de acceso a la información pública no es la vía para su tramitación, por lo que se deberá atender en términos del ejercicio del derecho de acceso a datos personales, toda vez que este Instituto, al igual que otros Órganos Garantes </w:t>
      </w:r>
      <w:r w:rsidR="005829DD" w:rsidRPr="007928B4">
        <w:rPr>
          <w:rFonts w:ascii="Palatino Linotype" w:eastAsia="Palatino Linotype" w:hAnsi="Palatino Linotype" w:cs="Palatino Linotype"/>
        </w:rPr>
        <w:lastRenderedPageBreak/>
        <w:t xml:space="preserve">como es el Instituto Nacional de Acceso a la Información y Protección de Datos (INAI) se han pronunciado por la procedencia de los recursos de revisión según la materia de la solicitud. </w:t>
      </w:r>
    </w:p>
    <w:p w14:paraId="0FAA63F2" w14:textId="77777777" w:rsidR="005829DD" w:rsidRPr="007928B4" w:rsidRDefault="005829DD" w:rsidP="005829DD">
      <w:pPr>
        <w:spacing w:line="360" w:lineRule="auto"/>
        <w:jc w:val="both"/>
        <w:rPr>
          <w:rFonts w:ascii="Palatino Linotype" w:eastAsia="Palatino Linotype" w:hAnsi="Palatino Linotype" w:cs="Palatino Linotype"/>
        </w:rPr>
      </w:pPr>
    </w:p>
    <w:p w14:paraId="16C901E0"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Lo anterior de conformidad con el criterio </w:t>
      </w:r>
      <w:r w:rsidRPr="007928B4">
        <w:rPr>
          <w:rFonts w:ascii="Palatino Linotype" w:eastAsia="Palatino Linotype" w:hAnsi="Palatino Linotype" w:cs="Palatino Linotype"/>
          <w:b/>
        </w:rPr>
        <w:t>008/2009</w:t>
      </w:r>
      <w:r w:rsidRPr="007928B4">
        <w:rPr>
          <w:rFonts w:ascii="Palatino Linotype" w:eastAsia="Palatino Linotype" w:hAnsi="Palatino Linotype" w:cs="Palatino Linotype"/>
        </w:rPr>
        <w:t xml:space="preserve"> del INAI, </w:t>
      </w:r>
      <w:r w:rsidR="00A82B86" w:rsidRPr="007928B4">
        <w:rPr>
          <w:rFonts w:ascii="Palatino Linotype" w:eastAsia="Palatino Linotype" w:hAnsi="Palatino Linotype" w:cs="Palatino Linotype"/>
        </w:rPr>
        <w:t xml:space="preserve">vigente a la fecha de la solicitud de información, </w:t>
      </w:r>
      <w:r w:rsidRPr="007928B4">
        <w:rPr>
          <w:rFonts w:ascii="Palatino Linotype" w:eastAsia="Palatino Linotype" w:hAnsi="Palatino Linotype" w:cs="Palatino Linotype"/>
        </w:rPr>
        <w:t>que a la letra dispone:</w:t>
      </w:r>
    </w:p>
    <w:p w14:paraId="3859A260" w14:textId="77777777" w:rsidR="005829DD" w:rsidRPr="007928B4" w:rsidRDefault="005829DD" w:rsidP="005829DD">
      <w:pPr>
        <w:tabs>
          <w:tab w:val="left" w:pos="7655"/>
        </w:tabs>
        <w:spacing w:after="120"/>
        <w:ind w:left="1134" w:right="1134"/>
        <w:jc w:val="both"/>
        <w:rPr>
          <w:rFonts w:ascii="Palatino Linotype" w:eastAsia="Palatino Linotype" w:hAnsi="Palatino Linotype" w:cs="Palatino Linotype"/>
          <w:b/>
          <w:i/>
        </w:rPr>
      </w:pPr>
      <w:r w:rsidRPr="007928B4">
        <w:rPr>
          <w:rFonts w:ascii="Palatino Linotype" w:eastAsia="Palatino Linotype" w:hAnsi="Palatino Linotype" w:cs="Palatino Linotype"/>
          <w:i/>
        </w:rPr>
        <w:t>“</w:t>
      </w:r>
      <w:r w:rsidRPr="007928B4">
        <w:rPr>
          <w:rFonts w:ascii="Palatino Linotype" w:eastAsia="Palatino Linotype" w:hAnsi="Palatino Linotype" w:cs="Palatino Linotype"/>
          <w:b/>
          <w:i/>
        </w:rPr>
        <w:t>Las dependencias y entidades deberán dar trámite a las solicitudes aun cuando la vía en la que fueron presentadas -acceso a datos personales o información pública- no corresponda con la naturaleza de la materia de la misma.</w:t>
      </w:r>
      <w:r w:rsidRPr="007928B4">
        <w:rPr>
          <w:rFonts w:ascii="Palatino Linotype" w:eastAsia="Palatino Linotype" w:hAnsi="Palatino Linotype" w:cs="Palatino Linotype"/>
          <w:i/>
        </w:rPr>
        <w:t xml:space="preserve"> </w:t>
      </w:r>
      <w:r w:rsidRPr="007928B4">
        <w:rPr>
          <w:rFonts w:ascii="Palatino Linotype" w:eastAsia="Palatino Linotype" w:hAnsi="Palatino Linotype" w:cs="Palatino Linotype"/>
          <w:b/>
          <w:i/>
        </w:rPr>
        <w:t xml:space="preserve">Todas aquellas solicitudes cuyo objetivo sea allegarse de información pública y que sean ingresadas por la vía de acceso a datos personales, así como el caso contrario, </w:t>
      </w:r>
      <w:r w:rsidRPr="007928B4">
        <w:rPr>
          <w:rFonts w:ascii="Palatino Linotype" w:eastAsia="Palatino Linotype" w:hAnsi="Palatino Linotype" w:cs="Palatino Linotype"/>
          <w:b/>
          <w:i/>
          <w:u w:val="single"/>
        </w:rPr>
        <w:t>deberán ser tramitadas por las dependencias y entidades de conformidad con la naturaleza de la información de que se trate</w:t>
      </w:r>
      <w:r w:rsidRPr="007928B4">
        <w:rPr>
          <w:rFonts w:ascii="Palatino Linotype" w:eastAsia="Palatino Linotype" w:hAnsi="Palatino Linotype" w:cs="Palatino Linotype"/>
          <w:b/>
          <w:i/>
        </w:rPr>
        <w:t>, sin necesidad de que el particular requiera presentar una nueva solicitud.</w:t>
      </w:r>
    </w:p>
    <w:p w14:paraId="61B718F6" w14:textId="77777777" w:rsidR="005829DD" w:rsidRDefault="005829DD" w:rsidP="005829DD">
      <w:pPr>
        <w:tabs>
          <w:tab w:val="left" w:pos="7655"/>
        </w:tabs>
        <w:spacing w:after="120"/>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i/>
        </w:rPr>
        <w:t xml:space="preserve">De conformidad con lo dispuesto en el artículo 1° de la Ley Federal de Transparencia y Acceso a la Información Pública Gubernamental, ésta tiene como finalidad proveer lo necesario para garantizar el acceso de toda persona a la información en posesión de los Poderes de la Unión, los órganos constitucionales autónomos o con autonomía legal, y cualquier otro órgano federal. Por su parte, el artículo 4 de la Ley en cita señala que entre sus objetivos se encuentra el de “proveer lo necesario para que toda persona pueda tener acceso a la información mediante procedimientos sencillos y expeditos”. De igual forma, el artículo 6 de la Ley Federal de Transparencia y Acceso a la Información Pública Gubernamental dispone que en la interpretación de la referida Ley y de su Reglamento “se deberá favorecer el principio de máxima publicidad y disponibilidad de la información en posesión de los sujetos obligados”. Considerando lo establecido en los artículos citados, este Instituto determina que, a efecto de cumplir con los objetivos de la ley de la materia y en aras de garantizar el acceso a través de procedimientos sencillos y expeditos, favoreciendo también el principio disponibilidad de la información en posesión de los sujetos obligados, éstos deben subsanar los errores en que incurran los particulares al elegir la vía por la que los particulares presentan sus solicitudes. </w:t>
      </w:r>
      <w:r w:rsidRPr="007928B4">
        <w:rPr>
          <w:rFonts w:ascii="Palatino Linotype" w:eastAsia="Palatino Linotype" w:hAnsi="Palatino Linotype" w:cs="Palatino Linotype"/>
          <w:b/>
          <w:i/>
        </w:rPr>
        <w:lastRenderedPageBreak/>
        <w:t>Por consiguiente, en el caso que los particulares ingresen solicitudes de acceso a datos personales cuando, en realidad, la información solicitada corresponde a información pública, o viceversa, las dependencias y entidades deberán darles el trámite correspondiente de conformidad con la naturaleza de la información solicitada</w:t>
      </w:r>
      <w:r w:rsidRPr="007928B4">
        <w:rPr>
          <w:rFonts w:ascii="Palatino Linotype" w:eastAsia="Palatino Linotype" w:hAnsi="Palatino Linotype" w:cs="Palatino Linotype"/>
          <w:i/>
        </w:rPr>
        <w:t>.”</w:t>
      </w:r>
    </w:p>
    <w:p w14:paraId="2C590DDF" w14:textId="77777777" w:rsidR="007928B4" w:rsidRPr="007928B4" w:rsidRDefault="007928B4" w:rsidP="005829DD">
      <w:pPr>
        <w:tabs>
          <w:tab w:val="left" w:pos="7655"/>
        </w:tabs>
        <w:spacing w:after="120"/>
        <w:ind w:left="1134" w:right="1134"/>
        <w:jc w:val="both"/>
        <w:rPr>
          <w:rFonts w:ascii="Palatino Linotype" w:eastAsia="Palatino Linotype" w:hAnsi="Palatino Linotype" w:cs="Palatino Linotype"/>
          <w:i/>
        </w:rPr>
      </w:pPr>
    </w:p>
    <w:p w14:paraId="48457846"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i/>
        </w:rPr>
      </w:pPr>
      <w:r w:rsidRPr="007928B4">
        <w:rPr>
          <w:rFonts w:ascii="Palatino Linotype" w:eastAsia="Palatino Linotype" w:hAnsi="Palatino Linotype" w:cs="Palatino Linotype"/>
        </w:rPr>
        <w:t>Lo anterior, bajo el principio  de expeditez</w:t>
      </w:r>
      <w:r w:rsidRPr="007928B4">
        <w:rPr>
          <w:rFonts w:ascii="Palatino Linotype" w:eastAsia="Palatino Linotype" w:hAnsi="Palatino Linotype" w:cs="Palatino Linotype"/>
          <w:vertAlign w:val="superscript"/>
        </w:rPr>
        <w:footnoteReference w:id="1"/>
      </w:r>
      <w:r w:rsidRPr="007928B4">
        <w:rPr>
          <w:rFonts w:ascii="Palatino Linotype" w:eastAsia="Palatino Linotype" w:hAnsi="Palatino Linotype" w:cs="Palatino Linotype"/>
        </w:rPr>
        <w:t xml:space="preserve"> “</w:t>
      </w:r>
      <w:r w:rsidRPr="007928B4">
        <w:rPr>
          <w:rFonts w:ascii="Palatino Linotype" w:eastAsia="Palatino Linotype" w:hAnsi="Palatino Linotype" w:cs="Palatino Linotype"/>
          <w:i/>
        </w:rPr>
        <w:t xml:space="preserve">que consiste en que la impartición de justicia debe estar libre de estorbos, lo que significa que el poder público —en cualquiera de sus manifestaciones: Ejecutivo, Legislativo o Judicial— no puede supeditar el acceso a los tribunales a la satisfacción de condiciones innecesarias, excesivas y carentes de razonabilidad o proporcionalidad”, </w:t>
      </w:r>
      <w:r w:rsidRPr="007928B4">
        <w:rPr>
          <w:rFonts w:ascii="Palatino Linotype" w:eastAsia="Palatino Linotype" w:hAnsi="Palatino Linotype" w:cs="Palatino Linotype"/>
        </w:rPr>
        <w:t>determina  procedente dar trámite a la solicitud formulada por la parte R</w:t>
      </w:r>
      <w:r w:rsidRPr="007928B4">
        <w:rPr>
          <w:rFonts w:ascii="Palatino Linotype" w:eastAsia="Palatino Linotype" w:hAnsi="Palatino Linotype" w:cs="Palatino Linotype"/>
          <w:b/>
        </w:rPr>
        <w:t>ECURRENTE</w:t>
      </w:r>
      <w:r w:rsidRPr="007928B4">
        <w:rPr>
          <w:rFonts w:ascii="Palatino Linotype" w:eastAsia="Palatino Linotype" w:hAnsi="Palatino Linotype" w:cs="Palatino Linotype"/>
        </w:rPr>
        <w:t xml:space="preserve"> bajo el procedimiento de acceso a los datos personales previsto en la Ley de Protección de Datos Personales en Posesión de Sujetos Obligados del Estado de México y Municipios, de conformidad con el artículo 1 de la Ley referida la misma tiene por objeto garantizar la protección de los datos personales que se encuentren en posesión de los sujetos obligados, de tal forma, en la resolución del presente asunto resulta aplicable la Ley de Protección de Datos Personales en Posesión de Sujetos Obligados del Estado de México y Municipios.</w:t>
      </w:r>
    </w:p>
    <w:p w14:paraId="2C23E647" w14:textId="77777777" w:rsidR="005829DD" w:rsidRPr="007928B4" w:rsidRDefault="005829DD" w:rsidP="005829DD">
      <w:pPr>
        <w:spacing w:line="360" w:lineRule="auto"/>
        <w:jc w:val="both"/>
        <w:rPr>
          <w:rFonts w:ascii="Palatino Linotype" w:eastAsia="Palatino Linotype" w:hAnsi="Palatino Linotype" w:cs="Palatino Linotype"/>
          <w:i/>
        </w:rPr>
      </w:pPr>
    </w:p>
    <w:p w14:paraId="78460B41"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Acotado lo anterior, cabe mencionar que 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w:t>
      </w:r>
    </w:p>
    <w:p w14:paraId="06AD54A0"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lastRenderedPageBreak/>
        <w:t>De tal suerte, deberá ser desechado cualquier recurso de revisión que actualice alguno de los supuestos establecidos en el artículo 138 de la Ley de Protección de Datos Personales en Posesión de Sujetos Obligados del Estado de México y Municipios, por improcedente, a saber:</w:t>
      </w:r>
    </w:p>
    <w:p w14:paraId="42943100" w14:textId="77777777" w:rsidR="005829DD" w:rsidRPr="007928B4" w:rsidRDefault="005829DD" w:rsidP="005829DD">
      <w:pPr>
        <w:spacing w:before="120" w:after="120"/>
        <w:ind w:left="851" w:right="902"/>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r w:rsidRPr="007928B4">
        <w:rPr>
          <w:rFonts w:ascii="Palatino Linotype" w:eastAsia="Palatino Linotype" w:hAnsi="Palatino Linotype" w:cs="Palatino Linotype"/>
          <w:b/>
          <w:i/>
        </w:rPr>
        <w:t>Artículo 138</w:t>
      </w:r>
      <w:r w:rsidRPr="007928B4">
        <w:rPr>
          <w:rFonts w:ascii="Palatino Linotype" w:eastAsia="Palatino Linotype" w:hAnsi="Palatino Linotype" w:cs="Palatino Linotype"/>
          <w:i/>
        </w:rPr>
        <w:t>. El recurso de revisión podrá ser desechado por improcedente cuando:</w:t>
      </w:r>
    </w:p>
    <w:p w14:paraId="4A28B3A7" w14:textId="77777777" w:rsidR="005829DD" w:rsidRPr="007928B4" w:rsidRDefault="005829DD" w:rsidP="005829DD">
      <w:pPr>
        <w:spacing w:before="120" w:after="120"/>
        <w:ind w:left="1134" w:right="902"/>
        <w:jc w:val="both"/>
        <w:rPr>
          <w:rFonts w:ascii="Palatino Linotype" w:eastAsia="Palatino Linotype" w:hAnsi="Palatino Linotype" w:cs="Palatino Linotype"/>
          <w:i/>
        </w:rPr>
      </w:pPr>
      <w:r w:rsidRPr="007928B4">
        <w:rPr>
          <w:rFonts w:ascii="Palatino Linotype" w:eastAsia="Palatino Linotype" w:hAnsi="Palatino Linotype" w:cs="Palatino Linotype"/>
          <w:b/>
          <w:i/>
        </w:rPr>
        <w:t xml:space="preserve"> I.</w:t>
      </w:r>
      <w:r w:rsidRPr="007928B4">
        <w:rPr>
          <w:rFonts w:ascii="Palatino Linotype" w:eastAsia="Palatino Linotype" w:hAnsi="Palatino Linotype" w:cs="Palatino Linotype"/>
          <w:i/>
        </w:rPr>
        <w:t xml:space="preserve"> Sea extemporáneo por haber transcurrido el plazo establecido en el artículo 128 de la presente Ley. </w:t>
      </w:r>
    </w:p>
    <w:p w14:paraId="1680E1AA" w14:textId="77777777" w:rsidR="005829DD" w:rsidRPr="007928B4" w:rsidRDefault="005829DD" w:rsidP="005829DD">
      <w:pPr>
        <w:spacing w:before="120" w:after="120"/>
        <w:ind w:left="1134" w:right="902"/>
        <w:jc w:val="both"/>
        <w:rPr>
          <w:rFonts w:ascii="Palatino Linotype" w:eastAsia="Palatino Linotype" w:hAnsi="Palatino Linotype" w:cs="Palatino Linotype"/>
          <w:b/>
          <w:i/>
        </w:rPr>
      </w:pPr>
      <w:r w:rsidRPr="007928B4">
        <w:rPr>
          <w:rFonts w:ascii="Palatino Linotype" w:eastAsia="Palatino Linotype" w:hAnsi="Palatino Linotype" w:cs="Palatino Linotype"/>
          <w:b/>
          <w:i/>
        </w:rPr>
        <w:t>II. El titular o su representante no acrediten debidamente su identidad y personalidad de este último.</w:t>
      </w:r>
    </w:p>
    <w:p w14:paraId="695E01FC" w14:textId="77777777" w:rsidR="005829DD" w:rsidRPr="007928B4" w:rsidRDefault="005829DD" w:rsidP="005829DD">
      <w:pPr>
        <w:spacing w:before="120" w:after="120"/>
        <w:ind w:left="1134" w:right="902"/>
        <w:jc w:val="both"/>
        <w:rPr>
          <w:rFonts w:ascii="Palatino Linotype" w:eastAsia="Palatino Linotype" w:hAnsi="Palatino Linotype" w:cs="Palatino Linotype"/>
          <w:i/>
        </w:rPr>
      </w:pPr>
      <w:r w:rsidRPr="007928B4">
        <w:rPr>
          <w:rFonts w:ascii="Palatino Linotype" w:eastAsia="Palatino Linotype" w:hAnsi="Palatino Linotype" w:cs="Palatino Linotype"/>
          <w:b/>
          <w:i/>
        </w:rPr>
        <w:t>III.</w:t>
      </w:r>
      <w:r w:rsidRPr="007928B4">
        <w:rPr>
          <w:rFonts w:ascii="Palatino Linotype" w:eastAsia="Palatino Linotype" w:hAnsi="Palatino Linotype" w:cs="Palatino Linotype"/>
          <w:i/>
        </w:rPr>
        <w:t xml:space="preserve"> El Instituto haya resuelto anteriormente en definitiva sobre la materia del mismo. </w:t>
      </w:r>
    </w:p>
    <w:p w14:paraId="567F0879" w14:textId="77777777" w:rsidR="005829DD" w:rsidRPr="007928B4" w:rsidRDefault="005829DD" w:rsidP="005829DD">
      <w:pPr>
        <w:spacing w:before="120" w:after="120"/>
        <w:ind w:left="1134" w:right="902"/>
        <w:jc w:val="both"/>
        <w:rPr>
          <w:rFonts w:ascii="Palatino Linotype" w:eastAsia="Palatino Linotype" w:hAnsi="Palatino Linotype" w:cs="Palatino Linotype"/>
          <w:i/>
        </w:rPr>
      </w:pPr>
      <w:r w:rsidRPr="007928B4">
        <w:rPr>
          <w:rFonts w:ascii="Palatino Linotype" w:eastAsia="Palatino Linotype" w:hAnsi="Palatino Linotype" w:cs="Palatino Linotype"/>
          <w:b/>
          <w:i/>
        </w:rPr>
        <w:t>IV</w:t>
      </w:r>
      <w:r w:rsidRPr="007928B4">
        <w:rPr>
          <w:rFonts w:ascii="Palatino Linotype" w:eastAsia="Palatino Linotype" w:hAnsi="Palatino Linotype" w:cs="Palatino Linotype"/>
          <w:i/>
        </w:rPr>
        <w:t xml:space="preserve">. No se actualice alguna de las causales del recurso de revisión previstas en el artículo 129 de la presente Ley. </w:t>
      </w:r>
    </w:p>
    <w:p w14:paraId="6274E152" w14:textId="77777777" w:rsidR="005829DD" w:rsidRPr="007928B4" w:rsidRDefault="005829DD" w:rsidP="005829DD">
      <w:pPr>
        <w:spacing w:before="120" w:after="120"/>
        <w:ind w:left="1134" w:right="902"/>
        <w:jc w:val="both"/>
        <w:rPr>
          <w:rFonts w:ascii="Palatino Linotype" w:eastAsia="Palatino Linotype" w:hAnsi="Palatino Linotype" w:cs="Palatino Linotype"/>
          <w:i/>
        </w:rPr>
      </w:pPr>
      <w:r w:rsidRPr="007928B4">
        <w:rPr>
          <w:rFonts w:ascii="Palatino Linotype" w:eastAsia="Palatino Linotype" w:hAnsi="Palatino Linotype" w:cs="Palatino Linotype"/>
          <w:b/>
          <w:i/>
        </w:rPr>
        <w:t>V.</w:t>
      </w:r>
      <w:r w:rsidRPr="007928B4">
        <w:rPr>
          <w:rFonts w:ascii="Palatino Linotype" w:eastAsia="Palatino Linotype" w:hAnsi="Palatino Linotype" w:cs="Palatino Linotype"/>
          <w:i/>
        </w:rPr>
        <w:t xml:space="preserve"> Se esté tramitando ante los tribunales competentes algún recurso o medio de defensa interpuesto por el recurrente, o en su caso, por el tercero interesado, en contra del acto recurrido ante el Instituto. </w:t>
      </w:r>
    </w:p>
    <w:p w14:paraId="38F4FF0D" w14:textId="77777777" w:rsidR="005829DD" w:rsidRPr="007928B4" w:rsidRDefault="005829DD" w:rsidP="005829DD">
      <w:pPr>
        <w:spacing w:before="120" w:after="120"/>
        <w:ind w:left="1134" w:right="902"/>
        <w:jc w:val="both"/>
        <w:rPr>
          <w:rFonts w:ascii="Palatino Linotype" w:eastAsia="Palatino Linotype" w:hAnsi="Palatino Linotype" w:cs="Palatino Linotype"/>
          <w:i/>
        </w:rPr>
      </w:pPr>
      <w:r w:rsidRPr="007928B4">
        <w:rPr>
          <w:rFonts w:ascii="Palatino Linotype" w:eastAsia="Palatino Linotype" w:hAnsi="Palatino Linotype" w:cs="Palatino Linotype"/>
          <w:b/>
          <w:i/>
        </w:rPr>
        <w:t>VI.</w:t>
      </w:r>
      <w:r w:rsidRPr="007928B4">
        <w:rPr>
          <w:rFonts w:ascii="Palatino Linotype" w:eastAsia="Palatino Linotype" w:hAnsi="Palatino Linotype" w:cs="Palatino Linotype"/>
          <w:i/>
        </w:rPr>
        <w:t xml:space="preserve"> El recurrente modifique o amplíe su petición en el recurso de revisión, únicamente respecto de los nuevos contenidos. </w:t>
      </w:r>
    </w:p>
    <w:p w14:paraId="29E95DA8" w14:textId="77777777" w:rsidR="005829DD" w:rsidRPr="007928B4" w:rsidRDefault="005829DD" w:rsidP="005829DD">
      <w:pPr>
        <w:spacing w:before="120" w:after="120"/>
        <w:ind w:left="1134" w:right="902"/>
        <w:jc w:val="both"/>
        <w:rPr>
          <w:rFonts w:ascii="Palatino Linotype" w:eastAsia="Palatino Linotype" w:hAnsi="Palatino Linotype" w:cs="Palatino Linotype"/>
          <w:b/>
          <w:i/>
        </w:rPr>
      </w:pPr>
      <w:r w:rsidRPr="007928B4">
        <w:rPr>
          <w:rFonts w:ascii="Palatino Linotype" w:eastAsia="Palatino Linotype" w:hAnsi="Palatino Linotype" w:cs="Palatino Linotype"/>
          <w:b/>
          <w:i/>
        </w:rPr>
        <w:t xml:space="preserve">VII. El recurrente no acredite interés jurídico. </w:t>
      </w:r>
    </w:p>
    <w:p w14:paraId="78BAB7E4" w14:textId="77777777" w:rsidR="005829DD" w:rsidRPr="007928B4" w:rsidRDefault="005829DD" w:rsidP="005829DD">
      <w:pPr>
        <w:spacing w:before="120" w:after="120"/>
        <w:ind w:left="851" w:right="902"/>
        <w:jc w:val="both"/>
        <w:rPr>
          <w:rFonts w:ascii="Palatino Linotype" w:eastAsia="Palatino Linotype" w:hAnsi="Palatino Linotype" w:cs="Palatino Linotype"/>
          <w:i/>
        </w:rPr>
      </w:pPr>
      <w:r w:rsidRPr="007928B4">
        <w:rPr>
          <w:rFonts w:ascii="Palatino Linotype" w:eastAsia="Palatino Linotype" w:hAnsi="Palatino Linotype" w:cs="Palatino Linotype"/>
          <w:i/>
        </w:rPr>
        <w:t>El desechamiento no implica la preclusión del derecho del titular para interponer ante el Instituto un nuevo recurso de revisión.”</w:t>
      </w:r>
    </w:p>
    <w:p w14:paraId="2E2D9912" w14:textId="77777777" w:rsidR="005829DD" w:rsidRPr="007928B4" w:rsidRDefault="005829DD" w:rsidP="005829DD">
      <w:pPr>
        <w:spacing w:before="120" w:after="120"/>
        <w:ind w:right="902"/>
        <w:jc w:val="both"/>
        <w:rPr>
          <w:rFonts w:ascii="Palatino Linotype" w:eastAsia="Palatino Linotype" w:hAnsi="Palatino Linotype" w:cs="Palatino Linotype"/>
          <w:i/>
        </w:rPr>
      </w:pPr>
    </w:p>
    <w:p w14:paraId="2656091A" w14:textId="1CBC1D10" w:rsidR="005829DD" w:rsidRPr="007928B4" w:rsidRDefault="005829DD" w:rsidP="00A82B86">
      <w:pPr>
        <w:numPr>
          <w:ilvl w:val="0"/>
          <w:numId w:val="4"/>
        </w:numPr>
        <w:spacing w:before="240" w:after="240" w:line="360" w:lineRule="auto"/>
        <w:ind w:left="0" w:right="49"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En este tenor, es necesario recordar que la parte </w:t>
      </w:r>
      <w:r w:rsidRPr="007928B4">
        <w:rPr>
          <w:rFonts w:ascii="Palatino Linotype" w:eastAsia="Palatino Linotype" w:hAnsi="Palatino Linotype" w:cs="Palatino Linotype"/>
          <w:b/>
        </w:rPr>
        <w:t xml:space="preserve">RECURRENTE </w:t>
      </w:r>
      <w:r w:rsidRPr="007928B4">
        <w:rPr>
          <w:rFonts w:ascii="Palatino Linotype" w:eastAsia="Palatino Linotype" w:hAnsi="Palatino Linotype" w:cs="Palatino Linotype"/>
        </w:rPr>
        <w:t xml:space="preserve">solicitó </w:t>
      </w:r>
      <w:r w:rsidR="002C3D10" w:rsidRPr="007928B4">
        <w:rPr>
          <w:rFonts w:ascii="Palatino Linotype" w:eastAsia="Palatino Linotype" w:hAnsi="Palatino Linotype" w:cs="Palatino Linotype"/>
          <w:lang w:val="es-ES"/>
        </w:rPr>
        <w:t>el expediente referido en la solicitud de información, de lo cual debe de precisarse que identifica a la persona de quien solicita el expediente, toda vez que agrega una imagen con el nombre de quien interviene en el juicio laboral</w:t>
      </w:r>
      <w:r w:rsidR="002C3D10" w:rsidRPr="007928B4">
        <w:rPr>
          <w:rFonts w:ascii="Palatino Linotype" w:eastAsia="Palatino Linotype" w:hAnsi="Palatino Linotype" w:cs="Palatino Linotype"/>
        </w:rPr>
        <w:t>.</w:t>
      </w:r>
      <w:r w:rsidRPr="007928B4">
        <w:rPr>
          <w:rFonts w:ascii="Palatino Linotype" w:eastAsia="Palatino Linotype" w:hAnsi="Palatino Linotype" w:cs="Palatino Linotype"/>
        </w:rPr>
        <w:t xml:space="preserve"> </w:t>
      </w:r>
    </w:p>
    <w:p w14:paraId="4DA801D0" w14:textId="77777777" w:rsidR="005829DD" w:rsidRPr="007928B4" w:rsidRDefault="005829DD" w:rsidP="00E57902">
      <w:pPr>
        <w:numPr>
          <w:ilvl w:val="0"/>
          <w:numId w:val="4"/>
        </w:numPr>
        <w:spacing w:before="240" w:after="240" w:line="360" w:lineRule="auto"/>
        <w:ind w:left="0" w:right="49" w:firstLine="0"/>
        <w:jc w:val="both"/>
        <w:rPr>
          <w:rFonts w:ascii="Palatino Linotype" w:eastAsia="Palatino Linotype" w:hAnsi="Palatino Linotype" w:cs="Palatino Linotype"/>
          <w:i/>
        </w:rPr>
      </w:pPr>
      <w:r w:rsidRPr="007928B4">
        <w:rPr>
          <w:rFonts w:ascii="Palatino Linotype" w:eastAsia="Palatino Linotype" w:hAnsi="Palatino Linotype" w:cs="Palatino Linotype"/>
        </w:rPr>
        <w:lastRenderedPageBreak/>
        <w:t xml:space="preserve">En respuesta a la solicitud de acceso a datos personales, el </w:t>
      </w:r>
      <w:r w:rsidRPr="007928B4">
        <w:rPr>
          <w:rFonts w:ascii="Palatino Linotype" w:eastAsia="Palatino Linotype" w:hAnsi="Palatino Linotype" w:cs="Palatino Linotype"/>
          <w:b/>
        </w:rPr>
        <w:t xml:space="preserve">SUJETO OBLIGADO </w:t>
      </w:r>
      <w:r w:rsidR="00E57902" w:rsidRPr="007928B4">
        <w:rPr>
          <w:rFonts w:ascii="Palatino Linotype" w:eastAsia="Palatino Linotype" w:hAnsi="Palatino Linotype" w:cs="Palatino Linotype"/>
        </w:rPr>
        <w:t xml:space="preserve">informo que después de una búsqueda exhaustiva no se encontraba </w:t>
      </w:r>
      <w:r w:rsidR="00010038" w:rsidRPr="007928B4">
        <w:rPr>
          <w:rFonts w:ascii="Palatino Linotype" w:eastAsia="Palatino Linotype" w:hAnsi="Palatino Linotype" w:cs="Palatino Linotype"/>
        </w:rPr>
        <w:t xml:space="preserve">la información solicitada. </w:t>
      </w:r>
    </w:p>
    <w:p w14:paraId="424D28CC"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Ahora bien, es importante insistir que para el ejercicio del derecho de acceso a datos personales es necesario que el titular o el apoderado legal de una persona jurídico colectiva,  acredite su identidad y en de ser el caso cuando se pretenda acceder a través de un representante; </w:t>
      </w:r>
      <w:r w:rsidRPr="007928B4">
        <w:rPr>
          <w:rFonts w:ascii="Palatino Linotype" w:eastAsia="Palatino Linotype" w:hAnsi="Palatino Linotype" w:cs="Palatino Linotype"/>
        </w:rPr>
        <w:t>éste</w:t>
      </w:r>
      <w:r w:rsidRPr="007928B4">
        <w:rPr>
          <w:rFonts w:ascii="Palatino Linotype" w:eastAsia="Palatino Linotype" w:hAnsi="Palatino Linotype" w:cs="Palatino Linotype"/>
          <w:color w:val="000000"/>
        </w:rPr>
        <w:t xml:space="preserve">, deberá </w:t>
      </w:r>
      <w:r w:rsidRPr="007928B4">
        <w:rPr>
          <w:rFonts w:ascii="Palatino Linotype" w:eastAsia="Palatino Linotype" w:hAnsi="Palatino Linotype" w:cs="Palatino Linotype"/>
          <w:b/>
          <w:color w:val="000000"/>
        </w:rPr>
        <w:t>acreditar la identidad</w:t>
      </w:r>
      <w:r w:rsidRPr="007928B4">
        <w:rPr>
          <w:rFonts w:ascii="Palatino Linotype" w:eastAsia="Palatino Linotype" w:hAnsi="Palatino Linotype" w:cs="Palatino Linotype"/>
          <w:color w:val="000000"/>
        </w:rPr>
        <w:t xml:space="preserve">; requisito dispuesto en el artículo 106 de la </w:t>
      </w:r>
      <w:r w:rsidRPr="007928B4">
        <w:rPr>
          <w:rFonts w:ascii="Palatino Linotype" w:eastAsia="Palatino Linotype" w:hAnsi="Palatino Linotype" w:cs="Palatino Linotype"/>
          <w:b/>
          <w:color w:val="000000"/>
        </w:rPr>
        <w:t xml:space="preserve">Ley de Protección de Datos Personales en Posesión de Sujeto Obligados del Estado de México y Municipios, </w:t>
      </w:r>
      <w:r w:rsidRPr="007928B4">
        <w:rPr>
          <w:rFonts w:ascii="Palatino Linotype" w:eastAsia="Palatino Linotype" w:hAnsi="Palatino Linotype" w:cs="Palatino Linotype"/>
          <w:color w:val="000000"/>
        </w:rPr>
        <w:t xml:space="preserve">que es del texto literal siguiente. </w:t>
      </w:r>
    </w:p>
    <w:p w14:paraId="4B1D6A1E"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i/>
          <w:color w:val="000000"/>
        </w:rPr>
        <w:t>“</w:t>
      </w:r>
      <w:r w:rsidRPr="007928B4">
        <w:rPr>
          <w:rFonts w:ascii="Palatino Linotype" w:eastAsia="Palatino Linotype" w:hAnsi="Palatino Linotype" w:cs="Palatino Linotype"/>
          <w:b/>
          <w:i/>
          <w:color w:val="000000"/>
        </w:rPr>
        <w:t>Artículo 106</w:t>
      </w:r>
      <w:r w:rsidRPr="007928B4">
        <w:rPr>
          <w:rFonts w:ascii="Palatino Linotype" w:eastAsia="Palatino Linotype" w:hAnsi="Palatino Linotype" w:cs="Palatino Linotype"/>
          <w:i/>
          <w:color w:val="000000"/>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 </w:t>
      </w:r>
    </w:p>
    <w:p w14:paraId="427CE8AD"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b/>
          <w:i/>
          <w:color w:val="000000"/>
          <w:u w:val="single"/>
        </w:rPr>
        <w:t>Los titulares o sus representantes legales podrán solicitar</w:t>
      </w:r>
      <w:r w:rsidRPr="007928B4">
        <w:rPr>
          <w:rFonts w:ascii="Palatino Linotype" w:eastAsia="Palatino Linotype" w:hAnsi="Palatino Linotype" w:cs="Palatino Linotype"/>
          <w:i/>
          <w:color w:val="000000"/>
        </w:rPr>
        <w:t xml:space="preserve"> a través de la Unidad de Transparencia, en términos de lo que establezca la presente Ley, que se </w:t>
      </w:r>
      <w:r w:rsidRPr="007928B4">
        <w:rPr>
          <w:rFonts w:ascii="Palatino Linotype" w:eastAsia="Palatino Linotype" w:hAnsi="Palatino Linotype" w:cs="Palatino Linotype"/>
          <w:b/>
          <w:i/>
          <w:color w:val="000000"/>
          <w:u w:val="single"/>
        </w:rPr>
        <w:t>les otorgue acceso</w:t>
      </w:r>
      <w:r w:rsidRPr="007928B4">
        <w:rPr>
          <w:rFonts w:ascii="Palatino Linotype" w:eastAsia="Palatino Linotype" w:hAnsi="Palatino Linotype" w:cs="Palatino Linotype"/>
          <w:i/>
          <w:color w:val="000000"/>
        </w:rPr>
        <w:t xml:space="preserve">, rectifique, cancele, o que haga efectivo su derecho de oposición, respecto de los datos personales que le conciernan y que obren en un sistema de datos personales y base de datos en posesión de los sujetos obligados. </w:t>
      </w:r>
    </w:p>
    <w:p w14:paraId="4CF6FE47"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b/>
          <w:i/>
          <w:color w:val="000000"/>
          <w:u w:val="single"/>
        </w:rPr>
        <w:t xml:space="preserve">Para el ejercicio de los derechos ARCO solicitados será necesario acreditar la identidad de titular y en su caso la identidad </w:t>
      </w:r>
      <w:r w:rsidRPr="007928B4">
        <w:rPr>
          <w:rFonts w:ascii="Palatino Linotype" w:eastAsia="Palatino Linotype" w:hAnsi="Palatino Linotype" w:cs="Palatino Linotype"/>
          <w:i/>
          <w:color w:val="000000"/>
        </w:rPr>
        <w:t>y personalidad con la que actúe el representante…”</w:t>
      </w:r>
    </w:p>
    <w:p w14:paraId="3A85C3EF" w14:textId="77777777" w:rsidR="005829DD" w:rsidRPr="007928B4" w:rsidRDefault="005829DD" w:rsidP="005829D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rPr>
      </w:pPr>
    </w:p>
    <w:p w14:paraId="38BA6F02"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Ordenamiento</w:t>
      </w:r>
      <w:r w:rsidRPr="007928B4">
        <w:rPr>
          <w:rFonts w:ascii="Palatino Linotype" w:eastAsia="Palatino Linotype" w:hAnsi="Palatino Linotype" w:cs="Palatino Linotype"/>
          <w:color w:val="000000"/>
        </w:rPr>
        <w:t xml:space="preserve"> jurídico del que se desprende que para el ejercicio de cualquiera de los derechos ARCO, el titular o su representante </w:t>
      </w:r>
      <w:r w:rsidRPr="007928B4">
        <w:rPr>
          <w:rFonts w:ascii="Palatino Linotype" w:eastAsia="Palatino Linotype" w:hAnsi="Palatino Linotype" w:cs="Palatino Linotype"/>
          <w:b/>
          <w:color w:val="000000"/>
        </w:rPr>
        <w:t>deberán acreditar su identidad</w:t>
      </w:r>
      <w:r w:rsidRPr="007928B4">
        <w:rPr>
          <w:rFonts w:ascii="Palatino Linotype" w:eastAsia="Palatino Linotype" w:hAnsi="Palatino Linotype" w:cs="Palatino Linotype"/>
        </w:rPr>
        <w:t>.</w:t>
      </w:r>
    </w:p>
    <w:p w14:paraId="634168A1" w14:textId="77777777" w:rsidR="005829DD" w:rsidRPr="007928B4" w:rsidRDefault="005829DD" w:rsidP="005829DD">
      <w:pPr>
        <w:pBdr>
          <w:top w:val="nil"/>
          <w:left w:val="nil"/>
          <w:bottom w:val="nil"/>
          <w:right w:val="nil"/>
          <w:between w:val="nil"/>
        </w:pBdr>
        <w:spacing w:line="360" w:lineRule="auto"/>
        <w:jc w:val="both"/>
        <w:rPr>
          <w:rFonts w:ascii="Palatino Linotype" w:eastAsia="Palatino Linotype" w:hAnsi="Palatino Linotype" w:cs="Palatino Linotype"/>
        </w:rPr>
      </w:pPr>
    </w:p>
    <w:p w14:paraId="5F57DE93" w14:textId="77777777" w:rsidR="005829DD" w:rsidRPr="007928B4" w:rsidRDefault="005829DD" w:rsidP="005829DD">
      <w:pPr>
        <w:numPr>
          <w:ilvl w:val="0"/>
          <w:numId w:val="4"/>
        </w:numPr>
        <w:spacing w:line="360" w:lineRule="auto"/>
        <w:ind w:left="0" w:firstLine="0"/>
        <w:jc w:val="both"/>
        <w:rPr>
          <w:rFonts w:ascii="Palatino Linotype" w:hAnsi="Palatino Linotype"/>
          <w:color w:val="000000"/>
        </w:rPr>
      </w:pPr>
      <w:r w:rsidRPr="007928B4">
        <w:rPr>
          <w:rFonts w:ascii="Palatino Linotype" w:eastAsia="Palatino Linotype" w:hAnsi="Palatino Linotype" w:cs="Palatino Linotype"/>
          <w:color w:val="000000"/>
        </w:rPr>
        <w:t xml:space="preserve">Los </w:t>
      </w:r>
      <w:r w:rsidRPr="007928B4">
        <w:rPr>
          <w:rFonts w:ascii="Palatino Linotype" w:eastAsia="Palatino Linotype" w:hAnsi="Palatino Linotype" w:cs="Palatino Linotype"/>
        </w:rPr>
        <w:t>medios</w:t>
      </w:r>
      <w:r w:rsidRPr="007928B4">
        <w:rPr>
          <w:rFonts w:ascii="Palatino Linotype" w:eastAsia="Palatino Linotype" w:hAnsi="Palatino Linotype" w:cs="Palatino Linotype"/>
          <w:color w:val="000000"/>
        </w:rPr>
        <w:t xml:space="preserve"> para acreditar la identidad de las personas físicas, se encuentran previstos en los artículos 120 de la Ley de Protección de Datos Personales en Posesión de Sujetos </w:t>
      </w:r>
      <w:r w:rsidRPr="007928B4">
        <w:rPr>
          <w:rFonts w:ascii="Palatino Linotype" w:eastAsia="Palatino Linotype" w:hAnsi="Palatino Linotype" w:cs="Palatino Linotype"/>
          <w:color w:val="000000"/>
        </w:rPr>
        <w:lastRenderedPageBreak/>
        <w:t>Obligados del Estado de México y Municipios; 76 de los Lineamientos Generales de Protección de Datos Personales para el Sector Público; y 2.5 Bis del Código Civil del Estado de México</w:t>
      </w:r>
      <w:r w:rsidRPr="007928B4">
        <w:rPr>
          <w:rFonts w:ascii="Palatino Linotype" w:eastAsia="Palatino Linotype" w:hAnsi="Palatino Linotype" w:cs="Palatino Linotype"/>
          <w:b/>
          <w:color w:val="000000"/>
        </w:rPr>
        <w:t xml:space="preserve">, </w:t>
      </w:r>
      <w:r w:rsidRPr="007928B4">
        <w:rPr>
          <w:rFonts w:ascii="Palatino Linotype" w:eastAsia="Palatino Linotype" w:hAnsi="Palatino Linotype" w:cs="Palatino Linotype"/>
          <w:color w:val="000000"/>
        </w:rPr>
        <w:t> y  siendo estos:</w:t>
      </w:r>
    </w:p>
    <w:p w14:paraId="4902916E" w14:textId="77777777" w:rsidR="005829DD" w:rsidRPr="007928B4" w:rsidRDefault="005829DD" w:rsidP="005829DD">
      <w:pPr>
        <w:pBdr>
          <w:top w:val="nil"/>
          <w:left w:val="nil"/>
          <w:bottom w:val="nil"/>
          <w:right w:val="nil"/>
          <w:between w:val="nil"/>
        </w:pBdr>
        <w:spacing w:before="240" w:after="240" w:line="360" w:lineRule="auto"/>
        <w:ind w:left="426"/>
        <w:jc w:val="both"/>
        <w:rPr>
          <w:rFonts w:ascii="Palatino Linotype" w:hAnsi="Palatino Linotype"/>
          <w:color w:val="000000"/>
        </w:rPr>
      </w:pPr>
      <w:r w:rsidRPr="007928B4">
        <w:rPr>
          <w:rFonts w:ascii="Palatino Linotype" w:eastAsia="Palatino Linotype" w:hAnsi="Palatino Linotype" w:cs="Palatino Linotype"/>
          <w:color w:val="000000"/>
        </w:rPr>
        <w:t>a. Identificación oficial, como Credencial para votar, pasaporte, matrícula consular mexicana, carta de naturalización, cédula profesional o de pasante, etc.</w:t>
      </w:r>
    </w:p>
    <w:p w14:paraId="0292159C" w14:textId="77777777" w:rsidR="005829DD" w:rsidRPr="007928B4" w:rsidRDefault="005829DD" w:rsidP="005829DD">
      <w:pPr>
        <w:pBdr>
          <w:top w:val="nil"/>
          <w:left w:val="nil"/>
          <w:bottom w:val="nil"/>
          <w:right w:val="nil"/>
          <w:between w:val="nil"/>
        </w:pBdr>
        <w:spacing w:before="240" w:after="240" w:line="360" w:lineRule="auto"/>
        <w:ind w:left="426"/>
        <w:jc w:val="both"/>
        <w:rPr>
          <w:rFonts w:ascii="Palatino Linotype" w:hAnsi="Palatino Linotype"/>
          <w:color w:val="000000"/>
        </w:rPr>
      </w:pPr>
      <w:r w:rsidRPr="007928B4">
        <w:rPr>
          <w:rFonts w:ascii="Palatino Linotype" w:eastAsia="Palatino Linotype" w:hAnsi="Palatino Linotype" w:cs="Palatino Linotype"/>
          <w:color w:val="000000"/>
        </w:rPr>
        <w:t>b. Credenciales expedidas por autoridades educativas que cuenten con autorización o con reconocimiento de validez oficial o instituciones de seguridad social, licencia para conducir, cartilla del servicio militar nacional, etc.</w:t>
      </w:r>
    </w:p>
    <w:p w14:paraId="3953C3AF" w14:textId="77777777" w:rsidR="005829DD" w:rsidRPr="007928B4" w:rsidRDefault="005829DD" w:rsidP="005829DD">
      <w:pPr>
        <w:pBdr>
          <w:top w:val="nil"/>
          <w:left w:val="nil"/>
          <w:bottom w:val="nil"/>
          <w:right w:val="nil"/>
          <w:between w:val="nil"/>
        </w:pBdr>
        <w:spacing w:before="240" w:after="240" w:line="360" w:lineRule="auto"/>
        <w:ind w:left="426"/>
        <w:jc w:val="both"/>
        <w:rPr>
          <w:rFonts w:ascii="Palatino Linotype" w:hAnsi="Palatino Linotype"/>
          <w:color w:val="000000"/>
        </w:rPr>
      </w:pPr>
      <w:r w:rsidRPr="007928B4">
        <w:rPr>
          <w:rFonts w:ascii="Palatino Linotype" w:eastAsia="Palatino Linotype" w:hAnsi="Palatino Linotype" w:cs="Palatino Linotype"/>
          <w:color w:val="000000"/>
        </w:rPr>
        <w:t>c. Firma electrónica avanzada o del instrumento electrónico que lo sustituya</w:t>
      </w:r>
    </w:p>
    <w:p w14:paraId="5D86EB63" w14:textId="77777777" w:rsidR="005829DD" w:rsidRPr="007928B4" w:rsidRDefault="005829DD" w:rsidP="005829DD">
      <w:pPr>
        <w:pBdr>
          <w:top w:val="nil"/>
          <w:left w:val="nil"/>
          <w:bottom w:val="nil"/>
          <w:right w:val="nil"/>
          <w:between w:val="nil"/>
        </w:pBdr>
        <w:spacing w:before="240" w:after="240" w:line="360" w:lineRule="auto"/>
        <w:ind w:left="426"/>
        <w:jc w:val="both"/>
        <w:rPr>
          <w:rFonts w:ascii="Palatino Linotype" w:hAnsi="Palatino Linotype"/>
          <w:color w:val="000000"/>
        </w:rPr>
      </w:pPr>
      <w:r w:rsidRPr="007928B4">
        <w:rPr>
          <w:rFonts w:ascii="Palatino Linotype" w:eastAsia="Palatino Linotype" w:hAnsi="Palatino Linotype" w:cs="Palatino Linotype"/>
          <w:color w:val="000000"/>
        </w:rPr>
        <w:t>d. Mecanismos de autenticación autorizados por el Instituto o el Instituto Nacional publicados por acuerdo general en el periódico oficial “Gaceta del Gobierno” o en el Diario Oficial de la Federación, siempre y cuando permitan de forma inequívoca la acreditación de la identidad del titular.</w:t>
      </w:r>
    </w:p>
    <w:p w14:paraId="1C012B81"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Es de </w:t>
      </w:r>
      <w:r w:rsidRPr="007928B4">
        <w:rPr>
          <w:rFonts w:ascii="Palatino Linotype" w:eastAsia="Palatino Linotype" w:hAnsi="Palatino Linotype" w:cs="Palatino Linotype"/>
        </w:rPr>
        <w:t>señalar</w:t>
      </w:r>
      <w:r w:rsidRPr="007928B4">
        <w:rPr>
          <w:rFonts w:ascii="Palatino Linotype" w:eastAsia="Palatino Linotype" w:hAnsi="Palatino Linotype" w:cs="Palatino Linotype"/>
          <w:color w:val="000000"/>
        </w:rPr>
        <w:t xml:space="preserve">, que de las constancias que integran el expediente del recurso de revisión de mérito, no se advierten documentos que acrediten que los datos a los que se presente acceder correspondan al solicitante ya que no adjuntó algún documento que permitiera identificar si se trata del titular o </w:t>
      </w:r>
      <w:r w:rsidR="00010038" w:rsidRPr="007928B4">
        <w:rPr>
          <w:rFonts w:ascii="Palatino Linotype" w:eastAsia="Palatino Linotype" w:hAnsi="Palatino Linotype" w:cs="Palatino Linotype"/>
          <w:color w:val="000000"/>
        </w:rPr>
        <w:t xml:space="preserve">tercero interesado en el juicio referido en la solicitud de información </w:t>
      </w:r>
      <w:r w:rsidRPr="007928B4">
        <w:rPr>
          <w:rFonts w:ascii="Palatino Linotype" w:eastAsia="Palatino Linotype" w:hAnsi="Palatino Linotype" w:cs="Palatino Linotype"/>
          <w:color w:val="000000"/>
        </w:rPr>
        <w:t xml:space="preserve">que acredite su participación en </w:t>
      </w:r>
      <w:r w:rsidR="00BE0F53" w:rsidRPr="007928B4">
        <w:rPr>
          <w:rFonts w:ascii="Palatino Linotype" w:eastAsia="Palatino Linotype" w:hAnsi="Palatino Linotype" w:cs="Palatino Linotype"/>
          <w:color w:val="000000"/>
        </w:rPr>
        <w:t xml:space="preserve">el mismo. </w:t>
      </w:r>
    </w:p>
    <w:p w14:paraId="73EEB4F9" w14:textId="77777777" w:rsidR="00010038" w:rsidRPr="007928B4" w:rsidRDefault="00010038" w:rsidP="00010038">
      <w:pPr>
        <w:spacing w:line="360" w:lineRule="auto"/>
        <w:jc w:val="both"/>
        <w:rPr>
          <w:rFonts w:ascii="Palatino Linotype" w:eastAsia="Palatino Linotype" w:hAnsi="Palatino Linotype" w:cs="Palatino Linotype"/>
          <w:color w:val="000000"/>
        </w:rPr>
      </w:pPr>
    </w:p>
    <w:p w14:paraId="27A1AEBE" w14:textId="604E6C5A"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Situación por la cual,  una vez admitido el recurso de revisión y al advertirse que la solicitud de trata del ejercicio del derecho de acceso a datos personales, mediante acuerdo de </w:t>
      </w:r>
      <w:r w:rsidRPr="007928B4">
        <w:rPr>
          <w:rFonts w:ascii="Palatino Linotype" w:eastAsia="Palatino Linotype" w:hAnsi="Palatino Linotype" w:cs="Palatino Linotype"/>
          <w:color w:val="000000"/>
        </w:rPr>
        <w:lastRenderedPageBreak/>
        <w:t xml:space="preserve">fecha </w:t>
      </w:r>
      <w:r w:rsidR="007474AB" w:rsidRPr="007928B4">
        <w:rPr>
          <w:rFonts w:ascii="Palatino Linotype" w:eastAsia="Palatino Linotype" w:hAnsi="Palatino Linotype" w:cs="Palatino Linotype"/>
          <w:b/>
          <w:color w:val="000000"/>
        </w:rPr>
        <w:t>v</w:t>
      </w:r>
      <w:r w:rsidR="002C3D10" w:rsidRPr="007928B4">
        <w:rPr>
          <w:rFonts w:ascii="Palatino Linotype" w:eastAsia="Palatino Linotype" w:hAnsi="Palatino Linotype" w:cs="Palatino Linotype"/>
          <w:b/>
          <w:color w:val="000000"/>
        </w:rPr>
        <w:t>einte de abril de dos mil veintiséis</w:t>
      </w:r>
      <w:r w:rsidR="007474AB" w:rsidRPr="007928B4">
        <w:rPr>
          <w:rFonts w:ascii="Palatino Linotype" w:eastAsia="Palatino Linotype" w:hAnsi="Palatino Linotype" w:cs="Palatino Linotype"/>
        </w:rPr>
        <w:t xml:space="preserve">, </w:t>
      </w:r>
      <w:r w:rsidRPr="007928B4">
        <w:rPr>
          <w:rFonts w:ascii="Palatino Linotype" w:eastAsia="Palatino Linotype" w:hAnsi="Palatino Linotype" w:cs="Palatino Linotype"/>
          <w:color w:val="FF0000"/>
        </w:rPr>
        <w:t xml:space="preserve"> </w:t>
      </w:r>
      <w:r w:rsidRPr="007928B4">
        <w:rPr>
          <w:rFonts w:ascii="Palatino Linotype" w:eastAsia="Palatino Linotype" w:hAnsi="Palatino Linotype" w:cs="Palatino Linotype"/>
          <w:color w:val="000000"/>
        </w:rPr>
        <w:t xml:space="preserve">se procedió a reconducir la vía para resolver el asunto, ya que no es posible darle el tratamiento de acceso a información pública, toda vez que se trata de información concerniente </w:t>
      </w:r>
      <w:r w:rsidR="007474AB" w:rsidRPr="007928B4">
        <w:rPr>
          <w:rFonts w:ascii="Palatino Linotype" w:eastAsia="Palatino Linotype" w:hAnsi="Palatino Linotype" w:cs="Palatino Linotype"/>
          <w:color w:val="000000"/>
        </w:rPr>
        <w:t xml:space="preserve">a un juicio del cual se debe de acreditar que la </w:t>
      </w:r>
      <w:r w:rsidR="007474AB" w:rsidRPr="007928B4">
        <w:rPr>
          <w:rFonts w:ascii="Palatino Linotype" w:eastAsia="Palatino Linotype" w:hAnsi="Palatino Linotype" w:cs="Palatino Linotype"/>
          <w:b/>
          <w:color w:val="000000"/>
        </w:rPr>
        <w:t xml:space="preserve">RECURRENTE </w:t>
      </w:r>
      <w:r w:rsidR="007474AB" w:rsidRPr="007928B4">
        <w:rPr>
          <w:rFonts w:ascii="Palatino Linotype" w:eastAsia="Palatino Linotype" w:hAnsi="Palatino Linotype" w:cs="Palatino Linotype"/>
          <w:color w:val="000000"/>
        </w:rPr>
        <w:t>es titular en el expediente y su interés en el mismo</w:t>
      </w:r>
      <w:r w:rsidRPr="007928B4">
        <w:rPr>
          <w:rFonts w:ascii="Palatino Linotype" w:eastAsia="Palatino Linotype" w:hAnsi="Palatino Linotype" w:cs="Palatino Linotype"/>
          <w:color w:val="000000"/>
        </w:rPr>
        <w:t xml:space="preserve">.  </w:t>
      </w:r>
    </w:p>
    <w:p w14:paraId="40380AE2" w14:textId="77777777" w:rsidR="00DD03B0" w:rsidRPr="007928B4" w:rsidRDefault="00DD03B0" w:rsidP="00DD03B0">
      <w:pPr>
        <w:spacing w:line="360" w:lineRule="auto"/>
        <w:jc w:val="both"/>
        <w:rPr>
          <w:rFonts w:ascii="Palatino Linotype" w:eastAsia="Palatino Linotype" w:hAnsi="Palatino Linotype" w:cs="Palatino Linotype"/>
        </w:rPr>
      </w:pPr>
    </w:p>
    <w:p w14:paraId="410660FC" w14:textId="77777777" w:rsidR="005829DD" w:rsidRPr="007928B4" w:rsidRDefault="005829DD" w:rsidP="007474AB">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En </w:t>
      </w:r>
      <w:r w:rsidR="00DD03B0" w:rsidRPr="007928B4">
        <w:rPr>
          <w:rFonts w:ascii="Palatino Linotype" w:eastAsia="Palatino Linotype" w:hAnsi="Palatino Linotype" w:cs="Palatino Linotype"/>
          <w:color w:val="000000"/>
        </w:rPr>
        <w:t>dicho</w:t>
      </w:r>
      <w:r w:rsidRPr="007928B4">
        <w:rPr>
          <w:rFonts w:ascii="Palatino Linotype" w:eastAsia="Palatino Linotype" w:hAnsi="Palatino Linotype" w:cs="Palatino Linotype"/>
          <w:color w:val="000000"/>
        </w:rPr>
        <w:t xml:space="preserve"> acuerdo se previno a la parte </w:t>
      </w:r>
      <w:r w:rsidRPr="007928B4">
        <w:rPr>
          <w:rFonts w:ascii="Palatino Linotype" w:eastAsia="Palatino Linotype" w:hAnsi="Palatino Linotype" w:cs="Palatino Linotype"/>
          <w:b/>
          <w:color w:val="000000"/>
        </w:rPr>
        <w:t>RECURRENTE</w:t>
      </w:r>
      <w:r w:rsidRPr="007928B4">
        <w:rPr>
          <w:rFonts w:ascii="Palatino Linotype" w:eastAsia="Palatino Linotype" w:hAnsi="Palatino Linotype" w:cs="Palatino Linotype"/>
          <w:color w:val="000000"/>
        </w:rPr>
        <w:t xml:space="preserve">, a efecto de que subsanara la omisión de acreditar su identidad como titular de los datos personales a los cuales pretende acceder y </w:t>
      </w:r>
      <w:r w:rsidRPr="007928B4">
        <w:rPr>
          <w:rFonts w:ascii="Palatino Linotype" w:eastAsia="Calibri" w:hAnsi="Palatino Linotype"/>
          <w:lang w:val="es-ES" w:eastAsia="en-US"/>
        </w:rPr>
        <w:t xml:space="preserve">acreditara </w:t>
      </w:r>
      <w:r w:rsidRPr="007928B4">
        <w:rPr>
          <w:rFonts w:ascii="Palatino Linotype" w:eastAsia="Palatino Linotype" w:hAnsi="Palatino Linotype" w:cs="Palatino Linotype"/>
          <w:color w:val="000000"/>
        </w:rPr>
        <w:t>que la información a la que desea acceder, contiene sus datos personales</w:t>
      </w:r>
      <w:r w:rsidR="007474AB" w:rsidRPr="007928B4">
        <w:rPr>
          <w:rFonts w:ascii="Palatino Linotype" w:eastAsia="Palatino Linotype" w:hAnsi="Palatino Linotype" w:cs="Palatino Linotype"/>
          <w:color w:val="000000"/>
        </w:rPr>
        <w:t xml:space="preserve"> o su interés.</w:t>
      </w:r>
    </w:p>
    <w:p w14:paraId="2CC37811" w14:textId="77777777" w:rsidR="007474AB" w:rsidRPr="007928B4" w:rsidRDefault="007474AB" w:rsidP="00DD03B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1E1F9D1" w14:textId="77777777" w:rsidR="005829DD" w:rsidRPr="007928B4" w:rsidRDefault="005829DD" w:rsidP="005829D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color w:val="000000"/>
        </w:rPr>
        <w:t xml:space="preserve">En ese contexto, cabe hacer un paréntesis y referir que si bien la ley de la materia establece de manera puntual que para el ejercicio de los derechos ARCO solicitados </w:t>
      </w:r>
      <w:r w:rsidRPr="007928B4">
        <w:rPr>
          <w:rFonts w:ascii="Palatino Linotype" w:eastAsia="Palatino Linotype" w:hAnsi="Palatino Linotype" w:cs="Palatino Linotype"/>
          <w:b/>
          <w:color w:val="000000"/>
          <w:u w:val="single"/>
        </w:rPr>
        <w:t>será necesario acreditar la identidad del titula</w:t>
      </w:r>
      <w:r w:rsidRPr="007928B4">
        <w:rPr>
          <w:rFonts w:ascii="Palatino Linotype" w:eastAsia="Palatino Linotype" w:hAnsi="Palatino Linotype" w:cs="Palatino Linotype"/>
          <w:b/>
          <w:color w:val="000000"/>
        </w:rPr>
        <w:t xml:space="preserve">r </w:t>
      </w:r>
      <w:r w:rsidRPr="007928B4">
        <w:rPr>
          <w:rFonts w:ascii="Palatino Linotype" w:eastAsia="Palatino Linotype" w:hAnsi="Palatino Linotype" w:cs="Palatino Linotype"/>
          <w:color w:val="000000"/>
        </w:rPr>
        <w:t>y en su caso la identidad y personalidad con la que actúe el representante y que en</w:t>
      </w:r>
      <w:r w:rsidR="007474AB" w:rsidRPr="007928B4">
        <w:rPr>
          <w:rFonts w:ascii="Palatino Linotype" w:eastAsia="Palatino Linotype" w:hAnsi="Palatino Linotype" w:cs="Palatino Linotype"/>
          <w:b/>
          <w:color w:val="000000"/>
          <w:u w:val="single"/>
        </w:rPr>
        <w:t xml:space="preserve"> el caso concreto no aconteció.</w:t>
      </w:r>
    </w:p>
    <w:p w14:paraId="3539B85E" w14:textId="77777777" w:rsidR="007474AB" w:rsidRPr="007928B4" w:rsidRDefault="007474AB" w:rsidP="007474AB">
      <w:pPr>
        <w:pBdr>
          <w:top w:val="nil"/>
          <w:left w:val="nil"/>
          <w:bottom w:val="nil"/>
          <w:right w:val="nil"/>
          <w:between w:val="nil"/>
        </w:pBdr>
        <w:spacing w:line="360" w:lineRule="auto"/>
        <w:jc w:val="both"/>
        <w:rPr>
          <w:rFonts w:ascii="Palatino Linotype" w:eastAsia="Palatino Linotype" w:hAnsi="Palatino Linotype" w:cs="Palatino Linotype"/>
        </w:rPr>
      </w:pPr>
    </w:p>
    <w:p w14:paraId="0262C824" w14:textId="77777777" w:rsidR="005829DD" w:rsidRPr="007928B4" w:rsidRDefault="007474AB" w:rsidP="005829D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Situación por la cual se tiene que</w:t>
      </w:r>
      <w:r w:rsidR="005829DD" w:rsidRPr="007928B4">
        <w:rPr>
          <w:rFonts w:ascii="Palatino Linotype" w:eastAsia="Palatino Linotype" w:hAnsi="Palatino Linotype" w:cs="Palatino Linotype"/>
        </w:rPr>
        <w:t xml:space="preserve"> la parte </w:t>
      </w:r>
      <w:r w:rsidR="005829DD" w:rsidRPr="007928B4">
        <w:rPr>
          <w:rFonts w:ascii="Palatino Linotype" w:eastAsia="Palatino Linotype" w:hAnsi="Palatino Linotype" w:cs="Palatino Linotype"/>
          <w:b/>
        </w:rPr>
        <w:t>RECURRENTE</w:t>
      </w:r>
      <w:r w:rsidR="005829DD" w:rsidRPr="007928B4">
        <w:rPr>
          <w:rFonts w:ascii="Palatino Linotype" w:eastAsia="Palatino Linotype" w:hAnsi="Palatino Linotype" w:cs="Palatino Linotype"/>
        </w:rPr>
        <w:t xml:space="preserve"> no subsanó la prevención decretada, en el sentido que remitiera el documento que acredite que la información a la que desea acceder</w:t>
      </w:r>
      <w:r w:rsidR="00F86E3D" w:rsidRPr="007928B4">
        <w:rPr>
          <w:rFonts w:ascii="Palatino Linotype" w:eastAsia="Palatino Linotype" w:hAnsi="Palatino Linotype" w:cs="Palatino Linotype"/>
        </w:rPr>
        <w:t xml:space="preserve">, contiene sus datos personales. </w:t>
      </w:r>
    </w:p>
    <w:p w14:paraId="22A4C653" w14:textId="77777777" w:rsidR="00F86E3D" w:rsidRPr="007928B4" w:rsidRDefault="00F86E3D" w:rsidP="00F86E3D">
      <w:pPr>
        <w:pBdr>
          <w:top w:val="nil"/>
          <w:left w:val="nil"/>
          <w:bottom w:val="nil"/>
          <w:right w:val="nil"/>
          <w:between w:val="nil"/>
        </w:pBdr>
        <w:spacing w:line="360" w:lineRule="auto"/>
        <w:jc w:val="both"/>
        <w:rPr>
          <w:rFonts w:ascii="Palatino Linotype" w:eastAsia="Palatino Linotype" w:hAnsi="Palatino Linotype" w:cs="Palatino Linotype"/>
        </w:rPr>
      </w:pPr>
    </w:p>
    <w:p w14:paraId="26592F4E" w14:textId="77777777" w:rsidR="005829DD" w:rsidRPr="007928B4" w:rsidRDefault="005829DD" w:rsidP="005829D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Todo lo anterior en términos de los dispuesto por el artículo 136 de la Ley de Protección de Datos Personales en Posesión de Sujetos Obligados del Estado de México y Municipios, que establece:</w:t>
      </w:r>
    </w:p>
    <w:p w14:paraId="467882F3" w14:textId="77777777" w:rsidR="005829DD" w:rsidRPr="007928B4" w:rsidRDefault="005829DD" w:rsidP="005829DD">
      <w:pPr>
        <w:pBdr>
          <w:top w:val="nil"/>
          <w:left w:val="nil"/>
          <w:bottom w:val="nil"/>
          <w:right w:val="nil"/>
          <w:between w:val="nil"/>
        </w:pBdr>
        <w:spacing w:line="360" w:lineRule="auto"/>
        <w:jc w:val="both"/>
        <w:rPr>
          <w:rFonts w:ascii="Palatino Linotype" w:eastAsia="Palatino Linotype" w:hAnsi="Palatino Linotype" w:cs="Palatino Linotype"/>
        </w:rPr>
      </w:pPr>
    </w:p>
    <w:p w14:paraId="18448649"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928B4">
        <w:rPr>
          <w:rFonts w:ascii="Palatino Linotype" w:eastAsia="Palatino Linotype" w:hAnsi="Palatino Linotype" w:cs="Palatino Linotype"/>
          <w:b/>
          <w:i/>
          <w:color w:val="000000"/>
        </w:rPr>
        <w:lastRenderedPageBreak/>
        <w:t>Prevención por la falta de requisitos en el escrito de interposición del recurso</w:t>
      </w:r>
      <w:r w:rsidRPr="007928B4">
        <w:rPr>
          <w:rFonts w:ascii="Palatino Linotype" w:eastAsia="Palatino Linotype" w:hAnsi="Palatino Linotype" w:cs="Palatino Linotype"/>
          <w:b/>
          <w:i/>
          <w:color w:val="000000"/>
        </w:rPr>
        <w:br/>
      </w:r>
      <w:r w:rsidRPr="007928B4">
        <w:rPr>
          <w:rFonts w:ascii="Palatino Linotype" w:eastAsia="Palatino Linotype" w:hAnsi="Palatino Linotype" w:cs="Palatino Linotype"/>
          <w:i/>
          <w:color w:val="000000"/>
        </w:rPr>
        <w:t xml:space="preserve">Artículo 136. Si en el escrito de interposición del recurso de revisión </w:t>
      </w:r>
      <w:r w:rsidRPr="007928B4">
        <w:rPr>
          <w:rFonts w:ascii="Palatino Linotype" w:eastAsia="Palatino Linotype" w:hAnsi="Palatino Linotype" w:cs="Palatino Linotype"/>
          <w:b/>
          <w:i/>
          <w:color w:val="000000"/>
        </w:rPr>
        <w:t>el recurrente no cumple con alguno de los requisitos previstos en el artículo 130</w:t>
      </w:r>
      <w:r w:rsidRPr="007928B4">
        <w:rPr>
          <w:rFonts w:ascii="Palatino Linotype" w:eastAsia="Palatino Linotype" w:hAnsi="Palatino Linotype" w:cs="Palatino Linotype"/>
          <w:i/>
          <w:color w:val="000000"/>
        </w:rPr>
        <w:t xml:space="preserve"> de la presente Ley y el </w:t>
      </w:r>
      <w:r w:rsidRPr="007928B4">
        <w:rPr>
          <w:rFonts w:ascii="Palatino Linotype" w:eastAsia="Palatino Linotype" w:hAnsi="Palatino Linotype" w:cs="Palatino Linotype"/>
          <w:b/>
          <w:i/>
          <w:color w:val="000000"/>
          <w:u w:val="single"/>
        </w:rPr>
        <w:t>Instituto no cuente con elementos para subsanarlos</w:t>
      </w:r>
      <w:r w:rsidRPr="007928B4">
        <w:rPr>
          <w:rFonts w:ascii="Palatino Linotype" w:eastAsia="Palatino Linotype" w:hAnsi="Palatino Linotype" w:cs="Palatino Linotype"/>
          <w:i/>
          <w:color w:val="000000"/>
        </w:rPr>
        <w:t>, deberá requerir al recurrente, po</w:t>
      </w:r>
      <w:r w:rsidRPr="007928B4">
        <w:rPr>
          <w:rFonts w:ascii="Palatino Linotype" w:eastAsia="Palatino Linotype" w:hAnsi="Palatino Linotype" w:cs="Palatino Linotype"/>
          <w:b/>
          <w:i/>
          <w:color w:val="000000"/>
        </w:rPr>
        <w:t>r una sola ocasión, la información que subsane las omisiones en un plazo que no podrá exceder de cinco días, contados a partir del día siguiente de la presentación del escrito.</w:t>
      </w:r>
    </w:p>
    <w:p w14:paraId="17E0687A"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b/>
          <w:i/>
          <w:color w:val="000000"/>
          <w:u w:val="single"/>
        </w:rPr>
      </w:pPr>
      <w:r w:rsidRPr="007928B4">
        <w:rPr>
          <w:rFonts w:ascii="Palatino Linotype" w:eastAsia="Palatino Linotype" w:hAnsi="Palatino Linotype" w:cs="Palatino Linotype"/>
          <w:b/>
          <w:i/>
          <w:color w:val="000000"/>
        </w:rPr>
        <w:t>El recurrente contará con un plazo que no podrá exceder de cinco días</w:t>
      </w:r>
      <w:r w:rsidRPr="007928B4">
        <w:rPr>
          <w:rFonts w:ascii="Palatino Linotype" w:eastAsia="Palatino Linotype" w:hAnsi="Palatino Linotype" w:cs="Palatino Linotype"/>
          <w:i/>
          <w:color w:val="000000"/>
        </w:rPr>
        <w:t xml:space="preserve">, contados a partir del día siguiente al de la notificación de la prevención, </w:t>
      </w:r>
      <w:r w:rsidRPr="007928B4">
        <w:rPr>
          <w:rFonts w:ascii="Palatino Linotype" w:eastAsia="Palatino Linotype" w:hAnsi="Palatino Linotype" w:cs="Palatino Linotype"/>
          <w:b/>
          <w:i/>
          <w:color w:val="000000"/>
          <w:u w:val="single"/>
        </w:rPr>
        <w:t>para subsanar las omisiones, con el apercibimiento que en caso de no cumplir con el requerimiento, se desechará el recurso de revisión.</w:t>
      </w:r>
    </w:p>
    <w:p w14:paraId="1714CE83"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i/>
          <w:color w:val="000000"/>
        </w:rPr>
        <w:t>La prevención tendrá el efecto de interrumpir el plazo que tiene el Instituto para resolver el recurso, por lo que comenzará a computarse a partir del día siguiente a su desahogo.”</w:t>
      </w:r>
    </w:p>
    <w:p w14:paraId="1443484A" w14:textId="77777777" w:rsidR="005829DD" w:rsidRPr="007928B4" w:rsidRDefault="005829DD" w:rsidP="005829DD">
      <w:pPr>
        <w:pBdr>
          <w:top w:val="nil"/>
          <w:left w:val="nil"/>
          <w:bottom w:val="nil"/>
          <w:right w:val="nil"/>
          <w:between w:val="nil"/>
        </w:pBdr>
        <w:ind w:left="1134" w:right="1134"/>
        <w:jc w:val="both"/>
        <w:rPr>
          <w:rFonts w:ascii="Palatino Linotype" w:eastAsia="Palatino Linotype" w:hAnsi="Palatino Linotype" w:cs="Palatino Linotype"/>
          <w:color w:val="000000"/>
        </w:rPr>
      </w:pPr>
    </w:p>
    <w:p w14:paraId="74390A68"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Del </w:t>
      </w:r>
      <w:r w:rsidRPr="007928B4">
        <w:rPr>
          <w:rFonts w:ascii="Palatino Linotype" w:eastAsia="Palatino Linotype" w:hAnsi="Palatino Linotype" w:cs="Palatino Linotype"/>
        </w:rPr>
        <w:t>precepto</w:t>
      </w:r>
      <w:r w:rsidRPr="007928B4">
        <w:rPr>
          <w:rFonts w:ascii="Palatino Linotype" w:eastAsia="Palatino Linotype" w:hAnsi="Palatino Linotype" w:cs="Palatino Linotype"/>
          <w:color w:val="000000"/>
        </w:rPr>
        <w:t xml:space="preserve"> jurídico de referencia, se advierte que si bien el particular no acreditó su identidad e interés jurídico como titular de los datos personales a los que pretende acceder al momento </w:t>
      </w:r>
      <w:r w:rsidR="00F86E3D" w:rsidRPr="007928B4">
        <w:rPr>
          <w:rFonts w:ascii="Palatino Linotype" w:eastAsia="Palatino Linotype" w:hAnsi="Palatino Linotype" w:cs="Palatino Linotype"/>
          <w:color w:val="000000"/>
        </w:rPr>
        <w:t xml:space="preserve">en que ingreso su solicitud, también lo es que al momento de realizar la Reconducción de vía se notificó la </w:t>
      </w:r>
      <w:r w:rsidRPr="007928B4">
        <w:rPr>
          <w:rFonts w:ascii="Palatino Linotype" w:eastAsia="Palatino Linotype" w:hAnsi="Palatino Linotype" w:cs="Palatino Linotype"/>
          <w:color w:val="000000"/>
        </w:rPr>
        <w:t xml:space="preserve">prevención que efectuó este Organismo Garante, para lo cual se le concedieron a la parte </w:t>
      </w:r>
      <w:r w:rsidRPr="007928B4">
        <w:rPr>
          <w:rFonts w:ascii="Palatino Linotype" w:eastAsia="Palatino Linotype" w:hAnsi="Palatino Linotype" w:cs="Palatino Linotype"/>
          <w:b/>
          <w:color w:val="000000"/>
        </w:rPr>
        <w:t>RECURRENTE</w:t>
      </w:r>
      <w:r w:rsidRPr="007928B4">
        <w:rPr>
          <w:rFonts w:ascii="Palatino Linotype" w:eastAsia="Palatino Linotype" w:hAnsi="Palatino Linotype" w:cs="Palatino Linotype"/>
          <w:color w:val="000000"/>
        </w:rPr>
        <w:t xml:space="preserve"> cinco días hábiles posteriores a la notificación de la prevención con la finalidad que subsanara dichas omisiones.</w:t>
      </w:r>
    </w:p>
    <w:p w14:paraId="4B513B94" w14:textId="77777777" w:rsidR="005829DD" w:rsidRPr="007928B4" w:rsidRDefault="005829DD" w:rsidP="005829D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6678A17" w14:textId="057651E4" w:rsidR="005829DD" w:rsidRPr="007928B4" w:rsidRDefault="005829DD" w:rsidP="005829DD">
      <w:pPr>
        <w:numPr>
          <w:ilvl w:val="0"/>
          <w:numId w:val="4"/>
        </w:numPr>
        <w:spacing w:line="360" w:lineRule="auto"/>
        <w:ind w:left="0" w:firstLine="0"/>
        <w:jc w:val="both"/>
        <w:rPr>
          <w:rFonts w:ascii="Palatino Linotype" w:hAnsi="Palatino Linotype"/>
          <w:b/>
        </w:rPr>
      </w:pPr>
      <w:r w:rsidRPr="007928B4">
        <w:rPr>
          <w:rFonts w:ascii="Palatino Linotype" w:eastAsia="Palatino Linotype" w:hAnsi="Palatino Linotype" w:cs="Palatino Linotype"/>
          <w:color w:val="000000"/>
        </w:rPr>
        <w:t xml:space="preserve">Por lo </w:t>
      </w:r>
      <w:r w:rsidRPr="007928B4">
        <w:rPr>
          <w:rFonts w:ascii="Palatino Linotype" w:eastAsia="Palatino Linotype" w:hAnsi="Palatino Linotype" w:cs="Palatino Linotype"/>
        </w:rPr>
        <w:t>tanto</w:t>
      </w:r>
      <w:r w:rsidRPr="007928B4">
        <w:rPr>
          <w:rFonts w:ascii="Palatino Linotype" w:eastAsia="Palatino Linotype" w:hAnsi="Palatino Linotype" w:cs="Palatino Linotype"/>
          <w:color w:val="000000"/>
        </w:rPr>
        <w:t xml:space="preserve">, siendo elementos subsanables, se admitió el recurso de revisión con el objeto de tutelar de manera más amplia el ejercicio del derecho de acceso a datos personales que prendió ejercer la persona solicitante otorgando la posibilidad, mediante acuerdo notificado en fecha </w:t>
      </w:r>
      <w:r w:rsidR="001139E9" w:rsidRPr="007928B4">
        <w:rPr>
          <w:rFonts w:ascii="Palatino Linotype" w:eastAsia="Palatino Linotype" w:hAnsi="Palatino Linotype" w:cs="Palatino Linotype"/>
          <w:b/>
          <w:bCs/>
          <w:color w:val="000000"/>
        </w:rPr>
        <w:t>veinte de abril de dos mil veintiséis</w:t>
      </w:r>
      <w:r w:rsidRPr="007928B4">
        <w:rPr>
          <w:rFonts w:ascii="Palatino Linotype" w:eastAsia="Palatino Linotype" w:hAnsi="Palatino Linotype" w:cs="Palatino Linotype"/>
          <w:color w:val="000000"/>
        </w:rPr>
        <w:t>, a través del sistema SAIMEX, </w:t>
      </w:r>
      <w:r w:rsidRPr="007928B4">
        <w:rPr>
          <w:rFonts w:ascii="Palatino Linotype" w:eastAsia="Palatino Linotype" w:hAnsi="Palatino Linotype" w:cs="Palatino Linotype"/>
          <w:b/>
          <w:color w:val="000000"/>
        </w:rPr>
        <w:t>para acreditar su identidad e interés jurídico.</w:t>
      </w:r>
    </w:p>
    <w:p w14:paraId="43C9A725" w14:textId="623AB3E0"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i/>
          <w:color w:val="000000"/>
        </w:rPr>
      </w:pPr>
      <w:r w:rsidRPr="007928B4">
        <w:rPr>
          <w:rFonts w:ascii="Palatino Linotype" w:eastAsia="Palatino Linotype" w:hAnsi="Palatino Linotype" w:cs="Palatino Linotype"/>
          <w:color w:val="000000"/>
        </w:rPr>
        <w:lastRenderedPageBreak/>
        <w:t xml:space="preserve">Mediante </w:t>
      </w:r>
      <w:r w:rsidRPr="007928B4">
        <w:rPr>
          <w:rFonts w:ascii="Palatino Linotype" w:eastAsia="Palatino Linotype" w:hAnsi="Palatino Linotype" w:cs="Palatino Linotype"/>
        </w:rPr>
        <w:t>dicho</w:t>
      </w:r>
      <w:r w:rsidRPr="007928B4">
        <w:rPr>
          <w:rFonts w:ascii="Palatino Linotype" w:eastAsia="Palatino Linotype" w:hAnsi="Palatino Linotype" w:cs="Palatino Linotype"/>
          <w:color w:val="000000"/>
        </w:rPr>
        <w:t xml:space="preserve"> acuerdo, se le concedieron cinco días hábiles, contados del </w:t>
      </w:r>
      <w:r w:rsidR="00FD1878" w:rsidRPr="007928B4">
        <w:rPr>
          <w:rFonts w:ascii="Palatino Linotype" w:eastAsia="Palatino Linotype" w:hAnsi="Palatino Linotype" w:cs="Palatino Linotype"/>
          <w:b/>
          <w:color w:val="000000"/>
        </w:rPr>
        <w:t>veintiuno al veintisiete de abril de dos mil veintiséis</w:t>
      </w:r>
      <w:r w:rsidRPr="007928B4">
        <w:rPr>
          <w:rFonts w:ascii="Palatino Linotype" w:eastAsia="Palatino Linotype" w:hAnsi="Palatino Linotype" w:cs="Palatino Linotype"/>
          <w:color w:val="000000"/>
        </w:rPr>
        <w:t xml:space="preserve">; con la finalidad de que subsanara la omisión de acreditar su identidad e interés jurídico; no obstante, de las constancias que obran en expediente electrónico, se desprende que la parte </w:t>
      </w:r>
      <w:r w:rsidRPr="007928B4">
        <w:rPr>
          <w:rFonts w:ascii="Palatino Linotype" w:eastAsia="Palatino Linotype" w:hAnsi="Palatino Linotype" w:cs="Palatino Linotype"/>
          <w:b/>
          <w:color w:val="000000"/>
        </w:rPr>
        <w:t>RECURRENTE</w:t>
      </w:r>
      <w:r w:rsidRPr="007928B4">
        <w:rPr>
          <w:rFonts w:ascii="Palatino Linotype" w:eastAsia="Palatino Linotype" w:hAnsi="Palatino Linotype" w:cs="Palatino Linotype"/>
          <w:color w:val="000000"/>
        </w:rPr>
        <w:t xml:space="preserve"> no atendió las prevenciones en el plazo establecido para tal efecto,  por tanto al no haber exhibido los documentos mediante los cuales subsanara las omisiones referidas, subsiste el incumplimiento al requisito establecido en el artículo 106, párrafo tercero de </w:t>
      </w:r>
      <w:r w:rsidRPr="007928B4">
        <w:rPr>
          <w:rFonts w:ascii="Palatino Linotype" w:eastAsia="Palatino Linotype" w:hAnsi="Palatino Linotype" w:cs="Palatino Linotype"/>
          <w:b/>
          <w:color w:val="000000"/>
        </w:rPr>
        <w:t xml:space="preserve">Ley de Protección de Datos Personales en Posesión de Sujeto Obligados del Estado de México y Municipios, </w:t>
      </w:r>
      <w:r w:rsidRPr="007928B4">
        <w:rPr>
          <w:rFonts w:ascii="Palatino Linotype" w:eastAsia="Palatino Linotype" w:hAnsi="Palatino Linotype" w:cs="Palatino Linotype"/>
          <w:color w:val="000000"/>
        </w:rPr>
        <w:t>el cual</w:t>
      </w:r>
      <w:r w:rsidRPr="007928B4">
        <w:rPr>
          <w:rFonts w:ascii="Palatino Linotype" w:hAnsi="Palatino Linotype"/>
          <w:color w:val="000000"/>
        </w:rPr>
        <w:t xml:space="preserve"> </w:t>
      </w:r>
      <w:r w:rsidRPr="007928B4">
        <w:rPr>
          <w:rFonts w:ascii="Palatino Linotype" w:eastAsia="Palatino Linotype" w:hAnsi="Palatino Linotype" w:cs="Palatino Linotype"/>
          <w:color w:val="000000"/>
        </w:rPr>
        <w:t>claramente establece que para el ejercicio de los derechos ARCO será necesario acreditar la identidad del titular y en su caso la identidad y personalidad con la que actúe el representante.</w:t>
      </w:r>
    </w:p>
    <w:p w14:paraId="2A1E1959" w14:textId="77777777" w:rsidR="005829DD" w:rsidRPr="007928B4" w:rsidRDefault="005829DD" w:rsidP="005829DD">
      <w:pPr>
        <w:spacing w:line="360" w:lineRule="auto"/>
        <w:jc w:val="both"/>
        <w:rPr>
          <w:rFonts w:ascii="Palatino Linotype" w:eastAsia="Palatino Linotype" w:hAnsi="Palatino Linotype" w:cs="Palatino Linotype"/>
          <w:i/>
          <w:color w:val="000000"/>
        </w:rPr>
      </w:pPr>
    </w:p>
    <w:p w14:paraId="5FBF3C2E"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Por consiguiente, se colige que se está ante la presencia de la causal de sobreseimiento establecida en el artículo 139, fracción III, de la Ley de Protección de Datos Personales en Posesión de Sujetos Obligados del Estado de México y Municipios, en correlación con las causales de improcedencia contempladas en el artículo 138,  fracción II y VII del mismo ordenamiento legal, a saber:</w:t>
      </w:r>
    </w:p>
    <w:p w14:paraId="46748A2D" w14:textId="77777777" w:rsidR="005829DD" w:rsidRPr="007928B4" w:rsidRDefault="005829DD" w:rsidP="005829DD">
      <w:pPr>
        <w:tabs>
          <w:tab w:val="left" w:pos="7938"/>
        </w:tabs>
        <w:spacing w:before="120" w:after="120"/>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b/>
          <w:i/>
        </w:rPr>
        <w:t>“Artículo 138</w:t>
      </w:r>
      <w:r w:rsidRPr="007928B4">
        <w:rPr>
          <w:rFonts w:ascii="Palatino Linotype" w:eastAsia="Palatino Linotype" w:hAnsi="Palatino Linotype" w:cs="Palatino Linotype"/>
          <w:i/>
        </w:rPr>
        <w:t>. El recurso de revisión podrá ser desechado por improcedente cuando:</w:t>
      </w:r>
    </w:p>
    <w:p w14:paraId="7FE5B58A" w14:textId="77777777" w:rsidR="005829DD" w:rsidRPr="007928B4" w:rsidRDefault="005829DD" w:rsidP="005829DD">
      <w:pPr>
        <w:pBdr>
          <w:top w:val="nil"/>
          <w:left w:val="nil"/>
          <w:bottom w:val="nil"/>
          <w:right w:val="nil"/>
          <w:between w:val="nil"/>
        </w:pBdr>
        <w:spacing w:before="120" w:after="120"/>
        <w:ind w:left="1134" w:right="1134"/>
        <w:jc w:val="both"/>
        <w:rPr>
          <w:rFonts w:ascii="Palatino Linotype" w:hAnsi="Palatino Linotype"/>
          <w:color w:val="000000"/>
        </w:rPr>
      </w:pPr>
      <w:r w:rsidRPr="007928B4">
        <w:rPr>
          <w:rFonts w:ascii="Palatino Linotype" w:eastAsia="Palatino Linotype" w:hAnsi="Palatino Linotype" w:cs="Palatino Linotype"/>
          <w:b/>
          <w:i/>
          <w:color w:val="000000"/>
          <w:u w:val="single"/>
        </w:rPr>
        <w:t>II. El titular o su representante no acrediten debidamente su identidad y personalidad de este último.</w:t>
      </w:r>
    </w:p>
    <w:p w14:paraId="2A725D21" w14:textId="77777777" w:rsidR="005829DD" w:rsidRPr="007928B4" w:rsidRDefault="005829DD" w:rsidP="005829DD">
      <w:pPr>
        <w:tabs>
          <w:tab w:val="left" w:pos="7938"/>
        </w:tabs>
        <w:spacing w:before="120" w:after="120"/>
        <w:ind w:left="1134" w:right="1134"/>
        <w:jc w:val="both"/>
        <w:rPr>
          <w:rFonts w:ascii="Palatino Linotype" w:eastAsia="Palatino Linotype" w:hAnsi="Palatino Linotype" w:cs="Palatino Linotype"/>
          <w:b/>
          <w:i/>
          <w:u w:val="single"/>
        </w:rPr>
      </w:pPr>
      <w:r w:rsidRPr="007928B4">
        <w:rPr>
          <w:rFonts w:ascii="Palatino Linotype" w:eastAsia="Palatino Linotype" w:hAnsi="Palatino Linotype" w:cs="Palatino Linotype"/>
          <w:b/>
          <w:i/>
          <w:u w:val="single"/>
        </w:rPr>
        <w:t>VII. El recurrente no acredite interés jurídico</w:t>
      </w:r>
    </w:p>
    <w:p w14:paraId="006B8758" w14:textId="77777777" w:rsidR="005829DD" w:rsidRPr="007928B4" w:rsidRDefault="005829DD" w:rsidP="005829DD">
      <w:pPr>
        <w:widowControl w:val="0"/>
        <w:pBdr>
          <w:top w:val="nil"/>
          <w:left w:val="nil"/>
          <w:bottom w:val="nil"/>
          <w:right w:val="nil"/>
          <w:between w:val="nil"/>
        </w:pBdr>
        <w:tabs>
          <w:tab w:val="left" w:pos="7938"/>
        </w:tabs>
        <w:spacing w:before="120" w:after="120"/>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b/>
          <w:i/>
        </w:rPr>
        <w:t>Artículo 139</w:t>
      </w:r>
      <w:r w:rsidRPr="007928B4">
        <w:rPr>
          <w:rFonts w:ascii="Palatino Linotype" w:eastAsia="Palatino Linotype" w:hAnsi="Palatino Linotype" w:cs="Palatino Linotype"/>
          <w:i/>
        </w:rPr>
        <w:t xml:space="preserve">. El recurso de revisión sólo podrá ser sobreseído cuando: </w:t>
      </w:r>
    </w:p>
    <w:p w14:paraId="3833F1F8" w14:textId="77777777" w:rsidR="005829DD" w:rsidRPr="007928B4" w:rsidRDefault="005829DD" w:rsidP="005829DD">
      <w:pPr>
        <w:widowControl w:val="0"/>
        <w:pBdr>
          <w:top w:val="nil"/>
          <w:left w:val="nil"/>
          <w:bottom w:val="nil"/>
          <w:right w:val="nil"/>
          <w:between w:val="nil"/>
        </w:pBdr>
        <w:spacing w:before="120" w:after="120"/>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b/>
          <w:i/>
        </w:rPr>
        <w:t>III.</w:t>
      </w:r>
      <w:r w:rsidRPr="007928B4">
        <w:rPr>
          <w:rFonts w:ascii="Palatino Linotype" w:eastAsia="Palatino Linotype" w:hAnsi="Palatino Linotype" w:cs="Palatino Linotype"/>
          <w:i/>
        </w:rPr>
        <w:t xml:space="preserve"> Admitido el recurso de revisión, se actualice alguna causal de improcedencia en los términos de la presente Ley.”</w:t>
      </w:r>
    </w:p>
    <w:p w14:paraId="2DA06AB5"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lastRenderedPageBreak/>
        <w:t xml:space="preserve">Lo anterior, en virtud de que la parte </w:t>
      </w:r>
      <w:r w:rsidRPr="007928B4">
        <w:rPr>
          <w:rFonts w:ascii="Palatino Linotype" w:eastAsia="Palatino Linotype" w:hAnsi="Palatino Linotype" w:cs="Palatino Linotype"/>
          <w:b/>
        </w:rPr>
        <w:t xml:space="preserve">RECURRENTE </w:t>
      </w:r>
      <w:r w:rsidRPr="007928B4">
        <w:rPr>
          <w:rFonts w:ascii="Palatino Linotype" w:eastAsia="Palatino Linotype" w:hAnsi="Palatino Linotype" w:cs="Palatino Linotype"/>
        </w:rPr>
        <w:t xml:space="preserve">no acreditó su identidad e interés jurídico para acceder a los datos personales </w:t>
      </w:r>
      <w:r w:rsidR="00F86E3D" w:rsidRPr="007928B4">
        <w:rPr>
          <w:rFonts w:ascii="Palatino Linotype" w:eastAsia="Palatino Linotype" w:hAnsi="Palatino Linotype" w:cs="Palatino Linotype"/>
        </w:rPr>
        <w:t>solicitados.</w:t>
      </w:r>
    </w:p>
    <w:p w14:paraId="7E2A7991" w14:textId="77777777" w:rsidR="00F86E3D" w:rsidRPr="007928B4" w:rsidRDefault="00F86E3D" w:rsidP="00F86E3D">
      <w:pPr>
        <w:spacing w:line="360" w:lineRule="auto"/>
        <w:jc w:val="both"/>
        <w:rPr>
          <w:rFonts w:ascii="Palatino Linotype" w:eastAsia="Palatino Linotype" w:hAnsi="Palatino Linotype" w:cs="Palatino Linotype"/>
        </w:rPr>
      </w:pPr>
    </w:p>
    <w:p w14:paraId="3E86AB62" w14:textId="051ACB62"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Por tales circunstancias, este Instituto se encuentra impedido a entrar al estudio de fondo, en virtud que el particular fue </w:t>
      </w:r>
      <w:r w:rsidR="00F86E3D" w:rsidRPr="007928B4">
        <w:rPr>
          <w:rFonts w:ascii="Palatino Linotype" w:eastAsia="Palatino Linotype" w:hAnsi="Palatino Linotype" w:cs="Palatino Linotype"/>
        </w:rPr>
        <w:t>omiso en desahogar la prevención</w:t>
      </w:r>
      <w:r w:rsidRPr="007928B4">
        <w:rPr>
          <w:rFonts w:ascii="Palatino Linotype" w:eastAsia="Palatino Linotype" w:hAnsi="Palatino Linotype" w:cs="Palatino Linotype"/>
        </w:rPr>
        <w:t xml:space="preserve"> decretadas en el acuerdo de fecha </w:t>
      </w:r>
      <w:r w:rsidR="00FD1878" w:rsidRPr="007928B4">
        <w:rPr>
          <w:rFonts w:ascii="Palatino Linotype" w:eastAsia="Palatino Linotype" w:hAnsi="Palatino Linotype" w:cs="Palatino Linotype"/>
          <w:b/>
        </w:rPr>
        <w:t>veinte de abril de dos mil veintiséis</w:t>
      </w:r>
      <w:r w:rsidR="00F86E3D" w:rsidRPr="007928B4">
        <w:rPr>
          <w:rFonts w:ascii="Palatino Linotype" w:eastAsia="Palatino Linotype" w:hAnsi="Palatino Linotype" w:cs="Palatino Linotype"/>
        </w:rPr>
        <w:t>, a fin de atender su solicitud</w:t>
      </w:r>
      <w:r w:rsidRPr="007928B4">
        <w:rPr>
          <w:rFonts w:ascii="Palatino Linotype" w:eastAsia="Palatino Linotype" w:hAnsi="Palatino Linotype" w:cs="Palatino Linotype"/>
        </w:rPr>
        <w:t xml:space="preserve"> de acceso a datos.</w:t>
      </w:r>
    </w:p>
    <w:p w14:paraId="4F69A43E" w14:textId="77777777" w:rsidR="005829DD" w:rsidRPr="007928B4" w:rsidRDefault="005829DD" w:rsidP="005829DD">
      <w:pPr>
        <w:spacing w:line="360" w:lineRule="auto"/>
        <w:jc w:val="both"/>
        <w:rPr>
          <w:rFonts w:ascii="Palatino Linotype" w:eastAsia="Palatino Linotype" w:hAnsi="Palatino Linotype" w:cs="Palatino Linotype"/>
        </w:rPr>
      </w:pPr>
    </w:p>
    <w:p w14:paraId="22CECFF8"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En consecuencia, lo procedente es </w:t>
      </w:r>
      <w:r w:rsidRPr="007928B4">
        <w:rPr>
          <w:rFonts w:ascii="Palatino Linotype" w:eastAsia="Palatino Linotype" w:hAnsi="Palatino Linotype" w:cs="Palatino Linotype"/>
          <w:b/>
        </w:rPr>
        <w:t xml:space="preserve">Sobreseer </w:t>
      </w:r>
      <w:r w:rsidRPr="007928B4">
        <w:rPr>
          <w:rFonts w:ascii="Palatino Linotype" w:eastAsia="Palatino Linotype" w:hAnsi="Palatino Linotype" w:cs="Palatino Linotype"/>
        </w:rPr>
        <w:t>el presente recurso de revisión, de conformidad con el artículo 137, fracción I</w:t>
      </w:r>
      <w:r w:rsidRPr="007928B4">
        <w:rPr>
          <w:rFonts w:ascii="Palatino Linotype" w:eastAsia="Palatino Linotype" w:hAnsi="Palatino Linotype" w:cs="Palatino Linotype"/>
          <w:b/>
        </w:rPr>
        <w:t xml:space="preserve"> </w:t>
      </w:r>
      <w:r w:rsidRPr="007928B4">
        <w:rPr>
          <w:rFonts w:ascii="Palatino Linotype" w:eastAsia="Palatino Linotype" w:hAnsi="Palatino Linotype" w:cs="Palatino Linotype"/>
        </w:rPr>
        <w:t xml:space="preserve">de la Ley de Protección de Datos Personales en Posesión de Sujetos Obligados del Estado de México y Municipios, que es del tenor literal siguiente: </w:t>
      </w:r>
    </w:p>
    <w:p w14:paraId="730D10B7" w14:textId="77777777" w:rsidR="005829DD" w:rsidRPr="007928B4" w:rsidRDefault="005829DD" w:rsidP="00F86E3D">
      <w:pPr>
        <w:tabs>
          <w:tab w:val="left" w:pos="993"/>
        </w:tabs>
        <w:spacing w:before="240" w:after="240" w:line="360" w:lineRule="auto"/>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i/>
        </w:rPr>
        <w:t>“</w:t>
      </w:r>
      <w:r w:rsidRPr="007928B4">
        <w:rPr>
          <w:rFonts w:ascii="Palatino Linotype" w:eastAsia="Palatino Linotype" w:hAnsi="Palatino Linotype" w:cs="Palatino Linotype"/>
          <w:b/>
          <w:i/>
        </w:rPr>
        <w:t>Artículo 137</w:t>
      </w:r>
      <w:r w:rsidRPr="007928B4">
        <w:rPr>
          <w:rFonts w:ascii="Palatino Linotype" w:eastAsia="Palatino Linotype" w:hAnsi="Palatino Linotype" w:cs="Palatino Linotype"/>
          <w:i/>
        </w:rPr>
        <w:t xml:space="preserve">. Las resoluciones del Instituto podrán: </w:t>
      </w:r>
    </w:p>
    <w:p w14:paraId="57474273" w14:textId="77777777" w:rsidR="005829DD" w:rsidRPr="007928B4" w:rsidRDefault="005829DD" w:rsidP="00F86E3D">
      <w:pPr>
        <w:tabs>
          <w:tab w:val="left" w:pos="1418"/>
        </w:tabs>
        <w:spacing w:before="240" w:after="240" w:line="360" w:lineRule="auto"/>
        <w:ind w:left="1134" w:right="1134"/>
        <w:jc w:val="both"/>
        <w:rPr>
          <w:rFonts w:ascii="Palatino Linotype" w:eastAsia="Palatino Linotype" w:hAnsi="Palatino Linotype" w:cs="Palatino Linotype"/>
          <w:b/>
          <w:i/>
          <w:u w:val="single"/>
        </w:rPr>
      </w:pPr>
      <w:r w:rsidRPr="007928B4">
        <w:rPr>
          <w:rFonts w:ascii="Palatino Linotype" w:eastAsia="Palatino Linotype" w:hAnsi="Palatino Linotype" w:cs="Palatino Linotype"/>
          <w:b/>
          <w:i/>
          <w:u w:val="single"/>
        </w:rPr>
        <w:t>I. Sobreseer o desechar el recurso de revisión por improcedente.”</w:t>
      </w:r>
    </w:p>
    <w:p w14:paraId="63CD2D49"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i/>
        </w:rPr>
      </w:pPr>
      <w:r w:rsidRPr="007928B4">
        <w:rPr>
          <w:rFonts w:ascii="Palatino Linotype" w:eastAsia="Palatino Linotype" w:hAnsi="Palatino Linotype" w:cs="Palatino Linotype"/>
        </w:rPr>
        <w:t xml:space="preserve">Al respecto, no obsta mencionar que, de acuerdo con el procesalista Niceto Alcalá-Zamora y Castillo en su obra </w:t>
      </w:r>
      <w:r w:rsidRPr="007928B4">
        <w:rPr>
          <w:rFonts w:ascii="Palatino Linotype" w:eastAsia="Palatino Linotype" w:hAnsi="Palatino Linotype" w:cs="Palatino Linotype"/>
          <w:i/>
        </w:rPr>
        <w:t>“Cuestiones de Terminología Procesal”</w:t>
      </w:r>
      <w:r w:rsidRPr="007928B4">
        <w:rPr>
          <w:rFonts w:ascii="Palatino Linotype" w:eastAsia="Palatino Linotype" w:hAnsi="Palatino Linotype" w:cs="Palatino Linotype"/>
        </w:rPr>
        <w:t xml:space="preserve">, el sobreseimiento es </w:t>
      </w:r>
      <w:r w:rsidRPr="007928B4">
        <w:rPr>
          <w:rFonts w:ascii="Palatino Linotype" w:eastAsia="Palatino Linotype" w:hAnsi="Palatino Linotype" w:cs="Palatino Linotype"/>
          <w:i/>
        </w:rPr>
        <w:t>“...una resolución en forma de auto, que produce la suspensión indefinida del procedimiento penal, o que pone fin al proceso, impidiendo en ambos casos, mientras subsista, la apertura del plenario o que en él se pronuncie sentencia...”</w:t>
      </w:r>
    </w:p>
    <w:p w14:paraId="514F3EDB" w14:textId="77777777" w:rsidR="005829DD" w:rsidRPr="007928B4" w:rsidRDefault="005829DD" w:rsidP="005829DD">
      <w:pPr>
        <w:spacing w:line="360" w:lineRule="auto"/>
        <w:jc w:val="both"/>
        <w:rPr>
          <w:rFonts w:ascii="Palatino Linotype" w:eastAsia="Palatino Linotype" w:hAnsi="Palatino Linotype" w:cs="Palatino Linotype"/>
          <w:i/>
        </w:rPr>
      </w:pPr>
    </w:p>
    <w:p w14:paraId="682B42A1"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Por su parte, Eduardo Pallares, en su artículo </w:t>
      </w:r>
      <w:r w:rsidRPr="007928B4">
        <w:rPr>
          <w:rFonts w:ascii="Palatino Linotype" w:eastAsia="Palatino Linotype" w:hAnsi="Palatino Linotype" w:cs="Palatino Linotype"/>
          <w:i/>
        </w:rPr>
        <w:t>“La caducidad y el sobreseimiento en el amparo”</w:t>
      </w:r>
      <w:r w:rsidRPr="007928B4">
        <w:rPr>
          <w:rFonts w:ascii="Palatino Linotype" w:eastAsia="Palatino Linotype" w:hAnsi="Palatino Linotype" w:cs="Palatino Linotype"/>
        </w:rPr>
        <w:t xml:space="preserve">, cita la definición de Aguilera Paz, aduciendo que se </w:t>
      </w:r>
      <w:r w:rsidRPr="007928B4">
        <w:rPr>
          <w:rFonts w:ascii="Palatino Linotype" w:eastAsia="Palatino Linotype" w:hAnsi="Palatino Linotype" w:cs="Palatino Linotype"/>
          <w:i/>
        </w:rPr>
        <w:t xml:space="preserve">“...entiende por sobreseimiento en </w:t>
      </w:r>
      <w:r w:rsidRPr="007928B4">
        <w:rPr>
          <w:rFonts w:ascii="Palatino Linotype" w:eastAsia="Palatino Linotype" w:hAnsi="Palatino Linotype" w:cs="Palatino Linotype"/>
          <w:i/>
        </w:rPr>
        <w:lastRenderedPageBreak/>
        <w:t>el tecnicismo forense, el hecho de cesar en el procedimiento o curso de la causa, por no existir méritos bastantes para entrar en un juicio o para entablar la contienda judicial que debe ser objeto del mismo...”</w:t>
      </w:r>
      <w:r w:rsidRPr="007928B4">
        <w:rPr>
          <w:rFonts w:ascii="Palatino Linotype" w:eastAsia="Palatino Linotype" w:hAnsi="Palatino Linotype" w:cs="Palatino Linotype"/>
        </w:rPr>
        <w:t>. Asimismo señala que existe el sobreseimiento provisional y el definitivo</w:t>
      </w:r>
      <w:r w:rsidRPr="007928B4">
        <w:rPr>
          <w:rFonts w:ascii="Palatino Linotype" w:eastAsia="Palatino Linotype" w:hAnsi="Palatino Linotype" w:cs="Palatino Linotype"/>
          <w:i/>
        </w:rPr>
        <w:t>: “...el definitivo es una verdadera sentencia que pone fin al juicio, y que una vez dictada, produce cosa juzgada, mientras que el provisorio tiene por efectos suspender la prosecución de la causa...”</w:t>
      </w:r>
    </w:p>
    <w:p w14:paraId="5EA809FB" w14:textId="77777777" w:rsidR="005829DD" w:rsidRPr="007928B4" w:rsidRDefault="005829DD" w:rsidP="005829DD">
      <w:pPr>
        <w:spacing w:line="360" w:lineRule="auto"/>
        <w:jc w:val="both"/>
        <w:rPr>
          <w:rFonts w:ascii="Palatino Linotype" w:eastAsia="Palatino Linotype" w:hAnsi="Palatino Linotype" w:cs="Palatino Linotype"/>
        </w:rPr>
      </w:pPr>
    </w:p>
    <w:p w14:paraId="6F93C6CF"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 xml:space="preserve">Así, para la doctrina el sobreseimiento provoca que un procedimiento se suspenda o se resuelva en definitiva </w:t>
      </w:r>
      <w:r w:rsidRPr="007928B4">
        <w:rPr>
          <w:rFonts w:ascii="Palatino Linotype" w:eastAsia="Palatino Linotype" w:hAnsi="Palatino Linotype" w:cs="Palatino Linotype"/>
          <w:b/>
          <w:u w:val="single"/>
        </w:rPr>
        <w:t>sin que se entre al estudio de los agravios o motivos de inconformidad</w:t>
      </w:r>
      <w:r w:rsidRPr="007928B4">
        <w:rPr>
          <w:rFonts w:ascii="Palatino Linotype" w:eastAsia="Palatino Linotype" w:hAnsi="Palatino Linotype" w:cs="Palatino Linotype"/>
          <w:b/>
        </w:rPr>
        <w:t xml:space="preserve">. </w:t>
      </w:r>
    </w:p>
    <w:p w14:paraId="133EF13B" w14:textId="77777777" w:rsidR="005829DD" w:rsidRPr="007928B4" w:rsidRDefault="005829DD" w:rsidP="005829DD">
      <w:pPr>
        <w:pStyle w:val="Prrafodelista"/>
        <w:rPr>
          <w:rFonts w:ascii="Palatino Linotype" w:eastAsia="Palatino Linotype" w:hAnsi="Palatino Linotype" w:cs="Palatino Linotype"/>
          <w:sz w:val="24"/>
          <w:szCs w:val="24"/>
        </w:rPr>
      </w:pPr>
    </w:p>
    <w:p w14:paraId="70B92BFD"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928B4">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14:paraId="0AD974A9" w14:textId="77777777" w:rsidR="005829DD" w:rsidRDefault="005829DD" w:rsidP="005829DD">
      <w:pPr>
        <w:spacing w:before="240" w:after="240"/>
        <w:ind w:left="1134" w:right="1134"/>
        <w:jc w:val="both"/>
        <w:rPr>
          <w:rFonts w:ascii="Palatino Linotype" w:eastAsia="Palatino Linotype" w:hAnsi="Palatino Linotype" w:cs="Palatino Linotype"/>
          <w:i/>
        </w:rPr>
      </w:pPr>
      <w:r w:rsidRPr="007928B4">
        <w:rPr>
          <w:rFonts w:ascii="Palatino Linotype" w:eastAsia="Palatino Linotype" w:hAnsi="Palatino Linotype" w:cs="Palatino Linotype"/>
          <w:b/>
          <w:i/>
        </w:rPr>
        <w:t>“SOBRESEIMIENTO EN EL JUICIO DE AMPARO DIRECTO. IMPIDE EL ESTUDIO DE LAS VIOLACIONES PROCESALES PLANTEADAS EN LOS CONCEPTOS DE VIOLACIÓN. El sobreseimiento</w:t>
      </w:r>
      <w:r w:rsidRPr="007928B4">
        <w:rPr>
          <w:rFonts w:ascii="Palatino Linotype" w:eastAsia="Palatino Linotype" w:hAnsi="Palatino Linotype" w:cs="Palatino Linotype"/>
          <w:i/>
        </w:rPr>
        <w:t xml:space="preserve"> en el juicio de amparo directo </w:t>
      </w:r>
      <w:r w:rsidRPr="007928B4">
        <w:rPr>
          <w:rFonts w:ascii="Palatino Linotype" w:eastAsia="Palatino Linotype" w:hAnsi="Palatino Linotype" w:cs="Palatino Linotype"/>
          <w:b/>
          <w:i/>
        </w:rPr>
        <w:t>provoca la terminación de la controversia planteada</w:t>
      </w:r>
      <w:r w:rsidRPr="007928B4">
        <w:rPr>
          <w:rFonts w:ascii="Palatino Linotype" w:eastAsia="Palatino Linotype" w:hAnsi="Palatino Linotype" w:cs="Palatino Linotype"/>
          <w:i/>
        </w:rPr>
        <w:t xml:space="preserve"> por el quejoso en la demanda de amparo</w:t>
      </w:r>
      <w:r w:rsidRPr="007928B4">
        <w:rPr>
          <w:rFonts w:ascii="Palatino Linotype" w:eastAsia="Palatino Linotype" w:hAnsi="Palatino Linotype" w:cs="Palatino Linotype"/>
          <w:b/>
          <w:i/>
        </w:rPr>
        <w:t>, sin hacer un pronunciamiento de fondo sobre la legalidad o ilegalidad de la sentencia reclamada</w:t>
      </w:r>
      <w:r w:rsidRPr="007928B4">
        <w:rPr>
          <w:rFonts w:ascii="Palatino Linotype" w:eastAsia="Palatino Linotype" w:hAnsi="Palatino Linotype" w:cs="Palatino Linotype"/>
          <w:i/>
        </w:rPr>
        <w:t xml:space="preserve">. </w:t>
      </w:r>
      <w:r w:rsidRPr="007928B4">
        <w:rPr>
          <w:rFonts w:ascii="Palatino Linotype" w:eastAsia="Palatino Linotype" w:hAnsi="Palatino Linotype" w:cs="Palatino Linotype"/>
          <w:b/>
          <w:i/>
        </w:rPr>
        <w:t xml:space="preserve">Por consiguiente, si al sobreseerse en el juicio de amparo </w:t>
      </w:r>
      <w:r w:rsidRPr="007928B4">
        <w:rPr>
          <w:rFonts w:ascii="Palatino Linotype" w:eastAsia="Palatino Linotype" w:hAnsi="Palatino Linotype" w:cs="Palatino Linotype"/>
          <w:b/>
          <w:i/>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7928B4">
        <w:rPr>
          <w:rFonts w:ascii="Palatino Linotype" w:eastAsia="Palatino Linotype" w:hAnsi="Palatino Linotype" w:cs="Palatino Linotype"/>
          <w:i/>
        </w:rPr>
        <w:t>.”</w:t>
      </w:r>
    </w:p>
    <w:p w14:paraId="6F75EB44" w14:textId="77777777" w:rsidR="007928B4" w:rsidRPr="007928B4" w:rsidRDefault="007928B4" w:rsidP="005829DD">
      <w:pPr>
        <w:spacing w:before="240" w:after="240"/>
        <w:ind w:left="1134" w:right="1134"/>
        <w:jc w:val="both"/>
        <w:rPr>
          <w:rFonts w:ascii="Palatino Linotype" w:eastAsia="Palatino Linotype" w:hAnsi="Palatino Linotype" w:cs="Palatino Linotype"/>
          <w:i/>
        </w:rPr>
      </w:pPr>
    </w:p>
    <w:p w14:paraId="535D32A9"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lastRenderedPageBreak/>
        <w:t xml:space="preserve">No </w:t>
      </w:r>
      <w:r w:rsidRPr="007928B4">
        <w:rPr>
          <w:rFonts w:ascii="Palatino Linotype" w:eastAsia="Palatino Linotype" w:hAnsi="Palatino Linotype" w:cs="Palatino Linotype"/>
        </w:rPr>
        <w:t>obstante</w:t>
      </w:r>
      <w:r w:rsidRPr="007928B4">
        <w:rPr>
          <w:rFonts w:ascii="Palatino Linotype" w:eastAsia="Palatino Linotype" w:hAnsi="Palatino Linotype" w:cs="Palatino Linotype"/>
          <w:color w:val="000000"/>
        </w:rPr>
        <w:t xml:space="preserve">, se dejan a salvo los derechos de la persona solicitante para que presente nueva solicitud en caso de ser de su interés; asimismo, es importante hacer de su conocimiento que la Ley otorga a los titulares de los datos personales el derecho a acceder, rectificar y cancelar su información personal en posesión de Sujetos Obligados, o bien oponerse al tratamiento de la misma, recordando que </w:t>
      </w:r>
      <w:r w:rsidRPr="007928B4">
        <w:rPr>
          <w:rFonts w:ascii="Palatino Linotype" w:eastAsia="Palatino Linotype" w:hAnsi="Palatino Linotype" w:cs="Palatino Linotype"/>
          <w:b/>
          <w:color w:val="000000"/>
        </w:rPr>
        <w:t>para ejercer dichos derechos ante el responsable o el Instituto, deberá acreditar que es el titular de los datos o, en caso de que lo haga en representación del titular de los datos personales, deberá acreditar ésta situación.</w:t>
      </w:r>
      <w:r w:rsidRPr="007928B4">
        <w:rPr>
          <w:rFonts w:ascii="Palatino Linotype" w:eastAsia="Palatino Linotype" w:hAnsi="Palatino Linotype" w:cs="Palatino Linotype"/>
          <w:color w:val="000000"/>
        </w:rPr>
        <w:t xml:space="preserve"> Esto está pensado para que NADIE más que el titular o el representante, puedan decidir el uso que se le dará a sus datos personales, como una medida de seguridad de </w:t>
      </w:r>
      <w:r w:rsidRPr="007928B4">
        <w:rPr>
          <w:rFonts w:ascii="Palatino Linotype" w:eastAsia="Palatino Linotype" w:hAnsi="Palatino Linotype" w:cs="Palatino Linotype"/>
        </w:rPr>
        <w:t>su información</w:t>
      </w:r>
      <w:r w:rsidRPr="007928B4">
        <w:rPr>
          <w:rFonts w:ascii="Palatino Linotype" w:eastAsia="Palatino Linotype" w:hAnsi="Palatino Linotype" w:cs="Palatino Linotype"/>
          <w:color w:val="000000"/>
        </w:rPr>
        <w:t xml:space="preserve"> personal.</w:t>
      </w:r>
    </w:p>
    <w:p w14:paraId="396D713C" w14:textId="77777777" w:rsidR="005829DD" w:rsidRPr="007928B4" w:rsidRDefault="005829DD" w:rsidP="005829DD">
      <w:pPr>
        <w:pBdr>
          <w:top w:val="nil"/>
          <w:left w:val="nil"/>
          <w:bottom w:val="nil"/>
          <w:right w:val="nil"/>
          <w:between w:val="nil"/>
        </w:pBdr>
        <w:spacing w:line="360" w:lineRule="auto"/>
        <w:jc w:val="both"/>
        <w:rPr>
          <w:rFonts w:ascii="Palatino Linotype" w:hAnsi="Palatino Linotype"/>
          <w:color w:val="000000"/>
        </w:rPr>
      </w:pPr>
    </w:p>
    <w:p w14:paraId="369DDD98"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Para lo </w:t>
      </w:r>
      <w:r w:rsidRPr="007928B4">
        <w:rPr>
          <w:rFonts w:ascii="Palatino Linotype" w:eastAsia="Palatino Linotype" w:hAnsi="Palatino Linotype" w:cs="Palatino Linotype"/>
        </w:rPr>
        <w:t>anterior</w:t>
      </w:r>
      <w:r w:rsidRPr="007928B4">
        <w:rPr>
          <w:rFonts w:ascii="Palatino Linotype" w:eastAsia="Palatino Linotype" w:hAnsi="Palatino Linotype" w:cs="Palatino Linotype"/>
          <w:color w:val="000000"/>
        </w:rPr>
        <w:t xml:space="preserve"> pueden ser utilizados los medios de identificación y formas de acreditar la personalidad que se prevén en los artículos 120 y 121 de la Ley de Protección de Datos Personales en Posesión de Sujetos Obligados del Estado de México y Municipios; 76, 77, 78, 79, 80, 81 y 82 de los Lineamientos Generales de Protección de Datos Personales para el Sector Público; 2.5 fracción II y VIII, 2.5 Bis, 4.202, 4.203 y 4.204 del Código Civil del Estado de México, y de ésta manera evitar el uso malintencionado que alguien pueda hacer de la información o documentación que le concierne.</w:t>
      </w:r>
    </w:p>
    <w:p w14:paraId="614ADF0B" w14:textId="77777777" w:rsidR="005829DD" w:rsidRPr="007928B4" w:rsidRDefault="005829DD" w:rsidP="005829DD">
      <w:pPr>
        <w:spacing w:line="360" w:lineRule="auto"/>
        <w:jc w:val="both"/>
        <w:rPr>
          <w:rFonts w:ascii="Palatino Linotype" w:eastAsia="Palatino Linotype" w:hAnsi="Palatino Linotype" w:cs="Palatino Linotype"/>
          <w:color w:val="000000"/>
        </w:rPr>
      </w:pPr>
    </w:p>
    <w:p w14:paraId="105B8623"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Asimismo, </w:t>
      </w:r>
      <w:r w:rsidRPr="007928B4">
        <w:rPr>
          <w:rFonts w:ascii="Palatino Linotype" w:eastAsia="Palatino Linotype" w:hAnsi="Palatino Linotype" w:cs="Palatino Linotype"/>
        </w:rPr>
        <w:t>se</w:t>
      </w:r>
      <w:r w:rsidRPr="007928B4">
        <w:rPr>
          <w:rFonts w:ascii="Palatino Linotype" w:eastAsia="Palatino Linotype" w:hAnsi="Palatino Linotype" w:cs="Palatino Linotype"/>
          <w:color w:val="000000"/>
        </w:rPr>
        <w:t xml:space="preserve"> hace del conocimiento de la parte </w:t>
      </w:r>
      <w:r w:rsidRPr="007928B4">
        <w:rPr>
          <w:rFonts w:ascii="Palatino Linotype" w:eastAsia="Palatino Linotype" w:hAnsi="Palatino Linotype" w:cs="Palatino Linotype"/>
          <w:b/>
          <w:color w:val="000000"/>
        </w:rPr>
        <w:t>RECURRENTE</w:t>
      </w:r>
      <w:r w:rsidRPr="007928B4">
        <w:rPr>
          <w:rFonts w:ascii="Palatino Linotype" w:eastAsia="Palatino Linotype" w:hAnsi="Palatino Linotype" w:cs="Palatino Linotype"/>
          <w:color w:val="000000"/>
        </w:rPr>
        <w:t xml:space="preserve"> que existe el sistema denominado Sistema de Acceso, Rectificación, Cancelación y Oposición de Datos Personales del Estado de México, SARCOEM; a través del cual, puede ejercer los derechos ARCO, que se refieren a aquel derecho que tiene el titular de datos personales, para solicitar el acceso, </w:t>
      </w:r>
      <w:r w:rsidRPr="007928B4">
        <w:rPr>
          <w:rFonts w:ascii="Palatino Linotype" w:eastAsia="Palatino Linotype" w:hAnsi="Palatino Linotype" w:cs="Palatino Linotype"/>
          <w:color w:val="000000"/>
        </w:rPr>
        <w:lastRenderedPageBreak/>
        <w:t xml:space="preserve">rectificación, cancelación, oposición y portabilidad sobre el tratamiento de sus datos, ante el </w:t>
      </w:r>
      <w:r w:rsidRPr="007928B4">
        <w:rPr>
          <w:rFonts w:ascii="Palatino Linotype" w:eastAsia="Palatino Linotype" w:hAnsi="Palatino Linotype" w:cs="Palatino Linotype"/>
          <w:b/>
          <w:color w:val="000000"/>
        </w:rPr>
        <w:t>SUJETO OBLIGADO</w:t>
      </w:r>
      <w:r w:rsidRPr="007928B4">
        <w:rPr>
          <w:rFonts w:ascii="Palatino Linotype" w:eastAsia="Palatino Linotype" w:hAnsi="Palatino Linotype" w:cs="Palatino Linotype"/>
          <w:color w:val="000000"/>
        </w:rPr>
        <w:t xml:space="preserve"> que esté en posesión de los mismos.</w:t>
      </w:r>
    </w:p>
    <w:p w14:paraId="223597BA" w14:textId="77777777" w:rsidR="005829DD" w:rsidRPr="007928B4" w:rsidRDefault="005829DD" w:rsidP="005829DD">
      <w:pPr>
        <w:pBdr>
          <w:top w:val="nil"/>
          <w:left w:val="nil"/>
          <w:bottom w:val="nil"/>
          <w:right w:val="nil"/>
          <w:between w:val="nil"/>
        </w:pBdr>
        <w:spacing w:line="360" w:lineRule="auto"/>
        <w:jc w:val="both"/>
        <w:rPr>
          <w:rFonts w:ascii="Palatino Linotype" w:hAnsi="Palatino Linotype"/>
          <w:color w:val="000000"/>
        </w:rPr>
      </w:pPr>
    </w:p>
    <w:p w14:paraId="7D0A7815" w14:textId="77777777" w:rsidR="005829DD" w:rsidRPr="007928B4" w:rsidRDefault="005829DD" w:rsidP="005829DD">
      <w:pPr>
        <w:numPr>
          <w:ilvl w:val="0"/>
          <w:numId w:val="4"/>
        </w:numPr>
        <w:spacing w:line="360" w:lineRule="auto"/>
        <w:ind w:left="0" w:firstLine="0"/>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color w:val="000000"/>
        </w:rPr>
        <w:t xml:space="preserve">Cabe </w:t>
      </w:r>
      <w:r w:rsidRPr="007928B4">
        <w:rPr>
          <w:rFonts w:ascii="Palatino Linotype" w:eastAsia="Palatino Linotype" w:hAnsi="Palatino Linotype" w:cs="Palatino Linotype"/>
        </w:rPr>
        <w:t>mencionar</w:t>
      </w:r>
      <w:r w:rsidRPr="007928B4">
        <w:rPr>
          <w:rFonts w:ascii="Palatino Linotype" w:eastAsia="Palatino Linotype" w:hAnsi="Palatino Linotype" w:cs="Palatino Linotype"/>
          <w:color w:val="000000"/>
        </w:rPr>
        <w:t xml:space="preserve"> que  el sistema SARCOEM se encuentra en la dirección electrónica: </w:t>
      </w:r>
      <w:hyperlink r:id="rId7">
        <w:r w:rsidRPr="007928B4">
          <w:rPr>
            <w:rFonts w:ascii="Palatino Linotype" w:eastAsia="Palatino Linotype" w:hAnsi="Palatino Linotype" w:cs="Palatino Linotype"/>
            <w:color w:val="000000"/>
            <w:u w:val="single"/>
          </w:rPr>
          <w:t>https://www.sarcoem.org.mx/sarcoem/ciudadano/login.page</w:t>
        </w:r>
      </w:hyperlink>
      <w:r w:rsidRPr="007928B4">
        <w:rPr>
          <w:rFonts w:ascii="Palatino Linotype" w:eastAsia="Palatino Linotype" w:hAnsi="Palatino Linotype" w:cs="Palatino Linotype"/>
          <w:color w:val="000000"/>
        </w:rPr>
        <w:t xml:space="preserve">, asimismo, las guías de uso de dicho sistema, tales como el registro ciudadano, el registro de solicitudes, el seguimiento a recursos de revisión, entre otras, se encuentran disponibles en la siguiente dirección electrónica: </w:t>
      </w:r>
      <w:hyperlink r:id="rId8">
        <w:r w:rsidRPr="007928B4">
          <w:rPr>
            <w:rFonts w:ascii="Palatino Linotype" w:eastAsia="Palatino Linotype" w:hAnsi="Palatino Linotype" w:cs="Palatino Linotype"/>
            <w:color w:val="000000"/>
            <w:u w:val="single"/>
          </w:rPr>
          <w:t>https://www.sarcoem.org.mx/sarcoem/guias.html</w:t>
        </w:r>
      </w:hyperlink>
      <w:r w:rsidRPr="007928B4">
        <w:rPr>
          <w:rFonts w:ascii="Palatino Linotype" w:eastAsia="Palatino Linotype" w:hAnsi="Palatino Linotype" w:cs="Palatino Linotype"/>
          <w:color w:val="000000"/>
        </w:rPr>
        <w:t>. </w:t>
      </w:r>
    </w:p>
    <w:p w14:paraId="15ADC2B4" w14:textId="77777777" w:rsidR="005829DD" w:rsidRPr="007928B4" w:rsidRDefault="005829DD" w:rsidP="005829D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6133DA5" w14:textId="77777777" w:rsidR="005829DD" w:rsidRPr="007928B4" w:rsidRDefault="005829DD" w:rsidP="005829DD">
      <w:pPr>
        <w:numPr>
          <w:ilvl w:val="0"/>
          <w:numId w:val="4"/>
        </w:numPr>
        <w:spacing w:line="360" w:lineRule="auto"/>
        <w:ind w:left="0" w:firstLine="0"/>
        <w:jc w:val="both"/>
        <w:rPr>
          <w:rFonts w:ascii="Palatino Linotype" w:hAnsi="Palatino Linotype"/>
          <w:color w:val="000000"/>
        </w:rPr>
      </w:pPr>
      <w:bookmarkStart w:id="2" w:name="_heading=h.3znysh7" w:colFirst="0" w:colLast="0"/>
      <w:bookmarkEnd w:id="2"/>
      <w:r w:rsidRPr="007928B4">
        <w:rPr>
          <w:rFonts w:ascii="Palatino Linotype" w:eastAsia="Palatino Linotype" w:hAnsi="Palatino Linotype" w:cs="Palatino Linotype"/>
          <w:color w:val="000000"/>
        </w:rPr>
        <w:t xml:space="preserve">Así, con </w:t>
      </w:r>
      <w:r w:rsidRPr="007928B4">
        <w:rPr>
          <w:rFonts w:ascii="Palatino Linotype" w:eastAsia="Palatino Linotype" w:hAnsi="Palatino Linotype" w:cs="Palatino Linotype"/>
        </w:rPr>
        <w:t>fundamento</w:t>
      </w:r>
      <w:r w:rsidRPr="007928B4">
        <w:rPr>
          <w:rFonts w:ascii="Palatino Linotype" w:eastAsia="Palatino Linotype" w:hAnsi="Palatino Linotype" w:cs="Palatino Linotype"/>
          <w:color w:val="000000"/>
        </w:rPr>
        <w:t xml:space="preserve"> en lo prescrito en los artículos 5 párrafos trigésimo segundo, trigésimo tercero y trigésimo cuarto de la Constitución Política del Estado Libre y Soberano de México; 2 fracción II, 29, 36 fracciones I y II, 176, 178, 179, 181, 185 fracción I, 186 y 188 de la Ley de Transparencia y Acceso a la Información Pública del Estado de México y Municipios de aplicación supletoria, 1, 81, 82 fracciones I y III, 119, 127, 128, 129, 133, y 137 de la Ley de Protección de Datos Personales en Posesión de Sujetos Obligados del Estado de México y Municipios, este Pleno: </w:t>
      </w:r>
    </w:p>
    <w:p w14:paraId="6B30BD01" w14:textId="77777777" w:rsidR="005829DD" w:rsidRPr="007928B4" w:rsidRDefault="005829DD" w:rsidP="005829DD">
      <w:pPr>
        <w:pBdr>
          <w:top w:val="nil"/>
          <w:left w:val="nil"/>
          <w:bottom w:val="nil"/>
          <w:right w:val="nil"/>
          <w:between w:val="nil"/>
        </w:pBdr>
        <w:spacing w:line="360" w:lineRule="auto"/>
        <w:ind w:left="720"/>
        <w:rPr>
          <w:rFonts w:ascii="Palatino Linotype" w:eastAsia="Palatino Linotype" w:hAnsi="Palatino Linotype" w:cs="Palatino Linotype"/>
          <w:b/>
          <w:color w:val="000000"/>
        </w:rPr>
      </w:pPr>
    </w:p>
    <w:p w14:paraId="47CFB5F1" w14:textId="77777777" w:rsidR="005829DD" w:rsidRPr="007928B4" w:rsidRDefault="005829DD" w:rsidP="007928B4">
      <w:pPr>
        <w:pBdr>
          <w:top w:val="nil"/>
          <w:left w:val="nil"/>
          <w:bottom w:val="nil"/>
          <w:right w:val="nil"/>
          <w:between w:val="nil"/>
        </w:pBdr>
        <w:spacing w:line="360" w:lineRule="auto"/>
        <w:ind w:left="360"/>
        <w:jc w:val="center"/>
        <w:rPr>
          <w:rFonts w:ascii="Palatino Linotype" w:eastAsia="Palatino Linotype" w:hAnsi="Palatino Linotype" w:cs="Palatino Linotype"/>
          <w:b/>
          <w:color w:val="000000"/>
        </w:rPr>
      </w:pPr>
      <w:r w:rsidRPr="007928B4">
        <w:rPr>
          <w:rFonts w:ascii="Palatino Linotype" w:eastAsia="Palatino Linotype" w:hAnsi="Palatino Linotype" w:cs="Palatino Linotype"/>
          <w:b/>
          <w:color w:val="000000"/>
        </w:rPr>
        <w:t>R E S U E L V E</w:t>
      </w:r>
    </w:p>
    <w:p w14:paraId="0683ABA8" w14:textId="77777777" w:rsidR="005829DD" w:rsidRPr="007928B4" w:rsidRDefault="005829DD" w:rsidP="005829DD">
      <w:pPr>
        <w:pBdr>
          <w:top w:val="nil"/>
          <w:left w:val="nil"/>
          <w:bottom w:val="nil"/>
          <w:right w:val="nil"/>
          <w:between w:val="nil"/>
        </w:pBdr>
        <w:spacing w:line="360" w:lineRule="auto"/>
        <w:ind w:left="720"/>
        <w:rPr>
          <w:rFonts w:ascii="Palatino Linotype" w:eastAsia="Palatino Linotype" w:hAnsi="Palatino Linotype" w:cs="Palatino Linotype"/>
          <w:b/>
          <w:color w:val="000000"/>
        </w:rPr>
      </w:pPr>
    </w:p>
    <w:p w14:paraId="045CFBFD" w14:textId="0319DA3B" w:rsidR="005829DD" w:rsidRPr="007928B4" w:rsidRDefault="005829DD" w:rsidP="005829DD">
      <w:pPr>
        <w:spacing w:line="360" w:lineRule="auto"/>
        <w:jc w:val="both"/>
        <w:rPr>
          <w:rFonts w:ascii="Palatino Linotype" w:eastAsia="Palatino Linotype" w:hAnsi="Palatino Linotype" w:cs="Palatino Linotype"/>
          <w:color w:val="000000"/>
        </w:rPr>
      </w:pPr>
      <w:r w:rsidRPr="007928B4">
        <w:rPr>
          <w:rFonts w:ascii="Palatino Linotype" w:eastAsia="Palatino Linotype" w:hAnsi="Palatino Linotype" w:cs="Palatino Linotype"/>
          <w:b/>
          <w:color w:val="000000"/>
        </w:rPr>
        <w:t xml:space="preserve">PRIMERO. </w:t>
      </w:r>
      <w:r w:rsidRPr="007928B4">
        <w:rPr>
          <w:rFonts w:ascii="Palatino Linotype" w:eastAsia="Palatino Linotype" w:hAnsi="Palatino Linotype" w:cs="Palatino Linotype"/>
          <w:color w:val="000000"/>
        </w:rPr>
        <w:t xml:space="preserve">Se </w:t>
      </w:r>
      <w:r w:rsidRPr="007928B4">
        <w:rPr>
          <w:rFonts w:ascii="Palatino Linotype" w:eastAsia="Palatino Linotype" w:hAnsi="Palatino Linotype" w:cs="Palatino Linotype"/>
          <w:b/>
          <w:color w:val="000000"/>
        </w:rPr>
        <w:t>SOBRESEE</w:t>
      </w:r>
      <w:r w:rsidRPr="007928B4">
        <w:rPr>
          <w:rFonts w:ascii="Palatino Linotype" w:eastAsia="Palatino Linotype" w:hAnsi="Palatino Linotype" w:cs="Palatino Linotype"/>
          <w:color w:val="000000"/>
        </w:rPr>
        <w:t xml:space="preserve"> por</w:t>
      </w:r>
      <w:r w:rsidRPr="007928B4">
        <w:rPr>
          <w:rFonts w:ascii="Palatino Linotype" w:eastAsia="Palatino Linotype" w:hAnsi="Palatino Linotype" w:cs="Palatino Linotype"/>
          <w:b/>
          <w:color w:val="000000"/>
        </w:rPr>
        <w:t xml:space="preserve"> improcedente </w:t>
      </w:r>
      <w:r w:rsidRPr="007928B4">
        <w:rPr>
          <w:rFonts w:ascii="Palatino Linotype" w:eastAsia="Palatino Linotype" w:hAnsi="Palatino Linotype" w:cs="Palatino Linotype"/>
          <w:color w:val="000000"/>
        </w:rPr>
        <w:t xml:space="preserve">el Recurso de Revisión número </w:t>
      </w:r>
      <w:r w:rsidR="007D6A1A" w:rsidRPr="007928B4">
        <w:rPr>
          <w:rFonts w:ascii="Palatino Linotype" w:eastAsia="Palatino Linotype" w:hAnsi="Palatino Linotype" w:cs="Palatino Linotype"/>
          <w:b/>
        </w:rPr>
        <w:t>11698/INFOEM/IP/RR/2025</w:t>
      </w:r>
      <w:r w:rsidRPr="007928B4">
        <w:rPr>
          <w:rFonts w:ascii="Palatino Linotype" w:eastAsia="Palatino Linotype" w:hAnsi="Palatino Linotype" w:cs="Palatino Linotype"/>
          <w:color w:val="000000"/>
        </w:rPr>
        <w:t xml:space="preserve"> de conformidad con lo dispuesto en el artículo 139 fracción III, en relación con el artículo 138 fracción II y VII de la Ley de Protección de Datos Personales en Posesión de Sujetos Obligados del Estado de México y Municipios, en términos del Considerando </w:t>
      </w:r>
      <w:r w:rsidRPr="007928B4">
        <w:rPr>
          <w:rFonts w:ascii="Palatino Linotype" w:eastAsia="Palatino Linotype" w:hAnsi="Palatino Linotype" w:cs="Palatino Linotype"/>
          <w:b/>
          <w:color w:val="000000"/>
        </w:rPr>
        <w:t>TERCERO</w:t>
      </w:r>
      <w:r w:rsidRPr="007928B4">
        <w:rPr>
          <w:rFonts w:ascii="Palatino Linotype" w:eastAsia="Palatino Linotype" w:hAnsi="Palatino Linotype" w:cs="Palatino Linotype"/>
          <w:color w:val="000000"/>
        </w:rPr>
        <w:t xml:space="preserve"> de la presente Resolución.</w:t>
      </w:r>
    </w:p>
    <w:p w14:paraId="588CB315" w14:textId="77777777" w:rsidR="005829DD" w:rsidRPr="007928B4" w:rsidRDefault="005829DD" w:rsidP="005829DD">
      <w:pPr>
        <w:spacing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b/>
        </w:rPr>
        <w:lastRenderedPageBreak/>
        <w:t>SEGUNDO. Notifíquese vía SAIMEX,</w:t>
      </w:r>
      <w:r w:rsidRPr="007928B4">
        <w:rPr>
          <w:rFonts w:ascii="Palatino Linotype" w:eastAsia="Palatino Linotype" w:hAnsi="Palatino Linotype" w:cs="Palatino Linotype"/>
          <w:b/>
          <w:i/>
        </w:rPr>
        <w:t xml:space="preserve"> </w:t>
      </w:r>
      <w:r w:rsidRPr="007928B4">
        <w:rPr>
          <w:rFonts w:ascii="Palatino Linotype" w:eastAsia="Palatino Linotype" w:hAnsi="Palatino Linotype" w:cs="Palatino Linotype"/>
        </w:rPr>
        <w:t xml:space="preserve">al Responsable de la Unidad de Transparencia del </w:t>
      </w:r>
      <w:r w:rsidRPr="007928B4">
        <w:rPr>
          <w:rFonts w:ascii="Palatino Linotype" w:eastAsia="Palatino Linotype" w:hAnsi="Palatino Linotype" w:cs="Palatino Linotype"/>
          <w:b/>
        </w:rPr>
        <w:t>SUJETO OBLIGADO</w:t>
      </w:r>
      <w:r w:rsidRPr="007928B4">
        <w:rPr>
          <w:rFonts w:ascii="Palatino Linotype" w:eastAsia="Palatino Linotype" w:hAnsi="Palatino Linotype" w:cs="Palatino Linotype"/>
        </w:rPr>
        <w:t xml:space="preserve"> la presente resolución, para su conocimiento.</w:t>
      </w:r>
    </w:p>
    <w:p w14:paraId="28BF0FC3" w14:textId="77777777" w:rsidR="005829DD" w:rsidRPr="007928B4" w:rsidRDefault="005829DD" w:rsidP="005829DD">
      <w:pPr>
        <w:spacing w:line="360" w:lineRule="auto"/>
        <w:jc w:val="both"/>
        <w:rPr>
          <w:rFonts w:ascii="Palatino Linotype" w:eastAsia="Palatino Linotype" w:hAnsi="Palatino Linotype" w:cs="Palatino Linotype"/>
        </w:rPr>
      </w:pPr>
    </w:p>
    <w:p w14:paraId="44CC6B3B" w14:textId="77777777" w:rsidR="005829DD" w:rsidRPr="007928B4" w:rsidRDefault="005829DD" w:rsidP="005829DD">
      <w:pPr>
        <w:tabs>
          <w:tab w:val="left" w:pos="4667"/>
        </w:tabs>
        <w:spacing w:line="360" w:lineRule="auto"/>
        <w:jc w:val="both"/>
        <w:rPr>
          <w:rFonts w:ascii="Palatino Linotype" w:eastAsia="Palatino Linotype" w:hAnsi="Palatino Linotype" w:cs="Palatino Linotype"/>
        </w:rPr>
      </w:pPr>
      <w:r w:rsidRPr="007928B4">
        <w:rPr>
          <w:rFonts w:ascii="Palatino Linotype" w:eastAsia="Palatino Linotype" w:hAnsi="Palatino Linotype" w:cs="Palatino Linotype"/>
          <w:b/>
        </w:rPr>
        <w:t xml:space="preserve">TERCERO. Notifíquese vía SAIMEX </w:t>
      </w:r>
      <w:r w:rsidRPr="007928B4">
        <w:rPr>
          <w:rFonts w:ascii="Palatino Linotype" w:eastAsia="Palatino Linotype" w:hAnsi="Palatino Linotype" w:cs="Palatino Linotype"/>
        </w:rPr>
        <w:t xml:space="preserve">a la parte </w:t>
      </w:r>
      <w:r w:rsidRPr="007928B4">
        <w:rPr>
          <w:rFonts w:ascii="Palatino Linotype" w:eastAsia="Palatino Linotype" w:hAnsi="Palatino Linotype" w:cs="Palatino Linotype"/>
          <w:b/>
        </w:rPr>
        <w:t>RECURRENTE</w:t>
      </w:r>
      <w:r w:rsidRPr="007928B4">
        <w:rPr>
          <w:rFonts w:ascii="Palatino Linotype" w:eastAsia="Palatino Linotype" w:hAnsi="Palatino Linotype" w:cs="Palatino Linotype"/>
        </w:rPr>
        <w:t xml:space="preserve">, la presente resolución; asimismo, se hace de su conocimiento que de conformidad con lo establecido en el artículo 196 de la Ley de Transparencia y Acceso a la Información Pública del Estado de México y Municipios y 142 de la Ley de Protección de Datos Personales en Posesión de Sujetos Obligados del Estado de México y Municipios podrá promover el Juicio de Amparo en los términos de las leyes aplicables. </w:t>
      </w:r>
    </w:p>
    <w:p w14:paraId="610C4308" w14:textId="77777777" w:rsidR="00051DE5" w:rsidRPr="007928B4" w:rsidRDefault="00051DE5" w:rsidP="005829DD">
      <w:pPr>
        <w:tabs>
          <w:tab w:val="left" w:pos="4667"/>
        </w:tabs>
        <w:spacing w:line="360" w:lineRule="auto"/>
        <w:jc w:val="both"/>
        <w:rPr>
          <w:rFonts w:ascii="Palatino Linotype" w:eastAsia="Palatino Linotype" w:hAnsi="Palatino Linotype" w:cs="Palatino Linotype"/>
        </w:rPr>
      </w:pPr>
    </w:p>
    <w:p w14:paraId="0A43AB38" w14:textId="26417BC7" w:rsidR="00051DE5" w:rsidRPr="007928B4" w:rsidRDefault="00550B0B" w:rsidP="00051DE5">
      <w:pPr>
        <w:spacing w:before="240" w:after="240" w:line="360" w:lineRule="auto"/>
        <w:ind w:firstLine="1"/>
        <w:jc w:val="both"/>
        <w:rPr>
          <w:rFonts w:ascii="Palatino Linotype" w:hAnsi="Palatino Linotype"/>
        </w:rPr>
      </w:pPr>
      <w:bookmarkStart w:id="3" w:name="_Hlk99014733"/>
      <w:r w:rsidRPr="007928B4">
        <w:rPr>
          <w:rFonts w:ascii="Palatino Linotype" w:hAnsi="Palatino Linotype" w:cs="Palatino Linotype"/>
        </w:rPr>
        <w:t>ASÍ LO RESUELVE, POR MAYORÍA</w:t>
      </w:r>
      <w:r w:rsidR="00051DE5" w:rsidRPr="007928B4">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Pr="007928B4">
        <w:rPr>
          <w:rFonts w:ascii="Palatino Linotype" w:hAnsi="Palatino Linotype" w:cs="Palatino Linotype"/>
        </w:rPr>
        <w:t xml:space="preserve"> EMITIENDO VOTO DISIDENTE CONCURRENTE</w:t>
      </w:r>
      <w:r w:rsidR="00051DE5" w:rsidRPr="007928B4">
        <w:rPr>
          <w:rFonts w:ascii="Palatino Linotype" w:hAnsi="Palatino Linotype" w:cs="Palatino Linotype"/>
        </w:rPr>
        <w:t xml:space="preserve">, LUIS GUSTAVO PARRA NORIEGA </w:t>
      </w:r>
      <w:r w:rsidRPr="007928B4">
        <w:rPr>
          <w:rFonts w:ascii="Palatino Linotype" w:hAnsi="Palatino Linotype" w:cs="Palatino Linotype"/>
        </w:rPr>
        <w:t xml:space="preserve">EMITIENDO VOTO DISIDENTE CONCURRENTE, </w:t>
      </w:r>
      <w:r w:rsidR="00051DE5" w:rsidRPr="007928B4">
        <w:rPr>
          <w:rFonts w:ascii="Palatino Linotype" w:hAnsi="Palatino Linotype" w:cs="Palatino Linotype"/>
        </w:rPr>
        <w:t xml:space="preserve">Y GUADALUPE RAMÍREZ PEÑA; EN LA DÉCIMA OCTAVA SESIÓN ORDINARIA, CELEBRADA EL VEINTE (20) DE MAYO DE DOS MIL VEINTISÉIS, ANTE EL SECRETARIO TÉCNICO DEL PLENO </w:t>
      </w:r>
      <w:r w:rsidR="00051DE5" w:rsidRPr="007928B4">
        <w:rPr>
          <w:rFonts w:ascii="Palatino Linotype" w:hAnsi="Palatino Linotype" w:cs="Palatino Linotype"/>
          <w:color w:val="000000" w:themeColor="text1"/>
        </w:rPr>
        <w:t>ALEXIS TAPIA RAMÍREZ.</w:t>
      </w:r>
    </w:p>
    <w:bookmarkEnd w:id="3"/>
    <w:p w14:paraId="40CB306C" w14:textId="77777777" w:rsidR="005829DD" w:rsidRDefault="005829DD" w:rsidP="005829DD">
      <w:pPr>
        <w:spacing w:line="360" w:lineRule="auto"/>
        <w:jc w:val="both"/>
        <w:rPr>
          <w:rFonts w:ascii="Palatino Linotype" w:eastAsia="Palatino Linotype" w:hAnsi="Palatino Linotype" w:cs="Palatino Linotype"/>
        </w:rPr>
      </w:pPr>
    </w:p>
    <w:p w14:paraId="58065AD6" w14:textId="77777777" w:rsidR="007928B4" w:rsidRDefault="007928B4" w:rsidP="005829DD">
      <w:pPr>
        <w:spacing w:line="360" w:lineRule="auto"/>
        <w:jc w:val="both"/>
        <w:rPr>
          <w:rFonts w:ascii="Palatino Linotype" w:eastAsia="Palatino Linotype" w:hAnsi="Palatino Linotype" w:cs="Palatino Linotype"/>
        </w:rPr>
      </w:pPr>
    </w:p>
    <w:p w14:paraId="06D7B111" w14:textId="77777777" w:rsidR="007928B4" w:rsidRDefault="007928B4" w:rsidP="005829DD">
      <w:pPr>
        <w:spacing w:line="360" w:lineRule="auto"/>
        <w:jc w:val="both"/>
        <w:rPr>
          <w:rFonts w:ascii="Palatino Linotype" w:eastAsia="Palatino Linotype" w:hAnsi="Palatino Linotype" w:cs="Palatino Linotype"/>
        </w:rPr>
      </w:pPr>
    </w:p>
    <w:p w14:paraId="1BB08D2E" w14:textId="77777777" w:rsidR="007928B4" w:rsidRDefault="007928B4" w:rsidP="005829DD">
      <w:pPr>
        <w:spacing w:line="360" w:lineRule="auto"/>
        <w:jc w:val="both"/>
        <w:rPr>
          <w:rFonts w:ascii="Palatino Linotype" w:eastAsia="Palatino Linotype" w:hAnsi="Palatino Linotype" w:cs="Palatino Linotype"/>
        </w:rPr>
      </w:pPr>
    </w:p>
    <w:p w14:paraId="5F24D36F" w14:textId="77777777" w:rsidR="007928B4" w:rsidRDefault="007928B4" w:rsidP="005829DD">
      <w:pPr>
        <w:spacing w:line="360" w:lineRule="auto"/>
        <w:jc w:val="both"/>
        <w:rPr>
          <w:rFonts w:ascii="Palatino Linotype" w:eastAsia="Palatino Linotype" w:hAnsi="Palatino Linotype" w:cs="Palatino Linotype"/>
        </w:rPr>
      </w:pPr>
    </w:p>
    <w:p w14:paraId="22D02C3B" w14:textId="77777777" w:rsidR="007928B4" w:rsidRDefault="007928B4" w:rsidP="005829DD">
      <w:pPr>
        <w:spacing w:line="360" w:lineRule="auto"/>
        <w:jc w:val="both"/>
        <w:rPr>
          <w:rFonts w:ascii="Palatino Linotype" w:eastAsia="Palatino Linotype" w:hAnsi="Palatino Linotype" w:cs="Palatino Linotype"/>
        </w:rPr>
      </w:pPr>
    </w:p>
    <w:p w14:paraId="273DA448" w14:textId="77777777" w:rsidR="007928B4" w:rsidRDefault="007928B4" w:rsidP="005829DD">
      <w:pPr>
        <w:spacing w:line="360" w:lineRule="auto"/>
        <w:jc w:val="both"/>
        <w:rPr>
          <w:rFonts w:ascii="Palatino Linotype" w:eastAsia="Palatino Linotype" w:hAnsi="Palatino Linotype" w:cs="Palatino Linotype"/>
        </w:rPr>
      </w:pPr>
    </w:p>
    <w:p w14:paraId="02D437A0" w14:textId="77777777" w:rsidR="007928B4" w:rsidRPr="007928B4" w:rsidRDefault="007928B4" w:rsidP="005829DD">
      <w:pPr>
        <w:spacing w:line="360" w:lineRule="auto"/>
        <w:jc w:val="both"/>
        <w:rPr>
          <w:rFonts w:ascii="Palatino Linotype" w:eastAsia="Palatino Linotype" w:hAnsi="Palatino Linotype" w:cs="Palatino Linotype"/>
        </w:rPr>
      </w:pPr>
    </w:p>
    <w:p w14:paraId="4E0D7A92" w14:textId="77777777" w:rsidR="005829DD" w:rsidRPr="007928B4" w:rsidRDefault="005829DD" w:rsidP="005829DD">
      <w:pPr>
        <w:rPr>
          <w:rFonts w:ascii="Palatino Linotype" w:hAnsi="Palatino Linotype"/>
        </w:rPr>
      </w:pPr>
    </w:p>
    <w:p w14:paraId="76241CFC" w14:textId="77777777" w:rsidR="000761E3" w:rsidRPr="007928B4" w:rsidRDefault="000761E3">
      <w:pPr>
        <w:rPr>
          <w:rFonts w:ascii="Palatino Linotype" w:hAnsi="Palatino Linotype"/>
        </w:rPr>
      </w:pPr>
    </w:p>
    <w:sectPr w:rsidR="000761E3" w:rsidRPr="007928B4" w:rsidSect="007928B4">
      <w:headerReference w:type="default" r:id="rId9"/>
      <w:headerReference w:type="first" r:id="rId10"/>
      <w:footerReference w:type="first" r:id="rId11"/>
      <w:pgSz w:w="12240" w:h="15840"/>
      <w:pgMar w:top="1560" w:right="758" w:bottom="170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83799" w14:textId="77777777" w:rsidR="00F41008" w:rsidRDefault="00F41008" w:rsidP="005829DD">
      <w:r>
        <w:separator/>
      </w:r>
    </w:p>
  </w:endnote>
  <w:endnote w:type="continuationSeparator" w:id="0">
    <w:p w14:paraId="39AD1644" w14:textId="77777777" w:rsidR="00F41008" w:rsidRDefault="00F41008" w:rsidP="0058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B9931" w14:textId="77777777" w:rsidR="007928B4" w:rsidRPr="007928B4" w:rsidRDefault="007928B4">
    <w:pPr>
      <w:tabs>
        <w:tab w:val="center" w:pos="4550"/>
        <w:tab w:val="left" w:pos="5818"/>
      </w:tabs>
      <w:ind w:right="260"/>
      <w:jc w:val="right"/>
      <w:rPr>
        <w:rFonts w:ascii="Palatino Linotype" w:hAnsi="Palatino Linotype"/>
        <w:color w:val="222A35" w:themeColor="text2" w:themeShade="80"/>
        <w:sz w:val="22"/>
      </w:rPr>
    </w:pPr>
    <w:r w:rsidRPr="007928B4">
      <w:rPr>
        <w:rFonts w:ascii="Palatino Linotype" w:hAnsi="Palatino Linotype"/>
        <w:color w:val="8496B0" w:themeColor="text2" w:themeTint="99"/>
        <w:spacing w:val="60"/>
        <w:sz w:val="22"/>
        <w:lang w:val="es-ES"/>
      </w:rPr>
      <w:t>Página</w:t>
    </w:r>
    <w:r w:rsidRPr="007928B4">
      <w:rPr>
        <w:rFonts w:ascii="Palatino Linotype" w:hAnsi="Palatino Linotype"/>
        <w:color w:val="8496B0" w:themeColor="text2" w:themeTint="99"/>
        <w:sz w:val="22"/>
        <w:lang w:val="es-ES"/>
      </w:rPr>
      <w:t xml:space="preserve"> </w:t>
    </w:r>
    <w:r w:rsidRPr="007928B4">
      <w:rPr>
        <w:rFonts w:ascii="Palatino Linotype" w:hAnsi="Palatino Linotype"/>
        <w:color w:val="323E4F" w:themeColor="text2" w:themeShade="BF"/>
        <w:sz w:val="22"/>
      </w:rPr>
      <w:fldChar w:fldCharType="begin"/>
    </w:r>
    <w:r w:rsidRPr="007928B4">
      <w:rPr>
        <w:rFonts w:ascii="Palatino Linotype" w:hAnsi="Palatino Linotype"/>
        <w:color w:val="323E4F" w:themeColor="text2" w:themeShade="BF"/>
        <w:sz w:val="22"/>
      </w:rPr>
      <w:instrText>PAGE   \* MERGEFORMAT</w:instrText>
    </w:r>
    <w:r w:rsidRPr="007928B4">
      <w:rPr>
        <w:rFonts w:ascii="Palatino Linotype" w:hAnsi="Palatino Linotype"/>
        <w:color w:val="323E4F" w:themeColor="text2" w:themeShade="BF"/>
        <w:sz w:val="22"/>
      </w:rPr>
      <w:fldChar w:fldCharType="separate"/>
    </w:r>
    <w:r w:rsidR="0064078B" w:rsidRPr="0064078B">
      <w:rPr>
        <w:rFonts w:ascii="Palatino Linotype" w:hAnsi="Palatino Linotype"/>
        <w:noProof/>
        <w:color w:val="323E4F" w:themeColor="text2" w:themeShade="BF"/>
        <w:sz w:val="22"/>
        <w:lang w:val="es-ES"/>
      </w:rPr>
      <w:t>1</w:t>
    </w:r>
    <w:r w:rsidRPr="007928B4">
      <w:rPr>
        <w:rFonts w:ascii="Palatino Linotype" w:hAnsi="Palatino Linotype"/>
        <w:color w:val="323E4F" w:themeColor="text2" w:themeShade="BF"/>
        <w:sz w:val="22"/>
      </w:rPr>
      <w:fldChar w:fldCharType="end"/>
    </w:r>
    <w:r w:rsidRPr="007928B4">
      <w:rPr>
        <w:rFonts w:ascii="Palatino Linotype" w:hAnsi="Palatino Linotype"/>
        <w:color w:val="323E4F" w:themeColor="text2" w:themeShade="BF"/>
        <w:sz w:val="22"/>
        <w:lang w:val="es-ES"/>
      </w:rPr>
      <w:t xml:space="preserve"> | </w:t>
    </w:r>
    <w:r w:rsidRPr="007928B4">
      <w:rPr>
        <w:rFonts w:ascii="Palatino Linotype" w:hAnsi="Palatino Linotype"/>
        <w:color w:val="323E4F" w:themeColor="text2" w:themeShade="BF"/>
        <w:sz w:val="22"/>
      </w:rPr>
      <w:fldChar w:fldCharType="begin"/>
    </w:r>
    <w:r w:rsidRPr="007928B4">
      <w:rPr>
        <w:rFonts w:ascii="Palatino Linotype" w:hAnsi="Palatino Linotype"/>
        <w:color w:val="323E4F" w:themeColor="text2" w:themeShade="BF"/>
        <w:sz w:val="22"/>
      </w:rPr>
      <w:instrText>NUMPAGES  \* Arabic  \* MERGEFORMAT</w:instrText>
    </w:r>
    <w:r w:rsidRPr="007928B4">
      <w:rPr>
        <w:rFonts w:ascii="Palatino Linotype" w:hAnsi="Palatino Linotype"/>
        <w:color w:val="323E4F" w:themeColor="text2" w:themeShade="BF"/>
        <w:sz w:val="22"/>
      </w:rPr>
      <w:fldChar w:fldCharType="separate"/>
    </w:r>
    <w:r w:rsidR="0064078B" w:rsidRPr="0064078B">
      <w:rPr>
        <w:rFonts w:ascii="Palatino Linotype" w:hAnsi="Palatino Linotype"/>
        <w:noProof/>
        <w:color w:val="323E4F" w:themeColor="text2" w:themeShade="BF"/>
        <w:sz w:val="22"/>
        <w:lang w:val="es-ES"/>
      </w:rPr>
      <w:t>27</w:t>
    </w:r>
    <w:r w:rsidRPr="007928B4">
      <w:rPr>
        <w:rFonts w:ascii="Palatino Linotype" w:hAnsi="Palatino Linotype"/>
        <w:color w:val="323E4F" w:themeColor="text2" w:themeShade="BF"/>
        <w:sz w:val="22"/>
      </w:rPr>
      <w:fldChar w:fldCharType="end"/>
    </w:r>
  </w:p>
  <w:p w14:paraId="1EE02438" w14:textId="77777777" w:rsidR="007928B4" w:rsidRDefault="007928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C1664" w14:textId="77777777" w:rsidR="00F41008" w:rsidRDefault="00F41008" w:rsidP="005829DD">
      <w:r>
        <w:separator/>
      </w:r>
    </w:p>
  </w:footnote>
  <w:footnote w:type="continuationSeparator" w:id="0">
    <w:p w14:paraId="021D9C3F" w14:textId="77777777" w:rsidR="00F41008" w:rsidRDefault="00F41008" w:rsidP="005829DD">
      <w:r>
        <w:continuationSeparator/>
      </w:r>
    </w:p>
  </w:footnote>
  <w:footnote w:id="1">
    <w:p w14:paraId="7AEAB89B" w14:textId="77777777" w:rsidR="004C36C8" w:rsidRDefault="004C36C8" w:rsidP="005829DD">
      <w:pPr>
        <w:pBdr>
          <w:top w:val="nil"/>
          <w:left w:val="nil"/>
          <w:bottom w:val="nil"/>
          <w:right w:val="nil"/>
          <w:between w:val="nil"/>
        </w:pBdr>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BONILLLA LÓPEZ Miguel. </w:t>
      </w:r>
      <w:r>
        <w:rPr>
          <w:rFonts w:ascii="Palatino Linotype" w:eastAsia="Palatino Linotype" w:hAnsi="Palatino Linotype" w:cs="Palatino Linotype"/>
          <w:i/>
          <w:color w:val="000000"/>
          <w:sz w:val="20"/>
          <w:szCs w:val="20"/>
        </w:rPr>
        <w:t>Los principios Constitucionales del Juicio de Amparo II.</w:t>
      </w:r>
      <w:r>
        <w:rPr>
          <w:rFonts w:ascii="Palatino Linotype" w:eastAsia="Palatino Linotype" w:hAnsi="Palatino Linotype" w:cs="Palatino Linotype"/>
          <w:color w:val="000000"/>
          <w:sz w:val="20"/>
          <w:szCs w:val="20"/>
        </w:rPr>
        <w:t xml:space="preserve"> México. 2009. UNAM.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40" w:type="dxa"/>
      <w:tblInd w:w="1985" w:type="dxa"/>
      <w:tblLayout w:type="fixed"/>
      <w:tblLook w:val="0400" w:firstRow="0" w:lastRow="0" w:firstColumn="0" w:lastColumn="0" w:noHBand="0" w:noVBand="1"/>
    </w:tblPr>
    <w:tblGrid>
      <w:gridCol w:w="3510"/>
      <w:gridCol w:w="4230"/>
    </w:tblGrid>
    <w:tr w:rsidR="003B789F" w14:paraId="1DA75D52" w14:textId="77777777" w:rsidTr="002E2AAA">
      <w:trPr>
        <w:trHeight w:val="144"/>
      </w:trPr>
      <w:tc>
        <w:tcPr>
          <w:tcW w:w="3510" w:type="dxa"/>
          <w:shd w:val="clear" w:color="auto" w:fill="auto"/>
        </w:tcPr>
        <w:p w14:paraId="13B73317"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30" w:type="dxa"/>
          <w:shd w:val="clear" w:color="auto" w:fill="auto"/>
        </w:tcPr>
        <w:p w14:paraId="762FAA5B" w14:textId="15ED02F3" w:rsidR="003B789F" w:rsidRDefault="003B789F" w:rsidP="003B789F">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11698/INFOEM/IP/RR/2025</w:t>
          </w:r>
        </w:p>
      </w:tc>
    </w:tr>
    <w:tr w:rsidR="003B789F" w14:paraId="65100E52" w14:textId="77777777" w:rsidTr="002E2AAA">
      <w:trPr>
        <w:trHeight w:val="283"/>
      </w:trPr>
      <w:tc>
        <w:tcPr>
          <w:tcW w:w="3510" w:type="dxa"/>
          <w:shd w:val="clear" w:color="auto" w:fill="auto"/>
        </w:tcPr>
        <w:p w14:paraId="064F127D"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30" w:type="dxa"/>
          <w:shd w:val="clear" w:color="auto" w:fill="auto"/>
        </w:tcPr>
        <w:p w14:paraId="34A2D017" w14:textId="77777777" w:rsidR="003B789F" w:rsidRDefault="003B789F" w:rsidP="003B789F">
          <w:pPr>
            <w:tabs>
              <w:tab w:val="left" w:pos="2834"/>
              <w:tab w:val="right" w:pos="8838"/>
            </w:tabs>
            <w:ind w:left="33" w:right="-1375"/>
            <w:jc w:val="both"/>
            <w:rPr>
              <w:rFonts w:ascii="Palatino Linotype" w:hAnsi="Palatino Linotype"/>
              <w:bCs/>
              <w:color w:val="000000"/>
            </w:rPr>
          </w:pPr>
          <w:r w:rsidRPr="003B789F">
            <w:rPr>
              <w:rFonts w:ascii="Palatino Linotype" w:hAnsi="Palatino Linotype"/>
              <w:bCs/>
              <w:color w:val="000000"/>
            </w:rPr>
            <w:t xml:space="preserve">Tribunal Estatal de Conciliación </w:t>
          </w:r>
        </w:p>
        <w:p w14:paraId="22850B52" w14:textId="6515C9C3" w:rsidR="003B789F" w:rsidRDefault="003B789F" w:rsidP="003B789F">
          <w:pPr>
            <w:tabs>
              <w:tab w:val="left" w:pos="2834"/>
              <w:tab w:val="right" w:pos="8838"/>
            </w:tabs>
            <w:ind w:left="33" w:right="-1375"/>
            <w:jc w:val="both"/>
            <w:rPr>
              <w:rFonts w:ascii="Palatino Linotype" w:eastAsia="Palatino Linotype" w:hAnsi="Palatino Linotype" w:cs="Palatino Linotype"/>
            </w:rPr>
          </w:pPr>
          <w:r w:rsidRPr="003B789F">
            <w:rPr>
              <w:rFonts w:ascii="Palatino Linotype" w:hAnsi="Palatino Linotype"/>
              <w:bCs/>
              <w:color w:val="000000"/>
            </w:rPr>
            <w:t>y Arbitraje</w:t>
          </w:r>
        </w:p>
      </w:tc>
    </w:tr>
    <w:tr w:rsidR="003B789F" w14:paraId="58CB5E24" w14:textId="77777777" w:rsidTr="002E2AAA">
      <w:trPr>
        <w:trHeight w:val="283"/>
      </w:trPr>
      <w:tc>
        <w:tcPr>
          <w:tcW w:w="3510" w:type="dxa"/>
          <w:shd w:val="clear" w:color="auto" w:fill="auto"/>
        </w:tcPr>
        <w:p w14:paraId="34024F35"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230" w:type="dxa"/>
          <w:shd w:val="clear" w:color="auto" w:fill="auto"/>
        </w:tcPr>
        <w:p w14:paraId="57A581EA" w14:textId="77777777" w:rsidR="003B789F" w:rsidRDefault="003B789F" w:rsidP="003B789F">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0375C9CD" w14:textId="77777777" w:rsidR="003B789F" w:rsidRDefault="003B789F" w:rsidP="003B789F">
          <w:pPr>
            <w:tabs>
              <w:tab w:val="right" w:pos="8838"/>
            </w:tabs>
            <w:ind w:left="33" w:right="-1375"/>
            <w:jc w:val="both"/>
            <w:rPr>
              <w:rFonts w:ascii="Palatino Linotype" w:eastAsia="Palatino Linotype" w:hAnsi="Palatino Linotype" w:cs="Palatino Linotype"/>
              <w:b/>
              <w:bCs/>
            </w:rPr>
          </w:pPr>
        </w:p>
      </w:tc>
    </w:tr>
  </w:tbl>
  <w:p w14:paraId="61C60624" w14:textId="7D820B68" w:rsidR="003B789F" w:rsidRDefault="00F41008">
    <w:pPr>
      <w:pStyle w:val="Encabezado"/>
    </w:pPr>
    <w:r>
      <w:rPr>
        <w:noProof/>
      </w:rPr>
      <w:pict w14:anchorId="53CBD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08.05pt;margin-top:-113.95pt;width:589.8pt;height:768pt;z-index:-251657216;mso-position-horizontal-relative:margin;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05" w:type="dxa"/>
      <w:tblInd w:w="1701" w:type="dxa"/>
      <w:tblLayout w:type="fixed"/>
      <w:tblLook w:val="0400" w:firstRow="0" w:lastRow="0" w:firstColumn="0" w:lastColumn="0" w:noHBand="0" w:noVBand="1"/>
    </w:tblPr>
    <w:tblGrid>
      <w:gridCol w:w="3510"/>
      <w:gridCol w:w="4995"/>
    </w:tblGrid>
    <w:tr w:rsidR="003B789F" w14:paraId="7578CE3A" w14:textId="77777777" w:rsidTr="007928B4">
      <w:trPr>
        <w:trHeight w:val="144"/>
      </w:trPr>
      <w:tc>
        <w:tcPr>
          <w:tcW w:w="3510" w:type="dxa"/>
          <w:shd w:val="clear" w:color="auto" w:fill="auto"/>
        </w:tcPr>
        <w:p w14:paraId="15684996" w14:textId="317D3B70"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95" w:type="dxa"/>
          <w:shd w:val="clear" w:color="auto" w:fill="auto"/>
        </w:tcPr>
        <w:p w14:paraId="5CDBC09A" w14:textId="0BE4F6AD" w:rsidR="003B789F" w:rsidRDefault="003B789F" w:rsidP="003B789F">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11698/INFOEM/IP/RR/2025</w:t>
          </w:r>
        </w:p>
      </w:tc>
    </w:tr>
    <w:tr w:rsidR="003B789F" w14:paraId="260F3032" w14:textId="77777777" w:rsidTr="007928B4">
      <w:trPr>
        <w:trHeight w:val="144"/>
      </w:trPr>
      <w:tc>
        <w:tcPr>
          <w:tcW w:w="3510" w:type="dxa"/>
          <w:shd w:val="clear" w:color="auto" w:fill="auto"/>
        </w:tcPr>
        <w:p w14:paraId="368C71B2"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995" w:type="dxa"/>
          <w:shd w:val="clear" w:color="auto" w:fill="auto"/>
        </w:tcPr>
        <w:p w14:paraId="44F27F6C" w14:textId="6553A6BD" w:rsidR="003B789F" w:rsidRDefault="003B789F" w:rsidP="003B789F">
          <w:pPr>
            <w:tabs>
              <w:tab w:val="left" w:pos="3122"/>
              <w:tab w:val="right" w:pos="8838"/>
            </w:tabs>
            <w:ind w:left="33" w:right="-1375"/>
            <w:jc w:val="both"/>
            <w:rPr>
              <w:rFonts w:ascii="Palatino Linotype" w:eastAsia="Palatino Linotype" w:hAnsi="Palatino Linotype" w:cs="Palatino Linotype"/>
            </w:rPr>
          </w:pPr>
        </w:p>
      </w:tc>
    </w:tr>
    <w:tr w:rsidR="003B789F" w14:paraId="5BF62B1F" w14:textId="77777777" w:rsidTr="007928B4">
      <w:trPr>
        <w:trHeight w:val="283"/>
      </w:trPr>
      <w:tc>
        <w:tcPr>
          <w:tcW w:w="3510" w:type="dxa"/>
          <w:shd w:val="clear" w:color="auto" w:fill="auto"/>
        </w:tcPr>
        <w:p w14:paraId="2FB8BF76"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95" w:type="dxa"/>
          <w:shd w:val="clear" w:color="auto" w:fill="auto"/>
        </w:tcPr>
        <w:p w14:paraId="5D95EEC7" w14:textId="2EE1C494" w:rsidR="003B789F" w:rsidRPr="007928B4" w:rsidRDefault="003B789F" w:rsidP="007928B4">
          <w:pPr>
            <w:tabs>
              <w:tab w:val="left" w:pos="2834"/>
              <w:tab w:val="right" w:pos="8838"/>
            </w:tabs>
            <w:ind w:left="33" w:right="-1375"/>
            <w:jc w:val="both"/>
            <w:rPr>
              <w:rFonts w:ascii="Palatino Linotype" w:hAnsi="Palatino Linotype"/>
              <w:bCs/>
              <w:color w:val="000000"/>
            </w:rPr>
          </w:pPr>
          <w:r w:rsidRPr="003B789F">
            <w:rPr>
              <w:rFonts w:ascii="Palatino Linotype" w:hAnsi="Palatino Linotype"/>
              <w:bCs/>
              <w:color w:val="000000"/>
            </w:rPr>
            <w:t>Tribunal Estatal de Conciliación y Arbitraje</w:t>
          </w:r>
        </w:p>
      </w:tc>
    </w:tr>
    <w:tr w:rsidR="003B789F" w14:paraId="5CA6CEBC" w14:textId="77777777" w:rsidTr="007928B4">
      <w:trPr>
        <w:trHeight w:val="283"/>
      </w:trPr>
      <w:tc>
        <w:tcPr>
          <w:tcW w:w="3510" w:type="dxa"/>
          <w:shd w:val="clear" w:color="auto" w:fill="auto"/>
        </w:tcPr>
        <w:p w14:paraId="0DE13482" w14:textId="77777777" w:rsidR="003B789F" w:rsidRDefault="003B789F" w:rsidP="003B789F">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995" w:type="dxa"/>
          <w:shd w:val="clear" w:color="auto" w:fill="auto"/>
        </w:tcPr>
        <w:p w14:paraId="32720E99" w14:textId="5CFD17ED" w:rsidR="003B789F" w:rsidRPr="007928B4" w:rsidRDefault="007928B4" w:rsidP="007928B4">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14:paraId="578CC43D" w14:textId="2C5E0B3C" w:rsidR="004C36C8" w:rsidRDefault="00F4100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1D89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3.6pt;margin-top:-137.05pt;width:589.8pt;height:768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86045"/>
    <w:multiLevelType w:val="hybridMultilevel"/>
    <w:tmpl w:val="561A7368"/>
    <w:lvl w:ilvl="0" w:tplc="28B2BBF6">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670387"/>
    <w:multiLevelType w:val="hybridMultilevel"/>
    <w:tmpl w:val="7868A9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317490"/>
    <w:multiLevelType w:val="hybridMultilevel"/>
    <w:tmpl w:val="03AC1B5A"/>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02513C"/>
    <w:multiLevelType w:val="multilevel"/>
    <w:tmpl w:val="7E20F31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AE57C58"/>
    <w:multiLevelType w:val="multilevel"/>
    <w:tmpl w:val="4202D04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503AA4"/>
    <w:multiLevelType w:val="hybridMultilevel"/>
    <w:tmpl w:val="ADC27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A675ACC"/>
    <w:multiLevelType w:val="hybridMultilevel"/>
    <w:tmpl w:val="79B22340"/>
    <w:lvl w:ilvl="0" w:tplc="C6CC06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AF586B"/>
    <w:multiLevelType w:val="hybridMultilevel"/>
    <w:tmpl w:val="892E41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E43AB4"/>
    <w:multiLevelType w:val="hybridMultilevel"/>
    <w:tmpl w:val="B99039B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 w:numId="2">
    <w:abstractNumId w:val="8"/>
  </w:num>
  <w:num w:numId="3">
    <w:abstractNumId w:val="7"/>
  </w:num>
  <w:num w:numId="4">
    <w:abstractNumId w:val="3"/>
  </w:num>
  <w:num w:numId="5">
    <w:abstractNumId w:val="4"/>
  </w:num>
  <w:num w:numId="6">
    <w:abstractNumId w:val="6"/>
  </w:num>
  <w:num w:numId="7">
    <w:abstractNumId w:val="5"/>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DD"/>
    <w:rsid w:val="00010038"/>
    <w:rsid w:val="000362EB"/>
    <w:rsid w:val="000445E6"/>
    <w:rsid w:val="00051DE5"/>
    <w:rsid w:val="00053EDE"/>
    <w:rsid w:val="000569C5"/>
    <w:rsid w:val="000761E3"/>
    <w:rsid w:val="000935A6"/>
    <w:rsid w:val="000A6E1E"/>
    <w:rsid w:val="00102401"/>
    <w:rsid w:val="001139E9"/>
    <w:rsid w:val="001725F0"/>
    <w:rsid w:val="00185040"/>
    <w:rsid w:val="00185C31"/>
    <w:rsid w:val="00193AB9"/>
    <w:rsid w:val="001A4446"/>
    <w:rsid w:val="001D6690"/>
    <w:rsid w:val="00254EBA"/>
    <w:rsid w:val="002C3D10"/>
    <w:rsid w:val="002F41D7"/>
    <w:rsid w:val="0031345A"/>
    <w:rsid w:val="00353007"/>
    <w:rsid w:val="003574E7"/>
    <w:rsid w:val="003A23F3"/>
    <w:rsid w:val="003B789F"/>
    <w:rsid w:val="004929EE"/>
    <w:rsid w:val="004C36C8"/>
    <w:rsid w:val="004E5ED7"/>
    <w:rsid w:val="00507716"/>
    <w:rsid w:val="00550B0B"/>
    <w:rsid w:val="005829DD"/>
    <w:rsid w:val="005F168E"/>
    <w:rsid w:val="0064078B"/>
    <w:rsid w:val="0065732D"/>
    <w:rsid w:val="006D06CB"/>
    <w:rsid w:val="00714CED"/>
    <w:rsid w:val="007474AB"/>
    <w:rsid w:val="007928B4"/>
    <w:rsid w:val="007D6A1A"/>
    <w:rsid w:val="00901979"/>
    <w:rsid w:val="00993E4D"/>
    <w:rsid w:val="009B0D7A"/>
    <w:rsid w:val="009E6C21"/>
    <w:rsid w:val="00A1369C"/>
    <w:rsid w:val="00A56F7D"/>
    <w:rsid w:val="00A82B86"/>
    <w:rsid w:val="00B538A2"/>
    <w:rsid w:val="00BE0F53"/>
    <w:rsid w:val="00C10EC4"/>
    <w:rsid w:val="00C44C17"/>
    <w:rsid w:val="00DD03B0"/>
    <w:rsid w:val="00E468F6"/>
    <w:rsid w:val="00E57902"/>
    <w:rsid w:val="00E92F23"/>
    <w:rsid w:val="00F1036F"/>
    <w:rsid w:val="00F31A2A"/>
    <w:rsid w:val="00F41008"/>
    <w:rsid w:val="00F86E3D"/>
    <w:rsid w:val="00FD1878"/>
    <w:rsid w:val="00FD51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4FE6C2"/>
  <w15:chartTrackingRefBased/>
  <w15:docId w15:val="{49CB1AD6-44AD-48C2-90D2-7F7BDEAD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9DD"/>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829DD"/>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829DD"/>
    <w:pPr>
      <w:ind w:left="708"/>
    </w:pPr>
    <w:rPr>
      <w:sz w:val="22"/>
      <w:szCs w:val="22"/>
      <w:lang w:val="es-ES" w:eastAsia="en-US"/>
    </w:rPr>
  </w:style>
  <w:style w:type="character" w:styleId="Hipervnculo">
    <w:name w:val="Hyperlink"/>
    <w:basedOn w:val="Fuentedeprrafopredeter"/>
    <w:uiPriority w:val="99"/>
    <w:unhideWhenUsed/>
    <w:rsid w:val="005829DD"/>
    <w:rPr>
      <w:color w:val="0563C1" w:themeColor="hyperlink"/>
      <w:u w:val="single"/>
    </w:rPr>
  </w:style>
  <w:style w:type="paragraph" w:styleId="Encabezado">
    <w:name w:val="header"/>
    <w:basedOn w:val="Normal"/>
    <w:link w:val="EncabezadoCar"/>
    <w:uiPriority w:val="99"/>
    <w:unhideWhenUsed/>
    <w:rsid w:val="00A1369C"/>
    <w:pPr>
      <w:tabs>
        <w:tab w:val="center" w:pos="4419"/>
        <w:tab w:val="right" w:pos="8838"/>
      </w:tabs>
    </w:pPr>
  </w:style>
  <w:style w:type="character" w:customStyle="1" w:styleId="EncabezadoCar">
    <w:name w:val="Encabezado Car"/>
    <w:basedOn w:val="Fuentedeprrafopredeter"/>
    <w:link w:val="Encabezado"/>
    <w:uiPriority w:val="99"/>
    <w:rsid w:val="00A1369C"/>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A1369C"/>
    <w:pPr>
      <w:tabs>
        <w:tab w:val="center" w:pos="4419"/>
        <w:tab w:val="right" w:pos="8838"/>
      </w:tabs>
    </w:pPr>
  </w:style>
  <w:style w:type="character" w:customStyle="1" w:styleId="PiedepginaCar">
    <w:name w:val="Pie de página Car"/>
    <w:basedOn w:val="Fuentedeprrafopredeter"/>
    <w:link w:val="Piedepgina"/>
    <w:uiPriority w:val="99"/>
    <w:rsid w:val="00A1369C"/>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4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coem.org.mx/sarcoem/guia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coem.org.mx/sarcoem/ciudadano/login.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27</Pages>
  <Words>6897</Words>
  <Characters>37938</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7</cp:revision>
  <dcterms:created xsi:type="dcterms:W3CDTF">2026-04-27T23:38:00Z</dcterms:created>
  <dcterms:modified xsi:type="dcterms:W3CDTF">2026-05-28T23:53:00Z</dcterms:modified>
</cp:coreProperties>
</file>